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C7DCEA" w14:textId="4B4FA74B" w:rsidR="00F1302B" w:rsidRPr="00883DC5" w:rsidRDefault="00F1302B" w:rsidP="00D92508">
      <w:pPr>
        <w:snapToGrid w:val="0"/>
        <w:spacing w:line="360" w:lineRule="auto"/>
        <w:jc w:val="both"/>
        <w:rPr>
          <w:rFonts w:ascii="Book Antiqua" w:hAnsi="Book Antiqua"/>
          <w:b/>
          <w:color w:val="auto"/>
          <w:sz w:val="24"/>
          <w:szCs w:val="24"/>
        </w:rPr>
      </w:pPr>
      <w:r w:rsidRPr="00883DC5">
        <w:rPr>
          <w:rFonts w:ascii="Book Antiqua" w:hAnsi="Book Antiqua"/>
          <w:b/>
          <w:color w:val="auto"/>
          <w:sz w:val="24"/>
          <w:szCs w:val="24"/>
        </w:rPr>
        <w:t xml:space="preserve">Name of Journal: </w:t>
      </w:r>
      <w:r w:rsidRPr="00883DC5">
        <w:rPr>
          <w:rFonts w:ascii="Book Antiqua" w:hAnsi="Book Antiqua"/>
          <w:b/>
          <w:i/>
          <w:color w:val="auto"/>
          <w:sz w:val="24"/>
          <w:szCs w:val="24"/>
        </w:rPr>
        <w:t>World Journal of Gastroenterology</w:t>
      </w:r>
    </w:p>
    <w:p w14:paraId="49D1D4BE" w14:textId="3C8F820B" w:rsidR="00F1302B" w:rsidRPr="00883DC5" w:rsidRDefault="003E0B29" w:rsidP="00D92508">
      <w:pPr>
        <w:pStyle w:val="1"/>
        <w:snapToGrid w:val="0"/>
        <w:spacing w:line="360" w:lineRule="auto"/>
        <w:jc w:val="both"/>
        <w:rPr>
          <w:rFonts w:ascii="Book Antiqua" w:hAnsi="Book Antiqua" w:cs="Times New Roman"/>
          <w:b/>
          <w:i/>
          <w:color w:val="auto"/>
          <w:sz w:val="24"/>
          <w:szCs w:val="24"/>
          <w:highlight w:val="white"/>
          <w:lang w:val="en-US" w:eastAsia="zh-CN"/>
        </w:rPr>
      </w:pPr>
      <w:bookmarkStart w:id="0" w:name="OLE_LINK485"/>
      <w:bookmarkStart w:id="1" w:name="OLE_LINK486"/>
      <w:bookmarkStart w:id="2" w:name="OLE_LINK661"/>
      <w:bookmarkStart w:id="3" w:name="OLE_LINK768"/>
      <w:bookmarkStart w:id="4" w:name="OLE_LINK514"/>
      <w:bookmarkStart w:id="5" w:name="OLE_LINK515"/>
      <w:r w:rsidRPr="00883DC5">
        <w:rPr>
          <w:rFonts w:ascii="Book Antiqua" w:hAnsi="Book Antiqua" w:cs="Times New Roman"/>
          <w:b/>
          <w:color w:val="auto"/>
          <w:sz w:val="24"/>
          <w:szCs w:val="24"/>
          <w:highlight w:val="white"/>
          <w:lang w:eastAsia="zh-CN"/>
        </w:rPr>
        <w:t>Manuscript NO:</w:t>
      </w:r>
      <w:bookmarkEnd w:id="0"/>
      <w:bookmarkEnd w:id="1"/>
      <w:bookmarkEnd w:id="2"/>
      <w:bookmarkEnd w:id="3"/>
      <w:r w:rsidRPr="00883DC5">
        <w:rPr>
          <w:rFonts w:ascii="Book Antiqua" w:hAnsi="Book Antiqua" w:cs="Times New Roman"/>
          <w:b/>
          <w:color w:val="auto"/>
          <w:sz w:val="24"/>
          <w:szCs w:val="24"/>
          <w:highlight w:val="white"/>
          <w:lang w:eastAsia="zh-CN"/>
        </w:rPr>
        <w:t xml:space="preserve"> </w:t>
      </w:r>
      <w:bookmarkEnd w:id="4"/>
      <w:bookmarkEnd w:id="5"/>
      <w:r w:rsidR="00834471" w:rsidRPr="00883DC5">
        <w:rPr>
          <w:rFonts w:ascii="Book Antiqua" w:hAnsi="Book Antiqua" w:cs="Times New Roman"/>
          <w:b/>
          <w:color w:val="auto"/>
          <w:sz w:val="24"/>
          <w:szCs w:val="24"/>
          <w:highlight w:val="white"/>
          <w:lang w:eastAsia="zh-CN"/>
        </w:rPr>
        <w:t>39858</w:t>
      </w:r>
    </w:p>
    <w:p w14:paraId="11DB5777" w14:textId="1F3E1F2C" w:rsidR="00F1302B" w:rsidRPr="00883DC5" w:rsidRDefault="00F1302B" w:rsidP="00D92508">
      <w:pPr>
        <w:snapToGrid w:val="0"/>
        <w:spacing w:line="360" w:lineRule="auto"/>
        <w:jc w:val="both"/>
        <w:rPr>
          <w:rFonts w:ascii="Book Antiqua" w:hAnsi="Book Antiqua"/>
          <w:b/>
          <w:color w:val="auto"/>
          <w:sz w:val="24"/>
          <w:szCs w:val="24"/>
        </w:rPr>
      </w:pPr>
      <w:r w:rsidRPr="00883DC5">
        <w:rPr>
          <w:rFonts w:ascii="Book Antiqua" w:hAnsi="Book Antiqua"/>
          <w:b/>
          <w:color w:val="auto"/>
          <w:sz w:val="24"/>
          <w:szCs w:val="24"/>
        </w:rPr>
        <w:t xml:space="preserve">Manuscript Type: </w:t>
      </w:r>
      <w:r w:rsidR="00F50E60" w:rsidRPr="00883DC5">
        <w:rPr>
          <w:rFonts w:ascii="Book Antiqua" w:hAnsi="Book Antiqua"/>
          <w:b/>
          <w:color w:val="auto"/>
          <w:sz w:val="24"/>
          <w:szCs w:val="24"/>
        </w:rPr>
        <w:t>MINI</w:t>
      </w:r>
      <w:r w:rsidR="006E51A5" w:rsidRPr="00883DC5">
        <w:rPr>
          <w:rFonts w:ascii="Book Antiqua" w:hAnsi="Book Antiqua"/>
          <w:b/>
          <w:color w:val="auto"/>
          <w:sz w:val="24"/>
          <w:szCs w:val="24"/>
        </w:rPr>
        <w:t>REVIEW</w:t>
      </w:r>
      <w:r w:rsidR="00F50E60" w:rsidRPr="00883DC5">
        <w:rPr>
          <w:rFonts w:ascii="Book Antiqua" w:hAnsi="Book Antiqua"/>
          <w:b/>
          <w:color w:val="auto"/>
          <w:sz w:val="24"/>
          <w:szCs w:val="24"/>
        </w:rPr>
        <w:t>S</w:t>
      </w:r>
    </w:p>
    <w:p w14:paraId="5C835F2A" w14:textId="77777777" w:rsidR="00F1302B" w:rsidRPr="00F532B5" w:rsidRDefault="00F1302B" w:rsidP="00D92508">
      <w:pPr>
        <w:snapToGrid w:val="0"/>
        <w:spacing w:line="360" w:lineRule="auto"/>
        <w:jc w:val="both"/>
        <w:rPr>
          <w:rFonts w:ascii="Book Antiqua" w:hAnsi="Book Antiqua"/>
          <w:b/>
          <w:color w:val="auto"/>
          <w:sz w:val="24"/>
          <w:szCs w:val="24"/>
        </w:rPr>
      </w:pPr>
    </w:p>
    <w:p w14:paraId="5C0C073C" w14:textId="20BB619A" w:rsidR="00CB7A70" w:rsidRPr="00F532B5" w:rsidRDefault="00CB7A70" w:rsidP="00D92508">
      <w:pPr>
        <w:snapToGrid w:val="0"/>
        <w:spacing w:line="360" w:lineRule="auto"/>
        <w:jc w:val="both"/>
        <w:rPr>
          <w:rFonts w:ascii="Book Antiqua" w:hAnsi="Book Antiqua"/>
          <w:b/>
          <w:color w:val="auto"/>
          <w:sz w:val="24"/>
          <w:szCs w:val="24"/>
        </w:rPr>
      </w:pPr>
      <w:r w:rsidRPr="00F532B5">
        <w:rPr>
          <w:rFonts w:ascii="Book Antiqua" w:hAnsi="Book Antiqua"/>
          <w:b/>
          <w:color w:val="auto"/>
          <w:sz w:val="24"/>
          <w:szCs w:val="24"/>
        </w:rPr>
        <w:t>Enca</w:t>
      </w:r>
      <w:r w:rsidR="005E04C2" w:rsidRPr="00F532B5">
        <w:rPr>
          <w:rFonts w:ascii="Book Antiqua" w:hAnsi="Book Antiqua"/>
          <w:b/>
          <w:color w:val="auto"/>
          <w:sz w:val="24"/>
          <w:szCs w:val="24"/>
        </w:rPr>
        <w:t xml:space="preserve">psulating </w:t>
      </w:r>
      <w:r w:rsidR="00883DC5" w:rsidRPr="00F532B5">
        <w:rPr>
          <w:rFonts w:ascii="Book Antiqua" w:hAnsi="Book Antiqua"/>
          <w:b/>
          <w:color w:val="auto"/>
          <w:sz w:val="24"/>
          <w:szCs w:val="24"/>
        </w:rPr>
        <w:t>p</w:t>
      </w:r>
      <w:r w:rsidR="005E04C2" w:rsidRPr="00F532B5">
        <w:rPr>
          <w:rFonts w:ascii="Book Antiqua" w:hAnsi="Book Antiqua"/>
          <w:b/>
          <w:color w:val="auto"/>
          <w:sz w:val="24"/>
          <w:szCs w:val="24"/>
        </w:rPr>
        <w:t xml:space="preserve">eritoneal </w:t>
      </w:r>
      <w:r w:rsidR="00883DC5" w:rsidRPr="00F532B5">
        <w:rPr>
          <w:rFonts w:ascii="Book Antiqua" w:hAnsi="Book Antiqua"/>
          <w:b/>
          <w:color w:val="auto"/>
          <w:sz w:val="24"/>
          <w:szCs w:val="24"/>
        </w:rPr>
        <w:t>s</w:t>
      </w:r>
      <w:r w:rsidR="005E04C2" w:rsidRPr="00F532B5">
        <w:rPr>
          <w:rFonts w:ascii="Book Antiqua" w:hAnsi="Book Antiqua"/>
          <w:b/>
          <w:color w:val="auto"/>
          <w:sz w:val="24"/>
          <w:szCs w:val="24"/>
        </w:rPr>
        <w:t>clerosis</w:t>
      </w:r>
    </w:p>
    <w:p w14:paraId="547E6D46" w14:textId="77777777" w:rsidR="00CB7A70" w:rsidRPr="00F532B5" w:rsidRDefault="00CB7A70" w:rsidP="00D92508">
      <w:pPr>
        <w:snapToGrid w:val="0"/>
        <w:spacing w:line="360" w:lineRule="auto"/>
        <w:jc w:val="both"/>
        <w:rPr>
          <w:rFonts w:ascii="Book Antiqua" w:hAnsi="Book Antiqua"/>
          <w:b/>
          <w:color w:val="auto"/>
          <w:sz w:val="24"/>
          <w:szCs w:val="24"/>
        </w:rPr>
      </w:pPr>
    </w:p>
    <w:p w14:paraId="70367068" w14:textId="4DA6E605" w:rsidR="007B5C17" w:rsidRPr="00F532B5" w:rsidRDefault="007B5C17" w:rsidP="00D92508">
      <w:pPr>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Danford C</w:t>
      </w:r>
      <w:r w:rsidR="00BF52F2">
        <w:rPr>
          <w:rFonts w:ascii="Book Antiqua" w:hAnsi="Book Antiqua" w:hint="eastAsia"/>
          <w:color w:val="auto"/>
          <w:sz w:val="24"/>
          <w:szCs w:val="24"/>
          <w:lang w:eastAsia="zh-CN"/>
        </w:rPr>
        <w:t>J</w:t>
      </w:r>
      <w:r w:rsidRPr="00F532B5">
        <w:rPr>
          <w:rFonts w:ascii="Book Antiqua" w:hAnsi="Book Antiqua"/>
          <w:color w:val="auto"/>
          <w:sz w:val="24"/>
          <w:szCs w:val="24"/>
        </w:rPr>
        <w:t xml:space="preserve"> </w:t>
      </w:r>
      <w:r w:rsidRPr="00F532B5">
        <w:rPr>
          <w:rFonts w:ascii="Book Antiqua" w:hAnsi="Book Antiqua"/>
          <w:i/>
          <w:color w:val="auto"/>
          <w:sz w:val="24"/>
          <w:szCs w:val="24"/>
        </w:rPr>
        <w:t>et al</w:t>
      </w:r>
      <w:r w:rsidRPr="00F532B5">
        <w:rPr>
          <w:rFonts w:ascii="Book Antiqua" w:hAnsi="Book Antiqua"/>
          <w:color w:val="auto"/>
          <w:sz w:val="24"/>
          <w:szCs w:val="24"/>
        </w:rPr>
        <w:t xml:space="preserve">. Encapsulating </w:t>
      </w:r>
      <w:r w:rsidR="00883DC5" w:rsidRPr="00F532B5">
        <w:rPr>
          <w:rFonts w:ascii="Book Antiqua" w:hAnsi="Book Antiqua"/>
          <w:color w:val="auto"/>
          <w:sz w:val="24"/>
          <w:szCs w:val="24"/>
        </w:rPr>
        <w:t>p</w:t>
      </w:r>
      <w:r w:rsidRPr="00F532B5">
        <w:rPr>
          <w:rFonts w:ascii="Book Antiqua" w:hAnsi="Book Antiqua"/>
          <w:color w:val="auto"/>
          <w:sz w:val="24"/>
          <w:szCs w:val="24"/>
        </w:rPr>
        <w:t xml:space="preserve">eritoneal </w:t>
      </w:r>
      <w:r w:rsidR="00883DC5" w:rsidRPr="00F532B5">
        <w:rPr>
          <w:rFonts w:ascii="Book Antiqua" w:hAnsi="Book Antiqua"/>
          <w:color w:val="auto"/>
          <w:sz w:val="24"/>
          <w:szCs w:val="24"/>
        </w:rPr>
        <w:t>s</w:t>
      </w:r>
      <w:r w:rsidRPr="00F532B5">
        <w:rPr>
          <w:rFonts w:ascii="Book Antiqua" w:hAnsi="Book Antiqua"/>
          <w:color w:val="auto"/>
          <w:sz w:val="24"/>
          <w:szCs w:val="24"/>
        </w:rPr>
        <w:t>clerosis</w:t>
      </w:r>
    </w:p>
    <w:p w14:paraId="497031E1" w14:textId="77777777" w:rsidR="007B5C17" w:rsidRPr="00F532B5" w:rsidRDefault="007B5C17" w:rsidP="00D92508">
      <w:pPr>
        <w:snapToGrid w:val="0"/>
        <w:spacing w:line="360" w:lineRule="auto"/>
        <w:jc w:val="both"/>
        <w:rPr>
          <w:rFonts w:ascii="Book Antiqua" w:hAnsi="Book Antiqua"/>
          <w:b/>
          <w:color w:val="auto"/>
          <w:sz w:val="24"/>
          <w:szCs w:val="24"/>
        </w:rPr>
      </w:pPr>
    </w:p>
    <w:p w14:paraId="11330687" w14:textId="01D9B9E6" w:rsidR="00CB7A70" w:rsidRPr="00883DC5" w:rsidRDefault="00F1302B" w:rsidP="00D92508">
      <w:pPr>
        <w:snapToGrid w:val="0"/>
        <w:spacing w:line="360" w:lineRule="auto"/>
        <w:jc w:val="both"/>
        <w:rPr>
          <w:rFonts w:ascii="Book Antiqua" w:hAnsi="Book Antiqua"/>
          <w:color w:val="auto"/>
          <w:sz w:val="24"/>
          <w:szCs w:val="24"/>
          <w:vertAlign w:val="superscript"/>
        </w:rPr>
      </w:pPr>
      <w:r w:rsidRPr="00883DC5">
        <w:rPr>
          <w:rFonts w:ascii="Book Antiqua" w:hAnsi="Book Antiqua"/>
          <w:color w:val="auto"/>
          <w:sz w:val="24"/>
          <w:szCs w:val="24"/>
        </w:rPr>
        <w:t>Christopher J</w:t>
      </w:r>
      <w:r w:rsidR="00CB7A70" w:rsidRPr="00883DC5">
        <w:rPr>
          <w:rFonts w:ascii="Book Antiqua" w:hAnsi="Book Antiqua"/>
          <w:color w:val="auto"/>
          <w:sz w:val="24"/>
          <w:szCs w:val="24"/>
        </w:rPr>
        <w:t xml:space="preserve"> Danford, Steven </w:t>
      </w:r>
      <w:r w:rsidRPr="00883DC5">
        <w:rPr>
          <w:rFonts w:ascii="Book Antiqua" w:hAnsi="Book Antiqua"/>
          <w:color w:val="auto"/>
          <w:sz w:val="24"/>
          <w:szCs w:val="24"/>
        </w:rPr>
        <w:t>C</w:t>
      </w:r>
      <w:r w:rsidR="00686AAF" w:rsidRPr="00883DC5">
        <w:rPr>
          <w:rFonts w:ascii="Book Antiqua" w:hAnsi="Book Antiqua"/>
          <w:color w:val="auto"/>
          <w:sz w:val="24"/>
          <w:szCs w:val="24"/>
        </w:rPr>
        <w:t xml:space="preserve"> </w:t>
      </w:r>
      <w:r w:rsidR="00CB7A70" w:rsidRPr="00883DC5">
        <w:rPr>
          <w:rFonts w:ascii="Book Antiqua" w:hAnsi="Book Antiqua"/>
          <w:color w:val="auto"/>
          <w:sz w:val="24"/>
          <w:szCs w:val="24"/>
        </w:rPr>
        <w:t xml:space="preserve">Lin, </w:t>
      </w:r>
      <w:r w:rsidRPr="00883DC5">
        <w:rPr>
          <w:rFonts w:ascii="Book Antiqua" w:hAnsi="Book Antiqua"/>
          <w:color w:val="auto"/>
          <w:sz w:val="24"/>
          <w:szCs w:val="24"/>
        </w:rPr>
        <w:t>Martin P</w:t>
      </w:r>
      <w:r w:rsidR="004706F6" w:rsidRPr="00883DC5">
        <w:rPr>
          <w:rFonts w:ascii="Book Antiqua" w:hAnsi="Book Antiqua"/>
          <w:color w:val="auto"/>
          <w:sz w:val="24"/>
          <w:szCs w:val="24"/>
        </w:rPr>
        <w:t xml:space="preserve"> Smith, </w:t>
      </w:r>
      <w:r w:rsidRPr="00883DC5">
        <w:rPr>
          <w:rFonts w:ascii="Book Antiqua" w:hAnsi="Book Antiqua"/>
          <w:color w:val="auto"/>
          <w:sz w:val="24"/>
          <w:szCs w:val="24"/>
        </w:rPr>
        <w:t>Jacqueline L</w:t>
      </w:r>
      <w:r w:rsidR="00CB7A70" w:rsidRPr="00883DC5">
        <w:rPr>
          <w:rFonts w:ascii="Book Antiqua" w:hAnsi="Book Antiqua"/>
          <w:color w:val="auto"/>
          <w:sz w:val="24"/>
          <w:szCs w:val="24"/>
        </w:rPr>
        <w:t xml:space="preserve"> Wolf</w:t>
      </w:r>
    </w:p>
    <w:p w14:paraId="7550636C" w14:textId="77777777" w:rsidR="009411AF" w:rsidRPr="00F532B5" w:rsidRDefault="009411AF" w:rsidP="00D92508">
      <w:pPr>
        <w:snapToGrid w:val="0"/>
        <w:spacing w:line="360" w:lineRule="auto"/>
        <w:jc w:val="both"/>
        <w:rPr>
          <w:rFonts w:ascii="Book Antiqua" w:hAnsi="Book Antiqua"/>
          <w:b/>
          <w:color w:val="auto"/>
          <w:sz w:val="24"/>
          <w:szCs w:val="24"/>
        </w:rPr>
      </w:pPr>
    </w:p>
    <w:p w14:paraId="7D55D66F" w14:textId="0F61CA65" w:rsidR="004706F6" w:rsidRPr="00F532B5" w:rsidRDefault="00F1302B" w:rsidP="00D92508">
      <w:pPr>
        <w:snapToGrid w:val="0"/>
        <w:spacing w:line="360" w:lineRule="auto"/>
        <w:jc w:val="both"/>
        <w:rPr>
          <w:rFonts w:ascii="Book Antiqua" w:hAnsi="Book Antiqua"/>
          <w:color w:val="auto"/>
          <w:sz w:val="24"/>
          <w:szCs w:val="24"/>
          <w:lang w:eastAsia="zh-CN"/>
        </w:rPr>
      </w:pPr>
      <w:r w:rsidRPr="00F532B5">
        <w:rPr>
          <w:rFonts w:ascii="Book Antiqua" w:hAnsi="Book Antiqua"/>
          <w:b/>
          <w:color w:val="auto"/>
          <w:sz w:val="24"/>
          <w:szCs w:val="24"/>
        </w:rPr>
        <w:t>Christopher J Danford, Steven C Lin, Jacqueline L Wolf</w:t>
      </w:r>
      <w:r w:rsidRPr="00F532B5">
        <w:rPr>
          <w:rFonts w:ascii="Book Antiqua" w:hAnsi="Book Antiqua"/>
          <w:color w:val="auto"/>
          <w:sz w:val="24"/>
          <w:szCs w:val="24"/>
        </w:rPr>
        <w:t>,</w:t>
      </w:r>
      <w:r w:rsidRPr="00F532B5">
        <w:rPr>
          <w:rFonts w:ascii="Book Antiqua" w:hAnsi="Book Antiqua"/>
          <w:b/>
          <w:color w:val="auto"/>
          <w:sz w:val="24"/>
          <w:szCs w:val="24"/>
          <w:vertAlign w:val="superscript"/>
        </w:rPr>
        <w:t xml:space="preserve"> </w:t>
      </w:r>
      <w:r w:rsidR="00CB7A70" w:rsidRPr="00F532B5">
        <w:rPr>
          <w:rFonts w:ascii="Book Antiqua" w:hAnsi="Book Antiqua"/>
          <w:color w:val="auto"/>
          <w:sz w:val="24"/>
          <w:szCs w:val="24"/>
        </w:rPr>
        <w:t>Division o</w:t>
      </w:r>
      <w:r w:rsidR="00FB046B" w:rsidRPr="00F532B5">
        <w:rPr>
          <w:rFonts w:ascii="Book Antiqua" w:hAnsi="Book Antiqua"/>
          <w:color w:val="auto"/>
          <w:sz w:val="24"/>
          <w:szCs w:val="24"/>
        </w:rPr>
        <w:t xml:space="preserve">f Gastroenterology </w:t>
      </w:r>
      <w:r w:rsidR="00883DC5">
        <w:rPr>
          <w:rFonts w:ascii="Book Antiqua" w:hAnsi="Book Antiqua" w:hint="eastAsia"/>
          <w:color w:val="auto"/>
          <w:sz w:val="24"/>
          <w:szCs w:val="24"/>
          <w:lang w:eastAsia="zh-CN"/>
        </w:rPr>
        <w:t xml:space="preserve">and </w:t>
      </w:r>
      <w:r w:rsidR="00FB046B" w:rsidRPr="00F532B5">
        <w:rPr>
          <w:rFonts w:ascii="Book Antiqua" w:hAnsi="Book Antiqua"/>
          <w:color w:val="auto"/>
          <w:sz w:val="24"/>
          <w:szCs w:val="24"/>
        </w:rPr>
        <w:t>Hepatology</w:t>
      </w:r>
      <w:r w:rsidRPr="00F532B5">
        <w:rPr>
          <w:rFonts w:ascii="Book Antiqua" w:hAnsi="Book Antiqua"/>
          <w:color w:val="auto"/>
          <w:sz w:val="24"/>
          <w:szCs w:val="24"/>
        </w:rPr>
        <w:t xml:space="preserve">, </w:t>
      </w:r>
      <w:r w:rsidR="00CB7A70" w:rsidRPr="00F532B5">
        <w:rPr>
          <w:rFonts w:ascii="Book Antiqua" w:hAnsi="Book Antiqua"/>
          <w:color w:val="auto"/>
          <w:sz w:val="24"/>
          <w:szCs w:val="24"/>
        </w:rPr>
        <w:t>Beth Israel Deaconess Medical Center, Harvard Medical School, Boston, MA</w:t>
      </w:r>
      <w:r w:rsidR="00883DC5">
        <w:rPr>
          <w:rFonts w:ascii="Book Antiqua" w:hAnsi="Book Antiqua" w:hint="eastAsia"/>
          <w:color w:val="auto"/>
          <w:sz w:val="24"/>
          <w:szCs w:val="24"/>
          <w:lang w:eastAsia="zh-CN"/>
        </w:rPr>
        <w:t xml:space="preserve"> </w:t>
      </w:r>
      <w:r w:rsidR="00883DC5" w:rsidRPr="00F532B5">
        <w:rPr>
          <w:rFonts w:ascii="Book Antiqua" w:hAnsi="Book Antiqua"/>
          <w:color w:val="auto"/>
          <w:sz w:val="24"/>
          <w:szCs w:val="24"/>
        </w:rPr>
        <w:t>02115</w:t>
      </w:r>
      <w:r w:rsidR="009411AF" w:rsidRPr="00F532B5">
        <w:rPr>
          <w:rFonts w:ascii="Book Antiqua" w:hAnsi="Book Antiqua"/>
          <w:color w:val="auto"/>
          <w:sz w:val="24"/>
          <w:szCs w:val="24"/>
        </w:rPr>
        <w:t>, U</w:t>
      </w:r>
      <w:r w:rsidR="00883DC5">
        <w:rPr>
          <w:rFonts w:ascii="Book Antiqua" w:hAnsi="Book Antiqua" w:hint="eastAsia"/>
          <w:color w:val="auto"/>
          <w:sz w:val="24"/>
          <w:szCs w:val="24"/>
          <w:lang w:eastAsia="zh-CN"/>
        </w:rPr>
        <w:t>nited States</w:t>
      </w:r>
    </w:p>
    <w:p w14:paraId="4E799AD2" w14:textId="77777777" w:rsidR="009411AF" w:rsidRPr="00D678BD" w:rsidRDefault="009411AF" w:rsidP="00D92508">
      <w:pPr>
        <w:snapToGrid w:val="0"/>
        <w:spacing w:line="360" w:lineRule="auto"/>
        <w:jc w:val="both"/>
        <w:rPr>
          <w:rFonts w:ascii="Book Antiqua" w:hAnsi="Book Antiqua"/>
          <w:color w:val="auto"/>
          <w:sz w:val="24"/>
          <w:szCs w:val="24"/>
        </w:rPr>
      </w:pPr>
    </w:p>
    <w:p w14:paraId="4CCF874E" w14:textId="3FDAF280" w:rsidR="004706F6" w:rsidRPr="00F532B5" w:rsidRDefault="009411AF" w:rsidP="00D92508">
      <w:pPr>
        <w:snapToGrid w:val="0"/>
        <w:spacing w:line="360" w:lineRule="auto"/>
        <w:jc w:val="both"/>
        <w:rPr>
          <w:rFonts w:ascii="Book Antiqua" w:hAnsi="Book Antiqua"/>
          <w:b/>
          <w:color w:val="auto"/>
          <w:sz w:val="24"/>
          <w:szCs w:val="24"/>
          <w:vertAlign w:val="superscript"/>
        </w:rPr>
      </w:pPr>
      <w:r w:rsidRPr="00F532B5">
        <w:rPr>
          <w:rFonts w:ascii="Book Antiqua" w:hAnsi="Book Antiqua"/>
          <w:b/>
          <w:color w:val="auto"/>
          <w:sz w:val="24"/>
          <w:szCs w:val="24"/>
        </w:rPr>
        <w:t>Martin P Smith</w:t>
      </w:r>
      <w:r w:rsidRPr="00F532B5">
        <w:rPr>
          <w:rFonts w:ascii="Book Antiqua" w:hAnsi="Book Antiqua"/>
          <w:color w:val="auto"/>
          <w:sz w:val="24"/>
          <w:szCs w:val="24"/>
        </w:rPr>
        <w:t>,</w:t>
      </w:r>
      <w:r w:rsidRPr="00F532B5">
        <w:rPr>
          <w:rFonts w:ascii="Book Antiqua" w:hAnsi="Book Antiqua"/>
          <w:b/>
          <w:color w:val="auto"/>
          <w:sz w:val="24"/>
          <w:szCs w:val="24"/>
          <w:vertAlign w:val="superscript"/>
        </w:rPr>
        <w:t xml:space="preserve"> </w:t>
      </w:r>
      <w:r w:rsidR="004706F6" w:rsidRPr="00F532B5">
        <w:rPr>
          <w:rFonts w:ascii="Book Antiqua" w:hAnsi="Book Antiqua"/>
          <w:color w:val="auto"/>
          <w:sz w:val="24"/>
          <w:szCs w:val="24"/>
        </w:rPr>
        <w:t>Department of Radiology</w:t>
      </w:r>
      <w:r w:rsidRPr="00D92508">
        <w:rPr>
          <w:rFonts w:ascii="Book Antiqua" w:hAnsi="Book Antiqua"/>
          <w:b/>
          <w:color w:val="auto"/>
          <w:sz w:val="24"/>
          <w:szCs w:val="24"/>
        </w:rPr>
        <w:t>,</w:t>
      </w:r>
      <w:r w:rsidRPr="00F532B5">
        <w:rPr>
          <w:rFonts w:ascii="Book Antiqua" w:hAnsi="Book Antiqua"/>
          <w:b/>
          <w:color w:val="auto"/>
          <w:sz w:val="24"/>
          <w:szCs w:val="24"/>
          <w:vertAlign w:val="superscript"/>
        </w:rPr>
        <w:t xml:space="preserve"> </w:t>
      </w:r>
      <w:r w:rsidR="004706F6" w:rsidRPr="00F532B5">
        <w:rPr>
          <w:rFonts w:ascii="Book Antiqua" w:hAnsi="Book Antiqua"/>
          <w:color w:val="auto"/>
          <w:sz w:val="24"/>
          <w:szCs w:val="24"/>
        </w:rPr>
        <w:t xml:space="preserve">Beth Israel Deaconess Medical Center, Harvard Medical School, Boston, </w:t>
      </w:r>
      <w:r w:rsidR="00D678BD" w:rsidRPr="00F532B5">
        <w:rPr>
          <w:rFonts w:ascii="Book Antiqua" w:hAnsi="Book Antiqua"/>
          <w:color w:val="auto"/>
          <w:sz w:val="24"/>
          <w:szCs w:val="24"/>
        </w:rPr>
        <w:t>MA</w:t>
      </w:r>
      <w:r w:rsidR="00D678BD">
        <w:rPr>
          <w:rFonts w:ascii="Book Antiqua" w:hAnsi="Book Antiqua" w:hint="eastAsia"/>
          <w:color w:val="auto"/>
          <w:sz w:val="24"/>
          <w:szCs w:val="24"/>
          <w:lang w:eastAsia="zh-CN"/>
        </w:rPr>
        <w:t xml:space="preserve"> </w:t>
      </w:r>
      <w:r w:rsidR="00D678BD" w:rsidRPr="00F532B5">
        <w:rPr>
          <w:rFonts w:ascii="Book Antiqua" w:hAnsi="Book Antiqua"/>
          <w:color w:val="auto"/>
          <w:sz w:val="24"/>
          <w:szCs w:val="24"/>
        </w:rPr>
        <w:t>02115, U</w:t>
      </w:r>
      <w:r w:rsidR="00D678BD">
        <w:rPr>
          <w:rFonts w:ascii="Book Antiqua" w:hAnsi="Book Antiqua" w:hint="eastAsia"/>
          <w:color w:val="auto"/>
          <w:sz w:val="24"/>
          <w:szCs w:val="24"/>
          <w:lang w:eastAsia="zh-CN"/>
        </w:rPr>
        <w:t>nited States</w:t>
      </w:r>
    </w:p>
    <w:p w14:paraId="50868AE9" w14:textId="77777777" w:rsidR="004706F6" w:rsidRPr="00F532B5" w:rsidRDefault="004706F6" w:rsidP="00D92508">
      <w:pPr>
        <w:snapToGrid w:val="0"/>
        <w:spacing w:line="360" w:lineRule="auto"/>
        <w:jc w:val="both"/>
        <w:rPr>
          <w:rFonts w:ascii="Book Antiqua" w:hAnsi="Book Antiqua"/>
          <w:color w:val="auto"/>
          <w:sz w:val="24"/>
          <w:szCs w:val="24"/>
        </w:rPr>
      </w:pPr>
    </w:p>
    <w:p w14:paraId="1B50EF29" w14:textId="02AE0399" w:rsidR="009411AF" w:rsidRPr="00F532B5" w:rsidRDefault="009411AF" w:rsidP="00D92508">
      <w:pPr>
        <w:snapToGrid w:val="0"/>
        <w:spacing w:line="360" w:lineRule="auto"/>
        <w:jc w:val="both"/>
        <w:rPr>
          <w:rFonts w:ascii="Book Antiqua" w:hAnsi="Book Antiqua"/>
          <w:color w:val="auto"/>
          <w:sz w:val="24"/>
          <w:szCs w:val="24"/>
        </w:rPr>
      </w:pPr>
      <w:r w:rsidRPr="00F532B5">
        <w:rPr>
          <w:rFonts w:ascii="Book Antiqua" w:hAnsi="Book Antiqua"/>
          <w:b/>
          <w:color w:val="auto"/>
          <w:sz w:val="24"/>
          <w:szCs w:val="24"/>
        </w:rPr>
        <w:t>ORCID number:</w:t>
      </w:r>
      <w:r w:rsidRPr="00F532B5">
        <w:rPr>
          <w:rFonts w:ascii="Book Antiqua" w:hAnsi="Book Antiqua"/>
          <w:color w:val="auto"/>
          <w:sz w:val="24"/>
          <w:szCs w:val="24"/>
        </w:rPr>
        <w:t xml:space="preserve"> Christopher J Danford (0000-0003-0322-7705); Steven C Lin (0000-0003-4620-1505); Martin P Smith (0000-0003-0775-6516); Jacqueline L Wolf (</w:t>
      </w:r>
      <w:r w:rsidR="00FB6CCE" w:rsidRPr="00F532B5">
        <w:rPr>
          <w:rFonts w:ascii="Book Antiqua" w:hAnsi="Book Antiqua"/>
          <w:color w:val="auto"/>
          <w:sz w:val="24"/>
          <w:szCs w:val="24"/>
        </w:rPr>
        <w:t>0000-0002-7748-394X</w:t>
      </w:r>
      <w:r w:rsidRPr="00F532B5">
        <w:rPr>
          <w:rFonts w:ascii="Book Antiqua" w:hAnsi="Book Antiqua"/>
          <w:color w:val="auto"/>
          <w:sz w:val="24"/>
          <w:szCs w:val="24"/>
        </w:rPr>
        <w:t>)</w:t>
      </w:r>
    </w:p>
    <w:p w14:paraId="685EB492" w14:textId="77777777" w:rsidR="009411AF" w:rsidRPr="00F532B5" w:rsidRDefault="009411AF" w:rsidP="00D92508">
      <w:pPr>
        <w:snapToGrid w:val="0"/>
        <w:spacing w:line="360" w:lineRule="auto"/>
        <w:jc w:val="both"/>
        <w:rPr>
          <w:rFonts w:ascii="Book Antiqua" w:hAnsi="Book Antiqua"/>
          <w:color w:val="auto"/>
          <w:sz w:val="24"/>
          <w:szCs w:val="24"/>
        </w:rPr>
      </w:pPr>
    </w:p>
    <w:p w14:paraId="682F22C1" w14:textId="2D374527" w:rsidR="006E51A5" w:rsidRPr="00F532B5" w:rsidRDefault="009411AF" w:rsidP="00D92508">
      <w:pPr>
        <w:snapToGrid w:val="0"/>
        <w:spacing w:line="360" w:lineRule="auto"/>
        <w:jc w:val="both"/>
        <w:rPr>
          <w:rFonts w:ascii="Book Antiqua" w:hAnsi="Book Antiqua"/>
          <w:color w:val="auto"/>
          <w:sz w:val="24"/>
          <w:szCs w:val="24"/>
        </w:rPr>
      </w:pPr>
      <w:r w:rsidRPr="00F532B5">
        <w:rPr>
          <w:rFonts w:ascii="Book Antiqua" w:hAnsi="Book Antiqua"/>
          <w:b/>
          <w:color w:val="auto"/>
          <w:sz w:val="24"/>
          <w:szCs w:val="24"/>
        </w:rPr>
        <w:t xml:space="preserve">Author contributions: </w:t>
      </w:r>
      <w:r w:rsidRPr="00F532B5">
        <w:rPr>
          <w:rFonts w:ascii="Book Antiqua" w:hAnsi="Book Antiqua"/>
          <w:color w:val="auto"/>
          <w:sz w:val="24"/>
          <w:szCs w:val="24"/>
        </w:rPr>
        <w:t>Danford C</w:t>
      </w:r>
      <w:r w:rsidR="00375303" w:rsidRPr="00F532B5">
        <w:rPr>
          <w:rFonts w:ascii="Book Antiqua" w:hAnsi="Book Antiqua"/>
          <w:color w:val="auto"/>
          <w:sz w:val="24"/>
          <w:szCs w:val="24"/>
        </w:rPr>
        <w:t>J</w:t>
      </w:r>
      <w:r w:rsidRPr="00F532B5">
        <w:rPr>
          <w:rFonts w:ascii="Book Antiqua" w:hAnsi="Book Antiqua"/>
          <w:color w:val="auto"/>
          <w:sz w:val="24"/>
          <w:szCs w:val="24"/>
        </w:rPr>
        <w:t xml:space="preserve"> and Lin S</w:t>
      </w:r>
      <w:r w:rsidR="00375303" w:rsidRPr="00F532B5">
        <w:rPr>
          <w:rFonts w:ascii="Book Antiqua" w:hAnsi="Book Antiqua"/>
          <w:color w:val="auto"/>
          <w:sz w:val="24"/>
          <w:szCs w:val="24"/>
        </w:rPr>
        <w:t>C</w:t>
      </w:r>
      <w:r w:rsidRPr="00F532B5">
        <w:rPr>
          <w:rFonts w:ascii="Book Antiqua" w:hAnsi="Book Antiqua"/>
          <w:color w:val="auto"/>
          <w:sz w:val="24"/>
          <w:szCs w:val="24"/>
        </w:rPr>
        <w:t xml:space="preserve"> contributed equally in performing the literature search, review, and drafting of the manuscript</w:t>
      </w:r>
      <w:r w:rsidR="00F532B5">
        <w:rPr>
          <w:rFonts w:ascii="Book Antiqua" w:hAnsi="Book Antiqua" w:hint="eastAsia"/>
          <w:color w:val="auto"/>
          <w:sz w:val="24"/>
          <w:szCs w:val="24"/>
          <w:lang w:eastAsia="zh-CN"/>
        </w:rPr>
        <w:t xml:space="preserve">, and they should be as </w:t>
      </w:r>
      <w:r w:rsidR="00F532B5" w:rsidRPr="00F532B5">
        <w:rPr>
          <w:rFonts w:ascii="Book Antiqua" w:hAnsi="Book Antiqua"/>
          <w:color w:val="auto"/>
          <w:sz w:val="24"/>
          <w:szCs w:val="24"/>
        </w:rPr>
        <w:t>co-first authors</w:t>
      </w:r>
      <w:r w:rsidR="00883DC5">
        <w:rPr>
          <w:rFonts w:ascii="Book Antiqua" w:hAnsi="Book Antiqua" w:hint="eastAsia"/>
          <w:color w:val="auto"/>
          <w:sz w:val="24"/>
          <w:szCs w:val="24"/>
          <w:lang w:eastAsia="zh-CN"/>
        </w:rPr>
        <w:t xml:space="preserve">; </w:t>
      </w:r>
      <w:r w:rsidRPr="00F532B5">
        <w:rPr>
          <w:rFonts w:ascii="Book Antiqua" w:hAnsi="Book Antiqua"/>
          <w:color w:val="auto"/>
          <w:sz w:val="24"/>
          <w:szCs w:val="24"/>
        </w:rPr>
        <w:t>Danford C</w:t>
      </w:r>
      <w:r w:rsidR="00375303" w:rsidRPr="00F532B5">
        <w:rPr>
          <w:rFonts w:ascii="Book Antiqua" w:hAnsi="Book Antiqua"/>
          <w:color w:val="auto"/>
          <w:sz w:val="24"/>
          <w:szCs w:val="24"/>
        </w:rPr>
        <w:t>J</w:t>
      </w:r>
      <w:r w:rsidRPr="00F532B5">
        <w:rPr>
          <w:rFonts w:ascii="Book Antiqua" w:hAnsi="Book Antiqua"/>
          <w:color w:val="auto"/>
          <w:sz w:val="24"/>
          <w:szCs w:val="24"/>
        </w:rPr>
        <w:t>, Lin S</w:t>
      </w:r>
      <w:r w:rsidR="00375303" w:rsidRPr="00F532B5">
        <w:rPr>
          <w:rFonts w:ascii="Book Antiqua" w:hAnsi="Book Antiqua"/>
          <w:color w:val="auto"/>
          <w:sz w:val="24"/>
          <w:szCs w:val="24"/>
        </w:rPr>
        <w:t>C</w:t>
      </w:r>
      <w:r w:rsidRPr="00F532B5">
        <w:rPr>
          <w:rFonts w:ascii="Book Antiqua" w:hAnsi="Book Antiqua"/>
          <w:color w:val="auto"/>
          <w:sz w:val="24"/>
          <w:szCs w:val="24"/>
        </w:rPr>
        <w:t>, Smith M</w:t>
      </w:r>
      <w:r w:rsidR="00375303" w:rsidRPr="00F532B5">
        <w:rPr>
          <w:rFonts w:ascii="Book Antiqua" w:hAnsi="Book Antiqua"/>
          <w:color w:val="auto"/>
          <w:sz w:val="24"/>
          <w:szCs w:val="24"/>
        </w:rPr>
        <w:t>P</w:t>
      </w:r>
      <w:r w:rsidR="009E614E">
        <w:rPr>
          <w:rFonts w:ascii="Book Antiqua" w:hAnsi="Book Antiqua" w:hint="eastAsia"/>
          <w:color w:val="auto"/>
          <w:sz w:val="24"/>
          <w:szCs w:val="24"/>
          <w:lang w:eastAsia="zh-CN"/>
        </w:rPr>
        <w:t xml:space="preserve"> </w:t>
      </w:r>
      <w:r w:rsidRPr="00F532B5">
        <w:rPr>
          <w:rFonts w:ascii="Book Antiqua" w:hAnsi="Book Antiqua"/>
          <w:color w:val="auto"/>
          <w:sz w:val="24"/>
          <w:szCs w:val="24"/>
        </w:rPr>
        <w:t>and Wolf J</w:t>
      </w:r>
      <w:r w:rsidR="00375303" w:rsidRPr="00F532B5">
        <w:rPr>
          <w:rFonts w:ascii="Book Antiqua" w:hAnsi="Book Antiqua"/>
          <w:color w:val="auto"/>
          <w:sz w:val="24"/>
          <w:szCs w:val="24"/>
        </w:rPr>
        <w:t>L</w:t>
      </w:r>
      <w:r w:rsidRPr="00F532B5">
        <w:rPr>
          <w:rFonts w:ascii="Book Antiqua" w:hAnsi="Book Antiqua"/>
          <w:color w:val="auto"/>
          <w:sz w:val="24"/>
          <w:szCs w:val="24"/>
        </w:rPr>
        <w:t xml:space="preserve"> </w:t>
      </w:r>
      <w:r w:rsidR="006E51A5" w:rsidRPr="00F532B5">
        <w:rPr>
          <w:rFonts w:ascii="Book Antiqua" w:hAnsi="Book Antiqua"/>
          <w:color w:val="auto"/>
          <w:sz w:val="24"/>
          <w:szCs w:val="24"/>
        </w:rPr>
        <w:t>participated in the critical review, revision of the manuscript, and approve of the final draft of the manuscript.</w:t>
      </w:r>
    </w:p>
    <w:p w14:paraId="470569D3" w14:textId="77777777" w:rsidR="006E51A5" w:rsidRPr="009E614E" w:rsidRDefault="006E51A5" w:rsidP="00D92508">
      <w:pPr>
        <w:snapToGrid w:val="0"/>
        <w:spacing w:line="360" w:lineRule="auto"/>
        <w:jc w:val="both"/>
        <w:rPr>
          <w:rFonts w:ascii="Book Antiqua" w:hAnsi="Book Antiqua"/>
          <w:b/>
          <w:color w:val="auto"/>
          <w:sz w:val="24"/>
          <w:szCs w:val="24"/>
          <w:lang w:eastAsia="zh-CN"/>
        </w:rPr>
      </w:pPr>
    </w:p>
    <w:p w14:paraId="14422CE5" w14:textId="42185717" w:rsidR="009411AF" w:rsidRPr="00F532B5" w:rsidRDefault="007B5C17" w:rsidP="00D92508">
      <w:pPr>
        <w:snapToGrid w:val="0"/>
        <w:spacing w:line="360" w:lineRule="auto"/>
        <w:jc w:val="both"/>
        <w:rPr>
          <w:rFonts w:ascii="Book Antiqua" w:hAnsi="Book Antiqua"/>
          <w:color w:val="auto"/>
          <w:sz w:val="24"/>
          <w:szCs w:val="24"/>
        </w:rPr>
      </w:pPr>
      <w:r w:rsidRPr="00F532B5">
        <w:rPr>
          <w:rFonts w:ascii="Book Antiqua" w:hAnsi="Book Antiqua"/>
          <w:b/>
          <w:color w:val="auto"/>
          <w:sz w:val="24"/>
          <w:szCs w:val="24"/>
        </w:rPr>
        <w:t>Conflict-of-interest statement</w:t>
      </w:r>
      <w:r w:rsidR="006E51A5" w:rsidRPr="00F532B5">
        <w:rPr>
          <w:rFonts w:ascii="Book Antiqua" w:hAnsi="Book Antiqua"/>
          <w:b/>
          <w:color w:val="auto"/>
          <w:sz w:val="24"/>
          <w:szCs w:val="24"/>
        </w:rPr>
        <w:t xml:space="preserve">: </w:t>
      </w:r>
      <w:r w:rsidR="006E51A5" w:rsidRPr="00F532B5">
        <w:rPr>
          <w:rFonts w:ascii="Book Antiqua" w:hAnsi="Book Antiqua"/>
          <w:color w:val="auto"/>
          <w:sz w:val="24"/>
          <w:szCs w:val="24"/>
        </w:rPr>
        <w:t>There are no financial disclosures or conflicts of interest in the production of this manuscript.</w:t>
      </w:r>
      <w:r w:rsidR="009411AF" w:rsidRPr="00F532B5">
        <w:rPr>
          <w:rFonts w:ascii="Book Antiqua" w:hAnsi="Book Antiqua"/>
          <w:color w:val="auto"/>
          <w:sz w:val="24"/>
          <w:szCs w:val="24"/>
        </w:rPr>
        <w:t xml:space="preserve"> </w:t>
      </w:r>
    </w:p>
    <w:p w14:paraId="07E044FD" w14:textId="77777777" w:rsidR="00F50E60" w:rsidRPr="00D92508" w:rsidRDefault="00F50E60" w:rsidP="00D92508">
      <w:pPr>
        <w:snapToGrid w:val="0"/>
        <w:spacing w:line="360" w:lineRule="auto"/>
        <w:jc w:val="both"/>
        <w:rPr>
          <w:rFonts w:ascii="Book Antiqua" w:hAnsi="Book Antiqua"/>
          <w:color w:val="auto"/>
          <w:sz w:val="24"/>
          <w:szCs w:val="24"/>
        </w:rPr>
      </w:pPr>
    </w:p>
    <w:p w14:paraId="66F5237A" w14:textId="77777777" w:rsidR="009E614E" w:rsidRPr="004F57C6" w:rsidRDefault="009E614E" w:rsidP="009E614E">
      <w:pPr>
        <w:pStyle w:val="1"/>
        <w:snapToGrid w:val="0"/>
        <w:spacing w:line="360" w:lineRule="auto"/>
        <w:jc w:val="both"/>
        <w:rPr>
          <w:rFonts w:ascii="Book Antiqua" w:hAnsi="Book Antiqua" w:cs="Times New Roman"/>
          <w:bCs/>
          <w:color w:val="auto"/>
          <w:sz w:val="24"/>
          <w:szCs w:val="24"/>
          <w:highlight w:val="white"/>
          <w:lang w:val="en-US"/>
        </w:rPr>
      </w:pPr>
      <w:bookmarkStart w:id="6" w:name="OLE_LINK734"/>
      <w:bookmarkStart w:id="7" w:name="OLE_LINK441"/>
      <w:bookmarkStart w:id="8" w:name="OLE_LINK442"/>
      <w:bookmarkStart w:id="9" w:name="OLE_LINK1032"/>
      <w:bookmarkStart w:id="10" w:name="OLE_LINK1232"/>
      <w:bookmarkStart w:id="11" w:name="OLE_LINK559"/>
      <w:r w:rsidRPr="004F57C6">
        <w:rPr>
          <w:rFonts w:ascii="Book Antiqua" w:hAnsi="Book Antiqua" w:cs="Times New Roman"/>
          <w:b/>
          <w:bCs/>
          <w:color w:val="auto"/>
          <w:sz w:val="24"/>
          <w:szCs w:val="24"/>
          <w:highlight w:val="white"/>
          <w:lang w:val="en-US"/>
        </w:rPr>
        <w:lastRenderedPageBreak/>
        <w:t>Open-Access:</w:t>
      </w:r>
      <w:r w:rsidRPr="004F57C6">
        <w:rPr>
          <w:rFonts w:ascii="Book Antiqua" w:hAnsi="Book Antiqua" w:cs="Times New Roman"/>
          <w:bCs/>
          <w:color w:val="auto"/>
          <w:sz w:val="24"/>
          <w:szCs w:val="24"/>
          <w:highlight w:val="white"/>
          <w:lang w:val="en-US"/>
        </w:rPr>
        <w:t xml:space="preserve"> </w:t>
      </w:r>
      <w:bookmarkStart w:id="12" w:name="OLE_LINK479"/>
      <w:bookmarkStart w:id="13" w:name="OLE_LINK496"/>
      <w:bookmarkStart w:id="14" w:name="OLE_LINK506"/>
      <w:bookmarkStart w:id="15" w:name="OLE_LINK507"/>
      <w:r w:rsidRPr="004F57C6">
        <w:rPr>
          <w:rFonts w:ascii="Book Antiqua" w:hAnsi="Book Antiqua" w:cs="Times New Roman"/>
          <w:bCs/>
          <w:color w:val="auto"/>
          <w:sz w:val="24"/>
          <w:szCs w:val="24"/>
          <w:highlight w:val="white"/>
          <w:lang w:val="en-US"/>
        </w:rPr>
        <w:t>This article is an open-access article which was selected by an in-house editor and fully peer-reviewed by external reviewers. It is distributed</w:t>
      </w:r>
      <w:r w:rsidRPr="004F57C6">
        <w:rPr>
          <w:rFonts w:ascii="Book Antiqua" w:hAnsi="Book Antiqua" w:cs="Times New Roman" w:hint="eastAsia"/>
          <w:bCs/>
          <w:color w:val="auto"/>
          <w:sz w:val="24"/>
          <w:szCs w:val="24"/>
          <w:highlight w:val="white"/>
          <w:lang w:val="en-US" w:eastAsia="zh-CN"/>
        </w:rPr>
        <w:t xml:space="preserve"> </w:t>
      </w:r>
      <w:r w:rsidRPr="004F57C6">
        <w:rPr>
          <w:rFonts w:ascii="Book Antiqua" w:hAnsi="Book Antiqua" w:cs="Times New Roman"/>
          <w:bCs/>
          <w:color w:val="auto"/>
          <w:sz w:val="24"/>
          <w:szCs w:val="24"/>
          <w:highlight w:val="white"/>
          <w:lang w:val="en-US"/>
        </w:rPr>
        <w:t>in</w:t>
      </w:r>
      <w:r w:rsidRPr="004F57C6">
        <w:rPr>
          <w:rFonts w:ascii="Book Antiqua" w:hAnsi="Book Antiqua" w:cs="Times New Roman" w:hint="eastAsia"/>
          <w:bCs/>
          <w:color w:val="auto"/>
          <w:sz w:val="24"/>
          <w:szCs w:val="24"/>
          <w:highlight w:val="white"/>
          <w:lang w:val="en-US" w:eastAsia="zh-CN"/>
        </w:rPr>
        <w:t xml:space="preserve"> </w:t>
      </w:r>
      <w:r w:rsidRPr="004F57C6">
        <w:rPr>
          <w:rFonts w:ascii="Book Antiqua" w:hAnsi="Book Antiqua" w:cs="Times New Roman"/>
          <w:bCs/>
          <w:color w:val="auto"/>
          <w:sz w:val="24"/>
          <w:szCs w:val="24"/>
          <w:highlight w:val="white"/>
          <w:lang w:val="en-US"/>
        </w:rPr>
        <w:t xml:space="preserve">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7" w:history="1">
        <w:r w:rsidRPr="004F57C6">
          <w:rPr>
            <w:rStyle w:val="Hyperlink"/>
            <w:rFonts w:ascii="Book Antiqua" w:hAnsi="Book Antiqua" w:cs="Times New Roman"/>
            <w:bCs/>
            <w:color w:val="auto"/>
            <w:sz w:val="24"/>
            <w:szCs w:val="24"/>
            <w:highlight w:val="white"/>
            <w:lang w:val="en-US"/>
          </w:rPr>
          <w:t>http://creativecommons.org/licenses/by-nc/4.0/</w:t>
        </w:r>
      </w:hyperlink>
      <w:bookmarkEnd w:id="6"/>
      <w:bookmarkEnd w:id="12"/>
      <w:bookmarkEnd w:id="13"/>
      <w:bookmarkEnd w:id="14"/>
      <w:bookmarkEnd w:id="15"/>
    </w:p>
    <w:bookmarkEnd w:id="7"/>
    <w:bookmarkEnd w:id="8"/>
    <w:bookmarkEnd w:id="9"/>
    <w:bookmarkEnd w:id="10"/>
    <w:bookmarkEnd w:id="11"/>
    <w:p w14:paraId="655EDC74" w14:textId="77777777" w:rsidR="009E614E" w:rsidRPr="004F57C6" w:rsidRDefault="009E614E" w:rsidP="009E614E">
      <w:pPr>
        <w:pStyle w:val="1"/>
        <w:snapToGrid w:val="0"/>
        <w:spacing w:line="360" w:lineRule="auto"/>
        <w:jc w:val="both"/>
        <w:rPr>
          <w:rFonts w:ascii="Book Antiqua" w:hAnsi="Book Antiqua" w:cs="Times New Roman"/>
          <w:b/>
          <w:bCs/>
          <w:color w:val="FF0000"/>
          <w:sz w:val="24"/>
          <w:szCs w:val="24"/>
          <w:highlight w:val="white"/>
          <w:lang w:val="en-US" w:eastAsia="zh-CN"/>
        </w:rPr>
      </w:pPr>
    </w:p>
    <w:p w14:paraId="033C45E1" w14:textId="77777777" w:rsidR="009E614E" w:rsidRPr="004F57C6" w:rsidRDefault="009E614E" w:rsidP="009E614E">
      <w:pPr>
        <w:pStyle w:val="1"/>
        <w:snapToGrid w:val="0"/>
        <w:spacing w:line="360" w:lineRule="auto"/>
        <w:jc w:val="both"/>
        <w:rPr>
          <w:rFonts w:ascii="Book Antiqua" w:hAnsi="Book Antiqua" w:cs="Times New Roman"/>
          <w:b/>
          <w:bCs/>
          <w:color w:val="auto"/>
          <w:sz w:val="24"/>
          <w:szCs w:val="24"/>
          <w:highlight w:val="white"/>
          <w:lang w:val="en-US" w:eastAsia="zh-CN"/>
        </w:rPr>
      </w:pPr>
      <w:r w:rsidRPr="004F57C6">
        <w:rPr>
          <w:rFonts w:ascii="Book Antiqua" w:hAnsi="Book Antiqua" w:cs="Times New Roman"/>
          <w:b/>
          <w:bCs/>
          <w:color w:val="auto"/>
          <w:sz w:val="24"/>
          <w:szCs w:val="24"/>
          <w:highlight w:val="white"/>
          <w:lang w:val="en-US"/>
        </w:rPr>
        <w:t>Manuscript source:</w:t>
      </w:r>
      <w:r w:rsidRPr="004F57C6">
        <w:rPr>
          <w:rFonts w:ascii="Book Antiqua" w:hAnsi="Book Antiqua" w:cs="Times New Roman" w:hint="eastAsia"/>
          <w:b/>
          <w:bCs/>
          <w:color w:val="auto"/>
          <w:sz w:val="24"/>
          <w:szCs w:val="24"/>
          <w:highlight w:val="white"/>
          <w:lang w:val="en-US" w:eastAsia="zh-CN"/>
        </w:rPr>
        <w:t xml:space="preserve"> </w:t>
      </w:r>
      <w:r w:rsidRPr="004F57C6">
        <w:rPr>
          <w:rFonts w:ascii="Book Antiqua" w:hAnsi="Book Antiqua" w:cs="Times New Roman"/>
          <w:bCs/>
          <w:color w:val="auto"/>
          <w:sz w:val="24"/>
          <w:szCs w:val="24"/>
          <w:highlight w:val="white"/>
          <w:lang w:val="en-US"/>
        </w:rPr>
        <w:t>Invited manuscript</w:t>
      </w:r>
    </w:p>
    <w:p w14:paraId="15863B30" w14:textId="77777777" w:rsidR="00CB7A70" w:rsidRPr="00F532B5" w:rsidRDefault="00CB7A70" w:rsidP="00D92508">
      <w:pPr>
        <w:snapToGrid w:val="0"/>
        <w:spacing w:line="360" w:lineRule="auto"/>
        <w:jc w:val="both"/>
        <w:rPr>
          <w:rFonts w:ascii="Book Antiqua" w:hAnsi="Book Antiqua"/>
          <w:color w:val="auto"/>
          <w:sz w:val="24"/>
          <w:szCs w:val="24"/>
        </w:rPr>
      </w:pPr>
    </w:p>
    <w:p w14:paraId="1D22A281" w14:textId="0AC075F9" w:rsidR="00686AAF" w:rsidRPr="00F532B5" w:rsidRDefault="007B5C17" w:rsidP="00D92508">
      <w:pPr>
        <w:snapToGrid w:val="0"/>
        <w:spacing w:line="360" w:lineRule="auto"/>
        <w:jc w:val="both"/>
        <w:rPr>
          <w:rFonts w:ascii="Book Antiqua" w:hAnsi="Book Antiqua"/>
          <w:color w:val="auto"/>
          <w:sz w:val="24"/>
          <w:szCs w:val="24"/>
        </w:rPr>
      </w:pPr>
      <w:r w:rsidRPr="00F532B5">
        <w:rPr>
          <w:rFonts w:ascii="Book Antiqua" w:hAnsi="Book Antiqua"/>
          <w:b/>
          <w:color w:val="auto"/>
          <w:sz w:val="24"/>
          <w:szCs w:val="24"/>
        </w:rPr>
        <w:t>Correspondence</w:t>
      </w:r>
      <w:r w:rsidR="006E51A5" w:rsidRPr="00F532B5">
        <w:rPr>
          <w:rFonts w:ascii="Book Antiqua" w:hAnsi="Book Antiqua"/>
          <w:b/>
          <w:color w:val="auto"/>
          <w:sz w:val="24"/>
          <w:szCs w:val="24"/>
        </w:rPr>
        <w:t xml:space="preserve"> to</w:t>
      </w:r>
      <w:r w:rsidR="00686AAF" w:rsidRPr="00F532B5">
        <w:rPr>
          <w:rFonts w:ascii="Book Antiqua" w:hAnsi="Book Antiqua"/>
          <w:b/>
          <w:color w:val="auto"/>
          <w:sz w:val="24"/>
          <w:szCs w:val="24"/>
        </w:rPr>
        <w:t>:</w:t>
      </w:r>
      <w:r w:rsidR="006E51A5" w:rsidRPr="00F532B5">
        <w:rPr>
          <w:rFonts w:ascii="Book Antiqua" w:hAnsi="Book Antiqua"/>
          <w:b/>
          <w:color w:val="auto"/>
          <w:sz w:val="24"/>
          <w:szCs w:val="24"/>
        </w:rPr>
        <w:t xml:space="preserve"> Jacqueline L</w:t>
      </w:r>
      <w:r w:rsidR="00686AAF" w:rsidRPr="00F532B5">
        <w:rPr>
          <w:rFonts w:ascii="Book Antiqua" w:hAnsi="Book Antiqua"/>
          <w:b/>
          <w:color w:val="auto"/>
          <w:sz w:val="24"/>
          <w:szCs w:val="24"/>
        </w:rPr>
        <w:t xml:space="preserve"> Wolf, MD</w:t>
      </w:r>
      <w:r w:rsidR="006E51A5" w:rsidRPr="00D92508">
        <w:rPr>
          <w:rFonts w:ascii="Book Antiqua" w:hAnsi="Book Antiqua"/>
          <w:b/>
          <w:color w:val="auto"/>
          <w:sz w:val="24"/>
          <w:szCs w:val="24"/>
        </w:rPr>
        <w:t>,</w:t>
      </w:r>
      <w:r w:rsidR="006E51A5" w:rsidRPr="00F532B5">
        <w:rPr>
          <w:rFonts w:ascii="Book Antiqua" w:hAnsi="Book Antiqua"/>
          <w:color w:val="auto"/>
          <w:sz w:val="24"/>
          <w:szCs w:val="24"/>
        </w:rPr>
        <w:t xml:space="preserve"> </w:t>
      </w:r>
      <w:r w:rsidR="00D92508" w:rsidRPr="00D92508">
        <w:rPr>
          <w:rFonts w:ascii="Book Antiqua" w:hAnsi="Book Antiqua"/>
          <w:b/>
          <w:color w:val="auto"/>
          <w:sz w:val="24"/>
          <w:szCs w:val="24"/>
        </w:rPr>
        <w:t>Associate Professor</w:t>
      </w:r>
      <w:r w:rsidR="00D92508" w:rsidRPr="00D92508">
        <w:rPr>
          <w:rFonts w:ascii="Book Antiqua" w:hAnsi="Book Antiqua" w:hint="eastAsia"/>
          <w:b/>
          <w:color w:val="auto"/>
          <w:sz w:val="24"/>
          <w:szCs w:val="24"/>
          <w:lang w:eastAsia="zh-CN"/>
        </w:rPr>
        <w:t>,</w:t>
      </w:r>
      <w:r w:rsidR="00D92508" w:rsidRPr="00D92508">
        <w:rPr>
          <w:rFonts w:ascii="Book Antiqua" w:hAnsi="Book Antiqua"/>
          <w:color w:val="auto"/>
          <w:sz w:val="24"/>
          <w:szCs w:val="24"/>
        </w:rPr>
        <w:t xml:space="preserve"> </w:t>
      </w:r>
      <w:r w:rsidR="00686AAF" w:rsidRPr="00F532B5">
        <w:rPr>
          <w:rFonts w:ascii="Book Antiqua" w:hAnsi="Book Antiqua"/>
          <w:color w:val="auto"/>
          <w:sz w:val="24"/>
          <w:szCs w:val="24"/>
        </w:rPr>
        <w:t>Division of Gastroenterology and Hepatology</w:t>
      </w:r>
      <w:r w:rsidR="006E51A5" w:rsidRPr="00F532B5">
        <w:rPr>
          <w:rFonts w:ascii="Book Antiqua" w:hAnsi="Book Antiqua"/>
          <w:color w:val="auto"/>
          <w:sz w:val="24"/>
          <w:szCs w:val="24"/>
        </w:rPr>
        <w:t xml:space="preserve">, </w:t>
      </w:r>
      <w:r w:rsidR="00686AAF" w:rsidRPr="00F532B5">
        <w:rPr>
          <w:rFonts w:ascii="Book Antiqua" w:hAnsi="Book Antiqua"/>
          <w:color w:val="auto"/>
          <w:sz w:val="24"/>
          <w:szCs w:val="24"/>
        </w:rPr>
        <w:t>Beth Israel Deaconess Medical Center</w:t>
      </w:r>
      <w:r w:rsidR="006E51A5" w:rsidRPr="00F532B5">
        <w:rPr>
          <w:rFonts w:ascii="Book Antiqua" w:hAnsi="Book Antiqua"/>
          <w:color w:val="auto"/>
          <w:sz w:val="24"/>
          <w:szCs w:val="24"/>
        </w:rPr>
        <w:t xml:space="preserve">, </w:t>
      </w:r>
      <w:r w:rsidR="00686AAF" w:rsidRPr="00F532B5">
        <w:rPr>
          <w:rFonts w:ascii="Book Antiqua" w:hAnsi="Book Antiqua"/>
          <w:color w:val="auto"/>
          <w:sz w:val="24"/>
          <w:szCs w:val="24"/>
        </w:rPr>
        <w:t>330 Brookline Ave, Rabb 433</w:t>
      </w:r>
      <w:r w:rsidR="006E51A5" w:rsidRPr="00F532B5">
        <w:rPr>
          <w:rFonts w:ascii="Book Antiqua" w:hAnsi="Book Antiqua"/>
          <w:color w:val="auto"/>
          <w:sz w:val="24"/>
          <w:szCs w:val="24"/>
        </w:rPr>
        <w:t xml:space="preserve">, Boston, </w:t>
      </w:r>
      <w:r w:rsidR="001D1843" w:rsidRPr="00F532B5">
        <w:rPr>
          <w:rFonts w:ascii="Book Antiqua" w:hAnsi="Book Antiqua"/>
          <w:color w:val="auto"/>
          <w:sz w:val="24"/>
          <w:szCs w:val="24"/>
        </w:rPr>
        <w:t>MA</w:t>
      </w:r>
      <w:r w:rsidR="001D1843">
        <w:rPr>
          <w:rFonts w:ascii="Book Antiqua" w:hAnsi="Book Antiqua" w:hint="eastAsia"/>
          <w:color w:val="auto"/>
          <w:sz w:val="24"/>
          <w:szCs w:val="24"/>
          <w:lang w:eastAsia="zh-CN"/>
        </w:rPr>
        <w:t xml:space="preserve"> </w:t>
      </w:r>
      <w:r w:rsidR="001D1843" w:rsidRPr="00F532B5">
        <w:rPr>
          <w:rFonts w:ascii="Book Antiqua" w:hAnsi="Book Antiqua"/>
          <w:color w:val="auto"/>
          <w:sz w:val="24"/>
          <w:szCs w:val="24"/>
        </w:rPr>
        <w:t>02115, U</w:t>
      </w:r>
      <w:r w:rsidR="001D1843">
        <w:rPr>
          <w:rFonts w:ascii="Book Antiqua" w:hAnsi="Book Antiqua" w:hint="eastAsia"/>
          <w:color w:val="auto"/>
          <w:sz w:val="24"/>
          <w:szCs w:val="24"/>
          <w:lang w:eastAsia="zh-CN"/>
        </w:rPr>
        <w:t>nited States</w:t>
      </w:r>
      <w:r w:rsidR="006E51A5" w:rsidRPr="00F532B5">
        <w:rPr>
          <w:rFonts w:ascii="Book Antiqua" w:hAnsi="Book Antiqua"/>
          <w:color w:val="auto"/>
          <w:sz w:val="24"/>
          <w:szCs w:val="24"/>
        </w:rPr>
        <w:t>. jwolf</w:t>
      </w:r>
      <w:r w:rsidRPr="00F532B5">
        <w:rPr>
          <w:rFonts w:ascii="Book Antiqua" w:hAnsi="Book Antiqua"/>
          <w:color w:val="auto"/>
          <w:sz w:val="24"/>
          <w:szCs w:val="24"/>
        </w:rPr>
        <w:t>1</w:t>
      </w:r>
      <w:r w:rsidR="006E51A5" w:rsidRPr="00F532B5">
        <w:rPr>
          <w:rFonts w:ascii="Book Antiqua" w:hAnsi="Book Antiqua"/>
          <w:color w:val="auto"/>
          <w:sz w:val="24"/>
          <w:szCs w:val="24"/>
        </w:rPr>
        <w:t>@bidmc.harvard.edu</w:t>
      </w:r>
    </w:p>
    <w:p w14:paraId="54C0FD50" w14:textId="5097744F" w:rsidR="00686AAF" w:rsidRPr="00F532B5" w:rsidRDefault="007B5C17" w:rsidP="00D92508">
      <w:pPr>
        <w:snapToGrid w:val="0"/>
        <w:spacing w:line="360" w:lineRule="auto"/>
        <w:jc w:val="both"/>
        <w:rPr>
          <w:rFonts w:ascii="Book Antiqua" w:hAnsi="Book Antiqua"/>
          <w:color w:val="auto"/>
          <w:sz w:val="24"/>
          <w:szCs w:val="24"/>
        </w:rPr>
      </w:pPr>
      <w:r w:rsidRPr="002855AF">
        <w:rPr>
          <w:rFonts w:ascii="Book Antiqua" w:hAnsi="Book Antiqua"/>
          <w:b/>
          <w:color w:val="auto"/>
          <w:sz w:val="24"/>
          <w:szCs w:val="24"/>
        </w:rPr>
        <w:t>Telep</w:t>
      </w:r>
      <w:r w:rsidR="00686AAF" w:rsidRPr="002855AF">
        <w:rPr>
          <w:rFonts w:ascii="Book Antiqua" w:hAnsi="Book Antiqua"/>
          <w:b/>
          <w:color w:val="auto"/>
          <w:sz w:val="24"/>
          <w:szCs w:val="24"/>
        </w:rPr>
        <w:t xml:space="preserve">hone: </w:t>
      </w:r>
      <w:r w:rsidR="006E51A5" w:rsidRPr="00F532B5">
        <w:rPr>
          <w:rFonts w:ascii="Book Antiqua" w:hAnsi="Book Antiqua"/>
          <w:color w:val="auto"/>
          <w:sz w:val="24"/>
          <w:szCs w:val="24"/>
        </w:rPr>
        <w:t>+1-</w:t>
      </w:r>
      <w:r w:rsidR="00686AAF" w:rsidRPr="00F532B5">
        <w:rPr>
          <w:rFonts w:ascii="Book Antiqua" w:hAnsi="Book Antiqua"/>
          <w:color w:val="auto"/>
          <w:sz w:val="24"/>
          <w:szCs w:val="24"/>
        </w:rPr>
        <w:t>617</w:t>
      </w:r>
      <w:r w:rsidR="002855AF">
        <w:rPr>
          <w:rFonts w:ascii="Book Antiqua" w:hAnsi="Book Antiqua"/>
          <w:color w:val="auto"/>
          <w:sz w:val="24"/>
          <w:szCs w:val="24"/>
        </w:rPr>
        <w:t>-667</w:t>
      </w:r>
      <w:r w:rsidR="0013157D" w:rsidRPr="00F532B5">
        <w:rPr>
          <w:rFonts w:ascii="Book Antiqua" w:hAnsi="Book Antiqua"/>
          <w:color w:val="auto"/>
          <w:sz w:val="24"/>
          <w:szCs w:val="24"/>
        </w:rPr>
        <w:t>1676</w:t>
      </w:r>
    </w:p>
    <w:p w14:paraId="0AC2C6B9" w14:textId="42BBAD4D" w:rsidR="0013157D" w:rsidRDefault="0013157D" w:rsidP="00D92508">
      <w:pPr>
        <w:snapToGrid w:val="0"/>
        <w:spacing w:line="360" w:lineRule="auto"/>
        <w:jc w:val="both"/>
        <w:rPr>
          <w:rFonts w:ascii="Book Antiqua" w:hAnsi="Book Antiqua"/>
          <w:color w:val="auto"/>
          <w:sz w:val="24"/>
          <w:szCs w:val="24"/>
          <w:lang w:eastAsia="zh-CN"/>
        </w:rPr>
      </w:pPr>
      <w:r w:rsidRPr="002855AF">
        <w:rPr>
          <w:rFonts w:ascii="Book Antiqua" w:hAnsi="Book Antiqua"/>
          <w:b/>
          <w:color w:val="auto"/>
          <w:sz w:val="24"/>
          <w:szCs w:val="24"/>
        </w:rPr>
        <w:t xml:space="preserve">Fax: </w:t>
      </w:r>
      <w:r w:rsidR="006E51A5" w:rsidRPr="00F532B5">
        <w:rPr>
          <w:rFonts w:ascii="Book Antiqua" w:hAnsi="Book Antiqua"/>
          <w:color w:val="auto"/>
          <w:sz w:val="24"/>
          <w:szCs w:val="24"/>
        </w:rPr>
        <w:t>+1-</w:t>
      </w:r>
      <w:r w:rsidR="002855AF">
        <w:rPr>
          <w:rFonts w:ascii="Book Antiqua" w:hAnsi="Book Antiqua"/>
          <w:color w:val="auto"/>
          <w:sz w:val="24"/>
          <w:szCs w:val="24"/>
        </w:rPr>
        <w:t>617-667</w:t>
      </w:r>
      <w:r w:rsidRPr="00F532B5">
        <w:rPr>
          <w:rFonts w:ascii="Book Antiqua" w:hAnsi="Book Antiqua"/>
          <w:color w:val="auto"/>
          <w:sz w:val="24"/>
          <w:szCs w:val="24"/>
        </w:rPr>
        <w:t>5826</w:t>
      </w:r>
    </w:p>
    <w:p w14:paraId="0C409D5C" w14:textId="77777777" w:rsidR="005D279E" w:rsidRDefault="005D279E" w:rsidP="00D92508">
      <w:pPr>
        <w:snapToGrid w:val="0"/>
        <w:spacing w:line="360" w:lineRule="auto"/>
        <w:jc w:val="both"/>
        <w:rPr>
          <w:rFonts w:ascii="Book Antiqua" w:hAnsi="Book Antiqua"/>
          <w:color w:val="auto"/>
          <w:sz w:val="24"/>
          <w:szCs w:val="24"/>
          <w:lang w:eastAsia="zh-CN"/>
        </w:rPr>
      </w:pPr>
    </w:p>
    <w:p w14:paraId="125EE9CC" w14:textId="2963BF21" w:rsidR="005D279E" w:rsidRPr="005D279E" w:rsidRDefault="005D279E" w:rsidP="005D279E">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SimSun"/>
          <w:b/>
          <w:color w:val="auto"/>
          <w:sz w:val="24"/>
          <w:szCs w:val="24"/>
          <w:lang w:val="en-US" w:eastAsia="zh-CN"/>
        </w:rPr>
      </w:pPr>
      <w:r w:rsidRPr="005D279E">
        <w:rPr>
          <w:rFonts w:ascii="Book Antiqua" w:hAnsi="Book Antiqua" w:cs="SimSun"/>
          <w:b/>
          <w:color w:val="auto"/>
          <w:sz w:val="24"/>
          <w:szCs w:val="24"/>
          <w:lang w:val="en-US" w:eastAsia="zh-CN"/>
        </w:rPr>
        <w:t>Received:</w:t>
      </w:r>
      <w:r>
        <w:rPr>
          <w:rFonts w:ascii="Book Antiqua" w:hAnsi="Book Antiqua" w:cs="SimSun" w:hint="eastAsia"/>
          <w:b/>
          <w:color w:val="auto"/>
          <w:sz w:val="24"/>
          <w:szCs w:val="24"/>
          <w:lang w:val="en-US" w:eastAsia="zh-CN"/>
        </w:rPr>
        <w:t xml:space="preserve"> </w:t>
      </w:r>
      <w:r w:rsidR="001617AC" w:rsidRPr="001617AC">
        <w:rPr>
          <w:rFonts w:ascii="Book Antiqua" w:hAnsi="Book Antiqua" w:cs="SimSun" w:hint="eastAsia"/>
          <w:color w:val="auto"/>
          <w:sz w:val="24"/>
          <w:szCs w:val="24"/>
          <w:lang w:val="en-US" w:eastAsia="zh-CN"/>
        </w:rPr>
        <w:t>May 16, 2018</w:t>
      </w:r>
    </w:p>
    <w:p w14:paraId="5E3BEF61" w14:textId="37D7A429" w:rsidR="005D279E" w:rsidRPr="005D279E" w:rsidRDefault="005D279E" w:rsidP="005D279E">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SimSun"/>
          <w:b/>
          <w:color w:val="auto"/>
          <w:sz w:val="24"/>
          <w:szCs w:val="24"/>
          <w:lang w:val="en-US" w:eastAsia="zh-CN"/>
        </w:rPr>
      </w:pPr>
      <w:r w:rsidRPr="005D279E">
        <w:rPr>
          <w:rFonts w:ascii="Book Antiqua" w:hAnsi="Book Antiqua" w:cs="SimSun"/>
          <w:b/>
          <w:color w:val="auto"/>
          <w:sz w:val="24"/>
          <w:szCs w:val="24"/>
          <w:lang w:val="en-US" w:eastAsia="zh-CN"/>
        </w:rPr>
        <w:t>Peer-review started:</w:t>
      </w:r>
      <w:r w:rsidR="001617AC">
        <w:rPr>
          <w:rFonts w:ascii="Book Antiqua" w:hAnsi="Book Antiqua" w:cs="SimSun" w:hint="eastAsia"/>
          <w:b/>
          <w:color w:val="auto"/>
          <w:sz w:val="24"/>
          <w:szCs w:val="24"/>
          <w:lang w:val="en-US" w:eastAsia="zh-CN"/>
        </w:rPr>
        <w:t xml:space="preserve"> </w:t>
      </w:r>
      <w:r w:rsidR="001617AC" w:rsidRPr="001617AC">
        <w:rPr>
          <w:rFonts w:ascii="Book Antiqua" w:hAnsi="Book Antiqua" w:cs="SimSun" w:hint="eastAsia"/>
          <w:color w:val="auto"/>
          <w:sz w:val="24"/>
          <w:szCs w:val="24"/>
          <w:lang w:val="en-US" w:eastAsia="zh-CN"/>
        </w:rPr>
        <w:t>May 1</w:t>
      </w:r>
      <w:r w:rsidR="001617AC">
        <w:rPr>
          <w:rFonts w:ascii="Book Antiqua" w:hAnsi="Book Antiqua" w:cs="SimSun" w:hint="eastAsia"/>
          <w:color w:val="auto"/>
          <w:sz w:val="24"/>
          <w:szCs w:val="24"/>
          <w:lang w:val="en-US" w:eastAsia="zh-CN"/>
        </w:rPr>
        <w:t>7</w:t>
      </w:r>
      <w:r w:rsidR="001617AC" w:rsidRPr="001617AC">
        <w:rPr>
          <w:rFonts w:ascii="Book Antiqua" w:hAnsi="Book Antiqua" w:cs="SimSun" w:hint="eastAsia"/>
          <w:color w:val="auto"/>
          <w:sz w:val="24"/>
          <w:szCs w:val="24"/>
          <w:lang w:val="en-US" w:eastAsia="zh-CN"/>
        </w:rPr>
        <w:t>, 2018</w:t>
      </w:r>
    </w:p>
    <w:p w14:paraId="3C5B45E3" w14:textId="00FA1A80" w:rsidR="005D279E" w:rsidRPr="005D279E" w:rsidRDefault="005D279E" w:rsidP="005D279E">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SimSun"/>
          <w:b/>
          <w:color w:val="auto"/>
          <w:sz w:val="24"/>
          <w:szCs w:val="24"/>
          <w:lang w:val="en-US" w:eastAsia="zh-CN"/>
        </w:rPr>
      </w:pPr>
      <w:r w:rsidRPr="005D279E">
        <w:rPr>
          <w:rFonts w:ascii="Book Antiqua" w:hAnsi="Book Antiqua" w:cs="SimSun"/>
          <w:b/>
          <w:color w:val="auto"/>
          <w:sz w:val="24"/>
          <w:szCs w:val="24"/>
          <w:lang w:val="en-US" w:eastAsia="zh-CN"/>
        </w:rPr>
        <w:t>First decision:</w:t>
      </w:r>
      <w:r w:rsidR="001617AC">
        <w:rPr>
          <w:rFonts w:ascii="Book Antiqua" w:hAnsi="Book Antiqua" w:cs="SimSun" w:hint="eastAsia"/>
          <w:b/>
          <w:color w:val="auto"/>
          <w:sz w:val="24"/>
          <w:szCs w:val="24"/>
          <w:lang w:val="en-US" w:eastAsia="zh-CN"/>
        </w:rPr>
        <w:t xml:space="preserve"> </w:t>
      </w:r>
      <w:r w:rsidR="001617AC" w:rsidRPr="001617AC">
        <w:rPr>
          <w:rFonts w:ascii="Book Antiqua" w:hAnsi="Book Antiqua" w:cs="SimSun" w:hint="eastAsia"/>
          <w:color w:val="auto"/>
          <w:sz w:val="24"/>
          <w:szCs w:val="24"/>
          <w:lang w:val="en-US" w:eastAsia="zh-CN"/>
        </w:rPr>
        <w:t>May</w:t>
      </w:r>
      <w:r w:rsidR="001617AC">
        <w:rPr>
          <w:rFonts w:ascii="Book Antiqua" w:hAnsi="Book Antiqua" w:cs="SimSun" w:hint="eastAsia"/>
          <w:color w:val="auto"/>
          <w:sz w:val="24"/>
          <w:szCs w:val="24"/>
          <w:lang w:val="en-US" w:eastAsia="zh-CN"/>
        </w:rPr>
        <w:t xml:space="preserve"> 30</w:t>
      </w:r>
      <w:r w:rsidR="001617AC" w:rsidRPr="001617AC">
        <w:rPr>
          <w:rFonts w:ascii="Book Antiqua" w:hAnsi="Book Antiqua" w:cs="SimSun" w:hint="eastAsia"/>
          <w:color w:val="auto"/>
          <w:sz w:val="24"/>
          <w:szCs w:val="24"/>
          <w:lang w:val="en-US" w:eastAsia="zh-CN"/>
        </w:rPr>
        <w:t>, 2018</w:t>
      </w:r>
      <w:bookmarkStart w:id="16" w:name="_GoBack"/>
      <w:bookmarkEnd w:id="16"/>
    </w:p>
    <w:p w14:paraId="1494F3A7" w14:textId="3F2E14DC" w:rsidR="005D279E" w:rsidRPr="005D279E" w:rsidRDefault="005D279E" w:rsidP="005D279E">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SimSun"/>
          <w:b/>
          <w:color w:val="auto"/>
          <w:sz w:val="24"/>
          <w:szCs w:val="24"/>
          <w:lang w:val="en-US" w:eastAsia="zh-CN"/>
        </w:rPr>
      </w:pPr>
      <w:r w:rsidRPr="005D279E">
        <w:rPr>
          <w:rFonts w:ascii="Book Antiqua" w:hAnsi="Book Antiqua" w:cs="SimSun"/>
          <w:b/>
          <w:color w:val="auto"/>
          <w:sz w:val="24"/>
          <w:szCs w:val="24"/>
          <w:lang w:val="en-US" w:eastAsia="zh-CN"/>
        </w:rPr>
        <w:t>Revised:</w:t>
      </w:r>
      <w:r w:rsidR="001617AC">
        <w:rPr>
          <w:rFonts w:ascii="Book Antiqua" w:hAnsi="Book Antiqua" w:cs="SimSun" w:hint="eastAsia"/>
          <w:b/>
          <w:color w:val="auto"/>
          <w:sz w:val="24"/>
          <w:szCs w:val="24"/>
          <w:lang w:val="en-US" w:eastAsia="zh-CN"/>
        </w:rPr>
        <w:t xml:space="preserve"> </w:t>
      </w:r>
      <w:r w:rsidR="001617AC" w:rsidRPr="001617AC">
        <w:rPr>
          <w:rFonts w:ascii="Book Antiqua" w:hAnsi="Book Antiqua" w:cs="SimSun"/>
          <w:color w:val="auto"/>
          <w:sz w:val="24"/>
          <w:szCs w:val="24"/>
          <w:lang w:val="en-US" w:eastAsia="zh-CN"/>
        </w:rPr>
        <w:t xml:space="preserve">June </w:t>
      </w:r>
      <w:r w:rsidR="001617AC" w:rsidRPr="001617AC">
        <w:rPr>
          <w:rFonts w:ascii="Book Antiqua" w:hAnsi="Book Antiqua" w:cs="SimSun" w:hint="eastAsia"/>
          <w:color w:val="auto"/>
          <w:sz w:val="24"/>
          <w:szCs w:val="24"/>
          <w:lang w:val="en-US" w:eastAsia="zh-CN"/>
        </w:rPr>
        <w:t>7</w:t>
      </w:r>
      <w:r w:rsidR="001617AC" w:rsidRPr="001617AC">
        <w:rPr>
          <w:rFonts w:ascii="Book Antiqua" w:hAnsi="Book Antiqua" w:cs="SimSun"/>
          <w:color w:val="auto"/>
          <w:sz w:val="24"/>
          <w:szCs w:val="24"/>
          <w:lang w:val="en-US" w:eastAsia="zh-CN"/>
        </w:rPr>
        <w:t>, 2018</w:t>
      </w:r>
    </w:p>
    <w:p w14:paraId="31540D82" w14:textId="21318324" w:rsidR="005D279E" w:rsidRPr="005D279E" w:rsidRDefault="005D279E" w:rsidP="005D279E">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SimSun"/>
          <w:b/>
          <w:color w:val="auto"/>
          <w:sz w:val="24"/>
          <w:szCs w:val="24"/>
          <w:lang w:val="en-US" w:eastAsia="zh-CN"/>
        </w:rPr>
      </w:pPr>
      <w:r w:rsidRPr="005D279E">
        <w:rPr>
          <w:rFonts w:ascii="Book Antiqua" w:hAnsi="Book Antiqua" w:cs="SimSun"/>
          <w:b/>
          <w:color w:val="auto"/>
          <w:sz w:val="24"/>
          <w:szCs w:val="24"/>
          <w:lang w:val="en-US" w:eastAsia="zh-CN"/>
        </w:rPr>
        <w:t>Accepted:</w:t>
      </w:r>
      <w:r w:rsidR="00063D2A" w:rsidRPr="00063D2A">
        <w:t xml:space="preserve"> </w:t>
      </w:r>
      <w:r w:rsidR="00063D2A" w:rsidRPr="00063D2A">
        <w:rPr>
          <w:rFonts w:ascii="Book Antiqua" w:hAnsi="Book Antiqua" w:cs="SimSun"/>
          <w:color w:val="auto"/>
          <w:sz w:val="24"/>
          <w:szCs w:val="24"/>
          <w:lang w:val="en-US" w:eastAsia="zh-CN"/>
        </w:rPr>
        <w:t>June 25, 2018</w:t>
      </w:r>
    </w:p>
    <w:p w14:paraId="009704C7" w14:textId="77777777" w:rsidR="005D279E" w:rsidRPr="005D279E" w:rsidRDefault="005D279E" w:rsidP="005D279E">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SimSun"/>
          <w:b/>
          <w:color w:val="auto"/>
          <w:sz w:val="24"/>
          <w:szCs w:val="24"/>
          <w:lang w:val="en-US" w:eastAsia="zh-CN"/>
        </w:rPr>
      </w:pPr>
      <w:r w:rsidRPr="005D279E">
        <w:rPr>
          <w:rFonts w:ascii="Book Antiqua" w:hAnsi="Book Antiqua" w:cs="SimSun"/>
          <w:b/>
          <w:color w:val="auto"/>
          <w:sz w:val="24"/>
          <w:szCs w:val="24"/>
          <w:lang w:val="en-US" w:eastAsia="zh-CN"/>
        </w:rPr>
        <w:t>Article in press:</w:t>
      </w:r>
    </w:p>
    <w:p w14:paraId="3C9F03E2" w14:textId="77777777" w:rsidR="005D279E" w:rsidRPr="005D279E" w:rsidRDefault="005D279E" w:rsidP="005D279E">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b/>
          <w:color w:val="auto"/>
          <w:sz w:val="24"/>
          <w:szCs w:val="24"/>
          <w:lang w:val="pl-PL" w:eastAsia="zh-CN"/>
        </w:rPr>
      </w:pPr>
      <w:r w:rsidRPr="005D279E">
        <w:rPr>
          <w:rFonts w:ascii="Book Antiqua" w:hAnsi="Book Antiqua"/>
          <w:b/>
          <w:color w:val="auto"/>
          <w:sz w:val="24"/>
          <w:szCs w:val="24"/>
          <w:lang w:val="pl-PL" w:eastAsia="pl-PL"/>
        </w:rPr>
        <w:t>Published online</w:t>
      </w:r>
      <w:r w:rsidRPr="005D279E">
        <w:rPr>
          <w:rFonts w:ascii="Book Antiqua" w:hAnsi="Book Antiqua" w:hint="eastAsia"/>
          <w:b/>
          <w:color w:val="auto"/>
          <w:sz w:val="24"/>
          <w:szCs w:val="24"/>
          <w:lang w:val="pl-PL" w:eastAsia="pl-PL"/>
        </w:rPr>
        <w:t>:</w:t>
      </w:r>
    </w:p>
    <w:p w14:paraId="25E1952F" w14:textId="77777777" w:rsidR="005D279E" w:rsidRPr="00F532B5" w:rsidRDefault="005D279E" w:rsidP="00D92508">
      <w:pPr>
        <w:snapToGrid w:val="0"/>
        <w:spacing w:line="360" w:lineRule="auto"/>
        <w:jc w:val="both"/>
        <w:rPr>
          <w:rFonts w:ascii="Book Antiqua" w:hAnsi="Book Antiqua"/>
          <w:color w:val="auto"/>
          <w:sz w:val="24"/>
          <w:szCs w:val="24"/>
          <w:lang w:eastAsia="zh-CN"/>
        </w:rPr>
      </w:pPr>
    </w:p>
    <w:p w14:paraId="4FC59E8C" w14:textId="27B0248F" w:rsidR="007B5C17" w:rsidRPr="00F532B5" w:rsidRDefault="007B5C17" w:rsidP="00D92508">
      <w:pPr>
        <w:snapToGrid w:val="0"/>
        <w:spacing w:line="360" w:lineRule="auto"/>
        <w:jc w:val="both"/>
        <w:rPr>
          <w:rFonts w:ascii="Book Antiqua" w:hAnsi="Book Antiqua"/>
          <w:b/>
          <w:color w:val="auto"/>
          <w:sz w:val="24"/>
          <w:szCs w:val="24"/>
        </w:rPr>
      </w:pPr>
      <w:r w:rsidRPr="00F532B5">
        <w:rPr>
          <w:rFonts w:ascii="Book Antiqua" w:hAnsi="Book Antiqua"/>
          <w:b/>
          <w:color w:val="auto"/>
          <w:sz w:val="24"/>
          <w:szCs w:val="24"/>
        </w:rPr>
        <w:br w:type="page"/>
      </w:r>
    </w:p>
    <w:p w14:paraId="6B603A9F" w14:textId="77777777" w:rsidR="000B3E3D" w:rsidRPr="00F532B5" w:rsidRDefault="00754926" w:rsidP="00D92508">
      <w:pPr>
        <w:snapToGrid w:val="0"/>
        <w:spacing w:line="360" w:lineRule="auto"/>
        <w:jc w:val="both"/>
        <w:rPr>
          <w:rFonts w:ascii="Book Antiqua" w:hAnsi="Book Antiqua"/>
          <w:b/>
          <w:color w:val="auto"/>
          <w:sz w:val="24"/>
          <w:szCs w:val="24"/>
        </w:rPr>
      </w:pPr>
      <w:r w:rsidRPr="00F532B5">
        <w:rPr>
          <w:rFonts w:ascii="Book Antiqua" w:hAnsi="Book Antiqua"/>
          <w:b/>
          <w:color w:val="auto"/>
          <w:sz w:val="24"/>
          <w:szCs w:val="24"/>
        </w:rPr>
        <w:lastRenderedPageBreak/>
        <w:t>Abstract</w:t>
      </w:r>
    </w:p>
    <w:p w14:paraId="51EC0607" w14:textId="3015196F" w:rsidR="00E9335F" w:rsidRPr="00F532B5" w:rsidRDefault="00754926" w:rsidP="00D92508">
      <w:pPr>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 xml:space="preserve">Encapsulating peritoneal sclerosis (EPS) is a debilitating </w:t>
      </w:r>
      <w:r w:rsidR="00466EC3" w:rsidRPr="00F532B5">
        <w:rPr>
          <w:rFonts w:ascii="Book Antiqua" w:hAnsi="Book Antiqua"/>
          <w:color w:val="auto"/>
          <w:sz w:val="24"/>
          <w:szCs w:val="24"/>
        </w:rPr>
        <w:t>condition</w:t>
      </w:r>
      <w:r w:rsidRPr="00F532B5">
        <w:rPr>
          <w:rFonts w:ascii="Book Antiqua" w:hAnsi="Book Antiqua"/>
          <w:color w:val="auto"/>
          <w:sz w:val="24"/>
          <w:szCs w:val="24"/>
        </w:rPr>
        <w:t xml:space="preserve"> characterized by a fibrocollagenous membrane encasing the small intestine, resulting in recurrent small bowel obstruction</w:t>
      </w:r>
      <w:r w:rsidR="00761727" w:rsidRPr="00F532B5">
        <w:rPr>
          <w:rFonts w:ascii="Book Antiqua" w:hAnsi="Book Antiqua"/>
          <w:color w:val="auto"/>
          <w:sz w:val="24"/>
          <w:szCs w:val="24"/>
        </w:rPr>
        <w:t>s</w:t>
      </w:r>
      <w:r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EPS is most commonly associated with long-term peritoneal dialysis, though medications, peritoneal infection, and systemic inflammatory</w:t>
      </w:r>
      <w:r w:rsidR="00FF7F37" w:rsidRPr="00F532B5">
        <w:rPr>
          <w:rFonts w:ascii="Book Antiqua" w:hAnsi="Book Antiqua"/>
          <w:color w:val="auto"/>
          <w:sz w:val="24"/>
          <w:szCs w:val="24"/>
        </w:rPr>
        <w:t xml:space="preserve"> disorders have been implicated</w:t>
      </w:r>
      <w:r w:rsidR="00D45DE7" w:rsidRPr="00F532B5">
        <w:rPr>
          <w:rFonts w:ascii="Book Antiqua" w:hAnsi="Book Antiqua"/>
          <w:color w:val="auto"/>
          <w:sz w:val="24"/>
          <w:szCs w:val="24"/>
        </w:rPr>
        <w:t>.</w:t>
      </w:r>
      <w:r w:rsidR="006D7818">
        <w:rPr>
          <w:rFonts w:ascii="Book Antiqua" w:hAnsi="Book Antiqua"/>
          <w:color w:val="auto"/>
          <w:sz w:val="24"/>
          <w:szCs w:val="24"/>
        </w:rPr>
        <w:t xml:space="preserve"> </w:t>
      </w:r>
      <w:r w:rsidR="00D45DE7" w:rsidRPr="00F532B5">
        <w:rPr>
          <w:rFonts w:ascii="Book Antiqua" w:hAnsi="Book Antiqua"/>
          <w:color w:val="auto"/>
          <w:sz w:val="24"/>
          <w:szCs w:val="24"/>
        </w:rPr>
        <w:t>M</w:t>
      </w:r>
      <w:r w:rsidR="00FF7F37" w:rsidRPr="00F532B5">
        <w:rPr>
          <w:rFonts w:ascii="Book Antiqua" w:hAnsi="Book Antiqua"/>
          <w:color w:val="auto"/>
          <w:sz w:val="24"/>
          <w:szCs w:val="24"/>
        </w:rPr>
        <w:t>any</w:t>
      </w:r>
      <w:r w:rsidR="003458EA" w:rsidRPr="00F532B5">
        <w:rPr>
          <w:rFonts w:ascii="Book Antiqua" w:hAnsi="Book Antiqua"/>
          <w:color w:val="auto"/>
          <w:sz w:val="24"/>
          <w:szCs w:val="24"/>
        </w:rPr>
        <w:t xml:space="preserve"> </w:t>
      </w:r>
      <w:r w:rsidRPr="00F532B5">
        <w:rPr>
          <w:rFonts w:ascii="Book Antiqua" w:hAnsi="Book Antiqua"/>
          <w:color w:val="auto"/>
          <w:sz w:val="24"/>
          <w:szCs w:val="24"/>
        </w:rPr>
        <w:t>cases remain idiopathic.</w:t>
      </w:r>
      <w:r w:rsidR="006D7818">
        <w:rPr>
          <w:rFonts w:ascii="Book Antiqua" w:hAnsi="Book Antiqua"/>
          <w:color w:val="auto"/>
          <w:sz w:val="24"/>
          <w:szCs w:val="24"/>
        </w:rPr>
        <w:t xml:space="preserve"> </w:t>
      </w:r>
      <w:r w:rsidRPr="00F532B5">
        <w:rPr>
          <w:rFonts w:ascii="Book Antiqua" w:hAnsi="Book Antiqua"/>
          <w:color w:val="auto"/>
          <w:sz w:val="24"/>
          <w:szCs w:val="24"/>
        </w:rPr>
        <w:t>Diagnosis is often delayed give</w:t>
      </w:r>
      <w:r w:rsidR="00FF7F37" w:rsidRPr="00F532B5">
        <w:rPr>
          <w:rFonts w:ascii="Book Antiqua" w:hAnsi="Book Antiqua"/>
          <w:color w:val="auto"/>
          <w:sz w:val="24"/>
          <w:szCs w:val="24"/>
        </w:rPr>
        <w:t xml:space="preserve">n the rarity of the disorder combined with </w:t>
      </w:r>
      <w:r w:rsidRPr="00F532B5">
        <w:rPr>
          <w:rFonts w:ascii="Book Antiqua" w:hAnsi="Book Antiqua"/>
          <w:color w:val="auto"/>
          <w:sz w:val="24"/>
          <w:szCs w:val="24"/>
        </w:rPr>
        <w:t>non-specific symptoms and laboratory findings.</w:t>
      </w:r>
      <w:r w:rsidR="006D7818">
        <w:rPr>
          <w:rFonts w:ascii="Book Antiqua" w:hAnsi="Book Antiqua"/>
          <w:color w:val="auto"/>
          <w:sz w:val="24"/>
          <w:szCs w:val="24"/>
        </w:rPr>
        <w:t xml:space="preserve"> </w:t>
      </w:r>
      <w:r w:rsidR="00466EC3" w:rsidRPr="00F532B5">
        <w:rPr>
          <w:rFonts w:ascii="Book Antiqua" w:hAnsi="Book Antiqua"/>
          <w:color w:val="auto"/>
          <w:sz w:val="24"/>
          <w:szCs w:val="24"/>
        </w:rPr>
        <w:t>A</w:t>
      </w:r>
      <w:r w:rsidR="003458EA" w:rsidRPr="00F532B5">
        <w:rPr>
          <w:rFonts w:ascii="Book Antiqua" w:hAnsi="Book Antiqua"/>
          <w:color w:val="auto"/>
          <w:sz w:val="24"/>
          <w:szCs w:val="24"/>
        </w:rPr>
        <w:t>lt</w:t>
      </w:r>
      <w:r w:rsidRPr="00F532B5">
        <w:rPr>
          <w:rFonts w:ascii="Book Antiqua" w:hAnsi="Book Antiqua"/>
          <w:color w:val="auto"/>
          <w:sz w:val="24"/>
          <w:szCs w:val="24"/>
        </w:rPr>
        <w:t>hough cross-sectional imaging with computed tomography of the abdomen can be suggestive of the disorder, many patients undergo exploratory laparotom</w:t>
      </w:r>
      <w:r w:rsidR="00256756" w:rsidRPr="00F532B5">
        <w:rPr>
          <w:rFonts w:ascii="Book Antiqua" w:hAnsi="Book Antiqua"/>
          <w:color w:val="auto"/>
          <w:sz w:val="24"/>
          <w:szCs w:val="24"/>
        </w:rPr>
        <w:t>y for diagnosis.</w:t>
      </w:r>
      <w:r w:rsidR="006D7818">
        <w:rPr>
          <w:rFonts w:ascii="Book Antiqua" w:hAnsi="Book Antiqua"/>
          <w:color w:val="auto"/>
          <w:sz w:val="24"/>
          <w:szCs w:val="24"/>
        </w:rPr>
        <w:t xml:space="preserve"> </w:t>
      </w:r>
      <w:r w:rsidR="00256756" w:rsidRPr="00F532B5">
        <w:rPr>
          <w:rFonts w:ascii="Book Antiqua" w:hAnsi="Book Antiqua"/>
          <w:color w:val="auto"/>
          <w:sz w:val="24"/>
          <w:szCs w:val="24"/>
        </w:rPr>
        <w:t xml:space="preserve">Mortality </w:t>
      </w:r>
      <w:r w:rsidRPr="00F532B5">
        <w:rPr>
          <w:rFonts w:ascii="Book Antiqua" w:hAnsi="Book Antiqua"/>
          <w:color w:val="auto"/>
          <w:sz w:val="24"/>
          <w:szCs w:val="24"/>
        </w:rPr>
        <w:t>approach</w:t>
      </w:r>
      <w:r w:rsidR="00256756" w:rsidRPr="00F532B5">
        <w:rPr>
          <w:rFonts w:ascii="Book Antiqua" w:hAnsi="Book Antiqua"/>
          <w:color w:val="auto"/>
          <w:sz w:val="24"/>
          <w:szCs w:val="24"/>
        </w:rPr>
        <w:t>es</w:t>
      </w:r>
      <w:r w:rsidRPr="00F532B5">
        <w:rPr>
          <w:rFonts w:ascii="Book Antiqua" w:hAnsi="Book Antiqua"/>
          <w:color w:val="auto"/>
          <w:sz w:val="24"/>
          <w:szCs w:val="24"/>
        </w:rPr>
        <w:t xml:space="preserve"> 50% one year after diagnosis.</w:t>
      </w:r>
      <w:r w:rsidR="006D7818">
        <w:rPr>
          <w:rFonts w:ascii="Book Antiqua" w:hAnsi="Book Antiqua"/>
          <w:color w:val="auto"/>
          <w:sz w:val="24"/>
          <w:szCs w:val="24"/>
        </w:rPr>
        <w:t xml:space="preserve"> </w:t>
      </w:r>
      <w:r w:rsidRPr="00F532B5">
        <w:rPr>
          <w:rFonts w:ascii="Book Antiqua" w:hAnsi="Book Antiqua"/>
          <w:color w:val="auto"/>
          <w:sz w:val="24"/>
          <w:szCs w:val="24"/>
        </w:rPr>
        <w:t xml:space="preserve">Treatment for EPS </w:t>
      </w:r>
      <w:r w:rsidR="00256756" w:rsidRPr="00F532B5">
        <w:rPr>
          <w:rFonts w:ascii="Book Antiqua" w:hAnsi="Book Antiqua"/>
          <w:color w:val="auto"/>
          <w:sz w:val="24"/>
          <w:szCs w:val="24"/>
        </w:rPr>
        <w:t>involves</w:t>
      </w:r>
      <w:r w:rsidRPr="00F532B5">
        <w:rPr>
          <w:rFonts w:ascii="Book Antiqua" w:hAnsi="Book Antiqua"/>
          <w:color w:val="auto"/>
          <w:sz w:val="24"/>
          <w:szCs w:val="24"/>
        </w:rPr>
        <w:t xml:space="preserve"> treating the underlying condition or eliminating possible inciting agents (</w:t>
      </w:r>
      <w:r w:rsidRPr="00F532B5">
        <w:rPr>
          <w:rFonts w:ascii="Book Antiqua" w:hAnsi="Book Antiqua"/>
          <w:i/>
          <w:color w:val="auto"/>
          <w:sz w:val="24"/>
          <w:szCs w:val="24"/>
        </w:rPr>
        <w:t>i.e.</w:t>
      </w:r>
      <w:r w:rsidRPr="00F532B5">
        <w:rPr>
          <w:rFonts w:ascii="Book Antiqua" w:hAnsi="Book Antiqua"/>
          <w:color w:val="auto"/>
          <w:sz w:val="24"/>
          <w:szCs w:val="24"/>
        </w:rPr>
        <w:t xml:space="preserve"> </w:t>
      </w:r>
      <w:r w:rsidR="00256756" w:rsidRPr="00F532B5">
        <w:rPr>
          <w:rFonts w:ascii="Book Antiqua" w:hAnsi="Book Antiqua"/>
          <w:color w:val="auto"/>
          <w:sz w:val="24"/>
          <w:szCs w:val="24"/>
        </w:rPr>
        <w:t xml:space="preserve">peritoneal dialysis, </w:t>
      </w:r>
      <w:r w:rsidRPr="00F532B5">
        <w:rPr>
          <w:rFonts w:ascii="Book Antiqua" w:hAnsi="Book Antiqua"/>
          <w:color w:val="auto"/>
          <w:sz w:val="24"/>
          <w:szCs w:val="24"/>
        </w:rPr>
        <w:t>medications, infections)</w:t>
      </w:r>
      <w:r w:rsidR="00256756" w:rsidRPr="00F532B5">
        <w:rPr>
          <w:rFonts w:ascii="Book Antiqua" w:hAnsi="Book Antiqua"/>
          <w:color w:val="auto"/>
          <w:sz w:val="24"/>
          <w:szCs w:val="24"/>
        </w:rPr>
        <w:t xml:space="preserve"> and nutritional support, frequently with</w:t>
      </w:r>
      <w:r w:rsidR="00D45DE7" w:rsidRPr="00F532B5">
        <w:rPr>
          <w:rFonts w:ascii="Book Antiqua" w:hAnsi="Book Antiqua"/>
          <w:color w:val="auto"/>
          <w:sz w:val="24"/>
          <w:szCs w:val="24"/>
        </w:rPr>
        <w:t xml:space="preserve"> </w:t>
      </w:r>
      <w:r w:rsidR="00256756" w:rsidRPr="00F532B5">
        <w:rPr>
          <w:rFonts w:ascii="Book Antiqua" w:hAnsi="Book Antiqua"/>
          <w:color w:val="auto"/>
          <w:sz w:val="24"/>
          <w:szCs w:val="24"/>
        </w:rPr>
        <w:t>t</w:t>
      </w:r>
      <w:r w:rsidRPr="00F532B5">
        <w:rPr>
          <w:rFonts w:ascii="Book Antiqua" w:hAnsi="Book Antiqua"/>
          <w:color w:val="auto"/>
          <w:sz w:val="24"/>
          <w:szCs w:val="24"/>
        </w:rPr>
        <w:t>otal parenteral nutrition</w:t>
      </w:r>
      <w:r w:rsidR="00256756"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EPS</w:t>
      </w:r>
      <w:r w:rsidR="00256756" w:rsidRPr="00F532B5">
        <w:rPr>
          <w:rFonts w:ascii="Book Antiqua" w:hAnsi="Book Antiqua"/>
          <w:color w:val="auto"/>
          <w:sz w:val="24"/>
          <w:szCs w:val="24"/>
        </w:rPr>
        <w:t>-specific treatment</w:t>
      </w:r>
      <w:r w:rsidRPr="00F532B5">
        <w:rPr>
          <w:rFonts w:ascii="Book Antiqua" w:hAnsi="Book Antiqua"/>
          <w:color w:val="auto"/>
          <w:sz w:val="24"/>
          <w:szCs w:val="24"/>
        </w:rPr>
        <w:t xml:space="preserve"> depends on the disease stage.</w:t>
      </w:r>
      <w:r w:rsidR="006D7818">
        <w:rPr>
          <w:rFonts w:ascii="Book Antiqua" w:hAnsi="Book Antiqua"/>
          <w:color w:val="auto"/>
          <w:sz w:val="24"/>
          <w:szCs w:val="24"/>
        </w:rPr>
        <w:t xml:space="preserve"> </w:t>
      </w:r>
      <w:r w:rsidR="00256756" w:rsidRPr="00F532B5">
        <w:rPr>
          <w:rFonts w:ascii="Book Antiqua" w:hAnsi="Book Antiqua"/>
          <w:color w:val="auto"/>
          <w:sz w:val="24"/>
          <w:szCs w:val="24"/>
        </w:rPr>
        <w:t xml:space="preserve">In the inflammatory stage, corticosteroids are the treatment of choice, while in the fibrotic stage, tamoxifen </w:t>
      </w:r>
      <w:r w:rsidR="001F5623" w:rsidRPr="00F532B5">
        <w:rPr>
          <w:rFonts w:ascii="Book Antiqua" w:hAnsi="Book Antiqua"/>
          <w:color w:val="auto"/>
          <w:sz w:val="24"/>
          <w:szCs w:val="24"/>
        </w:rPr>
        <w:t>may be beneficial.</w:t>
      </w:r>
      <w:r w:rsidR="006D7818">
        <w:rPr>
          <w:rFonts w:ascii="Book Antiqua" w:hAnsi="Book Antiqua"/>
          <w:color w:val="auto"/>
          <w:sz w:val="24"/>
          <w:szCs w:val="24"/>
        </w:rPr>
        <w:t xml:space="preserve"> </w:t>
      </w:r>
      <w:r w:rsidR="001F5623" w:rsidRPr="00F532B5">
        <w:rPr>
          <w:rFonts w:ascii="Book Antiqua" w:hAnsi="Book Antiqua"/>
          <w:color w:val="auto"/>
          <w:sz w:val="24"/>
          <w:szCs w:val="24"/>
        </w:rPr>
        <w:t>In practice, distinguishing between stages may be difficult and both may be used.</w:t>
      </w:r>
      <w:r w:rsidR="006D7818">
        <w:rPr>
          <w:rFonts w:ascii="Book Antiqua" w:hAnsi="Book Antiqua"/>
          <w:color w:val="auto"/>
          <w:sz w:val="24"/>
          <w:szCs w:val="24"/>
        </w:rPr>
        <w:t xml:space="preserve"> </w:t>
      </w:r>
      <w:r w:rsidRPr="00F532B5">
        <w:rPr>
          <w:rFonts w:ascii="Book Antiqua" w:hAnsi="Book Antiqua"/>
          <w:color w:val="auto"/>
          <w:sz w:val="24"/>
          <w:szCs w:val="24"/>
        </w:rPr>
        <w:t xml:space="preserve">Surgical </w:t>
      </w:r>
      <w:r w:rsidR="00E9335F" w:rsidRPr="00F532B5">
        <w:rPr>
          <w:rFonts w:ascii="Book Antiqua" w:hAnsi="Book Antiqua"/>
          <w:color w:val="auto"/>
          <w:sz w:val="24"/>
          <w:szCs w:val="24"/>
        </w:rPr>
        <w:t xml:space="preserve">intervention, consisting of peritonectomy and </w:t>
      </w:r>
      <w:r w:rsidRPr="00F532B5">
        <w:rPr>
          <w:rFonts w:ascii="Book Antiqua" w:hAnsi="Book Antiqua"/>
          <w:color w:val="auto"/>
          <w:sz w:val="24"/>
          <w:szCs w:val="24"/>
        </w:rPr>
        <w:t xml:space="preserve">enterolysis, </w:t>
      </w:r>
      <w:r w:rsidR="00E9335F" w:rsidRPr="00F532B5">
        <w:rPr>
          <w:rFonts w:ascii="Book Antiqua" w:hAnsi="Book Antiqua"/>
          <w:color w:val="auto"/>
          <w:sz w:val="24"/>
          <w:szCs w:val="24"/>
        </w:rPr>
        <w:t xml:space="preserve">is time-consuming and high-risk and is reserved for situations in which </w:t>
      </w:r>
      <w:r w:rsidRPr="00F532B5">
        <w:rPr>
          <w:rFonts w:ascii="Book Antiqua" w:hAnsi="Book Antiqua"/>
          <w:color w:val="auto"/>
          <w:sz w:val="24"/>
          <w:szCs w:val="24"/>
        </w:rPr>
        <w:t>conservative medical therapy fail</w:t>
      </w:r>
      <w:r w:rsidR="00466EC3" w:rsidRPr="00F532B5">
        <w:rPr>
          <w:rFonts w:ascii="Book Antiqua" w:hAnsi="Book Antiqua"/>
          <w:color w:val="auto"/>
          <w:sz w:val="24"/>
          <w:szCs w:val="24"/>
        </w:rPr>
        <w:t>s</w:t>
      </w:r>
      <w:r w:rsidR="00E9335F" w:rsidRPr="00F532B5">
        <w:rPr>
          <w:rFonts w:ascii="Book Antiqua" w:hAnsi="Book Antiqua"/>
          <w:color w:val="auto"/>
          <w:sz w:val="24"/>
          <w:szCs w:val="24"/>
        </w:rPr>
        <w:t xml:space="preserve"> in institutions with surgical expertise in this area.</w:t>
      </w:r>
      <w:r w:rsidR="006D7818">
        <w:rPr>
          <w:rFonts w:ascii="Book Antiqua" w:hAnsi="Book Antiqua"/>
          <w:color w:val="auto"/>
          <w:sz w:val="24"/>
          <w:szCs w:val="24"/>
        </w:rPr>
        <w:t xml:space="preserve"> </w:t>
      </w:r>
      <w:r w:rsidR="001F5623" w:rsidRPr="00F532B5">
        <w:rPr>
          <w:rFonts w:ascii="Book Antiqua" w:hAnsi="Book Antiqua"/>
          <w:color w:val="auto"/>
          <w:sz w:val="24"/>
          <w:szCs w:val="24"/>
        </w:rPr>
        <w:t>Herein w</w:t>
      </w:r>
      <w:r w:rsidR="002F1F34" w:rsidRPr="00F532B5">
        <w:rPr>
          <w:rFonts w:ascii="Book Antiqua" w:hAnsi="Book Antiqua"/>
          <w:color w:val="auto"/>
          <w:sz w:val="24"/>
          <w:szCs w:val="24"/>
        </w:rPr>
        <w:t>e review</w:t>
      </w:r>
      <w:r w:rsidRPr="00F532B5">
        <w:rPr>
          <w:rFonts w:ascii="Book Antiqua" w:hAnsi="Book Antiqua"/>
          <w:color w:val="auto"/>
          <w:sz w:val="24"/>
          <w:szCs w:val="24"/>
        </w:rPr>
        <w:t xml:space="preserve"> the available literature of the etiology, pathogenesis, diagnosis,</w:t>
      </w:r>
      <w:r w:rsidR="001F5623" w:rsidRPr="00F532B5">
        <w:rPr>
          <w:rFonts w:ascii="Book Antiqua" w:hAnsi="Book Antiqua"/>
          <w:color w:val="auto"/>
          <w:sz w:val="24"/>
          <w:szCs w:val="24"/>
        </w:rPr>
        <w:t xml:space="preserve"> and treatment of </w:t>
      </w:r>
      <w:r w:rsidR="00E9335F" w:rsidRPr="00F532B5">
        <w:rPr>
          <w:rFonts w:ascii="Book Antiqua" w:hAnsi="Book Antiqua"/>
          <w:color w:val="auto"/>
          <w:sz w:val="24"/>
          <w:szCs w:val="24"/>
        </w:rPr>
        <w:t>this rare, but potentially devastating disease</w:t>
      </w:r>
      <w:r w:rsidR="007B5C17" w:rsidRPr="00F532B5">
        <w:rPr>
          <w:rFonts w:ascii="Book Antiqua" w:hAnsi="Book Antiqua"/>
          <w:color w:val="auto"/>
          <w:sz w:val="24"/>
          <w:szCs w:val="24"/>
        </w:rPr>
        <w:t>.</w:t>
      </w:r>
    </w:p>
    <w:p w14:paraId="0E4C8B48" w14:textId="77777777" w:rsidR="00E9335F" w:rsidRPr="00F532B5" w:rsidRDefault="00E9335F" w:rsidP="00D92508">
      <w:pPr>
        <w:snapToGrid w:val="0"/>
        <w:spacing w:line="360" w:lineRule="auto"/>
        <w:jc w:val="both"/>
        <w:rPr>
          <w:rFonts w:ascii="Book Antiqua" w:hAnsi="Book Antiqua"/>
          <w:color w:val="auto"/>
          <w:sz w:val="24"/>
          <w:szCs w:val="24"/>
        </w:rPr>
      </w:pPr>
    </w:p>
    <w:p w14:paraId="031F5AA4" w14:textId="2A14F43D" w:rsidR="006665D9" w:rsidRPr="00F532B5" w:rsidRDefault="006665D9" w:rsidP="00D92508">
      <w:pPr>
        <w:snapToGrid w:val="0"/>
        <w:spacing w:line="360" w:lineRule="auto"/>
        <w:jc w:val="both"/>
        <w:rPr>
          <w:rFonts w:ascii="Book Antiqua" w:hAnsi="Book Antiqua"/>
          <w:color w:val="auto"/>
          <w:sz w:val="24"/>
          <w:szCs w:val="24"/>
        </w:rPr>
      </w:pPr>
      <w:r w:rsidRPr="00F532B5">
        <w:rPr>
          <w:rFonts w:ascii="Book Antiqua" w:hAnsi="Book Antiqua"/>
          <w:b/>
          <w:color w:val="auto"/>
          <w:sz w:val="24"/>
          <w:szCs w:val="24"/>
        </w:rPr>
        <w:t>Key</w:t>
      </w:r>
      <w:r w:rsidR="00F6762B" w:rsidRPr="00F532B5">
        <w:rPr>
          <w:rFonts w:ascii="Book Antiqua" w:hAnsi="Book Antiqua" w:hint="eastAsia"/>
          <w:b/>
          <w:color w:val="auto"/>
          <w:sz w:val="24"/>
          <w:szCs w:val="24"/>
          <w:lang w:eastAsia="zh-CN"/>
        </w:rPr>
        <w:t xml:space="preserve"> </w:t>
      </w:r>
      <w:r w:rsidRPr="00F532B5">
        <w:rPr>
          <w:rFonts w:ascii="Book Antiqua" w:hAnsi="Book Antiqua"/>
          <w:b/>
          <w:color w:val="auto"/>
          <w:sz w:val="24"/>
          <w:szCs w:val="24"/>
        </w:rPr>
        <w:t>words:</w:t>
      </w:r>
      <w:r w:rsidRPr="00F532B5">
        <w:rPr>
          <w:rFonts w:ascii="Book Antiqua" w:hAnsi="Book Antiqua"/>
          <w:color w:val="auto"/>
          <w:sz w:val="24"/>
          <w:szCs w:val="24"/>
        </w:rPr>
        <w:t xml:space="preserve"> Abdominal cocoon; Sclerosing encapsulating peritonitis; Peritoneal sclerosis; Peritoneal dialysis; Tamoxifen; Corticosteroids; Peritonectomy; Enterolysis</w:t>
      </w:r>
    </w:p>
    <w:p w14:paraId="234098EE" w14:textId="77777777" w:rsidR="006665D9" w:rsidRDefault="006665D9" w:rsidP="00D92508">
      <w:pPr>
        <w:snapToGrid w:val="0"/>
        <w:spacing w:line="360" w:lineRule="auto"/>
        <w:jc w:val="both"/>
        <w:rPr>
          <w:rFonts w:ascii="Book Antiqua" w:hAnsi="Book Antiqua"/>
          <w:color w:val="auto"/>
          <w:sz w:val="24"/>
          <w:szCs w:val="24"/>
          <w:lang w:eastAsia="zh-CN"/>
        </w:rPr>
      </w:pPr>
    </w:p>
    <w:p w14:paraId="58B2E752" w14:textId="77777777" w:rsidR="00E63BB4" w:rsidRPr="00E63BB4" w:rsidRDefault="00E63BB4" w:rsidP="00E63BB4">
      <w:pPr>
        <w:snapToGrid w:val="0"/>
        <w:spacing w:line="360" w:lineRule="auto"/>
        <w:jc w:val="both"/>
        <w:rPr>
          <w:rFonts w:ascii="Book Antiqua" w:hAnsi="Book Antiqua"/>
          <w:color w:val="auto"/>
          <w:sz w:val="24"/>
          <w:szCs w:val="24"/>
          <w:lang w:val="en-US" w:eastAsia="zh-CN"/>
        </w:rPr>
      </w:pPr>
      <w:bookmarkStart w:id="17" w:name="OLE_LINK363"/>
      <w:bookmarkStart w:id="18" w:name="OLE_LINK364"/>
      <w:bookmarkStart w:id="19" w:name="OLE_LINK359"/>
      <w:bookmarkStart w:id="20" w:name="OLE_LINK1037"/>
      <w:bookmarkStart w:id="21" w:name="OLE_LINK1195"/>
      <w:bookmarkStart w:id="22" w:name="OLE_LINK1140"/>
      <w:bookmarkStart w:id="23" w:name="OLE_LINK1062"/>
      <w:bookmarkStart w:id="24" w:name="OLE_LINK500"/>
      <w:bookmarkStart w:id="25" w:name="OLE_LINK916"/>
      <w:bookmarkStart w:id="26" w:name="OLE_LINK956"/>
      <w:bookmarkStart w:id="27" w:name="OLE_LINK994"/>
      <w:r w:rsidRPr="00E63BB4">
        <w:rPr>
          <w:rFonts w:ascii="Book Antiqua" w:hAnsi="Book Antiqua" w:hint="eastAsia"/>
          <w:b/>
          <w:color w:val="auto"/>
          <w:sz w:val="24"/>
          <w:szCs w:val="24"/>
          <w:lang w:val="en-US" w:eastAsia="zh-CN"/>
        </w:rPr>
        <w:t>©</w:t>
      </w:r>
      <w:r w:rsidRPr="00E63BB4">
        <w:rPr>
          <w:rFonts w:ascii="Book Antiqua" w:hAnsi="Book Antiqua"/>
          <w:b/>
          <w:color w:val="auto"/>
          <w:sz w:val="24"/>
          <w:szCs w:val="24"/>
          <w:lang w:val="en-US" w:eastAsia="zh-CN"/>
        </w:rPr>
        <w:t xml:space="preserve"> The Author(s) 201</w:t>
      </w:r>
      <w:r w:rsidRPr="00E63BB4">
        <w:rPr>
          <w:rFonts w:ascii="Book Antiqua" w:hAnsi="Book Antiqua" w:hint="eastAsia"/>
          <w:b/>
          <w:color w:val="auto"/>
          <w:sz w:val="24"/>
          <w:szCs w:val="24"/>
          <w:lang w:val="en-US" w:eastAsia="zh-CN"/>
        </w:rPr>
        <w:t>8</w:t>
      </w:r>
      <w:r w:rsidRPr="00E63BB4">
        <w:rPr>
          <w:rFonts w:ascii="Book Antiqua" w:hAnsi="Book Antiqua"/>
          <w:b/>
          <w:color w:val="auto"/>
          <w:sz w:val="24"/>
          <w:szCs w:val="24"/>
          <w:lang w:val="en-US" w:eastAsia="zh-CN"/>
        </w:rPr>
        <w:t>.</w:t>
      </w:r>
      <w:r w:rsidRPr="00E63BB4">
        <w:rPr>
          <w:rFonts w:ascii="Book Antiqua" w:hAnsi="Book Antiqua"/>
          <w:color w:val="auto"/>
          <w:sz w:val="24"/>
          <w:szCs w:val="24"/>
          <w:lang w:val="en-US" w:eastAsia="zh-CN"/>
        </w:rPr>
        <w:t xml:space="preserve"> Published by Baishideng Publishing Group Inc. All rights reserved.</w:t>
      </w:r>
    </w:p>
    <w:bookmarkEnd w:id="17"/>
    <w:bookmarkEnd w:id="18"/>
    <w:bookmarkEnd w:id="19"/>
    <w:bookmarkEnd w:id="20"/>
    <w:bookmarkEnd w:id="21"/>
    <w:bookmarkEnd w:id="22"/>
    <w:bookmarkEnd w:id="23"/>
    <w:bookmarkEnd w:id="24"/>
    <w:bookmarkEnd w:id="25"/>
    <w:bookmarkEnd w:id="26"/>
    <w:bookmarkEnd w:id="27"/>
    <w:p w14:paraId="3159CE76" w14:textId="77777777" w:rsidR="00E63BB4" w:rsidRPr="00F532B5" w:rsidRDefault="00E63BB4" w:rsidP="00D92508">
      <w:pPr>
        <w:snapToGrid w:val="0"/>
        <w:spacing w:line="360" w:lineRule="auto"/>
        <w:jc w:val="both"/>
        <w:rPr>
          <w:rFonts w:ascii="Book Antiqua" w:hAnsi="Book Antiqua"/>
          <w:color w:val="auto"/>
          <w:sz w:val="24"/>
          <w:szCs w:val="24"/>
          <w:lang w:eastAsia="zh-CN"/>
        </w:rPr>
      </w:pPr>
    </w:p>
    <w:p w14:paraId="3BDD1EA6" w14:textId="4B6E9F6E" w:rsidR="001868EC" w:rsidRPr="00F532B5" w:rsidRDefault="006665D9" w:rsidP="00D92508">
      <w:pPr>
        <w:snapToGrid w:val="0"/>
        <w:spacing w:line="360" w:lineRule="auto"/>
        <w:jc w:val="both"/>
        <w:rPr>
          <w:rFonts w:ascii="Book Antiqua" w:hAnsi="Book Antiqua"/>
          <w:color w:val="auto"/>
          <w:sz w:val="24"/>
          <w:szCs w:val="24"/>
        </w:rPr>
      </w:pPr>
      <w:r w:rsidRPr="00F532B5">
        <w:rPr>
          <w:rFonts w:ascii="Book Antiqua" w:hAnsi="Book Antiqua"/>
          <w:b/>
          <w:color w:val="auto"/>
          <w:sz w:val="24"/>
          <w:szCs w:val="24"/>
        </w:rPr>
        <w:t xml:space="preserve">Core tip: </w:t>
      </w:r>
      <w:r w:rsidRPr="00F532B5">
        <w:rPr>
          <w:rFonts w:ascii="Book Antiqua" w:hAnsi="Book Antiqua"/>
          <w:color w:val="auto"/>
          <w:sz w:val="24"/>
          <w:szCs w:val="24"/>
        </w:rPr>
        <w:t xml:space="preserve">Encapsulating peritoneal sclerosis </w:t>
      </w:r>
      <w:r w:rsidR="00C7655B" w:rsidRPr="00F532B5">
        <w:rPr>
          <w:rFonts w:ascii="Book Antiqua" w:hAnsi="Book Antiqua"/>
          <w:color w:val="auto"/>
          <w:sz w:val="24"/>
          <w:szCs w:val="24"/>
        </w:rPr>
        <w:t>(EPS)</w:t>
      </w:r>
      <w:r w:rsidR="00C7655B">
        <w:rPr>
          <w:rFonts w:ascii="Book Antiqua" w:hAnsi="Book Antiqua" w:hint="eastAsia"/>
          <w:color w:val="auto"/>
          <w:sz w:val="24"/>
          <w:szCs w:val="24"/>
          <w:lang w:eastAsia="zh-CN"/>
        </w:rPr>
        <w:t xml:space="preserve"> </w:t>
      </w:r>
      <w:r w:rsidRPr="00F532B5">
        <w:rPr>
          <w:rFonts w:ascii="Book Antiqua" w:hAnsi="Book Antiqua"/>
          <w:color w:val="auto"/>
          <w:sz w:val="24"/>
          <w:szCs w:val="24"/>
        </w:rPr>
        <w:t xml:space="preserve">is a rare, but potentially devastating disorder. Most literature is derived from the nephrology literature surrounding </w:t>
      </w:r>
      <w:r w:rsidRPr="00F532B5">
        <w:rPr>
          <w:rFonts w:ascii="Book Antiqua" w:hAnsi="Book Antiqua"/>
          <w:color w:val="auto"/>
          <w:sz w:val="24"/>
          <w:szCs w:val="24"/>
        </w:rPr>
        <w:lastRenderedPageBreak/>
        <w:t>peritoneal dialysis</w:t>
      </w:r>
      <w:r w:rsidR="008076B9" w:rsidRPr="00F532B5">
        <w:rPr>
          <w:rFonts w:ascii="Book Antiqua" w:hAnsi="Book Antiqua"/>
          <w:color w:val="auto"/>
          <w:sz w:val="24"/>
          <w:szCs w:val="24"/>
        </w:rPr>
        <w:t>, however, the gastroenterologist is likely to encounter</w:t>
      </w:r>
      <w:r w:rsidR="00C7655B">
        <w:rPr>
          <w:rFonts w:ascii="Book Antiqua" w:hAnsi="Book Antiqua" w:hint="eastAsia"/>
          <w:color w:val="auto"/>
          <w:sz w:val="24"/>
          <w:szCs w:val="24"/>
          <w:lang w:eastAsia="zh-CN"/>
        </w:rPr>
        <w:t xml:space="preserve"> </w:t>
      </w:r>
      <w:r w:rsidR="00AB0F7A" w:rsidRPr="00F532B5">
        <w:rPr>
          <w:rFonts w:ascii="Book Antiqua" w:hAnsi="Book Antiqua"/>
          <w:color w:val="auto"/>
          <w:sz w:val="24"/>
          <w:szCs w:val="24"/>
        </w:rPr>
        <w:t>EPS</w:t>
      </w:r>
      <w:r w:rsidR="00C7655B">
        <w:rPr>
          <w:rFonts w:ascii="Book Antiqua" w:hAnsi="Book Antiqua" w:hint="eastAsia"/>
          <w:color w:val="auto"/>
          <w:sz w:val="24"/>
          <w:szCs w:val="24"/>
          <w:lang w:eastAsia="zh-CN"/>
        </w:rPr>
        <w:t xml:space="preserve"> </w:t>
      </w:r>
      <w:r w:rsidR="008076B9" w:rsidRPr="00F532B5">
        <w:rPr>
          <w:rFonts w:ascii="Book Antiqua" w:hAnsi="Book Antiqua"/>
          <w:color w:val="auto"/>
          <w:sz w:val="24"/>
          <w:szCs w:val="24"/>
        </w:rPr>
        <w:t xml:space="preserve">from a variety of etiologies. We present a comprehensive review of EPS from all etiologies and </w:t>
      </w:r>
      <w:r w:rsidR="00375303" w:rsidRPr="00F532B5">
        <w:rPr>
          <w:rFonts w:ascii="Book Antiqua" w:hAnsi="Book Antiqua"/>
          <w:color w:val="auto"/>
          <w:sz w:val="24"/>
          <w:szCs w:val="24"/>
        </w:rPr>
        <w:t xml:space="preserve">a summary of treatments from a gastroenterologist’s perspective including </w:t>
      </w:r>
      <w:r w:rsidR="009017F4" w:rsidRPr="00F532B5">
        <w:rPr>
          <w:rFonts w:ascii="Book Antiqua" w:hAnsi="Book Antiqua"/>
          <w:color w:val="auto"/>
          <w:sz w:val="24"/>
          <w:szCs w:val="24"/>
        </w:rPr>
        <w:t xml:space="preserve">the role of nutrition, surgery, immunosuppression, anti-fibrotic agents, and </w:t>
      </w:r>
      <w:r w:rsidR="001868EC" w:rsidRPr="00F532B5">
        <w:rPr>
          <w:rFonts w:ascii="Book Antiqua" w:hAnsi="Book Antiqua"/>
          <w:color w:val="auto"/>
          <w:sz w:val="24"/>
          <w:szCs w:val="24"/>
        </w:rPr>
        <w:t>the novel use of μ-opioid antagonists and guanylate cyclase C agonists</w:t>
      </w:r>
      <w:r w:rsidR="009017F4" w:rsidRPr="00F532B5">
        <w:rPr>
          <w:rFonts w:ascii="Book Antiqua" w:hAnsi="Book Antiqua"/>
          <w:color w:val="auto"/>
          <w:sz w:val="24"/>
          <w:szCs w:val="24"/>
        </w:rPr>
        <w:t xml:space="preserve"> in the management of patients with EPS</w:t>
      </w:r>
      <w:r w:rsidR="00676234" w:rsidRPr="00F532B5">
        <w:rPr>
          <w:rFonts w:ascii="Book Antiqua" w:hAnsi="Book Antiqua"/>
          <w:color w:val="auto"/>
          <w:sz w:val="24"/>
          <w:szCs w:val="24"/>
        </w:rPr>
        <w:t>.</w:t>
      </w:r>
    </w:p>
    <w:p w14:paraId="76B5E8D4" w14:textId="77777777" w:rsidR="004872B2" w:rsidRPr="00F532B5" w:rsidRDefault="004872B2" w:rsidP="00D92508">
      <w:pPr>
        <w:snapToGrid w:val="0"/>
        <w:spacing w:line="360" w:lineRule="auto"/>
        <w:jc w:val="both"/>
        <w:rPr>
          <w:rFonts w:ascii="Book Antiqua" w:hAnsi="Book Antiqua"/>
          <w:color w:val="auto"/>
          <w:sz w:val="24"/>
          <w:szCs w:val="24"/>
          <w:lang w:eastAsia="zh-CN"/>
        </w:rPr>
      </w:pPr>
    </w:p>
    <w:p w14:paraId="2CEDA697" w14:textId="173DF455" w:rsidR="001868EC" w:rsidRPr="00F532B5" w:rsidRDefault="001868EC" w:rsidP="00D92508">
      <w:pPr>
        <w:snapToGrid w:val="0"/>
        <w:spacing w:line="360" w:lineRule="auto"/>
        <w:jc w:val="both"/>
        <w:rPr>
          <w:rFonts w:ascii="Book Antiqua" w:hAnsi="Book Antiqua"/>
          <w:color w:val="auto"/>
          <w:sz w:val="24"/>
          <w:szCs w:val="24"/>
          <w:lang w:eastAsia="zh-CN"/>
        </w:rPr>
      </w:pPr>
      <w:r w:rsidRPr="00F532B5">
        <w:rPr>
          <w:rFonts w:ascii="Book Antiqua" w:hAnsi="Book Antiqua"/>
          <w:color w:val="auto"/>
          <w:sz w:val="24"/>
          <w:szCs w:val="24"/>
        </w:rPr>
        <w:t>Danford CJ, Lin SC, Smith MP, Wolf JL. Encapsulating peritoneal sclerosis</w:t>
      </w:r>
      <w:r w:rsidR="00E2066D">
        <w:rPr>
          <w:rFonts w:ascii="Book Antiqua" w:hAnsi="Book Antiqua" w:hint="eastAsia"/>
          <w:color w:val="auto"/>
          <w:sz w:val="24"/>
          <w:szCs w:val="24"/>
          <w:lang w:eastAsia="zh-CN"/>
        </w:rPr>
        <w:t>.</w:t>
      </w:r>
      <w:bookmarkStart w:id="28" w:name="OLE_LINK1105"/>
      <w:bookmarkStart w:id="29" w:name="OLE_LINK1107"/>
      <w:r w:rsidR="00674069">
        <w:rPr>
          <w:rFonts w:ascii="Book Antiqua" w:hAnsi="Book Antiqua" w:hint="eastAsia"/>
          <w:color w:val="auto"/>
          <w:sz w:val="24"/>
          <w:szCs w:val="24"/>
          <w:lang w:eastAsia="zh-CN"/>
        </w:rPr>
        <w:t xml:space="preserve"> </w:t>
      </w:r>
      <w:r w:rsidR="00E2066D" w:rsidRPr="00E2066D">
        <w:rPr>
          <w:rFonts w:ascii="Book Antiqua" w:hAnsi="Book Antiqua"/>
          <w:i/>
          <w:color w:val="auto"/>
          <w:sz w:val="24"/>
          <w:szCs w:val="24"/>
          <w:lang w:val="en-US" w:eastAsia="zh-CN"/>
        </w:rPr>
        <w:t xml:space="preserve">World J Gastroenterol </w:t>
      </w:r>
      <w:r w:rsidR="00E2066D" w:rsidRPr="00E2066D">
        <w:rPr>
          <w:rFonts w:ascii="Book Antiqua" w:hAnsi="Book Antiqua"/>
          <w:color w:val="auto"/>
          <w:sz w:val="24"/>
          <w:szCs w:val="24"/>
          <w:lang w:val="en-US" w:eastAsia="zh-CN"/>
        </w:rPr>
        <w:t>201</w:t>
      </w:r>
      <w:r w:rsidR="00E2066D" w:rsidRPr="00E2066D">
        <w:rPr>
          <w:rFonts w:ascii="Book Antiqua" w:hAnsi="Book Antiqua" w:hint="eastAsia"/>
          <w:color w:val="auto"/>
          <w:sz w:val="24"/>
          <w:szCs w:val="24"/>
          <w:lang w:val="en-US" w:eastAsia="zh-CN"/>
        </w:rPr>
        <w:t>8</w:t>
      </w:r>
      <w:r w:rsidR="00E2066D" w:rsidRPr="00E2066D">
        <w:rPr>
          <w:rFonts w:ascii="Book Antiqua" w:hAnsi="Book Antiqua"/>
          <w:color w:val="auto"/>
          <w:sz w:val="24"/>
          <w:szCs w:val="24"/>
          <w:lang w:val="en-US" w:eastAsia="zh-CN"/>
        </w:rPr>
        <w:t>; In press</w:t>
      </w:r>
      <w:bookmarkEnd w:id="28"/>
      <w:bookmarkEnd w:id="29"/>
    </w:p>
    <w:p w14:paraId="3741FFA5" w14:textId="77777777" w:rsidR="004872B2" w:rsidRPr="00F532B5" w:rsidRDefault="004872B2" w:rsidP="00D92508">
      <w:pPr>
        <w:snapToGrid w:val="0"/>
        <w:spacing w:line="360" w:lineRule="auto"/>
        <w:jc w:val="both"/>
        <w:rPr>
          <w:rFonts w:ascii="Book Antiqua" w:hAnsi="Book Antiqua"/>
          <w:color w:val="auto"/>
          <w:sz w:val="24"/>
          <w:szCs w:val="24"/>
          <w:lang w:val="pl-PL" w:eastAsia="zh-CN"/>
        </w:rPr>
      </w:pPr>
    </w:p>
    <w:p w14:paraId="574231BB" w14:textId="734244AA" w:rsidR="006665D9" w:rsidRPr="00F532B5" w:rsidRDefault="006665D9" w:rsidP="00D92508">
      <w:pPr>
        <w:snapToGrid w:val="0"/>
        <w:spacing w:line="360" w:lineRule="auto"/>
        <w:jc w:val="both"/>
        <w:rPr>
          <w:rFonts w:ascii="Book Antiqua" w:hAnsi="Book Antiqua"/>
          <w:b/>
          <w:color w:val="auto"/>
          <w:sz w:val="24"/>
          <w:szCs w:val="24"/>
        </w:rPr>
      </w:pPr>
      <w:r w:rsidRPr="00F532B5">
        <w:rPr>
          <w:rFonts w:ascii="Book Antiqua" w:hAnsi="Book Antiqua"/>
          <w:b/>
          <w:color w:val="auto"/>
          <w:sz w:val="24"/>
          <w:szCs w:val="24"/>
        </w:rPr>
        <w:br w:type="page"/>
      </w:r>
    </w:p>
    <w:p w14:paraId="7E846895" w14:textId="77777777" w:rsidR="000B3E3D" w:rsidRPr="001B2FC8" w:rsidRDefault="00754926" w:rsidP="00D92508">
      <w:pPr>
        <w:snapToGrid w:val="0"/>
        <w:spacing w:line="360" w:lineRule="auto"/>
        <w:jc w:val="both"/>
        <w:rPr>
          <w:rFonts w:ascii="Book Antiqua" w:hAnsi="Book Antiqua"/>
          <w:b/>
          <w:caps/>
          <w:color w:val="auto"/>
          <w:sz w:val="24"/>
          <w:szCs w:val="24"/>
        </w:rPr>
      </w:pPr>
      <w:r w:rsidRPr="001B2FC8">
        <w:rPr>
          <w:rFonts w:ascii="Book Antiqua" w:hAnsi="Book Antiqua"/>
          <w:b/>
          <w:caps/>
          <w:color w:val="auto"/>
          <w:sz w:val="24"/>
          <w:szCs w:val="24"/>
        </w:rPr>
        <w:lastRenderedPageBreak/>
        <w:t>Introduction</w:t>
      </w:r>
    </w:p>
    <w:p w14:paraId="38AD26E6" w14:textId="77777777" w:rsidR="0016371C" w:rsidRPr="001B2FC8" w:rsidRDefault="00754926" w:rsidP="00D92508">
      <w:pPr>
        <w:snapToGrid w:val="0"/>
        <w:spacing w:line="360" w:lineRule="auto"/>
        <w:jc w:val="both"/>
        <w:rPr>
          <w:rFonts w:ascii="Book Antiqua" w:hAnsi="Book Antiqua"/>
          <w:b/>
          <w:i/>
          <w:color w:val="auto"/>
          <w:sz w:val="24"/>
          <w:szCs w:val="24"/>
        </w:rPr>
      </w:pPr>
      <w:r w:rsidRPr="001B2FC8">
        <w:rPr>
          <w:rFonts w:ascii="Book Antiqua" w:hAnsi="Book Antiqua"/>
          <w:b/>
          <w:i/>
          <w:color w:val="auto"/>
          <w:sz w:val="24"/>
          <w:szCs w:val="24"/>
        </w:rPr>
        <w:t>Definition</w:t>
      </w:r>
    </w:p>
    <w:p w14:paraId="65BA0850" w14:textId="51F9133B" w:rsidR="0016371C" w:rsidRPr="00F532B5" w:rsidRDefault="00754926" w:rsidP="001B2FC8">
      <w:pPr>
        <w:widowControl w:val="0"/>
        <w:autoSpaceDE w:val="0"/>
        <w:autoSpaceDN w:val="0"/>
        <w:adjustRightInd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Encapsulating peritoneal sclerosis (EPS) is a rare clinical syndrome characterized by an acquired, inflammatory fibrocollagenous membrane encasing the small intestine, resulting in symptoms of bowel o</w:t>
      </w:r>
      <w:r w:rsidR="000A48FE" w:rsidRPr="00F532B5">
        <w:rPr>
          <w:rFonts w:ascii="Book Antiqua" w:hAnsi="Book Antiqua"/>
          <w:color w:val="auto"/>
          <w:sz w:val="24"/>
          <w:szCs w:val="24"/>
        </w:rPr>
        <w:t>bstruction.</w:t>
      </w:r>
      <w:r w:rsidR="006D7818">
        <w:rPr>
          <w:rFonts w:ascii="Book Antiqua" w:hAnsi="Book Antiqua"/>
          <w:color w:val="auto"/>
          <w:sz w:val="24"/>
          <w:szCs w:val="24"/>
        </w:rPr>
        <w:t xml:space="preserve"> </w:t>
      </w:r>
      <w:r w:rsidR="000A48FE" w:rsidRPr="00F532B5">
        <w:rPr>
          <w:rFonts w:ascii="Book Antiqua" w:hAnsi="Book Antiqua"/>
          <w:color w:val="auto"/>
          <w:sz w:val="24"/>
          <w:szCs w:val="24"/>
        </w:rPr>
        <w:t xml:space="preserve">It is defined by </w:t>
      </w:r>
      <w:r w:rsidRPr="00F532B5">
        <w:rPr>
          <w:rFonts w:ascii="Book Antiqua" w:hAnsi="Book Antiqua"/>
          <w:color w:val="auto"/>
          <w:sz w:val="24"/>
          <w:szCs w:val="24"/>
        </w:rPr>
        <w:t>the International S</w:t>
      </w:r>
      <w:r w:rsidR="005E0437" w:rsidRPr="00F532B5">
        <w:rPr>
          <w:rFonts w:ascii="Book Antiqua" w:hAnsi="Book Antiqua"/>
          <w:color w:val="auto"/>
          <w:sz w:val="24"/>
          <w:szCs w:val="24"/>
        </w:rPr>
        <w:t>ociety for Peritoneal Dialysis</w:t>
      </w:r>
      <w:r w:rsidRPr="00F532B5">
        <w:rPr>
          <w:rFonts w:ascii="Book Antiqua" w:hAnsi="Book Antiqua"/>
          <w:color w:val="auto"/>
          <w:sz w:val="24"/>
          <w:szCs w:val="24"/>
        </w:rPr>
        <w:t xml:space="preserve"> as “a syndrome continuously, intermittently, or repeatedly presenting with symptoms of intestinal obstruction caused by adhesions of a diffusely thickened peritoneum”</w:t>
      </w:r>
      <w:r w:rsidR="00661E15"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"ISBN" : "0896-8608 (Print)\\r0896-8608 (Linking)", "ISSN" : "0896-8608", "PMID" : "11098928", "abstract" : "Current definitions of encapsulating peritoneal sclerosis are practical and clinically relevant. It is important to adhere to a more uniform use of the proper terminology, and it is the recommendation of the authors that EPS be adopted as the more appropriate term. The best literal definition of EPS is based on clinical-pathologic criteria. Differentiation of EPS from the general category of ultrafiltration failure is required. Further, better appreciation of the diverse pathways that can lead to the same final common clinical-pathologic picture should not be overshadowed by the requirement of uniform terminology. Incidence and prevalence of the syndrome have been defined in some large populations and a few single-center experiences. The former show an incidence of less than 1%, while higher percentages are reported in the latter. The reported increased incidence with duration on therapy requires validation. The epidemiology of the syndrome offers limited insight into its pathogenesis. A list of factors, both dialysis-related and non dialysis-related. has been accumulated. Except in a few categories where agents are clearly related to the development of EPS, the majority of the listed factors for dialysis-related BPS remain, at best, associations and at worst, simple conjecture. The same limitations that plague the issue of etiology apply in the area of pathogenesis. More basic, focused work is required. The diagnosis of EPS remains based on clinical suspicion confirmed with, primarily, radiologic findings. Pathologic confirmation is obtained in cases that come to surgery for management or for catheter removal. Radiologic studies are precise enough for confirmation, but none have been evaluated for early diagnosis for possible early intervention or prevention. Studies based on transport characteristics or effluent dialysate constituents are not useful for EPS. At present, there are no reliable predictive tests for BPS that can be used in individual patients. Therapy of BPS is based on anecdotal evidence. The possible variable etiologies and probable distinct pathways leading to the syndrome may make a uniform therapeutic approach unlikely. Further, the limited number of cases and the sporadic pattern of occurrences make therapeutic trials not readily feasible. This is distinct from the case of ultrafiltration failure, where significant advances in mechanism elucidation and rationale-based interventions have been made.", "author" : [ { "dropping-particle" : "", "family" : "Kawaguchi", "given" : "Yoshindo", "non-dropping-particle" : "", "parse-names" : false, "suffix" : "" }, { "dropping-particle" : "", "family" : "Kawanishi", "given" : "Hideki", "non-dropping-particle" : "", "parse-names" : false, "suffix" : "" }, { "dropping-particle" : "", "family" : "Mujais", "given" : "Salim", "non-dropping-particle" : "", "parse-names" : false, "suffix" : "" }, { "dropping-particle" : "", "family" : "Topley", "given" : "Nicholas", "non-dropping-particle" : "", "parse-names" : false, "suffix" : "" }, { "dropping-particle" : "", "family" : "Oreopoulos", "given" : "Dimitrios G", "non-dropping-particle" : "", "parse-names" : false, "suffix" : "" } ], "container-title" : "Peritoneal dialysis international : journal of the International Society for Peritoneal Dialysis", "id" : "ITEM-1", "issued" : { "date-parts" : [ [ "2000" ] ] }, "page" : "S43-55", "title" : "Encapsulating peritoneal sclerosis: definition, etiology, diagnosis, and treatment. International Society for Peritoneal Dialysis Ad Hoc Committee on Ultrafiltration Management in Peritoneal Dialysis.", "type" : "article-journal", "volume" : "20 Suppl 4" }, "uris" : [ "http://www.mendeley.com/documents/?uuid=77012d8a-5887-4c64-aa67-c7915f31825f" ] } ], "mendeley" : { "formattedCitation" : "&lt;sup&gt;[1]&lt;/sup&gt;", "plainTextFormattedCitation" : "[1]", "previouslyFormattedCitation" : "&lt;sup&gt;[1]&lt;/sup&gt;" }, "properties" : { "noteIndex" : 0 }, "schema" : "https://github.com/citation-style-language/schema/raw/master/csl-citation.json" }</w:instrText>
      </w:r>
      <w:r w:rsidR="00661E15"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[1]</w:t>
      </w:r>
      <w:r w:rsidR="00661E15" w:rsidRPr="00F532B5">
        <w:rPr>
          <w:rFonts w:ascii="Book Antiqua" w:hAnsi="Book Antiqua"/>
          <w:color w:val="auto"/>
          <w:sz w:val="24"/>
          <w:szCs w:val="24"/>
        </w:rPr>
        <w:fldChar w:fldCharType="end"/>
      </w:r>
      <w:r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 xml:space="preserve">Owtschinnikow first described encasement of the intestines by a fibrocollagenous membrane in 1907 and coined the term </w:t>
      </w:r>
      <w:r w:rsidRPr="00F532B5">
        <w:rPr>
          <w:rFonts w:ascii="Book Antiqua" w:hAnsi="Book Antiqua"/>
          <w:i/>
          <w:color w:val="auto"/>
          <w:sz w:val="24"/>
          <w:szCs w:val="24"/>
        </w:rPr>
        <w:t>peritonitis chronica fibrosa incapsulata</w:t>
      </w:r>
      <w:r w:rsidR="00661E15" w:rsidRPr="00F532B5">
        <w:rPr>
          <w:rFonts w:ascii="Book Antiqua" w:hAnsi="Book Antiqua"/>
          <w:i/>
          <w:color w:val="auto"/>
          <w:sz w:val="24"/>
          <w:szCs w:val="24"/>
        </w:rPr>
        <w:fldChar w:fldCharType="begin" w:fldLock="1"/>
      </w:r>
      <w:r w:rsidR="00BD54D6" w:rsidRPr="00F532B5">
        <w:rPr>
          <w:rFonts w:ascii="Book Antiqua" w:hAnsi="Book Antiqua"/>
          <w:i/>
          <w:color w:val="auto"/>
          <w:sz w:val="24"/>
          <w:szCs w:val="24"/>
        </w:rPr>
        <w:instrText>ADDIN CSL_CITATION { "citationItems" : [ { "id" : "ITEM-1", "itemData" : { "author" : [ { "dropping-particle" : "", "family" : "Owtschinnikow", "given" : "P.J.", "non-dropping-particle" : "", "parse-names" : false, "suffix" : "" } ], "container-title" : "Archiv f\u00fcr Klinische Chirurgie", "id" : "ITEM-1", "issued" : { "date-parts" : [ [ "1907" ] ] }, "page" : "623-634", "title" : "Peritonitis chronica fibrosa incapsulata", "type" : "article-journal", "volume" : "83" }, "uris" : [ "http://www.mendeley.com/documents/?uuid=e16615b9-a6da-44a7-af45-53bcec6da19d" ] } ], "mendeley" : { "formattedCitation" : "&lt;sup&gt;[2]&lt;/sup&gt;", "plainTextFormattedCitation" : "[2]", "previouslyFormattedCitation" : "&lt;sup&gt;[2]&lt;/sup&gt;" }, "properties" : { "noteIndex" : 0 }, "schema" : "https://github.com/citation-style-language/schema/raw/master/csl-citation.json" }</w:instrText>
      </w:r>
      <w:r w:rsidR="00661E15" w:rsidRPr="00F532B5">
        <w:rPr>
          <w:rFonts w:ascii="Book Antiqua" w:hAnsi="Book Antiqua"/>
          <w:i/>
          <w:color w:val="auto"/>
          <w:sz w:val="24"/>
          <w:szCs w:val="24"/>
        </w:rPr>
        <w:fldChar w:fldCharType="separate"/>
      </w:r>
      <w:r w:rsidR="00525A55" w:rsidRPr="00F532B5">
        <w:rPr>
          <w:rFonts w:ascii="Book Antiqua" w:hAnsi="Book Antiqua"/>
          <w:noProof/>
          <w:color w:val="auto"/>
          <w:sz w:val="24"/>
          <w:szCs w:val="24"/>
          <w:vertAlign w:val="superscript"/>
        </w:rPr>
        <w:t>[2]</w:t>
      </w:r>
      <w:r w:rsidR="00661E15" w:rsidRPr="00F532B5">
        <w:rPr>
          <w:rFonts w:ascii="Book Antiqua" w:hAnsi="Book Antiqua"/>
          <w:i/>
          <w:color w:val="auto"/>
          <w:sz w:val="24"/>
          <w:szCs w:val="24"/>
        </w:rPr>
        <w:fldChar w:fldCharType="end"/>
      </w:r>
      <w:r w:rsidRPr="00F532B5">
        <w:rPr>
          <w:rFonts w:ascii="Book Antiqua" w:hAnsi="Book Antiqua"/>
          <w:color w:val="auto"/>
          <w:sz w:val="24"/>
          <w:szCs w:val="24"/>
        </w:rPr>
        <w:t>.</w:t>
      </w:r>
      <w:r w:rsidR="006D7818">
        <w:rPr>
          <w:rFonts w:ascii="Book Antiqua" w:hAnsi="Book Antiqua"/>
          <w:color w:val="auto"/>
          <w:sz w:val="24"/>
          <w:szCs w:val="24"/>
        </w:rPr>
        <w:t xml:space="preserve"> </w:t>
      </w:r>
      <w:r w:rsidR="003B7A38" w:rsidRPr="00F532B5">
        <w:rPr>
          <w:rFonts w:ascii="Book Antiqua" w:hAnsi="Book Antiqua"/>
          <w:color w:val="auto"/>
          <w:sz w:val="24"/>
          <w:szCs w:val="24"/>
        </w:rPr>
        <w:t>EPS has also been known</w:t>
      </w:r>
      <w:r w:rsidR="005E2287" w:rsidRPr="00F532B5">
        <w:rPr>
          <w:rFonts w:ascii="Book Antiqua" w:hAnsi="Book Antiqua"/>
          <w:color w:val="auto"/>
          <w:sz w:val="24"/>
          <w:szCs w:val="24"/>
        </w:rPr>
        <w:t xml:space="preserve"> as</w:t>
      </w:r>
      <w:r w:rsidRPr="00F532B5">
        <w:rPr>
          <w:rFonts w:ascii="Book Antiqua" w:hAnsi="Book Antiqua"/>
          <w:color w:val="auto"/>
          <w:sz w:val="24"/>
          <w:szCs w:val="24"/>
        </w:rPr>
        <w:t xml:space="preserve"> </w:t>
      </w:r>
      <w:r w:rsidRPr="00F532B5">
        <w:rPr>
          <w:rFonts w:ascii="Book Antiqua" w:hAnsi="Book Antiqua"/>
          <w:i/>
          <w:color w:val="auto"/>
          <w:sz w:val="24"/>
          <w:szCs w:val="24"/>
        </w:rPr>
        <w:t>abdominal cocoon</w:t>
      </w:r>
      <w:r w:rsidRPr="00F532B5">
        <w:rPr>
          <w:rFonts w:ascii="Book Antiqua" w:hAnsi="Book Antiqua"/>
          <w:color w:val="auto"/>
          <w:sz w:val="24"/>
          <w:szCs w:val="24"/>
        </w:rPr>
        <w:t xml:space="preserve"> and </w:t>
      </w:r>
      <w:r w:rsidRPr="00F532B5">
        <w:rPr>
          <w:rFonts w:ascii="Book Antiqua" w:hAnsi="Book Antiqua"/>
          <w:i/>
          <w:color w:val="auto"/>
          <w:sz w:val="24"/>
          <w:szCs w:val="24"/>
        </w:rPr>
        <w:t>sclerosing encapsulating peritonitis</w:t>
      </w:r>
      <w:r w:rsidR="00A61AE6"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It should not be confus</w:t>
      </w:r>
      <w:r w:rsidR="00A61AE6" w:rsidRPr="00F532B5">
        <w:rPr>
          <w:rFonts w:ascii="Book Antiqua" w:hAnsi="Book Antiqua"/>
          <w:color w:val="auto"/>
          <w:sz w:val="24"/>
          <w:szCs w:val="24"/>
        </w:rPr>
        <w:t>ed with peritoneal encapsulation,</w:t>
      </w:r>
      <w:r w:rsidRPr="00F532B5">
        <w:rPr>
          <w:rFonts w:ascii="Book Antiqua" w:hAnsi="Book Antiqua"/>
          <w:color w:val="auto"/>
          <w:sz w:val="24"/>
          <w:szCs w:val="24"/>
        </w:rPr>
        <w:t xml:space="preserve"> a congenital condition characterized by an accessory peritoneal membrane encapsulating the intestines</w:t>
      </w:r>
      <w:r w:rsidR="000B3E3D" w:rsidRPr="00F532B5">
        <w:rPr>
          <w:rFonts w:ascii="Book Antiqua" w:hAnsi="Book Antiqua"/>
          <w:color w:val="auto"/>
          <w:sz w:val="24"/>
          <w:szCs w:val="24"/>
        </w:rPr>
        <w:t xml:space="preserve">, </w:t>
      </w:r>
      <w:r w:rsidRPr="00F532B5">
        <w:rPr>
          <w:rFonts w:ascii="Book Antiqua" w:hAnsi="Book Antiqua"/>
          <w:color w:val="auto"/>
          <w:sz w:val="24"/>
          <w:szCs w:val="24"/>
        </w:rPr>
        <w:t>without adhesions to the encased intestine</w:t>
      </w:r>
      <w:r w:rsidR="00EE76F0" w:rsidRPr="00F532B5">
        <w:rPr>
          <w:rFonts w:ascii="Book Antiqua" w:hAnsi="Book Antiqua"/>
          <w:color w:val="auto"/>
          <w:sz w:val="24"/>
          <w:szCs w:val="24"/>
        </w:rPr>
        <w:t xml:space="preserve"> often</w:t>
      </w:r>
      <w:r w:rsidRPr="00F532B5">
        <w:rPr>
          <w:rFonts w:ascii="Book Antiqua" w:hAnsi="Book Antiqua"/>
          <w:color w:val="auto"/>
          <w:sz w:val="24"/>
          <w:szCs w:val="24"/>
        </w:rPr>
        <w:t xml:space="preserve"> incidentally recognized during unrelated surgery</w:t>
      </w:r>
      <w:r w:rsidR="00661E15"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"author" : [ { "dropping-particle" : "", "family" : "Dario Casas", "given" : "J", "non-dropping-particle" : "", "parse-names" : false, "suffix" : "" }, { "dropping-particle" : "", "family" : "Mariscal", "given" : "Antonio", "non-dropping-particle" : "", "parse-names" : false, "suffix" : "" }, { "dropping-particle" : "", "family" : "Martinez", "given" : "Nuria", "non-dropping-particle" : "", "parse-names" : false, "suffix" : "" } ], "container-title" : "American Journal of Roentgenology", "id" : "ITEM-1", "issued" : { "date-parts" : [ [ "1998" ] ] }, "page" : "1017-1019", "title" : "Case Report Peritoneal Encapsulation : CT Appearance", "type" : "article-journal", "volume" : "171" }, "uris" : [ "http://www.mendeley.com/documents/?uuid=088eaafc-4d34-4b4a-9153-84e077f53e4d" ] } ], "mendeley" : { "formattedCitation" : "&lt;sup&gt;[3]&lt;/sup&gt;", "plainTextFormattedCitation" : "[3]", "previouslyFormattedCitation" : "&lt;sup&gt;[3]&lt;/sup&gt;" }, "properties" : { "noteIndex" : 0 }, "schema" : "https://github.com/citation-style-language/schema/raw/master/csl-citation.json" }</w:instrText>
      </w:r>
      <w:r w:rsidR="00661E15"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[3]</w:t>
      </w:r>
      <w:r w:rsidR="00661E15" w:rsidRPr="00F532B5">
        <w:rPr>
          <w:rFonts w:ascii="Book Antiqua" w:hAnsi="Book Antiqua"/>
          <w:color w:val="auto"/>
          <w:sz w:val="24"/>
          <w:szCs w:val="24"/>
        </w:rPr>
        <w:fldChar w:fldCharType="end"/>
      </w:r>
      <w:r w:rsidR="00A61AE6" w:rsidRPr="00F532B5">
        <w:rPr>
          <w:rFonts w:ascii="Book Antiqua" w:hAnsi="Book Antiqua"/>
          <w:color w:val="auto"/>
          <w:sz w:val="24"/>
          <w:szCs w:val="24"/>
        </w:rPr>
        <w:t xml:space="preserve">. </w:t>
      </w:r>
    </w:p>
    <w:p w14:paraId="2CDDDF32" w14:textId="77777777" w:rsidR="00422DDD" w:rsidRPr="00F532B5" w:rsidRDefault="00422DDD" w:rsidP="001B2FC8">
      <w:pPr>
        <w:widowControl w:val="0"/>
        <w:autoSpaceDE w:val="0"/>
        <w:autoSpaceDN w:val="0"/>
        <w:adjustRightInd w:val="0"/>
        <w:snapToGrid w:val="0"/>
        <w:spacing w:line="360" w:lineRule="auto"/>
        <w:jc w:val="both"/>
        <w:rPr>
          <w:rFonts w:ascii="Book Antiqua" w:hAnsi="Book Antiqua"/>
          <w:color w:val="auto"/>
          <w:sz w:val="24"/>
          <w:szCs w:val="24"/>
          <w:lang w:eastAsia="zh-CN"/>
        </w:rPr>
      </w:pPr>
    </w:p>
    <w:p w14:paraId="56C85DD9" w14:textId="77777777" w:rsidR="0016371C" w:rsidRPr="001B2FC8" w:rsidRDefault="00754926" w:rsidP="00D92508">
      <w:pPr>
        <w:snapToGrid w:val="0"/>
        <w:spacing w:line="360" w:lineRule="auto"/>
        <w:jc w:val="both"/>
        <w:rPr>
          <w:rFonts w:ascii="Book Antiqua" w:hAnsi="Book Antiqua"/>
          <w:b/>
          <w:i/>
          <w:color w:val="auto"/>
          <w:sz w:val="24"/>
          <w:szCs w:val="24"/>
        </w:rPr>
      </w:pPr>
      <w:r w:rsidRPr="001B2FC8">
        <w:rPr>
          <w:rFonts w:ascii="Book Antiqua" w:hAnsi="Book Antiqua"/>
          <w:b/>
          <w:i/>
          <w:color w:val="auto"/>
          <w:sz w:val="24"/>
          <w:szCs w:val="24"/>
        </w:rPr>
        <w:t>Etiology</w:t>
      </w:r>
    </w:p>
    <w:p w14:paraId="5FC5421E" w14:textId="09704978" w:rsidR="0016371C" w:rsidRPr="00F532B5" w:rsidRDefault="00754926" w:rsidP="001B2FC8">
      <w:pPr>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EPS can be divided into primary (idiopathic) or secondary in which a trigger for the inflammatory process can be identified.</w:t>
      </w:r>
      <w:r w:rsidR="006D7818">
        <w:rPr>
          <w:rFonts w:ascii="Book Antiqua" w:hAnsi="Book Antiqua"/>
          <w:color w:val="auto"/>
          <w:sz w:val="24"/>
          <w:szCs w:val="24"/>
        </w:rPr>
        <w:t xml:space="preserve"> </w:t>
      </w:r>
      <w:r w:rsidR="00A61AE6" w:rsidRPr="00F532B5">
        <w:rPr>
          <w:rFonts w:ascii="Book Antiqua" w:hAnsi="Book Antiqua"/>
          <w:color w:val="auto"/>
          <w:sz w:val="24"/>
          <w:szCs w:val="24"/>
        </w:rPr>
        <w:t xml:space="preserve">Primary EPS was </w:t>
      </w:r>
      <w:r w:rsidR="00B7399F" w:rsidRPr="00F532B5">
        <w:rPr>
          <w:rFonts w:ascii="Book Antiqua" w:hAnsi="Book Antiqua"/>
          <w:color w:val="auto"/>
          <w:sz w:val="24"/>
          <w:szCs w:val="24"/>
        </w:rPr>
        <w:t>c</w:t>
      </w:r>
      <w:r w:rsidR="00A61AE6" w:rsidRPr="00F532B5">
        <w:rPr>
          <w:rFonts w:ascii="Book Antiqua" w:hAnsi="Book Antiqua"/>
          <w:color w:val="auto"/>
          <w:sz w:val="24"/>
          <w:szCs w:val="24"/>
        </w:rPr>
        <w:t xml:space="preserve">lassically thought to </w:t>
      </w:r>
      <w:r w:rsidR="00B7399F" w:rsidRPr="00F532B5">
        <w:rPr>
          <w:rFonts w:ascii="Book Antiqua" w:hAnsi="Book Antiqua"/>
          <w:color w:val="auto"/>
          <w:sz w:val="24"/>
          <w:szCs w:val="24"/>
        </w:rPr>
        <w:t>afflict adolescent women in</w:t>
      </w:r>
      <w:r w:rsidR="00A61AE6" w:rsidRPr="00F532B5">
        <w:rPr>
          <w:rFonts w:ascii="Book Antiqua" w:hAnsi="Book Antiqua"/>
          <w:color w:val="auto"/>
          <w:sz w:val="24"/>
          <w:szCs w:val="24"/>
        </w:rPr>
        <w:t xml:space="preserve"> tropical and subtropical areas</w:t>
      </w:r>
      <w:r w:rsidR="00846812" w:rsidRPr="00F532B5">
        <w:rPr>
          <w:rFonts w:ascii="Book Antiqua" w:hAnsi="Book Antiqua"/>
          <w:color w:val="auto"/>
          <w:sz w:val="24"/>
          <w:szCs w:val="24"/>
        </w:rPr>
        <w:t xml:space="preserve"> leading to theories </w:t>
      </w:r>
      <w:r w:rsidR="007B12D8" w:rsidRPr="00F532B5">
        <w:rPr>
          <w:rFonts w:ascii="Book Antiqua" w:hAnsi="Book Antiqua"/>
          <w:color w:val="auto"/>
          <w:sz w:val="24"/>
          <w:szCs w:val="24"/>
        </w:rPr>
        <w:t>of retrograde menstruation or gynecologic infection as the cause</w:t>
      </w:r>
      <w:r w:rsidR="00A61AE6" w:rsidRPr="00F532B5">
        <w:rPr>
          <w:rFonts w:ascii="Book Antiqua" w:hAnsi="Book Antiqua"/>
          <w:color w:val="auto"/>
          <w:sz w:val="24"/>
          <w:szCs w:val="24"/>
        </w:rPr>
        <w:t>.</w:t>
      </w:r>
      <w:r w:rsidR="006D7818">
        <w:rPr>
          <w:rFonts w:ascii="Book Antiqua" w:hAnsi="Book Antiqua"/>
          <w:color w:val="auto"/>
          <w:sz w:val="24"/>
          <w:szCs w:val="24"/>
        </w:rPr>
        <w:t xml:space="preserve"> </w:t>
      </w:r>
      <w:r w:rsidR="00A61AE6" w:rsidRPr="00F532B5">
        <w:rPr>
          <w:rFonts w:ascii="Book Antiqua" w:hAnsi="Book Antiqua"/>
          <w:color w:val="auto"/>
          <w:sz w:val="24"/>
          <w:szCs w:val="24"/>
        </w:rPr>
        <w:t xml:space="preserve">Though the largest studies of primary </w:t>
      </w:r>
      <w:r w:rsidRPr="00F532B5">
        <w:rPr>
          <w:rFonts w:ascii="Book Antiqua" w:hAnsi="Book Antiqua"/>
          <w:color w:val="auto"/>
          <w:sz w:val="24"/>
          <w:szCs w:val="24"/>
        </w:rPr>
        <w:t xml:space="preserve">EPS </w:t>
      </w:r>
      <w:r w:rsidR="00A61AE6" w:rsidRPr="00F532B5">
        <w:rPr>
          <w:rFonts w:ascii="Book Antiqua" w:hAnsi="Book Antiqua"/>
          <w:color w:val="auto"/>
          <w:sz w:val="24"/>
          <w:szCs w:val="24"/>
        </w:rPr>
        <w:t xml:space="preserve">confirm its equatorial predilection, </w:t>
      </w:r>
      <w:r w:rsidRPr="00F532B5">
        <w:rPr>
          <w:rFonts w:ascii="Book Antiqua" w:hAnsi="Book Antiqua"/>
          <w:color w:val="auto"/>
          <w:sz w:val="24"/>
          <w:szCs w:val="24"/>
        </w:rPr>
        <w:t xml:space="preserve">men </w:t>
      </w:r>
      <w:r w:rsidR="00A61AE6" w:rsidRPr="00F532B5">
        <w:rPr>
          <w:rFonts w:ascii="Book Antiqua" w:hAnsi="Book Antiqua"/>
          <w:color w:val="auto"/>
          <w:sz w:val="24"/>
          <w:szCs w:val="24"/>
        </w:rPr>
        <w:t xml:space="preserve">are </w:t>
      </w:r>
      <w:r w:rsidRPr="00F532B5">
        <w:rPr>
          <w:rFonts w:ascii="Book Antiqua" w:hAnsi="Book Antiqua"/>
          <w:color w:val="auto"/>
          <w:sz w:val="24"/>
          <w:szCs w:val="24"/>
        </w:rPr>
        <w:t>more commonly affected than women in a 2:1 ratio</w:t>
      </w:r>
      <w:r w:rsidR="00A205EB"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"10.1007/s00268-014-2458-6", "ISBN" : "0364-2313", "ISSN" : "14322323", "PMID" : "24519587", "abstract" : "BACKGROUND: The abdominal cocoon (AC) is a condition in which a variable length of healthy small bowel is enveloped in a fibrocollagenous membrane, giving the appearance of a cocoon. Early experiences with treatment were associated with high mortality and morbidity rates and a low preoperative diagnostic rate, leading to underestimation of the treatment benefit of surgery. METHODS: We retrospectively reviewed the medical records of 65 patients who were diagnosed as having AC from 2001 to 2011. The clinical data, surgical intervention, and perioperative management were carefully reviewed. RESULTS: The 65 patients (57 male, 8 female) had a median age of 39 years (range 14-79 years). Patients who received preoperative nutritional support had higher rate of grade 0 complications (p = 0.012) and a lower rate of grade II complications (p = 0.012) than those without nutritional support. Intestinal stenting during surgical intervention also decreased both grade I (p = 0.012) and grade II (p = 0.007) complications. Patients who received preoperative nutritional support and underwent intestinal stenting had a lower rate of postoperative complications (p &lt; 0.05). In addition, patients with preoperative nutritional support were more satisfied postoperatively (p = 0.018) than those without nutritional support. This was also observed in patients with intestinal stenting versus those without it (p = 0.027). CONCLUSIONS: Our single-center study with a large number of patients provided evidence regarding the epidemiology of AC. Preoperative nutritional support and intestinal stenting significantly reduced postoperative complications and, more importantly, increased postoperative satisfaction.", "author" : [ { "dropping-particle" : "", "family" : "Li", "given" : "Ning", "non-dropping-particle" : "", "parse-names" : false, "suffix" : "" }, { "dropping-particle" : "", "family" : "Zhu", "given" : "Weiming", "non-dropping-particle" : "", "parse-names" : false, "suffix" : "" }, { "dropping-particle" : "", "family" : "Li", "given" : "Yi", "non-dropping-particle" : "", "parse-names" : false, "suffix" : "" }, { "dropping-particle" : "", "family" : "Gong", "given" : "Jianfeng", "non-dropping-particle" : "", "parse-names" : false, "suffix" : "" }, { "dropping-particle" : "", "family" : "Gu", "given" : "Lili", "non-dropping-particle" : "", "parse-names" : false, "suffix" : "" }, { "dropping-particle" : "", "family" : "Li", "given" : "Min", "non-dropping-particle" : "", "parse-names" : false, "suffix" : "" }, { "dropping-particle" : "", "family" : "Cao", "given" : "Lei", "non-dropping-particle" : "", "parse-names" : false, "suffix" : "" }, { "dropping-particle" : "", "family" : "Li", "given" : "Jieshou", "non-dropping-particle" : "", "parse-names" : false, "suffix" : "" } ], "container-title" : "World Journal of Surgery", "id" : "ITEM-1", "issue" : "7", "issued" : { "date-parts" : [ [ "2014" ] ] }, "page" : "1860-1867", "title" : "Surgical treatment and perioperative management of idiopathic abdominal cocoon: Single-center review of 65 cases", "type" : "article-journal", "volume" : "38" }, "uris" : [ "http://www.mendeley.com/documents/?uuid=5b540d2a-077d-4454-9670-8688d5c9fd40" ] }, { "id" : "ITEM-2", "itemData" : { "DOI" : "10.3748/wjg.v21.i2.675", "ISBN" : "2219-2840 (Electronic)\\r1007-9327 (Linking)", "ISSN" : "22192840", "PMID" : "25593498", "abstract" : "AIM: To review the literature on idiopathic sclerosing encapsulating peritonitis (SEP), also known as abdominal cocoon syndrome.\\n\\nMETHODS: The PubMed, MEDLINE, Google Scholar, and Google databases were searched using specific key words to identify articles related to idiopathic SEP. These key words were \"sclerosing encapsulating peritonitis,\" \"idiopathic sclerosing encapsulating peritonitis,\" \"abdominal cocoon,\" and \"abdominal cocoon syndrome.\" The search included letters to the editor, case reports, review articles, original articles, and meeting presentations published in the English-language literature from January 2000 to May 2014. Articles or abstracts containing adequate information about age, sex, symptom duration, initial diagnosis, radiological tools, and surgical approaches were included in the study. Papers with missing or inadequate data were excluded.\\n\\nRESULTS: The literature search yielded 73 articles on idiopathic (primary) SEP published in 23 countries. The four countries that published the greatest number of articles were India (n = 21), Turkey (n = 14), China (n = 8) and Nigeria (n = 3). The four countries that reported the greatest number of cases were China (n = 104; 53.88%), India (n = 35; 18.13%), Turkey (n = 17; 8.80%) and Nigeria (n = 5; 2.59%). The present study included 193 patients. Data on age could be obtained for 184 patients (range: 7-87 years; mean \u00b1 SD, 34.7 \u00b1 19.2 years), but were unavailable for nine patients. Of the 184 patients, 122 were male and 62 were female; sex data could not be accessed in the remaining nine patients. Of the 149 patients whose preoperative diagnosis information could be obtained, 65 (43.6%) underwent operations for abdominal cocoon, while the majority of the remaining patients underwent operations for a presumed diagnosis of intestinal obstruction and/or abdominal mass. Management information could be retrieved for 115 patients. Of these, 68 underwent excision + adhesiolysis (one laparoscopic); 24 underwent prophylactic appendectomy in addition to excision + adhesiolysis. Twenty patients underwent various resection and repair techniques along with excision + adhesiolysis. The remaining three patients were managed with antituberculosis therapy (n = 2) and immunosuppressive therapy (n = 1).\\n\\nCONCLUSION: Idiopathic SEP is a rare disorder characterized by frequently recurring bouts of intestinal obstruction. Surgical therapy is the gold standard management strategy.", "author" : [ { "dropping-particle" : "", "family" : "Akbulut", "given" : "Sami", "non-dropping-particle" : "", "parse-names" : false, "suffix" : "" } ], "container-title" : "World Journal of Gastroenterology", "id" : "ITEM-2", "issue" : "2", "issued" : { "date-parts" : [ [ "2015" ] ] }, "page" : "675-687", "title" : "Accurate definition and management of idiopathic sclerosing encapsulating peritonitis", "type" : "article-journal", "volume" : "21" }, "uris" : [ "http://www.mendeley.com/documents/?uuid=37042046-5872-4504-89d0-b99e49748d6c" ] } ], "mendeley" : { "formattedCitation" : "&lt;sup&gt;[4,5]&lt;/sup&gt;", "plainTextFormattedCitation" : "[4,5]", "previouslyFormattedCitation" : "&lt;sup&gt;[4,5]&lt;/sup&gt;" }, "properties" : { "noteIndex" : 0 }, "schema" : "https://github.com/citation-style-language/schema/raw/master/csl-citation.json" }</w:instrText>
      </w:r>
      <w:r w:rsidR="00A205EB"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[4,5]</w:t>
      </w:r>
      <w:r w:rsidR="00A205EB" w:rsidRPr="00F532B5">
        <w:rPr>
          <w:rFonts w:ascii="Book Antiqua" w:hAnsi="Book Antiqua"/>
          <w:color w:val="auto"/>
          <w:sz w:val="24"/>
          <w:szCs w:val="24"/>
        </w:rPr>
        <w:fldChar w:fldCharType="end"/>
      </w:r>
      <w:r w:rsidR="007B12D8" w:rsidRPr="00F532B5">
        <w:rPr>
          <w:rFonts w:ascii="Book Antiqua" w:hAnsi="Book Antiqua"/>
          <w:color w:val="auto"/>
          <w:sz w:val="24"/>
          <w:szCs w:val="24"/>
        </w:rPr>
        <w:t xml:space="preserve"> and the etiology remains unclear.</w:t>
      </w:r>
    </w:p>
    <w:p w14:paraId="1A56B254" w14:textId="351EDB4F" w:rsidR="0016371C" w:rsidRPr="00F532B5" w:rsidRDefault="00754926" w:rsidP="001B2FC8">
      <w:pPr>
        <w:snapToGrid w:val="0"/>
        <w:spacing w:line="360" w:lineRule="auto"/>
        <w:ind w:firstLineChars="100" w:firstLine="240"/>
        <w:jc w:val="both"/>
        <w:rPr>
          <w:rFonts w:ascii="Book Antiqua" w:hAnsi="Book Antiqua"/>
          <w:color w:val="auto"/>
          <w:sz w:val="24"/>
          <w:szCs w:val="24"/>
        </w:rPr>
      </w:pPr>
      <w:r w:rsidRPr="00F532B5">
        <w:rPr>
          <w:rFonts w:ascii="Book Antiqua" w:hAnsi="Book Antiqua"/>
          <w:color w:val="auto"/>
          <w:sz w:val="24"/>
          <w:szCs w:val="24"/>
        </w:rPr>
        <w:t>In secondary EPS, a local or systemic factor can be identified as triggering peritoneal inflammation.</w:t>
      </w:r>
      <w:r w:rsidR="006D7818">
        <w:rPr>
          <w:rFonts w:ascii="Book Antiqua" w:hAnsi="Book Antiqua"/>
          <w:color w:val="auto"/>
          <w:sz w:val="24"/>
          <w:szCs w:val="24"/>
        </w:rPr>
        <w:t xml:space="preserve"> </w:t>
      </w:r>
      <w:r w:rsidRPr="00F532B5">
        <w:rPr>
          <w:rFonts w:ascii="Book Antiqua" w:hAnsi="Book Antiqua"/>
          <w:color w:val="auto"/>
          <w:sz w:val="24"/>
          <w:szCs w:val="24"/>
        </w:rPr>
        <w:t>Implicated triggers include medications</w:t>
      </w:r>
      <w:r w:rsidR="00A205EB"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"author" : [ { "dropping-particle" : "", "family" : "Eltringham", "given" : "WK", "non-dropping-particle" : "", "parse-names" : false, "suffix" : "" }, { "dropping-particle" : "", "family" : "Espiner", "given" : "HJ", "non-dropping-particle" : "", "parse-names" : false, "suffix" : "" }, { "dropping-particle" : "", "family" : "Windsor", "given" : "CWO", "non-dropping-particle" : "", "parse-names" : false, "suffix" : "" }, { "dropping-particle" : "", "family" : "Griffiths", "given" : "DA", "non-dropping-particle" : "", "parse-names" : false, "suffix" : "" }, { "dropping-particle" : "", "family" : "Davies", "given" : "JD", "non-dropping-particle" : "", "parse-names" : false, "suffix" : "" }, { "dropping-particle" : "", "family" : "Baddeley", "given" : "H", "non-dropping-particle" : "", "parse-names" : false, "suffix" : "" }, { "dropping-particle" : "", "family" : "Read", "given" : "AEA", "non-dropping-particle" : "", "parse-names" : false, "suffix" : "" }, { "dropping-particle" : "", "family" : "Blunt", "given" : "RJ", "non-dropping-particle" : "", "parse-names" : false, "suffix" : "" } ], "container-title" : "The British Journal of Surgery", "id" : "ITEM-1", "issue" : "4", "issued" : { "date-parts" : [ [ "1977" ] ] }, "page" : "229-235", "title" : "Sclerosing peritonitis due to practolol: a report on 9 cases and their surgical management", "type" : "article-journal", "volume" : "64" }, "uris" : [ "http://www.mendeley.com/documents/?uuid=76ac1db4-6795-44cb-a823-809ede90d92d" ] }, { "id" : "ITEM-2", "itemData" : { "DOI" : "10.1053/j.gastro.2014.07.037", "ISBN" : "1528-0012 (Electronic)\\r0016-5085 (Linking)", "ISSN" : "15280012", "PMID" : "25450077", "author" : [ { "dropping-particle" : "", "family" : "Sarker", "given" : "Shabnam", "non-dropping-particle" : "", "parse-names" : false, "suffix" : "" }, { "dropping-particle" : "", "family" : "Kodali", "given" : "Sudha", "non-dropping-particle" : "", "parse-names" : false, "suffix" : "" }, { "dropping-particle" : "", "family" : "Weber", "given" : "Frederick", "non-dropping-particle" : "", "parse-names" : false, "suffix" : "" } ], "container-title" : "Gastroenterology", "id" : "ITEM-2", "issue" : "1", "issued" : { "date-parts" : [ [ "2015" ] ] }, "page" : "e12-e13", "title" : "A new meaning to butterflies in the stomach", "type" : "article-journal", "volume" : "148" }, "uris" : [ "http://www.mendeley.com/documents/?uuid=de1b2c0f-af73-4375-be9c-bb46c836ddc6" ] }, { "id" : "ITEM-3", "itemData" : { "DOI" : "10.1111/j.1479-828X.2006.00517.x", "ISSN" : "00048666", "PMID" : "16441697", "author" : [ { "dropping-particle" : "", "family" : "Sachdev", "given" : "Anish", "non-dropping-particle" : "", "parse-names" : false, "suffix" : "" }, { "dropping-particle" : "", "family" : "Usatoff", "given" : "V.", "non-dropping-particle" : "", "parse-names" : false, "suffix" : "" }, { "dropping-particle" : "", "family" : "Thaow", "given" : "C.", "non-dropping-particle" : "", "parse-names" : false, "suffix" : "" } ], "container-title" : "Australian and New Zealand Journal of Obstetrics and Gynaecology", "id" : "ITEM-3", "issue" : "1", "issued" : { "date-parts" : [ [ "2006" ] ] }, "page" : "58-59", "title" : "Sclerosing encapsulating peritonitis and methotrexate", "type" : "article-journal", "volume" : "46" }, "uris" : [ "http://www.mendeley.com/documents/?uuid=0aa59e62-ff46-45ae-a6ee-98666c1567ec" ] }, { "id" : "ITEM-4", "itemData" : { "DOI" : "10.1002/pbc", "ISBN" : "0732-183X (Print)\\n0732-183X (Linking)", "ISSN" : "0732183X", "PMID" : "8622067", "abstract" : "PURPOSE: To test intensive alkylator-based therapy in desmoplastic small round-cell tumor (DSRCT). PATIENTS AND METHODS: Patients received the P6 protocol, which has seven courses of chemotherapy. Courses 1, 2, 3, and 6 included cyclophosphamide 4,200 mg/m2, doxorubicin 75 mg/m2, and vincristine (HD-CAV). Courses 4, 5, and 7 consisted of ifosfamide 9 g/m2 and etoposide 500 mg/m2 for previously untreated patients, or ifosfamide 12 g/m2 and etoposide 1,000 mg/m2 for previously treated patients. Courses started after neutrophil counts reached 500/microL and platelet counts reached 100,000/microL. Tumor resection was attempted. Post-P6 treatment options included radiotherapy and a myeloablative regimen of thiotepa (900 mg/m2) plus carboplatin (1,500 mg/m2), with stem-cell rescue. RESULTS: Ten previously untreated and two previously treated patients have completed therapy. The male-to-female ratio was 11:1. Ages were 7 to 22 years (median, 14). The largest masses were infradiaphragmatic (n = 11) or intrathoracic (n = 1). Other findings included serosal implants (n = 11), regional lymph node invasion (n = 8), ascites or pleural effusion (n = 7), and metastases to liver (n = 5), lungs (n = 4), distant lymph nodes (n = 3), spleen (n = 2), and skeleton (n = 2). Tumors uniformly responded to HD-CAV, but there were no complete pathologic responses. One patient died at 1 month from tumor-related Budd-Chiari syndrome. Of seven patients who achieved a complete remission (CR), five remain in CR 9, 12, 13, 33, and 38 months from the start of P6, one patient died of infection at 12 months (autopsy-confirmed CR), and one patient relapsed 4 months off therapy. Of four patients who achieved a partial remission (PR), one remains progression-free at 34 months and three developed progressive disease. Five patients received local radiotherapy: three were not assessable for response, but in two patients, antitumor effect was evident. Four patients received thiotepa/carboplatin: two were in CR and remain so, and two patients had measurable disease that did not respond. CONCLUSION: For control of DSRCT, our experience supports intensive use of HD-CAV, aggressive surgery to resect visible disease, radiotherapy to high-risk sites, and myeloablative chemotherapy with stem-cell rescue in selected cases.", "author" : [ { "dropping-particle" : "", "family" : "Nauen", "given" : "David W.", "non-dropping-particle" : "", "parse-names" : false, "suffix" : "" }, { "dropping-particle" : "", "family" : "Martin", "given" : "Allison", "non-dropping-particle" : "", "parse-names" : false, "suffix" : "" }, { "dropping-particle" : "", "family" : "Katz", "given" : "Aviva", "non-dropping-particle" : "", "parse-names" : false, "suffix" : "" }, { "dropping-particle" : "", "family" : "Cohen", "given" : "Debra", "non-dropping-particle" : "", "parse-names" : false, "suffix" : "" }, { "dropping-particle" : "", "family" : "Ranganathan", "given" : "Sarangarajan", "non-dropping-particle" : "", "parse-names" : false, "suffix" : "" } ], "container-title" : "Pediatric Blood Cancer", "id" : "ITEM-4", "issued" : { "date-parts" : [ [ "2010" ] ] }, "page" : "470-472", "title" : "A Case of Luteinizing Thecoma with Sclerosing Peritonitis: Revisiting a Link with Anti-Epileptic Drugs", "type" : "article-journal", "volume" : "54" }, "uris" : [ "http://www.mendeley.com/documents/?uuid=96a5bb8e-13dd-45bd-8cdf-988fdfb4f940" ] } ], "mendeley" : { "formattedCitation" : "&lt;sup&gt;[6\u20139]&lt;/sup&gt;", "plainTextFormattedCitation" : "[6\u20139]", "previouslyFormattedCitation" : "&lt;sup&gt;[6\u20139]&lt;/sup&gt;" }, "properties" : { "noteIndex" : 0 }, "schema" : "https://github.com/citation-style-language/schema/raw/master/csl-citation.json" }</w:instrText>
      </w:r>
      <w:r w:rsidR="00A205EB"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[6–9]</w:t>
      </w:r>
      <w:r w:rsidR="00A205EB" w:rsidRPr="00F532B5">
        <w:rPr>
          <w:rFonts w:ascii="Book Antiqua" w:hAnsi="Book Antiqua"/>
          <w:color w:val="auto"/>
          <w:sz w:val="24"/>
          <w:szCs w:val="24"/>
        </w:rPr>
        <w:fldChar w:fldCharType="end"/>
      </w:r>
      <w:r w:rsidRPr="00F532B5">
        <w:rPr>
          <w:rFonts w:ascii="Book Antiqua" w:hAnsi="Book Antiqua"/>
          <w:color w:val="auto"/>
          <w:sz w:val="24"/>
          <w:szCs w:val="24"/>
        </w:rPr>
        <w:t>, infection</w:t>
      </w:r>
      <w:r w:rsidR="00C82F72"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"10.1007/s15010-017-1012-5", "ISSN" : "14390973", "PMID" : "28341896", "abstract" : "BACKGROUND: Sclerosing encapsulating peritonitis (Abdominal cocoon) is an uncommon cause of intestinal obstruction and tuberculosis is an important etiology. Appropriate management of this entity is still uncertain. METHODS: We did a retrospective analysis of patients with abdominal cocoon who were seen over a two year period at a tertiary care center in North India. We included patients with tubercular abdominal cocoon (TAC) who were managed primarily with antitubercular therapy in the present report. The diagnosis of TAC was made using combination of criteria (radiological or surgical findings of cocoon with evidence of tuberculosis in form of microbiological, histological or biochemical evidence). The clinical presentation, outcome and need for surgery for these patients were retrieved from the records of these cases maintained in a database. RESULTS: Of 18 patients with abdominal cocoon, 15 patients had underlying tuberculosis. The median age was 28 years (interquartile range 24) and 12 (80%) were males. Three patients had confirmed tuberculosis on basis of microbiological evidence. All had abdominal pain for 1-9 months, and 11 had intestinal obstruction. Twelve patients had positive Mantoux test, none had HIV. Pulmonary tuberculosis was noted in four patients, pleural in five, splenic and intestinal in two each, hepatic and mediastinal lymph-nodal in one each. Thirteen patients were started on usual 4-drug anti-tubercular therapy (ATT) while two cirrhotics needed modified ATT. Three patients were on steroids with ATT and all three improved. One patient was lost to follow up. Of the rest 14 patients, 2 underwent surgery, 1 at initial presentation while another after 4 months of ATT. Overall five patients developed intestinal obstruction while on ATT, one needed surgery and one died of liver failure while others improved with conservative means. CONCLUSION: TAC can be managed conservatively in a subset of patients.", "author" : [ { "dropping-particle" : "", "family" : "Sharma", "given" : "Vishal", "non-dropping-particle" : "", "parse-names" : false, "suffix" : "" }, { "dropping-particle" : "", "family" : "Mandavdhare", "given" : "Harshal S.", "non-dropping-particle" : "", "parse-names" : false, "suffix" : "" }, { "dropping-particle" : "", "family" : "Rana", "given" : "Surinder S.", "non-dropping-particle" : "", "parse-names" : false, "suffix" : "" }, { "dropping-particle" : "", "family" : "Singh", "given" : "Harjeet", "non-dropping-particle" : "", "parse-names" : false, "suffix" : "" }, { "dropping-particle" : "", "family" : "Kumar", "given" : "Amit", "non-dropping-particle" : "", "parse-names" : false, "suffix" : "" }, { "dropping-particle" : "", "family" : "Gupta", "given" : "Rajesh", "non-dropping-particle" : "", "parse-names" : false, "suffix" : "" } ], "container-title" : "Infection", "id" : "ITEM-1", "issued" : { "date-parts" : [ [ "2017" ] ] }, "page" : "1-6", "publisher" : "Springer Berlin Heidelberg", "title" : "Role of conservative management in tubercular abdominal cocoon: a case series", "type" : "article-journal" }, "uris" : [ "http://www.mendeley.com/documents/?uuid=4dedee50-eccd-49fe-9106-9c7c2de844c6" ] }, { "id" : "ITEM-2", "itemData" : { "author" : [ { "dropping-particle" : "", "family" : "Simbli", "given" : "Mohammed Amin", "non-dropping-particle" : "", "parse-names" : false, "suffix" : "" }, { "dropping-particle" : "", "family" : "Niaz", "given" : "Faraz A", "non-dropping-particle" : "", "parse-names" : false, "suffix" : "" }, { "dropping-particle" : "", "family" : "Al-wakeel", "given" : "Jamal S", "non-dropping-particle" : "", "parse-names" : false, "suffix" : "" } ], "container-title" : "Saudi Journal of Kidney Disease and Transplantation", "id" : "ITEM-2", "issue" : "3", "issued" : { "date-parts" : [ [ "2012" ] ] }, "page" : "635-641", "title" : "Encapsulating Peritoneal Sclerosis in a Peritoneal Dialysis Patient Presenting with Complicated Mycobacterium fortuitum Peritonitis", "type" : "article-journal", "volume" : "23" }, "uris" : [ "http://www.mendeley.com/documents/?uuid=a9ee79a8-1ecf-4d97-b90a-bd7232564dcd" ] }, { "id" : "ITEM-3", "itemData" : { "DOI" : "10.1053/j.ajkd.2009.06.043", "ISSN" : "1523-6838", "PMID" : "19782452", "author" : [ { "dropping-particle" : "", "family" : "Hsu", "given" : "Yung-Hsuen", "non-dropping-particle" : "", "parse-names" : false, "suffix" : "" }, { "dropping-particle" : "", "family" : "Hsia", "given" : "Ching-Chih", "non-dropping-particle" : "", "parse-names" : false, "suffix" : "" }, { "dropping-particle" : "", "family" : "Tsai", "given" : "Dong-Ming", "non-dropping-particle" : "", "parse-names" : false, "suffix" : "" }, { "dropping-particle" : "", "family" : "Tu", "given" : "Hsing-Yang", "non-dropping-particle" : "", "parse-names" : false, "suffix" : "" }, { "dropping-particle" : "", "family" : "Hung", "given" : "Kuan-Yu", "non-dropping-particle" : "", "parse-names" : false, "suffix" : "" }, { "dropping-particle" : "", "family" : "Huang", "given" : "Jenq-Wen", "non-dropping-particle" : "", "parse-names" : false, "suffix" : "" } ], "container-title" : "American journal of kidney diseases : the official journal of the National Kidney Foundation", "id" : "ITEM-3", "issue" : "1", "issued" : { "date-parts" : [ [ "2010" ] ] }, "page" : "198-202", "publisher" : "Elsevier Inc.", "title" : "Development of encapsulating peritoneal sclerosis following bacterial peritonitis in a peritoneal dialysis patient.", "type" : "article-journal", "volume" : "55" }, "uris" : [ "http://www.mendeley.com/documents/?uuid=9a4f6fc7-0d17-4c91-846e-faeb786fd8f4" ] }, { "id" : "ITEM-4", "itemData" : { "DOI" : "10.1007/s00247-011-2135-y", "ISBN" : "1432-1998 (Electronic)\\r0301-0449 (Linking)", "ISSN" : "03010449", "PMID" : "21713442", "abstract" : "Abdominal cocoon is a rare disorder that may pose a diagnostic conundrum in patients presenting with intermittent symptoms of small bowel obstruction. We describe the imaging findings of a unique case of abdominal cocoon that presented in infancy.", "author" : [ { "dropping-particle" : "", "family" : "Browne", "given" : "Lorna P.", "non-dropping-particle" : "", "parse-names" : false, "suffix" : "" }, { "dropping-particle" : "", "family" : "Patel", "given" : "Jigar", "non-dropping-particle" : "", "parse-names" : false, "suffix" : "" }, { "dropping-particle" : "", "family" : "Guillerman", "given" : "R. Paul", "non-dropping-particle" : "", "parse-names" : false, "suffix" : "" }, { "dropping-particle" : "", "family" : "Hanson", "given" : "Imelda C.", "non-dropping-particle" : "", "parse-names" : false, "suffix" : "" }, { "dropping-particle" : "", "family" : "Cass", "given" : "Darrell L.", "non-dropping-particle" : "", "parse-names" : false, "suffix" : "" } ], "container-title" : "Pediatric Radiology", "id" : "ITEM-4", "issue" : "2", "issued" : { "date-parts" : [ [ "2012" ] ] }, "page" : "263-266", "title" : "Abdominal cocoon: A unique presentation in an immunodeficient infant", "type" : "article-journal", "volume" : "42" }, "uris" : [ "http://www.mendeley.com/documents/?uuid=9d762ae9-f089-4e51-833e-6d42d50e9192" ] }, { "id" : "ITEM-5", "itemData" : { "ISBN" : "0301-0430 (Print)\\r0301-0430 (Linking)", "ISSN" : "0301-0430", "PMID" : "17722714", "abstract" : "Encapsulating peritoneal sclerosis remains a serious complication of peritoneal dialysis. Prolonged duration on dialysis and severe episodes of peritonitis are the two most important risk factors for developing the condition. Here we describe a patient who developed a fulminant form of encapsulating peritoneal sclerosis soon after suffering from an episode of fungal peritonitis. There was clinical evidence of ongoing inflammation and gross malnutrition. Signs of chronic intestinal stasis were present on radiological imaging. There was concern in this situation that symptoms could partly relate to ongoing peritoneal sepsis, which could be worsened by immunosuppressives such as steroids. Tamoxifen was used without steroids in our patient with prompt resolution of stasis symptoms and withdrawal of artificial nutrition support. To our knowledge tamoxifen has never been previously used alone, in this scenario. We propose that tamoxifen might be a safer alternative to use in this clinical setting where there is concern about presence of ongoing sepsis, than corticosteroids and immunosuppressive agents.", "author" : [ { "dropping-particle" : "", "family" : "Gupta", "given" : "S", "non-dropping-particle" : "", "parse-names" : false, "suffix" : "" }, { "dropping-particle" : "", "family" : "Woodrow", "given" : "G", "non-dropping-particle" : "", "parse-names" : false, "suffix" : "" } ], "container-title" : "Clin Nephrol", "id" : "ITEM-5", "issue" : "2", "issued" : { "date-parts" : [ [ "2007" ] ] }, "page" : "125-129", "title" : "Successful treatment of fulminant encapsulating peritoneal sclerosis following fungal peritonitis with tamoxifen", "type" : "article-journal", "volume" : "68" }, "uris" : [ "http://www.mendeley.com/documents/?uuid=db237571-70ab-4ad0-84d5-67760378c5f4" ] }, { "id" : "ITEM-6", "itemData" : { "DOI" : "10.3747/pdi.2011.00241", "ISBN" : "0896-8608", "ISSN" : "08968608", "PMID" : "22859845", "author" : [ { "dropping-particle" : "", "family" : "Tan", "given" : "J.", "non-dropping-particle" : "", "parse-names" : false, "suffix" : "" }, { "dropping-particle" : "", "family" : "Manickam", "given" : "R.", "non-dropping-particle" : "", "parse-names" : false, "suffix" : "" }, { "dropping-particle" : "", "family" : "Pisharam", "given" : "J.", "non-dropping-particle" : "", "parse-names" : false, "suffix" : "" }, { "dropping-particle" : "", "family" : "Telisinghe", "given" : "P.", "non-dropping-particle" : "", "parse-names" : false, "suffix" : "" }, { "dropping-particle" : "", "family" : "Chong", "given" : "V. H.", "non-dropping-particle" : "", "parse-names" : false, "suffix" : "" } ], "container-title" : "Peritoneal Dialysis International", "id" : "ITEM-6", "issue" : "4", "issued" : { "date-parts" : [ [ "2012" ] ] }, "page" : "479-484", "title" : "Mucormycosis-A possible trigger pathogen for encapsulating peritoneal sclerosis", "type" : "article-journal", "volume" : "32" }, "uris" : [ "http://www.mendeley.com/documents/?uuid=81f7a042-a08c-455f-be22-88bdb4b10926" ] }, { "id" : "ITEM-7", "itemData" : { "ISBN" : "1572-0241", "abstract" : "Case: A 43-year-old Filipino female with no significant past history presented to the hospital for a two week history of abdominal pain, fever, chills, and body aches. She was found to have fever (100.8 F) and tachycardia (110/min). Ultrasound of her abdomen showed ascites and she underwent paracentesis removing 800 cc of ascitic fluid. It showed1958 white blood cells (WBC) with 71% lymphocytes and a Serum Ascitic albumin gradient (SAAG) of 0.5. She underwent computed tomographic (CT) scan of the abdomen which showed increased soft tissue density to the omentum, suggesting possibility of omental metastasis. Tumor marker CA-125 level was elevated (235). Pelvic ultrasound showed no evidence of ovarian mass. Thpatient underwent upper endoscopy (EGD) and colonoscopy which revealed five small, non-bleeding ulcers in the ascending colon. Multiple biopsies were obtained which showed non-necrotizing granulomas, negative for fungi and mycobacterium. Patient underwent interventional radiology (IR) guided biopsy of omentum which was negative for malignancy, fungi, or mycobacterium and showed non-necrotizing granulomas. The ascitic fluid culture was negative for tuberculous bacilli. Patient received a Tuberculosis skin test which was positive, 21 mm. She had immigrated from the Philippines where she was exposed. A presumptive diagnosis of peritoneal tuberculosis was made. Patient was started on TB therapy, rifampin, isoniazid, pyrazinamide &amp; ethambutol. After six months of treatment, patient responded well to therapy with resolution of recurrent ascites and abdominal pain. Discussion: TB can involve nearly any tissue or organ and the peritoneum is one of the most common extrapulmonary sites of tuberculous infection. We describe a difficult case of peritoneal TB presenting as an abdominal malignancy. Pathology from colon ulcerations showed non-necrotizing granulomas. While an uncommon finding, reports have documented both cases of pulmonary and extrapulmonary TB with findings of non-caseating granulomas and these diagnoses were confirmed via laboratory testing. Our case was further complicated with negative lab results for TB which can be seen in upto 15% of patients. Conclusion Prompt and accurate diagnosis of peritoneal tuberculosis is essential but remains a challenge because of its nonspecific symptoms. Given the challenges of laboratory testing, TB should be considered in high risk patients with these symptoms and early intervention should be considered.", "author" : [ { "dropping-particle" : "", "family" : "Salamone", "given" : "Giuseppe", "non-dropping-particle" : "", "parse-names" : false, "suffix" : "" }, { "dropping-particle" : "", "family" : "Atzeni", "given" : "Jenny", "non-dropping-particle" : "", "parse-names" : false, "suffix" : "" }, { "dropping-particle" : "", "family" : "Agrusa", "given" : "Antonio", "non-dropping-particle" : "", "parse-names" : false, "suffix" : "" }, { "dropping-particle" : "", "family" : "Gulotta", "given" : "Gaspare", "non-dropping-particle" : "", "parse-names" : false, "suffix" : "" } ], "container-title" : "Annali Italiani di Chirurgia", "id" : "ITEM-7", "issue" : "October", "issued" : { "date-parts" : [ [ "2013" ] ] }, "title" : "A rare case of abdominal cocoon", "type" : "article-journal" }, "uris" : [ "http://www.mendeley.com/documents/?uuid=76a76a83-bf81-420f-937d-48c12684ffac" ] } ], "mendeley" : { "formattedCitation" : "&lt;sup&gt;[10\u201316]&lt;/sup&gt;", "plainTextFormattedCitation" : "[10\u201316]", "previouslyFormattedCitation" : "&lt;sup&gt;[10\u201316]&lt;/sup&gt;" }, "properties" : { "noteIndex" : 0 }, "schema" : "https://github.com/citation-style-language/schema/raw/master/csl-citation.json" }</w:instrText>
      </w:r>
      <w:r w:rsidR="00C82F72"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[10–16]</w:t>
      </w:r>
      <w:r w:rsidR="00C82F72" w:rsidRPr="00F532B5">
        <w:rPr>
          <w:rFonts w:ascii="Book Antiqua" w:hAnsi="Book Antiqua"/>
          <w:color w:val="auto"/>
          <w:sz w:val="24"/>
          <w:szCs w:val="24"/>
        </w:rPr>
        <w:fldChar w:fldCharType="end"/>
      </w:r>
      <w:r w:rsidRPr="00F532B5">
        <w:rPr>
          <w:rFonts w:ascii="Book Antiqua" w:hAnsi="Book Antiqua"/>
          <w:color w:val="auto"/>
          <w:sz w:val="24"/>
          <w:szCs w:val="24"/>
        </w:rPr>
        <w:t>, mechanical or chemical intraperitoneal irritants</w:t>
      </w:r>
      <w:r w:rsidR="00232B18"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"author" : [ { "dropping-particle" : "", "family" : "Brown", "given" : "Edwina A", "non-dropping-particle" : "", "parse-names" : false, "suffix" : "" }, { "dropping-particle" : "Van", "family" : "Biesen", "given" : "Wim", "non-dropping-particle" : "", "parse-names" : false, "suffix" : "" }, { "dropping-particle" : "", "family" : "Finkelstein", "given" : "Fredric O", "non-dropping-particle" : "", "parse-names" : false, "suffix" : "" }, { "dropping-particle" : "", "family" : "Hurst", "given" : "Helen", "non-dropping-particle" : "", "parse-names" : false, "suffix" : "" }, { "dropping-particle" : "", "family" : "Johnson", "given" : "David W", "non-dropping-particle" : "", "parse-names" : false, "suffix" : "" }, { "dropping-particle" : "", "family" : "Pecoits-filho", "given" : "Roberto", "non-dropping-particle" : "", "parse-names" : false, "suffix" : "" }, { "dropping-particle" : "", "family" : "Woodrow", "given" : "Graham", "non-dropping-particle" : "", "parse-names" : false, "suffix" : "" }, { "dropping-particle" : "", "family" : "Party", "given" : "Working", "non-dropping-particle" : "", "parse-names" : false, "suffix" : "" } ], "container-title" : "Peritoneal Dialysis International", "id" : "ITEM-1", "issued" : { "date-parts" : [ [ "2017" ] ] }, "page" : "362-374", "title" : "Length of Time on Peritoneal Dialysis and Encapsulating-Position Paper for ISPD: 2017 Update", "type" : "article-journal", "volume" : "37" }, "uris" : [ "http://www.mendeley.com/documents/?uuid=0c9e21da-a644-4f25-9d5b-ceecae8a5133" ] }, { "id" : "ITEM-2", "itemData" : { "DOI" : "10.1186/1471-2482-14-57", "ISBN" : "1471-2482 (Electronic)\\r1471-2482 (Linking)", "ISSN" : "1471-2482", "PMID" : "25160862", "abstract" : "BACKGROUND: Encapsulating peritoneal sclerosis (EPS) is a rare surgical complication that can occur after intraperitoneal treatment. It is also a serious and potentially fatal complication of continuous ambulatory peritoneal dialysis. The present report describes a case of surgically treated EPS that probably occurred as a complication of hyperthermic intraperitonal chemotherapy (HIPEC).\\n\\nCASE PRESENTATION: A 39-year-old man required sigmoidectomy for serosal invasive advanced sigmoid colon cancer. HIPEC with oxaliplatin, 5-fluorouracil and mitomycin C were given as adjuvant therapy. Subsequently, intestinal obstruction developed at 15 months postoperatively, and the patient was hospitalized. Abdominal computed tomography showed a dilated small intestine enveloped by a thickened membrane. We found no evidence of peritoneal recurrence, but exploratory surgery revealed EPS, probably caused by HIPEC. We peeled the capsule off of the intestine. The patient's postoperative course was uneventful, and sufficient nutritional intake after surgery was noted. Seven months after surgery, he is well with no recurrence.\\n\\nCONCLUSION: The surgical treatment via peritonectomy and enterolysis for postoperative EPS appears safe and effective. A diagnosis of EPS should be considered when intestinal obstruction does not show improvement with conservative treatment in patients who have undergone HIPEC, provided the possibility of peritoneal cancer recurrence is excluded.", "author" : [ { "dropping-particle" : "", "family" : "Takebayashi", "given" : "Katsushi", "non-dropping-particle" : "", "parse-names" : false, "suffix" : "" }, { "dropping-particle" : "", "family" : "Sonoda", "given" : "Hiromichi", "non-dropping-particle" : "", "parse-names" : false, "suffix" : "" }, { "dropping-particle" : "", "family" : "Shimizu", "given" : "Tomoharu", "non-dropping-particle" : "", "parse-names" : false, "suffix" : "" }, { "dropping-particle" : "", "family" : "Ohta", "given" : "Hiroyuki", "non-dropping-particle" : "", "parse-names" : false, "suffix" : "" }, { "dropping-particle" : "", "family" : "Ishida", "given" : "Mitsuaki", "non-dropping-particle" : "", "parse-names" : false, "suffix" : "" }, { "dropping-particle" : "", "family" : "Mekata", "given" : "Eiji", "non-dropping-particle" : "", "parse-names" : false, "suffix" : "" }, { "dropping-particle" : "", "family" : "Endo", "given" : "Yoshihiro", "non-dropping-particle" : "", "parse-names" : false, "suffix" : "" }, { "dropping-particle" : "", "family" : "Tani", "given" : "Tohru", "non-dropping-particle" : "", "parse-names" : false, "suffix" : "" }, { "dropping-particle" : "", "family" : "Tani", "given" : "Masaji", "non-dropping-particle" : "", "parse-names" : false, "suffix" : "" } ], "container-title" : "BMC Surgery", "id" : "ITEM-2", "issue" : "1", "issued" : { "date-parts" : [ [ "2014" ] ] }, "page" : "57", "title" : "Successful surgical approach for a patient with encapsulating peritoneal sclerosis after hyperthermic intraperitoneal chemotherapy: a case report and literature review", "type" : "article-journal", "volume" : "14" }, "uris" : [ "http://www.mendeley.com/documents/?uuid=c5041a72-d842-4c28-919e-a34f90869561" ] }, { "id" : "ITEM-3", "itemData" : { "DOI" : "10.1016/j.jpedsurg.2008.01.019", "ISBN" : "0022-3468", "ISSN" : "00223468", "PMID" : "18485933", "abstract" : "Sclerosing encapsulating peritonitis (SEP) is a rare cause of bowel obstruction, most commonly associated with chronic ambulatory peritoneal dialysis. It has not previously been reported as a complication of ventriculoperitoneal (VP) shunts. We describe the clinical features of shunt-associated SEP and the important management considerations. Two children presented with small bowel obstruction after long-standing VP shunting of hydrocephalus. Neither had a history of recent shunt infection/revision nor evidence of shunt malfunction. In each case, the bowel was \"cocooned\" in a fibrous sheath with a notable absence of parietal adhesions. Both children were managed by meticulous adhesiolysis accompanied by shunt exteriorization. Both had prolonged ileus and required total parenteral nutrition. One required further laparotomy at which adhesiolysis was accompanied by irrigation with icodextrin 4% and systemic high-dose methylprednisolone. Weaning of steroids was accompanied by the introduction of azathioprine. A notable feature of intestinal obstruction because of SEP was severe pain despite adequate decompression. The restrictive \"cocoon\" that envelops the bowel prevents bowel dilatation and accounts for atypical radiologic findings in these cases. ?? 2008 Elsevier Inc. All rights reserved.", "author" : [ { "dropping-particle" : "", "family" : "Sigaroudinia", "given" : "Mandana O.", "non-dropping-particle" : "", "parse-names" : false, "suffix" : "" }, { "dropping-particle" : "", "family" : "Baillie", "given" : "Colin", "non-dropping-particle" : "", "parse-names" : false, "suffix" : "" }, { "dropping-particle" : "", "family" : "Ahmed", "given" : "Shiban", "non-dropping-particle" : "", "parse-names" : false, "suffix" : "" }, { "dropping-particle" : "", "family" : "Mallucci", "given" : "Connor", "non-dropping-particle" : "", "parse-names" : false, "suffix" : "" } ], "container-title" : "Journal of Pediatric Surgery", "id" : "ITEM-3", "issue" : "5", "issued" : { "date-parts" : [ [ "2008" ] ] }, "page" : "31-33", "title" : "Sclerosing encapsulating peritonitis-a rare complication of ventriculoperitoneal shunts", "type" : "article-journal", "volume" : "43" }, "uris" : [ "http://www.mendeley.com/documents/?uuid=9da1c7a6-7d7b-4341-8919-fa78ed925d0a" ] }, { "id" : "ITEM-4", "itemData" : { "ISBN" : "1007-9327 (Print)\\r1007-9327 (Linking)", "PMID" : "16149160", "abstract" : "We report a patient with HBV-related hepatocellular carcinoma (HCC) and refractory ascites who had received a peritoneal-venous shunt (PVS) 1 year before liver transplantation. Urgent surgical intervention following bowel obstruction and failure of immunosuppression therapy. No intestinal obstruction was found during an initial PVS. However, intestinal obstruction developed 2 wk after liver transplantation; and a cocoon abdomen was found upon exploration. This is the first reported case of cocoon abdomen caused by PVS and exacerbated by liver transplantation.", "author" : [ { "dropping-particle" : "", "family" : "Lin", "given" : "C H", "non-dropping-particle" : "", "parse-names" : false, "suffix" : "" }, { "dropping-particle" : "", "family" : "Yu", "given" : "J C", "non-dropping-particle" : "", "parse-names" : false, "suffix" : "" }, { "dropping-particle" : "", "family" : "Chen", "given" : "T W", "non-dropping-particle" : "", "parse-names" : false, "suffix" : "" }, { "dropping-particle" : "", "family" : "Chan", "given" : "D C", "non-dropping-particle" : "", "parse-names" : false, "suffix" : "" }, { "dropping-particle" : "", "family" : "Chen", "given" : "C J", "non-dropping-particle" : "", "parse-names" : false, "suffix" : "" }, { "dropping-particle" : "", "family" : "Hsieh", "given" : "C B", "non-dropping-particle" : "", "parse-names" : false, "suffix" : "" } ], "container-title" : "World J Gastroenterol", "id" : "ITEM-4", "issue" : "34", "issued" : { "date-parts" : [ [ "2005" ] ] }, "page" : "5412-5413", "title" : "Sclerosing encapsulating peritonitis in a liver transplant patient: a case report", "type" : "article-journal", "volume" : "11" }, "uris" : [ "http://www.mendeley.com/documents/?uuid=e11d5fe8-9710-4609-a456-0dcbe9553083" ] }, { "id" : "ITEM-5", "itemData" : { "ISSN" : "00048682", "PMID" : "9322732", "abstract" : "The use of intraperitoneal povidone iodine as an agent for peritoneal lavage in colorectal surgery is controversial. Although it possesses a wide range of antimicrobial activity and is rapidly lethal to dissociated colorectal cancer cells in vitro, concern about its potential toxicity remains.Two cases of sclerosing encapsulating peritonitis (SEP) following elective colorectal surgery are presented. In each case the peritoneal cavity was lavaged with an aqueous povidone iodine solution. The surgical literature on the intraperitoneal use of povidone iodine is reviewed.Significant morbidity resulted from the postoperative development of SEP in both of our patients. In one patient an ileo-anal pouch could not be fashioned following an initial colectomy, and in the second patient a small-bowel obstruction required a laparotomy and a period of intravenous nutrition before an oral diet could be tolerated.The use of povidone iodine for peritoneal lavage in colorectal surgery is to be cautioned against in concentrations of &gt; 1%.", "author" : [ { "dropping-particle" : "", "family" : "Keating", "given" : "J. P.", "non-dropping-particle" : "", "parse-names" : false, "suffix" : "" }, { "dropping-particle" : "", "family" : "Neill", "given" : "M.", "non-dropping-particle" : "", "parse-names" : false, "suffix" : "" }, { "dropping-particle" : "", "family" : "Hill", "given" : "G. L.", "non-dropping-particle" : "", "parse-names" : false, "suffix" : "" } ], "container-title" : "Aust N Z J Surg", "id" : "ITEM-5", "issue" : "10", "issued" : { "date-parts" : [ [ "1997" ] ] }, "page" : "742\u2013744", "title" : "Sclerosing encapsulating peritonitis after intraperitoneal use of povidone iodine.", "type" : "article-journal", "volume" : "67" }, "uris" : [ "http://www.mendeley.com/documents/?uuid=4522ee8c-e522-4c42-9ab8-2763d9d240f2" ] }, { "id" : "ITEM-6", "itemData" : { "DOI" : "10.1016/j.ijscr.2014.10.081", "ISBN" : "2210-2612 (Electronic)\\r2210-2612 (Linking)", "ISSN" : "22102612", "PMID" : "25590647", "abstract" : "Abdominal cocoon or sclerosing peritonitis refers to a rare cause of intestinal obstruction due to formation of a membrane encasing the bowel. We report a case of abdominal cocoon post blunt trauma abdomen. The patient presented with a history of subacute intestinal obstruction and a mobile abdomen lump. Abdominal cocoon was diagnosed on computed tomography. He underwent adhesiolysis with excision of membrane.", "author" : [ { "dropping-particle" : "", "family" : "Kaur", "given" : "Supreet", "non-dropping-particle" : "", "parse-names" : false, "suffix" : "" }, { "dropping-particle" : "", "family" : "Doley", "given" : "Rudra Prasad", "non-dropping-particle" : "", "parse-names" : false, "suffix" : "" }, { "dropping-particle" : "", "family" : "Chabbhra", "given" : "Mohinish", "non-dropping-particle" : "", "parse-names" : false, "suffix" : "" }, { "dropping-particle" : "", "family" : "Kapoor", "given" : "Rajeev", "non-dropping-particle" : "", "parse-names" : false, "suffix" : "" }, { "dropping-particle" : "", "family" : "Wig", "given" : "Jaidev", "non-dropping-particle" : "", "parse-names" : false, "suffix" : "" } ], "container-title" : "International Journal of Surgery Case Reports", "id" : "ITEM-6", "issued" : { "date-parts" : [ [ "2015" ] ] }, "page" : "64-65", "publisher" : "Elsevier Ltd", "title" : "Post trauma abdominal cocoon", "type" : "article-journal", "volume" : "7" }, "uris" : [ "http://www.mendeley.com/documents/?uuid=8f66afc3-a92f-49b4-95a1-36c5be68e5cb" ] }, { "id" : "ITEM-7", "itemData" : { "DOI" : "10.1089/lap.2010.0024", "ISSN" : "1557-9034", "PMID" : "20374014", "abstract" : "Sclerosing encapsulating peritonitis (SEP) is a rare cause of intestinal obstruction. It is difficult to make a definite preoperative diagnosis, and most cases are diagnosed at the time of laparotomy. It is usually of unknown origin, although, at times, it may be seen secondary to a variety of conditions. Spillage of bile and gallstones at laparoscopic cholecystectomy is an unusual cause of SEP and has not been reported in literature, to date. Contrast-enhanced computed tomography of the abdomen revealed small-bowel loops congregated to the center of the abdomen encased by a soft-tissue density mantle with loculated fluid in the interloop bowel location. Excision of the sac and adhesiolysis was done in our patient for recurrent episodes of intestinal obstruction, who recovered well in the postoperative period.", "author" : [ { "dropping-particle" : "", "family" : "Kaman", "given" : "Lileswar", "non-dropping-particle" : "", "parse-names" : false, "suffix" : "" }, { "dropping-particle" : "", "family" : "Iqbal", "given" : "Javid", "non-dropping-particle" : "", "parse-names" : false, "suffix" : "" }, { "dropping-particle" : "", "family" : "Thenozhi", "given" : "Sunil", "non-dropping-particle" : "", "parse-names" : false, "suffix" : "" } ], "container-title" : "Journal of laparoendoscopic &amp; advanced surgical techniques. Part A", "id" : "ITEM-7", "issue" : "3", "issued" : { "date-parts" : [ [ "2010" ] ] }, "page" : "253-5", "title" : "Sclerosing encapsulating peritonitis: complication of laparoscopic cholecystectomy.", "type" : "article-journal", "volume" : "20" }, "uris" : [ "http://www.mendeley.com/documents/?uuid=b810fa99-610d-4c79-bc13-c57b3967777a" ] }, { "id" : "ITEM-8", "itemData" : { "DOI" : "10.1093/ndtplus/sfq202", "ISSN" : "2048-8505", "author" : [ { "dropping-particle" : "", "family" : "Arnadottir", "given" : "M.", "non-dropping-particle" : "", "parse-names" : false, "suffix" : "" }, { "dropping-particle" : "", "family" : "Jonasson", "given" : "J. G.", "non-dropping-particle" : "", "parse-names" : false, "suffix" : "" }, { "dropping-particle" : "", "family" : "Indridason", "given" : "O. S.", "non-dropping-particle" : "", "parse-names" : false, "suffix" : "" } ], "container-title" : "Nephrology Dialysis Transplantation", "id" : "ITEM-8", "issue" : "2", "issued" : { "date-parts" : [ [ "2011" ] ] }, "page" : "107-109", "title" : "Encapsulating peritoneal sclerosis following a peritoneal foreign body reaction to Dacron fibres--a case report", "type" : "article-journal", "volume" : "4" }, "uris" : [ "http://www.mendeley.com/documents/?uuid=a88cdcae-01ca-42ff-be64-cc59001db4d2" ] }, { "id" : "ITEM-9", "itemData" : { "ISSN" : "00039985", "PMID" : "6688720", "author" : [ { "dropping-particle" : "", "family" : "Andrion", "given" : "A.", "non-dropping-particle" : "", "parse-names" : false, "suffix" : "" }, { "dropping-particle" : "", "family" : "Pira", "given" : "E.", "non-dropping-particle" : "", "parse-names" : false, "suffix" : "" }, { "dropping-particle" : "", "family" : "Mollo", "given" : "F.", "non-dropping-particle" : "", "parse-names" : false, "suffix" : "" } ], "container-title" : "Archives of Pathology and Laboratory Medicine", "id" : "ITEM-9", "issue" : "11", "issued" : { "date-parts" : [ [ "1983" ] ] }, "page" : "609-610", "title" : "Peritoneal plaques and asbestos exposure.", "type" : "article-journal", "volume" : "107" }, "uris" : [ "http://www.mendeley.com/documents/?uuid=234e06ac-8dda-4f16-89ad-f08c96f31794" ] }, { "id" : "ITEM-10", "itemData" : { "author" : [ { "dropping-particle" : "", "family" : "Castelli", "given" : "MJ", "non-dropping-particle" : "", "parse-names" : false, "suffix" : "" }, { "dropping-particle" : "", "family" : "Armin", "given" : "AR", "non-dropping-particle" : "", "parse-names" : false, "suffix" : "" }, { "dropping-particle" : "", "family" : "Husain", "given" : "A", "non-dropping-particle" : "", "parse-names" : false, "suffix" : "" }, { "dropping-particle" : "", "family" : "Orfei", "given" : "E", "non-dropping-particle" : "", "parse-names" : false, "suffix" : "" } ], "id" : "ITEM-10", "issue" : "8", "issued" : { "date-parts" : [ [ "1985" ] ] }, "page" : "3839380", "title" : "Fibrosing peritonitis in a drug abuser .", "type" : "article-journal", "volume" : "109" }, "uris" : [ "http://www.mendeley.com/documents/?uuid=3c4130c0-dca3-4f70-b308-f397ad4a3390" ] }, { "id" : "ITEM-11", "itemData" : { "author" : [ { "dropping-particle" : "", "family" : "Wirnsberger", "given" : "GH", "non-dropping-particle" : "", "parse-names" : false, "suffix" : "" }, { "dropping-particle" : "", "family" : "Ganser", "given" : "K", "non-dropping-particle" : "", "parse-names" : false, "suffix" : "" }, { "dropping-particle" : "", "family" : "Domej", "given" : "W", "non-dropping-particle" : "", "parse-names" : false, "suffix" : "" }, { "dropping-particle" : "", "family" : "Sauseng", "given" : "G", "non-dropping-particle" : "", "parse-names" : false, "suffix" : "" }, { "dropping-particle" : "", "family" : "Moore", "given" : "D", "non-dropping-particle" : "", "parse-names" : false, "suffix" : "" }, { "dropping-particle" : "", "family" : "Moczygemba", "given" : "M", "non-dropping-particle" : "", "parse-names" : false, "suffix" : "" }, { "dropping-particle" : "", "family" : "Krejs", "given" : "GJ", "non-dropping-particle" : "", "parse-names" : false, "suffix" : "" } ], "id" : "ITEM-11", "issue" : "8", "issued" : { "date-parts" : [ [ "1992" ] ] }, "page" : "1413936", "title" : "Sclerosing encapsulating peritonitis : differential diagnosis to peritoneal encapsulation and abdominal cocoon--a case report .", "type" : "article-journal", "volume" : "30" }, "uris" : [ "http://www.mendeley.com/documents/?uuid=93c19f84-588f-4e99-809c-c9f9927ab3b0" ] } ], "mendeley" : { "formattedCitation" : "&lt;sup&gt;[17\u201327]&lt;/sup&gt;", "plainTextFormattedCitation" : "[17\u201327]", "previouslyFormattedCitation" : "&lt;sup&gt;[17,18,27,19\u201326]&lt;/sup&gt;" }, "properties" : { "noteIndex" : 0 }, "schema" : "https://github.com/citation-style-language/schema/raw/master/csl-citation.json" }</w:instrText>
      </w:r>
      <w:r w:rsidR="00232B18" w:rsidRPr="00F532B5">
        <w:rPr>
          <w:rFonts w:ascii="Book Antiqua" w:hAnsi="Book Antiqua"/>
          <w:color w:val="auto"/>
          <w:sz w:val="24"/>
          <w:szCs w:val="24"/>
        </w:rPr>
        <w:fldChar w:fldCharType="separate"/>
      </w:r>
      <w:r w:rsidR="00BD54D6" w:rsidRPr="00F532B5">
        <w:rPr>
          <w:rFonts w:ascii="Book Antiqua" w:hAnsi="Book Antiqua"/>
          <w:noProof/>
          <w:color w:val="auto"/>
          <w:sz w:val="24"/>
          <w:szCs w:val="24"/>
          <w:vertAlign w:val="superscript"/>
        </w:rPr>
        <w:t>[17–27]</w:t>
      </w:r>
      <w:r w:rsidR="00232B18" w:rsidRPr="00F532B5">
        <w:rPr>
          <w:rFonts w:ascii="Book Antiqua" w:hAnsi="Book Antiqua"/>
          <w:color w:val="auto"/>
          <w:sz w:val="24"/>
          <w:szCs w:val="24"/>
        </w:rPr>
        <w:fldChar w:fldCharType="end"/>
      </w:r>
      <w:r w:rsidR="00232B18" w:rsidRPr="00F532B5">
        <w:rPr>
          <w:rFonts w:ascii="Book Antiqua" w:hAnsi="Book Antiqua"/>
          <w:color w:val="auto"/>
          <w:sz w:val="24"/>
          <w:szCs w:val="24"/>
        </w:rPr>
        <w:t xml:space="preserve">, </w:t>
      </w:r>
      <w:r w:rsidRPr="00F532B5">
        <w:rPr>
          <w:rFonts w:ascii="Book Antiqua" w:hAnsi="Book Antiqua"/>
          <w:color w:val="auto"/>
          <w:sz w:val="24"/>
          <w:szCs w:val="24"/>
        </w:rPr>
        <w:t>cirrhosis</w:t>
      </w:r>
      <w:r w:rsidR="00232B18"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"10.1053/j.gastro.2006.11.050", "ISBN" : "0016-5085", "ISSN" : "00165085", "PMID" : "18555803", "author" : [ { "dropping-particle" : "", "family" : "Wakabayashi", "given" : "H", "non-dropping-particle" : "", "parse-names" : false, "suffix" : "" }, { "dropping-particle" : "", "family" : "Okano", "given" : "K", "non-dropping-particle" : "", "parse-names" : false, "suffix" : "" }, { "dropping-particle" : "", "family" : "Suzuki", "given" : "Y", "non-dropping-particle" : "", "parse-names" : false, "suffix" : "" } ], "container-title" : "Gastroenterology", "id" : "ITEM-1", "issue" : "3", "issued" : { "date-parts" : [ [ "2007" ] ] }, "page" : "854", "title" : "Perforative peritonitis on sclerosing encapsulating peritonitis (abdominal cocoon) in a patient with alcoholic liver cirrhosis", "type" : "article-journal", "volume" : "132" }, "uris" : [ "http://www.mendeley.com/documents/?uuid=6dba1e68-43c2-4910-8d92-ef1594dbbf42" ] } ], "mendeley" : { "formattedCitation" : "&lt;sup&gt;[28]&lt;/sup&gt;", "plainTextFormattedCitation" : "[28]", "previouslyFormattedCitation" : "&lt;sup&gt;[28]&lt;/sup&gt;" }, "properties" : { "noteIndex" : 0 }, "schema" : "https://github.com/citation-style-language/schema/raw/master/csl-citation.json" }</w:instrText>
      </w:r>
      <w:r w:rsidR="00232B18"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[28]</w:t>
      </w:r>
      <w:r w:rsidR="00232B18" w:rsidRPr="00F532B5">
        <w:rPr>
          <w:rFonts w:ascii="Book Antiqua" w:hAnsi="Book Antiqua"/>
          <w:color w:val="auto"/>
          <w:sz w:val="24"/>
          <w:szCs w:val="24"/>
        </w:rPr>
        <w:fldChar w:fldCharType="end"/>
      </w:r>
      <w:r w:rsidRPr="00F532B5">
        <w:rPr>
          <w:rFonts w:ascii="Book Antiqua" w:hAnsi="Book Antiqua"/>
          <w:color w:val="auto"/>
          <w:sz w:val="24"/>
          <w:szCs w:val="24"/>
        </w:rPr>
        <w:t>, organ transplantation</w:t>
      </w:r>
      <w:r w:rsidR="00232B18"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"10.4174/astr.2017.92.3.164", "ISBN" : "8223410346", "ISSN" : "22886796", "abstract" : "\u00a9 2017, the Korean Surgical Society.Encapsulating peritoneal sclerosis (EPS) is a rare cause of intestinal obstruction by a thick fibrous membrane wrapping around the small intestine. It is a possible complication after liver transplantation (LT) that can be fatal. This report describes 2 cases of EPS after LT that were successfully treated with surgery, corticosteroids, tamoxifen, and mammalian target of rapamycin inhibitor. After treatment in both cases, the patients were able to start oral feeding and have been symptom free for more than 1 year. These cases suggests that for the management of EPS, surgical treatment is mandatory when the patients present with symptoms of intestinal obstruction or if there are findings suggestive of decreased mural perfusion. Surgery should be accompanied with medical treatment to prevent the relapse of EPS.", "author" : [ { "dropping-particle" : "", "family" : "Lee", "given" : "K.W.", "non-dropping-particle" : "", "parse-names" : false, "suffix" : "" }, { "dropping-particle" : "", "family" : "Cho", "given" : "C.W.", "non-dropping-particle" : "", "parse-names" : false, "suffix" : "" }, { "dropping-particle" : "", "family" : "Lee", "given" : "N.", "non-dropping-particle" : "", "parse-names" : false, "suffix" : "" }, { "dropping-particle" : "", "family" : "Lee", "given" : "S.", "non-dropping-particle" : "", "parse-names" : false, "suffix" : "" }, { "dropping-particle" : "", "family" : "Kim", "given" : "J.M.", "non-dropping-particle" : "", "parse-names" : false, "suffix" : "" }, { "dropping-particle" : "", "family" : "Choi", "given" : "G.S.", "non-dropping-particle" : "", "parse-names" : false, "suffix" : "" }, { "dropping-particle" : "", "family" : "Kwon", "given" : "C.H.D.", "non-dropping-particle" : "", "parse-names" : false, "suffix" : "" }, { "dropping-particle" : "", "family" : "Joh", "given" : "J.W.", "non-dropping-particle" : "", "parse-names" : false, "suffix" : "" }, { "dropping-particle" : "", "family" : "Lee", "given" : "S.K.", "non-dropping-particle" : "", "parse-names" : false, "suffix" : "" } ], "container-title" : "Annals of Surgical Treatment and Research", "id" : "ITEM-1", "issue" : "3", "issued" : { "date-parts" : [ [ "2017" ] ] }, "title" : "Encapsulating peritoneal sclerosis in liver transplant recipients: A report of 2 cases", "type" : "article-journal", "volume" : "92" }, "uris" : [ "http://www.mendeley.com/documents/?uuid=dff01193-f1c4-486b-9f15-0e1abe899f74" ] }, { "id" : "ITEM-2", "itemData" : { "DOI" : "10.1111/petr.12110", "ISSN" : "13973142", "PMID" : "23902605", "abstract" : "Sclerosing peritonitis is a complication described in different clinical situations, such as patients that underwent prolonged peritoneal dialysis or renal transplantation with previous history of peritoneal dialysis. The origin of this entity is unclear so far and it is believed that several mechanisms may contribute to its development. The hallmark of sclerosing peritonitis is the continuous accumulation of fibrocollagenous deposits in the intestinal wall and mesenteries causing progressive adhesion of the intestinal loops and mesenteric retraction resulting in intestinal obstruction. Also, it has been described as a rare complication after intestinal transplant that might lead to graft failure. In this report, we describe a case of sclerosing peritonitis after intestinal transplantation that was successfully treated with modifications in the immunosuppressive regime allowing restitution of gastrointestinal transit and intestinal autonomy. 2013 John Wiley &amp; Sons A/S", "author" : [ { "dropping-particle" : "", "family" : "Rumbo", "given" : "Carolina", "non-dropping-particle" : "", "parse-names" : false, "suffix" : "" }, { "dropping-particle" : "", "family" : "Zambernardi", "given" : "Agustina", "non-dropping-particle" : "", "parse-names" : false, "suffix" : "" }, { "dropping-particle" : "", "family" : "Cabanne", "given" : "Ana", "non-dropping-particle" : "", "parse-names" : false, "suffix" : "" }, { "dropping-particle" : "", "family" : "Rumbo", "given" : "Martin", "non-dropping-particle" : "", "parse-names" : false, "suffix" : "" }, { "dropping-particle" : "", "family" : "Gondolesi", "given" : "Gabriel", "non-dropping-particle" : "", "parse-names" : false, "suffix" : "" } ], "container-title" : "Pediatric Transplantation", "id" : "ITEM-2", "issue" : "5", "issued" : { "date-parts" : [ [ "2013" ] ] }, "page" : "125-129", "title" : "Sclerosing peritonitis, a rare complication after intestinal transplant. Report of one case successfully treated with adjustment of immunosuppression", "type" : "article-journal", "volume" : "17" }, "uris" : [ "http://www.mendeley.com/documents/?uuid=741bbfa2-64d3-4485-b8da-85d8b2088c97" ] }, { "id" : "ITEM-3", "itemData" : { "DOI" : "10.1007/s10620-010-1471-3", "ISBN" : "1062001014713", "ISSN" : "01632116", "PMID" : "21063775", "author" : [ { "dropping-particle" : "", "family" : "Morrow", "given" : "Ellen H.", "non-dropping-particle" : "", "parse-names" : false, "suffix" : "" }, { "dropping-particle" : "", "family" : "Gallo", "given" : "Amy E.", "non-dropping-particle" : "", "parse-names" : false, "suffix" : "" }, { "dropping-particle" : "", "family" : "Melcher", "given" : "Marc L.", "non-dropping-particle" : "", "parse-names" : false, "suffix" : "" } ], "container-title" : "Digestive Diseases and Sciences", "id" : "ITEM-3", "issue" : "2", "issued" : { "date-parts" : [ [ "2011" ] ] }, "page" : "307-310", "title" : "Sclerosing peritonitis after kidney transplantation: A not-so-silky cocoon", "type" : "article-journal", "volume" : "56" }, "uris" : [ "http://www.mendeley.com/documents/?uuid=6cf82fa2-4061-4285-98de-d44be7ec0edf" ] } ], "mendeley" : { "formattedCitation" : "&lt;sup&gt;[29\u201331]&lt;/sup&gt;", "plainTextFormattedCitation" : "[29\u201331]", "previouslyFormattedCitation" : "&lt;sup&gt;[29\u201331]&lt;/sup&gt;" }, "properties" : { "noteIndex" : 0 }, "schema" : "https://github.com/citation-style-language/schema/raw/master/csl-citation.json" }</w:instrText>
      </w:r>
      <w:r w:rsidR="00232B18"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[29–31]</w:t>
      </w:r>
      <w:r w:rsidR="00232B18" w:rsidRPr="00F532B5">
        <w:rPr>
          <w:rFonts w:ascii="Book Antiqua" w:hAnsi="Book Antiqua"/>
          <w:color w:val="auto"/>
          <w:sz w:val="24"/>
          <w:szCs w:val="24"/>
        </w:rPr>
        <w:fldChar w:fldCharType="end"/>
      </w:r>
      <w:r w:rsidRPr="00F532B5">
        <w:rPr>
          <w:rFonts w:ascii="Book Antiqua" w:hAnsi="Book Antiqua"/>
          <w:color w:val="auto"/>
          <w:sz w:val="24"/>
          <w:szCs w:val="24"/>
        </w:rPr>
        <w:t>, endometriosis</w:t>
      </w:r>
      <w:r w:rsidR="00232B18"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"10.1016/S0002-9378(97)70581-7", "ISBN" : "0002-9378 (Print)\r0002-9378 (Linking)", "ISSN" : "00029378", "PMID" : "9077640", "abstract" : "A 35-year-old woman underwent exploratory laparotomy for ovarian enlargement, massive ascites, and intestinal obstruction. Sclerosing peritonitis associated with florid mesothelial hyperplasia, ovarian fibromatosis, and endometriosis were diagnosed postoperatively. We add to the literature this new association of bilateral ovarian enlargement, sclerosing peritonitis, and florid mesothelial hyperplasia.", "author" : [ { "dropping-particle" : "", "family" : "Frigerio", "given" : "L.", "non-dropping-particle" : "", "parse-names" : false, "suffix" : "" }, { "dropping-particle" : "", "family" : "Taccagni", "given" : "G. L.", "non-dropping-particle" : "", "parse-names" : false, "suffix" : "" }, { "dropping-particle" : "", "family" : "Mariani", "given" : "A.", "non-dropping-particle" : "", "parse-names" : false, "suffix" : "" }, { "dropping-particle" : "", "family" : "Mangili", "given" : "G.", "non-dropping-particle" : "", "parse-names" : false, "suffix" : "" }, { "dropping-particle" : "", "family" : "Ferrari", "given" : "A.", "non-dropping-particle" : "", "parse-names" : false, "suffix" : "" } ], "container-title" : "American Journal of Obstetrics and Gynecology", "id" : "ITEM-1", "issue" : "3", "issued" : { "date-parts" : [ [ "1997" ] ] }, "page" : "721-722", "title" : "Idiopathic sclerosing peritonitis associated with florid mesothelial hyperplasia, ovarian fibromatosis, and endometriosis: A new disorder of abdominal mass", "type" : "article-journal", "volume" : "176" }, "uris" : [ "http://www.mendeley.com/documents/?uuid=51e2c124-5659-4fd4-8d6f-f413f3cd950e" ] } ], "mendeley" : { "formattedCitation" : "&lt;sup&gt;[32]&lt;/sup&gt;", "plainTextFormattedCitation" : "[32]", "previouslyFormattedCitation" : "&lt;sup&gt;[32]&lt;/sup&gt;" }, "properties" : { "noteIndex" : 0 }, "schema" : "https://github.com/citation-style-language/schema/raw/master/csl-citation.json" }</w:instrText>
      </w:r>
      <w:r w:rsidR="00232B18"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[32]</w:t>
      </w:r>
      <w:r w:rsidR="00232B18" w:rsidRPr="00F532B5">
        <w:rPr>
          <w:rFonts w:ascii="Book Antiqua" w:hAnsi="Book Antiqua"/>
          <w:color w:val="auto"/>
          <w:sz w:val="24"/>
          <w:szCs w:val="24"/>
        </w:rPr>
        <w:fldChar w:fldCharType="end"/>
      </w:r>
      <w:r w:rsidR="003B661D" w:rsidRPr="00F532B5">
        <w:rPr>
          <w:rFonts w:ascii="Book Antiqua" w:hAnsi="Book Antiqua"/>
          <w:color w:val="auto"/>
          <w:sz w:val="24"/>
          <w:szCs w:val="24"/>
        </w:rPr>
        <w:t>,</w:t>
      </w:r>
      <w:r w:rsidR="0025156F" w:rsidRPr="00F532B5">
        <w:rPr>
          <w:rFonts w:ascii="Book Antiqua" w:hAnsi="Book Antiqua"/>
          <w:color w:val="auto"/>
          <w:sz w:val="24"/>
          <w:szCs w:val="24"/>
        </w:rPr>
        <w:t xml:space="preserve"> </w:t>
      </w:r>
      <w:r w:rsidRPr="00F532B5">
        <w:rPr>
          <w:rFonts w:ascii="Book Antiqua" w:hAnsi="Book Antiqua"/>
          <w:color w:val="auto"/>
          <w:sz w:val="24"/>
          <w:szCs w:val="24"/>
        </w:rPr>
        <w:t>gynecologic neoplasms</w:t>
      </w:r>
      <w:r w:rsidR="00232B18"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"10.1097/PGP.0b013e31827d1a65", "ISBN" : "1538-7151 (Electronic) 0277-1691 (Linking)", "ISSN" : "0277-1691", "PMID" : "24300532", "abstract" : "We describe the pathologic and clinical presentation of a very rare, fatal case of luteinized thecoma with sclerosing peritonitis in a 40-year-old woman, who had a history of total abdominal hysterectomy and a left salpingo-oophorectomy in 2003. The patient presented with abdominal pain, and radiologic examinations revealed a 10-cm heterogenous right pelvic mass with partial necrosis. The patient eventually underwent an exploratory laparotomy, which revealed an ovarian tumor with multiple implants in the peritoneal cavity. The ovarian lesion was made up of spindle cells among clusters of luteinized stromal cells that expanded to the ovarian cortex. Tumor cells were positive for vimentin, estrogen and progesterone receptors, and CCD68 (focally) and negative for CD34, \u03b1-smooth muscle actin, \u03b2-catenin, and desmin by immunohistochemical studies. Luteinized cells were positive for \u03b1-inhibin and calretinin. Tumor cells exhibited low Ki-67 proliferation indices. The patient died because of the sclerosing peritonitis component of the disease.", "author" : [ { "dropping-particle" : "", "family" : "Bahar", "given" : "Burak", "non-dropping-particle" : "", "parse-names" : false, "suffix" : "" }, { "dropping-particle" : "", "family" : "Hu", "given" : "Zhihong", "non-dropping-particle" : "", "parse-names" : false, "suffix" : "" }, { "dropping-particle" : "", "family" : "Szpaderska", "given" : "Anna", "non-dropping-particle" : "", "parse-names" : false, "suffix" : "" }, { "dropping-particle" : "", "family" : "Liotta", "given" : "Margaret", "non-dropping-particle" : "", "parse-names" : false, "suffix" : "" }, { "dropping-particle" : "", "family" : "Potkul", "given" : "Ronald K.", "non-dropping-particle" : "", "parse-names" : false, "suffix" : "" }, { "dropping-particle" : "", "family" : "Smith", "given" : "Donna", "non-dropping-particle" : "", "parse-names" : false, "suffix" : "" }, { "dropping-particle" : "", "family" : "Er\u015fahin", "given" : "\u00c7a\u011fatay", "non-dropping-particle" : "", "parse-names" : false, "suffix" : "" } ], "container-title" : "International Journal of Gynecological Pathology", "id" : "ITEM-1", "issue" : "1", "issued" : { "date-parts" : [ [ "2014" ] ] }, "page" : "30-34", "title" : "Fatal Case of Luteinized Thecoma With Sclerosing Peritonitis in a 40-Year-Old Woman", "type" : "article-journal", "volume" : "33" }, "uris" : [ "http://www.mendeley.com/documents/?uuid=4b335083-031f-4f00-8580-5d7419be8a0a" ] }, { "id" : "ITEM-2", "itemData" : { "DOI" : "10.1097/PGP.0b013e3182307b28", "ISBN" : "1538-7151", "ISSN" : "0277-1691", "abstract" : "Sclerosing peritonitis is an uncommon condition that has been reported in patients with luteinized ovarian thecomas, although some pathologists have suggested that the underlying ovarian pathology is not always neoplastic. We now report sclerosing peritonitis in a patient with an uncommon, luteinized variant of an adult granulosa cell tumor. To the best of our knowledge, this association has not been described previously. We suggest that sclerosing peritonitis may result from the release of substances by luteinized ovarian stromal cells, in the context of hyperplasia or neoplasia, which stimulate the proliferation of submesothelial fibroblasts.", "author" : [ { "dropping-particle" : "", "family" : "Walker", "given" : "Jane", "non-dropping-particle" : "", "parse-names" : false, "suffix" : "" }, { "dropping-particle" : "", "family" : "Moss", "given" : "Esther L.", "non-dropping-particle" : "", "parse-names" : false, "suffix" : "" }, { "dropping-particle" : "", "family" : "Ganesan", "given" : "Raji", "non-dropping-particle" : "", "parse-names" : false, "suffix" : "" }, { "dropping-particle" : "", "family" : "Hirschowitz", "given" : "Lynn", "non-dropping-particle" : "", "parse-names" : false, "suffix" : "" } ], "container-title" : "International Journal of Gynecological Pathology", "id" : "ITEM-2", "issue" : "2", "issued" : { "date-parts" : [ [ "2012" ] ] }, "page" : "141-144", "title" : "Sclerosing Peritonitis Associated With a Luteinized Adult Granulosa Cell Tumor", "type" : "article-journal", "volume" : "31" }, "uris" : [ "http://www.mendeley.com/documents/?uuid=085b5189-a560-49fb-85c0-82fb2bd379fe" ] } ], "mendeley" : { "formattedCitation" : "&lt;sup&gt;[33,34]&lt;/sup&gt;", "plainTextFormattedCitation" : "[33,34]", "previouslyFormattedCitation" : "&lt;sup&gt;[33,34]&lt;/sup&gt;" }, "properties" : { "noteIndex" : 0 }, "schema" : "https://github.com/citation-style-language/schema/raw/master/csl-citation.json" }</w:instrText>
      </w:r>
      <w:r w:rsidR="00232B18"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[33,34]</w:t>
      </w:r>
      <w:r w:rsidR="00232B18" w:rsidRPr="00F532B5">
        <w:rPr>
          <w:rFonts w:ascii="Book Antiqua" w:hAnsi="Book Antiqua"/>
          <w:color w:val="auto"/>
          <w:sz w:val="24"/>
          <w:szCs w:val="24"/>
        </w:rPr>
        <w:fldChar w:fldCharType="end"/>
      </w:r>
      <w:r w:rsidRPr="00F532B5">
        <w:rPr>
          <w:rFonts w:ascii="Book Antiqua" w:hAnsi="Book Antiqua"/>
          <w:color w:val="auto"/>
          <w:sz w:val="24"/>
          <w:szCs w:val="24"/>
        </w:rPr>
        <w:t>, dermoid cyst rupture</w:t>
      </w:r>
      <w:r w:rsidR="00232B18"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"10.1308/147870811X582495", "ISSN" : "00358843", "author" : [ { "dropping-particle" : "", "family" : "Fossey", "given" : "SJ", "non-dropping-particle" : "", "parse-names" : false, "suffix" : "" }, { "dropping-particle" : "", "family" : "Simson", "given" : "JNL", "non-dropping-particle" : "", "parse-names" : false, "suffix" : "" } ], "container-title" : "Annals of the Royal College of Surgeons of England", "id" : "ITEM-1", "issued" : { "date-parts" : [ [ "2011" ] ] }, "page" : "e39-e40", "title" : "Sclerosing encapsulating peritonitis secondary to dermoid cyst rupture: a case report", "type" : "article-journal", "volume" : "93" }, "uris" : [ "http://www.mendeley.com/documents/?uuid=3a8beeee-2b10-4f6b-8f83-4aa4c05507ef" ] } ], "mendeley" : { "formattedCitation" : "&lt;sup&gt;[35]&lt;/sup&gt;", "plainTextFormattedCitation" : "[35]", "previouslyFormattedCitation" : "&lt;sup&gt;[35]&lt;/sup&gt;" }, "properties" : { "noteIndex" : 0 }, "schema" : "https://github.com/citation-style-language/schema/raw/master/csl-citation.json" }</w:instrText>
      </w:r>
      <w:r w:rsidR="00232B18"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[35]</w:t>
      </w:r>
      <w:r w:rsidR="00232B18" w:rsidRPr="00F532B5">
        <w:rPr>
          <w:rFonts w:ascii="Book Antiqua" w:hAnsi="Book Antiqua"/>
          <w:color w:val="auto"/>
          <w:sz w:val="24"/>
          <w:szCs w:val="24"/>
        </w:rPr>
        <w:fldChar w:fldCharType="end"/>
      </w:r>
      <w:r w:rsidRPr="00F532B5">
        <w:rPr>
          <w:rFonts w:ascii="Book Antiqua" w:hAnsi="Book Antiqua"/>
          <w:color w:val="auto"/>
          <w:sz w:val="24"/>
          <w:szCs w:val="24"/>
        </w:rPr>
        <w:t>, and systemic rheumatologic and inflammatory disorders</w:t>
      </w:r>
      <w:r w:rsidR="00232B18"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"10.1007/BF01299875", "ISBN" : "0163-2116 (Print)\\r0163-2116 (Linking)", "ISSN" : "01632116", "PMID" : "1425080", "abstract" : "In a Caucasian woman with a history of ocular and pulmonary sarcoidosis, the occurrence of sclerosing peritonitis with exudative ascites but without any of the well-known causes of this syndrome prompts us to consider that sclerosing peritonitis is a manifestation of sarcoidosis. The dramatic improvement that occurred on corticosteroid therapy adds credibility to this previously unreported association.", "author" : [ { "dropping-particle" : "", "family" : "Ng\u00f4", "given" : "Yann", "non-dropping-particle" : "", "parse-names" : false, "suffix" : "" }, { "dropping-particle" : "", "family" : "Messing", "given" : "Bernard", "non-dropping-particle" : "", "parse-names" : false, "suffix" : "" }, { "dropping-particle" : "", "family" : "Marteau", "given" : "Philippe", "non-dropping-particle" : "", "parse-names" : false, "suffix" : "" }, { "dropping-particle" : "", "family" : "Nou\u00ebl", "given" : "Olivier", "non-dropping-particle" : "", "parse-names" : false, "suffix" : "" }, { "dropping-particle" : "", "family" : "Pasquiou", "given" : "Alain", "non-dropping-particle" : "", "parse-names" : false, "suffix" : "" }, { "dropping-particle" : "", "family" : "Lavergne", "given" : "Anne", "non-dropping-particle" : "", "parse-names" : false, "suffix" : "" }, { "dropping-particle" : "", "family" : "Rambaud", "given" : "Jean Claude", "non-dropping-particle" : "", "parse-names" : false, "suffix" : "" } ], "container-title" : "Digestive Diseases and Sciences", "id" : "ITEM-1", "issue" : "11", "issued" : { "date-parts" : [ [ "1992" ] ] }, "page" : "1776-1780", "title" : "Peritoneal sarcoidosis - An unrecognized cause of sclerosing peritonitis", "type" : "article-journal", "volume" : "37" }, "uris" : [ "http://www.mendeley.com/documents/?uuid=d8b58e36-6e94-4069-bcf0-730efb905b70" ] }, { "id" : "ITEM-2", "itemData" : { "ISBN" : "0300-2977", "ISSN" : "03002977", "PMID" : "17057274", "abstract" : "Sclerosing peritonitis is a rare condition characterised by fibrosis and adhesion of the peritoneum to loops of the small intestine. It is generally associated with continuous peritoneal dialysis, peritoneo-venous shunts or &amp;beta-adrenergic blocking agents. In this case we report a female patient with idiopathic sclerosing peritonitis and systemic lupus erythematosus.", "author" : [ { "dropping-particle" : "", "family" : "Pepels", "given" : "M. J A E", "non-dropping-particle" : "", "parse-names" : false, "suffix" : "" }, { "dropping-particle" : "", "family" : "Peters", "given" : "F. P J", "non-dropping-particle" : "", "parse-names" : false, "suffix" : "" }, { "dropping-particle" : "", "family" : "Mebis", "given" : "J. J I R", "non-dropping-particle" : "", "parse-names" : false, "suffix" : "" }, { "dropping-particle" : "", "family" : "Ceelen", "given" : "Th L.", "non-dropping-particle" : "", "parse-names" : false, "suffix" : "" }, { "dropping-particle" : "", "family" : "Hoofwijk", "given" : "A. G M", "non-dropping-particle" : "", "parse-names" : false, "suffix" : "" }, { "dropping-particle" : "", "family" : "Erdkamp", "given" : "F. L G", "non-dropping-particle" : "", "parse-names" : false, "suffix" : "" } ], "container-title" : "Netherlands Journal of Medicine", "id" : "ITEM-2", "issue" : "9", "issued" : { "date-parts" : [ [ "2006" ] ] }, "page" : "346-349", "title" : "Sclerosing peritonitis: An unusual cause of ascites in a patient with systemic lupus erythematosus", "type" : "article-journal", "volume" : "64" }, "uris" : [ "http://www.mendeley.com/documents/?uuid=de79bb18-a9cd-4505-817e-d121cad3c67c" ] }, { "id" : "ITEM-3", "itemData" : { "ISSN" : "10079327", "abstract" : "Aim: To investigate the relationship between encapsulating peritonitis and familial Mediterranean fever (FMF). Methods: The patient had a history of type 2 diabetes and laparoscopic cholecystectomy was performed one year ago for cholelithiasis. Eleven months after the operation she developed massive ascites. Biochemical evaluation revealed hyperglycemia, mild Fe deficiency anemia, hypoalbuminemia and a CA-125 level of 2 700 IU. Ascitic evaluation showed characteristics of exudation with a cell count of 580/mm3. Abdominal CT showed omental thickening and massive ascites. At exploratory laparotomy there was generalized thickening of the peritoneum and a laparoscopic clip encapsulated by fibrous tissue was found adherent to the uterus. Biopsies were negative for malignancy and a prophilactic total abdominal hysterectomy and bilateral salpingooophorectomy were performed. Results: The histopathological evaluation was compatible with chronic nonspecific findings and mild mesothelial proliferation and chronic inflammation at the uterine serosa and liver biopsy showed inactive cirrhosis. Conclusion: The patient was evaluated as sclerosing encapsulating peritonitis induced by the laparoscopic clip acting as a foreign body. Due to the fact that the patient had FMF the immune response was probably exaggerated. (copyright) 2005 The WJG Press and Elsevier Inc. All rights reserved.", "author" : [ { "dropping-particle" : "", "family" : "Dabak", "given" : "Resat", "non-dropping-particle" : "", "parse-names" : false, "suffix" : "" }, { "dropping-particle" : "", "family" : "Uygur-Bayrami\u00e7li", "given" : "Oya", "non-dropping-particle" : "", "parse-names" : false, "suffix" : "" }, { "dropping-particle" : "", "family" : "Aydin", "given" : "Didem Kili\u00e7", "non-dropping-particle" : "", "parse-names" : false, "suffix" : "" }, { "dropping-particle" : "", "family" : "Dolap\u00e7ioglu", "given" : "Can", "non-dropping-particle" : "", "parse-names" : false, "suffix" : "" }, { "dropping-particle" : "", "family" : "Gemici", "given" : "Cengiz", "non-dropping-particle" : "", "parse-names" : false, "suffix" : "" }, { "dropping-particle" : "", "family" : "Erginel", "given" : "Turgay", "non-dropping-particle" : "", "parse-names" : false, "suffix" : "" }, { "dropping-particle" : "", "family" : "Turan", "given" : "Cem", "non-dropping-particle" : "", "parse-names" : false, "suffix" : "" }, { "dropping-particle" : "", "family" : "Karadayi", "given" : "Nimet", "non-dropping-particle" : "", "parse-names" : false, "suffix" : "" } ], "container-title" : "World Journal of Gastroenterology", "id" : "ITEM-3", "issue" : "18", "issued" : { "date-parts" : [ [ "2005" ] ] }, "page" : "2844-2846", "title" : "Encapsulating peritonitis and familial Mediterranean fever", "type" : "article-journal", "volume" : "11" }, "uris" : [ "http://www.mendeley.com/documents/?uuid=fcf27a88-f061-4bd4-8248-c7a674442dc3" ] } ], "mendeley" : { "formattedCitation" : "&lt;sup&gt;[36\u201338]&lt;/sup&gt;", "plainTextFormattedCitation" : "[36\u201338]", "previouslyFormattedCitation" : "&lt;sup&gt;[36\u201338]&lt;/sup&gt;" }, "properties" : { "noteIndex" : 0 }, "schema" : "https://github.com/citation-style-language/schema/raw/master/csl-citation.json" }</w:instrText>
      </w:r>
      <w:r w:rsidR="00232B18"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[36–38]</w:t>
      </w:r>
      <w:r w:rsidR="00232B18" w:rsidRPr="00F532B5">
        <w:rPr>
          <w:rFonts w:ascii="Book Antiqua" w:hAnsi="Book Antiqua"/>
          <w:color w:val="auto"/>
          <w:sz w:val="24"/>
          <w:szCs w:val="24"/>
        </w:rPr>
        <w:fldChar w:fldCharType="end"/>
      </w:r>
      <w:r w:rsidR="0058296F" w:rsidRPr="00F532B5">
        <w:rPr>
          <w:rFonts w:ascii="Book Antiqua" w:hAnsi="Book Antiqua"/>
          <w:color w:val="auto"/>
          <w:sz w:val="24"/>
          <w:szCs w:val="24"/>
        </w:rPr>
        <w:t xml:space="preserve"> (Table 1</w:t>
      </w:r>
      <w:r w:rsidR="004843B5" w:rsidRPr="00F532B5">
        <w:rPr>
          <w:rFonts w:ascii="Book Antiqua" w:hAnsi="Book Antiqua"/>
          <w:color w:val="auto"/>
          <w:sz w:val="24"/>
          <w:szCs w:val="24"/>
        </w:rPr>
        <w:t>)</w:t>
      </w:r>
      <w:r w:rsidRPr="00F532B5">
        <w:rPr>
          <w:rFonts w:ascii="Book Antiqua" w:hAnsi="Book Antiqua"/>
          <w:color w:val="auto"/>
          <w:sz w:val="24"/>
          <w:szCs w:val="24"/>
        </w:rPr>
        <w:t>.</w:t>
      </w:r>
      <w:r w:rsidR="006D7818">
        <w:rPr>
          <w:rFonts w:ascii="Book Antiqua" w:hAnsi="Book Antiqua"/>
          <w:color w:val="auto"/>
          <w:sz w:val="24"/>
          <w:szCs w:val="24"/>
        </w:rPr>
        <w:t xml:space="preserve"> </w:t>
      </w:r>
    </w:p>
    <w:p w14:paraId="3288DF60" w14:textId="77777777" w:rsidR="0016371C" w:rsidRPr="00F532B5" w:rsidRDefault="0016371C" w:rsidP="00D92508">
      <w:pPr>
        <w:snapToGrid w:val="0"/>
        <w:spacing w:line="360" w:lineRule="auto"/>
        <w:jc w:val="both"/>
        <w:rPr>
          <w:rFonts w:ascii="Book Antiqua" w:hAnsi="Book Antiqua"/>
          <w:color w:val="auto"/>
          <w:sz w:val="24"/>
          <w:szCs w:val="24"/>
          <w:lang w:eastAsia="zh-CN"/>
        </w:rPr>
      </w:pPr>
    </w:p>
    <w:p w14:paraId="47EE4136" w14:textId="77777777" w:rsidR="0016371C" w:rsidRPr="001B2FC8" w:rsidRDefault="00754926" w:rsidP="00D92508">
      <w:pPr>
        <w:snapToGrid w:val="0"/>
        <w:spacing w:line="360" w:lineRule="auto"/>
        <w:jc w:val="both"/>
        <w:rPr>
          <w:rFonts w:ascii="Book Antiqua" w:hAnsi="Book Antiqua"/>
          <w:b/>
          <w:color w:val="auto"/>
          <w:sz w:val="24"/>
          <w:szCs w:val="24"/>
        </w:rPr>
      </w:pPr>
      <w:r w:rsidRPr="001B2FC8">
        <w:rPr>
          <w:rFonts w:ascii="Book Antiqua" w:hAnsi="Book Antiqua"/>
          <w:b/>
          <w:i/>
          <w:color w:val="auto"/>
          <w:sz w:val="24"/>
          <w:szCs w:val="24"/>
        </w:rPr>
        <w:t>Pathophysiology</w:t>
      </w:r>
    </w:p>
    <w:p w14:paraId="1A489E92" w14:textId="74D13F8D" w:rsidR="003141F7" w:rsidRPr="00F532B5" w:rsidRDefault="00754926" w:rsidP="001B2FC8">
      <w:pPr>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lastRenderedPageBreak/>
        <w:t xml:space="preserve">EPS </w:t>
      </w:r>
      <w:r w:rsidR="007B12D8" w:rsidRPr="00F532B5">
        <w:rPr>
          <w:rFonts w:ascii="Book Antiqua" w:hAnsi="Book Antiqua"/>
          <w:color w:val="auto"/>
          <w:sz w:val="24"/>
          <w:szCs w:val="24"/>
        </w:rPr>
        <w:t>is thought to occur</w:t>
      </w:r>
      <w:r w:rsidR="00B7399F" w:rsidRPr="00F532B5">
        <w:rPr>
          <w:rFonts w:ascii="Book Antiqua" w:hAnsi="Book Antiqua"/>
          <w:color w:val="auto"/>
          <w:sz w:val="24"/>
          <w:szCs w:val="24"/>
        </w:rPr>
        <w:t xml:space="preserve"> </w:t>
      </w:r>
      <w:r w:rsidR="00422DDD" w:rsidRPr="00F532B5">
        <w:rPr>
          <w:rFonts w:ascii="Book Antiqua" w:hAnsi="Book Antiqua"/>
          <w:color w:val="auto"/>
          <w:sz w:val="24"/>
          <w:szCs w:val="24"/>
        </w:rPr>
        <w:t>when a peritoneal inflammatory process (inciting factor) occurs in patients with</w:t>
      </w:r>
      <w:r w:rsidR="00B7399F" w:rsidRPr="00F532B5">
        <w:rPr>
          <w:rFonts w:ascii="Book Antiqua" w:hAnsi="Book Antiqua"/>
          <w:color w:val="auto"/>
          <w:sz w:val="24"/>
          <w:szCs w:val="24"/>
        </w:rPr>
        <w:t xml:space="preserve"> a predisposing condition</w:t>
      </w:r>
      <w:r w:rsidR="00B7399F" w:rsidRPr="00F532B5" w:rsidDel="00B7399F">
        <w:rPr>
          <w:rFonts w:ascii="Book Antiqua" w:hAnsi="Book Antiqua"/>
          <w:color w:val="auto"/>
          <w:sz w:val="24"/>
          <w:szCs w:val="24"/>
        </w:rPr>
        <w:t xml:space="preserve"> </w:t>
      </w:r>
      <w:r w:rsidR="00422DDD" w:rsidRPr="00F532B5">
        <w:rPr>
          <w:rFonts w:ascii="Book Antiqua" w:hAnsi="Book Antiqua"/>
          <w:color w:val="auto"/>
          <w:sz w:val="24"/>
          <w:szCs w:val="24"/>
        </w:rPr>
        <w:t xml:space="preserve">(Figure </w:t>
      </w:r>
      <w:r w:rsidR="00EF6237" w:rsidRPr="00F532B5">
        <w:rPr>
          <w:rFonts w:ascii="Book Antiqua" w:hAnsi="Book Antiqua"/>
          <w:color w:val="auto"/>
          <w:sz w:val="24"/>
          <w:szCs w:val="24"/>
        </w:rPr>
        <w:t>1</w:t>
      </w:r>
      <w:r w:rsidR="00422DDD" w:rsidRPr="00F532B5">
        <w:rPr>
          <w:rFonts w:ascii="Book Antiqua" w:hAnsi="Book Antiqua"/>
          <w:color w:val="auto"/>
          <w:sz w:val="24"/>
          <w:szCs w:val="24"/>
        </w:rPr>
        <w:t>)</w:t>
      </w:r>
      <w:r w:rsidR="0085570A" w:rsidRPr="00F532B5">
        <w:rPr>
          <w:rFonts w:ascii="Book Antiqua" w:hAnsi="Book Antiqua"/>
          <w:color w:val="auto"/>
          <w:sz w:val="24"/>
          <w:szCs w:val="24"/>
        </w:rPr>
        <w:t>.</w:t>
      </w:r>
      <w:r w:rsidR="006D7818">
        <w:rPr>
          <w:rFonts w:ascii="Book Antiqua" w:hAnsi="Book Antiqua"/>
          <w:color w:val="auto"/>
          <w:sz w:val="24"/>
          <w:szCs w:val="24"/>
        </w:rPr>
        <w:t xml:space="preserve"> </w:t>
      </w:r>
      <w:r w:rsidR="00422DDD" w:rsidRPr="00F532B5">
        <w:rPr>
          <w:rFonts w:ascii="Book Antiqua" w:hAnsi="Book Antiqua"/>
          <w:color w:val="auto"/>
          <w:sz w:val="24"/>
          <w:szCs w:val="24"/>
        </w:rPr>
        <w:t xml:space="preserve">In </w:t>
      </w:r>
      <w:r w:rsidR="00834471" w:rsidRPr="00F532B5">
        <w:rPr>
          <w:rFonts w:ascii="Book Antiqua" w:hAnsi="Book Antiqua"/>
          <w:color w:val="auto"/>
          <w:sz w:val="24"/>
          <w:szCs w:val="24"/>
        </w:rPr>
        <w:t xml:space="preserve">peritoneal dialysis (PD) </w:t>
      </w:r>
      <w:r w:rsidR="00422DDD" w:rsidRPr="00F532B5">
        <w:rPr>
          <w:rFonts w:ascii="Book Antiqua" w:hAnsi="Book Antiqua"/>
          <w:color w:val="auto"/>
          <w:sz w:val="24"/>
          <w:szCs w:val="24"/>
        </w:rPr>
        <w:t xml:space="preserve">literature, this is referred to as </w:t>
      </w:r>
      <w:r w:rsidRPr="00F532B5">
        <w:rPr>
          <w:rFonts w:ascii="Book Antiqua" w:hAnsi="Book Antiqua"/>
          <w:color w:val="auto"/>
          <w:sz w:val="24"/>
          <w:szCs w:val="24"/>
        </w:rPr>
        <w:t>the “two-hit</w:t>
      </w:r>
      <w:r w:rsidR="00417731" w:rsidRPr="00F532B5">
        <w:rPr>
          <w:rFonts w:ascii="Book Antiqua" w:hAnsi="Book Antiqua"/>
          <w:color w:val="auto"/>
          <w:sz w:val="24"/>
          <w:szCs w:val="24"/>
        </w:rPr>
        <w:t>” hypothesis</w:t>
      </w:r>
      <w:r w:rsidR="003607C8"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"10.1016/j.semnephrol.2016.10.010", "ISSN" : "15584488", "abstract" : "Encapsulating peritoneal sclerosis (EPS) is a rare but serious complication of peritoneal dialysis. In this review, we describe the clinical picture and histologic changes to the peritoneal membrane that are associated with EPS and provide an update on current diagnosis and management. We also discuss the recent studies that have suggested that the use of more biocompatible solutions containing lower concentrations of glucose degradation product that often are pH neutral in combination with a change in clinical practice (reducing glucose exposure and monitoring peritoneal membrane function) might ameliorate peritoneal degeneration, reduce the incidence of EPS, and minimize the severity of the disease.", "author" : [ { "dropping-particle" : "", "family" : "Alston", "given" : "Helen", "non-dropping-particle" : "", "parse-names" : false, "suffix" : "" }, { "dropping-particle" : "", "family" : "Fan", "given" : "Stanley", "non-dropping-particle" : "", "parse-names" : false, "suffix" : "" }, { "dropping-particle" : "", "family" : "Nakayama", "given" : "Masaaki", "non-dropping-particle" : "", "parse-names" : false, "suffix" : "" } ], "container-title" : "Seminars in Nephrology", "id" : "ITEM-1", "issue" : "1", "issued" : { "date-parts" : [ [ "2017" ] ] }, "page" : "93-102", "publisher" : "Elsevier", "title" : "Encapsulating Peritoneal Sclerosis", "type" : "article-journal", "volume" : "37" }, "uris" : [ "http://www.mendeley.com/documents/?uuid=8fe90bff-5313-491e-9ea1-b67d6656d2f6" ] } ], "mendeley" : { "formattedCitation" : "&lt;sup&gt;[39]&lt;/sup&gt;", "plainTextFormattedCitation" : "[39]", "previouslyFormattedCitation" : "&lt;sup&gt;[39]&lt;/sup&gt;" }, "properties" : { "noteIndex" : 0 }, "schema" : "https://github.com/citation-style-language/schema/raw/master/csl-citation.json" }</w:instrText>
      </w:r>
      <w:r w:rsidR="003607C8"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[39]</w:t>
      </w:r>
      <w:r w:rsidR="003607C8" w:rsidRPr="00F532B5">
        <w:rPr>
          <w:rFonts w:ascii="Book Antiqua" w:hAnsi="Book Antiqua"/>
          <w:color w:val="auto"/>
          <w:sz w:val="24"/>
          <w:szCs w:val="24"/>
        </w:rPr>
        <w:fldChar w:fldCharType="end"/>
      </w:r>
      <w:r w:rsidR="00422DDD" w:rsidRPr="00F532B5">
        <w:rPr>
          <w:rFonts w:ascii="Book Antiqua" w:hAnsi="Book Antiqua"/>
          <w:color w:val="auto"/>
          <w:sz w:val="24"/>
          <w:szCs w:val="24"/>
        </w:rPr>
        <w:t xml:space="preserve"> in which </w:t>
      </w:r>
      <w:r w:rsidR="00E942DC" w:rsidRPr="00F532B5">
        <w:rPr>
          <w:rFonts w:ascii="Book Antiqua" w:hAnsi="Book Antiqua"/>
          <w:color w:val="auto"/>
          <w:sz w:val="24"/>
          <w:szCs w:val="24"/>
        </w:rPr>
        <w:t>t</w:t>
      </w:r>
      <w:r w:rsidR="00F71760" w:rsidRPr="00F532B5">
        <w:rPr>
          <w:rFonts w:ascii="Book Antiqua" w:hAnsi="Book Antiqua"/>
          <w:color w:val="auto"/>
          <w:sz w:val="24"/>
          <w:szCs w:val="24"/>
        </w:rPr>
        <w:t xml:space="preserve">he “first hit” </w:t>
      </w:r>
      <w:r w:rsidR="00422DDD" w:rsidRPr="00F532B5">
        <w:rPr>
          <w:rFonts w:ascii="Book Antiqua" w:hAnsi="Book Antiqua"/>
          <w:color w:val="auto"/>
          <w:sz w:val="24"/>
          <w:szCs w:val="24"/>
        </w:rPr>
        <w:t xml:space="preserve">or predisposing condition </w:t>
      </w:r>
      <w:r w:rsidR="00E942DC" w:rsidRPr="00F532B5">
        <w:rPr>
          <w:rFonts w:ascii="Book Antiqua" w:hAnsi="Book Antiqua"/>
          <w:color w:val="auto"/>
          <w:sz w:val="24"/>
          <w:szCs w:val="24"/>
        </w:rPr>
        <w:t>is</w:t>
      </w:r>
      <w:r w:rsidR="00F71760" w:rsidRPr="00F532B5">
        <w:rPr>
          <w:rFonts w:ascii="Book Antiqua" w:hAnsi="Book Antiqua"/>
          <w:color w:val="auto"/>
          <w:sz w:val="24"/>
          <w:szCs w:val="24"/>
        </w:rPr>
        <w:t xml:space="preserve"> </w:t>
      </w:r>
      <w:r w:rsidR="003141F7" w:rsidRPr="00F532B5">
        <w:rPr>
          <w:rFonts w:ascii="Book Antiqua" w:hAnsi="Book Antiqua"/>
          <w:color w:val="auto"/>
          <w:sz w:val="24"/>
          <w:szCs w:val="24"/>
        </w:rPr>
        <w:t xml:space="preserve">the </w:t>
      </w:r>
      <w:r w:rsidR="00F71760" w:rsidRPr="00F532B5">
        <w:rPr>
          <w:rFonts w:ascii="Book Antiqua" w:hAnsi="Book Antiqua"/>
          <w:color w:val="auto"/>
          <w:sz w:val="24"/>
          <w:szCs w:val="24"/>
        </w:rPr>
        <w:t>non-inflammatory peritoneal sclerosis</w:t>
      </w:r>
      <w:r w:rsidR="003141F7" w:rsidRPr="00F532B5">
        <w:rPr>
          <w:rFonts w:ascii="Book Antiqua" w:hAnsi="Book Antiqua"/>
          <w:color w:val="auto"/>
          <w:sz w:val="24"/>
          <w:szCs w:val="24"/>
        </w:rPr>
        <w:t xml:space="preserve"> resulting</w:t>
      </w:r>
      <w:r w:rsidR="00F71760" w:rsidRPr="00F532B5">
        <w:rPr>
          <w:rFonts w:ascii="Book Antiqua" w:hAnsi="Book Antiqua"/>
          <w:color w:val="auto"/>
          <w:sz w:val="24"/>
          <w:szCs w:val="24"/>
        </w:rPr>
        <w:t xml:space="preserve"> from repeated</w:t>
      </w:r>
      <w:r w:rsidR="003B7A38" w:rsidRPr="00F532B5">
        <w:rPr>
          <w:rFonts w:ascii="Book Antiqua" w:hAnsi="Book Antiqua"/>
          <w:color w:val="auto"/>
          <w:sz w:val="24"/>
          <w:szCs w:val="24"/>
        </w:rPr>
        <w:t xml:space="preserve"> dialysis sessions</w:t>
      </w:r>
      <w:r w:rsidR="00F71760" w:rsidRPr="00F532B5">
        <w:rPr>
          <w:rFonts w:ascii="Book Antiqua" w:hAnsi="Book Antiqua"/>
          <w:color w:val="auto"/>
          <w:sz w:val="24"/>
          <w:szCs w:val="24"/>
        </w:rPr>
        <w:t>.</w:t>
      </w:r>
      <w:r w:rsidR="006D7818">
        <w:rPr>
          <w:rFonts w:ascii="Book Antiqua" w:hAnsi="Book Antiqua"/>
          <w:color w:val="auto"/>
          <w:sz w:val="24"/>
          <w:szCs w:val="24"/>
        </w:rPr>
        <w:t xml:space="preserve"> </w:t>
      </w:r>
      <w:r w:rsidR="00F71760" w:rsidRPr="00F532B5">
        <w:rPr>
          <w:rFonts w:ascii="Book Antiqua" w:hAnsi="Book Antiqua"/>
          <w:color w:val="auto"/>
          <w:sz w:val="24"/>
          <w:szCs w:val="24"/>
        </w:rPr>
        <w:t>In support of this, cumulative incidence of EPS increases dramatically with time on PD</w:t>
      </w:r>
      <w:r w:rsidR="00F71760"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"10.1038/ki.2010.16", "ISSN" : "00852538", "PMID" : "20375981", "abstract" : "Encapsulating peritoneal sclerosis is a complication of peritoneal dialysis characterized by persistent, intermittent, or recurrent adhesive bowel obstruction. Here we examined the incidence, predictors, and outcomes of encapsulating peritoneal sclerosis (peritoneal fibrosis) by multivariate logistic regression in incident peritoneal dialysis patients in Australia and New Zealand. Matched case\u2013control analysis compared the survival of patients with controls equivalent for age, gender, diabetes, and time on peritoneal dialysis. Of 7618 patients measured over a 13-year period, encapsulating peritoneal sclerosis was diagnosed in 33, giving an incidence rate of 1.8/1000 patient-years. The respective cumulative incidences of peritoneal sclerosis at 3, 5, and 8 years were 0.3, 0.8, and 3.9%. This condition was independently predicted by younger age and the duration of peritoneal dialysis, but not the rate of peritonitis. Twenty-six patients were diagnosed while still on peritoneal dialysis. Median survival following diagnosis was 4 years and not statistically different from that of 132 matched controls. Of the 18 patients who died, only 7 were attributed directly to peritoneal sclerosis. Our study shows that encapsulating peritoneal sclerosis is a rare condition, predicted by younger age and the duration of peritoneal dialysis. The risk of death is relatively low and not appreciably different from that of competing risks for mortality in matched dialysis control patients.", "author" : [ { "dropping-particle" : "", "family" : "Johnson", "given" : "David W.", "non-dropping-particle" : "", "parse-names" : false, "suffix" : "" }, { "dropping-particle" : "", "family" : "Cho", "given" : "Yeoungjee", "non-dropping-particle" : "", "parse-names" : false, "suffix" : "" }, { "dropping-particle" : "", "family" : "Livingston", "given" : "Brian E.R.", "non-dropping-particle" : "", "parse-names" : false, "suffix" : "" }, { "dropping-particle" : "", "family" : "Hawley", "given" : "Carmel M.", "non-dropping-particle" : "", "parse-names" : false, "suffix" : "" }, { "dropping-particle" : "", "family" : "McDonald", "given" : "Stephen P.", "non-dropping-particle" : "", "parse-names" : false, "suffix" : "" }, { "dropping-particle" : "", "family" : "Brown", "given" : "Fiona G.", "non-dropping-particle" : "", "parse-names" : false, "suffix" : "" }, { "dropping-particle" : "", "family" : "Rosman", "given" : "Johan B.", "non-dropping-particle" : "", "parse-names" : false, "suffix" : "" }, { "dropping-particle" : "", "family" : "Bannister", "given" : "Kym M.", "non-dropping-particle" : "", "parse-names" : false, "suffix" : "" }, { "dropping-particle" : "", "family" : "Wiggins", "given" : "Kathryn J.", "non-dropping-particle" : "", "parse-names" : false, "suffix" : "" } ], "container-title" : "Kidney International", "id" : "ITEM-1", "issue" : "10", "issued" : { "date-parts" : [ [ "2010" ] ] }, "page" : "904-912", "publisher" : "Elsevier Masson SAS", "title" : "Encapsulating peritoneal sclerosis: incidence, predictors, and outcomes", "type" : "article-journal", "volume" : "77" }, "uris" : [ "http://www.mendeley.com/documents/?uuid=3f6d7a8d-e367-460f-9df3-3a0582890940" ] }, { "id" : "ITEM-2", "itemData" : { "author" : [ { "dropping-particle" : "", "family" : "Kawanishi", "given" : "H", "non-dropping-particle" : "", "parse-names" : false, "suffix" : "" }, { "dropping-particle" : "", "family" : "Moriishi", "given" : "M", "non-dropping-particle" : "", "parse-names" : false, "suffix" : "" } ], "container-title" : "Peritoneal Dialysis International", "id" : "ITEM-2", "issued" : { "date-parts" : [ [ "2005" ] ] }, "page" : "S14-8", "title" : "Epidemiology of encapsulating peritoneal sclerosis in Japan", "type" : "article-journal", "volume" : "25" }, "uris" : [ "http://www.mendeley.com/documents/?uuid=8236cd20-e8e3-4d9d-a549-094e875b3af7" ] } ], "mendeley" : { "formattedCitation" : "&lt;sup&gt;[40,41]&lt;/sup&gt;", "plainTextFormattedCitation" : "[40,41]", "previouslyFormattedCitation" : "&lt;sup&gt;[40,41]&lt;/sup&gt;" }, "properties" : { "noteIndex" : 0 }, "schema" : "https://github.com/citation-style-language/schema/raw/master/csl-citation.json" }</w:instrText>
      </w:r>
      <w:r w:rsidR="00F71760"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[40,41]</w:t>
      </w:r>
      <w:r w:rsidR="00F71760" w:rsidRPr="00F532B5">
        <w:rPr>
          <w:rFonts w:ascii="Book Antiqua" w:hAnsi="Book Antiqua"/>
          <w:color w:val="auto"/>
          <w:sz w:val="24"/>
          <w:szCs w:val="24"/>
        </w:rPr>
        <w:fldChar w:fldCharType="end"/>
      </w:r>
      <w:r w:rsidR="00F71760" w:rsidRPr="00F532B5">
        <w:rPr>
          <w:rFonts w:ascii="Book Antiqua" w:hAnsi="Book Antiqua"/>
          <w:color w:val="auto"/>
          <w:sz w:val="24"/>
          <w:szCs w:val="24"/>
        </w:rPr>
        <w:t>.</w:t>
      </w:r>
      <w:r w:rsidR="006D7818">
        <w:rPr>
          <w:rFonts w:ascii="Book Antiqua" w:hAnsi="Book Antiqua"/>
          <w:color w:val="auto"/>
          <w:sz w:val="24"/>
          <w:szCs w:val="24"/>
        </w:rPr>
        <w:t xml:space="preserve"> </w:t>
      </w:r>
      <w:r w:rsidR="00F71760" w:rsidRPr="00F532B5">
        <w:rPr>
          <w:rFonts w:ascii="Book Antiqua" w:hAnsi="Book Antiqua"/>
          <w:color w:val="auto"/>
          <w:sz w:val="24"/>
          <w:szCs w:val="24"/>
        </w:rPr>
        <w:t>A proinflammatory “second hit”</w:t>
      </w:r>
      <w:r w:rsidR="00F71760"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"ISBN" : "0896-8608", "ISSN" : "08968608", "PMID" : "16300269", "abstract" : "Pathology findings of encapsulating peritoneal sclerosis (EPS) are reviewed to establish histologic criteria for a diagnosis of EPS. The typical macroscopic finding is a cocoon-like encapsulation of the entire intestine. This encapsulation is frequently accompanied by fibrin deposition, focal bleeding on the peritoneum, and various quantities of bloody ascites. A thin membrane on the visceral peritoneum contributes to the formation of the intestinal encapsulation. Histologically, the membrane is composed mainly of organized fibrin, probably derived from plasma exudation from the peritoneal microvasculature. Peritoneal fibroblasts appear swollen and exhibit an increased level of cellularity, accompanied by expression of various activation and proliferation markers. According to the \"two-hit\" theory of EPS pathogenesis, deterioration of the peritoneum as a result of the peritoneal dialysis (PD) procedure (the first \"hit\") and superimposition of inflammatory stimuli such as infectious peritonitis (the second \"hit\") are thought to play key roles in the pathogenesis of EPS. Based on histologic examination of peritoneal biopsy specimens, the detection of fibrin deposition and fibroblast phenotypic alteration were proposed as important findings for early diagnosis of EPS. Persistent inflammatory changes are also predictive of the future onset of EPS. Careful histologic evaluation of peritoneal biopsy specimens, combined with Laparoscopic observations after withdrawal of PD, is required for the early diagnosis and treatment of EPS.", "author" : [ { "dropping-particle" : "", "family" : "Honda", "given" : "Kazuho", "non-dropping-particle" : "", "parse-names" : false, "suffix" : "" }, { "dropping-particle" : "", "family" : "Oda", "given" : "Hideaki", "non-dropping-particle" : "", "parse-names" : false, "suffix" : "" } ], "container-title" : "Peritoneal Dialysis International", "id" : "ITEM-1", "issue" : "SUPPL. 4", "issued" : { "date-parts" : [ [ "2005" ] ] }, "page" : "2005", "title" : "Pathology of encapsulating peritoneal sclerosis", "type" : "article-journal", "volume" : "25" }, "uris" : [ "http://www.mendeley.com/documents/?uuid=520fcaaa-ed48-42a4-9cc4-f8299574ee50" ] } ], "mendeley" : { "formattedCitation" : "&lt;sup&gt;[42]&lt;/sup&gt;", "plainTextFormattedCitation" : "[42]", "previouslyFormattedCitation" : "&lt;sup&gt;[42]&lt;/sup&gt;" }, "properties" : { "noteIndex" : 0 }, "schema" : "https://github.com/citation-style-language/schema/raw/master/csl-citation.json" }</w:instrText>
      </w:r>
      <w:r w:rsidR="00F71760"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[42]</w:t>
      </w:r>
      <w:r w:rsidR="00F71760" w:rsidRPr="00F532B5">
        <w:rPr>
          <w:rFonts w:ascii="Book Antiqua" w:hAnsi="Book Antiqua"/>
          <w:color w:val="auto"/>
          <w:sz w:val="24"/>
          <w:szCs w:val="24"/>
        </w:rPr>
        <w:fldChar w:fldCharType="end"/>
      </w:r>
      <w:r w:rsidR="00F71760" w:rsidRPr="00F532B5">
        <w:rPr>
          <w:rFonts w:ascii="Book Antiqua" w:hAnsi="Book Antiqua"/>
          <w:color w:val="auto"/>
          <w:sz w:val="24"/>
          <w:szCs w:val="24"/>
        </w:rPr>
        <w:t xml:space="preserve"> precipitates a cascade of proinflammatory (</w:t>
      </w:r>
      <w:r w:rsidR="00B034C2" w:rsidRPr="00F532B5">
        <w:rPr>
          <w:rFonts w:ascii="Book Antiqua" w:hAnsi="Book Antiqua"/>
          <w:color w:val="auto"/>
          <w:sz w:val="24"/>
          <w:szCs w:val="24"/>
        </w:rPr>
        <w:t>transforming growth factor β1 (</w:t>
      </w:r>
      <w:r w:rsidR="00F71760" w:rsidRPr="00F532B5">
        <w:rPr>
          <w:rFonts w:ascii="Book Antiqua" w:hAnsi="Book Antiqua"/>
          <w:color w:val="auto"/>
          <w:sz w:val="24"/>
          <w:szCs w:val="24"/>
        </w:rPr>
        <w:t>TGFβ1</w:t>
      </w:r>
      <w:r w:rsidR="00B034C2" w:rsidRPr="00F532B5">
        <w:rPr>
          <w:rFonts w:ascii="Book Antiqua" w:hAnsi="Book Antiqua"/>
          <w:color w:val="auto"/>
          <w:sz w:val="24"/>
          <w:szCs w:val="24"/>
        </w:rPr>
        <w:t>)</w:t>
      </w:r>
      <w:r w:rsidR="00F71760" w:rsidRPr="00F532B5">
        <w:rPr>
          <w:rFonts w:ascii="Book Antiqua" w:hAnsi="Book Antiqua"/>
          <w:color w:val="auto"/>
          <w:sz w:val="24"/>
          <w:szCs w:val="24"/>
        </w:rPr>
        <w:t xml:space="preserve">, </w:t>
      </w:r>
      <w:r w:rsidR="00B034C2" w:rsidRPr="00F532B5">
        <w:rPr>
          <w:rFonts w:ascii="Book Antiqua" w:hAnsi="Book Antiqua"/>
          <w:color w:val="auto"/>
          <w:sz w:val="24"/>
          <w:szCs w:val="24"/>
        </w:rPr>
        <w:t>interleukin-6 (</w:t>
      </w:r>
      <w:r w:rsidR="00F71760" w:rsidRPr="00F532B5">
        <w:rPr>
          <w:rFonts w:ascii="Book Antiqua" w:hAnsi="Book Antiqua"/>
          <w:color w:val="auto"/>
          <w:sz w:val="24"/>
          <w:szCs w:val="24"/>
        </w:rPr>
        <w:t>IL-6</w:t>
      </w:r>
      <w:r w:rsidR="00B034C2" w:rsidRPr="00F532B5">
        <w:rPr>
          <w:rFonts w:ascii="Book Antiqua" w:hAnsi="Book Antiqua"/>
          <w:color w:val="auto"/>
          <w:sz w:val="24"/>
          <w:szCs w:val="24"/>
        </w:rPr>
        <w:t>)</w:t>
      </w:r>
      <w:r w:rsidR="00F71760" w:rsidRPr="00F532B5">
        <w:rPr>
          <w:rFonts w:ascii="Book Antiqua" w:hAnsi="Book Antiqua"/>
          <w:color w:val="auto"/>
          <w:sz w:val="24"/>
          <w:szCs w:val="24"/>
        </w:rPr>
        <w:t>, CCN2) and proangiogenic (</w:t>
      </w:r>
      <w:r w:rsidR="00B034C2" w:rsidRPr="00F532B5">
        <w:rPr>
          <w:rFonts w:ascii="Book Antiqua" w:hAnsi="Book Antiqua"/>
          <w:color w:val="auto"/>
          <w:sz w:val="24"/>
          <w:szCs w:val="24"/>
        </w:rPr>
        <w:t>vascular endothelial growth factor (</w:t>
      </w:r>
      <w:r w:rsidR="00F71760" w:rsidRPr="00F532B5">
        <w:rPr>
          <w:rFonts w:ascii="Book Antiqua" w:hAnsi="Book Antiqua"/>
          <w:color w:val="auto"/>
          <w:sz w:val="24"/>
          <w:szCs w:val="24"/>
        </w:rPr>
        <w:t>VEGF</w:t>
      </w:r>
      <w:r w:rsidR="00B034C2" w:rsidRPr="00F532B5">
        <w:rPr>
          <w:rFonts w:ascii="Book Antiqua" w:hAnsi="Book Antiqua"/>
          <w:color w:val="auto"/>
          <w:sz w:val="24"/>
          <w:szCs w:val="24"/>
        </w:rPr>
        <w:t>)</w:t>
      </w:r>
      <w:r w:rsidR="00F71760" w:rsidRPr="00F532B5">
        <w:rPr>
          <w:rFonts w:ascii="Book Antiqua" w:hAnsi="Book Antiqua"/>
          <w:color w:val="auto"/>
          <w:sz w:val="24"/>
          <w:szCs w:val="24"/>
        </w:rPr>
        <w:t>) cytokines</w:t>
      </w:r>
      <w:r w:rsidR="00F71760"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"10.1371/journal.pone.0112050", "ISBN" : "1932-6203 (Electronic)\r1932-6203 (Linking)", "ISSN" : "1932-6203", "PMID" : "25384022", "abstract" : "INTRODUCTION: Encapsulating peritoneal sclerosis (EPS) is a devastating complication of peritoneal dialysis (PD). The pathogenesis is not exactly known and no preventive strategy or targeted medical therapy is available. CCN2 has both pro-fibrotic and pro-angiogenic actions and appears an attractive target. Therefore, we studied peritoneal expression of CCN2, as well as TGF\u03b21 and VEGF, in different stages of peritoneal fibrosis.\\n\\nMATERIALS AND METHODS: Sixteen PD patients were investigated and compared to 12 hemodialysis patients and four pre-emptively transplanted patients. Furthermore, expression was investigated in 12 EPS patients in comparison with 13 PD and 12 non-PD patients without EPS. Peritoneal tissue was taken during kidney transplantation procedure or during EPS surgery. In a subset of patients, CCN2 protein levels in peritoneal effluent and plasma were determined. Samples were examined by qPCR, histology, immunohistochemistry, and ELISA.\\n\\nRESULTS: Peritoneal CCN2 expression was 5-fold higher in PD patients compared to pre-emptively transplanted patients (P &lt; 0.05), but did not differ from hemodialysis patients. Peritoneal expression of TGF\u03b21 and VEGF were not different between the three groups; neither was peritoneal thickness. Peritoneum of EPS patients exhibited increased expression of CCN2 (35-fold, P &lt; 0.001), TGF\u03b21 (24-fold, P &lt; 0.05), and VEGF (77-fold, P &lt; 0.001) compared to PD patients without EPS. In EPS patients, CCN2 protein was mainly localized in peritoneal endothelial cells and fibroblasts. CCN2 protein levels were significantly higher in peritoneal effluent of EPS patients compared to levels in dialysate of PD patients (12.0 \u00b1 4.5 vs. 0.91 \u00b1 0.92 ng/ml, P &lt; 0.01), while plasma CCN2 levels were not increased.\\n\\nCONCLUSIONS: Peritoneal expression of CCN2, TGF\u03b21, and VEGF are significantly increased in EPS patients. In early stages of peritoneal fibrosis, only CCN2 expression is slightly increased. Peritoneal CCN2 overexpression in EPS patients is a locally driven response. The potential of CCN2 as biomarker and target for CCN2-inhibiting agents to prevent or treat EPS warrants further study.", "author" : [ { "dropping-particle" : "", "family" : "Abrahams", "given" : "Alferso C", "non-dropping-particle" : "", "parse-names" : false, "suffix" : "" }, { "dropping-particle" : "", "family" : "Habib", "given" : "Sayed M", "non-dropping-particle" : "", "parse-names" : false, "suffix" : "" }, { "dropping-particle" : "", "family" : "Dendooven", "given" : "Am\u00e9lie", "non-dropping-particle" : "", "parse-names" : false, "suffix" : "" }, { "dropping-particle" : "", "family" : "Riser", "given" : "Bruce L", "non-dropping-particle" : "", "parse-names" : false, "suffix" : "" }, { "dropping-particle" : "", "family" : "Veer", "given" : "Jan Willem", "non-dropping-particle" : "van der", "parse-names" : false, "suffix" : "" }, { "dropping-particle" : "", "family" : "Toorop", "given" : "Raechel J", "non-dropping-particle" : "", "parse-names" : false, "suffix" : "" }, { "dropping-particle" : "", "family" : "Betjes", "given" : "Michiel G H", "non-dropping-particle" : "", "parse-names" : false, "suffix" : "" }, { "dropping-particle" : "", "family" : "Verhaar", "given" : "Marianne C", "non-dropping-particle" : "", "parse-names" : false, "suffix" : "" }, { "dropping-particle" : "", "family" : "Watson", "given" : "Christopher J E", "non-dropping-particle" : "", "parse-names" : false, "suffix" : "" }, { "dropping-particle" : "", "family" : "Nguyen", "given" : "Tri Q", "non-dropping-particle" : "", "parse-names" : false, "suffix" : "" }, { "dropping-particle" : "", "family" : "Boer", "given" : "Walther H", "non-dropping-particle" : "", "parse-names" : false, "suffix" : "" } ], "container-title" : "PloS one", "id" : "ITEM-1", "issue" : "11", "issued" : { "date-parts" : [ [ "2014" ] ] }, "page" : "e112050", "title" : "Patients with encapsulating peritoneal sclerosis have increased peritoneal expression of connective tissue growth factor (CCN2), transforming growth factor-\u03b21, and vascular endothelial growth factor.", "type" : "article-journal", "volume" : "9" }, "uris" : [ "http://www.mendeley.com/documents/?uuid=ffd1c606-7765-488d-8eec-76154251324f" ] }, { "id" : "ITEM-2", "itemData" : { "DOI" : "10.1093/ndt/gfv440", "ISSN" : "14602385", "PMID" : "26908833", "abstract" : "Background. Encapsulating peritoneal sclerosis (EPS) is an un-common condition, strongly associated with a long duration of peritoneal dialysis (PD), which is itself associated with in-creased fibrosis in the peritoneal membrane. The peritoneal membrane is inflamed during PD and inflammation is often as-sociated with fibrosis. We hypothesized that patients who sub-sequently develop EPS might have a more inflamed peritoneal membrane during PD. Methods. We performed a nested, case\u2013control study identi-fying all EPS cases in the UK arm of the GLOBAL Fluid Study and matching them by centre and duration of PD with two to three controls. Dialysate and plasma samples were taken dur-ing repeated peritoneal equilibration tests prior to cessation of PD from cases and controls. Samples were assayed by elec-trochemiluminescence immunoassay for interleukin-1\u03b2 (IL-1\u03b2), tumour necrosis factor \u03b1 (TNF-\u03b1), interferon-\u03b3 (IFN-\u03b3) and IL-6. Results were analysed by linear mixed models ad-justed for age and time on PD. Results. Eleven EPS cases were matched with 26 controls. Di-alysate TNF-\u03b1 {0.64 [95% confidence interval (CI) 0.23, 1.05]} and IL-6 [0.79 (95% CI 0.03, 1.56)] were significantly higher in EPS cases, while IL-1\u03b2 [1.06 (95% CI \u22120.11, 2.23)] and IFN-\u03b3 [0.62 (95% CI \u22120.06, 1.29)] showed a similar trend. Only IL-6 was significantly higher in the plasma [0.42 (95% CI 0.07, 0.78)]. Solute transport was not significantly different between cases and controls but did increase in both groups with the dur-ation of PD. Conclusions. The peritoneal cavity has higher levels of inflam-matory cytokines during PD in patients who subsequently de-velop EPS, but neither inflammatory cytokines nor peritoneal solute transport clearly discriminates EPS cases. Increased sys-temic inflammation is also evident and is probably driven by increased peritoneal inflammation.", "author" : [ { "dropping-particle" : "", "family" : "Lambie", "given" : "Mark R.", "non-dropping-particle" : "", "parse-names" : false, "suffix" : "" }, { "dropping-particle" : "", "family" : "Chess", "given" : "James", "non-dropping-particle" : "", "parse-names" : false, "suffix" : "" }, { "dropping-particle" : "", "family" : "Summers", "given" : "Angela M.", "non-dropping-particle" : "", "parse-names" : false, "suffix" : "" }, { "dropping-particle" : "", "family" : "Williams", "given" : "Paul Ford", "non-dropping-particle" : "", "parse-names" : false, "suffix" : "" }, { "dropping-particle" : "", "family" : "Topley", "given" : "Nicholas", "non-dropping-particle" : "", "parse-names" : false, "suffix" : "" }, { "dropping-particle" : "", "family" : "Davies", "given" : "Simon J.", "non-dropping-particle" : "", "parse-names" : false, "suffix" : "" } ], "container-title" : "Nephrology Dialysis Transplantation", "id" : "ITEM-2", "issue" : "3", "issued" : { "date-parts" : [ [ "2016" ] ] }, "page" : "480-486", "title" : "Peritoneal inflammation precedes encapsulating peritoneal sclerosis: Results from the GLOBAL Fluid Study", "type" : "article-journal", "volume" : "31" }, "uris" : [ "http://www.mendeley.com/documents/?uuid=341cc500-4e49-4123-9c74-1e910a34ffdd" ] } ], "mendeley" : { "formattedCitation" : "&lt;sup&gt;[43,44]&lt;/sup&gt;", "plainTextFormattedCitation" : "[43,44]", "previouslyFormattedCitation" : "&lt;sup&gt;[43,44]&lt;/sup&gt;" }, "properties" : { "noteIndex" : 0 }, "schema" : "https://github.com/citation-style-language/schema/raw/master/csl-citation.json" }</w:instrText>
      </w:r>
      <w:r w:rsidR="00F71760"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[43,44]</w:t>
      </w:r>
      <w:r w:rsidR="00F71760" w:rsidRPr="00F532B5">
        <w:rPr>
          <w:rFonts w:ascii="Book Antiqua" w:hAnsi="Book Antiqua"/>
          <w:color w:val="auto"/>
          <w:sz w:val="24"/>
          <w:szCs w:val="24"/>
        </w:rPr>
        <w:fldChar w:fldCharType="end"/>
      </w:r>
      <w:r w:rsidR="00F71760" w:rsidRPr="00F532B5">
        <w:rPr>
          <w:rFonts w:ascii="Book Antiqua" w:hAnsi="Book Antiqua"/>
          <w:color w:val="auto"/>
          <w:sz w:val="24"/>
          <w:szCs w:val="24"/>
        </w:rPr>
        <w:t>.</w:t>
      </w:r>
      <w:r w:rsidR="006D7818">
        <w:rPr>
          <w:rFonts w:ascii="Book Antiqua" w:hAnsi="Book Antiqua"/>
          <w:color w:val="auto"/>
          <w:sz w:val="24"/>
          <w:szCs w:val="24"/>
        </w:rPr>
        <w:t xml:space="preserve"> </w:t>
      </w:r>
      <w:r w:rsidR="00F71760" w:rsidRPr="00F532B5">
        <w:rPr>
          <w:rFonts w:ascii="Book Antiqua" w:hAnsi="Book Antiqua"/>
          <w:color w:val="auto"/>
          <w:sz w:val="24"/>
          <w:szCs w:val="24"/>
        </w:rPr>
        <w:t>TGFβ1 promotes transdifferentiation of peritoneal mesothelial to mesenchymal cells resulting in mesothelial cell depletion</w:t>
      </w:r>
      <w:r w:rsidR="00F71760"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"10.1093/ndt/gfq488", "ISSN" : "09310509", "PMID" : "20709739", "abstract" : "Encapsulating peritoneal sclerosis (EPS) and simple peritoneal sclerosis are important complications of long-term peritoneal dialysis (PD). Podoplanin is expressed by mesothelial cells and lymphatic vessels, which are involved in inflammatory reactions in the peritoneal cavity.", "author" : [ { "dropping-particle" : "", "family" : "Braun", "given" : "Niko", "non-dropping-particle" : "", "parse-names" : false, "suffix" : "" }, { "dropping-particle" : "", "family" : "Alscher", "given" : "Dominik M.", "non-dropping-particle" : "", "parse-names" : false, "suffix" : "" }, { "dropping-particle" : "", "family" : "Fritz", "given" : "Peter", "non-dropping-particle" : "", "parse-names" : false, "suffix" : "" }, { "dropping-particle" : "", "family" : "Edenhofer", "given" : "Ilka", "non-dropping-particle" : "", "parse-names" : false, "suffix" : "" }, { "dropping-particle" : "", "family" : "Kimmel", "given" : "Martin", "non-dropping-particle" : "", "parse-names" : false, "suffix" : "" }, { "dropping-particle" : "", "family" : "Gaspert", "given" : "Ariana", "non-dropping-particle" : "", "parse-names" : false, "suffix" : "" }, { "dropping-particle" : "", "family" : "Reimold", "given" : "Fabian", "non-dropping-particle" : "", "parse-names" : false, "suffix" : "" }, { "dropping-particle" : "", "family" : "Bode-Lesniewska", "given" : "Beata", "non-dropping-particle" : "", "parse-names" : false, "suffix" : "" }, { "dropping-particle" : "", "family" : "Ziegler", "given" : "Urs", "non-dropping-particle" : "", "parse-names" : false, "suffix" : "" }, { "dropping-particle" : "", "family" : "Biegger", "given" : "Dagmar", "non-dropping-particle" : "", "parse-names" : false, "suffix" : "" }, { "dropping-particle" : "", "family" : "W\u00fcthrich", "given" : "Rudolf P.", "non-dropping-particle" : "", "parse-names" : false, "suffix" : "" }, { "dropping-particle" : "", "family" : "Segerer", "given" : "Stephan", "non-dropping-particle" : "", "parse-names" : false, "suffix" : "" } ], "container-title" : "Nephrology Dialysis Transplantation", "id" : "ITEM-1", "issue" : "3", "issued" : { "date-parts" : [ [ "2011" ] ] }, "page" : "1033-1041", "title" : "Podoplanin-positive cells are a hallmark of encapsulating peritoneal sclerosis", "type" : "article-journal", "volume" : "26" }, "uris" : [ "http://www.mendeley.com/documents/?uuid=a701ea13-58f3-4024-8037-f080d94b1bc6" ] }, { "id" : "ITEM-2", "itemData" : { "DOI" : "10.1016/j.ajpath.2017.03.007", "ISSN" : "15252191", "PMID" : "28495592", "abstract" : "Peritoneal dialysis (PD) is a life-saving form of renal replacement therapy for those with end-stage kidney disease. Mesothelial cells (MCs) line the peritoneal cavity and help define peritoneal response to treatment-associated injury, a major reason for treatment failure. miRNAs are important regulators, but their roles in peritoneal fibrosis are largely unknown. In this study, miR-21 was one of the most abundant miRNAs in primary MCs, and was up-regulated by the profibrotic cytokine transforming growth factor-\u03b21 and in PD effluent-derived MCs exhibiting mesenchymal phenotypic change. Increased miR-21 was found in peritoneal membrane biopsy specimens from PD patients compared to healthy controls (PD biocompatible, 5.86\u00d7, P = 0.0001; PD conventional, 7.09\u00d7, P &lt; 0.0001, n = 11 per group). In PD effluent from a cohort of 230 patients, miR-21 was higher in those receiving the therapy long-term compared to new starters (n = 230, miR-21 3.26\u00d7, P = 0.001) and associated with icodextrin use (R = 0.52; 95% CI, 0.20\u20130.84), peritonitis count (R = 0.16; 95% CI, 0.03\u20130.29), and dialysate cytokines. miR-21 down-regulated programmed cell death 4 and programmed cell death 4 protein was decreased in peritoneal membrane biopsy specimens from PD patients compared to healthy controls. New miR-21 targets were identified that may be important during PD fibrogenesis. These data identify miR-21 as an important effector of fibrosis in the peritoneal membrane, and a promising biomarker in the dialysis effluent for membrane change in patients receiving PD.", "author" : [ { "dropping-particle" : "", "family" : "Lopez-Anton", "given" : "Melisa", "non-dropping-particle" : "", "parse-names" : false, "suffix" : "" }, { "dropping-particle" : "", "family" : "Lambie", "given" : "Mark", "non-dropping-particle" : "", "parse-names" : false, "suffix" : "" }, { "dropping-particle" : "", "family" : "Lopez-Cabrera", "given" : "Manuel", "non-dropping-particle" : "", "parse-names" : false, "suffix" : "" }, { "dropping-particle" : "", "family" : "Schmitt", "given" : "Claus P.", "non-dropping-particle" : "", "parse-names" : false, "suffix" : "" }, { "dropping-particle" : "", "family" : "Ruiz-Carpio", "given" : "Vicente", "non-dropping-particle" : "", "parse-names" : false, "suffix" : "" }, { "dropping-particle" : "", "family" : "Bartosova", "given" : "Maria", "non-dropping-particle" : "", "parse-names" : false, "suffix" : "" }, { "dropping-particle" : "", "family" : "Schaefer", "given" : "Betti", "non-dropping-particle" : "", "parse-names" : false, "suffix" : "" }, { "dropping-particle" : "", "family" : "Davies", "given" : "Simon", "non-dropping-particle" : "", "parse-names" : false, "suffix" : "" }, { "dropping-particle" : "", "family" : "Stone", "given" : "Timothy", "non-dropping-particle" : "", "parse-names" : false, "suffix" : "" }, { "dropping-particle" : "", "family" : "Jenkins", "given" : "Robert", "non-dropping-particle" : "", "parse-names" : false, "suffix" : "" }, { "dropping-particle" : "", "family" : "Taylor", "given" : "Philip R.", "non-dropping-particle" : "", "parse-names" : false, "suffix" : "" }, { "dropping-particle" : "", "family" : "Topley", "given" : "Nicholas", "non-dropping-particle" : "", "parse-names" : false, "suffix" : "" }, { "dropping-particle" : "", "family" : "Bowen", "given" : "Timothy", "non-dropping-particle" : "", "parse-names" : false, "suffix" : "" }, { "dropping-particle" : "", "family" : "Fraser", "given" : "Donald", "non-dropping-particle" : "", "parse-names" : false, "suffix" : "" } ], "container-title" : "American Journal of Pathology", "id" : "ITEM-2", "issue" : "7", "issued" : { "date-parts" : [ [ "2017" ] ] }, "page" : "1537-1550", "publisher" : "Elsevier", "title" : "miR-21 Promotes Fibrogenesis in Peritoneal Dialysis", "type" : "article-journal", "volume" : "187" }, "uris" : [ "http://www.mendeley.com/documents/?uuid=28611de2-c4fe-46d3-ade1-3b78ce350d9d" ] } ], "mendeley" : { "formattedCitation" : "&lt;sup&gt;[45,46]&lt;/sup&gt;", "plainTextFormattedCitation" : "[45,46]", "previouslyFormattedCitation" : "&lt;sup&gt;[45,46]&lt;/sup&gt;" }, "properties" : { "noteIndex" : 0 }, "schema" : "https://github.com/citation-style-language/schema/raw/master/csl-citation.json" }</w:instrText>
      </w:r>
      <w:r w:rsidR="00F71760"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[45,46]</w:t>
      </w:r>
      <w:r w:rsidR="00F71760" w:rsidRPr="00F532B5">
        <w:rPr>
          <w:rFonts w:ascii="Book Antiqua" w:hAnsi="Book Antiqua"/>
          <w:color w:val="auto"/>
          <w:sz w:val="24"/>
          <w:szCs w:val="24"/>
        </w:rPr>
        <w:fldChar w:fldCharType="end"/>
      </w:r>
      <w:r w:rsidR="00E942DC" w:rsidRPr="00F532B5">
        <w:rPr>
          <w:rFonts w:ascii="Book Antiqua" w:hAnsi="Book Antiqua"/>
          <w:color w:val="auto"/>
          <w:sz w:val="24"/>
          <w:szCs w:val="24"/>
        </w:rPr>
        <w:t>,</w:t>
      </w:r>
      <w:r w:rsidR="00F71760" w:rsidRPr="00F532B5">
        <w:rPr>
          <w:rFonts w:ascii="Book Antiqua" w:hAnsi="Book Antiqua"/>
          <w:color w:val="auto"/>
          <w:sz w:val="24"/>
          <w:szCs w:val="24"/>
        </w:rPr>
        <w:t xml:space="preserve"> increased production of extracellular matrix components (</w:t>
      </w:r>
      <w:r w:rsidR="00B034C2" w:rsidRPr="00F532B5">
        <w:rPr>
          <w:rFonts w:ascii="Book Antiqua" w:hAnsi="Book Antiqua"/>
          <w:color w:val="auto"/>
          <w:sz w:val="24"/>
          <w:szCs w:val="24"/>
        </w:rPr>
        <w:t>collagen type 1, alpha 1 (</w:t>
      </w:r>
      <w:r w:rsidR="00F71760" w:rsidRPr="00F532B5">
        <w:rPr>
          <w:rFonts w:ascii="Book Antiqua" w:hAnsi="Book Antiqua"/>
          <w:color w:val="auto"/>
          <w:sz w:val="24"/>
          <w:szCs w:val="24"/>
        </w:rPr>
        <w:t>COL1A1</w:t>
      </w:r>
      <w:r w:rsidR="00B034C2" w:rsidRPr="00F532B5">
        <w:rPr>
          <w:rFonts w:ascii="Book Antiqua" w:hAnsi="Book Antiqua"/>
          <w:color w:val="auto"/>
          <w:sz w:val="24"/>
          <w:szCs w:val="24"/>
        </w:rPr>
        <w:t>)</w:t>
      </w:r>
      <w:r w:rsidR="00F71760" w:rsidRPr="00F532B5">
        <w:rPr>
          <w:rFonts w:ascii="Book Antiqua" w:hAnsi="Book Antiqua"/>
          <w:color w:val="auto"/>
          <w:sz w:val="24"/>
          <w:szCs w:val="24"/>
        </w:rPr>
        <w:t xml:space="preserve">) and fibrogenesis resulting in </w:t>
      </w:r>
      <w:r w:rsidR="00E942DC" w:rsidRPr="00F532B5">
        <w:rPr>
          <w:rFonts w:ascii="Book Antiqua" w:hAnsi="Book Antiqua"/>
          <w:color w:val="auto"/>
          <w:sz w:val="24"/>
          <w:szCs w:val="24"/>
        </w:rPr>
        <w:t xml:space="preserve">a </w:t>
      </w:r>
      <w:r w:rsidR="003B7A38" w:rsidRPr="00F532B5">
        <w:rPr>
          <w:rFonts w:ascii="Book Antiqua" w:hAnsi="Book Antiqua"/>
          <w:color w:val="auto"/>
          <w:sz w:val="24"/>
          <w:szCs w:val="24"/>
        </w:rPr>
        <w:t>fibrocollagenous cocoon</w:t>
      </w:r>
      <w:r w:rsidR="00F71760"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"10.1371/journal.pone.0056389", "ISBN" : "1932-6203 (Electronic)\\r1932-6203 (Linking)", "ISSN" : "19326203", "PMID" : "23418565", "abstract" : "Encapsulating peritoneal sclerosis (EPS) is a devastating complication of peritoneal dialysis (PD), characterized by marked inflammation and severe fibrosis of the peritoneum, and associated with high morbidity and mortality. EPS can occur years after termination of PD and, in severe cases, leads to intestinal obstruction and ileus requiring surgical intervention. Despite ongoing research, the pathogenesis of EPS remains unclear. We performed a global transcriptome analysis of peritoneal tissue specimens from EPS patients, PD patients without EPS, and uremic patients without history of PD or EPS (Uremic). Unsupervised and supervised bioinformatics analysis revealed distinct transcriptional patterns that discriminated these three clinical groups. The analysis identified a signature of 219 genes expressed differentially in EPS as compared to PD and Uremic groups. Canonical pathway analysis of differentially expressed genes showed enrichment in several pathways, including antigen presentation, dendritic cell maturation, B cell development, chemokine signaling and humoral and cellular immunity (P value&lt;0.05). Further interactive network analysis depicted effects of EPS-associated genes on networks linked to inflammation, immunological response, and cell proliferation. Gene expression changes were confirmed by qRT-PCR for a subset of the differentially expressed genes. EPS patient tissues exhibited elevated expression of genes encoding sulfatase1, thrombospondin 1, fibronectin 1 and alpha smooth muscle actin, among many others, while in EPS and PD tissues mRNAs encoding leptin and retinol-binding protein 4 were markedly down-regulated, compared to Uremic group patients. Immunolocalization of Collagen 1 alpha 1 revealed that Col1a1 protein was predominantly expressed in the submesothelial compact zone of EPS patient peritoneal samples, whereas PD patient peritoneal samples exhibited homogenous Col1a1 staining throughout the tissue samples. The results are compatible with the hypothesis that encapsulating peritoneal sclerosis is a distinct pathological process from the simple peritoneal fibrosis that accompanies all PD treatment.", "author" : [ { "dropping-particle" : "", "family" : "Reimold", "given" : "Fabian R.", "non-dropping-particle" : "", "parse-names" : false, "suffix" : "" }, { "dropping-particle" : "", "family" : "Braun", "given" : "Niko", "non-dropping-particle" : "", "parse-names" : false, "suffix" : "" }, { "dropping-particle" : "", "family" : "Zsengell\u00e9r", "given" : "Zsuzsanna K.", "non-dropping-particle" : "", "parse-names" : false, "suffix" : "" }, { "dropping-particle" : "", "family" : "Stillman", "given" : "Isaac E.", "non-dropping-particle" : "", "parse-names" : false, "suffix" : "" }, { "dropping-particle" : "", "family" : "Karumanchi", "given" : "S. Ananth", "non-dropping-particle" : "", "parse-names" : false, "suffix" : "" }, { "dropping-particle" : "", "family" : "Toka", "given" : "Hakan R.", "non-dropping-particle" : "", "parse-names" : false, "suffix" : "" }, { "dropping-particle" : "", "family" : "Latus", "given" : "Joerg", "non-dropping-particle" : "", "parse-names" : false, "suffix" : "" }, { "dropping-particle" : "", "family" : "Fritz", "given" : "Peter", "non-dropping-particle" : "", "parse-names" : false, "suffix" : "" }, { "dropping-particle" : "", "family" : "Biegger", "given" : "Dagmar", "non-dropping-particle" : "", "parse-names" : false, "suffix" : "" }, { "dropping-particle" : "", "family" : "Segerer", "given" : "Stephan", "non-dropping-particle" : "", "parse-names" : false, "suffix" : "" }, { "dropping-particle" : "", "family" : "Alscher", "given" : "M. Dominik", "non-dropping-particle" : "", "parse-names" : false, "suffix" : "" }, { "dropping-particle" : "", "family" : "Bhasin", "given" : "Manoj K.", "non-dropping-particle" : "", "parse-names" : false, "suffix" : "" }, { "dropping-particle" : "", "family" : "Alper", "given" : "Seth L.", "non-dropping-particle" : "", "parse-names" : false, "suffix" : "" } ], "container-title" : "PLoS ONE", "id" : "ITEM-1", "issue" : "2", "issued" : { "date-parts" : [ [ "2013" ] ] }, "title" : "Transcriptional Patterns in Peritoneal Tissue of Encapsulating Peritoneal Sclerosis, a Complication of Chronic Peritoneal Dialysis", "type" : "article-journal", "volume" : "8" }, "uris" : [ "http://www.mendeley.com/documents/?uuid=49321874-f968-43ae-ba29-3c9e941a53c3" ] } ], "mendeley" : { "formattedCitation" : "&lt;sup&gt;[47]&lt;/sup&gt;", "plainTextFormattedCitation" : "[47]", "previouslyFormattedCitation" : "&lt;sup&gt;[47]&lt;/sup&gt;" }, "properties" : { "noteIndex" : 0 }, "schema" : "https://github.com/citation-style-language/schema/raw/master/csl-citation.json" }</w:instrText>
      </w:r>
      <w:r w:rsidR="00F71760"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[47]</w:t>
      </w:r>
      <w:r w:rsidR="00F71760" w:rsidRPr="00F532B5">
        <w:rPr>
          <w:rFonts w:ascii="Book Antiqua" w:hAnsi="Book Antiqua"/>
          <w:color w:val="auto"/>
          <w:sz w:val="24"/>
          <w:szCs w:val="24"/>
        </w:rPr>
        <w:fldChar w:fldCharType="end"/>
      </w:r>
      <w:r w:rsidR="00F71760" w:rsidRPr="00F532B5">
        <w:rPr>
          <w:rFonts w:ascii="Book Antiqua" w:hAnsi="Book Antiqua"/>
          <w:color w:val="auto"/>
          <w:sz w:val="24"/>
          <w:szCs w:val="24"/>
        </w:rPr>
        <w:t xml:space="preserve"> (Figure </w:t>
      </w:r>
      <w:r w:rsidR="00EF6237" w:rsidRPr="00F532B5">
        <w:rPr>
          <w:rFonts w:ascii="Book Antiqua" w:hAnsi="Book Antiqua"/>
          <w:color w:val="auto"/>
          <w:sz w:val="24"/>
          <w:szCs w:val="24"/>
        </w:rPr>
        <w:t>1</w:t>
      </w:r>
      <w:r w:rsidR="00F71760" w:rsidRPr="00F532B5">
        <w:rPr>
          <w:rFonts w:ascii="Book Antiqua" w:hAnsi="Book Antiqua"/>
          <w:color w:val="auto"/>
          <w:sz w:val="24"/>
          <w:szCs w:val="24"/>
        </w:rPr>
        <w:t>).</w:t>
      </w:r>
      <w:r w:rsidR="006D7818">
        <w:rPr>
          <w:rFonts w:ascii="Book Antiqua" w:hAnsi="Book Antiqua"/>
          <w:color w:val="auto"/>
          <w:sz w:val="24"/>
          <w:szCs w:val="24"/>
        </w:rPr>
        <w:t xml:space="preserve"> </w:t>
      </w:r>
    </w:p>
    <w:p w14:paraId="3966B63B" w14:textId="7FF500EF" w:rsidR="00F71760" w:rsidRPr="00F532B5" w:rsidRDefault="00F71760" w:rsidP="001B2FC8">
      <w:pPr>
        <w:snapToGrid w:val="0"/>
        <w:spacing w:line="360" w:lineRule="auto"/>
        <w:ind w:firstLineChars="100" w:firstLine="240"/>
        <w:jc w:val="both"/>
        <w:rPr>
          <w:rFonts w:ascii="Book Antiqua" w:hAnsi="Book Antiqua"/>
          <w:color w:val="auto"/>
          <w:sz w:val="24"/>
          <w:szCs w:val="24"/>
        </w:rPr>
      </w:pPr>
      <w:r w:rsidRPr="00F532B5">
        <w:rPr>
          <w:rFonts w:ascii="Book Antiqua" w:hAnsi="Book Antiqua"/>
          <w:color w:val="auto"/>
          <w:sz w:val="24"/>
          <w:szCs w:val="24"/>
        </w:rPr>
        <w:t>In PD, genetic variation in the receptor for advanced glycation end products may predispose an individual to peritoneal deterioration</w:t>
      </w:r>
      <w:r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"10.1111/j.1744-9987.2007.00473.x", "ISBN" : "1744-9979 (Print)\\r1744-9979 (Linking)", "ISSN" : "17449979", "PMID" : "17661837", "abstract" : "An increased peritoneal solute transport rate (PSTR) at baseline is well known to be associated with decreased patient and technique survival in patients undergoing peritoneal dialysis (PD). Recently, angiogenesis has been recognized to be associated with PSTR and peritoneal deterioration. To investigate genetic variations in genes related to angiogenesis, 30 incident PD patients were studied. Several single nucleotide polymorphisms of the vascular endothelial growth factor (VEGF), the endothelial nitric oxide synthase (eNOS) and the receptor for advanced glycation end product (RAGE) were analyzed by the pyrosequencing method. The dialysate-to-plasma ratio of creatinine (D/P Cr) obtained from a peritoneal equilibrium test (PET) during the first 12 months after initiation of PD was used for a marker of PSTR. The D/P Cr was assessed both as a continuous and as a categorical variable including high (H), high-average (HA), low-average (LA), and low (L). Baseline D/P Cr was 0.645 +/- 0.083. The RAGE -374 TA genotype had a significantly lower prevalence of the H/HA transporters than the TT genotype (20% vs 63%; P = 0.03). Genetic polymorphisms of the VEGF and eNOS were not associated with initial peritoneal transport type. The RAGE polymorphism may have a considerable effect on the basal PSTR. Further studies will be needed to confirm this hypothesis.", "author" : [ { "dropping-particle" : "", "family" : "Maruyama", "given" : "Yukio", "non-dropping-particle" : "", "parse-names" : false, "suffix" : "" }, { "dropping-particle" : "", "family" : "Numata", "given" : "Miwako", "non-dropping-particle" : "", "parse-names" : false, "suffix" : "" }, { "dropping-particle" : "", "family" : "Nakayama", "given" : "Masaaki", "non-dropping-particle" : "", "parse-names" : false, "suffix" : "" }, { "dropping-particle" : "", "family" : "Matsuo", "given" : "Nanae", "non-dropping-particle" : "", "parse-names" : false, "suffix" : "" }, { "dropping-particle" : "", "family" : "Nordfors", "given" : "Louise", "non-dropping-particle" : "", "parse-names" : false, "suffix" : "" }, { "dropping-particle" : "", "family" : "Hosoya", "given" : "Tatsuo", "non-dropping-particle" : "", "parse-names" : false, "suffix" : "" }, { "dropping-particle" : "", "family" : "Lindholm", "given" : "Bengt", "non-dropping-particle" : "", "parse-names" : false, "suffix" : "" } ], "container-title" : "Therapeutic Apheresis and Dialysis", "id" : "ITEM-1", "issue" : "4", "issued" : { "date-parts" : [ [ "2007" ] ] }, "page" : "301-305", "title" : "Relationship between the -374T/A receptor of advanced glycation end products gene polymorphism and peritoneal solute transport status at the initiation of peritoneal dialysis", "type" : "article-journal", "volume" : "11" }, "uris" : [ "http://www.mendeley.com/documents/?uuid=c927bd61-2539-4d7a-889c-1cc0600e9f8f" ] } ], "mendeley" : { "formattedCitation" : "&lt;sup&gt;[48]&lt;/sup&gt;", "plainTextFormattedCitation" : "[48]", "previouslyFormattedCitation" : "&lt;sup&gt;[48]&lt;/sup&gt;" }, "properties" : { "noteIndex" : 0 }, "schema" : "https://github.com/citation-style-language/schema/raw/master/csl-citation.json" }</w:instrText>
      </w:r>
      <w:r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[48]</w:t>
      </w:r>
      <w:r w:rsidRPr="00F532B5">
        <w:rPr>
          <w:rFonts w:ascii="Book Antiqua" w:hAnsi="Book Antiqua"/>
          <w:color w:val="auto"/>
          <w:sz w:val="24"/>
          <w:szCs w:val="24"/>
        </w:rPr>
        <w:fldChar w:fldCharType="end"/>
      </w:r>
      <w:r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While no genetic studies exist outside the PD literature, genetic predisposition may explain why only a small proportion of patients with recurrent peritonitis develop EPS or why an individual may develop EPS even with a single, discrete exposure</w:t>
      </w:r>
      <w:r w:rsidR="00FE12FA"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"10.1089/lap.2010.0024", "ISSN" : "1557-9034", "PMID" : "20374014", "abstract" : "Sclerosing encapsulating peritonitis (SEP) is a rare cause of intestinal obstruction. It is difficult to make a definite preoperative diagnosis, and most cases are diagnosed at the time of laparotomy. It is usually of unknown origin, although, at times, it may be seen secondary to a variety of conditions. Spillage of bile and gallstones at laparoscopic cholecystectomy is an unusual cause of SEP and has not been reported in literature, to date. Contrast-enhanced computed tomography of the abdomen revealed small-bowel loops congregated to the center of the abdomen encased by a soft-tissue density mantle with loculated fluid in the interloop bowel location. Excision of the sac and adhesiolysis was done in our patient for recurrent episodes of intestinal obstruction, who recovered well in the postoperative period.", "author" : [ { "dropping-particle" : "", "family" : "Kaman", "given" : "Lileswar", "non-dropping-particle" : "", "parse-names" : false, "suffix" : "" }, { "dropping-particle" : "", "family" : "Iqbal", "given" : "Javid", "non-dropping-particle" : "", "parse-names" : false, "suffix" : "" }, { "dropping-particle" : "", "family" : "Thenozhi", "given" : "Sunil", "non-dropping-particle" : "", "parse-names" : false, "suffix" : "" } ], "container-title" : "Journal of laparoendoscopic &amp; advanced surgical techniques. Part A", "id" : "ITEM-1", "issue" : "3", "issued" : { "date-parts" : [ [ "2010" ] ] }, "page" : "253-5", "title" : "Sclerosing encapsulating peritonitis: complication of laparoscopic cholecystectomy.", "type" : "article-journal", "volume" : "20" }, "uris" : [ "http://www.mendeley.com/documents/?uuid=b810fa99-610d-4c79-bc13-c57b3967777a" ] } ], "mendeley" : { "formattedCitation" : "&lt;sup&gt;[24]&lt;/sup&gt;", "plainTextFormattedCitation" : "[24]", "previouslyFormattedCitation" : "&lt;sup&gt;[23]&lt;/sup&gt;" }, "properties" : { "noteIndex" : 0 }, "schema" : "https://github.com/citation-style-language/schema/raw/master/csl-citation.json" }</w:instrText>
      </w:r>
      <w:r w:rsidR="00FE12FA" w:rsidRPr="00F532B5">
        <w:rPr>
          <w:rFonts w:ascii="Book Antiqua" w:hAnsi="Book Antiqua"/>
          <w:color w:val="auto"/>
          <w:sz w:val="24"/>
          <w:szCs w:val="24"/>
        </w:rPr>
        <w:fldChar w:fldCharType="separate"/>
      </w:r>
      <w:r w:rsidR="00BD54D6" w:rsidRPr="00F532B5">
        <w:rPr>
          <w:rFonts w:ascii="Book Antiqua" w:hAnsi="Book Antiqua"/>
          <w:noProof/>
          <w:color w:val="auto"/>
          <w:sz w:val="24"/>
          <w:szCs w:val="24"/>
          <w:vertAlign w:val="superscript"/>
        </w:rPr>
        <w:t>[24]</w:t>
      </w:r>
      <w:r w:rsidR="00FE12FA" w:rsidRPr="00F532B5">
        <w:rPr>
          <w:rFonts w:ascii="Book Antiqua" w:hAnsi="Book Antiqua"/>
          <w:color w:val="auto"/>
          <w:sz w:val="24"/>
          <w:szCs w:val="24"/>
        </w:rPr>
        <w:fldChar w:fldCharType="end"/>
      </w:r>
      <w:r w:rsidRPr="00F532B5">
        <w:rPr>
          <w:rFonts w:ascii="Book Antiqua" w:hAnsi="Book Antiqua"/>
          <w:color w:val="auto"/>
          <w:sz w:val="24"/>
          <w:szCs w:val="24"/>
        </w:rPr>
        <w:t>.</w:t>
      </w:r>
      <w:r w:rsidR="006D7818">
        <w:rPr>
          <w:rFonts w:ascii="Book Antiqua" w:hAnsi="Book Antiqua"/>
          <w:color w:val="auto"/>
          <w:sz w:val="24"/>
          <w:szCs w:val="24"/>
        </w:rPr>
        <w:t xml:space="preserve"> </w:t>
      </w:r>
      <w:r w:rsidR="007815EC" w:rsidRPr="00F532B5">
        <w:rPr>
          <w:rFonts w:ascii="Book Antiqua" w:hAnsi="Book Antiqua"/>
          <w:color w:val="auto"/>
          <w:sz w:val="24"/>
          <w:szCs w:val="24"/>
        </w:rPr>
        <w:t xml:space="preserve">Among gynecologic neoplasms, reports of EPS are </w:t>
      </w:r>
      <w:r w:rsidRPr="00F532B5">
        <w:rPr>
          <w:rFonts w:ascii="Book Antiqua" w:hAnsi="Book Antiqua"/>
          <w:color w:val="auto"/>
          <w:sz w:val="24"/>
          <w:szCs w:val="24"/>
        </w:rPr>
        <w:t>confined to luteinizing neoplasms</w:t>
      </w:r>
      <w:r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"10.1097/PGP.0b013e31827d1a65", "ISBN" : "1538-7151 (Electronic) 0277-1691 (Linking)", "ISSN" : "0277-1691", "PMID" : "24300532", "abstract" : "We describe the pathologic and clinical presentation of a very rare, fatal case of luteinized thecoma with sclerosing peritonitis in a 40-year-old woman, who had a history of total abdominal hysterectomy and a left salpingo-oophorectomy in 2003. The patient presented with abdominal pain, and radiologic examinations revealed a 10-cm heterogenous right pelvic mass with partial necrosis. The patient eventually underwent an exploratory laparotomy, which revealed an ovarian tumor with multiple implants in the peritoneal cavity. The ovarian lesion was made up of spindle cells among clusters of luteinized stromal cells that expanded to the ovarian cortex. Tumor cells were positive for vimentin, estrogen and progesterone receptors, and CCD68 (focally) and negative for CD34, \u03b1-smooth muscle actin, \u03b2-catenin, and desmin by immunohistochemical studies. Luteinized cells were positive for \u03b1-inhibin and calretinin. Tumor cells exhibited low Ki-67 proliferation indices. The patient died because of the sclerosing peritonitis component of the disease.", "author" : [ { "dropping-particle" : "", "family" : "Bahar", "given" : "Burak", "non-dropping-particle" : "", "parse-names" : false, "suffix" : "" }, { "dropping-particle" : "", "family" : "Hu", "given" : "Zhihong", "non-dropping-particle" : "", "parse-names" : false, "suffix" : "" }, { "dropping-particle" : "", "family" : "Szpaderska", "given" : "Anna", "non-dropping-particle" : "", "parse-names" : false, "suffix" : "" }, { "dropping-particle" : "", "family" : "Liotta", "given" : "Margaret", "non-dropping-particle" : "", "parse-names" : false, "suffix" : "" }, { "dropping-particle" : "", "family" : "Potkul", "given" : "Ronald K.", "non-dropping-particle" : "", "parse-names" : false, "suffix" : "" }, { "dropping-particle" : "", "family" : "Smith", "given" : "Donna", "non-dropping-particle" : "", "parse-names" : false, "suffix" : "" }, { "dropping-particle" : "", "family" : "Er\u015fahin", "given" : "\u00c7a\u011fatay", "non-dropping-particle" : "", "parse-names" : false, "suffix" : "" } ], "container-title" : "International Journal of Gynecological Pathology", "id" : "ITEM-1", "issue" : "1", "issued" : { "date-parts" : [ [ "2014" ] ] }, "page" : "30-34", "title" : "Fatal Case of Luteinized Thecoma With Sclerosing Peritonitis in a 40-Year-Old Woman", "type" : "article-journal", "volume" : "33" }, "uris" : [ "http://www.mendeley.com/documents/?uuid=4b335083-031f-4f00-8580-5d7419be8a0a" ] }, { "id" : "ITEM-2", "itemData" : { "DOI" : "10.1097/PGP.0b013e3182307b28", "ISBN" : "1538-7151", "ISSN" : "0277-1691", "abstract" : "Sclerosing peritonitis is an uncommon condition that has been reported in patients with luteinized ovarian thecomas, although some pathologists have suggested that the underlying ovarian pathology is not always neoplastic. We now report sclerosing peritonitis in a patient with an uncommon, luteinized variant of an adult granulosa cell tumor. To the best of our knowledge, this association has not been described previously. We suggest that sclerosing peritonitis may result from the release of substances by luteinized ovarian stromal cells, in the context of hyperplasia or neoplasia, which stimulate the proliferation of submesothelial fibroblasts.", "author" : [ { "dropping-particle" : "", "family" : "Walker", "given" : "Jane", "non-dropping-particle" : "", "parse-names" : false, "suffix" : "" }, { "dropping-particle" : "", "family" : "Moss", "given" : "Esther L.", "non-dropping-particle" : "", "parse-names" : false, "suffix" : "" }, { "dropping-particle" : "", "family" : "Ganesan", "given" : "Raji", "non-dropping-particle" : "", "parse-names" : false, "suffix" : "" }, { "dropping-particle" : "", "family" : "Hirschowitz", "given" : "Lynn", "non-dropping-particle" : "", "parse-names" : false, "suffix" : "" } ], "container-title" : "International Journal of Gynecological Pathology", "id" : "ITEM-2", "issue" : "2", "issued" : { "date-parts" : [ [ "2012" ] ] }, "page" : "141-144", "title" : "Sclerosing Peritonitis Associated With a Luteinized Adult Granulosa Cell Tumor", "type" : "article-journal", "volume" : "31" }, "uris" : [ "http://www.mendeley.com/documents/?uuid=085b5189-a560-49fb-85c0-82fb2bd379fe" ] } ], "mendeley" : { "formattedCitation" : "&lt;sup&gt;[33,34]&lt;/sup&gt;", "plainTextFormattedCitation" : "[33,34]", "previouslyFormattedCitation" : "&lt;sup&gt;[33,34]&lt;/sup&gt;" }, "properties" : { "noteIndex" : 0 }, "schema" : "https://github.com/citation-style-language/schema/raw/master/csl-citation.json" }</w:instrText>
      </w:r>
      <w:r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[33,34]</w:t>
      </w:r>
      <w:r w:rsidRPr="00F532B5">
        <w:rPr>
          <w:rFonts w:ascii="Book Antiqua" w:hAnsi="Book Antiqua"/>
          <w:color w:val="auto"/>
          <w:sz w:val="24"/>
          <w:szCs w:val="24"/>
        </w:rPr>
        <w:fldChar w:fldCharType="end"/>
      </w:r>
      <w:r w:rsidR="007815EC" w:rsidRPr="00F532B5">
        <w:rPr>
          <w:rFonts w:ascii="Book Antiqua" w:hAnsi="Book Antiqua"/>
          <w:color w:val="auto"/>
          <w:sz w:val="24"/>
          <w:szCs w:val="24"/>
        </w:rPr>
        <w:t xml:space="preserve"> without </w:t>
      </w:r>
      <w:r w:rsidR="003141F7" w:rsidRPr="00F532B5">
        <w:rPr>
          <w:rFonts w:ascii="Book Antiqua" w:hAnsi="Book Antiqua"/>
          <w:color w:val="auto"/>
          <w:sz w:val="24"/>
          <w:szCs w:val="24"/>
        </w:rPr>
        <w:t xml:space="preserve">other overt inflammatory trigger, </w:t>
      </w:r>
      <w:r w:rsidRPr="00F532B5">
        <w:rPr>
          <w:rFonts w:ascii="Book Antiqua" w:hAnsi="Book Antiqua"/>
          <w:color w:val="auto"/>
          <w:sz w:val="24"/>
          <w:szCs w:val="24"/>
        </w:rPr>
        <w:t>leading to the hypothesis that they directly stimulate peritoneal inflammation and fibrosis</w:t>
      </w:r>
      <w:r w:rsidR="003141F7" w:rsidRPr="00F532B5">
        <w:rPr>
          <w:rFonts w:ascii="Book Antiqua" w:hAnsi="Book Antiqua"/>
          <w:color w:val="auto"/>
          <w:sz w:val="24"/>
          <w:szCs w:val="24"/>
        </w:rPr>
        <w:t>, though the potential stimulatory cytokine has yet to be identified</w:t>
      </w:r>
      <w:r w:rsidR="00FE12FA"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"author" : [ { "dropping-particle" : "", "family" : "Clement", "given" : "PB", "non-dropping-particle" : "", "parse-names" : false, "suffix" : "" }, { "dropping-particle" : "", "family" : "Young", "given" : "RH", "non-dropping-particle" : "", "parse-names" : false, "suffix" : "" }, { "dropping-particle" : "", "family" : "Hanna", "given" : "W", "non-dropping-particle" : "", "parse-names" : false, "suffix" : "" } ], "container-title" : "American Journal of Surgical Pathology", "id" : "ITEM-1", "issued" : { "date-parts" : [ [ "1994" ] ] }, "page" : "1-13", "title" : "Sclerosing peritonitis associated with luteinized thecomas of the ovary: a clinicopathological analysis of six cases", "type" : "article-journal", "volume" : "18" }, "uris" : [ "http://www.mendeley.com/documents/?uuid=6baa1cdf-6bc2-4a14-8fce-be1b71a74bf2" ] } ], "mendeley" : { "formattedCitation" : "&lt;sup&gt;[49]&lt;/sup&gt;", "plainTextFormattedCitation" : "[49]", "previouslyFormattedCitation" : "&lt;sup&gt;[49]&lt;/sup&gt;" }, "properties" : { "noteIndex" : 0 }, "schema" : "https://github.com/citation-style-language/schema/raw/master/csl-citation.json" }</w:instrText>
      </w:r>
      <w:r w:rsidR="00FE12FA"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[49]</w:t>
      </w:r>
      <w:r w:rsidR="00FE12FA" w:rsidRPr="00F532B5">
        <w:rPr>
          <w:rFonts w:ascii="Book Antiqua" w:hAnsi="Book Antiqua"/>
          <w:color w:val="auto"/>
          <w:sz w:val="24"/>
          <w:szCs w:val="24"/>
        </w:rPr>
        <w:fldChar w:fldCharType="end"/>
      </w:r>
      <w:r w:rsidR="003141F7" w:rsidRPr="00F532B5">
        <w:rPr>
          <w:rFonts w:ascii="Book Antiqua" w:hAnsi="Book Antiqua"/>
          <w:color w:val="auto"/>
          <w:sz w:val="24"/>
          <w:szCs w:val="24"/>
        </w:rPr>
        <w:t>.</w:t>
      </w:r>
    </w:p>
    <w:p w14:paraId="2AE19EDF" w14:textId="77777777" w:rsidR="003E406F" w:rsidRPr="00F532B5" w:rsidRDefault="003E406F" w:rsidP="00D92508">
      <w:pPr>
        <w:snapToGrid w:val="0"/>
        <w:spacing w:line="360" w:lineRule="auto"/>
        <w:jc w:val="both"/>
        <w:rPr>
          <w:rFonts w:ascii="Book Antiqua" w:hAnsi="Book Antiqua"/>
          <w:color w:val="auto"/>
          <w:sz w:val="24"/>
          <w:szCs w:val="24"/>
        </w:rPr>
      </w:pPr>
    </w:p>
    <w:p w14:paraId="4DDE62E1" w14:textId="38629F7A" w:rsidR="0016371C" w:rsidRPr="001B2FC8" w:rsidRDefault="00754926" w:rsidP="00D92508">
      <w:pPr>
        <w:snapToGrid w:val="0"/>
        <w:spacing w:line="360" w:lineRule="auto"/>
        <w:jc w:val="both"/>
        <w:rPr>
          <w:rFonts w:ascii="Book Antiqua" w:hAnsi="Book Antiqua"/>
          <w:b/>
          <w:color w:val="auto"/>
          <w:sz w:val="24"/>
          <w:szCs w:val="24"/>
        </w:rPr>
      </w:pPr>
      <w:r w:rsidRPr="001B2FC8">
        <w:rPr>
          <w:rFonts w:ascii="Book Antiqua" w:hAnsi="Book Antiqua"/>
          <w:b/>
          <w:i/>
          <w:color w:val="auto"/>
          <w:sz w:val="24"/>
          <w:szCs w:val="24"/>
        </w:rPr>
        <w:t xml:space="preserve">Epidemiology and </w:t>
      </w:r>
      <w:r w:rsidR="001B2FC8" w:rsidRPr="001B2FC8">
        <w:rPr>
          <w:rFonts w:ascii="Book Antiqua" w:hAnsi="Book Antiqua"/>
          <w:b/>
          <w:i/>
          <w:color w:val="auto"/>
          <w:sz w:val="24"/>
          <w:szCs w:val="24"/>
        </w:rPr>
        <w:t>n</w:t>
      </w:r>
      <w:r w:rsidRPr="001B2FC8">
        <w:rPr>
          <w:rFonts w:ascii="Book Antiqua" w:hAnsi="Book Antiqua"/>
          <w:b/>
          <w:i/>
          <w:color w:val="auto"/>
          <w:sz w:val="24"/>
          <w:szCs w:val="24"/>
        </w:rPr>
        <w:t xml:space="preserve">atural </w:t>
      </w:r>
      <w:r w:rsidR="001B2FC8" w:rsidRPr="001B2FC8">
        <w:rPr>
          <w:rFonts w:ascii="Book Antiqua" w:hAnsi="Book Antiqua"/>
          <w:b/>
          <w:i/>
          <w:color w:val="auto"/>
          <w:sz w:val="24"/>
          <w:szCs w:val="24"/>
        </w:rPr>
        <w:t>h</w:t>
      </w:r>
      <w:r w:rsidRPr="001B2FC8">
        <w:rPr>
          <w:rFonts w:ascii="Book Antiqua" w:hAnsi="Book Antiqua"/>
          <w:b/>
          <w:i/>
          <w:color w:val="auto"/>
          <w:sz w:val="24"/>
          <w:szCs w:val="24"/>
        </w:rPr>
        <w:t>istory</w:t>
      </w:r>
    </w:p>
    <w:p w14:paraId="67843278" w14:textId="71C7E1B4" w:rsidR="0016371C" w:rsidRPr="00F532B5" w:rsidRDefault="00754926" w:rsidP="001B2FC8">
      <w:pPr>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Given its rarity and heterogeneity of etiologies, the incidence and prevalence of EP</w:t>
      </w:r>
      <w:r w:rsidR="00BD2BDD" w:rsidRPr="00F532B5">
        <w:rPr>
          <w:rFonts w:ascii="Book Antiqua" w:hAnsi="Book Antiqua"/>
          <w:color w:val="auto"/>
          <w:sz w:val="24"/>
          <w:szCs w:val="24"/>
        </w:rPr>
        <w:t>S as a whole is unknown.</w:t>
      </w:r>
      <w:r w:rsidR="006D7818">
        <w:rPr>
          <w:rFonts w:ascii="Book Antiqua" w:hAnsi="Book Antiqua"/>
          <w:color w:val="auto"/>
          <w:sz w:val="24"/>
          <w:szCs w:val="24"/>
        </w:rPr>
        <w:t xml:space="preserve"> </w:t>
      </w:r>
      <w:r w:rsidR="00BD2BDD" w:rsidRPr="00F532B5">
        <w:rPr>
          <w:rFonts w:ascii="Book Antiqua" w:hAnsi="Book Antiqua"/>
          <w:color w:val="auto"/>
          <w:sz w:val="24"/>
          <w:szCs w:val="24"/>
        </w:rPr>
        <w:t xml:space="preserve">In a </w:t>
      </w:r>
      <w:r w:rsidRPr="00F532B5">
        <w:rPr>
          <w:rFonts w:ascii="Book Antiqua" w:hAnsi="Book Antiqua"/>
          <w:color w:val="auto"/>
          <w:sz w:val="24"/>
          <w:szCs w:val="24"/>
        </w:rPr>
        <w:t>review of idiopathic EPS</w:t>
      </w:r>
      <w:r w:rsidR="00B946B7" w:rsidRPr="00F532B5">
        <w:rPr>
          <w:rFonts w:ascii="Book Antiqua" w:hAnsi="Book Antiqua"/>
          <w:color w:val="auto"/>
          <w:sz w:val="24"/>
          <w:szCs w:val="24"/>
        </w:rPr>
        <w:t>,</w:t>
      </w:r>
      <w:r w:rsidR="00BD2BDD" w:rsidRPr="00F532B5">
        <w:rPr>
          <w:rFonts w:ascii="Book Antiqua" w:hAnsi="Book Antiqua"/>
          <w:color w:val="auto"/>
          <w:sz w:val="24"/>
          <w:szCs w:val="24"/>
        </w:rPr>
        <w:t xml:space="preserve"> </w:t>
      </w:r>
      <w:r w:rsidR="00E942DC" w:rsidRPr="00F532B5">
        <w:rPr>
          <w:rFonts w:ascii="Book Antiqua" w:hAnsi="Book Antiqua"/>
          <w:color w:val="auto"/>
          <w:sz w:val="24"/>
          <w:szCs w:val="24"/>
        </w:rPr>
        <w:t>c</w:t>
      </w:r>
      <w:r w:rsidRPr="00F532B5">
        <w:rPr>
          <w:rFonts w:ascii="Book Antiqua" w:hAnsi="Book Antiqua"/>
          <w:color w:val="auto"/>
          <w:sz w:val="24"/>
          <w:szCs w:val="24"/>
        </w:rPr>
        <w:t>ases</w:t>
      </w:r>
      <w:r w:rsidR="00BD2BDD" w:rsidRPr="00F532B5">
        <w:rPr>
          <w:rFonts w:ascii="Book Antiqua" w:hAnsi="Book Antiqua"/>
          <w:color w:val="auto"/>
          <w:sz w:val="24"/>
          <w:szCs w:val="24"/>
        </w:rPr>
        <w:t xml:space="preserve"> were</w:t>
      </w:r>
      <w:r w:rsidRPr="00F532B5">
        <w:rPr>
          <w:rFonts w:ascii="Book Antiqua" w:hAnsi="Book Antiqua"/>
          <w:color w:val="auto"/>
          <w:sz w:val="24"/>
          <w:szCs w:val="24"/>
        </w:rPr>
        <w:t xml:space="preserve"> more commonly reported </w:t>
      </w:r>
      <w:r w:rsidR="00E942DC" w:rsidRPr="00F532B5">
        <w:rPr>
          <w:rFonts w:ascii="Book Antiqua" w:hAnsi="Book Antiqua"/>
          <w:color w:val="auto"/>
          <w:sz w:val="24"/>
          <w:szCs w:val="24"/>
        </w:rPr>
        <w:t xml:space="preserve">from </w:t>
      </w:r>
      <w:r w:rsidRPr="00F532B5">
        <w:rPr>
          <w:rFonts w:ascii="Book Antiqua" w:hAnsi="Book Antiqua"/>
          <w:color w:val="auto"/>
          <w:sz w:val="24"/>
          <w:szCs w:val="24"/>
        </w:rPr>
        <w:t>tropical and subtropical countries</w:t>
      </w:r>
      <w:r w:rsidR="00E942DC" w:rsidRPr="00F532B5">
        <w:rPr>
          <w:rFonts w:ascii="Book Antiqua" w:hAnsi="Book Antiqua"/>
          <w:color w:val="auto"/>
          <w:sz w:val="24"/>
          <w:szCs w:val="24"/>
        </w:rPr>
        <w:t xml:space="preserve"> (</w:t>
      </w:r>
      <w:r w:rsidRPr="00F532B5">
        <w:rPr>
          <w:rFonts w:ascii="Book Antiqua" w:hAnsi="Book Antiqua"/>
          <w:color w:val="auto"/>
          <w:sz w:val="24"/>
          <w:szCs w:val="24"/>
        </w:rPr>
        <w:t>China (54%), India (18%), Turkey (9%), and Nigeria (3%)</w:t>
      </w:r>
      <w:r w:rsidR="00E942DC" w:rsidRPr="00F532B5">
        <w:rPr>
          <w:rFonts w:ascii="Book Antiqua" w:hAnsi="Book Antiqua"/>
          <w:color w:val="auto"/>
          <w:sz w:val="24"/>
          <w:szCs w:val="24"/>
        </w:rPr>
        <w:t>)</w:t>
      </w:r>
      <w:r w:rsidR="009E41B1" w:rsidRPr="009E41B1">
        <w:rPr>
          <w:rFonts w:ascii="Book Antiqua" w:hAnsi="Book Antiqua" w:hint="eastAsia"/>
          <w:color w:val="auto"/>
          <w:sz w:val="24"/>
          <w:szCs w:val="24"/>
          <w:vertAlign w:val="superscript"/>
          <w:lang w:eastAsia="zh-CN"/>
        </w:rPr>
        <w:t>[</w:t>
      </w:r>
      <w:r w:rsidR="00E942DC" w:rsidRPr="00F532B5">
        <w:rPr>
          <w:rFonts w:ascii="Book Antiqua" w:hAnsi="Book Antiqua"/>
          <w:color w:val="auto"/>
          <w:sz w:val="24"/>
          <w:szCs w:val="24"/>
          <w:vertAlign w:val="superscript"/>
        </w:rPr>
        <w:t>6</w:t>
      </w:r>
      <w:r w:rsidR="009E41B1">
        <w:rPr>
          <w:rFonts w:ascii="Book Antiqua" w:hAnsi="Book Antiqua" w:hint="eastAsia"/>
          <w:color w:val="auto"/>
          <w:sz w:val="24"/>
          <w:szCs w:val="24"/>
          <w:vertAlign w:val="superscript"/>
          <w:lang w:eastAsia="zh-CN"/>
        </w:rPr>
        <w:t>]</w:t>
      </w:r>
      <w:r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 xml:space="preserve">The mean age was 34.7 </w:t>
      </w:r>
      <w:r w:rsidR="00417731" w:rsidRPr="00F532B5">
        <w:rPr>
          <w:rFonts w:ascii="Book Antiqua" w:hAnsi="Book Antiqua"/>
          <w:color w:val="auto"/>
          <w:sz w:val="24"/>
          <w:szCs w:val="24"/>
        </w:rPr>
        <w:t>(range 7-87 years)</w:t>
      </w:r>
      <w:r w:rsidRPr="00F532B5">
        <w:rPr>
          <w:rFonts w:ascii="Book Antiqua" w:hAnsi="Book Antiqua"/>
          <w:color w:val="auto"/>
          <w:sz w:val="24"/>
          <w:szCs w:val="24"/>
        </w:rPr>
        <w:t xml:space="preserve"> </w:t>
      </w:r>
      <w:r w:rsidR="00CB10C3" w:rsidRPr="00F532B5">
        <w:rPr>
          <w:rFonts w:ascii="Book Antiqua" w:hAnsi="Book Antiqua"/>
          <w:color w:val="auto"/>
          <w:sz w:val="24"/>
          <w:szCs w:val="24"/>
        </w:rPr>
        <w:t xml:space="preserve">with </w:t>
      </w:r>
      <w:r w:rsidRPr="00F532B5">
        <w:rPr>
          <w:rFonts w:ascii="Book Antiqua" w:hAnsi="Book Antiqua"/>
          <w:color w:val="auto"/>
          <w:sz w:val="24"/>
          <w:szCs w:val="24"/>
        </w:rPr>
        <w:t>a 2:1 male predominance.</w:t>
      </w:r>
      <w:r w:rsidR="006D7818">
        <w:rPr>
          <w:rFonts w:ascii="Book Antiqua" w:hAnsi="Book Antiqua"/>
          <w:color w:val="auto"/>
          <w:sz w:val="24"/>
          <w:szCs w:val="24"/>
        </w:rPr>
        <w:t xml:space="preserve"> </w:t>
      </w:r>
    </w:p>
    <w:p w14:paraId="39811605" w14:textId="023F4DC4" w:rsidR="0016371C" w:rsidRPr="00F532B5" w:rsidRDefault="00754926" w:rsidP="00747D18">
      <w:pPr>
        <w:snapToGrid w:val="0"/>
        <w:spacing w:line="360" w:lineRule="auto"/>
        <w:ind w:firstLineChars="100" w:firstLine="240"/>
        <w:jc w:val="both"/>
        <w:rPr>
          <w:rFonts w:ascii="Book Antiqua" w:hAnsi="Book Antiqua"/>
          <w:color w:val="auto"/>
          <w:sz w:val="24"/>
          <w:szCs w:val="24"/>
        </w:rPr>
      </w:pPr>
      <w:r w:rsidRPr="00F532B5">
        <w:rPr>
          <w:rFonts w:ascii="Book Antiqua" w:hAnsi="Book Antiqua"/>
          <w:color w:val="auto"/>
          <w:sz w:val="24"/>
          <w:szCs w:val="24"/>
        </w:rPr>
        <w:lastRenderedPageBreak/>
        <w:t>In p</w:t>
      </w:r>
      <w:r w:rsidR="00BD2BDD" w:rsidRPr="00F532B5">
        <w:rPr>
          <w:rFonts w:ascii="Book Antiqua" w:hAnsi="Book Antiqua"/>
          <w:color w:val="auto"/>
          <w:sz w:val="24"/>
          <w:szCs w:val="24"/>
        </w:rPr>
        <w:t xml:space="preserve">eritoneal dialysis, the </w:t>
      </w:r>
      <w:r w:rsidRPr="00F532B5">
        <w:rPr>
          <w:rFonts w:ascii="Book Antiqua" w:hAnsi="Book Antiqua"/>
          <w:color w:val="auto"/>
          <w:sz w:val="24"/>
          <w:szCs w:val="24"/>
        </w:rPr>
        <w:t>annual incidence</w:t>
      </w:r>
      <w:r w:rsidR="00CB10C3" w:rsidRPr="00F532B5">
        <w:rPr>
          <w:rFonts w:ascii="Book Antiqua" w:hAnsi="Book Antiqua"/>
          <w:color w:val="auto"/>
          <w:sz w:val="24"/>
          <w:szCs w:val="24"/>
        </w:rPr>
        <w:t xml:space="preserve"> of EPS</w:t>
      </w:r>
      <w:r w:rsidRPr="00F532B5">
        <w:rPr>
          <w:rFonts w:ascii="Book Antiqua" w:hAnsi="Book Antiqua"/>
          <w:color w:val="auto"/>
          <w:sz w:val="24"/>
          <w:szCs w:val="24"/>
        </w:rPr>
        <w:t xml:space="preserve"> varies from 0.14% to 2.5%</w:t>
      </w:r>
      <w:r w:rsidR="00AA2ED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"author" : [ { "dropping-particle" : "", "family" : "Kawanishi", "given" : "H", "non-dropping-particle" : "", "parse-names" : false, "suffix" : "" }, { "dropping-particle" : "", "family" : "Moriishi", "given" : "M", "non-dropping-particle" : "", "parse-names" : false, "suffix" : "" } ], "container-title" : "Peritoneal Dialysis International", "id" : "ITEM-1", "issued" : { "date-parts" : [ [ "2005" ] ] }, "page" : "S14-8", "title" : "Epidemiology of encapsulating peritoneal sclerosis in Japan", "type" : "article-journal", "volume" : "25" }, "uris" : [ "http://www.mendeley.com/documents/?uuid=8236cd20-e8e3-4d9d-a549-094e875b3af7" ] }, { "id" : "ITEM-2", "itemData" : { "DOI" : "10.3747/pdi.2016.00109.Significant", "author" : [ { "dropping-particle" : "", "family" : "Betjes", "given" : "MG", "non-dropping-particle" : "", "parse-names" : false, "suffix" : "" }, { "dropping-particle" : "", "family" : "Habib", "given" : "SM", "non-dropping-particle" : "", "parse-names" : false, "suffix" : "" }, { "dropping-particle" : "", "family" : "Boeschoten", "given" : "EW", "non-dropping-particle" : "", "parse-names" : false, "suffix" : "" }, { "dropping-particle" : "", "family" : "Hemke", "given" : "AC", "non-dropping-particle" : "", "parse-names" : false, "suffix" : "" }, { "dropping-particle" : "", "family" : "Struijk", "given" : "DG", "non-dropping-particle" : "", "parse-names" : false, "suffix" : "" }, { "dropping-particle" : "", "family" : "Westerhuis", "given" : "R", "non-dropping-particle" : "", "parse-names" : false, "suffix" : "" }, { "dropping-particle" : "", "family" : "Abrahamas", "given" : "AC", "non-dropping-particle" : "", "parse-names" : false, "suffix" : "" }, { "dropping-particle" : "", "family" : "Korte", "given" : "MR", "non-dropping-particle" : "", "parse-names" : false, "suffix" : "" } ], "container-title" : "Peritoneal Dialysis International", "id" : "ITEM-2", "issue" : "2", "issued" : { "date-parts" : [ [ "2017" ] ] }, "page" : "230-234", "title" : "Significant Decreasing Incidence of Encapsulating Peritoneal Sclerosis in the Dutch Population of Peritoneal Dialysis Patients .", "type" : "article-journal", "volume" : "37" }, "uris" : [ "http://www.mendeley.com/documents/?uuid=d4b1344e-9a8a-4d22-8f04-062ea9f72523" ] } ], "mendeley" : { "formattedCitation" : "&lt;sup&gt;[41,50]&lt;/sup&gt;", "plainTextFormattedCitation" : "[41,50]", "previouslyFormattedCitation" : "&lt;sup&gt;[41,50]&lt;/sup&gt;" }, "properties" : { "noteIndex" : 0 }, "schema" : "https://github.com/citation-style-language/schema/raw/master/csl-citation.json" }</w:instrText>
      </w:r>
      <w:r w:rsidR="00AA2ED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[41,50]</w:t>
      </w:r>
      <w:r w:rsidR="00AA2EDC" w:rsidRPr="00F532B5">
        <w:rPr>
          <w:rFonts w:ascii="Book Antiqua" w:hAnsi="Book Antiqua"/>
          <w:color w:val="auto"/>
          <w:sz w:val="24"/>
          <w:szCs w:val="24"/>
        </w:rPr>
        <w:fldChar w:fldCharType="end"/>
      </w:r>
      <w:r w:rsidRPr="00F532B5">
        <w:rPr>
          <w:rFonts w:ascii="Book Antiqua" w:hAnsi="Book Antiqua"/>
          <w:color w:val="auto"/>
          <w:sz w:val="24"/>
          <w:szCs w:val="24"/>
        </w:rPr>
        <w:t xml:space="preserve"> with decreasing incidence in more recent studies likely due to improved dialysis techniques</w:t>
      </w:r>
      <w:r w:rsidR="00AA2ED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"10.3747/pdi.2016.00109.Significant", "author" : [ { "dropping-particle" : "", "family" : "Betjes", "given" : "MG", "non-dropping-particle" : "", "parse-names" : false, "suffix" : "" }, { "dropping-particle" : "", "family" : "Habib", "given" : "SM", "non-dropping-particle" : "", "parse-names" : false, "suffix" : "" }, { "dropping-particle" : "", "family" : "Boeschoten", "given" : "EW", "non-dropping-particle" : "", "parse-names" : false, "suffix" : "" }, { "dropping-particle" : "", "family" : "Hemke", "given" : "AC", "non-dropping-particle" : "", "parse-names" : false, "suffix" : "" }, { "dropping-particle" : "", "family" : "Struijk", "given" : "DG", "non-dropping-particle" : "", "parse-names" : false, "suffix" : "" }, { "dropping-particle" : "", "family" : "Westerhuis", "given" : "R", "non-dropping-particle" : "", "parse-names" : false, "suffix" : "" }, { "dropping-particle" : "", "family" : "Abrahamas", "given" : "AC", "non-dropping-particle" : "", "parse-names" : false, "suffix" : "" }, { "dropping-particle" : "", "family" : "Korte", "given" : "MR", "non-dropping-particle" : "", "parse-names" : false, "suffix" : "" } ], "container-title" : "Peritoneal Dialysis International", "id" : "ITEM-1", "issue" : "2", "issued" : { "date-parts" : [ [ "2017" ] ] }, "page" : "230-234", "title" : "Significant Decreasing Incidence of Encapsulating Peritoneal Sclerosis in the Dutch Population of Peritoneal Dialysis Patients .", "type" : "article-journal", "volume" : "37" }, "uris" : [ "http://www.mendeley.com/documents/?uuid=d4b1344e-9a8a-4d22-8f04-062ea9f72523" ] }, { "id" : "ITEM-2", "itemData" : { "author" : [ { "dropping-particle" : "", "family" : "Brown", "given" : "Edwina A", "non-dropping-particle" : "", "parse-names" : false, "suffix" : "" }, { "dropping-particle" : "Van", "family" : "Biesen", "given" : "Wim", "non-dropping-particle" : "", "parse-names" : false, "suffix" : "" }, { "dropping-particle" : "", "family" : "Finkelstein", "given" : "Fredric O", "non-dropping-particle" : "", "parse-names" : false, "suffix" : "" }, { "dropping-particle" : "", "family" : "Hurst", "given" : "Helen", "non-dropping-particle" : "", "parse-names" : false, "suffix" : "" }, { "dropping-particle" : "", "family" : "Johnson", "given" : "David W", "non-dropping-particle" : "", "parse-names" : false, "suffix" : "" }, { "dropping-particle" : "", "family" : "Pecoits-filho", "given" : "Roberto", "non-dropping-particle" : "", "parse-names" : false, "suffix" : "" }, { "dropping-particle" : "", "family" : "Woodrow", "given" : "Graham", "non-dropping-particle" : "", "parse-names" : false, "suffix" : "" }, { "dropping-particle" : "", "family" : "Party", "given" : "Working", "non-dropping-particle" : "", "parse-names" : false, "suffix" : "" } ], "container-title" : "Peritoneal Dialysis International", "id" : "ITEM-2", "issued" : { "date-parts" : [ [ "2017" ] ] }, "page" : "362-374", "title" : "Length of Time on Peritoneal Dialysis and Encapsulating-Position Paper for ISPD: 2017 Update", "type" : "article-journal", "volume" : "37" }, "uris" : [ "http://www.mendeley.com/documents/?uuid=0c9e21da-a644-4f25-9d5b-ceecae8a5133" ] } ], "mendeley" : { "formattedCitation" : "&lt;sup&gt;[17,50]&lt;/sup&gt;", "plainTextFormattedCitation" : "[17,50]", "previouslyFormattedCitation" : "&lt;sup&gt;[17,50]&lt;/sup&gt;" }, "properties" : { "noteIndex" : 0 }, "schema" : "https://github.com/citation-style-language/schema/raw/master/csl-citation.json" }</w:instrText>
      </w:r>
      <w:r w:rsidR="00AA2ED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[17,50]</w:t>
      </w:r>
      <w:r w:rsidR="00AA2EDC" w:rsidRPr="00F532B5">
        <w:rPr>
          <w:rFonts w:ascii="Book Antiqua" w:hAnsi="Book Antiqua"/>
          <w:color w:val="auto"/>
          <w:sz w:val="24"/>
          <w:szCs w:val="24"/>
        </w:rPr>
        <w:fldChar w:fldCharType="end"/>
      </w:r>
      <w:r w:rsidR="00AA2EDC"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The most significant risk factor for EPS development is duration of PD</w:t>
      </w:r>
      <w:r w:rsidR="00AA2ED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"author" : [ { "dropping-particle" : "", "family" : "Brown", "given" : "Edwina A", "non-dropping-particle" : "", "parse-names" : false, "suffix" : "" }, { "dropping-particle" : "Van", "family" : "Biesen", "given" : "Wim", "non-dropping-particle" : "", "parse-names" : false, "suffix" : "" }, { "dropping-particle" : "", "family" : "Finkelstein", "given" : "Fredric O", "non-dropping-particle" : "", "parse-names" : false, "suffix" : "" }, { "dropping-particle" : "", "family" : "Hurst", "given" : "Helen", "non-dropping-particle" : "", "parse-names" : false, "suffix" : "" }, { "dropping-particle" : "", "family" : "Johnson", "given" : "David W", "non-dropping-particle" : "", "parse-names" : false, "suffix" : "" }, { "dropping-particle" : "", "family" : "Pecoits-filho", "given" : "Roberto", "non-dropping-particle" : "", "parse-names" : false, "suffix" : "" }, { "dropping-particle" : "", "family" : "Woodrow", "given" : "Graham", "non-dropping-particle" : "", "parse-names" : false, "suffix" : "" }, { "dropping-particle" : "", "family" : "Party", "given" : "Working", "non-dropping-particle" : "", "parse-names" : false, "suffix" : "" } ], "container-title" : "Peritoneal Dialysis International", "id" : "ITEM-1", "issued" : { "date-parts" : [ [ "2017" ] ] }, "page" : "362-374", "title" : "Length of Time on Peritoneal Dialysis and Encapsulating-Position Paper for ISPD: 2017 Update", "type" : "article-journal", "volume" : "37" }, "uris" : [ "http://www.mendeley.com/documents/?uuid=0c9e21da-a644-4f25-9d5b-ceecae8a5133" ] } ], "mendeley" : { "formattedCitation" : "&lt;sup&gt;[17]&lt;/sup&gt;", "plainTextFormattedCitation" : "[17]", "previouslyFormattedCitation" : "&lt;sup&gt;[17]&lt;/sup&gt;" }, "properties" : { "noteIndex" : 0 }, "schema" : "https://github.com/citation-style-language/schema/raw/master/csl-citation.json" }</w:instrText>
      </w:r>
      <w:r w:rsidR="00AA2ED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[17]</w:t>
      </w:r>
      <w:r w:rsidR="00AA2EDC" w:rsidRPr="00F532B5">
        <w:rPr>
          <w:rFonts w:ascii="Book Antiqua" w:hAnsi="Book Antiqua"/>
          <w:color w:val="auto"/>
          <w:sz w:val="24"/>
          <w:szCs w:val="24"/>
        </w:rPr>
        <w:fldChar w:fldCharType="end"/>
      </w:r>
      <w:r w:rsidR="007815EC" w:rsidRPr="00F532B5">
        <w:rPr>
          <w:rFonts w:ascii="Book Antiqua" w:hAnsi="Book Antiqua"/>
          <w:color w:val="auto"/>
          <w:sz w:val="24"/>
          <w:szCs w:val="24"/>
        </w:rPr>
        <w:t xml:space="preserve"> with a</w:t>
      </w:r>
      <w:r w:rsidRPr="00F532B5">
        <w:rPr>
          <w:rFonts w:ascii="Book Antiqua" w:hAnsi="Book Antiqua"/>
          <w:color w:val="auto"/>
          <w:sz w:val="24"/>
          <w:szCs w:val="24"/>
        </w:rPr>
        <w:t xml:space="preserve"> low c</w:t>
      </w:r>
      <w:r w:rsidR="00A67D79" w:rsidRPr="00F532B5">
        <w:rPr>
          <w:rFonts w:ascii="Book Antiqua" w:hAnsi="Book Antiqua"/>
          <w:color w:val="auto"/>
          <w:sz w:val="24"/>
          <w:szCs w:val="24"/>
        </w:rPr>
        <w:t>umulative incidence at 3 years</w:t>
      </w:r>
      <w:r w:rsidR="00B3702B" w:rsidRPr="00F532B5">
        <w:rPr>
          <w:rFonts w:ascii="Book Antiqua" w:hAnsi="Book Antiqua"/>
          <w:color w:val="auto"/>
          <w:sz w:val="24"/>
          <w:szCs w:val="24"/>
        </w:rPr>
        <w:t xml:space="preserve"> </w:t>
      </w:r>
      <w:r w:rsidR="007815EC" w:rsidRPr="00F532B5">
        <w:rPr>
          <w:rFonts w:ascii="Book Antiqua" w:hAnsi="Book Antiqua"/>
          <w:color w:val="auto"/>
          <w:sz w:val="24"/>
          <w:szCs w:val="24"/>
        </w:rPr>
        <w:t>increasing</w:t>
      </w:r>
      <w:r w:rsidRPr="00F532B5">
        <w:rPr>
          <w:rFonts w:ascii="Book Antiqua" w:hAnsi="Book Antiqua"/>
          <w:color w:val="auto"/>
          <w:sz w:val="24"/>
          <w:szCs w:val="24"/>
        </w:rPr>
        <w:t xml:space="preserve"> after 5 years</w:t>
      </w:r>
      <w:r w:rsidR="00AA2ED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"author" : [ { "dropping-particle" : "", "family" : "Kawanishi", "given" : "H", "non-dropping-particle" : "", "parse-names" : false, "suffix" : "" }, { "dropping-particle" : "", "family" : "Moriishi", "given" : "M", "non-dropping-particle" : "", "parse-names" : false, "suffix" : "" } ], "container-title" : "Peritoneal Dialysis International", "id" : "ITEM-1", "issued" : { "date-parts" : [ [ "2005" ] ] }, "page" : "S14-8", "title" : "Epidemiology of encapsulating peritoneal sclerosis in Japan", "type" : "article-journal", "volume" : "25" }, "uris" : [ "http://www.mendeley.com/documents/?uuid=8236cd20-e8e3-4d9d-a549-094e875b3af7" ] }, { "id" : "ITEM-2", "itemData" : { "DOI" : "10.1038/ki.2010.16", "ISSN" : "00852538", "PMID" : "20375981", "abstract" : "Encapsulating peritoneal sclerosis is a complication of peritoneal dialysis characterized by persistent, intermittent, or recurrent adhesive bowel obstruction. Here we examined the incidence, predictors, and outcomes of encapsulating peritoneal sclerosis (peritoneal fibrosis) by multivariate logistic regression in incident peritoneal dialysis patients in Australia and New Zealand. Matched case\u2013control analysis compared the survival of patients with controls equivalent for age, gender, diabetes, and time on peritoneal dialysis. Of 7618 patients measured over a 13-year period, encapsulating peritoneal sclerosis was diagnosed in 33, giving an incidence rate of 1.8/1000 patient-years. The respective cumulative incidences of peritoneal sclerosis at 3, 5, and 8 years were 0.3, 0.8, and 3.9%. This condition was independently predicted by younger age and the duration of peritoneal dialysis, but not the rate of peritonitis. Twenty-six patients were diagnosed while still on peritoneal dialysis. Median survival following diagnosis was 4 years and not statistically different from that of 132 matched controls. Of the 18 patients who died, only 7 were attributed directly to peritoneal sclerosis. Our study shows that encapsulating peritoneal sclerosis is a rare condition, predicted by younger age and the duration of peritoneal dialysis. The risk of death is relatively low and not appreciably different from that of competing risks for mortality in matched dialysis control patients.", "author" : [ { "dropping-particle" : "", "family" : "Johnson", "given" : "David W.", "non-dropping-particle" : "", "parse-names" : false, "suffix" : "" }, { "dropping-particle" : "", "family" : "Cho", "given" : "Yeoungjee", "non-dropping-particle" : "", "parse-names" : false, "suffix" : "" }, { "dropping-particle" : "", "family" : "Livingston", "given" : "Brian E.R.", "non-dropping-particle" : "", "parse-names" : false, "suffix" : "" }, { "dropping-particle" : "", "family" : "Hawley", "given" : "Carmel M.", "non-dropping-particle" : "", "parse-names" : false, "suffix" : "" }, { "dropping-particle" : "", "family" : "McDonald", "given" : "Stephen P.", "non-dropping-particle" : "", "parse-names" : false, "suffix" : "" }, { "dropping-particle" : "", "family" : "Brown", "given" : "Fiona G.", "non-dropping-particle" : "", "parse-names" : false, "suffix" : "" }, { "dropping-particle" : "", "family" : "Rosman", "given" : "Johan B.", "non-dropping-particle" : "", "parse-names" : false, "suffix" : "" }, { "dropping-particle" : "", "family" : "Bannister", "given" : "Kym M.", "non-dropping-particle" : "", "parse-names" : false, "suffix" : "" }, { "dropping-particle" : "", "family" : "Wiggins", "given" : "Kathryn J.", "non-dropping-particle" : "", "parse-names" : false, "suffix" : "" } ], "container-title" : "Kidney International", "id" : "ITEM-2", "issue" : "10", "issued" : { "date-parts" : [ [ "2010" ] ] }, "page" : "904-912", "publisher" : "Elsevier Masson SAS", "title" : "Encapsulating peritoneal sclerosis: incidence, predictors, and outcomes", "type" : "article-journal", "volume" : "77" }, "uris" : [ "http://www.mendeley.com/documents/?uuid=3f6d7a8d-e367-460f-9df3-3a0582890940" ] }, { "id" : "ITEM-3", "itemData" : { "author" : [ { "dropping-particle" : "", "family" : "Brown", "given" : "Edwina A", "non-dropping-particle" : "", "parse-names" : false, "suffix" : "" }, { "dropping-particle" : "Van", "family" : "Biesen", "given" : "Wim", "non-dropping-particle" : "", "parse-names" : false, "suffix" : "" }, { "dropping-particle" : "", "family" : "Finkelstein", "given" : "Fredric O", "non-dropping-particle" : "", "parse-names" : false, "suffix" : "" }, { "dropping-particle" : "", "family" : "Hurst", "given" : "Helen", "non-dropping-particle" : "", "parse-names" : false, "suffix" : "" }, { "dropping-particle" : "", "family" : "Johnson", "given" : "David W", "non-dropping-particle" : "", "parse-names" : false, "suffix" : "" }, { "dropping-particle" : "", "family" : "Pecoits-filho", "given" : "Roberto", "non-dropping-particle" : "", "parse-names" : false, "suffix" : "" }, { "dropping-particle" : "", "family" : "Woodrow", "given" : "Graham", "non-dropping-particle" : "", "parse-names" : false, "suffix" : "" }, { "dropping-particle" : "", "family" : "Party", "given" : "Working", "non-dropping-particle" : "", "parse-names" : false, "suffix" : "" } ], "container-title" : "Peritoneal Dialysis International", "id" : "ITEM-3", "issued" : { "date-parts" : [ [ "2017" ] ] }, "page" : "362-374", "title" : "Length of Time on Peritoneal Dialysis and Encapsulating-Position Paper for ISPD: 2017 Update", "type" : "article-journal", "volume" : "37" }, "uris" : [ "http://www.mendeley.com/documents/?uuid=0c9e21da-a644-4f25-9d5b-ceecae8a5133" ] } ], "mendeley" : { "formattedCitation" : "&lt;sup&gt;[17,40,41]&lt;/sup&gt;", "plainTextFormattedCitation" : "[17,40,41]", "previouslyFormattedCitation" : "&lt;sup&gt;[17,40,41]&lt;/sup&gt;" }, "properties" : { "noteIndex" : 0 }, "schema" : "https://github.com/citation-style-language/schema/raw/master/csl-citation.json" }</w:instrText>
      </w:r>
      <w:r w:rsidR="00AA2ED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[17,40,41]</w:t>
      </w:r>
      <w:r w:rsidR="00AA2EDC" w:rsidRPr="00F532B5">
        <w:rPr>
          <w:rFonts w:ascii="Book Antiqua" w:hAnsi="Book Antiqua"/>
          <w:color w:val="auto"/>
          <w:sz w:val="24"/>
          <w:szCs w:val="24"/>
        </w:rPr>
        <w:fldChar w:fldCharType="end"/>
      </w:r>
      <w:r w:rsidR="00AA2EDC"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 xml:space="preserve">At 8 years, </w:t>
      </w:r>
      <w:r w:rsidR="00F358BC" w:rsidRPr="00F532B5">
        <w:rPr>
          <w:rFonts w:ascii="Book Antiqua" w:hAnsi="Book Antiqua"/>
          <w:color w:val="auto"/>
          <w:sz w:val="24"/>
          <w:szCs w:val="24"/>
        </w:rPr>
        <w:t>10</w:t>
      </w:r>
      <w:r w:rsidR="00E30CA6" w:rsidRPr="00F532B5">
        <w:rPr>
          <w:rFonts w:ascii="Book Antiqua" w:hAnsi="Book Antiqua"/>
          <w:color w:val="auto"/>
          <w:sz w:val="24"/>
          <w:szCs w:val="24"/>
        </w:rPr>
        <w:t>%</w:t>
      </w:r>
      <w:r w:rsidR="00F358BC" w:rsidRPr="00F532B5">
        <w:rPr>
          <w:rFonts w:ascii="Book Antiqua" w:hAnsi="Book Antiqua"/>
          <w:color w:val="auto"/>
          <w:sz w:val="24"/>
          <w:szCs w:val="24"/>
        </w:rPr>
        <w:t>-20%</w:t>
      </w:r>
      <w:r w:rsidRPr="00F532B5">
        <w:rPr>
          <w:rFonts w:ascii="Book Antiqua" w:hAnsi="Book Antiqua"/>
          <w:color w:val="auto"/>
          <w:sz w:val="24"/>
          <w:szCs w:val="24"/>
        </w:rPr>
        <w:t xml:space="preserve"> of PD patients will develop EPS</w:t>
      </w:r>
      <w:r w:rsidR="00AA2ED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"ISBN" : "0931-041X (Print)\\r0931-041X (Linking)", "ISSN" : "0931-041X", "PMID" : "2285", "abstract" : "The aim of this study was to define the incidence and characteristics of sclerosing encapsulating peritonitis (SEP) in pediatric peritoneal dialysis (PD) patients in Japan. A questionnaire was sent to all dialysis units with at least two pediatric PD patients. Among 687 patients registered, 11 cases (1.6%) of SEP were diagnosed. The mean age of patients with SEP at the start of PD was 9.7+/-3.6 years and at SEP diagnosis, 19.1+/-3.8 years. All patients had undergone PD for more than 5 years, and the mean PD duration was 9.6+/-3.3 years. SEP was diagnosed in 6.6% and 12% of patients dialyzed for &gt;5 years and &gt;8 years, respectively. The incidence of peritonitis among patients with SEP was not different from that among the Japanese pediatric registry. All patients had virtually no residual urine volume and 9 had impaired peritoneal ultrafiltration. Peritoneal calcification was the most-frequent radiological finding. Peritoneal biopsy was performed in 7 patients and confirmed sclerotic peritonitis in all. Ten patients transferred to hemodialysis, and only 1 patient underwent surgery. Three patients died. We recommend that patients on PD for more than 5 years who have impaired peritoneal ultrafiltration or peritoneal calcification should be carefully managed as presumptive cases of SEP", "author" : [ { "dropping-particle" : "", "family" : "Hoshii", "given" : "S", "non-dropping-particle" : "", "parse-names" : false, "suffix" : "" }, { "dropping-particle" : "", "family" : "Honda", "given" : "M", "non-dropping-particle" : "", "parse-names" : false, "suffix" : "" }, { "dropping-particle" : "", "family" : "Itami", "given" : "N", "non-dropping-particle" : "", "parse-names" : false, "suffix" : "" }, { "dropping-particle" : "", "family" : "Oh", "given" : "S", "non-dropping-particle" : "", "parse-names" : false, "suffix" : "" }, { "dropping-particle" : "", "family" : "Matsumura", "given" : "C", "non-dropping-particle" : "", "parse-names" : false, "suffix" : "" }, { "dropping-particle" : "", "family" : "Moriya", "given" : "S", "non-dropping-particle" : "", "parse-names" : false, "suffix" : "" }, { "dropping-particle" : "", "family" : "Mori", "given" : "M", "non-dropping-particle" : "", "parse-names" : false, "suffix" : "" }, { "dropping-particle" : "", "family" : "Hatae", "given" : "K", "non-dropping-particle" : "", "parse-names" : false, "suffix" : "" }, { "dropping-particle" : "", "family" : "Ito", "given" : "Y", "non-dropping-particle" : "", "parse-names" : false, "suffix" : "" }, { "dropping-particle" : "", "family" : "Karashima", "given" : "S", "non-dropping-particle" : "", "parse-names" : false, "suffix" : "" } ], "container-title" : "Pediatr.Nephrol.", "id" : "ITEM-1", "issue" : "4", "issued" : { "date-parts" : [ [ "2000" ] ] }, "page" : "275-279", "title" : "Sclerosing encapsulating peritonitis in pediatric peritoneal dialysis patients", "type" : "article-journal", "volume" : "14" }, "uris" : [ "http://www.mendeley.com/documents/?uuid=f2a3b9c8-9d49-4935-ace5-bc3533b032b6" ] }, { "id" : "ITEM-2", "itemData" : { "DOI" : "10.3109/08860221003658274", "ISSN" : "0886-022X", "PMID" : "20446784", "abstract" : "AIM: Encapsulating peritoneal sclerosis (EPS) is arguably the most serious complication of chronic peritoneal dialysis (PD) therapy with extremely high mortality rates. We aimed to establish the rates of EPS and factors associated with its development in a single center. METHODS: We retrospectively reviewed the records of all our PD patients from 1 January 1989 until 31 December 2008. All suspected cases were confirmed at laparotomy. Multifactorial models adjusted for potentially confounding variables such as age and sex. RESULTS: Eleven cases of EPS were identified giving a prevalence rate of 1.98%. Median duration on PD was substantially longer in affected versus unaffected patients (42.5 months versus 13.8 months; p = 0.0002). EPS patients had experienced a mean of 3.54 previous cases of peritonitis (1 infection per year versus 0.71 per year in unaffected patients; p = 0.075). Six patients died (54.5%) due to intra-abdominal sepsis including all five who presented with small bowel obstruction. Three patients had an omentectomy and adhesiolysis performed with a successful outcome. CONCLUSION: Our study reinforces the link between duration on PD and EPS. While mortality was high in our cohort, emerging surgical techniques demonstrate a favorable outcome that can be achieved even in severely affected cases.", "author" : [ { "dropping-particle" : "", "family" : "Phelan", "given" : "P J", "non-dropping-particle" : "", "parse-names" : false, "suffix" : "" }, { "dropping-particle" : "", "family" : "Walshe", "given" : "J J", "non-dropping-particle" : "", "parse-names" : false, "suffix" : "" }, { "dropping-particle" : "", "family" : "Al-Aradi", "given" : "a", "non-dropping-particle" : "", "parse-names" : false, "suffix" : "" }, { "dropping-particle" : "", "family" : "Garvey", "given" : "J P", "non-dropping-particle" : "", "parse-names" : false, "suffix" : "" }, { "dropping-particle" : "", "family" : "Finnegan", "given" : "K", "non-dropping-particle" : "", "parse-names" : false, "suffix" : "" }, { "dropping-particle" : "", "family" : "O'Kelly", "given" : "P", "non-dropping-particle" : "", "parse-names" : false, "suffix" : "" }, { "dropping-particle" : "", "family" : "McWilliams", "given" : "J", "non-dropping-particle" : "", "parse-names" : false, "suffix" : "" }, { "dropping-particle" : "", "family" : "Ti", "given" : "J P", "non-dropping-particle" : "", "parse-names" : false, "suffix" : "" }, { "dropping-particle" : "", "family" : "Morrin", "given" : "M M", "non-dropping-particle" : "", "parse-names" : false, "suffix" : "" }, { "dropping-particle" : "", "family" : "Morgan", "given" : "N", "non-dropping-particle" : "", "parse-names" : false, "suffix" : "" }, { "dropping-particle" : "", "family" : "Conlon", "given" : "P J", "non-dropping-particle" : "", "parse-names" : false, "suffix" : "" } ], "container-title" : "Renal failure", "id" : "ITEM-2", "issue" : "4", "issued" : { "date-parts" : [ [ "2010" ] ] }, "page" : "459-463", "title" : "Encapsulating peritoneal sclerosis: experience of a tertiary referral center.", "type" : "article-journal", "volume" : "32" }, "uris" : [ "http://www.mendeley.com/documents/?uuid=6f7df2ac-300c-4dca-8a7a-7c11a2a1578b" ] }, { "id" : "ITEM-3", "itemData" : { "DOI" : "10.3747/pdi.2013.00074", "ISSN" : "17184304", "PMID" : "24497585", "abstract" : "\u2666 Introduction: Encapsulating peritoneal sclerosis (EPS) is a serious complication of peritoneal dialysis (PD). Over the past decade in Japan, a multidisciplinary approach has been adopted to minimize the incidence and improve outcomes of EPS. This strategy includes planned PD discontinuation for high-risk patients and the introduction of biocompatible solutions. This study examined the current clinical status of EPS in representative PD centers in Japan. \u2666 Design, setting, participants and measurements: Patients (n = 1,338) from 55 PD centers in Japan who were using neutral-pH solutions from the initiation of therapy (mean age, 62 years; median PD duration, 32 months; concomitant use of icodextrin, 35.2%; PD and hemodialysis combination therapy, 12.2%) were assessed every 6 months to ascertain the reasons for PD discontinuation and the development of EPS development. Outcomes were also recorded. The study period was from November 2008 to March 2012. \u2666 Results: There were 727 patients who discontinued PD, including 163 deaths. Among all causes of PD withdrawal except for death, planned PD discontinuation to avoid EPS was utilized in 58 cases (7.1% in total). The strategy was increasingly utilized in proportion to the duration of PD: 0.5% for patients undergoing PD for &lt; 3 years, 0.6% for patients undergoing PD for 5 years, 14.7% for patients undergoing PD for 8 years, and 35.5% for patients undergoing PD for &gt; 8 years. Fourteen patients developed EPS (three cases after PD), which corresponded with an overall incidence of 1.0%. The incidence according to the duration of PD was 0.3% for PD &lt; 3 years, 0.6% for PD = 5 years, 2.3% for PD = 8 years, and 1.2% for PD &gt; 8 years. In terms of therapy, 11 patients were treated with prednisolone (PSL), and surgical enterolysis was utilized in two cases. Complete remission of abdominal symptoms was achieved in twelve patients (85.7%), and three died due to EPS (mortality rate of 21.4%). \u2666 Conclusions: Use of the multidisciplinary approach described above reduces the risk of the development of EPS according to PD duration. In cases of de novo EPS cases in Japan, this strategy can also attenuate the clinical course of the condition.", "author" : [ { "dropping-particle" : "", "family" : "Nakayama", "given" : "Masaaki", "non-dropping-particle" : "", "parse-names" : false, "suffix" : "" }, { "dropping-particle" : "", "family" : "Miyazaki", "given" : "Masanobu", "non-dropping-particle" : "", "parse-names" : false, "suffix" : "" }, { "dropping-particle" : "", "family" : "Honda", "given" : "Kazuho", "non-dropping-particle" : "", "parse-names" : false, "suffix" : "" }, { "dropping-particle" : "", "family" : "Kasai", "given" : "Kenji", "non-dropping-particle" : "", "parse-names" : false, "suffix" : "" }, { "dropping-particle" : "", "family" : "Tomo", "given" : "Tadashi", "non-dropping-particle" : "", "parse-names" : false, "suffix" : "" }, { "dropping-particle" : "", "family" : "Nakamoto", "given" : "Hidetomo", "non-dropping-particle" : "", "parse-names" : false, "suffix" : "" }, { "dropping-particle" : "", "family" : "Kawanishi", "given" : "Hideki", "non-dropping-particle" : "", "parse-names" : false, "suffix" : "" } ], "container-title" : "Peritoneal Dialysis International", "id" : "ITEM-3", "issue" : "7", "issued" : { "date-parts" : [ [ "2014" ] ] }, "page" : "766-774", "title" : "Encapsulating peritoneal sclerosis in the era of a multi-disciplinary approach based on biocompatible solutions: The next-PD study", "type" : "article-journal", "volume" : "34" }, "uris" : [ "http://www.mendeley.com/documents/?uuid=824dab31-f7a3-42f3-8458-862628bd9864" ] }, { "id" : "ITEM-4", "itemData" : { "author" : [ { "dropping-particle" : "", "family" : "Rigby", "given" : "Russell J.", "non-dropping-particle" : "", "parse-names" : false, "suffix" : "" }, { "dropping-particle" : "", "family" : "Hawley", "given" : "Carmel M.", "non-dropping-particle" : "", "parse-names" : false, "suffix" : "" } ], "container-title" : "Nephrology Dialysis Transplantation", "id" : "ITEM-4", "issued" : { "date-parts" : [ [ "1998" ] ] }, "page" : "154-159", "title" : "Sclerosing peritonitis: the experience in Australia", "type" : "article-journal", "volume" : "13" }, "uris" : [ "http://www.mendeley.com/documents/?uuid=b51f65ec-e9b2-4fdf-a41c-1df4b9382e0e" ] }, { "id" : "ITEM-5", "itemData" : { "author" : [ { "dropping-particle" : "", "family" : "Brown", "given" : "Edwina A", "non-dropping-particle" : "", "parse-names" : false, "suffix" : "" }, { "dropping-particle" : "Van", "family" : "Biesen", "given" : "Wim", "non-dropping-particle" : "", "parse-names" : false, "suffix" : "" }, { "dropping-particle" : "", "family" : "Finkelstein", "given" : "Fredric O", "non-dropping-particle" : "", "parse-names" : false, "suffix" : "" }, { "dropping-particle" : "", "family" : "Hurst", "given" : "Helen", "non-dropping-particle" : "", "parse-names" : false, "suffix" : "" }, { "dropping-particle" : "", "family" : "Johnson", "given" : "David W", "non-dropping-particle" : "", "parse-names" : false, "suffix" : "" }, { "dropping-particle" : "", "family" : "Pecoits-filho", "given" : "Roberto", "non-dropping-particle" : "", "parse-names" : false, "suffix" : "" }, { "dropping-particle" : "", "family" : "Woodrow", "given" : "Graham", "non-dropping-particle" : "", "parse-names" : false, "suffix" : "" }, { "dropping-particle" : "", "family" : "Party", "given" : "Working", "non-dropping-particle" : "", "parse-names" : false, "suffix" : "" } ], "container-title" : "Peritoneal Dialysis International", "id" : "ITEM-5", "issued" : { "date-parts" : [ [ "2017" ] ] }, "page" : "362-374", "title" : "Length of Time on Peritoneal Dialysis and Encapsulating-Position Paper for ISPD: 2017 Update", "type" : "article-journal", "volume" : "37" }, "uris" : [ "http://www.mendeley.com/documents/?uuid=0c9e21da-a644-4f25-9d5b-ceecae8a5133" ] } ], "mendeley" : { "formattedCitation" : "&lt;sup&gt;[17,51\u201354]&lt;/sup&gt;", "plainTextFormattedCitation" : "[17,51\u201354]", "previouslyFormattedCitation" : "&lt;sup&gt;[17,51\u201354]&lt;/sup&gt;" }, "properties" : { "noteIndex" : 0 }, "schema" : "https://github.com/citation-style-language/schema/raw/master/csl-citation.json" }</w:instrText>
      </w:r>
      <w:r w:rsidR="00AA2ED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[17,51–54]</w:t>
      </w:r>
      <w:r w:rsidR="00AA2EDC" w:rsidRPr="00F532B5">
        <w:rPr>
          <w:rFonts w:ascii="Book Antiqua" w:hAnsi="Book Antiqua"/>
          <w:color w:val="auto"/>
          <w:sz w:val="24"/>
          <w:szCs w:val="24"/>
        </w:rPr>
        <w:fldChar w:fldCharType="end"/>
      </w:r>
      <w:r w:rsidR="00AA2EDC"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 xml:space="preserve">The prevalence of EPS </w:t>
      </w:r>
      <w:r w:rsidR="000A6220" w:rsidRPr="00F532B5">
        <w:rPr>
          <w:rFonts w:ascii="Book Antiqua" w:hAnsi="Book Antiqua"/>
          <w:color w:val="auto"/>
          <w:sz w:val="24"/>
          <w:szCs w:val="24"/>
        </w:rPr>
        <w:t xml:space="preserve">in PD </w:t>
      </w:r>
      <w:r w:rsidRPr="00F532B5">
        <w:rPr>
          <w:rFonts w:ascii="Book Antiqua" w:hAnsi="Book Antiqua"/>
          <w:color w:val="auto"/>
          <w:sz w:val="24"/>
          <w:szCs w:val="24"/>
        </w:rPr>
        <w:t>has been observed between 0.4% and 8.9%</w:t>
      </w:r>
      <w:r w:rsidR="00AA2ED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"author" : [ { "dropping-particle" : "", "family" : "Brown", "given" : "Edwina A", "non-dropping-particle" : "", "parse-names" : false, "suffix" : "" }, { "dropping-particle" : "Van", "family" : "Biesen", "given" : "Wim", "non-dropping-particle" : "", "parse-names" : false, "suffix" : "" }, { "dropping-particle" : "", "family" : "Finkelstein", "given" : "Fredric O", "non-dropping-particle" : "", "parse-names" : false, "suffix" : "" }, { "dropping-particle" : "", "family" : "Hurst", "given" : "Helen", "non-dropping-particle" : "", "parse-names" : false, "suffix" : "" }, { "dropping-particle" : "", "family" : "Johnson", "given" : "David W", "non-dropping-particle" : "", "parse-names" : false, "suffix" : "" }, { "dropping-particle" : "", "family" : "Pecoits-filho", "given" : "Roberto", "non-dropping-particle" : "", "parse-names" : false, "suffix" : "" }, { "dropping-particle" : "", "family" : "Woodrow", "given" : "Graham", "non-dropping-particle" : "", "parse-names" : false, "suffix" : "" }, { "dropping-particle" : "", "family" : "Party", "given" : "Working", "non-dropping-particle" : "", "parse-names" : false, "suffix" : "" } ], "container-title" : "Peritoneal Dialysis International", "id" : "ITEM-1", "issued" : { "date-parts" : [ [ "2017" ] ] }, "page" : "362-374", "title" : "Length of Time on Peritoneal Dialysis and Encapsulating-Position Paper for ISPD: 2017 Update", "type" : "article-journal", "volume" : "37" }, "uris" : [ "http://www.mendeley.com/documents/?uuid=0c9e21da-a644-4f25-9d5b-ceecae8a5133" ] } ], "mendeley" : { "formattedCitation" : "&lt;sup&gt;[17]&lt;/sup&gt;", "plainTextFormattedCitation" : "[17]", "previouslyFormattedCitation" : "&lt;sup&gt;[17]&lt;/sup&gt;" }, "properties" : { "noteIndex" : 0 }, "schema" : "https://github.com/citation-style-language/schema/raw/master/csl-citation.json" }</w:instrText>
      </w:r>
      <w:r w:rsidR="00AA2ED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[17]</w:t>
      </w:r>
      <w:r w:rsidR="00AA2EDC" w:rsidRPr="00F532B5">
        <w:rPr>
          <w:rFonts w:ascii="Book Antiqua" w:hAnsi="Book Antiqua"/>
          <w:color w:val="auto"/>
          <w:sz w:val="24"/>
          <w:szCs w:val="24"/>
        </w:rPr>
        <w:fldChar w:fldCharType="end"/>
      </w:r>
      <w:r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 xml:space="preserve">Mortality </w:t>
      </w:r>
      <w:r w:rsidR="006D7581" w:rsidRPr="00F532B5">
        <w:rPr>
          <w:rFonts w:ascii="Book Antiqua" w:hAnsi="Book Antiqua"/>
          <w:color w:val="auto"/>
          <w:sz w:val="24"/>
          <w:szCs w:val="24"/>
        </w:rPr>
        <w:t xml:space="preserve">in PD patients </w:t>
      </w:r>
      <w:r w:rsidRPr="00F532B5">
        <w:rPr>
          <w:rFonts w:ascii="Book Antiqua" w:hAnsi="Book Antiqua"/>
          <w:color w:val="auto"/>
          <w:sz w:val="24"/>
          <w:szCs w:val="24"/>
        </w:rPr>
        <w:t>approaches 50% one year after diagnosis</w:t>
      </w:r>
      <w:r w:rsidR="00AA2ED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"author" : [ { "dropping-particle" : "", "family" : "Brown", "given" : "Edwina A", "non-dropping-particle" : "", "parse-names" : false, "suffix" : "" }, { "dropping-particle" : "Van", "family" : "Biesen", "given" : "Wim", "non-dropping-particle" : "", "parse-names" : false, "suffix" : "" }, { "dropping-particle" : "", "family" : "Finkelstein", "given" : "Fredric O", "non-dropping-particle" : "", "parse-names" : false, "suffix" : "" }, { "dropping-particle" : "", "family" : "Hurst", "given" : "Helen", "non-dropping-particle" : "", "parse-names" : false, "suffix" : "" }, { "dropping-particle" : "", "family" : "Johnson", "given" : "David W", "non-dropping-particle" : "", "parse-names" : false, "suffix" : "" }, { "dropping-particle" : "", "family" : "Pecoits-filho", "given" : "Roberto", "non-dropping-particle" : "", "parse-names" : false, "suffix" : "" }, { "dropping-particle" : "", "family" : "Woodrow", "given" : "Graham", "non-dropping-particle" : "", "parse-names" : false, "suffix" : "" }, { "dropping-particle" : "", "family" : "Party", "given" : "Working", "non-dropping-particle" : "", "parse-names" : false, "suffix" : "" } ], "container-title" : "Peritoneal Dialysis International", "id" : "ITEM-1", "issued" : { "date-parts" : [ [ "2017" ] ] }, "page" : "362-374", "title" : "Length of Time on Peritoneal Dialysis and Encapsulating-Position Paper for ISPD: 2017 Update", "type" : "article-journal", "volume" : "37" }, "uris" : [ "http://www.mendeley.com/documents/?uuid=0c9e21da-a644-4f25-9d5b-ceecae8a5133" ] }, { "id" : "ITEM-2", "itemData" : { "DOI" : "10.1093/ndt/gfp008", "ISBN" : "1460-2385", "ISSN" : "09310509", "PMID" : "19211652", "abstract" : "BACKGROUND: Encapsulating peritoneal sclerosis (EPS) is a disease process that can occur as a complication of peritoneal dialysis (PD). The aim of this study was to make a general assessment of the clinical features, diagnosis, management and outcome of PD-related EPS cases from London and South-East England. METHODS: Questionnaires were sent to 11 PD units in March 2007; cases were identified retrospectively. Outcome data on surviving patients were collected in March 2008. RESULTS: A total of 111 patients were identified; the mean time on PD was 82 months (range 8-247). Mortality increased with length of time on PD, being 42% at &lt;3 years (n = 12), 32% at 3-4 years (n = 19), 61% at 5-6 years (n = 31), 54% at 7-8 years (n = 24), 75% at 9-10 years (n = 8) and 59% at &gt;10 years (n = 17). Twelve patients had no previous peritonitis episodes, 28 had one previous episode, 30 had two previous episodes and 33 had three or more previous episodes. Of the patients with PD details available, 41/63 were high (&gt;0.81) transporters and 44/71 had ultrafiltration &lt;1 l/24 h, but 7/63 were low average transporters (0.5-&lt;0.65) and 27/71 had ultrafiltration &gt;1 l/24 h and a few had significant residual renal function. Sixty-five (59%) patients had their PD discontinued prior to diagnosis (51 HD; 14 transplanted). CT scans were performed on 91 patients and laparotomy on 47 patients. Drug treatment consisted of tamoxifen, immunosuppression or both. The median survival was 15 months in patients treated with tamoxifen (n = 17), 12 months in patients treated with immunosuppression (n = 24) and 21 months in patients who received both (n = 13), against 13 months (n = 46) in patients who received no specific treatment. Adhesionolysis was performed in 5 patients, and 39 patients were given parenteral nutrition. The overall mortality was 53% with a median survival of 14 months and a median time to death of 7 months. Conclusion. This is one of the largest cohorts of patients with EPS in the literature. Long-term survival occurred in over 50%, regardless of the various treatments strategies undertaken by the centres.", "author" : [ { "dropping-particle" : "", "family" : "Balasubramaniam", "given" : "Gowrie", "non-dropping-particle" : "", "parse-names" : false, "suffix" : "" }, { "dropping-particle" : "", "family" : "Brown", "given" : "Edwina A.", "non-dropping-particle" : "", "parse-names" : false, "suffix" : "" }, { "dropping-particle" : "", "family" : "Davenport", "given" : "Andrew", "non-dropping-particle" : "", "parse-names" : false, "suffix" : "" }, { "dropping-particle" : "", "family" : "Cairns", "given" : "Hugh", "non-dropping-particle" : "", "parse-names" : false, "suffix" : "" }, { "dropping-particle" : "", "family" : "Cooper", "given" : "Barbara", "non-dropping-particle" : "", "parse-names" : false, "suffix" : "" }, { "dropping-particle" : "", "family" : "Fan", "given" : "Stanley L S", "non-dropping-particle" : "", "parse-names" : false, "suffix" : "" }, { "dropping-particle" : "", "family" : "Farrington", "given" : "Ken", "non-dropping-particle" : "", "parse-names" : false, "suffix" : "" }, { "dropping-particle" : "", "family" : "Gallagher", "given" : "Hugh", "non-dropping-particle" : "", "parse-names" : false, "suffix" : "" }, { "dropping-particle" : "", "family" : "Harnett", "given" : "Patrick", "non-dropping-particle" : "", "parse-names" : false, "suffix" : "" }, { "dropping-particle" : "", "family" : "Krausze", "given" : "Sally", "non-dropping-particle" : "", "parse-names" : false, "suffix" : "" }, { "dropping-particle" : "", "family" : "Steddon", "given" : "Simon", "non-dropping-particle" : "", "parse-names" : false, "suffix" : "" } ], "container-title" : "Nephrology Dialysis Transplantation", "id" : "ITEM-2", "issue" : "10", "issued" : { "date-parts" : [ [ "2009" ] ] }, "page" : "3209-3215", "title" : "The Pan-Thames EPS study: Treatment and outcomes of encapsulating peritoneal sclerosis", "type" : "article-journal", "volume" : "24" }, "uris" : [ "http://www.mendeley.com/documents/?uuid=8e489702-b920-4da7-a031-86374d2afe6c" ] }, { "id" : "ITEM-3", "itemData" : { "DOI" : "10.3747/pdi.2016.00109.Significant", "author" : [ { "dropping-particle" : "", "family" : "Betjes", "given" : "MG", "non-dropping-particle" : "", "parse-names" : false, "suffix" : "" }, { "dropping-particle" : "", "family" : "Habib", "given" : "SM", "non-dropping-particle" : "", "parse-names" : false, "suffix" : "" }, { "dropping-particle" : "", "family" : "Boeschoten", "given" : "EW", "non-dropping-particle" : "", "parse-names" : false, "suffix" : "" }, { "dropping-particle" : "", "family" : "Hemke", "given" : "AC", "non-dropping-particle" : "", "parse-names" : false, "suffix" : "" }, { "dropping-particle" : "", "family" : "Struijk", "given" : "DG", "non-dropping-particle" : "", "parse-names" : false, "suffix" : "" }, { "dropping-particle" : "", "family" : "Westerhuis", "given" : "R", "non-dropping-particle" : "", "parse-names" : false, "suffix" : "" }, { "dropping-particle" : "", "family" : "Abrahamas", "given" : "AC", "non-dropping-particle" : "", "parse-names" : false, "suffix" : "" }, { "dropping-particle" : "", "family" : "Korte", "given" : "MR", "non-dropping-particle" : "", "parse-names" : false, "suffix" : "" } ], "container-title" : "Peritoneal Dialysis International", "id" : "ITEM-3", "issue" : "2", "issued" : { "date-parts" : [ [ "2017" ] ] }, "page" : "230-234", "title" : "Significant Decreasing Incidence of Encapsulating Peritoneal Sclerosis in the Dutch Population of Peritoneal Dialysis Patients .", "type" : "article-journal", "volume" : "37" }, "uris" : [ "http://www.mendeley.com/documents/?uuid=d4b1344e-9a8a-4d22-8f04-062ea9f72523" ] } ], "mendeley" : { "formattedCitation" : "&lt;sup&gt;[17,50,55]&lt;/sup&gt;", "plainTextFormattedCitation" : "[17,50,55]", "previouslyFormattedCitation" : "&lt;sup&gt;[17,50,55]&lt;/sup&gt;" }, "properties" : { "noteIndex" : 0 }, "schema" : "https://github.com/citation-style-language/schema/raw/master/csl-citation.json" }</w:instrText>
      </w:r>
      <w:r w:rsidR="00AA2ED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[17,50,55]</w:t>
      </w:r>
      <w:r w:rsidR="00AA2EDC" w:rsidRPr="00F532B5">
        <w:rPr>
          <w:rFonts w:ascii="Book Antiqua" w:hAnsi="Book Antiqua"/>
          <w:color w:val="auto"/>
          <w:sz w:val="24"/>
          <w:szCs w:val="24"/>
        </w:rPr>
        <w:fldChar w:fldCharType="end"/>
      </w:r>
      <w:r w:rsidRPr="00F532B5">
        <w:rPr>
          <w:rFonts w:ascii="Book Antiqua" w:hAnsi="Book Antiqua"/>
          <w:color w:val="auto"/>
          <w:sz w:val="24"/>
          <w:szCs w:val="24"/>
        </w:rPr>
        <w:t xml:space="preserve"> though it is difficult to ascertain how much of this is relat</w:t>
      </w:r>
      <w:r w:rsidR="000A6220" w:rsidRPr="00F532B5">
        <w:rPr>
          <w:rFonts w:ascii="Book Antiqua" w:hAnsi="Book Antiqua"/>
          <w:color w:val="auto"/>
          <w:sz w:val="24"/>
          <w:szCs w:val="24"/>
        </w:rPr>
        <w:t>ed to EPS or the comorbidities that accompany end-stage renal disease.</w:t>
      </w:r>
      <w:r w:rsidR="007815EC" w:rsidRPr="00F532B5">
        <w:rPr>
          <w:rFonts w:ascii="Book Antiqua" w:hAnsi="Book Antiqua"/>
          <w:color w:val="auto"/>
          <w:sz w:val="24"/>
          <w:szCs w:val="24"/>
        </w:rPr>
        <w:t xml:space="preserve"> </w:t>
      </w:r>
    </w:p>
    <w:p w14:paraId="28368826" w14:textId="77777777" w:rsidR="0016371C" w:rsidRPr="00F532B5" w:rsidRDefault="0016371C" w:rsidP="00D92508">
      <w:pPr>
        <w:snapToGrid w:val="0"/>
        <w:spacing w:line="360" w:lineRule="auto"/>
        <w:jc w:val="both"/>
        <w:rPr>
          <w:rFonts w:ascii="Book Antiqua" w:hAnsi="Book Antiqua"/>
          <w:color w:val="auto"/>
          <w:sz w:val="24"/>
          <w:szCs w:val="24"/>
        </w:rPr>
      </w:pPr>
    </w:p>
    <w:p w14:paraId="4F11D479" w14:textId="77777777" w:rsidR="0016371C" w:rsidRPr="00747D18" w:rsidRDefault="00754926" w:rsidP="00D92508">
      <w:pPr>
        <w:snapToGrid w:val="0"/>
        <w:spacing w:line="360" w:lineRule="auto"/>
        <w:jc w:val="both"/>
        <w:rPr>
          <w:rFonts w:ascii="Book Antiqua" w:hAnsi="Book Antiqua"/>
          <w:b/>
          <w:caps/>
          <w:color w:val="auto"/>
          <w:sz w:val="24"/>
          <w:szCs w:val="24"/>
        </w:rPr>
      </w:pPr>
      <w:r w:rsidRPr="00747D18">
        <w:rPr>
          <w:rFonts w:ascii="Book Antiqua" w:hAnsi="Book Antiqua"/>
          <w:b/>
          <w:caps/>
          <w:color w:val="auto"/>
          <w:sz w:val="24"/>
          <w:szCs w:val="24"/>
        </w:rPr>
        <w:t>Diagnosis</w:t>
      </w:r>
    </w:p>
    <w:p w14:paraId="7A110869" w14:textId="7ED22A1E" w:rsidR="0016371C" w:rsidRPr="00747D18" w:rsidRDefault="00754926" w:rsidP="00D92508">
      <w:pPr>
        <w:snapToGrid w:val="0"/>
        <w:spacing w:line="360" w:lineRule="auto"/>
        <w:jc w:val="both"/>
        <w:rPr>
          <w:rFonts w:ascii="Book Antiqua" w:hAnsi="Book Antiqua"/>
          <w:b/>
          <w:color w:val="auto"/>
          <w:sz w:val="24"/>
          <w:szCs w:val="24"/>
        </w:rPr>
      </w:pPr>
      <w:r w:rsidRPr="00747D18">
        <w:rPr>
          <w:rFonts w:ascii="Book Antiqua" w:hAnsi="Book Antiqua"/>
          <w:b/>
          <w:i/>
          <w:color w:val="auto"/>
          <w:sz w:val="24"/>
          <w:szCs w:val="24"/>
        </w:rPr>
        <w:t xml:space="preserve">Clinical </w:t>
      </w:r>
      <w:r w:rsidR="00747D18" w:rsidRPr="00747D18">
        <w:rPr>
          <w:rFonts w:ascii="Book Antiqua" w:hAnsi="Book Antiqua"/>
          <w:b/>
          <w:i/>
          <w:color w:val="auto"/>
          <w:sz w:val="24"/>
          <w:szCs w:val="24"/>
        </w:rPr>
        <w:t>p</w:t>
      </w:r>
      <w:r w:rsidRPr="00747D18">
        <w:rPr>
          <w:rFonts w:ascii="Book Antiqua" w:hAnsi="Book Antiqua"/>
          <w:b/>
          <w:i/>
          <w:color w:val="auto"/>
          <w:sz w:val="24"/>
          <w:szCs w:val="24"/>
        </w:rPr>
        <w:t>resentation</w:t>
      </w:r>
    </w:p>
    <w:p w14:paraId="7A7C97E8" w14:textId="7D4DACAC" w:rsidR="00BD2BDD" w:rsidRPr="00F532B5" w:rsidRDefault="00754926" w:rsidP="00747D18">
      <w:pPr>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 xml:space="preserve">The diagnosis of EPS is </w:t>
      </w:r>
      <w:r w:rsidR="00B77C9A" w:rsidRPr="00F532B5">
        <w:rPr>
          <w:rFonts w:ascii="Book Antiqua" w:hAnsi="Book Antiqua"/>
          <w:color w:val="auto"/>
          <w:sz w:val="24"/>
          <w:szCs w:val="24"/>
        </w:rPr>
        <w:t>clinical</w:t>
      </w:r>
      <w:r w:rsidRPr="00F532B5">
        <w:rPr>
          <w:rFonts w:ascii="Book Antiqua" w:hAnsi="Book Antiqua"/>
          <w:color w:val="auto"/>
          <w:sz w:val="24"/>
          <w:szCs w:val="24"/>
        </w:rPr>
        <w:t xml:space="preserve">, based on a constellation of clinical findings, </w:t>
      </w:r>
      <w:r w:rsidR="00B77C9A" w:rsidRPr="00F532B5">
        <w:rPr>
          <w:rFonts w:ascii="Book Antiqua" w:hAnsi="Book Antiqua"/>
          <w:color w:val="auto"/>
          <w:sz w:val="24"/>
          <w:szCs w:val="24"/>
        </w:rPr>
        <w:t>and confirmed radiographically or by laparotomy</w:t>
      </w:r>
      <w:r w:rsidR="00AA2ED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"ISBN" : "0896-8608", "PMID" : "2005509070", "abstract" : "Encapsulating peritoneal sclerosis (EPS) is recognized as a serious complication of continuous peritoneal dialysis. A preliminary diagnosis of EPS is usually based on clinical signs and symptoms, which commonly include abdominal pain, nausea, vomiting, anorexia, abdominal fullness, an abdominal mass, bowel obstruction, and radiologic findings, including abdominal roentgenogram, contrast studies, ultrasound studies, and computed tomography. The diagnosis is confirmed by laparoscopy or laparotomy showing the characteristic gross thickening of the peritoneum enclosing some or all of the small intestine in a cocoon of opaque tissue. A variety of therapeutic approaches to EPS have been reported. This review discusses medical treatment of EPS and includes an overview of the clinical features and diagnostic aspects of the condition. Copyright 2005 International Society for Peritoneal Dialysis.", "author" : [ { "dropping-particle" : "", "family" : "Nakamoto", "given" : "H", "non-dropping-particle" : "", "parse-names" : false, "suffix" : "" } ], "container-title" : "Peritoneal Dialysis International", "id" : "ITEM-1", "issue" : "SUPPL. 4", "issued" : { "date-parts" : [ [ "2005" ] ] }, "page" : "S30-S38", "title" : "Encapsulating peritoneal sclerosis - A clinician's approach to diagnosis and medical treatment", "type" : "article-journal", "volume" : "25" }, "uris" : [ "http://www.mendeley.com/documents/?uuid=18578c7e-af21-4dda-924a-2ca7b73dad78" ] }, { "id" : "ITEM-2", "itemData" : { "DOI" : "10.3389/fphys.2014.00470", "ISBN" : "1664-042X (Electronic)\\r1664-042X (Linking)", "ISSN" : "1664042X", "PMID" : "25601836", "abstract" : "Encapsulating peritoneal sclerosis (EPS) is a devastating but, fortunately, rare complication of long-term peritoneal dialysis. The disease is associated with extensive thickening and fibrosis of the peritoneum resulting in the formation of a fibrous cocoon encapsulating the bowel leading to intestinal obstruction. The incidence of EPS ranges between 0.7 and 3.3% and increases with duration of peritoneal dialysis therapy. Dialysis fluid is hyperosmotic, hyperglycemic, and acidic causing chronic injury and inflammation in the peritoneum with loss of mesothelium and extensive tissue fibrosis. The pathogenesis of EPS, however, still remains uncertain, although a widely accepted hypothesis is the \"two-hit theory,\" where, the first hit is chronic peritoneal membrane injury from long standing peritoneal dialysis followed by a second hit such as an episode of peritonitis, genetic predisposition and/or acute cessation of peritoneal dialysis, leading to EPS. Recently, EPS has been reported in patients shortly after transplantation suggesting that this procedure may also act as a possible second insult. The process of epithelial-mesenchymal transition of mesothelial cells is proposed to play a central role in the development of peritoneal sclerosis, a common characteristic of patients on dialysis, however, its importance in EPS is less clear. There is no established treatment for EPS although evidence from small case studies suggests that corticosteroids and tamoxifen may be beneficial. Nutritional support is essential and surgical intervention (peritonectomy and enterolysis) is recommended in later stages to relieve bowel obstruction.", "author" : [ { "dropping-particle" : "", "family" : "Moinuddin", "given" : "Zia", "non-dropping-particle" : "", "parse-names" : false, "suffix" : "" }, { "dropping-particle" : "", "family" : "Summers", "given" : "Angela", "non-dropping-particle" : "", "parse-names" : false, "suffix" : "" }, { "dropping-particle" : "", "family" : "Dellen", "given" : "David", "non-dropping-particle" : "van", "parse-names" : false, "suffix" : "" }, { "dropping-particle" : "", "family" : "Augustine", "given" : "Titus", "non-dropping-particle" : "", "parse-names" : false, "suffix" : "" }, { "dropping-particle" : "", "family" : "Herrick", "given" : "Sarah E.", "non-dropping-particle" : "", "parse-names" : false, "suffix" : "" } ], "container-title" : "Frontiers in Physiology", "id" : "ITEM-2", "issue" : "JAN", "issued" : { "date-parts" : [ [ "2015" ] ] }, "page" : "1-11", "title" : "Encapsulating peritoneal sclerosis-a rare but devastating peritoneal disease", "type" : "article-journal", "volume" : "6" }, "uris" : [ "http://www.mendeley.com/documents/?uuid=440478bc-5f0d-46b2-8962-351b66f768e1" ] }, { "id" : "ITEM-3", "itemData" : { "author" : [ { "dropping-particle" : "", "family" : "Brown", "given" : "Edwina A", "non-dropping-particle" : "", "parse-names" : false, "suffix" : "" }, { "dropping-particle" : "Van", "family" : "Biesen", "given" : "Wim", "non-dropping-particle" : "", "parse-names" : false, "suffix" : "" }, { "dropping-particle" : "", "family" : "Finkelstein", "given" : "Fredric O", "non-dropping-particle" : "", "parse-names" : false, "suffix" : "" }, { "dropping-particle" : "", "family" : "Hurst", "given" : "Helen", "non-dropping-particle" : "", "parse-names" : false, "suffix" : "" }, { "dropping-particle" : "", "family" : "Johnson", "given" : "David W", "non-dropping-particle" : "", "parse-names" : false, "suffix" : "" }, { "dropping-particle" : "", "family" : "Pecoits-filho", "given" : "Roberto", "non-dropping-particle" : "", "parse-names" : false, "suffix" : "" }, { "dropping-particle" : "", "family" : "Woodrow", "given" : "Graham", "non-dropping-particle" : "", "parse-names" : false, "suffix" : "" }, { "dropping-particle" : "", "family" : "Party", "given" : "Working", "non-dropping-particle" : "", "parse-names" : false, "suffix" : "" } ], "container-title" : "Peritoneal Dialysis International", "id" : "ITEM-3", "issued" : { "date-parts" : [ [ "2017" ] ] }, "page" : "362-374", "title" : "Length of Time on Peritoneal Dialysis and Encapsulating-Position Paper for ISPD: 2017 Update", "type" : "article-journal", "volume" : "37" }, "uris" : [ "http://www.mendeley.com/documents/?uuid=0c9e21da-a644-4f25-9d5b-ceecae8a5133" ] }, { "id" : "ITEM-4", "itemData" : { "DOI" : "10.3748/wjg.v21.i2.675", "ISBN" : "2219-2840 (Electronic)\\r1007-9327 (Linking)", "ISSN" : "22192840", "PMID" : "25593498", "abstract" : "AIM: To review the literature on idiopathic sclerosing encapsulating peritonitis (SEP), also known as abdominal cocoon syndrome.\\n\\nMETHODS: The PubMed, MEDLINE, Google Scholar, and Google databases were searched using specific key words to identify articles related to idiopathic SEP. These key words were \"sclerosing encapsulating peritonitis,\" \"idiopathic sclerosing encapsulating peritonitis,\" \"abdominal cocoon,\" and \"abdominal cocoon syndrome.\" The search included letters to the editor, case reports, review articles, original articles, and meeting presentations published in the English-language literature from January 2000 to May 2014. Articles or abstracts containing adequate information about age, sex, symptom duration, initial diagnosis, radiological tools, and surgical approaches were included in the study. Papers with missing or inadequate data were excluded.\\n\\nRESULTS: The literature search yielded 73 articles on idiopathic (primary) SEP published in 23 countries. The four countries that published the greatest number of articles were India (n = 21), Turkey (n = 14), China (n = 8) and Nigeria (n = 3). The four countries that reported the greatest number of cases were China (n = 104; 53.88%), India (n = 35; 18.13%), Turkey (n = 17; 8.80%) and Nigeria (n = 5; 2.59%). The present study included 193 patients. Data on age could be obtained for 184 patients (range: 7-87 years; mean \u00b1 SD, 34.7 \u00b1 19.2 years), but were unavailable for nine patients. Of the 184 patients, 122 were male and 62 were female; sex data could not be accessed in the remaining nine patients. Of the 149 patients whose preoperative diagnosis information could be obtained, 65 (43.6%) underwent operations for abdominal cocoon, while the majority of the remaining patients underwent operations for a presumed diagnosis of intestinal obstruction and/or abdominal mass. Management information could be retrieved for 115 patients. Of these, 68 underwent excision + adhesiolysis (one laparoscopic); 24 underwent prophylactic appendectomy in addition to excision + adhesiolysis. Twenty patients underwent various resection and repair techniques along with excision + adhesiolysis. The remaining three patients were managed with antituberculosis therapy (n = 2) and immunosuppressive therapy (n = 1).\\n\\nCONCLUSION: Idiopathic SEP is a rare disorder characterized by frequently recurring bouts of intestinal obstruction. Surgical therapy is the gold standard management strategy.", "author" : [ { "dropping-particle" : "", "family" : "Akbulut", "given" : "Sami", "non-dropping-particle" : "", "parse-names" : false, "suffix" : "" } ], "container-title" : "World Journal of Gastroenterology", "id" : "ITEM-4", "issue" : "2", "issued" : { "date-parts" : [ [ "2015" ] ] }, "page" : "675-687", "title" : "Accurate definition and management of idiopathic sclerosing encapsulating peritonitis", "type" : "article-journal", "volume" : "21" }, "uris" : [ "http://www.mendeley.com/documents/?uuid=37042046-5872-4504-89d0-b99e49748d6c" ] } ], "mendeley" : { "formattedCitation" : "&lt;sup&gt;[5,17,56,57]&lt;/sup&gt;", "plainTextFormattedCitation" : "[5,17,56,57]", "previouslyFormattedCitation" : "&lt;sup&gt;[5,17,56,57]&lt;/sup&gt;" }, "properties" : { "noteIndex" : 0 }, "schema" : "https://github.com/citation-style-language/schema/raw/master/csl-citation.json" }</w:instrText>
      </w:r>
      <w:r w:rsidR="00AA2ED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[5,17,56,57]</w:t>
      </w:r>
      <w:r w:rsidR="00AA2EDC" w:rsidRPr="00F532B5">
        <w:rPr>
          <w:rFonts w:ascii="Book Antiqua" w:hAnsi="Book Antiqua"/>
          <w:color w:val="auto"/>
          <w:sz w:val="24"/>
          <w:szCs w:val="24"/>
        </w:rPr>
        <w:fldChar w:fldCharType="end"/>
      </w:r>
      <w:r w:rsidR="00AA2EDC" w:rsidRPr="00F532B5">
        <w:rPr>
          <w:rFonts w:ascii="Book Antiqua" w:hAnsi="Book Antiqua"/>
          <w:color w:val="auto"/>
          <w:sz w:val="24"/>
          <w:szCs w:val="24"/>
        </w:rPr>
        <w:t>.</w:t>
      </w:r>
      <w:r w:rsidR="006D7818">
        <w:rPr>
          <w:rFonts w:ascii="Book Antiqua" w:hAnsi="Book Antiqua" w:hint="eastAsia"/>
          <w:color w:val="auto"/>
          <w:sz w:val="24"/>
          <w:szCs w:val="24"/>
          <w:lang w:eastAsia="zh-CN"/>
        </w:rPr>
        <w:t xml:space="preserve"> </w:t>
      </w:r>
      <w:r w:rsidR="00B77C9A" w:rsidRPr="00F532B5">
        <w:rPr>
          <w:rFonts w:ascii="Book Antiqua" w:hAnsi="Book Antiqua"/>
          <w:color w:val="auto"/>
          <w:sz w:val="24"/>
          <w:szCs w:val="24"/>
        </w:rPr>
        <w:t>No gold standard exists for diagnosis</w:t>
      </w:r>
      <w:r w:rsidR="001F3B75" w:rsidRPr="00F532B5">
        <w:rPr>
          <w:rFonts w:ascii="Book Antiqua" w:hAnsi="Book Antiqua"/>
          <w:color w:val="auto"/>
          <w:sz w:val="24"/>
          <w:szCs w:val="24"/>
        </w:rPr>
        <w:t>.</w:t>
      </w:r>
      <w:r w:rsidR="006D7818">
        <w:rPr>
          <w:rFonts w:ascii="Book Antiqua" w:hAnsi="Book Antiqua"/>
          <w:color w:val="auto"/>
          <w:sz w:val="24"/>
          <w:szCs w:val="24"/>
        </w:rPr>
        <w:t xml:space="preserve"> </w:t>
      </w:r>
      <w:r w:rsidR="001F3B75" w:rsidRPr="00F532B5">
        <w:rPr>
          <w:rFonts w:ascii="Book Antiqua" w:hAnsi="Book Antiqua"/>
          <w:color w:val="auto"/>
          <w:sz w:val="24"/>
          <w:szCs w:val="24"/>
        </w:rPr>
        <w:t>H</w:t>
      </w:r>
      <w:r w:rsidR="00B77C9A" w:rsidRPr="00F532B5">
        <w:rPr>
          <w:rFonts w:ascii="Book Antiqua" w:hAnsi="Book Antiqua"/>
          <w:color w:val="auto"/>
          <w:sz w:val="24"/>
          <w:szCs w:val="24"/>
        </w:rPr>
        <w:t>owever, a diagnostic a</w:t>
      </w:r>
      <w:r w:rsidR="00A67D79" w:rsidRPr="00F532B5">
        <w:rPr>
          <w:rFonts w:ascii="Book Antiqua" w:hAnsi="Book Antiqua"/>
          <w:color w:val="auto"/>
          <w:sz w:val="24"/>
          <w:szCs w:val="24"/>
        </w:rPr>
        <w:t xml:space="preserve">lgorithm is proposed in Figure </w:t>
      </w:r>
      <w:r w:rsidR="00EF6237" w:rsidRPr="00F532B5">
        <w:rPr>
          <w:rFonts w:ascii="Book Antiqua" w:hAnsi="Book Antiqua"/>
          <w:color w:val="auto"/>
          <w:sz w:val="24"/>
          <w:szCs w:val="24"/>
        </w:rPr>
        <w:t>2</w:t>
      </w:r>
      <w:r w:rsidR="00256756" w:rsidRPr="00F532B5">
        <w:rPr>
          <w:rFonts w:ascii="Book Antiqua" w:hAnsi="Book Antiqua"/>
          <w:color w:val="auto"/>
          <w:sz w:val="24"/>
          <w:szCs w:val="24"/>
        </w:rPr>
        <w:t>.</w:t>
      </w:r>
      <w:r w:rsidR="006D7818">
        <w:rPr>
          <w:rFonts w:ascii="Book Antiqua" w:hAnsi="Book Antiqua"/>
          <w:color w:val="auto"/>
          <w:sz w:val="24"/>
          <w:szCs w:val="24"/>
        </w:rPr>
        <w:t xml:space="preserve"> </w:t>
      </w:r>
      <w:r w:rsidR="00256756" w:rsidRPr="00F532B5">
        <w:rPr>
          <w:rFonts w:ascii="Book Antiqua" w:hAnsi="Book Antiqua"/>
          <w:color w:val="auto"/>
          <w:sz w:val="24"/>
          <w:szCs w:val="24"/>
        </w:rPr>
        <w:t>A</w:t>
      </w:r>
      <w:r w:rsidR="00FF1D59" w:rsidRPr="00F532B5">
        <w:rPr>
          <w:rFonts w:ascii="Book Antiqua" w:hAnsi="Book Antiqua"/>
          <w:color w:val="auto"/>
          <w:sz w:val="24"/>
          <w:szCs w:val="24"/>
        </w:rPr>
        <w:t xml:space="preserve"> </w:t>
      </w:r>
      <w:r w:rsidR="003161DC" w:rsidRPr="00F532B5">
        <w:rPr>
          <w:rFonts w:ascii="Book Antiqua" w:hAnsi="Book Antiqua"/>
          <w:color w:val="auto"/>
          <w:sz w:val="24"/>
          <w:szCs w:val="24"/>
        </w:rPr>
        <w:t>majority of</w:t>
      </w:r>
      <w:r w:rsidR="00F358BC" w:rsidRPr="00F532B5">
        <w:rPr>
          <w:rFonts w:ascii="Book Antiqua" w:hAnsi="Book Antiqua"/>
          <w:color w:val="auto"/>
          <w:sz w:val="24"/>
          <w:szCs w:val="24"/>
        </w:rPr>
        <w:t xml:space="preserve"> PD-associated EPS patients </w:t>
      </w:r>
      <w:r w:rsidR="003161DC" w:rsidRPr="00F532B5">
        <w:rPr>
          <w:rFonts w:ascii="Book Antiqua" w:hAnsi="Book Antiqua"/>
          <w:color w:val="auto"/>
          <w:sz w:val="24"/>
          <w:szCs w:val="24"/>
        </w:rPr>
        <w:t xml:space="preserve">present after </w:t>
      </w:r>
      <w:r w:rsidR="00F358BC" w:rsidRPr="00F532B5">
        <w:rPr>
          <w:rFonts w:ascii="Book Antiqua" w:hAnsi="Book Antiqua"/>
          <w:color w:val="auto"/>
          <w:sz w:val="24"/>
          <w:szCs w:val="24"/>
        </w:rPr>
        <w:t>withdrawal of</w:t>
      </w:r>
      <w:r w:rsidRPr="00F532B5">
        <w:rPr>
          <w:rFonts w:ascii="Book Antiqua" w:hAnsi="Book Antiqua"/>
          <w:color w:val="auto"/>
          <w:sz w:val="24"/>
          <w:szCs w:val="24"/>
        </w:rPr>
        <w:t xml:space="preserve"> PD, with onset of symptoms occurring up to 5 years </w:t>
      </w:r>
      <w:r w:rsidR="00B3702B" w:rsidRPr="00F532B5">
        <w:rPr>
          <w:rFonts w:ascii="Book Antiqua" w:hAnsi="Book Antiqua"/>
          <w:color w:val="auto"/>
          <w:sz w:val="24"/>
          <w:szCs w:val="24"/>
        </w:rPr>
        <w:t>later</w:t>
      </w:r>
      <w:r w:rsidR="00AA2ED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"author" : [ { "dropping-particle" : "", "family" : "Brown", "given" : "Edwina A", "non-dropping-particle" : "", "parse-names" : false, "suffix" : "" }, { "dropping-particle" : "Van", "family" : "Biesen", "given" : "Wim", "non-dropping-particle" : "", "parse-names" : false, "suffix" : "" }, { "dropping-particle" : "", "family" : "Finkelstein", "given" : "Fredric O", "non-dropping-particle" : "", "parse-names" : false, "suffix" : "" }, { "dropping-particle" : "", "family" : "Hurst", "given" : "Helen", "non-dropping-particle" : "", "parse-names" : false, "suffix" : "" }, { "dropping-particle" : "", "family" : "Johnson", "given" : "David W", "non-dropping-particle" : "", "parse-names" : false, "suffix" : "" }, { "dropping-particle" : "", "family" : "Pecoits-filho", "given" : "Roberto", "non-dropping-particle" : "", "parse-names" : false, "suffix" : "" }, { "dropping-particle" : "", "family" : "Woodrow", "given" : "Graham", "non-dropping-particle" : "", "parse-names" : false, "suffix" : "" }, { "dropping-particle" : "", "family" : "Party", "given" : "Working", "non-dropping-particle" : "", "parse-names" : false, "suffix" : "" } ], "container-title" : "Peritoneal Dialysis International", "id" : "ITEM-1", "issued" : { "date-parts" : [ [ "2017" ] ] }, "page" : "362-374", "title" : "Length of Time on Peritoneal Dialysis and Encapsulating-Position Paper for ISPD: 2017 Update", "type" : "article-journal", "volume" : "37" }, "uris" : [ "http://www.mendeley.com/documents/?uuid=0c9e21da-a644-4f25-9d5b-ceecae8a5133" ] } ], "mendeley" : { "formattedCitation" : "&lt;sup&gt;[17]&lt;/sup&gt;", "plainTextFormattedCitation" : "[17]", "previouslyFormattedCitation" : "&lt;sup&gt;[17]&lt;/sup&gt;" }, "properties" : { "noteIndex" : 0 }, "schema" : "https://github.com/citation-style-language/schema/raw/master/csl-citation.json" }</w:instrText>
      </w:r>
      <w:r w:rsidR="00AA2ED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[17]</w:t>
      </w:r>
      <w:r w:rsidR="00AA2EDC" w:rsidRPr="00F532B5">
        <w:rPr>
          <w:rFonts w:ascii="Book Antiqua" w:hAnsi="Book Antiqua"/>
          <w:color w:val="auto"/>
          <w:sz w:val="24"/>
          <w:szCs w:val="24"/>
        </w:rPr>
        <w:fldChar w:fldCharType="end"/>
      </w:r>
      <w:r w:rsidRPr="00F532B5">
        <w:rPr>
          <w:rFonts w:ascii="Book Antiqua" w:hAnsi="Book Antiqua"/>
          <w:color w:val="auto"/>
          <w:sz w:val="24"/>
          <w:szCs w:val="24"/>
        </w:rPr>
        <w:t>.</w:t>
      </w:r>
      <w:r w:rsidR="006D7818">
        <w:rPr>
          <w:rFonts w:ascii="Book Antiqua" w:hAnsi="Book Antiqua"/>
          <w:color w:val="auto"/>
          <w:sz w:val="24"/>
          <w:szCs w:val="24"/>
        </w:rPr>
        <w:t xml:space="preserve"> </w:t>
      </w:r>
      <w:r w:rsidR="00BD2BDD" w:rsidRPr="00F532B5">
        <w:rPr>
          <w:rFonts w:ascii="Book Antiqua" w:hAnsi="Book Antiqua"/>
          <w:color w:val="auto"/>
          <w:sz w:val="24"/>
          <w:szCs w:val="24"/>
        </w:rPr>
        <w:t>In the largest case series of idiopathic EPS, the average duration of symptoms was 3.9 years prior to presentation with the vast majority presenting malnourished (75%, mean BMI 17.5 kg/m</w:t>
      </w:r>
      <w:r w:rsidR="00BD2BDD" w:rsidRPr="00F532B5">
        <w:rPr>
          <w:rFonts w:ascii="Book Antiqua" w:hAnsi="Book Antiqua"/>
          <w:color w:val="auto"/>
          <w:sz w:val="24"/>
          <w:szCs w:val="24"/>
          <w:vertAlign w:val="superscript"/>
        </w:rPr>
        <w:t>2</w:t>
      </w:r>
      <w:r w:rsidR="00BD2BDD" w:rsidRPr="00F532B5">
        <w:rPr>
          <w:rFonts w:ascii="Book Antiqua" w:hAnsi="Book Antiqua"/>
          <w:color w:val="auto"/>
          <w:sz w:val="24"/>
          <w:szCs w:val="24"/>
        </w:rPr>
        <w:t>)</w:t>
      </w:r>
      <w:r w:rsidR="00BD2BDD"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"10.1007/s00268-014-2458-6", "ISBN" : "0364-2313", "ISSN" : "14322323", "PMID" : "24519587", "abstract" : "BACKGROUND: The abdominal cocoon (AC) is a condition in which a variable length of healthy small bowel is enveloped in a fibrocollagenous membrane, giving the appearance of a cocoon. Early experiences with treatment were associated with high mortality and morbidity rates and a low preoperative diagnostic rate, leading to underestimation of the treatment benefit of surgery. METHODS: We retrospectively reviewed the medical records of 65 patients who were diagnosed as having AC from 2001 to 2011. The clinical data, surgical intervention, and perioperative management were carefully reviewed. RESULTS: The 65 patients (57 male, 8 female) had a median age of 39 years (range 14-79 years). Patients who received preoperative nutritional support had higher rate of grade 0 complications (p = 0.012) and a lower rate of grade II complications (p = 0.012) than those without nutritional support. Intestinal stenting during surgical intervention also decreased both grade I (p = 0.012) and grade II (p = 0.007) complications. Patients who received preoperative nutritional support and underwent intestinal stenting had a lower rate of postoperative complications (p &lt; 0.05). In addition, patients with preoperative nutritional support were more satisfied postoperatively (p = 0.018) than those without nutritional support. This was also observed in patients with intestinal stenting versus those without it (p = 0.027). CONCLUSIONS: Our single-center study with a large number of patients provided evidence regarding the epidemiology of AC. Preoperative nutritional support and intestinal stenting significantly reduced postoperative complications and, more importantly, increased postoperative satisfaction.", "author" : [ { "dropping-particle" : "", "family" : "Li", "given" : "Ning", "non-dropping-particle" : "", "parse-names" : false, "suffix" : "" }, { "dropping-particle" : "", "family" : "Zhu", "given" : "Weiming", "non-dropping-particle" : "", "parse-names" : false, "suffix" : "" }, { "dropping-particle" : "", "family" : "Li", "given" : "Yi", "non-dropping-particle" : "", "parse-names" : false, "suffix" : "" }, { "dropping-particle" : "", "family" : "Gong", "given" : "Jianfeng", "non-dropping-particle" : "", "parse-names" : false, "suffix" : "" }, { "dropping-particle" : "", "family" : "Gu", "given" : "Lili", "non-dropping-particle" : "", "parse-names" : false, "suffix" : "" }, { "dropping-particle" : "", "family" : "Li", "given" : "Min", "non-dropping-particle" : "", "parse-names" : false, "suffix" : "" }, { "dropping-particle" : "", "family" : "Cao", "given" : "Lei", "non-dropping-particle" : "", "parse-names" : false, "suffix" : "" }, { "dropping-particle" : "", "family" : "Li", "given" : "Jieshou", "non-dropping-particle" : "", "parse-names" : false, "suffix" : "" } ], "container-title" : "World Journal of Surgery", "id" : "ITEM-1", "issue" : "7", "issued" : { "date-parts" : [ [ "2014" ] ] }, "page" : "1860-1867", "title" : "Surgical treatment and perioperative management of idiopathic abdominal cocoon: Single-center review of 65 cases", "type" : "article-journal", "volume" : "38" }, "uris" : [ "http://www.mendeley.com/documents/?uuid=5b540d2a-077d-4454-9670-8688d5c9fd40" ] } ], "mendeley" : { "formattedCitation" : "&lt;sup&gt;[4]&lt;/sup&gt;", "plainTextFormattedCitation" : "[4]", "previouslyFormattedCitation" : "&lt;sup&gt;[4]&lt;/sup&gt;" }, "properties" : { "noteIndex" : 0 }, "schema" : "https://github.com/citation-style-language/schema/raw/master/csl-citation.json" }</w:instrText>
      </w:r>
      <w:r w:rsidR="00BD2BDD"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[4]</w:t>
      </w:r>
      <w:r w:rsidR="00BD2BDD" w:rsidRPr="00F532B5">
        <w:rPr>
          <w:rFonts w:ascii="Book Antiqua" w:hAnsi="Book Antiqua"/>
          <w:color w:val="auto"/>
          <w:sz w:val="24"/>
          <w:szCs w:val="24"/>
        </w:rPr>
        <w:fldChar w:fldCharType="end"/>
      </w:r>
      <w:r w:rsidR="00BD2BDD" w:rsidRPr="00F532B5">
        <w:rPr>
          <w:rFonts w:ascii="Book Antiqua" w:hAnsi="Book Antiqua"/>
          <w:color w:val="auto"/>
          <w:sz w:val="24"/>
          <w:szCs w:val="24"/>
        </w:rPr>
        <w:t>.</w:t>
      </w:r>
      <w:r w:rsidR="006D7818">
        <w:rPr>
          <w:rFonts w:ascii="Book Antiqua" w:hAnsi="Book Antiqua"/>
          <w:color w:val="auto"/>
          <w:sz w:val="24"/>
          <w:szCs w:val="24"/>
        </w:rPr>
        <w:t xml:space="preserve"> </w:t>
      </w:r>
      <w:r w:rsidR="00BD2BDD" w:rsidRPr="00F532B5">
        <w:rPr>
          <w:rFonts w:ascii="Book Antiqua" w:hAnsi="Book Antiqua"/>
          <w:color w:val="auto"/>
          <w:sz w:val="24"/>
          <w:szCs w:val="24"/>
        </w:rPr>
        <w:t>The most common presenting symptoms were abdominal pain (86%), abdominal distension (82%), and nausea and vomiting (54%).</w:t>
      </w:r>
      <w:r w:rsidR="006D7818">
        <w:rPr>
          <w:rFonts w:ascii="Book Antiqua" w:hAnsi="Book Antiqua"/>
          <w:color w:val="auto"/>
          <w:sz w:val="24"/>
          <w:szCs w:val="24"/>
        </w:rPr>
        <w:t xml:space="preserve"> </w:t>
      </w:r>
      <w:r w:rsidR="00BD2BDD" w:rsidRPr="00F532B5">
        <w:rPr>
          <w:rFonts w:ascii="Book Antiqua" w:hAnsi="Book Antiqua"/>
          <w:color w:val="auto"/>
          <w:sz w:val="24"/>
          <w:szCs w:val="24"/>
        </w:rPr>
        <w:t>Twenty-nine percent of patients underwent “emergency surgery” on presentation implying that, despite the chronic, insidious nature of the disease, a significant percentage present with more acute obstruction, ischemia, or perforation</w:t>
      </w:r>
      <w:r w:rsidR="00BD2BDD"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"10.1007/s00268-014-2458-6", "ISBN" : "0364-2313", "ISSN" : "14322323", "PMID" : "24519587", "abstract" : "BACKGROUND: The abdominal cocoon (AC) is a condition in which a variable length of healthy small bowel is enveloped in a fibrocollagenous membrane, giving the appearance of a cocoon. Early experiences with treatment were associated with high mortality and morbidity rates and a low preoperative diagnostic rate, leading to underestimation of the treatment benefit of surgery. METHODS: We retrospectively reviewed the medical records of 65 patients who were diagnosed as having AC from 2001 to 2011. The clinical data, surgical intervention, and perioperative management were carefully reviewed. RESULTS: The 65 patients (57 male, 8 female) had a median age of 39 years (range 14-79 years). Patients who received preoperative nutritional support had higher rate of grade 0 complications (p = 0.012) and a lower rate of grade II complications (p = 0.012) than those without nutritional support. Intestinal stenting during surgical intervention also decreased both grade I (p = 0.012) and grade II (p = 0.007) complications. Patients who received preoperative nutritional support and underwent intestinal stenting had a lower rate of postoperative complications (p &lt; 0.05). In addition, patients with preoperative nutritional support were more satisfied postoperatively (p = 0.018) than those without nutritional support. This was also observed in patients with intestinal stenting versus those without it (p = 0.027). CONCLUSIONS: Our single-center study with a large number of patients provided evidence regarding the epidemiology of AC. Preoperative nutritional support and intestinal stenting significantly reduced postoperative complications and, more importantly, increased postoperative satisfaction.", "author" : [ { "dropping-particle" : "", "family" : "Li", "given" : "Ning", "non-dropping-particle" : "", "parse-names" : false, "suffix" : "" }, { "dropping-particle" : "", "family" : "Zhu", "given" : "Weiming", "non-dropping-particle" : "", "parse-names" : false, "suffix" : "" }, { "dropping-particle" : "", "family" : "Li", "given" : "Yi", "non-dropping-particle" : "", "parse-names" : false, "suffix" : "" }, { "dropping-particle" : "", "family" : "Gong", "given" : "Jianfeng", "non-dropping-particle" : "", "parse-names" : false, "suffix" : "" }, { "dropping-particle" : "", "family" : "Gu", "given" : "Lili", "non-dropping-particle" : "", "parse-names" : false, "suffix" : "" }, { "dropping-particle" : "", "family" : "Li", "given" : "Min", "non-dropping-particle" : "", "parse-names" : false, "suffix" : "" }, { "dropping-particle" : "", "family" : "Cao", "given" : "Lei", "non-dropping-particle" : "", "parse-names" : false, "suffix" : "" }, { "dropping-particle" : "", "family" : "Li", "given" : "Jieshou", "non-dropping-particle" : "", "parse-names" : false, "suffix" : "" } ], "container-title" : "World Journal of Surgery", "id" : "ITEM-1", "issue" : "7", "issued" : { "date-parts" : [ [ "2014" ] ] }, "page" : "1860-1867", "title" : "Surgical treatment and perioperative management of idiopathic abdominal cocoon: Single-center review of 65 cases", "type" : "article-journal", "volume" : "38" }, "uris" : [ "http://www.mendeley.com/documents/?uuid=5b540d2a-077d-4454-9670-8688d5c9fd40" ] } ], "mendeley" : { "formattedCitation" : "&lt;sup&gt;[4]&lt;/sup&gt;", "plainTextFormattedCitation" : "[4]", "previouslyFormattedCitation" : "&lt;sup&gt;[4]&lt;/sup&gt;" }, "properties" : { "noteIndex" : 0 }, "schema" : "https://github.com/citation-style-language/schema/raw/master/csl-citation.json" }</w:instrText>
      </w:r>
      <w:r w:rsidR="00BD2BDD"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[4]</w:t>
      </w:r>
      <w:r w:rsidR="00BD2BDD" w:rsidRPr="00F532B5">
        <w:rPr>
          <w:rFonts w:ascii="Book Antiqua" w:hAnsi="Book Antiqua"/>
          <w:color w:val="auto"/>
          <w:sz w:val="24"/>
          <w:szCs w:val="24"/>
        </w:rPr>
        <w:fldChar w:fldCharType="end"/>
      </w:r>
      <w:r w:rsidR="00BD2BDD" w:rsidRPr="00F532B5">
        <w:rPr>
          <w:rFonts w:ascii="Book Antiqua" w:hAnsi="Book Antiqua"/>
          <w:color w:val="auto"/>
          <w:sz w:val="24"/>
          <w:szCs w:val="24"/>
        </w:rPr>
        <w:t>.</w:t>
      </w:r>
      <w:r w:rsidR="006D7818">
        <w:rPr>
          <w:rFonts w:ascii="Book Antiqua" w:hAnsi="Book Antiqua"/>
          <w:color w:val="auto"/>
          <w:sz w:val="24"/>
          <w:szCs w:val="24"/>
        </w:rPr>
        <w:t xml:space="preserve"> </w:t>
      </w:r>
    </w:p>
    <w:p w14:paraId="18DC918D" w14:textId="77777777" w:rsidR="0016371C" w:rsidRPr="00F532B5" w:rsidRDefault="0016371C" w:rsidP="00D92508">
      <w:pPr>
        <w:snapToGrid w:val="0"/>
        <w:spacing w:line="360" w:lineRule="auto"/>
        <w:jc w:val="both"/>
        <w:rPr>
          <w:rFonts w:ascii="Book Antiqua" w:hAnsi="Book Antiqua"/>
          <w:color w:val="auto"/>
          <w:sz w:val="24"/>
          <w:szCs w:val="24"/>
        </w:rPr>
      </w:pPr>
    </w:p>
    <w:p w14:paraId="60C881D9" w14:textId="77777777" w:rsidR="0016371C" w:rsidRPr="006D7818" w:rsidRDefault="00754926" w:rsidP="00D92508">
      <w:pPr>
        <w:snapToGrid w:val="0"/>
        <w:spacing w:line="360" w:lineRule="auto"/>
        <w:jc w:val="both"/>
        <w:rPr>
          <w:rFonts w:ascii="Book Antiqua" w:hAnsi="Book Antiqua"/>
          <w:b/>
          <w:color w:val="auto"/>
          <w:sz w:val="24"/>
          <w:szCs w:val="24"/>
        </w:rPr>
      </w:pPr>
      <w:r w:rsidRPr="006D7818">
        <w:rPr>
          <w:rFonts w:ascii="Book Antiqua" w:hAnsi="Book Antiqua"/>
          <w:b/>
          <w:i/>
          <w:color w:val="auto"/>
          <w:sz w:val="24"/>
          <w:szCs w:val="24"/>
        </w:rPr>
        <w:t xml:space="preserve">Imaging </w:t>
      </w:r>
    </w:p>
    <w:p w14:paraId="072A4172" w14:textId="48EC5C6C" w:rsidR="00980BB4" w:rsidRPr="00F532B5" w:rsidRDefault="00B3702B" w:rsidP="006D7818">
      <w:pPr>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I</w:t>
      </w:r>
      <w:r w:rsidR="00980BB4" w:rsidRPr="00F532B5">
        <w:rPr>
          <w:rFonts w:ascii="Book Antiqua" w:hAnsi="Book Antiqua"/>
          <w:color w:val="auto"/>
          <w:sz w:val="24"/>
          <w:szCs w:val="24"/>
        </w:rPr>
        <w:t>maging is often helpful in differentiating EPS from other causes of intestinal obstruction.</w:t>
      </w:r>
      <w:r w:rsidR="006D7818">
        <w:rPr>
          <w:rFonts w:ascii="Book Antiqua" w:hAnsi="Book Antiqua"/>
          <w:color w:val="auto"/>
          <w:sz w:val="24"/>
          <w:szCs w:val="24"/>
        </w:rPr>
        <w:t xml:space="preserve"> </w:t>
      </w:r>
      <w:r w:rsidR="00980BB4" w:rsidRPr="00F532B5">
        <w:rPr>
          <w:rFonts w:ascii="Book Antiqua" w:hAnsi="Book Antiqua"/>
          <w:color w:val="auto"/>
          <w:sz w:val="24"/>
          <w:szCs w:val="24"/>
        </w:rPr>
        <w:t xml:space="preserve">Abdominal plain films </w:t>
      </w:r>
      <w:r w:rsidR="00D02FDF" w:rsidRPr="00F532B5">
        <w:rPr>
          <w:rFonts w:ascii="Book Antiqua" w:hAnsi="Book Antiqua"/>
          <w:color w:val="auto"/>
          <w:sz w:val="24"/>
          <w:szCs w:val="24"/>
        </w:rPr>
        <w:t xml:space="preserve">showing peritoneal calcification as well as </w:t>
      </w:r>
      <w:r w:rsidR="00980BB4" w:rsidRPr="00F532B5">
        <w:rPr>
          <w:rFonts w:ascii="Book Antiqua" w:hAnsi="Book Antiqua"/>
          <w:color w:val="auto"/>
          <w:sz w:val="24"/>
          <w:szCs w:val="24"/>
        </w:rPr>
        <w:t>dilated loops of bowel with air-fluid levels</w:t>
      </w:r>
      <w:r w:rsidR="00FF1D59" w:rsidRPr="00F532B5">
        <w:rPr>
          <w:rFonts w:ascii="Book Antiqua" w:hAnsi="Book Antiqua"/>
          <w:color w:val="auto"/>
          <w:sz w:val="24"/>
          <w:szCs w:val="24"/>
        </w:rPr>
        <w:t xml:space="preserve"> </w:t>
      </w:r>
      <w:r w:rsidR="00D02FDF" w:rsidRPr="00F532B5">
        <w:rPr>
          <w:rFonts w:ascii="Book Antiqua" w:hAnsi="Book Antiqua"/>
          <w:color w:val="auto"/>
          <w:sz w:val="24"/>
          <w:szCs w:val="24"/>
        </w:rPr>
        <w:t>may suggest advanced</w:t>
      </w:r>
      <w:r w:rsidR="00980BB4" w:rsidRPr="00F532B5">
        <w:rPr>
          <w:rFonts w:ascii="Book Antiqua" w:hAnsi="Book Antiqua"/>
          <w:color w:val="auto"/>
          <w:sz w:val="24"/>
          <w:szCs w:val="24"/>
        </w:rPr>
        <w:t xml:space="preserve"> EPS</w:t>
      </w:r>
      <w:r w:rsidR="00980BB4"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"ISBN" : "0896-8608", "PMID" : "2005509070", "abstract" : "Encapsulating peritoneal sclerosis (EPS) is recognized as a serious complication of continuous peritoneal dialysis. A preliminary diagnosis of EPS is usually based on clinical signs and symptoms, which commonly include abdominal pain, nausea, vomiting, anorexia, abdominal fullness, an abdominal mass, bowel obstruction, and radiologic findings, including abdominal roentgenogram, contrast studies, ultrasound studies, and computed tomography. The diagnosis is confirmed by laparoscopy or laparotomy showing the characteristic gross thickening of the peritoneum enclosing some or all of the small intestine in a cocoon of opaque tissue. A variety of therapeutic approaches to EPS have been reported. This review discusses medical treatment of EPS and includes an overview of the clinical features and diagnostic aspects of the condition. Copyright 2005 International Society for Peritoneal Dialysis.", "author" : [ { "dropping-particle" : "", "family" : "Nakamoto", "given" : "H", "non-dropping-particle" : "", "parse-names" : false, "suffix" : "" } ], "container-title" : "Peritoneal Dialysis International", "id" : "ITEM-1", "issue" : "SUPPL. 4", "issued" : { "date-parts" : [ [ "2005" ] ] }, "page" : "S30-S38", "title" : "Encapsulating peritoneal sclerosis - A clinician's approach to diagnosis and medical treatment", "type" : "article-journal", "volume" : "25" }, "uris" : [ "http://www.mendeley.com/documents/?uuid=18578c7e-af21-4dda-924a-2ca7b73dad78" ] }, { "id" : "ITEM-2", "itemData" : { "DOI" : "10.2214/AJR.09.3175", "ISBN" : "1546-3141 (Electronic)\\r0361-803X (Linking)", "ISSN" : "1546-3141", "PMID" : "20566781", "abstract" : "OBJECTIVE: The purpose of this article is to present the spectrum of radiologic findings of encapsulating peritoneal sclerosis in patients undergoing continuous ambulatory peritoneal dialysis (CAPD). CONCLUSION: Although a rare diagnosis, encapsulating peritoneal sclerosis in patients undergoing CAPD has a high morbidity and mortality. Diagnosis is often delayed because clinical features are insidious and nonspecific. Radiologic imaging may be helpful in the early diagnosis of encapsulating peritoneal sclerosis and in facilitating timely intervention for CAPD patients with encapsulating peritoneal sclerosis.", "author" : [ { "dropping-particle" : "", "family" : "Ti", "given" : "Joanna P", "non-dropping-particle" : "", "parse-names" : false, "suffix" : "" }, { "dropping-particle" : "", "family" : "Al-Aradi", "given" : "Ali", "non-dropping-particle" : "", "parse-names" : false, "suffix" : "" }, { "dropping-particle" : "", "family" : "Conlon", "given" : "Peter J", "non-dropping-particle" : "", "parse-names" : false, "suffix" : "" }, { "dropping-particle" : "", "family" : "Lee", "given" : "Michael J", "non-dropping-particle" : "", "parse-names" : false, "suffix" : "" }, { "dropping-particle" : "", "family" : "Morrin", "given" : "Martina M", "non-dropping-particle" : "", "parse-names" : false, "suffix" : "" } ], "container-title" : "AJR. American journal of roentgenology", "id" : "ITEM-2", "issue" : "1", "issued" : { "date-parts" : [ [ "2010" ] ] }, "page" : "W50-W54", "title" : "Imaging features of encapsulating peritoneal sclerosis in continuous ambulatory peritoneal dialysis patients.", "type" : "article-journal", "volume" : "195" }, "uris" : [ "http://www.mendeley.com/documents/?uuid=305d1cfe-4900-4f42-95e8-6df93e8aa9a5" ] } ], "mendeley" : { "formattedCitation" : "&lt;sup&gt;[56,58]&lt;/sup&gt;", "plainTextFormattedCitation" : "[56,58]", "previouslyFormattedCitation" : "&lt;sup&gt;[56,58]&lt;/sup&gt;" }, "properties" : { "noteIndex" : 0 }, "schema" : "https://github.com/citation-style-language/schema/raw/master/csl-citation.json" }</w:instrText>
      </w:r>
      <w:r w:rsidR="00980BB4"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[56,58]</w:t>
      </w:r>
      <w:r w:rsidR="00980BB4" w:rsidRPr="00F532B5">
        <w:rPr>
          <w:rFonts w:ascii="Book Antiqua" w:hAnsi="Book Antiqua"/>
          <w:color w:val="auto"/>
          <w:sz w:val="24"/>
          <w:szCs w:val="24"/>
        </w:rPr>
        <w:fldChar w:fldCharType="end"/>
      </w:r>
      <w:r w:rsidR="00834471" w:rsidRPr="00F532B5">
        <w:rPr>
          <w:rFonts w:ascii="Book Antiqua" w:hAnsi="Book Antiqua"/>
          <w:color w:val="auto"/>
          <w:sz w:val="24"/>
          <w:szCs w:val="24"/>
        </w:rPr>
        <w:t>.</w:t>
      </w:r>
      <w:r w:rsidR="006D7818">
        <w:rPr>
          <w:rFonts w:ascii="Book Antiqua" w:hAnsi="Book Antiqua" w:hint="eastAsia"/>
          <w:color w:val="auto"/>
          <w:sz w:val="24"/>
          <w:szCs w:val="24"/>
          <w:lang w:eastAsia="zh-CN"/>
        </w:rPr>
        <w:t xml:space="preserve"> </w:t>
      </w:r>
      <w:r w:rsidR="00980BB4" w:rsidRPr="00F532B5">
        <w:rPr>
          <w:rFonts w:ascii="Book Antiqua" w:hAnsi="Book Antiqua"/>
          <w:color w:val="auto"/>
          <w:sz w:val="24"/>
          <w:szCs w:val="24"/>
        </w:rPr>
        <w:t xml:space="preserve">Small bowel follow-through may show delayed transit, distension proximal to small bowel adhesions, and have a “cauliflower” appearance from compression of tightly adherent </w:t>
      </w:r>
      <w:r w:rsidR="00980BB4" w:rsidRPr="00F532B5">
        <w:rPr>
          <w:rFonts w:ascii="Book Antiqua" w:hAnsi="Book Antiqua"/>
          <w:color w:val="auto"/>
          <w:sz w:val="24"/>
          <w:szCs w:val="24"/>
        </w:rPr>
        <w:lastRenderedPageBreak/>
        <w:t>loops of bowel by EPS</w:t>
      </w:r>
      <w:r w:rsidR="00980BB4"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"10.3748/wjg.v21.i2.675", "ISBN" : "2219-2840 (Electronic)\\r1007-9327 (Linking)", "ISSN" : "22192840", "PMID" : "25593498", "abstract" : "AIM: To review the literature on idiopathic sclerosing encapsulating peritonitis (SEP), also known as abdominal cocoon syndrome.\\n\\nMETHODS: The PubMed, MEDLINE, Google Scholar, and Google databases were searched using specific key words to identify articles related to idiopathic SEP. These key words were \"sclerosing encapsulating peritonitis,\" \"idiopathic sclerosing encapsulating peritonitis,\" \"abdominal cocoon,\" and \"abdominal cocoon syndrome.\" The search included letters to the editor, case reports, review articles, original articles, and meeting presentations published in the English-language literature from January 2000 to May 2014. Articles or abstracts containing adequate information about age, sex, symptom duration, initial diagnosis, radiological tools, and surgical approaches were included in the study. Papers with missing or inadequate data were excluded.\\n\\nRESULTS: The literature search yielded 73 articles on idiopathic (primary) SEP published in 23 countries. The four countries that published the greatest number of articles were India (n = 21), Turkey (n = 14), China (n = 8) and Nigeria (n = 3). The four countries that reported the greatest number of cases were China (n = 104; 53.88%), India (n = 35; 18.13%), Turkey (n = 17; 8.80%) and Nigeria (n = 5; 2.59%). The present study included 193 patients. Data on age could be obtained for 184 patients (range: 7-87 years; mean \u00b1 SD, 34.7 \u00b1 19.2 years), but were unavailable for nine patients. Of the 184 patients, 122 were male and 62 were female; sex data could not be accessed in the remaining nine patients. Of the 149 patients whose preoperative diagnosis information could be obtained, 65 (43.6%) underwent operations for abdominal cocoon, while the majority of the remaining patients underwent operations for a presumed diagnosis of intestinal obstruction and/or abdominal mass. Management information could be retrieved for 115 patients. Of these, 68 underwent excision + adhesiolysis (one laparoscopic); 24 underwent prophylactic appendectomy in addition to excision + adhesiolysis. Twenty patients underwent various resection and repair techniques along with excision + adhesiolysis. The remaining three patients were managed with antituberculosis therapy (n = 2) and immunosuppressive therapy (n = 1).\\n\\nCONCLUSION: Idiopathic SEP is a rare disorder characterized by frequently recurring bouts of intestinal obstruction. Surgical therapy is the gold standard management strategy.", "author" : [ { "dropping-particle" : "", "family" : "Akbulut", "given" : "Sami", "non-dropping-particle" : "", "parse-names" : false, "suffix" : "" } ], "container-title" : "World Journal of Gastroenterology", "id" : "ITEM-1", "issue" : "2", "issued" : { "date-parts" : [ [ "2015" ] ] }, "page" : "675-687", "title" : "Accurate definition and management of idiopathic sclerosing encapsulating peritonitis", "type" : "article-journal", "volume" : "21" }, "uris" : [ "http://www.mendeley.com/documents/?uuid=37042046-5872-4504-89d0-b99e49748d6c" ] } ], "mendeley" : { "formattedCitation" : "&lt;sup&gt;[5]&lt;/sup&gt;", "plainTextFormattedCitation" : "[5]", "previouslyFormattedCitation" : "&lt;sup&gt;[5]&lt;/sup&gt;" }, "properties" : { "noteIndex" : 0 }, "schema" : "https://github.com/citation-style-language/schema/raw/master/csl-citation.json" }</w:instrText>
      </w:r>
      <w:r w:rsidR="00980BB4"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[5]</w:t>
      </w:r>
      <w:r w:rsidR="00980BB4" w:rsidRPr="00F532B5">
        <w:rPr>
          <w:rFonts w:ascii="Book Antiqua" w:hAnsi="Book Antiqua"/>
          <w:color w:val="auto"/>
          <w:sz w:val="24"/>
          <w:szCs w:val="24"/>
        </w:rPr>
        <w:fldChar w:fldCharType="end"/>
      </w:r>
      <w:r w:rsidR="00980BB4" w:rsidRPr="00F532B5">
        <w:rPr>
          <w:rFonts w:ascii="Book Antiqua" w:hAnsi="Book Antiqua"/>
          <w:color w:val="auto"/>
          <w:sz w:val="24"/>
          <w:szCs w:val="24"/>
        </w:rPr>
        <w:t>.</w:t>
      </w:r>
      <w:r w:rsidR="006D7818">
        <w:rPr>
          <w:rFonts w:ascii="Book Antiqua" w:hAnsi="Book Antiqua"/>
          <w:color w:val="auto"/>
          <w:sz w:val="24"/>
          <w:szCs w:val="24"/>
        </w:rPr>
        <w:t xml:space="preserve"> </w:t>
      </w:r>
      <w:r w:rsidR="00980BB4" w:rsidRPr="00F532B5">
        <w:rPr>
          <w:rFonts w:ascii="Book Antiqua" w:hAnsi="Book Antiqua"/>
          <w:color w:val="auto"/>
          <w:sz w:val="24"/>
          <w:szCs w:val="24"/>
        </w:rPr>
        <w:t>On ultrasonography, dilated loops of bowel may be matted together and tethered posteriorly or encased by a dense fibrous membrane</w:t>
      </w:r>
      <w:r w:rsidR="00980BB4"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"10.3748/wjg.v21.i2.675", "ISBN" : "2219-2840 (Electronic)\\r1007-9327 (Linking)", "ISSN" : "22192840", "PMID" : "25593498", "abstract" : "AIM: To review the literature on idiopathic sclerosing encapsulating peritonitis (SEP), also known as abdominal cocoon syndrome.\\n\\nMETHODS: The PubMed, MEDLINE, Google Scholar, and Google databases were searched using specific key words to identify articles related to idiopathic SEP. These key words were \"sclerosing encapsulating peritonitis,\" \"idiopathic sclerosing encapsulating peritonitis,\" \"abdominal cocoon,\" and \"abdominal cocoon syndrome.\" The search included letters to the editor, case reports, review articles, original articles, and meeting presentations published in the English-language literature from January 2000 to May 2014. Articles or abstracts containing adequate information about age, sex, symptom duration, initial diagnosis, radiological tools, and surgical approaches were included in the study. Papers with missing or inadequate data were excluded.\\n\\nRESULTS: The literature search yielded 73 articles on idiopathic (primary) SEP published in 23 countries. The four countries that published the greatest number of articles were India (n = 21), Turkey (n = 14), China (n = 8) and Nigeria (n = 3). The four countries that reported the greatest number of cases were China (n = 104; 53.88%), India (n = 35; 18.13%), Turkey (n = 17; 8.80%) and Nigeria (n = 5; 2.59%). The present study included 193 patients. Data on age could be obtained for 184 patients (range: 7-87 years; mean \u00b1 SD, 34.7 \u00b1 19.2 years), but were unavailable for nine patients. Of the 184 patients, 122 were male and 62 were female; sex data could not be accessed in the remaining nine patients. Of the 149 patients whose preoperative diagnosis information could be obtained, 65 (43.6%) underwent operations for abdominal cocoon, while the majority of the remaining patients underwent operations for a presumed diagnosis of intestinal obstruction and/or abdominal mass. Management information could be retrieved for 115 patients. Of these, 68 underwent excision + adhesiolysis (one laparoscopic); 24 underwent prophylactic appendectomy in addition to excision + adhesiolysis. Twenty patients underwent various resection and repair techniques along with excision + adhesiolysis. The remaining three patients were managed with antituberculosis therapy (n = 2) and immunosuppressive therapy (n = 1).\\n\\nCONCLUSION: Idiopathic SEP is a rare disorder characterized by frequently recurring bouts of intestinal obstruction. Surgical therapy is the gold standard management strategy.", "author" : [ { "dropping-particle" : "", "family" : "Akbulut", "given" : "Sami", "non-dropping-particle" : "", "parse-names" : false, "suffix" : "" } ], "container-title" : "World Journal of Gastroenterology", "id" : "ITEM-1", "issue" : "2", "issued" : { "date-parts" : [ [ "2015" ] ] }, "page" : "675-687", "title" : "Accurate definition and management of idiopathic sclerosing encapsulating peritonitis", "type" : "article-journal", "volume" : "21" }, "uris" : [ "http://www.mendeley.com/documents/?uuid=37042046-5872-4504-89d0-b99e49748d6c" ] } ], "mendeley" : { "formattedCitation" : "&lt;sup&gt;[5]&lt;/sup&gt;", "plainTextFormattedCitation" : "[5]", "previouslyFormattedCitation" : "&lt;sup&gt;[5]&lt;/sup&gt;" }, "properties" : { "noteIndex" : 0 }, "schema" : "https://github.com/citation-style-language/schema/raw/master/csl-citation.json" }</w:instrText>
      </w:r>
      <w:r w:rsidR="00980BB4"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[5]</w:t>
      </w:r>
      <w:r w:rsidR="00980BB4" w:rsidRPr="00F532B5">
        <w:rPr>
          <w:rFonts w:ascii="Book Antiqua" w:hAnsi="Book Antiqua"/>
          <w:color w:val="auto"/>
          <w:sz w:val="24"/>
          <w:szCs w:val="24"/>
        </w:rPr>
        <w:fldChar w:fldCharType="end"/>
      </w:r>
      <w:r w:rsidR="00980BB4" w:rsidRPr="00F532B5">
        <w:rPr>
          <w:rFonts w:ascii="Book Antiqua" w:hAnsi="Book Antiqua"/>
          <w:color w:val="auto"/>
          <w:sz w:val="24"/>
          <w:szCs w:val="24"/>
        </w:rPr>
        <w:t>.</w:t>
      </w:r>
      <w:r w:rsidR="006D7818">
        <w:rPr>
          <w:rFonts w:ascii="Book Antiqua" w:hAnsi="Book Antiqua"/>
          <w:color w:val="auto"/>
          <w:sz w:val="24"/>
          <w:szCs w:val="24"/>
        </w:rPr>
        <w:t xml:space="preserve"> </w:t>
      </w:r>
      <w:r w:rsidR="00980BB4" w:rsidRPr="00F532B5">
        <w:rPr>
          <w:rFonts w:ascii="Book Antiqua" w:hAnsi="Book Antiqua"/>
          <w:color w:val="auto"/>
          <w:sz w:val="24"/>
          <w:szCs w:val="24"/>
        </w:rPr>
        <w:t>Intraperitoneal echogenic strands may cause the bowel wall to appear trilaminar</w:t>
      </w:r>
      <w:r w:rsidR="00980BB4"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"ISBN" : "0896-8608", "PMID" : "2005509070", "abstract" : "Encapsulating peritoneal sclerosis (EPS) is recognized as a serious complication of continuous peritoneal dialysis. A preliminary diagnosis of EPS is usually based on clinical signs and symptoms, which commonly include abdominal pain, nausea, vomiting, anorexia, abdominal fullness, an abdominal mass, bowel obstruction, and radiologic findings, including abdominal roentgenogram, contrast studies, ultrasound studies, and computed tomography. The diagnosis is confirmed by laparoscopy or laparotomy showing the characteristic gross thickening of the peritoneum enclosing some or all of the small intestine in a cocoon of opaque tissue. A variety of therapeutic approaches to EPS have been reported. This review discusses medical treatment of EPS and includes an overview of the clinical features and diagnostic aspects of the condition. Copyright 2005 International Society for Peritoneal Dialysis.", "author" : [ { "dropping-particle" : "", "family" : "Nakamoto", "given" : "H", "non-dropping-particle" : "", "parse-names" : false, "suffix" : "" } ], "container-title" : "Peritoneal Dialysis International", "id" : "ITEM-1", "issue" : "SUPPL. 4", "issued" : { "date-parts" : [ [ "2005" ] ] }, "page" : "S30-S38", "title" : "Encapsulating peritoneal sclerosis - A clinician's approach to diagnosis and medical treatment", "type" : "article-journal", "volume" : "25" }, "uris" : [ "http://www.mendeley.com/documents/?uuid=18578c7e-af21-4dda-924a-2ca7b73dad78" ] }, { "id" : "ITEM-2", "itemData" : { "DOI" : "10.2214/AJR.09.3175", "ISBN" : "1546-3141 (Electronic)\\r0361-803X (Linking)", "ISSN" : "1546-3141", "PMID" : "20566781", "abstract" : "OBJECTIVE: The purpose of this article is to present the spectrum of radiologic findings of encapsulating peritoneal sclerosis in patients undergoing continuous ambulatory peritoneal dialysis (CAPD). CONCLUSION: Although a rare diagnosis, encapsulating peritoneal sclerosis in patients undergoing CAPD has a high morbidity and mortality. Diagnosis is often delayed because clinical features are insidious and nonspecific. Radiologic imaging may be helpful in the early diagnosis of encapsulating peritoneal sclerosis and in facilitating timely intervention for CAPD patients with encapsulating peritoneal sclerosis.", "author" : [ { "dropping-particle" : "", "family" : "Ti", "given" : "Joanna P", "non-dropping-particle" : "", "parse-names" : false, "suffix" : "" }, { "dropping-particle" : "", "family" : "Al-Aradi", "given" : "Ali", "non-dropping-particle" : "", "parse-names" : false, "suffix" : "" }, { "dropping-particle" : "", "family" : "Conlon", "given" : "Peter J", "non-dropping-particle" : "", "parse-names" : false, "suffix" : "" }, { "dropping-particle" : "", "family" : "Lee", "given" : "Michael J", "non-dropping-particle" : "", "parse-names" : false, "suffix" : "" }, { "dropping-particle" : "", "family" : "Morrin", "given" : "Martina M", "non-dropping-particle" : "", "parse-names" : false, "suffix" : "" } ], "container-title" : "AJR. American journal of roentgenology", "id" : "ITEM-2", "issue" : "1", "issued" : { "date-parts" : [ [ "2010" ] ] }, "page" : "W50-W54", "title" : "Imaging features of encapsulating peritoneal sclerosis in continuous ambulatory peritoneal dialysis patients.", "type" : "article-journal", "volume" : "195" }, "uris" : [ "http://www.mendeley.com/documents/?uuid=305d1cfe-4900-4f42-95e8-6df93e8aa9a5" ] } ], "mendeley" : { "formattedCitation" : "&lt;sup&gt;[56,58]&lt;/sup&gt;", "plainTextFormattedCitation" : "[56,58]", "previouslyFormattedCitation" : "&lt;sup&gt;[56,58]&lt;/sup&gt;" }, "properties" : { "noteIndex" : 0 }, "schema" : "https://github.com/citation-style-language/schema/raw/master/csl-citation.json" }</w:instrText>
      </w:r>
      <w:r w:rsidR="00980BB4"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[56,58]</w:t>
      </w:r>
      <w:r w:rsidR="00980BB4" w:rsidRPr="00F532B5">
        <w:rPr>
          <w:rFonts w:ascii="Book Antiqua" w:hAnsi="Book Antiqua"/>
          <w:color w:val="auto"/>
          <w:sz w:val="24"/>
          <w:szCs w:val="24"/>
        </w:rPr>
        <w:fldChar w:fldCharType="end"/>
      </w:r>
      <w:r w:rsidR="00980BB4" w:rsidRPr="00F532B5">
        <w:rPr>
          <w:rFonts w:ascii="Book Antiqua" w:hAnsi="Book Antiqua"/>
          <w:color w:val="auto"/>
          <w:sz w:val="24"/>
          <w:szCs w:val="24"/>
        </w:rPr>
        <w:t>.</w:t>
      </w:r>
      <w:r w:rsidR="006D7818">
        <w:rPr>
          <w:rFonts w:ascii="Book Antiqua" w:hAnsi="Book Antiqua"/>
          <w:color w:val="auto"/>
          <w:sz w:val="24"/>
          <w:szCs w:val="24"/>
        </w:rPr>
        <w:t xml:space="preserve"> </w:t>
      </w:r>
    </w:p>
    <w:p w14:paraId="308D3C81" w14:textId="2C496ADB" w:rsidR="00980BB4" w:rsidRPr="00F532B5" w:rsidRDefault="00980BB4" w:rsidP="006D7818">
      <w:pPr>
        <w:snapToGrid w:val="0"/>
        <w:spacing w:line="360" w:lineRule="auto"/>
        <w:ind w:firstLineChars="100" w:firstLine="240"/>
        <w:jc w:val="both"/>
        <w:rPr>
          <w:rFonts w:ascii="Book Antiqua" w:hAnsi="Book Antiqua"/>
          <w:color w:val="auto"/>
          <w:sz w:val="24"/>
          <w:szCs w:val="24"/>
        </w:rPr>
      </w:pPr>
      <w:r w:rsidRPr="00F532B5">
        <w:rPr>
          <w:rFonts w:ascii="Book Antiqua" w:hAnsi="Book Antiqua"/>
          <w:color w:val="auto"/>
          <w:sz w:val="24"/>
          <w:szCs w:val="24"/>
        </w:rPr>
        <w:t xml:space="preserve">CT scan is currently the best studied and most </w:t>
      </w:r>
      <w:r w:rsidR="00FE12FA" w:rsidRPr="00F532B5">
        <w:rPr>
          <w:rFonts w:ascii="Book Antiqua" w:hAnsi="Book Antiqua"/>
          <w:color w:val="auto"/>
          <w:sz w:val="24"/>
          <w:szCs w:val="24"/>
        </w:rPr>
        <w:t>commonly used imaging technique</w:t>
      </w:r>
      <w:r w:rsidRPr="00F532B5">
        <w:rPr>
          <w:rFonts w:ascii="Book Antiqua" w:hAnsi="Book Antiqua"/>
          <w:color w:val="auto"/>
          <w:sz w:val="24"/>
          <w:szCs w:val="24"/>
        </w:rPr>
        <w:t xml:space="preserve"> in the diagnosis of EPS.</w:t>
      </w:r>
      <w:r w:rsidR="006D7818">
        <w:rPr>
          <w:rFonts w:ascii="Book Antiqua" w:hAnsi="Book Antiqua"/>
          <w:color w:val="auto"/>
          <w:sz w:val="24"/>
          <w:szCs w:val="24"/>
        </w:rPr>
        <w:t xml:space="preserve"> </w:t>
      </w:r>
      <w:r w:rsidRPr="00F532B5">
        <w:rPr>
          <w:rFonts w:ascii="Book Antiqua" w:hAnsi="Book Antiqua"/>
          <w:color w:val="auto"/>
          <w:sz w:val="24"/>
          <w:szCs w:val="24"/>
        </w:rPr>
        <w:t>Small-bowel loops are often tethered together in an enveloping, thickened peritoneum, typically accompanied with proximal bowel dilation</w:t>
      </w:r>
      <w:r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"10.2214/AJR.09.3175", "ISBN" : "1546-3141 (Electronic)\\r0361-803X (Linking)", "ISSN" : "1546-3141", "PMID" : "20566781", "abstract" : "OBJECTIVE: The purpose of this article is to present the spectrum of radiologic findings of encapsulating peritoneal sclerosis in patients undergoing continuous ambulatory peritoneal dialysis (CAPD). CONCLUSION: Although a rare diagnosis, encapsulating peritoneal sclerosis in patients undergoing CAPD has a high morbidity and mortality. Diagnosis is often delayed because clinical features are insidious and nonspecific. Radiologic imaging may be helpful in the early diagnosis of encapsulating peritoneal sclerosis and in facilitating timely intervention for CAPD patients with encapsulating peritoneal sclerosis.", "author" : [ { "dropping-particle" : "", "family" : "Ti", "given" : "Joanna P", "non-dropping-particle" : "", "parse-names" : false, "suffix" : "" }, { "dropping-particle" : "", "family" : "Al-Aradi", "given" : "Ali", "non-dropping-particle" : "", "parse-names" : false, "suffix" : "" }, { "dropping-particle" : "", "family" : "Conlon", "given" : "Peter J", "non-dropping-particle" : "", "parse-names" : false, "suffix" : "" }, { "dropping-particle" : "", "family" : "Lee", "given" : "Michael J", "non-dropping-particle" : "", "parse-names" : false, "suffix" : "" }, { "dropping-particle" : "", "family" : "Morrin", "given" : "Martina M", "non-dropping-particle" : "", "parse-names" : false, "suffix" : "" } ], "container-title" : "AJR. American journal of roentgenology", "id" : "ITEM-1", "issue" : "1", "issued" : { "date-parts" : [ [ "2010" ] ] }, "page" : "W50-W54", "title" : "Imaging features of encapsulating peritoneal sclerosis in continuous ambulatory peritoneal dialysis patients.", "type" : "article-journal", "volume" : "195" }, "uris" : [ "http://www.mendeley.com/documents/?uuid=305d1cfe-4900-4f42-95e8-6df93e8aa9a5" ] } ], "mendeley" : { "formattedCitation" : "&lt;sup&gt;[58]&lt;/sup&gt;", "plainTextFormattedCitation" : "[58]", "previouslyFormattedCitation" : "&lt;sup&gt;[58]&lt;/sup&gt;" }, "properties" : { "noteIndex" : 0 }, "schema" : "https://github.com/citation-style-language/schema/raw/master/csl-citation.json" }</w:instrText>
      </w:r>
      <w:r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[58]</w:t>
      </w:r>
      <w:r w:rsidRPr="00F532B5">
        <w:rPr>
          <w:rFonts w:ascii="Book Antiqua" w:hAnsi="Book Antiqua"/>
          <w:color w:val="auto"/>
          <w:sz w:val="24"/>
          <w:szCs w:val="24"/>
        </w:rPr>
        <w:fldChar w:fldCharType="end"/>
      </w:r>
      <w:r w:rsidR="00FE12FA"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Other radiographic features include loculated ascites, increased density of mesenteric fat, and localized or diffuse peritoneal calcification</w:t>
      </w:r>
      <w:r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"10.1111/nep.12718", "ISBN" : "1320-5358", "ISSN" : "14401797", "abstract" : "Aim: Encapsulating peritoneal sclerosis (EPS) is a rare but potentially devastating complication of long-term peritoneal dialysis (PD). Changes to the peritoneal membrane occur with duration of PD therapy. To determine the potential effect of prospective computerized tomography (CT) scanning, we reviewed the scans of patients who had developed EPS compared with those without EPS. Methods: We retrospectively compared CT scans that had been prospectively performed in a screening program for PD patients after 4 years of PD and compared scans from 18 patients with confirmed EPS and 26 vintage matched controls without EPS. Anonymized scans were reported independently by two blinded experienced radiologists. Results: Peritoneal thickening, calcification, bowel tethering, thickening and dilatation were significantly more commonly reported in the EPS group. Total combined radiological scores, also including septation within peritoneal fluid, were significantly higher in the EPS group and the greatest for those who died as a consequence of EPS. Simplified scoring based on presence or absence, then for a score of &gt;3.0, gave a receiver operating characteristic value of 0.87 for EPS, with a sensitivity of 78% and specificity of 85%, respectively. Inter-observer agreement varied from poor to good, being the greatest for calcification and bowel dilatation and the lowest for peritoneal thickening. Conclusion: CT scan reporting can differentiate EPS from peritoneal changes associated with duration of PD therapy. Severity of abnormalities was associated with clinical outcomes. However, inter-observer agreement varies with different radiological appearances, and future studies are required to determine weighting of radiological changes to provide prognostic information for clinicians and patients., Copyright \u00a9 2016 Asian Pacific Society of Nephrology", "author" : [ { "dropping-particle" : "", "family" : "Stuart", "given" : "Sam", "non-dropping-particle" : "", "parse-names" : false, "suffix" : "" }, { "dropping-particle" : "", "family" : "Stott", "given" : "David", "non-dropping-particle" : "", "parse-names" : false, "suffix" : "" }, { "dropping-particle" : "", "family" : "Goode", "given" : "Antony", "non-dropping-particle" : "", "parse-names" : false, "suffix" : "" }, { "dropping-particle" : "", "family" : "Cash", "given" : "Charlotte J.", "non-dropping-particle" : "", "parse-names" : false, "suffix" : "" }, { "dropping-particle" : "", "family" : "Davenport", "given" : "Andrew", "non-dropping-particle" : "", "parse-names" : false, "suffix" : "" } ], "container-title" : "Nephrology", "id" : "ITEM-1", "issue" : "1", "issued" : { "date-parts" : [ [ "2017" ] ] }, "page" : "19-24", "title" : "Can radiological assessment of abdominal computerized scans diagnose encapsulating peritoneal sclerosis in long-term peritoneal dialysis patients?", "type" : "article-journal", "volume" : "22" }, "uris" : [ "http://www.mendeley.com/documents/?uuid=c18e3358-6b6e-4c56-b7d7-43b95a6658d5" ] }, { "id" : "ITEM-2", "itemData" : { "ISBN" : "0896-8608", "PMID" : "2005509070", "abstract" : "Encapsulating peritoneal sclerosis (EPS) is recognized as a serious complication of continuous peritoneal dialysis. A preliminary diagnosis of EPS is usually based on clinical signs and symptoms, which commonly include abdominal pain, nausea, vomiting, anorexia, abdominal fullness, an abdominal mass, bowel obstruction, and radiologic findings, including abdominal roentgenogram, contrast studies, ultrasound studies, and computed tomography. The diagnosis is confirmed by laparoscopy or laparotomy showing the characteristic gross thickening of the peritoneum enclosing some or all of the small intestine in a cocoon of opaque tissue. A variety of therapeutic approaches to EPS have been reported. This review discusses medical treatment of EPS and includes an overview of the clinical features and diagnostic aspects of the condition. Copyright 2005 International Society for Peritoneal Dialysis.", "author" : [ { "dropping-particle" : "", "family" : "Nakamoto", "given" : "H", "non-dropping-particle" : "", "parse-names" : false, "suffix" : "" } ], "container-title" : "Peritoneal Dialysis International", "id" : "ITEM-2", "issue" : "SUPPL. 4", "issued" : { "date-parts" : [ [ "2005" ] ] }, "page" : "S30-S38", "title" : "Encapsulating peritoneal sclerosis - A clinician's approach to diagnosis and medical treatment", "type" : "article-journal", "volume" : "25" }, "uris" : [ "http://www.mendeley.com/documents/?uuid=18578c7e-af21-4dda-924a-2ca7b73dad78" ] } ], "mendeley" : { "formattedCitation" : "&lt;sup&gt;[56,59]&lt;/sup&gt;", "plainTextFormattedCitation" : "[56,59]", "previouslyFormattedCitation" : "&lt;sup&gt;[56,59]&lt;/sup&gt;" }, "properties" : { "noteIndex" : 0 }, "schema" : "https://github.com/citation-style-language/schema/raw/master/csl-citation.json" }</w:instrText>
      </w:r>
      <w:r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[56,59]</w:t>
      </w:r>
      <w:r w:rsidRPr="00F532B5">
        <w:rPr>
          <w:rFonts w:ascii="Book Antiqua" w:hAnsi="Book Antiqua"/>
          <w:color w:val="auto"/>
          <w:sz w:val="24"/>
          <w:szCs w:val="24"/>
        </w:rPr>
        <w:fldChar w:fldCharType="end"/>
      </w:r>
      <w:r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While the presence of complex loculations could be from intra-abdominal hemorrhage, it should raise suspicion for perforation or sepsis, especially if they contain gas</w:t>
      </w:r>
      <w:r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"10.1016/j.crad.2013.09.004", "ISBN" : "1365-229X (Electronic)\\r0009-9260 (Linking)", "ISSN" : "00099260", "PMID" : "24209872", "abstract" : "Encapsulating peritoneal sclerosis (EPS) is a rare entity most commonly associated with peritoneal dialysis (PD). Several imaging features at computed tomography (CT) are common to many diseases; however, appreciation of the features unique to this condition interpreted with the appropriate clinical findings is crucial to diagnosis. ?? 2013 The Royal College of Radiologists. Published by Elsevier Ltd. All rights reserved.", "author" : [ { "dropping-particle" : "", "family" : "Upponi", "given" : "S.", "non-dropping-particle" : "", "parse-names" : false, "suffix" : "" }, { "dropping-particle" : "", "family" : "Butler", "given" : "A. J.", "non-dropping-particle" : "", "parse-names" : false, "suffix" : "" }, { "dropping-particle" : "", "family" : "Watson", "given" : "C. J E", "non-dropping-particle" : "", "parse-names" : false, "suffix" : "" }, { "dropping-particle" : "", "family" : "Shaw", "given" : "A. S.", "non-dropping-particle" : "", "parse-names" : false, "suffix" : "" } ], "container-title" : "Clinical Radiology", "id" : "ITEM-1", "issue" : "1", "issued" : { "date-parts" : [ [ "2014" ] ] }, "page" : "103-109", "publisher" : "The Royal College of Radiologists", "title" : "Encapsulating peritoneal sclerosis - Correlation of radiological findings at CT with underlying pathogenesis", "type" : "article-journal", "volume" : "69" }, "uris" : [ "http://www.mendeley.com/documents/?uuid=07f41e6d-40a9-4d66-88e4-17bbd25b15ba" ] } ], "mendeley" : { "formattedCitation" : "&lt;sup&gt;[60]&lt;/sup&gt;", "plainTextFormattedCitation" : "[60]", "previouslyFormattedCitation" : "&lt;sup&gt;[60]&lt;/sup&gt;" }, "properties" : { "noteIndex" : 0 }, "schema" : "https://github.com/citation-style-language/schema/raw/master/csl-citation.json" }</w:instrText>
      </w:r>
      <w:r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[60]</w:t>
      </w:r>
      <w:r w:rsidRPr="00F532B5">
        <w:rPr>
          <w:rFonts w:ascii="Book Antiqua" w:hAnsi="Book Antiqua"/>
          <w:color w:val="auto"/>
          <w:sz w:val="24"/>
          <w:szCs w:val="24"/>
        </w:rPr>
        <w:fldChar w:fldCharType="end"/>
      </w:r>
      <w:r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Increased bowel wall enhancement or thickening indicates ongoing inflammation or transition to transmural fibrosis</w:t>
      </w:r>
      <w:r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"10.2214/AJR.09.3175", "ISBN" : "1546-3141 (Electronic)\\r0361-803X (Linking)", "ISSN" : "1546-3141", "PMID" : "20566781", "abstract" : "OBJECTIVE: The purpose of this article is to present the spectrum of radiologic findings of encapsulating peritoneal sclerosis in patients undergoing continuous ambulatory peritoneal dialysis (CAPD). CONCLUSION: Although a rare diagnosis, encapsulating peritoneal sclerosis in patients undergoing CAPD has a high morbidity and mortality. Diagnosis is often delayed because clinical features are insidious and nonspecific. Radiologic imaging may be helpful in the early diagnosis of encapsulating peritoneal sclerosis and in facilitating timely intervention for CAPD patients with encapsulating peritoneal sclerosis.", "author" : [ { "dropping-particle" : "", "family" : "Ti", "given" : "Joanna P", "non-dropping-particle" : "", "parse-names" : false, "suffix" : "" }, { "dropping-particle" : "", "family" : "Al-Aradi", "given" : "Ali", "non-dropping-particle" : "", "parse-names" : false, "suffix" : "" }, { "dropping-particle" : "", "family" : "Conlon", "given" : "Peter J", "non-dropping-particle" : "", "parse-names" : false, "suffix" : "" }, { "dropping-particle" : "", "family" : "Lee", "given" : "Michael J", "non-dropping-particle" : "", "parse-names" : false, "suffix" : "" }, { "dropping-particle" : "", "family" : "Morrin", "given" : "Martina M", "non-dropping-particle" : "", "parse-names" : false, "suffix" : "" } ], "container-title" : "AJR. American journal of roentgenology", "id" : "ITEM-1", "issue" : "1", "issued" : { "date-parts" : [ [ "2010" ] ] }, "page" : "W50-W54", "title" : "Imaging features of encapsulating peritoneal sclerosis in continuous ambulatory peritoneal dialysis patients.", "type" : "article-journal", "volume" : "195" }, "uris" : [ "http://www.mendeley.com/documents/?uuid=305d1cfe-4900-4f42-95e8-6df93e8aa9a5" ] }, { "id" : "ITEM-2", "itemData" : { "DOI" : "10.1016/j.crad.2013.09.004", "ISBN" : "1365-229X (Electronic)\\r0009-9260 (Linking)", "ISSN" : "00099260", "PMID" : "24209872", "abstract" : "Encapsulating peritoneal sclerosis (EPS) is a rare entity most commonly associated with peritoneal dialysis (PD). Several imaging features at computed tomography (CT) are common to many diseases; however, appreciation of the features unique to this condition interpreted with the appropriate clinical findings is crucial to diagnosis. ?? 2013 The Royal College of Radiologists. Published by Elsevier Ltd. All rights reserved.", "author" : [ { "dropping-particle" : "", "family" : "Upponi", "given" : "S.", "non-dropping-particle" : "", "parse-names" : false, "suffix" : "" }, { "dropping-particle" : "", "family" : "Butler", "given" : "A. J.", "non-dropping-particle" : "", "parse-names" : false, "suffix" : "" }, { "dropping-particle" : "", "family" : "Watson", "given" : "C. J E", "non-dropping-particle" : "", "parse-names" : false, "suffix" : "" }, { "dropping-particle" : "", "family" : "Shaw", "given" : "A. S.", "non-dropping-particle" : "", "parse-names" : false, "suffix" : "" } ], "container-title" : "Clinical Radiology", "id" : "ITEM-2", "issue" : "1", "issued" : { "date-parts" : [ [ "2014" ] ] }, "page" : "103-109", "publisher" : "The Royal College of Radiologists", "title" : "Encapsulating peritoneal sclerosis - Correlation of radiological findings at CT with underlying pathogenesis", "type" : "article-journal", "volume" : "69" }, "uris" : [ "http://www.mendeley.com/documents/?uuid=07f41e6d-40a9-4d66-88e4-17bbd25b15ba" ] } ], "mendeley" : { "formattedCitation" : "&lt;sup&gt;[58,60]&lt;/sup&gt;", "plainTextFormattedCitation" : "[58,60]", "previouslyFormattedCitation" : "&lt;sup&gt;[58,60]&lt;/sup&gt;" }, "properties" : { "noteIndex" : 0 }, "schema" : "https://github.com/citation-style-language/schema/raw/master/csl-citation.json" }</w:instrText>
      </w:r>
      <w:r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[58,60]</w:t>
      </w:r>
      <w:r w:rsidRPr="00F532B5">
        <w:rPr>
          <w:rFonts w:ascii="Book Antiqua" w:hAnsi="Book Antiqua"/>
          <w:color w:val="auto"/>
          <w:sz w:val="24"/>
          <w:szCs w:val="24"/>
        </w:rPr>
        <w:fldChar w:fldCharType="end"/>
      </w:r>
      <w:r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eastAsia="EB Garamond" w:hAnsi="Book Antiqua"/>
          <w:color w:val="auto"/>
          <w:sz w:val="24"/>
          <w:szCs w:val="24"/>
        </w:rPr>
        <w:t>Magnetic resonance imaging has been used less frequently for diagnosis but likely has similar yields.</w:t>
      </w:r>
      <w:r w:rsidR="006D7818">
        <w:rPr>
          <w:rFonts w:ascii="Book Antiqua" w:eastAsia="EB Garamond" w:hAnsi="Book Antiqua"/>
          <w:color w:val="auto"/>
          <w:sz w:val="24"/>
          <w:szCs w:val="24"/>
        </w:rPr>
        <w:t xml:space="preserve"> </w:t>
      </w:r>
      <w:r w:rsidRPr="00F532B5">
        <w:rPr>
          <w:rFonts w:ascii="Book Antiqua" w:eastAsia="EB Garamond" w:hAnsi="Book Antiqua"/>
          <w:color w:val="auto"/>
          <w:sz w:val="24"/>
          <w:szCs w:val="24"/>
        </w:rPr>
        <w:t>Advantages include avoidance of ionizing radiation and better delineation of bowel encasement and peritoneal thickening</w:t>
      </w:r>
      <w:r w:rsidRPr="00F532B5">
        <w:rPr>
          <w:rFonts w:ascii="Book Antiqua" w:eastAsia="EB Garamond" w:hAnsi="Book Antiqua"/>
          <w:color w:val="auto"/>
          <w:sz w:val="24"/>
          <w:szCs w:val="24"/>
        </w:rPr>
        <w:fldChar w:fldCharType="begin" w:fldLock="1"/>
      </w:r>
      <w:r w:rsidR="00BD54D6" w:rsidRPr="00F532B5">
        <w:rPr>
          <w:rFonts w:ascii="Book Antiqua" w:eastAsia="EB Garamond" w:hAnsi="Book Antiqua"/>
          <w:color w:val="auto"/>
          <w:sz w:val="24"/>
          <w:szCs w:val="24"/>
        </w:rPr>
        <w:instrText>ADDIN CSL_CITATION { "citationItems" : [ { "id" : "ITEM-1", "itemData" : { "DOI" : "10.1016/j.dld.2013.08.136", "ISSN" : "15908658", "author" : [ { "dropping-particle" : "", "family" : "Jovani", "given" : "Manol", "non-dropping-particle" : "", "parse-names" : false, "suffix" : "" }, { "dropping-particle" : "", "family" : "Baticci", "given" : "Fabio", "non-dropping-particle" : "", "parse-names" : false, "suffix" : "" }, { "dropping-particle" : "", "family" : "Bonifacio", "given" : "Cristiana", "non-dropping-particle" : "", "parse-names" : false, "suffix" : "" }, { "dropping-particle" : "", "family" : "Omodei", "given" : "Paolo Dario", "non-dropping-particle" : "", "parse-names" : false, "suffix" : "" }, { "dropping-particle" : "", "family" : "Malesci", "given" : "Alberto", "non-dropping-particle" : "", "parse-names" : false, "suffix" : "" } ], "container-title" : "Digestive and Liver Disease", "id" : "ITEM-1", "issue" : "2", "issued" : { "date-parts" : [ [ "2014" ] ] }, "page" : "192-193", "publisher" : "Editrice Gastroenterologica Italiana", "title" : "Abdominal cocoon or idiopathic encapsulating peritoneal sclerosis: Magnetic resonance imaging", "type" : "article-journal", "volume" : "46" }, "uris" : [ "http://www.mendeley.com/documents/?uuid=d8072f06-58fd-48c4-8eec-40da4e4fdba5" ] } ], "mendeley" : { "formattedCitation" : "&lt;sup&gt;[61]&lt;/sup&gt;", "plainTextFormattedCitation" : "[61]", "previouslyFormattedCitation" : "&lt;sup&gt;[61]&lt;/sup&gt;" }, "properties" : { "noteIndex" : 0 }, "schema" : "https://github.com/citation-style-language/schema/raw/master/csl-citation.json" }</w:instrText>
      </w:r>
      <w:r w:rsidRPr="00F532B5">
        <w:rPr>
          <w:rFonts w:ascii="Book Antiqua" w:eastAsia="EB Garamond" w:hAnsi="Book Antiqua"/>
          <w:color w:val="auto"/>
          <w:sz w:val="24"/>
          <w:szCs w:val="24"/>
        </w:rPr>
        <w:fldChar w:fldCharType="separate"/>
      </w:r>
      <w:r w:rsidR="00525A55" w:rsidRPr="00F532B5">
        <w:rPr>
          <w:rFonts w:ascii="Book Antiqua" w:eastAsia="EB Garamond" w:hAnsi="Book Antiqua"/>
          <w:noProof/>
          <w:color w:val="auto"/>
          <w:sz w:val="24"/>
          <w:szCs w:val="24"/>
          <w:vertAlign w:val="superscript"/>
        </w:rPr>
        <w:t>[61]</w:t>
      </w:r>
      <w:r w:rsidRPr="00F532B5">
        <w:rPr>
          <w:rFonts w:ascii="Book Antiqua" w:eastAsia="EB Garamond" w:hAnsi="Book Antiqua"/>
          <w:color w:val="auto"/>
          <w:sz w:val="24"/>
          <w:szCs w:val="24"/>
        </w:rPr>
        <w:fldChar w:fldCharType="end"/>
      </w:r>
      <w:r w:rsidRPr="00F532B5">
        <w:rPr>
          <w:rFonts w:ascii="Book Antiqua" w:eastAsia="EB Garamond" w:hAnsi="Book Antiqua"/>
          <w:color w:val="auto"/>
          <w:sz w:val="24"/>
          <w:szCs w:val="24"/>
        </w:rPr>
        <w:t xml:space="preserve">. </w:t>
      </w:r>
    </w:p>
    <w:p w14:paraId="3556E5B9" w14:textId="77777777" w:rsidR="0016371C" w:rsidRPr="00F532B5" w:rsidRDefault="0016371C" w:rsidP="00D92508">
      <w:pPr>
        <w:snapToGrid w:val="0"/>
        <w:spacing w:line="360" w:lineRule="auto"/>
        <w:jc w:val="both"/>
        <w:rPr>
          <w:rFonts w:ascii="Book Antiqua" w:hAnsi="Book Antiqua"/>
          <w:color w:val="auto"/>
          <w:sz w:val="24"/>
          <w:szCs w:val="24"/>
        </w:rPr>
      </w:pPr>
    </w:p>
    <w:p w14:paraId="61B7C146" w14:textId="77777777" w:rsidR="0016371C" w:rsidRPr="006D7818" w:rsidRDefault="00754926" w:rsidP="00D92508">
      <w:pPr>
        <w:snapToGrid w:val="0"/>
        <w:spacing w:line="360" w:lineRule="auto"/>
        <w:jc w:val="both"/>
        <w:rPr>
          <w:rFonts w:ascii="Book Antiqua" w:hAnsi="Book Antiqua"/>
          <w:b/>
          <w:color w:val="auto"/>
          <w:sz w:val="24"/>
          <w:szCs w:val="24"/>
        </w:rPr>
      </w:pPr>
      <w:r w:rsidRPr="006D7818">
        <w:rPr>
          <w:rFonts w:ascii="Book Antiqua" w:hAnsi="Book Antiqua"/>
          <w:b/>
          <w:i/>
          <w:color w:val="auto"/>
          <w:sz w:val="24"/>
          <w:szCs w:val="24"/>
        </w:rPr>
        <w:t>Laboratory</w:t>
      </w:r>
    </w:p>
    <w:p w14:paraId="617E76D1" w14:textId="1CCD36BF" w:rsidR="0016371C" w:rsidRPr="00F532B5" w:rsidRDefault="00754926" w:rsidP="006D7818">
      <w:pPr>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Laboratory findings in EPS are non-specific and related to underlying infection, malnutrition, and inflammation</w:t>
      </w:r>
      <w:r w:rsidR="003446DC" w:rsidRPr="00F532B5">
        <w:rPr>
          <w:rFonts w:ascii="Book Antiqua" w:hAnsi="Book Antiqua"/>
          <w:color w:val="auto"/>
          <w:sz w:val="24"/>
          <w:szCs w:val="24"/>
          <w:vertAlign w:val="superscript"/>
        </w:rPr>
        <w:t>[</w:t>
      </w:r>
      <w:r w:rsidR="00C46FE9"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"10.1136/bcr-2015-211490", "ISSN" : "1757-790X (Electronic)", "PMID" : "26561223", "abstract" : "A 74-year-old woman with end-stage renal disease presented with clinical symptoms of encapsulating peritoneal sclerosis 2 years after switching from peritoneal dialysis to haemodialysis. Imaging revealed a large cystic structure in her abdomen and her final diagnosis was made by exploratory laparotomy. A 10 cmx15 cm fibrous rind was excised from the peritoneum and the patient was subsequently started on tamoxifen 20 mg daily and prednisone 20 mg daily. Given her reduction in clinical symptoms and concerns about the long-term effects of corticosteroids, prednisone was tapered and she remained on tamoxifen monotherapy. 1 year postsurgery, she presented with symptoms of nausea, vomiting and anorexia. A repeat CT of the abdomen confirmed a recurrence of encapsulating peritoneal sclerosis. Prednisone and tamoxifen were restarted at increased dosages of 25 and 40 mg daily, respectively. The patient's symptoms were ameliorated within 2 weeks of drug therapy modification.", "author" : [ { "dropping-particle" : "", "family" : "Cho", "given" : "Robin", "non-dropping-particle" : "", "parse-names" : false, "suffix" : "" }, { "dropping-particle" : "", "family" : "Ghag", "given" : "Danielle", "non-dropping-particle" : "", "parse-names" : false, "suffix" : "" }, { "dropping-particle" : "", "family" : "Karim", "given" : "Mohamud Amirali", "non-dropping-particle" : "", "parse-names" : false, "suffix" : "" }, { "dropping-particle" : "", "family" : "Lo", "given" : "Clifford", "non-dropping-particle" : "", "parse-names" : false, "suffix" : "" } ], "container-title" : "BMJ case reports", "id" : "ITEM-1", "issued" : { "date-parts" : [ [ "2015" ] ] }, "page" : "1-4", "title" : "Encapsulating peritoneal sclerosis: surgery, sustained drug therapy and treatment of recurrence at 1 year.", "type" : "article-journal", "volume" : "2015" }, "uris" : [ "http://www.mendeley.com/documents/?uuid=3f31c21b-9c44-4d86-a3c1-75aa3e1da0de" ] }, { "id" : "ITEM-2", "itemData" : { "DOI" : "10.4174/astr.2017.92.3.164", "ISBN" : "8223410346", "ISSN" : "22886796", "abstract" : "\u00a9 2017, the Korean Surgical Society.Encapsulating peritoneal sclerosis (EPS) is a rare cause of intestinal obstruction by a thick fibrous membrane wrapping around the small intestine. It is a possible complication after liver transplantation (LT) that can be fatal. This report describes 2 cases of EPS after LT that were successfully treated with surgery, corticosteroids, tamoxifen, and mammalian target of rapamycin inhibitor. After treatment in both cases, the patients were able to start oral feeding and have been symptom free for more than 1 year. These cases suggests that for the management of EPS, surgical treatment is mandatory when the patients present with symptoms of intestinal obstruction or if there are findings suggestive of decreased mural perfusion. Surgery should be accompanied with medical treatment to prevent the relapse of EPS.", "author" : [ { "dropping-particle" : "", "family" : "Lee", "given" : "K.W.", "non-dropping-particle" : "", "parse-names" : false, "suffix" : "" }, { "dropping-particle" : "", "family" : "Cho", "given" : "C.W.", "non-dropping-particle" : "", "parse-names" : false, "suffix" : "" }, { "dropping-particle" : "", "family" : "Lee", "given" : "N.", "non-dropping-particle" : "", "parse-names" : false, "suffix" : "" }, { "dropping-particle" : "", "family" : "Lee", "given" : "S.", "non-dropping-particle" : "", "parse-names" : false, "suffix" : "" }, { "dropping-particle" : "", "family" : "Kim", "given" : "J.M.", "non-dropping-particle" : "", "parse-names" : false, "suffix" : "" }, { "dropping-particle" : "", "family" : "Choi", "given" : "G.S.", "non-dropping-particle" : "", "parse-names" : false, "suffix" : "" }, { "dropping-particle" : "", "family" : "Kwon", "given" : "C.H.D.", "non-dropping-particle" : "", "parse-names" : false, "suffix" : "" }, { "dropping-particle" : "", "family" : "Joh", "given" : "J.W.", "non-dropping-particle" : "", "parse-names" : false, "suffix" : "" }, { "dropping-particle" : "", "family" : "Lee", "given" : "S.K.", "non-dropping-particle" : "", "parse-names" : false, "suffix" : "" } ], "container-title" : "Annals of Surgical Treatment and Research", "id" : "ITEM-2", "issue" : "3", "issued" : { "date-parts" : [ [ "2017" ] ] }, "title" : "Encapsulating peritoneal sclerosis in liver transplant recipients: A report of 2 cases", "type" : "article-journal", "volume" : "92" }, "uris" : [ "http://www.mendeley.com/documents/?uuid=dff01193-f1c4-486b-9f15-0e1abe899f74" ] } ], "mendeley" : { "formattedCitation" : "&lt;sup&gt;[29,62]&lt;/sup&gt;", "manualFormatting" : "30,39,62", "plainTextFormattedCitation" : "[29,62]", "previouslyFormattedCitation" : "&lt;sup&gt;[29,62]&lt;/sup&gt;" }, "properties" : { "noteIndex" : 0 }, "schema" : "https://github.com/citation-style-language/schema/raw/master/csl-citation.json" }</w:instrText>
      </w:r>
      <w:r w:rsidR="00C46FE9" w:rsidRPr="00F532B5">
        <w:rPr>
          <w:rFonts w:ascii="Book Antiqua" w:hAnsi="Book Antiqua"/>
          <w:color w:val="auto"/>
          <w:sz w:val="24"/>
          <w:szCs w:val="24"/>
        </w:rPr>
        <w:fldChar w:fldCharType="separate"/>
      </w:r>
      <w:r w:rsidR="004C7A8C" w:rsidRPr="00F532B5">
        <w:rPr>
          <w:rFonts w:ascii="Book Antiqua" w:hAnsi="Book Antiqua"/>
          <w:noProof/>
          <w:color w:val="auto"/>
          <w:sz w:val="24"/>
          <w:szCs w:val="24"/>
          <w:vertAlign w:val="superscript"/>
        </w:rPr>
        <w:t>30,</w:t>
      </w:r>
      <w:r w:rsidR="0025496C" w:rsidRPr="00F532B5">
        <w:rPr>
          <w:rFonts w:ascii="Book Antiqua" w:hAnsi="Book Antiqua"/>
          <w:noProof/>
          <w:color w:val="auto"/>
          <w:sz w:val="24"/>
          <w:szCs w:val="24"/>
          <w:vertAlign w:val="superscript"/>
        </w:rPr>
        <w:t>39,</w:t>
      </w:r>
      <w:r w:rsidR="004C7A8C" w:rsidRPr="00F532B5">
        <w:rPr>
          <w:rFonts w:ascii="Book Antiqua" w:hAnsi="Book Antiqua"/>
          <w:noProof/>
          <w:color w:val="auto"/>
          <w:sz w:val="24"/>
          <w:szCs w:val="24"/>
          <w:vertAlign w:val="superscript"/>
        </w:rPr>
        <w:t>62</w:t>
      </w:r>
      <w:r w:rsidR="00C46FE9" w:rsidRPr="00F532B5">
        <w:rPr>
          <w:rFonts w:ascii="Book Antiqua" w:hAnsi="Book Antiqua"/>
          <w:color w:val="auto"/>
          <w:sz w:val="24"/>
          <w:szCs w:val="24"/>
        </w:rPr>
        <w:fldChar w:fldCharType="end"/>
      </w:r>
      <w:r w:rsidR="003446DC" w:rsidRPr="00F532B5">
        <w:rPr>
          <w:rFonts w:ascii="Book Antiqua" w:hAnsi="Book Antiqua"/>
          <w:color w:val="auto"/>
          <w:sz w:val="24"/>
          <w:szCs w:val="24"/>
          <w:vertAlign w:val="superscript"/>
        </w:rPr>
        <w:t>]</w:t>
      </w:r>
      <w:r w:rsidR="00A67D79"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 xml:space="preserve">Levels of </w:t>
      </w:r>
      <w:r w:rsidR="00FE12FA" w:rsidRPr="00F532B5">
        <w:rPr>
          <w:rFonts w:ascii="Book Antiqua" w:hAnsi="Book Antiqua"/>
          <w:color w:val="auto"/>
          <w:sz w:val="24"/>
          <w:szCs w:val="24"/>
        </w:rPr>
        <w:t xml:space="preserve">inflammatory cytokines have </w:t>
      </w:r>
      <w:r w:rsidRPr="00F532B5">
        <w:rPr>
          <w:rFonts w:ascii="Book Antiqua" w:hAnsi="Book Antiqua"/>
          <w:color w:val="auto"/>
          <w:sz w:val="24"/>
          <w:szCs w:val="24"/>
        </w:rPr>
        <w:t xml:space="preserve">been shown to be higher in dialysate in EPS patients compared to </w:t>
      </w:r>
      <w:r w:rsidR="001F3B75" w:rsidRPr="00F532B5">
        <w:rPr>
          <w:rFonts w:ascii="Book Antiqua" w:hAnsi="Book Antiqua"/>
          <w:color w:val="auto"/>
          <w:sz w:val="24"/>
          <w:szCs w:val="24"/>
        </w:rPr>
        <w:t xml:space="preserve">PD </w:t>
      </w:r>
      <w:r w:rsidRPr="00F532B5">
        <w:rPr>
          <w:rFonts w:ascii="Book Antiqua" w:hAnsi="Book Antiqua"/>
          <w:color w:val="auto"/>
          <w:sz w:val="24"/>
          <w:szCs w:val="24"/>
        </w:rPr>
        <w:t>controls up to years in advance of clinical development of EPS</w:t>
      </w:r>
      <w:r w:rsidR="00C46FE9"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"10.1053/j.ajkd.2014.10.022", "ISBN" : "0272-6386", "ISSN" : "15236838", "PMID" : "25530106", "abstract" : "Background: Recently, the use of effluent matrix metalloproteinase 2 (MMP-2) and plasminogen activator inhibitor 1 (PAI-1) as potential biomarkers of peritoneal fibrosis has been demonstrated during longitudinal follow-up of incident peritoneal dialysis (PD) patients. This study focuses on effluent MMP-2 and PAI-1 as early diagnostic markers in the preceding years of patients who develop encapsulating peritoneal sclerosis (EPS). Study Design: Diagnostic test study. Settings &amp; Participants: PD patients who developed EPS were compared with controls using a 1:3 case-control design with a minimum PD duration of 57 months. Index Tests: Dialysate appearance rates of MMP-2 and PAI-1. Reference Test EPS cases identified by 2 experienced nephrologists and a radiologist based on predefined criteria. Results: 11 patients developed EPS within our center. The time course of MMP-2 appearance rates, studied by means of a linear repeated-measures model 4 years prior to the diagnosis of EPS, showed no difference between long-term controls and patients with EPS. In contrast, higher PAI-1 appearance rates were found in patients with EPS compared with controls (P = 0.01). At a lag time of 1 year prior to EPS diagnosis, time-specific receiver operating characteristic curve analyses indicated a discriminative ability for PAI-1 appearance rate of 0.77 (95% CI, 0.63-0.91). A discriminative capacity was absent for those of MMP-2. Limitations: Low event rate of EPS prevented independent validation in this single-center study. Conclusions: Elevated levels of PAI-1 appearance rates are present in patients who develop EPS, pointing to progressive peritoneal fibrosis and sclerosis. The PAI-1 appearance rate has fair discriminative capacity from 3 years prior to EPS diagnosis. Therefore, effluent PAI-1 may aid in monitoring peritoneal fibrosis and serve as a biomarker for EPS.", "author" : [ { "dropping-particle" : "", "family" : "Lopes Barreto", "given" : "Deirisa", "non-dropping-particle" : "", "parse-names" : false, "suffix" : "" }, { "dropping-particle" : "", "family" : "Struijk", "given" : "Dirk G.", "non-dropping-particle" : "", "parse-names" : false, "suffix" : "" }, { "dropping-particle" : "", "family" : "Krediet", "given" : "Raymond T.", "non-dropping-particle" : "", "parse-names" : false, "suffix" : "" } ], "container-title" : "American Journal of Kidney Diseases", "id" : "ITEM-1", "issue" : "5", "issued" : { "date-parts" : [ [ "2015" ] ] }, "page" : "748-753", "publisher" : "Elsevier Inc", "title" : "Peritoneal Effluent MMP-2 and PAI-1 in Encapsulating Peritoneal Sclerosis", "type" : "article-journal", "volume" : "65" }, "uris" : [ "http://www.mendeley.com/documents/?uuid=b50efcf1-5246-474a-bac8-f992d836bbdd" ] }, { "id" : "ITEM-2", "itemData" : { "DOI" : "10.3747/pdi.2012.00305", "ISSN" : "0896-8608", "author" : [ { "dropping-particle" : "", "family" : "Goodlad", "given" : "C.", "non-dropping-particle" : "", "parse-names" : false, "suffix" : "" }, { "dropping-particle" : "", "family" : "Tam", "given" : "F. W. K.", "non-dropping-particle" : "", "parse-names" : false, "suffix" : "" }, { "dropping-particle" : "", "family" : "Ahmad", "given" : "S.", "non-dropping-particle" : "", "parse-names" : false, "suffix" : "" }, { "dropping-particle" : "", "family" : "Bhangal", "given" : "G.", "non-dropping-particle" : "", "parse-names" : false, "suffix" : "" }, { "dropping-particle" : "V.", "family" : "North", "given" : "B.", "non-dropping-particle" : "", "parse-names" : false, "suffix" : "" }, { "dropping-particle" : "", "family" : "Brown", "given" : "E. A.", "non-dropping-particle" : "", "parse-names" : false, "suffix" : "" } ], "container-title" : "Peritoneal Dialysis International", "id" : "ITEM-2", "issue" : "6", "issued" : { "date-parts" : [ [ "2014" ] ] }, "page" : "594-604", "title" : "Dialysate Cytokine Levels Do Not Predict Encapsulating Peritoneal Sclerosis", "type" : "article-journal", "volume" : "34" }, "uris" : [ "http://www.mendeley.com/documents/?uuid=7d16399f-7ebb-41d3-92d9-ea3c98a33b39" ] }, { "id" : "ITEM-3", "itemData" : { "DOI" : "10.1111/j.1365-2362.2010.02353.x", "ISSN" : "00142972", "author" : [ { "dropping-particle" : "", "family" : "Ahmad", "given" : "Sohail", "non-dropping-particle" : "", "parse-names" : false, "suffix" : "" }, { "dropping-particle" : "V.", "family" : "North", "given" : "Bernard", "non-dropping-particle" : "", "parse-names" : false, "suffix" : "" }, { "dropping-particle" : "", "family" : "Qureshi", "given" : "Ashfaq", "non-dropping-particle" : "", "parse-names" : false, "suffix" : "" }, { "dropping-particle" : "", "family" : "Malik", "given" : "Amir", "non-dropping-particle" : "", "parse-names" : false, "suffix" : "" }, { "dropping-particle" : "", "family" : "Bhangal", "given" : "Gurjeet", "non-dropping-particle" : "", "parse-names" : false, "suffix" : "" }, { "dropping-particle" : "", "family" : "Tarzi", "given" : "Ruth M.", "non-dropping-particle" : "", "parse-names" : false, "suffix" : "" }, { "dropping-particle" : "", "family" : "Brown", "given" : "Edwina A.", "non-dropping-particle" : "", "parse-names" : false, "suffix" : "" }, { "dropping-particle" : "", "family" : "Tam", "given" : "Frederick W.K.", "non-dropping-particle" : "", "parse-names" : false, "suffix" : "" } ], "container-title" : "European Journal of Clinical Investigation", "id" : "ITEM-3", "issue" : "12", "issued" : { "date-parts" : [ [ "2010" ] ] }, "page" : "1067-1073", "title" : "CCL18 in peritoneal dialysis patients and encapsulating peritoneal sclerosis", "type" : "article-journal", "volume" : "40" }, "uris" : [ "http://www.mendeley.com/documents/?uuid=44d793a1-3120-4444-946c-83e40fe191a2" ] } ], "mendeley" : { "formattedCitation" : "&lt;sup&gt;[63\u201365]&lt;/sup&gt;", "plainTextFormattedCitation" : "[63\u201365]", "previouslyFormattedCitation" : "&lt;sup&gt;[63\u201365]&lt;/sup&gt;" }, "properties" : { "noteIndex" : 0 }, "schema" : "https://github.com/citation-style-language/schema/raw/master/csl-citation.json" }</w:instrText>
      </w:r>
      <w:r w:rsidR="00C46FE9"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[63–65]</w:t>
      </w:r>
      <w:r w:rsidR="00C46FE9" w:rsidRPr="00F532B5">
        <w:rPr>
          <w:rFonts w:ascii="Book Antiqua" w:hAnsi="Book Antiqua"/>
          <w:color w:val="auto"/>
          <w:sz w:val="24"/>
          <w:szCs w:val="24"/>
        </w:rPr>
        <w:fldChar w:fldCharType="end"/>
      </w:r>
      <w:r w:rsidR="00C46FE9" w:rsidRPr="00F532B5">
        <w:rPr>
          <w:rFonts w:ascii="Book Antiqua" w:hAnsi="Book Antiqua"/>
          <w:color w:val="auto"/>
          <w:sz w:val="24"/>
          <w:szCs w:val="24"/>
        </w:rPr>
        <w:t>.</w:t>
      </w:r>
      <w:r w:rsidR="006D7818">
        <w:rPr>
          <w:rFonts w:ascii="Book Antiqua" w:hAnsi="Book Antiqua"/>
          <w:color w:val="auto"/>
          <w:sz w:val="24"/>
          <w:szCs w:val="24"/>
        </w:rPr>
        <w:t xml:space="preserve"> </w:t>
      </w:r>
      <w:r w:rsidR="00FE12FA" w:rsidRPr="00F532B5">
        <w:rPr>
          <w:rFonts w:ascii="Book Antiqua" w:hAnsi="Book Antiqua"/>
          <w:color w:val="auto"/>
          <w:sz w:val="24"/>
          <w:szCs w:val="24"/>
        </w:rPr>
        <w:t>However</w:t>
      </w:r>
      <w:r w:rsidRPr="00F532B5">
        <w:rPr>
          <w:rFonts w:ascii="Book Antiqua" w:hAnsi="Book Antiqua"/>
          <w:color w:val="auto"/>
          <w:sz w:val="24"/>
          <w:szCs w:val="24"/>
        </w:rPr>
        <w:t xml:space="preserve">, </w:t>
      </w:r>
      <w:r w:rsidR="0025496C" w:rsidRPr="00F532B5">
        <w:rPr>
          <w:rFonts w:ascii="Book Antiqua" w:hAnsi="Book Antiqua"/>
          <w:color w:val="auto"/>
          <w:sz w:val="24"/>
          <w:szCs w:val="24"/>
        </w:rPr>
        <w:t>n</w:t>
      </w:r>
      <w:r w:rsidR="00A67D79" w:rsidRPr="00F532B5">
        <w:rPr>
          <w:rFonts w:ascii="Book Antiqua" w:hAnsi="Book Antiqua"/>
          <w:color w:val="auto"/>
          <w:sz w:val="24"/>
          <w:szCs w:val="24"/>
        </w:rPr>
        <w:t>o biomarker has</w:t>
      </w:r>
      <w:r w:rsidRPr="00F532B5">
        <w:rPr>
          <w:rFonts w:ascii="Book Antiqua" w:hAnsi="Book Antiqua"/>
          <w:color w:val="auto"/>
          <w:sz w:val="24"/>
          <w:szCs w:val="24"/>
        </w:rPr>
        <w:t xml:space="preserve"> been found to be useful in predicting EPS development</w:t>
      </w:r>
      <w:r w:rsidR="00C46FE9"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"10.3747/pdi.2012.00305", "ISSN" : "0896-8608", "author" : [ { "dropping-particle" : "", "family" : "Goodlad", "given" : "C.", "non-dropping-particle" : "", "parse-names" : false, "suffix" : "" }, { "dropping-particle" : "", "family" : "Tam", "given" : "F. W. K.", "non-dropping-particle" : "", "parse-names" : false, "suffix" : "" }, { "dropping-particle" : "", "family" : "Ahmad", "given" : "S.", "non-dropping-particle" : "", "parse-names" : false, "suffix" : "" }, { "dropping-particle" : "", "family" : "Bhangal", "given" : "G.", "non-dropping-particle" : "", "parse-names" : false, "suffix" : "" }, { "dropping-particle" : "V.", "family" : "North", "given" : "B.", "non-dropping-particle" : "", "parse-names" : false, "suffix" : "" }, { "dropping-particle" : "", "family" : "Brown", "given" : "E. A.", "non-dropping-particle" : "", "parse-names" : false, "suffix" : "" } ], "container-title" : "Peritoneal Dialysis International", "id" : "ITEM-1", "issue" : "6", "issued" : { "date-parts" : [ [ "2014" ] ] }, "page" : "594-604", "title" : "Dialysate Cytokine Levels Do Not Predict Encapsulating Peritoneal Sclerosis", "type" : "article-journal", "volume" : "34" }, "uris" : [ "http://www.mendeley.com/documents/?uuid=7d16399f-7ebb-41d3-92d9-ea3c98a33b39" ] } ], "mendeley" : { "formattedCitation" : "&lt;sup&gt;[64]&lt;/sup&gt;", "plainTextFormattedCitation" : "[64]", "previouslyFormattedCitation" : "&lt;sup&gt;[64]&lt;/sup&gt;" }, "properties" : { "noteIndex" : 0 }, "schema" : "https://github.com/citation-style-language/schema/raw/master/csl-citation.json" }</w:instrText>
      </w:r>
      <w:r w:rsidR="00C46FE9"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[64]</w:t>
      </w:r>
      <w:r w:rsidR="00C46FE9" w:rsidRPr="00F532B5">
        <w:rPr>
          <w:rFonts w:ascii="Book Antiqua" w:hAnsi="Book Antiqua"/>
          <w:color w:val="auto"/>
          <w:sz w:val="24"/>
          <w:szCs w:val="24"/>
        </w:rPr>
        <w:fldChar w:fldCharType="end"/>
      </w:r>
      <w:r w:rsidRPr="00F532B5">
        <w:rPr>
          <w:rFonts w:ascii="Book Antiqua" w:hAnsi="Book Antiqua"/>
          <w:color w:val="auto"/>
          <w:sz w:val="24"/>
          <w:szCs w:val="24"/>
        </w:rPr>
        <w:t>.</w:t>
      </w:r>
      <w:r w:rsidR="006D7818">
        <w:rPr>
          <w:rFonts w:ascii="Book Antiqua" w:hAnsi="Book Antiqua"/>
          <w:color w:val="auto"/>
          <w:sz w:val="24"/>
          <w:szCs w:val="24"/>
        </w:rPr>
        <w:t xml:space="preserve"> </w:t>
      </w:r>
    </w:p>
    <w:p w14:paraId="4BA10857" w14:textId="77777777" w:rsidR="0016371C" w:rsidRPr="00F532B5" w:rsidRDefault="0016371C" w:rsidP="00D92508">
      <w:pPr>
        <w:snapToGrid w:val="0"/>
        <w:spacing w:line="360" w:lineRule="auto"/>
        <w:jc w:val="both"/>
        <w:rPr>
          <w:rFonts w:ascii="Book Antiqua" w:hAnsi="Book Antiqua"/>
          <w:color w:val="auto"/>
          <w:sz w:val="24"/>
          <w:szCs w:val="24"/>
        </w:rPr>
      </w:pPr>
    </w:p>
    <w:p w14:paraId="7BC9D854" w14:textId="77777777" w:rsidR="0016371C" w:rsidRPr="00EF3A0B" w:rsidRDefault="00754926" w:rsidP="00D92508">
      <w:pPr>
        <w:snapToGrid w:val="0"/>
        <w:spacing w:line="360" w:lineRule="auto"/>
        <w:jc w:val="both"/>
        <w:rPr>
          <w:rFonts w:ascii="Book Antiqua" w:hAnsi="Book Antiqua"/>
          <w:b/>
          <w:i/>
          <w:color w:val="auto"/>
          <w:sz w:val="24"/>
          <w:szCs w:val="24"/>
        </w:rPr>
      </w:pPr>
      <w:r w:rsidRPr="00EF3A0B">
        <w:rPr>
          <w:rFonts w:ascii="Book Antiqua" w:hAnsi="Book Antiqua"/>
          <w:b/>
          <w:i/>
          <w:color w:val="auto"/>
          <w:sz w:val="24"/>
          <w:szCs w:val="24"/>
        </w:rPr>
        <w:t>Histopathology</w:t>
      </w:r>
    </w:p>
    <w:p w14:paraId="097D0FD8" w14:textId="4F0939A1" w:rsidR="0016371C" w:rsidRPr="00F532B5" w:rsidRDefault="00754926" w:rsidP="00EF3A0B">
      <w:pPr>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Histologic findings in EPS are no</w:t>
      </w:r>
      <w:r w:rsidR="00A67D79" w:rsidRPr="00F532B5">
        <w:rPr>
          <w:rFonts w:ascii="Book Antiqua" w:hAnsi="Book Antiqua"/>
          <w:color w:val="auto"/>
          <w:sz w:val="24"/>
          <w:szCs w:val="24"/>
        </w:rPr>
        <w:t>n-</w:t>
      </w:r>
      <w:r w:rsidRPr="00F532B5">
        <w:rPr>
          <w:rFonts w:ascii="Book Antiqua" w:hAnsi="Book Antiqua"/>
          <w:color w:val="auto"/>
          <w:sz w:val="24"/>
          <w:szCs w:val="24"/>
        </w:rPr>
        <w:t>specific and may overlap with findings in simple peritoneal sclerosis or infectious peritonitis</w:t>
      </w:r>
      <w:r w:rsidR="00C46FE9"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"author" : [ { "dropping-particle" : "", "family" : "Brown", "given" : "Edwina A", "non-dropping-particle" : "", "parse-names" : false, "suffix" : "" }, { "dropping-particle" : "Van", "family" : "Biesen", "given" : "Wim", "non-dropping-particle" : "", "parse-names" : false, "suffix" : "" }, { "dropping-particle" : "", "family" : "Finkelstein", "given" : "Fredric O", "non-dropping-particle" : "", "parse-names" : false, "suffix" : "" }, { "dropping-particle" : "", "family" : "Hurst", "given" : "Helen", "non-dropping-particle" : "", "parse-names" : false, "suffix" : "" }, { "dropping-particle" : "", "family" : "Johnson", "given" : "David W", "non-dropping-particle" : "", "parse-names" : false, "suffix" : "" }, { "dropping-particle" : "", "family" : "Pecoits-filho", "given" : "Roberto", "non-dropping-particle" : "", "parse-names" : false, "suffix" : "" }, { "dropping-particle" : "", "family" : "Woodrow", "given" : "Graham", "non-dropping-particle" : "", "parse-names" : false, "suffix" : "" }, { "dropping-particle" : "", "family" : "Party", "given" : "Working", "non-dropping-particle" : "", "parse-names" : false, "suffix" : "" } ], "container-title" : "Peritoneal Dialysis International", "id" : "ITEM-1", "issued" : { "date-parts" : [ [ "2017" ] ] }, "page" : "362-374", "title" : "Length of Time on Peritoneal Dialysis and Encapsulating-Position Paper for ISPD: 2017 Update", "type" : "article-journal", "volume" : "37" }, "uris" : [ "http://www.mendeley.com/documents/?uuid=0c9e21da-a644-4f25-9d5b-ceecae8a5133" ] } ], "mendeley" : { "formattedCitation" : "&lt;sup&gt;[17]&lt;/sup&gt;", "plainTextFormattedCitation" : "[17]", "previouslyFormattedCitation" : "&lt;sup&gt;[17]&lt;/sup&gt;" }, "properties" : { "noteIndex" : 0 }, "schema" : "https://github.com/citation-style-language/schema/raw/master/csl-citation.json" }</w:instrText>
      </w:r>
      <w:r w:rsidR="00C46FE9"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[17]</w:t>
      </w:r>
      <w:r w:rsidR="00C46FE9" w:rsidRPr="00F532B5">
        <w:rPr>
          <w:rFonts w:ascii="Book Antiqua" w:hAnsi="Book Antiqua"/>
          <w:color w:val="auto"/>
          <w:sz w:val="24"/>
          <w:szCs w:val="24"/>
        </w:rPr>
        <w:fldChar w:fldCharType="end"/>
      </w:r>
      <w:r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 xml:space="preserve">Microscopically, the </w:t>
      </w:r>
      <w:r w:rsidR="00F6674B" w:rsidRPr="00F532B5">
        <w:rPr>
          <w:rFonts w:ascii="Book Antiqua" w:hAnsi="Book Antiqua"/>
          <w:color w:val="auto"/>
          <w:sz w:val="24"/>
          <w:szCs w:val="24"/>
        </w:rPr>
        <w:t xml:space="preserve">mesothelial cell layer is denuded with fibroblast </w:t>
      </w:r>
      <w:r w:rsidR="006B2342" w:rsidRPr="00F532B5">
        <w:rPr>
          <w:rFonts w:ascii="Book Antiqua" w:hAnsi="Book Antiqua"/>
          <w:color w:val="auto"/>
          <w:sz w:val="24"/>
          <w:szCs w:val="24"/>
        </w:rPr>
        <w:t>proliferation</w:t>
      </w:r>
      <w:r w:rsidR="00F6674B" w:rsidRPr="00F532B5">
        <w:rPr>
          <w:rFonts w:ascii="Book Antiqua" w:hAnsi="Book Antiqua"/>
          <w:color w:val="auto"/>
          <w:sz w:val="24"/>
          <w:szCs w:val="24"/>
        </w:rPr>
        <w:t xml:space="preserve"> and</w:t>
      </w:r>
      <w:r w:rsidRPr="00F532B5">
        <w:rPr>
          <w:rFonts w:ascii="Book Antiqua" w:hAnsi="Book Antiqua"/>
          <w:color w:val="auto"/>
          <w:sz w:val="24"/>
          <w:szCs w:val="24"/>
        </w:rPr>
        <w:t xml:space="preserve"> </w:t>
      </w:r>
      <w:r w:rsidR="00201F7D" w:rsidRPr="00F532B5">
        <w:rPr>
          <w:rFonts w:ascii="Book Antiqua" w:hAnsi="Book Antiqua"/>
          <w:color w:val="auto"/>
          <w:sz w:val="24"/>
          <w:szCs w:val="24"/>
        </w:rPr>
        <w:t>fibrocollagenous</w:t>
      </w:r>
      <w:r w:rsidRPr="00F532B5">
        <w:rPr>
          <w:rFonts w:ascii="Book Antiqua" w:hAnsi="Book Antiqua"/>
          <w:color w:val="auto"/>
          <w:sz w:val="24"/>
          <w:szCs w:val="24"/>
        </w:rPr>
        <w:t xml:space="preserve"> </w:t>
      </w:r>
      <w:r w:rsidR="00F6674B" w:rsidRPr="00F532B5">
        <w:rPr>
          <w:rFonts w:ascii="Book Antiqua" w:hAnsi="Book Antiqua"/>
          <w:color w:val="auto"/>
          <w:sz w:val="24"/>
          <w:szCs w:val="24"/>
        </w:rPr>
        <w:t>deposition</w:t>
      </w:r>
      <w:r w:rsidR="006B2342" w:rsidRPr="00F532B5">
        <w:rPr>
          <w:rFonts w:ascii="Book Antiqua" w:hAnsi="Book Antiqua"/>
          <w:color w:val="auto"/>
          <w:sz w:val="24"/>
          <w:szCs w:val="24"/>
        </w:rPr>
        <w:t xml:space="preserve"> frequently with fibrin deposition</w:t>
      </w:r>
      <w:r w:rsidR="00C46FE9"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"PMID" : "16300269", "abstract" : "Pathology findings of encapsulating peritoneal sclerosis (EPS) are reviewed to establish histologic criteria for a diagnosis of EPS. The typical macroscopic finding is a cocoon-like encapsulation of the entire intestine. This encapsulation is frequently accompanied by fibrin deposition, focal bleeding on the peritoneum, and various quantities of bloody ascites. A thin membrane on the visceral peritoneum contributes to the formation of the intestinal encapsulation. Histologically, the membrane is composed mainly of organized fibrin, probably derived from plasma exudation from the peritoneal microvasculature. Peritoneal fibroblasts appear swollen and exhibit an increased level of cellularity, accompanied by expression of various activation and proliferation markers. According to the \"two-hit\" theory of EPS pathogenesis, deterioration of the peritoneum as a result of the peritoneal dialysis (PD) procedure (the first \"hit\") and superimposition of inflammatory stimuli such as infectious peritonitis (the second \"hit\") are thought to play key roles in the pathogenesis of EPS. Based on histologic examination of peritoneal biopsy specimens, the detection of fibrin deposition and fibroblast phenotypic alteration were proposed as important findings for early diagnosis of EPS. Persistent inflammatory changes are also predictive of the future onset of EPS. Careful histologic evaluation of peritoneal biopsy specimens, combined with Laparoscopic observations after withdrawal of PD, is required for the early diagnosis and treatment of EPS", "author" : [ { "dropping-particle" : "", "family" : "Honda", "given" : "K", "non-dropping-particle" : "", "parse-names" : false, "suffix" : "" }, { "dropping-particle" : "", "family" : "Oda", "given" : "H", "non-dropping-particle" : "", "parse-names" : false, "suffix" : "" } ], "container-title" : "Perit.Dial.Int.", "id" : "ITEM-1", "issue" : "0896-8608 (Print)", "issued" : { "date-parts" : [ [ "2005" ] ] }, "page" : "S19-S29", "title" : "Pathology of encapsulating peritoneal sclerosis", "type" : "article-journal", "volume" : "25 Suppl 4" }, "uris" : [ "http://www.mendeley.com/documents/?uuid=22be1bac-22a8-4c6c-965f-be5673ab7abb" ] } ], "mendeley" : { "formattedCitation" : "&lt;sup&gt;[66]&lt;/sup&gt;", "plainTextFormattedCitation" : "[66]", "previouslyFormattedCitation" : "&lt;sup&gt;[66]&lt;/sup&gt;" }, "properties" : { "noteIndex" : 0 }, "schema" : "https://github.com/citation-style-language/schema/raw/master/csl-citation.json" }</w:instrText>
      </w:r>
      <w:r w:rsidR="00C46FE9"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w:t>
      </w:r>
      <w:r w:rsidR="009C02A4">
        <w:rPr>
          <w:rFonts w:ascii="Book Antiqua" w:hAnsi="Book Antiqua" w:hint="eastAsia"/>
          <w:noProof/>
          <w:color w:val="auto"/>
          <w:sz w:val="24"/>
          <w:szCs w:val="24"/>
          <w:vertAlign w:val="superscript"/>
          <w:lang w:eastAsia="zh-CN"/>
        </w:rPr>
        <w:t>42</w:t>
      </w:r>
      <w:r w:rsidR="00525A55" w:rsidRPr="00F532B5">
        <w:rPr>
          <w:rFonts w:ascii="Book Antiqua" w:hAnsi="Book Antiqua"/>
          <w:noProof/>
          <w:color w:val="auto"/>
          <w:sz w:val="24"/>
          <w:szCs w:val="24"/>
          <w:vertAlign w:val="superscript"/>
        </w:rPr>
        <w:t>]</w:t>
      </w:r>
      <w:r w:rsidR="00C46FE9" w:rsidRPr="00F532B5">
        <w:rPr>
          <w:rFonts w:ascii="Book Antiqua" w:hAnsi="Book Antiqua"/>
          <w:color w:val="auto"/>
          <w:sz w:val="24"/>
          <w:szCs w:val="24"/>
        </w:rPr>
        <w:fldChar w:fldCharType="end"/>
      </w:r>
      <w:r w:rsidR="00C46FE9" w:rsidRPr="00F532B5">
        <w:rPr>
          <w:rFonts w:ascii="Book Antiqua" w:hAnsi="Book Antiqua"/>
          <w:color w:val="auto"/>
          <w:sz w:val="24"/>
          <w:szCs w:val="24"/>
        </w:rPr>
        <w:t>.</w:t>
      </w:r>
      <w:r w:rsidR="006D7818">
        <w:rPr>
          <w:rFonts w:ascii="Book Antiqua" w:hAnsi="Book Antiqua"/>
          <w:color w:val="auto"/>
          <w:sz w:val="24"/>
          <w:szCs w:val="24"/>
        </w:rPr>
        <w:t xml:space="preserve"> </w:t>
      </w:r>
      <w:r w:rsidR="006B2342" w:rsidRPr="00F532B5">
        <w:rPr>
          <w:rFonts w:ascii="Book Antiqua" w:hAnsi="Book Antiqua"/>
          <w:color w:val="auto"/>
          <w:sz w:val="24"/>
          <w:szCs w:val="24"/>
        </w:rPr>
        <w:t>A</w:t>
      </w:r>
      <w:r w:rsidRPr="00F532B5">
        <w:rPr>
          <w:rFonts w:ascii="Book Antiqua" w:hAnsi="Book Antiqua"/>
          <w:color w:val="auto"/>
          <w:sz w:val="24"/>
          <w:szCs w:val="24"/>
        </w:rPr>
        <w:t xml:space="preserve">n inflammatory mononuclear cell infiltrate </w:t>
      </w:r>
      <w:r w:rsidR="00A67D79" w:rsidRPr="00F532B5">
        <w:rPr>
          <w:rFonts w:ascii="Book Antiqua" w:hAnsi="Book Antiqua"/>
          <w:color w:val="auto"/>
          <w:sz w:val="24"/>
          <w:szCs w:val="24"/>
        </w:rPr>
        <w:t>may be present in</w:t>
      </w:r>
      <w:r w:rsidR="006B2342" w:rsidRPr="00F532B5">
        <w:rPr>
          <w:rFonts w:ascii="Book Antiqua" w:hAnsi="Book Antiqua"/>
          <w:color w:val="auto"/>
          <w:sz w:val="24"/>
          <w:szCs w:val="24"/>
        </w:rPr>
        <w:t xml:space="preserve"> </w:t>
      </w:r>
      <w:r w:rsidR="001F3B75" w:rsidRPr="00F532B5">
        <w:rPr>
          <w:rFonts w:ascii="Book Antiqua" w:hAnsi="Book Antiqua"/>
          <w:color w:val="auto"/>
          <w:sz w:val="24"/>
          <w:szCs w:val="24"/>
        </w:rPr>
        <w:t xml:space="preserve">active </w:t>
      </w:r>
      <w:r w:rsidR="00A67D79" w:rsidRPr="00F532B5">
        <w:rPr>
          <w:rFonts w:ascii="Book Antiqua" w:hAnsi="Book Antiqua"/>
          <w:color w:val="auto"/>
          <w:sz w:val="24"/>
          <w:szCs w:val="24"/>
        </w:rPr>
        <w:t>inflammation</w:t>
      </w:r>
      <w:r w:rsidR="00C46FE9"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"PMID" : "16300269", "abstract" : "Pathology findings of encapsulating peritoneal sclerosis (EPS) are reviewed to establish histologic criteria for a diagnosis of EPS. The typical macroscopic finding is a cocoon-like encapsulation of the entire intestine. This encapsulation is frequently accompanied by fibrin deposition, focal bleeding on the peritoneum, and various quantities of bloody ascites. A thin membrane on the visceral peritoneum contributes to the formation of the intestinal encapsulation. Histologically, the membrane is composed mainly of organized fibrin, probably derived from plasma exudation from the peritoneal microvasculature. Peritoneal fibroblasts appear swollen and exhibit an increased level of cellularity, accompanied by expression of various activation and proliferation markers. According to the \"two-hit\" theory of EPS pathogenesis, deterioration of the peritoneum as a result of the peritoneal dialysis (PD) procedure (the first \"hit\") and superimposition of inflammatory stimuli such as infectious peritonitis (the second \"hit\") are thought to play key roles in the pathogenesis of EPS. Based on histologic examination of peritoneal biopsy specimens, the detection of fibrin deposition and fibroblast phenotypic alteration were proposed as important findings for early diagnosis of EPS. Persistent inflammatory changes are also predictive of the future onset of EPS. Careful histologic evaluation of peritoneal biopsy specimens, combined with Laparoscopic observations after withdrawal of PD, is required for the early diagnosis and treatment of EPS", "author" : [ { "dropping-particle" : "", "family" : "Honda", "given" : "K", "non-dropping-particle" : "", "parse-names" : false, "suffix" : "" }, { "dropping-particle" : "", "family" : "Oda", "given" : "H", "non-dropping-particle" : "", "parse-names" : false, "suffix" : "" } ], "container-title" : "Perit.Dial.Int.", "id" : "ITEM-1", "issue" : "0896-8608 (Print)", "issued" : { "date-parts" : [ [ "2005" ] ] }, "page" : "S19-S29", "title" : "Pathology of encapsulating peritoneal sclerosis", "type" : "article-journal", "volume" : "25 Suppl 4" }, "uris" : [ "http://www.mendeley.com/documents/?uuid=22be1bac-22a8-4c6c-965f-be5673ab7abb" ] } ], "mendeley" : { "formattedCitation" : "&lt;sup&gt;[66]&lt;/sup&gt;", "plainTextFormattedCitation" : "[66]", "previouslyFormattedCitation" : "&lt;sup&gt;[66]&lt;/sup&gt;" }, "properties" : { "noteIndex" : 0 }, "schema" : "https://github.com/citation-style-language/schema/raw/master/csl-citation.json" }</w:instrText>
      </w:r>
      <w:r w:rsidR="00C46FE9"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w:t>
      </w:r>
      <w:r w:rsidR="009C02A4">
        <w:rPr>
          <w:rFonts w:ascii="Book Antiqua" w:hAnsi="Book Antiqua" w:hint="eastAsia"/>
          <w:noProof/>
          <w:color w:val="auto"/>
          <w:sz w:val="24"/>
          <w:szCs w:val="24"/>
          <w:vertAlign w:val="superscript"/>
          <w:lang w:eastAsia="zh-CN"/>
        </w:rPr>
        <w:t>42</w:t>
      </w:r>
      <w:r w:rsidR="00525A55" w:rsidRPr="00F532B5">
        <w:rPr>
          <w:rFonts w:ascii="Book Antiqua" w:hAnsi="Book Antiqua"/>
          <w:noProof/>
          <w:color w:val="auto"/>
          <w:sz w:val="24"/>
          <w:szCs w:val="24"/>
          <w:vertAlign w:val="superscript"/>
        </w:rPr>
        <w:t>]</w:t>
      </w:r>
      <w:r w:rsidR="00C46FE9" w:rsidRPr="00F532B5">
        <w:rPr>
          <w:rFonts w:ascii="Book Antiqua" w:hAnsi="Book Antiqua"/>
          <w:color w:val="auto"/>
          <w:sz w:val="24"/>
          <w:szCs w:val="24"/>
        </w:rPr>
        <w:fldChar w:fldCharType="end"/>
      </w:r>
      <w:r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 xml:space="preserve">Podoplanin, a transmembrane glycoprotein found on peritoneal mesothelial cells that binds </w:t>
      </w:r>
      <w:r w:rsidR="00FE12FA" w:rsidRPr="00F532B5">
        <w:rPr>
          <w:rFonts w:ascii="Book Antiqua" w:hAnsi="Book Antiqua"/>
          <w:color w:val="auto"/>
          <w:sz w:val="24"/>
          <w:szCs w:val="24"/>
        </w:rPr>
        <w:t>inflammatory cytokines</w:t>
      </w:r>
      <w:r w:rsidRPr="00F532B5">
        <w:rPr>
          <w:rFonts w:ascii="Book Antiqua" w:hAnsi="Book Antiqua"/>
          <w:color w:val="auto"/>
          <w:sz w:val="24"/>
          <w:szCs w:val="24"/>
        </w:rPr>
        <w:t xml:space="preserve">, </w:t>
      </w:r>
      <w:r w:rsidR="001F3B75" w:rsidRPr="00F532B5">
        <w:rPr>
          <w:rFonts w:ascii="Book Antiqua" w:hAnsi="Book Antiqua"/>
          <w:color w:val="auto"/>
          <w:sz w:val="24"/>
          <w:szCs w:val="24"/>
        </w:rPr>
        <w:t>helps</w:t>
      </w:r>
      <w:r w:rsidRPr="00F532B5">
        <w:rPr>
          <w:rFonts w:ascii="Book Antiqua" w:hAnsi="Book Antiqua"/>
          <w:color w:val="auto"/>
          <w:sz w:val="24"/>
          <w:szCs w:val="24"/>
        </w:rPr>
        <w:t xml:space="preserve"> differentiate </w:t>
      </w:r>
      <w:r w:rsidRPr="00F532B5">
        <w:rPr>
          <w:rFonts w:ascii="Book Antiqua" w:hAnsi="Book Antiqua"/>
          <w:color w:val="auto"/>
          <w:sz w:val="24"/>
          <w:szCs w:val="24"/>
        </w:rPr>
        <w:lastRenderedPageBreak/>
        <w:t>EPS from peritoneal sclerosis and peritonitis</w:t>
      </w:r>
      <w:r w:rsidR="00C46FE9"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"10.1093/ndt/gfq488", "ISSN" : "09310509", "PMID" : "20709739", "abstract" : "Encapsulating peritoneal sclerosis (EPS) and simple peritoneal sclerosis are important complications of long-term peritoneal dialysis (PD). Podoplanin is expressed by mesothelial cells and lymphatic vessels, which are involved in inflammatory reactions in the peritoneal cavity.", "author" : [ { "dropping-particle" : "", "family" : "Braun", "given" : "Niko", "non-dropping-particle" : "", "parse-names" : false, "suffix" : "" }, { "dropping-particle" : "", "family" : "Alscher", "given" : "Dominik M.", "non-dropping-particle" : "", "parse-names" : false, "suffix" : "" }, { "dropping-particle" : "", "family" : "Fritz", "given" : "Peter", "non-dropping-particle" : "", "parse-names" : false, "suffix" : "" }, { "dropping-particle" : "", "family" : "Edenhofer", "given" : "Ilka", "non-dropping-particle" : "", "parse-names" : false, "suffix" : "" }, { "dropping-particle" : "", "family" : "Kimmel", "given" : "Martin", "non-dropping-particle" : "", "parse-names" : false, "suffix" : "" }, { "dropping-particle" : "", "family" : "Gaspert", "given" : "Ariana", "non-dropping-particle" : "", "parse-names" : false, "suffix" : "" }, { "dropping-particle" : "", "family" : "Reimold", "given" : "Fabian", "non-dropping-particle" : "", "parse-names" : false, "suffix" : "" }, { "dropping-particle" : "", "family" : "Bode-Lesniewska", "given" : "Beata", "non-dropping-particle" : "", "parse-names" : false, "suffix" : "" }, { "dropping-particle" : "", "family" : "Ziegler", "given" : "Urs", "non-dropping-particle" : "", "parse-names" : false, "suffix" : "" }, { "dropping-particle" : "", "family" : "Biegger", "given" : "Dagmar", "non-dropping-particle" : "", "parse-names" : false, "suffix" : "" }, { "dropping-particle" : "", "family" : "W\u00fcthrich", "given" : "Rudolf P.", "non-dropping-particle" : "", "parse-names" : false, "suffix" : "" }, { "dropping-particle" : "", "family" : "Segerer", "given" : "Stephan", "non-dropping-particle" : "", "parse-names" : false, "suffix" : "" } ], "container-title" : "Nephrology Dialysis Transplantation", "id" : "ITEM-1", "issue" : "3", "issued" : { "date-parts" : [ [ "2011" ] ] }, "page" : "1033-1041", "title" : "Podoplanin-positive cells are a hallmark of encapsulating peritoneal sclerosis", "type" : "article-journal", "volume" : "26" }, "uris" : [ "http://www.mendeley.com/documents/?uuid=a701ea13-58f3-4024-8037-f080d94b1bc6" ] }, { "id" : "ITEM-2", "itemData" : { "DOI" : "10.1371/journal.pone.0048647", "ISSN" : "19326203", "PMID" : "23144917", "abstract" : "BACKGROUND: The two most relevant pathologies of long-term peritoneal dialysis (PD) are simple sclerosis and encapsulating peritoneal sclerosis (EPS). The histological differentiation of those two entities is difficult. The Aim of the study was to establish a method to standardize and facilitate the differentiation between simple sclerosis and EPS METHODS: We investigated 58 peritoneal biopsies - 31 EPS patients and 27 PD patients. Two blinded investigators analyzed 20 histological characteristics in EPS and PD patients.\\n\\nRESULTS: THE FOLLOWING FINDINGS WERE SIGNIFICANTLY MORE COMMON IN EPS THAN IN PATIENTS ON PD WITHOUT EPS: fibroblast like cells (FLC) (p&lt;0.0001), mesothelial denudation (p&lt;0.0001), decreased cellularity (p\u200a=\u200a0.008), fibrin deposits (p&lt;0.03), Fe deposits (p\u200a=\u200a0.05), podoplanin vascular (p&lt;0.0001), podoplanin avascular (p&lt;0.0001). Using all predictor variables we trained the classification method Random Forest to categorize future cases. Podoplanin vascular and avascular were taken together (p&lt;0.0001), FLC (p&lt;0.0001), mesothelial denudation (p\u200a=\u200a0.0005), calcification (p\u200a=\u200a0.0026), acellular areas (p\u200a=\u200a0.0094), and fibrin deposits (p\u200a=\u200a0.0336) showed up as significantly important predictor variables. Estimated misclassification error rate when classifying new cases turned out to be 14%.\\n\\nCONCLUSION: The introduced statistical method allows discriminating between simple sclerosis and EPS. The misclassification error will likely improve with every new case added to the database.", "author" : [ { "dropping-particle" : "", "family" : "Braun", "given" : "Niko", "non-dropping-particle" : "", "parse-names" : false, "suffix" : "" }, { "dropping-particle" : "", "family" : "Fritz", "given" : "Peter", "non-dropping-particle" : "", "parse-names" : false, "suffix" : "" }, { "dropping-particle" : "", "family" : "Ulmer", "given" : "Christoph", "non-dropping-particle" : "", "parse-names" : false, "suffix" : "" }, { "dropping-particle" : "", "family" : "Latus", "given" : "Joerg", "non-dropping-particle" : "", "parse-names" : false, "suffix" : "" }, { "dropping-particle" : "", "family" : "Kimmel", "given" : "Martin", "non-dropping-particle" : "", "parse-names" : false, "suffix" : "" }, { "dropping-particle" : "", "family" : "Biegger", "given" : "Dagmar", "non-dropping-particle" : "", "parse-names" : false, "suffix" : "" }, { "dropping-particle" : "", "family" : "Ott", "given" : "German", "non-dropping-particle" : "", "parse-names" : false, "suffix" : "" }, { "dropping-particle" : "", "family" : "Reimold", "given" : "Fabian", "non-dropping-particle" : "", "parse-names" : false, "suffix" : "" }, { "dropping-particle" : "", "family" : "Thon", "given" : "Klaus Peter", "non-dropping-particle" : "", "parse-names" : false, "suffix" : "" }, { "dropping-particle" : "", "family" : "Dippon", "given" : "Juergen", "non-dropping-particle" : "", "parse-names" : false, "suffix" : "" }, { "dropping-particle" : "", "family" : "Segerer", "given" : "Stephan", "non-dropping-particle" : "", "parse-names" : false, "suffix" : "" }, { "dropping-particle" : "", "family" : "Alscher", "given" : "M. Dominik", "non-dropping-particle" : "", "parse-names" : false, "suffix" : "" } ], "container-title" : "PLoS ONE", "id" : "ITEM-2", "issue" : "11", "issued" : { "date-parts" : [ [ "2012" ] ] }, "page" : "18-21", "title" : "Histological Criteria for Encapsulating Peritoneal Sclerosis - A Standardized Approach", "type" : "article-journal", "volume" : "7" }, "uris" : [ "http://www.mendeley.com/documents/?uuid=b3249ccd-1571-476b-8ae7-9e7391507298" ] } ], "mendeley" : { "formattedCitation" : "&lt;sup&gt;[45,67]&lt;/sup&gt;", "plainTextFormattedCitation" : "[45,67]", "previouslyFormattedCitation" : "&lt;sup&gt;[45,67]&lt;/sup&gt;" }, "properties" : { "noteIndex" : 0 }, "schema" : "https://github.com/citation-style-language/schema/raw/master/csl-citation.json" }</w:instrText>
      </w:r>
      <w:r w:rsidR="00C46FE9"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[45,6</w:t>
      </w:r>
      <w:r w:rsidR="009C02A4">
        <w:rPr>
          <w:rFonts w:ascii="Book Antiqua" w:hAnsi="Book Antiqua" w:hint="eastAsia"/>
          <w:noProof/>
          <w:color w:val="auto"/>
          <w:sz w:val="24"/>
          <w:szCs w:val="24"/>
          <w:vertAlign w:val="superscript"/>
          <w:lang w:eastAsia="zh-CN"/>
        </w:rPr>
        <w:t>6</w:t>
      </w:r>
      <w:r w:rsidR="00525A55" w:rsidRPr="00F532B5">
        <w:rPr>
          <w:rFonts w:ascii="Book Antiqua" w:hAnsi="Book Antiqua"/>
          <w:noProof/>
          <w:color w:val="auto"/>
          <w:sz w:val="24"/>
          <w:szCs w:val="24"/>
          <w:vertAlign w:val="superscript"/>
        </w:rPr>
        <w:t>]</w:t>
      </w:r>
      <w:r w:rsidR="00C46FE9" w:rsidRPr="00F532B5">
        <w:rPr>
          <w:rFonts w:ascii="Book Antiqua" w:hAnsi="Book Antiqua"/>
          <w:color w:val="auto"/>
          <w:sz w:val="24"/>
          <w:szCs w:val="24"/>
        </w:rPr>
        <w:fldChar w:fldCharType="end"/>
      </w:r>
      <w:r w:rsidRPr="00F532B5">
        <w:rPr>
          <w:rFonts w:ascii="Book Antiqua" w:hAnsi="Book Antiqua"/>
          <w:color w:val="auto"/>
          <w:sz w:val="24"/>
          <w:szCs w:val="24"/>
        </w:rPr>
        <w:t>.</w:t>
      </w:r>
      <w:r w:rsidR="006D7818">
        <w:rPr>
          <w:rFonts w:ascii="Book Antiqua" w:hAnsi="Book Antiqua"/>
          <w:color w:val="auto"/>
          <w:sz w:val="24"/>
          <w:szCs w:val="24"/>
        </w:rPr>
        <w:t xml:space="preserve"> </w:t>
      </w:r>
      <w:r w:rsidR="00A67D79" w:rsidRPr="00F532B5">
        <w:rPr>
          <w:rFonts w:ascii="Book Antiqua" w:hAnsi="Book Antiqua"/>
          <w:color w:val="auto"/>
          <w:sz w:val="24"/>
          <w:szCs w:val="24"/>
        </w:rPr>
        <w:t>G</w:t>
      </w:r>
      <w:r w:rsidRPr="00F532B5">
        <w:rPr>
          <w:rFonts w:ascii="Book Antiqua" w:hAnsi="Book Antiqua"/>
          <w:color w:val="auto"/>
          <w:sz w:val="24"/>
          <w:szCs w:val="24"/>
        </w:rPr>
        <w:t>enerally</w:t>
      </w:r>
      <w:r w:rsidR="00A67D79" w:rsidRPr="00F532B5">
        <w:rPr>
          <w:rFonts w:ascii="Book Antiqua" w:hAnsi="Book Antiqua"/>
          <w:color w:val="auto"/>
          <w:sz w:val="24"/>
          <w:szCs w:val="24"/>
        </w:rPr>
        <w:t>,</w:t>
      </w:r>
      <w:r w:rsidRPr="00F532B5">
        <w:rPr>
          <w:rFonts w:ascii="Book Antiqua" w:hAnsi="Book Antiqua"/>
          <w:color w:val="auto"/>
          <w:sz w:val="24"/>
          <w:szCs w:val="24"/>
        </w:rPr>
        <w:t xml:space="preserve"> a thickened fibrocollagenous membrane in the setting of the previously described clinical syndrome is sufficient for diagnosis.</w:t>
      </w:r>
    </w:p>
    <w:p w14:paraId="08CBCC05" w14:textId="77777777" w:rsidR="00874D3C" w:rsidRPr="00F532B5" w:rsidRDefault="00874D3C" w:rsidP="00D92508">
      <w:pPr>
        <w:snapToGrid w:val="0"/>
        <w:spacing w:line="360" w:lineRule="auto"/>
        <w:jc w:val="both"/>
        <w:rPr>
          <w:rFonts w:ascii="Book Antiqua" w:hAnsi="Book Antiqua"/>
          <w:color w:val="auto"/>
          <w:sz w:val="24"/>
          <w:szCs w:val="24"/>
          <w:lang w:eastAsia="zh-CN"/>
        </w:rPr>
      </w:pPr>
    </w:p>
    <w:p w14:paraId="0D5E99DC" w14:textId="4DE29010" w:rsidR="0016371C" w:rsidRPr="0030176E" w:rsidRDefault="006B2342" w:rsidP="00D92508">
      <w:pPr>
        <w:snapToGrid w:val="0"/>
        <w:spacing w:line="360" w:lineRule="auto"/>
        <w:jc w:val="both"/>
        <w:rPr>
          <w:rFonts w:ascii="Book Antiqua" w:hAnsi="Book Antiqua"/>
          <w:b/>
          <w:color w:val="auto"/>
          <w:sz w:val="24"/>
          <w:szCs w:val="24"/>
        </w:rPr>
      </w:pPr>
      <w:r w:rsidRPr="0030176E">
        <w:rPr>
          <w:rFonts w:ascii="Book Antiqua" w:hAnsi="Book Antiqua"/>
          <w:b/>
          <w:i/>
          <w:color w:val="auto"/>
          <w:sz w:val="24"/>
          <w:szCs w:val="24"/>
        </w:rPr>
        <w:t xml:space="preserve">EPS </w:t>
      </w:r>
      <w:r w:rsidR="0030176E" w:rsidRPr="0030176E">
        <w:rPr>
          <w:rFonts w:ascii="Book Antiqua" w:hAnsi="Book Antiqua"/>
          <w:b/>
          <w:i/>
          <w:color w:val="auto"/>
          <w:sz w:val="24"/>
          <w:szCs w:val="24"/>
        </w:rPr>
        <w:t>s</w:t>
      </w:r>
      <w:r w:rsidRPr="0030176E">
        <w:rPr>
          <w:rFonts w:ascii="Book Antiqua" w:hAnsi="Book Antiqua"/>
          <w:b/>
          <w:i/>
          <w:color w:val="auto"/>
          <w:sz w:val="24"/>
          <w:szCs w:val="24"/>
        </w:rPr>
        <w:t>taging</w:t>
      </w:r>
    </w:p>
    <w:p w14:paraId="68D1CCA7" w14:textId="60BAA273" w:rsidR="0016371C" w:rsidRPr="00F532B5" w:rsidRDefault="00754926" w:rsidP="0030176E">
      <w:pPr>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 xml:space="preserve">A </w:t>
      </w:r>
      <w:r w:rsidR="006B2342" w:rsidRPr="00F532B5">
        <w:rPr>
          <w:rFonts w:ascii="Book Antiqua" w:hAnsi="Book Antiqua"/>
          <w:color w:val="auto"/>
          <w:sz w:val="24"/>
          <w:szCs w:val="24"/>
        </w:rPr>
        <w:t>staging</w:t>
      </w:r>
      <w:r w:rsidRPr="00F532B5">
        <w:rPr>
          <w:rFonts w:ascii="Book Antiqua" w:hAnsi="Book Antiqua"/>
          <w:color w:val="auto"/>
          <w:sz w:val="24"/>
          <w:szCs w:val="24"/>
        </w:rPr>
        <w:t xml:space="preserve"> system has been proposed in the </w:t>
      </w:r>
      <w:r w:rsidR="0013157D" w:rsidRPr="00F532B5">
        <w:rPr>
          <w:rFonts w:ascii="Book Antiqua" w:hAnsi="Book Antiqua"/>
          <w:color w:val="auto"/>
          <w:sz w:val="24"/>
          <w:szCs w:val="24"/>
        </w:rPr>
        <w:t xml:space="preserve">PD-associated EPS </w:t>
      </w:r>
      <w:r w:rsidRPr="00F532B5">
        <w:rPr>
          <w:rFonts w:ascii="Book Antiqua" w:hAnsi="Book Antiqua"/>
          <w:color w:val="auto"/>
          <w:sz w:val="24"/>
          <w:szCs w:val="24"/>
        </w:rPr>
        <w:t>literature, based on a combination of clinical, laboratory, and radiographic findings</w:t>
      </w:r>
      <w:r w:rsidR="00C46FE9"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"ISBN" : "0896-8608", "PMID" : "2005509070", "abstract" : "Encapsulating peritoneal sclerosis (EPS) is recognized as a serious complication of continuous peritoneal dialysis. A preliminary diagnosis of EPS is usually based on clinical signs and symptoms, which commonly include abdominal pain, nausea, vomiting, anorexia, abdominal fullness, an abdominal mass, bowel obstruction, and radiologic findings, including abdominal roentgenogram, contrast studies, ultrasound studies, and computed tomography. The diagnosis is confirmed by laparoscopy or laparotomy showing the characteristic gross thickening of the peritoneum enclosing some or all of the small intestine in a cocoon of opaque tissue. A variety of therapeutic approaches to EPS have been reported. This review discusses medical treatment of EPS and includes an overview of the clinical features and diagnostic aspects of the condition. Copyright 2005 International Society for Peritoneal Dialysis.", "author" : [ { "dropping-particle" : "", "family" : "Nakamoto", "given" : "H", "non-dropping-particle" : "", "parse-names" : false, "suffix" : "" } ], "container-title" : "Peritoneal Dialysis International", "id" : "ITEM-1", "issue" : "SUPPL. 4", "issued" : { "date-parts" : [ [ "2005" ] ] }, "page" : "S30-S38", "title" : "Encapsulating peritoneal sclerosis - A clinician's approach to diagnosis and medical treatment", "type" : "article-journal", "volume" : "25" }, "uris" : [ "http://www.mendeley.com/documents/?uuid=18578c7e-af21-4dda-924a-2ca7b73dad78" ] }, { "id" : "ITEM-2", "itemData" : { "DOI" : "10.3747/pdi.2013.00074", "ISSN" : "17184304", "PMID" : "24497585", "abstract" : "\u2666 Introduction: Encapsulating peritoneal sclerosis (EPS) is a serious complication of peritoneal dialysis (PD). Over the past decade in Japan, a multidisciplinary approach has been adopted to minimize the incidence and improve outcomes of EPS. This strategy includes planned PD discontinuation for high-risk patients and the introduction of biocompatible solutions. This study examined the current clinical status of EPS in representative PD centers in Japan. \u2666 Design, setting, participants and measurements: Patients (n = 1,338) from 55 PD centers in Japan who were using neutral-pH solutions from the initiation of therapy (mean age, 62 years; median PD duration, 32 months; concomitant use of icodextrin, 35.2%; PD and hemodialysis combination therapy, 12.2%) were assessed every 6 months to ascertain the reasons for PD discontinuation and the development of EPS development. Outcomes were also recorded. The study period was from November 2008 to March 2012. \u2666 Results: There were 727 patients who discontinued PD, including 163 deaths. Among all causes of PD withdrawal except for death, planned PD discontinuation to avoid EPS was utilized in 58 cases (7.1% in total). The strategy was increasingly utilized in proportion to the duration of PD: 0.5% for patients undergoing PD for &lt; 3 years, 0.6% for patients undergoing PD for 5 years, 14.7% for patients undergoing PD for 8 years, and 35.5% for patients undergoing PD for &gt; 8 years. Fourteen patients developed EPS (three cases after PD), which corresponded with an overall incidence of 1.0%. The incidence according to the duration of PD was 0.3% for PD &lt; 3 years, 0.6% for PD = 5 years, 2.3% for PD = 8 years, and 1.2% for PD &gt; 8 years. In terms of therapy, 11 patients were treated with prednisolone (PSL), and surgical enterolysis was utilized in two cases. Complete remission of abdominal symptoms was achieved in twelve patients (85.7%), and three died due to EPS (mortality rate of 21.4%). \u2666 Conclusions: Use of the multidisciplinary approach described above reduces the risk of the development of EPS according to PD duration. In cases of de novo EPS cases in Japan, this strategy can also attenuate the clinical course of the condition.", "author" : [ { "dropping-particle" : "", "family" : "Nakayama", "given" : "Masaaki", "non-dropping-particle" : "", "parse-names" : false, "suffix" : "" }, { "dropping-particle" : "", "family" : "Miyazaki", "given" : "Masanobu", "non-dropping-particle" : "", "parse-names" : false, "suffix" : "" }, { "dropping-particle" : "", "family" : "Honda", "given" : "Kazuho", "non-dropping-particle" : "", "parse-names" : false, "suffix" : "" }, { "dropping-particle" : "", "family" : "Kasai", "given" : "Kenji", "non-dropping-particle" : "", "parse-names" : false, "suffix" : "" }, { "dropping-particle" : "", "family" : "Tomo", "given" : "Tadashi", "non-dropping-particle" : "", "parse-names" : false, "suffix" : "" }, { "dropping-particle" : "", "family" : "Nakamoto", "given" : "Hidetomo", "non-dropping-particle" : "", "parse-names" : false, "suffix" : "" }, { "dropping-particle" : "", "family" : "Kawanishi", "given" : "Hideki", "non-dropping-particle" : "", "parse-names" : false, "suffix" : "" } ], "container-title" : "Peritoneal Dialysis International", "id" : "ITEM-2", "issue" : "7", "issued" : { "date-parts" : [ [ "2014" ] ] }, "page" : "766-774", "title" : "Encapsulating peritoneal sclerosis in the era of a multi-disciplinary approach based on biocompatible solutions: The next-PD study", "type" : "article-journal", "volume" : "34" }, "uris" : [ "http://www.mendeley.com/documents/?uuid=824dab31-f7a3-42f3-8458-862628bd9864" ] }, { "id" : "ITEM-3", "itemData" : { "DOI" : "10.3389/fphys.2014.00470", "ISBN" : "1664-042X (Electronic)\\r1664-042X (Linking)", "ISSN" : "1664042X", "PMID" : "25601836", "abstract" : "Encapsulating peritoneal sclerosis (EPS) is a devastating but, fortunately, rare complication of long-term peritoneal dialysis. The disease is associated with extensive thickening and fibrosis of the peritoneum resulting in the formation of a fibrous cocoon encapsulating the bowel leading to intestinal obstruction. The incidence of EPS ranges between 0.7 and 3.3% and increases with duration of peritoneal dialysis therapy. Dialysis fluid is hyperosmotic, hyperglycemic, and acidic causing chronic injury and inflammation in the peritoneum with loss of mesothelium and extensive tissue fibrosis. The pathogenesis of EPS, however, still remains uncertain, although a widely accepted hypothesis is the \"two-hit theory,\" where, the first hit is chronic peritoneal membrane injury from long standing peritoneal dialysis followed by a second hit such as an episode of peritonitis, genetic predisposition and/or acute cessation of peritoneal dialysis, leading to EPS. Recently, EPS has been reported in patients shortly after transplantation suggesting that this procedure may also act as a possible second insult. The process of epithelial-mesenchymal transition of mesothelial cells is proposed to play a central role in the development of peritoneal sclerosis, a common characteristic of patients on dialysis, however, its importance in EPS is less clear. There is no established treatment for EPS although evidence from small case studies suggests that corticosteroids and tamoxifen may be beneficial. Nutritional support is essential and surgical intervention (peritonectomy and enterolysis) is recommended in later stages to relieve bowel obstruction.", "author" : [ { "dropping-particle" : "", "family" : "Moinuddin", "given" : "Zia", "non-dropping-particle" : "", "parse-names" : false, "suffix" : "" }, { "dropping-particle" : "", "family" : "Summers", "given" : "Angela", "non-dropping-particle" : "", "parse-names" : false, "suffix" : "" }, { "dropping-particle" : "", "family" : "Dellen", "given" : "David", "non-dropping-particle" : "van", "parse-names" : false, "suffix" : "" }, { "dropping-particle" : "", "family" : "Augustine", "given" : "Titus", "non-dropping-particle" : "", "parse-names" : false, "suffix" : "" }, { "dropping-particle" : "", "family" : "Herrick", "given" : "Sarah E.", "non-dropping-particle" : "", "parse-names" : false, "suffix" : "" } ], "container-title" : "Frontiers in Physiology", "id" : "ITEM-3", "issue" : "JAN", "issued" : { "date-parts" : [ [ "2015" ] ] }, "page" : "1-11", "title" : "Encapsulating peritoneal sclerosis-a rare but devastating peritoneal disease", "type" : "article-journal", "volume" : "6" }, "uris" : [ "http://www.mendeley.com/documents/?uuid=440478bc-5f0d-46b2-8962-351b66f768e1" ] } ], "mendeley" : { "formattedCitation" : "&lt;sup&gt;[53,56,57]&lt;/sup&gt;", "plainTextFormattedCitation" : "[53,56,57]", "previouslyFormattedCitation" : "&lt;sup&gt;[53,56,57]&lt;/sup&gt;" }, "properties" : { "noteIndex" : 0 }, "schema" : "https://github.com/citation-style-language/schema/raw/master/csl-citation.json" }</w:instrText>
      </w:r>
      <w:r w:rsidR="00C46FE9"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[53,56,57]</w:t>
      </w:r>
      <w:r w:rsidR="00C46FE9" w:rsidRPr="00F532B5">
        <w:rPr>
          <w:rFonts w:ascii="Book Antiqua" w:hAnsi="Book Antiqua"/>
          <w:color w:val="auto"/>
          <w:sz w:val="24"/>
          <w:szCs w:val="24"/>
        </w:rPr>
        <w:fldChar w:fldCharType="end"/>
      </w:r>
      <w:r w:rsidR="00C46FE9"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 xml:space="preserve">Nakamoto </w:t>
      </w:r>
      <w:r w:rsidRPr="00F532B5">
        <w:rPr>
          <w:rFonts w:ascii="Book Antiqua" w:hAnsi="Book Antiqua"/>
          <w:i/>
          <w:color w:val="auto"/>
          <w:sz w:val="24"/>
          <w:szCs w:val="24"/>
        </w:rPr>
        <w:t>et al</w:t>
      </w:r>
      <w:r w:rsidR="0013157D" w:rsidRPr="00F532B5">
        <w:rPr>
          <w:rFonts w:ascii="Book Antiqua" w:hAnsi="Book Antiqua"/>
          <w:i/>
          <w:color w:val="auto"/>
          <w:sz w:val="24"/>
          <w:szCs w:val="24"/>
        </w:rPr>
        <w:t>.</w:t>
      </w:r>
      <w:r w:rsidRPr="00F532B5">
        <w:rPr>
          <w:rFonts w:ascii="Book Antiqua" w:hAnsi="Book Antiqua"/>
          <w:color w:val="auto"/>
          <w:sz w:val="24"/>
          <w:szCs w:val="24"/>
        </w:rPr>
        <w:t xml:space="preserve"> categorized patients with </w:t>
      </w:r>
      <w:r w:rsidR="00E76D9E" w:rsidRPr="00F532B5">
        <w:rPr>
          <w:rFonts w:ascii="Book Antiqua" w:hAnsi="Book Antiqua"/>
          <w:color w:val="auto"/>
          <w:sz w:val="24"/>
          <w:szCs w:val="24"/>
        </w:rPr>
        <w:t>EPS into Stage 1 (pre-EPS</w:t>
      </w:r>
      <w:r w:rsidRPr="00F532B5">
        <w:rPr>
          <w:rFonts w:ascii="Book Antiqua" w:hAnsi="Book Antiqua"/>
          <w:color w:val="auto"/>
          <w:sz w:val="24"/>
          <w:szCs w:val="24"/>
        </w:rPr>
        <w:t>), Stage 2 (inflamm</w:t>
      </w:r>
      <w:r w:rsidR="00E76D9E" w:rsidRPr="00F532B5">
        <w:rPr>
          <w:rFonts w:ascii="Book Antiqua" w:hAnsi="Book Antiqua"/>
          <w:color w:val="auto"/>
          <w:sz w:val="24"/>
          <w:szCs w:val="24"/>
        </w:rPr>
        <w:t>atory), Stage 3 (encapsulating</w:t>
      </w:r>
      <w:r w:rsidRPr="00F532B5">
        <w:rPr>
          <w:rFonts w:ascii="Book Antiqua" w:hAnsi="Book Antiqua"/>
          <w:color w:val="auto"/>
          <w:sz w:val="24"/>
          <w:szCs w:val="24"/>
        </w:rPr>
        <w:t xml:space="preserve">), and </w:t>
      </w:r>
      <w:r w:rsidR="00C16455" w:rsidRPr="00F532B5">
        <w:rPr>
          <w:rFonts w:ascii="Book Antiqua" w:hAnsi="Book Antiqua"/>
          <w:color w:val="auto"/>
          <w:sz w:val="24"/>
          <w:szCs w:val="24"/>
        </w:rPr>
        <w:t>S</w:t>
      </w:r>
      <w:r w:rsidRPr="00F532B5">
        <w:rPr>
          <w:rFonts w:ascii="Book Antiqua" w:hAnsi="Book Antiqua"/>
          <w:color w:val="auto"/>
          <w:sz w:val="24"/>
          <w:szCs w:val="24"/>
        </w:rPr>
        <w:t>tage 4 (</w:t>
      </w:r>
      <w:r w:rsidR="00E76D9E" w:rsidRPr="00F532B5">
        <w:rPr>
          <w:rFonts w:ascii="Book Antiqua" w:hAnsi="Book Antiqua"/>
          <w:color w:val="auto"/>
          <w:sz w:val="24"/>
          <w:szCs w:val="24"/>
        </w:rPr>
        <w:t>chronic</w:t>
      </w:r>
      <w:r w:rsidRPr="00F532B5">
        <w:rPr>
          <w:rFonts w:ascii="Book Antiqua" w:hAnsi="Book Antiqua"/>
          <w:color w:val="auto"/>
          <w:sz w:val="24"/>
          <w:szCs w:val="24"/>
        </w:rPr>
        <w:t>)</w:t>
      </w:r>
      <w:r w:rsidR="00FE12FA" w:rsidRPr="00F532B5">
        <w:rPr>
          <w:rFonts w:ascii="Book Antiqua" w:hAnsi="Book Antiqua"/>
          <w:color w:val="auto"/>
          <w:sz w:val="24"/>
          <w:szCs w:val="24"/>
        </w:rPr>
        <w:t xml:space="preserve"> </w:t>
      </w:r>
      <w:r w:rsidR="00DE372C" w:rsidRPr="00F532B5">
        <w:rPr>
          <w:rFonts w:ascii="Book Antiqua" w:hAnsi="Book Antiqua"/>
          <w:color w:val="auto"/>
          <w:sz w:val="24"/>
          <w:szCs w:val="24"/>
        </w:rPr>
        <w:t>based on abdominal symptoms, inflammation, encapsulation, and intestinal findings</w:t>
      </w:r>
      <w:r w:rsidR="00FE12FA" w:rsidRPr="00F532B5">
        <w:rPr>
          <w:rFonts w:ascii="Book Antiqua" w:hAnsi="Book Antiqua"/>
          <w:color w:val="auto"/>
          <w:sz w:val="24"/>
          <w:szCs w:val="24"/>
        </w:rPr>
        <w:t xml:space="preserve"> (Table </w:t>
      </w:r>
      <w:r w:rsidR="002E29F1" w:rsidRPr="00F532B5">
        <w:rPr>
          <w:rFonts w:ascii="Book Antiqua" w:hAnsi="Book Antiqua"/>
          <w:color w:val="auto"/>
          <w:sz w:val="24"/>
          <w:szCs w:val="24"/>
        </w:rPr>
        <w:t>2</w:t>
      </w:r>
      <w:r w:rsidR="00FE12FA" w:rsidRPr="00F532B5">
        <w:rPr>
          <w:rFonts w:ascii="Book Antiqua" w:hAnsi="Book Antiqua"/>
          <w:color w:val="auto"/>
          <w:sz w:val="24"/>
          <w:szCs w:val="24"/>
        </w:rPr>
        <w:t>)</w:t>
      </w:r>
      <w:r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 xml:space="preserve">Different therapeutic approaches </w:t>
      </w:r>
      <w:r w:rsidR="00C16455" w:rsidRPr="00F532B5">
        <w:rPr>
          <w:rFonts w:ascii="Book Antiqua" w:hAnsi="Book Antiqua"/>
          <w:color w:val="auto"/>
          <w:sz w:val="24"/>
          <w:szCs w:val="24"/>
        </w:rPr>
        <w:t>have been</w:t>
      </w:r>
      <w:r w:rsidRPr="00F532B5">
        <w:rPr>
          <w:rFonts w:ascii="Book Antiqua" w:hAnsi="Book Antiqua"/>
          <w:color w:val="auto"/>
          <w:sz w:val="24"/>
          <w:szCs w:val="24"/>
        </w:rPr>
        <w:t xml:space="preserve"> proposed depending on the stage of disease</w:t>
      </w:r>
      <w:r w:rsidR="003446DC" w:rsidRPr="00F532B5">
        <w:rPr>
          <w:rFonts w:ascii="Book Antiqua" w:hAnsi="Book Antiqua"/>
          <w:color w:val="auto"/>
          <w:sz w:val="24"/>
          <w:szCs w:val="24"/>
          <w:vertAlign w:val="superscript"/>
        </w:rPr>
        <w:t>[</w:t>
      </w:r>
      <w:r w:rsidR="00DE372C" w:rsidRPr="00F532B5">
        <w:rPr>
          <w:rFonts w:ascii="Book Antiqua" w:hAnsi="Book Antiqua"/>
          <w:color w:val="auto"/>
          <w:sz w:val="24"/>
          <w:szCs w:val="24"/>
          <w:vertAlign w:val="superscript"/>
        </w:rPr>
        <w:t>53,</w:t>
      </w:r>
      <w:r w:rsidR="003446DC" w:rsidRPr="00F532B5">
        <w:rPr>
          <w:rFonts w:ascii="Book Antiqua" w:hAnsi="Book Antiqua"/>
          <w:color w:val="auto"/>
          <w:sz w:val="24"/>
          <w:szCs w:val="24"/>
          <w:vertAlign w:val="superscript"/>
        </w:rPr>
        <w:t>56</w:t>
      </w:r>
      <w:r w:rsidR="003446DC" w:rsidRPr="00F532B5" w:rsidDel="003446DC">
        <w:rPr>
          <w:rFonts w:ascii="Book Antiqua" w:hAnsi="Book Antiqua"/>
          <w:color w:val="auto"/>
          <w:sz w:val="24"/>
          <w:szCs w:val="24"/>
          <w:vertAlign w:val="superscript"/>
        </w:rPr>
        <w:t xml:space="preserve"> </w:t>
      </w:r>
      <w:r w:rsidR="00E76D9E" w:rsidRPr="00F532B5">
        <w:rPr>
          <w:rFonts w:ascii="Book Antiqua" w:hAnsi="Book Antiqua"/>
          <w:color w:val="auto"/>
          <w:sz w:val="24"/>
          <w:szCs w:val="24"/>
          <w:vertAlign w:val="superscript"/>
        </w:rPr>
        <w:t>,</w:t>
      </w:r>
      <w:r w:rsidR="00DE372C" w:rsidRPr="00F532B5">
        <w:rPr>
          <w:rFonts w:ascii="Book Antiqua" w:hAnsi="Book Antiqua"/>
          <w:color w:val="auto"/>
          <w:sz w:val="24"/>
          <w:szCs w:val="24"/>
          <w:vertAlign w:val="superscript"/>
        </w:rPr>
        <w:t>57</w:t>
      </w:r>
      <w:r w:rsidR="003446DC" w:rsidRPr="00F532B5">
        <w:rPr>
          <w:rFonts w:ascii="Book Antiqua" w:hAnsi="Book Antiqua"/>
          <w:color w:val="auto"/>
          <w:sz w:val="24"/>
          <w:szCs w:val="24"/>
          <w:vertAlign w:val="superscript"/>
        </w:rPr>
        <w:t>]</w:t>
      </w:r>
      <w:r w:rsidR="00E76D9E" w:rsidRPr="00F532B5">
        <w:rPr>
          <w:rFonts w:ascii="Book Antiqua" w:hAnsi="Book Antiqua"/>
          <w:color w:val="auto"/>
          <w:sz w:val="24"/>
          <w:szCs w:val="24"/>
        </w:rPr>
        <w:t>.</w:t>
      </w:r>
    </w:p>
    <w:p w14:paraId="7C5712AA" w14:textId="77777777" w:rsidR="003E406F" w:rsidRPr="00F532B5" w:rsidRDefault="003E406F" w:rsidP="00D92508">
      <w:pPr>
        <w:snapToGrid w:val="0"/>
        <w:spacing w:line="360" w:lineRule="auto"/>
        <w:jc w:val="both"/>
        <w:rPr>
          <w:rFonts w:ascii="Book Antiqua" w:hAnsi="Book Antiqua"/>
          <w:color w:val="auto"/>
          <w:sz w:val="24"/>
          <w:szCs w:val="24"/>
          <w:lang w:eastAsia="zh-CN"/>
        </w:rPr>
      </w:pPr>
    </w:p>
    <w:p w14:paraId="01265777" w14:textId="77777777" w:rsidR="0016371C" w:rsidRPr="007F5AC8" w:rsidRDefault="00754926" w:rsidP="00D92508">
      <w:pPr>
        <w:snapToGrid w:val="0"/>
        <w:spacing w:line="360" w:lineRule="auto"/>
        <w:jc w:val="both"/>
        <w:rPr>
          <w:rFonts w:ascii="Book Antiqua" w:hAnsi="Book Antiqua"/>
          <w:b/>
          <w:caps/>
          <w:color w:val="auto"/>
          <w:sz w:val="24"/>
          <w:szCs w:val="24"/>
        </w:rPr>
      </w:pPr>
      <w:r w:rsidRPr="007F5AC8">
        <w:rPr>
          <w:rFonts w:ascii="Book Antiqua" w:hAnsi="Book Antiqua"/>
          <w:b/>
          <w:caps/>
          <w:color w:val="auto"/>
          <w:sz w:val="24"/>
          <w:szCs w:val="24"/>
        </w:rPr>
        <w:t>Treatment</w:t>
      </w:r>
    </w:p>
    <w:p w14:paraId="36F6159F" w14:textId="77777777" w:rsidR="0016371C" w:rsidRPr="007F5AC8" w:rsidRDefault="00754926" w:rsidP="00D92508">
      <w:pPr>
        <w:snapToGrid w:val="0"/>
        <w:spacing w:line="360" w:lineRule="auto"/>
        <w:jc w:val="both"/>
        <w:rPr>
          <w:rFonts w:ascii="Book Antiqua" w:hAnsi="Book Antiqua"/>
          <w:b/>
          <w:color w:val="auto"/>
          <w:sz w:val="24"/>
          <w:szCs w:val="24"/>
        </w:rPr>
      </w:pPr>
      <w:r w:rsidRPr="007F5AC8">
        <w:rPr>
          <w:rFonts w:ascii="Book Antiqua" w:hAnsi="Book Antiqua"/>
          <w:b/>
          <w:i/>
          <w:color w:val="auto"/>
          <w:sz w:val="24"/>
          <w:szCs w:val="24"/>
        </w:rPr>
        <w:t>Treatment of underlying condition</w:t>
      </w:r>
    </w:p>
    <w:p w14:paraId="19A840BE" w14:textId="5C77D2D6" w:rsidR="0016371C" w:rsidRPr="00F532B5" w:rsidRDefault="00754926" w:rsidP="007F5AC8">
      <w:pPr>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 xml:space="preserve">When possible, </w:t>
      </w:r>
      <w:r w:rsidR="00EB7A73" w:rsidRPr="00F532B5">
        <w:rPr>
          <w:rFonts w:ascii="Book Antiqua" w:hAnsi="Book Antiqua"/>
          <w:color w:val="auto"/>
          <w:sz w:val="24"/>
          <w:szCs w:val="24"/>
        </w:rPr>
        <w:t>the underlying condition leading to EPS should be treated.</w:t>
      </w:r>
      <w:r w:rsidR="006D7818">
        <w:rPr>
          <w:rFonts w:ascii="Book Antiqua" w:hAnsi="Book Antiqua"/>
          <w:color w:val="auto"/>
          <w:sz w:val="24"/>
          <w:szCs w:val="24"/>
        </w:rPr>
        <w:t xml:space="preserve"> </w:t>
      </w:r>
      <w:r w:rsidRPr="00F532B5">
        <w:rPr>
          <w:rFonts w:ascii="Book Antiqua" w:hAnsi="Book Antiqua"/>
          <w:color w:val="auto"/>
          <w:sz w:val="24"/>
          <w:szCs w:val="24"/>
        </w:rPr>
        <w:t>In the case of PD, this involves cessation of peritoneal dialysis and transition to hemodialysis</w:t>
      </w:r>
      <w:r w:rsidR="00B92D6D"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"10.3389/fphys.2014.00470", "ISBN" : "1664-042X (Electronic)\\r1664-042X (Linking)", "ISSN" : "1664042X", "PMID" : "25601836", "abstract" : "Encapsulating peritoneal sclerosis (EPS) is a devastating but, fortunately, rare complication of long-term peritoneal dialysis. The disease is associated with extensive thickening and fibrosis of the peritoneum resulting in the formation of a fibrous cocoon encapsulating the bowel leading to intestinal obstruction. The incidence of EPS ranges between 0.7 and 3.3% and increases with duration of peritoneal dialysis therapy. Dialysis fluid is hyperosmotic, hyperglycemic, and acidic causing chronic injury and inflammation in the peritoneum with loss of mesothelium and extensive tissue fibrosis. The pathogenesis of EPS, however, still remains uncertain, although a widely accepted hypothesis is the \"two-hit theory,\" where, the first hit is chronic peritoneal membrane injury from long standing peritoneal dialysis followed by a second hit such as an episode of peritonitis, genetic predisposition and/or acute cessation of peritoneal dialysis, leading to EPS. Recently, EPS has been reported in patients shortly after transplantation suggesting that this procedure may also act as a possible second insult. The process of epithelial-mesenchymal transition of mesothelial cells is proposed to play a central role in the development of peritoneal sclerosis, a common characteristic of patients on dialysis, however, its importance in EPS is less clear. There is no established treatment for EPS although evidence from small case studies suggests that corticosteroids and tamoxifen may be beneficial. Nutritional support is essential and surgical intervention (peritonectomy and enterolysis) is recommended in later stages to relieve bowel obstruction.", "author" : [ { "dropping-particle" : "", "family" : "Moinuddin", "given" : "Zia", "non-dropping-particle" : "", "parse-names" : false, "suffix" : "" }, { "dropping-particle" : "", "family" : "Summers", "given" : "Angela", "non-dropping-particle" : "", "parse-names" : false, "suffix" : "" }, { "dropping-particle" : "", "family" : "Dellen", "given" : "David", "non-dropping-particle" : "van", "parse-names" : false, "suffix" : "" }, { "dropping-particle" : "", "family" : "Augustine", "given" : "Titus", "non-dropping-particle" : "", "parse-names" : false, "suffix" : "" }, { "dropping-particle" : "", "family" : "Herrick", "given" : "Sarah E.", "non-dropping-particle" : "", "parse-names" : false, "suffix" : "" } ], "container-title" : "Frontiers in Physiology", "id" : "ITEM-1", "issue" : "JAN", "issued" : { "date-parts" : [ [ "2015" ] ] }, "page" : "1-11", "title" : "Encapsulating peritoneal sclerosis-a rare but devastating peritoneal disease", "type" : "article-journal", "volume" : "6" }, "uris" : [ "http://www.mendeley.com/documents/?uuid=440478bc-5f0d-46b2-8962-351b66f768e1" ] } ], "mendeley" : { "formattedCitation" : "&lt;sup&gt;[57]&lt;/sup&gt;", "plainTextFormattedCitation" : "[57]", "previouslyFormattedCitation" : "&lt;sup&gt;[57]&lt;/sup&gt;" }, "properties" : { "noteIndex" : 0 }, "schema" : "https://github.com/citation-style-language/schema/raw/master/csl-citation.json" }</w:instrText>
      </w:r>
      <w:r w:rsidR="00B92D6D"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[57]</w:t>
      </w:r>
      <w:r w:rsidR="00B92D6D" w:rsidRPr="00F532B5">
        <w:rPr>
          <w:rFonts w:ascii="Book Antiqua" w:hAnsi="Book Antiqua"/>
          <w:color w:val="auto"/>
          <w:sz w:val="24"/>
          <w:szCs w:val="24"/>
        </w:rPr>
        <w:fldChar w:fldCharType="end"/>
      </w:r>
      <w:r w:rsidR="00E76D9E"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 xml:space="preserve">In </w:t>
      </w:r>
      <w:r w:rsidR="005049D9" w:rsidRPr="00F532B5">
        <w:rPr>
          <w:rFonts w:ascii="Book Antiqua" w:hAnsi="Book Antiqua"/>
          <w:color w:val="auto"/>
          <w:sz w:val="24"/>
          <w:szCs w:val="24"/>
        </w:rPr>
        <w:t xml:space="preserve">non-PD </w:t>
      </w:r>
      <w:r w:rsidRPr="00F532B5">
        <w:rPr>
          <w:rFonts w:ascii="Book Antiqua" w:hAnsi="Book Antiqua"/>
          <w:color w:val="auto"/>
          <w:sz w:val="24"/>
          <w:szCs w:val="24"/>
        </w:rPr>
        <w:t>EPS, potential offending medications should be withdrawn and underlying infection or inflammatory conditions should be treated.</w:t>
      </w:r>
      <w:r w:rsidR="006D7818">
        <w:rPr>
          <w:rFonts w:ascii="Book Antiqua" w:hAnsi="Book Antiqua"/>
          <w:color w:val="auto"/>
          <w:sz w:val="24"/>
          <w:szCs w:val="24"/>
        </w:rPr>
        <w:t xml:space="preserve"> </w:t>
      </w:r>
      <w:r w:rsidRPr="00F532B5">
        <w:rPr>
          <w:rFonts w:ascii="Book Antiqua" w:hAnsi="Book Antiqua"/>
          <w:color w:val="auto"/>
          <w:sz w:val="24"/>
          <w:szCs w:val="24"/>
        </w:rPr>
        <w:t>Despite withdrawal of the offending agent or treatment of the underlying condition, resolution of EPS is unlikely given its chronic, fibrotic nature and treatment of ongoing inflammation or the underlying fibrosis is frequently necessary</w:t>
      </w:r>
      <w:r w:rsidR="00B92D6D"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"10.1111/j.1479-828X.2006.00517.x", "ISSN" : "00048666", "PMID" : "16441697", "author" : [ { "dropping-particle" : "", "family" : "Sachdev", "given" : "Anish", "non-dropping-particle" : "", "parse-names" : false, "suffix" : "" }, { "dropping-particle" : "", "family" : "Usatoff", "given" : "V.", "non-dropping-particle" : "", "parse-names" : false, "suffix" : "" }, { "dropping-particle" : "", "family" : "Thaow", "given" : "C.", "non-dropping-particle" : "", "parse-names" : false, "suffix" : "" } ], "container-title" : "Australian and New Zealand Journal of Obstetrics and Gynaecology", "id" : "ITEM-1", "issue" : "1", "issued" : { "date-parts" : [ [ "2006" ] ] }, "page" : "58-59", "title" : "Sclerosing encapsulating peritonitis and methotrexate", "type" : "article-journal", "volume" : "46" }, "uris" : [ "http://www.mendeley.com/documents/?uuid=0aa59e62-ff46-45ae-a6ee-98666c1567ec" ] }, { "id" : "ITEM-2", "itemData" : { "ISBN" : "0007-1285 (Print) 0007-1285 (Linking)", "ISSN" : "00071285", "PMID" : "11893642", "abstract" : "Abdominal cocoon is a rare acquired condition in which there is encapsulation of the small bowel by a fibrous membrane. The authors describe a case wherein an organism was identified for the first time. The clinical, pathological and radiological features of this unusual disease are reviewed. Peritoneal encapsulation, a related subject, is also discussed.", "author" : [ { "dropping-particle" : "", "family" : "Lalloo", "given" : "S.", "non-dropping-particle" : "", "parse-names" : false, "suffix" : "" }, { "dropping-particle" : "", "family" : "Krishna", "given" : "D.", "non-dropping-particle" : "", "parse-names" : false, "suffix" : "" }, { "dropping-particle" : "", "family" : "Maharajh", "given" : "J.", "non-dropping-particle" : "", "parse-names" : false, "suffix" : "" } ], "container-title" : "British Journal of Radiology", "id" : "ITEM-2", "issue" : "890", "issued" : { "date-parts" : [ [ "2002" ] ] }, "page" : "174-176", "title" : "Abdominal cocoon associated with tuberculous pelvic inflammatory disease", "type" : "article-journal", "volume" : "75" }, "uris" : [ "http://www.mendeley.com/documents/?uuid=398853e6-2374-41ee-ac04-c914a1a2537c" ] }, { "id" : "ITEM-3", "itemData" : { "author" : [ { "dropping-particle" : "", "family" : "Eltringham", "given" : "WK", "non-dropping-particle" : "", "parse-names" : false, "suffix" : "" }, { "dropping-particle" : "", "family" : "Espiner", "given" : "HJ", "non-dropping-particle" : "", "parse-names" : false, "suffix" : "" }, { "dropping-particle" : "", "family" : "Windsor", "given" : "CWO", "non-dropping-particle" : "", "parse-names" : false, "suffix" : "" }, { "dropping-particle" : "", "family" : "Griffiths", "given" : "DA", "non-dropping-particle" : "", "parse-names" : false, "suffix" : "" }, { "dropping-particle" : "", "family" : "Davies", "given" : "JD", "non-dropping-particle" : "", "parse-names" : false, "suffix" : "" }, { "dropping-particle" : "", "family" : "Baddeley", "given" : "H", "non-dropping-particle" : "", "parse-names" : false, "suffix" : "" }, { "dropping-particle" : "", "family" : "Read", "given" : "AEA", "non-dropping-particle" : "", "parse-names" : false, "suffix" : "" }, { "dropping-particle" : "", "family" : "Blunt", "given" : "RJ", "non-dropping-particle" : "", "parse-names" : false, "suffix" : "" } ], "container-title" : "The British Journal of Surgery", "id" : "ITEM-3", "issue" : "4", "issued" : { "date-parts" : [ [ "1977" ] ] }, "page" : "229-235", "title" : "Sclerosing peritonitis due to practolol: a report on 9 cases and their surgical management", "type" : "article-journal", "volume" : "64" }, "uris" : [ "http://www.mendeley.com/documents/?uuid=76ac1db4-6795-44cb-a823-809ede90d92d" ] }, { "id" : "ITEM-4", "itemData" : { "ISBN" : "0301-0430 (Print)\\r0301-0430 (Linking)", "ISSN" : "0301-0430", "PMID" : "17722714", "abstract" : "Encapsulating peritoneal sclerosis remains a serious complication of peritoneal dialysis. Prolonged duration on dialysis and severe episodes of peritonitis are the two most important risk factors for developing the condition. Here we describe a patient who developed a fulminant form of encapsulating peritoneal sclerosis soon after suffering from an episode of fungal peritonitis. There was clinical evidence of ongoing inflammation and gross malnutrition. Signs of chronic intestinal stasis were present on radiological imaging. There was concern in this situation that symptoms could partly relate to ongoing peritoneal sepsis, which could be worsened by immunosuppressives such as steroids. Tamoxifen was used without steroids in our patient with prompt resolution of stasis symptoms and withdrawal of artificial nutrition support. To our knowledge tamoxifen has never been previously used alone, in this scenario. We propose that tamoxifen might be a safer alternative to use in this clinical setting where there is concern about presence of ongoing sepsis, than corticosteroids and immunosuppressive agents.", "author" : [ { "dropping-particle" : "", "family" : "Gupta", "given" : "S", "non-dropping-particle" : "", "parse-names" : false, "suffix" : "" }, { "dropping-particle" : "", "family" : "Woodrow", "given" : "G", "non-dropping-particle" : "", "parse-names" : false, "suffix" : "" } ], "container-title" : "Clin Nephrol", "id" : "ITEM-4", "issue" : "2", "issued" : { "date-parts" : [ [ "2007" ] ] }, "page" : "125-129", "title" : "Successful treatment of fulminant encapsulating peritoneal sclerosis following fungal peritonitis with tamoxifen", "type" : "article-journal", "volume" : "68" }, "uris" : [ "http://www.mendeley.com/documents/?uuid=db237571-70ab-4ad0-84d5-67760378c5f4" ] } ], "mendeley" : { "formattedCitation" : "&lt;sup&gt;[6,8,14,68]&lt;/sup&gt;", "plainTextFormattedCitation" : "[6,8,14,68]", "previouslyFormattedCitation" : "&lt;sup&gt;[6,8,14,68]&lt;/sup&gt;" }, "properties" : { "noteIndex" : 0 }, "schema" : "https://github.com/citation-style-language/schema/raw/master/csl-citation.json" }</w:instrText>
      </w:r>
      <w:r w:rsidR="00B92D6D"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[6,8,14,6</w:t>
      </w:r>
      <w:r w:rsidR="009C02A4">
        <w:rPr>
          <w:rFonts w:ascii="Book Antiqua" w:hAnsi="Book Antiqua" w:hint="eastAsia"/>
          <w:noProof/>
          <w:color w:val="auto"/>
          <w:sz w:val="24"/>
          <w:szCs w:val="24"/>
          <w:vertAlign w:val="superscript"/>
          <w:lang w:eastAsia="zh-CN"/>
        </w:rPr>
        <w:t>7</w:t>
      </w:r>
      <w:r w:rsidR="00525A55" w:rsidRPr="00F532B5">
        <w:rPr>
          <w:rFonts w:ascii="Book Antiqua" w:hAnsi="Book Antiqua"/>
          <w:noProof/>
          <w:color w:val="auto"/>
          <w:sz w:val="24"/>
          <w:szCs w:val="24"/>
          <w:vertAlign w:val="superscript"/>
        </w:rPr>
        <w:t>]</w:t>
      </w:r>
      <w:r w:rsidR="00B92D6D" w:rsidRPr="00F532B5">
        <w:rPr>
          <w:rFonts w:ascii="Book Antiqua" w:hAnsi="Book Antiqua"/>
          <w:color w:val="auto"/>
          <w:sz w:val="24"/>
          <w:szCs w:val="24"/>
        </w:rPr>
        <w:fldChar w:fldCharType="end"/>
      </w:r>
      <w:r w:rsidRPr="00F532B5">
        <w:rPr>
          <w:rFonts w:ascii="Book Antiqua" w:hAnsi="Book Antiqua"/>
          <w:color w:val="auto"/>
          <w:sz w:val="24"/>
          <w:szCs w:val="24"/>
        </w:rPr>
        <w:t>.</w:t>
      </w:r>
    </w:p>
    <w:p w14:paraId="66C87F01" w14:textId="77777777" w:rsidR="0016371C" w:rsidRPr="00F532B5" w:rsidRDefault="0016371C" w:rsidP="00D92508">
      <w:pPr>
        <w:snapToGrid w:val="0"/>
        <w:spacing w:line="360" w:lineRule="auto"/>
        <w:jc w:val="both"/>
        <w:rPr>
          <w:rFonts w:ascii="Book Antiqua" w:hAnsi="Book Antiqua"/>
          <w:color w:val="auto"/>
          <w:sz w:val="24"/>
          <w:szCs w:val="24"/>
        </w:rPr>
      </w:pPr>
    </w:p>
    <w:p w14:paraId="34BD3C3B" w14:textId="5987250A" w:rsidR="0016371C" w:rsidRPr="007F5AC8" w:rsidRDefault="00754926" w:rsidP="00D92508">
      <w:pPr>
        <w:snapToGrid w:val="0"/>
        <w:spacing w:line="360" w:lineRule="auto"/>
        <w:jc w:val="both"/>
        <w:rPr>
          <w:rFonts w:ascii="Book Antiqua" w:hAnsi="Book Antiqua"/>
          <w:b/>
          <w:i/>
          <w:color w:val="auto"/>
          <w:sz w:val="24"/>
          <w:szCs w:val="24"/>
        </w:rPr>
      </w:pPr>
      <w:r w:rsidRPr="007F5AC8">
        <w:rPr>
          <w:rFonts w:ascii="Book Antiqua" w:hAnsi="Book Antiqua"/>
          <w:b/>
          <w:i/>
          <w:color w:val="auto"/>
          <w:sz w:val="24"/>
          <w:szCs w:val="24"/>
        </w:rPr>
        <w:t xml:space="preserve">Nutritional </w:t>
      </w:r>
      <w:r w:rsidR="007F5AC8" w:rsidRPr="007F5AC8">
        <w:rPr>
          <w:rFonts w:ascii="Book Antiqua" w:hAnsi="Book Antiqua"/>
          <w:b/>
          <w:i/>
          <w:color w:val="auto"/>
          <w:sz w:val="24"/>
          <w:szCs w:val="24"/>
        </w:rPr>
        <w:t>s</w:t>
      </w:r>
      <w:r w:rsidRPr="007F5AC8">
        <w:rPr>
          <w:rFonts w:ascii="Book Antiqua" w:hAnsi="Book Antiqua"/>
          <w:b/>
          <w:i/>
          <w:color w:val="auto"/>
          <w:sz w:val="24"/>
          <w:szCs w:val="24"/>
        </w:rPr>
        <w:t>upport</w:t>
      </w:r>
    </w:p>
    <w:p w14:paraId="5ABC685E" w14:textId="311A97A4" w:rsidR="0016371C" w:rsidRPr="00F532B5" w:rsidRDefault="00754926" w:rsidP="007F5AC8">
      <w:pPr>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On diagn</w:t>
      </w:r>
      <w:r w:rsidR="004B1F84" w:rsidRPr="00F532B5">
        <w:rPr>
          <w:rFonts w:ascii="Book Antiqua" w:hAnsi="Book Antiqua"/>
          <w:color w:val="auto"/>
          <w:sz w:val="24"/>
          <w:szCs w:val="24"/>
        </w:rPr>
        <w:t>osis of EPS, nutritional status</w:t>
      </w:r>
      <w:r w:rsidRPr="00F532B5">
        <w:rPr>
          <w:rFonts w:ascii="Book Antiqua" w:hAnsi="Book Antiqua"/>
          <w:color w:val="auto"/>
          <w:sz w:val="24"/>
          <w:szCs w:val="24"/>
        </w:rPr>
        <w:t xml:space="preserve"> should be assessed.</w:t>
      </w:r>
      <w:r w:rsidR="006D7818">
        <w:rPr>
          <w:rFonts w:ascii="Book Antiqua" w:hAnsi="Book Antiqua"/>
          <w:color w:val="auto"/>
          <w:sz w:val="24"/>
          <w:szCs w:val="24"/>
        </w:rPr>
        <w:t xml:space="preserve"> </w:t>
      </w:r>
      <w:r w:rsidR="00EB7A73" w:rsidRPr="00F532B5">
        <w:rPr>
          <w:rFonts w:ascii="Book Antiqua" w:hAnsi="Book Antiqua"/>
          <w:color w:val="auto"/>
          <w:sz w:val="24"/>
          <w:szCs w:val="24"/>
        </w:rPr>
        <w:t>While b</w:t>
      </w:r>
      <w:r w:rsidRPr="00F532B5">
        <w:rPr>
          <w:rFonts w:ascii="Book Antiqua" w:hAnsi="Book Antiqua"/>
          <w:color w:val="auto"/>
          <w:sz w:val="24"/>
          <w:szCs w:val="24"/>
        </w:rPr>
        <w:t xml:space="preserve">owel rest </w:t>
      </w:r>
      <w:r w:rsidR="00EB7A73" w:rsidRPr="00F532B5">
        <w:rPr>
          <w:rFonts w:ascii="Book Antiqua" w:hAnsi="Book Antiqua"/>
          <w:color w:val="auto"/>
          <w:sz w:val="24"/>
          <w:szCs w:val="24"/>
        </w:rPr>
        <w:t>and TPN alone are</w:t>
      </w:r>
      <w:r w:rsidRPr="00F532B5">
        <w:rPr>
          <w:rFonts w:ascii="Book Antiqua" w:hAnsi="Book Antiqua"/>
          <w:color w:val="auto"/>
          <w:sz w:val="24"/>
          <w:szCs w:val="24"/>
        </w:rPr>
        <w:t xml:space="preserve"> not effective in treat</w:t>
      </w:r>
      <w:r w:rsidR="00EB7A73" w:rsidRPr="00F532B5">
        <w:rPr>
          <w:rFonts w:ascii="Book Antiqua" w:hAnsi="Book Antiqua"/>
          <w:color w:val="auto"/>
          <w:sz w:val="24"/>
          <w:szCs w:val="24"/>
        </w:rPr>
        <w:t>ing EPS</w:t>
      </w:r>
      <w:r w:rsidR="00B92D6D"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"10.1053/j.ajkd.2004.06.020", "ISSN" : "02726386", "PMID" : "15384025", "abstract" : "Background: Encapsulating peritoneal sclerosis (EPS) is recognized as a rare but serious complication of peritoneal dialysis (PD). The aim of this study was to determine the incidence, clinical features, and mortality rate of EPS. Methods: The authors requested the registration of all PD patients in facilities across Japan where more than 10 patients were treated with PD in this prospective multicenter study. During the 4-year study, the incidence of EPS was observed in the enrolled patients. Results: A total of 1,958 patients who were treated with PD in 57 facilities were followed up from April 1999 through March 2003. EPS occurred in 48 patients, corresponding to an overall incidence of 2.5%. In 33 of the 48 (68.8%) patients, EPS was found after discontinuation of PD. The incidence (and mortality rate) of EPS was 0%, 0.7% (0%), 2.1% (8.3%), 5.9% (28.6%), 5.8% (61.5%), and 17.2% (100%) in patients who had undergone PD for 3, 5, 8, 10, 15, and more than 15 years, respectively. The recovery ratio with total parenteral nutrition, corticosteroids and surgical treatment were 0%, 38.5%, and 58.3%, respectively. Eighteen patients (37.5%) died, 22 (45.8%) recovered, and the status of the other 8 (16.7%) remained unchanged. Conclusion: The results of this prospective multicenter study showed that the incidence of EPS was 2.5% within a 4-year observation period and that two thirds of the cases were diagnosed after discontinuation of PD. Because of the current progress in diagnostic technology and therapeutic methodology, it appears that PD can be continued successfully with an acceptable, low risk for EPS for at least 8 years, whereas stricter caution is required for patients receiving PD for longer periods. \u00a9 2004 by the National Kidney Foundation, Inc.", "author" : [ { "dropping-particle" : "", "family" : "Kawanishi", "given" : "Hideki", "non-dropping-particle" : "", "parse-names" : false, "suffix" : "" }, { "dropping-particle" : "", "family" : "Kawaguchi", "given" : "Yoshindo", "non-dropping-particle" : "", "parse-names" : false, "suffix" : "" }, { "dropping-particle" : "", "family" : "Fukui", "given" : "Hiroyoshi", "non-dropping-particle" : "", "parse-names" : false, "suffix" : "" }, { "dropping-particle" : "", "family" : "Hara", "given" : "Shigeko", "non-dropping-particle" : "", "parse-names" : false, "suffix" : "" }, { "dropping-particle" : "", "family" : "Imada", "given" : "Akio", "non-dropping-particle" : "", "parse-names" : false, "suffix" : "" }, { "dropping-particle" : "", "family" : "Kubo", "given" : "Hitoshi", "non-dropping-particle" : "", "parse-names" : false, "suffix" : "" }, { "dropping-particle" : "", "family" : "Kin", "given" : "Masao", "non-dropping-particle" : "", "parse-names" : false, "suffix" : "" }, { "dropping-particle" : "", "family" : "Nakamoto", "given" : "Masahiko", "non-dropping-particle" : "", "parse-names" : false, "suffix" : "" }, { "dropping-particle" : "", "family" : "Ohira", "given" : "Seiji", "non-dropping-particle" : "", "parse-names" : false, "suffix" : "" }, { "dropping-particle" : "", "family" : "Shoji", "given" : "Takao", "non-dropping-particle" : "", "parse-names" : false, "suffix" : "" } ], "container-title" : "American Journal of Kidney Diseases", "id" : "ITEM-1", "issue" : "4", "issued" : { "date-parts" : [ [ "2004" ] ] }, "page" : "729-737", "title" : "Encapsulating peritoneal sclerosis in Japan: A prospective, controlled, multicenter study", "type" : "article-journal", "volume" : "44" }, "uris" : [ "http://www.mendeley.com/documents/?uuid=cec0e88c-1097-46cc-8d59-c677a6747f37" ] } ], "mendeley" : { "formattedCitation" : "&lt;sup&gt;[69]&lt;/sup&gt;", "plainTextFormattedCitation" : "[69]", "previouslyFormattedCitation" : "&lt;sup&gt;[69]&lt;/sup&gt;" }, "properties" : { "noteIndex" : 0 }, "schema" : "https://github.com/citation-style-language/schema/raw/master/csl-citation.json" }</w:instrText>
      </w:r>
      <w:r w:rsidR="00B92D6D"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[6</w:t>
      </w:r>
      <w:r w:rsidR="009C02A4">
        <w:rPr>
          <w:rFonts w:ascii="Book Antiqua" w:hAnsi="Book Antiqua" w:hint="eastAsia"/>
          <w:noProof/>
          <w:color w:val="auto"/>
          <w:sz w:val="24"/>
          <w:szCs w:val="24"/>
          <w:vertAlign w:val="superscript"/>
          <w:lang w:eastAsia="zh-CN"/>
        </w:rPr>
        <w:t>8</w:t>
      </w:r>
      <w:r w:rsidR="00525A55" w:rsidRPr="00F532B5">
        <w:rPr>
          <w:rFonts w:ascii="Book Antiqua" w:hAnsi="Book Antiqua"/>
          <w:noProof/>
          <w:color w:val="auto"/>
          <w:sz w:val="24"/>
          <w:szCs w:val="24"/>
          <w:vertAlign w:val="superscript"/>
        </w:rPr>
        <w:t>]</w:t>
      </w:r>
      <w:r w:rsidR="00B92D6D" w:rsidRPr="00F532B5">
        <w:rPr>
          <w:rFonts w:ascii="Book Antiqua" w:hAnsi="Book Antiqua"/>
          <w:color w:val="auto"/>
          <w:sz w:val="24"/>
          <w:szCs w:val="24"/>
        </w:rPr>
        <w:fldChar w:fldCharType="end"/>
      </w:r>
      <w:r w:rsidRPr="00F532B5">
        <w:rPr>
          <w:rFonts w:ascii="Book Antiqua" w:hAnsi="Book Antiqua"/>
          <w:color w:val="auto"/>
          <w:sz w:val="24"/>
          <w:szCs w:val="24"/>
        </w:rPr>
        <w:t xml:space="preserve">, ensuring adequate nutrition is </w:t>
      </w:r>
      <w:r w:rsidR="00EB7A73" w:rsidRPr="00F532B5">
        <w:rPr>
          <w:rFonts w:ascii="Book Antiqua" w:hAnsi="Book Antiqua"/>
          <w:color w:val="auto"/>
          <w:sz w:val="24"/>
          <w:szCs w:val="24"/>
        </w:rPr>
        <w:t>essential</w:t>
      </w:r>
      <w:r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Given obstructi</w:t>
      </w:r>
      <w:r w:rsidR="00E371C2" w:rsidRPr="00F532B5">
        <w:rPr>
          <w:rFonts w:ascii="Book Antiqua" w:hAnsi="Book Antiqua"/>
          <w:color w:val="auto"/>
          <w:sz w:val="24"/>
          <w:szCs w:val="24"/>
        </w:rPr>
        <w:t>on</w:t>
      </w:r>
      <w:r w:rsidRPr="00F532B5">
        <w:rPr>
          <w:rFonts w:ascii="Book Antiqua" w:hAnsi="Book Antiqua"/>
          <w:color w:val="auto"/>
          <w:sz w:val="24"/>
          <w:szCs w:val="24"/>
        </w:rPr>
        <w:t xml:space="preserve">, enteral feeding is </w:t>
      </w:r>
      <w:r w:rsidR="00B0563A" w:rsidRPr="00F532B5">
        <w:rPr>
          <w:rFonts w:ascii="Book Antiqua" w:hAnsi="Book Antiqua"/>
          <w:color w:val="auto"/>
          <w:sz w:val="24"/>
          <w:szCs w:val="24"/>
        </w:rPr>
        <w:t xml:space="preserve">often </w:t>
      </w:r>
      <w:r w:rsidRPr="00F532B5">
        <w:rPr>
          <w:rFonts w:ascii="Book Antiqua" w:hAnsi="Book Antiqua"/>
          <w:color w:val="auto"/>
          <w:sz w:val="24"/>
          <w:szCs w:val="24"/>
        </w:rPr>
        <w:t>not tolerated and TPN is required</w:t>
      </w:r>
      <w:r w:rsidR="00B92D6D"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"PMID" : "18474920", "abstract" : "BACKGROUND: Encapsulating peritoneal sclerosis (EPS) is a rare but serious complication of peritoneal dialysis (PD). Gastrointestinal (GI) symptoms affect appetite and dietary intake. Adequate nutrition is especially important if surgical interventions are required. Aim: To investigate the nutritional management of 23 EPS patients that underwent surgical intervention between 1999 and 2005 at Manchester Royal Infirmary, United Kingdom. METHODS: EPS was recognized by GI symptoms and diagnostically confirmed by laparotomy, computed tomographic scanning, or biopsy. RESULTS: Mean time on PD was 74 months (interquartile range 42-89 months). During the 12 months pre-diagnosis, 65% of the group showed significant weight loss (p = 0.0001), with 8 patients losing &gt;10% of body weight; 74% of patients experienced significant albumin decrease (p = 0.001); and 56% of patients experienced GI symptoms during the 6 months pre-diagnosis. Nasogastric (NG) feeding was recommended for 8 patients but continued in only 1. 15 patients (mean albumin 27 g/L) commenced parenteral nutrition (PN); 9 patients recovered, with albumin increasing over the 6-month follow-up. Mean hospital time was 62 days for the group receiving neither NG nor PN, compared with 124.3 for the PN/NG group (p = 0.04). In patients that died of EPS, albumin continued to fall at 3 months post-diagnosis. CONCLUSION: There is currently little guidance for nutritional management of EPS. From this study we recommend (1) a high level of clinical suspicion for EPS, especially if PD patients have weight loss; (2) PN may be better than NG feeding but further studies into dual enteral nutrition and PN are needed; (3) aggressive nutritional supplementation pre- and postoperatively; and (4) dietitians need to recognize the high risk of refeeding syndrome", "author" : [ { "dropping-particle" : "", "family" : "de", "given" : "Freitas D", "non-dropping-particle" : "", "parse-names" : false, "suffix" : "" }, { "dropping-particle" : "", "family" : "Jordaan", "given" : "A", "non-dropping-particle" : "", "parse-names" : false, "suffix" : "" }, { "dropping-particle" : "", "family" : "Williams", "given" : "R", "non-dropping-particle" : "", "parse-names" : false, "suffix" : "" }, { "dropping-particle" : "", "family" : "Alderdice", "given" : "J", "non-dropping-particle" : "", "parse-names" : false, "suffix" : "" }, { "dropping-particle" : "", "family" : "Curwell", "given" : "J", "non-dropping-particle" : "", "parse-names" : false, "suffix" : "" }, { "dropping-particle" : "", "family" : "Hurst", "given" : "H", "non-dropping-particle" : "", "parse-names" : false, "suffix" : "" }, { "dropping-particle" : "", "family" : "Hutchison", "given" : "A", "non-dropping-particle" : "", "parse-names" : false, "suffix" : "" }, { "dropping-particle" : "", "family" : "Brenchley", "given" : "P E", "non-dropping-particle" : "", "parse-names" : false, "suffix" : "" }, { "dropping-particle" : "", "family" : "Augustine", "given" : "T", "non-dropping-particle" : "", "parse-names" : false, "suffix" : "" }, { "dropping-particle" : "", "family" : "Summers", "given" : "A M", "non-dropping-particle" : "", "parse-names" : false, "suffix" : "" } ], "container-title" : "Perit.Dial.Int", "id" : "ITEM-1", "issue" : "0896-8608 (Print)", "issued" : { "date-parts" : [ [ "2008" ] ] }, "page" : "271-276", "title" : "Nutritional management of patients undergoing surgery following diagnosis with encapsulating peritoneal sclerosis", "type" : "article-journal", "volume" : "28" }, "uris" : [ "http://www.mendeley.com/documents/?uuid=339457fd-e1d0-48af-9ed2-079abd6f3ff2" ] } ], "mendeley" : { "formattedCitation" : "&lt;sup&gt;[70]&lt;/sup&gt;", "plainTextFormattedCitation" : "[70]", "previouslyFormattedCitation" : "&lt;sup&gt;[70]&lt;/sup&gt;" }, "properties" : { "noteIndex" : 0 }, "schema" : "https://github.com/citation-style-language/schema/raw/master/csl-citation.json" }</w:instrText>
      </w:r>
      <w:r w:rsidR="00B92D6D"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w:t>
      </w:r>
      <w:r w:rsidR="009C02A4">
        <w:rPr>
          <w:rFonts w:ascii="Book Antiqua" w:hAnsi="Book Antiqua" w:hint="eastAsia"/>
          <w:noProof/>
          <w:color w:val="auto"/>
          <w:sz w:val="24"/>
          <w:szCs w:val="24"/>
          <w:vertAlign w:val="superscript"/>
          <w:lang w:eastAsia="zh-CN"/>
        </w:rPr>
        <w:t>69</w:t>
      </w:r>
      <w:r w:rsidR="00525A55" w:rsidRPr="00F532B5">
        <w:rPr>
          <w:rFonts w:ascii="Book Antiqua" w:hAnsi="Book Antiqua"/>
          <w:noProof/>
          <w:color w:val="auto"/>
          <w:sz w:val="24"/>
          <w:szCs w:val="24"/>
          <w:vertAlign w:val="superscript"/>
        </w:rPr>
        <w:t>]</w:t>
      </w:r>
      <w:r w:rsidR="00B92D6D" w:rsidRPr="00F532B5">
        <w:rPr>
          <w:rFonts w:ascii="Book Antiqua" w:hAnsi="Book Antiqua"/>
          <w:color w:val="auto"/>
          <w:sz w:val="24"/>
          <w:szCs w:val="24"/>
        </w:rPr>
        <w:fldChar w:fldCharType="end"/>
      </w:r>
      <w:r w:rsidR="00516C28" w:rsidRPr="00F532B5">
        <w:rPr>
          <w:rFonts w:ascii="Book Antiqua" w:hAnsi="Book Antiqua"/>
          <w:color w:val="auto"/>
          <w:sz w:val="24"/>
          <w:szCs w:val="24"/>
        </w:rPr>
        <w:t>.</w:t>
      </w:r>
      <w:r w:rsidR="006D7818">
        <w:rPr>
          <w:rFonts w:ascii="Book Antiqua" w:hAnsi="Book Antiqua"/>
          <w:color w:val="auto"/>
          <w:sz w:val="24"/>
          <w:szCs w:val="24"/>
        </w:rPr>
        <w:t xml:space="preserve"> </w:t>
      </w:r>
      <w:r w:rsidR="00E371C2" w:rsidRPr="00F532B5">
        <w:rPr>
          <w:rFonts w:ascii="Book Antiqua" w:hAnsi="Book Antiqua"/>
          <w:color w:val="auto"/>
          <w:sz w:val="24"/>
          <w:szCs w:val="24"/>
        </w:rPr>
        <w:t>A</w:t>
      </w:r>
      <w:r w:rsidRPr="00F532B5">
        <w:rPr>
          <w:rFonts w:ascii="Book Antiqua" w:hAnsi="Book Antiqua"/>
          <w:color w:val="auto"/>
          <w:sz w:val="24"/>
          <w:szCs w:val="24"/>
        </w:rPr>
        <w:t xml:space="preserve"> case series in China, </w:t>
      </w:r>
      <w:r w:rsidR="00E371C2" w:rsidRPr="00F532B5">
        <w:rPr>
          <w:rFonts w:ascii="Book Antiqua" w:hAnsi="Book Antiqua"/>
          <w:color w:val="auto"/>
          <w:sz w:val="24"/>
          <w:szCs w:val="24"/>
        </w:rPr>
        <w:t xml:space="preserve">showed </w:t>
      </w:r>
      <w:r w:rsidRPr="00F532B5">
        <w:rPr>
          <w:rFonts w:ascii="Book Antiqua" w:hAnsi="Book Antiqua"/>
          <w:color w:val="auto"/>
          <w:sz w:val="24"/>
          <w:szCs w:val="24"/>
        </w:rPr>
        <w:t>preoperative TPN reduced serious postoperative complications and hospital stay</w:t>
      </w:r>
      <w:r w:rsidR="00B92D6D"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"10.1007/s00268-014-2458-6", "ISBN" : "0364-2313", "ISSN" : "14322323", "PMID" : "24519587", "abstract" : "BACKGROUND: The abdominal cocoon (AC) is a condition in which a variable length of healthy small bowel is enveloped in a fibrocollagenous membrane, giving the appearance of a cocoon. Early experiences with treatment were associated with high mortality and morbidity rates and a low preoperative diagnostic rate, leading to underestimation of the treatment benefit of surgery. METHODS: We retrospectively reviewed the medical records of 65 patients who were diagnosed as having AC from 2001 to 2011. The clinical data, surgical intervention, and perioperative management were carefully reviewed. RESULTS: The 65 patients (57 male, 8 female) had a median age of 39 years (range 14-79 years). Patients who received preoperative nutritional support had higher rate of grade 0 complications (p = 0.012) and a lower rate of grade II complications (p = 0.012) than those without nutritional support. Intestinal stenting during surgical intervention also decreased both grade I (p = 0.012) and grade II (p = 0.007) complications. Patients who received preoperative nutritional support and underwent intestinal stenting had a lower rate of postoperative complications (p &lt; 0.05). In addition, patients with preoperative nutritional support were more satisfied postoperatively (p = 0.018) than those without nutritional support. This was also observed in patients with intestinal stenting versus those without it (p = 0.027). CONCLUSIONS: Our single-center study with a large number of patients provided evidence regarding the epidemiology of AC. Preoperative nutritional support and intestinal stenting significantly reduced postoperative complications and, more importantly, increased postoperative satisfaction.", "author" : [ { "dropping-particle" : "", "family" : "Li", "given" : "Ning", "non-dropping-particle" : "", "parse-names" : false, "suffix" : "" }, { "dropping-particle" : "", "family" : "Zhu", "given" : "Weiming", "non-dropping-particle" : "", "parse-names" : false, "suffix" : "" }, { "dropping-particle" : "", "family" : "Li", "given" : "Yi", "non-dropping-particle" : "", "parse-names" : false, "suffix" : "" }, { "dropping-particle" : "", "family" : "Gong", "given" : "Jianfeng", "non-dropping-particle" : "", "parse-names" : false, "suffix" : "" }, { "dropping-particle" : "", "family" : "Gu", "given" : "Lili", "non-dropping-particle" : "", "parse-names" : false, "suffix" : "" }, { "dropping-particle" : "", "family" : "Li", "given" : "Min", "non-dropping-particle" : "", "parse-names" : false, "suffix" : "" }, { "dropping-particle" : "", "family" : "Cao", "given" : "Lei", "non-dropping-particle" : "", "parse-names" : false, "suffix" : "" }, { "dropping-particle" : "", "family" : "Li", "given" : "Jieshou", "non-dropping-particle" : "", "parse-names" : false, "suffix" : "" } ], "container-title" : "World Journal of Surgery", "id" : "ITEM-1", "issue" : "7", "issued" : { "date-parts" : [ [ "2014" ] ] }, "page" : "1860-1867", "title" : "Surgical treatment and perioperative management of idiopathic abdominal cocoon: Single-center review of 65 cases", "type" : "article-journal", "volume" : "38" }, "uris" : [ "http://www.mendeley.com/documents/?uuid=5b540d2a-077d-4454-9670-8688d5c9fd40" ] } ], "mendeley" : { "formattedCitation" : "&lt;sup&gt;[4]&lt;/sup&gt;", "plainTextFormattedCitation" : "[4]", "previouslyFormattedCitation" : "&lt;sup&gt;[4]&lt;/sup&gt;" }, "properties" : { "noteIndex" : 0 }, "schema" : "https://github.com/citation-style-language/schema/raw/master/csl-citation.json" }</w:instrText>
      </w:r>
      <w:r w:rsidR="00B92D6D"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[4]</w:t>
      </w:r>
      <w:r w:rsidR="00B92D6D" w:rsidRPr="00F532B5">
        <w:rPr>
          <w:rFonts w:ascii="Book Antiqua" w:hAnsi="Book Antiqua"/>
          <w:color w:val="auto"/>
          <w:sz w:val="24"/>
          <w:szCs w:val="24"/>
        </w:rPr>
        <w:fldChar w:fldCharType="end"/>
      </w:r>
      <w:r w:rsidR="00516C28" w:rsidRPr="00F532B5">
        <w:rPr>
          <w:rFonts w:ascii="Book Antiqua" w:hAnsi="Book Antiqua"/>
          <w:color w:val="auto"/>
          <w:sz w:val="24"/>
          <w:szCs w:val="24"/>
        </w:rPr>
        <w:t xml:space="preserve">. </w:t>
      </w:r>
    </w:p>
    <w:p w14:paraId="08FCBC30" w14:textId="77777777" w:rsidR="0016371C" w:rsidRPr="00F532B5" w:rsidRDefault="0016371C" w:rsidP="00D92508">
      <w:pPr>
        <w:snapToGrid w:val="0"/>
        <w:spacing w:line="360" w:lineRule="auto"/>
        <w:jc w:val="both"/>
        <w:rPr>
          <w:rFonts w:ascii="Book Antiqua" w:hAnsi="Book Antiqua"/>
          <w:color w:val="auto"/>
          <w:sz w:val="24"/>
          <w:szCs w:val="24"/>
        </w:rPr>
      </w:pPr>
    </w:p>
    <w:p w14:paraId="62CC2F57" w14:textId="77777777" w:rsidR="0016371C" w:rsidRPr="00100689" w:rsidRDefault="00754926" w:rsidP="00D92508">
      <w:pPr>
        <w:snapToGrid w:val="0"/>
        <w:spacing w:line="360" w:lineRule="auto"/>
        <w:jc w:val="both"/>
        <w:rPr>
          <w:rFonts w:ascii="Book Antiqua" w:hAnsi="Book Antiqua"/>
          <w:b/>
          <w:color w:val="auto"/>
          <w:sz w:val="24"/>
          <w:szCs w:val="24"/>
        </w:rPr>
      </w:pPr>
      <w:r w:rsidRPr="00100689">
        <w:rPr>
          <w:rFonts w:ascii="Book Antiqua" w:hAnsi="Book Antiqua"/>
          <w:b/>
          <w:i/>
          <w:color w:val="auto"/>
          <w:sz w:val="24"/>
          <w:szCs w:val="24"/>
        </w:rPr>
        <w:lastRenderedPageBreak/>
        <w:t>Immunosuppression</w:t>
      </w:r>
    </w:p>
    <w:p w14:paraId="4E40F565" w14:textId="453451AC" w:rsidR="0016371C" w:rsidRPr="00F532B5" w:rsidRDefault="00754926" w:rsidP="00100689">
      <w:pPr>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The effect of immunosuppression on EPS was first noted in kidney transplant patients who developed improvement in EPS symptoms after institution of immunosuppression</w:t>
      </w:r>
      <w:r w:rsidR="00B92D6D"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"ISBN" : "1197-8554", "ISSN" : "1197-8554", "PMID" : "8105920", "abstract" : "Sclerosing peritonitis (ScP) is a rare but fatal complication of continuous ambulatory peritoneal dialysis (CAPD), presenting as small bowel obstruction. We have observed that only patients receiving a renal transplant survived more than a few months after the diagnosis of ScP. We now report prolonged survival of patients given immunosuppressive therapy with or without a functioning transplant. ScP was found at laparotomy in 17 Glasgow patients, 15 of whom had been exposed to chlorhexidine in alcohol. All patients discontinued CAPD after diagnosis. Within a year 12 died with recurrent bowel obstruction; none received immunosuppressive therapy. The remaining 5 patients received immunosuppressive therapy; 4 are alive between 1 and 9 years later, and one patient with widespread vascular disease died after 3 years with mesenteric ischemia. Four of the 5 received a renal transplant. One patient rejected his transplant; when immunosuppression was stopped he developed symptoms suggestive of recurrent ScP. Immunosuppressive therapy was restarted and he remains well 3 years later. The fifth patient, who did not receive a transplant, was immunosuppressed after ScP was diagnosed. She remains well 18 months later. Our experience suggests that immunosuppression is beneficial in ScP.", "author" : [ { "dropping-particle" : "", "family" : "Junor", "given" : "B J", "non-dropping-particle" : "", "parse-names" : false, "suffix" : "" }, { "dropping-particle" : "", "family" : "McMillan", "given" : "M a", "non-dropping-particle" : "", "parse-names" : false, "suffix" : "" } ], "container-title" : "Advances in peritoneal dialysis. Conference on Peritoneal Dialysis", "id" : "ITEM-1", "issue" : "4", "issued" : { "date-parts" : [ [ "1993" ] ] }, "page" : "187-9", "title" : "Immunosuppression in sclerosing peritonitis.", "type" : "article-journal", "volume" : "9" }, "uris" : [ "http://www.mendeley.com/documents/?uuid=e6060bba-8146-45ea-9dd2-7f6f78089b82" ] } ], "mendeley" : { "formattedCitation" : "&lt;sup&gt;[71]&lt;/sup&gt;", "plainTextFormattedCitation" : "[71]", "previouslyFormattedCitation" : "&lt;sup&gt;[71]&lt;/sup&gt;" }, "properties" : { "noteIndex" : 0 }, "schema" : "https://github.com/citation-style-language/schema/raw/master/csl-citation.json" }</w:instrText>
      </w:r>
      <w:r w:rsidR="00B92D6D"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[7</w:t>
      </w:r>
      <w:r w:rsidR="009C02A4">
        <w:rPr>
          <w:rFonts w:ascii="Book Antiqua" w:hAnsi="Book Antiqua" w:hint="eastAsia"/>
          <w:noProof/>
          <w:color w:val="auto"/>
          <w:sz w:val="24"/>
          <w:szCs w:val="24"/>
          <w:vertAlign w:val="superscript"/>
          <w:lang w:eastAsia="zh-CN"/>
        </w:rPr>
        <w:t>0</w:t>
      </w:r>
      <w:r w:rsidR="00525A55" w:rsidRPr="00F532B5">
        <w:rPr>
          <w:rFonts w:ascii="Book Antiqua" w:hAnsi="Book Antiqua"/>
          <w:noProof/>
          <w:color w:val="auto"/>
          <w:sz w:val="24"/>
          <w:szCs w:val="24"/>
          <w:vertAlign w:val="superscript"/>
        </w:rPr>
        <w:t>]</w:t>
      </w:r>
      <w:r w:rsidR="00B92D6D" w:rsidRPr="00F532B5">
        <w:rPr>
          <w:rFonts w:ascii="Book Antiqua" w:hAnsi="Book Antiqua"/>
          <w:color w:val="auto"/>
          <w:sz w:val="24"/>
          <w:szCs w:val="24"/>
        </w:rPr>
        <w:fldChar w:fldCharType="end"/>
      </w:r>
      <w:r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 xml:space="preserve">Numerous medications have been tried </w:t>
      </w:r>
      <w:r w:rsidR="00B63748" w:rsidRPr="00F532B5">
        <w:rPr>
          <w:rFonts w:ascii="Book Antiqua" w:hAnsi="Book Antiqua"/>
          <w:color w:val="auto"/>
          <w:sz w:val="24"/>
          <w:szCs w:val="24"/>
        </w:rPr>
        <w:t>targeting</w:t>
      </w:r>
      <w:r w:rsidR="00416955" w:rsidRPr="00F532B5">
        <w:rPr>
          <w:rFonts w:ascii="Book Antiqua" w:hAnsi="Book Antiqua"/>
          <w:color w:val="auto"/>
          <w:sz w:val="24"/>
          <w:szCs w:val="24"/>
        </w:rPr>
        <w:t xml:space="preserve"> </w:t>
      </w:r>
      <w:r w:rsidRPr="00F532B5">
        <w:rPr>
          <w:rFonts w:ascii="Book Antiqua" w:hAnsi="Book Antiqua"/>
          <w:color w:val="auto"/>
          <w:sz w:val="24"/>
          <w:szCs w:val="24"/>
        </w:rPr>
        <w:t>the inflammatory component of EPS</w:t>
      </w:r>
      <w:r w:rsidR="00416955" w:rsidRPr="00F532B5">
        <w:rPr>
          <w:rFonts w:ascii="Book Antiqua" w:hAnsi="Book Antiqua"/>
          <w:color w:val="auto"/>
          <w:sz w:val="24"/>
          <w:szCs w:val="24"/>
        </w:rPr>
        <w:t>,</w:t>
      </w:r>
      <w:r w:rsidRPr="00F532B5">
        <w:rPr>
          <w:rFonts w:ascii="Book Antiqua" w:hAnsi="Book Antiqua"/>
          <w:color w:val="auto"/>
          <w:sz w:val="24"/>
          <w:szCs w:val="24"/>
        </w:rPr>
        <w:t xml:space="preserve"> including corticosteroids, </w:t>
      </w:r>
      <w:r w:rsidR="00C802FD" w:rsidRPr="00F532B5">
        <w:rPr>
          <w:rFonts w:ascii="Book Antiqua" w:hAnsi="Book Antiqua"/>
          <w:color w:val="auto"/>
          <w:sz w:val="24"/>
          <w:szCs w:val="24"/>
        </w:rPr>
        <w:t xml:space="preserve">colchicine, </w:t>
      </w:r>
      <w:r w:rsidRPr="00F532B5">
        <w:rPr>
          <w:rFonts w:ascii="Book Antiqua" w:hAnsi="Book Antiqua"/>
          <w:color w:val="auto"/>
          <w:sz w:val="24"/>
          <w:szCs w:val="24"/>
        </w:rPr>
        <w:t xml:space="preserve">azathioprine, cyclosporine, mycophenolate mofetil (MMF), and </w:t>
      </w:r>
      <w:r w:rsidR="00B034C2" w:rsidRPr="00F532B5">
        <w:rPr>
          <w:rFonts w:ascii="Book Antiqua" w:hAnsi="Book Antiqua"/>
          <w:color w:val="auto"/>
          <w:sz w:val="24"/>
          <w:szCs w:val="24"/>
        </w:rPr>
        <w:t>mammalian target of rapamycin (</w:t>
      </w:r>
      <w:r w:rsidRPr="00F532B5">
        <w:rPr>
          <w:rFonts w:ascii="Book Antiqua" w:hAnsi="Book Antiqua"/>
          <w:color w:val="auto"/>
          <w:sz w:val="24"/>
          <w:szCs w:val="24"/>
        </w:rPr>
        <w:t>mTOR</w:t>
      </w:r>
      <w:r w:rsidR="00B034C2" w:rsidRPr="00F532B5">
        <w:rPr>
          <w:rFonts w:ascii="Book Antiqua" w:hAnsi="Book Antiqua"/>
          <w:color w:val="auto"/>
          <w:sz w:val="24"/>
          <w:szCs w:val="24"/>
        </w:rPr>
        <w:t>)</w:t>
      </w:r>
      <w:r w:rsidRPr="00F532B5">
        <w:rPr>
          <w:rFonts w:ascii="Book Antiqua" w:hAnsi="Book Antiqua"/>
          <w:color w:val="auto"/>
          <w:sz w:val="24"/>
          <w:szCs w:val="24"/>
        </w:rPr>
        <w:t xml:space="preserve"> inhib</w:t>
      </w:r>
      <w:r w:rsidR="00B0563A" w:rsidRPr="00F532B5">
        <w:rPr>
          <w:rFonts w:ascii="Book Antiqua" w:hAnsi="Book Antiqua"/>
          <w:color w:val="auto"/>
          <w:sz w:val="24"/>
          <w:szCs w:val="24"/>
        </w:rPr>
        <w:t>itors</w:t>
      </w:r>
      <w:r w:rsidR="00B92D6D"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"ISSN" : "0896-8608", "PMID" : "18552256", "abstract" : "Encapsulating peritoneal sclerosis (EPS), the most serious and classical complication of peritoneal dialysis (PD), was recognized soon after the introduction of PD. Within a little more than a decade after PD was first introduced in Japan, the country began experiencing an increasing number of EPS cases. The present paper discusses the clinical stages of EPS, the incidence of EPS in Japan and the as-yet incompletely understood mechanisms of its development, and EPS management and prevention.", "author" : [ { "dropping-particle" : "", "family" : "Maruyama", "given" : "Yukio", "non-dropping-particle" : "", "parse-names" : false, "suffix" : "" }, { "dropping-particle" : "", "family" : "Nakayama", "given" : "Masaaki", "non-dropping-particle" : "", "parse-names" : false, "suffix" : "" } ], "container-title" : "Peritoneal dialysis international : journal of the International Society for Peritoneal Dialysis", "id" : "ITEM-1", "issued" : { "date-parts" : [ [ "2008" ] ] }, "page" : "S201-4", "title" : "Encapsulating peritoneal sclerosis in Japan.", "type" : "article-journal", "volume" : "28 Suppl 3" }, "uris" : [ "http://www.mendeley.com/documents/?uuid=5b3e7678-dc02-45de-9a04-efa9be7b4a19" ] }, { "id" : "ITEM-2", "itemData" : { "DOI" : "10.1007/s11255-012-0167-3", "ISBN" : "1573-2584 (Electronic)\\r0301-1623 (Linking)", "ISSN" : "03011623", "PMID" : "22528580", "abstract" : "PURPOSE: Immunosuppressive and anti-inflammatory agents have recently become increasingly popular in the treatment of encapsulating peritoneal sclerosis (EPS). The aim of our study was to investigate the effects of sirolimus on EPS in a rat model.\\n\\nMETHODS: We separated 32 non-uremic rats into four groups: 1 control group, 2 ml isotonic saline injected IP daily for 3 weeks; 2 chlorhexidine gluconate (CG) group, 2 ml 0,1 % CG and 15 % ethanol dissolved in saline injected IP daily for 3 weeks; 3 resting group, CG (weeks 0-3) plus peritoneal rest (weeks 3-6); 4 sirolimus group, CG (weeks 0-3), plus 0.2 ml (1 mg/ml) sirolimus (weeks 3-6). Pathological samples were examined by using hematoxylin eosin (HE) and Masson's trichrome stains. Peritoneal thickness, fibrosis, vascular changes, and inflammation were evaluated by light microscopy. Finally, tissue metalloproteinase (MMP)-2 levels were measured by enzyme-linked immunoassay.\\n\\nRESULTS: In the CG group, there was a significant increase in peritoneal thickness, inflammatory activity, and fibrosis score compared to the control group (p &lt; 0.05). We also observed a lower fibrosis score and less peritoneal thickening in the sirolimus group compared to the resting and CG groups (p &lt; 0.05). There was no difference in histopathologic findings, except for the inflammatory activity in the sirolimus group, compared to the control group. Although the CG group had higher tissue MMP-2 levels than the control group, the tissue MMP-2 levels were not significantly different from the other groups.\\n\\nCONCLUSIONS: Sirolimus has a beneficial effect on peritoneal fibrosis induced by CG. This suggests that sirolimus may have therapeutic value in the management of EPS.", "author" : [ { "dropping-particle" : "", "family" : "Ceri", "given" : "Mevlut", "non-dropping-particle" : "", "parse-names" : false, "suffix" : "" }, { "dropping-particle" : "", "family" : "Unverdi", "given" : "Selman", "non-dropping-particle" : "", "parse-names" : false, "suffix" : "" }, { "dropping-particle" : "", "family" : "Dogan", "given" : "Mehmet", "non-dropping-particle" : "", "parse-names" : false, "suffix" : "" }, { "dropping-particle" : "", "family" : "Unverdi", "given" : "Hatice", "non-dropping-particle" : "", "parse-names" : false, "suffix" : "" }, { "dropping-particle" : "", "family" : "Karaca", "given" : "Gokhan", "non-dropping-particle" : "", "parse-names" : false, "suffix" : "" }, { "dropping-particle" : "", "family" : "Kocak", "given" : "Gulay", "non-dropping-particle" : "", "parse-names" : false, "suffix" : "" }, { "dropping-particle" : "", "family" : "Kurultak", "given" : "Ilhan", "non-dropping-particle" : "", "parse-names" : false, "suffix" : "" }, { "dropping-particle" : "", "family" : "Akbal", "given" : "Erdem", "non-dropping-particle" : "", "parse-names" : false, "suffix" : "" }, { "dropping-particle" : "", "family" : "Can", "given" : "Murat", "non-dropping-particle" : "", "parse-names" : false, "suffix" : "" }, { "dropping-particle" : "", "family" : "Duranay", "given" : "Murat", "non-dropping-particle" : "", "parse-names" : false, "suffix" : "" } ], "container-title" : "International Urology and Nephrology", "id" : "ITEM-2", "issue" : "3", "issued" : { "date-parts" : [ [ "2012" ] ] }, "page" : "977-982", "title" : "Effect of sirolimus on the regression of peritoneal sclerosis in an experimental rat model", "type" : "article-journal", "volume" : "44" }, "uris" : [ "http://www.mendeley.com/documents/?uuid=f9cdf3e0-d5b0-488a-b3b3-8be71a3630a9" ] }, { "id" : "ITEM-3", "itemData" : { "DOI" : "10.1111/nep.12196", "ISSN" : "1440-1797", "PMID" : "24460661", "abstract" : "Encapsulating peritoneal sclerosis (EPS) is a rare complication of peritoneal dialysis (PD) that carries a high morbidity and mortality. The 'two hit theory' suggests that long term deterioration of the peritoneum combined with intraperitoneal inflammation is needed in the pathogenesis of EPS. For unclear reasons, post transplantation EPS is being increasingly reported in patients previously on PD. To date, there is no proven effective therapy with an absence of randomised controlled trials. Individual case reports and small case series have reported on the use of tamoxifen and corticosteroids for medical management of EPS. The use of everolimus has been reported in a single case, and never in the setting of renal transplantation. Here, we present the first case of post-transplant encapsulating peritoneal sclerosis treated successfully with a combination of everolimus, tamoxifen, low dose corticosteroid and surgery.", "author" : [ { "dropping-particle" : "", "family" : "Sud", "given" : "Rahul", "non-dropping-particle" : "", "parse-names" : false, "suffix" : "" }, { "dropping-particle" : "", "family" : "Garry", "given" : "Lorraine", "non-dropping-particle" : "", "parse-names" : false, "suffix" : "" }, { "dropping-particle" : "", "family" : "Spicer", "given" : "Stephen Timothy", "non-dropping-particle" : "", "parse-names" : false, "suffix" : "" }, { "dropping-particle" : "", "family" : "Allen", "given" : "Richard D M", "non-dropping-particle" : "", "parse-names" : false, "suffix" : "" }, { "dropping-particle" : "", "family" : "Eris", "given" : "Josette M", "non-dropping-particle" : "", "parse-names" : false, "suffix" : "" }, { "dropping-particle" : "", "family" : "Wyburn", "given" : "Kate", "non-dropping-particle" : "", "parse-names" : false, "suffix" : "" }, { "dropping-particle" : "", "family" : "Verran", "given" : "Deborah", "non-dropping-particle" : "", "parse-names" : false, "suffix" : "" }, { "dropping-particle" : "", "family" : "Cooper", "given" : "Caroline Louise", "non-dropping-particle" : "", "parse-names" : false, "suffix" : "" }, { "dropping-particle" : "", "family" : "Chadban", "given" : "Steve", "non-dropping-particle" : "", "parse-names" : false, "suffix" : "" } ], "container-title" : "Nephrology", "id" : "ITEM-3", "issued" : { "date-parts" : [ [ "2014" ] ] }, "page" : "27-30", "title" : "A role for everolimus in post-transplant encapsulating peritoneal sclerosis: first case report.", "type" : "article-journal", "volume" : "19 Suppl 1" }, "uris" : [ "http://www.mendeley.com/documents/?uuid=b9cdaaef-94fd-4c35-ae53-73049096f03d" ] }, { "id" : "ITEM-4", "itemData" : { "DOI" : "10.1016/j.transproceed.2014.07.060", "ISBN" : "1873-2623 (Electronic)\\r0041-1345 (Linking)", "ISSN" : "18732623", "PMID" : "25242790", "abstract" : "Encapsulating peritoneal sclerosis is a serious complication of peritoneal dialysis and can occur even after transplant. The gut is partially or totally enveloped by a thick fibrous membrane that leads to the formation of multiple sections containing intestinal loops contracted and reduced in volume. Exacerbation after renal transplantation is a very rare but sometimes dramatic condition. We report a patient who developed intestinal obstruction due to encapsulating peritoneal sclerosis 1 year after a deceased-donor kidney transplant. Treatment included laparotomy, small-bowel lengthening by release of adhesions, and high doses of corticosteroids. The patient received immunosuppressive therapy with a combination of low-dose cyclosporine, everolimus, and prednisone, unchanged except for a temporary steroid increase in the postoperative period. We report success with this combined surgical plus medical therapy, with no recurrence after 81 months of follow-up.", "author" : [ { "dropping-particle" : "", "family" : "Romagnoli", "given" : "J.", "non-dropping-particle" : "", "parse-names" : false, "suffix" : "" }, { "dropping-particle" : "", "family" : "Pedroso", "given" : "J. A.", "non-dropping-particle" : "", "parse-names" : false, "suffix" : "" }, { "dropping-particle" : "", "family" : "Paola Salerno", "given" : "M.", "non-dropping-particle" : "", "parse-names" : false, "suffix" : "" }, { "dropping-particle" : "", "family" : "Favi", "given" : "E.", "non-dropping-particle" : "", "parse-names" : false, "suffix" : "" }, { "dropping-particle" : "", "family" : "Spagnoletti", "given" : "G.", "non-dropping-particle" : "", "parse-names" : false, "suffix" : "" }, { "dropping-particle" : "", "family" : "Citterio", "given" : "F.", "non-dropping-particle" : "", "parse-names" : false, "suffix" : "" } ], "container-title" : "Transplantation Proceedings", "id" : "ITEM-4", "issue" : "7", "issued" : { "date-parts" : [ [ "2014" ] ] }, "page" : "2368-2370", "publisher" : "Elsevier Inc.", "title" : "Posttransplant encapsulating peritoneal sclerosis, long-term success with everolimus and low-dose CNI: A case report", "type" : "article-journal", "volume" : "46" }, "uris" : [ "http://www.mendeley.com/documents/?uuid=4c734646-308b-4ec0-b900-ab65dadd5618" ] }, { "id" : "ITEM-5", "itemData" : { "DOI" : "10.1007/s11255-015-1015-z", "ISBN" : "1125501510", "ISSN" : "0301-1623", "author" : [ { "dropping-particle" : "", "family" : "Huddam", "given" : "B\u00fclent", "non-dropping-particle" : "", "parse-names" : false, "suffix" : "" }, { "dropping-particle" : "", "family" : "Ba\u015faran", "given" : "Murat", "non-dropping-particle" : "", "parse-names" : false, "suffix" : "" }, { "dropping-particle" : "", "family" : "Ko\u00e7ak", "given" : "G\u00fclay", "non-dropping-particle" : "", "parse-names" : false, "suffix" : "" }, { "dropping-particle" : "", "family" : "Azak", "given" : "Alper", "non-dropping-particle" : "", "parse-names" : false, "suffix" : "" }, { "dropping-particle" : "", "family" : "Yal\u00e7\u0131n", "given" : "Funda", "non-dropping-particle" : "", "parse-names" : false, "suffix" : "" }, { "dropping-particle" : "", "family" : "Reyhan", "given" : "Nihan Haberal", "non-dropping-particle" : "", "parse-names" : false, "suffix" : "" }, { "dropping-particle" : "", "family" : "Duranay", "given" : "Murat", "non-dropping-particle" : "", "parse-names" : false, "suffix" : "" } ], "container-title" : "International Urology and Nephrology", "id" : "ITEM-5", "issue" : "8", "issued" : { "date-parts" : [ [ "2015" ] ] }, "page" : "1423-1428", "title" : "The use of mycophenolate mofetil in experimental encapsulating peritoneal sclerosis", "type" : "article-journal", "volume" : "47" }, "uris" : [ "http://www.mendeley.com/documents/?uuid=7c14cafd-cc11-4454-a085-9098409c4b09" ] }, { "id" : "ITEM-6", "itemData" : { "DOI" : "28/Supplement_5/S53 [pii]", "ISBN" : "0896-8608 (Print)\\r0896-8608 (Linking)", "ISSN" : "0896-8608", "PMID" : "19008543", "abstract" : "BACKGROUND: Encapsulating peritoneal sclerosis (EPS) is an infrequent but extremely serious complication of long-term peritoneal dialysis. Fibrosis of the submesothelial compact zone and neoangiogenesis underlie the pathophysiology of EPS. Colchicine is a well-known anti-inflammatory and antifibrotic agent that has been used for some fibrosing clinical states, such as liver fibrosis. OBJECTIVE: To determine the antifibrotic and anti-inflammatory effects of colchicine in an EPS rat model in both progression (P) and regression (R). METHODS: 48 nonuremic albino Wistar rats were divided into 5 groups: control group, 2 mL isotonic saline intraperitoneally (IP) daily for 3 weeks; CG group, IP injection of 2 mL/200 g chlorhexidine gluconate (CG) (0.1%) and ethanol (15%) dissolved in saline, daily for 3 weeks; resting group, CG (0 - 3 weeks) + peritoneal resting (4 - 6 weeks); C-R group, CG (0 - 3 weeks) + 1 mg/L colchicine (4 - 6 weeks); C-P group, CG (0 - 3 weeks) + 1 mg/L colchicine in drinking water (0 - 3 weeks). At the end, a 1-hour peritoneal equilibration test was performed with 25 mL 3.86% peritoneal dialysis solution. Dialysate-to-plasma ratio of urea (D/P urea), dialysate WBC count, ultrafiltration volume, and morphological changes of parietal peritoneum were examined. RESULT: Exposure to CG for 3 weeks resulted in alterations in peritoneal transport (increased D/P urea, decreased ultrafiltration volume; p &lt; 0.05) and morphology (increased inflammation, neovascularization, fibrosis, and peritoneal thickness; p &lt; 0.05). Resting had some beneficial effects on peritoneal derangements; however, once the peritoneum had been stimulated, resting alone was not enough to reverse these pathological changes. Colchicine had more pronounced effects on membrane integrity via decreased inflammation, cell infiltration, and vascularity compared to the resting group. CONCLUSION: We suggest that colchicine may have therapeutic value in the management of EPS.", "author" : [ { "dropping-particle" : "", "family" : "Bozkurt", "given" : "D", "non-dropping-particle" : "", "parse-names" : false, "suffix" : "" }, { "dropping-particle" : "", "family" : "Bicak", "given" : "S", "non-dropping-particle" : "", "parse-names" : false, "suffix" : "" }, { "dropping-particle" : "", "family" : "Sipahi", "given" : "S", "non-dropping-particle" : "", "parse-names" : false, "suffix" : "" }, { "dropping-particle" : "", "family" : "Taskin", "given" : "H", "non-dropping-particle" : "", "parse-names" : false, "suffix" : "" }, { "dropping-particle" : "", "family" : "Hur", "given" : "E", "non-dropping-particle" : "", "parse-names" : false, "suffix" : "" }, { "dropping-particle" : "", "family" : "Ertilav", "given" : "M", "non-dropping-particle" : "", "parse-names" : false, "suffix" : "" }, { "dropping-particle" : "", "family" : "Sen", "given" : "S", "non-dropping-particle" : "", "parse-names" : false, "suffix" : "" }, { "dropping-particle" : "", "family" : "Duman", "given" : "S", "non-dropping-particle" : "", "parse-names" : false, "suffix" : "" } ], "container-title" : "Perit Dial Int", "id" : "ITEM-6", "issued" : { "date-parts" : [ [ "2008" ] ] }, "page" : "S53-7", "title" : "The effects of colchicine on the progression and regression of encapsulating peritoneal sclerosis", "type" : "article-journal", "volume" : "28 Suppl 5" }, "uris" : [ "http://www.mendeley.com/documents/?uuid=6c12dab3-9dfe-4a5b-9d61-df8e001eadb2" ] } ], "mendeley" : { "formattedCitation" : "&lt;sup&gt;[72\u201377]&lt;/sup&gt;", "plainTextFormattedCitation" : "[72\u201377]", "previouslyFormattedCitation" : "&lt;sup&gt;[72\u201377]&lt;/sup&gt;" }, "properties" : { "noteIndex" : 0 }, "schema" : "https://github.com/citation-style-language/schema/raw/master/csl-citation.json" }</w:instrText>
      </w:r>
      <w:r w:rsidR="00B92D6D"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[7</w:t>
      </w:r>
      <w:r w:rsidR="009C02A4">
        <w:rPr>
          <w:rFonts w:ascii="Book Antiqua" w:hAnsi="Book Antiqua" w:hint="eastAsia"/>
          <w:noProof/>
          <w:color w:val="auto"/>
          <w:sz w:val="24"/>
          <w:szCs w:val="24"/>
          <w:vertAlign w:val="superscript"/>
          <w:lang w:eastAsia="zh-CN"/>
        </w:rPr>
        <w:t>1</w:t>
      </w:r>
      <w:r w:rsidR="00525A55" w:rsidRPr="00F532B5">
        <w:rPr>
          <w:rFonts w:ascii="Book Antiqua" w:hAnsi="Book Antiqua"/>
          <w:noProof/>
          <w:color w:val="auto"/>
          <w:sz w:val="24"/>
          <w:szCs w:val="24"/>
          <w:vertAlign w:val="superscript"/>
        </w:rPr>
        <w:t>–7</w:t>
      </w:r>
      <w:r w:rsidR="009C02A4">
        <w:rPr>
          <w:rFonts w:ascii="Book Antiqua" w:hAnsi="Book Antiqua" w:hint="eastAsia"/>
          <w:noProof/>
          <w:color w:val="auto"/>
          <w:sz w:val="24"/>
          <w:szCs w:val="24"/>
          <w:vertAlign w:val="superscript"/>
          <w:lang w:eastAsia="zh-CN"/>
        </w:rPr>
        <w:t>6</w:t>
      </w:r>
      <w:r w:rsidR="00525A55" w:rsidRPr="00F532B5">
        <w:rPr>
          <w:rFonts w:ascii="Book Antiqua" w:hAnsi="Book Antiqua"/>
          <w:noProof/>
          <w:color w:val="auto"/>
          <w:sz w:val="24"/>
          <w:szCs w:val="24"/>
          <w:vertAlign w:val="superscript"/>
        </w:rPr>
        <w:t>]</w:t>
      </w:r>
      <w:r w:rsidR="00B92D6D" w:rsidRPr="00F532B5">
        <w:rPr>
          <w:rFonts w:ascii="Book Antiqua" w:hAnsi="Book Antiqua"/>
          <w:color w:val="auto"/>
          <w:sz w:val="24"/>
          <w:szCs w:val="24"/>
        </w:rPr>
        <w:fldChar w:fldCharType="end"/>
      </w:r>
      <w:r w:rsidR="00B92D6D"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Of these, corticosteroids are the best studied and, while the mTOR inhibitors and MMF carry the theoretical advantage of improving fibrosis as well, evidence is anecdotal and largely confined to post-kidney transplant patients with additional indications for immunosuppression</w:t>
      </w:r>
      <w:r w:rsidR="00B92D6D"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"10.1111/nep.12196", "ISSN" : "1440-1797", "PMID" : "24460661", "abstract" : "Encapsulating peritoneal sclerosis (EPS) is a rare complication of peritoneal dialysis (PD) that carries a high morbidity and mortality. The 'two hit theory' suggests that long term deterioration of the peritoneum combined with intraperitoneal inflammation is needed in the pathogenesis of EPS. For unclear reasons, post transplantation EPS is being increasingly reported in patients previously on PD. To date, there is no proven effective therapy with an absence of randomised controlled trials. Individual case reports and small case series have reported on the use of tamoxifen and corticosteroids for medical management of EPS. The use of everolimus has been reported in a single case, and never in the setting of renal transplantation. Here, we present the first case of post-transplant encapsulating peritoneal sclerosis treated successfully with a combination of everolimus, tamoxifen, low dose corticosteroid and surgery.", "author" : [ { "dropping-particle" : "", "family" : "Sud", "given" : "Rahul", "non-dropping-particle" : "", "parse-names" : false, "suffix" : "" }, { "dropping-particle" : "", "family" : "Garry", "given" : "Lorraine", "non-dropping-particle" : "", "parse-names" : false, "suffix" : "" }, { "dropping-particle" : "", "family" : "Spicer", "given" : "Stephen Timothy", "non-dropping-particle" : "", "parse-names" : false, "suffix" : "" }, { "dropping-particle" : "", "family" : "Allen", "given" : "Richard D M", "non-dropping-particle" : "", "parse-names" : false, "suffix" : "" }, { "dropping-particle" : "", "family" : "Eris", "given" : "Josette M", "non-dropping-particle" : "", "parse-names" : false, "suffix" : "" }, { "dropping-particle" : "", "family" : "Wyburn", "given" : "Kate", "non-dropping-particle" : "", "parse-names" : false, "suffix" : "" }, { "dropping-particle" : "", "family" : "Verran", "given" : "Deborah", "non-dropping-particle" : "", "parse-names" : false, "suffix" : "" }, { "dropping-particle" : "", "family" : "Cooper", "given" : "Caroline Louise", "non-dropping-particle" : "", "parse-names" : false, "suffix" : "" }, { "dropping-particle" : "", "family" : "Chadban", "given" : "Steve", "non-dropping-particle" : "", "parse-names" : false, "suffix" : "" } ], "container-title" : "Nephrology", "id" : "ITEM-1", "issued" : { "date-parts" : [ [ "2014" ] ] }, "page" : "27-30", "title" : "A role for everolimus in post-transplant encapsulating peritoneal sclerosis: first case report.", "type" : "article-journal", "volume" : "19 Suppl 1" }, "uris" : [ "http://www.mendeley.com/documents/?uuid=b9cdaaef-94fd-4c35-ae53-73049096f03d" ] }, { "id" : "ITEM-2", "itemData" : { "DOI" : "10.1007/s11255-015-1015-z", "ISBN" : "1125501510", "ISSN" : "0301-1623", "author" : [ { "dropping-particle" : "", "family" : "Huddam", "given" : "B\u00fclent", "non-dropping-particle" : "", "parse-names" : false, "suffix" : "" }, { "dropping-particle" : "", "family" : "Ba\u015faran", "given" : "Murat", "non-dropping-particle" : "", "parse-names" : false, "suffix" : "" }, { "dropping-particle" : "", "family" : "Ko\u00e7ak", "given" : "G\u00fclay", "non-dropping-particle" : "", "parse-names" : false, "suffix" : "" }, { "dropping-particle" : "", "family" : "Azak", "given" : "Alper", "non-dropping-particle" : "", "parse-names" : false, "suffix" : "" }, { "dropping-particle" : "", "family" : "Yal\u00e7\u0131n", "given" : "Funda", "non-dropping-particle" : "", "parse-names" : false, "suffix" : "" }, { "dropping-particle" : "", "family" : "Reyhan", "given" : "Nihan Haberal", "non-dropping-particle" : "", "parse-names" : false, "suffix" : "" }, { "dropping-particle" : "", "family" : "Duranay", "given" : "Murat", "non-dropping-particle" : "", "parse-names" : false, "suffix" : "" } ], "container-title" : "International Urology and Nephrology", "id" : "ITEM-2", "issue" : "8", "issued" : { "date-parts" : [ [ "2015" ] ] }, "page" : "1423-1428", "title" : "The use of mycophenolate mofetil in experimental encapsulating peritoneal sclerosis", "type" : "article-journal", "volume" : "47" }, "uris" : [ "http://www.mendeley.com/documents/?uuid=7c14cafd-cc11-4454-a085-9098409c4b09" ] } ], "mendeley" : { "formattedCitation" : "&lt;sup&gt;[74,76]&lt;/sup&gt;", "plainTextFormattedCitation" : "[74,76]", "previouslyFormattedCitation" : "&lt;sup&gt;[74,76]&lt;/sup&gt;" }, "properties" : { "noteIndex" : 0 }, "schema" : "https://github.com/citation-style-language/schema/raw/master/csl-citation.json" }</w:instrText>
      </w:r>
      <w:r w:rsidR="00B92D6D"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[7</w:t>
      </w:r>
      <w:r w:rsidR="009C02A4">
        <w:rPr>
          <w:rFonts w:ascii="Book Antiqua" w:hAnsi="Book Antiqua" w:hint="eastAsia"/>
          <w:noProof/>
          <w:color w:val="auto"/>
          <w:sz w:val="24"/>
          <w:szCs w:val="24"/>
          <w:vertAlign w:val="superscript"/>
          <w:lang w:eastAsia="zh-CN"/>
        </w:rPr>
        <w:t>3</w:t>
      </w:r>
      <w:r w:rsidR="00525A55" w:rsidRPr="00F532B5">
        <w:rPr>
          <w:rFonts w:ascii="Book Antiqua" w:hAnsi="Book Antiqua"/>
          <w:noProof/>
          <w:color w:val="auto"/>
          <w:sz w:val="24"/>
          <w:szCs w:val="24"/>
          <w:vertAlign w:val="superscript"/>
        </w:rPr>
        <w:t>,7</w:t>
      </w:r>
      <w:r w:rsidR="009C02A4">
        <w:rPr>
          <w:rFonts w:ascii="Book Antiqua" w:hAnsi="Book Antiqua" w:hint="eastAsia"/>
          <w:noProof/>
          <w:color w:val="auto"/>
          <w:sz w:val="24"/>
          <w:szCs w:val="24"/>
          <w:vertAlign w:val="superscript"/>
          <w:lang w:eastAsia="zh-CN"/>
        </w:rPr>
        <w:t>5</w:t>
      </w:r>
      <w:r w:rsidR="00525A55" w:rsidRPr="00F532B5">
        <w:rPr>
          <w:rFonts w:ascii="Book Antiqua" w:hAnsi="Book Antiqua"/>
          <w:noProof/>
          <w:color w:val="auto"/>
          <w:sz w:val="24"/>
          <w:szCs w:val="24"/>
          <w:vertAlign w:val="superscript"/>
        </w:rPr>
        <w:t>]</w:t>
      </w:r>
      <w:r w:rsidR="00B92D6D" w:rsidRPr="00F532B5">
        <w:rPr>
          <w:rFonts w:ascii="Book Antiqua" w:hAnsi="Book Antiqua"/>
          <w:color w:val="auto"/>
          <w:sz w:val="24"/>
          <w:szCs w:val="24"/>
        </w:rPr>
        <w:fldChar w:fldCharType="end"/>
      </w:r>
      <w:r w:rsidR="00B92D6D" w:rsidRPr="00F532B5">
        <w:rPr>
          <w:rFonts w:ascii="Book Antiqua" w:hAnsi="Book Antiqua"/>
          <w:color w:val="auto"/>
          <w:sz w:val="24"/>
          <w:szCs w:val="24"/>
        </w:rPr>
        <w:t>.</w:t>
      </w:r>
    </w:p>
    <w:p w14:paraId="4DFC6BE9" w14:textId="70B7447D" w:rsidR="0016371C" w:rsidRPr="00F532B5" w:rsidRDefault="00754926" w:rsidP="00100689">
      <w:pPr>
        <w:snapToGrid w:val="0"/>
        <w:spacing w:line="360" w:lineRule="auto"/>
        <w:ind w:firstLineChars="100" w:firstLine="240"/>
        <w:jc w:val="both"/>
        <w:rPr>
          <w:rFonts w:ascii="Book Antiqua" w:hAnsi="Book Antiqua"/>
          <w:color w:val="auto"/>
          <w:sz w:val="24"/>
          <w:szCs w:val="24"/>
        </w:rPr>
      </w:pPr>
      <w:r w:rsidRPr="00F532B5">
        <w:rPr>
          <w:rFonts w:ascii="Book Antiqua" w:hAnsi="Book Antiqua"/>
          <w:color w:val="auto"/>
          <w:sz w:val="24"/>
          <w:szCs w:val="24"/>
        </w:rPr>
        <w:t xml:space="preserve">Evidence for corticosteroid use is confined to </w:t>
      </w:r>
      <w:r w:rsidR="00784681" w:rsidRPr="00F532B5">
        <w:rPr>
          <w:rFonts w:ascii="Book Antiqua" w:hAnsi="Book Antiqua"/>
          <w:color w:val="auto"/>
          <w:sz w:val="24"/>
          <w:szCs w:val="24"/>
        </w:rPr>
        <w:t>observational</w:t>
      </w:r>
      <w:r w:rsidRPr="00F532B5">
        <w:rPr>
          <w:rFonts w:ascii="Book Antiqua" w:hAnsi="Book Antiqua"/>
          <w:color w:val="auto"/>
          <w:sz w:val="24"/>
          <w:szCs w:val="24"/>
        </w:rPr>
        <w:t xml:space="preserve"> studies with </w:t>
      </w:r>
      <w:r w:rsidR="00EB7A73" w:rsidRPr="00F532B5">
        <w:rPr>
          <w:rFonts w:ascii="Book Antiqua" w:hAnsi="Book Antiqua"/>
          <w:color w:val="auto"/>
          <w:sz w:val="24"/>
          <w:szCs w:val="24"/>
        </w:rPr>
        <w:t>inconsis</w:t>
      </w:r>
      <w:r w:rsidR="00910A6C" w:rsidRPr="00F532B5">
        <w:rPr>
          <w:rFonts w:ascii="Book Antiqua" w:hAnsi="Book Antiqua"/>
          <w:color w:val="auto"/>
          <w:sz w:val="24"/>
          <w:szCs w:val="24"/>
        </w:rPr>
        <w:t>tent formulation, dosing, duration</w:t>
      </w:r>
      <w:r w:rsidR="00EB7A73" w:rsidRPr="00F532B5">
        <w:rPr>
          <w:rFonts w:ascii="Book Antiqua" w:hAnsi="Book Antiqua"/>
          <w:color w:val="auto"/>
          <w:sz w:val="24"/>
          <w:szCs w:val="24"/>
        </w:rPr>
        <w:t>, and end points</w:t>
      </w:r>
      <w:r w:rsidR="00222243" w:rsidRPr="00F532B5">
        <w:rPr>
          <w:rFonts w:ascii="Book Antiqua" w:hAnsi="Book Antiqua"/>
          <w:color w:val="auto"/>
          <w:sz w:val="24"/>
          <w:szCs w:val="24"/>
        </w:rPr>
        <w:t xml:space="preserve"> (Table </w:t>
      </w:r>
      <w:r w:rsidR="002E29F1" w:rsidRPr="00F532B5">
        <w:rPr>
          <w:rFonts w:ascii="Book Antiqua" w:hAnsi="Book Antiqua"/>
          <w:color w:val="auto"/>
          <w:sz w:val="24"/>
          <w:szCs w:val="24"/>
        </w:rPr>
        <w:t>3</w:t>
      </w:r>
      <w:r w:rsidR="00FE12FA" w:rsidRPr="00F532B5">
        <w:rPr>
          <w:rFonts w:ascii="Book Antiqua" w:hAnsi="Book Antiqua"/>
          <w:color w:val="auto"/>
          <w:sz w:val="24"/>
          <w:szCs w:val="24"/>
        </w:rPr>
        <w:t>)</w:t>
      </w:r>
      <w:r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 xml:space="preserve">In </w:t>
      </w:r>
      <w:r w:rsidR="009A41F9" w:rsidRPr="00F532B5">
        <w:rPr>
          <w:rFonts w:ascii="Book Antiqua" w:hAnsi="Book Antiqua"/>
          <w:color w:val="auto"/>
          <w:sz w:val="24"/>
          <w:szCs w:val="24"/>
        </w:rPr>
        <w:t xml:space="preserve">the earliest study by Kawanishi </w:t>
      </w:r>
      <w:r w:rsidR="009C02A4">
        <w:rPr>
          <w:rFonts w:ascii="Book Antiqua" w:hAnsi="Book Antiqua"/>
          <w:i/>
          <w:color w:val="auto"/>
          <w:sz w:val="24"/>
          <w:szCs w:val="24"/>
        </w:rPr>
        <w:t>et al</w:t>
      </w:r>
      <w:r w:rsidR="009C02A4" w:rsidRPr="00F532B5">
        <w:rPr>
          <w:rFonts w:ascii="Book Antiqua" w:hAnsi="Book Antiqua"/>
          <w:color w:val="auto"/>
          <w:sz w:val="24"/>
          <w:szCs w:val="24"/>
        </w:rPr>
        <w:fldChar w:fldCharType="begin" w:fldLock="1"/>
      </w:r>
      <w:r w:rsidR="009C02A4" w:rsidRPr="00F532B5">
        <w:rPr>
          <w:rFonts w:ascii="Book Antiqua" w:hAnsi="Book Antiqua"/>
          <w:color w:val="auto"/>
          <w:sz w:val="24"/>
          <w:szCs w:val="24"/>
        </w:rPr>
        <w:instrText>ADDIN CSL_CITATION { "citationItems" : [ { "id" : "ITEM-1", "itemData" : { "ISSN" : "0931-0509", "PMID" : "11390748", "author" : [ { "dropping-particle" : "", "family" : "Kuriyama", "given" : "S", "non-dropping-particle" : "", "parse-names" : false, "suffix" : "" }, { "dropping-particle" : "", "family" : "Tomonari", "given" : "H", "non-dropping-particle" : "", "parse-names" : false, "suffix" : "" } ], "container-title" : "Nephrology, dialysis, transplantation : official publication of the European Dialysis and Transplant Association - European Renal Association", "id" : "ITEM-1", "issue" : "6", "issued" : { "date-parts" : [ [ "2001" ] ] }, "page" : "1304-1305", "title" : "Corticosteroid therapy in encapsulating peritoneal sclerosis.", "type" : "article-journal", "volume" : "16" }, "uris" : [ "http://www.mendeley.com/documents/?uuid=4510de79-5d0e-4067-9f7c-f77656db3511" ] } ], "mendeley" : { "formattedCitation" : "&lt;sup&gt;[78]&lt;/sup&gt;", "plainTextFormattedCitation" : "[78]", "previouslyFormattedCitation" : "&lt;sup&gt;[78]&lt;/sup&gt;" }, "properties" : { "noteIndex" : 0 }, "schema" : "https://github.com/citation-style-language/schema/raw/master/csl-citation.json" }</w:instrText>
      </w:r>
      <w:r w:rsidR="009C02A4" w:rsidRPr="00F532B5">
        <w:rPr>
          <w:rFonts w:ascii="Book Antiqua" w:hAnsi="Book Antiqua"/>
          <w:color w:val="auto"/>
          <w:sz w:val="24"/>
          <w:szCs w:val="24"/>
        </w:rPr>
        <w:fldChar w:fldCharType="separate"/>
      </w:r>
      <w:r w:rsidR="009C02A4" w:rsidRPr="00F532B5">
        <w:rPr>
          <w:rFonts w:ascii="Book Antiqua" w:hAnsi="Book Antiqua"/>
          <w:noProof/>
          <w:color w:val="auto"/>
          <w:sz w:val="24"/>
          <w:szCs w:val="24"/>
          <w:vertAlign w:val="superscript"/>
        </w:rPr>
        <w:t>[7</w:t>
      </w:r>
      <w:r w:rsidR="009C02A4">
        <w:rPr>
          <w:rFonts w:ascii="Book Antiqua" w:hAnsi="Book Antiqua" w:hint="eastAsia"/>
          <w:noProof/>
          <w:color w:val="auto"/>
          <w:sz w:val="24"/>
          <w:szCs w:val="24"/>
          <w:vertAlign w:val="superscript"/>
          <w:lang w:eastAsia="zh-CN"/>
        </w:rPr>
        <w:t>7</w:t>
      </w:r>
      <w:r w:rsidR="009C02A4" w:rsidRPr="00F532B5">
        <w:rPr>
          <w:rFonts w:ascii="Book Antiqua" w:hAnsi="Book Antiqua"/>
          <w:noProof/>
          <w:color w:val="auto"/>
          <w:sz w:val="24"/>
          <w:szCs w:val="24"/>
          <w:vertAlign w:val="superscript"/>
        </w:rPr>
        <w:t>]</w:t>
      </w:r>
      <w:r w:rsidR="009C02A4" w:rsidRPr="00F532B5">
        <w:rPr>
          <w:rFonts w:ascii="Book Antiqua" w:hAnsi="Book Antiqua"/>
          <w:color w:val="auto"/>
          <w:sz w:val="24"/>
          <w:szCs w:val="24"/>
        </w:rPr>
        <w:fldChar w:fldCharType="end"/>
      </w:r>
      <w:r w:rsidR="009A41F9" w:rsidRPr="00F532B5">
        <w:rPr>
          <w:rFonts w:ascii="Book Antiqua" w:hAnsi="Book Antiqua"/>
          <w:color w:val="auto"/>
          <w:sz w:val="24"/>
          <w:szCs w:val="24"/>
        </w:rPr>
        <w:t xml:space="preserve">, all patients who did not receive corticosteroids died within 8 months, while those who received prednisolone </w:t>
      </w:r>
      <w:r w:rsidR="00712606" w:rsidRPr="00F532B5">
        <w:rPr>
          <w:rFonts w:ascii="Book Antiqua" w:hAnsi="Book Antiqua"/>
          <w:color w:val="auto"/>
          <w:sz w:val="24"/>
          <w:szCs w:val="24"/>
        </w:rPr>
        <w:t>survived</w:t>
      </w:r>
      <w:r w:rsidR="009A41F9" w:rsidRPr="00F532B5">
        <w:rPr>
          <w:rFonts w:ascii="Book Antiqua" w:hAnsi="Book Antiqua"/>
          <w:color w:val="auto"/>
          <w:sz w:val="24"/>
          <w:szCs w:val="24"/>
        </w:rPr>
        <w:t xml:space="preserve"> at 1-3 years of follow-up with only one requiring surgical intervention</w:t>
      </w:r>
      <w:r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 xml:space="preserve">In a larger </w:t>
      </w:r>
      <w:r w:rsidR="00EB7A73" w:rsidRPr="00F532B5">
        <w:rPr>
          <w:rFonts w:ascii="Book Antiqua" w:hAnsi="Book Antiqua"/>
          <w:color w:val="auto"/>
          <w:sz w:val="24"/>
          <w:szCs w:val="24"/>
        </w:rPr>
        <w:t>retrospective</w:t>
      </w:r>
      <w:r w:rsidRPr="00F532B5">
        <w:rPr>
          <w:rFonts w:ascii="Book Antiqua" w:hAnsi="Book Antiqua"/>
          <w:color w:val="auto"/>
          <w:sz w:val="24"/>
          <w:szCs w:val="24"/>
        </w:rPr>
        <w:t xml:space="preserve"> </w:t>
      </w:r>
      <w:r w:rsidR="009A41F9" w:rsidRPr="00F532B5">
        <w:rPr>
          <w:rFonts w:ascii="Book Antiqua" w:hAnsi="Book Antiqua"/>
          <w:color w:val="auto"/>
          <w:sz w:val="24"/>
          <w:szCs w:val="24"/>
        </w:rPr>
        <w:t>case series without a control comparison group,</w:t>
      </w:r>
      <w:r w:rsidRPr="00F532B5">
        <w:rPr>
          <w:rFonts w:ascii="Book Antiqua" w:hAnsi="Book Antiqua"/>
          <w:color w:val="auto"/>
          <w:sz w:val="24"/>
          <w:szCs w:val="24"/>
        </w:rPr>
        <w:t xml:space="preserve"> </w:t>
      </w:r>
      <w:r w:rsidR="009A41F9" w:rsidRPr="00F532B5">
        <w:rPr>
          <w:rFonts w:ascii="Book Antiqua" w:hAnsi="Book Antiqua"/>
          <w:color w:val="auto"/>
          <w:sz w:val="24"/>
          <w:szCs w:val="24"/>
        </w:rPr>
        <w:t>mortality was 25% for stage 4 EPS over the study period</w:t>
      </w:r>
      <w:r w:rsidR="00B92D6D"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"ISSN" : "0896-8608", "PMID" : "18552256", "abstract" : "Encapsulating peritoneal sclerosis (EPS), the most serious and classical complication of peritoneal dialysis (PD), was recognized soon after the introduction of PD. Within a little more than a decade after PD was first introduced in Japan, the country began experiencing an increasing number of EPS cases. The present paper discusses the clinical stages of EPS, the incidence of EPS in Japan and the as-yet incompletely understood mechanisms of its development, and EPS management and prevention.", "author" : [ { "dropping-particle" : "", "family" : "Maruyama", "given" : "Yukio", "non-dropping-particle" : "", "parse-names" : false, "suffix" : "" }, { "dropping-particle" : "", "family" : "Nakayama", "given" : "Masaaki", "non-dropping-particle" : "", "parse-names" : false, "suffix" : "" } ], "container-title" : "Peritoneal dialysis international : journal of the International Society for Peritoneal Dialysis", "id" : "ITEM-1", "issued" : { "date-parts" : [ [ "2008" ] ] }, "page" : "S201-4", "title" : "Encapsulating peritoneal sclerosis in Japan.", "type" : "article-journal", "volume" : "28 Suppl 3" }, "uris" : [ "http://www.mendeley.com/documents/?uuid=5b3e7678-dc02-45de-9a04-efa9be7b4a19" ] } ], "mendeley" : { "formattedCitation" : "&lt;sup&gt;[72]&lt;/sup&gt;", "plainTextFormattedCitation" : "[72]", "previouslyFormattedCitation" : "&lt;sup&gt;[72]&lt;/sup&gt;" }, "properties" : { "noteIndex" : 0 }, "schema" : "https://github.com/citation-style-language/schema/raw/master/csl-citation.json" }</w:instrText>
      </w:r>
      <w:r w:rsidR="00B92D6D"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[7</w:t>
      </w:r>
      <w:r w:rsidR="00143607">
        <w:rPr>
          <w:rFonts w:ascii="Book Antiqua" w:hAnsi="Book Antiqua" w:hint="eastAsia"/>
          <w:noProof/>
          <w:color w:val="auto"/>
          <w:sz w:val="24"/>
          <w:szCs w:val="24"/>
          <w:vertAlign w:val="superscript"/>
          <w:lang w:eastAsia="zh-CN"/>
        </w:rPr>
        <w:t>1</w:t>
      </w:r>
      <w:r w:rsidR="00525A55" w:rsidRPr="00F532B5">
        <w:rPr>
          <w:rFonts w:ascii="Book Antiqua" w:hAnsi="Book Antiqua"/>
          <w:noProof/>
          <w:color w:val="auto"/>
          <w:sz w:val="24"/>
          <w:szCs w:val="24"/>
          <w:vertAlign w:val="superscript"/>
        </w:rPr>
        <w:t>]</w:t>
      </w:r>
      <w:r w:rsidR="00B92D6D" w:rsidRPr="00F532B5">
        <w:rPr>
          <w:rFonts w:ascii="Book Antiqua" w:hAnsi="Book Antiqua"/>
          <w:color w:val="auto"/>
          <w:sz w:val="24"/>
          <w:szCs w:val="24"/>
        </w:rPr>
        <w:fldChar w:fldCharType="end"/>
      </w:r>
      <w:r w:rsidR="009A41F9" w:rsidRPr="00F532B5">
        <w:rPr>
          <w:rFonts w:ascii="Book Antiqua" w:hAnsi="Book Antiqua"/>
          <w:color w:val="auto"/>
          <w:sz w:val="24"/>
          <w:szCs w:val="24"/>
        </w:rPr>
        <w:t xml:space="preserve"> which is lower than </w:t>
      </w:r>
      <w:r w:rsidR="00712606" w:rsidRPr="00F532B5">
        <w:rPr>
          <w:rFonts w:ascii="Book Antiqua" w:hAnsi="Book Antiqua"/>
          <w:color w:val="auto"/>
          <w:sz w:val="24"/>
          <w:szCs w:val="24"/>
        </w:rPr>
        <w:t>what is generally reported in natural history studies</w:t>
      </w:r>
      <w:r w:rsidR="004559D8"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"author" : [ { "dropping-particle" : "", "family" : "Brown", "given" : "Edwina A", "non-dropping-particle" : "", "parse-names" : false, "suffix" : "" }, { "dropping-particle" : "Van", "family" : "Biesen", "given" : "Wim", "non-dropping-particle" : "", "parse-names" : false, "suffix" : "" }, { "dropping-particle" : "", "family" : "Finkelstein", "given" : "Fredric O", "non-dropping-particle" : "", "parse-names" : false, "suffix" : "" }, { "dropping-particle" : "", "family" : "Hurst", "given" : "Helen", "non-dropping-particle" : "", "parse-names" : false, "suffix" : "" }, { "dropping-particle" : "", "family" : "Johnson", "given" : "David W", "non-dropping-particle" : "", "parse-names" : false, "suffix" : "" }, { "dropping-particle" : "", "family" : "Pecoits-filho", "given" : "Roberto", "non-dropping-particle" : "", "parse-names" : false, "suffix" : "" }, { "dropping-particle" : "", "family" : "Woodrow", "given" : "Graham", "non-dropping-particle" : "", "parse-names" : false, "suffix" : "" }, { "dropping-particle" : "", "family" : "Party", "given" : "Working", "non-dropping-particle" : "", "parse-names" : false, "suffix" : "" } ], "container-title" : "Peritoneal Dialysis International", "id" : "ITEM-1", "issued" : { "date-parts" : [ [ "2017" ] ] }, "page" : "362-374", "title" : "Length of Time on Peritoneal Dialysis and Encapsulating-Position Paper for ISPD: 2017 Update", "type" : "article-journal", "volume" : "37" }, "uris" : [ "http://www.mendeley.com/documents/?uuid=0c9e21da-a644-4f25-9d5b-ceecae8a5133" ] }, { "id" : "ITEM-2", "itemData" : { "DOI" : "10.3747/pdi.2016.00109.Significant", "author" : [ { "dropping-particle" : "", "family" : "Betjes", "given" : "MG", "non-dropping-particle" : "", "parse-names" : false, "suffix" : "" }, { "dropping-particle" : "", "family" : "Habib", "given" : "SM", "non-dropping-particle" : "", "parse-names" : false, "suffix" : "" }, { "dropping-particle" : "", "family" : "Boeschoten", "given" : "EW", "non-dropping-particle" : "", "parse-names" : false, "suffix" : "" }, { "dropping-particle" : "", "family" : "Hemke", "given" : "AC", "non-dropping-particle" : "", "parse-names" : false, "suffix" : "" }, { "dropping-particle" : "", "family" : "Struijk", "given" : "DG", "non-dropping-particle" : "", "parse-names" : false, "suffix" : "" }, { "dropping-particle" : "", "family" : "Westerhuis", "given" : "R", "non-dropping-particle" : "", "parse-names" : false, "suffix" : "" }, { "dropping-particle" : "", "family" : "Abrahamas", "given" : "AC", "non-dropping-particle" : "", "parse-names" : false, "suffix" : "" }, { "dropping-particle" : "", "family" : "Korte", "given" : "MR", "non-dropping-particle" : "", "parse-names" : false, "suffix" : "" } ], "container-title" : "Peritoneal Dialysis International", "id" : "ITEM-2", "issue" : "2", "issued" : { "date-parts" : [ [ "2017" ] ] }, "page" : "230-234", "title" : "Significant Decreasing Incidence of Encapsulating Peritoneal Sclerosis in the Dutch Population of Peritoneal Dialysis Patients .", "type" : "article-journal", "volume" : "37" }, "uris" : [ "http://www.mendeley.com/documents/?uuid=d4b1344e-9a8a-4d22-8f04-062ea9f72523" ] }, { "id" : "ITEM-3", "itemData" : { "DOI" : "10.1093/ndt/gfp008", "ISBN" : "1460-2385", "ISSN" : "09310509", "PMID" : "19211652", "abstract" : "BACKGROUND: Encapsulating peritoneal sclerosis (EPS) is a disease process that can occur as a complication of peritoneal dialysis (PD). The aim of this study was to make a general assessment of the clinical features, diagnosis, management and outcome of PD-related EPS cases from London and South-East England. METHODS: Questionnaires were sent to 11 PD units in March 2007; cases were identified retrospectively. Outcome data on surviving patients were collected in March 2008. RESULTS: A total of 111 patients were identified; the mean time on PD was 82 months (range 8-247). Mortality increased with length of time on PD, being 42% at &lt;3 years (n = 12), 32% at 3-4 years (n = 19), 61% at 5-6 years (n = 31), 54% at 7-8 years (n = 24), 75% at 9-10 years (n = 8) and 59% at &gt;10 years (n = 17). Twelve patients had no previous peritonitis episodes, 28 had one previous episode, 30 had two previous episodes and 33 had three or more previous episodes. Of the patients with PD details available, 41/63 were high (&gt;0.81) transporters and 44/71 had ultrafiltration &lt;1 l/24 h, but 7/63 were low average transporters (0.5-&lt;0.65) and 27/71 had ultrafiltration &gt;1 l/24 h and a few had significant residual renal function. Sixty-five (59%) patients had their PD discontinued prior to diagnosis (51 HD; 14 transplanted). CT scans were performed on 91 patients and laparotomy on 47 patients. Drug treatment consisted of tamoxifen, immunosuppression or both. The median survival was 15 months in patients treated with tamoxifen (n = 17), 12 months in patients treated with immunosuppression (n = 24) and 21 months in patients who received both (n = 13), against 13 months (n = 46) in patients who received no specific treatment. Adhesionolysis was performed in 5 patients, and 39 patients were given parenteral nutrition. The overall mortality was 53% with a median survival of 14 months and a median time to death of 7 months. Conclusion. This is one of the largest cohorts of patients with EPS in the literature. Long-term survival occurred in over 50%, regardless of the various treatments strategies undertaken by the centres.", "author" : [ { "dropping-particle" : "", "family" : "Balasubramaniam", "given" : "Gowrie", "non-dropping-particle" : "", "parse-names" : false, "suffix" : "" }, { "dropping-particle" : "", "family" : "Brown", "given" : "Edwina A.", "non-dropping-particle" : "", "parse-names" : false, "suffix" : "" }, { "dropping-particle" : "", "family" : "Davenport", "given" : "Andrew", "non-dropping-particle" : "", "parse-names" : false, "suffix" : "" }, { "dropping-particle" : "", "family" : "Cairns", "given" : "Hugh", "non-dropping-particle" : "", "parse-names" : false, "suffix" : "" }, { "dropping-particle" : "", "family" : "Cooper", "given" : "Barbara", "non-dropping-particle" : "", "parse-names" : false, "suffix" : "" }, { "dropping-particle" : "", "family" : "Fan", "given" : "Stanley L S", "non-dropping-particle" : "", "parse-names" : false, "suffix" : "" }, { "dropping-particle" : "", "family" : "Farrington", "given" : "Ken", "non-dropping-particle" : "", "parse-names" : false, "suffix" : "" }, { "dropping-particle" : "", "family" : "Gallagher", "given" : "Hugh", "non-dropping-particle" : "", "parse-names" : false, "suffix" : "" }, { "dropping-particle" : "", "family" : "Harnett", "given" : "Patrick", "non-dropping-particle" : "", "parse-names" : false, "suffix" : "" }, { "dropping-particle" : "", "family" : "Krausze", "given" : "Sally", "non-dropping-particle" : "", "parse-names" : false, "suffix" : "" }, { "dropping-particle" : "", "family" : "Steddon", "given" : "Simon", "non-dropping-particle" : "", "parse-names" : false, "suffix" : "" } ], "container-title" : "Nephrology Dialysis Transplantation", "id" : "ITEM-3", "issue" : "10", "issued" : { "date-parts" : [ [ "2009" ] ] }, "page" : "3209-3215", "title" : "The Pan-Thames EPS study: Treatment and outcomes of encapsulating peritoneal sclerosis", "type" : "article-journal", "volume" : "24" }, "uris" : [ "http://www.mendeley.com/documents/?uuid=8e489702-b920-4da7-a031-86374d2afe6c" ] } ], "mendeley" : { "formattedCitation" : "&lt;sup&gt;[17,50,55]&lt;/sup&gt;", "plainTextFormattedCitation" : "[17,50,55]", "previouslyFormattedCitation" : "&lt;sup&gt;[17,50,55]&lt;/sup&gt;" }, "properties" : { "noteIndex" : 0 }, "schema" : "https://github.com/citation-style-language/schema/raw/master/csl-citation.json" }</w:instrText>
      </w:r>
      <w:r w:rsidR="004559D8"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[17,50,55]</w:t>
      </w:r>
      <w:r w:rsidR="004559D8" w:rsidRPr="00F532B5">
        <w:rPr>
          <w:rFonts w:ascii="Book Antiqua" w:hAnsi="Book Antiqua"/>
          <w:color w:val="auto"/>
          <w:sz w:val="24"/>
          <w:szCs w:val="24"/>
        </w:rPr>
        <w:fldChar w:fldCharType="end"/>
      </w:r>
      <w:r w:rsidR="00712606" w:rsidRPr="00F532B5">
        <w:rPr>
          <w:rFonts w:ascii="Book Antiqua" w:hAnsi="Book Antiqua"/>
          <w:color w:val="auto"/>
          <w:sz w:val="24"/>
          <w:szCs w:val="24"/>
        </w:rPr>
        <w:t>.</w:t>
      </w:r>
    </w:p>
    <w:p w14:paraId="00F9989B" w14:textId="34DBE7E7" w:rsidR="0016371C" w:rsidRPr="00F532B5" w:rsidRDefault="00712606" w:rsidP="00100689">
      <w:pPr>
        <w:snapToGrid w:val="0"/>
        <w:spacing w:line="360" w:lineRule="auto"/>
        <w:ind w:firstLineChars="100" w:firstLine="240"/>
        <w:jc w:val="both"/>
        <w:rPr>
          <w:rFonts w:ascii="Book Antiqua" w:hAnsi="Book Antiqua"/>
          <w:color w:val="auto"/>
          <w:sz w:val="24"/>
          <w:szCs w:val="24"/>
        </w:rPr>
      </w:pPr>
      <w:r w:rsidRPr="00F532B5">
        <w:rPr>
          <w:rFonts w:ascii="Book Antiqua" w:hAnsi="Book Antiqua"/>
          <w:color w:val="auto"/>
          <w:sz w:val="24"/>
          <w:szCs w:val="24"/>
        </w:rPr>
        <w:t>Despite this, one prospective cohort study found only 38.5% recovered on steroids, while the remainder died or required surgical intervention</w:t>
      </w:r>
      <w:r w:rsidR="00B92D6D"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"10.1053/j.ajkd.2004.06.020", "ISSN" : "02726386", "PMID" : "15384025", "abstract" : "Background: Encapsulating peritoneal sclerosis (EPS) is recognized as a rare but serious complication of peritoneal dialysis (PD). The aim of this study was to determine the incidence, clinical features, and mortality rate of EPS. Methods: The authors requested the registration of all PD patients in facilities across Japan where more than 10 patients were treated with PD in this prospective multicenter study. During the 4-year study, the incidence of EPS was observed in the enrolled patients. Results: A total of 1,958 patients who were treated with PD in 57 facilities were followed up from April 1999 through March 2003. EPS occurred in 48 patients, corresponding to an overall incidence of 2.5%. In 33 of the 48 (68.8%) patients, EPS was found after discontinuation of PD. The incidence (and mortality rate) of EPS was 0%, 0.7% (0%), 2.1% (8.3%), 5.9% (28.6%), 5.8% (61.5%), and 17.2% (100%) in patients who had undergone PD for 3, 5, 8, 10, 15, and more than 15 years, respectively. The recovery ratio with total parenteral nutrition, corticosteroids and surgical treatment were 0%, 38.5%, and 58.3%, respectively. Eighteen patients (37.5%) died, 22 (45.8%) recovered, and the status of the other 8 (16.7%) remained unchanged. Conclusion: The results of this prospective multicenter study showed that the incidence of EPS was 2.5% within a 4-year observation period and that two thirds of the cases were diagnosed after discontinuation of PD. Because of the current progress in diagnostic technology and therapeutic methodology, it appears that PD can be continued successfully with an acceptable, low risk for EPS for at least 8 years, whereas stricter caution is required for patients receiving PD for longer periods. \u00a9 2004 by the National Kidney Foundation, Inc.", "author" : [ { "dropping-particle" : "", "family" : "Kawanishi", "given" : "Hideki", "non-dropping-particle" : "", "parse-names" : false, "suffix" : "" }, { "dropping-particle" : "", "family" : "Kawaguchi", "given" : "Yoshindo", "non-dropping-particle" : "", "parse-names" : false, "suffix" : "" }, { "dropping-particle" : "", "family" : "Fukui", "given" : "Hiroyoshi", "non-dropping-particle" : "", "parse-names" : false, "suffix" : "" }, { "dropping-particle" : "", "family" : "Hara", "given" : "Shigeko", "non-dropping-particle" : "", "parse-names" : false, "suffix" : "" }, { "dropping-particle" : "", "family" : "Imada", "given" : "Akio", "non-dropping-particle" : "", "parse-names" : false, "suffix" : "" }, { "dropping-particle" : "", "family" : "Kubo", "given" : "Hitoshi", "non-dropping-particle" : "", "parse-names" : false, "suffix" : "" }, { "dropping-particle" : "", "family" : "Kin", "given" : "Masao", "non-dropping-particle" : "", "parse-names" : false, "suffix" : "" }, { "dropping-particle" : "", "family" : "Nakamoto", "given" : "Masahiko", "non-dropping-particle" : "", "parse-names" : false, "suffix" : "" }, { "dropping-particle" : "", "family" : "Ohira", "given" : "Seiji", "non-dropping-particle" : "", "parse-names" : false, "suffix" : "" }, { "dropping-particle" : "", "family" : "Shoji", "given" : "Takao", "non-dropping-particle" : "", "parse-names" : false, "suffix" : "" } ], "container-title" : "American Journal of Kidney Diseases", "id" : "ITEM-1", "issue" : "4", "issued" : { "date-parts" : [ [ "2004" ] ] }, "page" : "729-737", "title" : "Encapsulating peritoneal sclerosis in Japan: A prospective, controlled, multicenter study", "type" : "article-journal", "volume" : "44" }, "uris" : [ "http://www.mendeley.com/documents/?uuid=cec0e88c-1097-46cc-8d59-c677a6747f37" ] } ], "mendeley" : { "formattedCitation" : "&lt;sup&gt;[69]&lt;/sup&gt;", "plainTextFormattedCitation" : "[69]", "previouslyFormattedCitation" : "&lt;sup&gt;[69]&lt;/sup&gt;" }, "properties" : { "noteIndex" : 0 }, "schema" : "https://github.com/citation-style-language/schema/raw/master/csl-citation.json" }</w:instrText>
      </w:r>
      <w:r w:rsidR="00B92D6D"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[6</w:t>
      </w:r>
      <w:r w:rsidR="00143607">
        <w:rPr>
          <w:rFonts w:ascii="Book Antiqua" w:hAnsi="Book Antiqua" w:hint="eastAsia"/>
          <w:noProof/>
          <w:color w:val="auto"/>
          <w:sz w:val="24"/>
          <w:szCs w:val="24"/>
          <w:vertAlign w:val="superscript"/>
          <w:lang w:eastAsia="zh-CN"/>
        </w:rPr>
        <w:t>8</w:t>
      </w:r>
      <w:r w:rsidR="00525A55" w:rsidRPr="00F532B5">
        <w:rPr>
          <w:rFonts w:ascii="Book Antiqua" w:hAnsi="Book Antiqua"/>
          <w:noProof/>
          <w:color w:val="auto"/>
          <w:sz w:val="24"/>
          <w:szCs w:val="24"/>
          <w:vertAlign w:val="superscript"/>
        </w:rPr>
        <w:t>]</w:t>
      </w:r>
      <w:r w:rsidR="00B92D6D" w:rsidRPr="00F532B5">
        <w:rPr>
          <w:rFonts w:ascii="Book Antiqua" w:hAnsi="Book Antiqua"/>
          <w:color w:val="auto"/>
          <w:sz w:val="24"/>
          <w:szCs w:val="24"/>
        </w:rPr>
        <w:fldChar w:fldCharType="end"/>
      </w:r>
      <w:r w:rsidR="00754926"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Similarly, the largest retrospective study involving steroids found no improvement in median survival, though treatment groups were too heterogeneous for meaningful analysis</w:t>
      </w:r>
      <w:r w:rsidR="00B92D6D"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"10.1093/ndt/gfp008", "ISBN" : "1460-2385", "ISSN" : "09310509", "PMID" : "19211652", "abstract" : "BACKGROUND: Encapsulating peritoneal sclerosis (EPS) is a disease process that can occur as a complication of peritoneal dialysis (PD). The aim of this study was to make a general assessment of the clinical features, diagnosis, management and outcome of PD-related EPS cases from London and South-East England. METHODS: Questionnaires were sent to 11 PD units in March 2007; cases were identified retrospectively. Outcome data on surviving patients were collected in March 2008. RESULTS: A total of 111 patients were identified; the mean time on PD was 82 months (range 8-247). Mortality increased with length of time on PD, being 42% at &lt;3 years (n = 12), 32% at 3-4 years (n = 19), 61% at 5-6 years (n = 31), 54% at 7-8 years (n = 24), 75% at 9-10 years (n = 8) and 59% at &gt;10 years (n = 17). Twelve patients had no previous peritonitis episodes, 28 had one previous episode, 30 had two previous episodes and 33 had three or more previous episodes. Of the patients with PD details available, 41/63 were high (&gt;0.81) transporters and 44/71 had ultrafiltration &lt;1 l/24 h, but 7/63 were low average transporters (0.5-&lt;0.65) and 27/71 had ultrafiltration &gt;1 l/24 h and a few had significant residual renal function. Sixty-five (59%) patients had their PD discontinued prior to diagnosis (51 HD; 14 transplanted). CT scans were performed on 91 patients and laparotomy on 47 patients. Drug treatment consisted of tamoxifen, immunosuppression or both. The median survival was 15 months in patients treated with tamoxifen (n = 17), 12 months in patients treated with immunosuppression (n = 24) and 21 months in patients who received both (n = 13), against 13 months (n = 46) in patients who received no specific treatment. Adhesionolysis was performed in 5 patients, and 39 patients were given parenteral nutrition. The overall mortality was 53% with a median survival of 14 months and a median time to death of 7 months. Conclusion. This is one of the largest cohorts of patients with EPS in the literature. Long-term survival occurred in over 50%, regardless of the various treatments strategies undertaken by the centres.", "author" : [ { "dropping-particle" : "", "family" : "Balasubramaniam", "given" : "Gowrie", "non-dropping-particle" : "", "parse-names" : false, "suffix" : "" }, { "dropping-particle" : "", "family" : "Brown", "given" : "Edwina A.", "non-dropping-particle" : "", "parse-names" : false, "suffix" : "" }, { "dropping-particle" : "", "family" : "Davenport", "given" : "Andrew", "non-dropping-particle" : "", "parse-names" : false, "suffix" : "" }, { "dropping-particle" : "", "family" : "Cairns", "given" : "Hugh", "non-dropping-particle" : "", "parse-names" : false, "suffix" : "" }, { "dropping-particle" : "", "family" : "Cooper", "given" : "Barbara", "non-dropping-particle" : "", "parse-names" : false, "suffix" : "" }, { "dropping-particle" : "", "family" : "Fan", "given" : "Stanley L S", "non-dropping-particle" : "", "parse-names" : false, "suffix" : "" }, { "dropping-particle" : "", "family" : "Farrington", "given" : "Ken", "non-dropping-particle" : "", "parse-names" : false, "suffix" : "" }, { "dropping-particle" : "", "family" : "Gallagher", "given" : "Hugh", "non-dropping-particle" : "", "parse-names" : false, "suffix" : "" }, { "dropping-particle" : "", "family" : "Harnett", "given" : "Patrick", "non-dropping-particle" : "", "parse-names" : false, "suffix" : "" }, { "dropping-particle" : "", "family" : "Krausze", "given" : "Sally", "non-dropping-particle" : "", "parse-names" : false, "suffix" : "" }, { "dropping-particle" : "", "family" : "Steddon", "given" : "Simon", "non-dropping-particle" : "", "parse-names" : false, "suffix" : "" } ], "container-title" : "Nephrology Dialysis Transplantation", "id" : "ITEM-1", "issue" : "10", "issued" : { "date-parts" : [ [ "2009" ] ] }, "page" : "3209-3215", "title" : "The Pan-Thames EPS study: Treatment and outcomes of encapsulating peritoneal sclerosis", "type" : "article-journal", "volume" : "24" }, "uris" : [ "http://www.mendeley.com/documents/?uuid=8e489702-b920-4da7-a031-86374d2afe6c" ] } ], "mendeley" : { "formattedCitation" : "&lt;sup&gt;[55]&lt;/sup&gt;", "plainTextFormattedCitation" : "[55]", "previouslyFormattedCitation" : "&lt;sup&gt;[55]&lt;/sup&gt;" }, "properties" : { "noteIndex" : 0 }, "schema" : "https://github.com/citation-style-language/schema/raw/master/csl-citation.json" }</w:instrText>
      </w:r>
      <w:r w:rsidR="00B92D6D"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[55]</w:t>
      </w:r>
      <w:r w:rsidR="00B92D6D" w:rsidRPr="00F532B5">
        <w:rPr>
          <w:rFonts w:ascii="Book Antiqua" w:hAnsi="Book Antiqua"/>
          <w:color w:val="auto"/>
          <w:sz w:val="24"/>
          <w:szCs w:val="24"/>
        </w:rPr>
        <w:fldChar w:fldCharType="end"/>
      </w:r>
      <w:r w:rsidR="00754926" w:rsidRPr="00F532B5">
        <w:rPr>
          <w:rFonts w:ascii="Book Antiqua" w:hAnsi="Book Antiqua"/>
          <w:color w:val="auto"/>
          <w:sz w:val="24"/>
          <w:szCs w:val="24"/>
        </w:rPr>
        <w:t>.</w:t>
      </w:r>
    </w:p>
    <w:p w14:paraId="3E7F3738" w14:textId="68FF23C8" w:rsidR="0016371C" w:rsidRPr="00F532B5" w:rsidRDefault="00FE12FA" w:rsidP="00100689">
      <w:pPr>
        <w:snapToGrid w:val="0"/>
        <w:spacing w:line="360" w:lineRule="auto"/>
        <w:ind w:firstLineChars="100" w:firstLine="240"/>
        <w:jc w:val="both"/>
        <w:rPr>
          <w:rFonts w:ascii="Book Antiqua" w:hAnsi="Book Antiqua"/>
          <w:color w:val="auto"/>
          <w:sz w:val="24"/>
          <w:szCs w:val="24"/>
        </w:rPr>
      </w:pPr>
      <w:r w:rsidRPr="00F532B5">
        <w:rPr>
          <w:rFonts w:ascii="Book Antiqua" w:hAnsi="Book Antiqua"/>
          <w:color w:val="auto"/>
          <w:sz w:val="24"/>
          <w:szCs w:val="24"/>
        </w:rPr>
        <w:t>W</w:t>
      </w:r>
      <w:r w:rsidR="00754926" w:rsidRPr="00F532B5">
        <w:rPr>
          <w:rFonts w:ascii="Book Antiqua" w:hAnsi="Book Antiqua"/>
          <w:color w:val="auto"/>
          <w:sz w:val="24"/>
          <w:szCs w:val="24"/>
        </w:rPr>
        <w:t>hile EPS is</w:t>
      </w:r>
      <w:r w:rsidRPr="00F532B5">
        <w:rPr>
          <w:rFonts w:ascii="Book Antiqua" w:hAnsi="Book Antiqua"/>
          <w:color w:val="auto"/>
          <w:sz w:val="24"/>
          <w:szCs w:val="24"/>
        </w:rPr>
        <w:t xml:space="preserve"> thought to develop out of an </w:t>
      </w:r>
      <w:r w:rsidR="00754926" w:rsidRPr="00F532B5">
        <w:rPr>
          <w:rFonts w:ascii="Book Antiqua" w:hAnsi="Book Antiqua"/>
          <w:color w:val="auto"/>
          <w:sz w:val="24"/>
          <w:szCs w:val="24"/>
        </w:rPr>
        <w:t>inflammatory insult</w:t>
      </w:r>
      <w:r w:rsidR="00B63748" w:rsidRPr="00F532B5">
        <w:rPr>
          <w:rFonts w:ascii="Book Antiqua" w:hAnsi="Book Antiqua"/>
          <w:color w:val="auto"/>
          <w:sz w:val="24"/>
          <w:szCs w:val="24"/>
        </w:rPr>
        <w:t xml:space="preserve">, active </w:t>
      </w:r>
      <w:r w:rsidR="00754926" w:rsidRPr="00F532B5">
        <w:rPr>
          <w:rFonts w:ascii="Book Antiqua" w:hAnsi="Book Antiqua"/>
          <w:color w:val="auto"/>
          <w:sz w:val="24"/>
          <w:szCs w:val="24"/>
        </w:rPr>
        <w:t>inflammation may not be ongoing at the time of presentation.</w:t>
      </w:r>
      <w:r w:rsidR="006D7818">
        <w:rPr>
          <w:rFonts w:ascii="Book Antiqua" w:hAnsi="Book Antiqua"/>
          <w:color w:val="auto"/>
          <w:sz w:val="24"/>
          <w:szCs w:val="24"/>
        </w:rPr>
        <w:t xml:space="preserve"> </w:t>
      </w:r>
      <w:r w:rsidRPr="00F532B5">
        <w:rPr>
          <w:rFonts w:ascii="Book Antiqua" w:hAnsi="Book Antiqua"/>
          <w:color w:val="auto"/>
          <w:sz w:val="24"/>
          <w:szCs w:val="24"/>
        </w:rPr>
        <w:t>It is</w:t>
      </w:r>
      <w:r w:rsidR="00754926" w:rsidRPr="00F532B5">
        <w:rPr>
          <w:rFonts w:ascii="Book Antiqua" w:hAnsi="Book Antiqua"/>
          <w:color w:val="auto"/>
          <w:sz w:val="24"/>
          <w:szCs w:val="24"/>
        </w:rPr>
        <w:t xml:space="preserve"> difficult to ascertain which patients are actively inflamed using non-specific markers such as CRP and clinical observation</w:t>
      </w:r>
      <w:r w:rsidR="00086469" w:rsidRPr="00F532B5">
        <w:rPr>
          <w:rFonts w:ascii="Book Antiqua" w:hAnsi="Book Antiqua"/>
          <w:color w:val="auto"/>
          <w:sz w:val="24"/>
          <w:szCs w:val="24"/>
        </w:rPr>
        <w:t>.</w:t>
      </w:r>
      <w:r w:rsidR="006D7818">
        <w:rPr>
          <w:rFonts w:ascii="Book Antiqua" w:hAnsi="Book Antiqua"/>
          <w:color w:val="auto"/>
          <w:sz w:val="24"/>
          <w:szCs w:val="24"/>
        </w:rPr>
        <w:t xml:space="preserve"> </w:t>
      </w:r>
      <w:r w:rsidR="00086469" w:rsidRPr="00F532B5">
        <w:rPr>
          <w:rFonts w:ascii="Book Antiqua" w:hAnsi="Book Antiqua"/>
          <w:color w:val="auto"/>
          <w:sz w:val="24"/>
          <w:szCs w:val="24"/>
        </w:rPr>
        <w:t>W</w:t>
      </w:r>
      <w:r w:rsidR="00712606" w:rsidRPr="00F532B5">
        <w:rPr>
          <w:rFonts w:ascii="Book Antiqua" w:hAnsi="Book Antiqua"/>
          <w:color w:val="auto"/>
          <w:sz w:val="24"/>
          <w:szCs w:val="24"/>
        </w:rPr>
        <w:t>e recommend</w:t>
      </w:r>
      <w:r w:rsidR="00754926" w:rsidRPr="00F532B5">
        <w:rPr>
          <w:rFonts w:ascii="Book Antiqua" w:hAnsi="Book Antiqua"/>
          <w:color w:val="auto"/>
          <w:sz w:val="24"/>
          <w:szCs w:val="24"/>
        </w:rPr>
        <w:t xml:space="preserve"> target</w:t>
      </w:r>
      <w:r w:rsidR="00712606" w:rsidRPr="00F532B5">
        <w:rPr>
          <w:rFonts w:ascii="Book Antiqua" w:hAnsi="Book Antiqua"/>
          <w:color w:val="auto"/>
          <w:sz w:val="24"/>
          <w:szCs w:val="24"/>
        </w:rPr>
        <w:t>ing</w:t>
      </w:r>
      <w:r w:rsidR="00754926" w:rsidRPr="00F532B5">
        <w:rPr>
          <w:rFonts w:ascii="Book Antiqua" w:hAnsi="Book Antiqua"/>
          <w:color w:val="auto"/>
          <w:sz w:val="24"/>
          <w:szCs w:val="24"/>
        </w:rPr>
        <w:t xml:space="preserve"> immunosuppressive therapy to those thought to have an active inflammatory component </w:t>
      </w:r>
      <w:r w:rsidR="00FF1D59" w:rsidRPr="00F532B5">
        <w:rPr>
          <w:rFonts w:ascii="Book Antiqua" w:hAnsi="Book Antiqua"/>
          <w:color w:val="auto"/>
          <w:sz w:val="24"/>
          <w:szCs w:val="24"/>
        </w:rPr>
        <w:t>after excluding infection.</w:t>
      </w:r>
      <w:r w:rsidR="006D7818">
        <w:rPr>
          <w:rFonts w:ascii="Book Antiqua" w:hAnsi="Book Antiqua"/>
          <w:color w:val="auto"/>
          <w:sz w:val="24"/>
          <w:szCs w:val="24"/>
        </w:rPr>
        <w:t xml:space="preserve"> </w:t>
      </w:r>
      <w:r w:rsidR="00754926" w:rsidRPr="00F532B5">
        <w:rPr>
          <w:rFonts w:ascii="Book Antiqua" w:hAnsi="Book Antiqua"/>
          <w:color w:val="auto"/>
          <w:sz w:val="24"/>
          <w:szCs w:val="24"/>
        </w:rPr>
        <w:t>The appropriate dosing and duration of corticosteroids are not established</w:t>
      </w:r>
      <w:r w:rsidR="00E371C2" w:rsidRPr="00F532B5">
        <w:rPr>
          <w:rFonts w:ascii="Book Antiqua" w:hAnsi="Book Antiqua"/>
          <w:color w:val="auto"/>
          <w:sz w:val="24"/>
          <w:szCs w:val="24"/>
        </w:rPr>
        <w:t>.</w:t>
      </w:r>
      <w:r w:rsidR="001E0CA2" w:rsidRPr="00F532B5">
        <w:rPr>
          <w:rFonts w:ascii="Book Antiqua" w:hAnsi="Book Antiqua"/>
          <w:color w:val="auto"/>
          <w:sz w:val="24"/>
          <w:szCs w:val="24"/>
        </w:rPr>
        <w:t xml:space="preserve"> </w:t>
      </w:r>
      <w:r w:rsidR="00E371C2" w:rsidRPr="00F532B5">
        <w:rPr>
          <w:rFonts w:ascii="Book Antiqua" w:hAnsi="Book Antiqua"/>
          <w:color w:val="auto"/>
          <w:sz w:val="24"/>
          <w:szCs w:val="24"/>
        </w:rPr>
        <w:t>H</w:t>
      </w:r>
      <w:r w:rsidR="001E0CA2" w:rsidRPr="00F532B5">
        <w:rPr>
          <w:rFonts w:ascii="Book Antiqua" w:hAnsi="Book Antiqua"/>
          <w:color w:val="auto"/>
          <w:sz w:val="24"/>
          <w:szCs w:val="24"/>
        </w:rPr>
        <w:t xml:space="preserve">owever the Dutch EPS Registry, in </w:t>
      </w:r>
      <w:r w:rsidRPr="00F532B5">
        <w:rPr>
          <w:rFonts w:ascii="Book Antiqua" w:hAnsi="Book Antiqua"/>
          <w:color w:val="auto"/>
          <w:sz w:val="24"/>
          <w:szCs w:val="24"/>
        </w:rPr>
        <w:t>2011 guidelines</w:t>
      </w:r>
      <w:r w:rsidR="001E0CA2" w:rsidRPr="00F532B5">
        <w:rPr>
          <w:rFonts w:ascii="Book Antiqua" w:hAnsi="Book Antiqua"/>
          <w:color w:val="auto"/>
          <w:sz w:val="24"/>
          <w:szCs w:val="24"/>
        </w:rPr>
        <w:t xml:space="preserve">, </w:t>
      </w:r>
      <w:r w:rsidR="00754926" w:rsidRPr="00F532B5">
        <w:rPr>
          <w:rFonts w:ascii="Book Antiqua" w:hAnsi="Book Antiqua"/>
          <w:color w:val="auto"/>
          <w:sz w:val="24"/>
          <w:szCs w:val="24"/>
        </w:rPr>
        <w:t>suggest</w:t>
      </w:r>
      <w:r w:rsidR="001E0CA2" w:rsidRPr="00F532B5">
        <w:rPr>
          <w:rFonts w:ascii="Book Antiqua" w:hAnsi="Book Antiqua"/>
          <w:color w:val="auto"/>
          <w:sz w:val="24"/>
          <w:szCs w:val="24"/>
        </w:rPr>
        <w:t>s</w:t>
      </w:r>
      <w:r w:rsidRPr="00F532B5">
        <w:rPr>
          <w:rFonts w:ascii="Book Antiqua" w:hAnsi="Book Antiqua"/>
          <w:color w:val="auto"/>
          <w:sz w:val="24"/>
          <w:szCs w:val="24"/>
        </w:rPr>
        <w:t xml:space="preserve"> </w:t>
      </w:r>
      <w:r w:rsidR="00754926" w:rsidRPr="00F532B5">
        <w:rPr>
          <w:rFonts w:ascii="Book Antiqua" w:hAnsi="Book Antiqua"/>
          <w:color w:val="auto"/>
          <w:sz w:val="24"/>
          <w:szCs w:val="24"/>
        </w:rPr>
        <w:t>IV methylprednisolone (500-1000 mg/d) for 2-3 d</w:t>
      </w:r>
      <w:r w:rsidR="00E937F6">
        <w:rPr>
          <w:rFonts w:ascii="Book Antiqua" w:hAnsi="Book Antiqua" w:hint="eastAsia"/>
          <w:color w:val="auto"/>
          <w:sz w:val="24"/>
          <w:szCs w:val="24"/>
          <w:lang w:eastAsia="zh-CN"/>
        </w:rPr>
        <w:t xml:space="preserve"> </w:t>
      </w:r>
      <w:r w:rsidR="00754926" w:rsidRPr="00F532B5">
        <w:rPr>
          <w:rFonts w:ascii="Book Antiqua" w:hAnsi="Book Antiqua"/>
          <w:color w:val="auto"/>
          <w:sz w:val="24"/>
          <w:szCs w:val="24"/>
        </w:rPr>
        <w:t>in those who present with acute obstructive symptoms</w:t>
      </w:r>
      <w:r w:rsidR="00114469" w:rsidRPr="00F532B5">
        <w:rPr>
          <w:rFonts w:ascii="Book Antiqua" w:hAnsi="Book Antiqua"/>
          <w:color w:val="auto"/>
          <w:sz w:val="24"/>
          <w:szCs w:val="24"/>
        </w:rPr>
        <w:t xml:space="preserve"> without infection</w:t>
      </w:r>
      <w:r w:rsidR="00220D0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"ISBN" : "1872-9061", "ISSN" : "03002977", "PMID" : "22173363", "abstract" : "Encapsulating peritoneal sclerosis (EPS) represents a rare complication of long-term peritoneal dialysis (PD). It is characterised by diffuse peritoneal membrane fibrosis, progressive intestinal encapsulation and the clinical spectrum of intestinal obstruction. The pathogenesis is as yet not well understood but includes inflammation, angiogenesis and fibrosis. The current diagnosis of EPS lacks specificity and relies on clinical, radiographic or macroscopic evaluation. There is no general agreement on managing EPS although accumulating clinical data suggest drug treatment (steroids, tamoxifen), surgery (enterolysis) or a combination of both. Here, we provide a short overview on the current knowledge of EPS, with a focus on treatment. Moreover, we present a diagnostic and a therapeutic algorithm for EPS based on the best available published data and our combined experience.", "author" : [ { "dropping-particle" : "", "family" : "Habib", "given" : "S. M.", "non-dropping-particle" : "", "parse-names" : false, "suffix" : "" }, { "dropping-particle" : "", "family" : "Betjes", "given" : "M. G.H.", "non-dropping-particle" : "", "parse-names" : false, "suffix" : "" }, { "dropping-particle" : "", "family" : "Fieren", "given" : "M. W.J.A.", "non-dropping-particle" : "", "parse-names" : false, "suffix" : "" }, { "dropping-particle" : "", "family" : "Boeschoten", "given" : "E. W.", "non-dropping-particle" : "", "parse-names" : false, "suffix" : "" }, { "dropping-particle" : "", "family" : "Abrahams", "given" : "A. C.", "non-dropping-particle" : "", "parse-names" : false, "suffix" : "" }, { "dropping-particle" : "", "family" : "Boer", "given" : "W. H.", "non-dropping-particle" : "", "parse-names" : false, "suffix" : "" }, { "dropping-particle" : "", "family" : "Struijk", "given" : "D. G.", "non-dropping-particle" : "", "parse-names" : false, "suffix" : "" }, { "dropping-particle" : "", "family" : "Ruger", "given" : "W.", "non-dropping-particle" : "", "parse-names" : false, "suffix" : "" }, { "dropping-particle" : "", "family" : "Krikke", "given" : "C.", "non-dropping-particle" : "", "parse-names" : false, "suffix" : "" }, { "dropping-particle" : "", "family" : "Westerhuis", "given" : "R.", "non-dropping-particle" : "", "parse-names" : false, "suffix" : "" }, { "dropping-particle" : "", "family" : "S\u00e9vaux", "given" : "R. G.L.", "non-dropping-particle" : "de", "parse-names" : false, "suffix" : "" }, { "dropping-particle" : "", "family" : "Sande", "given" : "F. M.", "non-dropping-particle" : "van der", "parse-names" : false, "suffix" : "" }, { "dropping-particle" : "", "family" : "Gaasbeek", "given" : "A.", "non-dropping-particle" : "", "parse-names" : false, "suffix" : "" }, { "dropping-particle" : "", "family" : "Korte", "given" : "M. R.", "non-dropping-particle" : "", "parse-names" : false, "suffix" : "" } ], "container-title" : "Netherlands Journal of Medicine", "id" : "ITEM-1", "issue" : "11", "issued" : { "date-parts" : [ [ "2011" ] ] }, "page" : "500-507", "title" : "Management of encapsulating peritoneal sclerosis: A guideline on optimal and uniform treatment", "type" : "article-journal", "volume" : "69" }, "uris" : [ "http://www.mendeley.com/documents/?uuid=a9c17b32-d577-41e3-a357-f25bc4d9c58a" ] } ], "mendeley" : { "formattedCitation" : "&lt;sup&gt;[79]&lt;/sup&gt;", "plainTextFormattedCitation" : "[79]", "previouslyFormattedCitation" : "&lt;sup&gt;[79]&lt;/sup&gt;" }, "properties" : { "noteIndex" : 0 }, "schema" : "https://github.com/citation-style-language/schema/raw/master/csl-citation.json" }</w:instrText>
      </w:r>
      <w:r w:rsidR="00220D0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[7</w:t>
      </w:r>
      <w:r w:rsidR="00143607">
        <w:rPr>
          <w:rFonts w:ascii="Book Antiqua" w:hAnsi="Book Antiqua" w:hint="eastAsia"/>
          <w:noProof/>
          <w:color w:val="auto"/>
          <w:sz w:val="24"/>
          <w:szCs w:val="24"/>
          <w:vertAlign w:val="superscript"/>
          <w:lang w:eastAsia="zh-CN"/>
        </w:rPr>
        <w:t>8</w:t>
      </w:r>
      <w:r w:rsidR="00525A55" w:rsidRPr="00F532B5">
        <w:rPr>
          <w:rFonts w:ascii="Book Antiqua" w:hAnsi="Book Antiqua"/>
          <w:noProof/>
          <w:color w:val="auto"/>
          <w:sz w:val="24"/>
          <w:szCs w:val="24"/>
          <w:vertAlign w:val="superscript"/>
        </w:rPr>
        <w:t>]</w:t>
      </w:r>
      <w:r w:rsidR="00220D0C" w:rsidRPr="00F532B5">
        <w:rPr>
          <w:rFonts w:ascii="Book Antiqua" w:hAnsi="Book Antiqua"/>
          <w:color w:val="auto"/>
          <w:sz w:val="24"/>
          <w:szCs w:val="24"/>
        </w:rPr>
        <w:fldChar w:fldCharType="end"/>
      </w:r>
      <w:r w:rsidR="00754926" w:rsidRPr="00F532B5">
        <w:rPr>
          <w:rFonts w:ascii="Book Antiqua" w:hAnsi="Book Antiqua"/>
          <w:color w:val="auto"/>
          <w:sz w:val="24"/>
          <w:szCs w:val="24"/>
        </w:rPr>
        <w:t>.</w:t>
      </w:r>
      <w:r w:rsidR="006D7818">
        <w:rPr>
          <w:rFonts w:ascii="Book Antiqua" w:hAnsi="Book Antiqua"/>
          <w:color w:val="auto"/>
          <w:sz w:val="24"/>
          <w:szCs w:val="24"/>
        </w:rPr>
        <w:t xml:space="preserve"> </w:t>
      </w:r>
      <w:r w:rsidR="00754926" w:rsidRPr="00F532B5">
        <w:rPr>
          <w:rFonts w:ascii="Book Antiqua" w:hAnsi="Book Antiqua"/>
          <w:color w:val="auto"/>
          <w:sz w:val="24"/>
          <w:szCs w:val="24"/>
        </w:rPr>
        <w:t xml:space="preserve">In those who </w:t>
      </w:r>
      <w:r w:rsidR="00754926" w:rsidRPr="00F532B5">
        <w:rPr>
          <w:rFonts w:ascii="Book Antiqua" w:hAnsi="Book Antiqua"/>
          <w:color w:val="auto"/>
          <w:sz w:val="24"/>
          <w:szCs w:val="24"/>
        </w:rPr>
        <w:lastRenderedPageBreak/>
        <w:t>present with more subacute symptoms</w:t>
      </w:r>
      <w:r w:rsidR="00CC42FE" w:rsidRPr="00F532B5">
        <w:rPr>
          <w:rFonts w:ascii="Book Antiqua" w:hAnsi="Book Antiqua"/>
          <w:color w:val="auto"/>
          <w:sz w:val="24"/>
          <w:szCs w:val="24"/>
        </w:rPr>
        <w:t xml:space="preserve"> without infection</w:t>
      </w:r>
      <w:r w:rsidR="00754926" w:rsidRPr="00F532B5">
        <w:rPr>
          <w:rFonts w:ascii="Book Antiqua" w:hAnsi="Book Antiqua"/>
          <w:color w:val="auto"/>
          <w:sz w:val="24"/>
          <w:szCs w:val="24"/>
        </w:rPr>
        <w:t xml:space="preserve">, it is reasonable to </w:t>
      </w:r>
      <w:r w:rsidR="00CC42FE" w:rsidRPr="00F532B5">
        <w:rPr>
          <w:rFonts w:ascii="Book Antiqua" w:hAnsi="Book Antiqua"/>
          <w:color w:val="auto"/>
          <w:sz w:val="24"/>
          <w:szCs w:val="24"/>
        </w:rPr>
        <w:t xml:space="preserve">treat with </w:t>
      </w:r>
      <w:r w:rsidR="00754926" w:rsidRPr="00F532B5">
        <w:rPr>
          <w:rFonts w:ascii="Book Antiqua" w:hAnsi="Book Antiqua"/>
          <w:color w:val="auto"/>
          <w:sz w:val="24"/>
          <w:szCs w:val="24"/>
        </w:rPr>
        <w:t>prednisolone at 0.5-1.0 mg/kg/d for 1 mo</w:t>
      </w:r>
      <w:r w:rsidR="00100689">
        <w:rPr>
          <w:rFonts w:ascii="Book Antiqua" w:hAnsi="Book Antiqua" w:hint="eastAsia"/>
          <w:color w:val="auto"/>
          <w:sz w:val="24"/>
          <w:szCs w:val="24"/>
          <w:lang w:eastAsia="zh-CN"/>
        </w:rPr>
        <w:t xml:space="preserve"> </w:t>
      </w:r>
      <w:r w:rsidR="00754926" w:rsidRPr="00F532B5">
        <w:rPr>
          <w:rFonts w:ascii="Book Antiqua" w:hAnsi="Book Antiqua"/>
          <w:color w:val="auto"/>
          <w:sz w:val="24"/>
          <w:szCs w:val="24"/>
        </w:rPr>
        <w:t>and taper over the course of a year</w:t>
      </w:r>
      <w:r w:rsidR="00220D0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"ISBN" : "1872-9061", "ISSN" : "03002977", "PMID" : "22173363", "abstract" : "Encapsulating peritoneal sclerosis (EPS) represents a rare complication of long-term peritoneal dialysis (PD). It is characterised by diffuse peritoneal membrane fibrosis, progressive intestinal encapsulation and the clinical spectrum of intestinal obstruction. The pathogenesis is as yet not well understood but includes inflammation, angiogenesis and fibrosis. The current diagnosis of EPS lacks specificity and relies on clinical, radiographic or macroscopic evaluation. There is no general agreement on managing EPS although accumulating clinical data suggest drug treatment (steroids, tamoxifen), surgery (enterolysis) or a combination of both. Here, we provide a short overview on the current knowledge of EPS, with a focus on treatment. Moreover, we present a diagnostic and a therapeutic algorithm for EPS based on the best available published data and our combined experience.", "author" : [ { "dropping-particle" : "", "family" : "Habib", "given" : "S. M.", "non-dropping-particle" : "", "parse-names" : false, "suffix" : "" }, { "dropping-particle" : "", "family" : "Betjes", "given" : "M. G.H.", "non-dropping-particle" : "", "parse-names" : false, "suffix" : "" }, { "dropping-particle" : "", "family" : "Fieren", "given" : "M. W.J.A.", "non-dropping-particle" : "", "parse-names" : false, "suffix" : "" }, { "dropping-particle" : "", "family" : "Boeschoten", "given" : "E. W.", "non-dropping-particle" : "", "parse-names" : false, "suffix" : "" }, { "dropping-particle" : "", "family" : "Abrahams", "given" : "A. C.", "non-dropping-particle" : "", "parse-names" : false, "suffix" : "" }, { "dropping-particle" : "", "family" : "Boer", "given" : "W. H.", "non-dropping-particle" : "", "parse-names" : false, "suffix" : "" }, { "dropping-particle" : "", "family" : "Struijk", "given" : "D. G.", "non-dropping-particle" : "", "parse-names" : false, "suffix" : "" }, { "dropping-particle" : "", "family" : "Ruger", "given" : "W.", "non-dropping-particle" : "", "parse-names" : false, "suffix" : "" }, { "dropping-particle" : "", "family" : "Krikke", "given" : "C.", "non-dropping-particle" : "", "parse-names" : false, "suffix" : "" }, { "dropping-particle" : "", "family" : "Westerhuis", "given" : "R.", "non-dropping-particle" : "", "parse-names" : false, "suffix" : "" }, { "dropping-particle" : "", "family" : "S\u00e9vaux", "given" : "R. G.L.", "non-dropping-particle" : "de", "parse-names" : false, "suffix" : "" }, { "dropping-particle" : "", "family" : "Sande", "given" : "F. M.", "non-dropping-particle" : "van der", "parse-names" : false, "suffix" : "" }, { "dropping-particle" : "", "family" : "Gaasbeek", "given" : "A.", "non-dropping-particle" : "", "parse-names" : false, "suffix" : "" }, { "dropping-particle" : "", "family" : "Korte", "given" : "M. R.", "non-dropping-particle" : "", "parse-names" : false, "suffix" : "" } ], "container-title" : "Netherlands Journal of Medicine", "id" : "ITEM-1", "issue" : "11", "issued" : { "date-parts" : [ [ "2011" ] ] }, "page" : "500-507", "title" : "Management of encapsulating peritoneal sclerosis: A guideline on optimal and uniform treatment", "type" : "article-journal", "volume" : "69" }, "uris" : [ "http://www.mendeley.com/documents/?uuid=a9c17b32-d577-41e3-a357-f25bc4d9c58a" ] } ], "mendeley" : { "formattedCitation" : "&lt;sup&gt;[79]&lt;/sup&gt;", "plainTextFormattedCitation" : "[79]", "previouslyFormattedCitation" : "&lt;sup&gt;[79]&lt;/sup&gt;" }, "properties" : { "noteIndex" : 0 }, "schema" : "https://github.com/citation-style-language/schema/raw/master/csl-citation.json" }</w:instrText>
      </w:r>
      <w:r w:rsidR="00220D0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[7</w:t>
      </w:r>
      <w:r w:rsidR="00143607">
        <w:rPr>
          <w:rFonts w:ascii="Book Antiqua" w:hAnsi="Book Antiqua" w:hint="eastAsia"/>
          <w:noProof/>
          <w:color w:val="auto"/>
          <w:sz w:val="24"/>
          <w:szCs w:val="24"/>
          <w:vertAlign w:val="superscript"/>
          <w:lang w:eastAsia="zh-CN"/>
        </w:rPr>
        <w:t>8</w:t>
      </w:r>
      <w:r w:rsidR="00525A55" w:rsidRPr="00F532B5">
        <w:rPr>
          <w:rFonts w:ascii="Book Antiqua" w:hAnsi="Book Antiqua"/>
          <w:noProof/>
          <w:color w:val="auto"/>
          <w:sz w:val="24"/>
          <w:szCs w:val="24"/>
          <w:vertAlign w:val="superscript"/>
        </w:rPr>
        <w:t>]</w:t>
      </w:r>
      <w:r w:rsidR="00220D0C" w:rsidRPr="00F532B5">
        <w:rPr>
          <w:rFonts w:ascii="Book Antiqua" w:hAnsi="Book Antiqua"/>
          <w:color w:val="auto"/>
          <w:sz w:val="24"/>
          <w:szCs w:val="24"/>
        </w:rPr>
        <w:fldChar w:fldCharType="end"/>
      </w:r>
      <w:r w:rsidR="00754926" w:rsidRPr="00F532B5">
        <w:rPr>
          <w:rFonts w:ascii="Book Antiqua" w:hAnsi="Book Antiqua"/>
          <w:color w:val="auto"/>
          <w:sz w:val="24"/>
          <w:szCs w:val="24"/>
        </w:rPr>
        <w:t>.</w:t>
      </w:r>
      <w:r w:rsidR="006D7818">
        <w:rPr>
          <w:rFonts w:ascii="Book Antiqua" w:hAnsi="Book Antiqua"/>
          <w:color w:val="auto"/>
          <w:sz w:val="24"/>
          <w:szCs w:val="24"/>
        </w:rPr>
        <w:t xml:space="preserve"> </w:t>
      </w:r>
      <w:r w:rsidR="001E0CA2" w:rsidRPr="00F532B5">
        <w:rPr>
          <w:rFonts w:ascii="Book Antiqua" w:hAnsi="Book Antiqua"/>
          <w:color w:val="auto"/>
          <w:sz w:val="24"/>
          <w:szCs w:val="24"/>
        </w:rPr>
        <w:t>Absence of improvement</w:t>
      </w:r>
      <w:r w:rsidR="00754926" w:rsidRPr="00F532B5">
        <w:rPr>
          <w:rFonts w:ascii="Book Antiqua" w:hAnsi="Book Antiqua"/>
          <w:color w:val="auto"/>
          <w:sz w:val="24"/>
          <w:szCs w:val="24"/>
        </w:rPr>
        <w:t xml:space="preserve"> after 1 month may be considered </w:t>
      </w:r>
      <w:r w:rsidR="001E0CA2" w:rsidRPr="00F532B5">
        <w:rPr>
          <w:rFonts w:ascii="Book Antiqua" w:hAnsi="Book Antiqua"/>
          <w:color w:val="auto"/>
          <w:sz w:val="24"/>
          <w:szCs w:val="24"/>
        </w:rPr>
        <w:t>a treatment failure</w:t>
      </w:r>
      <w:r w:rsidR="00754926" w:rsidRPr="00F532B5">
        <w:rPr>
          <w:rFonts w:ascii="Book Antiqua" w:hAnsi="Book Antiqua"/>
          <w:color w:val="auto"/>
          <w:sz w:val="24"/>
          <w:szCs w:val="24"/>
        </w:rPr>
        <w:t xml:space="preserve"> and </w:t>
      </w:r>
      <w:r w:rsidRPr="00F532B5">
        <w:rPr>
          <w:rFonts w:ascii="Book Antiqua" w:hAnsi="Book Antiqua"/>
          <w:color w:val="auto"/>
          <w:sz w:val="24"/>
          <w:szCs w:val="24"/>
        </w:rPr>
        <w:t>we recommend stopping</w:t>
      </w:r>
      <w:r w:rsidR="001E0CA2" w:rsidRPr="00F532B5">
        <w:rPr>
          <w:rFonts w:ascii="Book Antiqua" w:hAnsi="Book Antiqua"/>
          <w:color w:val="auto"/>
          <w:sz w:val="24"/>
          <w:szCs w:val="24"/>
        </w:rPr>
        <w:t xml:space="preserve"> </w:t>
      </w:r>
      <w:r w:rsidRPr="00F532B5">
        <w:rPr>
          <w:rFonts w:ascii="Book Antiqua" w:hAnsi="Book Antiqua"/>
          <w:color w:val="auto"/>
          <w:sz w:val="24"/>
          <w:szCs w:val="24"/>
        </w:rPr>
        <w:t>steroids</w:t>
      </w:r>
      <w:r w:rsidR="001E0CA2" w:rsidRPr="00F532B5">
        <w:rPr>
          <w:rFonts w:ascii="Book Antiqua" w:hAnsi="Book Antiqua"/>
          <w:color w:val="auto"/>
          <w:sz w:val="24"/>
          <w:szCs w:val="24"/>
        </w:rPr>
        <w:t xml:space="preserve"> and considering </w:t>
      </w:r>
      <w:r w:rsidR="00754926" w:rsidRPr="00F532B5">
        <w:rPr>
          <w:rFonts w:ascii="Book Antiqua" w:hAnsi="Book Antiqua"/>
          <w:color w:val="auto"/>
          <w:sz w:val="24"/>
          <w:szCs w:val="24"/>
        </w:rPr>
        <w:t>alternative therapy such as tamoxifen or surgery.</w:t>
      </w:r>
      <w:r w:rsidR="006D7818">
        <w:rPr>
          <w:rFonts w:ascii="Book Antiqua" w:hAnsi="Book Antiqua"/>
          <w:color w:val="auto"/>
          <w:sz w:val="24"/>
          <w:szCs w:val="24"/>
        </w:rPr>
        <w:t xml:space="preserve"> </w:t>
      </w:r>
      <w:r w:rsidR="00754926" w:rsidRPr="00F532B5">
        <w:rPr>
          <w:rFonts w:ascii="Book Antiqua" w:hAnsi="Book Antiqua"/>
          <w:color w:val="auto"/>
          <w:sz w:val="24"/>
          <w:szCs w:val="24"/>
        </w:rPr>
        <w:t xml:space="preserve">In the absence of data, other immunosuppressive medications should be reserved for patients with </w:t>
      </w:r>
      <w:r w:rsidR="001E0CA2" w:rsidRPr="00F532B5">
        <w:rPr>
          <w:rFonts w:ascii="Book Antiqua" w:hAnsi="Book Antiqua"/>
          <w:color w:val="auto"/>
          <w:sz w:val="24"/>
          <w:szCs w:val="24"/>
        </w:rPr>
        <w:t>additional</w:t>
      </w:r>
      <w:r w:rsidR="00754926" w:rsidRPr="00F532B5">
        <w:rPr>
          <w:rFonts w:ascii="Book Antiqua" w:hAnsi="Book Antiqua"/>
          <w:color w:val="auto"/>
          <w:sz w:val="24"/>
          <w:szCs w:val="24"/>
        </w:rPr>
        <w:t xml:space="preserve"> indications such as organ transplantation or strong contraindications to surgery.</w:t>
      </w:r>
    </w:p>
    <w:p w14:paraId="31762956" w14:textId="77777777" w:rsidR="0016371C" w:rsidRPr="00F532B5" w:rsidRDefault="0016371C" w:rsidP="00D92508">
      <w:pPr>
        <w:snapToGrid w:val="0"/>
        <w:spacing w:line="360" w:lineRule="auto"/>
        <w:jc w:val="both"/>
        <w:rPr>
          <w:rFonts w:ascii="Book Antiqua" w:hAnsi="Book Antiqua"/>
          <w:color w:val="auto"/>
          <w:sz w:val="24"/>
          <w:szCs w:val="24"/>
        </w:rPr>
      </w:pPr>
    </w:p>
    <w:p w14:paraId="1D1C8623" w14:textId="77777777" w:rsidR="0016371C" w:rsidRPr="00100689" w:rsidRDefault="00754926" w:rsidP="00D92508">
      <w:pPr>
        <w:snapToGrid w:val="0"/>
        <w:spacing w:line="360" w:lineRule="auto"/>
        <w:jc w:val="both"/>
        <w:rPr>
          <w:rFonts w:ascii="Book Antiqua" w:hAnsi="Book Antiqua"/>
          <w:b/>
          <w:color w:val="auto"/>
          <w:sz w:val="24"/>
          <w:szCs w:val="24"/>
        </w:rPr>
      </w:pPr>
      <w:r w:rsidRPr="00100689">
        <w:rPr>
          <w:rFonts w:ascii="Book Antiqua" w:hAnsi="Book Antiqua"/>
          <w:b/>
          <w:i/>
          <w:color w:val="auto"/>
          <w:sz w:val="24"/>
          <w:szCs w:val="24"/>
        </w:rPr>
        <w:t>Anti-fibrotics</w:t>
      </w:r>
    </w:p>
    <w:p w14:paraId="6A52A189" w14:textId="2B33140C" w:rsidR="0016371C" w:rsidRPr="00F532B5" w:rsidRDefault="00FE12FA" w:rsidP="00100689">
      <w:pPr>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Immunosuppression alone may not be effective in those patients who have already developed signficant fibrosis (Stage 3).</w:t>
      </w:r>
      <w:r w:rsidR="006D7818">
        <w:rPr>
          <w:rFonts w:ascii="Book Antiqua" w:hAnsi="Book Antiqua"/>
          <w:color w:val="auto"/>
          <w:sz w:val="24"/>
          <w:szCs w:val="24"/>
        </w:rPr>
        <w:t xml:space="preserve"> </w:t>
      </w:r>
      <w:r w:rsidR="00754926" w:rsidRPr="00F532B5">
        <w:rPr>
          <w:rFonts w:ascii="Book Antiqua" w:hAnsi="Book Antiqua"/>
          <w:color w:val="auto"/>
          <w:sz w:val="24"/>
          <w:szCs w:val="24"/>
        </w:rPr>
        <w:t>Tamoxifen is a selective estrogen receptor modulator (SERM) with st</w:t>
      </w:r>
      <w:r w:rsidR="001E0CA2" w:rsidRPr="00F532B5">
        <w:rPr>
          <w:rFonts w:ascii="Book Antiqua" w:hAnsi="Book Antiqua"/>
          <w:color w:val="auto"/>
          <w:sz w:val="24"/>
          <w:szCs w:val="24"/>
        </w:rPr>
        <w:t xml:space="preserve">rong anti-fibrotic properties related to </w:t>
      </w:r>
      <w:r w:rsidR="00754926" w:rsidRPr="00F532B5">
        <w:rPr>
          <w:rFonts w:ascii="Book Antiqua" w:hAnsi="Book Antiqua"/>
          <w:color w:val="auto"/>
          <w:sz w:val="24"/>
          <w:szCs w:val="24"/>
        </w:rPr>
        <w:t>inhibition of TGF-β, an important cytokine in the fibrosis process</w:t>
      </w:r>
      <w:r w:rsidR="00B92D6D"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"10.1681/ASN.2010111197", "ISBN" : "1533-3450 (Electronic)\\n1046-6673 (Linking)", "ISSN" : "1046-6673", "PMID" : "21742730", "abstract" : "During peritoneal dialysis (PD), mesothelial cells undergo mesothelial-to-mesenchymal transition (MMT), a process associated with peritoneal-membrane dysfunction. Because TGF-\u03b21 can induce MMT, we evaluated the efficacy of TGF-\u03b21-blocking peptides in modulating MMT and ameliorating peritoneal damage in a mouse model of PD. Exposure of the peritoneum to PD fluid induced fibrosis, angiogenesis, functional impairment, and the accumulation of fibroblasts. In addition to expressing fibroblast-specific protein-1 (FSP-1), some fibroblasts co-expressed cytokeratin, indicating their mesothelial origin. These intermediate-phenotype (Cyto(+)/FSP-1(+)) fibroblasts had features of myofibroblasts with fibrogenic capacity. PD fluid treatment triggered the appearance of CD31(+)/FSP-1(+) and CD45(+)/FSP-1(+) cells, suggesting that fibroblasts also originate from endothelial cells and from cells recruited from bone marrow. Administration of blocking peptides significantly ameliorated fibrosis and angiogenesis, improved peritoneal function, and reduced the number of FSP-1(+) cells, especially in the Cyto(+)/FSP-1(+) subpopulation. Conversely, overexpression of TGF-\u03b21 in the peritoneum by adenovirus-mediated gene transfer led to a marked accumulation of fibroblasts, most of which derived from the mesothelium. Taken together, these results demonstrate that TGF-\u03b21 drives the peritoneal deterioration induced by dialysis fluid and highlights a role of TGF-\u03b21-mediated MMT in the pathophysiology of peritoneal-membrane dysfunction.", "author" : [ { "dropping-particle" : "", "family" : "Loureiro", "given" : "J.", "non-dropping-particle" : "", "parse-names" : false, "suffix" : "" }, { "dropping-particle" : "", "family" : "Aguilera", "given" : "A.", "non-dropping-particle" : "", "parse-names" : false, "suffix" : "" }, { "dropping-particle" : "", "family" : "Selgas", "given" : "R.", "non-dropping-particle" : "", "parse-names" : false, "suffix" : "" }, { "dropping-particle" : "", "family" : "Sandoval", "given" : "P.", "non-dropping-particle" : "", "parse-names" : false, "suffix" : "" }, { "dropping-particle" : "", "family" : "Albar-Vizcaino", "given" : "P.", "non-dropping-particle" : "", "parse-names" : false, "suffix" : "" }, { "dropping-particle" : "", "family" : "Perez-Lozano", "given" : "M. L.", "non-dropping-particle" : "", "parse-names" : false, "suffix" : "" }, { "dropping-particle" : "", "family" : "Ruiz-Carpio", "given" : "V.", "non-dropping-particle" : "", "parse-names" : false, "suffix" : "" }, { "dropping-particle" : "", "family" : "Majano", "given" : "P. L.", "non-dropping-particle" : "", "parse-names" : false, "suffix" : "" }, { "dropping-particle" : "", "family" : "Lamas", "given" : "S.", "non-dropping-particle" : "", "parse-names" : false, "suffix" : "" }, { "dropping-particle" : "", "family" : "Rodriguez-Pascual", "given" : "F.", "non-dropping-particle" : "", "parse-names" : false, "suffix" : "" }, { "dropping-particle" : "", "family" : "Borras-Cuesta", "given" : "F.", "non-dropping-particle" : "", "parse-names" : false, "suffix" : "" }, { "dropping-particle" : "", "family" : "Dotor", "given" : "J.", "non-dropping-particle" : "", "parse-names" : false, "suffix" : "" }, { "dropping-particle" : "", "family" : "Lopez-Cabrera", "given" : "M.", "non-dropping-particle" : "", "parse-names" : false, "suffix" : "" } ], "container-title" : "Journal of the American Society of Nephrology", "id" : "ITEM-1", "issue" : "9", "issued" : { "date-parts" : [ [ "2011" ] ] }, "page" : "1682-1695", "title" : "Blocking TGF-\u00a01 Protects the Peritoneal Membrane from Dialysate-Induced Damage", "type" : "article-journal", "volume" : "22" }, "uris" : [ "http://www.mendeley.com/documents/?uuid=a8a872b8-2e08-484c-b17b-4e854f97ec30" ] } ], "mendeley" : { "formattedCitation" : "&lt;sup&gt;[80]&lt;/sup&gt;", "plainTextFormattedCitation" : "[80]", "previouslyFormattedCitation" : "&lt;sup&gt;[80]&lt;/sup&gt;" }, "properties" : { "noteIndex" : 0 }, "schema" : "https://github.com/citation-style-language/schema/raw/master/csl-citation.json" }</w:instrText>
      </w:r>
      <w:r w:rsidR="00B92D6D"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w:t>
      </w:r>
      <w:r w:rsidR="00143607">
        <w:rPr>
          <w:rFonts w:ascii="Book Antiqua" w:hAnsi="Book Antiqua" w:hint="eastAsia"/>
          <w:noProof/>
          <w:color w:val="auto"/>
          <w:sz w:val="24"/>
          <w:szCs w:val="24"/>
          <w:vertAlign w:val="superscript"/>
          <w:lang w:eastAsia="zh-CN"/>
        </w:rPr>
        <w:t>79</w:t>
      </w:r>
      <w:r w:rsidR="00525A55" w:rsidRPr="00F532B5">
        <w:rPr>
          <w:rFonts w:ascii="Book Antiqua" w:hAnsi="Book Antiqua"/>
          <w:noProof/>
          <w:color w:val="auto"/>
          <w:sz w:val="24"/>
          <w:szCs w:val="24"/>
          <w:vertAlign w:val="superscript"/>
        </w:rPr>
        <w:t>]</w:t>
      </w:r>
      <w:r w:rsidR="00B92D6D" w:rsidRPr="00F532B5">
        <w:rPr>
          <w:rFonts w:ascii="Book Antiqua" w:hAnsi="Book Antiqua"/>
          <w:color w:val="auto"/>
          <w:sz w:val="24"/>
          <w:szCs w:val="24"/>
        </w:rPr>
        <w:fldChar w:fldCharType="end"/>
      </w:r>
      <w:r w:rsidR="00754926" w:rsidRPr="00F532B5">
        <w:rPr>
          <w:rFonts w:ascii="Book Antiqua" w:hAnsi="Book Antiqua"/>
          <w:color w:val="auto"/>
          <w:sz w:val="24"/>
          <w:szCs w:val="24"/>
        </w:rPr>
        <w:t>.</w:t>
      </w:r>
      <w:r w:rsidR="006D7818">
        <w:rPr>
          <w:rFonts w:ascii="Book Antiqua" w:hAnsi="Book Antiqua"/>
          <w:color w:val="auto"/>
          <w:sz w:val="24"/>
          <w:szCs w:val="24"/>
        </w:rPr>
        <w:t xml:space="preserve"> </w:t>
      </w:r>
      <w:r w:rsidR="00754926" w:rsidRPr="00F532B5">
        <w:rPr>
          <w:rFonts w:ascii="Book Antiqua" w:hAnsi="Book Antiqua"/>
          <w:color w:val="auto"/>
          <w:sz w:val="24"/>
          <w:szCs w:val="24"/>
        </w:rPr>
        <w:t xml:space="preserve">Its </w:t>
      </w:r>
      <w:r w:rsidR="001E0CA2" w:rsidRPr="00F532B5">
        <w:rPr>
          <w:rFonts w:ascii="Book Antiqua" w:hAnsi="Book Antiqua"/>
          <w:color w:val="auto"/>
          <w:sz w:val="24"/>
          <w:szCs w:val="24"/>
        </w:rPr>
        <w:t xml:space="preserve">successful </w:t>
      </w:r>
      <w:r w:rsidR="00754926" w:rsidRPr="00F532B5">
        <w:rPr>
          <w:rFonts w:ascii="Book Antiqua" w:hAnsi="Book Antiqua"/>
          <w:color w:val="auto"/>
          <w:sz w:val="24"/>
          <w:szCs w:val="24"/>
        </w:rPr>
        <w:t>use in EPS was first described by Allar</w:t>
      </w:r>
      <w:r w:rsidR="00B92D6D" w:rsidRPr="00F532B5">
        <w:rPr>
          <w:rFonts w:ascii="Book Antiqua" w:hAnsi="Book Antiqua"/>
          <w:color w:val="auto"/>
          <w:sz w:val="24"/>
          <w:szCs w:val="24"/>
        </w:rPr>
        <w:t>ia et al. in 1999</w:t>
      </w:r>
      <w:r w:rsidR="00B92D6D"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"ISBN" : "1121-8428 (Print)\\r1121-8428 (Linking)", "ISSN" : "11218428", "PMID" : "10626830", "abstract" : "Sclerosing encapsulating peritonitis (SEP) is a serious complication of long-term continuous ambulatory peritoneal dialysis (CAPD), very likely related to a persisting expression of the transforming growth factor \u03b21 (TGF\u03b21) gene on peritoneal mesothelial cells. We report the case of a 67- year-old uremic woman who developed SEP eight years after being placed on CAPD, complicated by eight episodes of bacterial peritonitis. CAPD was therefore stopped and the patient transferred to hemodialysis. The diagnosis of SEP was confirmed by physical findings (vomiting, abdominal pain with palpable mass, ileus, cachexia) and CT data. The patient was treated with tamoxifen (10 mg/day) for three months, and gradually recovered, a subsequent CT showing a significant reduction of the thickness of peritoneal and intestinal loops. Tamoxifen probably interferes with TGF\u03b21 and may be useful in the treatment of this CAPD complication.", "author" : [ { "dropping-particle" : "", "family" : "Allaria", "given" : "Pietro Mario", "non-dropping-particle" : "", "parse-names" : false, "suffix" : "" }, { "dropping-particle" : "", "family" : "Giangrande", "given" : "Alberto", "non-dropping-particle" : "", "parse-names" : false, "suffix" : "" }, { "dropping-particle" : "", "family" : "Gandini", "given" : "Eligio", "non-dropping-particle" : "", "parse-names" : false, "suffix" : "" }, { "dropping-particle" : "", "family" : "Pisoni", "given" : "Ignazio Brambilla", "non-dropping-particle" : "", "parse-names" : false, "suffix" : "" } ], "container-title" : "Journal of Nephrology", "id" : "ITEM-1", "issue" : "6", "issued" : { "date-parts" : [ [ "1999" ] ] }, "page" : "395-397", "title" : "Continuous ambulatory peritoneal dialysis and sclerosing encapsulating peritonitis: Tamoxifen as a new therapeutic agent?", "type" : "article-journal", "volume" : "12" }, "uris" : [ "http://www.mendeley.com/documents/?uuid=a7d7f9a2-95f1-45e1-8d7e-9b5c7402ab4a" ] } ], "mendeley" : { "formattedCitation" : "&lt;sup&gt;[81]&lt;/sup&gt;", "plainTextFormattedCitation" : "[81]", "previouslyFormattedCitation" : "&lt;sup&gt;[81]&lt;/sup&gt;" }, "properties" : { "noteIndex" : 0 }, "schema" : "https://github.com/citation-style-language/schema/raw/master/csl-citation.json" }</w:instrText>
      </w:r>
      <w:r w:rsidR="00B92D6D"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[8</w:t>
      </w:r>
      <w:r w:rsidR="00143607">
        <w:rPr>
          <w:rFonts w:ascii="Book Antiqua" w:hAnsi="Book Antiqua" w:hint="eastAsia"/>
          <w:noProof/>
          <w:color w:val="auto"/>
          <w:sz w:val="24"/>
          <w:szCs w:val="24"/>
          <w:vertAlign w:val="superscript"/>
          <w:lang w:eastAsia="zh-CN"/>
        </w:rPr>
        <w:t>0</w:t>
      </w:r>
      <w:r w:rsidR="00525A55" w:rsidRPr="00F532B5">
        <w:rPr>
          <w:rFonts w:ascii="Book Antiqua" w:hAnsi="Book Antiqua"/>
          <w:noProof/>
          <w:color w:val="auto"/>
          <w:sz w:val="24"/>
          <w:szCs w:val="24"/>
          <w:vertAlign w:val="superscript"/>
        </w:rPr>
        <w:t>]</w:t>
      </w:r>
      <w:r w:rsidR="00B92D6D" w:rsidRPr="00F532B5">
        <w:rPr>
          <w:rFonts w:ascii="Book Antiqua" w:hAnsi="Book Antiqua"/>
          <w:color w:val="auto"/>
          <w:sz w:val="24"/>
          <w:szCs w:val="24"/>
        </w:rPr>
        <w:fldChar w:fldCharType="end"/>
      </w:r>
      <w:r w:rsidR="00754926" w:rsidRPr="00F532B5">
        <w:rPr>
          <w:rFonts w:ascii="Book Antiqua" w:hAnsi="Book Antiqua"/>
          <w:color w:val="auto"/>
          <w:sz w:val="24"/>
          <w:szCs w:val="24"/>
        </w:rPr>
        <w:t>.</w:t>
      </w:r>
      <w:r w:rsidR="006D7818">
        <w:rPr>
          <w:rFonts w:ascii="Book Antiqua" w:hAnsi="Book Antiqua"/>
          <w:color w:val="auto"/>
          <w:sz w:val="24"/>
          <w:szCs w:val="24"/>
        </w:rPr>
        <w:t xml:space="preserve"> </w:t>
      </w:r>
      <w:r w:rsidR="001E0CA2" w:rsidRPr="00F532B5">
        <w:rPr>
          <w:rFonts w:ascii="Book Antiqua" w:hAnsi="Book Antiqua"/>
          <w:color w:val="auto"/>
          <w:sz w:val="24"/>
          <w:szCs w:val="24"/>
        </w:rPr>
        <w:t>Similar to corticosteroids, evidence for tamoxifen is limited to observational studies</w:t>
      </w:r>
      <w:r w:rsidRPr="00F532B5">
        <w:rPr>
          <w:rFonts w:ascii="Book Antiqua" w:hAnsi="Book Antiqua"/>
          <w:color w:val="auto"/>
          <w:sz w:val="24"/>
          <w:szCs w:val="24"/>
        </w:rPr>
        <w:t xml:space="preserve"> in PD patients (Table </w:t>
      </w:r>
      <w:r w:rsidR="002E29F1" w:rsidRPr="00F532B5">
        <w:rPr>
          <w:rFonts w:ascii="Book Antiqua" w:hAnsi="Book Antiqua"/>
          <w:color w:val="auto"/>
          <w:sz w:val="24"/>
          <w:szCs w:val="24"/>
        </w:rPr>
        <w:t>3</w:t>
      </w:r>
      <w:r w:rsidR="00C55797" w:rsidRPr="00F532B5">
        <w:rPr>
          <w:rFonts w:ascii="Book Antiqua" w:hAnsi="Book Antiqua"/>
          <w:color w:val="auto"/>
          <w:sz w:val="24"/>
          <w:szCs w:val="24"/>
        </w:rPr>
        <w:t>)</w:t>
      </w:r>
      <w:r w:rsidR="001E0CA2" w:rsidRPr="00F532B5">
        <w:rPr>
          <w:rFonts w:ascii="Book Antiqua" w:hAnsi="Book Antiqua"/>
          <w:color w:val="auto"/>
          <w:sz w:val="24"/>
          <w:szCs w:val="24"/>
        </w:rPr>
        <w:t>.</w:t>
      </w:r>
    </w:p>
    <w:p w14:paraId="0B7AF262" w14:textId="521BE995" w:rsidR="0016371C" w:rsidRPr="00F532B5" w:rsidRDefault="00045950" w:rsidP="00100689">
      <w:pPr>
        <w:snapToGrid w:val="0"/>
        <w:spacing w:line="360" w:lineRule="auto"/>
        <w:ind w:firstLineChars="100" w:firstLine="240"/>
        <w:jc w:val="both"/>
        <w:rPr>
          <w:rFonts w:ascii="Book Antiqua" w:hAnsi="Book Antiqua"/>
          <w:color w:val="auto"/>
          <w:sz w:val="24"/>
          <w:szCs w:val="24"/>
        </w:rPr>
      </w:pPr>
      <w:r w:rsidRPr="00F532B5">
        <w:rPr>
          <w:rFonts w:ascii="Book Antiqua" w:hAnsi="Book Antiqua"/>
          <w:color w:val="auto"/>
          <w:sz w:val="24"/>
          <w:szCs w:val="24"/>
        </w:rPr>
        <w:t>A</w:t>
      </w:r>
      <w:r w:rsidR="00754926" w:rsidRPr="00F532B5">
        <w:rPr>
          <w:rFonts w:ascii="Book Antiqua" w:hAnsi="Book Antiqua"/>
          <w:color w:val="auto"/>
          <w:sz w:val="24"/>
          <w:szCs w:val="24"/>
        </w:rPr>
        <w:t xml:space="preserve"> retrospective </w:t>
      </w:r>
      <w:r w:rsidR="00C55797" w:rsidRPr="00F532B5">
        <w:rPr>
          <w:rFonts w:ascii="Book Antiqua" w:hAnsi="Book Antiqua"/>
          <w:color w:val="auto"/>
          <w:sz w:val="24"/>
          <w:szCs w:val="24"/>
        </w:rPr>
        <w:t xml:space="preserve">Dutch </w:t>
      </w:r>
      <w:r w:rsidR="00754926" w:rsidRPr="00F532B5">
        <w:rPr>
          <w:rFonts w:ascii="Book Antiqua" w:hAnsi="Book Antiqua"/>
          <w:color w:val="auto"/>
          <w:sz w:val="24"/>
          <w:szCs w:val="24"/>
        </w:rPr>
        <w:t xml:space="preserve">study </w:t>
      </w:r>
      <w:r w:rsidR="00C55797" w:rsidRPr="00F532B5">
        <w:rPr>
          <w:rFonts w:ascii="Book Antiqua" w:hAnsi="Book Antiqua"/>
          <w:color w:val="auto"/>
          <w:sz w:val="24"/>
          <w:szCs w:val="24"/>
        </w:rPr>
        <w:t>reported a significant difference in mortality (</w:t>
      </w:r>
      <w:r w:rsidR="00754926" w:rsidRPr="00F532B5">
        <w:rPr>
          <w:rFonts w:ascii="Book Antiqua" w:hAnsi="Book Antiqua"/>
          <w:color w:val="auto"/>
          <w:sz w:val="24"/>
          <w:szCs w:val="24"/>
        </w:rPr>
        <w:t xml:space="preserve">45.8% </w:t>
      </w:r>
      <w:r w:rsidR="00C55797" w:rsidRPr="00100689">
        <w:rPr>
          <w:rFonts w:ascii="Book Antiqua" w:hAnsi="Book Antiqua"/>
          <w:i/>
          <w:color w:val="auto"/>
          <w:sz w:val="24"/>
          <w:szCs w:val="24"/>
        </w:rPr>
        <w:t>vs</w:t>
      </w:r>
      <w:r w:rsidR="00100689">
        <w:rPr>
          <w:rFonts w:ascii="Book Antiqua" w:hAnsi="Book Antiqua" w:hint="eastAsia"/>
          <w:color w:val="auto"/>
          <w:sz w:val="24"/>
          <w:szCs w:val="24"/>
          <w:lang w:eastAsia="zh-CN"/>
        </w:rPr>
        <w:t xml:space="preserve"> </w:t>
      </w:r>
      <w:r w:rsidR="00C55797" w:rsidRPr="00F532B5">
        <w:rPr>
          <w:rFonts w:ascii="Book Antiqua" w:hAnsi="Book Antiqua"/>
          <w:color w:val="auto"/>
          <w:sz w:val="24"/>
          <w:szCs w:val="24"/>
        </w:rPr>
        <w:t xml:space="preserve">74.4%, </w:t>
      </w:r>
      <w:r w:rsidR="00C55797" w:rsidRPr="008D3163">
        <w:rPr>
          <w:rFonts w:ascii="Book Antiqua" w:hAnsi="Book Antiqua"/>
          <w:i/>
          <w:caps/>
          <w:color w:val="auto"/>
          <w:sz w:val="24"/>
          <w:szCs w:val="24"/>
        </w:rPr>
        <w:t>p</w:t>
      </w:r>
      <w:r w:rsidR="00C55797" w:rsidRPr="00F532B5">
        <w:rPr>
          <w:rFonts w:ascii="Book Antiqua" w:hAnsi="Book Antiqua"/>
          <w:color w:val="auto"/>
          <w:sz w:val="24"/>
          <w:szCs w:val="24"/>
        </w:rPr>
        <w:t xml:space="preserve"> &lt; 0.05) with tamoxifen at </w:t>
      </w:r>
      <w:r w:rsidR="00841689" w:rsidRPr="00F532B5">
        <w:rPr>
          <w:rFonts w:ascii="Book Antiqua" w:hAnsi="Book Antiqua"/>
          <w:color w:val="auto"/>
          <w:sz w:val="24"/>
          <w:szCs w:val="24"/>
        </w:rPr>
        <w:t xml:space="preserve">130 months of follow-up </w:t>
      </w:r>
      <w:r w:rsidR="00C55797" w:rsidRPr="00F532B5">
        <w:rPr>
          <w:rFonts w:ascii="Book Antiqua" w:hAnsi="Book Antiqua"/>
          <w:color w:val="auto"/>
          <w:sz w:val="24"/>
          <w:szCs w:val="24"/>
        </w:rPr>
        <w:t xml:space="preserve">with a trend towards improved survival on survival </w:t>
      </w:r>
      <w:r w:rsidR="00754926" w:rsidRPr="00F532B5">
        <w:rPr>
          <w:rFonts w:ascii="Book Antiqua" w:hAnsi="Book Antiqua"/>
          <w:color w:val="auto"/>
          <w:sz w:val="24"/>
          <w:szCs w:val="24"/>
        </w:rPr>
        <w:t>analysis</w:t>
      </w:r>
      <w:r w:rsidR="005A3B24" w:rsidRPr="00F532B5">
        <w:rPr>
          <w:rFonts w:ascii="Book Antiqua" w:hAnsi="Book Antiqua"/>
          <w:color w:val="auto"/>
          <w:sz w:val="24"/>
          <w:szCs w:val="24"/>
        </w:rPr>
        <w:t xml:space="preserve"> after adjusting for calendar time, use of corticosteroids, and use of parental nutrition</w:t>
      </w:r>
      <w:r w:rsidR="00B92D6D"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"10.1093/ndt/gfq362", "ISBN" : "1460-2385 (Electronic)\\r0931-0509 (Linking)", "ISSN" : "09310509", "PMID" : "20584735", "abstract" : "Encapsulating peritoneal sclerosis (EPS) is a serious complication of peritoneal dialysis (PD) with an increasing incidence. There is no clear consensus on the treatment of EPS, but anecdotal reports indicate improvement in EPS patients treated with tamoxifen. At present, there is no evidence for the effect of tamoxifen treatment in EPS patients. This study investigates the effect of treatment with tamoxifen on survival in EPS patients.", "author" : [ { "dropping-particle" : "", "family" : "Korte", "given" : "Mario R.", "non-dropping-particle" : "", "parse-names" : false, "suffix" : "" }, { "dropping-particle" : "", "family" : "Fieren", "given" : "Marien W.", "non-dropping-particle" : "", "parse-names" : false, "suffix" : "" }, { "dropping-particle" : "", "family" : "Sampimon", "given" : "Denise E.", "non-dropping-particle" : "", "parse-names" : false, "suffix" : "" }, { "dropping-particle" : "", "family" : "Lingsma", "given" : "Hester F.", "non-dropping-particle" : "", "parse-names" : false, "suffix" : "" }, { "dropping-particle" : "", "family" : "Weimar", "given" : "Willem", "non-dropping-particle" : "", "parse-names" : false, "suffix" : "" }, { "dropping-particle" : "", "family" : "Betjes", "given" : "Michiel G.H.", "non-dropping-particle" : "", "parse-names" : false, "suffix" : "" } ], "container-title" : "Nephrology Dialysis Transplantation", "id" : "ITEM-1", "issue" : "2", "issued" : { "date-parts" : [ [ "2011" ] ] }, "page" : "691-697", "title" : "Tamoxifen is associated with lower mortality of encapsulating peritoneal sclerosis: Results of the Dutch Multicentre EPS Study", "type" : "article-journal", "volume" : "26" }, "uris" : [ "http://www.mendeley.com/documents/?uuid=2c1767dc-e660-4f39-b924-e697aa501c05" ] } ], "mendeley" : { "formattedCitation" : "&lt;sup&gt;[82]&lt;/sup&gt;", "plainTextFormattedCitation" : "[82]", "previouslyFormattedCitation" : "&lt;sup&gt;[82]&lt;/sup&gt;" }, "properties" : { "noteIndex" : 0 }, "schema" : "https://github.com/citation-style-language/schema/raw/master/csl-citation.json" }</w:instrText>
      </w:r>
      <w:r w:rsidR="00B92D6D"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[8</w:t>
      </w:r>
      <w:r w:rsidR="00143607">
        <w:rPr>
          <w:rFonts w:ascii="Book Antiqua" w:hAnsi="Book Antiqua" w:hint="eastAsia"/>
          <w:noProof/>
          <w:color w:val="auto"/>
          <w:sz w:val="24"/>
          <w:szCs w:val="24"/>
          <w:vertAlign w:val="superscript"/>
          <w:lang w:eastAsia="zh-CN"/>
        </w:rPr>
        <w:t>1</w:t>
      </w:r>
      <w:r w:rsidR="00525A55" w:rsidRPr="00F532B5">
        <w:rPr>
          <w:rFonts w:ascii="Book Antiqua" w:hAnsi="Book Antiqua"/>
          <w:noProof/>
          <w:color w:val="auto"/>
          <w:sz w:val="24"/>
          <w:szCs w:val="24"/>
          <w:vertAlign w:val="superscript"/>
        </w:rPr>
        <w:t>]</w:t>
      </w:r>
      <w:r w:rsidR="00B92D6D" w:rsidRPr="00F532B5">
        <w:rPr>
          <w:rFonts w:ascii="Book Antiqua" w:hAnsi="Book Antiqua"/>
          <w:color w:val="auto"/>
          <w:sz w:val="24"/>
          <w:szCs w:val="24"/>
        </w:rPr>
        <w:fldChar w:fldCharType="end"/>
      </w:r>
      <w:r w:rsidR="001E0CA2" w:rsidRPr="00F532B5">
        <w:rPr>
          <w:rFonts w:ascii="Book Antiqua" w:hAnsi="Book Antiqua"/>
          <w:color w:val="auto"/>
          <w:sz w:val="24"/>
          <w:szCs w:val="24"/>
        </w:rPr>
        <w:t>.</w:t>
      </w:r>
      <w:r w:rsidR="006D7818">
        <w:rPr>
          <w:rFonts w:ascii="Book Antiqua" w:hAnsi="Book Antiqua"/>
          <w:color w:val="auto"/>
          <w:sz w:val="24"/>
          <w:szCs w:val="24"/>
        </w:rPr>
        <w:t xml:space="preserve"> </w:t>
      </w:r>
      <w:r w:rsidR="001E0CA2" w:rsidRPr="00F532B5">
        <w:rPr>
          <w:rFonts w:ascii="Book Antiqua" w:hAnsi="Book Antiqua"/>
          <w:color w:val="auto"/>
          <w:sz w:val="24"/>
          <w:szCs w:val="24"/>
        </w:rPr>
        <w:t>In contrast, a retrospective</w:t>
      </w:r>
      <w:r w:rsidR="00754926" w:rsidRPr="00F532B5">
        <w:rPr>
          <w:rFonts w:ascii="Book Antiqua" w:hAnsi="Book Antiqua"/>
          <w:color w:val="auto"/>
          <w:sz w:val="24"/>
          <w:szCs w:val="24"/>
        </w:rPr>
        <w:t xml:space="preserve"> study</w:t>
      </w:r>
      <w:r w:rsidR="00B17CB5" w:rsidRPr="00F532B5">
        <w:rPr>
          <w:rFonts w:ascii="Book Antiqua" w:hAnsi="Book Antiqua"/>
          <w:color w:val="auto"/>
          <w:sz w:val="24"/>
          <w:szCs w:val="24"/>
        </w:rPr>
        <w:t xml:space="preserve"> of PD patients</w:t>
      </w:r>
      <w:r w:rsidR="001E0CA2" w:rsidRPr="00F532B5">
        <w:rPr>
          <w:rFonts w:ascii="Book Antiqua" w:hAnsi="Book Antiqua"/>
          <w:color w:val="auto"/>
          <w:sz w:val="24"/>
          <w:szCs w:val="24"/>
        </w:rPr>
        <w:t xml:space="preserve"> from the </w:t>
      </w:r>
      <w:r w:rsidR="003446DC" w:rsidRPr="00F532B5">
        <w:rPr>
          <w:rFonts w:ascii="Book Antiqua" w:hAnsi="Book Antiqua"/>
          <w:color w:val="auto"/>
          <w:sz w:val="24"/>
          <w:szCs w:val="24"/>
        </w:rPr>
        <w:t>United Kingdom (</w:t>
      </w:r>
      <w:r w:rsidR="001E0CA2" w:rsidRPr="00F532B5">
        <w:rPr>
          <w:rFonts w:ascii="Book Antiqua" w:hAnsi="Book Antiqua"/>
          <w:color w:val="auto"/>
          <w:sz w:val="24"/>
          <w:szCs w:val="24"/>
        </w:rPr>
        <w:t>UK</w:t>
      </w:r>
      <w:r w:rsidR="003446DC" w:rsidRPr="00F532B5">
        <w:rPr>
          <w:rFonts w:ascii="Book Antiqua" w:hAnsi="Book Antiqua"/>
          <w:color w:val="auto"/>
          <w:sz w:val="24"/>
          <w:szCs w:val="24"/>
        </w:rPr>
        <w:t>)</w:t>
      </w:r>
      <w:r w:rsidR="00754926" w:rsidRPr="00F532B5">
        <w:rPr>
          <w:rFonts w:ascii="Book Antiqua" w:hAnsi="Book Antiqua"/>
          <w:color w:val="auto"/>
          <w:sz w:val="24"/>
          <w:szCs w:val="24"/>
        </w:rPr>
        <w:t>, did not find any survival benefit with tamoxifen (median 15 mo) compa</w:t>
      </w:r>
      <w:r w:rsidR="008D3163">
        <w:rPr>
          <w:rFonts w:ascii="Book Antiqua" w:hAnsi="Book Antiqua"/>
          <w:color w:val="auto"/>
          <w:sz w:val="24"/>
          <w:szCs w:val="24"/>
        </w:rPr>
        <w:t>red to no therapy (12 mo</w:t>
      </w:r>
      <w:r w:rsidR="007C65BC" w:rsidRPr="00F532B5">
        <w:rPr>
          <w:rFonts w:ascii="Book Antiqua" w:hAnsi="Book Antiqua"/>
          <w:color w:val="auto"/>
          <w:sz w:val="24"/>
          <w:szCs w:val="24"/>
        </w:rPr>
        <w:t>) although it was limited by significant treatment heterogeneity</w:t>
      </w:r>
      <w:r w:rsidR="00B92D6D"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"10.1093/ndt/gfp008", "ISBN" : "1460-2385", "ISSN" : "09310509", "PMID" : "19211652", "abstract" : "BACKGROUND: Encapsulating peritoneal sclerosis (EPS) is a disease process that can occur as a complication of peritoneal dialysis (PD). The aim of this study was to make a general assessment of the clinical features, diagnosis, management and outcome of PD-related EPS cases from London and South-East England. METHODS: Questionnaires were sent to 11 PD units in March 2007; cases were identified retrospectively. Outcome data on surviving patients were collected in March 2008. RESULTS: A total of 111 patients were identified; the mean time on PD was 82 months (range 8-247). Mortality increased with length of time on PD, being 42% at &lt;3 years (n = 12), 32% at 3-4 years (n = 19), 61% at 5-6 years (n = 31), 54% at 7-8 years (n = 24), 75% at 9-10 years (n = 8) and 59% at &gt;10 years (n = 17). Twelve patients had no previous peritonitis episodes, 28 had one previous episode, 30 had two previous episodes and 33 had three or more previous episodes. Of the patients with PD details available, 41/63 were high (&gt;0.81) transporters and 44/71 had ultrafiltration &lt;1 l/24 h, but 7/63 were low average transporters (0.5-&lt;0.65) and 27/71 had ultrafiltration &gt;1 l/24 h and a few had significant residual renal function. Sixty-five (59%) patients had their PD discontinued prior to diagnosis (51 HD; 14 transplanted). CT scans were performed on 91 patients and laparotomy on 47 patients. Drug treatment consisted of tamoxifen, immunosuppression or both. The median survival was 15 months in patients treated with tamoxifen (n = 17), 12 months in patients treated with immunosuppression (n = 24) and 21 months in patients who received both (n = 13), against 13 months (n = 46) in patients who received no specific treatment. Adhesionolysis was performed in 5 patients, and 39 patients were given parenteral nutrition. The overall mortality was 53% with a median survival of 14 months and a median time to death of 7 months. Conclusion. This is one of the largest cohorts of patients with EPS in the literature. Long-term survival occurred in over 50%, regardless of the various treatments strategies undertaken by the centres.", "author" : [ { "dropping-particle" : "", "family" : "Balasubramaniam", "given" : "Gowrie", "non-dropping-particle" : "", "parse-names" : false, "suffix" : "" }, { "dropping-particle" : "", "family" : "Brown", "given" : "Edwina A.", "non-dropping-particle" : "", "parse-names" : false, "suffix" : "" }, { "dropping-particle" : "", "family" : "Davenport", "given" : "Andrew", "non-dropping-particle" : "", "parse-names" : false, "suffix" : "" }, { "dropping-particle" : "", "family" : "Cairns", "given" : "Hugh", "non-dropping-particle" : "", "parse-names" : false, "suffix" : "" }, { "dropping-particle" : "", "family" : "Cooper", "given" : "Barbara", "non-dropping-particle" : "", "parse-names" : false, "suffix" : "" }, { "dropping-particle" : "", "family" : "Fan", "given" : "Stanley L S", "non-dropping-particle" : "", "parse-names" : false, "suffix" : "" }, { "dropping-particle" : "", "family" : "Farrington", "given" : "Ken", "non-dropping-particle" : "", "parse-names" : false, "suffix" : "" }, { "dropping-particle" : "", "family" : "Gallagher", "given" : "Hugh", "non-dropping-particle" : "", "parse-names" : false, "suffix" : "" }, { "dropping-particle" : "", "family" : "Harnett", "given" : "Patrick", "non-dropping-particle" : "", "parse-names" : false, "suffix" : "" }, { "dropping-particle" : "", "family" : "Krausze", "given" : "Sally", "non-dropping-particle" : "", "parse-names" : false, "suffix" : "" }, { "dropping-particle" : "", "family" : "Steddon", "given" : "Simon", "non-dropping-particle" : "", "parse-names" : false, "suffix" : "" } ], "container-title" : "Nephrology Dialysis Transplantation", "id" : "ITEM-1", "issue" : "10", "issued" : { "date-parts" : [ [ "2009" ] ] }, "page" : "3209-3215", "title" : "The Pan-Thames EPS study: Treatment and outcomes of encapsulating peritoneal sclerosis", "type" : "article-journal", "volume" : "24" }, "uris" : [ "http://www.mendeley.com/documents/?uuid=8e489702-b920-4da7-a031-86374d2afe6c" ] } ], "mendeley" : { "formattedCitation" : "&lt;sup&gt;[55]&lt;/sup&gt;", "plainTextFormattedCitation" : "[55]", "previouslyFormattedCitation" : "&lt;sup&gt;[55]&lt;/sup&gt;" }, "properties" : { "noteIndex" : 0 }, "schema" : "https://github.com/citation-style-language/schema/raw/master/csl-citation.json" }</w:instrText>
      </w:r>
      <w:r w:rsidR="00B92D6D"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[55]</w:t>
      </w:r>
      <w:r w:rsidR="00B92D6D" w:rsidRPr="00F532B5">
        <w:rPr>
          <w:rFonts w:ascii="Book Antiqua" w:hAnsi="Book Antiqua"/>
          <w:color w:val="auto"/>
          <w:sz w:val="24"/>
          <w:szCs w:val="24"/>
        </w:rPr>
        <w:fldChar w:fldCharType="end"/>
      </w:r>
      <w:r w:rsidR="00754926" w:rsidRPr="00F532B5">
        <w:rPr>
          <w:rFonts w:ascii="Book Antiqua" w:hAnsi="Book Antiqua"/>
          <w:color w:val="auto"/>
          <w:sz w:val="24"/>
          <w:szCs w:val="24"/>
        </w:rPr>
        <w:t>.</w:t>
      </w:r>
    </w:p>
    <w:p w14:paraId="5A2ED237" w14:textId="51B558C8" w:rsidR="0016371C" w:rsidRPr="00F532B5" w:rsidRDefault="00CC42FE" w:rsidP="00100689">
      <w:pPr>
        <w:snapToGrid w:val="0"/>
        <w:spacing w:line="360" w:lineRule="auto"/>
        <w:ind w:firstLineChars="100" w:firstLine="240"/>
        <w:jc w:val="both"/>
        <w:rPr>
          <w:rFonts w:ascii="Book Antiqua" w:hAnsi="Book Antiqua"/>
          <w:color w:val="auto"/>
          <w:sz w:val="24"/>
          <w:szCs w:val="24"/>
        </w:rPr>
      </w:pPr>
      <w:r w:rsidRPr="00F532B5">
        <w:rPr>
          <w:rFonts w:ascii="Book Antiqua" w:hAnsi="Book Antiqua"/>
          <w:color w:val="auto"/>
          <w:sz w:val="24"/>
          <w:szCs w:val="24"/>
        </w:rPr>
        <w:t>T</w:t>
      </w:r>
      <w:r w:rsidR="00754926" w:rsidRPr="00F532B5">
        <w:rPr>
          <w:rFonts w:ascii="Book Antiqua" w:hAnsi="Book Antiqua"/>
          <w:color w:val="auto"/>
          <w:sz w:val="24"/>
          <w:szCs w:val="24"/>
        </w:rPr>
        <w:t>he dose and duration of tamoxifen treatment is not well-defined.</w:t>
      </w:r>
      <w:r w:rsidR="006D7818">
        <w:rPr>
          <w:rFonts w:ascii="Book Antiqua" w:hAnsi="Book Antiqua"/>
          <w:color w:val="auto"/>
          <w:sz w:val="24"/>
          <w:szCs w:val="24"/>
        </w:rPr>
        <w:t xml:space="preserve"> </w:t>
      </w:r>
      <w:r w:rsidR="00754926" w:rsidRPr="00F532B5">
        <w:rPr>
          <w:rFonts w:ascii="Book Antiqua" w:hAnsi="Book Antiqua"/>
          <w:color w:val="auto"/>
          <w:sz w:val="24"/>
          <w:szCs w:val="24"/>
        </w:rPr>
        <w:t>Most studi</w:t>
      </w:r>
      <w:r w:rsidR="002220C3" w:rsidRPr="00F532B5">
        <w:rPr>
          <w:rFonts w:ascii="Book Antiqua" w:hAnsi="Book Antiqua"/>
          <w:color w:val="auto"/>
          <w:sz w:val="24"/>
          <w:szCs w:val="24"/>
        </w:rPr>
        <w:t>es use between 10-40 mg daily.</w:t>
      </w:r>
      <w:r w:rsidR="006D7818">
        <w:rPr>
          <w:rFonts w:ascii="Book Antiqua" w:hAnsi="Book Antiqua"/>
          <w:color w:val="auto"/>
          <w:sz w:val="24"/>
          <w:szCs w:val="24"/>
        </w:rPr>
        <w:t xml:space="preserve"> </w:t>
      </w:r>
      <w:r w:rsidR="002220C3" w:rsidRPr="00F532B5">
        <w:rPr>
          <w:rFonts w:ascii="Book Antiqua" w:hAnsi="Book Antiqua"/>
          <w:color w:val="auto"/>
          <w:sz w:val="24"/>
          <w:szCs w:val="24"/>
        </w:rPr>
        <w:t>T</w:t>
      </w:r>
      <w:r w:rsidR="001E0CA2" w:rsidRPr="00F532B5">
        <w:rPr>
          <w:rFonts w:ascii="Book Antiqua" w:hAnsi="Book Antiqua"/>
          <w:color w:val="auto"/>
          <w:sz w:val="24"/>
          <w:szCs w:val="24"/>
        </w:rPr>
        <w:t>he Dutch EPS Registry</w:t>
      </w:r>
      <w:r w:rsidR="00754926" w:rsidRPr="00F532B5">
        <w:rPr>
          <w:rFonts w:ascii="Book Antiqua" w:hAnsi="Book Antiqua"/>
          <w:color w:val="auto"/>
          <w:sz w:val="24"/>
          <w:szCs w:val="24"/>
        </w:rPr>
        <w:t xml:space="preserve"> suggest</w:t>
      </w:r>
      <w:r w:rsidR="001E0CA2" w:rsidRPr="00F532B5">
        <w:rPr>
          <w:rFonts w:ascii="Book Antiqua" w:hAnsi="Book Antiqua"/>
          <w:color w:val="auto"/>
          <w:sz w:val="24"/>
          <w:szCs w:val="24"/>
        </w:rPr>
        <w:t>s</w:t>
      </w:r>
      <w:r w:rsidR="00754926" w:rsidRPr="00F532B5">
        <w:rPr>
          <w:rFonts w:ascii="Book Antiqua" w:hAnsi="Book Antiqua"/>
          <w:color w:val="auto"/>
          <w:sz w:val="24"/>
          <w:szCs w:val="24"/>
        </w:rPr>
        <w:t xml:space="preserve"> starting with 20mg BID</w:t>
      </w:r>
      <w:r w:rsidR="00220D0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"ISBN" : "1872-9061", "ISSN" : "03002977", "PMID" : "22173363", "abstract" : "Encapsulating peritoneal sclerosis (EPS) represents a rare complication of long-term peritoneal dialysis (PD). It is characterised by diffuse peritoneal membrane fibrosis, progressive intestinal encapsulation and the clinical spectrum of intestinal obstruction. The pathogenesis is as yet not well understood but includes inflammation, angiogenesis and fibrosis. The current diagnosis of EPS lacks specificity and relies on clinical, radiographic or macroscopic evaluation. There is no general agreement on managing EPS although accumulating clinical data suggest drug treatment (steroids, tamoxifen), surgery (enterolysis) or a combination of both. Here, we provide a short overview on the current knowledge of EPS, with a focus on treatment. Moreover, we present a diagnostic and a therapeutic algorithm for EPS based on the best available published data and our combined experience.", "author" : [ { "dropping-particle" : "", "family" : "Habib", "given" : "S. M.", "non-dropping-particle" : "", "parse-names" : false, "suffix" : "" }, { "dropping-particle" : "", "family" : "Betjes", "given" : "M. G.H.", "non-dropping-particle" : "", "parse-names" : false, "suffix" : "" }, { "dropping-particle" : "", "family" : "Fieren", "given" : "M. W.J.A.", "non-dropping-particle" : "", "parse-names" : false, "suffix" : "" }, { "dropping-particle" : "", "family" : "Boeschoten", "given" : "E. W.", "non-dropping-particle" : "", "parse-names" : false, "suffix" : "" }, { "dropping-particle" : "", "family" : "Abrahams", "given" : "A. C.", "non-dropping-particle" : "", "parse-names" : false, "suffix" : "" }, { "dropping-particle" : "", "family" : "Boer", "given" : "W. H.", "non-dropping-particle" : "", "parse-names" : false, "suffix" : "" }, { "dropping-particle" : "", "family" : "Struijk", "given" : "D. G.", "non-dropping-particle" : "", "parse-names" : false, "suffix" : "" }, { "dropping-particle" : "", "family" : "Ruger", "given" : "W.", "non-dropping-particle" : "", "parse-names" : false, "suffix" : "" }, { "dropping-particle" : "", "family" : "Krikke", "given" : "C.", "non-dropping-particle" : "", "parse-names" : false, "suffix" : "" }, { "dropping-particle" : "", "family" : "Westerhuis", "given" : "R.", "non-dropping-particle" : "", "parse-names" : false, "suffix" : "" }, { "dropping-particle" : "", "family" : "S\u00e9vaux", "given" : "R. G.L.", "non-dropping-particle" : "de", "parse-names" : false, "suffix" : "" }, { "dropping-particle" : "", "family" : "Sande", "given" : "F. M.", "non-dropping-particle" : "van der", "parse-names" : false, "suffix" : "" }, { "dropping-particle" : "", "family" : "Gaasbeek", "given" : "A.", "non-dropping-particle" : "", "parse-names" : false, "suffix" : "" }, { "dropping-particle" : "", "family" : "Korte", "given" : "M. R.", "non-dropping-particle" : "", "parse-names" : false, "suffix" : "" } ], "container-title" : "Netherlands Journal of Medicine", "id" : "ITEM-1", "issue" : "11", "issued" : { "date-parts" : [ [ "2011" ] ] }, "page" : "500-507", "title" : "Management of encapsulating peritoneal sclerosis: A guideline on optimal and uniform treatment", "type" : "article-journal", "volume" : "69" }, "uris" : [ "http://www.mendeley.com/documents/?uuid=a9c17b32-d577-41e3-a357-f25bc4d9c58a" ] } ], "mendeley" : { "formattedCitation" : "&lt;sup&gt;[79]&lt;/sup&gt;", "plainTextFormattedCitation" : "[79]", "previouslyFormattedCitation" : "&lt;sup&gt;[79]&lt;/sup&gt;" }, "properties" : { "noteIndex" : 0 }, "schema" : "https://github.com/citation-style-language/schema/raw/master/csl-citation.json" }</w:instrText>
      </w:r>
      <w:r w:rsidR="00220D0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[7</w:t>
      </w:r>
      <w:r w:rsidR="00143607">
        <w:rPr>
          <w:rFonts w:ascii="Book Antiqua" w:hAnsi="Book Antiqua" w:hint="eastAsia"/>
          <w:noProof/>
          <w:color w:val="auto"/>
          <w:sz w:val="24"/>
          <w:szCs w:val="24"/>
          <w:vertAlign w:val="superscript"/>
          <w:lang w:eastAsia="zh-CN"/>
        </w:rPr>
        <w:t>8</w:t>
      </w:r>
      <w:r w:rsidR="00525A55" w:rsidRPr="00F532B5">
        <w:rPr>
          <w:rFonts w:ascii="Book Antiqua" w:hAnsi="Book Antiqua"/>
          <w:noProof/>
          <w:color w:val="auto"/>
          <w:sz w:val="24"/>
          <w:szCs w:val="24"/>
          <w:vertAlign w:val="superscript"/>
        </w:rPr>
        <w:t>]</w:t>
      </w:r>
      <w:r w:rsidR="00220D0C" w:rsidRPr="00F532B5">
        <w:rPr>
          <w:rFonts w:ascii="Book Antiqua" w:hAnsi="Book Antiqua"/>
          <w:color w:val="auto"/>
          <w:sz w:val="24"/>
          <w:szCs w:val="24"/>
        </w:rPr>
        <w:fldChar w:fldCharType="end"/>
      </w:r>
      <w:r w:rsidR="00754926" w:rsidRPr="00F532B5">
        <w:rPr>
          <w:rFonts w:ascii="Book Antiqua" w:hAnsi="Book Antiqua"/>
          <w:color w:val="auto"/>
          <w:sz w:val="24"/>
          <w:szCs w:val="24"/>
        </w:rPr>
        <w:t>.</w:t>
      </w:r>
      <w:r w:rsidR="006D7818">
        <w:rPr>
          <w:rFonts w:ascii="Book Antiqua" w:hAnsi="Book Antiqua"/>
          <w:color w:val="auto"/>
          <w:sz w:val="24"/>
          <w:szCs w:val="24"/>
        </w:rPr>
        <w:t xml:space="preserve"> </w:t>
      </w:r>
      <w:r w:rsidR="00754926" w:rsidRPr="00F532B5">
        <w:rPr>
          <w:rFonts w:ascii="Book Antiqua" w:hAnsi="Book Antiqua"/>
          <w:color w:val="auto"/>
          <w:sz w:val="24"/>
          <w:szCs w:val="24"/>
        </w:rPr>
        <w:t>A clinical response is typically seen within 1-6 mo</w:t>
      </w:r>
      <w:r w:rsidR="004E634F"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"author" : [ { "dropping-particle" : "", "family" : "Simbli", "given" : "Mohammed Amin", "non-dropping-particle" : "", "parse-names" : false, "suffix" : "" }, { "dropping-particle" : "", "family" : "Niaz", "given" : "Faraz A", "non-dropping-particle" : "", "parse-names" : false, "suffix" : "" }, { "dropping-particle" : "", "family" : "Al-wakeel", "given" : "Jamal S", "non-dropping-particle" : "", "parse-names" : false, "suffix" : "" } ], "container-title" : "Saudi Journal of Kidney Disease and Transplantation", "id" : "ITEM-1", "issue" : "3", "issued" : { "date-parts" : [ [ "2012" ] ] }, "page" : "635-641", "title" : "Encapsulating Peritoneal Sclerosis in a Peritoneal Dialysis Patient Presenting with Complicated Mycobacterium fortuitum Peritonitis", "type" : "article-journal", "volume" : "23" }, "uris" : [ "http://www.mendeley.com/documents/?uuid=a9ee79a8-1ecf-4d97-b90a-bd7232564dcd" ] }, { "id" : "ITEM-2", "itemData" : { "ISBN" : "0301-0430 (Print)\\r0301-0430 (Linking)", "ISSN" : "0301-0430", "PMID" : "17722714", "abstract" : "Encapsulating peritoneal sclerosis remains a serious complication of peritoneal dialysis. Prolonged duration on dialysis and severe episodes of peritonitis are the two most important risk factors for developing the condition. Here we describe a patient who developed a fulminant form of encapsulating peritoneal sclerosis soon after suffering from an episode of fungal peritonitis. There was clinical evidence of ongoing inflammation and gross malnutrition. Signs of chronic intestinal stasis were present on radiological imaging. There was concern in this situation that symptoms could partly relate to ongoing peritoneal sepsis, which could be worsened by immunosuppressives such as steroids. Tamoxifen was used without steroids in our patient with prompt resolution of stasis symptoms and withdrawal of artificial nutrition support. To our knowledge tamoxifen has never been previously used alone, in this scenario. We propose that tamoxifen might be a safer alternative to use in this clinical setting where there is concern about presence of ongoing sepsis, than corticosteroids and immunosuppressive agents.", "author" : [ { "dropping-particle" : "", "family" : "Gupta", "given" : "S", "non-dropping-particle" : "", "parse-names" : false, "suffix" : "" }, { "dropping-particle" : "", "family" : "Woodrow", "given" : "G", "non-dropping-particle" : "", "parse-names" : false, "suffix" : "" } ], "container-title" : "Clin Nephrol", "id" : "ITEM-2", "issue" : "2", "issued" : { "date-parts" : [ [ "2007" ] ] }, "page" : "125-129", "title" : "Successful treatment of fulminant encapsulating peritoneal sclerosis following fungal peritonitis with tamoxifen", "type" : "article-journal", "volume" : "68" }, "uris" : [ "http://www.mendeley.com/documents/?uuid=db237571-70ab-4ad0-84d5-67760378c5f4" ] }, { "id" : "ITEM-3", "itemData" : { "DOI" : "10.1016/j.transproceed.2006.08.179", "ISBN" : "0041-1345", "ISSN" : "00411345", "PMID" : "17112862", "abstract" : "Sclerosing encapsulating peritonitis (SEP) is a serious complication of long-term continuous ambulatory peritoneal dialysis (CAPD) associated with obstructive symptoms and sclerosis of the peritoneal membrane. We present two cases that were successfully treated with tamoxifen and corticosteroids. Case 1: A 40-year-old patient developed end-stage renal failure (ESRF) and was managed with CAPD. He was hospitalized with symptoms of small bowel obstruction. He underwent laparotomy confirming the diagnosis of SEP. The patient was given tamoxifen 20 mg twice a day. Case 2: A 55-year-old patient with ESRF secondary to membranous glomerulonephritis. After having a cadaveric renal transplant in 1978 that failed 20 years later, the patient returned to CAPD. Six years later he had an uneventful kidney transplant and the peritoneal dialysis catheter was removed. However, 8 months later he presented with symptoms of small bowel obstruction and gross blood stained ascites. He also underwent a laparotomy that confirmed the diagnosis of SEP after biopsy. The patient was started on 20 mg of tamoxifen twice a day. Both patients' symptoms were improved gradually with an increase of serum albumin and body weight. Tamoxifen may be useful in the treatment of patients diagnosed with SEP. ?? 2006 Elsevier Inc. All rights reserved.", "author" : [ { "dropping-particle" : "", "family" : "Moustafellos", "given" : "P.", "non-dropping-particle" : "", "parse-names" : false, "suffix" : "" }, { "dropping-particle" : "", "family" : "Hadjianastassiou", "given" : "V.", "non-dropping-particle" : "", "parse-names" : false, "suffix" : "" }, { "dropping-particle" : "", "family" : "Roy", "given" : "D.", "non-dropping-particle" : "", "parse-names" : false, "suffix" : "" }, { "dropping-particle" : "", "family" : "Velzeboer", "given" : "N. E.", "non-dropping-particle" : "", "parse-names" : false, "suffix" : "" }, { "dropping-particle" : "", "family" : "Maniakyn", "given" : "N.", "non-dropping-particle" : "", "parse-names" : false, "suffix" : "" }, { "dropping-particle" : "", "family" : "Vaidya", "given" : "A.", "non-dropping-particle" : "", "parse-names" : false, "suffix" : "" }, { "dropping-particle" : "", "family" : "Friend", "given" : "P. J.", "non-dropping-particle" : "", "parse-names" : false, "suffix" : "" } ], "container-title" : "Transplantation Proceedings", "id" : "ITEM-3", "issue" : "9", "issued" : { "date-parts" : [ [ "2006" ] ] }, "page" : "2913-2914", "title" : "Tamoxifen Therapy in Encapsulating Sclerosing Peritonitis in Patients After Kidney Transplantation", "type" : "article-journal", "volume" : "38" }, "uris" : [ "http://www.mendeley.com/documents/?uuid=3ceae443-5204-4dfd-8379-0faec880d758" ] } ], "mendeley" : { "formattedCitation" : "&lt;sup&gt;[11,14,83]&lt;/sup&gt;", "plainTextFormattedCitation" : "[11,14,83]", "previouslyFormattedCitation" : "&lt;sup&gt;[11,14,83]&lt;/sup&gt;" }, "properties" : { "noteIndex" : 0 }, "schema" : "https://github.com/citation-style-language/schema/raw/master/csl-citation.json" }</w:instrText>
      </w:r>
      <w:r w:rsidR="004E634F"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[11,14,8</w:t>
      </w:r>
      <w:r w:rsidR="00143607">
        <w:rPr>
          <w:rFonts w:ascii="Book Antiqua" w:hAnsi="Book Antiqua" w:hint="eastAsia"/>
          <w:noProof/>
          <w:color w:val="auto"/>
          <w:sz w:val="24"/>
          <w:szCs w:val="24"/>
          <w:vertAlign w:val="superscript"/>
          <w:lang w:eastAsia="zh-CN"/>
        </w:rPr>
        <w:t>2</w:t>
      </w:r>
      <w:r w:rsidR="00525A55" w:rsidRPr="00F532B5">
        <w:rPr>
          <w:rFonts w:ascii="Book Antiqua" w:hAnsi="Book Antiqua"/>
          <w:noProof/>
          <w:color w:val="auto"/>
          <w:sz w:val="24"/>
          <w:szCs w:val="24"/>
          <w:vertAlign w:val="superscript"/>
        </w:rPr>
        <w:t>]</w:t>
      </w:r>
      <w:r w:rsidR="004E634F" w:rsidRPr="00F532B5">
        <w:rPr>
          <w:rFonts w:ascii="Book Antiqua" w:hAnsi="Book Antiqua"/>
          <w:color w:val="auto"/>
          <w:sz w:val="24"/>
          <w:szCs w:val="24"/>
        </w:rPr>
        <w:fldChar w:fldCharType="end"/>
      </w:r>
      <w:r w:rsidR="00FE12FA" w:rsidRPr="00F532B5">
        <w:rPr>
          <w:rFonts w:ascii="Book Antiqua" w:hAnsi="Book Antiqua"/>
          <w:color w:val="auto"/>
          <w:sz w:val="24"/>
          <w:szCs w:val="24"/>
        </w:rPr>
        <w:t>.</w:t>
      </w:r>
      <w:r w:rsidR="006D7818">
        <w:rPr>
          <w:rFonts w:ascii="Book Antiqua" w:hAnsi="Book Antiqua"/>
          <w:color w:val="auto"/>
          <w:sz w:val="24"/>
          <w:szCs w:val="24"/>
        </w:rPr>
        <w:t xml:space="preserve"> </w:t>
      </w:r>
      <w:r w:rsidR="00754926" w:rsidRPr="00F532B5">
        <w:rPr>
          <w:rFonts w:ascii="Book Antiqua" w:hAnsi="Book Antiqua"/>
          <w:color w:val="auto"/>
          <w:sz w:val="24"/>
          <w:szCs w:val="24"/>
        </w:rPr>
        <w:t>Treatment should be continued for at least a year and tapered off thereafter as long as the underlying condition is controlled and the patient has had an adequate cli</w:t>
      </w:r>
      <w:r w:rsidR="00E264F2" w:rsidRPr="00F532B5">
        <w:rPr>
          <w:rFonts w:ascii="Book Antiqua" w:hAnsi="Book Antiqua"/>
          <w:color w:val="auto"/>
          <w:sz w:val="24"/>
          <w:szCs w:val="24"/>
        </w:rPr>
        <w:t>nical and radiologic response.</w:t>
      </w:r>
      <w:r w:rsidR="006D7818">
        <w:rPr>
          <w:rFonts w:ascii="Book Antiqua" w:hAnsi="Book Antiqua"/>
          <w:color w:val="auto"/>
          <w:sz w:val="24"/>
          <w:szCs w:val="24"/>
        </w:rPr>
        <w:t xml:space="preserve"> </w:t>
      </w:r>
      <w:r w:rsidR="00980BB4" w:rsidRPr="00F532B5">
        <w:rPr>
          <w:rFonts w:ascii="Book Antiqua" w:hAnsi="Book Antiqua"/>
          <w:color w:val="auto"/>
          <w:sz w:val="24"/>
          <w:szCs w:val="24"/>
        </w:rPr>
        <w:t>Resolu</w:t>
      </w:r>
      <w:r w:rsidR="00E264F2" w:rsidRPr="00F532B5">
        <w:rPr>
          <w:rFonts w:ascii="Book Antiqua" w:hAnsi="Book Antiqua"/>
          <w:color w:val="auto"/>
          <w:sz w:val="24"/>
          <w:szCs w:val="24"/>
        </w:rPr>
        <w:t>tion may be seen in form of clinical improvement and/or evidenced by resolution of peritoneal thickening on follow-up imaging.</w:t>
      </w:r>
      <w:r w:rsidR="006D7818">
        <w:rPr>
          <w:rFonts w:ascii="Book Antiqua" w:hAnsi="Book Antiqua"/>
          <w:color w:val="auto"/>
          <w:sz w:val="24"/>
          <w:szCs w:val="24"/>
        </w:rPr>
        <w:t xml:space="preserve"> </w:t>
      </w:r>
      <w:r w:rsidR="00841689" w:rsidRPr="00F532B5">
        <w:rPr>
          <w:rFonts w:ascii="Book Antiqua" w:hAnsi="Book Antiqua"/>
          <w:color w:val="auto"/>
          <w:sz w:val="24"/>
          <w:szCs w:val="24"/>
        </w:rPr>
        <w:t>P</w:t>
      </w:r>
      <w:r w:rsidR="00754926" w:rsidRPr="00F532B5">
        <w:rPr>
          <w:rFonts w:ascii="Book Antiqua" w:hAnsi="Book Antiqua"/>
          <w:color w:val="auto"/>
          <w:sz w:val="24"/>
          <w:szCs w:val="24"/>
        </w:rPr>
        <w:t xml:space="preserve">otential side effects </w:t>
      </w:r>
      <w:r w:rsidR="00E264F2" w:rsidRPr="00F532B5">
        <w:rPr>
          <w:rFonts w:ascii="Book Antiqua" w:hAnsi="Book Antiqua"/>
          <w:color w:val="auto"/>
          <w:sz w:val="24"/>
          <w:szCs w:val="24"/>
        </w:rPr>
        <w:t xml:space="preserve">of </w:t>
      </w:r>
      <w:r w:rsidR="00E264F2" w:rsidRPr="00F532B5">
        <w:rPr>
          <w:rFonts w:ascii="Book Antiqua" w:hAnsi="Book Antiqua"/>
          <w:color w:val="auto"/>
          <w:sz w:val="24"/>
          <w:szCs w:val="24"/>
        </w:rPr>
        <w:lastRenderedPageBreak/>
        <w:t>tamoxifen</w:t>
      </w:r>
      <w:r w:rsidR="00841689" w:rsidRPr="00F532B5">
        <w:rPr>
          <w:rFonts w:ascii="Book Antiqua" w:hAnsi="Book Antiqua"/>
          <w:color w:val="auto"/>
          <w:sz w:val="24"/>
          <w:szCs w:val="24"/>
        </w:rPr>
        <w:t xml:space="preserve"> </w:t>
      </w:r>
      <w:r w:rsidR="00FE12FA" w:rsidRPr="00F532B5">
        <w:rPr>
          <w:rFonts w:ascii="Book Antiqua" w:hAnsi="Book Antiqua"/>
          <w:color w:val="auto"/>
          <w:sz w:val="24"/>
          <w:szCs w:val="24"/>
        </w:rPr>
        <w:t>including</w:t>
      </w:r>
      <w:r w:rsidR="00686AAF" w:rsidRPr="00F532B5">
        <w:rPr>
          <w:rFonts w:ascii="Book Antiqua" w:hAnsi="Book Antiqua"/>
          <w:color w:val="auto"/>
          <w:sz w:val="24"/>
          <w:szCs w:val="24"/>
        </w:rPr>
        <w:t xml:space="preserve"> deep venous thrombosis</w:t>
      </w:r>
      <w:r w:rsidR="00754926" w:rsidRPr="00F532B5">
        <w:rPr>
          <w:rFonts w:ascii="Book Antiqua" w:hAnsi="Book Antiqua"/>
          <w:color w:val="auto"/>
          <w:sz w:val="24"/>
          <w:szCs w:val="24"/>
        </w:rPr>
        <w:t xml:space="preserve">, stroke, </w:t>
      </w:r>
      <w:r w:rsidR="00E264F2" w:rsidRPr="00F532B5">
        <w:rPr>
          <w:rFonts w:ascii="Book Antiqua" w:hAnsi="Book Antiqua"/>
          <w:color w:val="auto"/>
          <w:sz w:val="24"/>
          <w:szCs w:val="24"/>
        </w:rPr>
        <w:t>hot flashes</w:t>
      </w:r>
      <w:r w:rsidR="00754926" w:rsidRPr="00F532B5">
        <w:rPr>
          <w:rFonts w:ascii="Book Antiqua" w:hAnsi="Book Antiqua"/>
          <w:color w:val="auto"/>
          <w:sz w:val="24"/>
          <w:szCs w:val="24"/>
        </w:rPr>
        <w:t xml:space="preserve"> and endometrial carcinoma</w:t>
      </w:r>
      <w:r w:rsidR="00FE12FA" w:rsidRPr="00F532B5">
        <w:rPr>
          <w:rFonts w:ascii="Book Antiqua" w:hAnsi="Book Antiqua"/>
          <w:color w:val="auto"/>
          <w:sz w:val="24"/>
          <w:szCs w:val="24"/>
        </w:rPr>
        <w:t xml:space="preserve"> should be discussed prior to initiating therapy</w:t>
      </w:r>
      <w:r w:rsidR="004E634F"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"10.1093/jnci/dji372", "ISBN" : "1460-2105 (Electronic)\\n0027-8874 (Linking)", "ISSN" : "00278874", "PMID" : "16288118", "abstract" : "BACKGROUND Initial findings from the National Surgical Adjuvant Breast and Bowel Project Breast Cancer Prevention Trial (P-1) demonstrated that tamoxifen reduced the risk of estrogen receptor-positive tumors and osteoporotic fractures in women at increased risk for breast cancer. Side effects of varying clinical significance were observed. The trial was unblinded because of the positive results, and follow-up continued. This report updates our initial findings. METHODS Women (n = 13,388) were randomly assigned to receive placebo or tamoxifen for 5 years. Rates of breast cancer and other events were compared by the use of risk ratios (RRs) and 95% confidence intervals (CIs). Estimates of the net benefit from 5 years of tamoxifen therapy were compared by age, race, and categories of predicted breast cancer risk. Statistical tests were two-sided. RESULTS After 7 years of follow-up, the cumulative rate of invasive breast cancer was reduced from 42.5 per 1000 women in the placebo group to 24.8 per 1000 women in the tamoxifen group (RR = 0.57, 95% CI = 0.46 to 0.70) and the cumulative rate of noninvasive breast cancer was reduced from 15.8 per 1000 women in the placebo group to 10.2 per 1000 women in the tamoxifen group (RR = 0.63, 95% CI = 0.45 to 0.89). These reductions were similar to those seen in the initial report. Tamoxifen led to a 32% reduction in osteoporotic fractures (RR = 0.68, 95% CI = 0.51 to 0.92). Relative risks of stroke, deep-vein thrombosis, and cataracts (which increased with tamoxifen) and of ischemic heart disease and death (which were not changed with tamoxifen) were also similar to those initially reported. Risks of pulmonary embolism were approximately 11% lower than in the original report, and risks of endometrial cancer were about 29% higher, but these differences were not statistically significant. The net benefit achieved with tamoxifen varied according to age, race, and level of breast cancer risk. CONCLUSIONS Despite the potential bias caused by the unblinding of the P-1 trial, the magnitudes of all beneficial and undesirable treatment effects of tamoxifen were similar to those initially reported, with notable reductions in breast cancer and increased risks of thromboembolic events and endometrial cancer. Readily identifiable subsets of individuals comprising 2.5 million women could derive a net benefit from the drug.", "author" : [ { "dropping-particle" : "", "family" : "Fisher", "given" : "Bernard", "non-dropping-particle" : "", "parse-names" : false, "suffix" : "" }, { "dropping-particle" : "", "family" : "Costantino", "given" : "Joseph P.", "non-dropping-particle" : "", "parse-names" : false, "suffix" : "" }, { "dropping-particle" : "", "family" : "Wickerham", "given" : "D. Lawrence", "non-dropping-particle" : "", "parse-names" : false, "suffix" : "" }, { "dropping-particle" : "", "family" : "Cecchini", "given" : "Reena S.", "non-dropping-particle" : "", "parse-names" : false, "suffix" : "" }, { "dropping-particle" : "", "family" : "Cronin", "given" : "Walter M.", "non-dropping-particle" : "", "parse-names" : false, "suffix" : "" }, { "dropping-particle" : "", "family" : "Robidoux", "given" : "Andre", "non-dropping-particle" : "", "parse-names" : false, "suffix" : "" }, { "dropping-particle" : "", "family" : "Bevers", "given" : "Therese B.", "non-dropping-particle" : "", "parse-names" : false, "suffix" : "" }, { "dropping-particle" : "", "family" : "Kavanah", "given" : "Maureen T.", "non-dropping-particle" : "", "parse-names" : false, "suffix" : "" }, { "dropping-particle" : "", "family" : "Atkins", "given" : "James N.", "non-dropping-particle" : "", "parse-names" : false, "suffix" : "" }, { "dropping-particle" : "", "family" : "Margolese", "given" : "Richard G.", "non-dropping-particle" : "", "parse-names" : false, "suffix" : "" }, { "dropping-particle" : "", "family" : "Runowicz", "given" : "Carolyn D.", "non-dropping-particle" : "", "parse-names" : false, "suffix" : "" }, { "dropping-particle" : "", "family" : "James", "given" : "Joan M.", "non-dropping-particle" : "", "parse-names" : false, "suffix" : "" }, { "dropping-particle" : "", "family" : "Ford", "given" : "Leslie G.", "non-dropping-particle" : "", "parse-names" : false, "suffix" : "" }, { "dropping-particle" : "", "family" : "Wolmark", "given" : "Norman", "non-dropping-particle" : "", "parse-names" : false, "suffix" : "" } ], "container-title" : "Journal of the National Cancer Institute", "id" : "ITEM-1", "issue" : "22", "issued" : { "date-parts" : [ [ "2005" ] ] }, "page" : "1652-1662", "title" : "Tamoxifen for the prevention of breast cancer: Current status of the National Surgical Adjuvant Breast and Bowel Project P-1 study", "type" : "article-journal", "volume" : "97" }, "uris" : [ "http://www.mendeley.com/documents/?uuid=2eafbef6-839a-4ba4-97a0-5aca90cac6b2" ] } ], "mendeley" : { "formattedCitation" : "&lt;sup&gt;[84]&lt;/sup&gt;", "plainTextFormattedCitation" : "[84]", "previouslyFormattedCitation" : "&lt;sup&gt;[84]&lt;/sup&gt;" }, "properties" : { "noteIndex" : 0 }, "schema" : "https://github.com/citation-style-language/schema/raw/master/csl-citation.json" }</w:instrText>
      </w:r>
      <w:r w:rsidR="004E634F"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[8</w:t>
      </w:r>
      <w:r w:rsidR="00143607">
        <w:rPr>
          <w:rFonts w:ascii="Book Antiqua" w:hAnsi="Book Antiqua" w:hint="eastAsia"/>
          <w:noProof/>
          <w:color w:val="auto"/>
          <w:sz w:val="24"/>
          <w:szCs w:val="24"/>
          <w:vertAlign w:val="superscript"/>
          <w:lang w:eastAsia="zh-CN"/>
        </w:rPr>
        <w:t>3</w:t>
      </w:r>
      <w:r w:rsidR="00525A55" w:rsidRPr="00F532B5">
        <w:rPr>
          <w:rFonts w:ascii="Book Antiqua" w:hAnsi="Book Antiqua"/>
          <w:noProof/>
          <w:color w:val="auto"/>
          <w:sz w:val="24"/>
          <w:szCs w:val="24"/>
          <w:vertAlign w:val="superscript"/>
        </w:rPr>
        <w:t>]</w:t>
      </w:r>
      <w:r w:rsidR="004E634F" w:rsidRPr="00F532B5">
        <w:rPr>
          <w:rFonts w:ascii="Book Antiqua" w:hAnsi="Book Antiqua"/>
          <w:color w:val="auto"/>
          <w:sz w:val="24"/>
          <w:szCs w:val="24"/>
        </w:rPr>
        <w:fldChar w:fldCharType="end"/>
      </w:r>
      <w:r w:rsidR="00FE12FA" w:rsidRPr="00F532B5">
        <w:rPr>
          <w:rFonts w:ascii="Book Antiqua" w:hAnsi="Book Antiqua"/>
          <w:color w:val="auto"/>
          <w:sz w:val="24"/>
          <w:szCs w:val="24"/>
        </w:rPr>
        <w:t>.</w:t>
      </w:r>
    </w:p>
    <w:p w14:paraId="51435C93" w14:textId="77777777" w:rsidR="0016371C" w:rsidRPr="00F532B5" w:rsidRDefault="0016371C" w:rsidP="00D92508">
      <w:pPr>
        <w:snapToGrid w:val="0"/>
        <w:spacing w:line="360" w:lineRule="auto"/>
        <w:jc w:val="both"/>
        <w:rPr>
          <w:rFonts w:ascii="Book Antiqua" w:hAnsi="Book Antiqua"/>
          <w:color w:val="auto"/>
          <w:sz w:val="24"/>
          <w:szCs w:val="24"/>
        </w:rPr>
      </w:pPr>
    </w:p>
    <w:p w14:paraId="20435004" w14:textId="24F887FE" w:rsidR="0016371C" w:rsidRPr="00100689" w:rsidRDefault="00754926" w:rsidP="00D92508">
      <w:pPr>
        <w:snapToGrid w:val="0"/>
        <w:spacing w:line="360" w:lineRule="auto"/>
        <w:jc w:val="both"/>
        <w:rPr>
          <w:rFonts w:ascii="Book Antiqua" w:hAnsi="Book Antiqua"/>
          <w:b/>
          <w:color w:val="auto"/>
          <w:sz w:val="24"/>
          <w:szCs w:val="24"/>
        </w:rPr>
      </w:pPr>
      <w:r w:rsidRPr="00100689">
        <w:rPr>
          <w:rFonts w:ascii="Book Antiqua" w:hAnsi="Book Antiqua"/>
          <w:b/>
          <w:i/>
          <w:color w:val="auto"/>
          <w:sz w:val="24"/>
          <w:szCs w:val="24"/>
        </w:rPr>
        <w:t>Surgical</w:t>
      </w:r>
      <w:r w:rsidR="00676E01" w:rsidRPr="00100689">
        <w:rPr>
          <w:rFonts w:ascii="Book Antiqua" w:hAnsi="Book Antiqua"/>
          <w:b/>
          <w:i/>
          <w:color w:val="auto"/>
          <w:sz w:val="24"/>
          <w:szCs w:val="24"/>
        </w:rPr>
        <w:t xml:space="preserve"> </w:t>
      </w:r>
      <w:r w:rsidR="00100689" w:rsidRPr="00100689">
        <w:rPr>
          <w:rFonts w:ascii="Book Antiqua" w:hAnsi="Book Antiqua"/>
          <w:b/>
          <w:i/>
          <w:color w:val="auto"/>
          <w:sz w:val="24"/>
          <w:szCs w:val="24"/>
        </w:rPr>
        <w:t>t</w:t>
      </w:r>
      <w:r w:rsidR="002220C3" w:rsidRPr="00100689">
        <w:rPr>
          <w:rFonts w:ascii="Book Antiqua" w:hAnsi="Book Antiqua"/>
          <w:b/>
          <w:i/>
          <w:color w:val="auto"/>
          <w:sz w:val="24"/>
          <w:szCs w:val="24"/>
        </w:rPr>
        <w:t>reatment of EPS</w:t>
      </w:r>
    </w:p>
    <w:p w14:paraId="51617069" w14:textId="11C7300F" w:rsidR="0016371C" w:rsidRPr="00F532B5" w:rsidRDefault="00754926" w:rsidP="00100689">
      <w:pPr>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Given the time-consuming, hazardous, and technical nature of surgical techniques for EPS,</w:t>
      </w:r>
      <w:r w:rsidR="00841689" w:rsidRPr="00F532B5">
        <w:rPr>
          <w:rFonts w:ascii="Book Antiqua" w:hAnsi="Book Antiqua"/>
          <w:color w:val="auto"/>
          <w:sz w:val="24"/>
          <w:szCs w:val="24"/>
        </w:rPr>
        <w:t xml:space="preserve"> surgery </w:t>
      </w:r>
      <w:r w:rsidRPr="00F532B5">
        <w:rPr>
          <w:rFonts w:ascii="Book Antiqua" w:hAnsi="Book Antiqua"/>
          <w:color w:val="auto"/>
          <w:sz w:val="24"/>
          <w:szCs w:val="24"/>
        </w:rPr>
        <w:t xml:space="preserve">is recommended only in patients who have failed conservative, medical therapy and, if possible, in centers with experience in such operations. </w:t>
      </w:r>
      <w:r w:rsidR="00841689" w:rsidRPr="00F532B5">
        <w:rPr>
          <w:rFonts w:ascii="Book Antiqua" w:hAnsi="Book Antiqua"/>
          <w:color w:val="auto"/>
          <w:sz w:val="24"/>
          <w:szCs w:val="24"/>
        </w:rPr>
        <w:t>S</w:t>
      </w:r>
      <w:r w:rsidRPr="00F532B5">
        <w:rPr>
          <w:rFonts w:ascii="Book Antiqua" w:hAnsi="Book Antiqua"/>
          <w:color w:val="auto"/>
          <w:sz w:val="24"/>
          <w:szCs w:val="24"/>
        </w:rPr>
        <w:t>urgical techniques vary from those with curative intent, such as enterolysis</w:t>
      </w:r>
      <w:r w:rsidR="0051571B" w:rsidRPr="00F532B5">
        <w:rPr>
          <w:rFonts w:ascii="Book Antiqua" w:hAnsi="Book Antiqua"/>
          <w:color w:val="auto"/>
          <w:sz w:val="24"/>
          <w:szCs w:val="24"/>
        </w:rPr>
        <w:t xml:space="preserve"> (ablation of fibrotic tissue and lysis of adhesions)</w:t>
      </w:r>
      <w:r w:rsidRPr="00F532B5">
        <w:rPr>
          <w:rFonts w:ascii="Book Antiqua" w:hAnsi="Book Antiqua"/>
          <w:color w:val="auto"/>
          <w:sz w:val="24"/>
          <w:szCs w:val="24"/>
        </w:rPr>
        <w:t xml:space="preserve">, to </w:t>
      </w:r>
      <w:r w:rsidR="002220C3" w:rsidRPr="00F532B5">
        <w:rPr>
          <w:rFonts w:ascii="Book Antiqua" w:hAnsi="Book Antiqua"/>
          <w:color w:val="auto"/>
          <w:sz w:val="24"/>
          <w:szCs w:val="24"/>
        </w:rPr>
        <w:t>those aimed at addressing a specific complication such as limited lysis of adhesions or</w:t>
      </w:r>
      <w:r w:rsidRPr="00F532B5">
        <w:rPr>
          <w:rFonts w:ascii="Book Antiqua" w:hAnsi="Book Antiqua"/>
          <w:color w:val="auto"/>
          <w:sz w:val="24"/>
          <w:szCs w:val="24"/>
        </w:rPr>
        <w:t xml:space="preserve"> resection of perforated or ischemic bowel.</w:t>
      </w:r>
      <w:r w:rsidR="006D7818">
        <w:rPr>
          <w:rFonts w:ascii="Book Antiqua" w:hAnsi="Book Antiqua"/>
          <w:color w:val="auto"/>
          <w:sz w:val="24"/>
          <w:szCs w:val="24"/>
        </w:rPr>
        <w:t xml:space="preserve"> </w:t>
      </w:r>
      <w:r w:rsidRPr="00F532B5">
        <w:rPr>
          <w:rFonts w:ascii="Book Antiqua" w:hAnsi="Book Antiqua"/>
          <w:color w:val="auto"/>
          <w:sz w:val="24"/>
          <w:szCs w:val="24"/>
        </w:rPr>
        <w:t>The former techniques are preferred</w:t>
      </w:r>
      <w:r w:rsidR="00DC050D" w:rsidRPr="00F532B5">
        <w:rPr>
          <w:rFonts w:ascii="Book Antiqua" w:hAnsi="Book Antiqua"/>
          <w:color w:val="auto"/>
          <w:sz w:val="24"/>
          <w:szCs w:val="24"/>
        </w:rPr>
        <w:t>.</w:t>
      </w:r>
      <w:r w:rsidR="006D7818">
        <w:rPr>
          <w:rFonts w:ascii="Book Antiqua" w:hAnsi="Book Antiqua"/>
          <w:color w:val="auto"/>
          <w:sz w:val="24"/>
          <w:szCs w:val="24"/>
        </w:rPr>
        <w:t xml:space="preserve"> </w:t>
      </w:r>
      <w:r w:rsidR="00DC050D" w:rsidRPr="00F532B5">
        <w:rPr>
          <w:rFonts w:ascii="Book Antiqua" w:hAnsi="Book Antiqua"/>
          <w:color w:val="auto"/>
          <w:sz w:val="24"/>
          <w:szCs w:val="24"/>
        </w:rPr>
        <w:t>T</w:t>
      </w:r>
      <w:r w:rsidRPr="00F532B5">
        <w:rPr>
          <w:rFonts w:ascii="Book Antiqua" w:hAnsi="Book Antiqua"/>
          <w:color w:val="auto"/>
          <w:sz w:val="24"/>
          <w:szCs w:val="24"/>
        </w:rPr>
        <w:t>hey have</w:t>
      </w:r>
      <w:r w:rsidR="00CC42FE" w:rsidRPr="00F532B5">
        <w:rPr>
          <w:rFonts w:ascii="Book Antiqua" w:hAnsi="Book Antiqua"/>
          <w:color w:val="auto"/>
          <w:sz w:val="24"/>
          <w:szCs w:val="24"/>
        </w:rPr>
        <w:t xml:space="preserve"> lower frequency of </w:t>
      </w:r>
      <w:r w:rsidRPr="00F532B5">
        <w:rPr>
          <w:rFonts w:ascii="Book Antiqua" w:hAnsi="Book Antiqua"/>
          <w:color w:val="auto"/>
          <w:sz w:val="24"/>
          <w:szCs w:val="24"/>
        </w:rPr>
        <w:t>symptom</w:t>
      </w:r>
      <w:r w:rsidR="00CC42FE" w:rsidRPr="00F532B5">
        <w:rPr>
          <w:rFonts w:ascii="Book Antiqua" w:hAnsi="Book Antiqua"/>
          <w:color w:val="auto"/>
          <w:sz w:val="24"/>
          <w:szCs w:val="24"/>
        </w:rPr>
        <w:t xml:space="preserve"> </w:t>
      </w:r>
      <w:r w:rsidR="00B17CB5" w:rsidRPr="00F532B5">
        <w:rPr>
          <w:rFonts w:ascii="Book Antiqua" w:hAnsi="Book Antiqua"/>
          <w:color w:val="auto"/>
          <w:sz w:val="24"/>
          <w:szCs w:val="24"/>
        </w:rPr>
        <w:t>recurrence</w:t>
      </w:r>
      <w:r w:rsidR="002220C3" w:rsidRPr="00F532B5">
        <w:rPr>
          <w:rFonts w:ascii="Book Antiqua" w:hAnsi="Book Antiqua"/>
          <w:color w:val="auto"/>
          <w:sz w:val="24"/>
          <w:szCs w:val="24"/>
        </w:rPr>
        <w:t>, but are time-consuming,</w:t>
      </w:r>
      <w:r w:rsidRPr="00F532B5">
        <w:rPr>
          <w:rFonts w:ascii="Book Antiqua" w:hAnsi="Book Antiqua"/>
          <w:color w:val="auto"/>
          <w:sz w:val="24"/>
          <w:szCs w:val="24"/>
        </w:rPr>
        <w:t xml:space="preserve"> often </w:t>
      </w:r>
      <w:r w:rsidR="00DC050D" w:rsidRPr="00F532B5">
        <w:rPr>
          <w:rFonts w:ascii="Book Antiqua" w:hAnsi="Book Antiqua"/>
          <w:color w:val="auto"/>
          <w:sz w:val="24"/>
          <w:szCs w:val="24"/>
        </w:rPr>
        <w:t>t</w:t>
      </w:r>
      <w:r w:rsidRPr="00F532B5">
        <w:rPr>
          <w:rFonts w:ascii="Book Antiqua" w:hAnsi="Book Antiqua"/>
          <w:color w:val="auto"/>
          <w:sz w:val="24"/>
          <w:szCs w:val="24"/>
        </w:rPr>
        <w:t xml:space="preserve">echnically </w:t>
      </w:r>
      <w:r w:rsidR="00DC050D" w:rsidRPr="00F532B5">
        <w:rPr>
          <w:rFonts w:ascii="Book Antiqua" w:hAnsi="Book Antiqua"/>
          <w:color w:val="auto"/>
          <w:sz w:val="24"/>
          <w:szCs w:val="24"/>
        </w:rPr>
        <w:t>difficult</w:t>
      </w:r>
      <w:r w:rsidR="002220C3" w:rsidRPr="00F532B5">
        <w:rPr>
          <w:rFonts w:ascii="Book Antiqua" w:hAnsi="Book Antiqua"/>
          <w:color w:val="auto"/>
          <w:sz w:val="24"/>
          <w:szCs w:val="24"/>
        </w:rPr>
        <w:t>,</w:t>
      </w:r>
      <w:r w:rsidRPr="00F532B5">
        <w:rPr>
          <w:rFonts w:ascii="Book Antiqua" w:hAnsi="Book Antiqua"/>
          <w:color w:val="auto"/>
          <w:sz w:val="24"/>
          <w:szCs w:val="24"/>
        </w:rPr>
        <w:t xml:space="preserve"> and </w:t>
      </w:r>
      <w:r w:rsidR="00DC050D" w:rsidRPr="00F532B5">
        <w:rPr>
          <w:rFonts w:ascii="Book Antiqua" w:hAnsi="Book Antiqua"/>
          <w:color w:val="auto"/>
          <w:sz w:val="24"/>
          <w:szCs w:val="24"/>
        </w:rPr>
        <w:t xml:space="preserve">carry a </w:t>
      </w:r>
      <w:r w:rsidRPr="00F532B5">
        <w:rPr>
          <w:rFonts w:ascii="Book Antiqua" w:hAnsi="Book Antiqua"/>
          <w:color w:val="auto"/>
          <w:sz w:val="24"/>
          <w:szCs w:val="24"/>
        </w:rPr>
        <w:t>risk of bowel injury</w:t>
      </w:r>
      <w:r w:rsidR="004E634F"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"author" : [ { "dropping-particle" : "", "family" : "C\u00e9licout", "given" : "B.", "non-dropping-particle" : "", "parse-names" : false, "suffix" : "" }, { "dropping-particle" : "", "family" : "Levard", "given" : "H.", "non-dropping-particle" : "", "parse-names" : false, "suffix" : "" }, { "dropping-particle" : "", "family" : "Hay", "given" : "J.", "non-dropping-particle" : "", "parse-names" : false, "suffix" : "" }, { "dropping-particle" : "", "family" : "Msika", "given" : "S.", "non-dropping-particle" : "", "parse-names" : false, "suffix" : "" }, { "dropping-particle" : "", "family" : "Fingerhut", "given" : "A.", "non-dropping-particle" : "", "parse-names" : false, "suffix" : "" }, { "dropping-particle" : "", "family" : "Pelissier", "given" : "E.", "non-dropping-particle" : "", "parse-names" : false, "suffix" : "" } ], "container-title" : "Digestive Surgery", "id" : "ITEM-1", "issued" : { "date-parts" : [ [ "1998" ] ] }, "page" : "697-702", "title" : "Sclerosing encapsulating peritonitis: early and late results of surgical management in 32 cases", "type" : "article-journal", "volume" : "15" }, "uris" : [ "http://www.mendeley.com/documents/?uuid=322576c4-6dc9-4b0d-834f-a125eeb252b4" ] }, { "id" : "ITEM-2", "itemData" : { "ISSN" : "1197-8554", "PMID" : "18986001", "abstract" : "We performed total enterolysis in 130 patients with encapsulating peritoneal sclerosis (EPS) between 1993 and 2007. The postoperative survival rate was 93.1%. However, 33 of the patients (25.4%) required additional surgery for recurrent bowel obstruction. To prevent recurrent bowel obstruction, we investigated various techniques following total enterolysis. In 7 patients, we employed the splinting method, in which the intestinal tract is fixed for 1 week after surgery by the insertion of a long intestinal tube. In 3 of the patients, recurrence was detected within 6 months after surgery. We therefore ceased using splinting. From April 2007, we performed the Noble plication procedure, in which intestine-to-intestine suturing is performed to prevent recurrent bowel obstruction, in 17 patients. None of those patients experienced a recurrence during 8 months of follow-up. In 7 patients showing marked calcification or repeated recurrence, we performed anastomosis of the superior jejunum and transverse colon after adhesiotomy. In 5 patients, excluding 2 with recurrence, improvement was achieved. Total enterolysis for EPS relieved bowel obstruction in most patients. However, after surgery, bowel obstruction recurred in some cases. Thus, strategies to reduce recurrence should be established. Currently, we use total enterolysis and Noble plication as our standard techniques. Further basic and clinical studies regarding EPS prevention and treatment should be conducted.", "author" : [ { "dropping-particle" : "", "family" : "Kawanishi", "given" : "Hideki", "non-dropping-particle" : "", "parse-names" : false, "suffix" : "" }, { "dropping-particle" : "", "family" : "Ide", "given" : "Kentaro", "non-dropping-particle" : "", "parse-names" : false, "suffix" : "" }, { "dropping-particle" : "", "family" : "Yamashita", "given" : "Masahiko", "non-dropping-particle" : "", "parse-names" : false, "suffix" : "" }, { "dropping-particle" : "", "family" : "Shimomura", "given" : "Manabu", "non-dropping-particle" : "", "parse-names" : false, "suffix" : "" }, { "dropping-particle" : "", "family" : "Moriishi", "given" : "Misaki", "non-dropping-particle" : "", "parse-names" : false, "suffix" : "" }, { "dropping-particle" : "", "family" : "Tsuchiya", "given" : "Shinichiro", "non-dropping-particle" : "", "parse-names" : false, "suffix" : "" }, { "dropping-particle" : "", "family" : "Dohi", "given" : "Kiyohiko", "non-dropping-particle" : "", "parse-names" : false, "suffix" : "" } ], "container-title" : "Advances in peritoneal dialysis. Conference on Peritoneal Dialysis", "id" : "ITEM-2", "issued" : { "date-parts" : [ [ "2008" ] ] }, "page" : "51-5", "title" : "Surgical techniques for prevention of recurrence after total enterolysis in encapsulating peritoneal sclerosis.", "type" : "article-journal", "volume" : "24" }, "uris" : [ "http://www.mendeley.com/documents/?uuid=6c7317ef-f611-405b-935f-d37385b5e80c" ] }, { "id" : "ITEM-3", "itemData" : { "DOI" : "10.1016/j.surg.2012.07.033", "ISBN" : "0039-6060", "ISSN" : "00396060", "PMID" : "22981361", "abstract" : "Background: Encapsulating peritoneal sclerosis (EPS) is a rare but devastating complication of peritoneal dialysis composed of chronic abdominal pain, chronic ileus, and severe malnutrition. Operative therapy for EPS is a complex procedure, including perionectomy and enterolysis (PEEL). In contrast to simple adhesiolysis, PEEL comprises a restitution of intestinal passage and prevention of recurrent disease by decapsulation and partial deserosation. Methods: We reviewed the treatment of patients with EPS at our referral center regarding perioperative morbidity, mortality, and long-term outcome. Only patients who underwent PEEL were included. Preoperative general status was ascertained by APACHE-II score and body mass index. Postoperative morbidity was stratified into minor and major complications. Results: Between the years 2003 and 2010, 26 of 45 patients with late-stage EPS underwent PEEL. Median age was 54 years, APACHE-II score was 15, and body mass index was 21 kg/m2. To achieve intestinal function, 9 bowel resections with immediate anastomoses were necessary. Eleven patients (37%) received a complete parietal peritonectomy. Overall morbidity was 44%, with minor complications in 2 patients (7%) and major complications in 11 patients (31%). Three patients (10%) died within the first year after operative treatment. Conclusion: PEEL is a treatment option that can be performed with low mortality and acceptable morbidity. It is a precondition that these patients are treated in specialized referral centers. ?? 2013 Mosby, Inc. All rights reserved.", "author" : [ { "dropping-particle" : "", "family" : "Ulmer", "given" : "Christoph", "non-dropping-particle" : "", "parse-names" : false, "suffix" : "" }, { "dropping-particle" : "", "family" : "Braun", "given" : "Niko", "non-dropping-particle" : "", "parse-names" : false, "suffix" : "" }, { "dropping-particle" : "", "family" : "Rieber", "given" : "Fabian", "non-dropping-particle" : "", "parse-names" : false, "suffix" : "" }, { "dropping-particle" : "", "family" : "Latus", "given" : "Joerg", "non-dropping-particle" : "", "parse-names" : false, "suffix" : "" }, { "dropping-particle" : "", "family" : "Hirschburger", "given" : "Sandra", "non-dropping-particle" : "", "parse-names" : false, "suffix" : "" }, { "dropping-particle" : "", "family" : "Emmel", "given" : "Jens", "non-dropping-particle" : "", "parse-names" : false, "suffix" : "" }, { "dropping-particle" : "", "family" : "Alscher", "given" : "M. Dominik", "non-dropping-particle" : "", "parse-names" : false, "suffix" : "" }, { "dropping-particle" : "", "family" : "Steurer", "given" : "Wolfgang", "non-dropping-particle" : "", "parse-names" : false, "suffix" : "" }, { "dropping-particle" : "", "family" : "Thon", "given" : "Klaus Peter", "non-dropping-particle" : "", "parse-names" : false, "suffix" : "" } ], "container-title" : "Surgery", "id" : "ITEM-3", "issue" : "2", "issued" : { "date-parts" : [ [ "2013" ] ] }, "page" : "219-224", "publisher" : "Mosby, Inc.", "title" : "Efficacy and morbidity of surgical therapy in late-stage encapsulating peritoneal sclerosis", "type" : "article-journal", "volume" : "153" }, "uris" : [ "http://www.mendeley.com/documents/?uuid=57ca8985-7a3b-4f6c-88e1-9af7434116b3" ] } ], "mendeley" : { "formattedCitation" : "&lt;sup&gt;[85\u201387]&lt;/sup&gt;", "plainTextFormattedCitation" : "[85\u201387]", "previouslyFormattedCitation" : "&lt;sup&gt;[85\u201387]&lt;/sup&gt;" }, "properties" : { "noteIndex" : 0 }, "schema" : "https://github.com/citation-style-language/schema/raw/master/csl-citation.json" }</w:instrText>
      </w:r>
      <w:r w:rsidR="004E634F"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[8</w:t>
      </w:r>
      <w:r w:rsidR="00143607">
        <w:rPr>
          <w:rFonts w:ascii="Book Antiqua" w:hAnsi="Book Antiqua" w:hint="eastAsia"/>
          <w:noProof/>
          <w:color w:val="auto"/>
          <w:sz w:val="24"/>
          <w:szCs w:val="24"/>
          <w:vertAlign w:val="superscript"/>
          <w:lang w:eastAsia="zh-CN"/>
        </w:rPr>
        <w:t>4</w:t>
      </w:r>
      <w:r w:rsidR="00525A55" w:rsidRPr="00F532B5">
        <w:rPr>
          <w:rFonts w:ascii="Book Antiqua" w:hAnsi="Book Antiqua"/>
          <w:noProof/>
          <w:color w:val="auto"/>
          <w:sz w:val="24"/>
          <w:szCs w:val="24"/>
          <w:vertAlign w:val="superscript"/>
        </w:rPr>
        <w:t>–8</w:t>
      </w:r>
      <w:r w:rsidR="00143607">
        <w:rPr>
          <w:rFonts w:ascii="Book Antiqua" w:hAnsi="Book Antiqua" w:hint="eastAsia"/>
          <w:noProof/>
          <w:color w:val="auto"/>
          <w:sz w:val="24"/>
          <w:szCs w:val="24"/>
          <w:vertAlign w:val="superscript"/>
          <w:lang w:eastAsia="zh-CN"/>
        </w:rPr>
        <w:t>6</w:t>
      </w:r>
      <w:r w:rsidR="00525A55" w:rsidRPr="00F532B5">
        <w:rPr>
          <w:rFonts w:ascii="Book Antiqua" w:hAnsi="Book Antiqua"/>
          <w:noProof/>
          <w:color w:val="auto"/>
          <w:sz w:val="24"/>
          <w:szCs w:val="24"/>
          <w:vertAlign w:val="superscript"/>
        </w:rPr>
        <w:t>]</w:t>
      </w:r>
      <w:r w:rsidR="004E634F" w:rsidRPr="00F532B5">
        <w:rPr>
          <w:rFonts w:ascii="Book Antiqua" w:hAnsi="Book Antiqua"/>
          <w:color w:val="auto"/>
          <w:sz w:val="24"/>
          <w:szCs w:val="24"/>
        </w:rPr>
        <w:fldChar w:fldCharType="end"/>
      </w:r>
      <w:r w:rsidR="004E634F" w:rsidRPr="00F532B5">
        <w:rPr>
          <w:rFonts w:ascii="Book Antiqua" w:hAnsi="Book Antiqua"/>
          <w:color w:val="auto"/>
          <w:sz w:val="24"/>
          <w:szCs w:val="24"/>
        </w:rPr>
        <w:t>.</w:t>
      </w:r>
    </w:p>
    <w:p w14:paraId="17F7C551" w14:textId="7CC49F85" w:rsidR="0016371C" w:rsidRPr="00F532B5" w:rsidRDefault="00754926" w:rsidP="00100689">
      <w:pPr>
        <w:snapToGrid w:val="0"/>
        <w:spacing w:line="360" w:lineRule="auto"/>
        <w:ind w:firstLineChars="100" w:firstLine="240"/>
        <w:jc w:val="both"/>
        <w:rPr>
          <w:rFonts w:ascii="Book Antiqua" w:hAnsi="Book Antiqua"/>
          <w:color w:val="auto"/>
          <w:sz w:val="24"/>
          <w:szCs w:val="24"/>
        </w:rPr>
      </w:pPr>
      <w:r w:rsidRPr="00F532B5">
        <w:rPr>
          <w:rFonts w:ascii="Book Antiqua" w:hAnsi="Book Antiqua"/>
          <w:color w:val="auto"/>
          <w:sz w:val="24"/>
          <w:szCs w:val="24"/>
        </w:rPr>
        <w:t>In a 17-year review of 239 cases in one center in Japan, in which enterolysis alone was pri</w:t>
      </w:r>
      <w:r w:rsidR="00234858" w:rsidRPr="00F532B5">
        <w:rPr>
          <w:rFonts w:ascii="Book Antiqua" w:hAnsi="Book Antiqua"/>
          <w:color w:val="auto"/>
          <w:sz w:val="24"/>
          <w:szCs w:val="24"/>
        </w:rPr>
        <w:t xml:space="preserve">marily employed, </w:t>
      </w:r>
      <w:r w:rsidRPr="00F532B5">
        <w:rPr>
          <w:rFonts w:ascii="Book Antiqua" w:hAnsi="Book Antiqua"/>
          <w:color w:val="auto"/>
          <w:sz w:val="24"/>
          <w:szCs w:val="24"/>
        </w:rPr>
        <w:t>mortality was 35.4% (7.7% attributed to post-operative complications and 18.2% to persistent EPS-related complications)</w:t>
      </w:r>
      <w:r w:rsidR="004E634F"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"author" : [ { "dropping-particle" : "", "family" : "Kawanishi H, Shintaku S, Moriishi M, Dohi K", "given" : "Tsuchiya S.", "non-dropping-particle" : "", "parse-names" : false, "suffix" : "" } ], "container-title" : "Adv Perit Dial.", "id" : "ITEM-1", "issued" : { "date-parts" : [ [ "2011" ] ] }, "page" : "53-8", "title" : "Seventeen years' experience of surgical options for encapsulating peritoneal sclerosis", "type" : "article-journal", "volume" : "27" }, "uris" : [ "http://www.mendeley.com/documents/?uuid=cacbbc63-a7da-49a6-8233-7ed622f6e06e" ] } ], "mendeley" : { "formattedCitation" : "&lt;sup&gt;[88]&lt;/sup&gt;", "plainTextFormattedCitation" : "[88]", "previouslyFormattedCitation" : "&lt;sup&gt;[88]&lt;/sup&gt;" }, "properties" : { "noteIndex" : 0 }, "schema" : "https://github.com/citation-style-language/schema/raw/master/csl-citation.json" }</w:instrText>
      </w:r>
      <w:r w:rsidR="004E634F"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[8</w:t>
      </w:r>
      <w:r w:rsidR="00143607">
        <w:rPr>
          <w:rFonts w:ascii="Book Antiqua" w:hAnsi="Book Antiqua" w:hint="eastAsia"/>
          <w:noProof/>
          <w:color w:val="auto"/>
          <w:sz w:val="24"/>
          <w:szCs w:val="24"/>
          <w:vertAlign w:val="superscript"/>
          <w:lang w:eastAsia="zh-CN"/>
        </w:rPr>
        <w:t>7</w:t>
      </w:r>
      <w:r w:rsidR="00525A55" w:rsidRPr="00F532B5">
        <w:rPr>
          <w:rFonts w:ascii="Book Antiqua" w:hAnsi="Book Antiqua"/>
          <w:noProof/>
          <w:color w:val="auto"/>
          <w:sz w:val="24"/>
          <w:szCs w:val="24"/>
          <w:vertAlign w:val="superscript"/>
        </w:rPr>
        <w:t>]</w:t>
      </w:r>
      <w:r w:rsidR="004E634F" w:rsidRPr="00F532B5">
        <w:rPr>
          <w:rFonts w:ascii="Book Antiqua" w:hAnsi="Book Antiqua"/>
          <w:color w:val="auto"/>
          <w:sz w:val="24"/>
          <w:szCs w:val="24"/>
        </w:rPr>
        <w:fldChar w:fldCharType="end"/>
      </w:r>
      <w:r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During initial experience, 25.4% required a second operation for persistent obstructive symptoms</w:t>
      </w:r>
      <w:r w:rsidR="004E634F"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"ISSN" : "1197-8554", "PMID" : "18986001", "abstract" : "We performed total enterolysis in 130 patients with encapsulating peritoneal sclerosis (EPS) between 1993 and 2007. The postoperative survival rate was 93.1%. However, 33 of the patients (25.4%) required additional surgery for recurrent bowel obstruction. To prevent recurrent bowel obstruction, we investigated various techniques following total enterolysis. In 7 patients, we employed the splinting method, in which the intestinal tract is fixed for 1 week after surgery by the insertion of a long intestinal tube. In 3 of the patients, recurrence was detected within 6 months after surgery. We therefore ceased using splinting. From April 2007, we performed the Noble plication procedure, in which intestine-to-intestine suturing is performed to prevent recurrent bowel obstruction, in 17 patients. None of those patients experienced a recurrence during 8 months of follow-up. In 7 patients showing marked calcification or repeated recurrence, we performed anastomosis of the superior jejunum and transverse colon after adhesiotomy. In 5 patients, excluding 2 with recurrence, improvement was achieved. Total enterolysis for EPS relieved bowel obstruction in most patients. However, after surgery, bowel obstruction recurred in some cases. Thus, strategies to reduce recurrence should be established. Currently, we use total enterolysis and Noble plication as our standard techniques. Further basic and clinical studies regarding EPS prevention and treatment should be conducted.", "author" : [ { "dropping-particle" : "", "family" : "Kawanishi", "given" : "Hideki", "non-dropping-particle" : "", "parse-names" : false, "suffix" : "" }, { "dropping-particle" : "", "family" : "Ide", "given" : "Kentaro", "non-dropping-particle" : "", "parse-names" : false, "suffix" : "" }, { "dropping-particle" : "", "family" : "Yamashita", "given" : "Masahiko", "non-dropping-particle" : "", "parse-names" : false, "suffix" : "" }, { "dropping-particle" : "", "family" : "Shimomura", "given" : "Manabu", "non-dropping-particle" : "", "parse-names" : false, "suffix" : "" }, { "dropping-particle" : "", "family" : "Moriishi", "given" : "Misaki", "non-dropping-particle" : "", "parse-names" : false, "suffix" : "" }, { "dropping-particle" : "", "family" : "Tsuchiya", "given" : "Shinichiro", "non-dropping-particle" : "", "parse-names" : false, "suffix" : "" }, { "dropping-particle" : "", "family" : "Dohi", "given" : "Kiyohiko", "non-dropping-particle" : "", "parse-names" : false, "suffix" : "" } ], "container-title" : "Advances in peritoneal dialysis. Conference on Peritoneal Dialysis", "id" : "ITEM-1", "issued" : { "date-parts" : [ [ "2008" ] ] }, "page" : "51-5", "title" : "Surgical techniques for prevention of recurrence after total enterolysis in encapsulating peritoneal sclerosis.", "type" : "article-journal", "volume" : "24" }, "uris" : [ "http://www.mendeley.com/documents/?uuid=6c7317ef-f611-405b-935f-d37385b5e80c" ] } ], "mendeley" : { "formattedCitation" : "&lt;sup&gt;[86]&lt;/sup&gt;", "plainTextFormattedCitation" : "[86]", "previouslyFormattedCitation" : "&lt;sup&gt;[86]&lt;/sup&gt;" }, "properties" : { "noteIndex" : 0 }, "schema" : "https://github.com/citation-style-language/schema/raw/master/csl-citation.json" }</w:instrText>
      </w:r>
      <w:r w:rsidR="004E634F"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[8</w:t>
      </w:r>
      <w:r w:rsidR="00143607">
        <w:rPr>
          <w:rFonts w:ascii="Book Antiqua" w:hAnsi="Book Antiqua" w:hint="eastAsia"/>
          <w:noProof/>
          <w:color w:val="auto"/>
          <w:sz w:val="24"/>
          <w:szCs w:val="24"/>
          <w:vertAlign w:val="superscript"/>
          <w:lang w:eastAsia="zh-CN"/>
        </w:rPr>
        <w:t>5</w:t>
      </w:r>
      <w:r w:rsidR="00525A55" w:rsidRPr="00F532B5">
        <w:rPr>
          <w:rFonts w:ascii="Book Antiqua" w:hAnsi="Book Antiqua"/>
          <w:noProof/>
          <w:color w:val="auto"/>
          <w:sz w:val="24"/>
          <w:szCs w:val="24"/>
          <w:vertAlign w:val="superscript"/>
        </w:rPr>
        <w:t>]</w:t>
      </w:r>
      <w:r w:rsidR="004E634F" w:rsidRPr="00F532B5">
        <w:rPr>
          <w:rFonts w:ascii="Book Antiqua" w:hAnsi="Book Antiqua"/>
          <w:color w:val="auto"/>
          <w:sz w:val="24"/>
          <w:szCs w:val="24"/>
        </w:rPr>
        <w:fldChar w:fldCharType="end"/>
      </w:r>
      <w:r w:rsidRPr="00F532B5">
        <w:rPr>
          <w:rFonts w:ascii="Book Antiqua" w:hAnsi="Book Antiqua"/>
          <w:color w:val="auto"/>
          <w:sz w:val="24"/>
          <w:szCs w:val="24"/>
        </w:rPr>
        <w:t>, but after institution of Noble plication (suturing of the intestines to each other) in addition to enterolysis, this improved to 12.3%</w:t>
      </w:r>
      <w:r w:rsidR="004E634F"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"10.1159/000336934", "ISBN" : "9783318021097", "ISSN" : "03025144", "PMID" : "22613913", "abstract" : "Encapsulating peritoneal sclerosis (EPS) is a serious complication of long-term peritoneal dialysis (PD). The mortality rate for EPS has been high, primarily because of complications related to bowel obstruction. However, recent advances in clinical research have established the pathogenesis and course and a treatment strategy. To date, there is no consensus on therapy but care should be taken in trials using corticosteroid medication, and tamoxifen still remains controversial with respect to EPS treatment. The final therapeutic option for EPS is surgical enterolysis (adhesiolysis), and we have performed 239 surgical procedures in 181 patients and observed favorable outcomes. In the 1990s, Japan experienced a large number of EPS cases, and PD therapy faced a crisis. There were many negative viewpoints on treatment of EPS at the beginning, but surgery became accepted in the face of an increasing number of cases, and several other facilities introduced surgical therapy. This activity promoted the understanding of, and countermeasures against, EPS in Japan, and EPS is no longer recognized as a fatal complication.", "author" : [ { "dropping-particle" : "", "family" : "Kawanishi", "given" : "Hideki", "non-dropping-particle" : "", "parse-names" : false, "suffix" : "" } ], "container-title" : "Contributions to Nephrology", "id" : "ITEM-1", "issued" : { "date-parts" : [ [ "2012" ] ] }, "page" : "38-47", "title" : "Surgical and medical treatments of encapsulation peritoneal sclerosis", "type" : "article-journal", "volume" : "177" }, "uris" : [ "http://www.mendeley.com/documents/?uuid=555777e2-6765-427e-8d93-392dc14e9c05" ] } ], "mendeley" : { "formattedCitation" : "&lt;sup&gt;[89]&lt;/sup&gt;", "plainTextFormattedCitation" : "[89]", "previouslyFormattedCitation" : "&lt;sup&gt;[89]&lt;/sup&gt;" }, "properties" : { "noteIndex" : 0 }, "schema" : "https://github.com/citation-style-language/schema/raw/master/csl-citation.json" }</w:instrText>
      </w:r>
      <w:r w:rsidR="004E634F"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[8</w:t>
      </w:r>
      <w:r w:rsidR="00143607">
        <w:rPr>
          <w:rFonts w:ascii="Book Antiqua" w:hAnsi="Book Antiqua" w:hint="eastAsia"/>
          <w:noProof/>
          <w:color w:val="auto"/>
          <w:sz w:val="24"/>
          <w:szCs w:val="24"/>
          <w:vertAlign w:val="superscript"/>
          <w:lang w:eastAsia="zh-CN"/>
        </w:rPr>
        <w:t>8</w:t>
      </w:r>
      <w:r w:rsidR="00525A55" w:rsidRPr="00F532B5">
        <w:rPr>
          <w:rFonts w:ascii="Book Antiqua" w:hAnsi="Book Antiqua"/>
          <w:noProof/>
          <w:color w:val="auto"/>
          <w:sz w:val="24"/>
          <w:szCs w:val="24"/>
          <w:vertAlign w:val="superscript"/>
        </w:rPr>
        <w:t>]</w:t>
      </w:r>
      <w:r w:rsidR="004E634F" w:rsidRPr="00F532B5">
        <w:rPr>
          <w:rFonts w:ascii="Book Antiqua" w:hAnsi="Book Antiqua"/>
          <w:color w:val="auto"/>
          <w:sz w:val="24"/>
          <w:szCs w:val="24"/>
        </w:rPr>
        <w:fldChar w:fldCharType="end"/>
      </w:r>
      <w:r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 xml:space="preserve">More recent experience in other institutions is also encouraging with only 10% </w:t>
      </w:r>
      <w:r w:rsidR="0051571B" w:rsidRPr="00F532B5">
        <w:rPr>
          <w:rFonts w:ascii="Book Antiqua" w:hAnsi="Book Antiqua"/>
          <w:color w:val="auto"/>
          <w:sz w:val="24"/>
          <w:szCs w:val="24"/>
        </w:rPr>
        <w:t>requiring reoperation after peritonectomy and enterolysis (PEEL)</w:t>
      </w:r>
      <w:r w:rsidRPr="00F532B5">
        <w:rPr>
          <w:rFonts w:ascii="Book Antiqua" w:hAnsi="Book Antiqua"/>
          <w:color w:val="auto"/>
          <w:sz w:val="24"/>
          <w:szCs w:val="24"/>
        </w:rPr>
        <w:t xml:space="preserve"> and 10% mortality at 1 year</w:t>
      </w:r>
      <w:r w:rsidR="004E634F"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"10.1016/j.surg.2012.07.033", "ISBN" : "0039-6060", "ISSN" : "00396060", "PMID" : "22981361", "abstract" : "Background: Encapsulating peritoneal sclerosis (EPS) is a rare but devastating complication of peritoneal dialysis composed of chronic abdominal pain, chronic ileus, and severe malnutrition. Operative therapy for EPS is a complex procedure, including perionectomy and enterolysis (PEEL). In contrast to simple adhesiolysis, PEEL comprises a restitution of intestinal passage and prevention of recurrent disease by decapsulation and partial deserosation. Methods: We reviewed the treatment of patients with EPS at our referral center regarding perioperative morbidity, mortality, and long-term outcome. Only patients who underwent PEEL were included. Preoperative general status was ascertained by APACHE-II score and body mass index. Postoperative morbidity was stratified into minor and major complications. Results: Between the years 2003 and 2010, 26 of 45 patients with late-stage EPS underwent PEEL. Median age was 54 years, APACHE-II score was 15, and body mass index was 21 kg/m2. To achieve intestinal function, 9 bowel resections with immediate anastomoses were necessary. Eleven patients (37%) received a complete parietal peritonectomy. Overall morbidity was 44%, with minor complications in 2 patients (7%) and major complications in 11 patients (31%). Three patients (10%) died within the first year after operative treatment. Conclusion: PEEL is a treatment option that can be performed with low mortality and acceptable morbidity. It is a precondition that these patients are treated in specialized referral centers. ?? 2013 Mosby, Inc. All rights reserved.", "author" : [ { "dropping-particle" : "", "family" : "Ulmer", "given" : "Christoph", "non-dropping-particle" : "", "parse-names" : false, "suffix" : "" }, { "dropping-particle" : "", "family" : "Braun", "given" : "Niko", "non-dropping-particle" : "", "parse-names" : false, "suffix" : "" }, { "dropping-particle" : "", "family" : "Rieber", "given" : "Fabian", "non-dropping-particle" : "", "parse-names" : false, "suffix" : "" }, { "dropping-particle" : "", "family" : "Latus", "given" : "Joerg", "non-dropping-particle" : "", "parse-names" : false, "suffix" : "" }, { "dropping-particle" : "", "family" : "Hirschburger", "given" : "Sandra", "non-dropping-particle" : "", "parse-names" : false, "suffix" : "" }, { "dropping-particle" : "", "family" : "Emmel", "given" : "Jens", "non-dropping-particle" : "", "parse-names" : false, "suffix" : "" }, { "dropping-particle" : "", "family" : "Alscher", "given" : "M. Dominik", "non-dropping-particle" : "", "parse-names" : false, "suffix" : "" }, { "dropping-particle" : "", "family" : "Steurer", "given" : "Wolfgang", "non-dropping-particle" : "", "parse-names" : false, "suffix" : "" }, { "dropping-particle" : "", "family" : "Thon", "given" : "Klaus Peter", "non-dropping-particle" : "", "parse-names" : false, "suffix" : "" } ], "container-title" : "Surgery", "id" : "ITEM-1", "issue" : "2", "issued" : { "date-parts" : [ [ "2013" ] ] }, "page" : "219-224", "publisher" : "Mosby, Inc.", "title" : "Efficacy and morbidity of surgical therapy in late-stage encapsulating peritoneal sclerosis", "type" : "article-journal", "volume" : "153" }, "uris" : [ "http://www.mendeley.com/documents/?uuid=57ca8985-7a3b-4f6c-88e1-9af7434116b3" ] } ], "mendeley" : { "formattedCitation" : "&lt;sup&gt;[87]&lt;/sup&gt;", "plainTextFormattedCitation" : "[87]", "previouslyFormattedCitation" : "&lt;sup&gt;[87]&lt;/sup&gt;" }, "properties" : { "noteIndex" : 0 }, "schema" : "https://github.com/citation-style-language/schema/raw/master/csl-citation.json" }</w:instrText>
      </w:r>
      <w:r w:rsidR="004E634F"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[8</w:t>
      </w:r>
      <w:r w:rsidR="00143607">
        <w:rPr>
          <w:rFonts w:ascii="Book Antiqua" w:hAnsi="Book Antiqua" w:hint="eastAsia"/>
          <w:noProof/>
          <w:color w:val="auto"/>
          <w:sz w:val="24"/>
          <w:szCs w:val="24"/>
          <w:vertAlign w:val="superscript"/>
          <w:lang w:eastAsia="zh-CN"/>
        </w:rPr>
        <w:t>6</w:t>
      </w:r>
      <w:r w:rsidR="00525A55" w:rsidRPr="00F532B5">
        <w:rPr>
          <w:rFonts w:ascii="Book Antiqua" w:hAnsi="Book Antiqua"/>
          <w:noProof/>
          <w:color w:val="auto"/>
          <w:sz w:val="24"/>
          <w:szCs w:val="24"/>
          <w:vertAlign w:val="superscript"/>
        </w:rPr>
        <w:t>]</w:t>
      </w:r>
      <w:r w:rsidR="004E634F" w:rsidRPr="00F532B5">
        <w:rPr>
          <w:rFonts w:ascii="Book Antiqua" w:hAnsi="Book Antiqua"/>
          <w:color w:val="auto"/>
          <w:sz w:val="24"/>
          <w:szCs w:val="24"/>
        </w:rPr>
        <w:fldChar w:fldCharType="end"/>
      </w:r>
      <w:r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Continuation of steroids or tamoxifen post-operatively may reduce recurrence</w:t>
      </w:r>
      <w:r w:rsidR="004E634F"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"ISSN" : "0896-8608", "PMID" : "19270221", "abstract" : "Encapsulating peritoneal sclerosis (EPS) is a rare but devastating complication. The patients at high risk for EPS include those on peritoneal dialysis (PD) for more than 8 - 10 years and patients with high peritoneal transport and frequent peritonitis. Effective medical treatment with tamoxifen and immunosuppressives (a steroid with or without azathioprine or mycophenolate) has been reported. Surgical enterolysis is needed when irreversible intestinal obstruction occurs. In experienced hands, mortality can be reduced to a few percentage points, but the recurrence rate is very high. Noble plication has been reported to reduce the recurrence rate. Accelerated EPS development may possibly occur after conversion from PD to HD.", "author" : [ { "dropping-particle" : "", "family" : "Lo", "given" : "Wai Kei", "non-dropping-particle" : "", "parse-names" : false, "suffix" : "" }, { "dropping-particle" : "", "family" : "Kawanishi", "given" : "Hideki", "non-dropping-particle" : "", "parse-names" : false, "suffix" : "" } ], "container-title" : "Peritoneal dialysis international : journal of the International Society for Peritoneal Dialysis", "id" : "ITEM-1", "issued" : { "date-parts" : [ [ "2009" ] ] }, "page" : "S211-S214", "title" : "Encapsulating peritoneal sclerosis--medical and surgical treatment.", "type" : "article-journal", "volume" : "29 Suppl 2" }, "uris" : [ "http://www.mendeley.com/documents/?uuid=1f7ee06f-3e35-4e09-8ffe-25e409f3aefd" ] } ], "mendeley" : { "formattedCitation" : "&lt;sup&gt;[90]&lt;/sup&gt;", "plainTextFormattedCitation" : "[90]", "previouslyFormattedCitation" : "&lt;sup&gt;[90]&lt;/sup&gt;" }, "properties" : { "noteIndex" : 0 }, "schema" : "https://github.com/citation-style-language/schema/raw/master/csl-citation.json" }</w:instrText>
      </w:r>
      <w:r w:rsidR="004E634F"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w:t>
      </w:r>
      <w:r w:rsidR="00143607">
        <w:rPr>
          <w:rFonts w:ascii="Book Antiqua" w:hAnsi="Book Antiqua" w:hint="eastAsia"/>
          <w:noProof/>
          <w:color w:val="auto"/>
          <w:sz w:val="24"/>
          <w:szCs w:val="24"/>
          <w:vertAlign w:val="superscript"/>
          <w:lang w:eastAsia="zh-CN"/>
        </w:rPr>
        <w:t>89</w:t>
      </w:r>
      <w:r w:rsidR="00525A55" w:rsidRPr="00F532B5">
        <w:rPr>
          <w:rFonts w:ascii="Book Antiqua" w:hAnsi="Book Antiqua"/>
          <w:noProof/>
          <w:color w:val="auto"/>
          <w:sz w:val="24"/>
          <w:szCs w:val="24"/>
          <w:vertAlign w:val="superscript"/>
        </w:rPr>
        <w:t>]</w:t>
      </w:r>
      <w:r w:rsidR="004E634F" w:rsidRPr="00F532B5">
        <w:rPr>
          <w:rFonts w:ascii="Book Antiqua" w:hAnsi="Book Antiqua"/>
          <w:color w:val="auto"/>
          <w:sz w:val="24"/>
          <w:szCs w:val="24"/>
        </w:rPr>
        <w:fldChar w:fldCharType="end"/>
      </w:r>
      <w:r w:rsidRPr="00F532B5">
        <w:rPr>
          <w:rFonts w:ascii="Book Antiqua" w:hAnsi="Book Antiqua"/>
          <w:color w:val="auto"/>
          <w:sz w:val="24"/>
          <w:szCs w:val="24"/>
        </w:rPr>
        <w:t>.</w:t>
      </w:r>
    </w:p>
    <w:p w14:paraId="175970F8" w14:textId="77777777" w:rsidR="0016371C" w:rsidRPr="00F532B5" w:rsidRDefault="0016371C" w:rsidP="00D92508">
      <w:pPr>
        <w:snapToGrid w:val="0"/>
        <w:spacing w:line="360" w:lineRule="auto"/>
        <w:jc w:val="both"/>
        <w:rPr>
          <w:rFonts w:ascii="Book Antiqua" w:hAnsi="Book Antiqua"/>
          <w:color w:val="auto"/>
          <w:sz w:val="24"/>
          <w:szCs w:val="24"/>
        </w:rPr>
      </w:pPr>
    </w:p>
    <w:p w14:paraId="5D4FAAF1" w14:textId="77777777" w:rsidR="009F6BBC" w:rsidRPr="00100689" w:rsidRDefault="009F6BBC" w:rsidP="00D92508">
      <w:pPr>
        <w:snapToGrid w:val="0"/>
        <w:spacing w:line="360" w:lineRule="auto"/>
        <w:jc w:val="both"/>
        <w:rPr>
          <w:rFonts w:ascii="Book Antiqua" w:hAnsi="Book Antiqua"/>
          <w:b/>
          <w:i/>
          <w:color w:val="auto"/>
          <w:sz w:val="24"/>
          <w:szCs w:val="24"/>
        </w:rPr>
      </w:pPr>
      <w:r w:rsidRPr="00100689">
        <w:rPr>
          <w:rFonts w:ascii="Book Antiqua" w:hAnsi="Book Antiqua"/>
          <w:b/>
          <w:i/>
          <w:color w:val="auto"/>
          <w:sz w:val="24"/>
          <w:szCs w:val="24"/>
        </w:rPr>
        <w:t>Dysmotility</w:t>
      </w:r>
    </w:p>
    <w:p w14:paraId="545DB904" w14:textId="2AFDA377" w:rsidR="000772B1" w:rsidRPr="00F532B5" w:rsidRDefault="00BA72EB" w:rsidP="00100689">
      <w:pPr>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While the primary driver of obstructive symptoms in EPS is mechanical and related to adhesions and constriction within the encapsula</w:t>
      </w:r>
      <w:r w:rsidR="0051571B" w:rsidRPr="00F532B5">
        <w:rPr>
          <w:rFonts w:ascii="Book Antiqua" w:hAnsi="Book Antiqua"/>
          <w:color w:val="auto"/>
          <w:sz w:val="24"/>
          <w:szCs w:val="24"/>
        </w:rPr>
        <w:t>ting peritoneum, we hypothesize</w:t>
      </w:r>
      <w:r w:rsidRPr="00F532B5">
        <w:rPr>
          <w:rFonts w:ascii="Book Antiqua" w:hAnsi="Book Antiqua"/>
          <w:color w:val="auto"/>
          <w:sz w:val="24"/>
          <w:szCs w:val="24"/>
        </w:rPr>
        <w:t xml:space="preserve"> dys</w:t>
      </w:r>
      <w:r w:rsidR="009B0D06" w:rsidRPr="00F532B5">
        <w:rPr>
          <w:rFonts w:ascii="Book Antiqua" w:hAnsi="Book Antiqua"/>
          <w:color w:val="auto"/>
          <w:sz w:val="24"/>
          <w:szCs w:val="24"/>
        </w:rPr>
        <w:t xml:space="preserve">motility may also play a role both through disruption of the myenteric plexus by fibrosis and increased endogenous opioids </w:t>
      </w:r>
      <w:r w:rsidR="00676E01" w:rsidRPr="00F532B5">
        <w:rPr>
          <w:rFonts w:ascii="Book Antiqua" w:hAnsi="Book Antiqua"/>
          <w:color w:val="auto"/>
          <w:sz w:val="24"/>
          <w:szCs w:val="24"/>
        </w:rPr>
        <w:t>from activated lymphocytes</w:t>
      </w:r>
      <w:r w:rsidR="0058181C" w:rsidRPr="00F532B5">
        <w:rPr>
          <w:rFonts w:ascii="Book Antiqua" w:hAnsi="Book Antiqua"/>
          <w:color w:val="auto"/>
          <w:sz w:val="24"/>
          <w:szCs w:val="24"/>
        </w:rPr>
        <w:t xml:space="preserve"> inhibit</w:t>
      </w:r>
      <w:r w:rsidR="00841689" w:rsidRPr="00F532B5">
        <w:rPr>
          <w:rFonts w:ascii="Book Antiqua" w:hAnsi="Book Antiqua"/>
          <w:color w:val="auto"/>
          <w:sz w:val="24"/>
          <w:szCs w:val="24"/>
        </w:rPr>
        <w:t>ing</w:t>
      </w:r>
      <w:r w:rsidR="00EE76F0" w:rsidRPr="00F532B5">
        <w:rPr>
          <w:rFonts w:ascii="Book Antiqua" w:hAnsi="Book Antiqua"/>
          <w:color w:val="auto"/>
          <w:sz w:val="24"/>
          <w:szCs w:val="24"/>
        </w:rPr>
        <w:t xml:space="preserve"> </w:t>
      </w:r>
      <w:r w:rsidR="0058181C" w:rsidRPr="00F532B5">
        <w:rPr>
          <w:rFonts w:ascii="Book Antiqua" w:hAnsi="Book Antiqua"/>
          <w:color w:val="auto"/>
          <w:sz w:val="24"/>
          <w:szCs w:val="24"/>
        </w:rPr>
        <w:t xml:space="preserve">both propulsive motor and secretory activity in the </w:t>
      </w:r>
      <w:r w:rsidR="00C52E5A" w:rsidRPr="00F532B5">
        <w:rPr>
          <w:rFonts w:ascii="Book Antiqua" w:hAnsi="Book Antiqua"/>
          <w:color w:val="auto"/>
          <w:sz w:val="24"/>
          <w:szCs w:val="24"/>
        </w:rPr>
        <w:t>gut</w:t>
      </w:r>
      <w:r w:rsidR="00834471" w:rsidRPr="00F532B5">
        <w:rPr>
          <w:rFonts w:ascii="Book Antiqua" w:hAnsi="Book Antiqua"/>
          <w:color w:val="auto"/>
          <w:sz w:val="24"/>
          <w:szCs w:val="24"/>
          <w:vertAlign w:val="superscript"/>
        </w:rPr>
        <w:t>[</w:t>
      </w:r>
      <w:r w:rsidR="00841689" w:rsidRPr="00F532B5">
        <w:rPr>
          <w:rFonts w:ascii="Book Antiqua" w:hAnsi="Book Antiqua"/>
          <w:color w:val="auto"/>
          <w:sz w:val="24"/>
          <w:szCs w:val="24"/>
          <w:vertAlign w:val="superscript"/>
        </w:rPr>
        <w:t>66,</w:t>
      </w:r>
      <w:r w:rsidR="005510B1"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"10.2165/00003495-200363070-00003", "ISBN" : "0012-6667 (Print)\\r0012-6667 (Linking)", "ISSN" : "00126667", "PMID" : "12656645", "abstract" : "Opioid treatment for postoperative or chronic pain is frequently associated with adverse effects, the most common being dose-limiting and debilitating bowel dysfunction. Postoperative ileus, although attributable to surgical procedures, is often exacerbated by opioid use during and following surgery. Postoperative ileus is marked by increased inhibitory neural input, heightened inflammatory responses, decreased propulsive movements and increased fluid absorption in the gastrointestinal tract. The use of opioids for chronic pain is characterised by a constellation of symptoms including hard dry stools, straining, incomplete evacuation, bloating, abdominal distension and increased gastroesophageal reflux. The current management of opioid-induced bowel dysfunction among patients receiving opioid analgesics consists primarily of nonspecific ameliorative measures. Intensive investigations into the mode of action of opioids have characterised three opioid receptor classes -mu, delta and kappa- that mediate the myriad of peripheral and central actions of opioids. Activation of mu-opioid receptors in the gastrointestinal tract is responsible for inhibition of gut motility, whereas receptors in the central nervous system mediate the analgesic actions of opioids. Blocking peripheral opioid receptors in the gut is therefore a logical therapeutic target for managing opioid-induced bowel dysfunction. Available opioid antagonists such as naloxone are of limited use because they are readily absorbed, cross the blood-brain barrier, and act at central opioid receptors to reverse analgesia and elicit opioid withdrawal. Methylnaltrexone and alvimopan are recently developed opioid antagonists with activity that is restricted to peripheral receptors. Both have recently shown the ability to reverse opioid-induced bowel dysfunction without reversing analgesia or precipitating central nervous system withdrawal signs in non-surgical patients receiving opioids for chronic pain. In addition, recent clinical studies with alvimopan suggest that it may normalise bowel function without blocking opioid analgesia in abdominal laparotomy patients with opioid-related postoperative ileus.", "author" : [ { "dropping-particle" : "", "family" : "Kurz", "given" : "Andrea", "non-dropping-particle" : "", "parse-names" : false, "suffix" : "" }, { "dropping-particle" : "", "family" : "Sessler", "given" : "Daniel I.", "non-dropping-particle" : "", "parse-names" : false, "suffix" : "" } ], "container-title" : "Drugs", "id" : "ITEM-1", "issue" : "7", "issued" : { "date-parts" : [ [ "2003" ] ] }, "page" : "649-671", "title" : "Opioid-induced bowel dysfunction: Pathophysiology and potential new therapies", "type" : "article-journal", "volume" : "63" }, "uris" : [ "http://www.mendeley.com/documents/?uuid=918cf1e9-1f68-4eb5-9e76-1043da7762a6" ] }, { "id" : "ITEM-2", "itemData" : { "DOI" : "10.1007/s11938-008-0002-1", "ISBN" : "1189401303442", "ISSN" : "10928472", "PMID" : "17981003", "abstract" : "Opioid-induced bowel dysfunction is a distressing condition that may persist indefinitely in the clinical setting. As we understand more about normal gastrointestinal (GI) physiology, we are also beginning to understand more fully how opioids cause bowel dysfunction. Current therapeutic interventions for opioid-induced bowel dysfunction can be burdensome and sometimes lack efficacy. Systemic opioid antagonists administered orally can induce laxation, but can unpredictably induce systemic or local GI tract withdrawal symptoms. Two new investigational agents, alvimopan and methylnaltrexone, are peripherally acting opioid antagonists that do not cross the blood-brain barrier. Studies to date show promise that these agents may relieve opioid-induced bowel dysfunction in a well-tolerated manner without reversing central analgesia. ?? 2008 U.S. Cancer Pain Relief Committee.", "author" : [ { "dropping-particle" : "", "family" : "Ketwaroo", "given" : "Gyanprakash A.", "non-dropping-particle" : "", "parse-names" : false, "suffix" : "" }, { "dropping-particle" : "", "family" : "Cheng", "given" : "Vivian", "non-dropping-particle" : "", "parse-names" : false, "suffix" : "" }, { "dropping-particle" : "", "family" : "Lembo", "given" : "Anthony J.", "non-dropping-particle" : "", "parse-names" : false, "suffix" : "" } ], "container-title" : "Current Gastroenterology Reports", "id" : "ITEM-2", "issued" : { "date-parts" : [ [ "2013" ] ] }, "page" : "344", "title" : "Opioid-induced bowel dysfunction", "type" : "article-journal", "volume" : "15" }, "uris" : [ "http://www.mendeley.com/documents/?uuid=2f1f5f61-723e-4203-baff-dd2223c740d7" ] } ], "mendeley" : { "formattedCitation" : "&lt;sup&gt;[91,92]&lt;/sup&gt;", "plainTextFormattedCitation" : "[91,92]", "previouslyFormattedCitation" : "&lt;sup&gt;[91,92]&lt;/sup&gt;" }, "properties" : { "noteIndex" : 0 }, "schema" : "https://github.com/citation-style-language/schema/raw/master/csl-citation.json" }</w:instrText>
      </w:r>
      <w:r w:rsidR="005510B1"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9</w:t>
      </w:r>
      <w:r w:rsidR="00143607">
        <w:rPr>
          <w:rFonts w:ascii="Book Antiqua" w:hAnsi="Book Antiqua" w:hint="eastAsia"/>
          <w:noProof/>
          <w:color w:val="auto"/>
          <w:sz w:val="24"/>
          <w:szCs w:val="24"/>
          <w:vertAlign w:val="superscript"/>
          <w:lang w:eastAsia="zh-CN"/>
        </w:rPr>
        <w:t>0</w:t>
      </w:r>
      <w:r w:rsidR="00525A55" w:rsidRPr="00F532B5">
        <w:rPr>
          <w:rFonts w:ascii="Book Antiqua" w:hAnsi="Book Antiqua"/>
          <w:noProof/>
          <w:color w:val="auto"/>
          <w:sz w:val="24"/>
          <w:szCs w:val="24"/>
          <w:vertAlign w:val="superscript"/>
        </w:rPr>
        <w:t>,9</w:t>
      </w:r>
      <w:r w:rsidR="00143607">
        <w:rPr>
          <w:rFonts w:ascii="Book Antiqua" w:hAnsi="Book Antiqua" w:hint="eastAsia"/>
          <w:noProof/>
          <w:color w:val="auto"/>
          <w:sz w:val="24"/>
          <w:szCs w:val="24"/>
          <w:vertAlign w:val="superscript"/>
          <w:lang w:eastAsia="zh-CN"/>
        </w:rPr>
        <w:t>1</w:t>
      </w:r>
      <w:r w:rsidR="00525A55" w:rsidRPr="00F532B5">
        <w:rPr>
          <w:rFonts w:ascii="Book Antiqua" w:hAnsi="Book Antiqua"/>
          <w:noProof/>
          <w:color w:val="auto"/>
          <w:sz w:val="24"/>
          <w:szCs w:val="24"/>
          <w:vertAlign w:val="superscript"/>
        </w:rPr>
        <w:t>]</w:t>
      </w:r>
      <w:r w:rsidR="005510B1" w:rsidRPr="00F532B5">
        <w:rPr>
          <w:rFonts w:ascii="Book Antiqua" w:hAnsi="Book Antiqua"/>
          <w:color w:val="auto"/>
          <w:sz w:val="24"/>
          <w:szCs w:val="24"/>
        </w:rPr>
        <w:fldChar w:fldCharType="end"/>
      </w:r>
      <w:r w:rsidR="00834471" w:rsidRPr="00F532B5">
        <w:rPr>
          <w:rFonts w:ascii="Book Antiqua" w:hAnsi="Book Antiqua"/>
          <w:color w:val="auto"/>
          <w:sz w:val="24"/>
          <w:szCs w:val="24"/>
        </w:rPr>
        <w:t>.</w:t>
      </w:r>
      <w:r w:rsidR="006D7818">
        <w:rPr>
          <w:rFonts w:ascii="Book Antiqua" w:hAnsi="Book Antiqua"/>
          <w:color w:val="auto"/>
          <w:sz w:val="24"/>
          <w:szCs w:val="24"/>
        </w:rPr>
        <w:t xml:space="preserve"> </w:t>
      </w:r>
      <w:r w:rsidR="00B57CBC" w:rsidRPr="00F532B5">
        <w:rPr>
          <w:rFonts w:ascii="Book Antiqua" w:hAnsi="Book Antiqua"/>
          <w:color w:val="auto"/>
          <w:sz w:val="24"/>
          <w:szCs w:val="24"/>
        </w:rPr>
        <w:t xml:space="preserve">Successful use of methylnaltrexone to combat inflammation-associated dysmotility has been described in </w:t>
      </w:r>
      <w:r w:rsidR="00B57CBC" w:rsidRPr="00F532B5">
        <w:rPr>
          <w:rFonts w:ascii="Book Antiqua" w:hAnsi="Book Antiqua"/>
          <w:color w:val="auto"/>
          <w:sz w:val="24"/>
          <w:szCs w:val="24"/>
        </w:rPr>
        <w:lastRenderedPageBreak/>
        <w:t>anti-Hu-associated intestinal pseudo-obstruction</w:t>
      </w:r>
      <w:r w:rsidR="00803245"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"ISBN" : "1554-7914", "ISSN" : "1554-7914", "author" : [ { "dropping-particle" : "", "family" : "Zhang", "given" : "C", "non-dropping-particle" : "", "parse-names" : false, "suffix" : "" }, { "dropping-particle" : "", "family" : "Patel", "given" : "NJ", "non-dropping-particle" : "", "parse-names" : false, "suffix" : "" }, { "dropping-particle" : "", "family" : "Jacobs", "given" : "WC", "non-dropping-particle" : "", "parse-names" : false, "suffix" : "" }, { "dropping-particle" : "", "family" : "Ullman", "given" : "S", "non-dropping-particle" : "", "parse-names" : false, "suffix" : "" }, { "dropping-particle" : "", "family" : "Berzin", "given" : "TM", "non-dropping-particle" : "", "parse-names" : false, "suffix" : "" }, { "dropping-particle" : "", "family" : "R", "given" : "Chuttani.", "non-dropping-particle" : "", "parse-names" : false, "suffix" : "" }, { "dropping-particle" : "", "family" : "Lembo", "given" : "AJ", "non-dropping-particle" : "", "parse-names" : false, "suffix" : "" }, { "dropping-particle" : "", "family" : "Wolf", "given" : "JL", "non-dropping-particle" : "", "parse-names" : false, "suffix" : "" } ], "container-title" : "Gastroenterology and Hepatology", "id" : "ITEM-1", "issue" : "1", "issued" : { "date-parts" : [ [ "2013" ] ] }, "page" : "48-53", "title" : "Successful treatment with methylnaltrexone and IVIG for paraneoplastic syndrome- Associated intestinal pseudo-obstruction", "type" : "article-journal", "volume" : "9" }, "uris" : [ "http://www.mendeley.com/documents/?uuid=937efe6d-3f33-463f-9b7b-827331496d65" ] } ], "mendeley" : { "formattedCitation" : "&lt;sup&gt;[93]&lt;/sup&gt;", "plainTextFormattedCitation" : "[93]", "previouslyFormattedCitation" : "&lt;sup&gt;[93]&lt;/sup&gt;" }, "properties" : { "noteIndex" : 0 }, "schema" : "https://github.com/citation-style-language/schema/raw/master/csl-citation.json" }</w:instrText>
      </w:r>
      <w:r w:rsidR="00803245"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[9</w:t>
      </w:r>
      <w:r w:rsidR="00143607">
        <w:rPr>
          <w:rFonts w:ascii="Book Antiqua" w:hAnsi="Book Antiqua" w:hint="eastAsia"/>
          <w:noProof/>
          <w:color w:val="auto"/>
          <w:sz w:val="24"/>
          <w:szCs w:val="24"/>
          <w:vertAlign w:val="superscript"/>
          <w:lang w:eastAsia="zh-CN"/>
        </w:rPr>
        <w:t>2</w:t>
      </w:r>
      <w:r w:rsidR="00525A55" w:rsidRPr="00F532B5">
        <w:rPr>
          <w:rFonts w:ascii="Book Antiqua" w:hAnsi="Book Antiqua"/>
          <w:noProof/>
          <w:color w:val="auto"/>
          <w:sz w:val="24"/>
          <w:szCs w:val="24"/>
          <w:vertAlign w:val="superscript"/>
        </w:rPr>
        <w:t>]</w:t>
      </w:r>
      <w:r w:rsidR="00803245" w:rsidRPr="00F532B5">
        <w:rPr>
          <w:rFonts w:ascii="Book Antiqua" w:hAnsi="Book Antiqua"/>
          <w:color w:val="auto"/>
          <w:sz w:val="24"/>
          <w:szCs w:val="24"/>
        </w:rPr>
        <w:fldChar w:fldCharType="end"/>
      </w:r>
      <w:r w:rsidR="00B57CBC" w:rsidRPr="00F532B5">
        <w:rPr>
          <w:rFonts w:ascii="Book Antiqua" w:hAnsi="Book Antiqua"/>
          <w:color w:val="auto"/>
          <w:sz w:val="24"/>
          <w:szCs w:val="24"/>
        </w:rPr>
        <w:t>.</w:t>
      </w:r>
      <w:r w:rsidR="006D7818">
        <w:rPr>
          <w:rFonts w:ascii="Book Antiqua" w:hAnsi="Book Antiqua"/>
          <w:color w:val="auto"/>
          <w:sz w:val="24"/>
          <w:szCs w:val="24"/>
        </w:rPr>
        <w:t xml:space="preserve"> </w:t>
      </w:r>
      <w:r w:rsidR="00B57CBC" w:rsidRPr="00F532B5">
        <w:rPr>
          <w:rFonts w:ascii="Book Antiqua" w:hAnsi="Book Antiqua"/>
          <w:color w:val="auto"/>
          <w:sz w:val="24"/>
          <w:szCs w:val="24"/>
        </w:rPr>
        <w:t xml:space="preserve">We suggest use of </w:t>
      </w:r>
      <w:r w:rsidR="00161446" w:rsidRPr="00F532B5">
        <w:rPr>
          <w:rFonts w:ascii="Book Antiqua" w:hAnsi="Book Antiqua"/>
          <w:color w:val="auto"/>
          <w:sz w:val="24"/>
          <w:szCs w:val="24"/>
        </w:rPr>
        <w:t>a μ-opioid antagonist and a guanylate cyclase C agonist</w:t>
      </w:r>
      <w:r w:rsidR="00B57CBC" w:rsidRPr="00F532B5">
        <w:rPr>
          <w:rFonts w:ascii="Book Antiqua" w:hAnsi="Book Antiqua"/>
          <w:color w:val="auto"/>
          <w:sz w:val="24"/>
          <w:szCs w:val="24"/>
        </w:rPr>
        <w:t xml:space="preserve"> in patients who remain symptomatic, but have already been started on appropriate anti-fibrotic therapy</w:t>
      </w:r>
      <w:r w:rsidR="00165428">
        <w:rPr>
          <w:rFonts w:ascii="Book Antiqua" w:hAnsi="Book Antiqua" w:hint="eastAsia"/>
          <w:color w:val="auto"/>
          <w:sz w:val="24"/>
          <w:szCs w:val="24"/>
          <w:lang w:eastAsia="zh-CN"/>
        </w:rPr>
        <w:t xml:space="preserve"> (</w:t>
      </w:r>
      <w:r w:rsidR="00165428" w:rsidRPr="00165428">
        <w:rPr>
          <w:rFonts w:ascii="Book Antiqua" w:hAnsi="Book Antiqua" w:hint="eastAsia"/>
          <w:caps/>
          <w:color w:val="auto"/>
          <w:sz w:val="24"/>
          <w:szCs w:val="24"/>
          <w:lang w:eastAsia="zh-CN"/>
        </w:rPr>
        <w:t>f</w:t>
      </w:r>
      <w:r w:rsidR="00165428">
        <w:rPr>
          <w:rFonts w:ascii="Book Antiqua" w:hAnsi="Book Antiqua" w:hint="eastAsia"/>
          <w:color w:val="auto"/>
          <w:sz w:val="24"/>
          <w:szCs w:val="24"/>
          <w:lang w:eastAsia="zh-CN"/>
        </w:rPr>
        <w:t>igure 3)</w:t>
      </w:r>
      <w:r w:rsidR="00161446" w:rsidRPr="00F532B5">
        <w:rPr>
          <w:rFonts w:ascii="Book Antiqua" w:hAnsi="Book Antiqua"/>
          <w:color w:val="auto"/>
          <w:sz w:val="24"/>
          <w:szCs w:val="24"/>
        </w:rPr>
        <w:t>.</w:t>
      </w:r>
      <w:r w:rsidR="00A4326A" w:rsidRPr="00F532B5">
        <w:rPr>
          <w:rFonts w:ascii="Book Antiqua" w:hAnsi="Book Antiqua"/>
          <w:color w:val="auto"/>
          <w:sz w:val="24"/>
          <w:szCs w:val="24"/>
        </w:rPr>
        <w:t xml:space="preserve"> </w:t>
      </w:r>
    </w:p>
    <w:p w14:paraId="284310BD" w14:textId="77777777" w:rsidR="00EF6237" w:rsidRPr="00F532B5" w:rsidRDefault="00EF6237" w:rsidP="00D92508">
      <w:pPr>
        <w:snapToGrid w:val="0"/>
        <w:spacing w:line="360" w:lineRule="auto"/>
        <w:jc w:val="both"/>
        <w:rPr>
          <w:rFonts w:ascii="Book Antiqua" w:hAnsi="Book Antiqua"/>
          <w:color w:val="auto"/>
          <w:sz w:val="24"/>
          <w:szCs w:val="24"/>
        </w:rPr>
      </w:pPr>
    </w:p>
    <w:p w14:paraId="275C3F54" w14:textId="4150CDCF" w:rsidR="0016371C" w:rsidRPr="00100689" w:rsidRDefault="00EF6237" w:rsidP="00D92508">
      <w:pPr>
        <w:snapToGrid w:val="0"/>
        <w:spacing w:line="360" w:lineRule="auto"/>
        <w:jc w:val="both"/>
        <w:rPr>
          <w:rFonts w:ascii="Book Antiqua" w:hAnsi="Book Antiqua"/>
          <w:b/>
          <w:caps/>
          <w:color w:val="auto"/>
          <w:sz w:val="24"/>
          <w:szCs w:val="24"/>
          <w:lang w:eastAsia="zh-CN"/>
        </w:rPr>
      </w:pPr>
      <w:r w:rsidRPr="00100689">
        <w:rPr>
          <w:rFonts w:ascii="Book Antiqua" w:hAnsi="Book Antiqua"/>
          <w:b/>
          <w:caps/>
          <w:color w:val="auto"/>
          <w:sz w:val="24"/>
          <w:szCs w:val="24"/>
        </w:rPr>
        <w:t>Co</w:t>
      </w:r>
      <w:r w:rsidR="00754926" w:rsidRPr="00100689">
        <w:rPr>
          <w:rFonts w:ascii="Book Antiqua" w:hAnsi="Book Antiqua"/>
          <w:b/>
          <w:caps/>
          <w:color w:val="auto"/>
          <w:sz w:val="24"/>
          <w:szCs w:val="24"/>
        </w:rPr>
        <w:t>nclus</w:t>
      </w:r>
      <w:r w:rsidR="00100689" w:rsidRPr="00100689">
        <w:rPr>
          <w:rFonts w:ascii="Book Antiqua" w:hAnsi="Book Antiqua"/>
          <w:b/>
          <w:caps/>
          <w:color w:val="auto"/>
          <w:sz w:val="24"/>
          <w:szCs w:val="24"/>
        </w:rPr>
        <w:t>ion</w:t>
      </w:r>
    </w:p>
    <w:p w14:paraId="18F63C48" w14:textId="253E6D57" w:rsidR="0016371C" w:rsidRPr="00F532B5" w:rsidRDefault="00754926" w:rsidP="00100689">
      <w:pPr>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Encapsulating peritoneal sclerosis is a rare, but devastating condition associated with high</w:t>
      </w:r>
      <w:r w:rsidR="002220C3" w:rsidRPr="00F532B5">
        <w:rPr>
          <w:rFonts w:ascii="Book Antiqua" w:hAnsi="Book Antiqua"/>
          <w:color w:val="auto"/>
          <w:sz w:val="24"/>
          <w:szCs w:val="24"/>
        </w:rPr>
        <w:t xml:space="preserve"> morbidity and</w:t>
      </w:r>
      <w:r w:rsidRPr="00F532B5">
        <w:rPr>
          <w:rFonts w:ascii="Book Antiqua" w:hAnsi="Book Antiqua"/>
          <w:color w:val="auto"/>
          <w:sz w:val="24"/>
          <w:szCs w:val="24"/>
        </w:rPr>
        <w:t xml:space="preserve"> mortality.</w:t>
      </w:r>
      <w:r w:rsidR="006D7818">
        <w:rPr>
          <w:rFonts w:ascii="Book Antiqua" w:hAnsi="Book Antiqua"/>
          <w:color w:val="auto"/>
          <w:sz w:val="24"/>
          <w:szCs w:val="24"/>
        </w:rPr>
        <w:t xml:space="preserve"> </w:t>
      </w:r>
      <w:r w:rsidRPr="00F532B5">
        <w:rPr>
          <w:rFonts w:ascii="Book Antiqua" w:hAnsi="Book Antiqua"/>
          <w:color w:val="auto"/>
          <w:sz w:val="24"/>
          <w:szCs w:val="24"/>
        </w:rPr>
        <w:t>A high index of suspicion is warranted in patients with unexplained recurrent symptoms of bowel obstruction</w:t>
      </w:r>
      <w:r w:rsidR="004F4A54" w:rsidRPr="00F532B5">
        <w:rPr>
          <w:rFonts w:ascii="Book Antiqua" w:hAnsi="Book Antiqua"/>
          <w:color w:val="auto"/>
          <w:sz w:val="24"/>
          <w:szCs w:val="24"/>
        </w:rPr>
        <w:t>.</w:t>
      </w:r>
      <w:r w:rsidR="006D7818">
        <w:rPr>
          <w:rFonts w:ascii="Book Antiqua" w:hAnsi="Book Antiqua"/>
          <w:color w:val="auto"/>
          <w:sz w:val="24"/>
          <w:szCs w:val="24"/>
        </w:rPr>
        <w:t xml:space="preserve"> </w:t>
      </w:r>
      <w:r w:rsidRPr="00F532B5">
        <w:rPr>
          <w:rFonts w:ascii="Book Antiqua" w:hAnsi="Book Antiqua"/>
          <w:color w:val="auto"/>
          <w:sz w:val="24"/>
          <w:szCs w:val="24"/>
        </w:rPr>
        <w:t>A careful history should be obtained to identify p</w:t>
      </w:r>
      <w:r w:rsidR="00413120" w:rsidRPr="00F532B5">
        <w:rPr>
          <w:rFonts w:ascii="Book Antiqua" w:hAnsi="Book Antiqua"/>
          <w:color w:val="auto"/>
          <w:sz w:val="24"/>
          <w:szCs w:val="24"/>
        </w:rPr>
        <w:t>atients with known risk factors</w:t>
      </w:r>
      <w:r w:rsidR="00EE76F0" w:rsidRPr="00F532B5">
        <w:rPr>
          <w:rFonts w:ascii="Book Antiqua" w:hAnsi="Book Antiqua"/>
          <w:color w:val="auto"/>
          <w:sz w:val="24"/>
          <w:szCs w:val="24"/>
        </w:rPr>
        <w:t>.</w:t>
      </w:r>
      <w:r w:rsidR="006D7818">
        <w:rPr>
          <w:rFonts w:ascii="Book Antiqua" w:hAnsi="Book Antiqua"/>
          <w:color w:val="auto"/>
          <w:sz w:val="24"/>
          <w:szCs w:val="24"/>
        </w:rPr>
        <w:t xml:space="preserve"> </w:t>
      </w:r>
      <w:r w:rsidR="00047179" w:rsidRPr="00F532B5">
        <w:rPr>
          <w:rFonts w:ascii="Book Antiqua" w:hAnsi="Book Antiqua"/>
          <w:color w:val="auto"/>
          <w:sz w:val="24"/>
          <w:szCs w:val="24"/>
        </w:rPr>
        <w:t>EPS can be divided into primary (idiopathic) or secondary.</w:t>
      </w:r>
      <w:r w:rsidR="006D7818">
        <w:rPr>
          <w:rFonts w:ascii="Book Antiqua" w:hAnsi="Book Antiqua"/>
          <w:color w:val="auto"/>
          <w:sz w:val="24"/>
          <w:szCs w:val="24"/>
        </w:rPr>
        <w:t xml:space="preserve"> </w:t>
      </w:r>
      <w:r w:rsidR="00047179" w:rsidRPr="00F532B5">
        <w:rPr>
          <w:rFonts w:ascii="Book Antiqua" w:hAnsi="Book Antiqua"/>
          <w:color w:val="auto"/>
          <w:sz w:val="24"/>
          <w:szCs w:val="24"/>
        </w:rPr>
        <w:t>Implicated triggers may include medications, infections, chronic mechanical or chemical irritation, especially in patients on peritoneal dialysis, or in various other chronic, inflammatory diseases (cirrhosis, hi</w:t>
      </w:r>
      <w:r w:rsidR="00980BB4" w:rsidRPr="00F532B5">
        <w:rPr>
          <w:rFonts w:ascii="Book Antiqua" w:hAnsi="Book Antiqua"/>
          <w:color w:val="auto"/>
          <w:sz w:val="24"/>
          <w:szCs w:val="24"/>
        </w:rPr>
        <w:t>story of organ transplant, gyne</w:t>
      </w:r>
      <w:r w:rsidR="00047179" w:rsidRPr="00F532B5">
        <w:rPr>
          <w:rFonts w:ascii="Book Antiqua" w:hAnsi="Book Antiqua"/>
          <w:color w:val="auto"/>
          <w:sz w:val="24"/>
          <w:szCs w:val="24"/>
        </w:rPr>
        <w:t>cologic or rheumatologic conditions).</w:t>
      </w:r>
      <w:r w:rsidR="006D7818">
        <w:rPr>
          <w:rFonts w:ascii="Book Antiqua" w:hAnsi="Book Antiqua"/>
          <w:color w:val="auto"/>
          <w:sz w:val="24"/>
          <w:szCs w:val="24"/>
        </w:rPr>
        <w:t xml:space="preserve"> </w:t>
      </w:r>
      <w:r w:rsidR="00047179" w:rsidRPr="00F532B5">
        <w:rPr>
          <w:rFonts w:ascii="Book Antiqua" w:hAnsi="Book Antiqua"/>
          <w:color w:val="auto"/>
          <w:sz w:val="24"/>
          <w:szCs w:val="24"/>
        </w:rPr>
        <w:t xml:space="preserve">Diagnosis is clinical, and can be confirmed by </w:t>
      </w:r>
      <w:r w:rsidR="008D508F" w:rsidRPr="00F532B5">
        <w:rPr>
          <w:rFonts w:ascii="Book Antiqua" w:hAnsi="Book Antiqua"/>
          <w:color w:val="auto"/>
          <w:sz w:val="24"/>
          <w:szCs w:val="24"/>
        </w:rPr>
        <w:t xml:space="preserve">x-ray or </w:t>
      </w:r>
      <w:r w:rsidR="00047179" w:rsidRPr="00F532B5">
        <w:rPr>
          <w:rFonts w:ascii="Book Antiqua" w:hAnsi="Book Antiqua"/>
          <w:color w:val="auto"/>
          <w:sz w:val="24"/>
          <w:szCs w:val="24"/>
        </w:rPr>
        <w:t>laparotomy.</w:t>
      </w:r>
      <w:r w:rsidR="006D7818">
        <w:rPr>
          <w:rFonts w:ascii="Book Antiqua" w:hAnsi="Book Antiqua"/>
          <w:color w:val="auto"/>
          <w:sz w:val="24"/>
          <w:szCs w:val="24"/>
        </w:rPr>
        <w:t xml:space="preserve"> </w:t>
      </w:r>
      <w:r w:rsidRPr="00F532B5">
        <w:rPr>
          <w:rFonts w:ascii="Book Antiqua" w:hAnsi="Book Antiqua"/>
          <w:color w:val="auto"/>
          <w:sz w:val="24"/>
          <w:szCs w:val="24"/>
        </w:rPr>
        <w:t>Treatment should be directed at the underlying condition, optimizing nutrition, and cor</w:t>
      </w:r>
      <w:r w:rsidR="00047179" w:rsidRPr="00F532B5">
        <w:rPr>
          <w:rFonts w:ascii="Book Antiqua" w:hAnsi="Book Antiqua"/>
          <w:color w:val="auto"/>
          <w:sz w:val="24"/>
          <w:szCs w:val="24"/>
        </w:rPr>
        <w:t>ticosteroids or tamoxifen alone—</w:t>
      </w:r>
      <w:r w:rsidRPr="00F532B5">
        <w:rPr>
          <w:rFonts w:ascii="Book Antiqua" w:hAnsi="Book Antiqua"/>
          <w:color w:val="auto"/>
          <w:sz w:val="24"/>
          <w:szCs w:val="24"/>
        </w:rPr>
        <w:t>or in combination</w:t>
      </w:r>
      <w:r w:rsidR="00047179" w:rsidRPr="00F532B5">
        <w:rPr>
          <w:rFonts w:ascii="Book Antiqua" w:hAnsi="Book Antiqua"/>
          <w:color w:val="auto"/>
          <w:sz w:val="24"/>
          <w:szCs w:val="24"/>
        </w:rPr>
        <w:t>—</w:t>
      </w:r>
      <w:r w:rsidRPr="00F532B5">
        <w:rPr>
          <w:rFonts w:ascii="Book Antiqua" w:hAnsi="Book Antiqua"/>
          <w:color w:val="auto"/>
          <w:sz w:val="24"/>
          <w:szCs w:val="24"/>
        </w:rPr>
        <w:t>depending on disease state and contraindications.</w:t>
      </w:r>
      <w:r w:rsidR="006D7818">
        <w:rPr>
          <w:rFonts w:ascii="Book Antiqua" w:hAnsi="Book Antiqua"/>
          <w:color w:val="auto"/>
          <w:sz w:val="24"/>
          <w:szCs w:val="24"/>
        </w:rPr>
        <w:t xml:space="preserve"> </w:t>
      </w:r>
      <w:r w:rsidRPr="00F532B5">
        <w:rPr>
          <w:rFonts w:ascii="Book Antiqua" w:hAnsi="Book Antiqua"/>
          <w:color w:val="auto"/>
          <w:sz w:val="24"/>
          <w:szCs w:val="24"/>
        </w:rPr>
        <w:t>In patients who have failed conservative medical therapy, surgical enterolysis should be considered.</w:t>
      </w:r>
      <w:r w:rsidR="006D7818">
        <w:rPr>
          <w:rFonts w:ascii="Book Antiqua" w:hAnsi="Book Antiqua"/>
          <w:color w:val="auto"/>
          <w:sz w:val="24"/>
          <w:szCs w:val="24"/>
        </w:rPr>
        <w:t xml:space="preserve"> </w:t>
      </w:r>
    </w:p>
    <w:p w14:paraId="15F3C800" w14:textId="72BBE170" w:rsidR="0016371C" w:rsidRPr="00F532B5" w:rsidRDefault="00754926" w:rsidP="008D3163">
      <w:pPr>
        <w:snapToGrid w:val="0"/>
        <w:spacing w:line="360" w:lineRule="auto"/>
        <w:ind w:firstLineChars="100" w:firstLine="240"/>
        <w:jc w:val="both"/>
        <w:rPr>
          <w:rFonts w:ascii="Book Antiqua" w:hAnsi="Book Antiqua"/>
          <w:color w:val="auto"/>
          <w:sz w:val="24"/>
          <w:szCs w:val="24"/>
        </w:rPr>
      </w:pPr>
      <w:r w:rsidRPr="00F532B5">
        <w:rPr>
          <w:rFonts w:ascii="Book Antiqua" w:hAnsi="Book Antiqua"/>
          <w:color w:val="auto"/>
          <w:sz w:val="24"/>
          <w:szCs w:val="24"/>
        </w:rPr>
        <w:t>Prior studies have been limited by inconsistent definitions and staging of EPS</w:t>
      </w:r>
      <w:r w:rsidR="004F4A54" w:rsidRPr="00F532B5">
        <w:rPr>
          <w:rFonts w:ascii="Book Antiqua" w:hAnsi="Book Antiqua"/>
          <w:color w:val="auto"/>
          <w:sz w:val="24"/>
          <w:szCs w:val="24"/>
        </w:rPr>
        <w:t>,</w:t>
      </w:r>
      <w:r w:rsidRPr="00F532B5">
        <w:rPr>
          <w:rFonts w:ascii="Book Antiqua" w:hAnsi="Book Antiqua"/>
          <w:color w:val="auto"/>
          <w:sz w:val="24"/>
          <w:szCs w:val="24"/>
        </w:rPr>
        <w:t xml:space="preserve"> and all treatment studies have been </w:t>
      </w:r>
      <w:r w:rsidR="00234858" w:rsidRPr="00F532B5">
        <w:rPr>
          <w:rFonts w:ascii="Book Antiqua" w:hAnsi="Book Antiqua"/>
          <w:color w:val="auto"/>
          <w:sz w:val="24"/>
          <w:szCs w:val="24"/>
        </w:rPr>
        <w:t xml:space="preserve">observational </w:t>
      </w:r>
      <w:r w:rsidRPr="00F532B5">
        <w:rPr>
          <w:rFonts w:ascii="Book Antiqua" w:hAnsi="Book Antiqua"/>
          <w:color w:val="auto"/>
          <w:sz w:val="24"/>
          <w:szCs w:val="24"/>
        </w:rPr>
        <w:t>with variable dos</w:t>
      </w:r>
      <w:r w:rsidR="004F4A54" w:rsidRPr="00F532B5">
        <w:rPr>
          <w:rFonts w:ascii="Book Antiqua" w:hAnsi="Book Antiqua"/>
          <w:color w:val="auto"/>
          <w:sz w:val="24"/>
          <w:szCs w:val="24"/>
        </w:rPr>
        <w:t>age</w:t>
      </w:r>
      <w:r w:rsidR="00234858" w:rsidRPr="00F532B5">
        <w:rPr>
          <w:rFonts w:ascii="Book Antiqua" w:hAnsi="Book Antiqua"/>
          <w:color w:val="auto"/>
          <w:sz w:val="24"/>
          <w:szCs w:val="24"/>
        </w:rPr>
        <w:t>, duration of treatment, and outcomes.</w:t>
      </w:r>
      <w:r w:rsidR="006D7818">
        <w:rPr>
          <w:rFonts w:ascii="Book Antiqua" w:hAnsi="Book Antiqua"/>
          <w:color w:val="auto"/>
          <w:sz w:val="24"/>
          <w:szCs w:val="24"/>
        </w:rPr>
        <w:t xml:space="preserve"> </w:t>
      </w:r>
      <w:r w:rsidRPr="00F532B5">
        <w:rPr>
          <w:rFonts w:ascii="Book Antiqua" w:hAnsi="Book Antiqua"/>
          <w:color w:val="auto"/>
          <w:sz w:val="24"/>
          <w:szCs w:val="24"/>
        </w:rPr>
        <w:t>Since</w:t>
      </w:r>
      <w:r w:rsidR="004F4A54" w:rsidRPr="00F532B5">
        <w:rPr>
          <w:rFonts w:ascii="Book Antiqua" w:hAnsi="Book Antiqua"/>
          <w:color w:val="auto"/>
          <w:sz w:val="24"/>
          <w:szCs w:val="24"/>
        </w:rPr>
        <w:t xml:space="preserve"> </w:t>
      </w:r>
      <w:r w:rsidRPr="00F532B5">
        <w:rPr>
          <w:rFonts w:ascii="Book Antiqua" w:hAnsi="Book Antiqua"/>
          <w:color w:val="auto"/>
          <w:sz w:val="24"/>
          <w:szCs w:val="24"/>
        </w:rPr>
        <w:t>treatment may vary b</w:t>
      </w:r>
      <w:r w:rsidR="002220C3" w:rsidRPr="00F532B5">
        <w:rPr>
          <w:rFonts w:ascii="Book Antiqua" w:hAnsi="Book Antiqua"/>
          <w:color w:val="auto"/>
          <w:sz w:val="24"/>
          <w:szCs w:val="24"/>
        </w:rPr>
        <w:t>ased on disease stage</w:t>
      </w:r>
      <w:r w:rsidRPr="00F532B5">
        <w:rPr>
          <w:rFonts w:ascii="Book Antiqua" w:hAnsi="Book Antiqua"/>
          <w:color w:val="auto"/>
          <w:sz w:val="24"/>
          <w:szCs w:val="24"/>
        </w:rPr>
        <w:t>, future studies should appropriately document disease stage when assessing treatment. Long-term longitudinal data from past case series may shed</w:t>
      </w:r>
      <w:r w:rsidR="00047179" w:rsidRPr="00F532B5">
        <w:rPr>
          <w:rFonts w:ascii="Book Antiqua" w:hAnsi="Book Antiqua"/>
          <w:color w:val="auto"/>
          <w:sz w:val="24"/>
          <w:szCs w:val="24"/>
        </w:rPr>
        <w:t xml:space="preserve"> </w:t>
      </w:r>
      <w:r w:rsidRPr="00F532B5">
        <w:rPr>
          <w:rFonts w:ascii="Book Antiqua" w:hAnsi="Book Antiqua"/>
          <w:color w:val="auto"/>
          <w:sz w:val="24"/>
          <w:szCs w:val="24"/>
        </w:rPr>
        <w:t>more light on the natural history of EPS and mortality benefits of certain treatments.</w:t>
      </w:r>
      <w:r w:rsidR="006D7818">
        <w:rPr>
          <w:rFonts w:ascii="Book Antiqua" w:hAnsi="Book Antiqua"/>
          <w:color w:val="auto"/>
          <w:sz w:val="24"/>
          <w:szCs w:val="24"/>
        </w:rPr>
        <w:t xml:space="preserve"> </w:t>
      </w:r>
      <w:r w:rsidRPr="00F532B5">
        <w:rPr>
          <w:rFonts w:ascii="Book Antiqua" w:hAnsi="Book Antiqua"/>
          <w:color w:val="auto"/>
          <w:sz w:val="24"/>
          <w:szCs w:val="24"/>
        </w:rPr>
        <w:t xml:space="preserve">A gap in knowledge still exists in our understanding of the underlying pathogenesis of EPS and fibrosis, and </w:t>
      </w:r>
      <w:r w:rsidR="004F4A54" w:rsidRPr="00F532B5">
        <w:rPr>
          <w:rFonts w:ascii="Book Antiqua" w:hAnsi="Book Antiqua"/>
          <w:color w:val="auto"/>
          <w:sz w:val="24"/>
          <w:szCs w:val="24"/>
        </w:rPr>
        <w:t xml:space="preserve">will </w:t>
      </w:r>
      <w:r w:rsidRPr="00F532B5">
        <w:rPr>
          <w:rFonts w:ascii="Book Antiqua" w:hAnsi="Book Antiqua"/>
          <w:color w:val="auto"/>
          <w:sz w:val="24"/>
          <w:szCs w:val="24"/>
        </w:rPr>
        <w:t>need</w:t>
      </w:r>
      <w:r w:rsidR="004F4A54" w:rsidRPr="00F532B5">
        <w:rPr>
          <w:rFonts w:ascii="Book Antiqua" w:hAnsi="Book Antiqua"/>
          <w:color w:val="auto"/>
          <w:sz w:val="24"/>
          <w:szCs w:val="24"/>
        </w:rPr>
        <w:t xml:space="preserve"> </w:t>
      </w:r>
      <w:r w:rsidRPr="00F532B5">
        <w:rPr>
          <w:rFonts w:ascii="Book Antiqua" w:hAnsi="Book Antiqua"/>
          <w:color w:val="auto"/>
          <w:sz w:val="24"/>
          <w:szCs w:val="24"/>
        </w:rPr>
        <w:t xml:space="preserve">to be bridged in order to develop </w:t>
      </w:r>
      <w:r w:rsidR="00EE76F0" w:rsidRPr="00F532B5">
        <w:rPr>
          <w:rFonts w:ascii="Book Antiqua" w:hAnsi="Book Antiqua"/>
          <w:color w:val="auto"/>
          <w:sz w:val="24"/>
          <w:szCs w:val="24"/>
        </w:rPr>
        <w:t xml:space="preserve">effective </w:t>
      </w:r>
      <w:r w:rsidRPr="00F532B5">
        <w:rPr>
          <w:rFonts w:ascii="Book Antiqua" w:hAnsi="Book Antiqua"/>
          <w:color w:val="auto"/>
          <w:sz w:val="24"/>
          <w:szCs w:val="24"/>
        </w:rPr>
        <w:t xml:space="preserve">therapies. </w:t>
      </w:r>
    </w:p>
    <w:p w14:paraId="29574925" w14:textId="05ADE650" w:rsidR="001868EC" w:rsidRPr="00F532B5" w:rsidRDefault="001868EC" w:rsidP="00D92508">
      <w:pPr>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br w:type="page"/>
      </w:r>
    </w:p>
    <w:p w14:paraId="4454DB57" w14:textId="16A3E6B6" w:rsidR="00234858" w:rsidRDefault="00234858" w:rsidP="00D92508">
      <w:pPr>
        <w:snapToGrid w:val="0"/>
        <w:spacing w:line="360" w:lineRule="auto"/>
        <w:jc w:val="both"/>
        <w:rPr>
          <w:rFonts w:ascii="Book Antiqua" w:hAnsi="Book Antiqua"/>
          <w:b/>
          <w:caps/>
          <w:color w:val="auto"/>
          <w:sz w:val="24"/>
          <w:szCs w:val="24"/>
          <w:lang w:eastAsia="zh-CN"/>
        </w:rPr>
      </w:pPr>
      <w:r w:rsidRPr="00F532B5">
        <w:rPr>
          <w:rFonts w:ascii="Book Antiqua" w:hAnsi="Book Antiqua"/>
          <w:b/>
          <w:caps/>
          <w:color w:val="auto"/>
          <w:sz w:val="24"/>
          <w:szCs w:val="24"/>
        </w:rPr>
        <w:lastRenderedPageBreak/>
        <w:t>References</w:t>
      </w:r>
    </w:p>
    <w:p w14:paraId="16BF5979"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1 </w:t>
      </w:r>
      <w:r w:rsidRPr="00A1208A">
        <w:rPr>
          <w:rFonts w:ascii="Book Antiqua" w:hAnsi="Book Antiqua" w:cs="Times New Roman"/>
          <w:b/>
          <w:color w:val="auto"/>
          <w:kern w:val="2"/>
          <w:sz w:val="24"/>
          <w:szCs w:val="24"/>
          <w:lang w:val="en-US" w:eastAsia="zh-CN"/>
        </w:rPr>
        <w:t>Kawaguchi Y</w:t>
      </w:r>
      <w:r w:rsidRPr="00A1208A">
        <w:rPr>
          <w:rFonts w:ascii="Book Antiqua" w:hAnsi="Book Antiqua" w:cs="Times New Roman"/>
          <w:color w:val="auto"/>
          <w:kern w:val="2"/>
          <w:sz w:val="24"/>
          <w:szCs w:val="24"/>
          <w:lang w:val="en-US" w:eastAsia="zh-CN"/>
        </w:rPr>
        <w:t xml:space="preserve">, Kawanishi H, Mujais S, Topley N, Oreopoulos DG. Encapsulating peritoneal sclerosis: definition, etiology, diagnosis, and treatment. International Society for Peritoneal Dialysis Ad Hoc Committee on Ultrafiltration Management in Peritoneal Dialysis. </w:t>
      </w:r>
      <w:r w:rsidRPr="00A1208A">
        <w:rPr>
          <w:rFonts w:ascii="Book Antiqua" w:hAnsi="Book Antiqua" w:cs="Times New Roman"/>
          <w:i/>
          <w:color w:val="auto"/>
          <w:kern w:val="2"/>
          <w:sz w:val="24"/>
          <w:szCs w:val="24"/>
          <w:lang w:val="en-US" w:eastAsia="zh-CN"/>
        </w:rPr>
        <w:t>Perit Dial Int</w:t>
      </w:r>
      <w:r w:rsidRPr="00A1208A">
        <w:rPr>
          <w:rFonts w:ascii="Book Antiqua" w:hAnsi="Book Antiqua" w:cs="Times New Roman"/>
          <w:color w:val="auto"/>
          <w:kern w:val="2"/>
          <w:sz w:val="24"/>
          <w:szCs w:val="24"/>
          <w:lang w:val="en-US" w:eastAsia="zh-CN"/>
        </w:rPr>
        <w:t xml:space="preserve"> 2000; </w:t>
      </w:r>
      <w:r w:rsidRPr="00A1208A">
        <w:rPr>
          <w:rFonts w:ascii="Book Antiqua" w:hAnsi="Book Antiqua" w:cs="Times New Roman"/>
          <w:b/>
          <w:color w:val="auto"/>
          <w:kern w:val="2"/>
          <w:sz w:val="24"/>
          <w:szCs w:val="24"/>
          <w:lang w:val="en-US" w:eastAsia="zh-CN"/>
        </w:rPr>
        <w:t>20 Suppl 4</w:t>
      </w:r>
      <w:r w:rsidRPr="00A1208A">
        <w:rPr>
          <w:rFonts w:ascii="Book Antiqua" w:hAnsi="Book Antiqua" w:cs="Times New Roman"/>
          <w:color w:val="auto"/>
          <w:kern w:val="2"/>
          <w:sz w:val="24"/>
          <w:szCs w:val="24"/>
          <w:lang w:val="en-US" w:eastAsia="zh-CN"/>
        </w:rPr>
        <w:t>: S43-S55 [PMID: 11098928]</w:t>
      </w:r>
    </w:p>
    <w:p w14:paraId="45D830F4"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2</w:t>
      </w:r>
      <w:r w:rsidRPr="00A1208A">
        <w:rPr>
          <w:rFonts w:ascii="Book Antiqua" w:hAnsi="Book Antiqua" w:cs="Times New Roman" w:hint="eastAsia"/>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Owtschinnikow PJ</w:t>
      </w:r>
      <w:r w:rsidRPr="00A1208A">
        <w:rPr>
          <w:rFonts w:ascii="Book Antiqua" w:hAnsi="Book Antiqua" w:cs="Times New Roman"/>
          <w:color w:val="auto"/>
          <w:kern w:val="2"/>
          <w:sz w:val="24"/>
          <w:szCs w:val="24"/>
          <w:lang w:val="en-US" w:eastAsia="zh-CN"/>
        </w:rPr>
        <w:t>.</w:t>
      </w:r>
      <w:r w:rsidRPr="00A1208A">
        <w:rPr>
          <w:rFonts w:ascii="Book Antiqua" w:hAnsi="Book Antiqua" w:cs="Times New Roman" w:hint="eastAsia"/>
          <w:color w:val="auto"/>
          <w:kern w:val="2"/>
          <w:sz w:val="24"/>
          <w:szCs w:val="24"/>
          <w:lang w:val="en-US" w:eastAsia="zh-CN"/>
        </w:rPr>
        <w:t xml:space="preserve"> </w:t>
      </w:r>
      <w:r w:rsidRPr="00A1208A">
        <w:rPr>
          <w:rFonts w:ascii="Book Antiqua" w:hAnsi="Book Antiqua" w:cs="Times New Roman"/>
          <w:color w:val="auto"/>
          <w:kern w:val="2"/>
          <w:sz w:val="24"/>
          <w:szCs w:val="24"/>
          <w:lang w:val="en-US" w:eastAsia="zh-CN"/>
        </w:rPr>
        <w:t xml:space="preserve">Peritonitis chronica fibrosa incapsulata. </w:t>
      </w:r>
      <w:r w:rsidRPr="00A1208A">
        <w:rPr>
          <w:rFonts w:ascii="Book Antiqua" w:hAnsi="Book Antiqua" w:cs="Times New Roman"/>
          <w:i/>
          <w:color w:val="auto"/>
          <w:kern w:val="2"/>
          <w:sz w:val="24"/>
          <w:szCs w:val="24"/>
          <w:lang w:val="en-US" w:eastAsia="zh-CN"/>
        </w:rPr>
        <w:t>Arch für Klin Chir</w:t>
      </w:r>
      <w:r w:rsidRPr="00A1208A">
        <w:rPr>
          <w:rFonts w:ascii="Book Antiqua" w:hAnsi="Book Antiqua" w:cs="Times New Roman"/>
          <w:color w:val="auto"/>
          <w:kern w:val="2"/>
          <w:sz w:val="24"/>
          <w:szCs w:val="24"/>
          <w:lang w:val="en-US" w:eastAsia="zh-CN"/>
        </w:rPr>
        <w:t xml:space="preserve"> 1907;</w:t>
      </w:r>
      <w:r w:rsidRPr="00A1208A">
        <w:rPr>
          <w:rFonts w:ascii="Book Antiqua" w:hAnsi="Book Antiqua" w:cs="Times New Roman" w:hint="eastAsia"/>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83</w:t>
      </w:r>
      <w:r w:rsidRPr="00A1208A">
        <w:rPr>
          <w:rFonts w:ascii="Book Antiqua" w:hAnsi="Book Antiqua" w:cs="Times New Roman"/>
          <w:color w:val="auto"/>
          <w:kern w:val="2"/>
          <w:sz w:val="24"/>
          <w:szCs w:val="24"/>
          <w:lang w:val="en-US" w:eastAsia="zh-CN"/>
        </w:rPr>
        <w:t>:</w:t>
      </w:r>
      <w:r w:rsidRPr="00A1208A">
        <w:rPr>
          <w:rFonts w:ascii="Book Antiqua" w:hAnsi="Book Antiqua" w:cs="Times New Roman" w:hint="eastAsia"/>
          <w:color w:val="auto"/>
          <w:kern w:val="2"/>
          <w:sz w:val="24"/>
          <w:szCs w:val="24"/>
          <w:lang w:val="en-US" w:eastAsia="zh-CN"/>
        </w:rPr>
        <w:t xml:space="preserve"> </w:t>
      </w:r>
      <w:r w:rsidRPr="00A1208A">
        <w:rPr>
          <w:rFonts w:ascii="Book Antiqua" w:hAnsi="Book Antiqua" w:cs="Times New Roman"/>
          <w:color w:val="auto"/>
          <w:kern w:val="2"/>
          <w:sz w:val="24"/>
          <w:szCs w:val="24"/>
          <w:lang w:val="en-US" w:eastAsia="zh-CN"/>
        </w:rPr>
        <w:t>623–</w:t>
      </w:r>
      <w:r w:rsidRPr="00A1208A">
        <w:rPr>
          <w:rFonts w:ascii="Book Antiqua" w:hAnsi="Book Antiqua" w:cs="Times New Roman" w:hint="eastAsia"/>
          <w:color w:val="auto"/>
          <w:kern w:val="2"/>
          <w:sz w:val="24"/>
          <w:szCs w:val="24"/>
          <w:lang w:val="en-US" w:eastAsia="zh-CN"/>
        </w:rPr>
        <w:t>6</w:t>
      </w:r>
      <w:r w:rsidRPr="00A1208A">
        <w:rPr>
          <w:rFonts w:ascii="Book Antiqua" w:hAnsi="Book Antiqua" w:cs="Times New Roman"/>
          <w:color w:val="auto"/>
          <w:kern w:val="2"/>
          <w:sz w:val="24"/>
          <w:szCs w:val="24"/>
          <w:lang w:val="en-US" w:eastAsia="zh-CN"/>
        </w:rPr>
        <w:t>34</w:t>
      </w:r>
    </w:p>
    <w:p w14:paraId="11DACABF"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3 </w:t>
      </w:r>
      <w:r w:rsidRPr="00A1208A">
        <w:rPr>
          <w:rFonts w:ascii="Book Antiqua" w:hAnsi="Book Antiqua" w:cs="Times New Roman"/>
          <w:b/>
          <w:color w:val="auto"/>
          <w:kern w:val="2"/>
          <w:sz w:val="24"/>
          <w:szCs w:val="24"/>
          <w:lang w:val="en-US" w:eastAsia="zh-CN"/>
        </w:rPr>
        <w:t>Casas JD</w:t>
      </w:r>
      <w:r w:rsidRPr="00A1208A">
        <w:rPr>
          <w:rFonts w:ascii="Book Antiqua" w:hAnsi="Book Antiqua" w:cs="Times New Roman"/>
          <w:color w:val="auto"/>
          <w:kern w:val="2"/>
          <w:sz w:val="24"/>
          <w:szCs w:val="24"/>
          <w:lang w:val="en-US" w:eastAsia="zh-CN"/>
        </w:rPr>
        <w:t xml:space="preserve">, Mariscal A, Martínez N. Peritoneal encapsulation: CT appearance. </w:t>
      </w:r>
      <w:r w:rsidRPr="00A1208A">
        <w:rPr>
          <w:rFonts w:ascii="Book Antiqua" w:hAnsi="Book Antiqua" w:cs="Times New Roman"/>
          <w:i/>
          <w:color w:val="auto"/>
          <w:kern w:val="2"/>
          <w:sz w:val="24"/>
          <w:szCs w:val="24"/>
          <w:lang w:val="en-US" w:eastAsia="zh-CN"/>
        </w:rPr>
        <w:t>AJR Am J Roentgenol</w:t>
      </w:r>
      <w:r w:rsidRPr="00A1208A">
        <w:rPr>
          <w:rFonts w:ascii="Book Antiqua" w:hAnsi="Book Antiqua" w:cs="Times New Roman"/>
          <w:color w:val="auto"/>
          <w:kern w:val="2"/>
          <w:sz w:val="24"/>
          <w:szCs w:val="24"/>
          <w:lang w:val="en-US" w:eastAsia="zh-CN"/>
        </w:rPr>
        <w:t xml:space="preserve"> 1998; </w:t>
      </w:r>
      <w:r w:rsidRPr="00A1208A">
        <w:rPr>
          <w:rFonts w:ascii="Book Antiqua" w:hAnsi="Book Antiqua" w:cs="Times New Roman"/>
          <w:b/>
          <w:color w:val="auto"/>
          <w:kern w:val="2"/>
          <w:sz w:val="24"/>
          <w:szCs w:val="24"/>
          <w:lang w:val="en-US" w:eastAsia="zh-CN"/>
        </w:rPr>
        <w:t>171</w:t>
      </w:r>
      <w:r w:rsidRPr="00A1208A">
        <w:rPr>
          <w:rFonts w:ascii="Book Antiqua" w:hAnsi="Book Antiqua" w:cs="Times New Roman"/>
          <w:color w:val="auto"/>
          <w:kern w:val="2"/>
          <w:sz w:val="24"/>
          <w:szCs w:val="24"/>
          <w:lang w:val="en-US" w:eastAsia="zh-CN"/>
        </w:rPr>
        <w:t>: 1017-1019 [PMID: 9762988 DOI: 10.2214/ajr.171.4.9762988]</w:t>
      </w:r>
    </w:p>
    <w:p w14:paraId="11A0CD84"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4 </w:t>
      </w:r>
      <w:r w:rsidRPr="00A1208A">
        <w:rPr>
          <w:rFonts w:ascii="Book Antiqua" w:hAnsi="Book Antiqua" w:cs="Times New Roman"/>
          <w:b/>
          <w:color w:val="auto"/>
          <w:kern w:val="2"/>
          <w:sz w:val="24"/>
          <w:szCs w:val="24"/>
          <w:lang w:val="en-US" w:eastAsia="zh-CN"/>
        </w:rPr>
        <w:t>Li N</w:t>
      </w:r>
      <w:r w:rsidRPr="00A1208A">
        <w:rPr>
          <w:rFonts w:ascii="Book Antiqua" w:hAnsi="Book Antiqua" w:cs="Times New Roman"/>
          <w:color w:val="auto"/>
          <w:kern w:val="2"/>
          <w:sz w:val="24"/>
          <w:szCs w:val="24"/>
          <w:lang w:val="en-US" w:eastAsia="zh-CN"/>
        </w:rPr>
        <w:t xml:space="preserve">, Zhu W, Li Y, Gong J, Gu L, Li M, Cao L, Li J. Surgical treatment and perioperative management of idiopathic abdominal cocoon: single-center review of 65 cases. </w:t>
      </w:r>
      <w:r w:rsidRPr="00A1208A">
        <w:rPr>
          <w:rFonts w:ascii="Book Antiqua" w:hAnsi="Book Antiqua" w:cs="Times New Roman"/>
          <w:i/>
          <w:color w:val="auto"/>
          <w:kern w:val="2"/>
          <w:sz w:val="24"/>
          <w:szCs w:val="24"/>
          <w:lang w:val="en-US" w:eastAsia="zh-CN"/>
        </w:rPr>
        <w:t>World J Surg</w:t>
      </w:r>
      <w:r w:rsidRPr="00A1208A">
        <w:rPr>
          <w:rFonts w:ascii="Book Antiqua" w:hAnsi="Book Antiqua" w:cs="Times New Roman"/>
          <w:color w:val="auto"/>
          <w:kern w:val="2"/>
          <w:sz w:val="24"/>
          <w:szCs w:val="24"/>
          <w:lang w:val="en-US" w:eastAsia="zh-CN"/>
        </w:rPr>
        <w:t xml:space="preserve"> 2014; </w:t>
      </w:r>
      <w:r w:rsidRPr="00A1208A">
        <w:rPr>
          <w:rFonts w:ascii="Book Antiqua" w:hAnsi="Book Antiqua" w:cs="Times New Roman"/>
          <w:b/>
          <w:color w:val="auto"/>
          <w:kern w:val="2"/>
          <w:sz w:val="24"/>
          <w:szCs w:val="24"/>
          <w:lang w:val="en-US" w:eastAsia="zh-CN"/>
        </w:rPr>
        <w:t>38</w:t>
      </w:r>
      <w:r w:rsidRPr="00A1208A">
        <w:rPr>
          <w:rFonts w:ascii="Book Antiqua" w:hAnsi="Book Antiqua" w:cs="Times New Roman"/>
          <w:color w:val="auto"/>
          <w:kern w:val="2"/>
          <w:sz w:val="24"/>
          <w:szCs w:val="24"/>
          <w:lang w:val="en-US" w:eastAsia="zh-CN"/>
        </w:rPr>
        <w:t>: 1860-1867 [PMID: 24519587 DOI: 10.1007/s00268-014-2458-6]</w:t>
      </w:r>
    </w:p>
    <w:p w14:paraId="60F90968"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5 </w:t>
      </w:r>
      <w:r w:rsidRPr="00A1208A">
        <w:rPr>
          <w:rFonts w:ascii="Book Antiqua" w:hAnsi="Book Antiqua" w:cs="Times New Roman"/>
          <w:b/>
          <w:color w:val="auto"/>
          <w:kern w:val="2"/>
          <w:sz w:val="24"/>
          <w:szCs w:val="24"/>
          <w:lang w:val="en-US" w:eastAsia="zh-CN"/>
        </w:rPr>
        <w:t>Akbulut S</w:t>
      </w:r>
      <w:r w:rsidRPr="00A1208A">
        <w:rPr>
          <w:rFonts w:ascii="Book Antiqua" w:hAnsi="Book Antiqua" w:cs="Times New Roman"/>
          <w:color w:val="auto"/>
          <w:kern w:val="2"/>
          <w:sz w:val="24"/>
          <w:szCs w:val="24"/>
          <w:lang w:val="en-US" w:eastAsia="zh-CN"/>
        </w:rPr>
        <w:t xml:space="preserve">. Accurate definition and management of idiopathic sclerosing encapsulating peritonitis. </w:t>
      </w:r>
      <w:r w:rsidRPr="00A1208A">
        <w:rPr>
          <w:rFonts w:ascii="Book Antiqua" w:hAnsi="Book Antiqua" w:cs="Times New Roman"/>
          <w:i/>
          <w:color w:val="auto"/>
          <w:kern w:val="2"/>
          <w:sz w:val="24"/>
          <w:szCs w:val="24"/>
          <w:lang w:val="en-US" w:eastAsia="zh-CN"/>
        </w:rPr>
        <w:t>World J Gastroenterol</w:t>
      </w:r>
      <w:r w:rsidRPr="00A1208A">
        <w:rPr>
          <w:rFonts w:ascii="Book Antiqua" w:hAnsi="Book Antiqua" w:cs="Times New Roman"/>
          <w:color w:val="auto"/>
          <w:kern w:val="2"/>
          <w:sz w:val="24"/>
          <w:szCs w:val="24"/>
          <w:lang w:val="en-US" w:eastAsia="zh-CN"/>
        </w:rPr>
        <w:t xml:space="preserve"> 2015; </w:t>
      </w:r>
      <w:r w:rsidRPr="00A1208A">
        <w:rPr>
          <w:rFonts w:ascii="Book Antiqua" w:hAnsi="Book Antiqua" w:cs="Times New Roman"/>
          <w:b/>
          <w:color w:val="auto"/>
          <w:kern w:val="2"/>
          <w:sz w:val="24"/>
          <w:szCs w:val="24"/>
          <w:lang w:val="en-US" w:eastAsia="zh-CN"/>
        </w:rPr>
        <w:t>21</w:t>
      </w:r>
      <w:r w:rsidRPr="00A1208A">
        <w:rPr>
          <w:rFonts w:ascii="Book Antiqua" w:hAnsi="Book Antiqua" w:cs="Times New Roman"/>
          <w:color w:val="auto"/>
          <w:kern w:val="2"/>
          <w:sz w:val="24"/>
          <w:szCs w:val="24"/>
          <w:lang w:val="en-US" w:eastAsia="zh-CN"/>
        </w:rPr>
        <w:t>: 675-687 [PMID: 25593498 DOI: 10.3748/wjg.v21.i2.675]</w:t>
      </w:r>
    </w:p>
    <w:p w14:paraId="4CEACD6C"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6 </w:t>
      </w:r>
      <w:r w:rsidRPr="00A1208A">
        <w:rPr>
          <w:rFonts w:ascii="Book Antiqua" w:hAnsi="Book Antiqua" w:cs="Times New Roman"/>
          <w:b/>
          <w:color w:val="auto"/>
          <w:kern w:val="2"/>
          <w:sz w:val="24"/>
          <w:szCs w:val="24"/>
          <w:lang w:val="en-US" w:eastAsia="zh-CN"/>
        </w:rPr>
        <w:t>Eltringham WK</w:t>
      </w:r>
      <w:r w:rsidRPr="00A1208A">
        <w:rPr>
          <w:rFonts w:ascii="Book Antiqua" w:hAnsi="Book Antiqua" w:cs="Times New Roman"/>
          <w:color w:val="auto"/>
          <w:kern w:val="2"/>
          <w:sz w:val="24"/>
          <w:szCs w:val="24"/>
          <w:lang w:val="en-US" w:eastAsia="zh-CN"/>
        </w:rPr>
        <w:t xml:space="preserve">, Espiner HJ, Windsor CW, Griffiths DA, Davies JD, Baddeley H, Read AE, Blunt RJ. Sclerosing peritonitis due to practolol: a report on 9 cases and their surgical management. </w:t>
      </w:r>
      <w:r w:rsidRPr="00A1208A">
        <w:rPr>
          <w:rFonts w:ascii="Book Antiqua" w:hAnsi="Book Antiqua" w:cs="Times New Roman"/>
          <w:i/>
          <w:color w:val="auto"/>
          <w:kern w:val="2"/>
          <w:sz w:val="24"/>
          <w:szCs w:val="24"/>
          <w:lang w:val="en-US" w:eastAsia="zh-CN"/>
        </w:rPr>
        <w:t>Br J Surg</w:t>
      </w:r>
      <w:r w:rsidRPr="00A1208A">
        <w:rPr>
          <w:rFonts w:ascii="Book Antiqua" w:hAnsi="Book Antiqua" w:cs="Times New Roman"/>
          <w:color w:val="auto"/>
          <w:kern w:val="2"/>
          <w:sz w:val="24"/>
          <w:szCs w:val="24"/>
          <w:lang w:val="en-US" w:eastAsia="zh-CN"/>
        </w:rPr>
        <w:t xml:space="preserve"> 1977; </w:t>
      </w:r>
      <w:r w:rsidRPr="00A1208A">
        <w:rPr>
          <w:rFonts w:ascii="Book Antiqua" w:hAnsi="Book Antiqua" w:cs="Times New Roman"/>
          <w:b/>
          <w:color w:val="auto"/>
          <w:kern w:val="2"/>
          <w:sz w:val="24"/>
          <w:szCs w:val="24"/>
          <w:lang w:val="en-US" w:eastAsia="zh-CN"/>
        </w:rPr>
        <w:t>64</w:t>
      </w:r>
      <w:r w:rsidRPr="00A1208A">
        <w:rPr>
          <w:rFonts w:ascii="Book Antiqua" w:hAnsi="Book Antiqua" w:cs="Times New Roman"/>
          <w:color w:val="auto"/>
          <w:kern w:val="2"/>
          <w:sz w:val="24"/>
          <w:szCs w:val="24"/>
          <w:lang w:val="en-US" w:eastAsia="zh-CN"/>
        </w:rPr>
        <w:t>: 229-235 [PMID: 856375]</w:t>
      </w:r>
    </w:p>
    <w:p w14:paraId="66D77EA0"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7 </w:t>
      </w:r>
      <w:r w:rsidRPr="00A1208A">
        <w:rPr>
          <w:rFonts w:ascii="Book Antiqua" w:hAnsi="Book Antiqua" w:cs="Times New Roman"/>
          <w:b/>
          <w:color w:val="auto"/>
          <w:kern w:val="2"/>
          <w:sz w:val="24"/>
          <w:szCs w:val="24"/>
          <w:lang w:val="en-US" w:eastAsia="zh-CN"/>
        </w:rPr>
        <w:t>Sarker S</w:t>
      </w:r>
      <w:r w:rsidRPr="00A1208A">
        <w:rPr>
          <w:rFonts w:ascii="Book Antiqua" w:hAnsi="Book Antiqua" w:cs="Times New Roman"/>
          <w:color w:val="auto"/>
          <w:kern w:val="2"/>
          <w:sz w:val="24"/>
          <w:szCs w:val="24"/>
          <w:lang w:val="en-US" w:eastAsia="zh-CN"/>
        </w:rPr>
        <w:t xml:space="preserve">, Kodali S, Weber F. A new meaning to butterflies in the stomach. </w:t>
      </w:r>
      <w:r w:rsidRPr="00A1208A">
        <w:rPr>
          <w:rFonts w:ascii="Book Antiqua" w:hAnsi="Book Antiqua" w:cs="Times New Roman"/>
          <w:i/>
          <w:color w:val="auto"/>
          <w:kern w:val="2"/>
          <w:sz w:val="24"/>
          <w:szCs w:val="24"/>
          <w:lang w:val="en-US" w:eastAsia="zh-CN"/>
        </w:rPr>
        <w:t>Gastroenterology</w:t>
      </w:r>
      <w:r w:rsidRPr="00A1208A">
        <w:rPr>
          <w:rFonts w:ascii="Book Antiqua" w:hAnsi="Book Antiqua" w:cs="Times New Roman"/>
          <w:color w:val="auto"/>
          <w:kern w:val="2"/>
          <w:sz w:val="24"/>
          <w:szCs w:val="24"/>
          <w:lang w:val="en-US" w:eastAsia="zh-CN"/>
        </w:rPr>
        <w:t xml:space="preserve"> 2015; </w:t>
      </w:r>
      <w:r w:rsidRPr="00A1208A">
        <w:rPr>
          <w:rFonts w:ascii="Book Antiqua" w:hAnsi="Book Antiqua" w:cs="Times New Roman"/>
          <w:b/>
          <w:color w:val="auto"/>
          <w:kern w:val="2"/>
          <w:sz w:val="24"/>
          <w:szCs w:val="24"/>
          <w:lang w:val="en-US" w:eastAsia="zh-CN"/>
        </w:rPr>
        <w:t>148</w:t>
      </w:r>
      <w:r w:rsidRPr="00A1208A">
        <w:rPr>
          <w:rFonts w:ascii="Book Antiqua" w:hAnsi="Book Antiqua" w:cs="Times New Roman"/>
          <w:color w:val="auto"/>
          <w:kern w:val="2"/>
          <w:sz w:val="24"/>
          <w:szCs w:val="24"/>
          <w:lang w:val="en-US" w:eastAsia="zh-CN"/>
        </w:rPr>
        <w:t>: e12-e13 [PMID: 25450077 DOI: 10.1053/j.gastro.2014.07.037]</w:t>
      </w:r>
    </w:p>
    <w:p w14:paraId="7421AA85"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8 </w:t>
      </w:r>
      <w:r w:rsidRPr="00A1208A">
        <w:rPr>
          <w:rFonts w:ascii="Book Antiqua" w:hAnsi="Book Antiqua" w:cs="Times New Roman"/>
          <w:b/>
          <w:color w:val="auto"/>
          <w:kern w:val="2"/>
          <w:sz w:val="24"/>
          <w:szCs w:val="24"/>
          <w:lang w:val="en-US" w:eastAsia="zh-CN"/>
        </w:rPr>
        <w:t>Sachdev A</w:t>
      </w:r>
      <w:r w:rsidRPr="00A1208A">
        <w:rPr>
          <w:rFonts w:ascii="Book Antiqua" w:hAnsi="Book Antiqua" w:cs="Times New Roman"/>
          <w:color w:val="auto"/>
          <w:kern w:val="2"/>
          <w:sz w:val="24"/>
          <w:szCs w:val="24"/>
          <w:lang w:val="en-US" w:eastAsia="zh-CN"/>
        </w:rPr>
        <w:t xml:space="preserve">, Usatoff V, Thaow C. Sclerosing encapsulating peritonitis and methotrexate. </w:t>
      </w:r>
      <w:r w:rsidRPr="00A1208A">
        <w:rPr>
          <w:rFonts w:ascii="Book Antiqua" w:hAnsi="Book Antiqua" w:cs="Times New Roman"/>
          <w:i/>
          <w:color w:val="auto"/>
          <w:kern w:val="2"/>
          <w:sz w:val="24"/>
          <w:szCs w:val="24"/>
          <w:lang w:val="en-US" w:eastAsia="zh-CN"/>
        </w:rPr>
        <w:t>Aust N Z J Obstet Gynaecol</w:t>
      </w:r>
      <w:r w:rsidRPr="00A1208A">
        <w:rPr>
          <w:rFonts w:ascii="Book Antiqua" w:hAnsi="Book Antiqua" w:cs="Times New Roman"/>
          <w:color w:val="auto"/>
          <w:kern w:val="2"/>
          <w:sz w:val="24"/>
          <w:szCs w:val="24"/>
          <w:lang w:val="en-US" w:eastAsia="zh-CN"/>
        </w:rPr>
        <w:t xml:space="preserve"> 2006; </w:t>
      </w:r>
      <w:r w:rsidRPr="00A1208A">
        <w:rPr>
          <w:rFonts w:ascii="Book Antiqua" w:hAnsi="Book Antiqua" w:cs="Times New Roman"/>
          <w:b/>
          <w:color w:val="auto"/>
          <w:kern w:val="2"/>
          <w:sz w:val="24"/>
          <w:szCs w:val="24"/>
          <w:lang w:val="en-US" w:eastAsia="zh-CN"/>
        </w:rPr>
        <w:t>46</w:t>
      </w:r>
      <w:r w:rsidRPr="00A1208A">
        <w:rPr>
          <w:rFonts w:ascii="Book Antiqua" w:hAnsi="Book Antiqua" w:cs="Times New Roman"/>
          <w:color w:val="auto"/>
          <w:kern w:val="2"/>
          <w:sz w:val="24"/>
          <w:szCs w:val="24"/>
          <w:lang w:val="en-US" w:eastAsia="zh-CN"/>
        </w:rPr>
        <w:t>: 58-59 [PMID: 16441697 DOI: 10.1111/j.1479-828X.2006.00517.x]</w:t>
      </w:r>
    </w:p>
    <w:p w14:paraId="4A97ADD2"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9 </w:t>
      </w:r>
      <w:r w:rsidRPr="00A1208A">
        <w:rPr>
          <w:rFonts w:ascii="Book Antiqua" w:hAnsi="Book Antiqua" w:cs="Times New Roman"/>
          <w:b/>
          <w:color w:val="auto"/>
          <w:kern w:val="2"/>
          <w:sz w:val="24"/>
          <w:szCs w:val="24"/>
          <w:lang w:val="en-US" w:eastAsia="zh-CN"/>
        </w:rPr>
        <w:t>Nauen DW</w:t>
      </w:r>
      <w:r w:rsidRPr="00A1208A">
        <w:rPr>
          <w:rFonts w:ascii="Book Antiqua" w:hAnsi="Book Antiqua" w:cs="Times New Roman"/>
          <w:color w:val="auto"/>
          <w:kern w:val="2"/>
          <w:sz w:val="24"/>
          <w:szCs w:val="24"/>
          <w:lang w:val="en-US" w:eastAsia="zh-CN"/>
        </w:rPr>
        <w:t xml:space="preserve">, Martin A, Katz A, Cohen D, Ranganathan S. A case of luteinizing thecoma with sclerosing peritonitis: revisiting a link with anti-epileptic drugs. </w:t>
      </w:r>
      <w:r w:rsidRPr="00A1208A">
        <w:rPr>
          <w:rFonts w:ascii="Book Antiqua" w:hAnsi="Book Antiqua" w:cs="Times New Roman"/>
          <w:i/>
          <w:color w:val="auto"/>
          <w:kern w:val="2"/>
          <w:sz w:val="24"/>
          <w:szCs w:val="24"/>
          <w:lang w:val="en-US" w:eastAsia="zh-CN"/>
        </w:rPr>
        <w:t>Pediatr Blood Cancer</w:t>
      </w:r>
      <w:r w:rsidRPr="00A1208A">
        <w:rPr>
          <w:rFonts w:ascii="Book Antiqua" w:hAnsi="Book Antiqua" w:cs="Times New Roman"/>
          <w:color w:val="auto"/>
          <w:kern w:val="2"/>
          <w:sz w:val="24"/>
          <w:szCs w:val="24"/>
          <w:lang w:val="en-US" w:eastAsia="zh-CN"/>
        </w:rPr>
        <w:t xml:space="preserve"> 2010; </w:t>
      </w:r>
      <w:r w:rsidRPr="00A1208A">
        <w:rPr>
          <w:rFonts w:ascii="Book Antiqua" w:hAnsi="Book Antiqua" w:cs="Times New Roman"/>
          <w:b/>
          <w:color w:val="auto"/>
          <w:kern w:val="2"/>
          <w:sz w:val="24"/>
          <w:szCs w:val="24"/>
          <w:lang w:val="en-US" w:eastAsia="zh-CN"/>
        </w:rPr>
        <w:t>54</w:t>
      </w:r>
      <w:r w:rsidRPr="00A1208A">
        <w:rPr>
          <w:rFonts w:ascii="Book Antiqua" w:hAnsi="Book Antiqua" w:cs="Times New Roman"/>
          <w:color w:val="auto"/>
          <w:kern w:val="2"/>
          <w:sz w:val="24"/>
          <w:szCs w:val="24"/>
          <w:lang w:val="en-US" w:eastAsia="zh-CN"/>
        </w:rPr>
        <w:t>: 470-472 [PMID: 19847882 DOI: 10.1002/pbc.22325]</w:t>
      </w:r>
    </w:p>
    <w:p w14:paraId="37F434B8"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10 </w:t>
      </w:r>
      <w:r w:rsidRPr="00A1208A">
        <w:rPr>
          <w:rFonts w:ascii="Book Antiqua" w:hAnsi="Book Antiqua" w:cs="Times New Roman"/>
          <w:b/>
          <w:color w:val="auto"/>
          <w:kern w:val="2"/>
          <w:sz w:val="24"/>
          <w:szCs w:val="24"/>
          <w:lang w:val="en-US" w:eastAsia="zh-CN"/>
        </w:rPr>
        <w:t>Sharma V</w:t>
      </w:r>
      <w:r w:rsidRPr="00A1208A">
        <w:rPr>
          <w:rFonts w:ascii="Book Antiqua" w:hAnsi="Book Antiqua" w:cs="Times New Roman"/>
          <w:color w:val="auto"/>
          <w:kern w:val="2"/>
          <w:sz w:val="24"/>
          <w:szCs w:val="24"/>
          <w:lang w:val="en-US" w:eastAsia="zh-CN"/>
        </w:rPr>
        <w:t xml:space="preserve">, Mandavdhare HS, Rana SS, Singh H, Kumar A, Gupta R. Role of conservative management in tubercular abdominal cocoon: a case series. </w:t>
      </w:r>
      <w:r w:rsidRPr="00A1208A">
        <w:rPr>
          <w:rFonts w:ascii="Book Antiqua" w:hAnsi="Book Antiqua" w:cs="Times New Roman"/>
          <w:i/>
          <w:color w:val="auto"/>
          <w:kern w:val="2"/>
          <w:sz w:val="24"/>
          <w:szCs w:val="24"/>
          <w:lang w:val="en-US" w:eastAsia="zh-CN"/>
        </w:rPr>
        <w:t>Infection</w:t>
      </w:r>
      <w:r w:rsidRPr="00A1208A">
        <w:rPr>
          <w:rFonts w:ascii="Book Antiqua" w:hAnsi="Book Antiqua" w:cs="Times New Roman"/>
          <w:color w:val="auto"/>
          <w:kern w:val="2"/>
          <w:sz w:val="24"/>
          <w:szCs w:val="24"/>
          <w:lang w:val="en-US" w:eastAsia="zh-CN"/>
        </w:rPr>
        <w:t xml:space="preserve"> 2017; </w:t>
      </w:r>
      <w:r w:rsidRPr="00A1208A">
        <w:rPr>
          <w:rFonts w:ascii="Book Antiqua" w:hAnsi="Book Antiqua" w:cs="Times New Roman"/>
          <w:b/>
          <w:color w:val="auto"/>
          <w:kern w:val="2"/>
          <w:sz w:val="24"/>
          <w:szCs w:val="24"/>
          <w:lang w:val="en-US" w:eastAsia="zh-CN"/>
        </w:rPr>
        <w:t>45</w:t>
      </w:r>
      <w:r w:rsidRPr="00A1208A">
        <w:rPr>
          <w:rFonts w:ascii="Book Antiqua" w:hAnsi="Book Antiqua" w:cs="Times New Roman"/>
          <w:color w:val="auto"/>
          <w:kern w:val="2"/>
          <w:sz w:val="24"/>
          <w:szCs w:val="24"/>
          <w:lang w:val="en-US" w:eastAsia="zh-CN"/>
        </w:rPr>
        <w:t>: 601-606 [PMID: 28341896 DOI: 10.1007/s15010-017-1012-5]</w:t>
      </w:r>
    </w:p>
    <w:p w14:paraId="2E97521C"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lastRenderedPageBreak/>
        <w:t xml:space="preserve">11 </w:t>
      </w:r>
      <w:r w:rsidRPr="00A1208A">
        <w:rPr>
          <w:rFonts w:ascii="Book Antiqua" w:hAnsi="Book Antiqua" w:cs="Times New Roman"/>
          <w:b/>
          <w:color w:val="auto"/>
          <w:kern w:val="2"/>
          <w:sz w:val="24"/>
          <w:szCs w:val="24"/>
          <w:lang w:val="en-US" w:eastAsia="zh-CN"/>
        </w:rPr>
        <w:t>Simbli MA</w:t>
      </w:r>
      <w:r w:rsidRPr="00A1208A">
        <w:rPr>
          <w:rFonts w:ascii="Book Antiqua" w:hAnsi="Book Antiqua" w:cs="Times New Roman"/>
          <w:color w:val="auto"/>
          <w:kern w:val="2"/>
          <w:sz w:val="24"/>
          <w:szCs w:val="24"/>
          <w:lang w:val="en-US" w:eastAsia="zh-CN"/>
        </w:rPr>
        <w:t xml:space="preserve">, Niaz FA, Al-Wakeel JS. Encapsulating peritoneal sclerosis in a peritoneal dialysis patient presenting with complicated Mycobacterium fortuitum peritonitis. </w:t>
      </w:r>
      <w:r w:rsidRPr="00A1208A">
        <w:rPr>
          <w:rFonts w:ascii="Book Antiqua" w:hAnsi="Book Antiqua" w:cs="Times New Roman"/>
          <w:i/>
          <w:color w:val="auto"/>
          <w:kern w:val="2"/>
          <w:sz w:val="24"/>
          <w:szCs w:val="24"/>
          <w:lang w:val="en-US" w:eastAsia="zh-CN"/>
        </w:rPr>
        <w:t>Saudi J Kidney Dis Transpl</w:t>
      </w:r>
      <w:r w:rsidRPr="00A1208A">
        <w:rPr>
          <w:rFonts w:ascii="Book Antiqua" w:hAnsi="Book Antiqua" w:cs="Times New Roman"/>
          <w:color w:val="auto"/>
          <w:kern w:val="2"/>
          <w:sz w:val="24"/>
          <w:szCs w:val="24"/>
          <w:lang w:val="en-US" w:eastAsia="zh-CN"/>
        </w:rPr>
        <w:t xml:space="preserve"> 2012; </w:t>
      </w:r>
      <w:r w:rsidRPr="00A1208A">
        <w:rPr>
          <w:rFonts w:ascii="Book Antiqua" w:hAnsi="Book Antiqua" w:cs="Times New Roman"/>
          <w:b/>
          <w:color w:val="auto"/>
          <w:kern w:val="2"/>
          <w:sz w:val="24"/>
          <w:szCs w:val="24"/>
          <w:lang w:val="en-US" w:eastAsia="zh-CN"/>
        </w:rPr>
        <w:t>23</w:t>
      </w:r>
      <w:r w:rsidRPr="00A1208A">
        <w:rPr>
          <w:rFonts w:ascii="Book Antiqua" w:hAnsi="Book Antiqua" w:cs="Times New Roman"/>
          <w:color w:val="auto"/>
          <w:kern w:val="2"/>
          <w:sz w:val="24"/>
          <w:szCs w:val="24"/>
          <w:lang w:val="en-US" w:eastAsia="zh-CN"/>
        </w:rPr>
        <w:t>: 635-641 [PMID: 22569461]</w:t>
      </w:r>
    </w:p>
    <w:p w14:paraId="7E35B8C9"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12 </w:t>
      </w:r>
      <w:r w:rsidRPr="00A1208A">
        <w:rPr>
          <w:rFonts w:ascii="Book Antiqua" w:hAnsi="Book Antiqua" w:cs="Times New Roman"/>
          <w:b/>
          <w:color w:val="auto"/>
          <w:kern w:val="2"/>
          <w:sz w:val="24"/>
          <w:szCs w:val="24"/>
          <w:lang w:val="en-US" w:eastAsia="zh-CN"/>
        </w:rPr>
        <w:t>Hsu YH</w:t>
      </w:r>
      <w:r w:rsidRPr="00A1208A">
        <w:rPr>
          <w:rFonts w:ascii="Book Antiqua" w:hAnsi="Book Antiqua" w:cs="Times New Roman"/>
          <w:color w:val="auto"/>
          <w:kern w:val="2"/>
          <w:sz w:val="24"/>
          <w:szCs w:val="24"/>
          <w:lang w:val="en-US" w:eastAsia="zh-CN"/>
        </w:rPr>
        <w:t xml:space="preserve">, Hsia CC, Tsai DM, Tu HY, Hung KY, Huang JW. Development of encapsulating peritoneal sclerosis following bacterial peritonitis in a peritoneal dialysis patient. </w:t>
      </w:r>
      <w:r w:rsidRPr="00A1208A">
        <w:rPr>
          <w:rFonts w:ascii="Book Antiqua" w:hAnsi="Book Antiqua" w:cs="Times New Roman"/>
          <w:i/>
          <w:color w:val="auto"/>
          <w:kern w:val="2"/>
          <w:sz w:val="24"/>
          <w:szCs w:val="24"/>
          <w:lang w:val="en-US" w:eastAsia="zh-CN"/>
        </w:rPr>
        <w:t>Am J Kidney Dis</w:t>
      </w:r>
      <w:r w:rsidRPr="00A1208A">
        <w:rPr>
          <w:rFonts w:ascii="Book Antiqua" w:hAnsi="Book Antiqua" w:cs="Times New Roman"/>
          <w:color w:val="auto"/>
          <w:kern w:val="2"/>
          <w:sz w:val="24"/>
          <w:szCs w:val="24"/>
          <w:lang w:val="en-US" w:eastAsia="zh-CN"/>
        </w:rPr>
        <w:t xml:space="preserve"> 2010; </w:t>
      </w:r>
      <w:r w:rsidRPr="00A1208A">
        <w:rPr>
          <w:rFonts w:ascii="Book Antiqua" w:hAnsi="Book Antiqua" w:cs="Times New Roman"/>
          <w:b/>
          <w:color w:val="auto"/>
          <w:kern w:val="2"/>
          <w:sz w:val="24"/>
          <w:szCs w:val="24"/>
          <w:lang w:val="en-US" w:eastAsia="zh-CN"/>
        </w:rPr>
        <w:t>55</w:t>
      </w:r>
      <w:r w:rsidRPr="00A1208A">
        <w:rPr>
          <w:rFonts w:ascii="Book Antiqua" w:hAnsi="Book Antiqua" w:cs="Times New Roman"/>
          <w:color w:val="auto"/>
          <w:kern w:val="2"/>
          <w:sz w:val="24"/>
          <w:szCs w:val="24"/>
          <w:lang w:val="en-US" w:eastAsia="zh-CN"/>
        </w:rPr>
        <w:t>: 198-202 [PMID: 19782452 DOI: 10.1053/j.ajkd.2009.06.043]Available]</w:t>
      </w:r>
    </w:p>
    <w:p w14:paraId="6DFEF532"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13 </w:t>
      </w:r>
      <w:r w:rsidRPr="00A1208A">
        <w:rPr>
          <w:rFonts w:ascii="Book Antiqua" w:hAnsi="Book Antiqua" w:cs="Times New Roman"/>
          <w:b/>
          <w:color w:val="auto"/>
          <w:kern w:val="2"/>
          <w:sz w:val="24"/>
          <w:szCs w:val="24"/>
          <w:lang w:val="en-US" w:eastAsia="zh-CN"/>
        </w:rPr>
        <w:t>Browne LP</w:t>
      </w:r>
      <w:r w:rsidRPr="00A1208A">
        <w:rPr>
          <w:rFonts w:ascii="Book Antiqua" w:hAnsi="Book Antiqua" w:cs="Times New Roman"/>
          <w:color w:val="auto"/>
          <w:kern w:val="2"/>
          <w:sz w:val="24"/>
          <w:szCs w:val="24"/>
          <w:lang w:val="en-US" w:eastAsia="zh-CN"/>
        </w:rPr>
        <w:t xml:space="preserve">, Patel J, Guillerman RP, Hanson IC, Cass DL. Abdominal cocoon: a unique presentation in an immunodeficient infant. </w:t>
      </w:r>
      <w:r w:rsidRPr="00A1208A">
        <w:rPr>
          <w:rFonts w:ascii="Book Antiqua" w:hAnsi="Book Antiqua" w:cs="Times New Roman"/>
          <w:i/>
          <w:color w:val="auto"/>
          <w:kern w:val="2"/>
          <w:sz w:val="24"/>
          <w:szCs w:val="24"/>
          <w:lang w:val="en-US" w:eastAsia="zh-CN"/>
        </w:rPr>
        <w:t>Pediatr Radiol</w:t>
      </w:r>
      <w:r w:rsidRPr="00A1208A">
        <w:rPr>
          <w:rFonts w:ascii="Book Antiqua" w:hAnsi="Book Antiqua" w:cs="Times New Roman"/>
          <w:color w:val="auto"/>
          <w:kern w:val="2"/>
          <w:sz w:val="24"/>
          <w:szCs w:val="24"/>
          <w:lang w:val="en-US" w:eastAsia="zh-CN"/>
        </w:rPr>
        <w:t xml:space="preserve"> 2012; </w:t>
      </w:r>
      <w:r w:rsidRPr="00A1208A">
        <w:rPr>
          <w:rFonts w:ascii="Book Antiqua" w:hAnsi="Book Antiqua" w:cs="Times New Roman"/>
          <w:b/>
          <w:color w:val="auto"/>
          <w:kern w:val="2"/>
          <w:sz w:val="24"/>
          <w:szCs w:val="24"/>
          <w:lang w:val="en-US" w:eastAsia="zh-CN"/>
        </w:rPr>
        <w:t>42</w:t>
      </w:r>
      <w:r w:rsidRPr="00A1208A">
        <w:rPr>
          <w:rFonts w:ascii="Book Antiqua" w:hAnsi="Book Antiqua" w:cs="Times New Roman"/>
          <w:color w:val="auto"/>
          <w:kern w:val="2"/>
          <w:sz w:val="24"/>
          <w:szCs w:val="24"/>
          <w:lang w:val="en-US" w:eastAsia="zh-CN"/>
        </w:rPr>
        <w:t>: 263-266 [PMID: 21713442 DOI: 10.1007/s00247-011-2135-y]</w:t>
      </w:r>
    </w:p>
    <w:p w14:paraId="69117ADE"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14 </w:t>
      </w:r>
      <w:r w:rsidRPr="00A1208A">
        <w:rPr>
          <w:rFonts w:ascii="Book Antiqua" w:hAnsi="Book Antiqua" w:cs="Times New Roman"/>
          <w:b/>
          <w:color w:val="auto"/>
          <w:kern w:val="2"/>
          <w:sz w:val="24"/>
          <w:szCs w:val="24"/>
          <w:lang w:val="en-US" w:eastAsia="zh-CN"/>
        </w:rPr>
        <w:t>Gupta S</w:t>
      </w:r>
      <w:r w:rsidRPr="00A1208A">
        <w:rPr>
          <w:rFonts w:ascii="Book Antiqua" w:hAnsi="Book Antiqua" w:cs="Times New Roman"/>
          <w:color w:val="auto"/>
          <w:kern w:val="2"/>
          <w:sz w:val="24"/>
          <w:szCs w:val="24"/>
          <w:lang w:val="en-US" w:eastAsia="zh-CN"/>
        </w:rPr>
        <w:t xml:space="preserve">, Woodrow G. Successful treatment of fulminant encapsulating peritoneal sclerosis following fungal peritonitis with tamoxifen. </w:t>
      </w:r>
      <w:r w:rsidRPr="00A1208A">
        <w:rPr>
          <w:rFonts w:ascii="Book Antiqua" w:hAnsi="Book Antiqua" w:cs="Times New Roman"/>
          <w:i/>
          <w:color w:val="auto"/>
          <w:kern w:val="2"/>
          <w:sz w:val="24"/>
          <w:szCs w:val="24"/>
          <w:lang w:val="en-US" w:eastAsia="zh-CN"/>
        </w:rPr>
        <w:t>Clin Nephrol</w:t>
      </w:r>
      <w:r w:rsidRPr="00A1208A">
        <w:rPr>
          <w:rFonts w:ascii="Book Antiqua" w:hAnsi="Book Antiqua" w:cs="Times New Roman"/>
          <w:color w:val="auto"/>
          <w:kern w:val="2"/>
          <w:sz w:val="24"/>
          <w:szCs w:val="24"/>
          <w:lang w:val="en-US" w:eastAsia="zh-CN"/>
        </w:rPr>
        <w:t xml:space="preserve"> 2007; </w:t>
      </w:r>
      <w:r w:rsidRPr="00A1208A">
        <w:rPr>
          <w:rFonts w:ascii="Book Antiqua" w:hAnsi="Book Antiqua" w:cs="Times New Roman"/>
          <w:b/>
          <w:color w:val="auto"/>
          <w:kern w:val="2"/>
          <w:sz w:val="24"/>
          <w:szCs w:val="24"/>
          <w:lang w:val="en-US" w:eastAsia="zh-CN"/>
        </w:rPr>
        <w:t>68</w:t>
      </w:r>
      <w:r w:rsidRPr="00A1208A">
        <w:rPr>
          <w:rFonts w:ascii="Book Antiqua" w:hAnsi="Book Antiqua" w:cs="Times New Roman"/>
          <w:color w:val="auto"/>
          <w:kern w:val="2"/>
          <w:sz w:val="24"/>
          <w:szCs w:val="24"/>
          <w:lang w:val="en-US" w:eastAsia="zh-CN"/>
        </w:rPr>
        <w:t>: 125-129 [PMID: 17722714]</w:t>
      </w:r>
    </w:p>
    <w:p w14:paraId="5EA392A7"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15 </w:t>
      </w:r>
      <w:r w:rsidRPr="00A1208A">
        <w:rPr>
          <w:rFonts w:ascii="Book Antiqua" w:hAnsi="Book Antiqua" w:cs="Times New Roman"/>
          <w:b/>
          <w:color w:val="auto"/>
          <w:kern w:val="2"/>
          <w:sz w:val="24"/>
          <w:szCs w:val="24"/>
          <w:lang w:val="en-US" w:eastAsia="zh-CN"/>
        </w:rPr>
        <w:t>Tan J</w:t>
      </w:r>
      <w:r w:rsidRPr="00A1208A">
        <w:rPr>
          <w:rFonts w:ascii="Book Antiqua" w:hAnsi="Book Antiqua" w:cs="Times New Roman"/>
          <w:color w:val="auto"/>
          <w:kern w:val="2"/>
          <w:sz w:val="24"/>
          <w:szCs w:val="24"/>
          <w:lang w:val="en-US" w:eastAsia="zh-CN"/>
        </w:rPr>
        <w:t xml:space="preserve">, Manickam R, Pisharam J, Telisinghe P, Chong VH. Mucormycosis--a possible trigger pathogen for encapsulating peritoneal sclerosis. </w:t>
      </w:r>
      <w:r w:rsidRPr="00A1208A">
        <w:rPr>
          <w:rFonts w:ascii="Book Antiqua" w:hAnsi="Book Antiqua" w:cs="Times New Roman"/>
          <w:i/>
          <w:color w:val="auto"/>
          <w:kern w:val="2"/>
          <w:sz w:val="24"/>
          <w:szCs w:val="24"/>
          <w:lang w:val="en-US" w:eastAsia="zh-CN"/>
        </w:rPr>
        <w:t>Perit Dial Int</w:t>
      </w:r>
      <w:r w:rsidRPr="00A1208A">
        <w:rPr>
          <w:rFonts w:ascii="Book Antiqua" w:hAnsi="Book Antiqua" w:cs="Times New Roman"/>
          <w:color w:val="auto"/>
          <w:kern w:val="2"/>
          <w:sz w:val="24"/>
          <w:szCs w:val="24"/>
          <w:lang w:val="en-US" w:eastAsia="zh-CN"/>
        </w:rPr>
        <w:t xml:space="preserve"> 2012; </w:t>
      </w:r>
      <w:r w:rsidRPr="00A1208A">
        <w:rPr>
          <w:rFonts w:ascii="Book Antiqua" w:hAnsi="Book Antiqua" w:cs="Times New Roman"/>
          <w:b/>
          <w:color w:val="auto"/>
          <w:kern w:val="2"/>
          <w:sz w:val="24"/>
          <w:szCs w:val="24"/>
          <w:lang w:val="en-US" w:eastAsia="zh-CN"/>
        </w:rPr>
        <w:t>32</w:t>
      </w:r>
      <w:r w:rsidRPr="00A1208A">
        <w:rPr>
          <w:rFonts w:ascii="Book Antiqua" w:hAnsi="Book Antiqua" w:cs="Times New Roman"/>
          <w:color w:val="auto"/>
          <w:kern w:val="2"/>
          <w:sz w:val="24"/>
          <w:szCs w:val="24"/>
          <w:lang w:val="en-US" w:eastAsia="zh-CN"/>
        </w:rPr>
        <w:t>: 479-481 [PMID: 22859845 DOI: 10.3747/pdi.2011.00241]</w:t>
      </w:r>
    </w:p>
    <w:p w14:paraId="443E021C"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16 </w:t>
      </w:r>
      <w:r w:rsidRPr="00A1208A">
        <w:rPr>
          <w:rFonts w:ascii="Book Antiqua" w:hAnsi="Book Antiqua" w:cs="Times New Roman"/>
          <w:b/>
          <w:color w:val="auto"/>
          <w:kern w:val="2"/>
          <w:sz w:val="24"/>
          <w:szCs w:val="24"/>
          <w:lang w:val="en-US" w:eastAsia="zh-CN"/>
        </w:rPr>
        <w:t>Salamone G</w:t>
      </w:r>
      <w:r w:rsidRPr="00A1208A">
        <w:rPr>
          <w:rFonts w:ascii="Book Antiqua" w:hAnsi="Book Antiqua" w:cs="Times New Roman"/>
          <w:color w:val="auto"/>
          <w:kern w:val="2"/>
          <w:sz w:val="24"/>
          <w:szCs w:val="24"/>
          <w:lang w:val="en-US" w:eastAsia="zh-CN"/>
        </w:rPr>
        <w:t xml:space="preserve">, Atzeni J, Agrusa A, Gulotta G. A rare case of abdominal cocoon. </w:t>
      </w:r>
      <w:r w:rsidRPr="00A1208A">
        <w:rPr>
          <w:rFonts w:ascii="Book Antiqua" w:hAnsi="Book Antiqua" w:cs="Times New Roman"/>
          <w:i/>
          <w:color w:val="auto"/>
          <w:kern w:val="2"/>
          <w:sz w:val="24"/>
          <w:szCs w:val="24"/>
          <w:lang w:val="en-US" w:eastAsia="zh-CN"/>
        </w:rPr>
        <w:t>Ann Ital Chir</w:t>
      </w:r>
      <w:r w:rsidRPr="00A1208A">
        <w:rPr>
          <w:rFonts w:ascii="Book Antiqua" w:hAnsi="Book Antiqua" w:cs="Times New Roman"/>
          <w:color w:val="auto"/>
          <w:kern w:val="2"/>
          <w:sz w:val="24"/>
          <w:szCs w:val="24"/>
          <w:lang w:val="en-US" w:eastAsia="zh-CN"/>
        </w:rPr>
        <w:t xml:space="preserve"> 2013; </w:t>
      </w:r>
      <w:r w:rsidRPr="00A1208A">
        <w:rPr>
          <w:rFonts w:ascii="Book Antiqua" w:hAnsi="Book Antiqua" w:cs="Times New Roman"/>
          <w:b/>
          <w:color w:val="auto"/>
          <w:kern w:val="2"/>
          <w:sz w:val="24"/>
          <w:szCs w:val="24"/>
          <w:lang w:val="en-US" w:eastAsia="zh-CN"/>
        </w:rPr>
        <w:t>84</w:t>
      </w:r>
      <w:r w:rsidRPr="00A1208A">
        <w:rPr>
          <w:rFonts w:ascii="Book Antiqua" w:hAnsi="Book Antiqua" w:cs="Times New Roman"/>
          <w:color w:val="auto"/>
          <w:kern w:val="2"/>
          <w:sz w:val="24"/>
          <w:szCs w:val="24"/>
          <w:lang w:val="en-US" w:eastAsia="zh-CN"/>
        </w:rPr>
        <w:t>:  [PMID: 24141102]</w:t>
      </w:r>
    </w:p>
    <w:p w14:paraId="19E3C62A"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17 </w:t>
      </w:r>
      <w:r w:rsidRPr="00A1208A">
        <w:rPr>
          <w:rFonts w:ascii="Book Antiqua" w:hAnsi="Book Antiqua" w:cs="Times New Roman"/>
          <w:b/>
          <w:color w:val="auto"/>
          <w:kern w:val="2"/>
          <w:sz w:val="24"/>
          <w:szCs w:val="24"/>
          <w:lang w:val="en-US" w:eastAsia="zh-CN"/>
        </w:rPr>
        <w:t>Brown EA</w:t>
      </w:r>
      <w:r w:rsidRPr="00A1208A">
        <w:rPr>
          <w:rFonts w:ascii="Book Antiqua" w:hAnsi="Book Antiqua" w:cs="Times New Roman"/>
          <w:color w:val="auto"/>
          <w:kern w:val="2"/>
          <w:sz w:val="24"/>
          <w:szCs w:val="24"/>
          <w:lang w:val="en-US" w:eastAsia="zh-CN"/>
        </w:rPr>
        <w:t xml:space="preserve">, Bargman J, van Biesen W, Chang MY, Finkelstein FO, Hurst H, Johnson DW, Kawanishi H, Lambie M, de Moraes TP, Morelle J, Woodrow G. Length of Time on Peritoneal Dialysis and Encapsulating Peritoneal Sclerosis - Position Paper for ISPD: 2017 Update. </w:t>
      </w:r>
      <w:r w:rsidRPr="00A1208A">
        <w:rPr>
          <w:rFonts w:ascii="Book Antiqua" w:hAnsi="Book Antiqua" w:cs="Times New Roman"/>
          <w:i/>
          <w:color w:val="auto"/>
          <w:kern w:val="2"/>
          <w:sz w:val="24"/>
          <w:szCs w:val="24"/>
          <w:lang w:val="en-US" w:eastAsia="zh-CN"/>
        </w:rPr>
        <w:t>Perit Dial Int</w:t>
      </w:r>
      <w:r w:rsidRPr="00A1208A">
        <w:rPr>
          <w:rFonts w:ascii="Book Antiqua" w:hAnsi="Book Antiqua" w:cs="Times New Roman"/>
          <w:color w:val="auto"/>
          <w:kern w:val="2"/>
          <w:sz w:val="24"/>
          <w:szCs w:val="24"/>
          <w:lang w:val="en-US" w:eastAsia="zh-CN"/>
        </w:rPr>
        <w:t xml:space="preserve"> 2017; </w:t>
      </w:r>
      <w:r w:rsidRPr="00A1208A">
        <w:rPr>
          <w:rFonts w:ascii="Book Antiqua" w:hAnsi="Book Antiqua" w:cs="Times New Roman"/>
          <w:b/>
          <w:color w:val="auto"/>
          <w:kern w:val="2"/>
          <w:sz w:val="24"/>
          <w:szCs w:val="24"/>
          <w:lang w:val="en-US" w:eastAsia="zh-CN"/>
        </w:rPr>
        <w:t>37</w:t>
      </w:r>
      <w:r w:rsidRPr="00A1208A">
        <w:rPr>
          <w:rFonts w:ascii="Book Antiqua" w:hAnsi="Book Antiqua" w:cs="Times New Roman"/>
          <w:color w:val="auto"/>
          <w:kern w:val="2"/>
          <w:sz w:val="24"/>
          <w:szCs w:val="24"/>
          <w:lang w:val="en-US" w:eastAsia="zh-CN"/>
        </w:rPr>
        <w:t>: 362-374 [PMID: 28676507 DOI: 10.3747/pdi.2017.00018]</w:t>
      </w:r>
    </w:p>
    <w:p w14:paraId="5235F281"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18 </w:t>
      </w:r>
      <w:r w:rsidRPr="00A1208A">
        <w:rPr>
          <w:rFonts w:ascii="Book Antiqua" w:hAnsi="Book Antiqua" w:cs="Times New Roman"/>
          <w:b/>
          <w:color w:val="auto"/>
          <w:kern w:val="2"/>
          <w:sz w:val="24"/>
          <w:szCs w:val="24"/>
          <w:lang w:val="en-US" w:eastAsia="zh-CN"/>
        </w:rPr>
        <w:t>Takebayashi K</w:t>
      </w:r>
      <w:r w:rsidRPr="00A1208A">
        <w:rPr>
          <w:rFonts w:ascii="Book Antiqua" w:hAnsi="Book Antiqua" w:cs="Times New Roman"/>
          <w:color w:val="auto"/>
          <w:kern w:val="2"/>
          <w:sz w:val="24"/>
          <w:szCs w:val="24"/>
          <w:lang w:val="en-US" w:eastAsia="zh-CN"/>
        </w:rPr>
        <w:t xml:space="preserve">, Sonoda H, Shimizu T, Ohta H, Ishida M, Mekata E, Endo Y, Tani T, Tani M. Successful surgical approach for a patient with encapsulating peritoneal sclerosis after hyperthermic intraperitoneal chemotherapy: a case report and literature review. </w:t>
      </w:r>
      <w:r w:rsidRPr="00A1208A">
        <w:rPr>
          <w:rFonts w:ascii="Book Antiqua" w:hAnsi="Book Antiqua" w:cs="Times New Roman"/>
          <w:i/>
          <w:color w:val="auto"/>
          <w:kern w:val="2"/>
          <w:sz w:val="24"/>
          <w:szCs w:val="24"/>
          <w:lang w:val="en-US" w:eastAsia="zh-CN"/>
        </w:rPr>
        <w:t>BMC Surg</w:t>
      </w:r>
      <w:r w:rsidRPr="00A1208A">
        <w:rPr>
          <w:rFonts w:ascii="Book Antiqua" w:hAnsi="Book Antiqua" w:cs="Times New Roman"/>
          <w:color w:val="auto"/>
          <w:kern w:val="2"/>
          <w:sz w:val="24"/>
          <w:szCs w:val="24"/>
          <w:lang w:val="en-US" w:eastAsia="zh-CN"/>
        </w:rPr>
        <w:t xml:space="preserve"> 2014; </w:t>
      </w:r>
      <w:r w:rsidRPr="00A1208A">
        <w:rPr>
          <w:rFonts w:ascii="Book Antiqua" w:hAnsi="Book Antiqua" w:cs="Times New Roman"/>
          <w:b/>
          <w:color w:val="auto"/>
          <w:kern w:val="2"/>
          <w:sz w:val="24"/>
          <w:szCs w:val="24"/>
          <w:lang w:val="en-US" w:eastAsia="zh-CN"/>
        </w:rPr>
        <w:t>14</w:t>
      </w:r>
      <w:r w:rsidRPr="00A1208A">
        <w:rPr>
          <w:rFonts w:ascii="Book Antiqua" w:hAnsi="Book Antiqua" w:cs="Times New Roman"/>
          <w:color w:val="auto"/>
          <w:kern w:val="2"/>
          <w:sz w:val="24"/>
          <w:szCs w:val="24"/>
          <w:lang w:val="en-US" w:eastAsia="zh-CN"/>
        </w:rPr>
        <w:t>: 57 [PMID: 25160862 DOI: 10.1186/1471-2482-14-57]Available]</w:t>
      </w:r>
    </w:p>
    <w:p w14:paraId="7AA51002"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19 </w:t>
      </w:r>
      <w:r w:rsidRPr="00A1208A">
        <w:rPr>
          <w:rFonts w:ascii="Book Antiqua" w:hAnsi="Book Antiqua" w:cs="Times New Roman"/>
          <w:b/>
          <w:color w:val="auto"/>
          <w:kern w:val="2"/>
          <w:sz w:val="24"/>
          <w:szCs w:val="24"/>
          <w:lang w:val="en-US" w:eastAsia="zh-CN"/>
        </w:rPr>
        <w:t>Wirnsberger GH</w:t>
      </w:r>
      <w:r w:rsidRPr="00A1208A">
        <w:rPr>
          <w:rFonts w:ascii="Book Antiqua" w:hAnsi="Book Antiqua" w:cs="Times New Roman"/>
          <w:color w:val="auto"/>
          <w:kern w:val="2"/>
          <w:sz w:val="24"/>
          <w:szCs w:val="24"/>
          <w:lang w:val="en-US" w:eastAsia="zh-CN"/>
        </w:rPr>
        <w:t xml:space="preserve">, Ganser K, Domej W, Sauseng G, Moore D, Moczygemba M, Krejs </w:t>
      </w:r>
      <w:r w:rsidRPr="00A1208A">
        <w:rPr>
          <w:rFonts w:ascii="Book Antiqua" w:hAnsi="Book Antiqua" w:cs="Times New Roman"/>
          <w:color w:val="auto"/>
          <w:kern w:val="2"/>
          <w:sz w:val="24"/>
          <w:szCs w:val="24"/>
          <w:lang w:val="en-US" w:eastAsia="zh-CN"/>
        </w:rPr>
        <w:lastRenderedPageBreak/>
        <w:t xml:space="preserve">GJ. Sclerosing encapsulating peritonitis: differential diagnosis to peritoneal encapsulation and abdominal cocoon--a case report. </w:t>
      </w:r>
      <w:r w:rsidRPr="00A1208A">
        <w:rPr>
          <w:rFonts w:ascii="Book Antiqua" w:hAnsi="Book Antiqua" w:cs="Times New Roman"/>
          <w:i/>
          <w:color w:val="auto"/>
          <w:kern w:val="2"/>
          <w:sz w:val="24"/>
          <w:szCs w:val="24"/>
          <w:lang w:val="en-US" w:eastAsia="zh-CN"/>
        </w:rPr>
        <w:t>Z Gastroenterol</w:t>
      </w:r>
      <w:r w:rsidRPr="00A1208A">
        <w:rPr>
          <w:rFonts w:ascii="Book Antiqua" w:hAnsi="Book Antiqua" w:cs="Times New Roman"/>
          <w:color w:val="auto"/>
          <w:kern w:val="2"/>
          <w:sz w:val="24"/>
          <w:szCs w:val="24"/>
          <w:lang w:val="en-US" w:eastAsia="zh-CN"/>
        </w:rPr>
        <w:t xml:space="preserve"> 1992; </w:t>
      </w:r>
      <w:r w:rsidRPr="00A1208A">
        <w:rPr>
          <w:rFonts w:ascii="Book Antiqua" w:hAnsi="Book Antiqua" w:cs="Times New Roman"/>
          <w:b/>
          <w:color w:val="auto"/>
          <w:kern w:val="2"/>
          <w:sz w:val="24"/>
          <w:szCs w:val="24"/>
          <w:lang w:val="en-US" w:eastAsia="zh-CN"/>
        </w:rPr>
        <w:t>30</w:t>
      </w:r>
      <w:r w:rsidRPr="00A1208A">
        <w:rPr>
          <w:rFonts w:ascii="Book Antiqua" w:hAnsi="Book Antiqua" w:cs="Times New Roman"/>
          <w:color w:val="auto"/>
          <w:kern w:val="2"/>
          <w:sz w:val="24"/>
          <w:szCs w:val="24"/>
          <w:lang w:val="en-US" w:eastAsia="zh-CN"/>
        </w:rPr>
        <w:t>: 534-537 [PMID: 1413936]</w:t>
      </w:r>
    </w:p>
    <w:p w14:paraId="29641211"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20 </w:t>
      </w:r>
      <w:r w:rsidRPr="00A1208A">
        <w:rPr>
          <w:rFonts w:ascii="Book Antiqua" w:hAnsi="Book Antiqua" w:cs="Times New Roman"/>
          <w:b/>
          <w:color w:val="auto"/>
          <w:kern w:val="2"/>
          <w:sz w:val="24"/>
          <w:szCs w:val="24"/>
          <w:lang w:val="en-US" w:eastAsia="zh-CN"/>
        </w:rPr>
        <w:t>Sigaroudinia MO</w:t>
      </w:r>
      <w:r w:rsidRPr="00A1208A">
        <w:rPr>
          <w:rFonts w:ascii="Book Antiqua" w:hAnsi="Book Antiqua" w:cs="Times New Roman"/>
          <w:color w:val="auto"/>
          <w:kern w:val="2"/>
          <w:sz w:val="24"/>
          <w:szCs w:val="24"/>
          <w:lang w:val="en-US" w:eastAsia="zh-CN"/>
        </w:rPr>
        <w:t xml:space="preserve">, Baillie C, Ahmed S, Mallucci C. Sclerosing encapsulating peritonitis--a rare complication of ventriculoperitoneal shunts. </w:t>
      </w:r>
      <w:r w:rsidRPr="00A1208A">
        <w:rPr>
          <w:rFonts w:ascii="Book Antiqua" w:hAnsi="Book Antiqua" w:cs="Times New Roman"/>
          <w:i/>
          <w:color w:val="auto"/>
          <w:kern w:val="2"/>
          <w:sz w:val="24"/>
          <w:szCs w:val="24"/>
          <w:lang w:val="en-US" w:eastAsia="zh-CN"/>
        </w:rPr>
        <w:t>J Pediatr Surg</w:t>
      </w:r>
      <w:r w:rsidRPr="00A1208A">
        <w:rPr>
          <w:rFonts w:ascii="Book Antiqua" w:hAnsi="Book Antiqua" w:cs="Times New Roman"/>
          <w:color w:val="auto"/>
          <w:kern w:val="2"/>
          <w:sz w:val="24"/>
          <w:szCs w:val="24"/>
          <w:lang w:val="en-US" w:eastAsia="zh-CN"/>
        </w:rPr>
        <w:t xml:space="preserve"> 2008; </w:t>
      </w:r>
      <w:r w:rsidRPr="00A1208A">
        <w:rPr>
          <w:rFonts w:ascii="Book Antiqua" w:hAnsi="Book Antiqua" w:cs="Times New Roman"/>
          <w:b/>
          <w:color w:val="auto"/>
          <w:kern w:val="2"/>
          <w:sz w:val="24"/>
          <w:szCs w:val="24"/>
          <w:lang w:val="en-US" w:eastAsia="zh-CN"/>
        </w:rPr>
        <w:t>43</w:t>
      </w:r>
      <w:r w:rsidRPr="00A1208A">
        <w:rPr>
          <w:rFonts w:ascii="Book Antiqua" w:hAnsi="Book Antiqua" w:cs="Times New Roman"/>
          <w:color w:val="auto"/>
          <w:kern w:val="2"/>
          <w:sz w:val="24"/>
          <w:szCs w:val="24"/>
          <w:lang w:val="en-US" w:eastAsia="zh-CN"/>
        </w:rPr>
        <w:t>: E31-E33 [PMID: 18485933 DOI: 10.1016/j.jpedsurg.2008.01.019]</w:t>
      </w:r>
    </w:p>
    <w:p w14:paraId="7F15DAE2"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21 </w:t>
      </w:r>
      <w:r w:rsidRPr="00A1208A">
        <w:rPr>
          <w:rFonts w:ascii="Book Antiqua" w:hAnsi="Book Antiqua" w:cs="Times New Roman"/>
          <w:b/>
          <w:color w:val="auto"/>
          <w:kern w:val="2"/>
          <w:sz w:val="24"/>
          <w:szCs w:val="24"/>
          <w:lang w:val="en-US" w:eastAsia="zh-CN"/>
        </w:rPr>
        <w:t>Lin CH</w:t>
      </w:r>
      <w:r w:rsidRPr="00A1208A">
        <w:rPr>
          <w:rFonts w:ascii="Book Antiqua" w:hAnsi="Book Antiqua" w:cs="Times New Roman"/>
          <w:color w:val="auto"/>
          <w:kern w:val="2"/>
          <w:sz w:val="24"/>
          <w:szCs w:val="24"/>
          <w:lang w:val="en-US" w:eastAsia="zh-CN"/>
        </w:rPr>
        <w:t xml:space="preserve">, Yu JC, Chen TW, Chan DC, Chen CJ, Hsieh CB. Sclerosing encapsulating peritonitis in a liver transplant patient: a case report. </w:t>
      </w:r>
      <w:r w:rsidRPr="00A1208A">
        <w:rPr>
          <w:rFonts w:ascii="Book Antiqua" w:hAnsi="Book Antiqua" w:cs="Times New Roman"/>
          <w:i/>
          <w:color w:val="auto"/>
          <w:kern w:val="2"/>
          <w:sz w:val="24"/>
          <w:szCs w:val="24"/>
          <w:lang w:val="en-US" w:eastAsia="zh-CN"/>
        </w:rPr>
        <w:t>World J Gastroenterol</w:t>
      </w:r>
      <w:r w:rsidRPr="00A1208A">
        <w:rPr>
          <w:rFonts w:ascii="Book Antiqua" w:hAnsi="Book Antiqua" w:cs="Times New Roman"/>
          <w:color w:val="auto"/>
          <w:kern w:val="2"/>
          <w:sz w:val="24"/>
          <w:szCs w:val="24"/>
          <w:lang w:val="en-US" w:eastAsia="zh-CN"/>
        </w:rPr>
        <w:t xml:space="preserve"> 2005; </w:t>
      </w:r>
      <w:r w:rsidRPr="00A1208A">
        <w:rPr>
          <w:rFonts w:ascii="Book Antiqua" w:hAnsi="Book Antiqua" w:cs="Times New Roman"/>
          <w:b/>
          <w:color w:val="auto"/>
          <w:kern w:val="2"/>
          <w:sz w:val="24"/>
          <w:szCs w:val="24"/>
          <w:lang w:val="en-US" w:eastAsia="zh-CN"/>
        </w:rPr>
        <w:t>11</w:t>
      </w:r>
      <w:r w:rsidRPr="00A1208A">
        <w:rPr>
          <w:rFonts w:ascii="Book Antiqua" w:hAnsi="Book Antiqua" w:cs="Times New Roman"/>
          <w:color w:val="auto"/>
          <w:kern w:val="2"/>
          <w:sz w:val="24"/>
          <w:szCs w:val="24"/>
          <w:lang w:val="en-US" w:eastAsia="zh-CN"/>
        </w:rPr>
        <w:t>: 5412-5413 [PMID: 16149160]</w:t>
      </w:r>
    </w:p>
    <w:p w14:paraId="047AFF99"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22 </w:t>
      </w:r>
      <w:r w:rsidRPr="00A1208A">
        <w:rPr>
          <w:rFonts w:ascii="Book Antiqua" w:hAnsi="Book Antiqua" w:cs="Times New Roman"/>
          <w:b/>
          <w:color w:val="auto"/>
          <w:kern w:val="2"/>
          <w:sz w:val="24"/>
          <w:szCs w:val="24"/>
          <w:lang w:val="en-US" w:eastAsia="zh-CN"/>
        </w:rPr>
        <w:t>Keating JP</w:t>
      </w:r>
      <w:r w:rsidRPr="00A1208A">
        <w:rPr>
          <w:rFonts w:ascii="Book Antiqua" w:hAnsi="Book Antiqua" w:cs="Times New Roman"/>
          <w:color w:val="auto"/>
          <w:kern w:val="2"/>
          <w:sz w:val="24"/>
          <w:szCs w:val="24"/>
          <w:lang w:val="en-US" w:eastAsia="zh-CN"/>
        </w:rPr>
        <w:t xml:space="preserve">, Neill M, Hill GL. Sclerosing encapsulating peritonitis after intraperitoneal use of povidone iodine. </w:t>
      </w:r>
      <w:r w:rsidRPr="00A1208A">
        <w:rPr>
          <w:rFonts w:ascii="Book Antiqua" w:hAnsi="Book Antiqua" w:cs="Times New Roman"/>
          <w:i/>
          <w:color w:val="auto"/>
          <w:kern w:val="2"/>
          <w:sz w:val="24"/>
          <w:szCs w:val="24"/>
          <w:lang w:val="en-US" w:eastAsia="zh-CN"/>
        </w:rPr>
        <w:t>Aust N Z J Surg</w:t>
      </w:r>
      <w:r w:rsidRPr="00A1208A">
        <w:rPr>
          <w:rFonts w:ascii="Book Antiqua" w:hAnsi="Book Antiqua" w:cs="Times New Roman"/>
          <w:color w:val="auto"/>
          <w:kern w:val="2"/>
          <w:sz w:val="24"/>
          <w:szCs w:val="24"/>
          <w:lang w:val="en-US" w:eastAsia="zh-CN"/>
        </w:rPr>
        <w:t xml:space="preserve"> 1997; </w:t>
      </w:r>
      <w:r w:rsidRPr="00A1208A">
        <w:rPr>
          <w:rFonts w:ascii="Book Antiqua" w:hAnsi="Book Antiqua" w:cs="Times New Roman"/>
          <w:b/>
          <w:color w:val="auto"/>
          <w:kern w:val="2"/>
          <w:sz w:val="24"/>
          <w:szCs w:val="24"/>
          <w:lang w:val="en-US" w:eastAsia="zh-CN"/>
        </w:rPr>
        <w:t>67</w:t>
      </w:r>
      <w:r w:rsidRPr="00A1208A">
        <w:rPr>
          <w:rFonts w:ascii="Book Antiqua" w:hAnsi="Book Antiqua" w:cs="Times New Roman"/>
          <w:color w:val="auto"/>
          <w:kern w:val="2"/>
          <w:sz w:val="24"/>
          <w:szCs w:val="24"/>
          <w:lang w:val="en-US" w:eastAsia="zh-CN"/>
        </w:rPr>
        <w:t>: 742-744 [PMID: 9322732]</w:t>
      </w:r>
    </w:p>
    <w:p w14:paraId="7DAC4ED8"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23 </w:t>
      </w:r>
      <w:r w:rsidRPr="00A1208A">
        <w:rPr>
          <w:rFonts w:ascii="Book Antiqua" w:hAnsi="Book Antiqua" w:cs="Times New Roman"/>
          <w:b/>
          <w:color w:val="auto"/>
          <w:kern w:val="2"/>
          <w:sz w:val="24"/>
          <w:szCs w:val="24"/>
          <w:lang w:val="en-US" w:eastAsia="zh-CN"/>
        </w:rPr>
        <w:t>Kaur S</w:t>
      </w:r>
      <w:r w:rsidRPr="00A1208A">
        <w:rPr>
          <w:rFonts w:ascii="Book Antiqua" w:hAnsi="Book Antiqua" w:cs="Times New Roman"/>
          <w:color w:val="auto"/>
          <w:kern w:val="2"/>
          <w:sz w:val="24"/>
          <w:szCs w:val="24"/>
          <w:lang w:val="en-US" w:eastAsia="zh-CN"/>
        </w:rPr>
        <w:t xml:space="preserve">, Doley RP, Chabbhra M, Kapoor R, Wig J. Post trauma abdominal cocoon. </w:t>
      </w:r>
      <w:r w:rsidRPr="00A1208A">
        <w:rPr>
          <w:rFonts w:ascii="Book Antiqua" w:hAnsi="Book Antiqua" w:cs="Times New Roman"/>
          <w:i/>
          <w:color w:val="auto"/>
          <w:kern w:val="2"/>
          <w:sz w:val="24"/>
          <w:szCs w:val="24"/>
          <w:lang w:val="en-US" w:eastAsia="zh-CN"/>
        </w:rPr>
        <w:t>Int J Surg Case Rep</w:t>
      </w:r>
      <w:r w:rsidRPr="00A1208A">
        <w:rPr>
          <w:rFonts w:ascii="Book Antiqua" w:hAnsi="Book Antiqua" w:cs="Times New Roman"/>
          <w:color w:val="auto"/>
          <w:kern w:val="2"/>
          <w:sz w:val="24"/>
          <w:szCs w:val="24"/>
          <w:lang w:val="en-US" w:eastAsia="zh-CN"/>
        </w:rPr>
        <w:t xml:space="preserve"> 2015; </w:t>
      </w:r>
      <w:r w:rsidRPr="00A1208A">
        <w:rPr>
          <w:rFonts w:ascii="Book Antiqua" w:hAnsi="Book Antiqua" w:cs="Times New Roman"/>
          <w:b/>
          <w:color w:val="auto"/>
          <w:kern w:val="2"/>
          <w:sz w:val="24"/>
          <w:szCs w:val="24"/>
          <w:lang w:val="en-US" w:eastAsia="zh-CN"/>
        </w:rPr>
        <w:t>7C</w:t>
      </w:r>
      <w:r w:rsidRPr="00A1208A">
        <w:rPr>
          <w:rFonts w:ascii="Book Antiqua" w:hAnsi="Book Antiqua" w:cs="Times New Roman"/>
          <w:color w:val="auto"/>
          <w:kern w:val="2"/>
          <w:sz w:val="24"/>
          <w:szCs w:val="24"/>
          <w:lang w:val="en-US" w:eastAsia="zh-CN"/>
        </w:rPr>
        <w:t>: 64-65 [PMID: 25590647 DOI: 10.1016/j.ijscr.2014.10.081]Available]</w:t>
      </w:r>
    </w:p>
    <w:p w14:paraId="5659B27F"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24 </w:t>
      </w:r>
      <w:r w:rsidRPr="00A1208A">
        <w:rPr>
          <w:rFonts w:ascii="Book Antiqua" w:hAnsi="Book Antiqua" w:cs="Times New Roman"/>
          <w:b/>
          <w:color w:val="auto"/>
          <w:kern w:val="2"/>
          <w:sz w:val="24"/>
          <w:szCs w:val="24"/>
          <w:lang w:val="en-US" w:eastAsia="zh-CN"/>
        </w:rPr>
        <w:t>Kaman L</w:t>
      </w:r>
      <w:r w:rsidRPr="00A1208A">
        <w:rPr>
          <w:rFonts w:ascii="Book Antiqua" w:hAnsi="Book Antiqua" w:cs="Times New Roman"/>
          <w:color w:val="auto"/>
          <w:kern w:val="2"/>
          <w:sz w:val="24"/>
          <w:szCs w:val="24"/>
          <w:lang w:val="en-US" w:eastAsia="zh-CN"/>
        </w:rPr>
        <w:t xml:space="preserve">, Iqbal J, Thenozhi S. Sclerosing encapsulating peritonitis: complication of laparoscopic cholecystectomy. </w:t>
      </w:r>
      <w:r w:rsidRPr="00A1208A">
        <w:rPr>
          <w:rFonts w:ascii="Book Antiqua" w:hAnsi="Book Antiqua" w:cs="Times New Roman"/>
          <w:i/>
          <w:color w:val="auto"/>
          <w:kern w:val="2"/>
          <w:sz w:val="24"/>
          <w:szCs w:val="24"/>
          <w:lang w:val="en-US" w:eastAsia="zh-CN"/>
        </w:rPr>
        <w:t>J Laparoendosc Adv Surg Tech A</w:t>
      </w:r>
      <w:r w:rsidRPr="00A1208A">
        <w:rPr>
          <w:rFonts w:ascii="Book Antiqua" w:hAnsi="Book Antiqua" w:cs="Times New Roman"/>
          <w:color w:val="auto"/>
          <w:kern w:val="2"/>
          <w:sz w:val="24"/>
          <w:szCs w:val="24"/>
          <w:lang w:val="en-US" w:eastAsia="zh-CN"/>
        </w:rPr>
        <w:t xml:space="preserve"> 2010; </w:t>
      </w:r>
      <w:r w:rsidRPr="00A1208A">
        <w:rPr>
          <w:rFonts w:ascii="Book Antiqua" w:hAnsi="Book Antiqua" w:cs="Times New Roman"/>
          <w:b/>
          <w:color w:val="auto"/>
          <w:kern w:val="2"/>
          <w:sz w:val="24"/>
          <w:szCs w:val="24"/>
          <w:lang w:val="en-US" w:eastAsia="zh-CN"/>
        </w:rPr>
        <w:t>20</w:t>
      </w:r>
      <w:r w:rsidRPr="00A1208A">
        <w:rPr>
          <w:rFonts w:ascii="Book Antiqua" w:hAnsi="Book Antiqua" w:cs="Times New Roman"/>
          <w:color w:val="auto"/>
          <w:kern w:val="2"/>
          <w:sz w:val="24"/>
          <w:szCs w:val="24"/>
          <w:lang w:val="en-US" w:eastAsia="zh-CN"/>
        </w:rPr>
        <w:t>: 253-255 [PMID: 20374014 DOI: 10.1089/lap.2010.0024]Available]</w:t>
      </w:r>
    </w:p>
    <w:p w14:paraId="4A219FE8"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25 </w:t>
      </w:r>
      <w:r w:rsidRPr="00A1208A">
        <w:rPr>
          <w:rFonts w:ascii="Book Antiqua" w:hAnsi="Book Antiqua" w:cs="Times New Roman"/>
          <w:b/>
          <w:color w:val="auto"/>
          <w:kern w:val="2"/>
          <w:sz w:val="24"/>
          <w:szCs w:val="24"/>
          <w:lang w:val="en-US" w:eastAsia="zh-CN"/>
        </w:rPr>
        <w:t>Árnadóttir M</w:t>
      </w:r>
      <w:r w:rsidRPr="00A1208A">
        <w:rPr>
          <w:rFonts w:ascii="Book Antiqua" w:hAnsi="Book Antiqua" w:cs="Times New Roman"/>
          <w:color w:val="auto"/>
          <w:kern w:val="2"/>
          <w:sz w:val="24"/>
          <w:szCs w:val="24"/>
          <w:lang w:val="en-US" w:eastAsia="zh-CN"/>
        </w:rPr>
        <w:t xml:space="preserve">, Jónasson JG, Indridason ÓS. Encapsulating peritoneal sclerosis following a peritoneal foreign body reaction to Dacron fibres-a case report. </w:t>
      </w:r>
      <w:r w:rsidRPr="00A1208A">
        <w:rPr>
          <w:rFonts w:ascii="Book Antiqua" w:hAnsi="Book Antiqua" w:cs="Times New Roman"/>
          <w:i/>
          <w:color w:val="auto"/>
          <w:kern w:val="2"/>
          <w:sz w:val="24"/>
          <w:szCs w:val="24"/>
          <w:lang w:val="en-US" w:eastAsia="zh-CN"/>
        </w:rPr>
        <w:t>NDT Plus</w:t>
      </w:r>
      <w:r w:rsidRPr="00A1208A">
        <w:rPr>
          <w:rFonts w:ascii="Book Antiqua" w:hAnsi="Book Antiqua" w:cs="Times New Roman"/>
          <w:color w:val="auto"/>
          <w:kern w:val="2"/>
          <w:sz w:val="24"/>
          <w:szCs w:val="24"/>
          <w:lang w:val="en-US" w:eastAsia="zh-CN"/>
        </w:rPr>
        <w:t xml:space="preserve"> 2011; </w:t>
      </w:r>
      <w:r w:rsidRPr="00A1208A">
        <w:rPr>
          <w:rFonts w:ascii="Book Antiqua" w:hAnsi="Book Antiqua" w:cs="Times New Roman"/>
          <w:b/>
          <w:color w:val="auto"/>
          <w:kern w:val="2"/>
          <w:sz w:val="24"/>
          <w:szCs w:val="24"/>
          <w:lang w:val="en-US" w:eastAsia="zh-CN"/>
        </w:rPr>
        <w:t>4</w:t>
      </w:r>
      <w:r w:rsidRPr="00A1208A">
        <w:rPr>
          <w:rFonts w:ascii="Book Antiqua" w:hAnsi="Book Antiqua" w:cs="Times New Roman"/>
          <w:color w:val="auto"/>
          <w:kern w:val="2"/>
          <w:sz w:val="24"/>
          <w:szCs w:val="24"/>
          <w:lang w:val="en-US" w:eastAsia="zh-CN"/>
        </w:rPr>
        <w:t>: 107-109 [PMID: 25984126 DOI: 10.1093/ndtplus/sfq202]</w:t>
      </w:r>
    </w:p>
    <w:p w14:paraId="07006518"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26 </w:t>
      </w:r>
      <w:r w:rsidRPr="00A1208A">
        <w:rPr>
          <w:rFonts w:ascii="Book Antiqua" w:hAnsi="Book Antiqua" w:cs="Times New Roman"/>
          <w:b/>
          <w:color w:val="auto"/>
          <w:kern w:val="2"/>
          <w:sz w:val="24"/>
          <w:szCs w:val="24"/>
          <w:lang w:val="en-US" w:eastAsia="zh-CN"/>
        </w:rPr>
        <w:t>Andrion A</w:t>
      </w:r>
      <w:r w:rsidRPr="00A1208A">
        <w:rPr>
          <w:rFonts w:ascii="Book Antiqua" w:hAnsi="Book Antiqua" w:cs="Times New Roman"/>
          <w:color w:val="auto"/>
          <w:kern w:val="2"/>
          <w:sz w:val="24"/>
          <w:szCs w:val="24"/>
          <w:lang w:val="en-US" w:eastAsia="zh-CN"/>
        </w:rPr>
        <w:t xml:space="preserve">, Pira E, Mollo F. Peritoneal plaques and asbestos exposure. </w:t>
      </w:r>
      <w:r w:rsidRPr="00A1208A">
        <w:rPr>
          <w:rFonts w:ascii="Book Antiqua" w:hAnsi="Book Antiqua" w:cs="Times New Roman"/>
          <w:i/>
          <w:color w:val="auto"/>
          <w:kern w:val="2"/>
          <w:sz w:val="24"/>
          <w:szCs w:val="24"/>
          <w:lang w:val="en-US" w:eastAsia="zh-CN"/>
        </w:rPr>
        <w:t>Arch Pathol Lab Med</w:t>
      </w:r>
      <w:r w:rsidRPr="00A1208A">
        <w:rPr>
          <w:rFonts w:ascii="Book Antiqua" w:hAnsi="Book Antiqua" w:cs="Times New Roman"/>
          <w:color w:val="auto"/>
          <w:kern w:val="2"/>
          <w:sz w:val="24"/>
          <w:szCs w:val="24"/>
          <w:lang w:val="en-US" w:eastAsia="zh-CN"/>
        </w:rPr>
        <w:t xml:space="preserve"> 1983; </w:t>
      </w:r>
      <w:r w:rsidRPr="00A1208A">
        <w:rPr>
          <w:rFonts w:ascii="Book Antiqua" w:hAnsi="Book Antiqua" w:cs="Times New Roman"/>
          <w:b/>
          <w:color w:val="auto"/>
          <w:kern w:val="2"/>
          <w:sz w:val="24"/>
          <w:szCs w:val="24"/>
          <w:lang w:val="en-US" w:eastAsia="zh-CN"/>
        </w:rPr>
        <w:t>107</w:t>
      </w:r>
      <w:r w:rsidRPr="00A1208A">
        <w:rPr>
          <w:rFonts w:ascii="Book Antiqua" w:hAnsi="Book Antiqua" w:cs="Times New Roman"/>
          <w:color w:val="auto"/>
          <w:kern w:val="2"/>
          <w:sz w:val="24"/>
          <w:szCs w:val="24"/>
          <w:lang w:val="en-US" w:eastAsia="zh-CN"/>
        </w:rPr>
        <w:t>: 609-610 [PMID: 6688720]</w:t>
      </w:r>
    </w:p>
    <w:p w14:paraId="35330D15"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27 </w:t>
      </w:r>
      <w:r w:rsidRPr="00A1208A">
        <w:rPr>
          <w:rFonts w:ascii="Book Antiqua" w:hAnsi="Book Antiqua" w:cs="Times New Roman"/>
          <w:b/>
          <w:color w:val="auto"/>
          <w:kern w:val="2"/>
          <w:sz w:val="24"/>
          <w:szCs w:val="24"/>
          <w:lang w:val="en-US" w:eastAsia="zh-CN"/>
        </w:rPr>
        <w:t>Castelli MJ</w:t>
      </w:r>
      <w:r w:rsidRPr="00A1208A">
        <w:rPr>
          <w:rFonts w:ascii="Book Antiqua" w:hAnsi="Book Antiqua" w:cs="Times New Roman"/>
          <w:color w:val="auto"/>
          <w:kern w:val="2"/>
          <w:sz w:val="24"/>
          <w:szCs w:val="24"/>
          <w:lang w:val="en-US" w:eastAsia="zh-CN"/>
        </w:rPr>
        <w:t xml:space="preserve">, Armin AR, Husain A, Orfei E. Fibrosing peritonitis in a drug abuser. </w:t>
      </w:r>
      <w:r w:rsidRPr="00A1208A">
        <w:rPr>
          <w:rFonts w:ascii="Book Antiqua" w:hAnsi="Book Antiqua" w:cs="Times New Roman"/>
          <w:i/>
          <w:color w:val="auto"/>
          <w:kern w:val="2"/>
          <w:sz w:val="24"/>
          <w:szCs w:val="24"/>
          <w:lang w:val="en-US" w:eastAsia="zh-CN"/>
        </w:rPr>
        <w:t>Arch Pathol Lab Med</w:t>
      </w:r>
      <w:r w:rsidRPr="00A1208A">
        <w:rPr>
          <w:rFonts w:ascii="Book Antiqua" w:hAnsi="Book Antiqua" w:cs="Times New Roman"/>
          <w:color w:val="auto"/>
          <w:kern w:val="2"/>
          <w:sz w:val="24"/>
          <w:szCs w:val="24"/>
          <w:lang w:val="en-US" w:eastAsia="zh-CN"/>
        </w:rPr>
        <w:t xml:space="preserve"> 1985; </w:t>
      </w:r>
      <w:r w:rsidRPr="00A1208A">
        <w:rPr>
          <w:rFonts w:ascii="Book Antiqua" w:hAnsi="Book Antiqua" w:cs="Times New Roman"/>
          <w:b/>
          <w:color w:val="auto"/>
          <w:kern w:val="2"/>
          <w:sz w:val="24"/>
          <w:szCs w:val="24"/>
          <w:lang w:val="en-US" w:eastAsia="zh-CN"/>
        </w:rPr>
        <w:t>109</w:t>
      </w:r>
      <w:r w:rsidRPr="00A1208A">
        <w:rPr>
          <w:rFonts w:ascii="Book Antiqua" w:hAnsi="Book Antiqua" w:cs="Times New Roman"/>
          <w:color w:val="auto"/>
          <w:kern w:val="2"/>
          <w:sz w:val="24"/>
          <w:szCs w:val="24"/>
          <w:lang w:val="en-US" w:eastAsia="zh-CN"/>
        </w:rPr>
        <w:t>: 767-769 [PMID: 3839380]</w:t>
      </w:r>
    </w:p>
    <w:p w14:paraId="02899D6C"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28 </w:t>
      </w:r>
      <w:r w:rsidRPr="00A1208A">
        <w:rPr>
          <w:rFonts w:ascii="Book Antiqua" w:hAnsi="Book Antiqua" w:cs="Times New Roman"/>
          <w:b/>
          <w:color w:val="auto"/>
          <w:kern w:val="2"/>
          <w:sz w:val="24"/>
          <w:szCs w:val="24"/>
          <w:lang w:val="en-US" w:eastAsia="zh-CN"/>
        </w:rPr>
        <w:t>Wakabayashi H</w:t>
      </w:r>
      <w:r w:rsidRPr="00A1208A">
        <w:rPr>
          <w:rFonts w:ascii="Book Antiqua" w:hAnsi="Book Antiqua" w:cs="Times New Roman"/>
          <w:color w:val="auto"/>
          <w:kern w:val="2"/>
          <w:sz w:val="24"/>
          <w:szCs w:val="24"/>
          <w:lang w:val="en-US" w:eastAsia="zh-CN"/>
        </w:rPr>
        <w:t xml:space="preserve">, Okano K, Suzuki Y. Clinical challenges and images in GI. Image 2. Perforative peritonitis on sclerosing encapsulating peritonitis (abdominal cocoon) in a patient with alcoholic liver cirrhosis. </w:t>
      </w:r>
      <w:r w:rsidRPr="00A1208A">
        <w:rPr>
          <w:rFonts w:ascii="Book Antiqua" w:hAnsi="Book Antiqua" w:cs="Times New Roman"/>
          <w:i/>
          <w:color w:val="auto"/>
          <w:kern w:val="2"/>
          <w:sz w:val="24"/>
          <w:szCs w:val="24"/>
          <w:lang w:val="en-US" w:eastAsia="zh-CN"/>
        </w:rPr>
        <w:t>Gastroenterology</w:t>
      </w:r>
      <w:r w:rsidRPr="00A1208A">
        <w:rPr>
          <w:rFonts w:ascii="Book Antiqua" w:hAnsi="Book Antiqua" w:cs="Times New Roman"/>
          <w:color w:val="auto"/>
          <w:kern w:val="2"/>
          <w:sz w:val="24"/>
          <w:szCs w:val="24"/>
          <w:lang w:val="en-US" w:eastAsia="zh-CN"/>
        </w:rPr>
        <w:t xml:space="preserve"> 2007; </w:t>
      </w:r>
      <w:r w:rsidRPr="00A1208A">
        <w:rPr>
          <w:rFonts w:ascii="Book Antiqua" w:hAnsi="Book Antiqua" w:cs="Times New Roman"/>
          <w:b/>
          <w:color w:val="auto"/>
          <w:kern w:val="2"/>
          <w:sz w:val="24"/>
          <w:szCs w:val="24"/>
          <w:lang w:val="en-US" w:eastAsia="zh-CN"/>
        </w:rPr>
        <w:t>132</w:t>
      </w:r>
      <w:r w:rsidRPr="00A1208A">
        <w:rPr>
          <w:rFonts w:ascii="Book Antiqua" w:hAnsi="Book Antiqua" w:cs="Times New Roman"/>
          <w:color w:val="auto"/>
          <w:kern w:val="2"/>
          <w:sz w:val="24"/>
          <w:szCs w:val="24"/>
          <w:lang w:val="en-US" w:eastAsia="zh-CN"/>
        </w:rPr>
        <w:t>: 854, 1210 [PMID: 17383416 DOI: 10.1053/j.gastro.2007.01.060]</w:t>
      </w:r>
    </w:p>
    <w:p w14:paraId="7468F3F3"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lastRenderedPageBreak/>
        <w:t xml:space="preserve">29 </w:t>
      </w:r>
      <w:r w:rsidRPr="00A1208A">
        <w:rPr>
          <w:rFonts w:ascii="Book Antiqua" w:hAnsi="Book Antiqua" w:cs="Times New Roman"/>
          <w:b/>
          <w:color w:val="auto"/>
          <w:kern w:val="2"/>
          <w:sz w:val="24"/>
          <w:szCs w:val="24"/>
          <w:lang w:val="en-US" w:eastAsia="zh-CN"/>
        </w:rPr>
        <w:t>Lee KW</w:t>
      </w:r>
      <w:r w:rsidRPr="00A1208A">
        <w:rPr>
          <w:rFonts w:ascii="Book Antiqua" w:hAnsi="Book Antiqua" w:cs="Times New Roman"/>
          <w:color w:val="auto"/>
          <w:kern w:val="2"/>
          <w:sz w:val="24"/>
          <w:szCs w:val="24"/>
          <w:lang w:val="en-US" w:eastAsia="zh-CN"/>
        </w:rPr>
        <w:t xml:space="preserve">, Cho CW, Lee N, Lee S, Kim JM, Choi GS, Kwon CH, Joh JW, Lee SK. Encapsulating peritoneal sclerosis in liver transplant recipients: a report of 2 cases. </w:t>
      </w:r>
      <w:r w:rsidRPr="00A1208A">
        <w:rPr>
          <w:rFonts w:ascii="Book Antiqua" w:hAnsi="Book Antiqua" w:cs="Times New Roman"/>
          <w:i/>
          <w:color w:val="auto"/>
          <w:kern w:val="2"/>
          <w:sz w:val="24"/>
          <w:szCs w:val="24"/>
          <w:lang w:val="en-US" w:eastAsia="zh-CN"/>
        </w:rPr>
        <w:t>Ann Surg Treat Res</w:t>
      </w:r>
      <w:r w:rsidRPr="00A1208A">
        <w:rPr>
          <w:rFonts w:ascii="Book Antiqua" w:hAnsi="Book Antiqua" w:cs="Times New Roman"/>
          <w:color w:val="auto"/>
          <w:kern w:val="2"/>
          <w:sz w:val="24"/>
          <w:szCs w:val="24"/>
          <w:lang w:val="en-US" w:eastAsia="zh-CN"/>
        </w:rPr>
        <w:t xml:space="preserve"> 2017; </w:t>
      </w:r>
      <w:r w:rsidRPr="00A1208A">
        <w:rPr>
          <w:rFonts w:ascii="Book Antiqua" w:hAnsi="Book Antiqua" w:cs="Times New Roman"/>
          <w:b/>
          <w:color w:val="auto"/>
          <w:kern w:val="2"/>
          <w:sz w:val="24"/>
          <w:szCs w:val="24"/>
          <w:lang w:val="en-US" w:eastAsia="zh-CN"/>
        </w:rPr>
        <w:t>92</w:t>
      </w:r>
      <w:r w:rsidRPr="00A1208A">
        <w:rPr>
          <w:rFonts w:ascii="Book Antiqua" w:hAnsi="Book Antiqua" w:cs="Times New Roman"/>
          <w:color w:val="auto"/>
          <w:kern w:val="2"/>
          <w:sz w:val="24"/>
          <w:szCs w:val="24"/>
          <w:lang w:val="en-US" w:eastAsia="zh-CN"/>
        </w:rPr>
        <w:t>: 164-167 [PMID: 28289671 DOI: 10.4174/astr.2017.92.3.164]</w:t>
      </w:r>
    </w:p>
    <w:p w14:paraId="7963A890"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30 </w:t>
      </w:r>
      <w:r w:rsidRPr="00A1208A">
        <w:rPr>
          <w:rFonts w:ascii="Book Antiqua" w:hAnsi="Book Antiqua" w:cs="Times New Roman"/>
          <w:b/>
          <w:color w:val="auto"/>
          <w:kern w:val="2"/>
          <w:sz w:val="24"/>
          <w:szCs w:val="24"/>
          <w:lang w:val="en-US" w:eastAsia="zh-CN"/>
        </w:rPr>
        <w:t>Rumbo C</w:t>
      </w:r>
      <w:r w:rsidRPr="00A1208A">
        <w:rPr>
          <w:rFonts w:ascii="Book Antiqua" w:hAnsi="Book Antiqua" w:cs="Times New Roman"/>
          <w:color w:val="auto"/>
          <w:kern w:val="2"/>
          <w:sz w:val="24"/>
          <w:szCs w:val="24"/>
          <w:lang w:val="en-US" w:eastAsia="zh-CN"/>
        </w:rPr>
        <w:t xml:space="preserve">, Zambernardi A, Cabanne A, Rumbo M, Gondolesi G. Sclerosing peritonitis, a rare complication after intestinal transplant. Report of one case successfully treated with adjustment of immunosuppression. </w:t>
      </w:r>
      <w:r w:rsidRPr="00A1208A">
        <w:rPr>
          <w:rFonts w:ascii="Book Antiqua" w:hAnsi="Book Antiqua" w:cs="Times New Roman"/>
          <w:i/>
          <w:color w:val="auto"/>
          <w:kern w:val="2"/>
          <w:sz w:val="24"/>
          <w:szCs w:val="24"/>
          <w:lang w:val="en-US" w:eastAsia="zh-CN"/>
        </w:rPr>
        <w:t>Pediatr Transplant</w:t>
      </w:r>
      <w:r w:rsidRPr="00A1208A">
        <w:rPr>
          <w:rFonts w:ascii="Book Antiqua" w:hAnsi="Book Antiqua" w:cs="Times New Roman"/>
          <w:color w:val="auto"/>
          <w:kern w:val="2"/>
          <w:sz w:val="24"/>
          <w:szCs w:val="24"/>
          <w:lang w:val="en-US" w:eastAsia="zh-CN"/>
        </w:rPr>
        <w:t xml:space="preserve"> 2013; </w:t>
      </w:r>
      <w:r w:rsidRPr="00A1208A">
        <w:rPr>
          <w:rFonts w:ascii="Book Antiqua" w:hAnsi="Book Antiqua" w:cs="Times New Roman"/>
          <w:b/>
          <w:color w:val="auto"/>
          <w:kern w:val="2"/>
          <w:sz w:val="24"/>
          <w:szCs w:val="24"/>
          <w:lang w:val="en-US" w:eastAsia="zh-CN"/>
        </w:rPr>
        <w:t>17</w:t>
      </w:r>
      <w:r w:rsidRPr="00A1208A">
        <w:rPr>
          <w:rFonts w:ascii="Book Antiqua" w:hAnsi="Book Antiqua" w:cs="Times New Roman"/>
          <w:color w:val="auto"/>
          <w:kern w:val="2"/>
          <w:sz w:val="24"/>
          <w:szCs w:val="24"/>
          <w:lang w:val="en-US" w:eastAsia="zh-CN"/>
        </w:rPr>
        <w:t>: E125-E129 [PMID: 23902605 DOI: 10.1111/petr.12110]</w:t>
      </w:r>
    </w:p>
    <w:p w14:paraId="7F4693AB"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31 </w:t>
      </w:r>
      <w:r w:rsidRPr="00A1208A">
        <w:rPr>
          <w:rFonts w:ascii="Book Antiqua" w:hAnsi="Book Antiqua" w:cs="Times New Roman"/>
          <w:b/>
          <w:color w:val="auto"/>
          <w:kern w:val="2"/>
          <w:sz w:val="24"/>
          <w:szCs w:val="24"/>
          <w:lang w:val="en-US" w:eastAsia="zh-CN"/>
        </w:rPr>
        <w:t>Morrow EH</w:t>
      </w:r>
      <w:r w:rsidRPr="00A1208A">
        <w:rPr>
          <w:rFonts w:ascii="Book Antiqua" w:hAnsi="Book Antiqua" w:cs="Times New Roman"/>
          <w:color w:val="auto"/>
          <w:kern w:val="2"/>
          <w:sz w:val="24"/>
          <w:szCs w:val="24"/>
          <w:lang w:val="en-US" w:eastAsia="zh-CN"/>
        </w:rPr>
        <w:t xml:space="preserve">, Gallo AE, Melcher ML. Sclerosing peritonitis after kidney transplantation: a not-so-silky cocoon. </w:t>
      </w:r>
      <w:r w:rsidRPr="00A1208A">
        <w:rPr>
          <w:rFonts w:ascii="Book Antiqua" w:hAnsi="Book Antiqua" w:cs="Times New Roman"/>
          <w:i/>
          <w:color w:val="auto"/>
          <w:kern w:val="2"/>
          <w:sz w:val="24"/>
          <w:szCs w:val="24"/>
          <w:lang w:val="en-US" w:eastAsia="zh-CN"/>
        </w:rPr>
        <w:t>Dig Dis Sci</w:t>
      </w:r>
      <w:r w:rsidRPr="00A1208A">
        <w:rPr>
          <w:rFonts w:ascii="Book Antiqua" w:hAnsi="Book Antiqua" w:cs="Times New Roman"/>
          <w:color w:val="auto"/>
          <w:kern w:val="2"/>
          <w:sz w:val="24"/>
          <w:szCs w:val="24"/>
          <w:lang w:val="en-US" w:eastAsia="zh-CN"/>
        </w:rPr>
        <w:t xml:space="preserve"> 2011; </w:t>
      </w:r>
      <w:r w:rsidRPr="00A1208A">
        <w:rPr>
          <w:rFonts w:ascii="Book Antiqua" w:hAnsi="Book Antiqua" w:cs="Times New Roman"/>
          <w:b/>
          <w:color w:val="auto"/>
          <w:kern w:val="2"/>
          <w:sz w:val="24"/>
          <w:szCs w:val="24"/>
          <w:lang w:val="en-US" w:eastAsia="zh-CN"/>
        </w:rPr>
        <w:t>56</w:t>
      </w:r>
      <w:r w:rsidRPr="00A1208A">
        <w:rPr>
          <w:rFonts w:ascii="Book Antiqua" w:hAnsi="Book Antiqua" w:cs="Times New Roman"/>
          <w:color w:val="auto"/>
          <w:kern w:val="2"/>
          <w:sz w:val="24"/>
          <w:szCs w:val="24"/>
          <w:lang w:val="en-US" w:eastAsia="zh-CN"/>
        </w:rPr>
        <w:t>: 307-310 [PMID: 21063775 DOI: 10.1007/s10620-010-1471-3]</w:t>
      </w:r>
    </w:p>
    <w:p w14:paraId="519C14F6"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32 </w:t>
      </w:r>
      <w:r w:rsidRPr="00A1208A">
        <w:rPr>
          <w:rFonts w:ascii="Book Antiqua" w:hAnsi="Book Antiqua" w:cs="Times New Roman"/>
          <w:b/>
          <w:color w:val="auto"/>
          <w:kern w:val="2"/>
          <w:sz w:val="24"/>
          <w:szCs w:val="24"/>
          <w:lang w:val="en-US" w:eastAsia="zh-CN"/>
        </w:rPr>
        <w:t>Frigerio L</w:t>
      </w:r>
      <w:r w:rsidRPr="00A1208A">
        <w:rPr>
          <w:rFonts w:ascii="Book Antiqua" w:hAnsi="Book Antiqua" w:cs="Times New Roman"/>
          <w:color w:val="auto"/>
          <w:kern w:val="2"/>
          <w:sz w:val="24"/>
          <w:szCs w:val="24"/>
          <w:lang w:val="en-US" w:eastAsia="zh-CN"/>
        </w:rPr>
        <w:t xml:space="preserve">, Taccagni GL, Mariani A, Mangili G, Ferrari A. Idiopathic sclerosing peritonitis associated with florid mesothelial hyperplasia, ovarian fibromatosis, and endometriosis: a new disorder of abdominal mass. </w:t>
      </w:r>
      <w:r w:rsidRPr="00A1208A">
        <w:rPr>
          <w:rFonts w:ascii="Book Antiqua" w:hAnsi="Book Antiqua" w:cs="Times New Roman"/>
          <w:i/>
          <w:color w:val="auto"/>
          <w:kern w:val="2"/>
          <w:sz w:val="24"/>
          <w:szCs w:val="24"/>
          <w:lang w:val="en-US" w:eastAsia="zh-CN"/>
        </w:rPr>
        <w:t>Am J Obstet Gynecol</w:t>
      </w:r>
      <w:r w:rsidRPr="00A1208A">
        <w:rPr>
          <w:rFonts w:ascii="Book Antiqua" w:hAnsi="Book Antiqua" w:cs="Times New Roman"/>
          <w:color w:val="auto"/>
          <w:kern w:val="2"/>
          <w:sz w:val="24"/>
          <w:szCs w:val="24"/>
          <w:lang w:val="en-US" w:eastAsia="zh-CN"/>
        </w:rPr>
        <w:t xml:space="preserve"> 1997; </w:t>
      </w:r>
      <w:r w:rsidRPr="00A1208A">
        <w:rPr>
          <w:rFonts w:ascii="Book Antiqua" w:hAnsi="Book Antiqua" w:cs="Times New Roman"/>
          <w:b/>
          <w:color w:val="auto"/>
          <w:kern w:val="2"/>
          <w:sz w:val="24"/>
          <w:szCs w:val="24"/>
          <w:lang w:val="en-US" w:eastAsia="zh-CN"/>
        </w:rPr>
        <w:t>176</w:t>
      </w:r>
      <w:r w:rsidRPr="00A1208A">
        <w:rPr>
          <w:rFonts w:ascii="Book Antiqua" w:hAnsi="Book Antiqua" w:cs="Times New Roman"/>
          <w:color w:val="auto"/>
          <w:kern w:val="2"/>
          <w:sz w:val="24"/>
          <w:szCs w:val="24"/>
          <w:lang w:val="en-US" w:eastAsia="zh-CN"/>
        </w:rPr>
        <w:t>: 721-722 [PMID: 9077640 DOI: 10.1016/S0002-9378(97)70581-7]</w:t>
      </w:r>
    </w:p>
    <w:p w14:paraId="6BDCF55C"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33 </w:t>
      </w:r>
      <w:r w:rsidRPr="00A1208A">
        <w:rPr>
          <w:rFonts w:ascii="Book Antiqua" w:hAnsi="Book Antiqua" w:cs="Times New Roman"/>
          <w:b/>
          <w:color w:val="auto"/>
          <w:kern w:val="2"/>
          <w:sz w:val="24"/>
          <w:szCs w:val="24"/>
          <w:lang w:val="en-US" w:eastAsia="zh-CN"/>
        </w:rPr>
        <w:t>Bahar B</w:t>
      </w:r>
      <w:r w:rsidRPr="00A1208A">
        <w:rPr>
          <w:rFonts w:ascii="Book Antiqua" w:hAnsi="Book Antiqua" w:cs="Times New Roman"/>
          <w:color w:val="auto"/>
          <w:kern w:val="2"/>
          <w:sz w:val="24"/>
          <w:szCs w:val="24"/>
          <w:lang w:val="en-US" w:eastAsia="zh-CN"/>
        </w:rPr>
        <w:t xml:space="preserve">, Hu Z, Szpaderska A, Liotta M, Potkul RK, Smith D, Erşahin Ç. Fatal case of luteinized thecoma with sclerosing peritonitis in a 40-year-old woman. </w:t>
      </w:r>
      <w:r w:rsidRPr="00A1208A">
        <w:rPr>
          <w:rFonts w:ascii="Book Antiqua" w:hAnsi="Book Antiqua" w:cs="Times New Roman"/>
          <w:i/>
          <w:color w:val="auto"/>
          <w:kern w:val="2"/>
          <w:sz w:val="24"/>
          <w:szCs w:val="24"/>
          <w:lang w:val="en-US" w:eastAsia="zh-CN"/>
        </w:rPr>
        <w:t>Int J Gynecol Pathol</w:t>
      </w:r>
      <w:r w:rsidRPr="00A1208A">
        <w:rPr>
          <w:rFonts w:ascii="Book Antiqua" w:hAnsi="Book Antiqua" w:cs="Times New Roman"/>
          <w:color w:val="auto"/>
          <w:kern w:val="2"/>
          <w:sz w:val="24"/>
          <w:szCs w:val="24"/>
          <w:lang w:val="en-US" w:eastAsia="zh-CN"/>
        </w:rPr>
        <w:t xml:space="preserve"> 2014; </w:t>
      </w:r>
      <w:r w:rsidRPr="00A1208A">
        <w:rPr>
          <w:rFonts w:ascii="Book Antiqua" w:hAnsi="Book Antiqua" w:cs="Times New Roman"/>
          <w:b/>
          <w:color w:val="auto"/>
          <w:kern w:val="2"/>
          <w:sz w:val="24"/>
          <w:szCs w:val="24"/>
          <w:lang w:val="en-US" w:eastAsia="zh-CN"/>
        </w:rPr>
        <w:t>33</w:t>
      </w:r>
      <w:r w:rsidRPr="00A1208A">
        <w:rPr>
          <w:rFonts w:ascii="Book Antiqua" w:hAnsi="Book Antiqua" w:cs="Times New Roman"/>
          <w:color w:val="auto"/>
          <w:kern w:val="2"/>
          <w:sz w:val="24"/>
          <w:szCs w:val="24"/>
          <w:lang w:val="en-US" w:eastAsia="zh-CN"/>
        </w:rPr>
        <w:t>: 30-34 [PMID: 24300532 DOI: 10.1097/PGP.0b013e31827d1a65]</w:t>
      </w:r>
    </w:p>
    <w:p w14:paraId="16BDBC04"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34 </w:t>
      </w:r>
      <w:r w:rsidRPr="00A1208A">
        <w:rPr>
          <w:rFonts w:ascii="Book Antiqua" w:hAnsi="Book Antiqua" w:cs="Times New Roman"/>
          <w:b/>
          <w:color w:val="auto"/>
          <w:kern w:val="2"/>
          <w:sz w:val="24"/>
          <w:szCs w:val="24"/>
          <w:lang w:val="en-US" w:eastAsia="zh-CN"/>
        </w:rPr>
        <w:t>Walker J</w:t>
      </w:r>
      <w:r w:rsidRPr="00A1208A">
        <w:rPr>
          <w:rFonts w:ascii="Book Antiqua" w:hAnsi="Book Antiqua" w:cs="Times New Roman"/>
          <w:color w:val="auto"/>
          <w:kern w:val="2"/>
          <w:sz w:val="24"/>
          <w:szCs w:val="24"/>
          <w:lang w:val="en-US" w:eastAsia="zh-CN"/>
        </w:rPr>
        <w:t xml:space="preserve">, Moss EL, Ganesan R, Hirschowitz L. Sclerosing peritonitis associated with a luteinized adult granulosa cell tumor. </w:t>
      </w:r>
      <w:r w:rsidRPr="00A1208A">
        <w:rPr>
          <w:rFonts w:ascii="Book Antiqua" w:hAnsi="Book Antiqua" w:cs="Times New Roman"/>
          <w:i/>
          <w:color w:val="auto"/>
          <w:kern w:val="2"/>
          <w:sz w:val="24"/>
          <w:szCs w:val="24"/>
          <w:lang w:val="en-US" w:eastAsia="zh-CN"/>
        </w:rPr>
        <w:t>Int J Gynecol Pathol</w:t>
      </w:r>
      <w:r w:rsidRPr="00A1208A">
        <w:rPr>
          <w:rFonts w:ascii="Book Antiqua" w:hAnsi="Book Antiqua" w:cs="Times New Roman"/>
          <w:color w:val="auto"/>
          <w:kern w:val="2"/>
          <w:sz w:val="24"/>
          <w:szCs w:val="24"/>
          <w:lang w:val="en-US" w:eastAsia="zh-CN"/>
        </w:rPr>
        <w:t xml:space="preserve"> 2012; </w:t>
      </w:r>
      <w:r w:rsidRPr="00A1208A">
        <w:rPr>
          <w:rFonts w:ascii="Book Antiqua" w:hAnsi="Book Antiqua" w:cs="Times New Roman"/>
          <w:b/>
          <w:color w:val="auto"/>
          <w:kern w:val="2"/>
          <w:sz w:val="24"/>
          <w:szCs w:val="24"/>
          <w:lang w:val="en-US" w:eastAsia="zh-CN"/>
        </w:rPr>
        <w:t>31</w:t>
      </w:r>
      <w:r w:rsidRPr="00A1208A">
        <w:rPr>
          <w:rFonts w:ascii="Book Antiqua" w:hAnsi="Book Antiqua" w:cs="Times New Roman"/>
          <w:color w:val="auto"/>
          <w:kern w:val="2"/>
          <w:sz w:val="24"/>
          <w:szCs w:val="24"/>
          <w:lang w:val="en-US" w:eastAsia="zh-CN"/>
        </w:rPr>
        <w:t>: 141-144 [PMID: 22317869 DOI: 10.1097/PGP.0b013e3182307b28]</w:t>
      </w:r>
    </w:p>
    <w:p w14:paraId="07E2A705"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35 </w:t>
      </w:r>
      <w:r w:rsidRPr="00A1208A">
        <w:rPr>
          <w:rFonts w:ascii="Book Antiqua" w:hAnsi="Book Antiqua" w:cs="Times New Roman"/>
          <w:b/>
          <w:color w:val="auto"/>
          <w:kern w:val="2"/>
          <w:sz w:val="24"/>
          <w:szCs w:val="24"/>
          <w:lang w:val="en-US" w:eastAsia="zh-CN"/>
        </w:rPr>
        <w:t>Fossey SJ</w:t>
      </w:r>
      <w:r w:rsidRPr="00A1208A">
        <w:rPr>
          <w:rFonts w:ascii="Book Antiqua" w:hAnsi="Book Antiqua" w:cs="Times New Roman"/>
          <w:color w:val="auto"/>
          <w:kern w:val="2"/>
          <w:sz w:val="24"/>
          <w:szCs w:val="24"/>
          <w:lang w:val="en-US" w:eastAsia="zh-CN"/>
        </w:rPr>
        <w:t xml:space="preserve">, Simson JN. Sclerosing encapsulating peritonitis secondary to dermoid cyst rupture: a case report. </w:t>
      </w:r>
      <w:r w:rsidRPr="00A1208A">
        <w:rPr>
          <w:rFonts w:ascii="Book Antiqua" w:hAnsi="Book Antiqua" w:cs="Times New Roman"/>
          <w:i/>
          <w:color w:val="auto"/>
          <w:kern w:val="2"/>
          <w:sz w:val="24"/>
          <w:szCs w:val="24"/>
          <w:lang w:val="en-US" w:eastAsia="zh-CN"/>
        </w:rPr>
        <w:t>Ann R Coll Surg Engl</w:t>
      </w:r>
      <w:r w:rsidRPr="00A1208A">
        <w:rPr>
          <w:rFonts w:ascii="Book Antiqua" w:hAnsi="Book Antiqua" w:cs="Times New Roman"/>
          <w:color w:val="auto"/>
          <w:kern w:val="2"/>
          <w:sz w:val="24"/>
          <w:szCs w:val="24"/>
          <w:lang w:val="en-US" w:eastAsia="zh-CN"/>
        </w:rPr>
        <w:t xml:space="preserve"> 2011; </w:t>
      </w:r>
      <w:r w:rsidRPr="00A1208A">
        <w:rPr>
          <w:rFonts w:ascii="Book Antiqua" w:hAnsi="Book Antiqua" w:cs="Times New Roman"/>
          <w:b/>
          <w:color w:val="auto"/>
          <w:kern w:val="2"/>
          <w:sz w:val="24"/>
          <w:szCs w:val="24"/>
          <w:lang w:val="en-US" w:eastAsia="zh-CN"/>
        </w:rPr>
        <w:t>93</w:t>
      </w:r>
      <w:r w:rsidRPr="00A1208A">
        <w:rPr>
          <w:rFonts w:ascii="Book Antiqua" w:hAnsi="Book Antiqua" w:cs="Times New Roman"/>
          <w:color w:val="auto"/>
          <w:kern w:val="2"/>
          <w:sz w:val="24"/>
          <w:szCs w:val="24"/>
          <w:lang w:val="en-US" w:eastAsia="zh-CN"/>
        </w:rPr>
        <w:t>: e39-e40 [PMID: 21943446 DOI: 10.1308/147870811X582495]</w:t>
      </w:r>
    </w:p>
    <w:p w14:paraId="1D2E1BD2"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36 </w:t>
      </w:r>
      <w:r w:rsidRPr="00A1208A">
        <w:rPr>
          <w:rFonts w:ascii="Book Antiqua" w:hAnsi="Book Antiqua" w:cs="Times New Roman"/>
          <w:b/>
          <w:color w:val="auto"/>
          <w:kern w:val="2"/>
          <w:sz w:val="24"/>
          <w:szCs w:val="24"/>
          <w:lang w:val="en-US" w:eastAsia="zh-CN"/>
        </w:rPr>
        <w:t>Ngô Y</w:t>
      </w:r>
      <w:r w:rsidRPr="00A1208A">
        <w:rPr>
          <w:rFonts w:ascii="Book Antiqua" w:hAnsi="Book Antiqua" w:cs="Times New Roman"/>
          <w:color w:val="auto"/>
          <w:kern w:val="2"/>
          <w:sz w:val="24"/>
          <w:szCs w:val="24"/>
          <w:lang w:val="en-US" w:eastAsia="zh-CN"/>
        </w:rPr>
        <w:t xml:space="preserve">, Messing B, Marteau P, Nouël O, Pasquiou A, Lavergne A, Rambaud JC. Peritoneal sarcoidosis. An unrecognized cause of sclerosing peritonitis. </w:t>
      </w:r>
      <w:r w:rsidRPr="00A1208A">
        <w:rPr>
          <w:rFonts w:ascii="Book Antiqua" w:hAnsi="Book Antiqua" w:cs="Times New Roman"/>
          <w:i/>
          <w:color w:val="auto"/>
          <w:kern w:val="2"/>
          <w:sz w:val="24"/>
          <w:szCs w:val="24"/>
          <w:lang w:val="en-US" w:eastAsia="zh-CN"/>
        </w:rPr>
        <w:t>Dig Dis Sci</w:t>
      </w:r>
      <w:r w:rsidRPr="00A1208A">
        <w:rPr>
          <w:rFonts w:ascii="Book Antiqua" w:hAnsi="Book Antiqua" w:cs="Times New Roman"/>
          <w:color w:val="auto"/>
          <w:kern w:val="2"/>
          <w:sz w:val="24"/>
          <w:szCs w:val="24"/>
          <w:lang w:val="en-US" w:eastAsia="zh-CN"/>
        </w:rPr>
        <w:t xml:space="preserve"> 1992; </w:t>
      </w:r>
      <w:r w:rsidRPr="00A1208A">
        <w:rPr>
          <w:rFonts w:ascii="Book Antiqua" w:hAnsi="Book Antiqua" w:cs="Times New Roman"/>
          <w:b/>
          <w:color w:val="auto"/>
          <w:kern w:val="2"/>
          <w:sz w:val="24"/>
          <w:szCs w:val="24"/>
          <w:lang w:val="en-US" w:eastAsia="zh-CN"/>
        </w:rPr>
        <w:t>37</w:t>
      </w:r>
      <w:r w:rsidRPr="00A1208A">
        <w:rPr>
          <w:rFonts w:ascii="Book Antiqua" w:hAnsi="Book Antiqua" w:cs="Times New Roman"/>
          <w:color w:val="auto"/>
          <w:kern w:val="2"/>
          <w:sz w:val="24"/>
          <w:szCs w:val="24"/>
          <w:lang w:val="en-US" w:eastAsia="zh-CN"/>
        </w:rPr>
        <w:t>: 1776-1780 [PMID: 1425080 DOI: 10.1007/BF01299875]</w:t>
      </w:r>
    </w:p>
    <w:p w14:paraId="0CEE1930"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37 </w:t>
      </w:r>
      <w:r w:rsidRPr="00A1208A">
        <w:rPr>
          <w:rFonts w:ascii="Book Antiqua" w:hAnsi="Book Antiqua" w:cs="Times New Roman"/>
          <w:b/>
          <w:color w:val="auto"/>
          <w:kern w:val="2"/>
          <w:sz w:val="24"/>
          <w:szCs w:val="24"/>
          <w:lang w:val="en-US" w:eastAsia="zh-CN"/>
        </w:rPr>
        <w:t>Pepels MJ</w:t>
      </w:r>
      <w:r w:rsidRPr="00A1208A">
        <w:rPr>
          <w:rFonts w:ascii="Book Antiqua" w:hAnsi="Book Antiqua" w:cs="Times New Roman"/>
          <w:color w:val="auto"/>
          <w:kern w:val="2"/>
          <w:sz w:val="24"/>
          <w:szCs w:val="24"/>
          <w:lang w:val="en-US" w:eastAsia="zh-CN"/>
        </w:rPr>
        <w:t xml:space="preserve">, Peters FP, Mebis JJ, Ceelen TL, Hoofwijk AG, Erdkamp FL. Sclerosing peritonitis: an unusual cause of ascites in a patient with systemic lupus erythematosus. </w:t>
      </w:r>
      <w:r w:rsidRPr="00A1208A">
        <w:rPr>
          <w:rFonts w:ascii="Book Antiqua" w:hAnsi="Book Antiqua" w:cs="Times New Roman"/>
          <w:i/>
          <w:color w:val="auto"/>
          <w:kern w:val="2"/>
          <w:sz w:val="24"/>
          <w:szCs w:val="24"/>
          <w:lang w:val="en-US" w:eastAsia="zh-CN"/>
        </w:rPr>
        <w:t>Neth J Med</w:t>
      </w:r>
      <w:r w:rsidRPr="00A1208A">
        <w:rPr>
          <w:rFonts w:ascii="Book Antiqua" w:hAnsi="Book Antiqua" w:cs="Times New Roman"/>
          <w:color w:val="auto"/>
          <w:kern w:val="2"/>
          <w:sz w:val="24"/>
          <w:szCs w:val="24"/>
          <w:lang w:val="en-US" w:eastAsia="zh-CN"/>
        </w:rPr>
        <w:t xml:space="preserve"> 2006; </w:t>
      </w:r>
      <w:r w:rsidRPr="00A1208A">
        <w:rPr>
          <w:rFonts w:ascii="Book Antiqua" w:hAnsi="Book Antiqua" w:cs="Times New Roman"/>
          <w:b/>
          <w:color w:val="auto"/>
          <w:kern w:val="2"/>
          <w:sz w:val="24"/>
          <w:szCs w:val="24"/>
          <w:lang w:val="en-US" w:eastAsia="zh-CN"/>
        </w:rPr>
        <w:t>64</w:t>
      </w:r>
      <w:r w:rsidRPr="00A1208A">
        <w:rPr>
          <w:rFonts w:ascii="Book Antiqua" w:hAnsi="Book Antiqua" w:cs="Times New Roman"/>
          <w:color w:val="auto"/>
          <w:kern w:val="2"/>
          <w:sz w:val="24"/>
          <w:szCs w:val="24"/>
          <w:lang w:val="en-US" w:eastAsia="zh-CN"/>
        </w:rPr>
        <w:t>: 346-349 [PMID: 17057274]</w:t>
      </w:r>
    </w:p>
    <w:p w14:paraId="25490E5F"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lastRenderedPageBreak/>
        <w:t xml:space="preserve">38 </w:t>
      </w:r>
      <w:r w:rsidRPr="00A1208A">
        <w:rPr>
          <w:rFonts w:ascii="Book Antiqua" w:hAnsi="Book Antiqua" w:cs="Times New Roman"/>
          <w:b/>
          <w:color w:val="auto"/>
          <w:kern w:val="2"/>
          <w:sz w:val="24"/>
          <w:szCs w:val="24"/>
          <w:lang w:val="en-US" w:eastAsia="zh-CN"/>
        </w:rPr>
        <w:t>Dabak R</w:t>
      </w:r>
      <w:r w:rsidRPr="00A1208A">
        <w:rPr>
          <w:rFonts w:ascii="Book Antiqua" w:hAnsi="Book Antiqua" w:cs="Times New Roman"/>
          <w:color w:val="auto"/>
          <w:kern w:val="2"/>
          <w:sz w:val="24"/>
          <w:szCs w:val="24"/>
          <w:lang w:val="en-US" w:eastAsia="zh-CN"/>
        </w:rPr>
        <w:t xml:space="preserve">, Uygur-Bayramiçli O, Aydin DK, Dolapçioglu C, Gemici C, Erginel T, Turan C, Karadayi N. Encapsulating peritonitis and familial Mediterranean fever. </w:t>
      </w:r>
      <w:r w:rsidRPr="00A1208A">
        <w:rPr>
          <w:rFonts w:ascii="Book Antiqua" w:hAnsi="Book Antiqua" w:cs="Times New Roman"/>
          <w:i/>
          <w:color w:val="auto"/>
          <w:kern w:val="2"/>
          <w:sz w:val="24"/>
          <w:szCs w:val="24"/>
          <w:lang w:val="en-US" w:eastAsia="zh-CN"/>
        </w:rPr>
        <w:t>World J Gastroenterol</w:t>
      </w:r>
      <w:r w:rsidRPr="00A1208A">
        <w:rPr>
          <w:rFonts w:ascii="Book Antiqua" w:hAnsi="Book Antiqua" w:cs="Times New Roman"/>
          <w:color w:val="auto"/>
          <w:kern w:val="2"/>
          <w:sz w:val="24"/>
          <w:szCs w:val="24"/>
          <w:lang w:val="en-US" w:eastAsia="zh-CN"/>
        </w:rPr>
        <w:t xml:space="preserve"> 2005; </w:t>
      </w:r>
      <w:r w:rsidRPr="00A1208A">
        <w:rPr>
          <w:rFonts w:ascii="Book Antiqua" w:hAnsi="Book Antiqua" w:cs="Times New Roman"/>
          <w:b/>
          <w:color w:val="auto"/>
          <w:kern w:val="2"/>
          <w:sz w:val="24"/>
          <w:szCs w:val="24"/>
          <w:lang w:val="en-US" w:eastAsia="zh-CN"/>
        </w:rPr>
        <w:t>11</w:t>
      </w:r>
      <w:r w:rsidRPr="00A1208A">
        <w:rPr>
          <w:rFonts w:ascii="Book Antiqua" w:hAnsi="Book Antiqua" w:cs="Times New Roman"/>
          <w:color w:val="auto"/>
          <w:kern w:val="2"/>
          <w:sz w:val="24"/>
          <w:szCs w:val="24"/>
          <w:lang w:val="en-US" w:eastAsia="zh-CN"/>
        </w:rPr>
        <w:t>: 2844-2846 [PMID: 15884137]</w:t>
      </w:r>
    </w:p>
    <w:p w14:paraId="7EB9145F"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39 </w:t>
      </w:r>
      <w:r w:rsidRPr="00A1208A">
        <w:rPr>
          <w:rFonts w:ascii="Book Antiqua" w:hAnsi="Book Antiqua" w:cs="Times New Roman"/>
          <w:b/>
          <w:color w:val="auto"/>
          <w:kern w:val="2"/>
          <w:sz w:val="24"/>
          <w:szCs w:val="24"/>
          <w:lang w:val="en-US" w:eastAsia="zh-CN"/>
        </w:rPr>
        <w:t>Alston H</w:t>
      </w:r>
      <w:r w:rsidRPr="00A1208A">
        <w:rPr>
          <w:rFonts w:ascii="Book Antiqua" w:hAnsi="Book Antiqua" w:cs="Times New Roman"/>
          <w:color w:val="auto"/>
          <w:kern w:val="2"/>
          <w:sz w:val="24"/>
          <w:szCs w:val="24"/>
          <w:lang w:val="en-US" w:eastAsia="zh-CN"/>
        </w:rPr>
        <w:t xml:space="preserve">, Fan S, Nakayama M. Encapsulating Peritoneal Sclerosis. </w:t>
      </w:r>
      <w:r w:rsidRPr="00A1208A">
        <w:rPr>
          <w:rFonts w:ascii="Book Antiqua" w:hAnsi="Book Antiqua" w:cs="Times New Roman"/>
          <w:i/>
          <w:color w:val="auto"/>
          <w:kern w:val="2"/>
          <w:sz w:val="24"/>
          <w:szCs w:val="24"/>
          <w:lang w:val="en-US" w:eastAsia="zh-CN"/>
        </w:rPr>
        <w:t>Semin Nephrol</w:t>
      </w:r>
      <w:r w:rsidRPr="00A1208A">
        <w:rPr>
          <w:rFonts w:ascii="Book Antiqua" w:hAnsi="Book Antiqua" w:cs="Times New Roman"/>
          <w:color w:val="auto"/>
          <w:kern w:val="2"/>
          <w:sz w:val="24"/>
          <w:szCs w:val="24"/>
          <w:lang w:val="en-US" w:eastAsia="zh-CN"/>
        </w:rPr>
        <w:t xml:space="preserve"> 2017; </w:t>
      </w:r>
      <w:r w:rsidRPr="00A1208A">
        <w:rPr>
          <w:rFonts w:ascii="Book Antiqua" w:hAnsi="Book Antiqua" w:cs="Times New Roman"/>
          <w:b/>
          <w:color w:val="auto"/>
          <w:kern w:val="2"/>
          <w:sz w:val="24"/>
          <w:szCs w:val="24"/>
          <w:lang w:val="en-US" w:eastAsia="zh-CN"/>
        </w:rPr>
        <w:t>37</w:t>
      </w:r>
      <w:r w:rsidRPr="00A1208A">
        <w:rPr>
          <w:rFonts w:ascii="Book Antiqua" w:hAnsi="Book Antiqua" w:cs="Times New Roman"/>
          <w:color w:val="auto"/>
          <w:kern w:val="2"/>
          <w:sz w:val="24"/>
          <w:szCs w:val="24"/>
          <w:lang w:val="en-US" w:eastAsia="zh-CN"/>
        </w:rPr>
        <w:t>: 93-102 [PMID: 28153198 DOI: 10.1016/j.semnephrol.2016.10.010]</w:t>
      </w:r>
    </w:p>
    <w:p w14:paraId="1D4F73C1"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40 </w:t>
      </w:r>
      <w:r w:rsidRPr="00A1208A">
        <w:rPr>
          <w:rFonts w:ascii="Book Antiqua" w:hAnsi="Book Antiqua" w:cs="Times New Roman"/>
          <w:b/>
          <w:color w:val="auto"/>
          <w:kern w:val="2"/>
          <w:sz w:val="24"/>
          <w:szCs w:val="24"/>
          <w:lang w:val="en-US" w:eastAsia="zh-CN"/>
        </w:rPr>
        <w:t>Johnson DW</w:t>
      </w:r>
      <w:r w:rsidRPr="00A1208A">
        <w:rPr>
          <w:rFonts w:ascii="Book Antiqua" w:hAnsi="Book Antiqua" w:cs="Times New Roman"/>
          <w:color w:val="auto"/>
          <w:kern w:val="2"/>
          <w:sz w:val="24"/>
          <w:szCs w:val="24"/>
          <w:lang w:val="en-US" w:eastAsia="zh-CN"/>
        </w:rPr>
        <w:t xml:space="preserve">, Cho Y, Livingston BE, Hawley CM, McDonald SP, Brown FG, Rosman JB, Bannister KM, Wiggins KJ. Encapsulating peritoneal sclerosis: incidence, predictors, and outcomes. </w:t>
      </w:r>
      <w:r w:rsidRPr="00A1208A">
        <w:rPr>
          <w:rFonts w:ascii="Book Antiqua" w:hAnsi="Book Antiqua" w:cs="Times New Roman"/>
          <w:i/>
          <w:color w:val="auto"/>
          <w:kern w:val="2"/>
          <w:sz w:val="24"/>
          <w:szCs w:val="24"/>
          <w:lang w:val="en-US" w:eastAsia="zh-CN"/>
        </w:rPr>
        <w:t>Kidney Int</w:t>
      </w:r>
      <w:r w:rsidRPr="00A1208A">
        <w:rPr>
          <w:rFonts w:ascii="Book Antiqua" w:hAnsi="Book Antiqua" w:cs="Times New Roman"/>
          <w:color w:val="auto"/>
          <w:kern w:val="2"/>
          <w:sz w:val="24"/>
          <w:szCs w:val="24"/>
          <w:lang w:val="en-US" w:eastAsia="zh-CN"/>
        </w:rPr>
        <w:t xml:space="preserve"> 2010; </w:t>
      </w:r>
      <w:r w:rsidRPr="00A1208A">
        <w:rPr>
          <w:rFonts w:ascii="Book Antiqua" w:hAnsi="Book Antiqua" w:cs="Times New Roman"/>
          <w:b/>
          <w:color w:val="auto"/>
          <w:kern w:val="2"/>
          <w:sz w:val="24"/>
          <w:szCs w:val="24"/>
          <w:lang w:val="en-US" w:eastAsia="zh-CN"/>
        </w:rPr>
        <w:t>77</w:t>
      </w:r>
      <w:r w:rsidRPr="00A1208A">
        <w:rPr>
          <w:rFonts w:ascii="Book Antiqua" w:hAnsi="Book Antiqua" w:cs="Times New Roman"/>
          <w:color w:val="auto"/>
          <w:kern w:val="2"/>
          <w:sz w:val="24"/>
          <w:szCs w:val="24"/>
          <w:lang w:val="en-US" w:eastAsia="zh-CN"/>
        </w:rPr>
        <w:t>: 904-912 [PMID: 20375981 DOI: 10.1038/ki.2010.16]Available]</w:t>
      </w:r>
    </w:p>
    <w:p w14:paraId="0C187487"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41 </w:t>
      </w:r>
      <w:r w:rsidRPr="00A1208A">
        <w:rPr>
          <w:rFonts w:ascii="Book Antiqua" w:hAnsi="Book Antiqua" w:cs="Times New Roman"/>
          <w:b/>
          <w:color w:val="auto"/>
          <w:kern w:val="2"/>
          <w:sz w:val="24"/>
          <w:szCs w:val="24"/>
          <w:lang w:val="en-US" w:eastAsia="zh-CN"/>
        </w:rPr>
        <w:t>Kawanishi H</w:t>
      </w:r>
      <w:r w:rsidRPr="00A1208A">
        <w:rPr>
          <w:rFonts w:ascii="Book Antiqua" w:hAnsi="Book Antiqua" w:cs="Times New Roman"/>
          <w:color w:val="auto"/>
          <w:kern w:val="2"/>
          <w:sz w:val="24"/>
          <w:szCs w:val="24"/>
          <w:lang w:val="en-US" w:eastAsia="zh-CN"/>
        </w:rPr>
        <w:t xml:space="preserve">, Moriishi M. Epidemiology of encapsulating peritoneal sclerosis in Japan. </w:t>
      </w:r>
      <w:r w:rsidRPr="00A1208A">
        <w:rPr>
          <w:rFonts w:ascii="Book Antiqua" w:hAnsi="Book Antiqua" w:cs="Times New Roman"/>
          <w:i/>
          <w:color w:val="auto"/>
          <w:kern w:val="2"/>
          <w:sz w:val="24"/>
          <w:szCs w:val="24"/>
          <w:lang w:val="en-US" w:eastAsia="zh-CN"/>
        </w:rPr>
        <w:t>Perit Dial Int</w:t>
      </w:r>
      <w:r w:rsidRPr="00A1208A">
        <w:rPr>
          <w:rFonts w:ascii="Book Antiqua" w:hAnsi="Book Antiqua" w:cs="Times New Roman"/>
          <w:color w:val="auto"/>
          <w:kern w:val="2"/>
          <w:sz w:val="24"/>
          <w:szCs w:val="24"/>
          <w:lang w:val="en-US" w:eastAsia="zh-CN"/>
        </w:rPr>
        <w:t xml:space="preserve"> 2005; </w:t>
      </w:r>
      <w:r w:rsidRPr="00A1208A">
        <w:rPr>
          <w:rFonts w:ascii="Book Antiqua" w:hAnsi="Book Antiqua" w:cs="Times New Roman"/>
          <w:b/>
          <w:color w:val="auto"/>
          <w:kern w:val="2"/>
          <w:sz w:val="24"/>
          <w:szCs w:val="24"/>
          <w:lang w:val="en-US" w:eastAsia="zh-CN"/>
        </w:rPr>
        <w:t>25 Suppl 4</w:t>
      </w:r>
      <w:r w:rsidRPr="00A1208A">
        <w:rPr>
          <w:rFonts w:ascii="Book Antiqua" w:hAnsi="Book Antiqua" w:cs="Times New Roman"/>
          <w:color w:val="auto"/>
          <w:kern w:val="2"/>
          <w:sz w:val="24"/>
          <w:szCs w:val="24"/>
          <w:lang w:val="en-US" w:eastAsia="zh-CN"/>
        </w:rPr>
        <w:t>: S14-S18 [PMID: 16300268]</w:t>
      </w:r>
    </w:p>
    <w:p w14:paraId="213B287A"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42 </w:t>
      </w:r>
      <w:r w:rsidRPr="00A1208A">
        <w:rPr>
          <w:rFonts w:ascii="Book Antiqua" w:hAnsi="Book Antiqua" w:cs="Times New Roman"/>
          <w:b/>
          <w:color w:val="auto"/>
          <w:kern w:val="2"/>
          <w:sz w:val="24"/>
          <w:szCs w:val="24"/>
          <w:lang w:val="en-US" w:eastAsia="zh-CN"/>
        </w:rPr>
        <w:t>Honda K</w:t>
      </w:r>
      <w:r w:rsidRPr="00A1208A">
        <w:rPr>
          <w:rFonts w:ascii="Book Antiqua" w:hAnsi="Book Antiqua" w:cs="Times New Roman"/>
          <w:color w:val="auto"/>
          <w:kern w:val="2"/>
          <w:sz w:val="24"/>
          <w:szCs w:val="24"/>
          <w:lang w:val="en-US" w:eastAsia="zh-CN"/>
        </w:rPr>
        <w:t xml:space="preserve">, Oda H. Pathology of encapsulating peritoneal sclerosis. </w:t>
      </w:r>
      <w:r w:rsidRPr="00A1208A">
        <w:rPr>
          <w:rFonts w:ascii="Book Antiqua" w:hAnsi="Book Antiqua" w:cs="Times New Roman"/>
          <w:i/>
          <w:color w:val="auto"/>
          <w:kern w:val="2"/>
          <w:sz w:val="24"/>
          <w:szCs w:val="24"/>
          <w:lang w:val="en-US" w:eastAsia="zh-CN"/>
        </w:rPr>
        <w:t>Perit Dial Int</w:t>
      </w:r>
      <w:r w:rsidRPr="00A1208A">
        <w:rPr>
          <w:rFonts w:ascii="Book Antiqua" w:hAnsi="Book Antiqua" w:cs="Times New Roman"/>
          <w:color w:val="auto"/>
          <w:kern w:val="2"/>
          <w:sz w:val="24"/>
          <w:szCs w:val="24"/>
          <w:lang w:val="en-US" w:eastAsia="zh-CN"/>
        </w:rPr>
        <w:t xml:space="preserve"> 2005; </w:t>
      </w:r>
      <w:r w:rsidRPr="00A1208A">
        <w:rPr>
          <w:rFonts w:ascii="Book Antiqua" w:hAnsi="Book Antiqua" w:cs="Times New Roman"/>
          <w:b/>
          <w:color w:val="auto"/>
          <w:kern w:val="2"/>
          <w:sz w:val="24"/>
          <w:szCs w:val="24"/>
          <w:lang w:val="en-US" w:eastAsia="zh-CN"/>
        </w:rPr>
        <w:t>25 Suppl 4</w:t>
      </w:r>
      <w:r w:rsidRPr="00A1208A">
        <w:rPr>
          <w:rFonts w:ascii="Book Antiqua" w:hAnsi="Book Antiqua" w:cs="Times New Roman"/>
          <w:color w:val="auto"/>
          <w:kern w:val="2"/>
          <w:sz w:val="24"/>
          <w:szCs w:val="24"/>
          <w:lang w:val="en-US" w:eastAsia="zh-CN"/>
        </w:rPr>
        <w:t>: S19-S29 [PMID: 16300269]</w:t>
      </w:r>
    </w:p>
    <w:p w14:paraId="758C8418"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43 </w:t>
      </w:r>
      <w:r w:rsidRPr="00A1208A">
        <w:rPr>
          <w:rFonts w:ascii="Book Antiqua" w:hAnsi="Book Antiqua" w:cs="Times New Roman"/>
          <w:b/>
          <w:color w:val="auto"/>
          <w:kern w:val="2"/>
          <w:sz w:val="24"/>
          <w:szCs w:val="24"/>
          <w:lang w:val="en-US" w:eastAsia="zh-CN"/>
        </w:rPr>
        <w:t>Abrahams AC</w:t>
      </w:r>
      <w:r w:rsidRPr="00A1208A">
        <w:rPr>
          <w:rFonts w:ascii="Book Antiqua" w:hAnsi="Book Antiqua" w:cs="Times New Roman"/>
          <w:color w:val="auto"/>
          <w:kern w:val="2"/>
          <w:sz w:val="24"/>
          <w:szCs w:val="24"/>
          <w:lang w:val="en-US" w:eastAsia="zh-CN"/>
        </w:rPr>
        <w:t xml:space="preserve">, Habib SM, Dendooven A, Riser BL, van der Veer JW, Toorop RJ, Betjes MG, Verhaar MC, Watson CJ, Nguyen TQ, Boer WH. Patients with encapsulating peritoneal sclerosis have increased peritoneal expression of connective tissue growth factor (CCN2), transforming growth factor-β1, and vascular endothelial growth factor. </w:t>
      </w:r>
      <w:r w:rsidRPr="00A1208A">
        <w:rPr>
          <w:rFonts w:ascii="Book Antiqua" w:hAnsi="Book Antiqua" w:cs="Times New Roman"/>
          <w:i/>
          <w:color w:val="auto"/>
          <w:kern w:val="2"/>
          <w:sz w:val="24"/>
          <w:szCs w:val="24"/>
          <w:lang w:val="en-US" w:eastAsia="zh-CN"/>
        </w:rPr>
        <w:t>PLoS One</w:t>
      </w:r>
      <w:r w:rsidRPr="00A1208A">
        <w:rPr>
          <w:rFonts w:ascii="Book Antiqua" w:hAnsi="Book Antiqua" w:cs="Times New Roman"/>
          <w:color w:val="auto"/>
          <w:kern w:val="2"/>
          <w:sz w:val="24"/>
          <w:szCs w:val="24"/>
          <w:lang w:val="en-US" w:eastAsia="zh-CN"/>
        </w:rPr>
        <w:t xml:space="preserve"> 2014; </w:t>
      </w:r>
      <w:r w:rsidRPr="00A1208A">
        <w:rPr>
          <w:rFonts w:ascii="Book Antiqua" w:hAnsi="Book Antiqua" w:cs="Times New Roman"/>
          <w:b/>
          <w:color w:val="auto"/>
          <w:kern w:val="2"/>
          <w:sz w:val="24"/>
          <w:szCs w:val="24"/>
          <w:lang w:val="en-US" w:eastAsia="zh-CN"/>
        </w:rPr>
        <w:t>9</w:t>
      </w:r>
      <w:r w:rsidRPr="00A1208A">
        <w:rPr>
          <w:rFonts w:ascii="Book Antiqua" w:hAnsi="Book Antiqua" w:cs="Times New Roman"/>
          <w:color w:val="auto"/>
          <w:kern w:val="2"/>
          <w:sz w:val="24"/>
          <w:szCs w:val="24"/>
          <w:lang w:val="en-US" w:eastAsia="zh-CN"/>
        </w:rPr>
        <w:t>: e112050 [PMID: 25384022 DOI: 10.1371/journal.pone.0112050]Available]</w:t>
      </w:r>
    </w:p>
    <w:p w14:paraId="2AB47A44"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44 </w:t>
      </w:r>
      <w:r w:rsidRPr="00A1208A">
        <w:rPr>
          <w:rFonts w:ascii="Book Antiqua" w:hAnsi="Book Antiqua" w:cs="Times New Roman"/>
          <w:b/>
          <w:color w:val="auto"/>
          <w:kern w:val="2"/>
          <w:sz w:val="24"/>
          <w:szCs w:val="24"/>
          <w:lang w:val="en-US" w:eastAsia="zh-CN"/>
        </w:rPr>
        <w:t>Lambie MR</w:t>
      </w:r>
      <w:r w:rsidRPr="00A1208A">
        <w:rPr>
          <w:rFonts w:ascii="Book Antiqua" w:hAnsi="Book Antiqua" w:cs="Times New Roman"/>
          <w:color w:val="auto"/>
          <w:kern w:val="2"/>
          <w:sz w:val="24"/>
          <w:szCs w:val="24"/>
          <w:lang w:val="en-US" w:eastAsia="zh-CN"/>
        </w:rPr>
        <w:t xml:space="preserve">, Chess J, Summers AM, Williams PF, Topley N, Davies SJ; GLOBAL Fluid Study Investigators. Peritoneal inflammation precedes encapsulating peritoneal sclerosis: results from the GLOBAL Fluid Study. </w:t>
      </w:r>
      <w:r w:rsidRPr="00A1208A">
        <w:rPr>
          <w:rFonts w:ascii="Book Antiqua" w:hAnsi="Book Antiqua" w:cs="Times New Roman"/>
          <w:i/>
          <w:color w:val="auto"/>
          <w:kern w:val="2"/>
          <w:sz w:val="24"/>
          <w:szCs w:val="24"/>
          <w:lang w:val="en-US" w:eastAsia="zh-CN"/>
        </w:rPr>
        <w:t>Nephrol Dial Transplant</w:t>
      </w:r>
      <w:r w:rsidRPr="00A1208A">
        <w:rPr>
          <w:rFonts w:ascii="Book Antiqua" w:hAnsi="Book Antiqua" w:cs="Times New Roman"/>
          <w:color w:val="auto"/>
          <w:kern w:val="2"/>
          <w:sz w:val="24"/>
          <w:szCs w:val="24"/>
          <w:lang w:val="en-US" w:eastAsia="zh-CN"/>
        </w:rPr>
        <w:t xml:space="preserve"> 2016; </w:t>
      </w:r>
      <w:r w:rsidRPr="00A1208A">
        <w:rPr>
          <w:rFonts w:ascii="Book Antiqua" w:hAnsi="Book Antiqua" w:cs="Times New Roman"/>
          <w:b/>
          <w:color w:val="auto"/>
          <w:kern w:val="2"/>
          <w:sz w:val="24"/>
          <w:szCs w:val="24"/>
          <w:lang w:val="en-US" w:eastAsia="zh-CN"/>
        </w:rPr>
        <w:t>31</w:t>
      </w:r>
      <w:r w:rsidRPr="00A1208A">
        <w:rPr>
          <w:rFonts w:ascii="Book Antiqua" w:hAnsi="Book Antiqua" w:cs="Times New Roman"/>
          <w:color w:val="auto"/>
          <w:kern w:val="2"/>
          <w:sz w:val="24"/>
          <w:szCs w:val="24"/>
          <w:lang w:val="en-US" w:eastAsia="zh-CN"/>
        </w:rPr>
        <w:t>: 480-486 [PMID: 26908833 DOI: 10.1093/ndt/gfv440]</w:t>
      </w:r>
    </w:p>
    <w:p w14:paraId="68C34B9B"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45 </w:t>
      </w:r>
      <w:r w:rsidRPr="00A1208A">
        <w:rPr>
          <w:rFonts w:ascii="Book Antiqua" w:hAnsi="Book Antiqua" w:cs="Times New Roman"/>
          <w:b/>
          <w:color w:val="auto"/>
          <w:kern w:val="2"/>
          <w:sz w:val="24"/>
          <w:szCs w:val="24"/>
          <w:lang w:val="en-US" w:eastAsia="zh-CN"/>
        </w:rPr>
        <w:t>Braun N</w:t>
      </w:r>
      <w:r w:rsidRPr="00A1208A">
        <w:rPr>
          <w:rFonts w:ascii="Book Antiqua" w:hAnsi="Book Antiqua" w:cs="Times New Roman"/>
          <w:color w:val="auto"/>
          <w:kern w:val="2"/>
          <w:sz w:val="24"/>
          <w:szCs w:val="24"/>
          <w:lang w:val="en-US" w:eastAsia="zh-CN"/>
        </w:rPr>
        <w:t xml:space="preserve">, Alscher DM, Fritz P, Edenhofer I, Kimmel M, Gaspert A, Reimold F, Bode-Lesniewska B, Ziegler U, Biegger D, Wüthrich RP, Segerer S. Podoplanin-positive cells are a hallmark of encapsulating peritoneal sclerosis. </w:t>
      </w:r>
      <w:r w:rsidRPr="00A1208A">
        <w:rPr>
          <w:rFonts w:ascii="Book Antiqua" w:hAnsi="Book Antiqua" w:cs="Times New Roman"/>
          <w:i/>
          <w:color w:val="auto"/>
          <w:kern w:val="2"/>
          <w:sz w:val="24"/>
          <w:szCs w:val="24"/>
          <w:lang w:val="en-US" w:eastAsia="zh-CN"/>
        </w:rPr>
        <w:t>Nephrol Dial Transplant</w:t>
      </w:r>
      <w:r w:rsidRPr="00A1208A">
        <w:rPr>
          <w:rFonts w:ascii="Book Antiqua" w:hAnsi="Book Antiqua" w:cs="Times New Roman"/>
          <w:color w:val="auto"/>
          <w:kern w:val="2"/>
          <w:sz w:val="24"/>
          <w:szCs w:val="24"/>
          <w:lang w:val="en-US" w:eastAsia="zh-CN"/>
        </w:rPr>
        <w:t xml:space="preserve"> 2011; </w:t>
      </w:r>
      <w:r w:rsidRPr="00A1208A">
        <w:rPr>
          <w:rFonts w:ascii="Book Antiqua" w:hAnsi="Book Antiqua" w:cs="Times New Roman"/>
          <w:b/>
          <w:color w:val="auto"/>
          <w:kern w:val="2"/>
          <w:sz w:val="24"/>
          <w:szCs w:val="24"/>
          <w:lang w:val="en-US" w:eastAsia="zh-CN"/>
        </w:rPr>
        <w:t>26</w:t>
      </w:r>
      <w:r w:rsidRPr="00A1208A">
        <w:rPr>
          <w:rFonts w:ascii="Book Antiqua" w:hAnsi="Book Antiqua" w:cs="Times New Roman"/>
          <w:color w:val="auto"/>
          <w:kern w:val="2"/>
          <w:sz w:val="24"/>
          <w:szCs w:val="24"/>
          <w:lang w:val="en-US" w:eastAsia="zh-CN"/>
        </w:rPr>
        <w:t>: 1033-1041 [PMID: 20709739 DOI: 10.1093/ndt/gfq488]</w:t>
      </w:r>
    </w:p>
    <w:p w14:paraId="27386F66"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46 </w:t>
      </w:r>
      <w:r w:rsidRPr="00A1208A">
        <w:rPr>
          <w:rFonts w:ascii="Book Antiqua" w:hAnsi="Book Antiqua" w:cs="Times New Roman"/>
          <w:b/>
          <w:color w:val="auto"/>
          <w:kern w:val="2"/>
          <w:sz w:val="24"/>
          <w:szCs w:val="24"/>
          <w:lang w:val="en-US" w:eastAsia="zh-CN"/>
        </w:rPr>
        <w:t>Lopez-Anton M</w:t>
      </w:r>
      <w:r w:rsidRPr="00A1208A">
        <w:rPr>
          <w:rFonts w:ascii="Book Antiqua" w:hAnsi="Book Antiqua" w:cs="Times New Roman"/>
          <w:color w:val="auto"/>
          <w:kern w:val="2"/>
          <w:sz w:val="24"/>
          <w:szCs w:val="24"/>
          <w:lang w:val="en-US" w:eastAsia="zh-CN"/>
        </w:rPr>
        <w:t xml:space="preserve">, Lambie M, Lopez-Cabrera M, Schmitt CP, Ruiz-Carpio V, Bartosova M, Schaefer B, Davies S, Stone T, Jenkins R, Taylor PR, Topley N, Bowen T, </w:t>
      </w:r>
      <w:r w:rsidRPr="00A1208A">
        <w:rPr>
          <w:rFonts w:ascii="Book Antiqua" w:hAnsi="Book Antiqua" w:cs="Times New Roman"/>
          <w:color w:val="auto"/>
          <w:kern w:val="2"/>
          <w:sz w:val="24"/>
          <w:szCs w:val="24"/>
          <w:lang w:val="en-US" w:eastAsia="zh-CN"/>
        </w:rPr>
        <w:lastRenderedPageBreak/>
        <w:t xml:space="preserve">Fraser D. miR-21 Promotes Fibrogenesis in Peritoneal Dialysis. </w:t>
      </w:r>
      <w:r w:rsidRPr="00A1208A">
        <w:rPr>
          <w:rFonts w:ascii="Book Antiqua" w:hAnsi="Book Antiqua" w:cs="Times New Roman"/>
          <w:i/>
          <w:color w:val="auto"/>
          <w:kern w:val="2"/>
          <w:sz w:val="24"/>
          <w:szCs w:val="24"/>
          <w:lang w:val="en-US" w:eastAsia="zh-CN"/>
        </w:rPr>
        <w:t>Am J Pathol</w:t>
      </w:r>
      <w:r w:rsidRPr="00A1208A">
        <w:rPr>
          <w:rFonts w:ascii="Book Antiqua" w:hAnsi="Book Antiqua" w:cs="Times New Roman"/>
          <w:color w:val="auto"/>
          <w:kern w:val="2"/>
          <w:sz w:val="24"/>
          <w:szCs w:val="24"/>
          <w:lang w:val="en-US" w:eastAsia="zh-CN"/>
        </w:rPr>
        <w:t xml:space="preserve"> 2017; </w:t>
      </w:r>
      <w:r w:rsidRPr="00A1208A">
        <w:rPr>
          <w:rFonts w:ascii="Book Antiqua" w:hAnsi="Book Antiqua" w:cs="Times New Roman"/>
          <w:b/>
          <w:color w:val="auto"/>
          <w:kern w:val="2"/>
          <w:sz w:val="24"/>
          <w:szCs w:val="24"/>
          <w:lang w:val="en-US" w:eastAsia="zh-CN"/>
        </w:rPr>
        <w:t>187</w:t>
      </w:r>
      <w:r w:rsidRPr="00A1208A">
        <w:rPr>
          <w:rFonts w:ascii="Book Antiqua" w:hAnsi="Book Antiqua" w:cs="Times New Roman"/>
          <w:color w:val="auto"/>
          <w:kern w:val="2"/>
          <w:sz w:val="24"/>
          <w:szCs w:val="24"/>
          <w:lang w:val="en-US" w:eastAsia="zh-CN"/>
        </w:rPr>
        <w:t>: 1537-1550 [PMID: 28495592 DOI: 10.1016/j.ajpath.2017.03.007]Available]</w:t>
      </w:r>
    </w:p>
    <w:p w14:paraId="3B1659B9"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47 </w:t>
      </w:r>
      <w:r w:rsidRPr="00A1208A">
        <w:rPr>
          <w:rFonts w:ascii="Book Antiqua" w:hAnsi="Book Antiqua" w:cs="Times New Roman"/>
          <w:b/>
          <w:color w:val="auto"/>
          <w:kern w:val="2"/>
          <w:sz w:val="24"/>
          <w:szCs w:val="24"/>
          <w:lang w:val="en-US" w:eastAsia="zh-CN"/>
        </w:rPr>
        <w:t>Reimold FR</w:t>
      </w:r>
      <w:r w:rsidRPr="00A1208A">
        <w:rPr>
          <w:rFonts w:ascii="Book Antiqua" w:hAnsi="Book Antiqua" w:cs="Times New Roman"/>
          <w:color w:val="auto"/>
          <w:kern w:val="2"/>
          <w:sz w:val="24"/>
          <w:szCs w:val="24"/>
          <w:lang w:val="en-US" w:eastAsia="zh-CN"/>
        </w:rPr>
        <w:t xml:space="preserve">, Braun N, Zsengellér ZK, Stillman IE, Karumanchi SA, Toka HR, Latus J, Fritz P, Biegger D, Segerer S, Alscher MD, Bhasin MK, Alper SL. Transcriptional patterns in peritoneal tissue of encapsulating peritoneal sclerosis, a complication of chronic peritoneal dialysis. </w:t>
      </w:r>
      <w:r w:rsidRPr="00A1208A">
        <w:rPr>
          <w:rFonts w:ascii="Book Antiqua" w:hAnsi="Book Antiqua" w:cs="Times New Roman"/>
          <w:i/>
          <w:color w:val="auto"/>
          <w:kern w:val="2"/>
          <w:sz w:val="24"/>
          <w:szCs w:val="24"/>
          <w:lang w:val="en-US" w:eastAsia="zh-CN"/>
        </w:rPr>
        <w:t>PLoS One</w:t>
      </w:r>
      <w:r w:rsidRPr="00A1208A">
        <w:rPr>
          <w:rFonts w:ascii="Book Antiqua" w:hAnsi="Book Antiqua" w:cs="Times New Roman"/>
          <w:color w:val="auto"/>
          <w:kern w:val="2"/>
          <w:sz w:val="24"/>
          <w:szCs w:val="24"/>
          <w:lang w:val="en-US" w:eastAsia="zh-CN"/>
        </w:rPr>
        <w:t xml:space="preserve"> 2013; </w:t>
      </w:r>
      <w:r w:rsidRPr="00A1208A">
        <w:rPr>
          <w:rFonts w:ascii="Book Antiqua" w:hAnsi="Book Antiqua" w:cs="Times New Roman"/>
          <w:b/>
          <w:color w:val="auto"/>
          <w:kern w:val="2"/>
          <w:sz w:val="24"/>
          <w:szCs w:val="24"/>
          <w:lang w:val="en-US" w:eastAsia="zh-CN"/>
        </w:rPr>
        <w:t>8</w:t>
      </w:r>
      <w:r w:rsidRPr="00A1208A">
        <w:rPr>
          <w:rFonts w:ascii="Book Antiqua" w:hAnsi="Book Antiqua" w:cs="Times New Roman"/>
          <w:color w:val="auto"/>
          <w:kern w:val="2"/>
          <w:sz w:val="24"/>
          <w:szCs w:val="24"/>
          <w:lang w:val="en-US" w:eastAsia="zh-CN"/>
        </w:rPr>
        <w:t>: e56389 [PMID: 23418565 DOI: 10.1371/journal.pone.0056389]</w:t>
      </w:r>
    </w:p>
    <w:p w14:paraId="637CD47D"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48 </w:t>
      </w:r>
      <w:r w:rsidRPr="00A1208A">
        <w:rPr>
          <w:rFonts w:ascii="Book Antiqua" w:hAnsi="Book Antiqua" w:cs="Times New Roman"/>
          <w:b/>
          <w:color w:val="auto"/>
          <w:kern w:val="2"/>
          <w:sz w:val="24"/>
          <w:szCs w:val="24"/>
          <w:lang w:val="en-US" w:eastAsia="zh-CN"/>
        </w:rPr>
        <w:t>Maruyama Y</w:t>
      </w:r>
      <w:r w:rsidRPr="00A1208A">
        <w:rPr>
          <w:rFonts w:ascii="Book Antiqua" w:hAnsi="Book Antiqua" w:cs="Times New Roman"/>
          <w:color w:val="auto"/>
          <w:kern w:val="2"/>
          <w:sz w:val="24"/>
          <w:szCs w:val="24"/>
          <w:lang w:val="en-US" w:eastAsia="zh-CN"/>
        </w:rPr>
        <w:t xml:space="preserve">, Numata M, Nakayama M, Matsuo N, Nordfors L, Hosoya T, Lindholm B. Relationship between the -374T/A receptor of advanced glycation end products gene polymorphism and peritoneal solute transport status at the initiation of peritoneal dialysis. </w:t>
      </w:r>
      <w:r w:rsidRPr="00A1208A">
        <w:rPr>
          <w:rFonts w:ascii="Book Antiqua" w:hAnsi="Book Antiqua" w:cs="Times New Roman"/>
          <w:i/>
          <w:color w:val="auto"/>
          <w:kern w:val="2"/>
          <w:sz w:val="24"/>
          <w:szCs w:val="24"/>
          <w:lang w:val="en-US" w:eastAsia="zh-CN"/>
        </w:rPr>
        <w:t>Ther Apher Dial</w:t>
      </w:r>
      <w:r w:rsidRPr="00A1208A">
        <w:rPr>
          <w:rFonts w:ascii="Book Antiqua" w:hAnsi="Book Antiqua" w:cs="Times New Roman"/>
          <w:color w:val="auto"/>
          <w:kern w:val="2"/>
          <w:sz w:val="24"/>
          <w:szCs w:val="24"/>
          <w:lang w:val="en-US" w:eastAsia="zh-CN"/>
        </w:rPr>
        <w:t xml:space="preserve"> 2007; </w:t>
      </w:r>
      <w:r w:rsidRPr="00A1208A">
        <w:rPr>
          <w:rFonts w:ascii="Book Antiqua" w:hAnsi="Book Antiqua" w:cs="Times New Roman"/>
          <w:b/>
          <w:color w:val="auto"/>
          <w:kern w:val="2"/>
          <w:sz w:val="24"/>
          <w:szCs w:val="24"/>
          <w:lang w:val="en-US" w:eastAsia="zh-CN"/>
        </w:rPr>
        <w:t>11</w:t>
      </w:r>
      <w:r w:rsidRPr="00A1208A">
        <w:rPr>
          <w:rFonts w:ascii="Book Antiqua" w:hAnsi="Book Antiqua" w:cs="Times New Roman"/>
          <w:color w:val="auto"/>
          <w:kern w:val="2"/>
          <w:sz w:val="24"/>
          <w:szCs w:val="24"/>
          <w:lang w:val="en-US" w:eastAsia="zh-CN"/>
        </w:rPr>
        <w:t>: 301-305 [PMID: 17661837 DOI: 10.1111/j.1744-9987.2007.00473.x]</w:t>
      </w:r>
    </w:p>
    <w:p w14:paraId="46F0A7C9"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49 </w:t>
      </w:r>
      <w:r w:rsidRPr="00A1208A">
        <w:rPr>
          <w:rFonts w:ascii="Book Antiqua" w:hAnsi="Book Antiqua" w:cs="Times New Roman"/>
          <w:b/>
          <w:color w:val="auto"/>
          <w:kern w:val="2"/>
          <w:sz w:val="24"/>
          <w:szCs w:val="24"/>
          <w:lang w:val="en-US" w:eastAsia="zh-CN"/>
        </w:rPr>
        <w:t>Clement PB</w:t>
      </w:r>
      <w:r w:rsidRPr="00A1208A">
        <w:rPr>
          <w:rFonts w:ascii="Book Antiqua" w:hAnsi="Book Antiqua" w:cs="Times New Roman"/>
          <w:color w:val="auto"/>
          <w:kern w:val="2"/>
          <w:sz w:val="24"/>
          <w:szCs w:val="24"/>
          <w:lang w:val="en-US" w:eastAsia="zh-CN"/>
        </w:rPr>
        <w:t xml:space="preserve">, Young RH, Hanna W, Scully RE. Sclerosing peritonitis associated with luteinized thecomas of the ovary. A clinicopathological analysis of six cases. </w:t>
      </w:r>
      <w:r w:rsidRPr="00A1208A">
        <w:rPr>
          <w:rFonts w:ascii="Book Antiqua" w:hAnsi="Book Antiqua" w:cs="Times New Roman"/>
          <w:i/>
          <w:color w:val="auto"/>
          <w:kern w:val="2"/>
          <w:sz w:val="24"/>
          <w:szCs w:val="24"/>
          <w:lang w:val="en-US" w:eastAsia="zh-CN"/>
        </w:rPr>
        <w:t>Am J Surg Pathol</w:t>
      </w:r>
      <w:r w:rsidRPr="00A1208A">
        <w:rPr>
          <w:rFonts w:ascii="Book Antiqua" w:hAnsi="Book Antiqua" w:cs="Times New Roman"/>
          <w:color w:val="auto"/>
          <w:kern w:val="2"/>
          <w:sz w:val="24"/>
          <w:szCs w:val="24"/>
          <w:lang w:val="en-US" w:eastAsia="zh-CN"/>
        </w:rPr>
        <w:t xml:space="preserve"> 1994; </w:t>
      </w:r>
      <w:r w:rsidRPr="00A1208A">
        <w:rPr>
          <w:rFonts w:ascii="Book Antiqua" w:hAnsi="Book Antiqua" w:cs="Times New Roman"/>
          <w:b/>
          <w:color w:val="auto"/>
          <w:kern w:val="2"/>
          <w:sz w:val="24"/>
          <w:szCs w:val="24"/>
          <w:lang w:val="en-US" w:eastAsia="zh-CN"/>
        </w:rPr>
        <w:t>18</w:t>
      </w:r>
      <w:r w:rsidRPr="00A1208A">
        <w:rPr>
          <w:rFonts w:ascii="Book Antiqua" w:hAnsi="Book Antiqua" w:cs="Times New Roman"/>
          <w:color w:val="auto"/>
          <w:kern w:val="2"/>
          <w:sz w:val="24"/>
          <w:szCs w:val="24"/>
          <w:lang w:val="en-US" w:eastAsia="zh-CN"/>
        </w:rPr>
        <w:t>: 1-13 [PMID: 8279621]</w:t>
      </w:r>
    </w:p>
    <w:p w14:paraId="1961A4D6"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50 </w:t>
      </w:r>
      <w:r w:rsidRPr="00A1208A">
        <w:rPr>
          <w:rFonts w:ascii="Book Antiqua" w:hAnsi="Book Antiqua" w:cs="Times New Roman"/>
          <w:b/>
          <w:color w:val="auto"/>
          <w:kern w:val="2"/>
          <w:sz w:val="24"/>
          <w:szCs w:val="24"/>
          <w:lang w:val="en-US" w:eastAsia="zh-CN"/>
        </w:rPr>
        <w:t>Betjes MG</w:t>
      </w:r>
      <w:r w:rsidRPr="00A1208A">
        <w:rPr>
          <w:rFonts w:ascii="Book Antiqua" w:hAnsi="Book Antiqua" w:cs="Times New Roman"/>
          <w:color w:val="auto"/>
          <w:kern w:val="2"/>
          <w:sz w:val="24"/>
          <w:szCs w:val="24"/>
          <w:lang w:val="en-US" w:eastAsia="zh-CN"/>
        </w:rPr>
        <w:t xml:space="preserve">, Habib SM, Boeschoten EW, Hemke AC, Struijk DG, Westerhuis R, Abrahams AC, Korte MR. Significant Decreasing Incidence of Encapsulating Peritoneal Sclerosis in the Dutch Population of Peritoneal Dialysis Patients. </w:t>
      </w:r>
      <w:r w:rsidRPr="00A1208A">
        <w:rPr>
          <w:rFonts w:ascii="Book Antiqua" w:hAnsi="Book Antiqua" w:cs="Times New Roman"/>
          <w:i/>
          <w:color w:val="auto"/>
          <w:kern w:val="2"/>
          <w:sz w:val="24"/>
          <w:szCs w:val="24"/>
          <w:lang w:val="en-US" w:eastAsia="zh-CN"/>
        </w:rPr>
        <w:t>Perit Dial Int</w:t>
      </w:r>
      <w:r w:rsidRPr="00A1208A">
        <w:rPr>
          <w:rFonts w:ascii="Book Antiqua" w:hAnsi="Book Antiqua" w:cs="Times New Roman"/>
          <w:color w:val="auto"/>
          <w:kern w:val="2"/>
          <w:sz w:val="24"/>
          <w:szCs w:val="24"/>
          <w:lang w:val="en-US" w:eastAsia="zh-CN"/>
        </w:rPr>
        <w:t xml:space="preserve"> 2017; </w:t>
      </w:r>
      <w:r w:rsidRPr="00A1208A">
        <w:rPr>
          <w:rFonts w:ascii="Book Antiqua" w:hAnsi="Book Antiqua" w:cs="Times New Roman"/>
          <w:b/>
          <w:color w:val="auto"/>
          <w:kern w:val="2"/>
          <w:sz w:val="24"/>
          <w:szCs w:val="24"/>
          <w:lang w:val="en-US" w:eastAsia="zh-CN"/>
        </w:rPr>
        <w:t>37</w:t>
      </w:r>
      <w:r w:rsidRPr="00A1208A">
        <w:rPr>
          <w:rFonts w:ascii="Book Antiqua" w:hAnsi="Book Antiqua" w:cs="Times New Roman"/>
          <w:color w:val="auto"/>
          <w:kern w:val="2"/>
          <w:sz w:val="24"/>
          <w:szCs w:val="24"/>
          <w:lang w:val="en-US" w:eastAsia="zh-CN"/>
        </w:rPr>
        <w:t>: 230-234 [PMID: 28360369 DOI: 10.3747/pdi.2016.00109]</w:t>
      </w:r>
    </w:p>
    <w:p w14:paraId="51FD5EE9"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51 </w:t>
      </w:r>
      <w:r w:rsidRPr="00A1208A">
        <w:rPr>
          <w:rFonts w:ascii="Book Antiqua" w:hAnsi="Book Antiqua" w:cs="Times New Roman"/>
          <w:b/>
          <w:color w:val="auto"/>
          <w:kern w:val="2"/>
          <w:sz w:val="24"/>
          <w:szCs w:val="24"/>
          <w:lang w:val="en-US" w:eastAsia="zh-CN"/>
        </w:rPr>
        <w:t>Hoshii S</w:t>
      </w:r>
      <w:r w:rsidRPr="00A1208A">
        <w:rPr>
          <w:rFonts w:ascii="Book Antiqua" w:hAnsi="Book Antiqua" w:cs="Times New Roman"/>
          <w:color w:val="auto"/>
          <w:kern w:val="2"/>
          <w:sz w:val="24"/>
          <w:szCs w:val="24"/>
          <w:lang w:val="en-US" w:eastAsia="zh-CN"/>
        </w:rPr>
        <w:t xml:space="preserve">, Honda M, Itami N, Oh S, Matsumura C, Moriya S, Mori M, Hatae K, Ito Y, Karashima S. Sclerosing encapsulating peritonitis in pediatric peritoneal dialysis patients. </w:t>
      </w:r>
      <w:r w:rsidRPr="00A1208A">
        <w:rPr>
          <w:rFonts w:ascii="Book Antiqua" w:hAnsi="Book Antiqua" w:cs="Times New Roman"/>
          <w:i/>
          <w:color w:val="auto"/>
          <w:kern w:val="2"/>
          <w:sz w:val="24"/>
          <w:szCs w:val="24"/>
          <w:lang w:val="en-US" w:eastAsia="zh-CN"/>
        </w:rPr>
        <w:t>Pediatr Nephrol</w:t>
      </w:r>
      <w:r w:rsidRPr="00A1208A">
        <w:rPr>
          <w:rFonts w:ascii="Book Antiqua" w:hAnsi="Book Antiqua" w:cs="Times New Roman"/>
          <w:color w:val="auto"/>
          <w:kern w:val="2"/>
          <w:sz w:val="24"/>
          <w:szCs w:val="24"/>
          <w:lang w:val="en-US" w:eastAsia="zh-CN"/>
        </w:rPr>
        <w:t xml:space="preserve"> 2000; </w:t>
      </w:r>
      <w:r w:rsidRPr="00A1208A">
        <w:rPr>
          <w:rFonts w:ascii="Book Antiqua" w:hAnsi="Book Antiqua" w:cs="Times New Roman"/>
          <w:b/>
          <w:color w:val="auto"/>
          <w:kern w:val="2"/>
          <w:sz w:val="24"/>
          <w:szCs w:val="24"/>
          <w:lang w:val="en-US" w:eastAsia="zh-CN"/>
        </w:rPr>
        <w:t>14</w:t>
      </w:r>
      <w:r w:rsidRPr="00A1208A">
        <w:rPr>
          <w:rFonts w:ascii="Book Antiqua" w:hAnsi="Book Antiqua" w:cs="Times New Roman"/>
          <w:color w:val="auto"/>
          <w:kern w:val="2"/>
          <w:sz w:val="24"/>
          <w:szCs w:val="24"/>
          <w:lang w:val="en-US" w:eastAsia="zh-CN"/>
        </w:rPr>
        <w:t>: 275-279 [PMID: 10775068]</w:t>
      </w:r>
    </w:p>
    <w:p w14:paraId="002F0131"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52 </w:t>
      </w:r>
      <w:r w:rsidRPr="00A1208A">
        <w:rPr>
          <w:rFonts w:ascii="Book Antiqua" w:hAnsi="Book Antiqua" w:cs="Times New Roman"/>
          <w:b/>
          <w:color w:val="auto"/>
          <w:kern w:val="2"/>
          <w:sz w:val="24"/>
          <w:szCs w:val="24"/>
          <w:lang w:val="en-US" w:eastAsia="zh-CN"/>
        </w:rPr>
        <w:t>Phelan PJ</w:t>
      </w:r>
      <w:r w:rsidRPr="00A1208A">
        <w:rPr>
          <w:rFonts w:ascii="Book Antiqua" w:hAnsi="Book Antiqua" w:cs="Times New Roman"/>
          <w:color w:val="auto"/>
          <w:kern w:val="2"/>
          <w:sz w:val="24"/>
          <w:szCs w:val="24"/>
          <w:lang w:val="en-US" w:eastAsia="zh-CN"/>
        </w:rPr>
        <w:t xml:space="preserve">, Walshe JJ, Al-Aradi A, Garvey JP, Finnegan K, O'Kelly P, McWilliams J, Ti JP, Morrin MM, Morgan N, Conlon PJ. Encapsulating peritoneal sclerosis: experience of a tertiary referral center. </w:t>
      </w:r>
      <w:r w:rsidRPr="00A1208A">
        <w:rPr>
          <w:rFonts w:ascii="Book Antiqua" w:hAnsi="Book Antiqua" w:cs="Times New Roman"/>
          <w:i/>
          <w:color w:val="auto"/>
          <w:kern w:val="2"/>
          <w:sz w:val="24"/>
          <w:szCs w:val="24"/>
          <w:lang w:val="en-US" w:eastAsia="zh-CN"/>
        </w:rPr>
        <w:t>Ren Fail</w:t>
      </w:r>
      <w:r w:rsidRPr="00A1208A">
        <w:rPr>
          <w:rFonts w:ascii="Book Antiqua" w:hAnsi="Book Antiqua" w:cs="Times New Roman"/>
          <w:color w:val="auto"/>
          <w:kern w:val="2"/>
          <w:sz w:val="24"/>
          <w:szCs w:val="24"/>
          <w:lang w:val="en-US" w:eastAsia="zh-CN"/>
        </w:rPr>
        <w:t xml:space="preserve"> 2010; </w:t>
      </w:r>
      <w:r w:rsidRPr="00A1208A">
        <w:rPr>
          <w:rFonts w:ascii="Book Antiqua" w:hAnsi="Book Antiqua" w:cs="Times New Roman"/>
          <w:b/>
          <w:color w:val="auto"/>
          <w:kern w:val="2"/>
          <w:sz w:val="24"/>
          <w:szCs w:val="24"/>
          <w:lang w:val="en-US" w:eastAsia="zh-CN"/>
        </w:rPr>
        <w:t>32</w:t>
      </w:r>
      <w:r w:rsidRPr="00A1208A">
        <w:rPr>
          <w:rFonts w:ascii="Book Antiqua" w:hAnsi="Book Antiqua" w:cs="Times New Roman"/>
          <w:color w:val="auto"/>
          <w:kern w:val="2"/>
          <w:sz w:val="24"/>
          <w:szCs w:val="24"/>
          <w:lang w:val="en-US" w:eastAsia="zh-CN"/>
        </w:rPr>
        <w:t>: 459-463 [PMID: 20446784 DOI: 10.3109/08860221003658274]</w:t>
      </w:r>
    </w:p>
    <w:p w14:paraId="264D6189"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53 </w:t>
      </w:r>
      <w:r w:rsidRPr="00A1208A">
        <w:rPr>
          <w:rFonts w:ascii="Book Antiqua" w:hAnsi="Book Antiqua" w:cs="Times New Roman"/>
          <w:b/>
          <w:color w:val="auto"/>
          <w:kern w:val="2"/>
          <w:sz w:val="24"/>
          <w:szCs w:val="24"/>
          <w:lang w:val="en-US" w:eastAsia="zh-CN"/>
        </w:rPr>
        <w:t>Nakayama M</w:t>
      </w:r>
      <w:r w:rsidRPr="00A1208A">
        <w:rPr>
          <w:rFonts w:ascii="Book Antiqua" w:hAnsi="Book Antiqua" w:cs="Times New Roman"/>
          <w:color w:val="auto"/>
          <w:kern w:val="2"/>
          <w:sz w:val="24"/>
          <w:szCs w:val="24"/>
          <w:lang w:val="en-US" w:eastAsia="zh-CN"/>
        </w:rPr>
        <w:t xml:space="preserve">, Miyazaki M, Honda K, Kasai K, Tomo T, Nakamoto H, Kawanishi H. Encapsulating peritoneal sclerosis in the era of a multi-disciplinary approach based on biocompatible solutions: the NEXT-PD study. </w:t>
      </w:r>
      <w:r w:rsidRPr="00A1208A">
        <w:rPr>
          <w:rFonts w:ascii="Book Antiqua" w:hAnsi="Book Antiqua" w:cs="Times New Roman"/>
          <w:i/>
          <w:color w:val="auto"/>
          <w:kern w:val="2"/>
          <w:sz w:val="24"/>
          <w:szCs w:val="24"/>
          <w:lang w:val="en-US" w:eastAsia="zh-CN"/>
        </w:rPr>
        <w:t>Perit Dial Int</w:t>
      </w:r>
      <w:r w:rsidRPr="00A1208A">
        <w:rPr>
          <w:rFonts w:ascii="Book Antiqua" w:hAnsi="Book Antiqua" w:cs="Times New Roman"/>
          <w:color w:val="auto"/>
          <w:kern w:val="2"/>
          <w:sz w:val="24"/>
          <w:szCs w:val="24"/>
          <w:lang w:val="en-US" w:eastAsia="zh-CN"/>
        </w:rPr>
        <w:t xml:space="preserve"> 2014; </w:t>
      </w:r>
      <w:r w:rsidRPr="00A1208A">
        <w:rPr>
          <w:rFonts w:ascii="Book Antiqua" w:hAnsi="Book Antiqua" w:cs="Times New Roman"/>
          <w:b/>
          <w:color w:val="auto"/>
          <w:kern w:val="2"/>
          <w:sz w:val="24"/>
          <w:szCs w:val="24"/>
          <w:lang w:val="en-US" w:eastAsia="zh-CN"/>
        </w:rPr>
        <w:t>34</w:t>
      </w:r>
      <w:r w:rsidRPr="00A1208A">
        <w:rPr>
          <w:rFonts w:ascii="Book Antiqua" w:hAnsi="Book Antiqua" w:cs="Times New Roman"/>
          <w:color w:val="auto"/>
          <w:kern w:val="2"/>
          <w:sz w:val="24"/>
          <w:szCs w:val="24"/>
          <w:lang w:val="en-US" w:eastAsia="zh-CN"/>
        </w:rPr>
        <w:t xml:space="preserve">: 766-774 [PMID: </w:t>
      </w:r>
      <w:r w:rsidRPr="00A1208A">
        <w:rPr>
          <w:rFonts w:ascii="Book Antiqua" w:hAnsi="Book Antiqua" w:cs="Times New Roman"/>
          <w:color w:val="auto"/>
          <w:kern w:val="2"/>
          <w:sz w:val="24"/>
          <w:szCs w:val="24"/>
          <w:lang w:val="en-US" w:eastAsia="zh-CN"/>
        </w:rPr>
        <w:lastRenderedPageBreak/>
        <w:t>24497585 DOI: 10.3747/pdi.2013.00074]</w:t>
      </w:r>
    </w:p>
    <w:p w14:paraId="01A3891C"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54 </w:t>
      </w:r>
      <w:r w:rsidRPr="00A1208A">
        <w:rPr>
          <w:rFonts w:ascii="Book Antiqua" w:hAnsi="Book Antiqua" w:cs="Times New Roman"/>
          <w:b/>
          <w:color w:val="auto"/>
          <w:kern w:val="2"/>
          <w:sz w:val="24"/>
          <w:szCs w:val="24"/>
          <w:lang w:val="en-US" w:eastAsia="zh-CN"/>
        </w:rPr>
        <w:t>Rigby RJ</w:t>
      </w:r>
      <w:r w:rsidRPr="00A1208A">
        <w:rPr>
          <w:rFonts w:ascii="Book Antiqua" w:hAnsi="Book Antiqua" w:cs="Times New Roman"/>
          <w:color w:val="auto"/>
          <w:kern w:val="2"/>
          <w:sz w:val="24"/>
          <w:szCs w:val="24"/>
          <w:lang w:val="en-US" w:eastAsia="zh-CN"/>
        </w:rPr>
        <w:t xml:space="preserve">, Hawley CM. Sclerosing peritonitis: the experience in Australia. </w:t>
      </w:r>
      <w:r w:rsidRPr="00A1208A">
        <w:rPr>
          <w:rFonts w:ascii="Book Antiqua" w:hAnsi="Book Antiqua" w:cs="Times New Roman"/>
          <w:i/>
          <w:color w:val="auto"/>
          <w:kern w:val="2"/>
          <w:sz w:val="24"/>
          <w:szCs w:val="24"/>
          <w:lang w:val="en-US" w:eastAsia="zh-CN"/>
        </w:rPr>
        <w:t>Nephrol Dial Transplant</w:t>
      </w:r>
      <w:r w:rsidRPr="00A1208A">
        <w:rPr>
          <w:rFonts w:ascii="Book Antiqua" w:hAnsi="Book Antiqua" w:cs="Times New Roman"/>
          <w:color w:val="auto"/>
          <w:kern w:val="2"/>
          <w:sz w:val="24"/>
          <w:szCs w:val="24"/>
          <w:lang w:val="en-US" w:eastAsia="zh-CN"/>
        </w:rPr>
        <w:t xml:space="preserve"> 1998; </w:t>
      </w:r>
      <w:r w:rsidRPr="00A1208A">
        <w:rPr>
          <w:rFonts w:ascii="Book Antiqua" w:hAnsi="Book Antiqua" w:cs="Times New Roman"/>
          <w:b/>
          <w:color w:val="auto"/>
          <w:kern w:val="2"/>
          <w:sz w:val="24"/>
          <w:szCs w:val="24"/>
          <w:lang w:val="en-US" w:eastAsia="zh-CN"/>
        </w:rPr>
        <w:t>13</w:t>
      </w:r>
      <w:r w:rsidRPr="00A1208A">
        <w:rPr>
          <w:rFonts w:ascii="Book Antiqua" w:hAnsi="Book Antiqua" w:cs="Times New Roman"/>
          <w:color w:val="auto"/>
          <w:kern w:val="2"/>
          <w:sz w:val="24"/>
          <w:szCs w:val="24"/>
          <w:lang w:val="en-US" w:eastAsia="zh-CN"/>
        </w:rPr>
        <w:t>: 154-159 [PMID: 9481732]</w:t>
      </w:r>
    </w:p>
    <w:p w14:paraId="79CFABD8"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55 </w:t>
      </w:r>
      <w:r w:rsidRPr="00A1208A">
        <w:rPr>
          <w:rFonts w:ascii="Book Antiqua" w:hAnsi="Book Antiqua" w:cs="Times New Roman"/>
          <w:b/>
          <w:color w:val="auto"/>
          <w:kern w:val="2"/>
          <w:sz w:val="24"/>
          <w:szCs w:val="24"/>
          <w:lang w:val="en-US" w:eastAsia="zh-CN"/>
        </w:rPr>
        <w:t>Balasubramaniam G</w:t>
      </w:r>
      <w:r w:rsidRPr="00A1208A">
        <w:rPr>
          <w:rFonts w:ascii="Book Antiqua" w:hAnsi="Book Antiqua" w:cs="Times New Roman"/>
          <w:color w:val="auto"/>
          <w:kern w:val="2"/>
          <w:sz w:val="24"/>
          <w:szCs w:val="24"/>
          <w:lang w:val="en-US" w:eastAsia="zh-CN"/>
        </w:rPr>
        <w:t xml:space="preserve">, Brown EA, Davenport A, Cairns H, Cooper B, Fan SL, Farrington K, Gallagher H, Harnett P, Krausze S, Steddon S. The Pan-Thames EPS study: treatment and outcomes of encapsulating peritoneal sclerosis. </w:t>
      </w:r>
      <w:r w:rsidRPr="00A1208A">
        <w:rPr>
          <w:rFonts w:ascii="Book Antiqua" w:hAnsi="Book Antiqua" w:cs="Times New Roman"/>
          <w:i/>
          <w:color w:val="auto"/>
          <w:kern w:val="2"/>
          <w:sz w:val="24"/>
          <w:szCs w:val="24"/>
          <w:lang w:val="en-US" w:eastAsia="zh-CN"/>
        </w:rPr>
        <w:t>Nephrol Dial Transplant</w:t>
      </w:r>
      <w:r w:rsidRPr="00A1208A">
        <w:rPr>
          <w:rFonts w:ascii="Book Antiqua" w:hAnsi="Book Antiqua" w:cs="Times New Roman"/>
          <w:color w:val="auto"/>
          <w:kern w:val="2"/>
          <w:sz w:val="24"/>
          <w:szCs w:val="24"/>
          <w:lang w:val="en-US" w:eastAsia="zh-CN"/>
        </w:rPr>
        <w:t xml:space="preserve"> 2009; </w:t>
      </w:r>
      <w:r w:rsidRPr="00A1208A">
        <w:rPr>
          <w:rFonts w:ascii="Book Antiqua" w:hAnsi="Book Antiqua" w:cs="Times New Roman"/>
          <w:b/>
          <w:color w:val="auto"/>
          <w:kern w:val="2"/>
          <w:sz w:val="24"/>
          <w:szCs w:val="24"/>
          <w:lang w:val="en-US" w:eastAsia="zh-CN"/>
        </w:rPr>
        <w:t>24</w:t>
      </w:r>
      <w:r w:rsidRPr="00A1208A">
        <w:rPr>
          <w:rFonts w:ascii="Book Antiqua" w:hAnsi="Book Antiqua" w:cs="Times New Roman"/>
          <w:color w:val="auto"/>
          <w:kern w:val="2"/>
          <w:sz w:val="24"/>
          <w:szCs w:val="24"/>
          <w:lang w:val="en-US" w:eastAsia="zh-CN"/>
        </w:rPr>
        <w:t>: 3209-3215 [PMID: 19211652 DOI: 10.1093/ndt/gfp008]</w:t>
      </w:r>
    </w:p>
    <w:p w14:paraId="2F0071E9"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56 .  Nakamoto H. Encapsulating peritoneal sclerosis - A clinician’s approach to diagnosis and medical treatment. Perit Dial Int [Internet] 2005;25:S30–8 [PMID: 2005509070]</w:t>
      </w:r>
    </w:p>
    <w:p w14:paraId="3F1EC100"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57 </w:t>
      </w:r>
      <w:r w:rsidRPr="00A1208A">
        <w:rPr>
          <w:rFonts w:ascii="Book Antiqua" w:hAnsi="Book Antiqua" w:cs="Times New Roman"/>
          <w:b/>
          <w:color w:val="auto"/>
          <w:kern w:val="2"/>
          <w:sz w:val="24"/>
          <w:szCs w:val="24"/>
          <w:lang w:val="en-US" w:eastAsia="zh-CN"/>
        </w:rPr>
        <w:t>Moinuddin Z</w:t>
      </w:r>
      <w:r w:rsidRPr="00A1208A">
        <w:rPr>
          <w:rFonts w:ascii="Book Antiqua" w:hAnsi="Book Antiqua" w:cs="Times New Roman"/>
          <w:color w:val="auto"/>
          <w:kern w:val="2"/>
          <w:sz w:val="24"/>
          <w:szCs w:val="24"/>
          <w:lang w:val="en-US" w:eastAsia="zh-CN"/>
        </w:rPr>
        <w:t xml:space="preserve">, Summers A, Van Dellen D, Augustine T, Herrick SE. Encapsulating peritoneal sclerosis-a rare but devastating peritoneal disease. </w:t>
      </w:r>
      <w:r w:rsidRPr="00A1208A">
        <w:rPr>
          <w:rFonts w:ascii="Book Antiqua" w:hAnsi="Book Antiqua" w:cs="Times New Roman"/>
          <w:i/>
          <w:color w:val="auto"/>
          <w:kern w:val="2"/>
          <w:sz w:val="24"/>
          <w:szCs w:val="24"/>
          <w:lang w:val="en-US" w:eastAsia="zh-CN"/>
        </w:rPr>
        <w:t>Front Physiol</w:t>
      </w:r>
      <w:r w:rsidRPr="00A1208A">
        <w:rPr>
          <w:rFonts w:ascii="Book Antiqua" w:hAnsi="Book Antiqua" w:cs="Times New Roman"/>
          <w:color w:val="auto"/>
          <w:kern w:val="2"/>
          <w:sz w:val="24"/>
          <w:szCs w:val="24"/>
          <w:lang w:val="en-US" w:eastAsia="zh-CN"/>
        </w:rPr>
        <w:t xml:space="preserve"> 2015; </w:t>
      </w:r>
      <w:r w:rsidRPr="00A1208A">
        <w:rPr>
          <w:rFonts w:ascii="Book Antiqua" w:hAnsi="Book Antiqua" w:cs="Times New Roman"/>
          <w:b/>
          <w:color w:val="auto"/>
          <w:kern w:val="2"/>
          <w:sz w:val="24"/>
          <w:szCs w:val="24"/>
          <w:lang w:val="en-US" w:eastAsia="zh-CN"/>
        </w:rPr>
        <w:t>5</w:t>
      </w:r>
      <w:r w:rsidRPr="00A1208A">
        <w:rPr>
          <w:rFonts w:ascii="Book Antiqua" w:hAnsi="Book Antiqua" w:cs="Times New Roman"/>
          <w:color w:val="auto"/>
          <w:kern w:val="2"/>
          <w:sz w:val="24"/>
          <w:szCs w:val="24"/>
          <w:lang w:val="en-US" w:eastAsia="zh-CN"/>
        </w:rPr>
        <w:t>: 470 [PMID: 25601836 DOI: 10.3389/fphys.2014.00470]</w:t>
      </w:r>
    </w:p>
    <w:p w14:paraId="19DEF02C"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58 </w:t>
      </w:r>
      <w:r w:rsidRPr="00A1208A">
        <w:rPr>
          <w:rFonts w:ascii="Book Antiqua" w:hAnsi="Book Antiqua" w:cs="Times New Roman"/>
          <w:b/>
          <w:color w:val="auto"/>
          <w:kern w:val="2"/>
          <w:sz w:val="24"/>
          <w:szCs w:val="24"/>
          <w:lang w:val="en-US" w:eastAsia="zh-CN"/>
        </w:rPr>
        <w:t>Ti JP</w:t>
      </w:r>
      <w:r w:rsidRPr="00A1208A">
        <w:rPr>
          <w:rFonts w:ascii="Book Antiqua" w:hAnsi="Book Antiqua" w:cs="Times New Roman"/>
          <w:color w:val="auto"/>
          <w:kern w:val="2"/>
          <w:sz w:val="24"/>
          <w:szCs w:val="24"/>
          <w:lang w:val="en-US" w:eastAsia="zh-CN"/>
        </w:rPr>
        <w:t xml:space="preserve">, Al-Aradi A, Conlon PJ, Lee MJ, Morrin MM. Imaging features of encapsulating peritoneal sclerosis in continuous ambulatory peritoneal dialysis patients. </w:t>
      </w:r>
      <w:r w:rsidRPr="00A1208A">
        <w:rPr>
          <w:rFonts w:ascii="Book Antiqua" w:hAnsi="Book Antiqua" w:cs="Times New Roman"/>
          <w:i/>
          <w:color w:val="auto"/>
          <w:kern w:val="2"/>
          <w:sz w:val="24"/>
          <w:szCs w:val="24"/>
          <w:lang w:val="en-US" w:eastAsia="zh-CN"/>
        </w:rPr>
        <w:t>AJR Am J Roentgenol</w:t>
      </w:r>
      <w:r w:rsidRPr="00A1208A">
        <w:rPr>
          <w:rFonts w:ascii="Book Antiqua" w:hAnsi="Book Antiqua" w:cs="Times New Roman"/>
          <w:color w:val="auto"/>
          <w:kern w:val="2"/>
          <w:sz w:val="24"/>
          <w:szCs w:val="24"/>
          <w:lang w:val="en-US" w:eastAsia="zh-CN"/>
        </w:rPr>
        <w:t xml:space="preserve"> 2010; </w:t>
      </w:r>
      <w:r w:rsidRPr="00A1208A">
        <w:rPr>
          <w:rFonts w:ascii="Book Antiqua" w:hAnsi="Book Antiqua" w:cs="Times New Roman"/>
          <w:b/>
          <w:color w:val="auto"/>
          <w:kern w:val="2"/>
          <w:sz w:val="24"/>
          <w:szCs w:val="24"/>
          <w:lang w:val="en-US" w:eastAsia="zh-CN"/>
        </w:rPr>
        <w:t>195</w:t>
      </w:r>
      <w:r w:rsidRPr="00A1208A">
        <w:rPr>
          <w:rFonts w:ascii="Book Antiqua" w:hAnsi="Book Antiqua" w:cs="Times New Roman"/>
          <w:color w:val="auto"/>
          <w:kern w:val="2"/>
          <w:sz w:val="24"/>
          <w:szCs w:val="24"/>
          <w:lang w:val="en-US" w:eastAsia="zh-CN"/>
        </w:rPr>
        <w:t>: W50-W54 [PMID: 20566781 DOI: 10.2214/AJR.09.3175]</w:t>
      </w:r>
    </w:p>
    <w:p w14:paraId="18B0934A"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59 </w:t>
      </w:r>
      <w:r w:rsidRPr="00A1208A">
        <w:rPr>
          <w:rFonts w:ascii="Book Antiqua" w:hAnsi="Book Antiqua" w:cs="Times New Roman"/>
          <w:b/>
          <w:color w:val="auto"/>
          <w:kern w:val="2"/>
          <w:sz w:val="24"/>
          <w:szCs w:val="24"/>
          <w:lang w:val="en-US" w:eastAsia="zh-CN"/>
        </w:rPr>
        <w:t>Stuart S</w:t>
      </w:r>
      <w:r w:rsidRPr="00A1208A">
        <w:rPr>
          <w:rFonts w:ascii="Book Antiqua" w:hAnsi="Book Antiqua" w:cs="Times New Roman"/>
          <w:color w:val="auto"/>
          <w:kern w:val="2"/>
          <w:sz w:val="24"/>
          <w:szCs w:val="24"/>
          <w:lang w:val="en-US" w:eastAsia="zh-CN"/>
        </w:rPr>
        <w:t xml:space="preserve">, Stott D, Goode A, Cash CJ, Davenport A. Can radiological assessment of abdominal computerized scans diagnose encapsulating peritoneal sclerosis in long-term peritoneal dialysis patients? </w:t>
      </w:r>
      <w:r w:rsidRPr="00A1208A">
        <w:rPr>
          <w:rFonts w:ascii="Book Antiqua" w:hAnsi="Book Antiqua" w:cs="Times New Roman"/>
          <w:i/>
          <w:color w:val="auto"/>
          <w:kern w:val="2"/>
          <w:sz w:val="24"/>
          <w:szCs w:val="24"/>
          <w:lang w:val="en-US" w:eastAsia="zh-CN"/>
        </w:rPr>
        <w:t>Nephrology (Carlton)</w:t>
      </w:r>
      <w:r w:rsidRPr="00A1208A">
        <w:rPr>
          <w:rFonts w:ascii="Book Antiqua" w:hAnsi="Book Antiqua" w:cs="Times New Roman"/>
          <w:color w:val="auto"/>
          <w:kern w:val="2"/>
          <w:sz w:val="24"/>
          <w:szCs w:val="24"/>
          <w:lang w:val="en-US" w:eastAsia="zh-CN"/>
        </w:rPr>
        <w:t xml:space="preserve"> 2017; </w:t>
      </w:r>
      <w:r w:rsidRPr="00A1208A">
        <w:rPr>
          <w:rFonts w:ascii="Book Antiqua" w:hAnsi="Book Antiqua" w:cs="Times New Roman"/>
          <w:b/>
          <w:color w:val="auto"/>
          <w:kern w:val="2"/>
          <w:sz w:val="24"/>
          <w:szCs w:val="24"/>
          <w:lang w:val="en-US" w:eastAsia="zh-CN"/>
        </w:rPr>
        <w:t>22</w:t>
      </w:r>
      <w:r w:rsidRPr="00A1208A">
        <w:rPr>
          <w:rFonts w:ascii="Book Antiqua" w:hAnsi="Book Antiqua" w:cs="Times New Roman"/>
          <w:color w:val="auto"/>
          <w:kern w:val="2"/>
          <w:sz w:val="24"/>
          <w:szCs w:val="24"/>
          <w:lang w:val="en-US" w:eastAsia="zh-CN"/>
        </w:rPr>
        <w:t>: 19-24 [PMID: 26730546 DOI: 10.1111/nep.12718]</w:t>
      </w:r>
    </w:p>
    <w:p w14:paraId="490F466A"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60 </w:t>
      </w:r>
      <w:r w:rsidRPr="00A1208A">
        <w:rPr>
          <w:rFonts w:ascii="Book Antiqua" w:hAnsi="Book Antiqua" w:cs="Times New Roman"/>
          <w:b/>
          <w:color w:val="auto"/>
          <w:kern w:val="2"/>
          <w:sz w:val="24"/>
          <w:szCs w:val="24"/>
          <w:lang w:val="en-US" w:eastAsia="zh-CN"/>
        </w:rPr>
        <w:t>Upponi S</w:t>
      </w:r>
      <w:r w:rsidRPr="00A1208A">
        <w:rPr>
          <w:rFonts w:ascii="Book Antiqua" w:hAnsi="Book Antiqua" w:cs="Times New Roman"/>
          <w:color w:val="auto"/>
          <w:kern w:val="2"/>
          <w:sz w:val="24"/>
          <w:szCs w:val="24"/>
          <w:lang w:val="en-US" w:eastAsia="zh-CN"/>
        </w:rPr>
        <w:t xml:space="preserve">, Butler AJ, Watson CJ, Shaw AS. Encapsulating peritoneal sclerosis--correlation of radiological findings at CT with underlying pathogenesis. </w:t>
      </w:r>
      <w:r w:rsidRPr="00A1208A">
        <w:rPr>
          <w:rFonts w:ascii="Book Antiqua" w:hAnsi="Book Antiqua" w:cs="Times New Roman"/>
          <w:i/>
          <w:color w:val="auto"/>
          <w:kern w:val="2"/>
          <w:sz w:val="24"/>
          <w:szCs w:val="24"/>
          <w:lang w:val="en-US" w:eastAsia="zh-CN"/>
        </w:rPr>
        <w:t>Clin Radiol</w:t>
      </w:r>
      <w:r w:rsidRPr="00A1208A">
        <w:rPr>
          <w:rFonts w:ascii="Book Antiqua" w:hAnsi="Book Antiqua" w:cs="Times New Roman"/>
          <w:color w:val="auto"/>
          <w:kern w:val="2"/>
          <w:sz w:val="24"/>
          <w:szCs w:val="24"/>
          <w:lang w:val="en-US" w:eastAsia="zh-CN"/>
        </w:rPr>
        <w:t xml:space="preserve"> 2014; </w:t>
      </w:r>
      <w:r w:rsidRPr="00A1208A">
        <w:rPr>
          <w:rFonts w:ascii="Book Antiqua" w:hAnsi="Book Antiqua" w:cs="Times New Roman"/>
          <w:b/>
          <w:color w:val="auto"/>
          <w:kern w:val="2"/>
          <w:sz w:val="24"/>
          <w:szCs w:val="24"/>
          <w:lang w:val="en-US" w:eastAsia="zh-CN"/>
        </w:rPr>
        <w:t>69</w:t>
      </w:r>
      <w:r w:rsidRPr="00A1208A">
        <w:rPr>
          <w:rFonts w:ascii="Book Antiqua" w:hAnsi="Book Antiqua" w:cs="Times New Roman"/>
          <w:color w:val="auto"/>
          <w:kern w:val="2"/>
          <w:sz w:val="24"/>
          <w:szCs w:val="24"/>
          <w:lang w:val="en-US" w:eastAsia="zh-CN"/>
        </w:rPr>
        <w:t>: 103-109 [PMID: 24209872 DOI: 10.1016/j.crad.2013.09.004]Available]</w:t>
      </w:r>
    </w:p>
    <w:p w14:paraId="6A0D23C0"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61 </w:t>
      </w:r>
      <w:r w:rsidRPr="00A1208A">
        <w:rPr>
          <w:rFonts w:ascii="Book Antiqua" w:hAnsi="Book Antiqua" w:cs="Times New Roman"/>
          <w:b/>
          <w:color w:val="auto"/>
          <w:kern w:val="2"/>
          <w:sz w:val="24"/>
          <w:szCs w:val="24"/>
          <w:lang w:val="en-US" w:eastAsia="zh-CN"/>
        </w:rPr>
        <w:t>Jovani M</w:t>
      </w:r>
      <w:r w:rsidRPr="00A1208A">
        <w:rPr>
          <w:rFonts w:ascii="Book Antiqua" w:hAnsi="Book Antiqua" w:cs="Times New Roman"/>
          <w:color w:val="auto"/>
          <w:kern w:val="2"/>
          <w:sz w:val="24"/>
          <w:szCs w:val="24"/>
          <w:lang w:val="en-US" w:eastAsia="zh-CN"/>
        </w:rPr>
        <w:t xml:space="preserve">, Baticci F, Bonifacio C, Omodei PD, Malesci A. Abdominal cocoon or idiopathic encapsulating peritoneal sclerosis: magnetic resonance imaging. </w:t>
      </w:r>
      <w:r w:rsidRPr="00A1208A">
        <w:rPr>
          <w:rFonts w:ascii="Book Antiqua" w:hAnsi="Book Antiqua" w:cs="Times New Roman"/>
          <w:i/>
          <w:color w:val="auto"/>
          <w:kern w:val="2"/>
          <w:sz w:val="24"/>
          <w:szCs w:val="24"/>
          <w:lang w:val="en-US" w:eastAsia="zh-CN"/>
        </w:rPr>
        <w:t>Dig Liver Dis</w:t>
      </w:r>
      <w:r w:rsidRPr="00A1208A">
        <w:rPr>
          <w:rFonts w:ascii="Book Antiqua" w:hAnsi="Book Antiqua" w:cs="Times New Roman"/>
          <w:color w:val="auto"/>
          <w:kern w:val="2"/>
          <w:sz w:val="24"/>
          <w:szCs w:val="24"/>
          <w:lang w:val="en-US" w:eastAsia="zh-CN"/>
        </w:rPr>
        <w:t xml:space="preserve"> 2014; </w:t>
      </w:r>
      <w:r w:rsidRPr="00A1208A">
        <w:rPr>
          <w:rFonts w:ascii="Book Antiqua" w:hAnsi="Book Antiqua" w:cs="Times New Roman"/>
          <w:b/>
          <w:color w:val="auto"/>
          <w:kern w:val="2"/>
          <w:sz w:val="24"/>
          <w:szCs w:val="24"/>
          <w:lang w:val="en-US" w:eastAsia="zh-CN"/>
        </w:rPr>
        <w:t>46</w:t>
      </w:r>
      <w:r w:rsidRPr="00A1208A">
        <w:rPr>
          <w:rFonts w:ascii="Book Antiqua" w:hAnsi="Book Antiqua" w:cs="Times New Roman"/>
          <w:color w:val="auto"/>
          <w:kern w:val="2"/>
          <w:sz w:val="24"/>
          <w:szCs w:val="24"/>
          <w:lang w:val="en-US" w:eastAsia="zh-CN"/>
        </w:rPr>
        <w:t>: 192-193 [PMID: 24055233 DOI: 10.1016/j.dld.2013.08.136]</w:t>
      </w:r>
    </w:p>
    <w:p w14:paraId="15217563"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62 </w:t>
      </w:r>
      <w:r w:rsidRPr="00A1208A">
        <w:rPr>
          <w:rFonts w:ascii="Book Antiqua" w:hAnsi="Book Antiqua" w:cs="Times New Roman"/>
          <w:b/>
          <w:color w:val="auto"/>
          <w:kern w:val="2"/>
          <w:sz w:val="24"/>
          <w:szCs w:val="24"/>
          <w:lang w:val="en-US" w:eastAsia="zh-CN"/>
        </w:rPr>
        <w:t>Cho R</w:t>
      </w:r>
      <w:r w:rsidRPr="00A1208A">
        <w:rPr>
          <w:rFonts w:ascii="Book Antiqua" w:hAnsi="Book Antiqua" w:cs="Times New Roman"/>
          <w:color w:val="auto"/>
          <w:kern w:val="2"/>
          <w:sz w:val="24"/>
          <w:szCs w:val="24"/>
          <w:lang w:val="en-US" w:eastAsia="zh-CN"/>
        </w:rPr>
        <w:t xml:space="preserve">, Ghag D, Karim MA, Lo C. Encapsulating peritoneal sclerosis: surgery, sustained drug therapy and treatment of recurrence at 1 year. </w:t>
      </w:r>
      <w:r w:rsidRPr="00A1208A">
        <w:rPr>
          <w:rFonts w:ascii="Book Antiqua" w:hAnsi="Book Antiqua" w:cs="Times New Roman"/>
          <w:i/>
          <w:color w:val="auto"/>
          <w:kern w:val="2"/>
          <w:sz w:val="24"/>
          <w:szCs w:val="24"/>
          <w:lang w:val="en-US" w:eastAsia="zh-CN"/>
        </w:rPr>
        <w:t>BMJ Case Rep</w:t>
      </w:r>
      <w:r w:rsidRPr="00A1208A">
        <w:rPr>
          <w:rFonts w:ascii="Book Antiqua" w:hAnsi="Book Antiqua" w:cs="Times New Roman"/>
          <w:color w:val="auto"/>
          <w:kern w:val="2"/>
          <w:sz w:val="24"/>
          <w:szCs w:val="24"/>
          <w:lang w:val="en-US" w:eastAsia="zh-CN"/>
        </w:rPr>
        <w:t xml:space="preserve"> 2015; </w:t>
      </w:r>
      <w:r w:rsidRPr="00A1208A">
        <w:rPr>
          <w:rFonts w:ascii="Book Antiqua" w:hAnsi="Book Antiqua" w:cs="Times New Roman"/>
          <w:b/>
          <w:color w:val="auto"/>
          <w:kern w:val="2"/>
          <w:sz w:val="24"/>
          <w:szCs w:val="24"/>
          <w:lang w:val="en-US" w:eastAsia="zh-CN"/>
        </w:rPr>
        <w:t>2015</w:t>
      </w:r>
      <w:r w:rsidRPr="00A1208A">
        <w:rPr>
          <w:rFonts w:ascii="Book Antiqua" w:hAnsi="Book Antiqua" w:cs="Times New Roman"/>
          <w:color w:val="auto"/>
          <w:kern w:val="2"/>
          <w:sz w:val="24"/>
          <w:szCs w:val="24"/>
          <w:lang w:val="en-US" w:eastAsia="zh-CN"/>
        </w:rPr>
        <w:t>:  [PMID: 26561223 DOI: 10.1136/bcr-2015-211490]</w:t>
      </w:r>
    </w:p>
    <w:p w14:paraId="3FA11B60"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lastRenderedPageBreak/>
        <w:t xml:space="preserve">63 </w:t>
      </w:r>
      <w:r w:rsidRPr="00A1208A">
        <w:rPr>
          <w:rFonts w:ascii="Book Antiqua" w:hAnsi="Book Antiqua" w:cs="Times New Roman"/>
          <w:b/>
          <w:color w:val="auto"/>
          <w:kern w:val="2"/>
          <w:sz w:val="24"/>
          <w:szCs w:val="24"/>
          <w:lang w:val="en-US" w:eastAsia="zh-CN"/>
        </w:rPr>
        <w:t>Lopes Barreto D</w:t>
      </w:r>
      <w:r w:rsidRPr="00A1208A">
        <w:rPr>
          <w:rFonts w:ascii="Book Antiqua" w:hAnsi="Book Antiqua" w:cs="Times New Roman"/>
          <w:color w:val="auto"/>
          <w:kern w:val="2"/>
          <w:sz w:val="24"/>
          <w:szCs w:val="24"/>
          <w:lang w:val="en-US" w:eastAsia="zh-CN"/>
        </w:rPr>
        <w:t xml:space="preserve">, Struijk DG, Krediet RT. Peritoneal effluent MMP-2 and PAI-1 in encapsulating peritoneal sclerosis. </w:t>
      </w:r>
      <w:r w:rsidRPr="00A1208A">
        <w:rPr>
          <w:rFonts w:ascii="Book Antiqua" w:hAnsi="Book Antiqua" w:cs="Times New Roman"/>
          <w:i/>
          <w:color w:val="auto"/>
          <w:kern w:val="2"/>
          <w:sz w:val="24"/>
          <w:szCs w:val="24"/>
          <w:lang w:val="en-US" w:eastAsia="zh-CN"/>
        </w:rPr>
        <w:t>Am J Kidney Dis</w:t>
      </w:r>
      <w:r w:rsidRPr="00A1208A">
        <w:rPr>
          <w:rFonts w:ascii="Book Antiqua" w:hAnsi="Book Antiqua" w:cs="Times New Roman"/>
          <w:color w:val="auto"/>
          <w:kern w:val="2"/>
          <w:sz w:val="24"/>
          <w:szCs w:val="24"/>
          <w:lang w:val="en-US" w:eastAsia="zh-CN"/>
        </w:rPr>
        <w:t xml:space="preserve"> 2015; </w:t>
      </w:r>
      <w:r w:rsidRPr="00A1208A">
        <w:rPr>
          <w:rFonts w:ascii="Book Antiqua" w:hAnsi="Book Antiqua" w:cs="Times New Roman"/>
          <w:b/>
          <w:color w:val="auto"/>
          <w:kern w:val="2"/>
          <w:sz w:val="24"/>
          <w:szCs w:val="24"/>
          <w:lang w:val="en-US" w:eastAsia="zh-CN"/>
        </w:rPr>
        <w:t>65</w:t>
      </w:r>
      <w:r w:rsidRPr="00A1208A">
        <w:rPr>
          <w:rFonts w:ascii="Book Antiqua" w:hAnsi="Book Antiqua" w:cs="Times New Roman"/>
          <w:color w:val="auto"/>
          <w:kern w:val="2"/>
          <w:sz w:val="24"/>
          <w:szCs w:val="24"/>
          <w:lang w:val="en-US" w:eastAsia="zh-CN"/>
        </w:rPr>
        <w:t>: 748-753 [PMID: 25530106 DOI: 10.1053/j.ajkd.2014.10.022]Available]</w:t>
      </w:r>
    </w:p>
    <w:p w14:paraId="22A4057F"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64 </w:t>
      </w:r>
      <w:r w:rsidRPr="00A1208A">
        <w:rPr>
          <w:rFonts w:ascii="Book Antiqua" w:hAnsi="Book Antiqua" w:cs="Times New Roman"/>
          <w:b/>
          <w:color w:val="auto"/>
          <w:kern w:val="2"/>
          <w:sz w:val="24"/>
          <w:szCs w:val="24"/>
          <w:lang w:val="en-US" w:eastAsia="zh-CN"/>
        </w:rPr>
        <w:t>Goodlad C</w:t>
      </w:r>
      <w:r w:rsidRPr="00A1208A">
        <w:rPr>
          <w:rFonts w:ascii="Book Antiqua" w:hAnsi="Book Antiqua" w:cs="Times New Roman"/>
          <w:color w:val="auto"/>
          <w:kern w:val="2"/>
          <w:sz w:val="24"/>
          <w:szCs w:val="24"/>
          <w:lang w:val="en-US" w:eastAsia="zh-CN"/>
        </w:rPr>
        <w:t xml:space="preserve">, Tam FW, Ahmad S, Bhangal G, North BV, Brown EA. Dialysate cytokine levels do not predict encapsulating peritoneal sclerosis. </w:t>
      </w:r>
      <w:r w:rsidRPr="00A1208A">
        <w:rPr>
          <w:rFonts w:ascii="Book Antiqua" w:hAnsi="Book Antiqua" w:cs="Times New Roman"/>
          <w:i/>
          <w:color w:val="auto"/>
          <w:kern w:val="2"/>
          <w:sz w:val="24"/>
          <w:szCs w:val="24"/>
          <w:lang w:val="en-US" w:eastAsia="zh-CN"/>
        </w:rPr>
        <w:t>Perit Dial Int</w:t>
      </w:r>
      <w:r w:rsidRPr="00A1208A">
        <w:rPr>
          <w:rFonts w:ascii="Book Antiqua" w:hAnsi="Book Antiqua" w:cs="Times New Roman"/>
          <w:color w:val="auto"/>
          <w:kern w:val="2"/>
          <w:sz w:val="24"/>
          <w:szCs w:val="24"/>
          <w:lang w:val="en-US" w:eastAsia="zh-CN"/>
        </w:rPr>
        <w:t xml:space="preserve"> 2014; </w:t>
      </w:r>
      <w:r w:rsidRPr="00A1208A">
        <w:rPr>
          <w:rFonts w:ascii="Book Antiqua" w:hAnsi="Book Antiqua" w:cs="Times New Roman"/>
          <w:b/>
          <w:color w:val="auto"/>
          <w:kern w:val="2"/>
          <w:sz w:val="24"/>
          <w:szCs w:val="24"/>
          <w:lang w:val="en-US" w:eastAsia="zh-CN"/>
        </w:rPr>
        <w:t>34</w:t>
      </w:r>
      <w:r w:rsidRPr="00A1208A">
        <w:rPr>
          <w:rFonts w:ascii="Book Antiqua" w:hAnsi="Book Antiqua" w:cs="Times New Roman"/>
          <w:color w:val="auto"/>
          <w:kern w:val="2"/>
          <w:sz w:val="24"/>
          <w:szCs w:val="24"/>
          <w:lang w:val="en-US" w:eastAsia="zh-CN"/>
        </w:rPr>
        <w:t>: 594-604 [PMID: 24584593 DOI: 10.3747/pdi.2012.00305]</w:t>
      </w:r>
    </w:p>
    <w:p w14:paraId="0973A7E4"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 xml:space="preserve">65 </w:t>
      </w:r>
      <w:r w:rsidRPr="00A1208A">
        <w:rPr>
          <w:rFonts w:ascii="Book Antiqua" w:hAnsi="Book Antiqua" w:cs="Times New Roman"/>
          <w:b/>
          <w:color w:val="auto"/>
          <w:kern w:val="2"/>
          <w:sz w:val="24"/>
          <w:szCs w:val="24"/>
          <w:lang w:val="en-US" w:eastAsia="zh-CN"/>
        </w:rPr>
        <w:t>Ahmad S</w:t>
      </w:r>
      <w:r w:rsidRPr="00A1208A">
        <w:rPr>
          <w:rFonts w:ascii="Book Antiqua" w:hAnsi="Book Antiqua" w:cs="Times New Roman"/>
          <w:color w:val="auto"/>
          <w:kern w:val="2"/>
          <w:sz w:val="24"/>
          <w:szCs w:val="24"/>
          <w:lang w:val="en-US" w:eastAsia="zh-CN"/>
        </w:rPr>
        <w:t xml:space="preserve">, North BV, Qureshi A, Malik A, Bhangal G, Tarzi RM, Brown EA, Tam FW. CCL18 in peritoneal dialysis patients and encapsulating peritoneal sclerosis. </w:t>
      </w:r>
      <w:r w:rsidRPr="00A1208A">
        <w:rPr>
          <w:rFonts w:ascii="Book Antiqua" w:hAnsi="Book Antiqua" w:cs="Times New Roman"/>
          <w:i/>
          <w:color w:val="auto"/>
          <w:kern w:val="2"/>
          <w:sz w:val="24"/>
          <w:szCs w:val="24"/>
          <w:lang w:val="en-US" w:eastAsia="zh-CN"/>
        </w:rPr>
        <w:t>Eur J Clin Invest</w:t>
      </w:r>
      <w:r w:rsidRPr="00A1208A">
        <w:rPr>
          <w:rFonts w:ascii="Book Antiqua" w:hAnsi="Book Antiqua" w:cs="Times New Roman"/>
          <w:color w:val="auto"/>
          <w:kern w:val="2"/>
          <w:sz w:val="24"/>
          <w:szCs w:val="24"/>
          <w:lang w:val="en-US" w:eastAsia="zh-CN"/>
        </w:rPr>
        <w:t xml:space="preserve"> 2010; </w:t>
      </w:r>
      <w:r w:rsidRPr="00A1208A">
        <w:rPr>
          <w:rFonts w:ascii="Book Antiqua" w:hAnsi="Book Antiqua" w:cs="Times New Roman"/>
          <w:b/>
          <w:color w:val="auto"/>
          <w:kern w:val="2"/>
          <w:sz w:val="24"/>
          <w:szCs w:val="24"/>
          <w:lang w:val="en-US" w:eastAsia="zh-CN"/>
        </w:rPr>
        <w:t>40</w:t>
      </w:r>
      <w:r w:rsidRPr="00A1208A">
        <w:rPr>
          <w:rFonts w:ascii="Book Antiqua" w:hAnsi="Book Antiqua" w:cs="Times New Roman"/>
          <w:color w:val="auto"/>
          <w:kern w:val="2"/>
          <w:sz w:val="24"/>
          <w:szCs w:val="24"/>
          <w:lang w:val="en-US" w:eastAsia="zh-CN"/>
        </w:rPr>
        <w:t>: 1067-1073 [PMID: 20695883 DOI: 10.1111/j.1365-2362.2010.02353.x]</w:t>
      </w:r>
    </w:p>
    <w:p w14:paraId="34FC85A2"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6</w:t>
      </w:r>
      <w:r w:rsidRPr="00A1208A">
        <w:rPr>
          <w:rFonts w:ascii="Book Antiqua" w:hAnsi="Book Antiqua" w:cs="Times New Roman" w:hint="eastAsia"/>
          <w:color w:val="auto"/>
          <w:kern w:val="2"/>
          <w:sz w:val="24"/>
          <w:szCs w:val="24"/>
          <w:lang w:val="en-US" w:eastAsia="zh-CN"/>
        </w:rPr>
        <w:t>6</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Braun N</w:t>
      </w:r>
      <w:r w:rsidRPr="00A1208A">
        <w:rPr>
          <w:rFonts w:ascii="Book Antiqua" w:hAnsi="Book Antiqua" w:cs="Times New Roman"/>
          <w:color w:val="auto"/>
          <w:kern w:val="2"/>
          <w:sz w:val="24"/>
          <w:szCs w:val="24"/>
          <w:lang w:val="en-US" w:eastAsia="zh-CN"/>
        </w:rPr>
        <w:t xml:space="preserve">, Fritz P, Ulmer C, Latus J, Kimmel M, Biegger D, Ott G, Reimold F, Thon KP, Dippon J, Segerer S, Alscher MD. Histological criteria for encapsulating peritoneal sclerosis - a standardized approach. </w:t>
      </w:r>
      <w:r w:rsidRPr="00A1208A">
        <w:rPr>
          <w:rFonts w:ascii="Book Antiqua" w:hAnsi="Book Antiqua" w:cs="Times New Roman"/>
          <w:i/>
          <w:color w:val="auto"/>
          <w:kern w:val="2"/>
          <w:sz w:val="24"/>
          <w:szCs w:val="24"/>
          <w:lang w:val="en-US" w:eastAsia="zh-CN"/>
        </w:rPr>
        <w:t>PLoS One</w:t>
      </w:r>
      <w:r w:rsidRPr="00A1208A">
        <w:rPr>
          <w:rFonts w:ascii="Book Antiqua" w:hAnsi="Book Antiqua" w:cs="Times New Roman"/>
          <w:color w:val="auto"/>
          <w:kern w:val="2"/>
          <w:sz w:val="24"/>
          <w:szCs w:val="24"/>
          <w:lang w:val="en-US" w:eastAsia="zh-CN"/>
        </w:rPr>
        <w:t xml:space="preserve"> 2012; </w:t>
      </w:r>
      <w:r w:rsidRPr="00A1208A">
        <w:rPr>
          <w:rFonts w:ascii="Book Antiqua" w:hAnsi="Book Antiqua" w:cs="Times New Roman"/>
          <w:b/>
          <w:color w:val="auto"/>
          <w:kern w:val="2"/>
          <w:sz w:val="24"/>
          <w:szCs w:val="24"/>
          <w:lang w:val="en-US" w:eastAsia="zh-CN"/>
        </w:rPr>
        <w:t>7</w:t>
      </w:r>
      <w:r w:rsidRPr="00A1208A">
        <w:rPr>
          <w:rFonts w:ascii="Book Antiqua" w:hAnsi="Book Antiqua" w:cs="Times New Roman"/>
          <w:color w:val="auto"/>
          <w:kern w:val="2"/>
          <w:sz w:val="24"/>
          <w:szCs w:val="24"/>
          <w:lang w:val="en-US" w:eastAsia="zh-CN"/>
        </w:rPr>
        <w:t>: e48647 [PMID: 23144917 DOI: 10.1371/journal.pone.0048647]</w:t>
      </w:r>
    </w:p>
    <w:p w14:paraId="569F6D58"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6</w:t>
      </w:r>
      <w:r w:rsidRPr="00A1208A">
        <w:rPr>
          <w:rFonts w:ascii="Book Antiqua" w:hAnsi="Book Antiqua" w:cs="Times New Roman" w:hint="eastAsia"/>
          <w:color w:val="auto"/>
          <w:kern w:val="2"/>
          <w:sz w:val="24"/>
          <w:szCs w:val="24"/>
          <w:lang w:val="en-US" w:eastAsia="zh-CN"/>
        </w:rPr>
        <w:t>7</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Lalloo S</w:t>
      </w:r>
      <w:r w:rsidRPr="00A1208A">
        <w:rPr>
          <w:rFonts w:ascii="Book Antiqua" w:hAnsi="Book Antiqua" w:cs="Times New Roman"/>
          <w:color w:val="auto"/>
          <w:kern w:val="2"/>
          <w:sz w:val="24"/>
          <w:szCs w:val="24"/>
          <w:lang w:val="en-US" w:eastAsia="zh-CN"/>
        </w:rPr>
        <w:t xml:space="preserve">, Krishna D, Maharajh J. Case report: abdominal cocoon associated with tuberculous pelvic inflammatory disease. </w:t>
      </w:r>
      <w:r w:rsidRPr="00A1208A">
        <w:rPr>
          <w:rFonts w:ascii="Book Antiqua" w:hAnsi="Book Antiqua" w:cs="Times New Roman"/>
          <w:i/>
          <w:color w:val="auto"/>
          <w:kern w:val="2"/>
          <w:sz w:val="24"/>
          <w:szCs w:val="24"/>
          <w:lang w:val="en-US" w:eastAsia="zh-CN"/>
        </w:rPr>
        <w:t>Br J Radiol</w:t>
      </w:r>
      <w:r w:rsidRPr="00A1208A">
        <w:rPr>
          <w:rFonts w:ascii="Book Antiqua" w:hAnsi="Book Antiqua" w:cs="Times New Roman"/>
          <w:color w:val="auto"/>
          <w:kern w:val="2"/>
          <w:sz w:val="24"/>
          <w:szCs w:val="24"/>
          <w:lang w:val="en-US" w:eastAsia="zh-CN"/>
        </w:rPr>
        <w:t xml:space="preserve"> 2002; </w:t>
      </w:r>
      <w:r w:rsidRPr="00A1208A">
        <w:rPr>
          <w:rFonts w:ascii="Book Antiqua" w:hAnsi="Book Antiqua" w:cs="Times New Roman"/>
          <w:b/>
          <w:color w:val="auto"/>
          <w:kern w:val="2"/>
          <w:sz w:val="24"/>
          <w:szCs w:val="24"/>
          <w:lang w:val="en-US" w:eastAsia="zh-CN"/>
        </w:rPr>
        <w:t>75</w:t>
      </w:r>
      <w:r w:rsidRPr="00A1208A">
        <w:rPr>
          <w:rFonts w:ascii="Book Antiqua" w:hAnsi="Book Antiqua" w:cs="Times New Roman"/>
          <w:color w:val="auto"/>
          <w:kern w:val="2"/>
          <w:sz w:val="24"/>
          <w:szCs w:val="24"/>
          <w:lang w:val="en-US" w:eastAsia="zh-CN"/>
        </w:rPr>
        <w:t>: 174-176 [PMID: 11893642]</w:t>
      </w:r>
    </w:p>
    <w:p w14:paraId="3D32AC79"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6</w:t>
      </w:r>
      <w:r w:rsidRPr="00A1208A">
        <w:rPr>
          <w:rFonts w:ascii="Book Antiqua" w:hAnsi="Book Antiqua" w:cs="Times New Roman" w:hint="eastAsia"/>
          <w:color w:val="auto"/>
          <w:kern w:val="2"/>
          <w:sz w:val="24"/>
          <w:szCs w:val="24"/>
          <w:lang w:val="en-US" w:eastAsia="zh-CN"/>
        </w:rPr>
        <w:t>8</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Kawanishi H</w:t>
      </w:r>
      <w:r w:rsidRPr="00A1208A">
        <w:rPr>
          <w:rFonts w:ascii="Book Antiqua" w:hAnsi="Book Antiqua" w:cs="Times New Roman"/>
          <w:color w:val="auto"/>
          <w:kern w:val="2"/>
          <w:sz w:val="24"/>
          <w:szCs w:val="24"/>
          <w:lang w:val="en-US" w:eastAsia="zh-CN"/>
        </w:rPr>
        <w:t xml:space="preserve">, Kawaguchi Y, Fukui H, Hara S, Imada A, Kubo H, Kin M, Nakamoto M, Ohira S, Shoji T. Encapsulating peritoneal sclerosis in Japan: a prospective, controlled, multicenter study. </w:t>
      </w:r>
      <w:r w:rsidRPr="00A1208A">
        <w:rPr>
          <w:rFonts w:ascii="Book Antiqua" w:hAnsi="Book Antiqua" w:cs="Times New Roman"/>
          <w:i/>
          <w:color w:val="auto"/>
          <w:kern w:val="2"/>
          <w:sz w:val="24"/>
          <w:szCs w:val="24"/>
          <w:lang w:val="en-US" w:eastAsia="zh-CN"/>
        </w:rPr>
        <w:t>Am J Kidney Dis</w:t>
      </w:r>
      <w:r w:rsidRPr="00A1208A">
        <w:rPr>
          <w:rFonts w:ascii="Book Antiqua" w:hAnsi="Book Antiqua" w:cs="Times New Roman"/>
          <w:color w:val="auto"/>
          <w:kern w:val="2"/>
          <w:sz w:val="24"/>
          <w:szCs w:val="24"/>
          <w:lang w:val="en-US" w:eastAsia="zh-CN"/>
        </w:rPr>
        <w:t xml:space="preserve"> 2004; </w:t>
      </w:r>
      <w:r w:rsidRPr="00A1208A">
        <w:rPr>
          <w:rFonts w:ascii="Book Antiqua" w:hAnsi="Book Antiqua" w:cs="Times New Roman"/>
          <w:b/>
          <w:color w:val="auto"/>
          <w:kern w:val="2"/>
          <w:sz w:val="24"/>
          <w:szCs w:val="24"/>
          <w:lang w:val="en-US" w:eastAsia="zh-CN"/>
        </w:rPr>
        <w:t>44</w:t>
      </w:r>
      <w:r w:rsidRPr="00A1208A">
        <w:rPr>
          <w:rFonts w:ascii="Book Antiqua" w:hAnsi="Book Antiqua" w:cs="Times New Roman"/>
          <w:color w:val="auto"/>
          <w:kern w:val="2"/>
          <w:sz w:val="24"/>
          <w:szCs w:val="24"/>
          <w:lang w:val="en-US" w:eastAsia="zh-CN"/>
        </w:rPr>
        <w:t>: 729-737 [PMID: 15384025 DOI: 10.1053/j.ajkd.2004.06.020]</w:t>
      </w:r>
    </w:p>
    <w:p w14:paraId="5C0F8030"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hint="eastAsia"/>
          <w:color w:val="auto"/>
          <w:kern w:val="2"/>
          <w:sz w:val="24"/>
          <w:szCs w:val="24"/>
          <w:lang w:val="en-US" w:eastAsia="zh-CN"/>
        </w:rPr>
        <w:t>69</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de Freitas D</w:t>
      </w:r>
      <w:r w:rsidRPr="00A1208A">
        <w:rPr>
          <w:rFonts w:ascii="Book Antiqua" w:hAnsi="Book Antiqua" w:cs="Times New Roman"/>
          <w:color w:val="auto"/>
          <w:kern w:val="2"/>
          <w:sz w:val="24"/>
          <w:szCs w:val="24"/>
          <w:lang w:val="en-US" w:eastAsia="zh-CN"/>
        </w:rPr>
        <w:t xml:space="preserve">, Jordaan A, Williams R, Alderdice J, Curwell J, Hurst H, Hutchison A, Brenchley PE, Augustine T, Summers AM. Nutritional management of patients undergoing surgery following diagnosis with encapsulating peritoneal sclerosis. </w:t>
      </w:r>
      <w:r w:rsidRPr="00A1208A">
        <w:rPr>
          <w:rFonts w:ascii="Book Antiqua" w:hAnsi="Book Antiqua" w:cs="Times New Roman"/>
          <w:i/>
          <w:color w:val="auto"/>
          <w:kern w:val="2"/>
          <w:sz w:val="24"/>
          <w:szCs w:val="24"/>
          <w:lang w:val="en-US" w:eastAsia="zh-CN"/>
        </w:rPr>
        <w:t>Perit Dial Int</w:t>
      </w:r>
      <w:r w:rsidRPr="00A1208A">
        <w:rPr>
          <w:rFonts w:ascii="Book Antiqua" w:hAnsi="Book Antiqua" w:cs="Times New Roman"/>
          <w:color w:val="auto"/>
          <w:kern w:val="2"/>
          <w:sz w:val="24"/>
          <w:szCs w:val="24"/>
          <w:lang w:val="en-US" w:eastAsia="zh-CN"/>
        </w:rPr>
        <w:t xml:space="preserve"> 2008; </w:t>
      </w:r>
      <w:r w:rsidRPr="00A1208A">
        <w:rPr>
          <w:rFonts w:ascii="Book Antiqua" w:hAnsi="Book Antiqua" w:cs="Times New Roman"/>
          <w:b/>
          <w:color w:val="auto"/>
          <w:kern w:val="2"/>
          <w:sz w:val="24"/>
          <w:szCs w:val="24"/>
          <w:lang w:val="en-US" w:eastAsia="zh-CN"/>
        </w:rPr>
        <w:t>28</w:t>
      </w:r>
      <w:r w:rsidRPr="00A1208A">
        <w:rPr>
          <w:rFonts w:ascii="Book Antiqua" w:hAnsi="Book Antiqua" w:cs="Times New Roman"/>
          <w:color w:val="auto"/>
          <w:kern w:val="2"/>
          <w:sz w:val="24"/>
          <w:szCs w:val="24"/>
          <w:lang w:val="en-US" w:eastAsia="zh-CN"/>
        </w:rPr>
        <w:t>: 271-276 [PMID: 18474920]</w:t>
      </w:r>
    </w:p>
    <w:p w14:paraId="59B5904C"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7</w:t>
      </w:r>
      <w:r w:rsidRPr="00A1208A">
        <w:rPr>
          <w:rFonts w:ascii="Book Antiqua" w:hAnsi="Book Antiqua" w:cs="Times New Roman" w:hint="eastAsia"/>
          <w:color w:val="auto"/>
          <w:kern w:val="2"/>
          <w:sz w:val="24"/>
          <w:szCs w:val="24"/>
          <w:lang w:val="en-US" w:eastAsia="zh-CN"/>
        </w:rPr>
        <w:t>0</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Junor BJ</w:t>
      </w:r>
      <w:r w:rsidRPr="00A1208A">
        <w:rPr>
          <w:rFonts w:ascii="Book Antiqua" w:hAnsi="Book Antiqua" w:cs="Times New Roman"/>
          <w:color w:val="auto"/>
          <w:kern w:val="2"/>
          <w:sz w:val="24"/>
          <w:szCs w:val="24"/>
          <w:lang w:val="en-US" w:eastAsia="zh-CN"/>
        </w:rPr>
        <w:t xml:space="preserve">, McMillan MA. Immunosuppression in sclerosing peritonitis. </w:t>
      </w:r>
      <w:r w:rsidRPr="00A1208A">
        <w:rPr>
          <w:rFonts w:ascii="Book Antiqua" w:hAnsi="Book Antiqua" w:cs="Times New Roman"/>
          <w:i/>
          <w:color w:val="auto"/>
          <w:kern w:val="2"/>
          <w:sz w:val="24"/>
          <w:szCs w:val="24"/>
          <w:lang w:val="en-US" w:eastAsia="zh-CN"/>
        </w:rPr>
        <w:t>Adv Perit Dial</w:t>
      </w:r>
      <w:r w:rsidRPr="00A1208A">
        <w:rPr>
          <w:rFonts w:ascii="Book Antiqua" w:hAnsi="Book Antiqua" w:cs="Times New Roman"/>
          <w:color w:val="auto"/>
          <w:kern w:val="2"/>
          <w:sz w:val="24"/>
          <w:szCs w:val="24"/>
          <w:lang w:val="en-US" w:eastAsia="zh-CN"/>
        </w:rPr>
        <w:t xml:space="preserve"> 1993; </w:t>
      </w:r>
      <w:r w:rsidRPr="00A1208A">
        <w:rPr>
          <w:rFonts w:ascii="Book Antiqua" w:hAnsi="Book Antiqua" w:cs="Times New Roman"/>
          <w:b/>
          <w:color w:val="auto"/>
          <w:kern w:val="2"/>
          <w:sz w:val="24"/>
          <w:szCs w:val="24"/>
          <w:lang w:val="en-US" w:eastAsia="zh-CN"/>
        </w:rPr>
        <w:t>9</w:t>
      </w:r>
      <w:r w:rsidRPr="00A1208A">
        <w:rPr>
          <w:rFonts w:ascii="Book Antiqua" w:hAnsi="Book Antiqua" w:cs="Times New Roman"/>
          <w:color w:val="auto"/>
          <w:kern w:val="2"/>
          <w:sz w:val="24"/>
          <w:szCs w:val="24"/>
          <w:lang w:val="en-US" w:eastAsia="zh-CN"/>
        </w:rPr>
        <w:t>: 187-189 [PMID: 8105920]</w:t>
      </w:r>
    </w:p>
    <w:p w14:paraId="256D8BCD"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7</w:t>
      </w:r>
      <w:r w:rsidRPr="00A1208A">
        <w:rPr>
          <w:rFonts w:ascii="Book Antiqua" w:hAnsi="Book Antiqua" w:cs="Times New Roman" w:hint="eastAsia"/>
          <w:color w:val="auto"/>
          <w:kern w:val="2"/>
          <w:sz w:val="24"/>
          <w:szCs w:val="24"/>
          <w:lang w:val="en-US" w:eastAsia="zh-CN"/>
        </w:rPr>
        <w:t>1</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Maruyama Y</w:t>
      </w:r>
      <w:r w:rsidRPr="00A1208A">
        <w:rPr>
          <w:rFonts w:ascii="Book Antiqua" w:hAnsi="Book Antiqua" w:cs="Times New Roman"/>
          <w:color w:val="auto"/>
          <w:kern w:val="2"/>
          <w:sz w:val="24"/>
          <w:szCs w:val="24"/>
          <w:lang w:val="en-US" w:eastAsia="zh-CN"/>
        </w:rPr>
        <w:t xml:space="preserve">, Nakayama M. Encapsulating peritoneal sclerosis in Japan. </w:t>
      </w:r>
      <w:r w:rsidRPr="00A1208A">
        <w:rPr>
          <w:rFonts w:ascii="Book Antiqua" w:hAnsi="Book Antiqua" w:cs="Times New Roman"/>
          <w:i/>
          <w:color w:val="auto"/>
          <w:kern w:val="2"/>
          <w:sz w:val="24"/>
          <w:szCs w:val="24"/>
          <w:lang w:val="en-US" w:eastAsia="zh-CN"/>
        </w:rPr>
        <w:t>Perit Dial Int</w:t>
      </w:r>
      <w:r w:rsidRPr="00A1208A">
        <w:rPr>
          <w:rFonts w:ascii="Book Antiqua" w:hAnsi="Book Antiqua" w:cs="Times New Roman"/>
          <w:color w:val="auto"/>
          <w:kern w:val="2"/>
          <w:sz w:val="24"/>
          <w:szCs w:val="24"/>
          <w:lang w:val="en-US" w:eastAsia="zh-CN"/>
        </w:rPr>
        <w:t xml:space="preserve"> 2008; </w:t>
      </w:r>
      <w:r w:rsidRPr="00A1208A">
        <w:rPr>
          <w:rFonts w:ascii="Book Antiqua" w:hAnsi="Book Antiqua" w:cs="Times New Roman"/>
          <w:b/>
          <w:color w:val="auto"/>
          <w:kern w:val="2"/>
          <w:sz w:val="24"/>
          <w:szCs w:val="24"/>
          <w:lang w:val="en-US" w:eastAsia="zh-CN"/>
        </w:rPr>
        <w:t>28 Suppl 3</w:t>
      </w:r>
      <w:r w:rsidRPr="00A1208A">
        <w:rPr>
          <w:rFonts w:ascii="Book Antiqua" w:hAnsi="Book Antiqua" w:cs="Times New Roman"/>
          <w:color w:val="auto"/>
          <w:kern w:val="2"/>
          <w:sz w:val="24"/>
          <w:szCs w:val="24"/>
          <w:lang w:val="en-US" w:eastAsia="zh-CN"/>
        </w:rPr>
        <w:t>: S201-S204 [PMID: 18552256]</w:t>
      </w:r>
    </w:p>
    <w:p w14:paraId="7699094B"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7</w:t>
      </w:r>
      <w:r w:rsidRPr="00A1208A">
        <w:rPr>
          <w:rFonts w:ascii="Book Antiqua" w:hAnsi="Book Antiqua" w:cs="Times New Roman" w:hint="eastAsia"/>
          <w:color w:val="auto"/>
          <w:kern w:val="2"/>
          <w:sz w:val="24"/>
          <w:szCs w:val="24"/>
          <w:lang w:val="en-US" w:eastAsia="zh-CN"/>
        </w:rPr>
        <w:t>2</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Ceri M</w:t>
      </w:r>
      <w:r w:rsidRPr="00A1208A">
        <w:rPr>
          <w:rFonts w:ascii="Book Antiqua" w:hAnsi="Book Antiqua" w:cs="Times New Roman"/>
          <w:color w:val="auto"/>
          <w:kern w:val="2"/>
          <w:sz w:val="24"/>
          <w:szCs w:val="24"/>
          <w:lang w:val="en-US" w:eastAsia="zh-CN"/>
        </w:rPr>
        <w:t xml:space="preserve">, Unverdi S, Dogan M, Unverdi H, Karaca G, Kocak G, Kurultak I, Akbal E, Can M, Duranay M. Effect of sirolimus on the regression of peritoneal sclerosis in an </w:t>
      </w:r>
      <w:r w:rsidRPr="00A1208A">
        <w:rPr>
          <w:rFonts w:ascii="Book Antiqua" w:hAnsi="Book Antiqua" w:cs="Times New Roman"/>
          <w:color w:val="auto"/>
          <w:kern w:val="2"/>
          <w:sz w:val="24"/>
          <w:szCs w:val="24"/>
          <w:lang w:val="en-US" w:eastAsia="zh-CN"/>
        </w:rPr>
        <w:lastRenderedPageBreak/>
        <w:t xml:space="preserve">experimental rat model. </w:t>
      </w:r>
      <w:r w:rsidRPr="00A1208A">
        <w:rPr>
          <w:rFonts w:ascii="Book Antiqua" w:hAnsi="Book Antiqua" w:cs="Times New Roman"/>
          <w:i/>
          <w:color w:val="auto"/>
          <w:kern w:val="2"/>
          <w:sz w:val="24"/>
          <w:szCs w:val="24"/>
          <w:lang w:val="en-US" w:eastAsia="zh-CN"/>
        </w:rPr>
        <w:t>Int Urol Nephrol</w:t>
      </w:r>
      <w:r w:rsidRPr="00A1208A">
        <w:rPr>
          <w:rFonts w:ascii="Book Antiqua" w:hAnsi="Book Antiqua" w:cs="Times New Roman"/>
          <w:color w:val="auto"/>
          <w:kern w:val="2"/>
          <w:sz w:val="24"/>
          <w:szCs w:val="24"/>
          <w:lang w:val="en-US" w:eastAsia="zh-CN"/>
        </w:rPr>
        <w:t xml:space="preserve"> 2012; </w:t>
      </w:r>
      <w:r w:rsidRPr="00A1208A">
        <w:rPr>
          <w:rFonts w:ascii="Book Antiqua" w:hAnsi="Book Antiqua" w:cs="Times New Roman"/>
          <w:b/>
          <w:color w:val="auto"/>
          <w:kern w:val="2"/>
          <w:sz w:val="24"/>
          <w:szCs w:val="24"/>
          <w:lang w:val="en-US" w:eastAsia="zh-CN"/>
        </w:rPr>
        <w:t>44</w:t>
      </w:r>
      <w:r w:rsidRPr="00A1208A">
        <w:rPr>
          <w:rFonts w:ascii="Book Antiqua" w:hAnsi="Book Antiqua" w:cs="Times New Roman"/>
          <w:color w:val="auto"/>
          <w:kern w:val="2"/>
          <w:sz w:val="24"/>
          <w:szCs w:val="24"/>
          <w:lang w:val="en-US" w:eastAsia="zh-CN"/>
        </w:rPr>
        <w:t>: 977-982 [PMID: 22528580 DOI: 10.1007/s11255-012-0167-3]</w:t>
      </w:r>
    </w:p>
    <w:p w14:paraId="68066992"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7</w:t>
      </w:r>
      <w:r w:rsidRPr="00A1208A">
        <w:rPr>
          <w:rFonts w:ascii="Book Antiqua" w:hAnsi="Book Antiqua" w:cs="Times New Roman" w:hint="eastAsia"/>
          <w:color w:val="auto"/>
          <w:kern w:val="2"/>
          <w:sz w:val="24"/>
          <w:szCs w:val="24"/>
          <w:lang w:val="en-US" w:eastAsia="zh-CN"/>
        </w:rPr>
        <w:t>3</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Sud R</w:t>
      </w:r>
      <w:r w:rsidRPr="00A1208A">
        <w:rPr>
          <w:rFonts w:ascii="Book Antiqua" w:hAnsi="Book Antiqua" w:cs="Times New Roman"/>
          <w:color w:val="auto"/>
          <w:kern w:val="2"/>
          <w:sz w:val="24"/>
          <w:szCs w:val="24"/>
          <w:lang w:val="en-US" w:eastAsia="zh-CN"/>
        </w:rPr>
        <w:t xml:space="preserve">, Garry L, Spicer ST, Allen RD, Eris JM, Wyburn K, Verran D, Cooper CL, Chadban S. A role for everolimus in post-transplant encapsulating peritoneal sclerosis: first case report. </w:t>
      </w:r>
      <w:r w:rsidRPr="00A1208A">
        <w:rPr>
          <w:rFonts w:ascii="Book Antiqua" w:hAnsi="Book Antiqua" w:cs="Times New Roman"/>
          <w:i/>
          <w:color w:val="auto"/>
          <w:kern w:val="2"/>
          <w:sz w:val="24"/>
          <w:szCs w:val="24"/>
          <w:lang w:val="en-US" w:eastAsia="zh-CN"/>
        </w:rPr>
        <w:t>Nephrology (Carlton)</w:t>
      </w:r>
      <w:r w:rsidRPr="00A1208A">
        <w:rPr>
          <w:rFonts w:ascii="Book Antiqua" w:hAnsi="Book Antiqua" w:cs="Times New Roman"/>
          <w:color w:val="auto"/>
          <w:kern w:val="2"/>
          <w:sz w:val="24"/>
          <w:szCs w:val="24"/>
          <w:lang w:val="en-US" w:eastAsia="zh-CN"/>
        </w:rPr>
        <w:t xml:space="preserve"> 2014; </w:t>
      </w:r>
      <w:r w:rsidRPr="00A1208A">
        <w:rPr>
          <w:rFonts w:ascii="Book Antiqua" w:hAnsi="Book Antiqua" w:cs="Times New Roman"/>
          <w:b/>
          <w:color w:val="auto"/>
          <w:kern w:val="2"/>
          <w:sz w:val="24"/>
          <w:szCs w:val="24"/>
          <w:lang w:val="en-US" w:eastAsia="zh-CN"/>
        </w:rPr>
        <w:t>19 Suppl 1</w:t>
      </w:r>
      <w:r w:rsidRPr="00A1208A">
        <w:rPr>
          <w:rFonts w:ascii="Book Antiqua" w:hAnsi="Book Antiqua" w:cs="Times New Roman"/>
          <w:color w:val="auto"/>
          <w:kern w:val="2"/>
          <w:sz w:val="24"/>
          <w:szCs w:val="24"/>
          <w:lang w:val="en-US" w:eastAsia="zh-CN"/>
        </w:rPr>
        <w:t>: 27-30 [PMID: 24460661 DOI: 10.1111/nep.12196]Available]</w:t>
      </w:r>
    </w:p>
    <w:p w14:paraId="590CF276"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7</w:t>
      </w:r>
      <w:r w:rsidRPr="00A1208A">
        <w:rPr>
          <w:rFonts w:ascii="Book Antiqua" w:hAnsi="Book Antiqua" w:cs="Times New Roman" w:hint="eastAsia"/>
          <w:color w:val="auto"/>
          <w:kern w:val="2"/>
          <w:sz w:val="24"/>
          <w:szCs w:val="24"/>
          <w:lang w:val="en-US" w:eastAsia="zh-CN"/>
        </w:rPr>
        <w:t>4</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Romagnoli J</w:t>
      </w:r>
      <w:r w:rsidRPr="00A1208A">
        <w:rPr>
          <w:rFonts w:ascii="Book Antiqua" w:hAnsi="Book Antiqua" w:cs="Times New Roman"/>
          <w:color w:val="auto"/>
          <w:kern w:val="2"/>
          <w:sz w:val="24"/>
          <w:szCs w:val="24"/>
          <w:lang w:val="en-US" w:eastAsia="zh-CN"/>
        </w:rPr>
        <w:t xml:space="preserve">, Pedroso JA, Salerno MP, Favi E, Spagnoletti G, Citterio F. Posttransplant encapsulating peritoneal sclerosis, long-term success with everolimus and low-dose CNI: a case report. </w:t>
      </w:r>
      <w:r w:rsidRPr="00A1208A">
        <w:rPr>
          <w:rFonts w:ascii="Book Antiqua" w:hAnsi="Book Antiqua" w:cs="Times New Roman"/>
          <w:i/>
          <w:color w:val="auto"/>
          <w:kern w:val="2"/>
          <w:sz w:val="24"/>
          <w:szCs w:val="24"/>
          <w:lang w:val="en-US" w:eastAsia="zh-CN"/>
        </w:rPr>
        <w:t>Transplant Proc</w:t>
      </w:r>
      <w:r w:rsidRPr="00A1208A">
        <w:rPr>
          <w:rFonts w:ascii="Book Antiqua" w:hAnsi="Book Antiqua" w:cs="Times New Roman"/>
          <w:color w:val="auto"/>
          <w:kern w:val="2"/>
          <w:sz w:val="24"/>
          <w:szCs w:val="24"/>
          <w:lang w:val="en-US" w:eastAsia="zh-CN"/>
        </w:rPr>
        <w:t xml:space="preserve"> 2014; </w:t>
      </w:r>
      <w:r w:rsidRPr="00A1208A">
        <w:rPr>
          <w:rFonts w:ascii="Book Antiqua" w:hAnsi="Book Antiqua" w:cs="Times New Roman"/>
          <w:b/>
          <w:color w:val="auto"/>
          <w:kern w:val="2"/>
          <w:sz w:val="24"/>
          <w:szCs w:val="24"/>
          <w:lang w:val="en-US" w:eastAsia="zh-CN"/>
        </w:rPr>
        <w:t>46</w:t>
      </w:r>
      <w:r w:rsidRPr="00A1208A">
        <w:rPr>
          <w:rFonts w:ascii="Book Antiqua" w:hAnsi="Book Antiqua" w:cs="Times New Roman"/>
          <w:color w:val="auto"/>
          <w:kern w:val="2"/>
          <w:sz w:val="24"/>
          <w:szCs w:val="24"/>
          <w:lang w:val="en-US" w:eastAsia="zh-CN"/>
        </w:rPr>
        <w:t>: 2368-2370 [PMID: 25242790 DOI: 10.1016/j.transproceed.2014.07.060]Available]</w:t>
      </w:r>
    </w:p>
    <w:p w14:paraId="60BE6C56"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7</w:t>
      </w:r>
      <w:r w:rsidRPr="00A1208A">
        <w:rPr>
          <w:rFonts w:ascii="Book Antiqua" w:hAnsi="Book Antiqua" w:cs="Times New Roman" w:hint="eastAsia"/>
          <w:color w:val="auto"/>
          <w:kern w:val="2"/>
          <w:sz w:val="24"/>
          <w:szCs w:val="24"/>
          <w:lang w:val="en-US" w:eastAsia="zh-CN"/>
        </w:rPr>
        <w:t>5</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Huddam B</w:t>
      </w:r>
      <w:r w:rsidRPr="00A1208A">
        <w:rPr>
          <w:rFonts w:ascii="Book Antiqua" w:hAnsi="Book Antiqua" w:cs="Times New Roman"/>
          <w:color w:val="auto"/>
          <w:kern w:val="2"/>
          <w:sz w:val="24"/>
          <w:szCs w:val="24"/>
          <w:lang w:val="en-US" w:eastAsia="zh-CN"/>
        </w:rPr>
        <w:t xml:space="preserve">, Başaran M, Koçak G, Azak A, Yalçın F, Reyhan NH, Duranay M. The use of mycophenolate mofetil in experimental encapsulating peritoneal sclerosis. </w:t>
      </w:r>
      <w:r w:rsidRPr="00A1208A">
        <w:rPr>
          <w:rFonts w:ascii="Book Antiqua" w:hAnsi="Book Antiqua" w:cs="Times New Roman"/>
          <w:i/>
          <w:color w:val="auto"/>
          <w:kern w:val="2"/>
          <w:sz w:val="24"/>
          <w:szCs w:val="24"/>
          <w:lang w:val="en-US" w:eastAsia="zh-CN"/>
        </w:rPr>
        <w:t>Int Urol Nephrol</w:t>
      </w:r>
      <w:r w:rsidRPr="00A1208A">
        <w:rPr>
          <w:rFonts w:ascii="Book Antiqua" w:hAnsi="Book Antiqua" w:cs="Times New Roman"/>
          <w:color w:val="auto"/>
          <w:kern w:val="2"/>
          <w:sz w:val="24"/>
          <w:szCs w:val="24"/>
          <w:lang w:val="en-US" w:eastAsia="zh-CN"/>
        </w:rPr>
        <w:t xml:space="preserve"> 2015; </w:t>
      </w:r>
      <w:r w:rsidRPr="00A1208A">
        <w:rPr>
          <w:rFonts w:ascii="Book Antiqua" w:hAnsi="Book Antiqua" w:cs="Times New Roman"/>
          <w:b/>
          <w:color w:val="auto"/>
          <w:kern w:val="2"/>
          <w:sz w:val="24"/>
          <w:szCs w:val="24"/>
          <w:lang w:val="en-US" w:eastAsia="zh-CN"/>
        </w:rPr>
        <w:t>47</w:t>
      </w:r>
      <w:r w:rsidRPr="00A1208A">
        <w:rPr>
          <w:rFonts w:ascii="Book Antiqua" w:hAnsi="Book Antiqua" w:cs="Times New Roman"/>
          <w:color w:val="auto"/>
          <w:kern w:val="2"/>
          <w:sz w:val="24"/>
          <w:szCs w:val="24"/>
          <w:lang w:val="en-US" w:eastAsia="zh-CN"/>
        </w:rPr>
        <w:t>: 1423-1428 [PMID: 26159779 DOI: 10.1007/s11255-015-1015-z]</w:t>
      </w:r>
    </w:p>
    <w:p w14:paraId="044F066C"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7</w:t>
      </w:r>
      <w:r w:rsidRPr="00A1208A">
        <w:rPr>
          <w:rFonts w:ascii="Book Antiqua" w:hAnsi="Book Antiqua" w:cs="Times New Roman" w:hint="eastAsia"/>
          <w:color w:val="auto"/>
          <w:kern w:val="2"/>
          <w:sz w:val="24"/>
          <w:szCs w:val="24"/>
          <w:lang w:val="en-US" w:eastAsia="zh-CN"/>
        </w:rPr>
        <w:t>6</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Bozkurt D</w:t>
      </w:r>
      <w:r w:rsidRPr="00A1208A">
        <w:rPr>
          <w:rFonts w:ascii="Book Antiqua" w:hAnsi="Book Antiqua" w:cs="Times New Roman"/>
          <w:color w:val="auto"/>
          <w:kern w:val="2"/>
          <w:sz w:val="24"/>
          <w:szCs w:val="24"/>
          <w:lang w:val="en-US" w:eastAsia="zh-CN"/>
        </w:rPr>
        <w:t xml:space="preserve">, Bicak S, Sipahi S, Taskin H, Hur E, Ertilav M, Sen S, Duman S. The effects of colchicine on the progression and regression of encapsulating peritoneal sclerosis. </w:t>
      </w:r>
      <w:r w:rsidRPr="00A1208A">
        <w:rPr>
          <w:rFonts w:ascii="Book Antiqua" w:hAnsi="Book Antiqua" w:cs="Times New Roman"/>
          <w:i/>
          <w:color w:val="auto"/>
          <w:kern w:val="2"/>
          <w:sz w:val="24"/>
          <w:szCs w:val="24"/>
          <w:lang w:val="en-US" w:eastAsia="zh-CN"/>
        </w:rPr>
        <w:t>Perit Dial Int</w:t>
      </w:r>
      <w:r w:rsidRPr="00A1208A">
        <w:rPr>
          <w:rFonts w:ascii="Book Antiqua" w:hAnsi="Book Antiqua" w:cs="Times New Roman"/>
          <w:color w:val="auto"/>
          <w:kern w:val="2"/>
          <w:sz w:val="24"/>
          <w:szCs w:val="24"/>
          <w:lang w:val="en-US" w:eastAsia="zh-CN"/>
        </w:rPr>
        <w:t xml:space="preserve"> 2008; </w:t>
      </w:r>
      <w:r w:rsidRPr="00A1208A">
        <w:rPr>
          <w:rFonts w:ascii="Book Antiqua" w:hAnsi="Book Antiqua" w:cs="Times New Roman"/>
          <w:b/>
          <w:color w:val="auto"/>
          <w:kern w:val="2"/>
          <w:sz w:val="24"/>
          <w:szCs w:val="24"/>
          <w:lang w:val="en-US" w:eastAsia="zh-CN"/>
        </w:rPr>
        <w:t>28 Suppl 5</w:t>
      </w:r>
      <w:r w:rsidRPr="00A1208A">
        <w:rPr>
          <w:rFonts w:ascii="Book Antiqua" w:hAnsi="Book Antiqua" w:cs="Times New Roman"/>
          <w:color w:val="auto"/>
          <w:kern w:val="2"/>
          <w:sz w:val="24"/>
          <w:szCs w:val="24"/>
          <w:lang w:val="en-US" w:eastAsia="zh-CN"/>
        </w:rPr>
        <w:t>: S53-S57 [PMID: 19008543 DOI: 28/Supplement_5/S53]</w:t>
      </w:r>
    </w:p>
    <w:p w14:paraId="66B61547"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7</w:t>
      </w:r>
      <w:r w:rsidRPr="00A1208A">
        <w:rPr>
          <w:rFonts w:ascii="Book Antiqua" w:hAnsi="Book Antiqua" w:cs="Times New Roman" w:hint="eastAsia"/>
          <w:color w:val="auto"/>
          <w:kern w:val="2"/>
          <w:sz w:val="24"/>
          <w:szCs w:val="24"/>
          <w:lang w:val="en-US" w:eastAsia="zh-CN"/>
        </w:rPr>
        <w:t>7</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Kuriyama S</w:t>
      </w:r>
      <w:r w:rsidRPr="00A1208A">
        <w:rPr>
          <w:rFonts w:ascii="Book Antiqua" w:hAnsi="Book Antiqua" w:cs="Times New Roman"/>
          <w:color w:val="auto"/>
          <w:kern w:val="2"/>
          <w:sz w:val="24"/>
          <w:szCs w:val="24"/>
          <w:lang w:val="en-US" w:eastAsia="zh-CN"/>
        </w:rPr>
        <w:t xml:space="preserve">, Tomonari H. Corticosteroid therapy in encapsulating peritoneal sclerosis. </w:t>
      </w:r>
      <w:r w:rsidRPr="00A1208A">
        <w:rPr>
          <w:rFonts w:ascii="Book Antiqua" w:hAnsi="Book Antiqua" w:cs="Times New Roman"/>
          <w:i/>
          <w:color w:val="auto"/>
          <w:kern w:val="2"/>
          <w:sz w:val="24"/>
          <w:szCs w:val="24"/>
          <w:lang w:val="en-US" w:eastAsia="zh-CN"/>
        </w:rPr>
        <w:t>Nephrol Dial Transplant</w:t>
      </w:r>
      <w:r w:rsidRPr="00A1208A">
        <w:rPr>
          <w:rFonts w:ascii="Book Antiqua" w:hAnsi="Book Antiqua" w:cs="Times New Roman"/>
          <w:color w:val="auto"/>
          <w:kern w:val="2"/>
          <w:sz w:val="24"/>
          <w:szCs w:val="24"/>
          <w:lang w:val="en-US" w:eastAsia="zh-CN"/>
        </w:rPr>
        <w:t xml:space="preserve"> 2001; </w:t>
      </w:r>
      <w:r w:rsidRPr="00A1208A">
        <w:rPr>
          <w:rFonts w:ascii="Book Antiqua" w:hAnsi="Book Antiqua" w:cs="Times New Roman"/>
          <w:b/>
          <w:color w:val="auto"/>
          <w:kern w:val="2"/>
          <w:sz w:val="24"/>
          <w:szCs w:val="24"/>
          <w:lang w:val="en-US" w:eastAsia="zh-CN"/>
        </w:rPr>
        <w:t>16</w:t>
      </w:r>
      <w:r w:rsidRPr="00A1208A">
        <w:rPr>
          <w:rFonts w:ascii="Book Antiqua" w:hAnsi="Book Antiqua" w:cs="Times New Roman"/>
          <w:color w:val="auto"/>
          <w:kern w:val="2"/>
          <w:sz w:val="24"/>
          <w:szCs w:val="24"/>
          <w:lang w:val="en-US" w:eastAsia="zh-CN"/>
        </w:rPr>
        <w:t>: 1304-1305 [PMID: 11390748]</w:t>
      </w:r>
    </w:p>
    <w:p w14:paraId="725B3FE6"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7</w:t>
      </w:r>
      <w:r w:rsidRPr="00A1208A">
        <w:rPr>
          <w:rFonts w:ascii="Book Antiqua" w:hAnsi="Book Antiqua" w:cs="Times New Roman" w:hint="eastAsia"/>
          <w:color w:val="auto"/>
          <w:kern w:val="2"/>
          <w:sz w:val="24"/>
          <w:szCs w:val="24"/>
          <w:lang w:val="en-US" w:eastAsia="zh-CN"/>
        </w:rPr>
        <w:t>8</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Habib SM</w:t>
      </w:r>
      <w:r w:rsidRPr="00A1208A">
        <w:rPr>
          <w:rFonts w:ascii="Book Antiqua" w:hAnsi="Book Antiqua" w:cs="Times New Roman"/>
          <w:color w:val="auto"/>
          <w:kern w:val="2"/>
          <w:sz w:val="24"/>
          <w:szCs w:val="24"/>
          <w:lang w:val="en-US" w:eastAsia="zh-CN"/>
        </w:rPr>
        <w:t xml:space="preserve">, Betjes MG, Fieren MW, Boeschoten EW, Abrahams AC, Boer WH, Struijk DG, Ruger W, Krikke C, Westerhuis R, de Sévaux RG, van der Sande FM, Gaasbeek A, Korte MR; Eps Registry. Management of encapsulating peritoneal sclerosis: a guideline on optimal and uniform treatment. </w:t>
      </w:r>
      <w:r w:rsidRPr="00A1208A">
        <w:rPr>
          <w:rFonts w:ascii="Book Antiqua" w:hAnsi="Book Antiqua" w:cs="Times New Roman"/>
          <w:i/>
          <w:color w:val="auto"/>
          <w:kern w:val="2"/>
          <w:sz w:val="24"/>
          <w:szCs w:val="24"/>
          <w:lang w:val="en-US" w:eastAsia="zh-CN"/>
        </w:rPr>
        <w:t>Neth J Med</w:t>
      </w:r>
      <w:r w:rsidRPr="00A1208A">
        <w:rPr>
          <w:rFonts w:ascii="Book Antiqua" w:hAnsi="Book Antiqua" w:cs="Times New Roman"/>
          <w:color w:val="auto"/>
          <w:kern w:val="2"/>
          <w:sz w:val="24"/>
          <w:szCs w:val="24"/>
          <w:lang w:val="en-US" w:eastAsia="zh-CN"/>
        </w:rPr>
        <w:t xml:space="preserve"> 2011; </w:t>
      </w:r>
      <w:r w:rsidRPr="00A1208A">
        <w:rPr>
          <w:rFonts w:ascii="Book Antiqua" w:hAnsi="Book Antiqua" w:cs="Times New Roman"/>
          <w:b/>
          <w:color w:val="auto"/>
          <w:kern w:val="2"/>
          <w:sz w:val="24"/>
          <w:szCs w:val="24"/>
          <w:lang w:val="en-US" w:eastAsia="zh-CN"/>
        </w:rPr>
        <w:t>69</w:t>
      </w:r>
      <w:r w:rsidRPr="00A1208A">
        <w:rPr>
          <w:rFonts w:ascii="Book Antiqua" w:hAnsi="Book Antiqua" w:cs="Times New Roman"/>
          <w:color w:val="auto"/>
          <w:kern w:val="2"/>
          <w:sz w:val="24"/>
          <w:szCs w:val="24"/>
          <w:lang w:val="en-US" w:eastAsia="zh-CN"/>
        </w:rPr>
        <w:t>: 500-507 [PMID: 22173363]</w:t>
      </w:r>
    </w:p>
    <w:p w14:paraId="31AF451B"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hint="eastAsia"/>
          <w:color w:val="auto"/>
          <w:kern w:val="2"/>
          <w:sz w:val="24"/>
          <w:szCs w:val="24"/>
          <w:lang w:val="en-US" w:eastAsia="zh-CN"/>
        </w:rPr>
        <w:t>79</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Loureiro J</w:t>
      </w:r>
      <w:r w:rsidRPr="00A1208A">
        <w:rPr>
          <w:rFonts w:ascii="Book Antiqua" w:hAnsi="Book Antiqua" w:cs="Times New Roman"/>
          <w:color w:val="auto"/>
          <w:kern w:val="2"/>
          <w:sz w:val="24"/>
          <w:szCs w:val="24"/>
          <w:lang w:val="en-US" w:eastAsia="zh-CN"/>
        </w:rPr>
        <w:t xml:space="preserve">, Aguilera A, Selgas R, Sandoval P, Albar-Vizcaíno P, Pérez-Lozano ML, Ruiz-Carpio V, Majano PL, Lamas S, Rodríguez-Pascual F, Borras-Cuesta F, Dotor J, López-Cabrera M. Blocking TGF-β1 protects the peritoneal membrane from dialysate-induced damage. </w:t>
      </w:r>
      <w:r w:rsidRPr="00A1208A">
        <w:rPr>
          <w:rFonts w:ascii="Book Antiqua" w:hAnsi="Book Antiqua" w:cs="Times New Roman"/>
          <w:i/>
          <w:color w:val="auto"/>
          <w:kern w:val="2"/>
          <w:sz w:val="24"/>
          <w:szCs w:val="24"/>
          <w:lang w:val="en-US" w:eastAsia="zh-CN"/>
        </w:rPr>
        <w:t>J Am Soc Nephrol</w:t>
      </w:r>
      <w:r w:rsidRPr="00A1208A">
        <w:rPr>
          <w:rFonts w:ascii="Book Antiqua" w:hAnsi="Book Antiqua" w:cs="Times New Roman"/>
          <w:color w:val="auto"/>
          <w:kern w:val="2"/>
          <w:sz w:val="24"/>
          <w:szCs w:val="24"/>
          <w:lang w:val="en-US" w:eastAsia="zh-CN"/>
        </w:rPr>
        <w:t xml:space="preserve"> 2011; </w:t>
      </w:r>
      <w:r w:rsidRPr="00A1208A">
        <w:rPr>
          <w:rFonts w:ascii="Book Antiqua" w:hAnsi="Book Antiqua" w:cs="Times New Roman"/>
          <w:b/>
          <w:color w:val="auto"/>
          <w:kern w:val="2"/>
          <w:sz w:val="24"/>
          <w:szCs w:val="24"/>
          <w:lang w:val="en-US" w:eastAsia="zh-CN"/>
        </w:rPr>
        <w:t>22</w:t>
      </w:r>
      <w:r w:rsidRPr="00A1208A">
        <w:rPr>
          <w:rFonts w:ascii="Book Antiqua" w:hAnsi="Book Antiqua" w:cs="Times New Roman"/>
          <w:color w:val="auto"/>
          <w:kern w:val="2"/>
          <w:sz w:val="24"/>
          <w:szCs w:val="24"/>
          <w:lang w:val="en-US" w:eastAsia="zh-CN"/>
        </w:rPr>
        <w:t>: 1682-1695 [PMID: 21742730 DOI: 10.1681/ASN.2010111197]</w:t>
      </w:r>
    </w:p>
    <w:p w14:paraId="2BFADB86"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8</w:t>
      </w:r>
      <w:r w:rsidRPr="00A1208A">
        <w:rPr>
          <w:rFonts w:ascii="Book Antiqua" w:hAnsi="Book Antiqua" w:cs="Times New Roman" w:hint="eastAsia"/>
          <w:color w:val="auto"/>
          <w:kern w:val="2"/>
          <w:sz w:val="24"/>
          <w:szCs w:val="24"/>
          <w:lang w:val="en-US" w:eastAsia="zh-CN"/>
        </w:rPr>
        <w:t>0</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Allaria PM</w:t>
      </w:r>
      <w:r w:rsidRPr="00A1208A">
        <w:rPr>
          <w:rFonts w:ascii="Book Antiqua" w:hAnsi="Book Antiqua" w:cs="Times New Roman"/>
          <w:color w:val="auto"/>
          <w:kern w:val="2"/>
          <w:sz w:val="24"/>
          <w:szCs w:val="24"/>
          <w:lang w:val="en-US" w:eastAsia="zh-CN"/>
        </w:rPr>
        <w:t xml:space="preserve">, Giangrande A, Gandini E, Pisoni IB. Continuous ambulatory peritoneal dialysis and sclerosing encapsulating peritonitis: tamoxifen as a new therapeutic agent? </w:t>
      </w:r>
      <w:r w:rsidRPr="00A1208A">
        <w:rPr>
          <w:rFonts w:ascii="Book Antiqua" w:hAnsi="Book Antiqua" w:cs="Times New Roman"/>
          <w:i/>
          <w:color w:val="auto"/>
          <w:kern w:val="2"/>
          <w:sz w:val="24"/>
          <w:szCs w:val="24"/>
          <w:lang w:val="en-US" w:eastAsia="zh-CN"/>
        </w:rPr>
        <w:lastRenderedPageBreak/>
        <w:t>J Nephrol</w:t>
      </w:r>
      <w:r w:rsidRPr="00A1208A">
        <w:rPr>
          <w:rFonts w:ascii="Book Antiqua" w:hAnsi="Book Antiqua" w:cs="Times New Roman"/>
          <w:color w:val="auto"/>
          <w:kern w:val="2"/>
          <w:sz w:val="24"/>
          <w:szCs w:val="24"/>
          <w:lang w:val="en-US" w:eastAsia="zh-CN"/>
        </w:rPr>
        <w:t xml:space="preserve"> 1999; </w:t>
      </w:r>
      <w:r w:rsidRPr="00A1208A">
        <w:rPr>
          <w:rFonts w:ascii="Book Antiqua" w:hAnsi="Book Antiqua" w:cs="Times New Roman"/>
          <w:b/>
          <w:color w:val="auto"/>
          <w:kern w:val="2"/>
          <w:sz w:val="24"/>
          <w:szCs w:val="24"/>
          <w:lang w:val="en-US" w:eastAsia="zh-CN"/>
        </w:rPr>
        <w:t>12</w:t>
      </w:r>
      <w:r w:rsidRPr="00A1208A">
        <w:rPr>
          <w:rFonts w:ascii="Book Antiqua" w:hAnsi="Book Antiqua" w:cs="Times New Roman"/>
          <w:color w:val="auto"/>
          <w:kern w:val="2"/>
          <w:sz w:val="24"/>
          <w:szCs w:val="24"/>
          <w:lang w:val="en-US" w:eastAsia="zh-CN"/>
        </w:rPr>
        <w:t>: 395-397 [PMID: 10626830]</w:t>
      </w:r>
    </w:p>
    <w:p w14:paraId="51C47ECB"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8</w:t>
      </w:r>
      <w:r w:rsidRPr="00A1208A">
        <w:rPr>
          <w:rFonts w:ascii="Book Antiqua" w:hAnsi="Book Antiqua" w:cs="Times New Roman" w:hint="eastAsia"/>
          <w:color w:val="auto"/>
          <w:kern w:val="2"/>
          <w:sz w:val="24"/>
          <w:szCs w:val="24"/>
          <w:lang w:val="en-US" w:eastAsia="zh-CN"/>
        </w:rPr>
        <w:t>1</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Korte MR</w:t>
      </w:r>
      <w:r w:rsidRPr="00A1208A">
        <w:rPr>
          <w:rFonts w:ascii="Book Antiqua" w:hAnsi="Book Antiqua" w:cs="Times New Roman"/>
          <w:color w:val="auto"/>
          <w:kern w:val="2"/>
          <w:sz w:val="24"/>
          <w:szCs w:val="24"/>
          <w:lang w:val="en-US" w:eastAsia="zh-CN"/>
        </w:rPr>
        <w:t xml:space="preserve">, Fieren MW, Sampimon DE, Lingsma HF, Weimar W, Betjes MG; investigators of the Dutch Multicentre EPS Study. Tamoxifen is associated with lower mortality of encapsulating peritoneal sclerosis: results of the Dutch Multicentre EPS Study. </w:t>
      </w:r>
      <w:r w:rsidRPr="00A1208A">
        <w:rPr>
          <w:rFonts w:ascii="Book Antiqua" w:hAnsi="Book Antiqua" w:cs="Times New Roman"/>
          <w:i/>
          <w:color w:val="auto"/>
          <w:kern w:val="2"/>
          <w:sz w:val="24"/>
          <w:szCs w:val="24"/>
          <w:lang w:val="en-US" w:eastAsia="zh-CN"/>
        </w:rPr>
        <w:t>Nephrol Dial Transplant</w:t>
      </w:r>
      <w:r w:rsidRPr="00A1208A">
        <w:rPr>
          <w:rFonts w:ascii="Book Antiqua" w:hAnsi="Book Antiqua" w:cs="Times New Roman"/>
          <w:color w:val="auto"/>
          <w:kern w:val="2"/>
          <w:sz w:val="24"/>
          <w:szCs w:val="24"/>
          <w:lang w:val="en-US" w:eastAsia="zh-CN"/>
        </w:rPr>
        <w:t xml:space="preserve"> 2011; </w:t>
      </w:r>
      <w:r w:rsidRPr="00A1208A">
        <w:rPr>
          <w:rFonts w:ascii="Book Antiqua" w:hAnsi="Book Antiqua" w:cs="Times New Roman"/>
          <w:b/>
          <w:color w:val="auto"/>
          <w:kern w:val="2"/>
          <w:sz w:val="24"/>
          <w:szCs w:val="24"/>
          <w:lang w:val="en-US" w:eastAsia="zh-CN"/>
        </w:rPr>
        <w:t>26</w:t>
      </w:r>
      <w:r w:rsidRPr="00A1208A">
        <w:rPr>
          <w:rFonts w:ascii="Book Antiqua" w:hAnsi="Book Antiqua" w:cs="Times New Roman"/>
          <w:color w:val="auto"/>
          <w:kern w:val="2"/>
          <w:sz w:val="24"/>
          <w:szCs w:val="24"/>
          <w:lang w:val="en-US" w:eastAsia="zh-CN"/>
        </w:rPr>
        <w:t>: 691-697 [PMID: 20584735 DOI: 10.1093/ndt/gfq362]</w:t>
      </w:r>
    </w:p>
    <w:p w14:paraId="7A4106C9"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8</w:t>
      </w:r>
      <w:r w:rsidRPr="00A1208A">
        <w:rPr>
          <w:rFonts w:ascii="Book Antiqua" w:hAnsi="Book Antiqua" w:cs="Times New Roman" w:hint="eastAsia"/>
          <w:color w:val="auto"/>
          <w:kern w:val="2"/>
          <w:sz w:val="24"/>
          <w:szCs w:val="24"/>
          <w:lang w:val="en-US" w:eastAsia="zh-CN"/>
        </w:rPr>
        <w:t>2</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Moustafellos P</w:t>
      </w:r>
      <w:r w:rsidRPr="00A1208A">
        <w:rPr>
          <w:rFonts w:ascii="Book Antiqua" w:hAnsi="Book Antiqua" w:cs="Times New Roman"/>
          <w:color w:val="auto"/>
          <w:kern w:val="2"/>
          <w:sz w:val="24"/>
          <w:szCs w:val="24"/>
          <w:lang w:val="en-US" w:eastAsia="zh-CN"/>
        </w:rPr>
        <w:t xml:space="preserve">, Hadjianastassiou V, Roy D, Velzeboer NE, Maniakyn N, Vaidya A, Friend PJ. Tamoxifen therapy in encapsulating sclerosing peritonitis in patients after kidney transplantation. </w:t>
      </w:r>
      <w:r w:rsidRPr="00A1208A">
        <w:rPr>
          <w:rFonts w:ascii="Book Antiqua" w:hAnsi="Book Antiqua" w:cs="Times New Roman"/>
          <w:i/>
          <w:color w:val="auto"/>
          <w:kern w:val="2"/>
          <w:sz w:val="24"/>
          <w:szCs w:val="24"/>
          <w:lang w:val="en-US" w:eastAsia="zh-CN"/>
        </w:rPr>
        <w:t>Transplant Proc</w:t>
      </w:r>
      <w:r w:rsidRPr="00A1208A">
        <w:rPr>
          <w:rFonts w:ascii="Book Antiqua" w:hAnsi="Book Antiqua" w:cs="Times New Roman"/>
          <w:color w:val="auto"/>
          <w:kern w:val="2"/>
          <w:sz w:val="24"/>
          <w:szCs w:val="24"/>
          <w:lang w:val="en-US" w:eastAsia="zh-CN"/>
        </w:rPr>
        <w:t xml:space="preserve"> 2006; </w:t>
      </w:r>
      <w:r w:rsidRPr="00A1208A">
        <w:rPr>
          <w:rFonts w:ascii="Book Antiqua" w:hAnsi="Book Antiqua" w:cs="Times New Roman"/>
          <w:b/>
          <w:color w:val="auto"/>
          <w:kern w:val="2"/>
          <w:sz w:val="24"/>
          <w:szCs w:val="24"/>
          <w:lang w:val="en-US" w:eastAsia="zh-CN"/>
        </w:rPr>
        <w:t>38</w:t>
      </w:r>
      <w:r w:rsidRPr="00A1208A">
        <w:rPr>
          <w:rFonts w:ascii="Book Antiqua" w:hAnsi="Book Antiqua" w:cs="Times New Roman"/>
          <w:color w:val="auto"/>
          <w:kern w:val="2"/>
          <w:sz w:val="24"/>
          <w:szCs w:val="24"/>
          <w:lang w:val="en-US" w:eastAsia="zh-CN"/>
        </w:rPr>
        <w:t>: 2913-2914 [PMID: 17112862 DOI: 10.1016/j.transproceed.2006.08.179]</w:t>
      </w:r>
    </w:p>
    <w:p w14:paraId="2BAE5371"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8</w:t>
      </w:r>
      <w:r w:rsidRPr="00A1208A">
        <w:rPr>
          <w:rFonts w:ascii="Book Antiqua" w:hAnsi="Book Antiqua" w:cs="Times New Roman" w:hint="eastAsia"/>
          <w:color w:val="auto"/>
          <w:kern w:val="2"/>
          <w:sz w:val="24"/>
          <w:szCs w:val="24"/>
          <w:lang w:val="en-US" w:eastAsia="zh-CN"/>
        </w:rPr>
        <w:t>3</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Fisher B</w:t>
      </w:r>
      <w:r w:rsidRPr="00A1208A">
        <w:rPr>
          <w:rFonts w:ascii="Book Antiqua" w:hAnsi="Book Antiqua" w:cs="Times New Roman"/>
          <w:color w:val="auto"/>
          <w:kern w:val="2"/>
          <w:sz w:val="24"/>
          <w:szCs w:val="24"/>
          <w:lang w:val="en-US" w:eastAsia="zh-CN"/>
        </w:rPr>
        <w:t xml:space="preserve">, Costantino JP, Wickerham DL, Cecchini RS, Cronin WM, Robidoux A, Bevers TB, Kavanah MT, Atkins JN, Margolese RG, Runowicz CD, James JM, Ford LG, Wolmark N. Tamoxifen for the prevention of breast cancer: current status of the National Surgical Adjuvant Breast and Bowel Project P-1 study. </w:t>
      </w:r>
      <w:r w:rsidRPr="00A1208A">
        <w:rPr>
          <w:rFonts w:ascii="Book Antiqua" w:hAnsi="Book Antiqua" w:cs="Times New Roman"/>
          <w:i/>
          <w:color w:val="auto"/>
          <w:kern w:val="2"/>
          <w:sz w:val="24"/>
          <w:szCs w:val="24"/>
          <w:lang w:val="en-US" w:eastAsia="zh-CN"/>
        </w:rPr>
        <w:t>J Natl Cancer Inst</w:t>
      </w:r>
      <w:r w:rsidRPr="00A1208A">
        <w:rPr>
          <w:rFonts w:ascii="Book Antiqua" w:hAnsi="Book Antiqua" w:cs="Times New Roman"/>
          <w:color w:val="auto"/>
          <w:kern w:val="2"/>
          <w:sz w:val="24"/>
          <w:szCs w:val="24"/>
          <w:lang w:val="en-US" w:eastAsia="zh-CN"/>
        </w:rPr>
        <w:t xml:space="preserve"> 2005; </w:t>
      </w:r>
      <w:r w:rsidRPr="00A1208A">
        <w:rPr>
          <w:rFonts w:ascii="Book Antiqua" w:hAnsi="Book Antiqua" w:cs="Times New Roman"/>
          <w:b/>
          <w:color w:val="auto"/>
          <w:kern w:val="2"/>
          <w:sz w:val="24"/>
          <w:szCs w:val="24"/>
          <w:lang w:val="en-US" w:eastAsia="zh-CN"/>
        </w:rPr>
        <w:t>97</w:t>
      </w:r>
      <w:r w:rsidRPr="00A1208A">
        <w:rPr>
          <w:rFonts w:ascii="Book Antiqua" w:hAnsi="Book Antiqua" w:cs="Times New Roman"/>
          <w:color w:val="auto"/>
          <w:kern w:val="2"/>
          <w:sz w:val="24"/>
          <w:szCs w:val="24"/>
          <w:lang w:val="en-US" w:eastAsia="zh-CN"/>
        </w:rPr>
        <w:t>: 1652-1662 [PMID: 16288118 DOI: 10.1093/jnci/dji372]</w:t>
      </w:r>
    </w:p>
    <w:p w14:paraId="59C3EAA5"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8</w:t>
      </w:r>
      <w:r w:rsidRPr="00A1208A">
        <w:rPr>
          <w:rFonts w:ascii="Book Antiqua" w:hAnsi="Book Antiqua" w:cs="Times New Roman" w:hint="eastAsia"/>
          <w:color w:val="auto"/>
          <w:kern w:val="2"/>
          <w:sz w:val="24"/>
          <w:szCs w:val="24"/>
          <w:lang w:val="en-US" w:eastAsia="zh-CN"/>
        </w:rPr>
        <w:t>4</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Célicout B</w:t>
      </w:r>
      <w:r w:rsidRPr="00A1208A">
        <w:rPr>
          <w:rFonts w:ascii="Book Antiqua" w:hAnsi="Book Antiqua" w:cs="Times New Roman"/>
          <w:color w:val="auto"/>
          <w:kern w:val="2"/>
          <w:sz w:val="24"/>
          <w:szCs w:val="24"/>
          <w:lang w:val="en-US" w:eastAsia="zh-CN"/>
        </w:rPr>
        <w:t xml:space="preserve">, Levard H, Hay J, Msika S, Fingerhut A, Pelissier E. Sclerosing encapsulating peritonitis: early and late results of surgical management in 32 cases. French Associations for Surgical Research. </w:t>
      </w:r>
      <w:r w:rsidRPr="00A1208A">
        <w:rPr>
          <w:rFonts w:ascii="Book Antiqua" w:hAnsi="Book Antiqua" w:cs="Times New Roman"/>
          <w:i/>
          <w:color w:val="auto"/>
          <w:kern w:val="2"/>
          <w:sz w:val="24"/>
          <w:szCs w:val="24"/>
          <w:lang w:val="en-US" w:eastAsia="zh-CN"/>
        </w:rPr>
        <w:t>Dig Surg</w:t>
      </w:r>
      <w:r w:rsidRPr="00A1208A">
        <w:rPr>
          <w:rFonts w:ascii="Book Antiqua" w:hAnsi="Book Antiqua" w:cs="Times New Roman"/>
          <w:color w:val="auto"/>
          <w:kern w:val="2"/>
          <w:sz w:val="24"/>
          <w:szCs w:val="24"/>
          <w:lang w:val="en-US" w:eastAsia="zh-CN"/>
        </w:rPr>
        <w:t xml:space="preserve"> 1998; </w:t>
      </w:r>
      <w:r w:rsidRPr="00A1208A">
        <w:rPr>
          <w:rFonts w:ascii="Book Antiqua" w:hAnsi="Book Antiqua" w:cs="Times New Roman"/>
          <w:b/>
          <w:color w:val="auto"/>
          <w:kern w:val="2"/>
          <w:sz w:val="24"/>
          <w:szCs w:val="24"/>
          <w:lang w:val="en-US" w:eastAsia="zh-CN"/>
        </w:rPr>
        <w:t>15</w:t>
      </w:r>
      <w:r w:rsidRPr="00A1208A">
        <w:rPr>
          <w:rFonts w:ascii="Book Antiqua" w:hAnsi="Book Antiqua" w:cs="Times New Roman"/>
          <w:color w:val="auto"/>
          <w:kern w:val="2"/>
          <w:sz w:val="24"/>
          <w:szCs w:val="24"/>
          <w:lang w:val="en-US" w:eastAsia="zh-CN"/>
        </w:rPr>
        <w:t>: 697-702 [PMID: 9845640 DOI: 10.1159/000018681]</w:t>
      </w:r>
    </w:p>
    <w:p w14:paraId="4C0D988D"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8</w:t>
      </w:r>
      <w:r w:rsidRPr="00A1208A">
        <w:rPr>
          <w:rFonts w:ascii="Book Antiqua" w:hAnsi="Book Antiqua" w:cs="Times New Roman" w:hint="eastAsia"/>
          <w:color w:val="auto"/>
          <w:kern w:val="2"/>
          <w:sz w:val="24"/>
          <w:szCs w:val="24"/>
          <w:lang w:val="en-US" w:eastAsia="zh-CN"/>
        </w:rPr>
        <w:t>5</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Kawanishi H</w:t>
      </w:r>
      <w:r w:rsidRPr="00A1208A">
        <w:rPr>
          <w:rFonts w:ascii="Book Antiqua" w:hAnsi="Book Antiqua" w:cs="Times New Roman"/>
          <w:color w:val="auto"/>
          <w:kern w:val="2"/>
          <w:sz w:val="24"/>
          <w:szCs w:val="24"/>
          <w:lang w:val="en-US" w:eastAsia="zh-CN"/>
        </w:rPr>
        <w:t xml:space="preserve">, Ide K, Yamashita M, Shimomura M, Moriishi M, Tsuchiya S, Dohi K. Surgical techniques for prevention of recurrence after total enterolysis in encapsulating peritoneal sclerosis. </w:t>
      </w:r>
      <w:r w:rsidRPr="00A1208A">
        <w:rPr>
          <w:rFonts w:ascii="Book Antiqua" w:hAnsi="Book Antiqua" w:cs="Times New Roman"/>
          <w:i/>
          <w:color w:val="auto"/>
          <w:kern w:val="2"/>
          <w:sz w:val="24"/>
          <w:szCs w:val="24"/>
          <w:lang w:val="en-US" w:eastAsia="zh-CN"/>
        </w:rPr>
        <w:t>Adv Perit Dial</w:t>
      </w:r>
      <w:r w:rsidRPr="00A1208A">
        <w:rPr>
          <w:rFonts w:ascii="Book Antiqua" w:hAnsi="Book Antiqua" w:cs="Times New Roman"/>
          <w:color w:val="auto"/>
          <w:kern w:val="2"/>
          <w:sz w:val="24"/>
          <w:szCs w:val="24"/>
          <w:lang w:val="en-US" w:eastAsia="zh-CN"/>
        </w:rPr>
        <w:t xml:space="preserve"> 2008; </w:t>
      </w:r>
      <w:r w:rsidRPr="00A1208A">
        <w:rPr>
          <w:rFonts w:ascii="Book Antiqua" w:hAnsi="Book Antiqua" w:cs="Times New Roman"/>
          <w:b/>
          <w:color w:val="auto"/>
          <w:kern w:val="2"/>
          <w:sz w:val="24"/>
          <w:szCs w:val="24"/>
          <w:lang w:val="en-US" w:eastAsia="zh-CN"/>
        </w:rPr>
        <w:t>24</w:t>
      </w:r>
      <w:r w:rsidRPr="00A1208A">
        <w:rPr>
          <w:rFonts w:ascii="Book Antiqua" w:hAnsi="Book Antiqua" w:cs="Times New Roman"/>
          <w:color w:val="auto"/>
          <w:kern w:val="2"/>
          <w:sz w:val="24"/>
          <w:szCs w:val="24"/>
          <w:lang w:val="en-US" w:eastAsia="zh-CN"/>
        </w:rPr>
        <w:t>: 51-55 [PMID: 18986001]</w:t>
      </w:r>
    </w:p>
    <w:p w14:paraId="40A2468B"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8</w:t>
      </w:r>
      <w:r w:rsidRPr="00A1208A">
        <w:rPr>
          <w:rFonts w:ascii="Book Antiqua" w:hAnsi="Book Antiqua" w:cs="Times New Roman" w:hint="eastAsia"/>
          <w:color w:val="auto"/>
          <w:kern w:val="2"/>
          <w:sz w:val="24"/>
          <w:szCs w:val="24"/>
          <w:lang w:val="en-US" w:eastAsia="zh-CN"/>
        </w:rPr>
        <w:t>6</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Ulmer C</w:t>
      </w:r>
      <w:r w:rsidRPr="00A1208A">
        <w:rPr>
          <w:rFonts w:ascii="Book Antiqua" w:hAnsi="Book Antiqua" w:cs="Times New Roman"/>
          <w:color w:val="auto"/>
          <w:kern w:val="2"/>
          <w:sz w:val="24"/>
          <w:szCs w:val="24"/>
          <w:lang w:val="en-US" w:eastAsia="zh-CN"/>
        </w:rPr>
        <w:t xml:space="preserve">, Braun N, Rieber F, Latus J, Hirschburger S, Emmel J, Alscher MD, Steurer W, Thon KP. Efficacy and morbidity of surgical therapy in late-stage encapsulating peritoneal sclerosis. </w:t>
      </w:r>
      <w:r w:rsidRPr="00A1208A">
        <w:rPr>
          <w:rFonts w:ascii="Book Antiqua" w:hAnsi="Book Antiqua" w:cs="Times New Roman"/>
          <w:i/>
          <w:color w:val="auto"/>
          <w:kern w:val="2"/>
          <w:sz w:val="24"/>
          <w:szCs w:val="24"/>
          <w:lang w:val="en-US" w:eastAsia="zh-CN"/>
        </w:rPr>
        <w:t>Surgery</w:t>
      </w:r>
      <w:r w:rsidRPr="00A1208A">
        <w:rPr>
          <w:rFonts w:ascii="Book Antiqua" w:hAnsi="Book Antiqua" w:cs="Times New Roman"/>
          <w:color w:val="auto"/>
          <w:kern w:val="2"/>
          <w:sz w:val="24"/>
          <w:szCs w:val="24"/>
          <w:lang w:val="en-US" w:eastAsia="zh-CN"/>
        </w:rPr>
        <w:t xml:space="preserve"> 2013; </w:t>
      </w:r>
      <w:r w:rsidRPr="00A1208A">
        <w:rPr>
          <w:rFonts w:ascii="Book Antiqua" w:hAnsi="Book Antiqua" w:cs="Times New Roman"/>
          <w:b/>
          <w:color w:val="auto"/>
          <w:kern w:val="2"/>
          <w:sz w:val="24"/>
          <w:szCs w:val="24"/>
          <w:lang w:val="en-US" w:eastAsia="zh-CN"/>
        </w:rPr>
        <w:t>153</w:t>
      </w:r>
      <w:r w:rsidRPr="00A1208A">
        <w:rPr>
          <w:rFonts w:ascii="Book Antiqua" w:hAnsi="Book Antiqua" w:cs="Times New Roman"/>
          <w:color w:val="auto"/>
          <w:kern w:val="2"/>
          <w:sz w:val="24"/>
          <w:szCs w:val="24"/>
          <w:lang w:val="en-US" w:eastAsia="zh-CN"/>
        </w:rPr>
        <w:t>: 219-224 [PMID: 22981361 DOI: 10.1016/j.surg.2012.07.033]</w:t>
      </w:r>
    </w:p>
    <w:p w14:paraId="2C791CDC"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8</w:t>
      </w:r>
      <w:r w:rsidRPr="00A1208A">
        <w:rPr>
          <w:rFonts w:ascii="Book Antiqua" w:hAnsi="Book Antiqua" w:cs="Times New Roman" w:hint="eastAsia"/>
          <w:color w:val="auto"/>
          <w:kern w:val="2"/>
          <w:sz w:val="24"/>
          <w:szCs w:val="24"/>
          <w:lang w:val="en-US" w:eastAsia="zh-CN"/>
        </w:rPr>
        <w:t>7</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Kawanishi H</w:t>
      </w:r>
      <w:r w:rsidRPr="00A1208A">
        <w:rPr>
          <w:rFonts w:ascii="Book Antiqua" w:hAnsi="Book Antiqua" w:cs="Times New Roman"/>
          <w:color w:val="auto"/>
          <w:kern w:val="2"/>
          <w:sz w:val="24"/>
          <w:szCs w:val="24"/>
          <w:lang w:val="en-US" w:eastAsia="zh-CN"/>
        </w:rPr>
        <w:t xml:space="preserve">, Shintaku S, Moriishi M, Dohi K, Tsuchiya S. Seventeen years' experience of surgical options for encapsulating peritoneal sclerosis. </w:t>
      </w:r>
      <w:r w:rsidRPr="00A1208A">
        <w:rPr>
          <w:rFonts w:ascii="Book Antiqua" w:hAnsi="Book Antiqua" w:cs="Times New Roman"/>
          <w:i/>
          <w:color w:val="auto"/>
          <w:kern w:val="2"/>
          <w:sz w:val="24"/>
          <w:szCs w:val="24"/>
          <w:lang w:val="en-US" w:eastAsia="zh-CN"/>
        </w:rPr>
        <w:t>Adv Perit Dial</w:t>
      </w:r>
      <w:r w:rsidRPr="00A1208A">
        <w:rPr>
          <w:rFonts w:ascii="Book Antiqua" w:hAnsi="Book Antiqua" w:cs="Times New Roman"/>
          <w:color w:val="auto"/>
          <w:kern w:val="2"/>
          <w:sz w:val="24"/>
          <w:szCs w:val="24"/>
          <w:lang w:val="en-US" w:eastAsia="zh-CN"/>
        </w:rPr>
        <w:t xml:space="preserve"> 2011; </w:t>
      </w:r>
      <w:r w:rsidRPr="00A1208A">
        <w:rPr>
          <w:rFonts w:ascii="Book Antiqua" w:hAnsi="Book Antiqua" w:cs="Times New Roman"/>
          <w:b/>
          <w:color w:val="auto"/>
          <w:kern w:val="2"/>
          <w:sz w:val="24"/>
          <w:szCs w:val="24"/>
          <w:lang w:val="en-US" w:eastAsia="zh-CN"/>
        </w:rPr>
        <w:t>27</w:t>
      </w:r>
      <w:r w:rsidRPr="00A1208A">
        <w:rPr>
          <w:rFonts w:ascii="Book Antiqua" w:hAnsi="Book Antiqua" w:cs="Times New Roman"/>
          <w:color w:val="auto"/>
          <w:kern w:val="2"/>
          <w:sz w:val="24"/>
          <w:szCs w:val="24"/>
          <w:lang w:val="en-US" w:eastAsia="zh-CN"/>
        </w:rPr>
        <w:t>: 53-58 [PMID: 22073830]</w:t>
      </w:r>
    </w:p>
    <w:p w14:paraId="3D550002"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lastRenderedPageBreak/>
        <w:t>8</w:t>
      </w:r>
      <w:r w:rsidRPr="00A1208A">
        <w:rPr>
          <w:rFonts w:ascii="Book Antiqua" w:hAnsi="Book Antiqua" w:cs="Times New Roman" w:hint="eastAsia"/>
          <w:color w:val="auto"/>
          <w:kern w:val="2"/>
          <w:sz w:val="24"/>
          <w:szCs w:val="24"/>
          <w:lang w:val="en-US" w:eastAsia="zh-CN"/>
        </w:rPr>
        <w:t>8</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Kawanishi H</w:t>
      </w:r>
      <w:r w:rsidRPr="00A1208A">
        <w:rPr>
          <w:rFonts w:ascii="Book Antiqua" w:hAnsi="Book Antiqua" w:cs="Times New Roman"/>
          <w:color w:val="auto"/>
          <w:kern w:val="2"/>
          <w:sz w:val="24"/>
          <w:szCs w:val="24"/>
          <w:lang w:val="en-US" w:eastAsia="zh-CN"/>
        </w:rPr>
        <w:t xml:space="preserve">. Surgical and medical treatments of encapsulation peritoneal sclerosis. </w:t>
      </w:r>
      <w:r w:rsidRPr="00A1208A">
        <w:rPr>
          <w:rFonts w:ascii="Book Antiqua" w:hAnsi="Book Antiqua" w:cs="Times New Roman"/>
          <w:i/>
          <w:color w:val="auto"/>
          <w:kern w:val="2"/>
          <w:sz w:val="24"/>
          <w:szCs w:val="24"/>
          <w:lang w:val="en-US" w:eastAsia="zh-CN"/>
        </w:rPr>
        <w:t>Contrib Nephrol</w:t>
      </w:r>
      <w:r w:rsidRPr="00A1208A">
        <w:rPr>
          <w:rFonts w:ascii="Book Antiqua" w:hAnsi="Book Antiqua" w:cs="Times New Roman"/>
          <w:color w:val="auto"/>
          <w:kern w:val="2"/>
          <w:sz w:val="24"/>
          <w:szCs w:val="24"/>
          <w:lang w:val="en-US" w:eastAsia="zh-CN"/>
        </w:rPr>
        <w:t xml:space="preserve"> 2012; </w:t>
      </w:r>
      <w:r w:rsidRPr="00A1208A">
        <w:rPr>
          <w:rFonts w:ascii="Book Antiqua" w:hAnsi="Book Antiqua" w:cs="Times New Roman"/>
          <w:b/>
          <w:color w:val="auto"/>
          <w:kern w:val="2"/>
          <w:sz w:val="24"/>
          <w:szCs w:val="24"/>
          <w:lang w:val="en-US" w:eastAsia="zh-CN"/>
        </w:rPr>
        <w:t>177</w:t>
      </w:r>
      <w:r w:rsidRPr="00A1208A">
        <w:rPr>
          <w:rFonts w:ascii="Book Antiqua" w:hAnsi="Book Antiqua" w:cs="Times New Roman"/>
          <w:color w:val="auto"/>
          <w:kern w:val="2"/>
          <w:sz w:val="24"/>
          <w:szCs w:val="24"/>
          <w:lang w:val="en-US" w:eastAsia="zh-CN"/>
        </w:rPr>
        <w:t>: 38-47 [PMID: 22613913 DOI: 10.1159/000336934]</w:t>
      </w:r>
    </w:p>
    <w:p w14:paraId="00EE2FA3"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hint="eastAsia"/>
          <w:color w:val="auto"/>
          <w:kern w:val="2"/>
          <w:sz w:val="24"/>
          <w:szCs w:val="24"/>
          <w:lang w:val="en-US" w:eastAsia="zh-CN"/>
        </w:rPr>
        <w:t>89</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Lo WK</w:t>
      </w:r>
      <w:r w:rsidRPr="00A1208A">
        <w:rPr>
          <w:rFonts w:ascii="Book Antiqua" w:hAnsi="Book Antiqua" w:cs="Times New Roman"/>
          <w:color w:val="auto"/>
          <w:kern w:val="2"/>
          <w:sz w:val="24"/>
          <w:szCs w:val="24"/>
          <w:lang w:val="en-US" w:eastAsia="zh-CN"/>
        </w:rPr>
        <w:t xml:space="preserve">, Kawanishi H. Encapsulating peritoneal sclerosis--medical and surgical treatment. </w:t>
      </w:r>
      <w:r w:rsidRPr="00A1208A">
        <w:rPr>
          <w:rFonts w:ascii="Book Antiqua" w:hAnsi="Book Antiqua" w:cs="Times New Roman"/>
          <w:i/>
          <w:color w:val="auto"/>
          <w:kern w:val="2"/>
          <w:sz w:val="24"/>
          <w:szCs w:val="24"/>
          <w:lang w:val="en-US" w:eastAsia="zh-CN"/>
        </w:rPr>
        <w:t>Perit Dial Int</w:t>
      </w:r>
      <w:r w:rsidRPr="00A1208A">
        <w:rPr>
          <w:rFonts w:ascii="Book Antiqua" w:hAnsi="Book Antiqua" w:cs="Times New Roman"/>
          <w:color w:val="auto"/>
          <w:kern w:val="2"/>
          <w:sz w:val="24"/>
          <w:szCs w:val="24"/>
          <w:lang w:val="en-US" w:eastAsia="zh-CN"/>
        </w:rPr>
        <w:t xml:space="preserve"> 2009; </w:t>
      </w:r>
      <w:r w:rsidRPr="00A1208A">
        <w:rPr>
          <w:rFonts w:ascii="Book Antiqua" w:hAnsi="Book Antiqua" w:cs="Times New Roman"/>
          <w:b/>
          <w:color w:val="auto"/>
          <w:kern w:val="2"/>
          <w:sz w:val="24"/>
          <w:szCs w:val="24"/>
          <w:lang w:val="en-US" w:eastAsia="zh-CN"/>
        </w:rPr>
        <w:t>29 Suppl 2</w:t>
      </w:r>
      <w:r w:rsidRPr="00A1208A">
        <w:rPr>
          <w:rFonts w:ascii="Book Antiqua" w:hAnsi="Book Antiqua" w:cs="Times New Roman"/>
          <w:color w:val="auto"/>
          <w:kern w:val="2"/>
          <w:sz w:val="24"/>
          <w:szCs w:val="24"/>
          <w:lang w:val="en-US" w:eastAsia="zh-CN"/>
        </w:rPr>
        <w:t>: S211-S214 [PMID: 19270221]</w:t>
      </w:r>
    </w:p>
    <w:p w14:paraId="4CA62AB3"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9</w:t>
      </w:r>
      <w:r w:rsidRPr="00A1208A">
        <w:rPr>
          <w:rFonts w:ascii="Book Antiqua" w:hAnsi="Book Antiqua" w:cs="Times New Roman" w:hint="eastAsia"/>
          <w:color w:val="auto"/>
          <w:kern w:val="2"/>
          <w:sz w:val="24"/>
          <w:szCs w:val="24"/>
          <w:lang w:val="en-US" w:eastAsia="zh-CN"/>
        </w:rPr>
        <w:t>0</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Kurz A</w:t>
      </w:r>
      <w:r w:rsidRPr="00A1208A">
        <w:rPr>
          <w:rFonts w:ascii="Book Antiqua" w:hAnsi="Book Antiqua" w:cs="Times New Roman"/>
          <w:color w:val="auto"/>
          <w:kern w:val="2"/>
          <w:sz w:val="24"/>
          <w:szCs w:val="24"/>
          <w:lang w:val="en-US" w:eastAsia="zh-CN"/>
        </w:rPr>
        <w:t xml:space="preserve">, Sessler DI. Opioid-induced bowel dysfunction: pathophysiology and potential new therapies. </w:t>
      </w:r>
      <w:r w:rsidRPr="00A1208A">
        <w:rPr>
          <w:rFonts w:ascii="Book Antiqua" w:hAnsi="Book Antiqua" w:cs="Times New Roman"/>
          <w:i/>
          <w:color w:val="auto"/>
          <w:kern w:val="2"/>
          <w:sz w:val="24"/>
          <w:szCs w:val="24"/>
          <w:lang w:val="en-US" w:eastAsia="zh-CN"/>
        </w:rPr>
        <w:t>Drugs</w:t>
      </w:r>
      <w:r w:rsidRPr="00A1208A">
        <w:rPr>
          <w:rFonts w:ascii="Book Antiqua" w:hAnsi="Book Antiqua" w:cs="Times New Roman"/>
          <w:color w:val="auto"/>
          <w:kern w:val="2"/>
          <w:sz w:val="24"/>
          <w:szCs w:val="24"/>
          <w:lang w:val="en-US" w:eastAsia="zh-CN"/>
        </w:rPr>
        <w:t xml:space="preserve"> 2003; </w:t>
      </w:r>
      <w:r w:rsidRPr="00A1208A">
        <w:rPr>
          <w:rFonts w:ascii="Book Antiqua" w:hAnsi="Book Antiqua" w:cs="Times New Roman"/>
          <w:b/>
          <w:color w:val="auto"/>
          <w:kern w:val="2"/>
          <w:sz w:val="24"/>
          <w:szCs w:val="24"/>
          <w:lang w:val="en-US" w:eastAsia="zh-CN"/>
        </w:rPr>
        <w:t>63</w:t>
      </w:r>
      <w:r w:rsidRPr="00A1208A">
        <w:rPr>
          <w:rFonts w:ascii="Book Antiqua" w:hAnsi="Book Antiqua" w:cs="Times New Roman"/>
          <w:color w:val="auto"/>
          <w:kern w:val="2"/>
          <w:sz w:val="24"/>
          <w:szCs w:val="24"/>
          <w:lang w:val="en-US" w:eastAsia="zh-CN"/>
        </w:rPr>
        <w:t>: 649-671 [PMID: 12656645 DOI: 10.2165/00003495-200363070-00003]</w:t>
      </w:r>
    </w:p>
    <w:p w14:paraId="1DC0EE7F"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9</w:t>
      </w:r>
      <w:r w:rsidRPr="00A1208A">
        <w:rPr>
          <w:rFonts w:ascii="Book Antiqua" w:hAnsi="Book Antiqua" w:cs="Times New Roman" w:hint="eastAsia"/>
          <w:color w:val="auto"/>
          <w:kern w:val="2"/>
          <w:sz w:val="24"/>
          <w:szCs w:val="24"/>
          <w:lang w:val="en-US" w:eastAsia="zh-CN"/>
        </w:rPr>
        <w:t>1</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Ketwaroo GA</w:t>
      </w:r>
      <w:r w:rsidRPr="00A1208A">
        <w:rPr>
          <w:rFonts w:ascii="Book Antiqua" w:hAnsi="Book Antiqua" w:cs="Times New Roman"/>
          <w:color w:val="auto"/>
          <w:kern w:val="2"/>
          <w:sz w:val="24"/>
          <w:szCs w:val="24"/>
          <w:lang w:val="en-US" w:eastAsia="zh-CN"/>
        </w:rPr>
        <w:t xml:space="preserve">, Cheng V, Lembo A. Opioid-induced bowel dysfunction. </w:t>
      </w:r>
      <w:r w:rsidRPr="00A1208A">
        <w:rPr>
          <w:rFonts w:ascii="Book Antiqua" w:hAnsi="Book Antiqua" w:cs="Times New Roman"/>
          <w:i/>
          <w:color w:val="auto"/>
          <w:kern w:val="2"/>
          <w:sz w:val="24"/>
          <w:szCs w:val="24"/>
          <w:lang w:val="en-US" w:eastAsia="zh-CN"/>
        </w:rPr>
        <w:t>Curr Gastroenterol Rep</w:t>
      </w:r>
      <w:r w:rsidRPr="00A1208A">
        <w:rPr>
          <w:rFonts w:ascii="Book Antiqua" w:hAnsi="Book Antiqua" w:cs="Times New Roman"/>
          <w:color w:val="auto"/>
          <w:kern w:val="2"/>
          <w:sz w:val="24"/>
          <w:szCs w:val="24"/>
          <w:lang w:val="en-US" w:eastAsia="zh-CN"/>
        </w:rPr>
        <w:t xml:space="preserve"> 2013; </w:t>
      </w:r>
      <w:r w:rsidRPr="00A1208A">
        <w:rPr>
          <w:rFonts w:ascii="Book Antiqua" w:hAnsi="Book Antiqua" w:cs="Times New Roman"/>
          <w:b/>
          <w:color w:val="auto"/>
          <w:kern w:val="2"/>
          <w:sz w:val="24"/>
          <w:szCs w:val="24"/>
          <w:lang w:val="en-US" w:eastAsia="zh-CN"/>
        </w:rPr>
        <w:t>15</w:t>
      </w:r>
      <w:r w:rsidRPr="00A1208A">
        <w:rPr>
          <w:rFonts w:ascii="Book Antiqua" w:hAnsi="Book Antiqua" w:cs="Times New Roman"/>
          <w:color w:val="auto"/>
          <w:kern w:val="2"/>
          <w:sz w:val="24"/>
          <w:szCs w:val="24"/>
          <w:lang w:val="en-US" w:eastAsia="zh-CN"/>
        </w:rPr>
        <w:t>: 344 [PMID: 23900996 DOI: 10.1007/s11894-013-0344-2]</w:t>
      </w:r>
    </w:p>
    <w:p w14:paraId="0D8A386F" w14:textId="77777777" w:rsidR="00A1208A" w:rsidRPr="00A1208A" w:rsidRDefault="00A1208A" w:rsidP="00A1208A">
      <w:pPr>
        <w:widowControl w:val="0"/>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s="Times New Roman"/>
          <w:color w:val="auto"/>
          <w:kern w:val="2"/>
          <w:sz w:val="24"/>
          <w:szCs w:val="24"/>
          <w:lang w:val="en-US" w:eastAsia="zh-CN"/>
        </w:rPr>
      </w:pPr>
      <w:r w:rsidRPr="00A1208A">
        <w:rPr>
          <w:rFonts w:ascii="Book Antiqua" w:hAnsi="Book Antiqua" w:cs="Times New Roman"/>
          <w:color w:val="auto"/>
          <w:kern w:val="2"/>
          <w:sz w:val="24"/>
          <w:szCs w:val="24"/>
          <w:lang w:val="en-US" w:eastAsia="zh-CN"/>
        </w:rPr>
        <w:t>9</w:t>
      </w:r>
      <w:r w:rsidRPr="00A1208A">
        <w:rPr>
          <w:rFonts w:ascii="Book Antiqua" w:hAnsi="Book Antiqua" w:cs="Times New Roman" w:hint="eastAsia"/>
          <w:color w:val="auto"/>
          <w:kern w:val="2"/>
          <w:sz w:val="24"/>
          <w:szCs w:val="24"/>
          <w:lang w:val="en-US" w:eastAsia="zh-CN"/>
        </w:rPr>
        <w:t>2</w:t>
      </w:r>
      <w:r w:rsidRPr="00A1208A">
        <w:rPr>
          <w:rFonts w:ascii="Book Antiqua" w:hAnsi="Book Antiqua" w:cs="Times New Roman"/>
          <w:color w:val="auto"/>
          <w:kern w:val="2"/>
          <w:sz w:val="24"/>
          <w:szCs w:val="24"/>
          <w:lang w:val="en-US" w:eastAsia="zh-CN"/>
        </w:rPr>
        <w:t xml:space="preserve"> </w:t>
      </w:r>
      <w:r w:rsidRPr="00A1208A">
        <w:rPr>
          <w:rFonts w:ascii="Book Antiqua" w:hAnsi="Book Antiqua" w:cs="Times New Roman"/>
          <w:b/>
          <w:color w:val="auto"/>
          <w:kern w:val="2"/>
          <w:sz w:val="24"/>
          <w:szCs w:val="24"/>
          <w:lang w:val="en-US" w:eastAsia="zh-CN"/>
        </w:rPr>
        <w:t>Zhang C</w:t>
      </w:r>
      <w:r w:rsidRPr="00A1208A">
        <w:rPr>
          <w:rFonts w:ascii="Book Antiqua" w:hAnsi="Book Antiqua" w:cs="Times New Roman"/>
          <w:color w:val="auto"/>
          <w:kern w:val="2"/>
          <w:sz w:val="24"/>
          <w:szCs w:val="24"/>
          <w:lang w:val="en-US" w:eastAsia="zh-CN"/>
        </w:rPr>
        <w:t xml:space="preserve">, Patel NJ, Jacobs WC, Ullman S, Berzin TM, Chuttani R, Lembo AJ, Wolf JL. Successful Treatment with Methylnaltrexone and IVIG for Paraneoplastic Syndrome-Associated Intestinal Pseudo-Obstruction. </w:t>
      </w:r>
      <w:r w:rsidRPr="00A1208A">
        <w:rPr>
          <w:rFonts w:ascii="Book Antiqua" w:hAnsi="Book Antiqua" w:cs="Times New Roman"/>
          <w:i/>
          <w:color w:val="auto"/>
          <w:kern w:val="2"/>
          <w:sz w:val="24"/>
          <w:szCs w:val="24"/>
          <w:lang w:val="en-US" w:eastAsia="zh-CN"/>
        </w:rPr>
        <w:t>Gastroenterol Hepatol (N Y)</w:t>
      </w:r>
      <w:r w:rsidRPr="00A1208A">
        <w:rPr>
          <w:rFonts w:ascii="Book Antiqua" w:hAnsi="Book Antiqua" w:cs="Times New Roman"/>
          <w:color w:val="auto"/>
          <w:kern w:val="2"/>
          <w:sz w:val="24"/>
          <w:szCs w:val="24"/>
          <w:lang w:val="en-US" w:eastAsia="zh-CN"/>
        </w:rPr>
        <w:t xml:space="preserve"> 2013; </w:t>
      </w:r>
      <w:r w:rsidRPr="00A1208A">
        <w:rPr>
          <w:rFonts w:ascii="Book Antiqua" w:hAnsi="Book Antiqua" w:cs="Times New Roman"/>
          <w:b/>
          <w:color w:val="auto"/>
          <w:kern w:val="2"/>
          <w:sz w:val="24"/>
          <w:szCs w:val="24"/>
          <w:lang w:val="en-US" w:eastAsia="zh-CN"/>
        </w:rPr>
        <w:t>9</w:t>
      </w:r>
      <w:r w:rsidRPr="00A1208A">
        <w:rPr>
          <w:rFonts w:ascii="Book Antiqua" w:hAnsi="Book Antiqua" w:cs="Times New Roman"/>
          <w:color w:val="auto"/>
          <w:kern w:val="2"/>
          <w:sz w:val="24"/>
          <w:szCs w:val="24"/>
          <w:lang w:val="en-US" w:eastAsia="zh-CN"/>
        </w:rPr>
        <w:t>: 48-51 [PMID: 24707235]</w:t>
      </w:r>
    </w:p>
    <w:p w14:paraId="0AA3B9F1" w14:textId="77777777" w:rsidR="00A1208A" w:rsidRPr="00A1208A" w:rsidRDefault="00A1208A" w:rsidP="00A1208A">
      <w:pPr>
        <w:pBdr>
          <w:top w:val="none" w:sz="0" w:space="0" w:color="auto"/>
          <w:left w:val="none" w:sz="0" w:space="0" w:color="auto"/>
          <w:bottom w:val="none" w:sz="0" w:space="0" w:color="auto"/>
          <w:right w:val="none" w:sz="0" w:space="0" w:color="auto"/>
          <w:between w:val="none" w:sz="0" w:space="0" w:color="auto"/>
        </w:pBdr>
        <w:wordWrap w:val="0"/>
        <w:snapToGrid w:val="0"/>
        <w:spacing w:line="360" w:lineRule="auto"/>
        <w:jc w:val="right"/>
        <w:rPr>
          <w:rFonts w:ascii="Book Antiqua" w:hAnsi="Book Antiqua" w:cs="Times New Roman"/>
          <w:color w:val="auto"/>
          <w:sz w:val="24"/>
          <w:szCs w:val="24"/>
          <w:lang w:val="en-US" w:eastAsia="zh-CN"/>
        </w:rPr>
      </w:pPr>
      <w:bookmarkStart w:id="30" w:name="OLE_LINK51"/>
      <w:bookmarkStart w:id="31" w:name="OLE_LINK52"/>
      <w:bookmarkStart w:id="32" w:name="OLE_LINK120"/>
      <w:bookmarkStart w:id="33" w:name="OLE_LINK148"/>
      <w:bookmarkStart w:id="34" w:name="OLE_LINK72"/>
      <w:bookmarkStart w:id="35" w:name="OLE_LINK112"/>
      <w:bookmarkStart w:id="36" w:name="OLE_LINK320"/>
      <w:bookmarkStart w:id="37" w:name="OLE_LINK387"/>
      <w:bookmarkStart w:id="38" w:name="OLE_LINK183"/>
      <w:bookmarkStart w:id="39" w:name="OLE_LINK254"/>
      <w:bookmarkStart w:id="40" w:name="OLE_LINK149"/>
      <w:bookmarkStart w:id="41" w:name="OLE_LINK225"/>
      <w:bookmarkStart w:id="42" w:name="OLE_LINK207"/>
      <w:bookmarkStart w:id="43" w:name="OLE_LINK226"/>
      <w:bookmarkStart w:id="44" w:name="OLE_LINK212"/>
      <w:bookmarkStart w:id="45" w:name="OLE_LINK250"/>
      <w:bookmarkStart w:id="46" w:name="OLE_LINK281"/>
      <w:bookmarkStart w:id="47" w:name="OLE_LINK282"/>
      <w:bookmarkStart w:id="48" w:name="OLE_LINK313"/>
      <w:bookmarkStart w:id="49" w:name="OLE_LINK304"/>
      <w:bookmarkStart w:id="50" w:name="OLE_LINK321"/>
      <w:bookmarkStart w:id="51" w:name="OLE_LINK385"/>
      <w:bookmarkStart w:id="52" w:name="OLE_LINK400"/>
      <w:bookmarkStart w:id="53" w:name="OLE_LINK346"/>
      <w:bookmarkStart w:id="54" w:name="OLE_LINK371"/>
      <w:bookmarkStart w:id="55" w:name="OLE_LINK334"/>
      <w:bookmarkStart w:id="56" w:name="OLE_LINK1830"/>
      <w:bookmarkStart w:id="57" w:name="OLE_LINK457"/>
      <w:bookmarkStart w:id="58" w:name="OLE_LINK288"/>
      <w:bookmarkStart w:id="59" w:name="OLE_LINK384"/>
      <w:bookmarkStart w:id="60" w:name="OLE_LINK379"/>
      <w:bookmarkStart w:id="61" w:name="OLE_LINK303"/>
      <w:bookmarkStart w:id="62" w:name="OLE_LINK450"/>
      <w:bookmarkStart w:id="63" w:name="OLE_LINK489"/>
      <w:bookmarkStart w:id="64" w:name="OLE_LINK535"/>
      <w:bookmarkStart w:id="65" w:name="OLE_LINK648"/>
      <w:bookmarkStart w:id="66" w:name="OLE_LINK686"/>
      <w:bookmarkStart w:id="67" w:name="OLE_LINK471"/>
      <w:bookmarkStart w:id="68" w:name="OLE_LINK462"/>
      <w:bookmarkStart w:id="69" w:name="OLE_LINK519"/>
      <w:bookmarkStart w:id="70" w:name="OLE_LINK575"/>
      <w:bookmarkStart w:id="71" w:name="OLE_LINK491"/>
      <w:bookmarkStart w:id="72" w:name="OLE_LINK532"/>
      <w:bookmarkStart w:id="73" w:name="OLE_LINK572"/>
      <w:bookmarkStart w:id="74" w:name="OLE_LINK574"/>
      <w:bookmarkStart w:id="75" w:name="OLE_LINK480"/>
      <w:bookmarkStart w:id="76" w:name="OLE_LINK567"/>
      <w:bookmarkStart w:id="77" w:name="OLE_LINK2700"/>
      <w:bookmarkStart w:id="78" w:name="OLE_LINK581"/>
      <w:bookmarkStart w:id="79" w:name="OLE_LINK639"/>
      <w:bookmarkStart w:id="80" w:name="OLE_LINK688"/>
      <w:bookmarkStart w:id="81" w:name="OLE_LINK722"/>
      <w:bookmarkStart w:id="82" w:name="OLE_LINK542"/>
      <w:bookmarkStart w:id="83" w:name="OLE_LINK589"/>
      <w:bookmarkStart w:id="84" w:name="OLE_LINK582"/>
      <w:bookmarkStart w:id="85" w:name="OLE_LINK640"/>
      <w:bookmarkStart w:id="86" w:name="OLE_LINK714"/>
      <w:bookmarkStart w:id="87" w:name="OLE_LINK593"/>
      <w:bookmarkStart w:id="88" w:name="OLE_LINK716"/>
      <w:bookmarkStart w:id="89" w:name="OLE_LINK770"/>
      <w:bookmarkStart w:id="90" w:name="OLE_LINK801"/>
      <w:bookmarkStart w:id="91" w:name="OLE_LINK660"/>
      <w:bookmarkStart w:id="92" w:name="OLE_LINK781"/>
      <w:bookmarkStart w:id="93" w:name="OLE_LINK833"/>
      <w:bookmarkStart w:id="94" w:name="OLE_LINK642"/>
      <w:bookmarkStart w:id="95" w:name="OLE_LINK700"/>
      <w:bookmarkStart w:id="96" w:name="OLE_LINK792"/>
      <w:bookmarkStart w:id="97" w:name="OLE_LINK2882"/>
      <w:bookmarkStart w:id="98" w:name="OLE_LINK836"/>
      <w:bookmarkStart w:id="99" w:name="OLE_LINK889"/>
      <w:bookmarkStart w:id="100" w:name="OLE_LINK782"/>
      <w:bookmarkStart w:id="101" w:name="OLE_LINK826"/>
      <w:bookmarkStart w:id="102" w:name="OLE_LINK865"/>
      <w:bookmarkStart w:id="103" w:name="OLE_LINK856"/>
      <w:bookmarkStart w:id="104" w:name="OLE_LINK908"/>
      <w:bookmarkStart w:id="105" w:name="OLE_LINK980"/>
      <w:bookmarkStart w:id="106" w:name="OLE_LINK1018"/>
      <w:bookmarkStart w:id="107" w:name="OLE_LINK1049"/>
      <w:bookmarkStart w:id="108" w:name="OLE_LINK1076"/>
      <w:bookmarkStart w:id="109" w:name="OLE_LINK1106"/>
      <w:bookmarkStart w:id="110" w:name="OLE_LINK891"/>
      <w:bookmarkStart w:id="111" w:name="OLE_LINK943"/>
      <w:bookmarkStart w:id="112" w:name="OLE_LINK981"/>
      <w:bookmarkStart w:id="113" w:name="OLE_LINK1030"/>
      <w:bookmarkStart w:id="114" w:name="OLE_LINK847"/>
      <w:bookmarkStart w:id="115" w:name="OLE_LINK909"/>
      <w:bookmarkStart w:id="116" w:name="OLE_LINK906"/>
      <w:bookmarkStart w:id="117" w:name="OLE_LINK992"/>
      <w:bookmarkStart w:id="118" w:name="OLE_LINK993"/>
      <w:bookmarkStart w:id="119" w:name="OLE_LINK1052"/>
      <w:bookmarkStart w:id="120" w:name="OLE_LINK946"/>
      <w:bookmarkStart w:id="121" w:name="OLE_LINK911"/>
      <w:bookmarkStart w:id="122" w:name="OLE_LINK930"/>
      <w:bookmarkStart w:id="123" w:name="OLE_LINK1059"/>
      <w:bookmarkStart w:id="124" w:name="OLE_LINK1174"/>
      <w:bookmarkStart w:id="125" w:name="OLE_LINK1137"/>
      <w:bookmarkStart w:id="126" w:name="OLE_LINK1167"/>
      <w:bookmarkStart w:id="127" w:name="OLE_LINK1200"/>
      <w:bookmarkStart w:id="128" w:name="OLE_LINK1241"/>
      <w:bookmarkStart w:id="129" w:name="OLE_LINK1288"/>
      <w:bookmarkStart w:id="130" w:name="OLE_LINK1056"/>
      <w:bookmarkStart w:id="131" w:name="OLE_LINK1158"/>
      <w:bookmarkStart w:id="132" w:name="OLE_LINK1175"/>
      <w:bookmarkStart w:id="133" w:name="OLE_LINK1074"/>
      <w:bookmarkStart w:id="134" w:name="OLE_LINK1169"/>
      <w:bookmarkStart w:id="135" w:name="OLE_LINK1053"/>
      <w:bookmarkStart w:id="136" w:name="OLE_LINK1054"/>
      <w:r w:rsidRPr="00A1208A">
        <w:rPr>
          <w:rFonts w:ascii="Book Antiqua" w:hAnsi="Book Antiqua" w:cs="Times New Roman"/>
          <w:b/>
          <w:bCs/>
          <w:color w:val="auto"/>
          <w:sz w:val="24"/>
          <w:szCs w:val="24"/>
          <w:lang w:val="en-US" w:eastAsia="zh-CN"/>
        </w:rPr>
        <w:t>P-Reviewer:</w:t>
      </w:r>
      <w:r w:rsidRPr="00A1208A">
        <w:rPr>
          <w:rFonts w:ascii="Book Antiqua" w:hAnsi="Book Antiqua" w:cs="Times New Roman" w:hint="eastAsia"/>
          <w:b/>
          <w:bCs/>
          <w:color w:val="auto"/>
          <w:sz w:val="24"/>
          <w:szCs w:val="24"/>
          <w:lang w:val="en-US" w:eastAsia="zh-CN"/>
        </w:rPr>
        <w:t xml:space="preserve"> </w:t>
      </w:r>
      <w:r w:rsidRPr="00A1208A">
        <w:rPr>
          <w:rFonts w:ascii="Book Antiqua" w:hAnsi="Book Antiqua" w:cs="Times New Roman"/>
          <w:bCs/>
          <w:color w:val="auto"/>
          <w:sz w:val="24"/>
          <w:szCs w:val="24"/>
          <w:lang w:val="en-US" w:eastAsia="zh-CN"/>
        </w:rPr>
        <w:t>Larentzakis</w:t>
      </w:r>
      <w:r w:rsidRPr="00A1208A">
        <w:rPr>
          <w:rFonts w:ascii="Book Antiqua" w:hAnsi="Book Antiqua" w:cs="Times New Roman" w:hint="eastAsia"/>
          <w:bCs/>
          <w:color w:val="auto"/>
          <w:sz w:val="24"/>
          <w:szCs w:val="24"/>
          <w:lang w:val="en-US" w:eastAsia="zh-CN"/>
        </w:rPr>
        <w:t xml:space="preserve"> A, </w:t>
      </w:r>
      <w:r w:rsidRPr="00A1208A">
        <w:rPr>
          <w:rFonts w:ascii="Book Antiqua" w:hAnsi="Book Antiqua" w:cs="Times New Roman"/>
          <w:bCs/>
          <w:color w:val="auto"/>
          <w:sz w:val="24"/>
          <w:szCs w:val="24"/>
          <w:lang w:val="en-US" w:eastAsia="zh-CN"/>
        </w:rPr>
        <w:t>Sonoda</w:t>
      </w:r>
      <w:r w:rsidRPr="00A1208A">
        <w:rPr>
          <w:rFonts w:ascii="Book Antiqua" w:hAnsi="Book Antiqua" w:cs="Times New Roman" w:hint="eastAsia"/>
          <w:bCs/>
          <w:color w:val="auto"/>
          <w:sz w:val="24"/>
          <w:szCs w:val="24"/>
          <w:lang w:val="en-US" w:eastAsia="zh-CN"/>
        </w:rPr>
        <w:t xml:space="preserve"> H</w:t>
      </w:r>
      <w:r w:rsidRPr="00A1208A">
        <w:rPr>
          <w:rFonts w:ascii="Book Antiqua" w:hAnsi="Book Antiqua" w:cs="Times New Roman" w:hint="eastAsia"/>
          <w:b/>
          <w:bCs/>
          <w:color w:val="auto"/>
          <w:sz w:val="24"/>
          <w:szCs w:val="24"/>
          <w:lang w:val="en-US" w:eastAsia="zh-CN"/>
        </w:rPr>
        <w:t xml:space="preserve"> </w:t>
      </w:r>
      <w:r w:rsidRPr="00A1208A">
        <w:rPr>
          <w:rFonts w:ascii="Book Antiqua" w:hAnsi="Book Antiqua" w:cs="Times New Roman"/>
          <w:b/>
          <w:bCs/>
          <w:color w:val="auto"/>
          <w:sz w:val="24"/>
          <w:szCs w:val="24"/>
          <w:lang w:val="en-US" w:eastAsia="zh-CN"/>
        </w:rPr>
        <w:t>S-Editor:</w:t>
      </w:r>
      <w:r w:rsidRPr="00A1208A">
        <w:rPr>
          <w:rFonts w:ascii="Book Antiqua" w:hAnsi="Book Antiqua" w:cs="Times New Roman" w:hint="eastAsia"/>
          <w:color w:val="auto"/>
          <w:sz w:val="24"/>
          <w:szCs w:val="24"/>
          <w:lang w:val="en-US" w:eastAsia="zh-CN"/>
        </w:rPr>
        <w:t xml:space="preserve"> Gong ZM</w:t>
      </w:r>
    </w:p>
    <w:p w14:paraId="46210E32" w14:textId="77777777" w:rsidR="00A1208A" w:rsidRPr="00A1208A" w:rsidRDefault="00A1208A" w:rsidP="00A1208A">
      <w:pPr>
        <w:pBdr>
          <w:top w:val="none" w:sz="0" w:space="0" w:color="auto"/>
          <w:left w:val="none" w:sz="0" w:space="0" w:color="auto"/>
          <w:bottom w:val="none" w:sz="0" w:space="0" w:color="auto"/>
          <w:right w:val="none" w:sz="0" w:space="0" w:color="auto"/>
          <w:between w:val="none" w:sz="0" w:space="0" w:color="auto"/>
        </w:pBdr>
        <w:snapToGrid w:val="0"/>
        <w:spacing w:line="360" w:lineRule="auto"/>
        <w:jc w:val="right"/>
        <w:rPr>
          <w:rFonts w:ascii="Book Antiqua" w:hAnsi="Book Antiqua" w:cs="Times New Roman"/>
          <w:b/>
          <w:bCs/>
          <w:color w:val="auto"/>
          <w:sz w:val="24"/>
          <w:szCs w:val="24"/>
          <w:lang w:val="en-US" w:eastAsia="zh-CN"/>
        </w:rPr>
      </w:pPr>
      <w:r w:rsidRPr="00A1208A">
        <w:rPr>
          <w:rFonts w:ascii="Book Antiqua" w:hAnsi="Book Antiqua" w:cs="Times New Roman"/>
          <w:b/>
          <w:bCs/>
          <w:color w:val="auto"/>
          <w:sz w:val="24"/>
          <w:szCs w:val="24"/>
          <w:lang w:val="en-US" w:eastAsia="zh-CN"/>
        </w:rPr>
        <w:t>L-Editor:</w:t>
      </w:r>
      <w:r w:rsidRPr="00A1208A">
        <w:rPr>
          <w:rFonts w:ascii="Book Antiqua" w:hAnsi="Book Antiqua" w:cs="Times New Roman"/>
          <w:color w:val="auto"/>
          <w:sz w:val="24"/>
          <w:szCs w:val="24"/>
          <w:lang w:val="en-US" w:eastAsia="zh-CN"/>
        </w:rPr>
        <w:t xml:space="preserve"> </w:t>
      </w:r>
      <w:r w:rsidRPr="00A1208A">
        <w:rPr>
          <w:rFonts w:ascii="Book Antiqua" w:hAnsi="Book Antiqua" w:cs="Times New Roman"/>
          <w:b/>
          <w:bCs/>
          <w:color w:val="auto"/>
          <w:sz w:val="24"/>
          <w:szCs w:val="24"/>
          <w:lang w:val="en-US" w:eastAsia="zh-CN"/>
        </w:rPr>
        <w:t>E-Editor:</w:t>
      </w:r>
    </w:p>
    <w:p w14:paraId="7D2A5E1D" w14:textId="77777777" w:rsidR="00A1208A" w:rsidRPr="00A1208A" w:rsidRDefault="00A1208A" w:rsidP="00A1208A">
      <w:pPr>
        <w:pBdr>
          <w:top w:val="none" w:sz="0" w:space="0" w:color="auto"/>
          <w:left w:val="none" w:sz="0" w:space="0" w:color="auto"/>
          <w:bottom w:val="none" w:sz="0" w:space="0" w:color="auto"/>
          <w:right w:val="none" w:sz="0" w:space="0" w:color="auto"/>
          <w:between w:val="none" w:sz="0" w:space="0" w:color="auto"/>
        </w:pBdr>
        <w:shd w:val="clear" w:color="auto" w:fill="FFFFFF"/>
        <w:snapToGrid w:val="0"/>
        <w:spacing w:line="360" w:lineRule="auto"/>
        <w:jc w:val="both"/>
        <w:rPr>
          <w:rFonts w:ascii="Book Antiqua" w:hAnsi="Book Antiqua" w:cs="Helvetica"/>
          <w:b/>
          <w:color w:val="auto"/>
          <w:sz w:val="24"/>
          <w:szCs w:val="24"/>
          <w:lang w:val="en-US" w:eastAsia="zh-CN"/>
        </w:rPr>
      </w:pPr>
      <w:bookmarkStart w:id="137" w:name="OLE_LINK880"/>
      <w:bookmarkStart w:id="138" w:name="OLE_LINK881"/>
      <w:bookmarkStart w:id="139" w:name="OLE_LINK497"/>
      <w:bookmarkStart w:id="140" w:name="OLE_LINK813"/>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r w:rsidRPr="00A1208A">
        <w:rPr>
          <w:rFonts w:ascii="Book Antiqua" w:hAnsi="Book Antiqua" w:cs="Helvetica"/>
          <w:b/>
          <w:color w:val="auto"/>
          <w:sz w:val="24"/>
          <w:szCs w:val="24"/>
          <w:lang w:val="en-US" w:eastAsia="zh-CN"/>
        </w:rPr>
        <w:t xml:space="preserve">Specialty type: </w:t>
      </w:r>
      <w:r w:rsidRPr="00A1208A">
        <w:rPr>
          <w:rFonts w:ascii="Book Antiqua" w:hAnsi="Book Antiqua" w:cs="Helvetica"/>
          <w:color w:val="auto"/>
          <w:sz w:val="24"/>
          <w:szCs w:val="24"/>
          <w:lang w:val="en-US" w:eastAsia="zh-CN"/>
        </w:rPr>
        <w:t>Gastroenterology and</w:t>
      </w:r>
      <w:r w:rsidRPr="00A1208A">
        <w:rPr>
          <w:rFonts w:ascii="Book Antiqua" w:hAnsi="Book Antiqua" w:cs="Helvetica" w:hint="eastAsia"/>
          <w:color w:val="auto"/>
          <w:sz w:val="24"/>
          <w:szCs w:val="24"/>
          <w:lang w:val="en-US" w:eastAsia="zh-CN"/>
        </w:rPr>
        <w:t xml:space="preserve"> </w:t>
      </w:r>
      <w:r w:rsidRPr="00A1208A">
        <w:rPr>
          <w:rFonts w:ascii="Book Antiqua" w:hAnsi="Book Antiqua" w:cs="Helvetica"/>
          <w:color w:val="auto"/>
          <w:sz w:val="24"/>
          <w:szCs w:val="24"/>
          <w:lang w:val="en-US" w:eastAsia="zh-CN"/>
        </w:rPr>
        <w:t>hepatology</w:t>
      </w:r>
    </w:p>
    <w:p w14:paraId="5D698973" w14:textId="77777777" w:rsidR="00A1208A" w:rsidRPr="00A1208A" w:rsidRDefault="00A1208A" w:rsidP="00A1208A">
      <w:pPr>
        <w:pBdr>
          <w:top w:val="none" w:sz="0" w:space="0" w:color="auto"/>
          <w:left w:val="none" w:sz="0" w:space="0" w:color="auto"/>
          <w:bottom w:val="none" w:sz="0" w:space="0" w:color="auto"/>
          <w:right w:val="none" w:sz="0" w:space="0" w:color="auto"/>
          <w:between w:val="none" w:sz="0" w:space="0" w:color="auto"/>
        </w:pBdr>
        <w:shd w:val="clear" w:color="auto" w:fill="FFFFFF"/>
        <w:snapToGrid w:val="0"/>
        <w:spacing w:line="360" w:lineRule="auto"/>
        <w:jc w:val="both"/>
        <w:rPr>
          <w:rFonts w:ascii="Book Antiqua" w:hAnsi="Book Antiqua" w:cs="Helvetica"/>
          <w:b/>
          <w:color w:val="auto"/>
          <w:sz w:val="24"/>
          <w:szCs w:val="24"/>
          <w:lang w:val="en-US" w:eastAsia="zh-CN"/>
        </w:rPr>
      </w:pPr>
      <w:r w:rsidRPr="00A1208A">
        <w:rPr>
          <w:rFonts w:ascii="Book Antiqua" w:hAnsi="Book Antiqua" w:cs="Helvetica"/>
          <w:b/>
          <w:color w:val="auto"/>
          <w:sz w:val="24"/>
          <w:szCs w:val="24"/>
          <w:lang w:val="en-US" w:eastAsia="zh-CN"/>
        </w:rPr>
        <w:t xml:space="preserve">Country of origin: </w:t>
      </w:r>
      <w:r w:rsidRPr="00A1208A">
        <w:rPr>
          <w:rFonts w:ascii="Book Antiqua" w:hAnsi="Book Antiqua" w:cs="Helvetica"/>
          <w:color w:val="auto"/>
          <w:sz w:val="24"/>
          <w:szCs w:val="24"/>
          <w:lang w:val="en-CA" w:eastAsia="zh-CN"/>
        </w:rPr>
        <w:t>United States</w:t>
      </w:r>
    </w:p>
    <w:p w14:paraId="34CAF7D7" w14:textId="77777777" w:rsidR="00A1208A" w:rsidRPr="00A1208A" w:rsidRDefault="00A1208A" w:rsidP="00A1208A">
      <w:pPr>
        <w:pBdr>
          <w:top w:val="none" w:sz="0" w:space="0" w:color="auto"/>
          <w:left w:val="none" w:sz="0" w:space="0" w:color="auto"/>
          <w:bottom w:val="none" w:sz="0" w:space="0" w:color="auto"/>
          <w:right w:val="none" w:sz="0" w:space="0" w:color="auto"/>
          <w:between w:val="none" w:sz="0" w:space="0" w:color="auto"/>
        </w:pBdr>
        <w:shd w:val="clear" w:color="auto" w:fill="FFFFFF"/>
        <w:snapToGrid w:val="0"/>
        <w:spacing w:line="360" w:lineRule="auto"/>
        <w:jc w:val="both"/>
        <w:rPr>
          <w:rFonts w:ascii="Book Antiqua" w:hAnsi="Book Antiqua" w:cs="Helvetica"/>
          <w:b/>
          <w:color w:val="auto"/>
          <w:sz w:val="24"/>
          <w:szCs w:val="24"/>
          <w:lang w:val="en-US" w:eastAsia="zh-CN"/>
        </w:rPr>
      </w:pPr>
      <w:r w:rsidRPr="00A1208A">
        <w:rPr>
          <w:rFonts w:ascii="Book Antiqua" w:hAnsi="Book Antiqua" w:cs="Helvetica"/>
          <w:b/>
          <w:color w:val="auto"/>
          <w:sz w:val="24"/>
          <w:szCs w:val="24"/>
          <w:lang w:val="en-US" w:eastAsia="zh-CN"/>
        </w:rPr>
        <w:t>Peer-review report classification</w:t>
      </w:r>
    </w:p>
    <w:p w14:paraId="6992BEA2" w14:textId="77777777" w:rsidR="00A1208A" w:rsidRPr="00A1208A" w:rsidRDefault="00A1208A" w:rsidP="00A1208A">
      <w:pPr>
        <w:pBdr>
          <w:top w:val="none" w:sz="0" w:space="0" w:color="auto"/>
          <w:left w:val="none" w:sz="0" w:space="0" w:color="auto"/>
          <w:bottom w:val="none" w:sz="0" w:space="0" w:color="auto"/>
          <w:right w:val="none" w:sz="0" w:space="0" w:color="auto"/>
          <w:between w:val="none" w:sz="0" w:space="0" w:color="auto"/>
        </w:pBdr>
        <w:shd w:val="clear" w:color="auto" w:fill="FFFFFF"/>
        <w:snapToGrid w:val="0"/>
        <w:spacing w:line="360" w:lineRule="auto"/>
        <w:jc w:val="both"/>
        <w:rPr>
          <w:rFonts w:ascii="Book Antiqua" w:hAnsi="Book Antiqua" w:cs="Helvetica"/>
          <w:color w:val="auto"/>
          <w:sz w:val="24"/>
          <w:szCs w:val="24"/>
          <w:lang w:val="en-US" w:eastAsia="zh-CN"/>
        </w:rPr>
      </w:pPr>
      <w:r w:rsidRPr="00A1208A">
        <w:rPr>
          <w:rFonts w:ascii="Book Antiqua" w:hAnsi="Book Antiqua" w:cs="Helvetica"/>
          <w:color w:val="auto"/>
          <w:sz w:val="24"/>
          <w:szCs w:val="24"/>
          <w:lang w:val="en-US" w:eastAsia="zh-CN"/>
        </w:rPr>
        <w:t xml:space="preserve">Grade A (Excellent): </w:t>
      </w:r>
      <w:r w:rsidRPr="00A1208A">
        <w:rPr>
          <w:rFonts w:ascii="Book Antiqua" w:hAnsi="Book Antiqua" w:cs="Helvetica" w:hint="eastAsia"/>
          <w:color w:val="auto"/>
          <w:sz w:val="24"/>
          <w:szCs w:val="24"/>
          <w:lang w:val="en-US" w:eastAsia="zh-CN"/>
        </w:rPr>
        <w:t>A, A</w:t>
      </w:r>
    </w:p>
    <w:p w14:paraId="3DA82A4A" w14:textId="77777777" w:rsidR="00A1208A" w:rsidRPr="00A1208A" w:rsidRDefault="00A1208A" w:rsidP="00A1208A">
      <w:pPr>
        <w:pBdr>
          <w:top w:val="none" w:sz="0" w:space="0" w:color="auto"/>
          <w:left w:val="none" w:sz="0" w:space="0" w:color="auto"/>
          <w:bottom w:val="none" w:sz="0" w:space="0" w:color="auto"/>
          <w:right w:val="none" w:sz="0" w:space="0" w:color="auto"/>
          <w:between w:val="none" w:sz="0" w:space="0" w:color="auto"/>
        </w:pBdr>
        <w:shd w:val="clear" w:color="auto" w:fill="FFFFFF"/>
        <w:snapToGrid w:val="0"/>
        <w:spacing w:line="360" w:lineRule="auto"/>
        <w:jc w:val="both"/>
        <w:rPr>
          <w:rFonts w:ascii="Book Antiqua" w:hAnsi="Book Antiqua" w:cs="Helvetica"/>
          <w:color w:val="auto"/>
          <w:sz w:val="24"/>
          <w:szCs w:val="24"/>
          <w:lang w:val="en-US" w:eastAsia="zh-CN"/>
        </w:rPr>
      </w:pPr>
      <w:r w:rsidRPr="00A1208A">
        <w:rPr>
          <w:rFonts w:ascii="Book Antiqua" w:hAnsi="Book Antiqua" w:cs="Helvetica"/>
          <w:color w:val="auto"/>
          <w:sz w:val="24"/>
          <w:szCs w:val="24"/>
          <w:lang w:val="en-US" w:eastAsia="zh-CN"/>
        </w:rPr>
        <w:t xml:space="preserve">Grade B (Very good): </w:t>
      </w:r>
      <w:r w:rsidRPr="00A1208A">
        <w:rPr>
          <w:rFonts w:ascii="Book Antiqua" w:hAnsi="Book Antiqua" w:cs="Helvetica" w:hint="eastAsia"/>
          <w:color w:val="auto"/>
          <w:sz w:val="24"/>
          <w:szCs w:val="24"/>
          <w:lang w:val="en-US" w:eastAsia="zh-CN"/>
        </w:rPr>
        <w:t>0</w:t>
      </w:r>
    </w:p>
    <w:p w14:paraId="776B1FC3" w14:textId="77777777" w:rsidR="00A1208A" w:rsidRPr="00A1208A" w:rsidRDefault="00A1208A" w:rsidP="00A1208A">
      <w:pPr>
        <w:pBdr>
          <w:top w:val="none" w:sz="0" w:space="0" w:color="auto"/>
          <w:left w:val="none" w:sz="0" w:space="0" w:color="auto"/>
          <w:bottom w:val="none" w:sz="0" w:space="0" w:color="auto"/>
          <w:right w:val="none" w:sz="0" w:space="0" w:color="auto"/>
          <w:between w:val="none" w:sz="0" w:space="0" w:color="auto"/>
        </w:pBdr>
        <w:shd w:val="clear" w:color="auto" w:fill="FFFFFF"/>
        <w:snapToGrid w:val="0"/>
        <w:spacing w:line="360" w:lineRule="auto"/>
        <w:jc w:val="both"/>
        <w:rPr>
          <w:rFonts w:ascii="Book Antiqua" w:hAnsi="Book Antiqua" w:cs="Helvetica"/>
          <w:color w:val="auto"/>
          <w:sz w:val="24"/>
          <w:szCs w:val="24"/>
          <w:lang w:val="en-US" w:eastAsia="zh-CN"/>
        </w:rPr>
      </w:pPr>
      <w:r w:rsidRPr="00A1208A">
        <w:rPr>
          <w:rFonts w:ascii="Book Antiqua" w:hAnsi="Book Antiqua" w:cs="Helvetica"/>
          <w:color w:val="auto"/>
          <w:sz w:val="24"/>
          <w:szCs w:val="24"/>
          <w:lang w:val="en-US" w:eastAsia="zh-CN"/>
        </w:rPr>
        <w:t xml:space="preserve">Grade C (Good): </w:t>
      </w:r>
      <w:r w:rsidRPr="00A1208A">
        <w:rPr>
          <w:rFonts w:ascii="Book Antiqua" w:hAnsi="Book Antiqua" w:cs="Helvetica" w:hint="eastAsia"/>
          <w:color w:val="auto"/>
          <w:sz w:val="24"/>
          <w:szCs w:val="24"/>
          <w:lang w:val="en-US" w:eastAsia="zh-CN"/>
        </w:rPr>
        <w:t>0</w:t>
      </w:r>
    </w:p>
    <w:p w14:paraId="63AE7599" w14:textId="77777777" w:rsidR="00A1208A" w:rsidRPr="00A1208A" w:rsidRDefault="00A1208A" w:rsidP="00A1208A">
      <w:pPr>
        <w:pBdr>
          <w:top w:val="none" w:sz="0" w:space="0" w:color="auto"/>
          <w:left w:val="none" w:sz="0" w:space="0" w:color="auto"/>
          <w:bottom w:val="none" w:sz="0" w:space="0" w:color="auto"/>
          <w:right w:val="none" w:sz="0" w:space="0" w:color="auto"/>
          <w:between w:val="none" w:sz="0" w:space="0" w:color="auto"/>
        </w:pBdr>
        <w:shd w:val="clear" w:color="auto" w:fill="FFFFFF"/>
        <w:snapToGrid w:val="0"/>
        <w:spacing w:line="360" w:lineRule="auto"/>
        <w:jc w:val="both"/>
        <w:rPr>
          <w:rFonts w:ascii="Book Antiqua" w:hAnsi="Book Antiqua" w:cs="Helvetica"/>
          <w:color w:val="auto"/>
          <w:sz w:val="24"/>
          <w:szCs w:val="24"/>
          <w:lang w:val="en-US" w:eastAsia="zh-CN"/>
        </w:rPr>
      </w:pPr>
      <w:r w:rsidRPr="00A1208A">
        <w:rPr>
          <w:rFonts w:ascii="Book Antiqua" w:hAnsi="Book Antiqua" w:cs="Helvetica"/>
          <w:color w:val="auto"/>
          <w:sz w:val="24"/>
          <w:szCs w:val="24"/>
          <w:lang w:val="en-US" w:eastAsia="zh-CN"/>
        </w:rPr>
        <w:t xml:space="preserve">Grade D (Fair): </w:t>
      </w:r>
      <w:r w:rsidRPr="00A1208A">
        <w:rPr>
          <w:rFonts w:ascii="Book Antiqua" w:hAnsi="Book Antiqua" w:cs="Helvetica" w:hint="eastAsia"/>
          <w:color w:val="auto"/>
          <w:sz w:val="24"/>
          <w:szCs w:val="24"/>
          <w:lang w:val="en-US" w:eastAsia="zh-CN"/>
        </w:rPr>
        <w:t>0</w:t>
      </w:r>
    </w:p>
    <w:p w14:paraId="36E24EDE" w14:textId="77777777" w:rsidR="00A1208A" w:rsidRPr="00A1208A" w:rsidRDefault="00A1208A" w:rsidP="00A1208A">
      <w:pPr>
        <w:pBdr>
          <w:top w:val="none" w:sz="0" w:space="0" w:color="auto"/>
          <w:left w:val="none" w:sz="0" w:space="0" w:color="auto"/>
          <w:bottom w:val="none" w:sz="0" w:space="0" w:color="auto"/>
          <w:right w:val="none" w:sz="0" w:space="0" w:color="auto"/>
          <w:between w:val="none" w:sz="0" w:space="0" w:color="auto"/>
        </w:pBdr>
        <w:shd w:val="clear" w:color="auto" w:fill="FFFFFF"/>
        <w:snapToGrid w:val="0"/>
        <w:spacing w:line="360" w:lineRule="auto"/>
        <w:jc w:val="both"/>
        <w:rPr>
          <w:rFonts w:ascii="Book Antiqua" w:hAnsi="Book Antiqua" w:cs="Helvetica"/>
          <w:color w:val="auto"/>
          <w:sz w:val="24"/>
          <w:szCs w:val="24"/>
          <w:lang w:val="en-US" w:eastAsia="zh-CN"/>
        </w:rPr>
      </w:pPr>
      <w:r w:rsidRPr="00A1208A">
        <w:rPr>
          <w:rFonts w:ascii="Book Antiqua" w:hAnsi="Book Antiqua" w:cs="Helvetica"/>
          <w:color w:val="auto"/>
          <w:sz w:val="24"/>
          <w:szCs w:val="24"/>
          <w:lang w:val="en-US" w:eastAsia="zh-CN"/>
        </w:rPr>
        <w:t xml:space="preserve">Grade E (Poor): </w:t>
      </w:r>
      <w:r w:rsidRPr="00A1208A">
        <w:rPr>
          <w:rFonts w:ascii="Book Antiqua" w:hAnsi="Book Antiqua" w:cs="Helvetica" w:hint="eastAsia"/>
          <w:color w:val="auto"/>
          <w:sz w:val="24"/>
          <w:szCs w:val="24"/>
          <w:lang w:val="en-US" w:eastAsia="zh-CN"/>
        </w:rPr>
        <w:t>0</w:t>
      </w:r>
      <w:bookmarkEnd w:id="137"/>
      <w:bookmarkEnd w:id="138"/>
      <w:r w:rsidRPr="00A1208A">
        <w:rPr>
          <w:rFonts w:ascii="Book Antiqua" w:hAnsi="Book Antiqua" w:cs="Helvetica" w:hint="eastAsia"/>
          <w:color w:val="auto"/>
          <w:sz w:val="24"/>
          <w:szCs w:val="24"/>
          <w:lang w:val="en-US" w:eastAsia="zh-CN"/>
        </w:rPr>
        <w:t xml:space="preserve"> </w:t>
      </w:r>
      <w:bookmarkEnd w:id="135"/>
      <w:bookmarkEnd w:id="136"/>
      <w:bookmarkEnd w:id="139"/>
      <w:bookmarkEnd w:id="140"/>
    </w:p>
    <w:p w14:paraId="7C7A1FA0" w14:textId="77777777" w:rsidR="00A1208A" w:rsidRPr="00A1208A" w:rsidRDefault="00A1208A" w:rsidP="00D92508">
      <w:pPr>
        <w:snapToGrid w:val="0"/>
        <w:spacing w:line="360" w:lineRule="auto"/>
        <w:jc w:val="both"/>
        <w:rPr>
          <w:rFonts w:ascii="Book Antiqua" w:hAnsi="Book Antiqua"/>
          <w:b/>
          <w:caps/>
          <w:color w:val="auto"/>
          <w:sz w:val="24"/>
          <w:szCs w:val="24"/>
          <w:lang w:val="en-US" w:eastAsia="zh-CN"/>
        </w:rPr>
      </w:pPr>
    </w:p>
    <w:p w14:paraId="74B96FAC" w14:textId="3A6B6B5D" w:rsidR="001868EC" w:rsidRPr="00F532B5" w:rsidRDefault="001868EC" w:rsidP="00D92508">
      <w:pPr>
        <w:snapToGrid w:val="0"/>
        <w:spacing w:line="360" w:lineRule="auto"/>
        <w:jc w:val="both"/>
        <w:rPr>
          <w:rFonts w:ascii="Book Antiqua" w:hAnsi="Book Antiqua"/>
          <w:b/>
          <w:color w:val="auto"/>
          <w:sz w:val="24"/>
          <w:szCs w:val="24"/>
        </w:rPr>
      </w:pPr>
      <w:r w:rsidRPr="00F532B5">
        <w:rPr>
          <w:rFonts w:ascii="Book Antiqua" w:hAnsi="Book Antiqua"/>
          <w:b/>
          <w:color w:val="auto"/>
          <w:sz w:val="24"/>
          <w:szCs w:val="24"/>
        </w:rPr>
        <w:br w:type="page"/>
      </w:r>
    </w:p>
    <w:p w14:paraId="5FB488CA" w14:textId="2BF0A2DF" w:rsidR="005D279E" w:rsidRDefault="005D279E" w:rsidP="00D92508">
      <w:pPr>
        <w:pStyle w:val="NoSpacing"/>
        <w:snapToGrid w:val="0"/>
        <w:spacing w:line="360" w:lineRule="auto"/>
        <w:jc w:val="both"/>
        <w:rPr>
          <w:rFonts w:ascii="Book Antiqua" w:hAnsi="Book Antiqua"/>
          <w:b/>
          <w:color w:val="auto"/>
          <w:sz w:val="24"/>
          <w:szCs w:val="24"/>
          <w:lang w:eastAsia="zh-CN"/>
        </w:rPr>
      </w:pPr>
      <w:r w:rsidRPr="00F532B5">
        <w:rPr>
          <w:rFonts w:ascii="Book Antiqua" w:hAnsi="Book Antiqua"/>
          <w:b/>
          <w:noProof/>
          <w:color w:val="auto"/>
          <w:sz w:val="24"/>
          <w:szCs w:val="24"/>
          <w:lang w:val="en-US" w:eastAsia="zh-CN"/>
        </w:rPr>
        <w:lastRenderedPageBreak/>
        <w:drawing>
          <wp:inline distT="0" distB="0" distL="0" distR="0" wp14:anchorId="49A517A8" wp14:editId="3670E8C7">
            <wp:extent cx="5965325" cy="2907102"/>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 Panel 6.tif"/>
                    <pic:cNvPicPr/>
                  </pic:nvPicPr>
                  <pic:blipFill>
                    <a:blip r:embed="rId8">
                      <a:extLst>
                        <a:ext uri="{28A0092B-C50C-407E-A947-70E740481C1C}">
                          <a14:useLocalDpi xmlns:a14="http://schemas.microsoft.com/office/drawing/2010/main" val="0"/>
                        </a:ext>
                      </a:extLst>
                    </a:blip>
                    <a:stretch>
                      <a:fillRect/>
                    </a:stretch>
                  </pic:blipFill>
                  <pic:spPr>
                    <a:xfrm>
                      <a:off x="0" y="0"/>
                      <a:ext cx="5971953" cy="2910332"/>
                    </a:xfrm>
                    <a:prstGeom prst="rect">
                      <a:avLst/>
                    </a:prstGeom>
                  </pic:spPr>
                </pic:pic>
              </a:graphicData>
            </a:graphic>
          </wp:inline>
        </w:drawing>
      </w:r>
    </w:p>
    <w:p w14:paraId="2BC42579" w14:textId="50F1FF56" w:rsidR="006C3D88" w:rsidRPr="003E2070" w:rsidRDefault="005F5B62" w:rsidP="00D92508">
      <w:pPr>
        <w:pStyle w:val="NoSpacing"/>
        <w:snapToGrid w:val="0"/>
        <w:spacing w:line="360" w:lineRule="auto"/>
        <w:jc w:val="both"/>
        <w:rPr>
          <w:rFonts w:ascii="Book Antiqua" w:hAnsi="Book Antiqua"/>
          <w:b/>
          <w:color w:val="auto"/>
          <w:sz w:val="24"/>
          <w:szCs w:val="24"/>
          <w:lang w:eastAsia="zh-CN"/>
        </w:rPr>
      </w:pPr>
      <w:r w:rsidRPr="00F532B5">
        <w:rPr>
          <w:rFonts w:ascii="Book Antiqua" w:hAnsi="Book Antiqua"/>
          <w:b/>
          <w:color w:val="auto"/>
          <w:sz w:val="24"/>
          <w:szCs w:val="24"/>
        </w:rPr>
        <w:t xml:space="preserve">Figure </w:t>
      </w:r>
      <w:r w:rsidR="00EF6237" w:rsidRPr="00F532B5">
        <w:rPr>
          <w:rFonts w:ascii="Book Antiqua" w:hAnsi="Book Antiqua"/>
          <w:b/>
          <w:color w:val="auto"/>
          <w:sz w:val="24"/>
          <w:szCs w:val="24"/>
        </w:rPr>
        <w:t>1</w:t>
      </w:r>
      <w:r w:rsidRPr="00F532B5">
        <w:rPr>
          <w:rFonts w:ascii="Book Antiqua" w:hAnsi="Book Antiqua"/>
          <w:b/>
          <w:color w:val="auto"/>
          <w:sz w:val="24"/>
          <w:szCs w:val="24"/>
        </w:rPr>
        <w:t xml:space="preserve"> Pathophysiology of encapsulating peritoneal sclerosis</w:t>
      </w:r>
      <w:r w:rsidR="005D279E">
        <w:rPr>
          <w:rFonts w:ascii="Book Antiqua" w:hAnsi="Book Antiqua" w:hint="eastAsia"/>
          <w:b/>
          <w:color w:val="auto"/>
          <w:sz w:val="24"/>
          <w:szCs w:val="24"/>
          <w:lang w:eastAsia="zh-CN"/>
        </w:rPr>
        <w:t xml:space="preserve">. </w:t>
      </w:r>
      <w:r w:rsidR="00C4586F" w:rsidRPr="00F532B5">
        <w:rPr>
          <w:rFonts w:ascii="Book Antiqua" w:hAnsi="Book Antiqua"/>
          <w:color w:val="auto"/>
          <w:sz w:val="24"/>
          <w:szCs w:val="24"/>
        </w:rPr>
        <w:t xml:space="preserve">Certain predisposing factors may be present for EPS to form, </w:t>
      </w:r>
      <w:r w:rsidR="00E463B4" w:rsidRPr="00F532B5">
        <w:rPr>
          <w:rFonts w:ascii="Book Antiqua" w:hAnsi="Book Antiqua"/>
          <w:color w:val="auto"/>
          <w:sz w:val="24"/>
          <w:szCs w:val="24"/>
        </w:rPr>
        <w:t>such as genetic predisposition or b</w:t>
      </w:r>
      <w:r w:rsidR="00C4586F" w:rsidRPr="00F532B5">
        <w:rPr>
          <w:rFonts w:ascii="Book Antiqua" w:hAnsi="Book Antiqua"/>
          <w:color w:val="auto"/>
          <w:sz w:val="24"/>
          <w:szCs w:val="24"/>
        </w:rPr>
        <w:t xml:space="preserve">eing on long-term peritoneal dialysis. Inciting factors that may push the physiology towards a pro-inflammatory and pro-fibrotic state include medications, </w:t>
      </w:r>
      <w:r w:rsidR="00E463B4" w:rsidRPr="00F532B5">
        <w:rPr>
          <w:rFonts w:ascii="Book Antiqua" w:hAnsi="Book Antiqua"/>
          <w:color w:val="auto"/>
          <w:sz w:val="24"/>
          <w:szCs w:val="24"/>
        </w:rPr>
        <w:t>repeated chemical or mechanical peritoneal irritation, recurrent infections,</w:t>
      </w:r>
      <w:r w:rsidR="00C4586F" w:rsidRPr="00F532B5">
        <w:rPr>
          <w:rFonts w:ascii="Book Antiqua" w:hAnsi="Book Antiqua"/>
          <w:color w:val="auto"/>
          <w:sz w:val="24"/>
          <w:szCs w:val="24"/>
        </w:rPr>
        <w:t xml:space="preserve"> </w:t>
      </w:r>
      <w:r w:rsidR="00E463B4" w:rsidRPr="00F532B5">
        <w:rPr>
          <w:rFonts w:ascii="Book Antiqua" w:hAnsi="Book Antiqua"/>
          <w:color w:val="auto"/>
          <w:sz w:val="24"/>
          <w:szCs w:val="24"/>
        </w:rPr>
        <w:t>and systemic</w:t>
      </w:r>
      <w:r w:rsidR="00C4586F" w:rsidRPr="00F532B5">
        <w:rPr>
          <w:rFonts w:ascii="Book Antiqua" w:hAnsi="Book Antiqua"/>
          <w:color w:val="auto"/>
          <w:sz w:val="24"/>
          <w:szCs w:val="24"/>
        </w:rPr>
        <w:t xml:space="preserve"> rheumatologic or inflammatory conditions. </w:t>
      </w:r>
    </w:p>
    <w:p w14:paraId="543553F3" w14:textId="2D2C7084" w:rsidR="00123912" w:rsidRPr="00F532B5" w:rsidRDefault="00123912" w:rsidP="00D92508">
      <w:pPr>
        <w:pStyle w:val="NoSpacing"/>
        <w:snapToGrid w:val="0"/>
        <w:spacing w:line="360" w:lineRule="auto"/>
        <w:jc w:val="both"/>
        <w:rPr>
          <w:rFonts w:ascii="Book Antiqua" w:hAnsi="Book Antiqua"/>
          <w:b/>
          <w:color w:val="auto"/>
          <w:sz w:val="24"/>
          <w:szCs w:val="24"/>
        </w:rPr>
      </w:pPr>
    </w:p>
    <w:p w14:paraId="32B8F674" w14:textId="1F80AB6C" w:rsidR="006C3D88" w:rsidRPr="00F532B5" w:rsidRDefault="006C3D88" w:rsidP="00D92508">
      <w:pPr>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br w:type="page"/>
      </w:r>
    </w:p>
    <w:p w14:paraId="263D0D1A" w14:textId="33ADB5A3" w:rsidR="005F5B62" w:rsidRPr="00F532B5" w:rsidRDefault="00282891" w:rsidP="00D92508">
      <w:pPr>
        <w:snapToGrid w:val="0"/>
        <w:spacing w:line="360" w:lineRule="auto"/>
        <w:jc w:val="both"/>
        <w:rPr>
          <w:rFonts w:ascii="Book Antiqua" w:hAnsi="Book Antiqua"/>
          <w:color w:val="auto"/>
          <w:sz w:val="24"/>
          <w:szCs w:val="24"/>
        </w:rPr>
      </w:pPr>
      <w:r w:rsidRPr="00F532B5">
        <w:rPr>
          <w:rFonts w:ascii="Book Antiqua" w:hAnsi="Book Antiqua"/>
          <w:noProof/>
          <w:color w:val="auto"/>
          <w:sz w:val="24"/>
          <w:szCs w:val="24"/>
          <w:lang w:val="en-US" w:eastAsia="zh-CN"/>
        </w:rPr>
        <w:lastRenderedPageBreak/>
        <w:drawing>
          <wp:inline distT="0" distB="0" distL="0" distR="0" wp14:anchorId="2A1DECC8" wp14:editId="042449D1">
            <wp:extent cx="5961851" cy="3847381"/>
            <wp:effectExtent l="0" t="0" r="127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 Panel 9.tif"/>
                    <pic:cNvPicPr/>
                  </pic:nvPicPr>
                  <pic:blipFill>
                    <a:blip r:embed="rId9">
                      <a:extLst>
                        <a:ext uri="{28A0092B-C50C-407E-A947-70E740481C1C}">
                          <a14:useLocalDpi xmlns:a14="http://schemas.microsoft.com/office/drawing/2010/main" val="0"/>
                        </a:ext>
                      </a:extLst>
                    </a:blip>
                    <a:stretch>
                      <a:fillRect/>
                    </a:stretch>
                  </pic:blipFill>
                  <pic:spPr>
                    <a:xfrm>
                      <a:off x="0" y="0"/>
                      <a:ext cx="5962316" cy="3847681"/>
                    </a:xfrm>
                    <a:prstGeom prst="rect">
                      <a:avLst/>
                    </a:prstGeom>
                  </pic:spPr>
                </pic:pic>
              </a:graphicData>
            </a:graphic>
          </wp:inline>
        </w:drawing>
      </w:r>
    </w:p>
    <w:p w14:paraId="0D8F7453" w14:textId="193C5F43" w:rsidR="006C3D88" w:rsidRPr="00282891" w:rsidRDefault="005F5B62" w:rsidP="00D92508">
      <w:pPr>
        <w:snapToGrid w:val="0"/>
        <w:spacing w:line="360" w:lineRule="auto"/>
        <w:jc w:val="both"/>
        <w:rPr>
          <w:rFonts w:ascii="Book Antiqua" w:hAnsi="Book Antiqua"/>
          <w:b/>
          <w:color w:val="auto"/>
          <w:sz w:val="24"/>
          <w:szCs w:val="24"/>
        </w:rPr>
      </w:pPr>
      <w:r w:rsidRPr="00F532B5">
        <w:rPr>
          <w:rFonts w:ascii="Book Antiqua" w:hAnsi="Book Antiqua"/>
          <w:b/>
          <w:color w:val="auto"/>
          <w:sz w:val="24"/>
          <w:szCs w:val="24"/>
        </w:rPr>
        <w:t xml:space="preserve">Figure </w:t>
      </w:r>
      <w:r w:rsidR="00EF6237" w:rsidRPr="00F532B5">
        <w:rPr>
          <w:rFonts w:ascii="Book Antiqua" w:hAnsi="Book Antiqua"/>
          <w:b/>
          <w:color w:val="auto"/>
          <w:sz w:val="24"/>
          <w:szCs w:val="24"/>
        </w:rPr>
        <w:t>2</w:t>
      </w:r>
      <w:r w:rsidRPr="00F532B5">
        <w:rPr>
          <w:rFonts w:ascii="Book Antiqua" w:hAnsi="Book Antiqua"/>
          <w:b/>
          <w:color w:val="auto"/>
          <w:sz w:val="24"/>
          <w:szCs w:val="24"/>
        </w:rPr>
        <w:t xml:space="preserve"> Proposed</w:t>
      </w:r>
      <w:r w:rsidR="00282891">
        <w:rPr>
          <w:rFonts w:ascii="Book Antiqua" w:hAnsi="Book Antiqua" w:hint="eastAsia"/>
          <w:b/>
          <w:color w:val="auto"/>
          <w:sz w:val="24"/>
          <w:szCs w:val="24"/>
          <w:lang w:eastAsia="zh-CN"/>
        </w:rPr>
        <w:t xml:space="preserve"> </w:t>
      </w:r>
      <w:r w:rsidRPr="00F532B5">
        <w:rPr>
          <w:rFonts w:ascii="Book Antiqua" w:hAnsi="Book Antiqua"/>
          <w:b/>
          <w:color w:val="auto"/>
          <w:sz w:val="24"/>
          <w:szCs w:val="24"/>
        </w:rPr>
        <w:t>algorithm for the diagnosis of enc</w:t>
      </w:r>
      <w:r w:rsidR="00282891">
        <w:rPr>
          <w:rFonts w:ascii="Book Antiqua" w:hAnsi="Book Antiqua"/>
          <w:b/>
          <w:color w:val="auto"/>
          <w:sz w:val="24"/>
          <w:szCs w:val="24"/>
        </w:rPr>
        <w:t>apsulating peritoneal sclerosis</w:t>
      </w:r>
      <w:r w:rsidR="00282891">
        <w:rPr>
          <w:rFonts w:ascii="Book Antiqua" w:hAnsi="Book Antiqua" w:hint="eastAsia"/>
          <w:b/>
          <w:color w:val="auto"/>
          <w:sz w:val="24"/>
          <w:szCs w:val="24"/>
          <w:lang w:eastAsia="zh-CN"/>
        </w:rPr>
        <w:t xml:space="preserve">. </w:t>
      </w:r>
      <w:r w:rsidR="00C4586F" w:rsidRPr="00F532B5">
        <w:rPr>
          <w:rFonts w:ascii="Book Antiqua" w:hAnsi="Book Antiqua"/>
          <w:color w:val="auto"/>
          <w:sz w:val="24"/>
          <w:szCs w:val="24"/>
        </w:rPr>
        <w:t xml:space="preserve">The diagnosis of EPS is a clinical one that can be confirmed with imaging or at laparotomy. Various presenting features and symptoms, clues obtained in the history (risk factors) and physical exam can point towards the diagnosis of EPS. CT/MRI findings include thickened peritoneum, calcifications, and may even demonstrate cocooning of the bowel with proximal dilation, as seen in </w:t>
      </w:r>
      <w:r w:rsidR="00E463B4" w:rsidRPr="00F532B5">
        <w:rPr>
          <w:rFonts w:ascii="Book Antiqua" w:hAnsi="Book Antiqua"/>
          <w:color w:val="auto"/>
          <w:sz w:val="24"/>
          <w:szCs w:val="24"/>
        </w:rPr>
        <w:t>our</w:t>
      </w:r>
      <w:r w:rsidR="00C4586F" w:rsidRPr="00F532B5">
        <w:rPr>
          <w:rFonts w:ascii="Book Antiqua" w:hAnsi="Book Antiqua"/>
          <w:color w:val="auto"/>
          <w:sz w:val="24"/>
          <w:szCs w:val="24"/>
        </w:rPr>
        <w:t xml:space="preserve"> case.</w:t>
      </w:r>
    </w:p>
    <w:p w14:paraId="598B291A" w14:textId="3B367831" w:rsidR="005F5B62" w:rsidRPr="00F532B5" w:rsidRDefault="00C4586F" w:rsidP="00D92508">
      <w:pPr>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 xml:space="preserve"> </w:t>
      </w:r>
    </w:p>
    <w:p w14:paraId="790C2A7E" w14:textId="2D08EC91" w:rsidR="006C3D88" w:rsidRPr="00F532B5" w:rsidRDefault="005F5B62" w:rsidP="00D92508">
      <w:pPr>
        <w:snapToGrid w:val="0"/>
        <w:spacing w:line="360" w:lineRule="auto"/>
        <w:jc w:val="both"/>
        <w:rPr>
          <w:rFonts w:ascii="Book Antiqua" w:hAnsi="Book Antiqua"/>
          <w:b/>
          <w:color w:val="auto"/>
          <w:sz w:val="24"/>
          <w:szCs w:val="24"/>
        </w:rPr>
      </w:pPr>
      <w:r w:rsidRPr="00F532B5">
        <w:rPr>
          <w:rFonts w:ascii="Book Antiqua" w:hAnsi="Book Antiqua"/>
          <w:color w:val="auto"/>
          <w:sz w:val="24"/>
          <w:szCs w:val="24"/>
        </w:rPr>
        <w:br/>
      </w:r>
      <w:r w:rsidR="006C3D88" w:rsidRPr="00F532B5">
        <w:rPr>
          <w:rFonts w:ascii="Book Antiqua" w:hAnsi="Book Antiqua"/>
          <w:b/>
          <w:color w:val="auto"/>
          <w:sz w:val="24"/>
          <w:szCs w:val="24"/>
        </w:rPr>
        <w:br w:type="page"/>
      </w:r>
    </w:p>
    <w:p w14:paraId="4A685383" w14:textId="459875E4" w:rsidR="006C3D88" w:rsidRPr="00F532B5" w:rsidRDefault="00DE73BF" w:rsidP="00D92508">
      <w:pPr>
        <w:snapToGrid w:val="0"/>
        <w:spacing w:line="360" w:lineRule="auto"/>
        <w:jc w:val="both"/>
        <w:rPr>
          <w:rFonts w:ascii="Book Antiqua" w:hAnsi="Book Antiqua"/>
          <w:b/>
          <w:color w:val="auto"/>
          <w:sz w:val="24"/>
          <w:szCs w:val="24"/>
        </w:rPr>
      </w:pPr>
      <w:r w:rsidRPr="00F532B5">
        <w:rPr>
          <w:rFonts w:ascii="Book Antiqua" w:hAnsi="Book Antiqua"/>
          <w:noProof/>
          <w:color w:val="auto"/>
          <w:sz w:val="24"/>
          <w:szCs w:val="24"/>
          <w:lang w:val="en-US" w:eastAsia="zh-CN"/>
        </w:rPr>
        <w:lastRenderedPageBreak/>
        <w:drawing>
          <wp:inline distT="0" distB="0" distL="0" distR="0" wp14:anchorId="04EF8FC9" wp14:editId="1859CF1F">
            <wp:extent cx="5820903" cy="3907766"/>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 Panel 13.tif"/>
                    <pic:cNvPicPr/>
                  </pic:nvPicPr>
                  <pic:blipFill>
                    <a:blip r:embed="rId10">
                      <a:extLst>
                        <a:ext uri="{28A0092B-C50C-407E-A947-70E740481C1C}">
                          <a14:useLocalDpi xmlns:a14="http://schemas.microsoft.com/office/drawing/2010/main" val="0"/>
                        </a:ext>
                      </a:extLst>
                    </a:blip>
                    <a:stretch>
                      <a:fillRect/>
                    </a:stretch>
                  </pic:blipFill>
                  <pic:spPr>
                    <a:xfrm>
                      <a:off x="0" y="0"/>
                      <a:ext cx="5820903" cy="3907766"/>
                    </a:xfrm>
                    <a:prstGeom prst="rect">
                      <a:avLst/>
                    </a:prstGeom>
                  </pic:spPr>
                </pic:pic>
              </a:graphicData>
            </a:graphic>
          </wp:inline>
        </w:drawing>
      </w:r>
    </w:p>
    <w:p w14:paraId="58838B20" w14:textId="48F1F55A" w:rsidR="00A43290" w:rsidRPr="00DE73BF" w:rsidRDefault="00EF6237" w:rsidP="00D92508">
      <w:pPr>
        <w:snapToGrid w:val="0"/>
        <w:spacing w:line="360" w:lineRule="auto"/>
        <w:jc w:val="both"/>
        <w:rPr>
          <w:rFonts w:ascii="Book Antiqua" w:hAnsi="Book Antiqua"/>
          <w:b/>
          <w:color w:val="auto"/>
          <w:sz w:val="24"/>
          <w:szCs w:val="24"/>
        </w:rPr>
      </w:pPr>
      <w:r w:rsidRPr="00F532B5">
        <w:rPr>
          <w:rFonts w:ascii="Book Antiqua" w:hAnsi="Book Antiqua"/>
          <w:b/>
          <w:color w:val="auto"/>
          <w:sz w:val="24"/>
          <w:szCs w:val="24"/>
        </w:rPr>
        <w:t>Figure 3</w:t>
      </w:r>
      <w:r w:rsidR="00FB4C9D" w:rsidRPr="00F532B5">
        <w:rPr>
          <w:rFonts w:ascii="Book Antiqua" w:hAnsi="Book Antiqua"/>
          <w:b/>
          <w:color w:val="auto"/>
          <w:sz w:val="24"/>
          <w:szCs w:val="24"/>
        </w:rPr>
        <w:t xml:space="preserve"> </w:t>
      </w:r>
      <w:r w:rsidR="005F5B62" w:rsidRPr="00F532B5">
        <w:rPr>
          <w:rFonts w:ascii="Book Antiqua" w:hAnsi="Book Antiqua"/>
          <w:b/>
          <w:color w:val="auto"/>
          <w:sz w:val="24"/>
          <w:szCs w:val="24"/>
        </w:rPr>
        <w:t>Therapeutic and management approach for enca</w:t>
      </w:r>
      <w:r w:rsidR="00DE73BF">
        <w:rPr>
          <w:rFonts w:ascii="Book Antiqua" w:hAnsi="Book Antiqua"/>
          <w:b/>
          <w:color w:val="auto"/>
          <w:sz w:val="24"/>
          <w:szCs w:val="24"/>
        </w:rPr>
        <w:t>psulating peritoneal sclerosis</w:t>
      </w:r>
      <w:r w:rsidR="00DE73BF">
        <w:rPr>
          <w:rFonts w:ascii="Book Antiqua" w:hAnsi="Book Antiqua" w:hint="eastAsia"/>
          <w:b/>
          <w:color w:val="auto"/>
          <w:sz w:val="24"/>
          <w:szCs w:val="24"/>
          <w:lang w:eastAsia="zh-CN"/>
        </w:rPr>
        <w:t xml:space="preserve">. </w:t>
      </w:r>
      <w:r w:rsidR="005F5B62" w:rsidRPr="00F532B5">
        <w:rPr>
          <w:rFonts w:ascii="Book Antiqua" w:hAnsi="Book Antiqua"/>
          <w:color w:val="auto"/>
          <w:sz w:val="24"/>
          <w:szCs w:val="24"/>
        </w:rPr>
        <w:t xml:space="preserve">Treatment strategies should be tailored to each patient, depending on the extent and stage of EPS. In all stages, especially during the early stages, the underlying cause should be </w:t>
      </w:r>
      <w:r w:rsidR="00C4586F" w:rsidRPr="00F532B5">
        <w:rPr>
          <w:rFonts w:ascii="Book Antiqua" w:hAnsi="Book Antiqua"/>
          <w:color w:val="auto"/>
          <w:sz w:val="24"/>
          <w:szCs w:val="24"/>
        </w:rPr>
        <w:t>identified</w:t>
      </w:r>
      <w:r w:rsidR="005F5B62" w:rsidRPr="00F532B5">
        <w:rPr>
          <w:rFonts w:ascii="Book Antiqua" w:hAnsi="Book Antiqua"/>
          <w:color w:val="auto"/>
          <w:sz w:val="24"/>
          <w:szCs w:val="24"/>
        </w:rPr>
        <w:t xml:space="preserve"> and treated or removed. During the earlier stages (Stage 1-2), the pathophysiology tends to be more inflammatory and the degree of sclerosis tends to be minimal. Thus, after infection has been ruled out, corticosteroids may be of benefit. In the later stages (Stage 3-4), more advanced sclerosis may be present, and patients may start exhibiting signs and symptoms of partial or complete bowel obstruction. </w:t>
      </w:r>
      <w:r w:rsidR="00E463B4" w:rsidRPr="00F532B5">
        <w:rPr>
          <w:rFonts w:ascii="Book Antiqua" w:hAnsi="Book Antiqua"/>
          <w:color w:val="auto"/>
          <w:sz w:val="24"/>
          <w:szCs w:val="24"/>
        </w:rPr>
        <w:t xml:space="preserve">In treating abdominal pain, </w:t>
      </w:r>
      <w:r w:rsidR="005F5B62" w:rsidRPr="00F532B5">
        <w:rPr>
          <w:rFonts w:ascii="Book Antiqua" w:hAnsi="Book Antiqua"/>
          <w:color w:val="auto"/>
          <w:sz w:val="24"/>
          <w:szCs w:val="24"/>
        </w:rPr>
        <w:t>opioids should be avoided</w:t>
      </w:r>
      <w:r w:rsidR="00E463B4" w:rsidRPr="00F532B5">
        <w:rPr>
          <w:rFonts w:ascii="Book Antiqua" w:hAnsi="Book Antiqua"/>
          <w:color w:val="auto"/>
          <w:sz w:val="24"/>
          <w:szCs w:val="24"/>
        </w:rPr>
        <w:t xml:space="preserve">. However, </w:t>
      </w:r>
      <w:r w:rsidR="005F5B62" w:rsidRPr="00F532B5">
        <w:rPr>
          <w:rFonts w:ascii="Book Antiqua" w:hAnsi="Book Antiqua"/>
          <w:color w:val="auto"/>
          <w:sz w:val="24"/>
          <w:szCs w:val="24"/>
        </w:rPr>
        <w:t xml:space="preserve">this may not </w:t>
      </w:r>
      <w:r w:rsidR="00E463B4" w:rsidRPr="00F532B5">
        <w:rPr>
          <w:rFonts w:ascii="Book Antiqua" w:hAnsi="Book Antiqua"/>
          <w:color w:val="auto"/>
          <w:sz w:val="24"/>
          <w:szCs w:val="24"/>
        </w:rPr>
        <w:t xml:space="preserve">always </w:t>
      </w:r>
      <w:r w:rsidR="005F5B62" w:rsidRPr="00F532B5">
        <w:rPr>
          <w:rFonts w:ascii="Book Antiqua" w:hAnsi="Book Antiqua"/>
          <w:color w:val="auto"/>
          <w:sz w:val="24"/>
          <w:szCs w:val="24"/>
        </w:rPr>
        <w:t>be possible and thus opiate antagonists are recommended in this setting. Tamoxifen plays an increasing rule in the later sta</w:t>
      </w:r>
      <w:r w:rsidR="00C4586F" w:rsidRPr="00F532B5">
        <w:rPr>
          <w:rFonts w:ascii="Book Antiqua" w:hAnsi="Book Antiqua"/>
          <w:color w:val="auto"/>
          <w:sz w:val="24"/>
          <w:szCs w:val="24"/>
        </w:rPr>
        <w:t xml:space="preserve">ges. If poor oral intake or malnutrition is present, total parenteral nutrition may be required. If symptoms are severe and there has been no response to medical therapy, surgical intervention </w:t>
      </w:r>
      <w:r w:rsidR="00E463B4" w:rsidRPr="00F532B5">
        <w:rPr>
          <w:rFonts w:ascii="Book Antiqua" w:hAnsi="Book Antiqua"/>
          <w:color w:val="auto"/>
          <w:sz w:val="24"/>
          <w:szCs w:val="24"/>
        </w:rPr>
        <w:t>may be considered.</w:t>
      </w:r>
      <w:r w:rsidR="00C4586F" w:rsidRPr="00F532B5">
        <w:rPr>
          <w:rFonts w:ascii="Book Antiqua" w:hAnsi="Book Antiqua"/>
          <w:color w:val="auto"/>
          <w:sz w:val="24"/>
          <w:szCs w:val="24"/>
        </w:rPr>
        <w:t xml:space="preserve"> </w:t>
      </w:r>
    </w:p>
    <w:p w14:paraId="26A9C425" w14:textId="1FBA3538" w:rsidR="006C3D88" w:rsidRPr="00F532B5" w:rsidRDefault="006C3D88" w:rsidP="00D92508">
      <w:pPr>
        <w:snapToGrid w:val="0"/>
        <w:spacing w:line="360" w:lineRule="auto"/>
        <w:jc w:val="both"/>
        <w:rPr>
          <w:rFonts w:ascii="Book Antiqua" w:hAnsi="Book Antiqua"/>
          <w:color w:val="auto"/>
          <w:sz w:val="24"/>
          <w:szCs w:val="24"/>
        </w:rPr>
      </w:pPr>
    </w:p>
    <w:p w14:paraId="04C8236A" w14:textId="3FE161A1" w:rsidR="00320421" w:rsidRDefault="00320421">
      <w:pPr>
        <w:rPr>
          <w:rFonts w:ascii="Book Antiqua" w:hAnsi="Book Antiqua"/>
          <w:color w:val="auto"/>
          <w:sz w:val="24"/>
          <w:szCs w:val="24"/>
        </w:rPr>
      </w:pPr>
      <w:r>
        <w:rPr>
          <w:rFonts w:ascii="Book Antiqua" w:hAnsi="Book Antiqua"/>
          <w:color w:val="auto"/>
          <w:sz w:val="24"/>
          <w:szCs w:val="24"/>
        </w:rPr>
        <w:br w:type="page"/>
      </w:r>
    </w:p>
    <w:tbl>
      <w:tblPr>
        <w:tblpPr w:leftFromText="180" w:rightFromText="180" w:vertAnchor="page" w:horzAnchor="margin" w:tblpY="2176"/>
        <w:tblW w:w="9360" w:type="dxa"/>
        <w:tblBorders>
          <w:top w:val="single" w:sz="8" w:space="0" w:color="000000"/>
          <w:bottom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F532B5" w:rsidRPr="00F532B5" w14:paraId="30417002" w14:textId="77777777" w:rsidTr="00493F07">
        <w:tc>
          <w:tcPr>
            <w:tcW w:w="9360" w:type="dxa"/>
            <w:gridSpan w:val="2"/>
            <w:shd w:val="clear" w:color="auto" w:fill="auto"/>
            <w:tcMar>
              <w:top w:w="100" w:type="dxa"/>
              <w:left w:w="100" w:type="dxa"/>
              <w:bottom w:w="100" w:type="dxa"/>
              <w:right w:w="100" w:type="dxa"/>
            </w:tcMar>
          </w:tcPr>
          <w:p w14:paraId="0D035A19" w14:textId="77777777" w:rsidR="001868EC" w:rsidRPr="00F532B5" w:rsidRDefault="001868EC" w:rsidP="00493F07">
            <w:pPr>
              <w:widowControl w:val="0"/>
              <w:snapToGrid w:val="0"/>
              <w:spacing w:line="360" w:lineRule="auto"/>
              <w:jc w:val="both"/>
              <w:rPr>
                <w:rFonts w:ascii="Book Antiqua" w:hAnsi="Book Antiqua"/>
                <w:b/>
                <w:color w:val="auto"/>
                <w:sz w:val="24"/>
                <w:szCs w:val="24"/>
              </w:rPr>
            </w:pPr>
            <w:r w:rsidRPr="00F532B5">
              <w:rPr>
                <w:rFonts w:ascii="Book Antiqua" w:hAnsi="Book Antiqua"/>
                <w:b/>
                <w:color w:val="auto"/>
                <w:sz w:val="24"/>
                <w:szCs w:val="24"/>
              </w:rPr>
              <w:lastRenderedPageBreak/>
              <w:t>Primary (idiopathic)</w:t>
            </w:r>
          </w:p>
          <w:p w14:paraId="54A43A96" w14:textId="7C3E3666"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2:1 (male:female)</w:t>
            </w:r>
          </w:p>
          <w:p w14:paraId="3B686D9A" w14:textId="6C3CFCE5"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 xml:space="preserve">Most commonly reported in tropical/subtropical regions </w:t>
            </w:r>
          </w:p>
        </w:tc>
      </w:tr>
      <w:tr w:rsidR="00320421" w:rsidRPr="00F532B5" w14:paraId="0C46926C" w14:textId="77777777" w:rsidTr="00493F07">
        <w:tc>
          <w:tcPr>
            <w:tcW w:w="4680" w:type="dxa"/>
            <w:shd w:val="clear" w:color="auto" w:fill="auto"/>
            <w:tcMar>
              <w:top w:w="100" w:type="dxa"/>
              <w:left w:w="100" w:type="dxa"/>
              <w:bottom w:w="100" w:type="dxa"/>
              <w:right w:w="100" w:type="dxa"/>
            </w:tcMar>
          </w:tcPr>
          <w:p w14:paraId="5972C601" w14:textId="77777777" w:rsidR="001868EC" w:rsidRPr="00F532B5" w:rsidRDefault="001868EC" w:rsidP="00493F07">
            <w:pPr>
              <w:widowControl w:val="0"/>
              <w:snapToGrid w:val="0"/>
              <w:spacing w:line="360" w:lineRule="auto"/>
              <w:jc w:val="both"/>
              <w:rPr>
                <w:rFonts w:ascii="Book Antiqua" w:hAnsi="Book Antiqua"/>
                <w:b/>
                <w:color w:val="auto"/>
                <w:sz w:val="24"/>
                <w:szCs w:val="24"/>
              </w:rPr>
            </w:pPr>
            <w:r w:rsidRPr="00F532B5">
              <w:rPr>
                <w:rFonts w:ascii="Book Antiqua" w:hAnsi="Book Antiqua"/>
                <w:b/>
                <w:color w:val="auto"/>
                <w:sz w:val="24"/>
                <w:szCs w:val="24"/>
              </w:rPr>
              <w:t>Secondary</w:t>
            </w:r>
          </w:p>
          <w:p w14:paraId="232306EE" w14:textId="068845B8"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b/>
                <w:color w:val="auto"/>
                <w:sz w:val="24"/>
                <w:szCs w:val="24"/>
              </w:rPr>
              <w:t xml:space="preserve"> </w:t>
            </w:r>
            <w:r w:rsidR="001868EC" w:rsidRPr="00F532B5">
              <w:rPr>
                <w:rFonts w:ascii="Book Antiqua" w:hAnsi="Book Antiqua"/>
                <w:color w:val="auto"/>
                <w:sz w:val="24"/>
                <w:szCs w:val="24"/>
              </w:rPr>
              <w:t>Medications</w:t>
            </w:r>
          </w:p>
          <w:p w14:paraId="11CDA7E3" w14:textId="36AA315E"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Practolol</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"author" : [ { "dropping-particle" : "", "family" : "Eltringham", "given" : "WK", "non-dropping-particle" : "", "parse-names" : false, "suffix" : "" }, { "dropping-particle" : "", "family" : "Espiner", "given" : "HJ", "non-dropping-particle" : "", "parse-names" : false, "suffix" : "" }, { "dropping-particle" : "", "family" : "Windsor", "given" : "CWO", "non-dropping-particle" : "", "parse-names" : false, "suffix" : "" }, { "dropping-particle" : "", "family" : "Griffiths", "given" : "DA", "non-dropping-particle" : "", "parse-names" : false, "suffix" : "" }, { "dropping-particle" : "", "family" : "Davies", "given" : "JD", "non-dropping-particle" : "", "parse-names" : false, "suffix" : "" }, { "dropping-particle" : "", "family" : "Baddeley", "given" : "H", "non-dropping-particle" : "", "parse-names" : false, "suffix" : "" }, { "dropping-particle" : "", "family" : "Read", "given" : "AEA", "non-dropping-particle" : "", "parse-names" : false, "suffix" : "" }, { "dropping-particle" : "", "family" : "Blunt", "given" : "RJ", "non-dropping-particle" : "", "parse-names" : false, "suffix" : "" } ], "container-title" : "The British Journal of Surgery", "id" : "ITEM-1", "issue" : "4", "issued" : { "date-parts" : [ [ "1977" ] ] }, "page" : "229-235", "title" : "Sclerosing peritonitis due to practolol: a report on 9 cases and their surgical management", "type" : "article-journal", "volume" : "64" }, "uris" : [ "http://www.mendeley.com/documents/?uuid=76ac1db4-6795-44cb-a823-809ede90d92d" ] } ], "mendeley" : { "formattedCitation" : "&lt;sup&gt;[6]&lt;/sup&gt;", "plainTextFormattedCitation" : "[6]", "previouslyFormattedCitation" : "&lt;sup&gt;[6]&lt;/sup&gt;"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[6]</w:t>
            </w:r>
            <w:r w:rsidR="001868EC" w:rsidRPr="00F532B5">
              <w:rPr>
                <w:rFonts w:ascii="Book Antiqua" w:hAnsi="Book Antiqua"/>
                <w:color w:val="auto"/>
                <w:sz w:val="24"/>
                <w:szCs w:val="24"/>
              </w:rPr>
              <w:fldChar w:fldCharType="end"/>
            </w:r>
          </w:p>
          <w:p w14:paraId="19AE77A0" w14:textId="13B90DCB"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Methotrexate</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"10.1053/j.gastro.2014.07.037", "ISBN" : "1528-0012 (Electronic)\\r0016-5085 (Linking)", "ISSN" : "15280012", "PMID" : "25450077", "author" : [ { "dropping-particle" : "", "family" : "Sarker", "given" : "Shabnam", "non-dropping-particle" : "", "parse-names" : false, "suffix" : "" }, { "dropping-particle" : "", "family" : "Kodali", "given" : "Sudha", "non-dropping-particle" : "", "parse-names" : false, "suffix" : "" }, { "dropping-particle" : "", "family" : "Weber", "given" : "Frederick", "non-dropping-particle" : "", "parse-names" : false, "suffix" : "" } ], "container-title" : "Gastroenterology", "id" : "ITEM-1", "issue" : "1", "issued" : { "date-parts" : [ [ "2015" ] ] }, "page" : "e12-e13", "title" : "A new meaning to butterflies in the stomach", "type" : "article-journal", "volume" : "148" }, "uris" : [ "http://www.mendeley.com/documents/?uuid=de1b2c0f-af73-4375-be9c-bb46c836ddc6" ] }, { "id" : "ITEM-2", "itemData" : { "DOI" : "10.1111/j.1479-828X.2006.00517.x", "ISSN" : "00048666", "PMID" : "16441697", "author" : [ { "dropping-particle" : "", "family" : "Sachdev", "given" : "Anish", "non-dropping-particle" : "", "parse-names" : false, "suffix" : "" }, { "dropping-particle" : "", "family" : "Usatoff", "given" : "V.", "non-dropping-particle" : "", "parse-names" : false, "suffix" : "" }, { "dropping-particle" : "", "family" : "Thaow", "given" : "C.", "non-dropping-particle" : "", "parse-names" : false, "suffix" : "" } ], "container-title" : "Australian and New Zealand Journal of Obstetrics and Gynaecology", "id" : "ITEM-2", "issue" : "1", "issued" : { "date-parts" : [ [ "2006" ] ] }, "page" : "58-59", "title" : "Sclerosing encapsulating peritonitis and methotrexate", "type" : "article-journal", "volume" : "46" }, "uris" : [ "http://www.mendeley.com/documents/?uuid=0aa59e62-ff46-45ae-a6ee-98666c1567ec" ] } ], "mendeley" : { "formattedCitation" : "&lt;sup&gt;[7,8]&lt;/sup&gt;", "plainTextFormattedCitation" : "[7,8]", "previouslyFormattedCitation" : "&lt;sup&gt;[7,8]&lt;/sup&gt;"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[7,8]</w:t>
            </w:r>
            <w:r w:rsidR="001868EC" w:rsidRPr="00F532B5">
              <w:rPr>
                <w:rFonts w:ascii="Book Antiqua" w:hAnsi="Book Antiqua"/>
                <w:color w:val="auto"/>
                <w:sz w:val="24"/>
                <w:szCs w:val="24"/>
              </w:rPr>
              <w:fldChar w:fldCharType="end"/>
            </w:r>
          </w:p>
          <w:p w14:paraId="552FE587" w14:textId="2F128ACF"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Antiepileptic drugs</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"10.1002/pbc", "ISBN" : "0732-183X (Print)\\n0732-183X (Linking)", "ISSN" : "0732183X", "PMID" : "8622067", "abstract" : "PURPOSE: To test intensive alkylator-based therapy in desmoplastic small round-cell tumor (DSRCT). PATIENTS AND METHODS: Patients received the P6 protocol, which has seven courses of chemotherapy. Courses 1, 2, 3, and 6 included cyclophosphamide 4,200 mg/m2, doxorubicin 75 mg/m2, and vincristine (HD-CAV). Courses 4, 5, and 7 consisted of ifosfamide 9 g/m2 and etoposide 500 mg/m2 for previously untreated patients, or ifosfamide 12 g/m2 and etoposide 1,000 mg/m2 for previously treated patients. Courses started after neutrophil counts reached 500/microL and platelet counts reached 100,000/microL. Tumor resection was attempted. Post-P6 treatment options included radiotherapy and a myeloablative regimen of thiotepa (900 mg/m2) plus carboplatin (1,500 mg/m2), with stem-cell rescue. RESULTS: Ten previously untreated and two previously treated patients have completed therapy. The male-to-female ratio was 11:1. Ages were 7 to 22 years (median, 14). The largest masses were infradiaphragmatic (n = 11) or intrathoracic (n = 1). Other findings included serosal implants (n = 11), regional lymph node invasion (n = 8), ascites or pleural effusion (n = 7), and metastases to liver (n = 5), lungs (n = 4), distant lymph nodes (n = 3), spleen (n = 2), and skeleton (n = 2). Tumors uniformly responded to HD-CAV, but there were no complete pathologic responses. One patient died at 1 month from tumor-related Budd-Chiari syndrome. Of seven patients who achieved a complete remission (CR), five remain in CR 9, 12, 13, 33, and 38 months from the start of P6, one patient died of infection at 12 months (autopsy-confirmed CR), and one patient relapsed 4 months off therapy. Of four patients who achieved a partial remission (PR), one remains progression-free at 34 months and three developed progressive disease. Five patients received local radiotherapy: three were not assessable for response, but in two patients, antitumor effect was evident. Four patients received thiotepa/carboplatin: two were in CR and remain so, and two patients had measurable disease that did not respond. CONCLUSION: For control of DSRCT, our experience supports intensive use of HD-CAV, aggressive surgery to resect visible disease, radiotherapy to high-risk sites, and myeloablative chemotherapy with stem-cell rescue in selected cases.", "author" : [ { "dropping-particle" : "", "family" : "Nauen", "given" : "David W.", "non-dropping-particle" : "", "parse-names" : false, "suffix" : "" }, { "dropping-particle" : "", "family" : "Martin", "given" : "Allison", "non-dropping-particle" : "", "parse-names" : false, "suffix" : "" }, { "dropping-particle" : "", "family" : "Katz", "given" : "Aviva", "non-dropping-particle" : "", "parse-names" : false, "suffix" : "" }, { "dropping-particle" : "", "family" : "Cohen", "given" : "Debra", "non-dropping-particle" : "", "parse-names" : false, "suffix" : "" }, { "dropping-particle" : "", "family" : "Ranganathan", "given" : "Sarangarajan", "non-dropping-particle" : "", "parse-names" : false, "suffix" : "" } ], "container-title" : "Pediatric Blood Cancer", "id" : "ITEM-1", "issued" : { "date-parts" : [ [ "2010" ] ] }, "page" : "470-472", "title" : "A Case of Luteinizing Thecoma with Sclerosing Peritonitis: Revisiting a Link with Anti-Epileptic Drugs", "type" : "article-journal", "volume" : "54" }, "uris" : [ "http://www.mendeley.com/documents/?uuid=96a5bb8e-13dd-45bd-8cdf-988fdfb4f940" ] } ], "mendeley" : { "formattedCitation" : "&lt;sup&gt;[9]&lt;/sup&gt;", "plainTextFormattedCitation" : "[9]", "previouslyFormattedCitation" : "&lt;sup&gt;[9]&lt;/sup&gt;"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[9]</w:t>
            </w:r>
            <w:r w:rsidR="001868EC" w:rsidRPr="00F532B5">
              <w:rPr>
                <w:rFonts w:ascii="Book Antiqua" w:hAnsi="Book Antiqua"/>
                <w:color w:val="auto"/>
                <w:sz w:val="24"/>
                <w:szCs w:val="24"/>
              </w:rPr>
              <w:fldChar w:fldCharType="end"/>
            </w:r>
          </w:p>
          <w:p w14:paraId="298552EC" w14:textId="6954DB49"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 xml:space="preserve">Infection </w:t>
            </w:r>
          </w:p>
          <w:p w14:paraId="7ACAEA44" w14:textId="18C22BB9"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Tuberculosis</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"10.1007/s15010-017-1012-5", "ISSN" : "14390973", "PMID" : "28341896", "abstract" : "BACKGROUND: Sclerosing encapsulating peritonitis (Abdominal cocoon) is an uncommon cause of intestinal obstruction and tuberculosis is an important etiology. Appropriate management of this entity is still uncertain. METHODS: We did a retrospective analysis of patients with abdominal cocoon who were seen over a two year period at a tertiary care center in North India. We included patients with tubercular abdominal cocoon (TAC) who were managed primarily with antitubercular therapy in the present report. The diagnosis of TAC was made using combination of criteria (radiological or surgical findings of cocoon with evidence of tuberculosis in form of microbiological, histological or biochemical evidence). The clinical presentation, outcome and need for surgery for these patients were retrieved from the records of these cases maintained in a database. RESULTS: Of 18 patients with abdominal cocoon, 15 patients had underlying tuberculosis. The median age was 28 years (interquartile range 24) and 12 (80%) were males. Three patients had confirmed tuberculosis on basis of microbiological evidence. All had abdominal pain for 1-9 months, and 11 had intestinal obstruction. Twelve patients had positive Mantoux test, none had HIV. Pulmonary tuberculosis was noted in four patients, pleural in five, splenic and intestinal in two each, hepatic and mediastinal lymph-nodal in one each. Thirteen patients were started on usual 4-drug anti-tubercular therapy (ATT) while two cirrhotics needed modified ATT. Three patients were on steroids with ATT and all three improved. One patient was lost to follow up. Of the rest 14 patients, 2 underwent surgery, 1 at initial presentation while another after 4 months of ATT. Overall five patients developed intestinal obstruction while on ATT, one needed surgery and one died of liver failure while others improved with conservative means. CONCLUSION: TAC can be managed conservatively in a subset of patients.", "author" : [ { "dropping-particle" : "", "family" : "Sharma", "given" : "Vishal", "non-dropping-particle" : "", "parse-names" : false, "suffix" : "" }, { "dropping-particle" : "", "family" : "Mandavdhare", "given" : "Harshal S.", "non-dropping-particle" : "", "parse-names" : false, "suffix" : "" }, { "dropping-particle" : "", "family" : "Rana", "given" : "Surinder S.", "non-dropping-particle" : "", "parse-names" : false, "suffix" : "" }, { "dropping-particle" : "", "family" : "Singh", "given" : "Harjeet", "non-dropping-particle" : "", "parse-names" : false, "suffix" : "" }, { "dropping-particle" : "", "family" : "Kumar", "given" : "Amit", "non-dropping-particle" : "", "parse-names" : false, "suffix" : "" }, { "dropping-particle" : "", "family" : "Gupta", "given" : "Rajesh", "non-dropping-particle" : "", "parse-names" : false, "suffix" : "" } ], "container-title" : "Infection", "id" : "ITEM-1", "issued" : { "date-parts" : [ [ "2017" ] ] }, "page" : "1-6", "publisher" : "Springer Berlin Heidelberg", "title" : "Role of conservative management in tubercular abdominal cocoon: a case series", "type" : "article-journal" }, "uris" : [ "http://www.mendeley.com/documents/?uuid=4dedee50-eccd-49fe-9106-9c7c2de844c6" ] } ], "mendeley" : { "formattedCitation" : "&lt;sup&gt;[10]&lt;/sup&gt;", "plainTextFormattedCitation" : "[10]", "previouslyFormattedCitation" : "&lt;sup&gt;[10]&lt;/sup&gt;"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[10]</w:t>
            </w:r>
            <w:r w:rsidR="001868EC" w:rsidRPr="00F532B5">
              <w:rPr>
                <w:rFonts w:ascii="Book Antiqua" w:hAnsi="Book Antiqua"/>
                <w:color w:val="auto"/>
                <w:sz w:val="24"/>
                <w:szCs w:val="24"/>
              </w:rPr>
              <w:fldChar w:fldCharType="end"/>
            </w:r>
          </w:p>
          <w:p w14:paraId="558A3E4B" w14:textId="572554DA"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Non-tuberculous mycobacteria</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"author" : [ { "dropping-particle" : "", "family" : "Simbli", "given" : "Mohammed Amin", "non-dropping-particle" : "", "parse-names" : false, "suffix" : "" }, { "dropping-particle" : "", "family" : "Niaz", "given" : "Faraz A", "non-dropping-particle" : "", "parse-names" : false, "suffix" : "" }, { "dropping-particle" : "", "family" : "Al-wakeel", "given" : "Jamal S", "non-dropping-particle" : "", "parse-names" : false, "suffix" : "" } ], "container-title" : "Saudi Journal of Kidney Disease and Transplantation", "id" : "ITEM-1", "issue" : "3", "issued" : { "date-parts" : [ [ "2012" ] ] }, "page" : "635-641", "title" : "Encapsulating Peritoneal Sclerosis in a Peritoneal Dialysis Patient Presenting with Complicated Mycobacterium fortuitum Peritonitis", "type" : "article-journal", "volume" : "23" }, "uris" : [ "http://www.mendeley.com/documents/?uuid=a9ee79a8-1ecf-4d97-b90a-bd7232564dcd" ] } ], "mendeley" : { "formattedCitation" : "&lt;sup&gt;[11]&lt;/sup&gt;", "plainTextFormattedCitation" : "[11]", "previouslyFormattedCitation" : "&lt;sup&gt;[11]&lt;/sup&gt;"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[11]</w:t>
            </w:r>
            <w:r w:rsidR="001868EC" w:rsidRPr="00F532B5">
              <w:rPr>
                <w:rFonts w:ascii="Book Antiqua" w:hAnsi="Book Antiqua"/>
                <w:color w:val="auto"/>
                <w:sz w:val="24"/>
                <w:szCs w:val="24"/>
              </w:rPr>
              <w:fldChar w:fldCharType="end"/>
            </w:r>
          </w:p>
          <w:p w14:paraId="3384AC5F" w14:textId="627D7D64"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Bacterial peritonitis</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"10.1053/j.ajkd.2009.06.043", "ISSN" : "1523-6838", "PMID" : "19782452", "author" : [ { "dropping-particle" : "", "family" : "Hsu", "given" : "Yung-Hsuen", "non-dropping-particle" : "", "parse-names" : false, "suffix" : "" }, { "dropping-particle" : "", "family" : "Hsia", "given" : "Ching-Chih", "non-dropping-particle" : "", "parse-names" : false, "suffix" : "" }, { "dropping-particle" : "", "family" : "Tsai", "given" : "Dong-Ming", "non-dropping-particle" : "", "parse-names" : false, "suffix" : "" }, { "dropping-particle" : "", "family" : "Tu", "given" : "Hsing-Yang", "non-dropping-particle" : "", "parse-names" : false, "suffix" : "" }, { "dropping-particle" : "", "family" : "Hung", "given" : "Kuan-Yu", "non-dropping-particle" : "", "parse-names" : false, "suffix" : "" }, { "dropping-particle" : "", "family" : "Huang", "given" : "Jenq-Wen", "non-dropping-particle" : "", "parse-names" : false, "suffix" : "" } ], "container-title" : "American journal of kidney diseases : the official journal of the National Kidney Foundation", "id" : "ITEM-1", "issue" : "1", "issued" : { "date-parts" : [ [ "2010" ] ] }, "page" : "198-202", "publisher" : "Elsevier Inc.", "title" : "Development of encapsulating peritoneal sclerosis following bacterial peritonitis in a peritoneal dialysis patient.", "type" : "article-journal", "volume" : "55" }, "uris" : [ "http://www.mendeley.com/documents/?uuid=9a4f6fc7-0d17-4c91-846e-faeb786fd8f4" ] } ], "mendeley" : { "formattedCitation" : "&lt;sup&gt;[12]&lt;/sup&gt;", "plainTextFormattedCitation" : "[12]", "previouslyFormattedCitation" : "&lt;sup&gt;[12]&lt;/sup&gt;"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[12]</w:t>
            </w:r>
            <w:r w:rsidR="001868EC" w:rsidRPr="00F532B5">
              <w:rPr>
                <w:rFonts w:ascii="Book Antiqua" w:hAnsi="Book Antiqua"/>
                <w:color w:val="auto"/>
                <w:sz w:val="24"/>
                <w:szCs w:val="24"/>
              </w:rPr>
              <w:fldChar w:fldCharType="end"/>
            </w:r>
          </w:p>
          <w:p w14:paraId="03D58C49" w14:textId="53AFDBB0"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Cytomegalovirus</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"10.1007/s00247-011-2135-y", "ISBN" : "1432-1998 (Electronic)\\r0301-0449 (Linking)", "ISSN" : "03010449", "PMID" : "21713442", "abstract" : "Abdominal cocoon is a rare disorder that may pose a diagnostic conundrum in patients presenting with intermittent symptoms of small bowel obstruction. We describe the imaging findings of a unique case of abdominal cocoon that presented in infancy.", "author" : [ { "dropping-particle" : "", "family" : "Browne", "given" : "Lorna P.", "non-dropping-particle" : "", "parse-names" : false, "suffix" : "" }, { "dropping-particle" : "", "family" : "Patel", "given" : "Jigar", "non-dropping-particle" : "", "parse-names" : false, "suffix" : "" }, { "dropping-particle" : "", "family" : "Guillerman", "given" : "R. Paul", "non-dropping-particle" : "", "parse-names" : false, "suffix" : "" }, { "dropping-particle" : "", "family" : "Hanson", "given" : "Imelda C.", "non-dropping-particle" : "", "parse-names" : false, "suffix" : "" }, { "dropping-particle" : "", "family" : "Cass", "given" : "Darrell L.", "non-dropping-particle" : "", "parse-names" : false, "suffix" : "" } ], "container-title" : "Pediatric Radiology", "id" : "ITEM-1", "issue" : "2", "issued" : { "date-parts" : [ [ "2012" ] ] }, "page" : "263-266", "title" : "Abdominal cocoon: A unique presentation in an immunodeficient infant", "type" : "article-journal", "volume" : "42" }, "uris" : [ "http://www.mendeley.com/documents/?uuid=9d762ae9-f089-4e51-833e-6d42d50e9192" ] } ], "mendeley" : { "formattedCitation" : "&lt;sup&gt;[13]&lt;/sup&gt;", "plainTextFormattedCitation" : "[13]", "previouslyFormattedCitation" : "&lt;sup&gt;[13]&lt;/sup&gt;"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[13]</w:t>
            </w:r>
            <w:r w:rsidR="001868EC" w:rsidRPr="00F532B5">
              <w:rPr>
                <w:rFonts w:ascii="Book Antiqua" w:hAnsi="Book Antiqua"/>
                <w:color w:val="auto"/>
                <w:sz w:val="24"/>
                <w:szCs w:val="24"/>
              </w:rPr>
              <w:fldChar w:fldCharType="end"/>
            </w:r>
          </w:p>
          <w:p w14:paraId="327382D8" w14:textId="3AAAD712"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Fungus</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"ISBN" : "0301-0430 (Print)\\r0301-0430 (Linking)", "ISSN" : "0301-0430", "PMID" : "17722714", "abstract" : "Encapsulating peritoneal sclerosis remains a serious complication of peritoneal dialysis. Prolonged duration on dialysis and severe episodes of peritonitis are the two most important risk factors for developing the condition. Here we describe a patient who developed a fulminant form of encapsulating peritoneal sclerosis soon after suffering from an episode of fungal peritonitis. There was clinical evidence of ongoing inflammation and gross malnutrition. Signs of chronic intestinal stasis were present on radiological imaging. There was concern in this situation that symptoms could partly relate to ongoing peritoneal sepsis, which could be worsened by immunosuppressives such as steroids. Tamoxifen was used without steroids in our patient with prompt resolution of stasis symptoms and withdrawal of artificial nutrition support. To our knowledge tamoxifen has never been previously used alone, in this scenario. We propose that tamoxifen might be a safer alternative to use in this clinical setting where there is concern about presence of ongoing sepsis, than corticosteroids and immunosuppressive agents.", "author" : [ { "dropping-particle" : "", "family" : "Gupta", "given" : "S", "non-dropping-particle" : "", "parse-names" : false, "suffix" : "" }, { "dropping-particle" : "", "family" : "Woodrow", "given" : "G", "non-dropping-particle" : "", "parse-names" : false, "suffix" : "" } ], "container-title" : "Clin Nephrol", "id" : "ITEM-1", "issue" : "2", "issued" : { "date-parts" : [ [ "2007" ] ] }, "page" : "125-129", "title" : "Successful treatment of fulminant encapsulating peritoneal sclerosis following fungal peritonitis with tamoxifen", "type" : "article-journal", "volume" : "68" }, "uris" : [ "http://www.mendeley.com/documents/?uuid=db237571-70ab-4ad0-84d5-67760378c5f4" ] }, { "id" : "ITEM-2", "itemData" : { "DOI" : "10.3747/pdi.2011.00241", "ISBN" : "0896-8608", "ISSN" : "08968608", "PMID" : "22859845", "author" : [ { "dropping-particle" : "", "family" : "Tan", "given" : "J.", "non-dropping-particle" : "", "parse-names" : false, "suffix" : "" }, { "dropping-particle" : "", "family" : "Manickam", "given" : "R.", "non-dropping-particle" : "", "parse-names" : false, "suffix" : "" }, { "dropping-particle" : "", "family" : "Pisharam", "given" : "J.", "non-dropping-particle" : "", "parse-names" : false, "suffix" : "" }, { "dropping-particle" : "", "family" : "Telisinghe", "given" : "P.", "non-dropping-particle" : "", "parse-names" : false, "suffix" : "" }, { "dropping-particle" : "", "family" : "Chong", "given" : "V. H.", "non-dropping-particle" : "", "parse-names" : false, "suffix" : "" } ], "container-title" : "Peritoneal Dialysis International", "id" : "ITEM-2", "issue" : "4", "issued" : { "date-parts" : [ [ "2012" ] ] }, "page" : "479-484", "title" : "Mucormycosis-A possible trigger pathogen for encapsulating peritoneal sclerosis", "type" : "article-journal", "volume" : "32" }, "uris" : [ "http://www.mendeley.com/documents/?uuid=81f7a042-a08c-455f-be22-88bdb4b10926" ] } ], "mendeley" : { "formattedCitation" : "&lt;sup&gt;[14,15]&lt;/sup&gt;", "plainTextFormattedCitation" : "[14,15]", "previouslyFormattedCitation" : "&lt;sup&gt;[14,15]&lt;/sup&gt;"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[14,15]</w:t>
            </w:r>
            <w:r w:rsidR="001868EC" w:rsidRPr="00F532B5">
              <w:rPr>
                <w:rFonts w:ascii="Book Antiqua" w:hAnsi="Book Antiqua"/>
                <w:color w:val="auto"/>
                <w:sz w:val="24"/>
                <w:szCs w:val="24"/>
              </w:rPr>
              <w:fldChar w:fldCharType="end"/>
            </w:r>
          </w:p>
          <w:p w14:paraId="146F6666" w14:textId="57A66E93"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Parasite</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"ISBN" : "1572-0241", "abstract" : "Case: A 43-year-old Filipino female with no significant past history presented to the hospital for a two week history of abdominal pain, fever, chills, and body aches. She was found to have fever (100.8 F) and tachycardia (110/min). Ultrasound of her abdomen showed ascites and she underwent paracentesis removing 800 cc of ascitic fluid. It showed1958 white blood cells (WBC) with 71% lymphocytes and a Serum Ascitic albumin gradient (SAAG) of 0.5. She underwent computed tomographic (CT) scan of the abdomen which showed increased soft tissue density to the omentum, suggesting possibility of omental metastasis. Tumor marker CA-125 level was elevated (235). Pelvic ultrasound showed no evidence of ovarian mass. Thpatient underwent upper endoscopy (EGD) and colonoscopy which revealed five small, non-bleeding ulcers in the ascending colon. Multiple biopsies were obtained which showed non-necrotizing granulomas, negative for fungi and mycobacterium. Patient underwent interventional radiology (IR) guided biopsy of omentum which was negative for malignancy, fungi, or mycobacterium and showed non-necrotizing granulomas. The ascitic fluid culture was negative for tuberculous bacilli. Patient received a Tuberculosis skin test which was positive, 21 mm. She had immigrated from the Philippines where she was exposed. A presumptive diagnosis of peritoneal tuberculosis was made. Patient was started on TB therapy, rifampin, isoniazid, pyrazinamide &amp; ethambutol. After six months of treatment, patient responded well to therapy with resolution of recurrent ascites and abdominal pain. Discussion: TB can involve nearly any tissue or organ and the peritoneum is one of the most common extrapulmonary sites of tuberculous infection. We describe a difficult case of peritoneal TB presenting as an abdominal malignancy. Pathology from colon ulcerations showed non-necrotizing granulomas. While an uncommon finding, reports have documented both cases of pulmonary and extrapulmonary TB with findings of non-caseating granulomas and these diagnoses were confirmed via laboratory testing. Our case was further complicated with negative lab results for TB which can be seen in upto 15% of patients. Conclusion Prompt and accurate diagnosis of peritoneal tuberculosis is essential but remains a challenge because of its nonspecific symptoms. Given the challenges of laboratory testing, TB should be considered in high risk patients with these symptoms and early intervention should be considered.", "author" : [ { "dropping-particle" : "", "family" : "Salamone", "given" : "Giuseppe", "non-dropping-particle" : "", "parse-names" : false, "suffix" : "" }, { "dropping-particle" : "", "family" : "Atzeni", "given" : "Jenny", "non-dropping-particle" : "", "parse-names" : false, "suffix" : "" }, { "dropping-particle" : "", "family" : "Agrusa", "given" : "Antonio", "non-dropping-particle" : "", "parse-names" : false, "suffix" : "" }, { "dropping-particle" : "", "family" : "Gulotta", "given" : "Gaspare", "non-dropping-particle" : "", "parse-names" : false, "suffix" : "" } ], "container-title" : "Annali Italiani di Chirurgia", "id" : "ITEM-1", "issue" : "October", "issued" : { "date-parts" : [ [ "2013" ] ] }, "title" : "A rare case of abdominal cocoon", "type" : "article-journal" }, "uris" : [ "http://www.mendeley.com/documents/?uuid=76a76a83-bf81-420f-937d-48c12684ffac" ] } ], "mendeley" : { "formattedCitation" : "&lt;sup&gt;[16]&lt;/sup&gt;", "plainTextFormattedCitation" : "[16]", "previouslyFormattedCitation" : "&lt;sup&gt;[16]&lt;/sup&gt;"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[16]</w:t>
            </w:r>
            <w:r w:rsidR="001868EC" w:rsidRPr="00F532B5">
              <w:rPr>
                <w:rFonts w:ascii="Book Antiqua" w:hAnsi="Book Antiqua"/>
                <w:color w:val="auto"/>
                <w:sz w:val="24"/>
                <w:szCs w:val="24"/>
              </w:rPr>
              <w:fldChar w:fldCharType="end"/>
            </w:r>
            <w:r w:rsidR="001868EC" w:rsidRPr="00F532B5">
              <w:rPr>
                <w:rFonts w:ascii="Book Antiqua" w:hAnsi="Book Antiqua"/>
                <w:color w:val="auto"/>
                <w:sz w:val="24"/>
                <w:szCs w:val="24"/>
              </w:rPr>
              <w:t xml:space="preserve"> </w:t>
            </w:r>
          </w:p>
          <w:p w14:paraId="10B806F0" w14:textId="734F994A" w:rsidR="001868EC" w:rsidRPr="00F532B5" w:rsidRDefault="006D7818" w:rsidP="00493F07">
            <w:pPr>
              <w:widowControl w:val="0"/>
              <w:snapToGrid w:val="0"/>
              <w:spacing w:line="360" w:lineRule="auto"/>
              <w:jc w:val="both"/>
              <w:rPr>
                <w:rFonts w:ascii="Book Antiqua" w:hAnsi="Book Antiqua"/>
                <w:i/>
                <w:color w:val="auto"/>
                <w:sz w:val="24"/>
                <w:szCs w:val="24"/>
              </w:rPr>
            </w:pPr>
            <w:r>
              <w:rPr>
                <w:rFonts w:ascii="Book Antiqua" w:hAnsi="Book Antiqua"/>
                <w:i/>
                <w:color w:val="auto"/>
                <w:sz w:val="24"/>
                <w:szCs w:val="24"/>
              </w:rPr>
              <w:t xml:space="preserve"> </w:t>
            </w:r>
            <w:r w:rsidR="001868EC" w:rsidRPr="00F532B5">
              <w:rPr>
                <w:rFonts w:ascii="Book Antiqua" w:hAnsi="Book Antiqua"/>
                <w:color w:val="auto"/>
                <w:sz w:val="24"/>
                <w:szCs w:val="24"/>
              </w:rPr>
              <w:t>Cirrhosis</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"10.1053/j.gastro.2006.11.050", "ISBN" : "0016-5085", "ISSN" : "00165085", "PMID" : "18555803", "author" : [ { "dropping-particle" : "", "family" : "Wakabayashi", "given" : "H", "non-dropping-particle" : "", "parse-names" : false, "suffix" : "" }, { "dropping-particle" : "", "family" : "Okano", "given" : "K", "non-dropping-particle" : "", "parse-names" : false, "suffix" : "" }, { "dropping-particle" : "", "family" : "Suzuki", "given" : "Y", "non-dropping-particle" : "", "parse-names" : false, "suffix" : "" } ], "container-title" : "Gastroenterology", "id" : "ITEM-1", "issue" : "3", "issued" : { "date-parts" : [ [ "2007" ] ] }, "page" : "854", "title" : "Perforative peritonitis on sclerosing encapsulating peritonitis (abdominal cocoon) in a patient with alcoholic liver cirrhosis", "type" : "article-journal", "volume" : "132" }, "uris" : [ "http://www.mendeley.com/documents/?uuid=6dba1e68-43c2-4910-8d92-ef1594dbbf42" ] } ], "mendeley" : { "formattedCitation" : "&lt;sup&gt;[28]&lt;/sup&gt;", "plainTextFormattedCitation" : "[28]", "previouslyFormattedCitation" : "&lt;sup&gt;[28]&lt;/sup&gt;"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[28]</w:t>
            </w:r>
            <w:r w:rsidR="001868EC" w:rsidRPr="00F532B5">
              <w:rPr>
                <w:rFonts w:ascii="Book Antiqua" w:hAnsi="Book Antiqua"/>
                <w:color w:val="auto"/>
                <w:sz w:val="24"/>
                <w:szCs w:val="24"/>
              </w:rPr>
              <w:fldChar w:fldCharType="end"/>
            </w:r>
            <w:r w:rsidR="001868EC" w:rsidRPr="00F532B5">
              <w:rPr>
                <w:rFonts w:ascii="Book Antiqua" w:hAnsi="Book Antiqua"/>
                <w:i/>
                <w:color w:val="auto"/>
                <w:sz w:val="24"/>
                <w:szCs w:val="24"/>
              </w:rPr>
              <w:t xml:space="preserve"> </w:t>
            </w:r>
          </w:p>
          <w:p w14:paraId="7EEEDB48" w14:textId="7892320D"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i/>
                <w:color w:val="auto"/>
                <w:sz w:val="24"/>
                <w:szCs w:val="24"/>
              </w:rPr>
              <w:t xml:space="preserve"> </w:t>
            </w:r>
            <w:r w:rsidR="001868EC" w:rsidRPr="00F532B5">
              <w:rPr>
                <w:rFonts w:ascii="Book Antiqua" w:hAnsi="Book Antiqua"/>
                <w:color w:val="auto"/>
                <w:sz w:val="24"/>
                <w:szCs w:val="24"/>
              </w:rPr>
              <w:t>Organ transplantation</w:t>
            </w:r>
          </w:p>
          <w:p w14:paraId="2C5F5EE8" w14:textId="681B4AE8"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Liver</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"10.4174/astr.2017.92.3.164", "ISBN" : "8223410346", "ISSN" : "22886796", "abstract" : "\u00a9 2017, the Korean Surgical Society.Encapsulating peritoneal sclerosis (EPS) is a rare cause of intestinal obstruction by a thick fibrous membrane wrapping around the small intestine. It is a possible complication after liver transplantation (LT) that can be fatal. This report describes 2 cases of EPS after LT that were successfully treated with surgery, corticosteroids, tamoxifen, and mammalian target of rapamycin inhibitor. After treatment in both cases, the patients were able to start oral feeding and have been symptom free for more than 1 year. These cases suggests that for the management of EPS, surgical treatment is mandatory when the patients present with symptoms of intestinal obstruction or if there are findings suggestive of decreased mural perfusion. Surgery should be accompanied with medical treatment to prevent the relapse of EPS.", "author" : [ { "dropping-particle" : "", "family" : "Lee", "given" : "K.W.", "non-dropping-particle" : "", "parse-names" : false, "suffix" : "" }, { "dropping-particle" : "", "family" : "Cho", "given" : "C.W.", "non-dropping-particle" : "", "parse-names" : false, "suffix" : "" }, { "dropping-particle" : "", "family" : "Lee", "given" : "N.", "non-dropping-particle" : "", "parse-names" : false, "suffix" : "" }, { "dropping-particle" : "", "family" : "Lee", "given" : "S.", "non-dropping-particle" : "", "parse-names" : false, "suffix" : "" }, { "dropping-particle" : "", "family" : "Kim", "given" : "J.M.", "non-dropping-particle" : "", "parse-names" : false, "suffix" : "" }, { "dropping-particle" : "", "family" : "Choi", "given" : "G.S.", "non-dropping-particle" : "", "parse-names" : false, "suffix" : "" }, { "dropping-particle" : "", "family" : "Kwon", "given" : "C.H.D.", "non-dropping-particle" : "", "parse-names" : false, "suffix" : "" }, { "dropping-particle" : "", "family" : "Joh", "given" : "J.W.", "non-dropping-particle" : "", "parse-names" : false, "suffix" : "" }, { "dropping-particle" : "", "family" : "Lee", "given" : "S.K.", "non-dropping-particle" : "", "parse-names" : false, "suffix" : "" } ], "container-title" : "Annals of Surgical Treatment and Research", "id" : "ITEM-1", "issue" : "3", "issued" : { "date-parts" : [ [ "2017" ] ] }, "title" : "Encapsulating peritoneal sclerosis in liver transplant recipients: A report of 2 cases", "type" : "article-journal", "volume" : "92" }, "uris" : [ "http://www.mendeley.com/documents/?uuid=dff01193-f1c4-486b-9f15-0e1abe899f74" ] } ], "mendeley" : { "formattedCitation" : "&lt;sup&gt;[29]&lt;/sup&gt;", "plainTextFormattedCitation" : "[29]", "previouslyFormattedCitation" : "&lt;sup&gt;[29]&lt;/sup&gt;"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[29]</w:t>
            </w:r>
            <w:r w:rsidR="001868EC" w:rsidRPr="00F532B5">
              <w:rPr>
                <w:rFonts w:ascii="Book Antiqua" w:hAnsi="Book Antiqua"/>
                <w:color w:val="auto"/>
                <w:sz w:val="24"/>
                <w:szCs w:val="24"/>
              </w:rPr>
              <w:fldChar w:fldCharType="end"/>
            </w:r>
          </w:p>
          <w:p w14:paraId="61C8A699" w14:textId="2A61A313"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Small intestine</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"10.1111/petr.12110", "ISSN" : "13973142", "PMID" : "23902605", "abstract" : "Sclerosing peritonitis is a complication described in different clinical situations, such as patients that underwent prolonged peritoneal dialysis or renal transplantation with previous history of peritoneal dialysis. The origin of this entity is unclear so far and it is believed that several mechanisms may contribute to its development. The hallmark of sclerosing peritonitis is the continuous accumulation of fibrocollagenous deposits in the intestinal wall and mesenteries causing progressive adhesion of the intestinal loops and mesenteric retraction resulting in intestinal obstruction. Also, it has been described as a rare complication after intestinal transplant that might lead to graft failure. In this report, we describe a case of sclerosing peritonitis after intestinal transplantation that was successfully treated with modifications in the immunosuppressive regime allowing restitution of gastrointestinal transit and intestinal autonomy. 2013 John Wiley &amp; Sons A/S", "author" : [ { "dropping-particle" : "", "family" : "Rumbo", "given" : "Carolina", "non-dropping-particle" : "", "parse-names" : false, "suffix" : "" }, { "dropping-particle" : "", "family" : "Zambernardi", "given" : "Agustina", "non-dropping-particle" : "", "parse-names" : false, "suffix" : "" }, { "dropping-particle" : "", "family" : "Cabanne", "given" : "Ana", "non-dropping-particle" : "", "parse-names" : false, "suffix" : "" }, { "dropping-particle" : "", "family" : "Rumbo", "given" : "Martin", "non-dropping-particle" : "", "parse-names" : false, "suffix" : "" }, { "dropping-particle" : "", "family" : "Gondolesi", "given" : "Gabriel", "non-dropping-particle" : "", "parse-names" : false, "suffix" : "" } ], "container-title" : "Pediatric Transplantation", "id" : "ITEM-1", "issue" : "5", "issued" : { "date-parts" : [ [ "2013" ] ] }, "page" : "125-129", "title" : "Sclerosing peritonitis, a rare complication after intestinal transplant. Report of one case successfully treated with adjustment of immunosuppression", "type" : "article-journal", "volume" : "17" }, "uris" : [ "http://www.mendeley.com/documents/?uuid=741bbfa2-64d3-4485-b8da-85d8b2088c97" ] } ], "mendeley" : { "formattedCitation" : "&lt;sup&gt;[30]&lt;/sup&gt;", "plainTextFormattedCitation" : "[30]", "previouslyFormattedCitation" : "&lt;sup&gt;[30]&lt;/sup&gt;"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[30]</w:t>
            </w:r>
            <w:r w:rsidR="001868EC" w:rsidRPr="00F532B5">
              <w:rPr>
                <w:rFonts w:ascii="Book Antiqua" w:hAnsi="Book Antiqua"/>
                <w:color w:val="auto"/>
                <w:sz w:val="24"/>
                <w:szCs w:val="24"/>
              </w:rPr>
              <w:fldChar w:fldCharType="end"/>
            </w:r>
          </w:p>
          <w:p w14:paraId="69AC1DE3" w14:textId="3CCA7563"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Renal</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"10.1007/s10620-010-1471-3", "ISBN" : "1062001014713", "ISSN" : "01632116", "PMID" : "21063775", "author" : [ { "dropping-particle" : "", "family" : "Morrow", "given" : "Ellen H.", "non-dropping-particle" : "", "parse-names" : false, "suffix" : "" }, { "dropping-particle" : "", "family" : "Gallo", "given" : "Amy E.", "non-dropping-particle" : "", "parse-names" : false, "suffix" : "" }, { "dropping-particle" : "", "family" : "Melcher", "given" : "Marc L.", "non-dropping-particle" : "", "parse-names" : false, "suffix" : "" } ], "container-title" : "Digestive Diseases and Sciences", "id" : "ITEM-1", "issue" : "2", "issued" : { "date-parts" : [ [ "2011" ] ] }, "page" : "307-310", "title" : "Sclerosing peritonitis after kidney transplantation: A not-so-silky cocoon", "type" : "article-journal", "volume" : "56" }, "uris" : [ "http://www.mendeley.com/documents/?uuid=6cf82fa2-4061-4285-98de-d44be7ec0edf" ] } ], "mendeley" : { "formattedCitation" : "&lt;sup&gt;[31]&lt;/sup&gt;", "plainTextFormattedCitation" : "[31]", "previouslyFormattedCitation" : "&lt;sup&gt;[31]&lt;/sup&gt;"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[31]</w:t>
            </w:r>
            <w:r w:rsidR="001868EC" w:rsidRPr="00F532B5">
              <w:rPr>
                <w:rFonts w:ascii="Book Antiqua" w:hAnsi="Book Antiqua"/>
                <w:color w:val="auto"/>
                <w:sz w:val="24"/>
                <w:szCs w:val="24"/>
              </w:rPr>
              <w:fldChar w:fldCharType="end"/>
            </w:r>
          </w:p>
          <w:p w14:paraId="0B03734C" w14:textId="5FDC27D6"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i/>
                <w:color w:val="auto"/>
                <w:sz w:val="24"/>
                <w:szCs w:val="24"/>
              </w:rPr>
              <w:t xml:space="preserve"> </w:t>
            </w:r>
            <w:r w:rsidR="001868EC" w:rsidRPr="00F532B5">
              <w:rPr>
                <w:rFonts w:ascii="Book Antiqua" w:hAnsi="Book Antiqua"/>
                <w:color w:val="auto"/>
                <w:sz w:val="24"/>
                <w:szCs w:val="24"/>
              </w:rPr>
              <w:t>Gynecologic neoplasms</w:t>
            </w:r>
          </w:p>
          <w:p w14:paraId="1E6AD851" w14:textId="0CE77365"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Luteinized thecoma</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"10.1097/PGP.0b013e31827d1a65", "ISBN" : "1538-7151 (Electronic) 0277-1691 (Linking)", "ISSN" : "0277-1691", "PMID" : "24300532", "abstract" : "We describe the pathologic and clinical presentation of a very rare, fatal case of luteinized thecoma with sclerosing peritonitis in a 40-year-old woman, who had a history of total abdominal hysterectomy and a left salpingo-oophorectomy in 2003. The patient presented with abdominal pain, and radiologic examinations revealed a 10-cm heterogenous right pelvic mass with partial necrosis. The patient eventually underwent an exploratory laparotomy, which revealed an ovarian tumor with multiple implants in the peritoneal cavity. The ovarian lesion was made up of spindle cells among clusters of luteinized stromal cells that expanded to the ovarian cortex. Tumor cells were positive for vimentin, estrogen and progesterone receptors, and CCD68 (focally) and negative for CD34, \u03b1-smooth muscle actin, \u03b2-catenin, and desmin by immunohistochemical studies. Luteinized cells were positive for \u03b1-inhibin and calretinin. Tumor cells exhibited low Ki-67 proliferation indices. The patient died because of the sclerosing peritonitis component of the disease.", "author" : [ { "dropping-particle" : "", "family" : "Bahar", "given" : "Burak", "non-dropping-particle" : "", "parse-names" : false, "suffix" : "" }, { "dropping-particle" : "", "family" : "Hu", "given" : "Zhihong", "non-dropping-particle" : "", "parse-names" : false, "suffix" : "" }, { "dropping-particle" : "", "family" : "Szpaderska", "given" : "Anna", "non-dropping-particle" : "", "parse-names" : false, "suffix" : "" }, { "dropping-particle" : "", "family" : "Liotta", "given" : "Margaret", "non-dropping-particle" : "", "parse-names" : false, "suffix" : "" }, { "dropping-particle" : "", "family" : "Potkul", "given" : "Ronald K.", "non-dropping-particle" : "", "parse-names" : false, "suffix" : "" }, { "dropping-particle" : "", "family" : "Smith", "given" : "Donna", "non-dropping-particle" : "", "parse-names" : false, "suffix" : "" }, { "dropping-particle" : "", "family" : "Er\u015fahin", "given" : "\u00c7a\u011fatay", "non-dropping-particle" : "", "parse-names" : false, "suffix" : "" } ], "container-title" : "International Journal of Gynecological Pathology", "id" : "ITEM-1", "issue" : "1", "issued" : { "date-parts" : [ [ "2014" ] ] }, "page" : "30-34", "title" : "Fatal Case of Luteinized Thecoma With Sclerosing Peritonitis in a 40-Year-Old Woman", "type" : "article-journal", "volume" : "33" }, "uris" : [ "http://www.mendeley.com/documents/?uuid=4b335083-031f-4f00-8580-5d7419be8a0a" ] } ], "mendeley" : { "formattedCitation" : "&lt;sup&gt;[33]&lt;/sup&gt;", "plainTextFormattedCitation" : "[33]", "previouslyFormattedCitation" : "&lt;sup&gt;[33]&lt;/sup&gt;"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[33]</w:t>
            </w:r>
            <w:r w:rsidR="001868EC" w:rsidRPr="00F532B5">
              <w:rPr>
                <w:rFonts w:ascii="Book Antiqua" w:hAnsi="Book Antiqua"/>
                <w:color w:val="auto"/>
                <w:sz w:val="24"/>
                <w:szCs w:val="24"/>
              </w:rPr>
              <w:fldChar w:fldCharType="end"/>
            </w:r>
          </w:p>
          <w:p w14:paraId="03F96DA0" w14:textId="62B16205"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Luteinizing granulosa cell tumor</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"10.1097/PGP.0b013e3182307b28", "ISBN" : "1538-7151", "ISSN" : "0277-1691", "abstract" : "Sclerosing peritonitis is an uncommon condition that has been reported in patients with luteinized ovarian thecomas, although some pathologists have suggested that the underlying ovarian pathology is not always neoplastic. We now report sclerosing peritonitis in a patient with an uncommon, luteinized variant of an adult granulosa cell tumor. To the best of our knowledge, this association has not been described previously. We suggest that sclerosing peritonitis may result from the release of substances by luteinized ovarian stromal cells, in the context of hyperplasia or neoplasia, which stimulate the proliferation of submesothelial fibroblasts.", "author" : [ { "dropping-particle" : "", "family" : "Walker", "given" : "Jane", "non-dropping-particle" : "", "parse-names" : false, "suffix" : "" }, { "dropping-particle" : "", "family" : "Moss", "given" : "Esther L.", "non-dropping-particle" : "", "parse-names" : false, "suffix" : "" }, { "dropping-particle" : "", "family" : "Ganesan", "given" : "Raji", "non-dropping-particle" : "", "parse-names" : false, "suffix" : "" }, { "dropping-particle" : "", "family" : "Hirschowitz", "given" : "Lynn", "non-dropping-particle" : "", "parse-names" : false, "suffix" : "" } ], "container-title" : "International Journal of Gynecological Pathology", "id" : "ITEM-1", "issue" : "2", "issued" : { "date-parts" : [ [ "2012" ] ] }, "page" : "141-144", "title" : "Sclerosing Peritonitis Associated With a Luteinized Adult Granulosa Cell Tumor", "type" : "article-journal", "volume" : "31" }, "uris" : [ "http://www.mendeley.com/documents/?uuid=085b5189-a560-49fb-85c0-82fb2bd379fe" ] } ], "mendeley" : { "formattedCitation" : "&lt;sup&gt;[34]&lt;/sup&gt;", "plainTextFormattedCitation" : "[34]", "previouslyFormattedCitation" : "&lt;sup&gt;[34]&lt;/sup&gt;"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[34]</w:t>
            </w:r>
            <w:r w:rsidR="001868EC" w:rsidRPr="00F532B5">
              <w:rPr>
                <w:rFonts w:ascii="Book Antiqua" w:hAnsi="Book Antiqua"/>
                <w:color w:val="auto"/>
                <w:sz w:val="24"/>
                <w:szCs w:val="24"/>
              </w:rPr>
              <w:fldChar w:fldCharType="end"/>
            </w:r>
          </w:p>
        </w:tc>
        <w:tc>
          <w:tcPr>
            <w:tcW w:w="4680" w:type="dxa"/>
            <w:shd w:val="clear" w:color="auto" w:fill="auto"/>
          </w:tcPr>
          <w:p w14:paraId="12EF5092" w14:textId="77777777" w:rsidR="001868EC" w:rsidRPr="00F532B5" w:rsidRDefault="001868EC" w:rsidP="00493F07">
            <w:pPr>
              <w:widowControl w:val="0"/>
              <w:snapToGrid w:val="0"/>
              <w:spacing w:line="360" w:lineRule="auto"/>
              <w:jc w:val="both"/>
              <w:rPr>
                <w:rFonts w:ascii="Book Antiqua" w:hAnsi="Book Antiqua"/>
                <w:i/>
                <w:color w:val="auto"/>
                <w:sz w:val="24"/>
                <w:szCs w:val="24"/>
              </w:rPr>
            </w:pPr>
          </w:p>
          <w:p w14:paraId="01F2A26C" w14:textId="77777777" w:rsidR="001868EC" w:rsidRPr="00F532B5" w:rsidRDefault="001868EC" w:rsidP="00493F07">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Mechanical or chemical irritation</w:t>
            </w:r>
          </w:p>
          <w:p w14:paraId="544DB13F" w14:textId="04A04361"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Peritoneal dialysis</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"author" : [ { "dropping-particle" : "", "family" : "Brown", "given" : "Edwina A", "non-dropping-particle" : "", "parse-names" : false, "suffix" : "" }, { "dropping-particle" : "Van", "family" : "Biesen", "given" : "Wim", "non-dropping-particle" : "", "parse-names" : false, "suffix" : "" }, { "dropping-particle" : "", "family" : "Finkelstein", "given" : "Fredric O", "non-dropping-particle" : "", "parse-names" : false, "suffix" : "" }, { "dropping-particle" : "", "family" : "Hurst", "given" : "Helen", "non-dropping-particle" : "", "parse-names" : false, "suffix" : "" }, { "dropping-particle" : "", "family" : "Johnson", "given" : "David W", "non-dropping-particle" : "", "parse-names" : false, "suffix" : "" }, { "dropping-particle" : "", "family" : "Pecoits-filho", "given" : "Roberto", "non-dropping-particle" : "", "parse-names" : false, "suffix" : "" }, { "dropping-particle" : "", "family" : "Woodrow", "given" : "Graham", "non-dropping-particle" : "", "parse-names" : false, "suffix" : "" }, { "dropping-particle" : "", "family" : "Party", "given" : "Working", "non-dropping-particle" : "", "parse-names" : false, "suffix" : "" } ], "container-title" : "Peritoneal Dialysis International", "id" : "ITEM-1", "issued" : { "date-parts" : [ [ "2017" ] ] }, "page" : "362-374", "title" : "Length of Time on Peritoneal Dialysis and Encapsulating-Position Paper for ISPD: 2017 Update", "type" : "article-journal", "volume" : "37" }, "uris" : [ "http://www.mendeley.com/documents/?uuid=0c9e21da-a644-4f25-9d5b-ceecae8a5133" ] } ], "mendeley" : { "formattedCitation" : "&lt;sup&gt;[17]&lt;/sup&gt;", "plainTextFormattedCitation" : "[17]", "previouslyFormattedCitation" : "&lt;sup&gt;[17]&lt;/sup&gt;"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[17]</w:t>
            </w:r>
            <w:r w:rsidR="001868EC" w:rsidRPr="00F532B5">
              <w:rPr>
                <w:rFonts w:ascii="Book Antiqua" w:hAnsi="Book Antiqua"/>
                <w:color w:val="auto"/>
                <w:sz w:val="24"/>
                <w:szCs w:val="24"/>
              </w:rPr>
              <w:fldChar w:fldCharType="end"/>
            </w:r>
          </w:p>
          <w:p w14:paraId="43959794" w14:textId="6F912187"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Intraperitoneal chemotherapy</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"10.1186/1471-2482-14-57", "ISBN" : "1471-2482 (Electronic)\\r1471-2482 (Linking)", "ISSN" : "1471-2482", "PMID" : "25160862", "abstract" : "BACKGROUND: Encapsulating peritoneal sclerosis (EPS) is a rare surgical complication that can occur after intraperitoneal treatment. It is also a serious and potentially fatal complication of continuous ambulatory peritoneal dialysis. The present report describes a case of surgically treated EPS that probably occurred as a complication of hyperthermic intraperitonal chemotherapy (HIPEC).\\n\\nCASE PRESENTATION: A 39-year-old man required sigmoidectomy for serosal invasive advanced sigmoid colon cancer. HIPEC with oxaliplatin, 5-fluorouracil and mitomycin C were given as adjuvant therapy. Subsequently, intestinal obstruction developed at 15 months postoperatively, and the patient was hospitalized. Abdominal computed tomography showed a dilated small intestine enveloped by a thickened membrane. We found no evidence of peritoneal recurrence, but exploratory surgery revealed EPS, probably caused by HIPEC. We peeled the capsule off of the intestine. The patient's postoperative course was uneventful, and sufficient nutritional intake after surgery was noted. Seven months after surgery, he is well with no recurrence.\\n\\nCONCLUSION: The surgical treatment via peritonectomy and enterolysis for postoperative EPS appears safe and effective. A diagnosis of EPS should be considered when intestinal obstruction does not show improvement with conservative treatment in patients who have undergone HIPEC, provided the possibility of peritoneal cancer recurrence is excluded.", "author" : [ { "dropping-particle" : "", "family" : "Takebayashi", "given" : "Katsushi", "non-dropping-particle" : "", "parse-names" : false, "suffix" : "" }, { "dropping-particle" : "", "family" : "Sonoda", "given" : "Hiromichi", "non-dropping-particle" : "", "parse-names" : false, "suffix" : "" }, { "dropping-particle" : "", "family" : "Shimizu", "given" : "Tomoharu", "non-dropping-particle" : "", "parse-names" : false, "suffix" : "" }, { "dropping-particle" : "", "family" : "Ohta", "given" : "Hiroyuki", "non-dropping-particle" : "", "parse-names" : false, "suffix" : "" }, { "dropping-particle" : "", "family" : "Ishida", "given" : "Mitsuaki", "non-dropping-particle" : "", "parse-names" : false, "suffix" : "" }, { "dropping-particle" : "", "family" : "Mekata", "given" : "Eiji", "non-dropping-particle" : "", "parse-names" : false, "suffix" : "" }, { "dropping-particle" : "", "family" : "Endo", "given" : "Yoshihiro", "non-dropping-particle" : "", "parse-names" : false, "suffix" : "" }, { "dropping-particle" : "", "family" : "Tani", "given" : "Tohru", "non-dropping-particle" : "", "parse-names" : false, "suffix" : "" }, { "dropping-particle" : "", "family" : "Tani", "given" : "Masaji", "non-dropping-particle" : "", "parse-names" : false, "suffix" : "" } ], "container-title" : "BMC Surgery", "id" : "ITEM-1", "issue" : "1", "issued" : { "date-parts" : [ [ "2014" ] ] }, "page" : "57", "title" : "Successful surgical approach for a patient with encapsulating peritoneal sclerosis after hyperthermic intraperitoneal chemotherapy: a case report and literature review", "type" : "article-journal", "volume" : "14" }, "uris" : [ "http://www.mendeley.com/documents/?uuid=c5041a72-d842-4c28-919e-a34f90869561" ] } ], "mendeley" : { "formattedCitation" : "&lt;sup&gt;[18]&lt;/sup&gt;", "plainTextFormattedCitation" : "[18]", "previouslyFormattedCitation" : "&lt;sup&gt;[18]&lt;/sup&gt;"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[18]</w:t>
            </w:r>
            <w:r w:rsidR="001868EC" w:rsidRPr="00F532B5">
              <w:rPr>
                <w:rFonts w:ascii="Book Antiqua" w:hAnsi="Book Antiqua"/>
                <w:color w:val="auto"/>
                <w:sz w:val="24"/>
                <w:szCs w:val="24"/>
              </w:rPr>
              <w:fldChar w:fldCharType="end"/>
            </w:r>
          </w:p>
          <w:p w14:paraId="5CE4E381" w14:textId="421DDBED"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Ventriculoperitoneal shunt</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"10.1016/j.jpedsurg.2008.01.019", "ISBN" : "0022-3468", "ISSN" : "00223468", "PMID" : "18485933", "abstract" : "Sclerosing encapsulating peritonitis (SEP) is a rare cause of bowel obstruction, most commonly associated with chronic ambulatory peritoneal dialysis. It has not previously been reported as a complication of ventriculoperitoneal (VP) shunts. We describe the clinical features of shunt-associated SEP and the important management considerations. Two children presented with small bowel obstruction after long-standing VP shunting of hydrocephalus. Neither had a history of recent shunt infection/revision nor evidence of shunt malfunction. In each case, the bowel was \"cocooned\" in a fibrous sheath with a notable absence of parietal adhesions. Both children were managed by meticulous adhesiolysis accompanied by shunt exteriorization. Both had prolonged ileus and required total parenteral nutrition. One required further laparotomy at which adhesiolysis was accompanied by irrigation with icodextrin 4% and systemic high-dose methylprednisolone. Weaning of steroids was accompanied by the introduction of azathioprine. A notable feature of intestinal obstruction because of SEP was severe pain despite adequate decompression. The restrictive \"cocoon\" that envelops the bowel prevents bowel dilatation and accounts for atypical radiologic findings in these cases. ?? 2008 Elsevier Inc. All rights reserved.", "author" : [ { "dropping-particle" : "", "family" : "Sigaroudinia", "given" : "Mandana O.", "non-dropping-particle" : "", "parse-names" : false, "suffix" : "" }, { "dropping-particle" : "", "family" : "Baillie", "given" : "Colin", "non-dropping-particle" : "", "parse-names" : false, "suffix" : "" }, { "dropping-particle" : "", "family" : "Ahmed", "given" : "Shiban", "non-dropping-particle" : "", "parse-names" : false, "suffix" : "" }, { "dropping-particle" : "", "family" : "Mallucci", "given" : "Connor", "non-dropping-particle" : "", "parse-names" : false, "suffix" : "" } ], "container-title" : "Journal of Pediatric Surgery", "id" : "ITEM-1", "issue" : "5", "issued" : { "date-parts" : [ [ "2008" ] ] }, "page" : "31-33", "title" : "Sclerosing encapsulating peritonitis-a rare complication of ventriculoperitoneal shunts", "type" : "article-journal", "volume" : "43" }, "uris" : [ "http://www.mendeley.com/documents/?uuid=9da1c7a6-7d7b-4341-8919-fa78ed925d0a" ] } ], "mendeley" : { "formattedCitation" : "&lt;sup&gt;[20]&lt;/sup&gt;", "plainTextFormattedCitation" : "[20]", "previouslyFormattedCitation" : "&lt;sup&gt;[19]&lt;/sup&gt;"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BD54D6" w:rsidRPr="00F532B5">
              <w:rPr>
                <w:rFonts w:ascii="Book Antiqua" w:hAnsi="Book Antiqua"/>
                <w:noProof/>
                <w:color w:val="auto"/>
                <w:sz w:val="24"/>
                <w:szCs w:val="24"/>
                <w:vertAlign w:val="superscript"/>
              </w:rPr>
              <w:t>[20]</w:t>
            </w:r>
            <w:r w:rsidR="001868EC" w:rsidRPr="00F532B5">
              <w:rPr>
                <w:rFonts w:ascii="Book Antiqua" w:hAnsi="Book Antiqua"/>
                <w:color w:val="auto"/>
                <w:sz w:val="24"/>
                <w:szCs w:val="24"/>
              </w:rPr>
              <w:fldChar w:fldCharType="end"/>
            </w:r>
          </w:p>
          <w:p w14:paraId="53F8A46D" w14:textId="0417D4B3"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Peritoneovenous shunt</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"ISBN" : "1007-9327 (Print)\\r1007-9327 (Linking)", "PMID" : "16149160", "abstract" : "We report a patient with HBV-related hepatocellular carcinoma (HCC) and refractory ascites who had received a peritoneal-venous shunt (PVS) 1 year before liver transplantation. Urgent surgical intervention following bowel obstruction and failure of immunosuppression therapy. No intestinal obstruction was found during an initial PVS. However, intestinal obstruction developed 2 wk after liver transplantation; and a cocoon abdomen was found upon exploration. This is the first reported case of cocoon abdomen caused by PVS and exacerbated by liver transplantation.", "author" : [ { "dropping-particle" : "", "family" : "Lin", "given" : "C H", "non-dropping-particle" : "", "parse-names" : false, "suffix" : "" }, { "dropping-particle" : "", "family" : "Yu", "given" : "J C", "non-dropping-particle" : "", "parse-names" : false, "suffix" : "" }, { "dropping-particle" : "", "family" : "Chen", "given" : "T W", "non-dropping-particle" : "", "parse-names" : false, "suffix" : "" }, { "dropping-particle" : "", "family" : "Chan", "given" : "D C", "non-dropping-particle" : "", "parse-names" : false, "suffix" : "" }, { "dropping-particle" : "", "family" : "Chen", "given" : "C J", "non-dropping-particle" : "", "parse-names" : false, "suffix" : "" }, { "dropping-particle" : "", "family" : "Hsieh", "given" : "C B", "non-dropping-particle" : "", "parse-names" : false, "suffix" : "" } ], "container-title" : "World J Gastroenterol", "id" : "ITEM-1", "issue" : "34", "issued" : { "date-parts" : [ [ "2005" ] ] }, "page" : "5412-5413", "title" : "Sclerosing encapsulating peritonitis in a liver transplant patient: a case report", "type" : "article-journal", "volume" : "11" }, "uris" : [ "http://www.mendeley.com/documents/?uuid=e11d5fe8-9710-4609-a456-0dcbe9553083" ] } ], "mendeley" : { "formattedCitation" : "&lt;sup&gt;[21]&lt;/sup&gt;", "plainTextFormattedCitation" : "[21]", "previouslyFormattedCitation" : "&lt;sup&gt;[20]&lt;/sup&gt;"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BD54D6" w:rsidRPr="00F532B5">
              <w:rPr>
                <w:rFonts w:ascii="Book Antiqua" w:hAnsi="Book Antiqua"/>
                <w:noProof/>
                <w:color w:val="auto"/>
                <w:sz w:val="24"/>
                <w:szCs w:val="24"/>
                <w:vertAlign w:val="superscript"/>
              </w:rPr>
              <w:t>[21]</w:t>
            </w:r>
            <w:r w:rsidR="001868EC" w:rsidRPr="00F532B5">
              <w:rPr>
                <w:rFonts w:ascii="Book Antiqua" w:hAnsi="Book Antiqua"/>
                <w:color w:val="auto"/>
                <w:sz w:val="24"/>
                <w:szCs w:val="24"/>
              </w:rPr>
              <w:fldChar w:fldCharType="end"/>
            </w:r>
          </w:p>
          <w:p w14:paraId="04C8DE44" w14:textId="4E1285A2"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Intraperitoneal iodine</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"ISSN" : "00048682", "PMID" : "9322732", "abstract" : "The use of intraperitoneal povidone iodine as an agent for peritoneal lavage in colorectal surgery is controversial. Although it possesses a wide range of antimicrobial activity and is rapidly lethal to dissociated colorectal cancer cells in vitro, concern about its potential toxicity remains.Two cases of sclerosing encapsulating peritonitis (SEP) following elective colorectal surgery are presented. In each case the peritoneal cavity was lavaged with an aqueous povidone iodine solution. The surgical literature on the intraperitoneal use of povidone iodine is reviewed.Significant morbidity resulted from the postoperative development of SEP in both of our patients. In one patient an ileo-anal pouch could not be fashioned following an initial colectomy, and in the second patient a small-bowel obstruction required a laparotomy and a period of intravenous nutrition before an oral diet could be tolerated.The use of povidone iodine for peritoneal lavage in colorectal surgery is to be cautioned against in concentrations of &gt; 1%.", "author" : [ { "dropping-particle" : "", "family" : "Keating", "given" : "J. P.", "non-dropping-particle" : "", "parse-names" : false, "suffix" : "" }, { "dropping-particle" : "", "family" : "Neill", "given" : "M.", "non-dropping-particle" : "", "parse-names" : false, "suffix" : "" }, { "dropping-particle" : "", "family" : "Hill", "given" : "G. L.", "non-dropping-particle" : "", "parse-names" : false, "suffix" : "" } ], "container-title" : "Aust N Z J Surg", "id" : "ITEM-1", "issue" : "10", "issued" : { "date-parts" : [ [ "1997" ] ] }, "page" : "742\u2013744", "title" : "Sclerosing encapsulating peritonitis after intraperitoneal use of povidone iodine.", "type" : "article-journal", "volume" : "67" }, "uris" : [ "http://www.mendeley.com/documents/?uuid=4522ee8c-e522-4c42-9ab8-2763d9d240f2" ] } ], "mendeley" : { "formattedCitation" : "&lt;sup&gt;[22]&lt;/sup&gt;", "plainTextFormattedCitation" : "[22]", "previouslyFormattedCitation" : "&lt;sup&gt;[21]&lt;/sup&gt;"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BD54D6" w:rsidRPr="00F532B5">
              <w:rPr>
                <w:rFonts w:ascii="Book Antiqua" w:hAnsi="Book Antiqua"/>
                <w:noProof/>
                <w:color w:val="auto"/>
                <w:sz w:val="24"/>
                <w:szCs w:val="24"/>
                <w:vertAlign w:val="superscript"/>
              </w:rPr>
              <w:t>[22]</w:t>
            </w:r>
            <w:r w:rsidR="001868EC" w:rsidRPr="00F532B5">
              <w:rPr>
                <w:rFonts w:ascii="Book Antiqua" w:hAnsi="Book Antiqua"/>
                <w:color w:val="auto"/>
                <w:sz w:val="24"/>
                <w:szCs w:val="24"/>
              </w:rPr>
              <w:fldChar w:fldCharType="end"/>
            </w:r>
          </w:p>
          <w:p w14:paraId="29038310" w14:textId="791B1C7A"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Abdominal trauma</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"10.1016/j.ijscr.2014.10.081", "ISBN" : "2210-2612 (Electronic)\\r2210-2612 (Linking)", "ISSN" : "22102612", "PMID" : "25590647", "abstract" : "Abdominal cocoon or sclerosing peritonitis refers to a rare cause of intestinal obstruction due to formation of a membrane encasing the bowel. We report a case of abdominal cocoon post blunt trauma abdomen. The patient presented with a history of subacute intestinal obstruction and a mobile abdomen lump. Abdominal cocoon was diagnosed on computed tomography. He underwent adhesiolysis with excision of membrane.", "author" : [ { "dropping-particle" : "", "family" : "Kaur", "given" : "Supreet", "non-dropping-particle" : "", "parse-names" : false, "suffix" : "" }, { "dropping-particle" : "", "family" : "Doley", "given" : "Rudra Prasad", "non-dropping-particle" : "", "parse-names" : false, "suffix" : "" }, { "dropping-particle" : "", "family" : "Chabbhra", "given" : "Mohinish", "non-dropping-particle" : "", "parse-names" : false, "suffix" : "" }, { "dropping-particle" : "", "family" : "Kapoor", "given" : "Rajeev", "non-dropping-particle" : "", "parse-names" : false, "suffix" : "" }, { "dropping-particle" : "", "family" : "Wig", "given" : "Jaidev", "non-dropping-particle" : "", "parse-names" : false, "suffix" : "" } ], "container-title" : "International Journal of Surgery Case Reports", "id" : "ITEM-1", "issued" : { "date-parts" : [ [ "2015" ] ] }, "page" : "64-65", "publisher" : "Elsevier Ltd", "title" : "Post trauma abdominal cocoon", "type" : "article-journal", "volume" : "7" }, "uris" : [ "http://www.mendeley.com/documents/?uuid=8f66afc3-a92f-49b4-95a1-36c5be68e5cb" ] } ], "mendeley" : { "formattedCitation" : "&lt;sup&gt;[23]&lt;/sup&gt;", "plainTextFormattedCitation" : "[23]", "previouslyFormattedCitation" : "&lt;sup&gt;[22]&lt;/sup&gt;"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BD54D6" w:rsidRPr="00F532B5">
              <w:rPr>
                <w:rFonts w:ascii="Book Antiqua" w:hAnsi="Book Antiqua"/>
                <w:noProof/>
                <w:color w:val="auto"/>
                <w:sz w:val="24"/>
                <w:szCs w:val="24"/>
                <w:vertAlign w:val="superscript"/>
              </w:rPr>
              <w:t>[23]</w:t>
            </w:r>
            <w:r w:rsidR="001868EC" w:rsidRPr="00F532B5">
              <w:rPr>
                <w:rFonts w:ascii="Book Antiqua" w:hAnsi="Book Antiqua"/>
                <w:color w:val="auto"/>
                <w:sz w:val="24"/>
                <w:szCs w:val="24"/>
              </w:rPr>
              <w:fldChar w:fldCharType="end"/>
            </w:r>
            <w:r>
              <w:rPr>
                <w:rFonts w:ascii="Book Antiqua" w:hAnsi="Book Antiqua"/>
                <w:color w:val="auto"/>
                <w:sz w:val="24"/>
                <w:szCs w:val="24"/>
              </w:rPr>
              <w:t xml:space="preserve"> </w:t>
            </w:r>
          </w:p>
          <w:p w14:paraId="06C7C4AC" w14:textId="19455D4B"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Intraabdominal surgery</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"10.1089/lap.2010.0024", "ISSN" : "1557-9034", "PMID" : "20374014", "abstract" : "Sclerosing encapsulating peritonitis (SEP) is a rare cause of intestinal obstruction. It is difficult to make a definite preoperative diagnosis, and most cases are diagnosed at the time of laparotomy. It is usually of unknown origin, although, at times, it may be seen secondary to a variety of conditions. Spillage of bile and gallstones at laparoscopic cholecystectomy is an unusual cause of SEP and has not been reported in literature, to date. Contrast-enhanced computed tomography of the abdomen revealed small-bowel loops congregated to the center of the abdomen encased by a soft-tissue density mantle with loculated fluid in the interloop bowel location. Excision of the sac and adhesiolysis was done in our patient for recurrent episodes of intestinal obstruction, who recovered well in the postoperative period.", "author" : [ { "dropping-particle" : "", "family" : "Kaman", "given" : "Lileswar", "non-dropping-particle" : "", "parse-names" : false, "suffix" : "" }, { "dropping-particle" : "", "family" : "Iqbal", "given" : "Javid", "non-dropping-particle" : "", "parse-names" : false, "suffix" : "" }, { "dropping-particle" : "", "family" : "Thenozhi", "given" : "Sunil", "non-dropping-particle" : "", "parse-names" : false, "suffix" : "" } ], "container-title" : "Journal of laparoendoscopic &amp; advanced surgical techniques. Part A", "id" : "ITEM-1", "issue" : "3", "issued" : { "date-parts" : [ [ "2010" ] ] }, "page" : "253-5", "title" : "Sclerosing encapsulating peritonitis: complication of laparoscopic cholecystectomy.", "type" : "article-journal", "volume" : "20" }, "uris" : [ "http://www.mendeley.com/documents/?uuid=b810fa99-610d-4c79-bc13-c57b3967777a" ] } ], "mendeley" : { "formattedCitation" : "&lt;sup&gt;[24]&lt;/sup&gt;", "plainTextFormattedCitation" : "[24]", "previouslyFormattedCitation" : "&lt;sup&gt;[23]&lt;/sup&gt;"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BD54D6" w:rsidRPr="00F532B5">
              <w:rPr>
                <w:rFonts w:ascii="Book Antiqua" w:hAnsi="Book Antiqua"/>
                <w:noProof/>
                <w:color w:val="auto"/>
                <w:sz w:val="24"/>
                <w:szCs w:val="24"/>
                <w:vertAlign w:val="superscript"/>
              </w:rPr>
              <w:t>[24]</w:t>
            </w:r>
            <w:r w:rsidR="001868EC" w:rsidRPr="00F532B5">
              <w:rPr>
                <w:rFonts w:ascii="Book Antiqua" w:hAnsi="Book Antiqua"/>
                <w:color w:val="auto"/>
                <w:sz w:val="24"/>
                <w:szCs w:val="24"/>
              </w:rPr>
              <w:fldChar w:fldCharType="end"/>
            </w:r>
          </w:p>
          <w:p w14:paraId="38D0B561" w14:textId="7165D6B2"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Foreign body</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"10.1093/ndtplus/sfq202", "ISSN" : "2048-8505", "author" : [ { "dropping-particle" : "", "family" : "Arnadottir", "given" : "M.", "non-dropping-particle" : "", "parse-names" : false, "suffix" : "" }, { "dropping-particle" : "", "family" : "Jonasson", "given" : "J. G.", "non-dropping-particle" : "", "parse-names" : false, "suffix" : "" }, { "dropping-particle" : "", "family" : "Indridason", "given" : "O. S.", "non-dropping-particle" : "", "parse-names" : false, "suffix" : "" } ], "container-title" : "Nephrology Dialysis Transplantation", "id" : "ITEM-1", "issue" : "2", "issued" : { "date-parts" : [ [ "2011" ] ] }, "page" : "107-109", "title" : "Encapsulating peritoneal sclerosis following a peritoneal foreign body reaction to Dacron fibres--a case report", "type" : "article-journal", "volume" : "4" }, "uris" : [ "http://www.mendeley.com/documents/?uuid=a88cdcae-01ca-42ff-be64-cc59001db4d2" ] } ], "mendeley" : { "formattedCitation" : "&lt;sup&gt;[25]&lt;/sup&gt;", "plainTextFormattedCitation" : "[25]", "previouslyFormattedCitation" : "&lt;sup&gt;[24]&lt;/sup&gt;"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BD54D6" w:rsidRPr="00F532B5">
              <w:rPr>
                <w:rFonts w:ascii="Book Antiqua" w:hAnsi="Book Antiqua"/>
                <w:noProof/>
                <w:color w:val="auto"/>
                <w:sz w:val="24"/>
                <w:szCs w:val="24"/>
                <w:vertAlign w:val="superscript"/>
              </w:rPr>
              <w:t>[25]</w:t>
            </w:r>
            <w:r w:rsidR="001868EC" w:rsidRPr="00F532B5">
              <w:rPr>
                <w:rFonts w:ascii="Book Antiqua" w:hAnsi="Book Antiqua"/>
                <w:color w:val="auto"/>
                <w:sz w:val="24"/>
                <w:szCs w:val="24"/>
              </w:rPr>
              <w:fldChar w:fldCharType="end"/>
            </w:r>
            <w:r w:rsidR="001868EC" w:rsidRPr="00F532B5">
              <w:rPr>
                <w:rFonts w:ascii="Book Antiqua" w:hAnsi="Book Antiqua"/>
                <w:color w:val="auto"/>
                <w:sz w:val="24"/>
                <w:szCs w:val="24"/>
              </w:rPr>
              <w:t xml:space="preserve"> </w:t>
            </w:r>
          </w:p>
          <w:p w14:paraId="39CB1B3D" w14:textId="3A66A29C"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Talcum powder</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"author" : [ { "dropping-particle" : "", "family" : "Wirnsberger", "given" : "GH", "non-dropping-particle" : "", "parse-names" : false, "suffix" : "" }, { "dropping-particle" : "", "family" : "Ganser", "given" : "K", "non-dropping-particle" : "", "parse-names" : false, "suffix" : "" }, { "dropping-particle" : "", "family" : "Domej", "given" : "W", "non-dropping-particle" : "", "parse-names" : false, "suffix" : "" }, { "dropping-particle" : "", "family" : "Sauseng", "given" : "G", "non-dropping-particle" : "", "parse-names" : false, "suffix" : "" }, { "dropping-particle" : "", "family" : "Moore", "given" : "D", "non-dropping-particle" : "", "parse-names" : false, "suffix" : "" }, { "dropping-particle" : "", "family" : "Moczygemba", "given" : "M", "non-dropping-particle" : "", "parse-names" : false, "suffix" : "" }, { "dropping-particle" : "", "family" : "Krejs", "given" : "GJ", "non-dropping-particle" : "", "parse-names" : false, "suffix" : "" } ], "id" : "ITEM-1", "issue" : "8", "issued" : { "date-parts" : [ [ "1992" ] ] }, "page" : "1413936", "title" : "Sclerosing encapsulating peritonitis : differential diagnosis to peritoneal encapsulation and abdominal cocoon--a case report .", "type" : "article-journal", "volume" : "30" }, "uris" : [ "http://www.mendeley.com/documents/?uuid=93c19f84-588f-4e99-809c-c9f9927ab3b0" ] } ], "mendeley" : { "formattedCitation" : "&lt;sup&gt;[19]&lt;/sup&gt;", "plainTextFormattedCitation" : "[19]", "previouslyFormattedCitation" : "&lt;sup&gt;[27]&lt;/sup&gt;"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BD54D6" w:rsidRPr="00F532B5">
              <w:rPr>
                <w:rFonts w:ascii="Book Antiqua" w:hAnsi="Book Antiqua"/>
                <w:noProof/>
                <w:color w:val="auto"/>
                <w:sz w:val="24"/>
                <w:szCs w:val="24"/>
                <w:vertAlign w:val="superscript"/>
              </w:rPr>
              <w:t>[19]</w:t>
            </w:r>
            <w:r w:rsidR="001868EC" w:rsidRPr="00F532B5">
              <w:rPr>
                <w:rFonts w:ascii="Book Antiqua" w:hAnsi="Book Antiqua"/>
                <w:color w:val="auto"/>
                <w:sz w:val="24"/>
                <w:szCs w:val="24"/>
              </w:rPr>
              <w:fldChar w:fldCharType="end"/>
            </w:r>
            <w:r w:rsidR="001868EC" w:rsidRPr="00F532B5">
              <w:rPr>
                <w:rFonts w:ascii="Book Antiqua" w:hAnsi="Book Antiqua"/>
                <w:color w:val="auto"/>
                <w:sz w:val="24"/>
                <w:szCs w:val="24"/>
              </w:rPr>
              <w:t xml:space="preserve"> </w:t>
            </w:r>
          </w:p>
          <w:p w14:paraId="3FE0B433" w14:textId="56C12F80"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Asbestos</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"ISSN" : "00039985", "PMID" : "6688720", "author" : [ { "dropping-particle" : "", "family" : "Andrion", "given" : "A.", "non-dropping-particle" : "", "parse-names" : false, "suffix" : "" }, { "dropping-particle" : "", "family" : "Pira", "given" : "E.", "non-dropping-particle" : "", "parse-names" : false, "suffix" : "" }, { "dropping-particle" : "", "family" : "Mollo", "given" : "F.", "non-dropping-particle" : "", "parse-names" : false, "suffix" : "" } ], "container-title" : "Archives of Pathology and Laboratory Medicine", "id" : "ITEM-1", "issue" : "11", "issued" : { "date-parts" : [ [ "1983" ] ] }, "page" : "609-610", "title" : "Peritoneal plaques and asbestos exposure.", "type" : "article-journal", "volume" : "107" }, "uris" : [ "http://www.mendeley.com/documents/?uuid=234e06ac-8dda-4f16-89ad-f08c96f31794" ] } ], "mendeley" : { "formattedCitation" : "&lt;sup&gt;[26]&lt;/sup&gt;", "plainTextFormattedCitation" : "[26]", "previouslyFormattedCitation" : "&lt;sup&gt;[25]&lt;/sup&gt;"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BD54D6" w:rsidRPr="00F532B5">
              <w:rPr>
                <w:rFonts w:ascii="Book Antiqua" w:hAnsi="Book Antiqua"/>
                <w:noProof/>
                <w:color w:val="auto"/>
                <w:sz w:val="24"/>
                <w:szCs w:val="24"/>
                <w:vertAlign w:val="superscript"/>
              </w:rPr>
              <w:t>[26]</w:t>
            </w:r>
            <w:r w:rsidR="001868EC" w:rsidRPr="00F532B5">
              <w:rPr>
                <w:rFonts w:ascii="Book Antiqua" w:hAnsi="Book Antiqua"/>
                <w:color w:val="auto"/>
                <w:sz w:val="24"/>
                <w:szCs w:val="24"/>
              </w:rPr>
              <w:fldChar w:fldCharType="end"/>
            </w:r>
          </w:p>
          <w:p w14:paraId="2A6DD57B" w14:textId="086CC654"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Silica</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"author" : [ { "dropping-particle" : "", "family" : "Castelli", "given" : "MJ", "non-dropping-particle" : "", "parse-names" : false, "suffix" : "" }, { "dropping-particle" : "", "family" : "Armin", "given" : "AR", "non-dropping-particle" : "", "parse-names" : false, "suffix" : "" }, { "dropping-particle" : "", "family" : "Husain", "given" : "A", "non-dropping-particle" : "", "parse-names" : false, "suffix" : "" }, { "dropping-particle" : "", "family" : "Orfei", "given" : "E", "non-dropping-particle" : "", "parse-names" : false, "suffix" : "" } ], "id" : "ITEM-1", "issue" : "8", "issued" : { "date-parts" : [ [ "1985" ] ] }, "page" : "3839380", "title" : "Fibrosing peritonitis in a drug abuser .", "type" : "article-journal", "volume" : "109" }, "uris" : [ "http://www.mendeley.com/documents/?uuid=3c4130c0-dca3-4f70-b308-f397ad4a3390" ] } ], "mendeley" : { "formattedCitation" : "&lt;sup&gt;[27]&lt;/sup&gt;", "plainTextFormattedCitation" : "[27]", "previouslyFormattedCitation" : "&lt;sup&gt;[26]&lt;/sup&gt;"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BD54D6" w:rsidRPr="00F532B5">
              <w:rPr>
                <w:rFonts w:ascii="Book Antiqua" w:hAnsi="Book Antiqua"/>
                <w:noProof/>
                <w:color w:val="auto"/>
                <w:sz w:val="24"/>
                <w:szCs w:val="24"/>
                <w:vertAlign w:val="superscript"/>
              </w:rPr>
              <w:t>[27]</w:t>
            </w:r>
            <w:r w:rsidR="001868EC" w:rsidRPr="00F532B5">
              <w:rPr>
                <w:rFonts w:ascii="Book Antiqua" w:hAnsi="Book Antiqua"/>
                <w:color w:val="auto"/>
                <w:sz w:val="24"/>
                <w:szCs w:val="24"/>
              </w:rPr>
              <w:fldChar w:fldCharType="end"/>
            </w:r>
          </w:p>
          <w:p w14:paraId="52A39810" w14:textId="5E9D2147"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Endometriosis</w:t>
            </w:r>
            <w:r w:rsidR="001868EC" w:rsidRPr="00F532B5">
              <w:rPr>
                <w:rFonts w:ascii="Book Antiqua" w:hAnsi="Book Antiqua"/>
                <w:i/>
                <w:color w:val="auto"/>
                <w:sz w:val="24"/>
                <w:szCs w:val="24"/>
              </w:rPr>
              <w:fldChar w:fldCharType="begin" w:fldLock="1"/>
            </w:r>
            <w:r w:rsidR="00BD54D6" w:rsidRPr="00F532B5">
              <w:rPr>
                <w:rFonts w:ascii="Book Antiqua" w:hAnsi="Book Antiqua"/>
                <w:i/>
                <w:color w:val="auto"/>
                <w:sz w:val="24"/>
                <w:szCs w:val="24"/>
              </w:rPr>
              <w:instrText>ADDIN CSL_CITATION { "citationItems" : [ { "id" : "ITEM-1", "itemData" : { "DOI" : "10.1016/S0002-9378(97)70581-7", "ISBN" : "0002-9378 (Print)\r0002-9378 (Linking)", "ISSN" : "00029378", "PMID" : "9077640", "abstract" : "A 35-year-old woman underwent exploratory laparotomy for ovarian enlargement, massive ascites, and intestinal obstruction. Sclerosing peritonitis associated with florid mesothelial hyperplasia, ovarian fibromatosis, and endometriosis were diagnosed postoperatively. We add to the literature this new association of bilateral ovarian enlargement, sclerosing peritonitis, and florid mesothelial hyperplasia.", "author" : [ { "dropping-particle" : "", "family" : "Frigerio", "given" : "L.", "non-dropping-particle" : "", "parse-names" : false, "suffix" : "" }, { "dropping-particle" : "", "family" : "Taccagni", "given" : "G. L.", "non-dropping-particle" : "", "parse-names" : false, "suffix" : "" }, { "dropping-particle" : "", "family" : "Mariani", "given" : "A.", "non-dropping-particle" : "", "parse-names" : false, "suffix" : "" }, { "dropping-particle" : "", "family" : "Mangili", "given" : "G.", "non-dropping-particle" : "", "parse-names" : false, "suffix" : "" }, { "dropping-particle" : "", "family" : "Ferrari", "given" : "A.", "non-dropping-particle" : "", "parse-names" : false, "suffix" : "" } ], "container-title" : "American Journal of Obstetrics and Gynecology", "id" : "ITEM-1", "issue" : "3", "issued" : { "date-parts" : [ [ "1997" ] ] }, "page" : "721-722", "title" : "Idiopathic sclerosing peritonitis associated with florid mesothelial hyperplasia, ovarian fibromatosis, and endometriosis: A new disorder of abdominal mass", "type" : "article-journal", "volume" : "176" }, "uris" : [ "http://www.mendeley.com/documents/?uuid=51e2c124-5659-4fd4-8d6f-f413f3cd950e" ] } ], "mendeley" : { "formattedCitation" : "&lt;sup&gt;[32]&lt;/sup&gt;", "plainTextFormattedCitation" : "[32]", "previouslyFormattedCitation" : "&lt;sup&gt;[32]&lt;/sup&gt;" }, "properties" : { "noteIndex" : 0 }, "schema" : "https://github.com/citation-style-language/schema/raw/master/csl-citation.json" }</w:instrText>
            </w:r>
            <w:r w:rsidR="001868EC" w:rsidRPr="00F532B5">
              <w:rPr>
                <w:rFonts w:ascii="Book Antiqua" w:hAnsi="Book Antiqua"/>
                <w:i/>
                <w:color w:val="auto"/>
                <w:sz w:val="24"/>
                <w:szCs w:val="24"/>
              </w:rPr>
              <w:fldChar w:fldCharType="separate"/>
            </w:r>
            <w:r w:rsidR="00525A55" w:rsidRPr="00F532B5">
              <w:rPr>
                <w:rFonts w:ascii="Book Antiqua" w:hAnsi="Book Antiqua"/>
                <w:noProof/>
                <w:color w:val="auto"/>
                <w:sz w:val="24"/>
                <w:szCs w:val="24"/>
                <w:vertAlign w:val="superscript"/>
              </w:rPr>
              <w:t>[32]</w:t>
            </w:r>
            <w:r w:rsidR="001868EC" w:rsidRPr="00F532B5">
              <w:rPr>
                <w:rFonts w:ascii="Book Antiqua" w:hAnsi="Book Antiqua"/>
                <w:i/>
                <w:color w:val="auto"/>
                <w:sz w:val="24"/>
                <w:szCs w:val="24"/>
              </w:rPr>
              <w:fldChar w:fldCharType="end"/>
            </w:r>
            <w:r>
              <w:rPr>
                <w:rFonts w:ascii="Book Antiqua" w:hAnsi="Book Antiqua"/>
                <w:color w:val="auto"/>
                <w:sz w:val="24"/>
                <w:szCs w:val="24"/>
              </w:rPr>
              <w:t xml:space="preserve"> </w:t>
            </w:r>
          </w:p>
          <w:p w14:paraId="690D897B" w14:textId="5DA8F477"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Dermoid cyst rupture</w:t>
            </w:r>
            <w:r w:rsidR="001868EC" w:rsidRPr="00F532B5">
              <w:rPr>
                <w:rFonts w:ascii="Book Antiqua" w:hAnsi="Book Antiqua"/>
                <w:i/>
                <w:color w:val="auto"/>
                <w:sz w:val="24"/>
                <w:szCs w:val="24"/>
              </w:rPr>
              <w:fldChar w:fldCharType="begin" w:fldLock="1"/>
            </w:r>
            <w:r w:rsidR="00BD54D6" w:rsidRPr="00F532B5">
              <w:rPr>
                <w:rFonts w:ascii="Book Antiqua" w:hAnsi="Book Antiqua"/>
                <w:i/>
                <w:color w:val="auto"/>
                <w:sz w:val="24"/>
                <w:szCs w:val="24"/>
              </w:rPr>
              <w:instrText>ADDIN CSL_CITATION { "citationItems" : [ { "id" : "ITEM-1", "itemData" : { "DOI" : "10.1308/147870811X582495", "ISSN" : "00358843", "author" : [ { "dropping-particle" : "", "family" : "Fossey", "given" : "SJ", "non-dropping-particle" : "", "parse-names" : false, "suffix" : "" }, { "dropping-particle" : "", "family" : "Simson", "given" : "JNL", "non-dropping-particle" : "", "parse-names" : false, "suffix" : "" } ], "container-title" : "Annals of the Royal College of Surgeons of England", "id" : "ITEM-1", "issued" : { "date-parts" : [ [ "2011" ] ] }, "page" : "e39-e40", "title" : "Sclerosing encapsulating peritonitis secondary to dermoid cyst rupture: a case report", "type" : "article-journal", "volume" : "93" }, "uris" : [ "http://www.mendeley.com/documents/?uuid=3a8beeee-2b10-4f6b-8f83-4aa4c05507ef" ] } ], "mendeley" : { "formattedCitation" : "&lt;sup&gt;[35]&lt;/sup&gt;", "plainTextFormattedCitation" : "[35]", "previouslyFormattedCitation" : "&lt;sup&gt;[35]&lt;/sup&gt;" }, "properties" : { "noteIndex" : 0 }, "schema" : "https://github.com/citation-style-language/schema/raw/master/csl-citation.json" }</w:instrText>
            </w:r>
            <w:r w:rsidR="001868EC" w:rsidRPr="00F532B5">
              <w:rPr>
                <w:rFonts w:ascii="Book Antiqua" w:hAnsi="Book Antiqua"/>
                <w:i/>
                <w:color w:val="auto"/>
                <w:sz w:val="24"/>
                <w:szCs w:val="24"/>
              </w:rPr>
              <w:fldChar w:fldCharType="separate"/>
            </w:r>
            <w:r w:rsidR="00525A55" w:rsidRPr="00F532B5">
              <w:rPr>
                <w:rFonts w:ascii="Book Antiqua" w:hAnsi="Book Antiqua"/>
                <w:noProof/>
                <w:color w:val="auto"/>
                <w:sz w:val="24"/>
                <w:szCs w:val="24"/>
                <w:vertAlign w:val="superscript"/>
              </w:rPr>
              <w:t>[35]</w:t>
            </w:r>
            <w:r w:rsidR="001868EC" w:rsidRPr="00F532B5">
              <w:rPr>
                <w:rFonts w:ascii="Book Antiqua" w:hAnsi="Book Antiqua"/>
                <w:i/>
                <w:color w:val="auto"/>
                <w:sz w:val="24"/>
                <w:szCs w:val="24"/>
              </w:rPr>
              <w:fldChar w:fldCharType="end"/>
            </w:r>
            <w:r w:rsidR="001868EC" w:rsidRPr="00F532B5">
              <w:rPr>
                <w:rFonts w:ascii="Book Antiqua" w:hAnsi="Book Antiqua"/>
                <w:color w:val="auto"/>
                <w:sz w:val="24"/>
                <w:szCs w:val="24"/>
              </w:rPr>
              <w:t xml:space="preserve"> </w:t>
            </w:r>
          </w:p>
          <w:p w14:paraId="4F79B5B5" w14:textId="55792585" w:rsidR="00C92B4E"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Rheumatologic/systemic inflammatory</w:t>
            </w:r>
            <w:r>
              <w:rPr>
                <w:rFonts w:ascii="Book Antiqua" w:hAnsi="Book Antiqua"/>
                <w:color w:val="auto"/>
                <w:sz w:val="24"/>
                <w:szCs w:val="24"/>
              </w:rPr>
              <w:t xml:space="preserve"> </w:t>
            </w:r>
          </w:p>
          <w:p w14:paraId="4760348F" w14:textId="7C9BB3DF"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conditions</w:t>
            </w:r>
          </w:p>
          <w:p w14:paraId="50CD3BF9" w14:textId="5A85D4AB"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Sarcoidosis</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"DOI" : "10.1007/BF01299875", "ISBN" : "0163-2116 (Print)\\r0163-2116 (Linking)", "ISSN" : "01632116", "PMID" : "1425080", "abstract" : "In a Caucasian woman with a history of ocular and pulmonary sarcoidosis, the occurrence of sclerosing peritonitis with exudative ascites but without any of the well-known causes of this syndrome prompts us to consider that sclerosing peritonitis is a manifestation of sarcoidosis. The dramatic improvement that occurred on corticosteroid therapy adds credibility to this previously unreported association.", "author" : [ { "dropping-particle" : "", "family" : "Ng\u00f4", "given" : "Yann", "non-dropping-particle" : "", "parse-names" : false, "suffix" : "" }, { "dropping-particle" : "", "family" : "Messing", "given" : "Bernard", "non-dropping-particle" : "", "parse-names" : false, "suffix" : "" }, { "dropping-particle" : "", "family" : "Marteau", "given" : "Philippe", "non-dropping-particle" : "", "parse-names" : false, "suffix" : "" }, { "dropping-particle" : "", "family" : "Nou\u00ebl", "given" : "Olivier", "non-dropping-particle" : "", "parse-names" : false, "suffix" : "" }, { "dropping-particle" : "", "family" : "Pasquiou", "given" : "Alain", "non-dropping-particle" : "", "parse-names" : false, "suffix" : "" }, { "dropping-particle" : "", "family" : "Lavergne", "given" : "Anne", "non-dropping-particle" : "", "parse-names" : false, "suffix" : "" }, { "dropping-particle" : "", "family" : "Rambaud", "given" : "Jean Claude", "non-dropping-particle" : "", "parse-names" : false, "suffix" : "" } ], "container-title" : "Digestive Diseases and Sciences", "id" : "ITEM-1", "issue" : "11", "issued" : { "date-parts" : [ [ "1992" ] ] }, "page" : "1776-1780", "title" : "Peritoneal sarcoidosis - An unrecognized cause of sclerosing peritonitis", "type" : "article-journal", "volume" : "37" }, "uris" : [ "http://www.mendeley.com/documents/?uuid=d8b58e36-6e94-4069-bcf0-730efb905b70" ] } ], "mendeley" : { "formattedCitation" : "&lt;sup&gt;[36]&lt;/sup&gt;", "plainTextFormattedCitation" : "[36]", "previouslyFormattedCitation" : "&lt;sup&gt;[36]&lt;/sup&gt;"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[36]</w:t>
            </w:r>
            <w:r w:rsidR="001868EC" w:rsidRPr="00F532B5">
              <w:rPr>
                <w:rFonts w:ascii="Book Antiqua" w:hAnsi="Book Antiqua"/>
                <w:color w:val="auto"/>
                <w:sz w:val="24"/>
                <w:szCs w:val="24"/>
              </w:rPr>
              <w:fldChar w:fldCharType="end"/>
            </w:r>
            <w:r w:rsidR="001868EC" w:rsidRPr="00F532B5">
              <w:rPr>
                <w:rFonts w:ascii="Book Antiqua" w:hAnsi="Book Antiqua"/>
                <w:color w:val="auto"/>
                <w:sz w:val="24"/>
                <w:szCs w:val="24"/>
              </w:rPr>
              <w:t xml:space="preserve"> </w:t>
            </w:r>
          </w:p>
          <w:p w14:paraId="6C829A1E" w14:textId="3B5FD08A" w:rsidR="001868EC" w:rsidRPr="00F532B5" w:rsidRDefault="006D7818" w:rsidP="00493F07">
            <w:pPr>
              <w:widowControl w:val="0"/>
              <w:snapToGrid w:val="0"/>
              <w:spacing w:line="360" w:lineRule="auto"/>
              <w:jc w:val="both"/>
              <w:rPr>
                <w:rFonts w:ascii="Book Antiqua" w:hAnsi="Book Antiqua"/>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Systemic lupus erythematosis</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"ISBN" : "0300-2977", "ISSN" : "03002977", "PMID" : "17057274", "abstract" : "Sclerosing peritonitis is a rare condition characterised by fibrosis and adhesion of the peritoneum to loops of the small intestine. It is generally associated with continuous peritoneal dialysis, peritoneo-venous shunts or &amp;beta-adrenergic blocking agents. In this case we report a female patient with idiopathic sclerosing peritonitis and systemic lupus erythematosus.", "author" : [ { "dropping-particle" : "", "family" : "Pepels", "given" : "M. J A E", "non-dropping-particle" : "", "parse-names" : false, "suffix" : "" }, { "dropping-particle" : "", "family" : "Peters", "given" : "F. P J", "non-dropping-particle" : "", "parse-names" : false, "suffix" : "" }, { "dropping-particle" : "", "family" : "Mebis", "given" : "J. J I R", "non-dropping-particle" : "", "parse-names" : false, "suffix" : "" }, { "dropping-particle" : "", "family" : "Ceelen", "given" : "Th L.", "non-dropping-particle" : "", "parse-names" : false, "suffix" : "" }, { "dropping-particle" : "", "family" : "Hoofwijk", "given" : "A. G M", "non-dropping-particle" : "", "parse-names" : false, "suffix" : "" }, { "dropping-particle" : "", "family" : "Erdkamp", "given" : "F. L G", "non-dropping-particle" : "", "parse-names" : false, "suffix" : "" } ], "container-title" : "Netherlands Journal of Medicine", "id" : "ITEM-1", "issue" : "9", "issued" : { "date-parts" : [ [ "2006" ] ] }, "page" : "346-349", "title" : "Sclerosing peritonitis: An unusual cause of ascites in a patient with systemic lupus erythematosus", "type" : "article-journal", "volume" : "64" }, "uris" : [ "http://www.mendeley.com/documents/?uuid=de79bb18-a9cd-4505-817e-d121cad3c67c" ] } ], "mendeley" : { "formattedCitation" : "&lt;sup&gt;[37]&lt;/sup&gt;", "plainTextFormattedCitation" : "[37]", "previouslyFormattedCitation" : "&lt;sup&gt;[37]&lt;/sup&gt;"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[37]</w:t>
            </w:r>
            <w:r w:rsidR="001868EC" w:rsidRPr="00F532B5">
              <w:rPr>
                <w:rFonts w:ascii="Book Antiqua" w:hAnsi="Book Antiqua"/>
                <w:color w:val="auto"/>
                <w:sz w:val="24"/>
                <w:szCs w:val="24"/>
              </w:rPr>
              <w:fldChar w:fldCharType="end"/>
            </w:r>
          </w:p>
          <w:p w14:paraId="695F68DB" w14:textId="79D00D29" w:rsidR="001868EC" w:rsidRPr="00F532B5" w:rsidRDefault="006D7818" w:rsidP="00493F07">
            <w:pPr>
              <w:widowControl w:val="0"/>
              <w:snapToGrid w:val="0"/>
              <w:spacing w:line="360" w:lineRule="auto"/>
              <w:jc w:val="both"/>
              <w:rPr>
                <w:rFonts w:ascii="Book Antiqua" w:hAnsi="Book Antiqua"/>
                <w:b/>
                <w:color w:val="auto"/>
                <w:sz w:val="24"/>
                <w:szCs w:val="24"/>
              </w:rPr>
            </w:pPr>
            <w:r>
              <w:rPr>
                <w:rFonts w:ascii="Book Antiqua" w:hAnsi="Book Antiqua"/>
                <w:color w:val="auto"/>
                <w:sz w:val="24"/>
                <w:szCs w:val="24"/>
              </w:rPr>
              <w:t xml:space="preserve"> </w:t>
            </w:r>
            <w:r w:rsidR="001868EC" w:rsidRPr="00F532B5">
              <w:rPr>
                <w:rFonts w:ascii="Book Antiqua" w:hAnsi="Book Antiqua"/>
                <w:color w:val="auto"/>
                <w:sz w:val="24"/>
                <w:szCs w:val="24"/>
              </w:rPr>
              <w:t>Familial Mediterranean fever</w:t>
            </w:r>
            <w:r w:rsidR="001868EC" w:rsidRPr="00F532B5">
              <w:rPr>
                <w:rFonts w:ascii="Book Antiqua" w:hAnsi="Book Antiqua"/>
                <w:color w:val="auto"/>
                <w:sz w:val="24"/>
                <w:szCs w:val="24"/>
              </w:rPr>
              <w:fldChar w:fldCharType="begin" w:fldLock="1"/>
            </w:r>
            <w:r w:rsidR="00BD54D6" w:rsidRPr="00F532B5">
              <w:rPr>
                <w:rFonts w:ascii="Book Antiqua" w:hAnsi="Book Antiqua"/>
                <w:color w:val="auto"/>
                <w:sz w:val="24"/>
                <w:szCs w:val="24"/>
              </w:rPr>
              <w:instrText>ADDIN CSL_CITATION { "citationItems" : [ { "id" : "ITEM-1", "itemData" : { "ISSN" : "10079327", "abstract" : "Aim: To investigate the relationship between encapsulating peritonitis and familial Mediterranean fever (FMF). Methods: The patient had a history of type 2 diabetes and laparoscopic cholecystectomy was performed one year ago for cholelithiasis. Eleven months after the operation she developed massive ascites. Biochemical evaluation revealed hyperglycemia, mild Fe deficiency anemia, hypoalbuminemia and a CA-125 level of 2 700 IU. Ascitic evaluation showed characteristics of exudation with a cell count of 580/mm3. Abdominal CT showed omental thickening and massive ascites. At exploratory laparotomy there was generalized thickening of the peritoneum and a laparoscopic clip encapsulated by fibrous tissue was found adherent to the uterus. Biopsies were negative for malignancy and a prophilactic total abdominal hysterectomy and bilateral salpingooophorectomy were performed. Results: The histopathological evaluation was compatible with chronic nonspecific findings and mild mesothelial proliferation and chronic inflammation at the uterine serosa and liver biopsy showed inactive cirrhosis. Conclusion: The patient was evaluated as sclerosing encapsulating peritonitis induced by the laparoscopic clip acting as a foreign body. Due to the fact that the patient had FMF the immune response was probably exaggerated. (copyright) 2005 The WJG Press and Elsevier Inc. All rights reserved.", "author" : [ { "dropping-particle" : "", "family" : "Dabak", "given" : "Resat", "non-dropping-particle" : "", "parse-names" : false, "suffix" : "" }, { "dropping-particle" : "", "family" : "Uygur-Bayrami\u00e7li", "given" : "Oya", "non-dropping-particle" : "", "parse-names" : false, "suffix" : "" }, { "dropping-particle" : "", "family" : "Aydin", "given" : "Didem Kili\u00e7", "non-dropping-particle" : "", "parse-names" : false, "suffix" : "" }, { "dropping-particle" : "", "family" : "Dolap\u00e7ioglu", "given" : "Can", "non-dropping-particle" : "", "parse-names" : false, "suffix" : "" }, { "dropping-particle" : "", "family" : "Gemici", "given" : "Cengiz", "non-dropping-particle" : "", "parse-names" : false, "suffix" : "" }, { "dropping-particle" : "", "family" : "Erginel", "given" : "Turgay", "non-dropping-particle" : "", "parse-names" : false, "suffix" : "" }, { "dropping-particle" : "", "family" : "Turan", "given" : "Cem", "non-dropping-particle" : "", "parse-names" : false, "suffix" : "" }, { "dropping-particle" : "", "family" : "Karadayi", "given" : "Nimet", "non-dropping-particle" : "", "parse-names" : false, "suffix" : "" } ], "container-title" : "World Journal of Gastroenterology", "id" : "ITEM-1", "issue" : "18", "issued" : { "date-parts" : [ [ "2005" ] ] }, "page" : "2844-2846", "title" : "Encapsulating peritonitis and familial Mediterranean fever", "type" : "article-journal", "volume" : "11" }, "uris" : [ "http://www.mendeley.com/documents/?uuid=fcf27a88-f061-4bd4-8248-c7a674442dc3" ] } ], "mendeley" : { "formattedCitation" : "&lt;sup&gt;[38]&lt;/sup&gt;", "plainTextFormattedCitation" : "[38]", "previouslyFormattedCitation" : "&lt;sup&gt;[38]&lt;/sup&gt;" }, "properties" : { "noteIndex" : 0 }, "schema" : "https://github.com/citation-style-language/schema/raw/master/csl-citation.json" }</w:instrText>
            </w:r>
            <w:r w:rsidR="001868EC" w:rsidRPr="00F532B5">
              <w:rPr>
                <w:rFonts w:ascii="Book Antiqua" w:hAnsi="Book Antiqua"/>
                <w:color w:val="auto"/>
                <w:sz w:val="24"/>
                <w:szCs w:val="24"/>
              </w:rPr>
              <w:fldChar w:fldCharType="separate"/>
            </w:r>
            <w:r w:rsidR="00525A55" w:rsidRPr="00F532B5">
              <w:rPr>
                <w:rFonts w:ascii="Book Antiqua" w:hAnsi="Book Antiqua"/>
                <w:noProof/>
                <w:color w:val="auto"/>
                <w:sz w:val="24"/>
                <w:szCs w:val="24"/>
                <w:vertAlign w:val="superscript"/>
              </w:rPr>
              <w:t>[38]</w:t>
            </w:r>
            <w:r w:rsidR="001868EC" w:rsidRPr="00F532B5">
              <w:rPr>
                <w:rFonts w:ascii="Book Antiqua" w:hAnsi="Book Antiqua"/>
                <w:color w:val="auto"/>
                <w:sz w:val="24"/>
                <w:szCs w:val="24"/>
              </w:rPr>
              <w:fldChar w:fldCharType="end"/>
            </w:r>
          </w:p>
        </w:tc>
      </w:tr>
    </w:tbl>
    <w:p w14:paraId="0A6BEC30" w14:textId="20B5D360" w:rsidR="001868EC" w:rsidRPr="00F532B5" w:rsidRDefault="00320421" w:rsidP="00D92508">
      <w:pPr>
        <w:snapToGrid w:val="0"/>
        <w:spacing w:line="360" w:lineRule="auto"/>
        <w:jc w:val="both"/>
        <w:rPr>
          <w:rFonts w:ascii="Book Antiqua" w:hAnsi="Book Antiqua"/>
          <w:color w:val="auto"/>
          <w:sz w:val="24"/>
          <w:szCs w:val="24"/>
        </w:rPr>
      </w:pPr>
      <w:r w:rsidRPr="00F532B5">
        <w:rPr>
          <w:rFonts w:ascii="Book Antiqua" w:hAnsi="Book Antiqua"/>
          <w:b/>
          <w:color w:val="auto"/>
          <w:sz w:val="24"/>
          <w:szCs w:val="24"/>
        </w:rPr>
        <w:t>Table 1 Classification and etiologies of encapsulating peritoneal sclerosis</w:t>
      </w:r>
    </w:p>
    <w:p w14:paraId="6950B4B1" w14:textId="3BAF363C" w:rsidR="00C92B4E" w:rsidRPr="00F532B5" w:rsidRDefault="00C92B4E" w:rsidP="00D92508">
      <w:pPr>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br w:type="page"/>
      </w:r>
    </w:p>
    <w:p w14:paraId="4BC079AE" w14:textId="017AEEB5" w:rsidR="001868EC" w:rsidRPr="00F532B5" w:rsidRDefault="00320421" w:rsidP="00D92508">
      <w:pPr>
        <w:snapToGrid w:val="0"/>
        <w:spacing w:line="360" w:lineRule="auto"/>
        <w:jc w:val="both"/>
        <w:rPr>
          <w:rFonts w:ascii="Book Antiqua" w:hAnsi="Book Antiqua"/>
          <w:color w:val="auto"/>
          <w:sz w:val="24"/>
          <w:szCs w:val="24"/>
        </w:rPr>
      </w:pPr>
      <w:r w:rsidRPr="00F532B5">
        <w:rPr>
          <w:rFonts w:ascii="Book Antiqua" w:hAnsi="Book Antiqua"/>
          <w:b/>
          <w:color w:val="auto"/>
          <w:sz w:val="24"/>
          <w:szCs w:val="24"/>
        </w:rPr>
        <w:lastRenderedPageBreak/>
        <w:t xml:space="preserve">Table 2 Stages of </w:t>
      </w:r>
      <w:r w:rsidR="00E809FA" w:rsidRPr="00E809FA">
        <w:rPr>
          <w:rFonts w:ascii="Book Antiqua" w:hAnsi="Book Antiqua"/>
          <w:b/>
          <w:color w:val="auto"/>
          <w:sz w:val="24"/>
          <w:szCs w:val="24"/>
        </w:rPr>
        <w:t>peritoneal dialysis</w:t>
      </w:r>
      <w:r w:rsidRPr="00F532B5">
        <w:rPr>
          <w:rFonts w:ascii="Book Antiqua" w:hAnsi="Book Antiqua"/>
          <w:b/>
          <w:color w:val="auto"/>
          <w:sz w:val="24"/>
          <w:szCs w:val="24"/>
        </w:rPr>
        <w:t xml:space="preserve">-associated </w:t>
      </w:r>
      <w:r w:rsidR="00E809FA" w:rsidRPr="00F532B5">
        <w:rPr>
          <w:rFonts w:ascii="Book Antiqua" w:hAnsi="Book Antiqua"/>
          <w:b/>
          <w:color w:val="auto"/>
          <w:sz w:val="24"/>
          <w:szCs w:val="24"/>
        </w:rPr>
        <w:t>encapsulating peritoneal sclerosis</w:t>
      </w:r>
      <w:r w:rsidRPr="00F532B5">
        <w:rPr>
          <w:rFonts w:ascii="Book Antiqua" w:hAnsi="Book Antiqua"/>
          <w:b/>
          <w:color w:val="auto"/>
          <w:sz w:val="24"/>
          <w:szCs w:val="24"/>
        </w:rPr>
        <w:t xml:space="preserve"> with associated clinical, serologic, and radiographic profiles</w:t>
      </w:r>
    </w:p>
    <w:tbl>
      <w:tblPr>
        <w:tblW w:w="11170" w:type="dxa"/>
        <w:tblInd w:w="-518" w:type="dxa"/>
        <w:tblBorders>
          <w:bottom w:val="single" w:sz="8" w:space="0" w:color="000000"/>
          <w:insideH w:val="single" w:sz="8" w:space="0" w:color="000000"/>
          <w:insideV w:val="single" w:sz="8" w:space="0" w:color="000000"/>
        </w:tblBorders>
        <w:tblLayout w:type="fixed"/>
        <w:tblLook w:val="0600" w:firstRow="0" w:lastRow="0" w:firstColumn="0" w:lastColumn="0" w:noHBand="1" w:noVBand="1"/>
      </w:tblPr>
      <w:tblGrid>
        <w:gridCol w:w="1275"/>
        <w:gridCol w:w="2125"/>
        <w:gridCol w:w="3295"/>
        <w:gridCol w:w="2019"/>
        <w:gridCol w:w="2456"/>
      </w:tblGrid>
      <w:tr w:rsidR="00E809FA" w:rsidRPr="00F532B5" w14:paraId="766907DF" w14:textId="77777777" w:rsidTr="00C7309A">
        <w:trPr>
          <w:trHeight w:val="472"/>
        </w:trPr>
        <w:tc>
          <w:tcPr>
            <w:tcW w:w="1275" w:type="dxa"/>
            <w:vMerge w:val="restart"/>
            <w:tcBorders>
              <w:top w:val="single" w:sz="8" w:space="0" w:color="000000"/>
              <w:right w:val="nil"/>
            </w:tcBorders>
            <w:shd w:val="clear" w:color="auto" w:fill="auto"/>
            <w:tcMar>
              <w:top w:w="100" w:type="dxa"/>
              <w:left w:w="100" w:type="dxa"/>
              <w:bottom w:w="100" w:type="dxa"/>
              <w:right w:w="100" w:type="dxa"/>
            </w:tcMar>
          </w:tcPr>
          <w:p w14:paraId="6207E5B3" w14:textId="77777777" w:rsidR="00E809FA" w:rsidRPr="00E809FA" w:rsidRDefault="00E809FA" w:rsidP="00320421">
            <w:pPr>
              <w:rPr>
                <w:rFonts w:ascii="Book Antiqua" w:hAnsi="Book Antiqua"/>
                <w:color w:val="auto"/>
                <w:sz w:val="24"/>
                <w:szCs w:val="24"/>
              </w:rPr>
            </w:pPr>
          </w:p>
        </w:tc>
        <w:tc>
          <w:tcPr>
            <w:tcW w:w="5420" w:type="dxa"/>
            <w:gridSpan w:val="2"/>
            <w:tcBorders>
              <w:top w:val="single" w:sz="8" w:space="0" w:color="000000"/>
              <w:left w:val="nil"/>
              <w:bottom w:val="nil"/>
              <w:right w:val="nil"/>
            </w:tcBorders>
            <w:shd w:val="clear" w:color="auto" w:fill="auto"/>
            <w:tcMar>
              <w:top w:w="100" w:type="dxa"/>
              <w:left w:w="100" w:type="dxa"/>
              <w:bottom w:w="100" w:type="dxa"/>
              <w:right w:w="100" w:type="dxa"/>
            </w:tcMar>
          </w:tcPr>
          <w:p w14:paraId="6403ED26" w14:textId="77777777" w:rsidR="00E809FA" w:rsidRPr="00F532B5" w:rsidRDefault="00E809FA" w:rsidP="00D92508">
            <w:pPr>
              <w:widowControl w:val="0"/>
              <w:snapToGrid w:val="0"/>
              <w:spacing w:line="360" w:lineRule="auto"/>
              <w:jc w:val="both"/>
              <w:rPr>
                <w:rFonts w:ascii="Book Antiqua" w:hAnsi="Book Antiqua"/>
                <w:b/>
                <w:color w:val="auto"/>
                <w:sz w:val="24"/>
                <w:szCs w:val="24"/>
              </w:rPr>
            </w:pPr>
            <w:r w:rsidRPr="00F532B5">
              <w:rPr>
                <w:rFonts w:ascii="Book Antiqua" w:hAnsi="Book Antiqua"/>
                <w:b/>
                <w:color w:val="auto"/>
                <w:sz w:val="24"/>
                <w:szCs w:val="24"/>
              </w:rPr>
              <w:t>Nakamoto 2005</w:t>
            </w:r>
          </w:p>
        </w:tc>
        <w:tc>
          <w:tcPr>
            <w:tcW w:w="4475" w:type="dxa"/>
            <w:gridSpan w:val="2"/>
            <w:tcBorders>
              <w:top w:val="single" w:sz="8" w:space="0" w:color="000000"/>
              <w:left w:val="nil"/>
              <w:bottom w:val="nil"/>
            </w:tcBorders>
            <w:shd w:val="clear" w:color="auto" w:fill="auto"/>
            <w:tcMar>
              <w:top w:w="100" w:type="dxa"/>
              <w:left w:w="100" w:type="dxa"/>
              <w:bottom w:w="100" w:type="dxa"/>
              <w:right w:w="100" w:type="dxa"/>
            </w:tcMar>
          </w:tcPr>
          <w:p w14:paraId="05ADC4F1" w14:textId="77777777" w:rsidR="00E809FA" w:rsidRPr="00F532B5" w:rsidRDefault="00E809FA" w:rsidP="00D92508">
            <w:pPr>
              <w:widowControl w:val="0"/>
              <w:snapToGrid w:val="0"/>
              <w:spacing w:line="360" w:lineRule="auto"/>
              <w:jc w:val="both"/>
              <w:rPr>
                <w:rFonts w:ascii="Book Antiqua" w:hAnsi="Book Antiqua"/>
                <w:b/>
                <w:color w:val="auto"/>
                <w:sz w:val="24"/>
                <w:szCs w:val="24"/>
              </w:rPr>
            </w:pPr>
            <w:r w:rsidRPr="00F532B5">
              <w:rPr>
                <w:rFonts w:ascii="Book Antiqua" w:hAnsi="Book Antiqua"/>
                <w:b/>
                <w:color w:val="auto"/>
                <w:sz w:val="24"/>
                <w:szCs w:val="24"/>
              </w:rPr>
              <w:t>Nakayama 2014</w:t>
            </w:r>
          </w:p>
        </w:tc>
      </w:tr>
      <w:tr w:rsidR="00E809FA" w:rsidRPr="00F532B5" w14:paraId="05E1BBCD" w14:textId="77777777" w:rsidTr="00C7309A">
        <w:trPr>
          <w:trHeight w:val="170"/>
        </w:trPr>
        <w:tc>
          <w:tcPr>
            <w:tcW w:w="1275" w:type="dxa"/>
            <w:vMerge/>
            <w:tcBorders>
              <w:bottom w:val="single" w:sz="8" w:space="0" w:color="000000"/>
              <w:right w:val="nil"/>
            </w:tcBorders>
            <w:shd w:val="clear" w:color="auto" w:fill="auto"/>
            <w:tcMar>
              <w:top w:w="100" w:type="dxa"/>
              <w:left w:w="100" w:type="dxa"/>
              <w:bottom w:w="100" w:type="dxa"/>
              <w:right w:w="100" w:type="dxa"/>
            </w:tcMar>
          </w:tcPr>
          <w:p w14:paraId="365FEA4D" w14:textId="77777777" w:rsidR="00E809FA" w:rsidRPr="00F532B5" w:rsidRDefault="00E809FA" w:rsidP="00D92508">
            <w:pPr>
              <w:widowControl w:val="0"/>
              <w:snapToGrid w:val="0"/>
              <w:spacing w:line="360" w:lineRule="auto"/>
              <w:jc w:val="both"/>
              <w:rPr>
                <w:rFonts w:ascii="Book Antiqua" w:hAnsi="Book Antiqua"/>
                <w:color w:val="auto"/>
                <w:sz w:val="24"/>
                <w:szCs w:val="24"/>
              </w:rPr>
            </w:pPr>
          </w:p>
        </w:tc>
        <w:tc>
          <w:tcPr>
            <w:tcW w:w="2125" w:type="dxa"/>
            <w:tcBorders>
              <w:top w:val="nil"/>
              <w:left w:val="nil"/>
              <w:bottom w:val="single" w:sz="8" w:space="0" w:color="000000"/>
              <w:right w:val="nil"/>
            </w:tcBorders>
            <w:shd w:val="clear" w:color="auto" w:fill="auto"/>
            <w:tcMar>
              <w:top w:w="100" w:type="dxa"/>
              <w:left w:w="100" w:type="dxa"/>
              <w:bottom w:w="100" w:type="dxa"/>
              <w:right w:w="100" w:type="dxa"/>
            </w:tcMar>
          </w:tcPr>
          <w:p w14:paraId="18AC6238" w14:textId="77777777" w:rsidR="00E809FA" w:rsidRPr="00F532B5" w:rsidRDefault="00E809FA" w:rsidP="00D92508">
            <w:pPr>
              <w:widowControl w:val="0"/>
              <w:snapToGrid w:val="0"/>
              <w:spacing w:line="360" w:lineRule="auto"/>
              <w:jc w:val="both"/>
              <w:rPr>
                <w:rFonts w:ascii="Book Antiqua" w:hAnsi="Book Antiqua"/>
                <w:b/>
                <w:color w:val="auto"/>
                <w:sz w:val="24"/>
                <w:szCs w:val="24"/>
              </w:rPr>
            </w:pPr>
            <w:r w:rsidRPr="00F532B5">
              <w:rPr>
                <w:rFonts w:ascii="Book Antiqua" w:hAnsi="Book Antiqua"/>
                <w:b/>
                <w:color w:val="auto"/>
                <w:sz w:val="24"/>
                <w:szCs w:val="24"/>
              </w:rPr>
              <w:t>Terminology</w:t>
            </w:r>
          </w:p>
        </w:tc>
        <w:tc>
          <w:tcPr>
            <w:tcW w:w="3295" w:type="dxa"/>
            <w:tcBorders>
              <w:top w:val="nil"/>
              <w:left w:val="nil"/>
              <w:bottom w:val="single" w:sz="8" w:space="0" w:color="000000"/>
              <w:right w:val="nil"/>
            </w:tcBorders>
            <w:shd w:val="clear" w:color="auto" w:fill="auto"/>
            <w:tcMar>
              <w:top w:w="100" w:type="dxa"/>
              <w:left w:w="100" w:type="dxa"/>
              <w:bottom w:w="100" w:type="dxa"/>
              <w:right w:w="100" w:type="dxa"/>
            </w:tcMar>
          </w:tcPr>
          <w:p w14:paraId="2840B472" w14:textId="79876F30" w:rsidR="00E809FA" w:rsidRPr="00F532B5" w:rsidRDefault="00E809FA" w:rsidP="00D92508">
            <w:pPr>
              <w:widowControl w:val="0"/>
              <w:snapToGrid w:val="0"/>
              <w:spacing w:line="360" w:lineRule="auto"/>
              <w:jc w:val="both"/>
              <w:rPr>
                <w:rFonts w:ascii="Book Antiqua" w:hAnsi="Book Antiqua"/>
                <w:b/>
                <w:color w:val="auto"/>
                <w:sz w:val="24"/>
                <w:szCs w:val="24"/>
              </w:rPr>
            </w:pPr>
            <w:r w:rsidRPr="00F532B5">
              <w:rPr>
                <w:rFonts w:ascii="Book Antiqua" w:hAnsi="Book Antiqua"/>
                <w:b/>
                <w:color w:val="auto"/>
                <w:sz w:val="24"/>
                <w:szCs w:val="24"/>
              </w:rPr>
              <w:t>Clinical findings</w:t>
            </w:r>
          </w:p>
        </w:tc>
        <w:tc>
          <w:tcPr>
            <w:tcW w:w="2019" w:type="dxa"/>
            <w:tcBorders>
              <w:top w:val="nil"/>
              <w:left w:val="nil"/>
              <w:bottom w:val="single" w:sz="8" w:space="0" w:color="000000"/>
              <w:right w:val="nil"/>
            </w:tcBorders>
            <w:shd w:val="clear" w:color="auto" w:fill="auto"/>
            <w:tcMar>
              <w:top w:w="100" w:type="dxa"/>
              <w:left w:w="100" w:type="dxa"/>
              <w:bottom w:w="100" w:type="dxa"/>
              <w:right w:w="100" w:type="dxa"/>
            </w:tcMar>
          </w:tcPr>
          <w:p w14:paraId="5557326F" w14:textId="77777777" w:rsidR="00E809FA" w:rsidRPr="00F532B5" w:rsidRDefault="00E809FA" w:rsidP="00D92508">
            <w:pPr>
              <w:widowControl w:val="0"/>
              <w:snapToGrid w:val="0"/>
              <w:spacing w:line="360" w:lineRule="auto"/>
              <w:jc w:val="both"/>
              <w:rPr>
                <w:rFonts w:ascii="Book Antiqua" w:hAnsi="Book Antiqua"/>
                <w:b/>
                <w:color w:val="auto"/>
                <w:sz w:val="24"/>
                <w:szCs w:val="24"/>
              </w:rPr>
            </w:pPr>
            <w:r w:rsidRPr="00F532B5">
              <w:rPr>
                <w:rFonts w:ascii="Book Antiqua" w:hAnsi="Book Antiqua"/>
                <w:b/>
                <w:color w:val="auto"/>
                <w:sz w:val="24"/>
                <w:szCs w:val="24"/>
              </w:rPr>
              <w:t>Terminology</w:t>
            </w:r>
          </w:p>
        </w:tc>
        <w:tc>
          <w:tcPr>
            <w:tcW w:w="2456" w:type="dxa"/>
            <w:tcBorders>
              <w:top w:val="nil"/>
              <w:left w:val="nil"/>
              <w:bottom w:val="single" w:sz="8" w:space="0" w:color="000000"/>
            </w:tcBorders>
            <w:shd w:val="clear" w:color="auto" w:fill="auto"/>
            <w:tcMar>
              <w:top w:w="100" w:type="dxa"/>
              <w:left w:w="100" w:type="dxa"/>
              <w:bottom w:w="100" w:type="dxa"/>
              <w:right w:w="100" w:type="dxa"/>
            </w:tcMar>
          </w:tcPr>
          <w:p w14:paraId="0D36AEEF" w14:textId="77777777" w:rsidR="00E809FA" w:rsidRPr="00F532B5" w:rsidRDefault="00E809FA" w:rsidP="00D92508">
            <w:pPr>
              <w:widowControl w:val="0"/>
              <w:snapToGrid w:val="0"/>
              <w:spacing w:line="360" w:lineRule="auto"/>
              <w:jc w:val="both"/>
              <w:rPr>
                <w:rFonts w:ascii="Book Antiqua" w:hAnsi="Book Antiqua"/>
                <w:b/>
                <w:color w:val="auto"/>
                <w:sz w:val="24"/>
                <w:szCs w:val="24"/>
              </w:rPr>
            </w:pPr>
            <w:r w:rsidRPr="00F532B5">
              <w:rPr>
                <w:rFonts w:ascii="Book Antiqua" w:hAnsi="Book Antiqua"/>
                <w:b/>
                <w:color w:val="auto"/>
                <w:sz w:val="24"/>
                <w:szCs w:val="24"/>
              </w:rPr>
              <w:t>Clinical findings</w:t>
            </w:r>
          </w:p>
        </w:tc>
      </w:tr>
      <w:tr w:rsidR="00F532B5" w:rsidRPr="00F532B5" w14:paraId="1509DCB0" w14:textId="77777777" w:rsidTr="00E809FA">
        <w:trPr>
          <w:trHeight w:val="170"/>
        </w:trPr>
        <w:tc>
          <w:tcPr>
            <w:tcW w:w="1275" w:type="dxa"/>
            <w:tcBorders>
              <w:top w:val="single" w:sz="8" w:space="0" w:color="000000"/>
              <w:bottom w:val="nil"/>
              <w:right w:val="nil"/>
            </w:tcBorders>
            <w:shd w:val="clear" w:color="auto" w:fill="auto"/>
            <w:tcMar>
              <w:top w:w="100" w:type="dxa"/>
              <w:left w:w="100" w:type="dxa"/>
              <w:bottom w:w="100" w:type="dxa"/>
              <w:right w:w="100" w:type="dxa"/>
            </w:tcMar>
          </w:tcPr>
          <w:p w14:paraId="3FEE6B0F"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Stage 1</w:t>
            </w:r>
          </w:p>
        </w:tc>
        <w:tc>
          <w:tcPr>
            <w:tcW w:w="2125" w:type="dxa"/>
            <w:tcBorders>
              <w:top w:val="single" w:sz="8" w:space="0" w:color="000000"/>
              <w:left w:val="nil"/>
              <w:bottom w:val="nil"/>
              <w:right w:val="nil"/>
            </w:tcBorders>
            <w:shd w:val="clear" w:color="auto" w:fill="auto"/>
            <w:tcMar>
              <w:top w:w="100" w:type="dxa"/>
              <w:left w:w="100" w:type="dxa"/>
              <w:bottom w:w="100" w:type="dxa"/>
              <w:right w:w="100" w:type="dxa"/>
            </w:tcMar>
          </w:tcPr>
          <w:p w14:paraId="388DF225"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Pre-EPS Stage</w:t>
            </w:r>
          </w:p>
        </w:tc>
        <w:tc>
          <w:tcPr>
            <w:tcW w:w="3295" w:type="dxa"/>
            <w:tcBorders>
              <w:top w:val="single" w:sz="8" w:space="0" w:color="000000"/>
              <w:left w:val="nil"/>
              <w:bottom w:val="nil"/>
              <w:right w:val="nil"/>
            </w:tcBorders>
            <w:shd w:val="clear" w:color="auto" w:fill="auto"/>
            <w:tcMar>
              <w:top w:w="100" w:type="dxa"/>
              <w:left w:w="100" w:type="dxa"/>
              <w:bottom w:w="100" w:type="dxa"/>
              <w:right w:w="100" w:type="dxa"/>
            </w:tcMar>
          </w:tcPr>
          <w:p w14:paraId="388F4B29"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Loss of ultrafiltration capacity</w:t>
            </w:r>
          </w:p>
          <w:p w14:paraId="6C4335F0"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 xml:space="preserve">Development of a high transport </w:t>
            </w:r>
          </w:p>
          <w:p w14:paraId="6979346B"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 xml:space="preserve">Hypoproteinemia </w:t>
            </w:r>
          </w:p>
          <w:p w14:paraId="69DCCCDA"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Bloody dialysate, ascites</w:t>
            </w:r>
          </w:p>
          <w:p w14:paraId="56ABBB2F"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Calcifications in the peritoneum</w:t>
            </w:r>
          </w:p>
        </w:tc>
        <w:tc>
          <w:tcPr>
            <w:tcW w:w="2019" w:type="dxa"/>
            <w:tcBorders>
              <w:top w:val="single" w:sz="8" w:space="0" w:color="000000"/>
              <w:left w:val="nil"/>
              <w:bottom w:val="nil"/>
              <w:right w:val="nil"/>
            </w:tcBorders>
            <w:shd w:val="clear" w:color="auto" w:fill="auto"/>
            <w:tcMar>
              <w:top w:w="100" w:type="dxa"/>
              <w:left w:w="100" w:type="dxa"/>
              <w:bottom w:w="100" w:type="dxa"/>
              <w:right w:w="100" w:type="dxa"/>
            </w:tcMar>
          </w:tcPr>
          <w:p w14:paraId="1538DACF"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Pre-stage</w:t>
            </w:r>
          </w:p>
        </w:tc>
        <w:tc>
          <w:tcPr>
            <w:tcW w:w="2456" w:type="dxa"/>
            <w:tcBorders>
              <w:top w:val="single" w:sz="8" w:space="0" w:color="000000"/>
              <w:left w:val="nil"/>
              <w:bottom w:val="nil"/>
            </w:tcBorders>
            <w:shd w:val="clear" w:color="auto" w:fill="auto"/>
            <w:tcMar>
              <w:top w:w="100" w:type="dxa"/>
              <w:left w:w="100" w:type="dxa"/>
              <w:bottom w:w="100" w:type="dxa"/>
              <w:right w:w="100" w:type="dxa"/>
            </w:tcMar>
          </w:tcPr>
          <w:p w14:paraId="412EFDC8"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Abdominal symptoms: Mild</w:t>
            </w:r>
          </w:p>
          <w:p w14:paraId="42CABF8B"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Inflammation: Mild</w:t>
            </w:r>
          </w:p>
          <w:p w14:paraId="772301D2"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Encapsulation: None</w:t>
            </w:r>
          </w:p>
        </w:tc>
      </w:tr>
      <w:tr w:rsidR="00F532B5" w:rsidRPr="00F532B5" w14:paraId="77DB919A" w14:textId="77777777" w:rsidTr="00E809FA">
        <w:trPr>
          <w:trHeight w:val="170"/>
        </w:trPr>
        <w:tc>
          <w:tcPr>
            <w:tcW w:w="1275" w:type="dxa"/>
            <w:tcBorders>
              <w:top w:val="nil"/>
              <w:bottom w:val="nil"/>
              <w:right w:val="nil"/>
            </w:tcBorders>
            <w:shd w:val="clear" w:color="auto" w:fill="auto"/>
            <w:tcMar>
              <w:top w:w="100" w:type="dxa"/>
              <w:left w:w="100" w:type="dxa"/>
              <w:bottom w:w="100" w:type="dxa"/>
              <w:right w:w="100" w:type="dxa"/>
            </w:tcMar>
          </w:tcPr>
          <w:p w14:paraId="3664081B"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Stage 2</w:t>
            </w:r>
          </w:p>
        </w:tc>
        <w:tc>
          <w:tcPr>
            <w:tcW w:w="2125" w:type="dxa"/>
            <w:tcBorders>
              <w:top w:val="nil"/>
              <w:left w:val="nil"/>
              <w:bottom w:val="nil"/>
              <w:right w:val="nil"/>
            </w:tcBorders>
            <w:shd w:val="clear" w:color="auto" w:fill="auto"/>
            <w:tcMar>
              <w:top w:w="100" w:type="dxa"/>
              <w:left w:w="100" w:type="dxa"/>
              <w:bottom w:w="100" w:type="dxa"/>
              <w:right w:w="100" w:type="dxa"/>
            </w:tcMar>
          </w:tcPr>
          <w:p w14:paraId="3697C82E"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Inflammation Stage</w:t>
            </w:r>
          </w:p>
        </w:tc>
        <w:tc>
          <w:tcPr>
            <w:tcW w:w="3295" w:type="dxa"/>
            <w:tcBorders>
              <w:top w:val="nil"/>
              <w:left w:val="nil"/>
              <w:bottom w:val="nil"/>
              <w:right w:val="nil"/>
            </w:tcBorders>
            <w:shd w:val="clear" w:color="auto" w:fill="auto"/>
            <w:tcMar>
              <w:top w:w="100" w:type="dxa"/>
              <w:left w:w="100" w:type="dxa"/>
              <w:bottom w:w="100" w:type="dxa"/>
              <w:right w:w="100" w:type="dxa"/>
            </w:tcMar>
          </w:tcPr>
          <w:p w14:paraId="77E7546A"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Increased CRP, leukocytosis</w:t>
            </w:r>
          </w:p>
          <w:p w14:paraId="009E6032"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Fever, chills, weight loss, anorexia</w:t>
            </w:r>
          </w:p>
          <w:p w14:paraId="56DD110A"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Diarrhea, ascites</w:t>
            </w:r>
          </w:p>
        </w:tc>
        <w:tc>
          <w:tcPr>
            <w:tcW w:w="2019" w:type="dxa"/>
            <w:tcBorders>
              <w:top w:val="nil"/>
              <w:left w:val="nil"/>
              <w:bottom w:val="nil"/>
              <w:right w:val="nil"/>
            </w:tcBorders>
            <w:shd w:val="clear" w:color="auto" w:fill="auto"/>
            <w:tcMar>
              <w:top w:w="100" w:type="dxa"/>
              <w:left w:w="100" w:type="dxa"/>
              <w:bottom w:w="100" w:type="dxa"/>
              <w:right w:w="100" w:type="dxa"/>
            </w:tcMar>
          </w:tcPr>
          <w:p w14:paraId="79E39348"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Inflammatory</w:t>
            </w:r>
          </w:p>
        </w:tc>
        <w:tc>
          <w:tcPr>
            <w:tcW w:w="2456" w:type="dxa"/>
            <w:tcBorders>
              <w:top w:val="nil"/>
              <w:left w:val="nil"/>
              <w:bottom w:val="nil"/>
            </w:tcBorders>
            <w:shd w:val="clear" w:color="auto" w:fill="auto"/>
            <w:tcMar>
              <w:top w:w="100" w:type="dxa"/>
              <w:left w:w="100" w:type="dxa"/>
              <w:bottom w:w="100" w:type="dxa"/>
              <w:right w:w="100" w:type="dxa"/>
            </w:tcMar>
          </w:tcPr>
          <w:p w14:paraId="2A9636FB"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Abdominal symptoms: Nausea, diarrhea</w:t>
            </w:r>
          </w:p>
          <w:p w14:paraId="5FC7FE65"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Inflammation: Mild to severe</w:t>
            </w:r>
          </w:p>
          <w:p w14:paraId="16773FE9"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Encapsulation: Partial</w:t>
            </w:r>
          </w:p>
        </w:tc>
      </w:tr>
      <w:tr w:rsidR="00F532B5" w:rsidRPr="00F532B5" w14:paraId="246F817B" w14:textId="77777777" w:rsidTr="00E809FA">
        <w:trPr>
          <w:trHeight w:val="170"/>
        </w:trPr>
        <w:tc>
          <w:tcPr>
            <w:tcW w:w="1275" w:type="dxa"/>
            <w:tcBorders>
              <w:top w:val="nil"/>
              <w:bottom w:val="nil"/>
              <w:right w:val="nil"/>
            </w:tcBorders>
            <w:shd w:val="clear" w:color="auto" w:fill="auto"/>
            <w:tcMar>
              <w:top w:w="100" w:type="dxa"/>
              <w:left w:w="100" w:type="dxa"/>
              <w:bottom w:w="100" w:type="dxa"/>
              <w:right w:w="100" w:type="dxa"/>
            </w:tcMar>
          </w:tcPr>
          <w:p w14:paraId="3D6DB77B"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Stage 3</w:t>
            </w:r>
          </w:p>
        </w:tc>
        <w:tc>
          <w:tcPr>
            <w:tcW w:w="2125" w:type="dxa"/>
            <w:tcBorders>
              <w:top w:val="nil"/>
              <w:left w:val="nil"/>
              <w:bottom w:val="nil"/>
              <w:right w:val="nil"/>
            </w:tcBorders>
            <w:shd w:val="clear" w:color="auto" w:fill="auto"/>
            <w:tcMar>
              <w:top w:w="100" w:type="dxa"/>
              <w:left w:w="100" w:type="dxa"/>
              <w:bottom w:w="100" w:type="dxa"/>
              <w:right w:w="100" w:type="dxa"/>
            </w:tcMar>
          </w:tcPr>
          <w:p w14:paraId="3524D129"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Encapsulating Stage</w:t>
            </w:r>
          </w:p>
        </w:tc>
        <w:tc>
          <w:tcPr>
            <w:tcW w:w="3295" w:type="dxa"/>
            <w:tcBorders>
              <w:top w:val="nil"/>
              <w:left w:val="nil"/>
              <w:bottom w:val="nil"/>
              <w:right w:val="nil"/>
            </w:tcBorders>
            <w:shd w:val="clear" w:color="auto" w:fill="auto"/>
            <w:tcMar>
              <w:top w:w="100" w:type="dxa"/>
              <w:left w:w="100" w:type="dxa"/>
              <w:bottom w:w="100" w:type="dxa"/>
              <w:right w:w="100" w:type="dxa"/>
            </w:tcMar>
          </w:tcPr>
          <w:p w14:paraId="6078E5D0"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 xml:space="preserve">Decreased clinical signs of systemic inflammation </w:t>
            </w:r>
          </w:p>
          <w:p w14:paraId="19154730"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Early signs of ileus (abdominal pain, nausea, vomiting)</w:t>
            </w:r>
          </w:p>
        </w:tc>
        <w:tc>
          <w:tcPr>
            <w:tcW w:w="2019" w:type="dxa"/>
            <w:tcBorders>
              <w:top w:val="nil"/>
              <w:left w:val="nil"/>
              <w:bottom w:val="nil"/>
              <w:right w:val="nil"/>
            </w:tcBorders>
            <w:shd w:val="clear" w:color="auto" w:fill="auto"/>
            <w:tcMar>
              <w:top w:w="100" w:type="dxa"/>
              <w:left w:w="100" w:type="dxa"/>
              <w:bottom w:w="100" w:type="dxa"/>
              <w:right w:w="100" w:type="dxa"/>
            </w:tcMar>
          </w:tcPr>
          <w:p w14:paraId="6058C21F"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Encapsulating</w:t>
            </w:r>
          </w:p>
        </w:tc>
        <w:tc>
          <w:tcPr>
            <w:tcW w:w="2456" w:type="dxa"/>
            <w:tcBorders>
              <w:top w:val="nil"/>
              <w:left w:val="nil"/>
              <w:bottom w:val="nil"/>
            </w:tcBorders>
            <w:shd w:val="clear" w:color="auto" w:fill="auto"/>
            <w:tcMar>
              <w:top w:w="100" w:type="dxa"/>
              <w:left w:w="100" w:type="dxa"/>
              <w:bottom w:w="100" w:type="dxa"/>
              <w:right w:w="100" w:type="dxa"/>
            </w:tcMar>
          </w:tcPr>
          <w:p w14:paraId="481BF641"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Abdominal symptoms: Periodic ileus</w:t>
            </w:r>
          </w:p>
          <w:p w14:paraId="73C2F107"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Inflammation: Mild</w:t>
            </w:r>
          </w:p>
          <w:p w14:paraId="18A59C72"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Encapsulation: Present</w:t>
            </w:r>
          </w:p>
        </w:tc>
      </w:tr>
      <w:tr w:rsidR="00F532B5" w:rsidRPr="00F532B5" w14:paraId="3763F141" w14:textId="77777777" w:rsidTr="00E809FA">
        <w:trPr>
          <w:trHeight w:val="3161"/>
        </w:trPr>
        <w:tc>
          <w:tcPr>
            <w:tcW w:w="1275" w:type="dxa"/>
            <w:tcBorders>
              <w:top w:val="nil"/>
              <w:right w:val="nil"/>
            </w:tcBorders>
            <w:shd w:val="clear" w:color="auto" w:fill="auto"/>
            <w:tcMar>
              <w:top w:w="100" w:type="dxa"/>
              <w:left w:w="100" w:type="dxa"/>
              <w:bottom w:w="100" w:type="dxa"/>
              <w:right w:w="100" w:type="dxa"/>
            </w:tcMar>
          </w:tcPr>
          <w:p w14:paraId="64C70AC5"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lastRenderedPageBreak/>
              <w:t>Stage 4</w:t>
            </w:r>
          </w:p>
        </w:tc>
        <w:tc>
          <w:tcPr>
            <w:tcW w:w="2125" w:type="dxa"/>
            <w:tcBorders>
              <w:top w:val="nil"/>
              <w:left w:val="nil"/>
              <w:right w:val="nil"/>
            </w:tcBorders>
            <w:shd w:val="clear" w:color="auto" w:fill="auto"/>
            <w:tcMar>
              <w:top w:w="100" w:type="dxa"/>
              <w:left w:w="100" w:type="dxa"/>
              <w:bottom w:w="100" w:type="dxa"/>
              <w:right w:w="100" w:type="dxa"/>
            </w:tcMar>
          </w:tcPr>
          <w:p w14:paraId="42F52585"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Ileus Stage</w:t>
            </w:r>
          </w:p>
        </w:tc>
        <w:tc>
          <w:tcPr>
            <w:tcW w:w="3295" w:type="dxa"/>
            <w:tcBorders>
              <w:top w:val="nil"/>
              <w:left w:val="nil"/>
              <w:right w:val="nil"/>
            </w:tcBorders>
            <w:shd w:val="clear" w:color="auto" w:fill="auto"/>
            <w:tcMar>
              <w:top w:w="100" w:type="dxa"/>
              <w:left w:w="100" w:type="dxa"/>
              <w:bottom w:w="100" w:type="dxa"/>
              <w:right w:w="100" w:type="dxa"/>
            </w:tcMar>
          </w:tcPr>
          <w:p w14:paraId="51AD461E"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Anorexia</w:t>
            </w:r>
          </w:p>
          <w:p w14:paraId="7F67CED3"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Complete ileus</w:t>
            </w:r>
          </w:p>
          <w:p w14:paraId="4C76845D"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Abdominal mass</w:t>
            </w:r>
          </w:p>
        </w:tc>
        <w:tc>
          <w:tcPr>
            <w:tcW w:w="2019" w:type="dxa"/>
            <w:tcBorders>
              <w:top w:val="nil"/>
              <w:left w:val="nil"/>
              <w:right w:val="nil"/>
            </w:tcBorders>
            <w:shd w:val="clear" w:color="auto" w:fill="auto"/>
            <w:tcMar>
              <w:top w:w="100" w:type="dxa"/>
              <w:left w:w="100" w:type="dxa"/>
              <w:bottom w:w="100" w:type="dxa"/>
              <w:right w:w="100" w:type="dxa"/>
            </w:tcMar>
          </w:tcPr>
          <w:p w14:paraId="79C0CC75"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Chronic</w:t>
            </w:r>
          </w:p>
        </w:tc>
        <w:tc>
          <w:tcPr>
            <w:tcW w:w="2456" w:type="dxa"/>
            <w:tcBorders>
              <w:top w:val="nil"/>
              <w:left w:val="nil"/>
            </w:tcBorders>
            <w:shd w:val="clear" w:color="auto" w:fill="auto"/>
            <w:tcMar>
              <w:top w:w="100" w:type="dxa"/>
              <w:left w:w="100" w:type="dxa"/>
              <w:bottom w:w="100" w:type="dxa"/>
              <w:right w:w="100" w:type="dxa"/>
            </w:tcMar>
          </w:tcPr>
          <w:p w14:paraId="74709B30"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Abdominal symptoms: Persistent ileus</w:t>
            </w:r>
          </w:p>
          <w:p w14:paraId="1EFE75DA"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Inflammation: None to mild</w:t>
            </w:r>
          </w:p>
          <w:p w14:paraId="22FBF7F3" w14:textId="77777777" w:rsidR="001868EC" w:rsidRPr="00F532B5" w:rsidRDefault="001868EC" w:rsidP="00D92508">
            <w:pPr>
              <w:widowControl w:val="0"/>
              <w:snapToGrid w:val="0"/>
              <w:spacing w:line="360" w:lineRule="auto"/>
              <w:jc w:val="both"/>
              <w:rPr>
                <w:rFonts w:ascii="Book Antiqua" w:hAnsi="Book Antiqua"/>
                <w:color w:val="auto"/>
                <w:sz w:val="24"/>
                <w:szCs w:val="24"/>
              </w:rPr>
            </w:pPr>
            <w:r w:rsidRPr="00F532B5">
              <w:rPr>
                <w:rFonts w:ascii="Book Antiqua" w:hAnsi="Book Antiqua"/>
                <w:color w:val="auto"/>
                <w:sz w:val="24"/>
                <w:szCs w:val="24"/>
              </w:rPr>
              <w:t>Encapsulation: Present</w:t>
            </w:r>
          </w:p>
        </w:tc>
      </w:tr>
    </w:tbl>
    <w:p w14:paraId="62881159" w14:textId="77777777" w:rsidR="001868EC" w:rsidRPr="00F532B5" w:rsidRDefault="001868EC" w:rsidP="00D92508">
      <w:pPr>
        <w:snapToGrid w:val="0"/>
        <w:spacing w:line="360" w:lineRule="auto"/>
        <w:jc w:val="both"/>
        <w:rPr>
          <w:rFonts w:ascii="Book Antiqua" w:hAnsi="Book Antiqua"/>
          <w:b/>
          <w:color w:val="auto"/>
          <w:sz w:val="24"/>
          <w:szCs w:val="24"/>
        </w:rPr>
        <w:sectPr w:rsidR="001868EC" w:rsidRPr="00F532B5" w:rsidSect="00F532B5">
          <w:type w:val="continuous"/>
          <w:pgSz w:w="12240" w:h="15840"/>
          <w:pgMar w:top="1440" w:right="1440" w:bottom="1440" w:left="1440" w:header="720" w:footer="720" w:gutter="0"/>
          <w:pgNumType w:start="1"/>
          <w:cols w:space="720"/>
          <w:docGrid w:linePitch="360"/>
        </w:sectPr>
      </w:pPr>
    </w:p>
    <w:p w14:paraId="102B2B80" w14:textId="25B4D2B4" w:rsidR="001868EC" w:rsidRPr="00F532B5" w:rsidRDefault="00320421" w:rsidP="00D92508">
      <w:pPr>
        <w:snapToGrid w:val="0"/>
        <w:spacing w:line="360" w:lineRule="auto"/>
        <w:jc w:val="both"/>
        <w:rPr>
          <w:rFonts w:ascii="Book Antiqua" w:hAnsi="Book Antiqua"/>
          <w:color w:val="auto"/>
          <w:sz w:val="24"/>
          <w:szCs w:val="24"/>
        </w:rPr>
      </w:pPr>
      <w:r w:rsidRPr="00F532B5">
        <w:rPr>
          <w:rFonts w:ascii="Book Antiqua" w:hAnsi="Book Antiqua"/>
          <w:b/>
          <w:color w:val="auto"/>
          <w:sz w:val="24"/>
          <w:szCs w:val="24"/>
        </w:rPr>
        <w:lastRenderedPageBreak/>
        <w:t xml:space="preserve">Table 3 Summary of studies of interventions in </w:t>
      </w:r>
      <w:r w:rsidR="003A5DF2" w:rsidRPr="003A5DF2">
        <w:rPr>
          <w:rFonts w:ascii="Book Antiqua" w:hAnsi="Book Antiqua"/>
          <w:b/>
          <w:color w:val="auto"/>
          <w:sz w:val="24"/>
          <w:szCs w:val="24"/>
        </w:rPr>
        <w:t>encapsulating peritoneal sclerosis</w:t>
      </w:r>
    </w:p>
    <w:tbl>
      <w:tblPr>
        <w:tblW w:w="14684" w:type="dxa"/>
        <w:tblInd w:w="-826" w:type="dxa"/>
        <w:tblLook w:val="04A0" w:firstRow="1" w:lastRow="0" w:firstColumn="1" w:lastColumn="0" w:noHBand="0" w:noVBand="1"/>
      </w:tblPr>
      <w:tblGrid>
        <w:gridCol w:w="2084"/>
        <w:gridCol w:w="1717"/>
        <w:gridCol w:w="1649"/>
        <w:gridCol w:w="3139"/>
        <w:gridCol w:w="2835"/>
        <w:gridCol w:w="3260"/>
      </w:tblGrid>
      <w:tr w:rsidR="00F532B5" w:rsidRPr="00F532B5" w14:paraId="5B7B75B1" w14:textId="77777777" w:rsidTr="00B62F71">
        <w:trPr>
          <w:trHeight w:val="627"/>
        </w:trPr>
        <w:tc>
          <w:tcPr>
            <w:tcW w:w="0" w:type="auto"/>
            <w:tcBorders>
              <w:top w:val="single" w:sz="8" w:space="0" w:color="auto"/>
              <w:bottom w:val="single" w:sz="8" w:space="0" w:color="auto"/>
              <w:right w:val="nil"/>
            </w:tcBorders>
            <w:shd w:val="clear" w:color="auto" w:fill="auto"/>
            <w:vAlign w:val="bottom"/>
            <w:hideMark/>
          </w:tcPr>
          <w:p w14:paraId="63307BA7"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 </w:t>
            </w:r>
          </w:p>
        </w:tc>
        <w:tc>
          <w:tcPr>
            <w:tcW w:w="0" w:type="auto"/>
            <w:tcBorders>
              <w:top w:val="single" w:sz="8" w:space="0" w:color="auto"/>
              <w:left w:val="nil"/>
              <w:bottom w:val="single" w:sz="8" w:space="0" w:color="auto"/>
              <w:right w:val="nil"/>
            </w:tcBorders>
            <w:shd w:val="clear" w:color="auto" w:fill="auto"/>
            <w:hideMark/>
          </w:tcPr>
          <w:p w14:paraId="5604B1AC"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b/>
                <w:bCs/>
                <w:color w:val="auto"/>
                <w:sz w:val="24"/>
                <w:szCs w:val="24"/>
                <w:lang w:val="en-US"/>
              </w:rPr>
            </w:pPr>
            <w:r w:rsidRPr="00F532B5">
              <w:rPr>
                <w:rFonts w:ascii="Book Antiqua" w:eastAsia="Times New Roman" w:hAnsi="Book Antiqua"/>
                <w:b/>
                <w:bCs/>
                <w:color w:val="auto"/>
                <w:sz w:val="24"/>
                <w:szCs w:val="24"/>
                <w:lang w:val="en-US"/>
              </w:rPr>
              <w:t>Design</w:t>
            </w:r>
          </w:p>
        </w:tc>
        <w:tc>
          <w:tcPr>
            <w:tcW w:w="0" w:type="auto"/>
            <w:tcBorders>
              <w:top w:val="single" w:sz="8" w:space="0" w:color="auto"/>
              <w:left w:val="nil"/>
              <w:bottom w:val="single" w:sz="8" w:space="0" w:color="auto"/>
              <w:right w:val="nil"/>
            </w:tcBorders>
            <w:shd w:val="clear" w:color="auto" w:fill="auto"/>
            <w:hideMark/>
          </w:tcPr>
          <w:p w14:paraId="0D2104EE"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b/>
                <w:bCs/>
                <w:color w:val="auto"/>
                <w:sz w:val="24"/>
                <w:szCs w:val="24"/>
                <w:lang w:val="en-US"/>
              </w:rPr>
            </w:pPr>
            <w:r w:rsidRPr="00F532B5">
              <w:rPr>
                <w:rFonts w:ascii="Book Antiqua" w:eastAsia="Times New Roman" w:hAnsi="Book Antiqua"/>
                <w:b/>
                <w:bCs/>
                <w:color w:val="auto"/>
                <w:sz w:val="24"/>
                <w:szCs w:val="24"/>
                <w:lang w:val="en-US"/>
              </w:rPr>
              <w:t>Patient Population</w:t>
            </w:r>
          </w:p>
        </w:tc>
        <w:tc>
          <w:tcPr>
            <w:tcW w:w="3139" w:type="dxa"/>
            <w:tcBorders>
              <w:top w:val="single" w:sz="8" w:space="0" w:color="auto"/>
              <w:left w:val="nil"/>
              <w:bottom w:val="single" w:sz="8" w:space="0" w:color="auto"/>
              <w:right w:val="nil"/>
            </w:tcBorders>
            <w:shd w:val="clear" w:color="auto" w:fill="auto"/>
            <w:hideMark/>
          </w:tcPr>
          <w:p w14:paraId="46C6D216"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b/>
                <w:bCs/>
                <w:color w:val="auto"/>
                <w:sz w:val="24"/>
                <w:szCs w:val="24"/>
                <w:lang w:val="en-US"/>
              </w:rPr>
            </w:pPr>
            <w:r w:rsidRPr="00F532B5">
              <w:rPr>
                <w:rFonts w:ascii="Book Antiqua" w:eastAsia="Times New Roman" w:hAnsi="Book Antiqua"/>
                <w:b/>
                <w:bCs/>
                <w:color w:val="auto"/>
                <w:sz w:val="24"/>
                <w:szCs w:val="24"/>
                <w:lang w:val="en-US"/>
              </w:rPr>
              <w:t>Treatment</w:t>
            </w:r>
          </w:p>
        </w:tc>
        <w:tc>
          <w:tcPr>
            <w:tcW w:w="2835" w:type="dxa"/>
            <w:tcBorders>
              <w:top w:val="single" w:sz="8" w:space="0" w:color="auto"/>
              <w:left w:val="nil"/>
              <w:bottom w:val="single" w:sz="8" w:space="0" w:color="auto"/>
              <w:right w:val="nil"/>
            </w:tcBorders>
            <w:shd w:val="clear" w:color="auto" w:fill="auto"/>
            <w:hideMark/>
          </w:tcPr>
          <w:p w14:paraId="5476759A"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b/>
                <w:bCs/>
                <w:color w:val="auto"/>
                <w:sz w:val="24"/>
                <w:szCs w:val="24"/>
                <w:lang w:val="en-US"/>
              </w:rPr>
            </w:pPr>
            <w:r w:rsidRPr="00F532B5">
              <w:rPr>
                <w:rFonts w:ascii="Book Antiqua" w:eastAsia="Times New Roman" w:hAnsi="Book Antiqua"/>
                <w:b/>
                <w:bCs/>
                <w:color w:val="auto"/>
                <w:sz w:val="24"/>
                <w:szCs w:val="24"/>
                <w:lang w:val="en-US"/>
              </w:rPr>
              <w:t>Outcome</w:t>
            </w:r>
          </w:p>
        </w:tc>
        <w:tc>
          <w:tcPr>
            <w:tcW w:w="3260" w:type="dxa"/>
            <w:tcBorders>
              <w:top w:val="single" w:sz="8" w:space="0" w:color="auto"/>
              <w:left w:val="nil"/>
              <w:bottom w:val="single" w:sz="8" w:space="0" w:color="auto"/>
            </w:tcBorders>
            <w:shd w:val="clear" w:color="auto" w:fill="auto"/>
            <w:hideMark/>
          </w:tcPr>
          <w:p w14:paraId="5F8A6617"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b/>
                <w:bCs/>
                <w:color w:val="auto"/>
                <w:sz w:val="24"/>
                <w:szCs w:val="24"/>
                <w:lang w:val="en-US"/>
              </w:rPr>
            </w:pPr>
            <w:r w:rsidRPr="00F532B5">
              <w:rPr>
                <w:rFonts w:ascii="Book Antiqua" w:eastAsia="Times New Roman" w:hAnsi="Book Antiqua"/>
                <w:b/>
                <w:bCs/>
                <w:color w:val="auto"/>
                <w:sz w:val="24"/>
                <w:szCs w:val="24"/>
                <w:lang w:val="en-US"/>
              </w:rPr>
              <w:t>Comments</w:t>
            </w:r>
          </w:p>
        </w:tc>
      </w:tr>
      <w:tr w:rsidR="00F532B5" w:rsidRPr="00F532B5" w14:paraId="439FA5AC" w14:textId="77777777" w:rsidTr="00B62F71">
        <w:trPr>
          <w:trHeight w:val="1343"/>
        </w:trPr>
        <w:tc>
          <w:tcPr>
            <w:tcW w:w="0" w:type="auto"/>
            <w:vMerge w:val="restart"/>
            <w:tcBorders>
              <w:top w:val="single" w:sz="8" w:space="0" w:color="auto"/>
              <w:bottom w:val="single" w:sz="4" w:space="0" w:color="000000"/>
              <w:right w:val="nil"/>
            </w:tcBorders>
            <w:shd w:val="clear" w:color="auto" w:fill="auto"/>
            <w:hideMark/>
          </w:tcPr>
          <w:p w14:paraId="2A5EF260"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Kuriyama 2001</w:t>
            </w:r>
          </w:p>
        </w:tc>
        <w:tc>
          <w:tcPr>
            <w:tcW w:w="0" w:type="auto"/>
            <w:vMerge w:val="restart"/>
            <w:tcBorders>
              <w:top w:val="single" w:sz="8" w:space="0" w:color="auto"/>
              <w:left w:val="nil"/>
              <w:bottom w:val="single" w:sz="4" w:space="0" w:color="000000"/>
              <w:right w:val="nil"/>
            </w:tcBorders>
            <w:shd w:val="clear" w:color="auto" w:fill="auto"/>
            <w:hideMark/>
          </w:tcPr>
          <w:p w14:paraId="17851602"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Retrospective case-control</w:t>
            </w:r>
          </w:p>
        </w:tc>
        <w:tc>
          <w:tcPr>
            <w:tcW w:w="0" w:type="auto"/>
            <w:vMerge w:val="restart"/>
            <w:tcBorders>
              <w:top w:val="single" w:sz="8" w:space="0" w:color="auto"/>
              <w:left w:val="nil"/>
              <w:bottom w:val="single" w:sz="4" w:space="0" w:color="000000"/>
              <w:right w:val="nil"/>
            </w:tcBorders>
            <w:shd w:val="clear" w:color="auto" w:fill="auto"/>
            <w:hideMark/>
          </w:tcPr>
          <w:p w14:paraId="67AA08FD" w14:textId="7BA73077" w:rsidR="001868EC" w:rsidRPr="00F532B5" w:rsidRDefault="000F553F"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0F553F">
              <w:rPr>
                <w:rFonts w:ascii="Book Antiqua" w:eastAsia="Times New Roman" w:hAnsi="Book Antiqua"/>
                <w:i/>
                <w:color w:val="auto"/>
                <w:sz w:val="24"/>
                <w:szCs w:val="24"/>
                <w:lang w:val="en-US"/>
              </w:rPr>
              <w:t>n</w:t>
            </w:r>
            <w:r w:rsidR="001868EC" w:rsidRPr="00F532B5">
              <w:rPr>
                <w:rFonts w:ascii="Book Antiqua" w:eastAsia="Times New Roman" w:hAnsi="Book Antiqua"/>
                <w:color w:val="auto"/>
                <w:sz w:val="24"/>
                <w:szCs w:val="24"/>
                <w:lang w:val="en-US"/>
              </w:rPr>
              <w:t xml:space="preserve"> = 11 </w:t>
            </w:r>
          </w:p>
          <w:p w14:paraId="0127CFF2"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 xml:space="preserve">Japan </w:t>
            </w:r>
          </w:p>
          <w:p w14:paraId="6F6117F4"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PD patients</w:t>
            </w:r>
          </w:p>
          <w:p w14:paraId="7AE0EFD0"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Age - 49.1 y</w:t>
            </w:r>
          </w:p>
          <w:p w14:paraId="225CF3D4"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27% female</w:t>
            </w:r>
          </w:p>
        </w:tc>
        <w:tc>
          <w:tcPr>
            <w:tcW w:w="3139" w:type="dxa"/>
            <w:tcBorders>
              <w:top w:val="single" w:sz="8" w:space="0" w:color="auto"/>
              <w:left w:val="nil"/>
              <w:bottom w:val="nil"/>
              <w:right w:val="nil"/>
            </w:tcBorders>
            <w:shd w:val="clear" w:color="auto" w:fill="auto"/>
            <w:hideMark/>
          </w:tcPr>
          <w:p w14:paraId="6302C9D4" w14:textId="3FC63B75"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u w:val="single"/>
                <w:lang w:val="en-US"/>
              </w:rPr>
              <w:t>Steroids</w:t>
            </w:r>
            <w:r w:rsidR="006D7818">
              <w:rPr>
                <w:rFonts w:ascii="Book Antiqua" w:eastAsia="Times New Roman" w:hAnsi="Book Antiqua"/>
                <w:color w:val="auto"/>
                <w:sz w:val="24"/>
                <w:szCs w:val="24"/>
                <w:lang w:val="en-US"/>
              </w:rPr>
              <w:t xml:space="preserve"> </w:t>
            </w:r>
          </w:p>
          <w:p w14:paraId="7D05C498"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 xml:space="preserve">Prednisolone </w:t>
            </w:r>
          </w:p>
          <w:p w14:paraId="615401B7"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 xml:space="preserve">Dose - 0.5 mg/kg/d </w:t>
            </w:r>
          </w:p>
          <w:p w14:paraId="6ED2A51E"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Duration - NS</w:t>
            </w:r>
          </w:p>
          <w:p w14:paraId="22154F5C" w14:textId="2F4FCBCE" w:rsidR="001868EC" w:rsidRPr="00F532B5" w:rsidRDefault="000F553F"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0F553F">
              <w:rPr>
                <w:rFonts w:ascii="Book Antiqua" w:eastAsia="Times New Roman" w:hAnsi="Book Antiqua"/>
                <w:i/>
                <w:color w:val="auto"/>
                <w:sz w:val="24"/>
                <w:szCs w:val="24"/>
                <w:lang w:val="en-US"/>
              </w:rPr>
              <w:t>n</w:t>
            </w:r>
            <w:r w:rsidR="001868EC" w:rsidRPr="00F532B5">
              <w:rPr>
                <w:rFonts w:ascii="Book Antiqua" w:eastAsia="Times New Roman" w:hAnsi="Book Antiqua"/>
                <w:color w:val="auto"/>
                <w:sz w:val="24"/>
                <w:szCs w:val="24"/>
                <w:lang w:val="en-US"/>
              </w:rPr>
              <w:t xml:space="preserve"> = 5</w:t>
            </w:r>
          </w:p>
        </w:tc>
        <w:tc>
          <w:tcPr>
            <w:tcW w:w="2835" w:type="dxa"/>
            <w:tcBorders>
              <w:top w:val="single" w:sz="8" w:space="0" w:color="auto"/>
              <w:left w:val="nil"/>
              <w:bottom w:val="nil"/>
              <w:right w:val="nil"/>
            </w:tcBorders>
            <w:shd w:val="clear" w:color="auto" w:fill="auto"/>
            <w:hideMark/>
          </w:tcPr>
          <w:p w14:paraId="26923FA2"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u w:val="single"/>
                <w:lang w:val="en-US"/>
              </w:rPr>
              <w:t>Steroids</w:t>
            </w:r>
            <w:r w:rsidRPr="00F532B5">
              <w:rPr>
                <w:rFonts w:ascii="Book Antiqua" w:eastAsia="Times New Roman" w:hAnsi="Book Antiqua"/>
                <w:color w:val="auto"/>
                <w:sz w:val="24"/>
                <w:szCs w:val="24"/>
                <w:lang w:val="en-US"/>
              </w:rPr>
              <w:t xml:space="preserve"> </w:t>
            </w:r>
          </w:p>
          <w:p w14:paraId="53A00111"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 xml:space="preserve">All remained alive at 1-3 years after diagnosis. </w:t>
            </w:r>
          </w:p>
        </w:tc>
        <w:tc>
          <w:tcPr>
            <w:tcW w:w="3260" w:type="dxa"/>
            <w:vMerge w:val="restart"/>
            <w:tcBorders>
              <w:top w:val="single" w:sz="8" w:space="0" w:color="auto"/>
              <w:left w:val="nil"/>
              <w:bottom w:val="single" w:sz="4" w:space="0" w:color="000000"/>
            </w:tcBorders>
            <w:shd w:val="clear" w:color="auto" w:fill="auto"/>
            <w:hideMark/>
          </w:tcPr>
          <w:p w14:paraId="3C55D380"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All control patients were diagnosed prior to 1997 and all who received steroids were diagnosed after 1997.</w:t>
            </w:r>
          </w:p>
        </w:tc>
      </w:tr>
      <w:tr w:rsidR="00F532B5" w:rsidRPr="00F532B5" w14:paraId="396F2D73" w14:textId="77777777" w:rsidTr="00B62F71">
        <w:trPr>
          <w:trHeight w:val="1791"/>
        </w:trPr>
        <w:tc>
          <w:tcPr>
            <w:tcW w:w="0" w:type="auto"/>
            <w:vMerge/>
            <w:tcBorders>
              <w:top w:val="nil"/>
              <w:right w:val="nil"/>
            </w:tcBorders>
            <w:vAlign w:val="center"/>
            <w:hideMark/>
          </w:tcPr>
          <w:p w14:paraId="5EA39EF5"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0" w:type="auto"/>
            <w:vMerge/>
            <w:tcBorders>
              <w:top w:val="nil"/>
              <w:left w:val="nil"/>
              <w:right w:val="nil"/>
            </w:tcBorders>
            <w:vAlign w:val="center"/>
            <w:hideMark/>
          </w:tcPr>
          <w:p w14:paraId="46161749"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0" w:type="auto"/>
            <w:vMerge/>
            <w:tcBorders>
              <w:top w:val="nil"/>
              <w:left w:val="nil"/>
              <w:right w:val="nil"/>
            </w:tcBorders>
            <w:vAlign w:val="center"/>
            <w:hideMark/>
          </w:tcPr>
          <w:p w14:paraId="58883624"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3139" w:type="dxa"/>
            <w:tcBorders>
              <w:top w:val="nil"/>
              <w:left w:val="nil"/>
              <w:right w:val="nil"/>
            </w:tcBorders>
            <w:shd w:val="clear" w:color="auto" w:fill="auto"/>
            <w:hideMark/>
          </w:tcPr>
          <w:p w14:paraId="058F759F" w14:textId="68E8AE61"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u w:val="single"/>
                <w:lang w:val="en-US"/>
              </w:rPr>
            </w:pPr>
            <w:r w:rsidRPr="00F532B5">
              <w:rPr>
                <w:rFonts w:ascii="Book Antiqua" w:eastAsia="Times New Roman" w:hAnsi="Book Antiqua"/>
                <w:color w:val="auto"/>
                <w:sz w:val="24"/>
                <w:szCs w:val="24"/>
                <w:u w:val="single"/>
                <w:lang w:val="en-US"/>
              </w:rPr>
              <w:t>Control</w:t>
            </w:r>
            <w:r w:rsidR="006D7818">
              <w:rPr>
                <w:rFonts w:ascii="Book Antiqua" w:eastAsia="Times New Roman" w:hAnsi="Book Antiqua"/>
                <w:color w:val="auto"/>
                <w:sz w:val="24"/>
                <w:szCs w:val="24"/>
                <w:u w:val="single"/>
                <w:lang w:val="en-US"/>
              </w:rPr>
              <w:t xml:space="preserve"> </w:t>
            </w:r>
          </w:p>
          <w:p w14:paraId="6BA003E4"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TPN-alone</w:t>
            </w:r>
          </w:p>
          <w:p w14:paraId="74C22554" w14:textId="3EEF7B69" w:rsidR="001868EC" w:rsidRPr="00F532B5" w:rsidRDefault="000F553F"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0F553F">
              <w:rPr>
                <w:rFonts w:ascii="Book Antiqua" w:eastAsia="Times New Roman" w:hAnsi="Book Antiqua"/>
                <w:i/>
                <w:color w:val="auto"/>
                <w:sz w:val="24"/>
                <w:szCs w:val="24"/>
                <w:lang w:val="en-US"/>
              </w:rPr>
              <w:t>n</w:t>
            </w:r>
            <w:r w:rsidR="001868EC" w:rsidRPr="00F532B5">
              <w:rPr>
                <w:rFonts w:ascii="Book Antiqua" w:eastAsia="Times New Roman" w:hAnsi="Book Antiqua"/>
                <w:color w:val="auto"/>
                <w:sz w:val="24"/>
                <w:szCs w:val="24"/>
                <w:lang w:val="en-US"/>
              </w:rPr>
              <w:t xml:space="preserve"> = 6</w:t>
            </w:r>
          </w:p>
        </w:tc>
        <w:tc>
          <w:tcPr>
            <w:tcW w:w="2835" w:type="dxa"/>
            <w:tcBorders>
              <w:top w:val="nil"/>
              <w:left w:val="nil"/>
              <w:right w:val="nil"/>
            </w:tcBorders>
            <w:shd w:val="clear" w:color="auto" w:fill="auto"/>
            <w:hideMark/>
          </w:tcPr>
          <w:p w14:paraId="5DB9E11B" w14:textId="024DB2BA"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u w:val="single"/>
                <w:lang w:val="en-US"/>
              </w:rPr>
              <w:t>Control</w:t>
            </w:r>
            <w:r w:rsidR="006D7818">
              <w:rPr>
                <w:rFonts w:ascii="Book Antiqua" w:eastAsia="Times New Roman" w:hAnsi="Book Antiqua"/>
                <w:color w:val="auto"/>
                <w:sz w:val="24"/>
                <w:szCs w:val="24"/>
                <w:u w:val="single"/>
                <w:lang w:val="en-US"/>
              </w:rPr>
              <w:t xml:space="preserve"> </w:t>
            </w:r>
          </w:p>
          <w:p w14:paraId="3EFDA7F8" w14:textId="5A95A83F" w:rsidR="001868EC" w:rsidRPr="00F532B5" w:rsidRDefault="001868EC" w:rsidP="000F553F">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All died of EPS-related complications within 8 mo</w:t>
            </w:r>
            <w:r w:rsidR="000F553F">
              <w:rPr>
                <w:rFonts w:ascii="Book Antiqua" w:hAnsi="Book Antiqua" w:hint="eastAsia"/>
                <w:color w:val="auto"/>
                <w:sz w:val="24"/>
                <w:szCs w:val="24"/>
                <w:lang w:val="en-US" w:eastAsia="zh-CN"/>
              </w:rPr>
              <w:t xml:space="preserve"> </w:t>
            </w:r>
            <w:r w:rsidRPr="00F532B5">
              <w:rPr>
                <w:rFonts w:ascii="Book Antiqua" w:eastAsia="Times New Roman" w:hAnsi="Book Antiqua"/>
                <w:color w:val="auto"/>
                <w:sz w:val="24"/>
                <w:szCs w:val="24"/>
                <w:lang w:val="en-US"/>
              </w:rPr>
              <w:t>of diagnosis.</w:t>
            </w:r>
          </w:p>
        </w:tc>
        <w:tc>
          <w:tcPr>
            <w:tcW w:w="3260" w:type="dxa"/>
            <w:vMerge/>
            <w:tcBorders>
              <w:top w:val="nil"/>
              <w:left w:val="nil"/>
            </w:tcBorders>
            <w:vAlign w:val="center"/>
            <w:hideMark/>
          </w:tcPr>
          <w:p w14:paraId="2421A2CC"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r>
      <w:tr w:rsidR="00F532B5" w:rsidRPr="00F532B5" w14:paraId="30044F84" w14:textId="77777777" w:rsidTr="00B62F71">
        <w:trPr>
          <w:trHeight w:val="568"/>
        </w:trPr>
        <w:tc>
          <w:tcPr>
            <w:tcW w:w="0" w:type="auto"/>
            <w:vMerge w:val="restart"/>
            <w:tcBorders>
              <w:right w:val="nil"/>
            </w:tcBorders>
            <w:shd w:val="clear" w:color="auto" w:fill="auto"/>
            <w:hideMark/>
          </w:tcPr>
          <w:p w14:paraId="792F573C"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Kawanishi 2004</w:t>
            </w:r>
          </w:p>
        </w:tc>
        <w:tc>
          <w:tcPr>
            <w:tcW w:w="0" w:type="auto"/>
            <w:vMerge w:val="restart"/>
            <w:tcBorders>
              <w:left w:val="nil"/>
              <w:right w:val="nil"/>
            </w:tcBorders>
            <w:shd w:val="clear" w:color="auto" w:fill="auto"/>
            <w:hideMark/>
          </w:tcPr>
          <w:p w14:paraId="28329D6C"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Prospective cohort</w:t>
            </w:r>
          </w:p>
        </w:tc>
        <w:tc>
          <w:tcPr>
            <w:tcW w:w="0" w:type="auto"/>
            <w:vMerge w:val="restart"/>
            <w:tcBorders>
              <w:left w:val="nil"/>
              <w:right w:val="nil"/>
            </w:tcBorders>
            <w:shd w:val="clear" w:color="auto" w:fill="auto"/>
            <w:hideMark/>
          </w:tcPr>
          <w:p w14:paraId="38CDFF0B" w14:textId="74CC18FA" w:rsidR="001868EC" w:rsidRPr="00F532B5" w:rsidRDefault="000F553F"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0F553F">
              <w:rPr>
                <w:rFonts w:ascii="Book Antiqua" w:eastAsia="Times New Roman" w:hAnsi="Book Antiqua"/>
                <w:i/>
                <w:color w:val="auto"/>
                <w:sz w:val="24"/>
                <w:szCs w:val="24"/>
                <w:lang w:val="en-US"/>
              </w:rPr>
              <w:t>n</w:t>
            </w:r>
            <w:r w:rsidR="001868EC" w:rsidRPr="00F532B5">
              <w:rPr>
                <w:rFonts w:ascii="Book Antiqua" w:eastAsia="Times New Roman" w:hAnsi="Book Antiqua"/>
                <w:color w:val="auto"/>
                <w:sz w:val="24"/>
                <w:szCs w:val="24"/>
                <w:lang w:val="en-US"/>
              </w:rPr>
              <w:t xml:space="preserve"> = 48</w:t>
            </w:r>
          </w:p>
          <w:p w14:paraId="51BE156C"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Japan</w:t>
            </w:r>
          </w:p>
          <w:p w14:paraId="0448B491" w14:textId="532F232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PD patients</w:t>
            </w:r>
            <w:r w:rsidR="006D7818">
              <w:rPr>
                <w:rFonts w:ascii="Book Antiqua" w:eastAsia="Times New Roman" w:hAnsi="Book Antiqua"/>
                <w:color w:val="auto"/>
                <w:sz w:val="24"/>
                <w:szCs w:val="24"/>
                <w:lang w:val="en-US"/>
              </w:rPr>
              <w:t xml:space="preserve"> </w:t>
            </w:r>
            <w:r w:rsidRPr="00F532B5">
              <w:rPr>
                <w:rFonts w:ascii="Book Antiqua" w:eastAsia="Times New Roman" w:hAnsi="Book Antiqua"/>
                <w:color w:val="auto"/>
                <w:sz w:val="24"/>
                <w:szCs w:val="24"/>
                <w:lang w:val="en-US"/>
              </w:rPr>
              <w:t>Age - 54.7 y</w:t>
            </w:r>
            <w:r w:rsidR="000F553F">
              <w:rPr>
                <w:rFonts w:ascii="Book Antiqua" w:hAnsi="Book Antiqua" w:hint="eastAsia"/>
                <w:color w:val="auto"/>
                <w:sz w:val="24"/>
                <w:szCs w:val="24"/>
                <w:lang w:val="en-US" w:eastAsia="zh-CN"/>
              </w:rPr>
              <w:t>r</w:t>
            </w:r>
            <w:r w:rsidRPr="00F532B5">
              <w:rPr>
                <w:rFonts w:ascii="Book Antiqua" w:eastAsia="Times New Roman" w:hAnsi="Book Antiqua"/>
                <w:color w:val="auto"/>
                <w:sz w:val="24"/>
                <w:szCs w:val="24"/>
                <w:lang w:val="en-US"/>
              </w:rPr>
              <w:t xml:space="preserve"> </w:t>
            </w:r>
          </w:p>
          <w:p w14:paraId="7443DA77"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25% female</w:t>
            </w:r>
          </w:p>
        </w:tc>
        <w:tc>
          <w:tcPr>
            <w:tcW w:w="3139" w:type="dxa"/>
            <w:tcBorders>
              <w:left w:val="nil"/>
              <w:right w:val="nil"/>
            </w:tcBorders>
            <w:shd w:val="clear" w:color="auto" w:fill="auto"/>
            <w:hideMark/>
          </w:tcPr>
          <w:p w14:paraId="6A21057B"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u w:val="single"/>
                <w:lang w:val="en-US"/>
              </w:rPr>
              <w:t>Steroids</w:t>
            </w:r>
            <w:r w:rsidRPr="00F532B5">
              <w:rPr>
                <w:rFonts w:ascii="Book Antiqua" w:eastAsia="Times New Roman" w:hAnsi="Book Antiqua"/>
                <w:color w:val="auto"/>
                <w:sz w:val="24"/>
                <w:szCs w:val="24"/>
                <w:lang w:val="en-US"/>
              </w:rPr>
              <w:t xml:space="preserve"> - Prednisolone </w:t>
            </w:r>
          </w:p>
          <w:p w14:paraId="0FDC4270"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Dose - 10-40 mg/d Methylprednisolone Dose - 0.5-1.0 g/d</w:t>
            </w:r>
          </w:p>
          <w:p w14:paraId="0FED74BE"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Duration – NS</w:t>
            </w:r>
          </w:p>
          <w:p w14:paraId="739F79ED" w14:textId="38028182" w:rsidR="001868EC" w:rsidRPr="000F553F" w:rsidRDefault="000F553F"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olor w:val="auto"/>
                <w:sz w:val="24"/>
                <w:szCs w:val="24"/>
                <w:lang w:val="en-US" w:eastAsia="zh-CN"/>
              </w:rPr>
            </w:pPr>
            <w:r w:rsidRPr="000F553F">
              <w:rPr>
                <w:rFonts w:ascii="Book Antiqua" w:eastAsia="Times New Roman" w:hAnsi="Book Antiqua"/>
                <w:i/>
                <w:color w:val="auto"/>
                <w:sz w:val="24"/>
                <w:szCs w:val="24"/>
                <w:lang w:val="en-US"/>
              </w:rPr>
              <w:t>n</w:t>
            </w:r>
            <w:r w:rsidR="001868EC" w:rsidRPr="00F532B5">
              <w:rPr>
                <w:rFonts w:ascii="Book Antiqua" w:eastAsia="Times New Roman" w:hAnsi="Book Antiqua"/>
                <w:color w:val="auto"/>
                <w:sz w:val="24"/>
                <w:szCs w:val="24"/>
                <w:lang w:val="en-US"/>
              </w:rPr>
              <w:t xml:space="preserve"> = 39</w:t>
            </w:r>
          </w:p>
        </w:tc>
        <w:tc>
          <w:tcPr>
            <w:tcW w:w="2835" w:type="dxa"/>
            <w:tcBorders>
              <w:left w:val="nil"/>
              <w:right w:val="nil"/>
            </w:tcBorders>
            <w:shd w:val="clear" w:color="auto" w:fill="auto"/>
            <w:hideMark/>
          </w:tcPr>
          <w:p w14:paraId="48156691"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u w:val="single"/>
                <w:lang w:val="en-US"/>
              </w:rPr>
              <w:t>Steroids</w:t>
            </w:r>
            <w:r w:rsidRPr="00F532B5">
              <w:rPr>
                <w:rFonts w:ascii="Book Antiqua" w:eastAsia="Times New Roman" w:hAnsi="Book Antiqua"/>
                <w:color w:val="auto"/>
                <w:sz w:val="24"/>
                <w:szCs w:val="24"/>
                <w:lang w:val="en-US"/>
              </w:rPr>
              <w:t xml:space="preserve"> </w:t>
            </w:r>
          </w:p>
          <w:p w14:paraId="780CB10C"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Recovery - 38.5%</w:t>
            </w:r>
          </w:p>
          <w:p w14:paraId="19F11A8A"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Surgery - 15.4% Mortality - 31%</w:t>
            </w:r>
          </w:p>
        </w:tc>
        <w:tc>
          <w:tcPr>
            <w:tcW w:w="3260" w:type="dxa"/>
            <w:vMerge w:val="restart"/>
            <w:tcBorders>
              <w:left w:val="nil"/>
            </w:tcBorders>
            <w:shd w:val="clear" w:color="auto" w:fill="auto"/>
            <w:hideMark/>
          </w:tcPr>
          <w:p w14:paraId="5193D94D" w14:textId="31C973F9"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Six steroid patients underwent surgery.</w:t>
            </w:r>
            <w:r w:rsidR="006D7818">
              <w:rPr>
                <w:rFonts w:ascii="Book Antiqua" w:eastAsia="Times New Roman" w:hAnsi="Book Antiqua"/>
                <w:color w:val="auto"/>
                <w:sz w:val="24"/>
                <w:szCs w:val="24"/>
                <w:lang w:val="en-US"/>
              </w:rPr>
              <w:t xml:space="preserve"> </w:t>
            </w:r>
            <w:r w:rsidRPr="00F532B5">
              <w:rPr>
                <w:rFonts w:ascii="Book Antiqua" w:eastAsia="Times New Roman" w:hAnsi="Book Antiqua"/>
                <w:color w:val="auto"/>
                <w:sz w:val="24"/>
                <w:szCs w:val="24"/>
                <w:lang w:val="en-US"/>
              </w:rPr>
              <w:t>Surgical treatment consisted of total enterolysis.</w:t>
            </w:r>
          </w:p>
        </w:tc>
      </w:tr>
      <w:tr w:rsidR="00F532B5" w:rsidRPr="00F532B5" w14:paraId="47A3587E" w14:textId="77777777" w:rsidTr="00B62F71">
        <w:trPr>
          <w:trHeight w:val="1343"/>
        </w:trPr>
        <w:tc>
          <w:tcPr>
            <w:tcW w:w="0" w:type="auto"/>
            <w:vMerge/>
            <w:tcBorders>
              <w:top w:val="nil"/>
              <w:right w:val="nil"/>
            </w:tcBorders>
            <w:vAlign w:val="center"/>
            <w:hideMark/>
          </w:tcPr>
          <w:p w14:paraId="306B4E0D"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0" w:type="auto"/>
            <w:vMerge/>
            <w:tcBorders>
              <w:top w:val="nil"/>
              <w:left w:val="nil"/>
              <w:right w:val="nil"/>
            </w:tcBorders>
            <w:vAlign w:val="center"/>
            <w:hideMark/>
          </w:tcPr>
          <w:p w14:paraId="1F9E0D0F"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0" w:type="auto"/>
            <w:vMerge/>
            <w:tcBorders>
              <w:top w:val="nil"/>
              <w:left w:val="nil"/>
              <w:right w:val="nil"/>
            </w:tcBorders>
            <w:vAlign w:val="center"/>
            <w:hideMark/>
          </w:tcPr>
          <w:p w14:paraId="0D67C51B"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3139" w:type="dxa"/>
            <w:tcBorders>
              <w:top w:val="nil"/>
              <w:left w:val="nil"/>
              <w:right w:val="nil"/>
            </w:tcBorders>
            <w:shd w:val="clear" w:color="auto" w:fill="auto"/>
            <w:hideMark/>
          </w:tcPr>
          <w:p w14:paraId="61014950"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u w:val="single"/>
                <w:lang w:val="en-US"/>
              </w:rPr>
              <w:t>Surgery</w:t>
            </w:r>
            <w:r w:rsidRPr="00F532B5">
              <w:rPr>
                <w:rFonts w:ascii="Book Antiqua" w:eastAsia="Times New Roman" w:hAnsi="Book Antiqua"/>
                <w:color w:val="auto"/>
                <w:sz w:val="24"/>
                <w:szCs w:val="24"/>
                <w:lang w:val="en-US"/>
              </w:rPr>
              <w:t xml:space="preserve"> </w:t>
            </w:r>
          </w:p>
          <w:p w14:paraId="09667E39"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 xml:space="preserve">Total enterolysis </w:t>
            </w:r>
          </w:p>
          <w:p w14:paraId="3C05035C" w14:textId="42999B39" w:rsidR="001868EC" w:rsidRPr="00F532B5" w:rsidRDefault="000F553F"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0F553F">
              <w:rPr>
                <w:rFonts w:ascii="Book Antiqua" w:eastAsia="Times New Roman" w:hAnsi="Book Antiqua"/>
                <w:i/>
                <w:color w:val="auto"/>
                <w:sz w:val="24"/>
                <w:szCs w:val="24"/>
                <w:lang w:val="en-US"/>
              </w:rPr>
              <w:t>n</w:t>
            </w:r>
            <w:r w:rsidR="001868EC" w:rsidRPr="00F532B5">
              <w:rPr>
                <w:rFonts w:ascii="Book Antiqua" w:eastAsia="Times New Roman" w:hAnsi="Book Antiqua"/>
                <w:color w:val="auto"/>
                <w:sz w:val="24"/>
                <w:szCs w:val="24"/>
                <w:lang w:val="en-US"/>
              </w:rPr>
              <w:t xml:space="preserve"> = 12</w:t>
            </w:r>
            <w:r w:rsidR="006D7818">
              <w:rPr>
                <w:rFonts w:ascii="Book Antiqua" w:eastAsia="Times New Roman" w:hAnsi="Book Antiqua"/>
                <w:color w:val="auto"/>
                <w:sz w:val="24"/>
                <w:szCs w:val="24"/>
                <w:lang w:val="en-US"/>
              </w:rPr>
              <w:t xml:space="preserve"> </w:t>
            </w:r>
          </w:p>
        </w:tc>
        <w:tc>
          <w:tcPr>
            <w:tcW w:w="2835" w:type="dxa"/>
            <w:tcBorders>
              <w:top w:val="nil"/>
              <w:left w:val="nil"/>
              <w:right w:val="nil"/>
            </w:tcBorders>
            <w:shd w:val="clear" w:color="auto" w:fill="auto"/>
            <w:hideMark/>
          </w:tcPr>
          <w:p w14:paraId="275EB22C"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u w:val="single"/>
                <w:lang w:val="en-US"/>
              </w:rPr>
              <w:t>Surgery</w:t>
            </w:r>
          </w:p>
          <w:p w14:paraId="70009649" w14:textId="43518FD0" w:rsidR="001868EC" w:rsidRPr="000F553F"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olor w:val="auto"/>
                <w:sz w:val="24"/>
                <w:szCs w:val="24"/>
                <w:lang w:val="en-US" w:eastAsia="zh-CN"/>
              </w:rPr>
            </w:pPr>
            <w:r w:rsidRPr="00F532B5">
              <w:rPr>
                <w:rFonts w:ascii="Book Antiqua" w:eastAsia="Times New Roman" w:hAnsi="Book Antiqua"/>
                <w:color w:val="auto"/>
                <w:sz w:val="24"/>
                <w:szCs w:val="24"/>
                <w:lang w:val="en-US"/>
              </w:rPr>
              <w:t>Recovery - 58.3 % Mortality - 33%</w:t>
            </w:r>
          </w:p>
        </w:tc>
        <w:tc>
          <w:tcPr>
            <w:tcW w:w="3260" w:type="dxa"/>
            <w:vMerge/>
            <w:tcBorders>
              <w:top w:val="single" w:sz="4" w:space="0" w:color="000000"/>
              <w:left w:val="nil"/>
            </w:tcBorders>
            <w:vAlign w:val="center"/>
            <w:hideMark/>
          </w:tcPr>
          <w:p w14:paraId="61926115"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r>
      <w:tr w:rsidR="00F532B5" w:rsidRPr="00F532B5" w14:paraId="4AEA455A" w14:textId="77777777" w:rsidTr="00B62F71">
        <w:trPr>
          <w:trHeight w:val="895"/>
        </w:trPr>
        <w:tc>
          <w:tcPr>
            <w:tcW w:w="0" w:type="auto"/>
            <w:vMerge/>
            <w:tcBorders>
              <w:top w:val="nil"/>
              <w:right w:val="nil"/>
            </w:tcBorders>
            <w:vAlign w:val="center"/>
            <w:hideMark/>
          </w:tcPr>
          <w:p w14:paraId="6086A8E5"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0" w:type="auto"/>
            <w:vMerge/>
            <w:tcBorders>
              <w:top w:val="nil"/>
              <w:left w:val="nil"/>
              <w:right w:val="nil"/>
            </w:tcBorders>
            <w:vAlign w:val="center"/>
            <w:hideMark/>
          </w:tcPr>
          <w:p w14:paraId="290A5234"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0" w:type="auto"/>
            <w:vMerge/>
            <w:tcBorders>
              <w:top w:val="nil"/>
              <w:left w:val="nil"/>
              <w:right w:val="nil"/>
            </w:tcBorders>
            <w:vAlign w:val="center"/>
            <w:hideMark/>
          </w:tcPr>
          <w:p w14:paraId="0C0055C8"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3139" w:type="dxa"/>
            <w:tcBorders>
              <w:top w:val="nil"/>
              <w:left w:val="nil"/>
              <w:right w:val="nil"/>
            </w:tcBorders>
            <w:shd w:val="clear" w:color="auto" w:fill="auto"/>
            <w:hideMark/>
          </w:tcPr>
          <w:p w14:paraId="03E798AD"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u w:val="single"/>
                <w:lang w:val="en-US"/>
              </w:rPr>
              <w:t>Control</w:t>
            </w:r>
            <w:r w:rsidRPr="00F532B5">
              <w:rPr>
                <w:rFonts w:ascii="Book Antiqua" w:eastAsia="Times New Roman" w:hAnsi="Book Antiqua"/>
                <w:color w:val="auto"/>
                <w:sz w:val="24"/>
                <w:szCs w:val="24"/>
                <w:lang w:val="en-US"/>
              </w:rPr>
              <w:t xml:space="preserve"> </w:t>
            </w:r>
          </w:p>
          <w:p w14:paraId="66D8CF1B"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 xml:space="preserve">TPN-alone </w:t>
            </w:r>
          </w:p>
          <w:p w14:paraId="268E29BC" w14:textId="7416C70E" w:rsidR="001868EC" w:rsidRPr="00F532B5" w:rsidRDefault="000F553F"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0F553F">
              <w:rPr>
                <w:rFonts w:ascii="Book Antiqua" w:eastAsia="Times New Roman" w:hAnsi="Book Antiqua"/>
                <w:i/>
                <w:color w:val="auto"/>
                <w:sz w:val="24"/>
                <w:szCs w:val="24"/>
                <w:lang w:val="en-US"/>
              </w:rPr>
              <w:t>n</w:t>
            </w:r>
            <w:r w:rsidR="001868EC" w:rsidRPr="00F532B5">
              <w:rPr>
                <w:rFonts w:ascii="Book Antiqua" w:eastAsia="Times New Roman" w:hAnsi="Book Antiqua"/>
                <w:color w:val="auto"/>
                <w:sz w:val="24"/>
                <w:szCs w:val="24"/>
                <w:lang w:val="en-US"/>
              </w:rPr>
              <w:t xml:space="preserve"> = 3</w:t>
            </w:r>
          </w:p>
        </w:tc>
        <w:tc>
          <w:tcPr>
            <w:tcW w:w="2835" w:type="dxa"/>
            <w:tcBorders>
              <w:top w:val="nil"/>
              <w:left w:val="nil"/>
              <w:right w:val="nil"/>
            </w:tcBorders>
            <w:shd w:val="clear" w:color="auto" w:fill="auto"/>
            <w:hideMark/>
          </w:tcPr>
          <w:p w14:paraId="36E3CC7E"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u w:val="single"/>
                <w:lang w:val="en-US"/>
              </w:rPr>
            </w:pPr>
            <w:r w:rsidRPr="00F532B5">
              <w:rPr>
                <w:rFonts w:ascii="Book Antiqua" w:eastAsia="Times New Roman" w:hAnsi="Book Antiqua"/>
                <w:color w:val="auto"/>
                <w:sz w:val="24"/>
                <w:szCs w:val="24"/>
                <w:u w:val="single"/>
                <w:lang w:val="en-US"/>
              </w:rPr>
              <w:t>Control</w:t>
            </w:r>
          </w:p>
          <w:p w14:paraId="5C28C448"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Recovery - 0%</w:t>
            </w:r>
          </w:p>
          <w:p w14:paraId="22FED513"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Mortality - 66%</w:t>
            </w:r>
          </w:p>
        </w:tc>
        <w:tc>
          <w:tcPr>
            <w:tcW w:w="3260" w:type="dxa"/>
            <w:vMerge/>
            <w:tcBorders>
              <w:top w:val="single" w:sz="4" w:space="0" w:color="000000"/>
              <w:left w:val="nil"/>
            </w:tcBorders>
            <w:vAlign w:val="center"/>
            <w:hideMark/>
          </w:tcPr>
          <w:p w14:paraId="2541085B"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r>
      <w:tr w:rsidR="00F532B5" w:rsidRPr="00F532B5" w14:paraId="3FE6B45F" w14:textId="77777777" w:rsidTr="00B62F71">
        <w:trPr>
          <w:trHeight w:val="2239"/>
        </w:trPr>
        <w:tc>
          <w:tcPr>
            <w:tcW w:w="0" w:type="auto"/>
            <w:tcBorders>
              <w:right w:val="nil"/>
            </w:tcBorders>
            <w:shd w:val="clear" w:color="auto" w:fill="auto"/>
            <w:hideMark/>
          </w:tcPr>
          <w:p w14:paraId="187373AD"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Maruyama 2008</w:t>
            </w:r>
          </w:p>
        </w:tc>
        <w:tc>
          <w:tcPr>
            <w:tcW w:w="0" w:type="auto"/>
            <w:tcBorders>
              <w:left w:val="nil"/>
              <w:right w:val="nil"/>
            </w:tcBorders>
            <w:shd w:val="clear" w:color="auto" w:fill="auto"/>
            <w:hideMark/>
          </w:tcPr>
          <w:p w14:paraId="20296F7E"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Retrospective case series</w:t>
            </w:r>
          </w:p>
        </w:tc>
        <w:tc>
          <w:tcPr>
            <w:tcW w:w="0" w:type="auto"/>
            <w:tcBorders>
              <w:left w:val="nil"/>
              <w:right w:val="nil"/>
            </w:tcBorders>
            <w:shd w:val="clear" w:color="auto" w:fill="auto"/>
            <w:hideMark/>
          </w:tcPr>
          <w:p w14:paraId="70A6FEBA" w14:textId="1E4ACEB8" w:rsidR="001868EC" w:rsidRPr="00F532B5" w:rsidRDefault="000F553F"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0F553F">
              <w:rPr>
                <w:rFonts w:ascii="Book Antiqua" w:eastAsia="Times New Roman" w:hAnsi="Book Antiqua"/>
                <w:i/>
                <w:color w:val="auto"/>
                <w:sz w:val="24"/>
                <w:szCs w:val="24"/>
                <w:lang w:val="en-US"/>
              </w:rPr>
              <w:t>n</w:t>
            </w:r>
            <w:r w:rsidR="001868EC" w:rsidRPr="00F532B5">
              <w:rPr>
                <w:rFonts w:ascii="Book Antiqua" w:eastAsia="Times New Roman" w:hAnsi="Book Antiqua"/>
                <w:color w:val="auto"/>
                <w:sz w:val="24"/>
                <w:szCs w:val="24"/>
                <w:lang w:val="en-US"/>
              </w:rPr>
              <w:t xml:space="preserve"> = 79</w:t>
            </w:r>
          </w:p>
          <w:p w14:paraId="51870A20"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Japan</w:t>
            </w:r>
          </w:p>
          <w:p w14:paraId="449C3E53"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PD patients</w:t>
            </w:r>
          </w:p>
        </w:tc>
        <w:tc>
          <w:tcPr>
            <w:tcW w:w="3139" w:type="dxa"/>
            <w:tcBorders>
              <w:left w:val="nil"/>
              <w:right w:val="nil"/>
            </w:tcBorders>
            <w:shd w:val="clear" w:color="auto" w:fill="auto"/>
            <w:hideMark/>
          </w:tcPr>
          <w:p w14:paraId="390FC1AE"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u w:val="single"/>
                <w:lang w:val="en-US"/>
              </w:rPr>
            </w:pPr>
            <w:r w:rsidRPr="00F532B5">
              <w:rPr>
                <w:rFonts w:ascii="Book Antiqua" w:eastAsia="Times New Roman" w:hAnsi="Book Antiqua"/>
                <w:color w:val="auto"/>
                <w:sz w:val="24"/>
                <w:szCs w:val="24"/>
                <w:u w:val="single"/>
                <w:lang w:val="en-US"/>
              </w:rPr>
              <w:t xml:space="preserve">Steroids </w:t>
            </w:r>
          </w:p>
          <w:p w14:paraId="2C860DA6"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 xml:space="preserve">Prednisolone </w:t>
            </w:r>
          </w:p>
          <w:p w14:paraId="2DC66030"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Dose – 2.6-60 mg/d</w:t>
            </w:r>
          </w:p>
          <w:p w14:paraId="2E64E4D6"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Duration - 1-36 mo</w:t>
            </w:r>
          </w:p>
          <w:p w14:paraId="6FAB9F96" w14:textId="00DBF5DA" w:rsidR="001868EC" w:rsidRPr="00F532B5" w:rsidRDefault="000F553F"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0F553F">
              <w:rPr>
                <w:rFonts w:ascii="Book Antiqua" w:eastAsia="Times New Roman" w:hAnsi="Book Antiqua"/>
                <w:i/>
                <w:color w:val="auto"/>
                <w:sz w:val="24"/>
                <w:szCs w:val="24"/>
                <w:lang w:val="en-US"/>
              </w:rPr>
              <w:t>n</w:t>
            </w:r>
            <w:r w:rsidR="001868EC" w:rsidRPr="00F532B5">
              <w:rPr>
                <w:rFonts w:ascii="Book Antiqua" w:eastAsia="Times New Roman" w:hAnsi="Book Antiqua"/>
                <w:color w:val="auto"/>
                <w:sz w:val="24"/>
                <w:szCs w:val="24"/>
                <w:lang w:val="en-US"/>
              </w:rPr>
              <w:t xml:space="preserve"> = 79</w:t>
            </w:r>
          </w:p>
        </w:tc>
        <w:tc>
          <w:tcPr>
            <w:tcW w:w="2835" w:type="dxa"/>
            <w:tcBorders>
              <w:left w:val="nil"/>
              <w:right w:val="nil"/>
            </w:tcBorders>
            <w:shd w:val="clear" w:color="auto" w:fill="auto"/>
            <w:hideMark/>
          </w:tcPr>
          <w:p w14:paraId="26162006"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u w:val="single"/>
                <w:lang w:val="en-US"/>
              </w:rPr>
              <w:t>Steroids</w:t>
            </w:r>
          </w:p>
          <w:p w14:paraId="39D75AA0"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 xml:space="preserve">Mortality – </w:t>
            </w:r>
          </w:p>
          <w:p w14:paraId="15BC7ACD"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Stage 2 – 3.6%</w:t>
            </w:r>
          </w:p>
          <w:p w14:paraId="7ABFD9AB"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Stage 3 – 14.3%</w:t>
            </w:r>
          </w:p>
          <w:p w14:paraId="2D0E751A"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Stage 4 – 25%</w:t>
            </w:r>
          </w:p>
        </w:tc>
        <w:tc>
          <w:tcPr>
            <w:tcW w:w="3260" w:type="dxa"/>
            <w:tcBorders>
              <w:left w:val="nil"/>
            </w:tcBorders>
            <w:shd w:val="clear" w:color="auto" w:fill="auto"/>
            <w:hideMark/>
          </w:tcPr>
          <w:p w14:paraId="1EAF2337"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Did not compare to a control group.</w:t>
            </w:r>
          </w:p>
        </w:tc>
      </w:tr>
      <w:tr w:rsidR="00F532B5" w:rsidRPr="00F532B5" w14:paraId="0CEBD095" w14:textId="77777777" w:rsidTr="00B62F71">
        <w:trPr>
          <w:trHeight w:val="1090"/>
        </w:trPr>
        <w:tc>
          <w:tcPr>
            <w:tcW w:w="0" w:type="auto"/>
            <w:vMerge w:val="restart"/>
            <w:tcBorders>
              <w:right w:val="nil"/>
            </w:tcBorders>
            <w:shd w:val="clear" w:color="auto" w:fill="auto"/>
            <w:hideMark/>
          </w:tcPr>
          <w:p w14:paraId="10A26D9E"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Balasubramanian 2009</w:t>
            </w:r>
          </w:p>
        </w:tc>
        <w:tc>
          <w:tcPr>
            <w:tcW w:w="0" w:type="auto"/>
            <w:vMerge w:val="restart"/>
            <w:tcBorders>
              <w:left w:val="nil"/>
              <w:right w:val="nil"/>
            </w:tcBorders>
            <w:shd w:val="clear" w:color="auto" w:fill="auto"/>
            <w:hideMark/>
          </w:tcPr>
          <w:p w14:paraId="4253F65A"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Retrospective case series</w:t>
            </w:r>
          </w:p>
        </w:tc>
        <w:tc>
          <w:tcPr>
            <w:tcW w:w="0" w:type="auto"/>
            <w:vMerge w:val="restart"/>
            <w:tcBorders>
              <w:left w:val="nil"/>
              <w:right w:val="nil"/>
            </w:tcBorders>
            <w:shd w:val="clear" w:color="auto" w:fill="auto"/>
            <w:hideMark/>
          </w:tcPr>
          <w:p w14:paraId="2A1EBE20" w14:textId="2AC786BE" w:rsidR="001868EC" w:rsidRPr="00F532B5" w:rsidRDefault="000F553F"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0F553F">
              <w:rPr>
                <w:rFonts w:ascii="Book Antiqua" w:eastAsia="Times New Roman" w:hAnsi="Book Antiqua"/>
                <w:i/>
                <w:color w:val="auto"/>
                <w:sz w:val="24"/>
                <w:szCs w:val="24"/>
                <w:lang w:val="en-US"/>
              </w:rPr>
              <w:t>n</w:t>
            </w:r>
            <w:r w:rsidR="001868EC" w:rsidRPr="00F532B5">
              <w:rPr>
                <w:rFonts w:ascii="Book Antiqua" w:eastAsia="Times New Roman" w:hAnsi="Book Antiqua"/>
                <w:color w:val="auto"/>
                <w:sz w:val="24"/>
                <w:szCs w:val="24"/>
                <w:lang w:val="en-US"/>
              </w:rPr>
              <w:t xml:space="preserve"> = 111</w:t>
            </w:r>
          </w:p>
          <w:p w14:paraId="7870ACE2" w14:textId="1301B176" w:rsidR="001868EC" w:rsidRPr="000F553F"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olor w:val="auto"/>
                <w:sz w:val="24"/>
                <w:szCs w:val="24"/>
                <w:lang w:val="en-US" w:eastAsia="zh-CN"/>
              </w:rPr>
            </w:pPr>
            <w:r w:rsidRPr="00F532B5">
              <w:rPr>
                <w:rFonts w:ascii="Book Antiqua" w:eastAsia="Times New Roman" w:hAnsi="Book Antiqua"/>
                <w:color w:val="auto"/>
                <w:sz w:val="24"/>
                <w:szCs w:val="24"/>
                <w:lang w:val="en-US"/>
              </w:rPr>
              <w:t>U</w:t>
            </w:r>
            <w:r w:rsidR="000F553F">
              <w:rPr>
                <w:rFonts w:ascii="Book Antiqua" w:hAnsi="Book Antiqua" w:hint="eastAsia"/>
                <w:color w:val="auto"/>
                <w:sz w:val="24"/>
                <w:szCs w:val="24"/>
                <w:lang w:val="en-US" w:eastAsia="zh-CN"/>
              </w:rPr>
              <w:t xml:space="preserve">nited </w:t>
            </w:r>
            <w:r w:rsidRPr="00F532B5">
              <w:rPr>
                <w:rFonts w:ascii="Book Antiqua" w:eastAsia="Times New Roman" w:hAnsi="Book Antiqua"/>
                <w:color w:val="auto"/>
                <w:sz w:val="24"/>
                <w:szCs w:val="24"/>
                <w:lang w:val="en-US"/>
              </w:rPr>
              <w:t>K</w:t>
            </w:r>
            <w:r w:rsidR="000F553F">
              <w:rPr>
                <w:rFonts w:ascii="Book Antiqua" w:hAnsi="Book Antiqua" w:hint="eastAsia"/>
                <w:color w:val="auto"/>
                <w:sz w:val="24"/>
                <w:szCs w:val="24"/>
                <w:lang w:val="en-US" w:eastAsia="zh-CN"/>
              </w:rPr>
              <w:t>ingdom</w:t>
            </w:r>
          </w:p>
          <w:p w14:paraId="15A56373" w14:textId="04C8477D" w:rsidR="001868EC" w:rsidRPr="00503E7A"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olor w:val="auto"/>
                <w:sz w:val="24"/>
                <w:szCs w:val="24"/>
                <w:lang w:val="en-US" w:eastAsia="zh-CN"/>
              </w:rPr>
            </w:pPr>
            <w:r w:rsidRPr="00F532B5">
              <w:rPr>
                <w:rFonts w:ascii="Book Antiqua" w:eastAsia="Times New Roman" w:hAnsi="Book Antiqua"/>
                <w:color w:val="auto"/>
                <w:sz w:val="24"/>
                <w:szCs w:val="24"/>
                <w:lang w:val="en-US"/>
              </w:rPr>
              <w:t>PD patients Age - 52.0 y</w:t>
            </w:r>
            <w:r w:rsidR="00503E7A">
              <w:rPr>
                <w:rFonts w:ascii="Book Antiqua" w:hAnsi="Book Antiqua" w:hint="eastAsia"/>
                <w:color w:val="auto"/>
                <w:sz w:val="24"/>
                <w:szCs w:val="24"/>
                <w:lang w:val="en-US" w:eastAsia="zh-CN"/>
              </w:rPr>
              <w:t>r</w:t>
            </w:r>
          </w:p>
          <w:p w14:paraId="04E4E44F"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53% female</w:t>
            </w:r>
          </w:p>
        </w:tc>
        <w:tc>
          <w:tcPr>
            <w:tcW w:w="3139" w:type="dxa"/>
            <w:tcBorders>
              <w:left w:val="nil"/>
              <w:right w:val="nil"/>
            </w:tcBorders>
            <w:shd w:val="clear" w:color="auto" w:fill="auto"/>
            <w:hideMark/>
          </w:tcPr>
          <w:p w14:paraId="5C1760A5"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u w:val="single"/>
                <w:lang w:val="en-US"/>
              </w:rPr>
              <w:t>Steroids ± immunosuppression</w:t>
            </w:r>
            <w:r w:rsidRPr="00F532B5">
              <w:rPr>
                <w:rFonts w:ascii="Book Antiqua" w:eastAsia="Times New Roman" w:hAnsi="Book Antiqua"/>
                <w:color w:val="auto"/>
                <w:sz w:val="24"/>
                <w:szCs w:val="24"/>
                <w:lang w:val="en-US"/>
              </w:rPr>
              <w:t xml:space="preserve"> </w:t>
            </w:r>
          </w:p>
          <w:p w14:paraId="07E391C1" w14:textId="21B55355" w:rsidR="001868EC" w:rsidRPr="00F532B5" w:rsidRDefault="000F553F"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0F553F">
              <w:rPr>
                <w:rFonts w:ascii="Book Antiqua" w:eastAsia="Times New Roman" w:hAnsi="Book Antiqua"/>
                <w:i/>
                <w:color w:val="auto"/>
                <w:sz w:val="24"/>
                <w:szCs w:val="24"/>
                <w:lang w:val="en-US"/>
              </w:rPr>
              <w:t>n</w:t>
            </w:r>
            <w:r w:rsidRPr="00F532B5">
              <w:rPr>
                <w:rFonts w:ascii="Book Antiqua" w:eastAsia="Times New Roman" w:hAnsi="Book Antiqua"/>
                <w:color w:val="auto"/>
                <w:sz w:val="24"/>
                <w:szCs w:val="24"/>
                <w:lang w:val="en-US"/>
              </w:rPr>
              <w:t xml:space="preserve"> </w:t>
            </w:r>
            <w:r w:rsidR="001868EC" w:rsidRPr="00F532B5">
              <w:rPr>
                <w:rFonts w:ascii="Book Antiqua" w:eastAsia="Times New Roman" w:hAnsi="Book Antiqua"/>
                <w:color w:val="auto"/>
                <w:sz w:val="24"/>
                <w:szCs w:val="24"/>
                <w:lang w:val="en-US"/>
              </w:rPr>
              <w:t>= 7</w:t>
            </w:r>
            <w:r w:rsidR="006D7818">
              <w:rPr>
                <w:rFonts w:ascii="Book Antiqua" w:eastAsia="Times New Roman" w:hAnsi="Book Antiqua"/>
                <w:color w:val="auto"/>
                <w:sz w:val="24"/>
                <w:szCs w:val="24"/>
                <w:lang w:val="en-US"/>
              </w:rPr>
              <w:t xml:space="preserve"> </w:t>
            </w:r>
          </w:p>
          <w:p w14:paraId="405B5D99"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2835" w:type="dxa"/>
            <w:tcBorders>
              <w:left w:val="nil"/>
              <w:right w:val="nil"/>
            </w:tcBorders>
            <w:shd w:val="clear" w:color="auto" w:fill="auto"/>
            <w:hideMark/>
          </w:tcPr>
          <w:p w14:paraId="0C22912C" w14:textId="110707FA"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u w:val="single"/>
                <w:lang w:val="en-US"/>
              </w:rPr>
              <w:t>Steroids ± immunosuppression</w:t>
            </w:r>
            <w:r w:rsidR="006D7818">
              <w:rPr>
                <w:rFonts w:ascii="Book Antiqua" w:eastAsia="Times New Roman" w:hAnsi="Book Antiqua"/>
                <w:color w:val="auto"/>
                <w:sz w:val="24"/>
                <w:szCs w:val="24"/>
                <w:lang w:val="en-US"/>
              </w:rPr>
              <w:t xml:space="preserve"> </w:t>
            </w:r>
            <w:r w:rsidRPr="00F532B5">
              <w:rPr>
                <w:rFonts w:ascii="Book Antiqua" w:eastAsia="Times New Roman" w:hAnsi="Book Antiqua"/>
                <w:color w:val="auto"/>
                <w:sz w:val="24"/>
                <w:szCs w:val="24"/>
                <w:lang w:val="en-US"/>
              </w:rPr>
              <w:t>Median survival 7 mo</w:t>
            </w:r>
            <w:r w:rsidR="006D7818">
              <w:rPr>
                <w:rFonts w:ascii="Book Antiqua" w:eastAsia="Times New Roman" w:hAnsi="Book Antiqua"/>
                <w:color w:val="auto"/>
                <w:sz w:val="24"/>
                <w:szCs w:val="24"/>
                <w:lang w:val="en-US"/>
              </w:rPr>
              <w:t xml:space="preserve"> </w:t>
            </w:r>
          </w:p>
        </w:tc>
        <w:tc>
          <w:tcPr>
            <w:tcW w:w="3260" w:type="dxa"/>
            <w:vMerge w:val="restart"/>
            <w:tcBorders>
              <w:left w:val="nil"/>
            </w:tcBorders>
            <w:shd w:val="clear" w:color="auto" w:fill="auto"/>
            <w:hideMark/>
          </w:tcPr>
          <w:p w14:paraId="25280F9D" w14:textId="615C4FB4"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Dose and duration of medications not specified.</w:t>
            </w:r>
            <w:r w:rsidR="006D7818">
              <w:rPr>
                <w:rFonts w:ascii="Book Antiqua" w:eastAsia="Times New Roman" w:hAnsi="Book Antiqua"/>
                <w:color w:val="auto"/>
                <w:sz w:val="24"/>
                <w:szCs w:val="24"/>
                <w:lang w:val="en-US"/>
              </w:rPr>
              <w:t xml:space="preserve"> </w:t>
            </w:r>
            <w:r w:rsidRPr="00F532B5">
              <w:rPr>
                <w:rFonts w:ascii="Book Antiqua" w:eastAsia="Times New Roman" w:hAnsi="Book Antiqua"/>
                <w:color w:val="auto"/>
                <w:sz w:val="24"/>
                <w:szCs w:val="24"/>
                <w:lang w:val="en-US"/>
              </w:rPr>
              <w:t>Numerous patients received combinations of therapies.</w:t>
            </w:r>
            <w:r w:rsidR="006D7818">
              <w:rPr>
                <w:rFonts w:ascii="Book Antiqua" w:eastAsia="Times New Roman" w:hAnsi="Book Antiqua"/>
                <w:color w:val="auto"/>
                <w:sz w:val="24"/>
                <w:szCs w:val="24"/>
                <w:lang w:val="en-US"/>
              </w:rPr>
              <w:t xml:space="preserve"> </w:t>
            </w:r>
            <w:r w:rsidRPr="00F532B5">
              <w:rPr>
                <w:rFonts w:ascii="Book Antiqua" w:eastAsia="Times New Roman" w:hAnsi="Book Antiqua"/>
                <w:color w:val="auto"/>
                <w:sz w:val="24"/>
                <w:szCs w:val="24"/>
                <w:lang w:val="en-US"/>
              </w:rPr>
              <w:t>Immunosuppression consisted of azathioprine, cyclosporin, tacrolimus, mycophenolate mofetil, or sirolimus.</w:t>
            </w:r>
            <w:r w:rsidR="006D7818">
              <w:rPr>
                <w:rFonts w:ascii="Book Antiqua" w:eastAsia="Times New Roman" w:hAnsi="Book Antiqua"/>
                <w:color w:val="auto"/>
                <w:sz w:val="24"/>
                <w:szCs w:val="24"/>
                <w:lang w:val="en-US"/>
              </w:rPr>
              <w:t xml:space="preserve"> </w:t>
            </w:r>
            <w:r w:rsidRPr="00F532B5">
              <w:rPr>
                <w:rFonts w:ascii="Book Antiqua" w:eastAsia="Times New Roman" w:hAnsi="Book Antiqua"/>
                <w:color w:val="auto"/>
                <w:sz w:val="24"/>
                <w:szCs w:val="24"/>
                <w:lang w:val="en-US"/>
              </w:rPr>
              <w:t xml:space="preserve">Unable to analyze </w:t>
            </w:r>
            <w:r w:rsidRPr="00F532B5">
              <w:rPr>
                <w:rFonts w:ascii="Book Antiqua" w:eastAsia="Times New Roman" w:hAnsi="Book Antiqua"/>
                <w:color w:val="auto"/>
                <w:sz w:val="24"/>
                <w:szCs w:val="24"/>
                <w:lang w:val="en-US"/>
              </w:rPr>
              <w:lastRenderedPageBreak/>
              <w:t>statistically due to heterogeneity in groups.</w:t>
            </w:r>
          </w:p>
        </w:tc>
      </w:tr>
      <w:tr w:rsidR="00F532B5" w:rsidRPr="00F532B5" w14:paraId="2A33EDE5" w14:textId="77777777" w:rsidTr="00B62F71">
        <w:trPr>
          <w:trHeight w:val="925"/>
        </w:trPr>
        <w:tc>
          <w:tcPr>
            <w:tcW w:w="0" w:type="auto"/>
            <w:vMerge/>
            <w:tcBorders>
              <w:top w:val="nil"/>
              <w:right w:val="nil"/>
            </w:tcBorders>
            <w:vAlign w:val="center"/>
            <w:hideMark/>
          </w:tcPr>
          <w:p w14:paraId="4DAD8FBD"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0" w:type="auto"/>
            <w:vMerge/>
            <w:tcBorders>
              <w:top w:val="nil"/>
              <w:left w:val="nil"/>
              <w:right w:val="nil"/>
            </w:tcBorders>
            <w:vAlign w:val="center"/>
            <w:hideMark/>
          </w:tcPr>
          <w:p w14:paraId="16701490"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0" w:type="auto"/>
            <w:vMerge/>
            <w:tcBorders>
              <w:top w:val="nil"/>
              <w:left w:val="nil"/>
              <w:right w:val="nil"/>
            </w:tcBorders>
            <w:vAlign w:val="center"/>
            <w:hideMark/>
          </w:tcPr>
          <w:p w14:paraId="64D1960D"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3139" w:type="dxa"/>
            <w:tcBorders>
              <w:top w:val="nil"/>
              <w:left w:val="nil"/>
              <w:right w:val="nil"/>
            </w:tcBorders>
            <w:shd w:val="clear" w:color="auto" w:fill="auto"/>
            <w:hideMark/>
          </w:tcPr>
          <w:p w14:paraId="57766456"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u w:val="single"/>
                <w:lang w:val="en-US"/>
              </w:rPr>
              <w:t>Tamoxifen</w:t>
            </w:r>
            <w:r w:rsidRPr="00F532B5">
              <w:rPr>
                <w:rFonts w:ascii="Book Antiqua" w:eastAsia="Times New Roman" w:hAnsi="Book Antiqua"/>
                <w:color w:val="auto"/>
                <w:sz w:val="24"/>
                <w:szCs w:val="24"/>
                <w:lang w:val="en-US"/>
              </w:rPr>
              <w:t xml:space="preserve"> </w:t>
            </w:r>
          </w:p>
          <w:p w14:paraId="73F41B7E" w14:textId="78DC1C80" w:rsidR="001868EC" w:rsidRPr="00F532B5" w:rsidRDefault="000F553F"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0F553F">
              <w:rPr>
                <w:rFonts w:ascii="Book Antiqua" w:eastAsia="Times New Roman" w:hAnsi="Book Antiqua"/>
                <w:i/>
                <w:color w:val="auto"/>
                <w:sz w:val="24"/>
                <w:szCs w:val="24"/>
                <w:lang w:val="en-US"/>
              </w:rPr>
              <w:t>n</w:t>
            </w:r>
            <w:r w:rsidR="001868EC" w:rsidRPr="00F532B5">
              <w:rPr>
                <w:rFonts w:ascii="Book Antiqua" w:eastAsia="Times New Roman" w:hAnsi="Book Antiqua"/>
                <w:color w:val="auto"/>
                <w:sz w:val="24"/>
                <w:szCs w:val="24"/>
                <w:lang w:val="en-US"/>
              </w:rPr>
              <w:t xml:space="preserve"> = 17</w:t>
            </w:r>
          </w:p>
        </w:tc>
        <w:tc>
          <w:tcPr>
            <w:tcW w:w="2835" w:type="dxa"/>
            <w:tcBorders>
              <w:top w:val="nil"/>
              <w:left w:val="nil"/>
              <w:right w:val="nil"/>
            </w:tcBorders>
            <w:shd w:val="clear" w:color="auto" w:fill="auto"/>
            <w:vAlign w:val="bottom"/>
            <w:hideMark/>
          </w:tcPr>
          <w:p w14:paraId="76CFB252"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u w:val="single"/>
                <w:lang w:val="en-US"/>
              </w:rPr>
              <w:t>Tamoxifen</w:t>
            </w:r>
            <w:r w:rsidRPr="00F532B5">
              <w:rPr>
                <w:rFonts w:ascii="Book Antiqua" w:eastAsia="Times New Roman" w:hAnsi="Book Antiqua"/>
                <w:color w:val="auto"/>
                <w:sz w:val="24"/>
                <w:szCs w:val="24"/>
                <w:lang w:val="en-US"/>
              </w:rPr>
              <w:t xml:space="preserve"> </w:t>
            </w:r>
          </w:p>
          <w:p w14:paraId="18F8F63E"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Median survival 15 mo</w:t>
            </w:r>
          </w:p>
        </w:tc>
        <w:tc>
          <w:tcPr>
            <w:tcW w:w="3260" w:type="dxa"/>
            <w:vMerge/>
            <w:tcBorders>
              <w:top w:val="single" w:sz="4" w:space="0" w:color="000000"/>
              <w:left w:val="nil"/>
            </w:tcBorders>
            <w:vAlign w:val="center"/>
            <w:hideMark/>
          </w:tcPr>
          <w:p w14:paraId="220B6525"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r>
      <w:tr w:rsidR="00F532B5" w:rsidRPr="00F532B5" w14:paraId="3510C9F3" w14:textId="77777777" w:rsidTr="00B62F71">
        <w:trPr>
          <w:trHeight w:val="1343"/>
        </w:trPr>
        <w:tc>
          <w:tcPr>
            <w:tcW w:w="0" w:type="auto"/>
            <w:vMerge/>
            <w:tcBorders>
              <w:top w:val="nil"/>
              <w:right w:val="nil"/>
            </w:tcBorders>
            <w:vAlign w:val="center"/>
            <w:hideMark/>
          </w:tcPr>
          <w:p w14:paraId="253A3F89"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0" w:type="auto"/>
            <w:vMerge/>
            <w:tcBorders>
              <w:top w:val="nil"/>
              <w:left w:val="nil"/>
              <w:right w:val="nil"/>
            </w:tcBorders>
            <w:vAlign w:val="center"/>
            <w:hideMark/>
          </w:tcPr>
          <w:p w14:paraId="46A44056"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0" w:type="auto"/>
            <w:vMerge/>
            <w:tcBorders>
              <w:top w:val="nil"/>
              <w:left w:val="nil"/>
              <w:right w:val="nil"/>
            </w:tcBorders>
            <w:vAlign w:val="center"/>
            <w:hideMark/>
          </w:tcPr>
          <w:p w14:paraId="26450DB8"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3139" w:type="dxa"/>
            <w:tcBorders>
              <w:top w:val="nil"/>
              <w:left w:val="nil"/>
              <w:right w:val="nil"/>
            </w:tcBorders>
            <w:shd w:val="clear" w:color="auto" w:fill="auto"/>
            <w:hideMark/>
          </w:tcPr>
          <w:p w14:paraId="422C0397"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u w:val="single"/>
                <w:lang w:val="en-US"/>
              </w:rPr>
              <w:t>Tamoxifen + steroids ± immunosuppression</w:t>
            </w:r>
            <w:r w:rsidRPr="00F532B5">
              <w:rPr>
                <w:rFonts w:ascii="Book Antiqua" w:eastAsia="Times New Roman" w:hAnsi="Book Antiqua"/>
                <w:color w:val="auto"/>
                <w:sz w:val="24"/>
                <w:szCs w:val="24"/>
                <w:lang w:val="en-US"/>
              </w:rPr>
              <w:t xml:space="preserve"> n = 8</w:t>
            </w:r>
          </w:p>
          <w:p w14:paraId="2D929717"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2835" w:type="dxa"/>
            <w:tcBorders>
              <w:top w:val="nil"/>
              <w:left w:val="nil"/>
              <w:right w:val="nil"/>
            </w:tcBorders>
            <w:shd w:val="clear" w:color="auto" w:fill="auto"/>
            <w:hideMark/>
          </w:tcPr>
          <w:p w14:paraId="6BBB2206"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p w14:paraId="051523C3"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u w:val="single"/>
                <w:lang w:val="en-US"/>
              </w:rPr>
              <w:t>Tamoxifen + steroids ± immunosuppression</w:t>
            </w:r>
            <w:r w:rsidRPr="00F532B5">
              <w:rPr>
                <w:rFonts w:ascii="Book Antiqua" w:eastAsia="Times New Roman" w:hAnsi="Book Antiqua"/>
                <w:color w:val="auto"/>
                <w:sz w:val="24"/>
                <w:szCs w:val="24"/>
                <w:lang w:val="en-US"/>
              </w:rPr>
              <w:t xml:space="preserve"> </w:t>
            </w:r>
          </w:p>
          <w:p w14:paraId="1709B2C1"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lastRenderedPageBreak/>
              <w:t>Median survival 14 mo</w:t>
            </w:r>
          </w:p>
        </w:tc>
        <w:tc>
          <w:tcPr>
            <w:tcW w:w="3260" w:type="dxa"/>
            <w:vMerge/>
            <w:tcBorders>
              <w:top w:val="single" w:sz="4" w:space="0" w:color="000000"/>
              <w:left w:val="nil"/>
            </w:tcBorders>
            <w:vAlign w:val="center"/>
            <w:hideMark/>
          </w:tcPr>
          <w:p w14:paraId="6A1B5174"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r>
      <w:tr w:rsidR="00F532B5" w:rsidRPr="00F532B5" w14:paraId="1327D57E" w14:textId="77777777" w:rsidTr="00B62F71">
        <w:trPr>
          <w:trHeight w:val="1791"/>
        </w:trPr>
        <w:tc>
          <w:tcPr>
            <w:tcW w:w="0" w:type="auto"/>
            <w:vMerge/>
            <w:tcBorders>
              <w:top w:val="nil"/>
              <w:right w:val="nil"/>
            </w:tcBorders>
            <w:vAlign w:val="center"/>
            <w:hideMark/>
          </w:tcPr>
          <w:p w14:paraId="60203DF3"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0" w:type="auto"/>
            <w:vMerge/>
            <w:tcBorders>
              <w:top w:val="nil"/>
              <w:left w:val="nil"/>
              <w:right w:val="nil"/>
            </w:tcBorders>
            <w:vAlign w:val="center"/>
            <w:hideMark/>
          </w:tcPr>
          <w:p w14:paraId="4FF588D7"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0" w:type="auto"/>
            <w:vMerge/>
            <w:tcBorders>
              <w:top w:val="nil"/>
              <w:left w:val="nil"/>
              <w:right w:val="nil"/>
            </w:tcBorders>
            <w:vAlign w:val="center"/>
            <w:hideMark/>
          </w:tcPr>
          <w:p w14:paraId="198F79B9"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3139" w:type="dxa"/>
            <w:tcBorders>
              <w:top w:val="nil"/>
              <w:left w:val="nil"/>
              <w:right w:val="nil"/>
            </w:tcBorders>
            <w:shd w:val="clear" w:color="auto" w:fill="auto"/>
            <w:hideMark/>
          </w:tcPr>
          <w:p w14:paraId="303D6AFA"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u w:val="single"/>
                <w:lang w:val="en-US"/>
              </w:rPr>
              <w:t>Surgery</w:t>
            </w:r>
            <w:r w:rsidRPr="00F532B5">
              <w:rPr>
                <w:rFonts w:ascii="Book Antiqua" w:eastAsia="Times New Roman" w:hAnsi="Book Antiqua"/>
                <w:color w:val="auto"/>
                <w:sz w:val="24"/>
                <w:szCs w:val="24"/>
                <w:lang w:val="en-US"/>
              </w:rPr>
              <w:t xml:space="preserve"> </w:t>
            </w:r>
          </w:p>
          <w:p w14:paraId="3F3DB836" w14:textId="0EC2CD06"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Adhesiolysis (</w:t>
            </w:r>
            <w:r w:rsidR="00503E7A" w:rsidRPr="000F553F">
              <w:rPr>
                <w:rFonts w:ascii="Book Antiqua" w:eastAsia="Times New Roman" w:hAnsi="Book Antiqua"/>
                <w:i/>
                <w:color w:val="auto"/>
                <w:sz w:val="24"/>
                <w:szCs w:val="24"/>
                <w:lang w:val="en-US"/>
              </w:rPr>
              <w:t>n</w:t>
            </w:r>
            <w:r w:rsidRPr="00F532B5">
              <w:rPr>
                <w:rFonts w:ascii="Book Antiqua" w:eastAsia="Times New Roman" w:hAnsi="Book Antiqua"/>
                <w:color w:val="auto"/>
                <w:sz w:val="24"/>
                <w:szCs w:val="24"/>
                <w:lang w:val="en-US"/>
              </w:rPr>
              <w:t xml:space="preserve"> = 5) jejunostomy (</w:t>
            </w:r>
            <w:r w:rsidR="00503E7A" w:rsidRPr="000F553F">
              <w:rPr>
                <w:rFonts w:ascii="Book Antiqua" w:eastAsia="Times New Roman" w:hAnsi="Book Antiqua"/>
                <w:i/>
                <w:color w:val="auto"/>
                <w:sz w:val="24"/>
                <w:szCs w:val="24"/>
                <w:lang w:val="en-US"/>
              </w:rPr>
              <w:t>n</w:t>
            </w:r>
            <w:r w:rsidRPr="00F532B5">
              <w:rPr>
                <w:rFonts w:ascii="Book Antiqua" w:eastAsia="Times New Roman" w:hAnsi="Book Antiqua"/>
                <w:color w:val="auto"/>
                <w:sz w:val="24"/>
                <w:szCs w:val="24"/>
                <w:lang w:val="en-US"/>
              </w:rPr>
              <w:t xml:space="preserve"> = 1) Small bowel resection (</w:t>
            </w:r>
            <w:r w:rsidR="000F553F" w:rsidRPr="000F553F">
              <w:rPr>
                <w:rFonts w:ascii="Book Antiqua" w:eastAsia="Times New Roman" w:hAnsi="Book Antiqua"/>
                <w:i/>
                <w:color w:val="auto"/>
                <w:sz w:val="24"/>
                <w:szCs w:val="24"/>
                <w:lang w:val="en-US"/>
              </w:rPr>
              <w:t>n</w:t>
            </w:r>
            <w:r w:rsidRPr="00F532B5">
              <w:rPr>
                <w:rFonts w:ascii="Book Antiqua" w:eastAsia="Times New Roman" w:hAnsi="Book Antiqua"/>
                <w:color w:val="auto"/>
                <w:sz w:val="24"/>
                <w:szCs w:val="24"/>
                <w:lang w:val="en-US"/>
              </w:rPr>
              <w:t xml:space="preserve"> = 1)</w:t>
            </w:r>
          </w:p>
          <w:p w14:paraId="3DD0BCB8" w14:textId="1FCEB681"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Ileal-transverse colon bypass (</w:t>
            </w:r>
            <w:r w:rsidR="000F553F" w:rsidRPr="000F553F">
              <w:rPr>
                <w:rFonts w:ascii="Book Antiqua" w:eastAsia="Times New Roman" w:hAnsi="Book Antiqua"/>
                <w:i/>
                <w:color w:val="auto"/>
                <w:sz w:val="24"/>
                <w:szCs w:val="24"/>
                <w:lang w:val="en-US"/>
              </w:rPr>
              <w:t>n</w:t>
            </w:r>
            <w:r w:rsidRPr="00F532B5">
              <w:rPr>
                <w:rFonts w:ascii="Book Antiqua" w:eastAsia="Times New Roman" w:hAnsi="Book Antiqua"/>
                <w:color w:val="auto"/>
                <w:sz w:val="24"/>
                <w:szCs w:val="24"/>
                <w:lang w:val="en-US"/>
              </w:rPr>
              <w:t xml:space="preserve"> = 1)</w:t>
            </w:r>
          </w:p>
        </w:tc>
        <w:tc>
          <w:tcPr>
            <w:tcW w:w="2835" w:type="dxa"/>
            <w:tcBorders>
              <w:top w:val="nil"/>
              <w:left w:val="nil"/>
              <w:right w:val="nil"/>
            </w:tcBorders>
            <w:shd w:val="clear" w:color="auto" w:fill="auto"/>
            <w:hideMark/>
          </w:tcPr>
          <w:p w14:paraId="0BE4B52A"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u w:val="single"/>
                <w:lang w:val="en-US"/>
              </w:rPr>
              <w:t>Surgery</w:t>
            </w:r>
            <w:r w:rsidRPr="00F532B5">
              <w:rPr>
                <w:rFonts w:ascii="Book Antiqua" w:eastAsia="Times New Roman" w:hAnsi="Book Antiqua"/>
                <w:color w:val="auto"/>
                <w:sz w:val="24"/>
                <w:szCs w:val="24"/>
                <w:lang w:val="en-US"/>
              </w:rPr>
              <w:t xml:space="preserve"> </w:t>
            </w:r>
          </w:p>
          <w:p w14:paraId="6006C953"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Median survival 17 mo</w:t>
            </w:r>
          </w:p>
        </w:tc>
        <w:tc>
          <w:tcPr>
            <w:tcW w:w="3260" w:type="dxa"/>
            <w:vMerge/>
            <w:tcBorders>
              <w:top w:val="single" w:sz="4" w:space="0" w:color="000000"/>
              <w:left w:val="nil"/>
            </w:tcBorders>
            <w:vAlign w:val="center"/>
            <w:hideMark/>
          </w:tcPr>
          <w:p w14:paraId="7F665069"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r>
      <w:tr w:rsidR="00F532B5" w:rsidRPr="00F532B5" w14:paraId="3D11B6A1" w14:textId="77777777" w:rsidTr="00B62F71">
        <w:trPr>
          <w:trHeight w:val="895"/>
        </w:trPr>
        <w:tc>
          <w:tcPr>
            <w:tcW w:w="0" w:type="auto"/>
            <w:vMerge/>
            <w:tcBorders>
              <w:top w:val="nil"/>
              <w:right w:val="nil"/>
            </w:tcBorders>
            <w:vAlign w:val="center"/>
            <w:hideMark/>
          </w:tcPr>
          <w:p w14:paraId="7A35F44C"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0" w:type="auto"/>
            <w:vMerge/>
            <w:tcBorders>
              <w:top w:val="nil"/>
              <w:left w:val="nil"/>
              <w:right w:val="nil"/>
            </w:tcBorders>
            <w:vAlign w:val="center"/>
            <w:hideMark/>
          </w:tcPr>
          <w:p w14:paraId="02EA0A4A"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0" w:type="auto"/>
            <w:vMerge/>
            <w:tcBorders>
              <w:top w:val="nil"/>
              <w:left w:val="nil"/>
              <w:right w:val="nil"/>
            </w:tcBorders>
            <w:vAlign w:val="center"/>
            <w:hideMark/>
          </w:tcPr>
          <w:p w14:paraId="679963F7"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3139" w:type="dxa"/>
            <w:tcBorders>
              <w:top w:val="nil"/>
              <w:left w:val="nil"/>
              <w:right w:val="nil"/>
            </w:tcBorders>
            <w:shd w:val="clear" w:color="auto" w:fill="auto"/>
            <w:hideMark/>
          </w:tcPr>
          <w:p w14:paraId="029CE596" w14:textId="77777777" w:rsidR="001868EC" w:rsidRPr="000F553F"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olor w:val="auto"/>
                <w:sz w:val="24"/>
                <w:szCs w:val="24"/>
                <w:lang w:val="en-US" w:eastAsia="zh-CN"/>
              </w:rPr>
            </w:pPr>
          </w:p>
          <w:p w14:paraId="5820505B"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u w:val="single"/>
                <w:lang w:val="en-US"/>
              </w:rPr>
            </w:pPr>
            <w:r w:rsidRPr="00F532B5">
              <w:rPr>
                <w:rFonts w:ascii="Book Antiqua" w:eastAsia="Times New Roman" w:hAnsi="Book Antiqua"/>
                <w:color w:val="auto"/>
                <w:sz w:val="24"/>
                <w:szCs w:val="24"/>
                <w:u w:val="single"/>
                <w:lang w:val="en-US"/>
              </w:rPr>
              <w:t xml:space="preserve">Control </w:t>
            </w:r>
          </w:p>
          <w:p w14:paraId="6AB79AFC" w14:textId="2B4E603A"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No specific drug therapy (</w:t>
            </w:r>
            <w:r w:rsidR="000F553F" w:rsidRPr="000F553F">
              <w:rPr>
                <w:rFonts w:ascii="Book Antiqua" w:eastAsia="Times New Roman" w:hAnsi="Book Antiqua"/>
                <w:i/>
                <w:color w:val="auto"/>
                <w:sz w:val="24"/>
                <w:szCs w:val="24"/>
                <w:lang w:val="en-US"/>
              </w:rPr>
              <w:t>n</w:t>
            </w:r>
            <w:r w:rsidRPr="00F532B5">
              <w:rPr>
                <w:rFonts w:ascii="Book Antiqua" w:eastAsia="Times New Roman" w:hAnsi="Book Antiqua"/>
                <w:color w:val="auto"/>
                <w:sz w:val="24"/>
                <w:szCs w:val="24"/>
                <w:lang w:val="en-US"/>
              </w:rPr>
              <w:t xml:space="preserve"> = 46)</w:t>
            </w:r>
          </w:p>
        </w:tc>
        <w:tc>
          <w:tcPr>
            <w:tcW w:w="2835" w:type="dxa"/>
            <w:tcBorders>
              <w:top w:val="nil"/>
              <w:left w:val="nil"/>
              <w:right w:val="nil"/>
            </w:tcBorders>
            <w:shd w:val="clear" w:color="auto" w:fill="auto"/>
            <w:hideMark/>
          </w:tcPr>
          <w:p w14:paraId="20C1A3EB" w14:textId="77777777" w:rsidR="001868EC" w:rsidRPr="000F553F"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olor w:val="auto"/>
                <w:sz w:val="24"/>
                <w:szCs w:val="24"/>
                <w:lang w:val="en-US" w:eastAsia="zh-CN"/>
              </w:rPr>
            </w:pPr>
          </w:p>
          <w:p w14:paraId="3FBA3734"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u w:val="single"/>
                <w:lang w:val="en-US"/>
              </w:rPr>
              <w:t>Control</w:t>
            </w:r>
            <w:r w:rsidRPr="00F532B5">
              <w:rPr>
                <w:rFonts w:ascii="Book Antiqua" w:eastAsia="Times New Roman" w:hAnsi="Book Antiqua"/>
                <w:color w:val="auto"/>
                <w:sz w:val="24"/>
                <w:szCs w:val="24"/>
                <w:lang w:val="en-US"/>
              </w:rPr>
              <w:t xml:space="preserve"> </w:t>
            </w:r>
          </w:p>
          <w:p w14:paraId="65E48EA5"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Median survival 13 mo</w:t>
            </w:r>
          </w:p>
        </w:tc>
        <w:tc>
          <w:tcPr>
            <w:tcW w:w="3260" w:type="dxa"/>
            <w:vMerge/>
            <w:tcBorders>
              <w:top w:val="single" w:sz="4" w:space="0" w:color="000000"/>
              <w:left w:val="nil"/>
            </w:tcBorders>
            <w:vAlign w:val="center"/>
            <w:hideMark/>
          </w:tcPr>
          <w:p w14:paraId="0C413818"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r>
      <w:tr w:rsidR="00F532B5" w:rsidRPr="00F532B5" w14:paraId="5725DE68" w14:textId="77777777" w:rsidTr="00B62F71">
        <w:trPr>
          <w:trHeight w:val="2075"/>
        </w:trPr>
        <w:tc>
          <w:tcPr>
            <w:tcW w:w="0" w:type="auto"/>
            <w:vMerge w:val="restart"/>
            <w:tcBorders>
              <w:right w:val="nil"/>
            </w:tcBorders>
            <w:shd w:val="clear" w:color="auto" w:fill="auto"/>
            <w:hideMark/>
          </w:tcPr>
          <w:p w14:paraId="6B980405"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Korte 2011</w:t>
            </w:r>
          </w:p>
        </w:tc>
        <w:tc>
          <w:tcPr>
            <w:tcW w:w="0" w:type="auto"/>
            <w:vMerge w:val="restart"/>
            <w:tcBorders>
              <w:left w:val="nil"/>
              <w:right w:val="nil"/>
            </w:tcBorders>
            <w:shd w:val="clear" w:color="auto" w:fill="auto"/>
            <w:hideMark/>
          </w:tcPr>
          <w:p w14:paraId="41DF233C"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Retrospective survival analysis</w:t>
            </w:r>
          </w:p>
        </w:tc>
        <w:tc>
          <w:tcPr>
            <w:tcW w:w="0" w:type="auto"/>
            <w:vMerge w:val="restart"/>
            <w:tcBorders>
              <w:left w:val="nil"/>
              <w:right w:val="nil"/>
            </w:tcBorders>
            <w:shd w:val="clear" w:color="auto" w:fill="auto"/>
            <w:hideMark/>
          </w:tcPr>
          <w:p w14:paraId="28579289" w14:textId="5220A5C9" w:rsidR="001868EC" w:rsidRPr="00F532B5" w:rsidRDefault="00503E7A"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0F553F">
              <w:rPr>
                <w:rFonts w:ascii="Book Antiqua" w:eastAsia="Times New Roman" w:hAnsi="Book Antiqua"/>
                <w:i/>
                <w:color w:val="auto"/>
                <w:sz w:val="24"/>
                <w:szCs w:val="24"/>
                <w:lang w:val="en-US"/>
              </w:rPr>
              <w:t>n</w:t>
            </w:r>
            <w:r w:rsidR="001868EC" w:rsidRPr="00F532B5">
              <w:rPr>
                <w:rFonts w:ascii="Book Antiqua" w:eastAsia="Times New Roman" w:hAnsi="Book Antiqua"/>
                <w:color w:val="auto"/>
                <w:sz w:val="24"/>
                <w:szCs w:val="24"/>
                <w:lang w:val="en-US"/>
              </w:rPr>
              <w:t xml:space="preserve"> = 63</w:t>
            </w:r>
          </w:p>
          <w:p w14:paraId="429D4E29" w14:textId="47D961EF"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Netherlands PD patients Age 43.4 y</w:t>
            </w:r>
            <w:r w:rsidR="000F553F">
              <w:rPr>
                <w:rFonts w:ascii="Book Antiqua" w:hAnsi="Book Antiqua" w:hint="eastAsia"/>
                <w:color w:val="auto"/>
                <w:sz w:val="24"/>
                <w:szCs w:val="24"/>
                <w:lang w:val="en-US" w:eastAsia="zh-CN"/>
              </w:rPr>
              <w:t>r</w:t>
            </w:r>
            <w:r w:rsidRPr="00F532B5">
              <w:rPr>
                <w:rFonts w:ascii="Book Antiqua" w:eastAsia="Times New Roman" w:hAnsi="Book Antiqua"/>
                <w:color w:val="auto"/>
                <w:sz w:val="24"/>
                <w:szCs w:val="24"/>
                <w:lang w:val="en-US"/>
              </w:rPr>
              <w:t xml:space="preserve"> 50% female </w:t>
            </w:r>
          </w:p>
        </w:tc>
        <w:tc>
          <w:tcPr>
            <w:tcW w:w="3139" w:type="dxa"/>
            <w:tcBorders>
              <w:left w:val="nil"/>
              <w:right w:val="nil"/>
            </w:tcBorders>
            <w:shd w:val="clear" w:color="auto" w:fill="auto"/>
            <w:hideMark/>
          </w:tcPr>
          <w:p w14:paraId="27CC642C"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u w:val="single"/>
                <w:lang w:val="en-US"/>
              </w:rPr>
            </w:pPr>
            <w:r w:rsidRPr="00F532B5">
              <w:rPr>
                <w:rFonts w:ascii="Book Antiqua" w:eastAsia="Times New Roman" w:hAnsi="Book Antiqua"/>
                <w:color w:val="auto"/>
                <w:sz w:val="24"/>
                <w:szCs w:val="24"/>
                <w:u w:val="single"/>
                <w:lang w:val="en-US"/>
              </w:rPr>
              <w:t>Tamoxifen</w:t>
            </w:r>
          </w:p>
          <w:p w14:paraId="672BA753"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 xml:space="preserve">Dose - Dose 10 mg/d to 20 mg twice daily </w:t>
            </w:r>
          </w:p>
          <w:p w14:paraId="10BF15F7"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Duration – at least 4 weeks</w:t>
            </w:r>
          </w:p>
          <w:p w14:paraId="3F2A6E32" w14:textId="1BFD0E86" w:rsidR="001868EC" w:rsidRPr="000F553F" w:rsidRDefault="000F553F"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olor w:val="auto"/>
                <w:sz w:val="24"/>
                <w:szCs w:val="24"/>
                <w:lang w:val="en-US" w:eastAsia="zh-CN"/>
              </w:rPr>
            </w:pPr>
            <w:r w:rsidRPr="000F553F">
              <w:rPr>
                <w:rFonts w:ascii="Book Antiqua" w:eastAsia="Times New Roman" w:hAnsi="Book Antiqua"/>
                <w:i/>
                <w:color w:val="auto"/>
                <w:sz w:val="24"/>
                <w:szCs w:val="24"/>
                <w:lang w:val="en-US"/>
              </w:rPr>
              <w:t>n</w:t>
            </w:r>
            <w:r w:rsidR="001868EC" w:rsidRPr="00F532B5">
              <w:rPr>
                <w:rFonts w:ascii="Book Antiqua" w:eastAsia="Times New Roman" w:hAnsi="Book Antiqua"/>
                <w:color w:val="auto"/>
                <w:sz w:val="24"/>
                <w:szCs w:val="24"/>
                <w:lang w:val="en-US"/>
              </w:rPr>
              <w:t xml:space="preserve"> = 24</w:t>
            </w:r>
          </w:p>
          <w:p w14:paraId="59D24DC7"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u w:val="single"/>
                <w:lang w:val="en-US"/>
              </w:rPr>
            </w:pPr>
            <w:r w:rsidRPr="00F532B5">
              <w:rPr>
                <w:rFonts w:ascii="Book Antiqua" w:eastAsia="Times New Roman" w:hAnsi="Book Antiqua"/>
                <w:color w:val="auto"/>
                <w:sz w:val="24"/>
                <w:szCs w:val="24"/>
                <w:u w:val="single"/>
                <w:lang w:val="en-US"/>
              </w:rPr>
              <w:t>Control</w:t>
            </w:r>
          </w:p>
        </w:tc>
        <w:tc>
          <w:tcPr>
            <w:tcW w:w="2835" w:type="dxa"/>
            <w:tcBorders>
              <w:left w:val="nil"/>
              <w:right w:val="nil"/>
            </w:tcBorders>
            <w:shd w:val="clear" w:color="auto" w:fill="auto"/>
            <w:hideMark/>
          </w:tcPr>
          <w:p w14:paraId="73FEAE6C"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u w:val="single"/>
                <w:lang w:val="en-US"/>
              </w:rPr>
            </w:pPr>
            <w:r w:rsidRPr="00F532B5">
              <w:rPr>
                <w:rFonts w:ascii="Book Antiqua" w:eastAsia="Times New Roman" w:hAnsi="Book Antiqua"/>
                <w:color w:val="auto"/>
                <w:sz w:val="24"/>
                <w:szCs w:val="24"/>
                <w:u w:val="single"/>
                <w:lang w:val="en-US"/>
              </w:rPr>
              <w:t>Tamoxifen</w:t>
            </w:r>
          </w:p>
          <w:p w14:paraId="0C764AFE"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 xml:space="preserve">Mortality rate </w:t>
            </w:r>
            <w:r w:rsidRPr="00F532B5">
              <w:rPr>
                <w:rFonts w:ascii="Book Antiqua" w:eastAsia="Times New Roman" w:hAnsi="Book Antiqua"/>
                <w:b/>
                <w:color w:val="auto"/>
                <w:sz w:val="24"/>
                <w:szCs w:val="24"/>
                <w:lang w:val="en-US"/>
              </w:rPr>
              <w:t>-</w:t>
            </w:r>
            <w:r w:rsidRPr="00F532B5">
              <w:rPr>
                <w:rFonts w:ascii="Book Antiqua" w:eastAsia="Times New Roman" w:hAnsi="Book Antiqua"/>
                <w:color w:val="auto"/>
                <w:sz w:val="24"/>
                <w:szCs w:val="24"/>
                <w:lang w:val="en-US"/>
              </w:rPr>
              <w:t xml:space="preserve"> 45.8%</w:t>
            </w:r>
          </w:p>
        </w:tc>
        <w:tc>
          <w:tcPr>
            <w:tcW w:w="3260" w:type="dxa"/>
            <w:vMerge w:val="restart"/>
            <w:tcBorders>
              <w:left w:val="nil"/>
            </w:tcBorders>
            <w:shd w:val="clear" w:color="auto" w:fill="auto"/>
            <w:hideMark/>
          </w:tcPr>
          <w:p w14:paraId="31279903" w14:textId="6A89D8A8"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None underwent surgery in either group.</w:t>
            </w:r>
            <w:r w:rsidR="006D7818">
              <w:rPr>
                <w:rFonts w:ascii="Book Antiqua" w:eastAsia="Times New Roman" w:hAnsi="Book Antiqua"/>
                <w:color w:val="auto"/>
                <w:sz w:val="24"/>
                <w:szCs w:val="24"/>
                <w:lang w:val="en-US"/>
              </w:rPr>
              <w:t xml:space="preserve"> </w:t>
            </w:r>
            <w:r w:rsidRPr="00F532B5">
              <w:rPr>
                <w:rFonts w:ascii="Book Antiqua" w:eastAsia="Times New Roman" w:hAnsi="Book Antiqua"/>
                <w:color w:val="auto"/>
                <w:sz w:val="24"/>
                <w:szCs w:val="24"/>
                <w:lang w:val="en-US"/>
              </w:rPr>
              <w:t xml:space="preserve">Patients in both groups received steroids, which was not analyzed separately other than noting a trend towards improved mortality in the </w:t>
            </w:r>
            <w:r w:rsidRPr="00F532B5">
              <w:rPr>
                <w:rFonts w:ascii="Book Antiqua" w:eastAsia="Times New Roman" w:hAnsi="Book Antiqua"/>
                <w:color w:val="auto"/>
                <w:sz w:val="24"/>
                <w:szCs w:val="24"/>
                <w:lang w:val="en-US"/>
              </w:rPr>
              <w:lastRenderedPageBreak/>
              <w:t>tamoxifen group.</w:t>
            </w:r>
          </w:p>
        </w:tc>
      </w:tr>
      <w:tr w:rsidR="00F532B5" w:rsidRPr="00F532B5" w14:paraId="4A226B8B" w14:textId="77777777" w:rsidTr="00B62F71">
        <w:trPr>
          <w:trHeight w:val="392"/>
        </w:trPr>
        <w:tc>
          <w:tcPr>
            <w:tcW w:w="0" w:type="auto"/>
            <w:vMerge/>
            <w:tcBorders>
              <w:top w:val="nil"/>
              <w:right w:val="nil"/>
            </w:tcBorders>
            <w:vAlign w:val="center"/>
            <w:hideMark/>
          </w:tcPr>
          <w:p w14:paraId="62D21F36"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0" w:type="auto"/>
            <w:vMerge/>
            <w:tcBorders>
              <w:top w:val="nil"/>
              <w:left w:val="nil"/>
              <w:right w:val="nil"/>
            </w:tcBorders>
            <w:vAlign w:val="center"/>
            <w:hideMark/>
          </w:tcPr>
          <w:p w14:paraId="320435E2"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0" w:type="auto"/>
            <w:vMerge/>
            <w:tcBorders>
              <w:top w:val="nil"/>
              <w:left w:val="nil"/>
              <w:right w:val="nil"/>
            </w:tcBorders>
            <w:vAlign w:val="center"/>
            <w:hideMark/>
          </w:tcPr>
          <w:p w14:paraId="6693DBB7"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c>
          <w:tcPr>
            <w:tcW w:w="3139" w:type="dxa"/>
            <w:tcBorders>
              <w:top w:val="nil"/>
              <w:left w:val="nil"/>
              <w:right w:val="nil"/>
            </w:tcBorders>
            <w:shd w:val="clear" w:color="auto" w:fill="auto"/>
            <w:hideMark/>
          </w:tcPr>
          <w:p w14:paraId="5160F9A9"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 xml:space="preserve">No tamoxifen </w:t>
            </w:r>
          </w:p>
          <w:p w14:paraId="10569DBE" w14:textId="161E2EC3" w:rsidR="001868EC" w:rsidRPr="00F532B5" w:rsidRDefault="000F553F"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0F553F">
              <w:rPr>
                <w:rFonts w:ascii="Book Antiqua" w:eastAsia="Times New Roman" w:hAnsi="Book Antiqua"/>
                <w:i/>
                <w:color w:val="auto"/>
                <w:sz w:val="24"/>
                <w:szCs w:val="24"/>
                <w:lang w:val="en-US"/>
              </w:rPr>
              <w:lastRenderedPageBreak/>
              <w:t>n</w:t>
            </w:r>
            <w:r w:rsidR="001868EC" w:rsidRPr="00F532B5">
              <w:rPr>
                <w:rFonts w:ascii="Book Antiqua" w:eastAsia="Times New Roman" w:hAnsi="Book Antiqua"/>
                <w:color w:val="auto"/>
                <w:sz w:val="24"/>
                <w:szCs w:val="24"/>
                <w:lang w:val="en-US"/>
              </w:rPr>
              <w:t xml:space="preserve"> =39</w:t>
            </w:r>
          </w:p>
        </w:tc>
        <w:tc>
          <w:tcPr>
            <w:tcW w:w="2835" w:type="dxa"/>
            <w:tcBorders>
              <w:top w:val="nil"/>
              <w:left w:val="nil"/>
              <w:right w:val="nil"/>
            </w:tcBorders>
            <w:shd w:val="clear" w:color="auto" w:fill="auto"/>
            <w:hideMark/>
          </w:tcPr>
          <w:p w14:paraId="65EE313A"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u w:val="single"/>
                <w:lang w:val="en-US"/>
              </w:rPr>
            </w:pPr>
            <w:r w:rsidRPr="00F532B5">
              <w:rPr>
                <w:rFonts w:ascii="Book Antiqua" w:eastAsia="Times New Roman" w:hAnsi="Book Antiqua"/>
                <w:color w:val="auto"/>
                <w:sz w:val="24"/>
                <w:szCs w:val="24"/>
                <w:u w:val="single"/>
                <w:lang w:val="en-US"/>
              </w:rPr>
              <w:lastRenderedPageBreak/>
              <w:t>Control</w:t>
            </w:r>
          </w:p>
          <w:p w14:paraId="7DE3688A"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lastRenderedPageBreak/>
              <w:t>Mortality rate - 74.4%</w:t>
            </w:r>
          </w:p>
        </w:tc>
        <w:tc>
          <w:tcPr>
            <w:tcW w:w="3260" w:type="dxa"/>
            <w:vMerge/>
            <w:tcBorders>
              <w:top w:val="single" w:sz="4" w:space="0" w:color="000000"/>
              <w:left w:val="nil"/>
            </w:tcBorders>
            <w:vAlign w:val="center"/>
            <w:hideMark/>
          </w:tcPr>
          <w:p w14:paraId="182E7A9C"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p>
        </w:tc>
      </w:tr>
      <w:tr w:rsidR="00F532B5" w:rsidRPr="00F532B5" w14:paraId="2DD932ED" w14:textId="77777777" w:rsidTr="00B62F71">
        <w:trPr>
          <w:trHeight w:val="2523"/>
        </w:trPr>
        <w:tc>
          <w:tcPr>
            <w:tcW w:w="0" w:type="auto"/>
            <w:tcBorders>
              <w:right w:val="nil"/>
            </w:tcBorders>
            <w:shd w:val="clear" w:color="auto" w:fill="auto"/>
            <w:hideMark/>
          </w:tcPr>
          <w:p w14:paraId="2584882B"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Kawanishi 2011</w:t>
            </w:r>
          </w:p>
        </w:tc>
        <w:tc>
          <w:tcPr>
            <w:tcW w:w="0" w:type="auto"/>
            <w:tcBorders>
              <w:left w:val="nil"/>
              <w:right w:val="nil"/>
            </w:tcBorders>
            <w:shd w:val="clear" w:color="auto" w:fill="auto"/>
            <w:hideMark/>
          </w:tcPr>
          <w:p w14:paraId="686896D6"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Retrospective case series</w:t>
            </w:r>
          </w:p>
        </w:tc>
        <w:tc>
          <w:tcPr>
            <w:tcW w:w="0" w:type="auto"/>
            <w:tcBorders>
              <w:left w:val="nil"/>
              <w:right w:val="nil"/>
            </w:tcBorders>
            <w:shd w:val="clear" w:color="auto" w:fill="auto"/>
            <w:hideMark/>
          </w:tcPr>
          <w:p w14:paraId="4984E942" w14:textId="77777777" w:rsidR="00503E7A"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olor w:val="auto"/>
                <w:sz w:val="24"/>
                <w:szCs w:val="24"/>
                <w:lang w:val="en-US" w:eastAsia="zh-CN"/>
              </w:rPr>
            </w:pPr>
            <w:r w:rsidRPr="000F553F">
              <w:rPr>
                <w:rFonts w:ascii="Book Antiqua" w:eastAsia="Times New Roman" w:hAnsi="Book Antiqua"/>
                <w:i/>
                <w:color w:val="auto"/>
                <w:sz w:val="24"/>
                <w:szCs w:val="24"/>
                <w:lang w:val="en-US"/>
              </w:rPr>
              <w:t>n</w:t>
            </w:r>
            <w:r w:rsidRPr="00F532B5">
              <w:rPr>
                <w:rFonts w:ascii="Book Antiqua" w:eastAsia="Times New Roman" w:hAnsi="Book Antiqua"/>
                <w:color w:val="auto"/>
                <w:sz w:val="24"/>
                <w:szCs w:val="24"/>
                <w:lang w:val="en-US"/>
              </w:rPr>
              <w:t xml:space="preserve"> = 181 </w:t>
            </w:r>
          </w:p>
          <w:p w14:paraId="0F6F78F2" w14:textId="0AF56FA2"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Japan</w:t>
            </w:r>
          </w:p>
          <w:p w14:paraId="427F904A"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PD patients</w:t>
            </w:r>
          </w:p>
        </w:tc>
        <w:tc>
          <w:tcPr>
            <w:tcW w:w="3139" w:type="dxa"/>
            <w:tcBorders>
              <w:left w:val="nil"/>
              <w:right w:val="nil"/>
            </w:tcBorders>
            <w:shd w:val="clear" w:color="auto" w:fill="auto"/>
            <w:hideMark/>
          </w:tcPr>
          <w:p w14:paraId="32CF3F73"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u w:val="single"/>
                <w:lang w:val="en-US"/>
              </w:rPr>
              <w:t>Surgery</w:t>
            </w:r>
            <w:r w:rsidRPr="00F532B5">
              <w:rPr>
                <w:rFonts w:ascii="Book Antiqua" w:eastAsia="Times New Roman" w:hAnsi="Book Antiqua"/>
                <w:color w:val="auto"/>
                <w:sz w:val="24"/>
                <w:szCs w:val="24"/>
                <w:lang w:val="en-US"/>
              </w:rPr>
              <w:t xml:space="preserve"> </w:t>
            </w:r>
          </w:p>
          <w:p w14:paraId="53C1ED14"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 xml:space="preserve">Total enterolysis </w:t>
            </w:r>
          </w:p>
          <w:p w14:paraId="51B0EAFC" w14:textId="77F5F1F9" w:rsidR="001868EC" w:rsidRPr="00F532B5" w:rsidRDefault="000F553F"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0F553F">
              <w:rPr>
                <w:rFonts w:ascii="Book Antiqua" w:eastAsia="Times New Roman" w:hAnsi="Book Antiqua"/>
                <w:i/>
                <w:color w:val="auto"/>
                <w:sz w:val="24"/>
                <w:szCs w:val="24"/>
                <w:lang w:val="en-US"/>
              </w:rPr>
              <w:t>n</w:t>
            </w:r>
            <w:r w:rsidR="001868EC" w:rsidRPr="00F532B5">
              <w:rPr>
                <w:rFonts w:ascii="Book Antiqua" w:eastAsia="Times New Roman" w:hAnsi="Book Antiqua"/>
                <w:color w:val="auto"/>
                <w:sz w:val="24"/>
                <w:szCs w:val="24"/>
                <w:lang w:val="en-US"/>
              </w:rPr>
              <w:t xml:space="preserve"> = 181</w:t>
            </w:r>
          </w:p>
        </w:tc>
        <w:tc>
          <w:tcPr>
            <w:tcW w:w="2835" w:type="dxa"/>
            <w:tcBorders>
              <w:left w:val="nil"/>
              <w:right w:val="nil"/>
            </w:tcBorders>
            <w:shd w:val="clear" w:color="auto" w:fill="auto"/>
            <w:hideMark/>
          </w:tcPr>
          <w:p w14:paraId="0B33B3C5"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u w:val="single"/>
                <w:lang w:val="en-US"/>
              </w:rPr>
            </w:pPr>
            <w:r w:rsidRPr="00F532B5">
              <w:rPr>
                <w:rFonts w:ascii="Book Antiqua" w:eastAsia="Times New Roman" w:hAnsi="Book Antiqua"/>
                <w:color w:val="auto"/>
                <w:sz w:val="24"/>
                <w:szCs w:val="24"/>
                <w:u w:val="single"/>
                <w:lang w:val="en-US"/>
              </w:rPr>
              <w:t>Surgery</w:t>
            </w:r>
          </w:p>
          <w:p w14:paraId="59844775"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Recurrence – 25.4%</w:t>
            </w:r>
          </w:p>
          <w:p w14:paraId="42B64ADD"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Surgical mortality – 7.7%</w:t>
            </w:r>
          </w:p>
          <w:p w14:paraId="6662E7AF"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Overall mortality – 35%</w:t>
            </w:r>
          </w:p>
          <w:p w14:paraId="7B5F17E3"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0/17 with Noble plication experienced recurrence at 8 mo</w:t>
            </w:r>
          </w:p>
        </w:tc>
        <w:tc>
          <w:tcPr>
            <w:tcW w:w="3260" w:type="dxa"/>
            <w:tcBorders>
              <w:left w:val="nil"/>
            </w:tcBorders>
            <w:shd w:val="clear" w:color="auto" w:fill="auto"/>
            <w:hideMark/>
          </w:tcPr>
          <w:p w14:paraId="0A244E36" w14:textId="312D3052"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Heterogeneous operation types.</w:t>
            </w:r>
            <w:r w:rsidR="006D7818">
              <w:rPr>
                <w:rFonts w:ascii="Book Antiqua" w:eastAsia="Times New Roman" w:hAnsi="Book Antiqua"/>
                <w:color w:val="auto"/>
                <w:sz w:val="24"/>
                <w:szCs w:val="24"/>
                <w:lang w:val="en-US"/>
              </w:rPr>
              <w:t xml:space="preserve"> </w:t>
            </w:r>
            <w:r w:rsidRPr="00F532B5">
              <w:rPr>
                <w:rFonts w:ascii="Book Antiqua" w:eastAsia="Times New Roman" w:hAnsi="Book Antiqua"/>
                <w:color w:val="auto"/>
                <w:sz w:val="24"/>
                <w:szCs w:val="24"/>
                <w:lang w:val="en-US"/>
              </w:rPr>
              <w:t>Those after April 2007 received Noble plication.</w:t>
            </w:r>
          </w:p>
        </w:tc>
      </w:tr>
      <w:tr w:rsidR="00320421" w:rsidRPr="00F532B5" w14:paraId="0C37FAD5" w14:textId="77777777" w:rsidTr="00B62F71">
        <w:trPr>
          <w:trHeight w:val="2684"/>
        </w:trPr>
        <w:tc>
          <w:tcPr>
            <w:tcW w:w="0" w:type="auto"/>
            <w:tcBorders>
              <w:bottom w:val="single" w:sz="8" w:space="0" w:color="auto"/>
              <w:right w:val="nil"/>
            </w:tcBorders>
            <w:shd w:val="clear" w:color="auto" w:fill="auto"/>
            <w:hideMark/>
          </w:tcPr>
          <w:p w14:paraId="0083889D"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Ulmer 2013</w:t>
            </w:r>
          </w:p>
        </w:tc>
        <w:tc>
          <w:tcPr>
            <w:tcW w:w="0" w:type="auto"/>
            <w:tcBorders>
              <w:left w:val="nil"/>
              <w:bottom w:val="single" w:sz="8" w:space="0" w:color="auto"/>
              <w:right w:val="nil"/>
            </w:tcBorders>
            <w:shd w:val="clear" w:color="auto" w:fill="auto"/>
            <w:hideMark/>
          </w:tcPr>
          <w:p w14:paraId="511CB2B2"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Retrospective case series</w:t>
            </w:r>
          </w:p>
        </w:tc>
        <w:tc>
          <w:tcPr>
            <w:tcW w:w="0" w:type="auto"/>
            <w:tcBorders>
              <w:left w:val="nil"/>
              <w:bottom w:val="single" w:sz="8" w:space="0" w:color="auto"/>
              <w:right w:val="nil"/>
            </w:tcBorders>
            <w:shd w:val="clear" w:color="auto" w:fill="auto"/>
            <w:hideMark/>
          </w:tcPr>
          <w:p w14:paraId="55003154" w14:textId="01EAEEA8" w:rsidR="001868EC" w:rsidRPr="00F532B5" w:rsidRDefault="000F553F"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0F553F">
              <w:rPr>
                <w:rFonts w:ascii="Book Antiqua" w:eastAsia="Times New Roman" w:hAnsi="Book Antiqua"/>
                <w:i/>
                <w:color w:val="auto"/>
                <w:sz w:val="24"/>
                <w:szCs w:val="24"/>
                <w:lang w:val="en-US"/>
              </w:rPr>
              <w:t>n</w:t>
            </w:r>
            <w:r w:rsidR="001868EC" w:rsidRPr="00F532B5">
              <w:rPr>
                <w:rFonts w:ascii="Book Antiqua" w:eastAsia="Times New Roman" w:hAnsi="Book Antiqua"/>
                <w:color w:val="auto"/>
                <w:sz w:val="24"/>
                <w:szCs w:val="24"/>
                <w:lang w:val="en-US"/>
              </w:rPr>
              <w:t xml:space="preserve"> = 26</w:t>
            </w:r>
          </w:p>
          <w:p w14:paraId="03714095" w14:textId="3150D8B7" w:rsidR="001868EC" w:rsidRPr="000F553F"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hAnsi="Book Antiqua"/>
                <w:color w:val="auto"/>
                <w:sz w:val="24"/>
                <w:szCs w:val="24"/>
                <w:lang w:val="en-US" w:eastAsia="zh-CN"/>
              </w:rPr>
            </w:pPr>
            <w:r w:rsidRPr="00F532B5">
              <w:rPr>
                <w:rFonts w:ascii="Book Antiqua" w:eastAsia="Times New Roman" w:hAnsi="Book Antiqua"/>
                <w:color w:val="auto"/>
                <w:sz w:val="24"/>
                <w:szCs w:val="24"/>
                <w:lang w:val="en-US"/>
              </w:rPr>
              <w:t>Netherlands PD patients Age 54 y</w:t>
            </w:r>
            <w:r w:rsidR="000F553F">
              <w:rPr>
                <w:rFonts w:ascii="Book Antiqua" w:hAnsi="Book Antiqua" w:hint="eastAsia"/>
                <w:color w:val="auto"/>
                <w:sz w:val="24"/>
                <w:szCs w:val="24"/>
                <w:lang w:val="en-US" w:eastAsia="zh-CN"/>
              </w:rPr>
              <w:t>r</w:t>
            </w:r>
          </w:p>
          <w:p w14:paraId="2AC7382C"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 xml:space="preserve">11% female </w:t>
            </w:r>
          </w:p>
        </w:tc>
        <w:tc>
          <w:tcPr>
            <w:tcW w:w="3139" w:type="dxa"/>
            <w:tcBorders>
              <w:left w:val="nil"/>
              <w:bottom w:val="single" w:sz="8" w:space="0" w:color="auto"/>
              <w:right w:val="nil"/>
            </w:tcBorders>
            <w:shd w:val="clear" w:color="auto" w:fill="auto"/>
            <w:hideMark/>
          </w:tcPr>
          <w:p w14:paraId="37C2B19F"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u w:val="single"/>
                <w:lang w:val="en-US"/>
              </w:rPr>
              <w:t>Surgery</w:t>
            </w:r>
            <w:r w:rsidRPr="00F532B5">
              <w:rPr>
                <w:rFonts w:ascii="Book Antiqua" w:eastAsia="Times New Roman" w:hAnsi="Book Antiqua"/>
                <w:color w:val="auto"/>
                <w:sz w:val="24"/>
                <w:szCs w:val="24"/>
                <w:lang w:val="en-US"/>
              </w:rPr>
              <w:t xml:space="preserve"> Peritonectomy and enterolysis (PEEL)</w:t>
            </w:r>
          </w:p>
        </w:tc>
        <w:tc>
          <w:tcPr>
            <w:tcW w:w="2835" w:type="dxa"/>
            <w:tcBorders>
              <w:left w:val="nil"/>
              <w:bottom w:val="single" w:sz="8" w:space="0" w:color="auto"/>
              <w:right w:val="nil"/>
            </w:tcBorders>
            <w:shd w:val="clear" w:color="auto" w:fill="auto"/>
            <w:hideMark/>
          </w:tcPr>
          <w:p w14:paraId="4324FF19"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u w:val="single"/>
                <w:lang w:val="en-US"/>
              </w:rPr>
            </w:pPr>
            <w:r w:rsidRPr="00F532B5">
              <w:rPr>
                <w:rFonts w:ascii="Book Antiqua" w:eastAsia="Times New Roman" w:hAnsi="Book Antiqua"/>
                <w:color w:val="auto"/>
                <w:sz w:val="24"/>
                <w:szCs w:val="24"/>
                <w:u w:val="single"/>
                <w:lang w:val="en-US"/>
              </w:rPr>
              <w:t>Surgery</w:t>
            </w:r>
          </w:p>
          <w:p w14:paraId="7D5B2FDB"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Major morbidity - 31%</w:t>
            </w:r>
          </w:p>
          <w:p w14:paraId="2E47D33B"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Reoperation – 17%</w:t>
            </w:r>
          </w:p>
          <w:p w14:paraId="147F3CDA"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Recurrence – 10%</w:t>
            </w:r>
          </w:p>
          <w:p w14:paraId="704E366F"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Surgical mortality – 10%</w:t>
            </w:r>
          </w:p>
        </w:tc>
        <w:tc>
          <w:tcPr>
            <w:tcW w:w="3260" w:type="dxa"/>
            <w:tcBorders>
              <w:left w:val="nil"/>
              <w:bottom w:val="single" w:sz="8" w:space="0" w:color="auto"/>
            </w:tcBorders>
            <w:shd w:val="clear" w:color="auto" w:fill="auto"/>
            <w:hideMark/>
          </w:tcPr>
          <w:p w14:paraId="038B25DB" w14:textId="77777777" w:rsidR="001868EC" w:rsidRPr="00F532B5" w:rsidRDefault="001868EC" w:rsidP="00D92508">
            <w:pPr>
              <w:pBdr>
                <w:top w:val="none" w:sz="0" w:space="0" w:color="auto"/>
                <w:left w:val="none" w:sz="0" w:space="0" w:color="auto"/>
                <w:bottom w:val="none" w:sz="0" w:space="0" w:color="auto"/>
                <w:right w:val="none" w:sz="0" w:space="0" w:color="auto"/>
                <w:between w:val="none" w:sz="0" w:space="0" w:color="auto"/>
              </w:pBdr>
              <w:snapToGrid w:val="0"/>
              <w:spacing w:line="360" w:lineRule="auto"/>
              <w:jc w:val="both"/>
              <w:rPr>
                <w:rFonts w:ascii="Book Antiqua" w:eastAsia="Times New Roman" w:hAnsi="Book Antiqua"/>
                <w:color w:val="auto"/>
                <w:sz w:val="24"/>
                <w:szCs w:val="24"/>
                <w:lang w:val="en-US"/>
              </w:rPr>
            </w:pPr>
            <w:r w:rsidRPr="00F532B5">
              <w:rPr>
                <w:rFonts w:ascii="Book Antiqua" w:eastAsia="Times New Roman" w:hAnsi="Book Antiqua"/>
                <w:color w:val="auto"/>
                <w:sz w:val="24"/>
                <w:szCs w:val="24"/>
                <w:lang w:val="en-US"/>
              </w:rPr>
              <w:t>8 patients received steroids, 1 tamoxifen, and 1 tacrolimus pre-operatively.</w:t>
            </w:r>
          </w:p>
        </w:tc>
      </w:tr>
    </w:tbl>
    <w:p w14:paraId="73F45DD0" w14:textId="2D5F7D6D" w:rsidR="0016371C" w:rsidRPr="00F532B5" w:rsidRDefault="00E809FA" w:rsidP="00BD29CF">
      <w:pPr>
        <w:snapToGrid w:val="0"/>
        <w:spacing w:line="360" w:lineRule="auto"/>
        <w:jc w:val="both"/>
        <w:rPr>
          <w:rFonts w:ascii="Book Antiqua" w:hAnsi="Book Antiqua"/>
          <w:color w:val="auto"/>
          <w:sz w:val="24"/>
          <w:szCs w:val="24"/>
          <w:lang w:eastAsia="zh-CN"/>
        </w:rPr>
      </w:pPr>
      <w:r>
        <w:rPr>
          <w:rFonts w:ascii="Book Antiqua" w:hAnsi="Book Antiqua" w:hint="eastAsia"/>
          <w:color w:val="auto"/>
          <w:sz w:val="24"/>
          <w:szCs w:val="24"/>
          <w:lang w:eastAsia="zh-CN"/>
        </w:rPr>
        <w:t xml:space="preserve">PD: </w:t>
      </w:r>
      <w:r w:rsidRPr="00E809FA">
        <w:rPr>
          <w:rFonts w:ascii="Book Antiqua" w:hAnsi="Book Antiqua"/>
          <w:caps/>
          <w:color w:val="auto"/>
          <w:sz w:val="24"/>
          <w:szCs w:val="24"/>
        </w:rPr>
        <w:t>p</w:t>
      </w:r>
      <w:r w:rsidRPr="00F532B5">
        <w:rPr>
          <w:rFonts w:ascii="Book Antiqua" w:hAnsi="Book Antiqua"/>
          <w:color w:val="auto"/>
          <w:sz w:val="24"/>
          <w:szCs w:val="24"/>
        </w:rPr>
        <w:t>eritoneal dialysis</w:t>
      </w:r>
      <w:r>
        <w:rPr>
          <w:rFonts w:ascii="Book Antiqua" w:hAnsi="Book Antiqua" w:hint="eastAsia"/>
          <w:color w:val="auto"/>
          <w:sz w:val="24"/>
          <w:szCs w:val="24"/>
          <w:lang w:eastAsia="zh-CN"/>
        </w:rPr>
        <w:t xml:space="preserve">; EPS: </w:t>
      </w:r>
      <w:r w:rsidRPr="00F532B5">
        <w:rPr>
          <w:rFonts w:ascii="Book Antiqua" w:hAnsi="Book Antiqua"/>
          <w:color w:val="auto"/>
          <w:sz w:val="24"/>
          <w:szCs w:val="24"/>
        </w:rPr>
        <w:t>Encapsulating peritoneal sclerosis</w:t>
      </w:r>
      <w:r>
        <w:rPr>
          <w:rFonts w:ascii="Book Antiqua" w:hAnsi="Book Antiqua" w:hint="eastAsia"/>
          <w:color w:val="auto"/>
          <w:sz w:val="24"/>
          <w:szCs w:val="24"/>
          <w:lang w:eastAsia="zh-CN"/>
        </w:rPr>
        <w:t>.</w:t>
      </w:r>
    </w:p>
    <w:sectPr w:rsidR="0016371C" w:rsidRPr="00F532B5" w:rsidSect="00F532B5">
      <w:type w:val="continuous"/>
      <w:pgSz w:w="15840" w:h="12240" w:orient="landscape" w:code="1"/>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917375" w14:textId="77777777" w:rsidR="00A62889" w:rsidRDefault="00A62889" w:rsidP="005510B1">
      <w:pPr>
        <w:spacing w:line="240" w:lineRule="auto"/>
      </w:pPr>
      <w:r>
        <w:separator/>
      </w:r>
    </w:p>
  </w:endnote>
  <w:endnote w:type="continuationSeparator" w:id="0">
    <w:p w14:paraId="689EC894" w14:textId="77777777" w:rsidR="00A62889" w:rsidRDefault="00A62889" w:rsidP="005510B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EB Garamond">
    <w:altName w:val="Times New Roman"/>
    <w:charset w:val="00"/>
    <w:family w:val="auto"/>
    <w:pitch w:val="default"/>
  </w:font>
  <w:font w:name="Helvetica">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F18517" w14:textId="77777777" w:rsidR="00A62889" w:rsidRDefault="00A62889" w:rsidP="005510B1">
      <w:pPr>
        <w:spacing w:line="240" w:lineRule="auto"/>
      </w:pPr>
      <w:r>
        <w:separator/>
      </w:r>
    </w:p>
  </w:footnote>
  <w:footnote w:type="continuationSeparator" w:id="0">
    <w:p w14:paraId="3C6DB516" w14:textId="77777777" w:rsidR="00A62889" w:rsidRDefault="00A62889" w:rsidP="005510B1">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s>
  <w:rsids>
    <w:rsidRoot w:val="0016371C"/>
    <w:rsid w:val="000006E6"/>
    <w:rsid w:val="000215B5"/>
    <w:rsid w:val="00034453"/>
    <w:rsid w:val="0004194E"/>
    <w:rsid w:val="00045950"/>
    <w:rsid w:val="00047179"/>
    <w:rsid w:val="00063D2A"/>
    <w:rsid w:val="00066EAC"/>
    <w:rsid w:val="000772B1"/>
    <w:rsid w:val="00083301"/>
    <w:rsid w:val="00086469"/>
    <w:rsid w:val="00091FC3"/>
    <w:rsid w:val="000A3D5D"/>
    <w:rsid w:val="000A48FE"/>
    <w:rsid w:val="000A6220"/>
    <w:rsid w:val="000B3E3D"/>
    <w:rsid w:val="000D3505"/>
    <w:rsid w:val="000E58DE"/>
    <w:rsid w:val="000E7A23"/>
    <w:rsid w:val="000F553F"/>
    <w:rsid w:val="00100689"/>
    <w:rsid w:val="00114469"/>
    <w:rsid w:val="00123912"/>
    <w:rsid w:val="001251E1"/>
    <w:rsid w:val="0013157D"/>
    <w:rsid w:val="00143607"/>
    <w:rsid w:val="001444B0"/>
    <w:rsid w:val="00154D59"/>
    <w:rsid w:val="00161446"/>
    <w:rsid w:val="001617AC"/>
    <w:rsid w:val="0016371C"/>
    <w:rsid w:val="00165428"/>
    <w:rsid w:val="00171B7D"/>
    <w:rsid w:val="001868EC"/>
    <w:rsid w:val="001963A9"/>
    <w:rsid w:val="00196424"/>
    <w:rsid w:val="001979FD"/>
    <w:rsid w:val="001B2FC8"/>
    <w:rsid w:val="001B7BBC"/>
    <w:rsid w:val="001C78E7"/>
    <w:rsid w:val="001D1843"/>
    <w:rsid w:val="001E0CA2"/>
    <w:rsid w:val="001E55A1"/>
    <w:rsid w:val="001E6FE5"/>
    <w:rsid w:val="001F3B75"/>
    <w:rsid w:val="001F5623"/>
    <w:rsid w:val="00201F7D"/>
    <w:rsid w:val="00220D0C"/>
    <w:rsid w:val="002220C3"/>
    <w:rsid w:val="00222243"/>
    <w:rsid w:val="002320EC"/>
    <w:rsid w:val="00232B18"/>
    <w:rsid w:val="00232FB9"/>
    <w:rsid w:val="00234858"/>
    <w:rsid w:val="0025156F"/>
    <w:rsid w:val="002520C3"/>
    <w:rsid w:val="0025496C"/>
    <w:rsid w:val="00256756"/>
    <w:rsid w:val="00272D07"/>
    <w:rsid w:val="00277C10"/>
    <w:rsid w:val="00282891"/>
    <w:rsid w:val="00284651"/>
    <w:rsid w:val="00285058"/>
    <w:rsid w:val="002855AF"/>
    <w:rsid w:val="00290034"/>
    <w:rsid w:val="00296C19"/>
    <w:rsid w:val="002D4493"/>
    <w:rsid w:val="002E29F1"/>
    <w:rsid w:val="002F1F34"/>
    <w:rsid w:val="002F6611"/>
    <w:rsid w:val="002F66CA"/>
    <w:rsid w:val="0030176E"/>
    <w:rsid w:val="00311FBB"/>
    <w:rsid w:val="003141F7"/>
    <w:rsid w:val="003161DC"/>
    <w:rsid w:val="00320421"/>
    <w:rsid w:val="0033248A"/>
    <w:rsid w:val="003333A5"/>
    <w:rsid w:val="003339C1"/>
    <w:rsid w:val="003446DC"/>
    <w:rsid w:val="003458EA"/>
    <w:rsid w:val="00347C2A"/>
    <w:rsid w:val="0035194B"/>
    <w:rsid w:val="00352995"/>
    <w:rsid w:val="003607C8"/>
    <w:rsid w:val="0036305E"/>
    <w:rsid w:val="003637E2"/>
    <w:rsid w:val="00375303"/>
    <w:rsid w:val="00376FE2"/>
    <w:rsid w:val="003858D1"/>
    <w:rsid w:val="003A5DF2"/>
    <w:rsid w:val="003B661D"/>
    <w:rsid w:val="003B7A38"/>
    <w:rsid w:val="003D2705"/>
    <w:rsid w:val="003E0B29"/>
    <w:rsid w:val="003E2070"/>
    <w:rsid w:val="003E406F"/>
    <w:rsid w:val="003F1EDD"/>
    <w:rsid w:val="00404843"/>
    <w:rsid w:val="00407B07"/>
    <w:rsid w:val="00411A7B"/>
    <w:rsid w:val="00413120"/>
    <w:rsid w:val="00416955"/>
    <w:rsid w:val="00417731"/>
    <w:rsid w:val="00422DDD"/>
    <w:rsid w:val="00442907"/>
    <w:rsid w:val="00445CAA"/>
    <w:rsid w:val="004472EC"/>
    <w:rsid w:val="0045553B"/>
    <w:rsid w:val="004559D8"/>
    <w:rsid w:val="00466EC3"/>
    <w:rsid w:val="004706F6"/>
    <w:rsid w:val="00472369"/>
    <w:rsid w:val="00483B47"/>
    <w:rsid w:val="004843B5"/>
    <w:rsid w:val="004858C3"/>
    <w:rsid w:val="004872B2"/>
    <w:rsid w:val="0049015F"/>
    <w:rsid w:val="00493F07"/>
    <w:rsid w:val="004A0A6D"/>
    <w:rsid w:val="004B1F84"/>
    <w:rsid w:val="004C7A8C"/>
    <w:rsid w:val="004D3007"/>
    <w:rsid w:val="004E634F"/>
    <w:rsid w:val="004F36D4"/>
    <w:rsid w:val="004F4A54"/>
    <w:rsid w:val="00503E7A"/>
    <w:rsid w:val="005049D9"/>
    <w:rsid w:val="0051571B"/>
    <w:rsid w:val="00516C28"/>
    <w:rsid w:val="00522D0B"/>
    <w:rsid w:val="00523C8F"/>
    <w:rsid w:val="00525A55"/>
    <w:rsid w:val="005510B1"/>
    <w:rsid w:val="00574B2F"/>
    <w:rsid w:val="005809AB"/>
    <w:rsid w:val="0058181C"/>
    <w:rsid w:val="0058296F"/>
    <w:rsid w:val="005A0A90"/>
    <w:rsid w:val="005A3B24"/>
    <w:rsid w:val="005B78EB"/>
    <w:rsid w:val="005C219A"/>
    <w:rsid w:val="005D279E"/>
    <w:rsid w:val="005D2F67"/>
    <w:rsid w:val="005D5054"/>
    <w:rsid w:val="005D540B"/>
    <w:rsid w:val="005E0437"/>
    <w:rsid w:val="005E04C2"/>
    <w:rsid w:val="005E2287"/>
    <w:rsid w:val="005F456F"/>
    <w:rsid w:val="005F5AFA"/>
    <w:rsid w:val="005F5B62"/>
    <w:rsid w:val="006021F7"/>
    <w:rsid w:val="006107D4"/>
    <w:rsid w:val="0061094F"/>
    <w:rsid w:val="00643F61"/>
    <w:rsid w:val="006543F1"/>
    <w:rsid w:val="00660B36"/>
    <w:rsid w:val="00661E15"/>
    <w:rsid w:val="00661EF9"/>
    <w:rsid w:val="006665D9"/>
    <w:rsid w:val="006672D6"/>
    <w:rsid w:val="00674069"/>
    <w:rsid w:val="00674D0E"/>
    <w:rsid w:val="00676234"/>
    <w:rsid w:val="00676E01"/>
    <w:rsid w:val="00686AAF"/>
    <w:rsid w:val="00690E91"/>
    <w:rsid w:val="006A37A3"/>
    <w:rsid w:val="006A44EF"/>
    <w:rsid w:val="006B133B"/>
    <w:rsid w:val="006B2342"/>
    <w:rsid w:val="006B7CD2"/>
    <w:rsid w:val="006C3D88"/>
    <w:rsid w:val="006C7470"/>
    <w:rsid w:val="006D5EA4"/>
    <w:rsid w:val="006D7581"/>
    <w:rsid w:val="006D7818"/>
    <w:rsid w:val="006E181E"/>
    <w:rsid w:val="006E51A5"/>
    <w:rsid w:val="006F0961"/>
    <w:rsid w:val="006F5ADB"/>
    <w:rsid w:val="00712606"/>
    <w:rsid w:val="00746A23"/>
    <w:rsid w:val="00747D18"/>
    <w:rsid w:val="00750051"/>
    <w:rsid w:val="00752F08"/>
    <w:rsid w:val="00754926"/>
    <w:rsid w:val="00761727"/>
    <w:rsid w:val="00762927"/>
    <w:rsid w:val="007716F1"/>
    <w:rsid w:val="00776869"/>
    <w:rsid w:val="007815EC"/>
    <w:rsid w:val="00784681"/>
    <w:rsid w:val="00792E49"/>
    <w:rsid w:val="007A0CBF"/>
    <w:rsid w:val="007B12D8"/>
    <w:rsid w:val="007B5C17"/>
    <w:rsid w:val="007B61D8"/>
    <w:rsid w:val="007C65BC"/>
    <w:rsid w:val="007E22C6"/>
    <w:rsid w:val="007F0FF7"/>
    <w:rsid w:val="007F5AC8"/>
    <w:rsid w:val="00803245"/>
    <w:rsid w:val="00806576"/>
    <w:rsid w:val="008076B9"/>
    <w:rsid w:val="0081239A"/>
    <w:rsid w:val="00817A90"/>
    <w:rsid w:val="008220C8"/>
    <w:rsid w:val="00822204"/>
    <w:rsid w:val="008225F2"/>
    <w:rsid w:val="0082575E"/>
    <w:rsid w:val="00834471"/>
    <w:rsid w:val="00841689"/>
    <w:rsid w:val="00846812"/>
    <w:rsid w:val="00846F73"/>
    <w:rsid w:val="0085570A"/>
    <w:rsid w:val="008566E8"/>
    <w:rsid w:val="008571AA"/>
    <w:rsid w:val="00865B59"/>
    <w:rsid w:val="00874D3C"/>
    <w:rsid w:val="00880ED8"/>
    <w:rsid w:val="00883DC5"/>
    <w:rsid w:val="00890059"/>
    <w:rsid w:val="00890142"/>
    <w:rsid w:val="008B5E02"/>
    <w:rsid w:val="008D3163"/>
    <w:rsid w:val="008D508F"/>
    <w:rsid w:val="008E7A30"/>
    <w:rsid w:val="009017F4"/>
    <w:rsid w:val="009024FA"/>
    <w:rsid w:val="00903E66"/>
    <w:rsid w:val="00910A6C"/>
    <w:rsid w:val="009411AF"/>
    <w:rsid w:val="00965D36"/>
    <w:rsid w:val="00975560"/>
    <w:rsid w:val="00977AD6"/>
    <w:rsid w:val="00980BB4"/>
    <w:rsid w:val="009A41F9"/>
    <w:rsid w:val="009B0D06"/>
    <w:rsid w:val="009B28E7"/>
    <w:rsid w:val="009C02A4"/>
    <w:rsid w:val="009C489C"/>
    <w:rsid w:val="009C7F50"/>
    <w:rsid w:val="009E41B1"/>
    <w:rsid w:val="009E614E"/>
    <w:rsid w:val="009F6BBC"/>
    <w:rsid w:val="00A05D78"/>
    <w:rsid w:val="00A1208A"/>
    <w:rsid w:val="00A143B0"/>
    <w:rsid w:val="00A179C1"/>
    <w:rsid w:val="00A205EB"/>
    <w:rsid w:val="00A4326A"/>
    <w:rsid w:val="00A43290"/>
    <w:rsid w:val="00A60461"/>
    <w:rsid w:val="00A61AE6"/>
    <w:rsid w:val="00A62889"/>
    <w:rsid w:val="00A67D79"/>
    <w:rsid w:val="00A70A80"/>
    <w:rsid w:val="00A820B9"/>
    <w:rsid w:val="00AA2EDC"/>
    <w:rsid w:val="00AB0F7A"/>
    <w:rsid w:val="00AD14B3"/>
    <w:rsid w:val="00AD26E1"/>
    <w:rsid w:val="00AE63A7"/>
    <w:rsid w:val="00AF71BE"/>
    <w:rsid w:val="00B034C2"/>
    <w:rsid w:val="00B0563A"/>
    <w:rsid w:val="00B17CB5"/>
    <w:rsid w:val="00B3702B"/>
    <w:rsid w:val="00B3717F"/>
    <w:rsid w:val="00B57CBC"/>
    <w:rsid w:val="00B62F71"/>
    <w:rsid w:val="00B63748"/>
    <w:rsid w:val="00B66DC8"/>
    <w:rsid w:val="00B66F63"/>
    <w:rsid w:val="00B7399F"/>
    <w:rsid w:val="00B77C9A"/>
    <w:rsid w:val="00B90991"/>
    <w:rsid w:val="00B92D6D"/>
    <w:rsid w:val="00B946B7"/>
    <w:rsid w:val="00BA72EB"/>
    <w:rsid w:val="00BB4BBE"/>
    <w:rsid w:val="00BB5C01"/>
    <w:rsid w:val="00BC4B35"/>
    <w:rsid w:val="00BD13CF"/>
    <w:rsid w:val="00BD29CF"/>
    <w:rsid w:val="00BD2BDD"/>
    <w:rsid w:val="00BD3690"/>
    <w:rsid w:val="00BD46BA"/>
    <w:rsid w:val="00BD54D6"/>
    <w:rsid w:val="00BF52F2"/>
    <w:rsid w:val="00C13266"/>
    <w:rsid w:val="00C16455"/>
    <w:rsid w:val="00C2375B"/>
    <w:rsid w:val="00C37F15"/>
    <w:rsid w:val="00C4586F"/>
    <w:rsid w:val="00C46FE9"/>
    <w:rsid w:val="00C50B72"/>
    <w:rsid w:val="00C52E5A"/>
    <w:rsid w:val="00C55797"/>
    <w:rsid w:val="00C705E1"/>
    <w:rsid w:val="00C759B6"/>
    <w:rsid w:val="00C7655B"/>
    <w:rsid w:val="00C77D25"/>
    <w:rsid w:val="00C802FD"/>
    <w:rsid w:val="00C82F72"/>
    <w:rsid w:val="00C92B4E"/>
    <w:rsid w:val="00CA6859"/>
    <w:rsid w:val="00CB10C3"/>
    <w:rsid w:val="00CB2BD9"/>
    <w:rsid w:val="00CB7A70"/>
    <w:rsid w:val="00CC42FE"/>
    <w:rsid w:val="00CC4757"/>
    <w:rsid w:val="00CD3737"/>
    <w:rsid w:val="00CE544F"/>
    <w:rsid w:val="00CF3D0D"/>
    <w:rsid w:val="00D02FDF"/>
    <w:rsid w:val="00D35969"/>
    <w:rsid w:val="00D45DE7"/>
    <w:rsid w:val="00D470B9"/>
    <w:rsid w:val="00D614DB"/>
    <w:rsid w:val="00D678BD"/>
    <w:rsid w:val="00D70A8E"/>
    <w:rsid w:val="00D72EF5"/>
    <w:rsid w:val="00D80181"/>
    <w:rsid w:val="00D92508"/>
    <w:rsid w:val="00DA10E6"/>
    <w:rsid w:val="00DA6AF9"/>
    <w:rsid w:val="00DC050D"/>
    <w:rsid w:val="00DC5F8A"/>
    <w:rsid w:val="00DD1988"/>
    <w:rsid w:val="00DE372C"/>
    <w:rsid w:val="00DE73BF"/>
    <w:rsid w:val="00E02CCB"/>
    <w:rsid w:val="00E106E7"/>
    <w:rsid w:val="00E2066D"/>
    <w:rsid w:val="00E264F2"/>
    <w:rsid w:val="00E27028"/>
    <w:rsid w:val="00E30CA6"/>
    <w:rsid w:val="00E363BF"/>
    <w:rsid w:val="00E371C2"/>
    <w:rsid w:val="00E4586A"/>
    <w:rsid w:val="00E463B4"/>
    <w:rsid w:val="00E50C81"/>
    <w:rsid w:val="00E6210B"/>
    <w:rsid w:val="00E63BB4"/>
    <w:rsid w:val="00E66807"/>
    <w:rsid w:val="00E76D9E"/>
    <w:rsid w:val="00E809FA"/>
    <w:rsid w:val="00E9335F"/>
    <w:rsid w:val="00E937F6"/>
    <w:rsid w:val="00E93E3A"/>
    <w:rsid w:val="00E942DC"/>
    <w:rsid w:val="00EA2F1B"/>
    <w:rsid w:val="00EB2045"/>
    <w:rsid w:val="00EB7A73"/>
    <w:rsid w:val="00EE76F0"/>
    <w:rsid w:val="00EF3A0B"/>
    <w:rsid w:val="00EF6237"/>
    <w:rsid w:val="00F00A97"/>
    <w:rsid w:val="00F07ECD"/>
    <w:rsid w:val="00F10A6B"/>
    <w:rsid w:val="00F1302B"/>
    <w:rsid w:val="00F24FED"/>
    <w:rsid w:val="00F358BC"/>
    <w:rsid w:val="00F4006C"/>
    <w:rsid w:val="00F50E60"/>
    <w:rsid w:val="00F532B5"/>
    <w:rsid w:val="00F6674B"/>
    <w:rsid w:val="00F6762B"/>
    <w:rsid w:val="00F71760"/>
    <w:rsid w:val="00FA4BFF"/>
    <w:rsid w:val="00FB046B"/>
    <w:rsid w:val="00FB4102"/>
    <w:rsid w:val="00FB4C9D"/>
    <w:rsid w:val="00FB5EB8"/>
    <w:rsid w:val="00FB6574"/>
    <w:rsid w:val="00FB6CCE"/>
    <w:rsid w:val="00FC08EF"/>
    <w:rsid w:val="00FE12FA"/>
    <w:rsid w:val="00FF1D59"/>
    <w:rsid w:val="00FF31DD"/>
    <w:rsid w:val="00FF7F3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490DFCD"/>
  <w15:docId w15:val="{0D07154E-5F37-401B-B660-5D206F61BB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SimSun" w:hAnsi="Arial" w:cs="Arial"/>
        <w:color w:val="000000"/>
        <w:sz w:val="22"/>
        <w:szCs w:val="22"/>
        <w:lang w:val="en" w:eastAsia="en-US"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character" w:styleId="CommentReference">
    <w:name w:val="annotation reference"/>
    <w:basedOn w:val="DefaultParagraphFont"/>
    <w:uiPriority w:val="99"/>
    <w:semiHidden/>
    <w:unhideWhenUsed/>
    <w:rsid w:val="00466EC3"/>
    <w:rPr>
      <w:sz w:val="16"/>
      <w:szCs w:val="16"/>
    </w:rPr>
  </w:style>
  <w:style w:type="paragraph" w:styleId="CommentText">
    <w:name w:val="annotation text"/>
    <w:basedOn w:val="Normal"/>
    <w:link w:val="CommentTextChar"/>
    <w:uiPriority w:val="99"/>
    <w:semiHidden/>
    <w:unhideWhenUsed/>
    <w:rsid w:val="00466EC3"/>
    <w:pPr>
      <w:spacing w:line="240" w:lineRule="auto"/>
    </w:pPr>
    <w:rPr>
      <w:sz w:val="20"/>
      <w:szCs w:val="20"/>
    </w:rPr>
  </w:style>
  <w:style w:type="character" w:customStyle="1" w:styleId="CommentTextChar">
    <w:name w:val="Comment Text Char"/>
    <w:basedOn w:val="DefaultParagraphFont"/>
    <w:link w:val="CommentText"/>
    <w:uiPriority w:val="99"/>
    <w:semiHidden/>
    <w:rsid w:val="00466EC3"/>
    <w:rPr>
      <w:sz w:val="20"/>
      <w:szCs w:val="20"/>
    </w:rPr>
  </w:style>
  <w:style w:type="paragraph" w:styleId="CommentSubject">
    <w:name w:val="annotation subject"/>
    <w:basedOn w:val="CommentText"/>
    <w:next w:val="CommentText"/>
    <w:link w:val="CommentSubjectChar"/>
    <w:uiPriority w:val="99"/>
    <w:semiHidden/>
    <w:unhideWhenUsed/>
    <w:rsid w:val="00466EC3"/>
    <w:rPr>
      <w:b/>
      <w:bCs/>
    </w:rPr>
  </w:style>
  <w:style w:type="character" w:customStyle="1" w:styleId="CommentSubjectChar">
    <w:name w:val="Comment Subject Char"/>
    <w:basedOn w:val="CommentTextChar"/>
    <w:link w:val="CommentSubject"/>
    <w:uiPriority w:val="99"/>
    <w:semiHidden/>
    <w:rsid w:val="00466EC3"/>
    <w:rPr>
      <w:b/>
      <w:bCs/>
      <w:sz w:val="20"/>
      <w:szCs w:val="20"/>
    </w:rPr>
  </w:style>
  <w:style w:type="paragraph" w:styleId="BalloonText">
    <w:name w:val="Balloon Text"/>
    <w:basedOn w:val="Normal"/>
    <w:link w:val="BalloonTextChar"/>
    <w:uiPriority w:val="99"/>
    <w:semiHidden/>
    <w:unhideWhenUsed/>
    <w:rsid w:val="00466EC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6EC3"/>
    <w:rPr>
      <w:rFonts w:ascii="Tahoma" w:hAnsi="Tahoma" w:cs="Tahoma"/>
      <w:sz w:val="16"/>
      <w:szCs w:val="16"/>
    </w:rPr>
  </w:style>
  <w:style w:type="paragraph" w:styleId="HTMLPreformatted">
    <w:name w:val="HTML Preformatted"/>
    <w:basedOn w:val="Normal"/>
    <w:link w:val="HTMLPreformattedChar"/>
    <w:uiPriority w:val="99"/>
    <w:unhideWhenUsed/>
    <w:rsid w:val="004858C3"/>
    <w:pPr>
      <w:pBdr>
        <w:top w:val="none" w:sz="0" w:space="0" w:color="auto"/>
        <w:left w:val="none" w:sz="0" w:space="0" w:color="auto"/>
        <w:bottom w:val="none" w:sz="0" w:space="0" w:color="auto"/>
        <w:right w:val="none" w:sz="0" w:space="0" w:color="auto"/>
        <w:between w:val="none" w:sz="0" w:space="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color w:val="auto"/>
      <w:sz w:val="20"/>
      <w:szCs w:val="20"/>
      <w:lang w:val="en-US"/>
    </w:rPr>
  </w:style>
  <w:style w:type="character" w:customStyle="1" w:styleId="HTMLPreformattedChar">
    <w:name w:val="HTML Preformatted Char"/>
    <w:basedOn w:val="DefaultParagraphFont"/>
    <w:link w:val="HTMLPreformatted"/>
    <w:uiPriority w:val="99"/>
    <w:rsid w:val="004858C3"/>
    <w:rPr>
      <w:rFonts w:ascii="Courier New" w:eastAsia="Times New Roman" w:hAnsi="Courier New" w:cs="Courier New"/>
      <w:color w:val="auto"/>
      <w:sz w:val="20"/>
      <w:szCs w:val="20"/>
      <w:lang w:val="en-US"/>
    </w:rPr>
  </w:style>
  <w:style w:type="paragraph" w:styleId="Revision">
    <w:name w:val="Revision"/>
    <w:hidden/>
    <w:uiPriority w:val="99"/>
    <w:semiHidden/>
    <w:rsid w:val="00D72EF5"/>
    <w:pPr>
      <w:pBdr>
        <w:top w:val="none" w:sz="0" w:space="0" w:color="auto"/>
        <w:left w:val="none" w:sz="0" w:space="0" w:color="auto"/>
        <w:bottom w:val="none" w:sz="0" w:space="0" w:color="auto"/>
        <w:right w:val="none" w:sz="0" w:space="0" w:color="auto"/>
        <w:between w:val="none" w:sz="0" w:space="0" w:color="auto"/>
      </w:pBdr>
      <w:spacing w:line="240" w:lineRule="auto"/>
    </w:pPr>
  </w:style>
  <w:style w:type="paragraph" w:styleId="NoSpacing">
    <w:name w:val="No Spacing"/>
    <w:uiPriority w:val="1"/>
    <w:qFormat/>
    <w:rsid w:val="004843B5"/>
    <w:pPr>
      <w:spacing w:line="240" w:lineRule="auto"/>
    </w:pPr>
  </w:style>
  <w:style w:type="paragraph" w:styleId="Header">
    <w:name w:val="header"/>
    <w:basedOn w:val="Normal"/>
    <w:link w:val="HeaderChar"/>
    <w:uiPriority w:val="99"/>
    <w:unhideWhenUsed/>
    <w:rsid w:val="005510B1"/>
    <w:pPr>
      <w:tabs>
        <w:tab w:val="center" w:pos="4320"/>
        <w:tab w:val="right" w:pos="8640"/>
      </w:tabs>
      <w:spacing w:line="240" w:lineRule="auto"/>
    </w:pPr>
  </w:style>
  <w:style w:type="character" w:customStyle="1" w:styleId="HeaderChar">
    <w:name w:val="Header Char"/>
    <w:basedOn w:val="DefaultParagraphFont"/>
    <w:link w:val="Header"/>
    <w:uiPriority w:val="99"/>
    <w:rsid w:val="005510B1"/>
  </w:style>
  <w:style w:type="paragraph" w:styleId="Footer">
    <w:name w:val="footer"/>
    <w:basedOn w:val="Normal"/>
    <w:link w:val="FooterChar"/>
    <w:uiPriority w:val="99"/>
    <w:unhideWhenUsed/>
    <w:rsid w:val="005510B1"/>
    <w:pPr>
      <w:tabs>
        <w:tab w:val="center" w:pos="4320"/>
        <w:tab w:val="right" w:pos="8640"/>
      </w:tabs>
      <w:spacing w:line="240" w:lineRule="auto"/>
    </w:pPr>
  </w:style>
  <w:style w:type="character" w:customStyle="1" w:styleId="FooterChar">
    <w:name w:val="Footer Char"/>
    <w:basedOn w:val="DefaultParagraphFont"/>
    <w:link w:val="Footer"/>
    <w:uiPriority w:val="99"/>
    <w:rsid w:val="005510B1"/>
  </w:style>
  <w:style w:type="paragraph" w:customStyle="1" w:styleId="norm">
    <w:name w:val="norm"/>
    <w:basedOn w:val="Normal"/>
    <w:rsid w:val="00222243"/>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New Roman" w:hAnsi="Times New Roman" w:cs="Times New Roman"/>
      <w:color w:val="auto"/>
      <w:sz w:val="20"/>
      <w:szCs w:val="20"/>
      <w:lang w:val="en-US"/>
    </w:rPr>
  </w:style>
  <w:style w:type="character" w:styleId="Strong">
    <w:name w:val="Strong"/>
    <w:basedOn w:val="DefaultParagraphFont"/>
    <w:uiPriority w:val="22"/>
    <w:qFormat/>
    <w:rsid w:val="00222243"/>
    <w:rPr>
      <w:b/>
      <w:bCs/>
    </w:rPr>
  </w:style>
  <w:style w:type="paragraph" w:customStyle="1" w:styleId="1">
    <w:name w:val="正文1"/>
    <w:uiPriority w:val="99"/>
    <w:rsid w:val="003E0B29"/>
    <w:pPr>
      <w:pBdr>
        <w:top w:val="none" w:sz="0" w:space="0" w:color="auto"/>
        <w:left w:val="none" w:sz="0" w:space="0" w:color="auto"/>
        <w:bottom w:val="none" w:sz="0" w:space="0" w:color="auto"/>
        <w:right w:val="none" w:sz="0" w:space="0" w:color="auto"/>
        <w:between w:val="none" w:sz="0" w:space="0" w:color="auto"/>
      </w:pBdr>
    </w:pPr>
    <w:rPr>
      <w:szCs w:val="20"/>
      <w:lang w:val="pl-PL" w:eastAsia="pl-PL"/>
    </w:rPr>
  </w:style>
  <w:style w:type="character" w:styleId="LineNumber">
    <w:name w:val="line number"/>
    <w:basedOn w:val="DefaultParagraphFont"/>
    <w:uiPriority w:val="99"/>
    <w:semiHidden/>
    <w:unhideWhenUsed/>
    <w:rsid w:val="00834471"/>
  </w:style>
  <w:style w:type="character" w:styleId="Hyperlink">
    <w:name w:val="Hyperlink"/>
    <w:basedOn w:val="DefaultParagraphFont"/>
    <w:uiPriority w:val="99"/>
    <w:unhideWhenUsed/>
    <w:rsid w:val="009E614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9782258">
      <w:bodyDiv w:val="1"/>
      <w:marLeft w:val="0"/>
      <w:marRight w:val="0"/>
      <w:marTop w:val="0"/>
      <w:marBottom w:val="0"/>
      <w:divBdr>
        <w:top w:val="none" w:sz="0" w:space="0" w:color="auto"/>
        <w:left w:val="none" w:sz="0" w:space="0" w:color="auto"/>
        <w:bottom w:val="none" w:sz="0" w:space="0" w:color="auto"/>
        <w:right w:val="none" w:sz="0" w:space="0" w:color="auto"/>
      </w:divBdr>
    </w:div>
    <w:div w:id="136144363">
      <w:bodyDiv w:val="1"/>
      <w:marLeft w:val="0"/>
      <w:marRight w:val="0"/>
      <w:marTop w:val="0"/>
      <w:marBottom w:val="0"/>
      <w:divBdr>
        <w:top w:val="none" w:sz="0" w:space="0" w:color="auto"/>
        <w:left w:val="none" w:sz="0" w:space="0" w:color="auto"/>
        <w:bottom w:val="none" w:sz="0" w:space="0" w:color="auto"/>
        <w:right w:val="none" w:sz="0" w:space="0" w:color="auto"/>
      </w:divBdr>
    </w:div>
    <w:div w:id="173569733">
      <w:bodyDiv w:val="1"/>
      <w:marLeft w:val="0"/>
      <w:marRight w:val="0"/>
      <w:marTop w:val="0"/>
      <w:marBottom w:val="0"/>
      <w:divBdr>
        <w:top w:val="none" w:sz="0" w:space="0" w:color="auto"/>
        <w:left w:val="none" w:sz="0" w:space="0" w:color="auto"/>
        <w:bottom w:val="none" w:sz="0" w:space="0" w:color="auto"/>
        <w:right w:val="none" w:sz="0" w:space="0" w:color="auto"/>
      </w:divBdr>
    </w:div>
    <w:div w:id="179589340">
      <w:bodyDiv w:val="1"/>
      <w:marLeft w:val="0"/>
      <w:marRight w:val="0"/>
      <w:marTop w:val="0"/>
      <w:marBottom w:val="0"/>
      <w:divBdr>
        <w:top w:val="none" w:sz="0" w:space="0" w:color="auto"/>
        <w:left w:val="none" w:sz="0" w:space="0" w:color="auto"/>
        <w:bottom w:val="none" w:sz="0" w:space="0" w:color="auto"/>
        <w:right w:val="none" w:sz="0" w:space="0" w:color="auto"/>
      </w:divBdr>
    </w:div>
    <w:div w:id="316887143">
      <w:bodyDiv w:val="1"/>
      <w:marLeft w:val="0"/>
      <w:marRight w:val="0"/>
      <w:marTop w:val="0"/>
      <w:marBottom w:val="0"/>
      <w:divBdr>
        <w:top w:val="none" w:sz="0" w:space="0" w:color="auto"/>
        <w:left w:val="none" w:sz="0" w:space="0" w:color="auto"/>
        <w:bottom w:val="none" w:sz="0" w:space="0" w:color="auto"/>
        <w:right w:val="none" w:sz="0" w:space="0" w:color="auto"/>
      </w:divBdr>
    </w:div>
    <w:div w:id="334264488">
      <w:bodyDiv w:val="1"/>
      <w:marLeft w:val="0"/>
      <w:marRight w:val="0"/>
      <w:marTop w:val="0"/>
      <w:marBottom w:val="0"/>
      <w:divBdr>
        <w:top w:val="none" w:sz="0" w:space="0" w:color="auto"/>
        <w:left w:val="none" w:sz="0" w:space="0" w:color="auto"/>
        <w:bottom w:val="none" w:sz="0" w:space="0" w:color="auto"/>
        <w:right w:val="none" w:sz="0" w:space="0" w:color="auto"/>
      </w:divBdr>
    </w:div>
    <w:div w:id="343476846">
      <w:bodyDiv w:val="1"/>
      <w:marLeft w:val="0"/>
      <w:marRight w:val="0"/>
      <w:marTop w:val="0"/>
      <w:marBottom w:val="0"/>
      <w:divBdr>
        <w:top w:val="none" w:sz="0" w:space="0" w:color="auto"/>
        <w:left w:val="none" w:sz="0" w:space="0" w:color="auto"/>
        <w:bottom w:val="none" w:sz="0" w:space="0" w:color="auto"/>
        <w:right w:val="none" w:sz="0" w:space="0" w:color="auto"/>
      </w:divBdr>
    </w:div>
    <w:div w:id="374895475">
      <w:bodyDiv w:val="1"/>
      <w:marLeft w:val="0"/>
      <w:marRight w:val="0"/>
      <w:marTop w:val="0"/>
      <w:marBottom w:val="0"/>
      <w:divBdr>
        <w:top w:val="none" w:sz="0" w:space="0" w:color="auto"/>
        <w:left w:val="none" w:sz="0" w:space="0" w:color="auto"/>
        <w:bottom w:val="none" w:sz="0" w:space="0" w:color="auto"/>
        <w:right w:val="none" w:sz="0" w:space="0" w:color="auto"/>
      </w:divBdr>
    </w:div>
    <w:div w:id="472135931">
      <w:bodyDiv w:val="1"/>
      <w:marLeft w:val="0"/>
      <w:marRight w:val="0"/>
      <w:marTop w:val="0"/>
      <w:marBottom w:val="0"/>
      <w:divBdr>
        <w:top w:val="none" w:sz="0" w:space="0" w:color="auto"/>
        <w:left w:val="none" w:sz="0" w:space="0" w:color="auto"/>
        <w:bottom w:val="none" w:sz="0" w:space="0" w:color="auto"/>
        <w:right w:val="none" w:sz="0" w:space="0" w:color="auto"/>
      </w:divBdr>
    </w:div>
    <w:div w:id="529150458">
      <w:bodyDiv w:val="1"/>
      <w:marLeft w:val="0"/>
      <w:marRight w:val="0"/>
      <w:marTop w:val="0"/>
      <w:marBottom w:val="0"/>
      <w:divBdr>
        <w:top w:val="none" w:sz="0" w:space="0" w:color="auto"/>
        <w:left w:val="none" w:sz="0" w:space="0" w:color="auto"/>
        <w:bottom w:val="none" w:sz="0" w:space="0" w:color="auto"/>
        <w:right w:val="none" w:sz="0" w:space="0" w:color="auto"/>
      </w:divBdr>
    </w:div>
    <w:div w:id="533887872">
      <w:bodyDiv w:val="1"/>
      <w:marLeft w:val="0"/>
      <w:marRight w:val="0"/>
      <w:marTop w:val="0"/>
      <w:marBottom w:val="0"/>
      <w:divBdr>
        <w:top w:val="none" w:sz="0" w:space="0" w:color="auto"/>
        <w:left w:val="none" w:sz="0" w:space="0" w:color="auto"/>
        <w:bottom w:val="none" w:sz="0" w:space="0" w:color="auto"/>
        <w:right w:val="none" w:sz="0" w:space="0" w:color="auto"/>
      </w:divBdr>
    </w:div>
    <w:div w:id="619921498">
      <w:bodyDiv w:val="1"/>
      <w:marLeft w:val="0"/>
      <w:marRight w:val="0"/>
      <w:marTop w:val="0"/>
      <w:marBottom w:val="0"/>
      <w:divBdr>
        <w:top w:val="none" w:sz="0" w:space="0" w:color="auto"/>
        <w:left w:val="none" w:sz="0" w:space="0" w:color="auto"/>
        <w:bottom w:val="none" w:sz="0" w:space="0" w:color="auto"/>
        <w:right w:val="none" w:sz="0" w:space="0" w:color="auto"/>
      </w:divBdr>
    </w:div>
    <w:div w:id="627511728">
      <w:bodyDiv w:val="1"/>
      <w:marLeft w:val="0"/>
      <w:marRight w:val="0"/>
      <w:marTop w:val="0"/>
      <w:marBottom w:val="0"/>
      <w:divBdr>
        <w:top w:val="none" w:sz="0" w:space="0" w:color="auto"/>
        <w:left w:val="none" w:sz="0" w:space="0" w:color="auto"/>
        <w:bottom w:val="none" w:sz="0" w:space="0" w:color="auto"/>
        <w:right w:val="none" w:sz="0" w:space="0" w:color="auto"/>
      </w:divBdr>
    </w:div>
    <w:div w:id="652029352">
      <w:bodyDiv w:val="1"/>
      <w:marLeft w:val="0"/>
      <w:marRight w:val="0"/>
      <w:marTop w:val="0"/>
      <w:marBottom w:val="0"/>
      <w:divBdr>
        <w:top w:val="none" w:sz="0" w:space="0" w:color="auto"/>
        <w:left w:val="none" w:sz="0" w:space="0" w:color="auto"/>
        <w:bottom w:val="none" w:sz="0" w:space="0" w:color="auto"/>
        <w:right w:val="none" w:sz="0" w:space="0" w:color="auto"/>
      </w:divBdr>
    </w:div>
    <w:div w:id="790709506">
      <w:bodyDiv w:val="1"/>
      <w:marLeft w:val="0"/>
      <w:marRight w:val="0"/>
      <w:marTop w:val="0"/>
      <w:marBottom w:val="0"/>
      <w:divBdr>
        <w:top w:val="none" w:sz="0" w:space="0" w:color="auto"/>
        <w:left w:val="none" w:sz="0" w:space="0" w:color="auto"/>
        <w:bottom w:val="none" w:sz="0" w:space="0" w:color="auto"/>
        <w:right w:val="none" w:sz="0" w:space="0" w:color="auto"/>
      </w:divBdr>
    </w:div>
    <w:div w:id="812065399">
      <w:bodyDiv w:val="1"/>
      <w:marLeft w:val="0"/>
      <w:marRight w:val="0"/>
      <w:marTop w:val="0"/>
      <w:marBottom w:val="0"/>
      <w:divBdr>
        <w:top w:val="none" w:sz="0" w:space="0" w:color="auto"/>
        <w:left w:val="none" w:sz="0" w:space="0" w:color="auto"/>
        <w:bottom w:val="none" w:sz="0" w:space="0" w:color="auto"/>
        <w:right w:val="none" w:sz="0" w:space="0" w:color="auto"/>
      </w:divBdr>
    </w:div>
    <w:div w:id="921067446">
      <w:bodyDiv w:val="1"/>
      <w:marLeft w:val="0"/>
      <w:marRight w:val="0"/>
      <w:marTop w:val="0"/>
      <w:marBottom w:val="0"/>
      <w:divBdr>
        <w:top w:val="none" w:sz="0" w:space="0" w:color="auto"/>
        <w:left w:val="none" w:sz="0" w:space="0" w:color="auto"/>
        <w:bottom w:val="none" w:sz="0" w:space="0" w:color="auto"/>
        <w:right w:val="none" w:sz="0" w:space="0" w:color="auto"/>
      </w:divBdr>
    </w:div>
    <w:div w:id="996151913">
      <w:bodyDiv w:val="1"/>
      <w:marLeft w:val="0"/>
      <w:marRight w:val="0"/>
      <w:marTop w:val="0"/>
      <w:marBottom w:val="0"/>
      <w:divBdr>
        <w:top w:val="none" w:sz="0" w:space="0" w:color="auto"/>
        <w:left w:val="none" w:sz="0" w:space="0" w:color="auto"/>
        <w:bottom w:val="none" w:sz="0" w:space="0" w:color="auto"/>
        <w:right w:val="none" w:sz="0" w:space="0" w:color="auto"/>
      </w:divBdr>
    </w:div>
    <w:div w:id="1024404153">
      <w:bodyDiv w:val="1"/>
      <w:marLeft w:val="0"/>
      <w:marRight w:val="0"/>
      <w:marTop w:val="0"/>
      <w:marBottom w:val="0"/>
      <w:divBdr>
        <w:top w:val="none" w:sz="0" w:space="0" w:color="auto"/>
        <w:left w:val="none" w:sz="0" w:space="0" w:color="auto"/>
        <w:bottom w:val="none" w:sz="0" w:space="0" w:color="auto"/>
        <w:right w:val="none" w:sz="0" w:space="0" w:color="auto"/>
      </w:divBdr>
    </w:div>
    <w:div w:id="1027485543">
      <w:bodyDiv w:val="1"/>
      <w:marLeft w:val="0"/>
      <w:marRight w:val="0"/>
      <w:marTop w:val="0"/>
      <w:marBottom w:val="0"/>
      <w:divBdr>
        <w:top w:val="none" w:sz="0" w:space="0" w:color="auto"/>
        <w:left w:val="none" w:sz="0" w:space="0" w:color="auto"/>
        <w:bottom w:val="none" w:sz="0" w:space="0" w:color="auto"/>
        <w:right w:val="none" w:sz="0" w:space="0" w:color="auto"/>
      </w:divBdr>
    </w:div>
    <w:div w:id="1048530413">
      <w:bodyDiv w:val="1"/>
      <w:marLeft w:val="0"/>
      <w:marRight w:val="0"/>
      <w:marTop w:val="0"/>
      <w:marBottom w:val="0"/>
      <w:divBdr>
        <w:top w:val="none" w:sz="0" w:space="0" w:color="auto"/>
        <w:left w:val="none" w:sz="0" w:space="0" w:color="auto"/>
        <w:bottom w:val="none" w:sz="0" w:space="0" w:color="auto"/>
        <w:right w:val="none" w:sz="0" w:space="0" w:color="auto"/>
      </w:divBdr>
    </w:div>
    <w:div w:id="1072191622">
      <w:bodyDiv w:val="1"/>
      <w:marLeft w:val="0"/>
      <w:marRight w:val="0"/>
      <w:marTop w:val="0"/>
      <w:marBottom w:val="0"/>
      <w:divBdr>
        <w:top w:val="none" w:sz="0" w:space="0" w:color="auto"/>
        <w:left w:val="none" w:sz="0" w:space="0" w:color="auto"/>
        <w:bottom w:val="none" w:sz="0" w:space="0" w:color="auto"/>
        <w:right w:val="none" w:sz="0" w:space="0" w:color="auto"/>
      </w:divBdr>
    </w:div>
    <w:div w:id="1100105187">
      <w:bodyDiv w:val="1"/>
      <w:marLeft w:val="0"/>
      <w:marRight w:val="0"/>
      <w:marTop w:val="0"/>
      <w:marBottom w:val="0"/>
      <w:divBdr>
        <w:top w:val="none" w:sz="0" w:space="0" w:color="auto"/>
        <w:left w:val="none" w:sz="0" w:space="0" w:color="auto"/>
        <w:bottom w:val="none" w:sz="0" w:space="0" w:color="auto"/>
        <w:right w:val="none" w:sz="0" w:space="0" w:color="auto"/>
      </w:divBdr>
    </w:div>
    <w:div w:id="1253928972">
      <w:bodyDiv w:val="1"/>
      <w:marLeft w:val="0"/>
      <w:marRight w:val="0"/>
      <w:marTop w:val="0"/>
      <w:marBottom w:val="0"/>
      <w:divBdr>
        <w:top w:val="none" w:sz="0" w:space="0" w:color="auto"/>
        <w:left w:val="none" w:sz="0" w:space="0" w:color="auto"/>
        <w:bottom w:val="none" w:sz="0" w:space="0" w:color="auto"/>
        <w:right w:val="none" w:sz="0" w:space="0" w:color="auto"/>
      </w:divBdr>
    </w:div>
    <w:div w:id="1285380995">
      <w:bodyDiv w:val="1"/>
      <w:marLeft w:val="0"/>
      <w:marRight w:val="0"/>
      <w:marTop w:val="0"/>
      <w:marBottom w:val="0"/>
      <w:divBdr>
        <w:top w:val="none" w:sz="0" w:space="0" w:color="auto"/>
        <w:left w:val="none" w:sz="0" w:space="0" w:color="auto"/>
        <w:bottom w:val="none" w:sz="0" w:space="0" w:color="auto"/>
        <w:right w:val="none" w:sz="0" w:space="0" w:color="auto"/>
      </w:divBdr>
    </w:div>
    <w:div w:id="1286738407">
      <w:bodyDiv w:val="1"/>
      <w:marLeft w:val="0"/>
      <w:marRight w:val="0"/>
      <w:marTop w:val="0"/>
      <w:marBottom w:val="0"/>
      <w:divBdr>
        <w:top w:val="none" w:sz="0" w:space="0" w:color="auto"/>
        <w:left w:val="none" w:sz="0" w:space="0" w:color="auto"/>
        <w:bottom w:val="none" w:sz="0" w:space="0" w:color="auto"/>
        <w:right w:val="none" w:sz="0" w:space="0" w:color="auto"/>
      </w:divBdr>
    </w:div>
    <w:div w:id="1438909028">
      <w:bodyDiv w:val="1"/>
      <w:marLeft w:val="0"/>
      <w:marRight w:val="0"/>
      <w:marTop w:val="0"/>
      <w:marBottom w:val="0"/>
      <w:divBdr>
        <w:top w:val="none" w:sz="0" w:space="0" w:color="auto"/>
        <w:left w:val="none" w:sz="0" w:space="0" w:color="auto"/>
        <w:bottom w:val="none" w:sz="0" w:space="0" w:color="auto"/>
        <w:right w:val="none" w:sz="0" w:space="0" w:color="auto"/>
      </w:divBdr>
    </w:div>
    <w:div w:id="1461803963">
      <w:bodyDiv w:val="1"/>
      <w:marLeft w:val="0"/>
      <w:marRight w:val="0"/>
      <w:marTop w:val="0"/>
      <w:marBottom w:val="0"/>
      <w:divBdr>
        <w:top w:val="none" w:sz="0" w:space="0" w:color="auto"/>
        <w:left w:val="none" w:sz="0" w:space="0" w:color="auto"/>
        <w:bottom w:val="none" w:sz="0" w:space="0" w:color="auto"/>
        <w:right w:val="none" w:sz="0" w:space="0" w:color="auto"/>
      </w:divBdr>
    </w:div>
    <w:div w:id="1547057980">
      <w:bodyDiv w:val="1"/>
      <w:marLeft w:val="0"/>
      <w:marRight w:val="0"/>
      <w:marTop w:val="0"/>
      <w:marBottom w:val="0"/>
      <w:divBdr>
        <w:top w:val="none" w:sz="0" w:space="0" w:color="auto"/>
        <w:left w:val="none" w:sz="0" w:space="0" w:color="auto"/>
        <w:bottom w:val="none" w:sz="0" w:space="0" w:color="auto"/>
        <w:right w:val="none" w:sz="0" w:space="0" w:color="auto"/>
      </w:divBdr>
    </w:div>
    <w:div w:id="1577007436">
      <w:bodyDiv w:val="1"/>
      <w:marLeft w:val="0"/>
      <w:marRight w:val="0"/>
      <w:marTop w:val="0"/>
      <w:marBottom w:val="0"/>
      <w:divBdr>
        <w:top w:val="none" w:sz="0" w:space="0" w:color="auto"/>
        <w:left w:val="none" w:sz="0" w:space="0" w:color="auto"/>
        <w:bottom w:val="none" w:sz="0" w:space="0" w:color="auto"/>
        <w:right w:val="none" w:sz="0" w:space="0" w:color="auto"/>
      </w:divBdr>
    </w:div>
    <w:div w:id="1593389135">
      <w:bodyDiv w:val="1"/>
      <w:marLeft w:val="0"/>
      <w:marRight w:val="0"/>
      <w:marTop w:val="0"/>
      <w:marBottom w:val="0"/>
      <w:divBdr>
        <w:top w:val="none" w:sz="0" w:space="0" w:color="auto"/>
        <w:left w:val="none" w:sz="0" w:space="0" w:color="auto"/>
        <w:bottom w:val="none" w:sz="0" w:space="0" w:color="auto"/>
        <w:right w:val="none" w:sz="0" w:space="0" w:color="auto"/>
      </w:divBdr>
    </w:div>
    <w:div w:id="1601058980">
      <w:bodyDiv w:val="1"/>
      <w:marLeft w:val="0"/>
      <w:marRight w:val="0"/>
      <w:marTop w:val="0"/>
      <w:marBottom w:val="0"/>
      <w:divBdr>
        <w:top w:val="none" w:sz="0" w:space="0" w:color="auto"/>
        <w:left w:val="none" w:sz="0" w:space="0" w:color="auto"/>
        <w:bottom w:val="none" w:sz="0" w:space="0" w:color="auto"/>
        <w:right w:val="none" w:sz="0" w:space="0" w:color="auto"/>
      </w:divBdr>
    </w:div>
    <w:div w:id="1607731033">
      <w:bodyDiv w:val="1"/>
      <w:marLeft w:val="0"/>
      <w:marRight w:val="0"/>
      <w:marTop w:val="0"/>
      <w:marBottom w:val="0"/>
      <w:divBdr>
        <w:top w:val="none" w:sz="0" w:space="0" w:color="auto"/>
        <w:left w:val="none" w:sz="0" w:space="0" w:color="auto"/>
        <w:bottom w:val="none" w:sz="0" w:space="0" w:color="auto"/>
        <w:right w:val="none" w:sz="0" w:space="0" w:color="auto"/>
      </w:divBdr>
    </w:div>
    <w:div w:id="1639384422">
      <w:bodyDiv w:val="1"/>
      <w:marLeft w:val="0"/>
      <w:marRight w:val="0"/>
      <w:marTop w:val="0"/>
      <w:marBottom w:val="0"/>
      <w:divBdr>
        <w:top w:val="none" w:sz="0" w:space="0" w:color="auto"/>
        <w:left w:val="none" w:sz="0" w:space="0" w:color="auto"/>
        <w:bottom w:val="none" w:sz="0" w:space="0" w:color="auto"/>
        <w:right w:val="none" w:sz="0" w:space="0" w:color="auto"/>
      </w:divBdr>
    </w:div>
    <w:div w:id="1660303941">
      <w:bodyDiv w:val="1"/>
      <w:marLeft w:val="0"/>
      <w:marRight w:val="0"/>
      <w:marTop w:val="0"/>
      <w:marBottom w:val="0"/>
      <w:divBdr>
        <w:top w:val="none" w:sz="0" w:space="0" w:color="auto"/>
        <w:left w:val="none" w:sz="0" w:space="0" w:color="auto"/>
        <w:bottom w:val="none" w:sz="0" w:space="0" w:color="auto"/>
        <w:right w:val="none" w:sz="0" w:space="0" w:color="auto"/>
      </w:divBdr>
    </w:div>
    <w:div w:id="1734350379">
      <w:bodyDiv w:val="1"/>
      <w:marLeft w:val="0"/>
      <w:marRight w:val="0"/>
      <w:marTop w:val="0"/>
      <w:marBottom w:val="0"/>
      <w:divBdr>
        <w:top w:val="none" w:sz="0" w:space="0" w:color="auto"/>
        <w:left w:val="none" w:sz="0" w:space="0" w:color="auto"/>
        <w:bottom w:val="none" w:sz="0" w:space="0" w:color="auto"/>
        <w:right w:val="none" w:sz="0" w:space="0" w:color="auto"/>
      </w:divBdr>
    </w:div>
    <w:div w:id="1956791845">
      <w:bodyDiv w:val="1"/>
      <w:marLeft w:val="0"/>
      <w:marRight w:val="0"/>
      <w:marTop w:val="0"/>
      <w:marBottom w:val="0"/>
      <w:divBdr>
        <w:top w:val="none" w:sz="0" w:space="0" w:color="auto"/>
        <w:left w:val="none" w:sz="0" w:space="0" w:color="auto"/>
        <w:bottom w:val="none" w:sz="0" w:space="0" w:color="auto"/>
        <w:right w:val="none" w:sz="0" w:space="0" w:color="auto"/>
      </w:divBdr>
    </w:div>
    <w:div w:id="2050373144">
      <w:bodyDiv w:val="1"/>
      <w:marLeft w:val="0"/>
      <w:marRight w:val="0"/>
      <w:marTop w:val="0"/>
      <w:marBottom w:val="0"/>
      <w:divBdr>
        <w:top w:val="none" w:sz="0" w:space="0" w:color="auto"/>
        <w:left w:val="none" w:sz="0" w:space="0" w:color="auto"/>
        <w:bottom w:val="none" w:sz="0" w:space="0" w:color="auto"/>
        <w:right w:val="none" w:sz="0" w:space="0" w:color="auto"/>
      </w:divBdr>
    </w:div>
    <w:div w:id="20819776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3" Type="http://schemas.openxmlformats.org/officeDocument/2006/relationships/settings" Target="settings.xml"/><Relationship Id="rId7" Type="http://schemas.openxmlformats.org/officeDocument/2006/relationships/hyperlink" Target="http://creativecommons.org/licenses/by-nc/4.0/"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3.tif"/><Relationship Id="rId4" Type="http://schemas.openxmlformats.org/officeDocument/2006/relationships/webSettings" Target="webSettings.xml"/><Relationship Id="rId9" Type="http://schemas.openxmlformats.org/officeDocument/2006/relationships/image" Target="media/image2.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AB729C-48B3-4635-ACA7-4C8C1C48B1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72449</Words>
  <Characters>412964</Characters>
  <Application>Microsoft Office Word</Application>
  <DocSecurity>0</DocSecurity>
  <Lines>3441</Lines>
  <Paragraphs>968</Paragraphs>
  <ScaleCrop>false</ScaleCrop>
  <HeadingPairs>
    <vt:vector size="2" baseType="variant">
      <vt:variant>
        <vt:lpstr>Title</vt:lpstr>
      </vt:variant>
      <vt:variant>
        <vt:i4>1</vt:i4>
      </vt:variant>
    </vt:vector>
  </HeadingPairs>
  <TitlesOfParts>
    <vt:vector size="1" baseType="lpstr">
      <vt:lpstr/>
    </vt:vector>
  </TitlesOfParts>
  <Company>BIDMC</Company>
  <LinksUpToDate>false</LinksUpToDate>
  <CharactersWithSpaces>484445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Danford,Christopher (BIDMC - Gastroenterology)</dc:creator>
  <cp:lastModifiedBy>Na Ma</cp:lastModifiedBy>
  <cp:revision>2</cp:revision>
  <cp:lastPrinted>2017-11-09T21:24:00Z</cp:lastPrinted>
  <dcterms:created xsi:type="dcterms:W3CDTF">2018-06-25T18:19:00Z</dcterms:created>
  <dcterms:modified xsi:type="dcterms:W3CDTF">2018-06-25T18:19:00Z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3cf02533-5e4d-3832-a1ff-e7f3dac119e8</vt:lpwstr>
  </property>
  <property fmtid="{D5CDD505-2E9C-101B-9397-08002B2CF9AE}" pid="4" name="Mendeley Citation Style_1">
    <vt:lpwstr>http://www.zotero.org/styles/world-journal-of-gastroenterology</vt:lpwstr>
  </property>
  <property fmtid="{D5CDD505-2E9C-101B-9397-08002B2CF9AE}" pid="5" name="Mendeley Recent Style Id 0_1">
    <vt:lpwstr>http://www.zotero.org/styles/american-sociological-association</vt:lpwstr>
  </property>
  <property fmtid="{D5CDD505-2E9C-101B-9397-08002B2CF9AE}" pid="6" name="Mendeley Recent Style Name 0_1">
    <vt:lpwstr>American Sociological Association</vt:lpwstr>
  </property>
  <property fmtid="{D5CDD505-2E9C-101B-9397-08002B2CF9AE}" pid="7" name="Mendeley Recent Style Id 1_1">
    <vt:lpwstr>http://www.zotero.org/styles/chicago-author-date</vt:lpwstr>
  </property>
  <property fmtid="{D5CDD505-2E9C-101B-9397-08002B2CF9AE}" pid="8" name="Mendeley Recent Style Name 1_1">
    <vt:lpwstr>Chicago Manual of Style 16th edition (author-date)</vt:lpwstr>
  </property>
  <property fmtid="{D5CDD505-2E9C-101B-9397-08002B2CF9AE}" pid="9" name="Mendeley Recent Style Id 2_1">
    <vt:lpwstr>http://www.zotero.org/styles/clinical-gastroenterology-and-hepatology</vt:lpwstr>
  </property>
  <property fmtid="{D5CDD505-2E9C-101B-9397-08002B2CF9AE}" pid="10" name="Mendeley Recent Style Name 2_1">
    <vt:lpwstr>Clinical Gastroenterology and Hepatology</vt:lpwstr>
  </property>
  <property fmtid="{D5CDD505-2E9C-101B-9397-08002B2CF9AE}" pid="11" name="Mendeley Recent Style Id 3_1">
    <vt:lpwstr>http://www.zotero.org/styles/elsevier-with-titles</vt:lpwstr>
  </property>
  <property fmtid="{D5CDD505-2E9C-101B-9397-08002B2CF9AE}" pid="12" name="Mendeley Recent Style Name 3_1">
    <vt:lpwstr>Elsevier (numeric, with titles)</vt:lpwstr>
  </property>
  <property fmtid="{D5CDD505-2E9C-101B-9397-08002B2CF9AE}" pid="13" name="Mendeley Recent Style Id 4_1">
    <vt:lpwstr>http://www.zotero.org/styles/elsevier-vancouver-author-date</vt:lpwstr>
  </property>
  <property fmtid="{D5CDD505-2E9C-101B-9397-08002B2CF9AE}" pid="14" name="Mendeley Recent Style Name 4_1">
    <vt:lpwstr>Elsevier - Vancouver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http://www.zotero.org/styles/vancouver</vt:lpwstr>
  </property>
  <property fmtid="{D5CDD505-2E9C-101B-9397-08002B2CF9AE}" pid="22" name="Mendeley Recent Style Name 8_1">
    <vt:lpwstr>Vancouver</vt:lpwstr>
  </property>
  <property fmtid="{D5CDD505-2E9C-101B-9397-08002B2CF9AE}" pid="23" name="Mendeley Recent Style Id 9_1">
    <vt:lpwstr>http://www.zotero.org/styles/world-journal-of-gastroenterology</vt:lpwstr>
  </property>
  <property fmtid="{D5CDD505-2E9C-101B-9397-08002B2CF9AE}" pid="24" name="Mendeley Recent Style Name 9_1">
    <vt:lpwstr>World Journal of Gastroenterology</vt:lpwstr>
  </property>
</Properties>
</file>