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AEC4E" w14:textId="77777777" w:rsidR="00C6230B" w:rsidRPr="00EE0E45" w:rsidRDefault="00C6230B" w:rsidP="00EE0E45">
      <w:pPr>
        <w:adjustRightInd w:val="0"/>
        <w:snapToGrid w:val="0"/>
        <w:spacing w:line="360" w:lineRule="auto"/>
        <w:jc w:val="both"/>
        <w:rPr>
          <w:rFonts w:ascii="Book Antiqua" w:hAnsi="Book Antiqua"/>
          <w:lang w:val="en-GB"/>
        </w:rPr>
      </w:pPr>
      <w:r w:rsidRPr="00EE0E45">
        <w:rPr>
          <w:rFonts w:ascii="Book Antiqua" w:hAnsi="Book Antiqua"/>
          <w:b/>
          <w:lang w:val="en-GB"/>
        </w:rPr>
        <w:t xml:space="preserve">Name of </w:t>
      </w:r>
      <w:r w:rsidRPr="002A5553">
        <w:rPr>
          <w:rFonts w:ascii="Book Antiqua" w:hAnsi="Book Antiqua"/>
          <w:b/>
          <w:caps/>
          <w:lang w:val="en-GB"/>
        </w:rPr>
        <w:t>j</w:t>
      </w:r>
      <w:r w:rsidRPr="00EE0E45">
        <w:rPr>
          <w:rFonts w:ascii="Book Antiqua" w:hAnsi="Book Antiqua"/>
          <w:b/>
          <w:lang w:val="en-GB"/>
        </w:rPr>
        <w:t>ournal:</w:t>
      </w:r>
      <w:r w:rsidRPr="00EE0E45">
        <w:rPr>
          <w:rFonts w:ascii="Book Antiqua" w:hAnsi="Book Antiqua"/>
          <w:lang w:val="en-GB"/>
        </w:rPr>
        <w:t xml:space="preserve"> </w:t>
      </w:r>
      <w:r w:rsidRPr="002A5553">
        <w:rPr>
          <w:rFonts w:ascii="Book Antiqua" w:hAnsi="Book Antiqua"/>
          <w:b/>
          <w:i/>
          <w:lang w:val="en-GB"/>
        </w:rPr>
        <w:t>World Journal of Gastroenterology</w:t>
      </w:r>
    </w:p>
    <w:p w14:paraId="42382EF3" w14:textId="77777777" w:rsidR="00862453" w:rsidRPr="00EE0E45" w:rsidRDefault="00862453" w:rsidP="00EE0E45">
      <w:pPr>
        <w:adjustRightInd w:val="0"/>
        <w:snapToGrid w:val="0"/>
        <w:spacing w:line="360" w:lineRule="auto"/>
        <w:jc w:val="both"/>
        <w:rPr>
          <w:rFonts w:ascii="Book Antiqua" w:hAnsi="Book Antiqua"/>
          <w:b/>
          <w:lang w:val="en-GB"/>
        </w:rPr>
      </w:pPr>
      <w:bookmarkStart w:id="0" w:name="OLE_LINK485"/>
      <w:bookmarkStart w:id="1" w:name="OLE_LINK486"/>
      <w:bookmarkStart w:id="2" w:name="OLE_LINK661"/>
      <w:bookmarkStart w:id="3" w:name="OLE_LINK768"/>
      <w:r w:rsidRPr="00EE0E45">
        <w:rPr>
          <w:rFonts w:ascii="Book Antiqua" w:hAnsi="Book Antiqua"/>
          <w:b/>
          <w:highlight w:val="white"/>
          <w:lang w:val="en-GB"/>
        </w:rPr>
        <w:t>Manuscript NO:</w:t>
      </w:r>
      <w:bookmarkEnd w:id="0"/>
      <w:bookmarkEnd w:id="1"/>
      <w:bookmarkEnd w:id="2"/>
      <w:bookmarkEnd w:id="3"/>
      <w:r w:rsidR="00BE73B5" w:rsidRPr="00EE0E45">
        <w:rPr>
          <w:rFonts w:ascii="Book Antiqua" w:hAnsi="Book Antiqua"/>
          <w:b/>
          <w:highlight w:val="white"/>
          <w:lang w:val="en-GB"/>
        </w:rPr>
        <w:t xml:space="preserve"> </w:t>
      </w:r>
      <w:r w:rsidR="00BE73B5" w:rsidRPr="00EE0E45">
        <w:rPr>
          <w:rFonts w:ascii="Book Antiqua" w:hAnsi="Book Antiqua"/>
          <w:b/>
          <w:lang w:val="en-GB"/>
        </w:rPr>
        <w:t>39909</w:t>
      </w:r>
    </w:p>
    <w:p w14:paraId="006DE61D" w14:textId="77777777" w:rsidR="00C6230B" w:rsidRPr="00EE0E45" w:rsidRDefault="00C6230B" w:rsidP="00EE0E45">
      <w:pPr>
        <w:adjustRightInd w:val="0"/>
        <w:snapToGrid w:val="0"/>
        <w:spacing w:line="360" w:lineRule="auto"/>
        <w:jc w:val="both"/>
        <w:rPr>
          <w:rFonts w:ascii="Book Antiqua" w:hAnsi="Book Antiqua"/>
          <w:lang w:val="en-GB"/>
        </w:rPr>
      </w:pPr>
      <w:r w:rsidRPr="00EE0E45">
        <w:rPr>
          <w:rFonts w:ascii="Book Antiqua" w:hAnsi="Book Antiqua"/>
          <w:b/>
          <w:lang w:val="en-GB"/>
        </w:rPr>
        <w:t>Manuscript Type:</w:t>
      </w:r>
      <w:r w:rsidRPr="00EE0E45">
        <w:rPr>
          <w:rFonts w:ascii="Book Antiqua" w:hAnsi="Book Antiqua"/>
          <w:lang w:val="en-GB"/>
        </w:rPr>
        <w:t xml:space="preserve"> </w:t>
      </w:r>
      <w:r w:rsidRPr="00EE0E45">
        <w:rPr>
          <w:rFonts w:ascii="Book Antiqua" w:hAnsi="Book Antiqua"/>
          <w:b/>
          <w:lang w:val="en-GB"/>
        </w:rPr>
        <w:t>EDITORIAL</w:t>
      </w:r>
    </w:p>
    <w:p w14:paraId="1321A51A" w14:textId="77777777" w:rsidR="00C6230B" w:rsidRPr="00EE0E45" w:rsidRDefault="00C6230B" w:rsidP="00EE0E45">
      <w:pPr>
        <w:adjustRightInd w:val="0"/>
        <w:snapToGrid w:val="0"/>
        <w:spacing w:line="360" w:lineRule="auto"/>
        <w:jc w:val="both"/>
        <w:rPr>
          <w:rFonts w:ascii="Book Antiqua" w:hAnsi="Book Antiqua"/>
          <w:b/>
          <w:lang w:val="en-GB"/>
        </w:rPr>
      </w:pPr>
    </w:p>
    <w:p w14:paraId="0CC7A3A0" w14:textId="77777777" w:rsidR="00392903" w:rsidRPr="00EE0E45" w:rsidRDefault="00BE3557" w:rsidP="00EE0E45">
      <w:pPr>
        <w:adjustRightInd w:val="0"/>
        <w:snapToGrid w:val="0"/>
        <w:spacing w:line="360" w:lineRule="auto"/>
        <w:jc w:val="both"/>
        <w:rPr>
          <w:rFonts w:ascii="Book Antiqua" w:hAnsi="Book Antiqua"/>
          <w:b/>
          <w:lang w:val="en-GB"/>
        </w:rPr>
      </w:pPr>
      <w:r w:rsidRPr="00EE0E45">
        <w:rPr>
          <w:rFonts w:ascii="Book Antiqua" w:hAnsi="Book Antiqua"/>
          <w:b/>
          <w:lang w:val="en-GB"/>
        </w:rPr>
        <w:t xml:space="preserve">Locoregional therapy response in patients with </w:t>
      </w:r>
      <w:bookmarkStart w:id="4" w:name="OLE_LINK17"/>
      <w:r w:rsidRPr="00EE0E45">
        <w:rPr>
          <w:rFonts w:ascii="Book Antiqua" w:hAnsi="Book Antiqua"/>
          <w:b/>
          <w:lang w:val="en-GB"/>
        </w:rPr>
        <w:t>hepatocellular cancer</w:t>
      </w:r>
      <w:bookmarkEnd w:id="4"/>
      <w:r w:rsidRPr="00EE0E45">
        <w:rPr>
          <w:rFonts w:ascii="Book Antiqua" w:hAnsi="Book Antiqua"/>
          <w:b/>
          <w:lang w:val="en-GB"/>
        </w:rPr>
        <w:t xml:space="preserve"> wait</w:t>
      </w:r>
      <w:r w:rsidR="00B9067F" w:rsidRPr="00EE0E45">
        <w:rPr>
          <w:rFonts w:ascii="Book Antiqua" w:hAnsi="Book Antiqua"/>
          <w:b/>
          <w:lang w:val="en-GB"/>
        </w:rPr>
        <w:t xml:space="preserve">ing for liver transplantation: </w:t>
      </w:r>
      <w:r w:rsidR="00B9067F" w:rsidRPr="00EE0E45">
        <w:rPr>
          <w:rFonts w:ascii="Book Antiqua" w:hAnsi="Book Antiqua"/>
          <w:b/>
        </w:rPr>
        <w:t>O</w:t>
      </w:r>
      <w:r w:rsidRPr="00EE0E45">
        <w:rPr>
          <w:rFonts w:ascii="Book Antiqua" w:hAnsi="Book Antiqua"/>
          <w:b/>
          <w:lang w:val="en-GB"/>
        </w:rPr>
        <w:t>nly selection or biological effect?</w:t>
      </w:r>
    </w:p>
    <w:p w14:paraId="61DCF38C" w14:textId="77777777" w:rsidR="00C6230B" w:rsidRPr="00EE0E45" w:rsidRDefault="00C6230B" w:rsidP="00EE0E45">
      <w:pPr>
        <w:adjustRightInd w:val="0"/>
        <w:snapToGrid w:val="0"/>
        <w:spacing w:line="360" w:lineRule="auto"/>
        <w:jc w:val="both"/>
        <w:rPr>
          <w:rFonts w:ascii="Book Antiqua" w:hAnsi="Book Antiqua"/>
          <w:lang w:val="en-GB"/>
        </w:rPr>
      </w:pPr>
    </w:p>
    <w:p w14:paraId="74782FD0" w14:textId="4A90096F" w:rsidR="00C6230B" w:rsidRPr="00EE0E45" w:rsidRDefault="00C6230B" w:rsidP="00EE0E45">
      <w:pPr>
        <w:adjustRightInd w:val="0"/>
        <w:snapToGrid w:val="0"/>
        <w:spacing w:line="360" w:lineRule="auto"/>
        <w:jc w:val="both"/>
        <w:rPr>
          <w:rFonts w:ascii="Book Antiqua" w:hAnsi="Book Antiqua"/>
        </w:rPr>
      </w:pPr>
      <w:r w:rsidRPr="00EE0E45">
        <w:rPr>
          <w:rFonts w:ascii="Book Antiqua" w:hAnsi="Book Antiqua"/>
          <w:lang w:val="en-GB"/>
        </w:rPr>
        <w:t xml:space="preserve">Lai </w:t>
      </w:r>
      <w:r w:rsidR="00AD24B6" w:rsidRPr="00EE0E45">
        <w:rPr>
          <w:rFonts w:ascii="Book Antiqua" w:hAnsi="Book Antiqua"/>
          <w:lang w:val="en-GB"/>
        </w:rPr>
        <w:t xml:space="preserve">Q </w:t>
      </w:r>
      <w:r w:rsidRPr="00EE0E45">
        <w:rPr>
          <w:rFonts w:ascii="Book Antiqua" w:hAnsi="Book Antiqua"/>
          <w:i/>
          <w:lang w:val="en-GB"/>
        </w:rPr>
        <w:t>et al</w:t>
      </w:r>
      <w:r w:rsidRPr="00EE0E45">
        <w:rPr>
          <w:rFonts w:ascii="Book Antiqua" w:hAnsi="Book Antiqua"/>
          <w:lang w:val="en-GB"/>
        </w:rPr>
        <w:t xml:space="preserve">. Locoregional treatments and </w:t>
      </w:r>
      <w:r w:rsidR="00E0355F" w:rsidRPr="00EE0E45">
        <w:rPr>
          <w:rFonts w:ascii="Book Antiqua" w:hAnsi="Book Antiqua"/>
          <w:lang w:val="en-GB"/>
        </w:rPr>
        <w:t>HCC</w:t>
      </w:r>
      <w:r w:rsidR="00AD24B6" w:rsidRPr="00EE0E45" w:rsidDel="00AD24B6">
        <w:rPr>
          <w:rFonts w:ascii="Book Antiqua" w:hAnsi="Book Antiqua"/>
          <w:lang w:val="en-GB"/>
        </w:rPr>
        <w:t xml:space="preserve"> </w:t>
      </w:r>
    </w:p>
    <w:p w14:paraId="41CF40F0" w14:textId="77777777" w:rsidR="00C6230B" w:rsidRPr="002A5553" w:rsidRDefault="00C6230B" w:rsidP="00EE0E45">
      <w:pPr>
        <w:adjustRightInd w:val="0"/>
        <w:snapToGrid w:val="0"/>
        <w:spacing w:line="360" w:lineRule="auto"/>
        <w:jc w:val="both"/>
        <w:rPr>
          <w:rFonts w:ascii="Book Antiqua" w:hAnsi="Book Antiqua"/>
        </w:rPr>
      </w:pPr>
    </w:p>
    <w:p w14:paraId="46FB1320" w14:textId="77777777" w:rsidR="00C6230B" w:rsidRPr="00EE0E45" w:rsidRDefault="00C6230B" w:rsidP="00EE0E45">
      <w:pPr>
        <w:adjustRightInd w:val="0"/>
        <w:snapToGrid w:val="0"/>
        <w:spacing w:line="360" w:lineRule="auto"/>
        <w:jc w:val="both"/>
        <w:rPr>
          <w:rFonts w:ascii="Book Antiqua" w:hAnsi="Book Antiqua"/>
        </w:rPr>
      </w:pPr>
      <w:r w:rsidRPr="00EE0E45">
        <w:rPr>
          <w:rFonts w:ascii="Book Antiqua" w:hAnsi="Book Antiqua"/>
        </w:rPr>
        <w:t>Quirino Lai, Michele Di Martino, Pierleone Lucatelli, Gianluca Mennini</w:t>
      </w:r>
    </w:p>
    <w:p w14:paraId="29198798" w14:textId="77777777" w:rsidR="00C6230B" w:rsidRPr="00EE0E45" w:rsidRDefault="00C6230B" w:rsidP="00EE0E45">
      <w:pPr>
        <w:adjustRightInd w:val="0"/>
        <w:snapToGrid w:val="0"/>
        <w:spacing w:line="360" w:lineRule="auto"/>
        <w:jc w:val="both"/>
        <w:rPr>
          <w:rFonts w:ascii="Book Antiqua" w:hAnsi="Book Antiqua"/>
        </w:rPr>
      </w:pPr>
    </w:p>
    <w:p w14:paraId="5373AB4F" w14:textId="12C6B16E" w:rsidR="00C6230B" w:rsidRPr="00EE0E45" w:rsidRDefault="00C6230B" w:rsidP="00EE0E45">
      <w:pPr>
        <w:adjustRightInd w:val="0"/>
        <w:snapToGrid w:val="0"/>
        <w:spacing w:line="360" w:lineRule="auto"/>
        <w:jc w:val="both"/>
        <w:rPr>
          <w:rFonts w:ascii="Book Antiqua" w:hAnsi="Book Antiqua"/>
          <w:lang w:val="en-GB"/>
        </w:rPr>
      </w:pPr>
      <w:r w:rsidRPr="00EE0E45">
        <w:rPr>
          <w:rFonts w:ascii="Book Antiqua" w:hAnsi="Book Antiqua"/>
          <w:b/>
          <w:lang w:val="en-GB"/>
        </w:rPr>
        <w:t>Quirino Lai, Gianluca Mennini,</w:t>
      </w:r>
      <w:r w:rsidRPr="00EE0E45">
        <w:rPr>
          <w:rFonts w:ascii="Book Antiqua" w:hAnsi="Book Antiqua"/>
          <w:lang w:val="en-GB"/>
        </w:rPr>
        <w:t xml:space="preserve"> Department of General Surgery and Organ Transplantation, Sapienza University of Rome, Rome</w:t>
      </w:r>
      <w:r w:rsidR="002D792B" w:rsidRPr="00EE0E45">
        <w:rPr>
          <w:rFonts w:ascii="Book Antiqua" w:hAnsi="Book Antiqua"/>
          <w:lang w:val="en-GB"/>
        </w:rPr>
        <w:t xml:space="preserve"> 00161</w:t>
      </w:r>
      <w:r w:rsidRPr="00EE0E45">
        <w:rPr>
          <w:rFonts w:ascii="Book Antiqua" w:hAnsi="Book Antiqua"/>
          <w:lang w:val="en-GB"/>
        </w:rPr>
        <w:t>, Italy</w:t>
      </w:r>
    </w:p>
    <w:p w14:paraId="667CBABA" w14:textId="77777777" w:rsidR="00AD24B6" w:rsidRPr="00EE0E45" w:rsidRDefault="00AD24B6" w:rsidP="00EE0E45">
      <w:pPr>
        <w:adjustRightInd w:val="0"/>
        <w:snapToGrid w:val="0"/>
        <w:spacing w:line="360" w:lineRule="auto"/>
        <w:jc w:val="both"/>
        <w:rPr>
          <w:rFonts w:ascii="Book Antiqua" w:hAnsi="Book Antiqua"/>
          <w:b/>
        </w:rPr>
      </w:pPr>
    </w:p>
    <w:p w14:paraId="177FCE6B" w14:textId="6B919516" w:rsidR="00C6230B" w:rsidRPr="00EE0E45" w:rsidRDefault="00C6230B" w:rsidP="00EE0E45">
      <w:pPr>
        <w:adjustRightInd w:val="0"/>
        <w:snapToGrid w:val="0"/>
        <w:spacing w:line="360" w:lineRule="auto"/>
        <w:jc w:val="both"/>
        <w:rPr>
          <w:rFonts w:ascii="Book Antiqua" w:hAnsi="Book Antiqua"/>
        </w:rPr>
      </w:pPr>
      <w:r w:rsidRPr="00EE0E45">
        <w:rPr>
          <w:rFonts w:ascii="Book Antiqua" w:hAnsi="Book Antiqua"/>
          <w:b/>
        </w:rPr>
        <w:t>Michele Di Martino, Pierleone Lucatelli,</w:t>
      </w:r>
      <w:r w:rsidRPr="00EE0E45">
        <w:rPr>
          <w:rFonts w:ascii="Book Antiqua" w:hAnsi="Book Antiqua"/>
        </w:rPr>
        <w:t xml:space="preserve"> Department of Radiology, Sapienza University of Rome,</w:t>
      </w:r>
      <w:r w:rsidR="00B436DB" w:rsidRPr="00EE0E45">
        <w:rPr>
          <w:rFonts w:ascii="Book Antiqua" w:hAnsi="Book Antiqua"/>
        </w:rPr>
        <w:t xml:space="preserve"> </w:t>
      </w:r>
      <w:r w:rsidRPr="00EE0E45">
        <w:rPr>
          <w:rFonts w:ascii="Book Antiqua" w:hAnsi="Book Antiqua"/>
        </w:rPr>
        <w:t>Rome</w:t>
      </w:r>
      <w:r w:rsidR="000B53DD" w:rsidRPr="00EE0E45">
        <w:rPr>
          <w:rFonts w:ascii="Book Antiqua" w:hAnsi="Book Antiqua"/>
        </w:rPr>
        <w:t xml:space="preserve"> </w:t>
      </w:r>
      <w:r w:rsidR="000B53DD" w:rsidRPr="00EE0E45">
        <w:rPr>
          <w:rFonts w:ascii="Book Antiqua" w:hAnsi="Book Antiqua"/>
          <w:lang w:val="en-GB"/>
        </w:rPr>
        <w:t>00161</w:t>
      </w:r>
      <w:r w:rsidRPr="00EE0E45">
        <w:rPr>
          <w:rFonts w:ascii="Book Antiqua" w:hAnsi="Book Antiqua"/>
        </w:rPr>
        <w:t>, Italy</w:t>
      </w:r>
    </w:p>
    <w:p w14:paraId="1D1E94BF" w14:textId="77777777" w:rsidR="001D4D66" w:rsidRPr="00EE0E45" w:rsidRDefault="001D4D66" w:rsidP="00EE0E45">
      <w:pPr>
        <w:adjustRightInd w:val="0"/>
        <w:snapToGrid w:val="0"/>
        <w:spacing w:line="360" w:lineRule="auto"/>
        <w:jc w:val="both"/>
        <w:rPr>
          <w:rFonts w:ascii="Book Antiqua" w:hAnsi="Book Antiqua"/>
        </w:rPr>
      </w:pPr>
    </w:p>
    <w:p w14:paraId="393D2DDE" w14:textId="77777777" w:rsidR="00C6230B" w:rsidRPr="00EE0E45" w:rsidRDefault="00C6230B" w:rsidP="00EE0E45">
      <w:pPr>
        <w:adjustRightInd w:val="0"/>
        <w:snapToGrid w:val="0"/>
        <w:spacing w:line="360" w:lineRule="auto"/>
        <w:jc w:val="both"/>
        <w:rPr>
          <w:rFonts w:ascii="Book Antiqua" w:hAnsi="Book Antiqua"/>
        </w:rPr>
      </w:pPr>
      <w:r w:rsidRPr="00EE0E45">
        <w:rPr>
          <w:rFonts w:ascii="Book Antiqua" w:hAnsi="Book Antiqua"/>
          <w:b/>
        </w:rPr>
        <w:t>ORCID number:</w:t>
      </w:r>
      <w:r w:rsidRPr="00EE0E45">
        <w:rPr>
          <w:rFonts w:ascii="Book Antiqua" w:hAnsi="Book Antiqua"/>
        </w:rPr>
        <w:t xml:space="preserve"> Quirino Lai (0000-0003-1487-3235); Michele Di Martino (</w:t>
      </w:r>
      <w:r w:rsidR="00630678" w:rsidRPr="00EE0E45">
        <w:rPr>
          <w:rFonts w:ascii="Book Antiqua" w:hAnsi="Book Antiqua"/>
        </w:rPr>
        <w:t>0000-0003-1504-1166</w:t>
      </w:r>
      <w:r w:rsidR="001D4D66" w:rsidRPr="00EE0E45">
        <w:rPr>
          <w:rFonts w:ascii="Book Antiqua" w:hAnsi="Book Antiqua"/>
        </w:rPr>
        <w:t xml:space="preserve">); Pierleone Lucatelli (0000-0002-7448-1404); Gianluca Mennini (0000-0002-6412-6863). </w:t>
      </w:r>
    </w:p>
    <w:p w14:paraId="7B156640" w14:textId="77777777" w:rsidR="00C6230B" w:rsidRPr="00EE0E45" w:rsidRDefault="00C6230B" w:rsidP="00EE0E45">
      <w:pPr>
        <w:adjustRightInd w:val="0"/>
        <w:snapToGrid w:val="0"/>
        <w:spacing w:line="360" w:lineRule="auto"/>
        <w:jc w:val="both"/>
        <w:rPr>
          <w:rFonts w:ascii="Book Antiqua" w:hAnsi="Book Antiqua"/>
        </w:rPr>
      </w:pPr>
    </w:p>
    <w:p w14:paraId="7F00A5D3" w14:textId="4B115BD0" w:rsidR="00C6230B" w:rsidRPr="00EE0E45" w:rsidRDefault="00C6230B" w:rsidP="00EE0E45">
      <w:pPr>
        <w:adjustRightInd w:val="0"/>
        <w:snapToGrid w:val="0"/>
        <w:spacing w:line="360" w:lineRule="auto"/>
        <w:jc w:val="both"/>
        <w:rPr>
          <w:rFonts w:ascii="Book Antiqua" w:hAnsi="Book Antiqua"/>
          <w:lang w:val="en-GB"/>
        </w:rPr>
      </w:pPr>
      <w:r w:rsidRPr="00EE0E45">
        <w:rPr>
          <w:rFonts w:ascii="Book Antiqua" w:hAnsi="Book Antiqua"/>
          <w:b/>
          <w:lang w:val="en-GB"/>
        </w:rPr>
        <w:t>Author contributions:</w:t>
      </w:r>
      <w:r w:rsidRPr="00EE0E45">
        <w:rPr>
          <w:rFonts w:ascii="Book Antiqua" w:hAnsi="Book Antiqua"/>
          <w:lang w:val="en-GB"/>
        </w:rPr>
        <w:t xml:space="preserve"> </w:t>
      </w:r>
      <w:r w:rsidR="001D4D66" w:rsidRPr="00EE0E45">
        <w:rPr>
          <w:rFonts w:ascii="Book Antiqua" w:hAnsi="Book Antiqua"/>
          <w:lang w:val="en-GB"/>
        </w:rPr>
        <w:t xml:space="preserve">Lai Q, Di Martino M, Lucatelli P and Mennini G </w:t>
      </w:r>
      <w:r w:rsidRPr="00EE0E45">
        <w:rPr>
          <w:rFonts w:ascii="Book Antiqua" w:hAnsi="Book Antiqua"/>
          <w:lang w:val="en-GB"/>
        </w:rPr>
        <w:t>conceived the study and drafted the manuscript; both authors approved the final version of the article.</w:t>
      </w:r>
    </w:p>
    <w:p w14:paraId="56E6842A" w14:textId="77777777" w:rsidR="001D4D66" w:rsidRPr="00EE0E45" w:rsidRDefault="001D4D66" w:rsidP="00EE0E45">
      <w:pPr>
        <w:adjustRightInd w:val="0"/>
        <w:snapToGrid w:val="0"/>
        <w:spacing w:line="360" w:lineRule="auto"/>
        <w:jc w:val="both"/>
        <w:rPr>
          <w:rFonts w:ascii="Book Antiqua" w:hAnsi="Book Antiqua"/>
          <w:lang w:val="en-GB"/>
        </w:rPr>
      </w:pPr>
    </w:p>
    <w:p w14:paraId="64692A7A" w14:textId="77777777" w:rsidR="00C6230B" w:rsidRPr="00EE0E45" w:rsidRDefault="00C6230B" w:rsidP="00EE0E45">
      <w:pPr>
        <w:adjustRightInd w:val="0"/>
        <w:snapToGrid w:val="0"/>
        <w:spacing w:line="360" w:lineRule="auto"/>
        <w:jc w:val="both"/>
        <w:rPr>
          <w:rFonts w:ascii="Book Antiqua" w:hAnsi="Book Antiqua"/>
          <w:lang w:val="en-GB"/>
        </w:rPr>
      </w:pPr>
      <w:r w:rsidRPr="00EE0E45">
        <w:rPr>
          <w:rFonts w:ascii="Book Antiqua" w:hAnsi="Book Antiqua"/>
          <w:b/>
          <w:lang w:val="en-GB"/>
        </w:rPr>
        <w:t>Conflict-of-interest statement:</w:t>
      </w:r>
      <w:r w:rsidRPr="00EE0E45">
        <w:rPr>
          <w:rFonts w:ascii="Book Antiqua" w:hAnsi="Book Antiqua"/>
          <w:lang w:val="en-GB"/>
        </w:rPr>
        <w:t xml:space="preserve"> The authors have no conflict of interest to declare.</w:t>
      </w:r>
    </w:p>
    <w:p w14:paraId="318F87C0" w14:textId="77777777" w:rsidR="001D4D66" w:rsidRPr="00EE0E45" w:rsidRDefault="001D4D66" w:rsidP="00EE0E45">
      <w:pPr>
        <w:adjustRightInd w:val="0"/>
        <w:snapToGrid w:val="0"/>
        <w:spacing w:line="360" w:lineRule="auto"/>
        <w:jc w:val="both"/>
        <w:rPr>
          <w:rFonts w:ascii="Book Antiqua" w:hAnsi="Book Antiqua"/>
          <w:lang w:val="en-GB"/>
        </w:rPr>
      </w:pPr>
    </w:p>
    <w:p w14:paraId="6A57AD22" w14:textId="77777777" w:rsidR="00B436DB" w:rsidRPr="00EE0E45" w:rsidRDefault="00B436DB" w:rsidP="00EE0E45">
      <w:pPr>
        <w:adjustRightInd w:val="0"/>
        <w:snapToGrid w:val="0"/>
        <w:spacing w:line="360" w:lineRule="auto"/>
        <w:jc w:val="both"/>
        <w:rPr>
          <w:rStyle w:val="Hyperlink"/>
          <w:rFonts w:ascii="Book Antiqua" w:eastAsia="Times New Roman" w:hAnsi="Book Antiqua"/>
          <w:color w:val="000000" w:themeColor="text1"/>
        </w:rPr>
      </w:pPr>
      <w:r w:rsidRPr="002A5553">
        <w:rPr>
          <w:rFonts w:ascii="Book Antiqua" w:eastAsia="Times New Roman" w:hAnsi="Book Antiqua"/>
          <w:b/>
          <w:bCs/>
          <w:color w:val="000000" w:themeColor="text1"/>
        </w:rPr>
        <w:t>Open-Access</w:t>
      </w:r>
      <w:r w:rsidRPr="00EE0E45">
        <w:rPr>
          <w:rFonts w:ascii="Book Antiqua" w:eastAsia="Times New Roman" w:hAnsi="Book Antiqua"/>
          <w:color w:val="000000" w:themeColor="text1"/>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4" w:history="1">
        <w:r w:rsidRPr="00EE0E45">
          <w:rPr>
            <w:rStyle w:val="Hyperlink"/>
            <w:rFonts w:ascii="Book Antiqua" w:eastAsia="Times New Roman" w:hAnsi="Book Antiqua"/>
            <w:color w:val="000000" w:themeColor="text1"/>
          </w:rPr>
          <w:t>http://creativecommons.org/licenses/by-nc/4.0/</w:t>
        </w:r>
      </w:hyperlink>
    </w:p>
    <w:p w14:paraId="4099F021" w14:textId="77777777" w:rsidR="00B436DB" w:rsidRPr="00EE0E45" w:rsidRDefault="00B436DB" w:rsidP="00EE0E45">
      <w:pPr>
        <w:adjustRightInd w:val="0"/>
        <w:snapToGrid w:val="0"/>
        <w:spacing w:line="360" w:lineRule="auto"/>
        <w:jc w:val="both"/>
        <w:rPr>
          <w:rFonts w:ascii="Book Antiqua" w:hAnsi="Book Antiqua"/>
          <w:lang w:val="en-GB"/>
        </w:rPr>
      </w:pPr>
    </w:p>
    <w:p w14:paraId="5072E9CC" w14:textId="47072CF3" w:rsidR="005357A1" w:rsidRPr="00EE0E45" w:rsidRDefault="005357A1" w:rsidP="00EE0E45">
      <w:pPr>
        <w:adjustRightInd w:val="0"/>
        <w:snapToGrid w:val="0"/>
        <w:spacing w:line="360" w:lineRule="auto"/>
        <w:jc w:val="both"/>
        <w:rPr>
          <w:rFonts w:ascii="Book Antiqua" w:hAnsi="Book Antiqua"/>
          <w:bCs/>
        </w:rPr>
      </w:pPr>
      <w:r w:rsidRPr="00EE0E45">
        <w:rPr>
          <w:rFonts w:ascii="Book Antiqua" w:hAnsi="Book Antiqua"/>
          <w:b/>
          <w:bCs/>
          <w:highlight w:val="white"/>
        </w:rPr>
        <w:lastRenderedPageBreak/>
        <w:t xml:space="preserve">Manuscript source: </w:t>
      </w:r>
      <w:r w:rsidRPr="00EE0E45">
        <w:rPr>
          <w:rFonts w:ascii="Book Antiqua" w:hAnsi="Book Antiqua"/>
          <w:bCs/>
          <w:highlight w:val="white"/>
        </w:rPr>
        <w:t>Invited manuscript</w:t>
      </w:r>
    </w:p>
    <w:p w14:paraId="795435C6" w14:textId="77777777" w:rsidR="005357A1" w:rsidRPr="00EE0E45" w:rsidRDefault="005357A1" w:rsidP="00EE0E45">
      <w:pPr>
        <w:adjustRightInd w:val="0"/>
        <w:snapToGrid w:val="0"/>
        <w:spacing w:line="360" w:lineRule="auto"/>
        <w:jc w:val="both"/>
        <w:rPr>
          <w:rFonts w:ascii="Book Antiqua" w:hAnsi="Book Antiqua"/>
          <w:lang w:val="en-GB"/>
        </w:rPr>
      </w:pPr>
    </w:p>
    <w:p w14:paraId="1908695C" w14:textId="73FC06E9" w:rsidR="00C6230B" w:rsidRPr="00EE0E45" w:rsidRDefault="00C6230B" w:rsidP="00EE0E45">
      <w:pPr>
        <w:adjustRightInd w:val="0"/>
        <w:snapToGrid w:val="0"/>
        <w:spacing w:line="360" w:lineRule="auto"/>
        <w:jc w:val="both"/>
        <w:rPr>
          <w:rFonts w:ascii="Book Antiqua" w:hAnsi="Book Antiqua"/>
        </w:rPr>
      </w:pPr>
      <w:r w:rsidRPr="00EE0E45">
        <w:rPr>
          <w:rFonts w:ascii="Book Antiqua" w:hAnsi="Book Antiqua"/>
          <w:b/>
          <w:lang w:val="en-GB"/>
        </w:rPr>
        <w:t>Correspondence to:</w:t>
      </w:r>
      <w:r w:rsidRPr="00EE0E45">
        <w:rPr>
          <w:rFonts w:ascii="Book Antiqua" w:hAnsi="Book Antiqua"/>
          <w:lang w:val="en-GB"/>
        </w:rPr>
        <w:t xml:space="preserve"> </w:t>
      </w:r>
      <w:r w:rsidR="001D4D66" w:rsidRPr="00EE0E45">
        <w:rPr>
          <w:rFonts w:ascii="Book Antiqua" w:hAnsi="Book Antiqua"/>
          <w:b/>
          <w:lang w:val="en-GB"/>
        </w:rPr>
        <w:t>Quirino Lai,</w:t>
      </w:r>
      <w:r w:rsidR="001D4D66" w:rsidRPr="00EE0E45">
        <w:rPr>
          <w:rFonts w:ascii="Book Antiqua" w:hAnsi="Book Antiqua"/>
          <w:lang w:val="en-GB"/>
        </w:rPr>
        <w:t xml:space="preserve"> </w:t>
      </w:r>
      <w:r w:rsidR="001D4D66" w:rsidRPr="00EE0E45">
        <w:rPr>
          <w:rFonts w:ascii="Book Antiqua" w:hAnsi="Book Antiqua"/>
          <w:b/>
          <w:lang w:val="en-GB"/>
        </w:rPr>
        <w:t>MD</w:t>
      </w:r>
      <w:r w:rsidR="001E110F">
        <w:rPr>
          <w:rFonts w:ascii="Book Antiqua" w:hAnsi="Book Antiqua" w:hint="eastAsia"/>
          <w:b/>
          <w:lang w:val="en-GB"/>
        </w:rPr>
        <w:t>,</w:t>
      </w:r>
      <w:r w:rsidR="001D4D66" w:rsidRPr="00EE0E45">
        <w:rPr>
          <w:rFonts w:ascii="Book Antiqua" w:hAnsi="Book Antiqua"/>
          <w:b/>
          <w:lang w:val="en-GB"/>
        </w:rPr>
        <w:t xml:space="preserve"> PhD</w:t>
      </w:r>
      <w:r w:rsidRPr="00EE0E45">
        <w:rPr>
          <w:rFonts w:ascii="Book Antiqua" w:hAnsi="Book Antiqua"/>
          <w:b/>
          <w:lang w:val="en-GB"/>
        </w:rPr>
        <w:t>,</w:t>
      </w:r>
      <w:r w:rsidR="00B436DB" w:rsidRPr="00EE0E45">
        <w:rPr>
          <w:rFonts w:ascii="Book Antiqua" w:hAnsi="Book Antiqua"/>
          <w:lang w:val="en-GB"/>
        </w:rPr>
        <w:t xml:space="preserve"> </w:t>
      </w:r>
      <w:r w:rsidR="001E110F" w:rsidRPr="002A5553">
        <w:rPr>
          <w:rFonts w:ascii="Book Antiqua" w:hAnsi="Book Antiqua"/>
          <w:b/>
          <w:lang w:val="en-GB"/>
        </w:rPr>
        <w:t>Academic Fellow,</w:t>
      </w:r>
      <w:r w:rsidR="008614F7" w:rsidRPr="002A5553">
        <w:rPr>
          <w:rFonts w:ascii="Book Antiqua" w:hAnsi="Book Antiqua"/>
          <w:b/>
          <w:lang w:val="en-GB"/>
        </w:rPr>
        <w:t xml:space="preserve"> </w:t>
      </w:r>
      <w:r w:rsidR="001E110F" w:rsidRPr="002A5553">
        <w:rPr>
          <w:rFonts w:ascii="Book Antiqua" w:hAnsi="Book Antiqua"/>
          <w:b/>
          <w:lang w:val="en-GB"/>
        </w:rPr>
        <w:t xml:space="preserve">Academic Research, </w:t>
      </w:r>
      <w:r w:rsidR="00F4333C" w:rsidRPr="00F4333C">
        <w:rPr>
          <w:rFonts w:ascii="Book Antiqua" w:hAnsi="Book Antiqua"/>
          <w:b/>
          <w:lang w:val="en-GB"/>
        </w:rPr>
        <w:t>Doctor,</w:t>
      </w:r>
      <w:r w:rsidR="00F4333C">
        <w:rPr>
          <w:rFonts w:ascii="Book Antiqua" w:hAnsi="Book Antiqua" w:hint="eastAsia"/>
          <w:b/>
          <w:lang w:val="en-GB"/>
        </w:rPr>
        <w:t xml:space="preserve"> </w:t>
      </w:r>
      <w:r w:rsidR="00F4333C" w:rsidRPr="00F4333C">
        <w:rPr>
          <w:rFonts w:ascii="Book Antiqua" w:hAnsi="Book Antiqua"/>
          <w:b/>
          <w:lang w:val="en-GB"/>
        </w:rPr>
        <w:t>Senior Lecturer</w:t>
      </w:r>
      <w:r w:rsidR="00F4333C">
        <w:rPr>
          <w:rFonts w:ascii="Book Antiqua" w:hAnsi="Book Antiqua" w:hint="eastAsia"/>
          <w:b/>
          <w:lang w:val="en-GB"/>
        </w:rPr>
        <w:t xml:space="preserve">, </w:t>
      </w:r>
      <w:r w:rsidRPr="00EE0E45">
        <w:rPr>
          <w:rFonts w:ascii="Book Antiqua" w:hAnsi="Book Antiqua"/>
          <w:lang w:val="en-GB"/>
        </w:rPr>
        <w:t xml:space="preserve">Department of </w:t>
      </w:r>
      <w:r w:rsidR="001D4D66" w:rsidRPr="00EE0E45">
        <w:rPr>
          <w:rFonts w:ascii="Book Antiqua" w:hAnsi="Book Antiqua"/>
          <w:lang w:val="en-GB"/>
        </w:rPr>
        <w:t xml:space="preserve">General </w:t>
      </w:r>
      <w:r w:rsidRPr="00EE0E45">
        <w:rPr>
          <w:rFonts w:ascii="Book Antiqua" w:hAnsi="Book Antiqua"/>
          <w:lang w:val="en-GB"/>
        </w:rPr>
        <w:t>Surgery</w:t>
      </w:r>
      <w:r w:rsidR="001D4D66" w:rsidRPr="00EE0E45">
        <w:rPr>
          <w:rFonts w:ascii="Book Antiqua" w:hAnsi="Book Antiqua"/>
          <w:lang w:val="en-GB"/>
        </w:rPr>
        <w:t xml:space="preserve"> and Organ Transplantation,</w:t>
      </w:r>
      <w:r w:rsidR="00B436DB" w:rsidRPr="00EE0E45">
        <w:rPr>
          <w:rFonts w:ascii="Book Antiqua" w:hAnsi="Book Antiqua"/>
        </w:rPr>
        <w:t xml:space="preserve"> </w:t>
      </w:r>
      <w:r w:rsidR="001D4D66" w:rsidRPr="00EE0E45">
        <w:rPr>
          <w:rFonts w:ascii="Book Antiqua" w:hAnsi="Book Antiqua"/>
        </w:rPr>
        <w:t>Sapienza University of Rome, Viale del Policlinico 155, Rome</w:t>
      </w:r>
      <w:r w:rsidR="000B53DD" w:rsidRPr="00EE0E45">
        <w:rPr>
          <w:rFonts w:ascii="Book Antiqua" w:hAnsi="Book Antiqua"/>
        </w:rPr>
        <w:t xml:space="preserve"> </w:t>
      </w:r>
      <w:r w:rsidR="000B53DD" w:rsidRPr="00EE0E45">
        <w:rPr>
          <w:rFonts w:ascii="Book Antiqua" w:hAnsi="Book Antiqua"/>
          <w:lang w:val="en-GB"/>
        </w:rPr>
        <w:t>00161</w:t>
      </w:r>
      <w:r w:rsidR="001D4D66" w:rsidRPr="00EE0E45">
        <w:rPr>
          <w:rFonts w:ascii="Book Antiqua" w:hAnsi="Book Antiqua"/>
        </w:rPr>
        <w:t xml:space="preserve">, Italy. </w:t>
      </w:r>
      <w:r w:rsidR="00365081" w:rsidRPr="00EE0E45">
        <w:rPr>
          <w:rFonts w:ascii="Book Antiqua" w:hAnsi="Book Antiqua"/>
        </w:rPr>
        <w:t>lai</w:t>
      </w:r>
      <w:r w:rsidRPr="00EE0E45">
        <w:rPr>
          <w:rFonts w:ascii="Book Antiqua" w:hAnsi="Book Antiqua"/>
        </w:rPr>
        <w:t>.</w:t>
      </w:r>
      <w:r w:rsidR="00365081" w:rsidRPr="00EE0E45">
        <w:rPr>
          <w:rFonts w:ascii="Book Antiqua" w:hAnsi="Book Antiqua"/>
        </w:rPr>
        <w:t>quirino</w:t>
      </w:r>
      <w:r w:rsidRPr="00EE0E45">
        <w:rPr>
          <w:rFonts w:ascii="Book Antiqua" w:hAnsi="Book Antiqua"/>
        </w:rPr>
        <w:t>@libero.it</w:t>
      </w:r>
    </w:p>
    <w:p w14:paraId="19F35C96" w14:textId="3D24ECDF" w:rsidR="00C6230B" w:rsidRPr="00EE0E45" w:rsidRDefault="00C6230B" w:rsidP="00EE0E45">
      <w:pPr>
        <w:adjustRightInd w:val="0"/>
        <w:snapToGrid w:val="0"/>
        <w:spacing w:line="360" w:lineRule="auto"/>
        <w:jc w:val="both"/>
        <w:rPr>
          <w:rFonts w:ascii="Book Antiqua" w:hAnsi="Book Antiqua"/>
        </w:rPr>
      </w:pPr>
      <w:r w:rsidRPr="00EE0E45">
        <w:rPr>
          <w:rFonts w:ascii="Book Antiqua" w:hAnsi="Book Antiqua"/>
          <w:b/>
        </w:rPr>
        <w:t>Telephone:</w:t>
      </w:r>
      <w:r w:rsidRPr="00EE0E45">
        <w:rPr>
          <w:rFonts w:ascii="Book Antiqua" w:hAnsi="Book Antiqua"/>
        </w:rPr>
        <w:t xml:space="preserve"> +39-</w:t>
      </w:r>
      <w:r w:rsidR="00365081" w:rsidRPr="00EE0E45">
        <w:rPr>
          <w:rFonts w:ascii="Book Antiqua" w:hAnsi="Book Antiqua"/>
        </w:rPr>
        <w:t>34</w:t>
      </w:r>
      <w:r w:rsidR="00A82641">
        <w:rPr>
          <w:rFonts w:ascii="Book Antiqua" w:hAnsi="Book Antiqua" w:hint="eastAsia"/>
        </w:rPr>
        <w:t>-</w:t>
      </w:r>
      <w:r w:rsidR="00365081" w:rsidRPr="00EE0E45">
        <w:rPr>
          <w:rFonts w:ascii="Book Antiqua" w:hAnsi="Book Antiqua"/>
        </w:rPr>
        <w:t>93020126</w:t>
      </w:r>
    </w:p>
    <w:p w14:paraId="1D35550A" w14:textId="4CA0038C" w:rsidR="00317E83" w:rsidRPr="00EE0E45" w:rsidRDefault="00C6230B" w:rsidP="00EE0E45">
      <w:pPr>
        <w:adjustRightInd w:val="0"/>
        <w:snapToGrid w:val="0"/>
        <w:spacing w:line="360" w:lineRule="auto"/>
        <w:jc w:val="both"/>
        <w:rPr>
          <w:rFonts w:ascii="Book Antiqua" w:hAnsi="Book Antiqua"/>
          <w:lang w:val="en-GB"/>
        </w:rPr>
      </w:pPr>
      <w:r w:rsidRPr="00EE0E45">
        <w:rPr>
          <w:rFonts w:ascii="Book Antiqua" w:hAnsi="Book Antiqua"/>
          <w:b/>
          <w:lang w:val="en-GB"/>
        </w:rPr>
        <w:t>Fax:</w:t>
      </w:r>
      <w:r w:rsidRPr="00EE0E45">
        <w:rPr>
          <w:rFonts w:ascii="Book Antiqua" w:hAnsi="Book Antiqua"/>
          <w:lang w:val="en-GB"/>
        </w:rPr>
        <w:t xml:space="preserve"> +39-</w:t>
      </w:r>
      <w:r w:rsidR="00365081" w:rsidRPr="00EE0E45">
        <w:rPr>
          <w:rFonts w:ascii="Book Antiqua" w:hAnsi="Book Antiqua"/>
          <w:lang w:val="en-GB"/>
        </w:rPr>
        <w:t>06</w:t>
      </w:r>
      <w:r w:rsidR="00A82641">
        <w:rPr>
          <w:rFonts w:ascii="Book Antiqua" w:hAnsi="Book Antiqua" w:hint="eastAsia"/>
          <w:lang w:val="en-GB"/>
        </w:rPr>
        <w:t>-</w:t>
      </w:r>
      <w:r w:rsidR="00365081" w:rsidRPr="00EE0E45">
        <w:rPr>
          <w:rFonts w:ascii="Book Antiqua" w:hAnsi="Book Antiqua"/>
          <w:lang w:val="en-GB"/>
        </w:rPr>
        <w:t>499701</w:t>
      </w:r>
    </w:p>
    <w:p w14:paraId="47FE5EB8" w14:textId="77777777" w:rsidR="00317E83" w:rsidRPr="00EE0E45" w:rsidRDefault="00317E83" w:rsidP="00EE0E45">
      <w:pPr>
        <w:adjustRightInd w:val="0"/>
        <w:snapToGrid w:val="0"/>
        <w:spacing w:line="360" w:lineRule="auto"/>
        <w:jc w:val="both"/>
        <w:rPr>
          <w:rFonts w:ascii="Book Antiqua" w:hAnsi="Book Antiqua"/>
          <w:lang w:val="en-GB"/>
        </w:rPr>
      </w:pPr>
    </w:p>
    <w:p w14:paraId="04848C18" w14:textId="731E7029" w:rsidR="00317E83" w:rsidRPr="00EE0E45" w:rsidRDefault="00317E83" w:rsidP="00EE0E45">
      <w:pPr>
        <w:adjustRightInd w:val="0"/>
        <w:snapToGrid w:val="0"/>
        <w:spacing w:line="360" w:lineRule="auto"/>
        <w:jc w:val="both"/>
        <w:rPr>
          <w:rFonts w:ascii="Book Antiqua" w:hAnsi="Book Antiqua"/>
          <w:b/>
        </w:rPr>
      </w:pPr>
      <w:r w:rsidRPr="00EE0E45">
        <w:rPr>
          <w:rFonts w:ascii="Book Antiqua" w:hAnsi="Book Antiqua"/>
          <w:b/>
        </w:rPr>
        <w:t xml:space="preserve">Received: </w:t>
      </w:r>
      <w:r w:rsidRPr="00EE0E45">
        <w:rPr>
          <w:rFonts w:ascii="Book Antiqua" w:hAnsi="Book Antiqua"/>
        </w:rPr>
        <w:t>May</w:t>
      </w:r>
      <w:r w:rsidR="00891731" w:rsidRPr="00EE0E45">
        <w:rPr>
          <w:rFonts w:ascii="Book Antiqua" w:eastAsia="DengXian" w:hAnsi="Book Antiqua"/>
        </w:rPr>
        <w:t xml:space="preserve"> 18</w:t>
      </w:r>
      <w:r w:rsidRPr="00EE0E45">
        <w:rPr>
          <w:rFonts w:ascii="Book Antiqua" w:eastAsia="DengXian" w:hAnsi="Book Antiqua"/>
        </w:rPr>
        <w:t>, 2018</w:t>
      </w:r>
      <w:r w:rsidRPr="00EE0E45">
        <w:rPr>
          <w:rFonts w:ascii="Book Antiqua" w:hAnsi="Book Antiqua"/>
          <w:b/>
        </w:rPr>
        <w:t xml:space="preserve">  </w:t>
      </w:r>
    </w:p>
    <w:p w14:paraId="6BFF20A0" w14:textId="328963BB" w:rsidR="00317E83" w:rsidRPr="00EE0E45" w:rsidRDefault="00317E83" w:rsidP="00EE0E45">
      <w:pPr>
        <w:adjustRightInd w:val="0"/>
        <w:snapToGrid w:val="0"/>
        <w:spacing w:line="360" w:lineRule="auto"/>
        <w:jc w:val="both"/>
        <w:rPr>
          <w:rFonts w:ascii="Book Antiqua" w:eastAsia="DengXian" w:hAnsi="Book Antiqua"/>
          <w:b/>
        </w:rPr>
      </w:pPr>
      <w:r w:rsidRPr="00EE0E45">
        <w:rPr>
          <w:rFonts w:ascii="Book Antiqua" w:hAnsi="Book Antiqua"/>
          <w:b/>
        </w:rPr>
        <w:t>Peer-review started:</w:t>
      </w:r>
      <w:r w:rsidRPr="00EE0E45">
        <w:rPr>
          <w:rFonts w:ascii="Book Antiqua" w:eastAsia="DengXian" w:hAnsi="Book Antiqua"/>
          <w:b/>
        </w:rPr>
        <w:t xml:space="preserve"> </w:t>
      </w:r>
      <w:r w:rsidRPr="00EE0E45">
        <w:rPr>
          <w:rFonts w:ascii="Book Antiqua" w:hAnsi="Book Antiqua"/>
        </w:rPr>
        <w:t>May</w:t>
      </w:r>
      <w:r w:rsidR="00891731" w:rsidRPr="00EE0E45">
        <w:rPr>
          <w:rFonts w:ascii="Book Antiqua" w:eastAsia="DengXian" w:hAnsi="Book Antiqua"/>
        </w:rPr>
        <w:t xml:space="preserve"> 19</w:t>
      </w:r>
      <w:r w:rsidRPr="00EE0E45">
        <w:rPr>
          <w:rFonts w:ascii="Book Antiqua" w:eastAsia="DengXian" w:hAnsi="Book Antiqua"/>
        </w:rPr>
        <w:t>, 2018</w:t>
      </w:r>
    </w:p>
    <w:p w14:paraId="359384E6" w14:textId="02A040C7" w:rsidR="00317E83" w:rsidRPr="00EE0E45" w:rsidRDefault="00317E83" w:rsidP="00EE0E45">
      <w:pPr>
        <w:adjustRightInd w:val="0"/>
        <w:snapToGrid w:val="0"/>
        <w:spacing w:line="360" w:lineRule="auto"/>
        <w:jc w:val="both"/>
        <w:rPr>
          <w:rFonts w:ascii="Book Antiqua" w:eastAsia="DengXian" w:hAnsi="Book Antiqua"/>
          <w:b/>
        </w:rPr>
      </w:pPr>
      <w:r w:rsidRPr="00EE0E45">
        <w:rPr>
          <w:rFonts w:ascii="Book Antiqua" w:hAnsi="Book Antiqua"/>
          <w:b/>
        </w:rPr>
        <w:t>First decision:</w:t>
      </w:r>
      <w:r w:rsidRPr="00EE0E45">
        <w:rPr>
          <w:rFonts w:ascii="Book Antiqua" w:eastAsia="DengXian" w:hAnsi="Book Antiqua"/>
          <w:b/>
        </w:rPr>
        <w:t xml:space="preserve"> </w:t>
      </w:r>
      <w:r w:rsidRPr="00EE0E45">
        <w:rPr>
          <w:rFonts w:ascii="Book Antiqua" w:hAnsi="Book Antiqua"/>
        </w:rPr>
        <w:t>May</w:t>
      </w:r>
      <w:r w:rsidR="00891731" w:rsidRPr="00EE0E45">
        <w:rPr>
          <w:rFonts w:ascii="Book Antiqua" w:eastAsia="DengXian" w:hAnsi="Book Antiqua"/>
        </w:rPr>
        <w:t xml:space="preserve"> 29</w:t>
      </w:r>
      <w:r w:rsidRPr="00EE0E45">
        <w:rPr>
          <w:rFonts w:ascii="Book Antiqua" w:eastAsia="DengXian" w:hAnsi="Book Antiqua"/>
        </w:rPr>
        <w:t>, 2018</w:t>
      </w:r>
    </w:p>
    <w:p w14:paraId="775E3F3F" w14:textId="6A10955B" w:rsidR="00317E83" w:rsidRPr="00EE0E45" w:rsidRDefault="00317E83" w:rsidP="00EE0E45">
      <w:pPr>
        <w:adjustRightInd w:val="0"/>
        <w:snapToGrid w:val="0"/>
        <w:spacing w:line="360" w:lineRule="auto"/>
        <w:jc w:val="both"/>
        <w:rPr>
          <w:rFonts w:ascii="Book Antiqua" w:hAnsi="Book Antiqua"/>
          <w:b/>
        </w:rPr>
      </w:pPr>
      <w:r w:rsidRPr="00EE0E45">
        <w:rPr>
          <w:rFonts w:ascii="Book Antiqua" w:hAnsi="Book Antiqua"/>
          <w:b/>
        </w:rPr>
        <w:t xml:space="preserve">Revised: </w:t>
      </w:r>
      <w:r w:rsidR="00891731" w:rsidRPr="00EE0E45">
        <w:rPr>
          <w:rFonts w:ascii="Book Antiqua" w:hAnsi="Book Antiqua"/>
        </w:rPr>
        <w:t>June 29</w:t>
      </w:r>
      <w:r w:rsidRPr="00EE0E45">
        <w:rPr>
          <w:rFonts w:ascii="Book Antiqua" w:hAnsi="Book Antiqua"/>
        </w:rPr>
        <w:t xml:space="preserve">, 2018 </w:t>
      </w:r>
    </w:p>
    <w:p w14:paraId="75AD4FF7" w14:textId="522D072A" w:rsidR="00317E83" w:rsidRPr="00EE0E45" w:rsidRDefault="00317E83" w:rsidP="00EE0E45">
      <w:pPr>
        <w:adjustRightInd w:val="0"/>
        <w:snapToGrid w:val="0"/>
        <w:spacing w:line="360" w:lineRule="auto"/>
        <w:jc w:val="both"/>
        <w:rPr>
          <w:rFonts w:ascii="Book Antiqua" w:hAnsi="Book Antiqua"/>
          <w:b/>
        </w:rPr>
      </w:pPr>
      <w:r w:rsidRPr="00EE0E45">
        <w:rPr>
          <w:rFonts w:ascii="Book Antiqua" w:hAnsi="Book Antiqua"/>
          <w:b/>
        </w:rPr>
        <w:t>Accepted:</w:t>
      </w:r>
      <w:r w:rsidR="008F5489" w:rsidRPr="008F5489">
        <w:t xml:space="preserve"> </w:t>
      </w:r>
      <w:r w:rsidR="00C22F33" w:rsidRPr="00C22F33">
        <w:rPr>
          <w:rFonts w:ascii="Book Antiqua" w:hAnsi="Book Antiqua"/>
        </w:rPr>
        <w:t>July 16, 2018</w:t>
      </w:r>
      <w:bookmarkStart w:id="5" w:name="_GoBack"/>
      <w:bookmarkEnd w:id="5"/>
    </w:p>
    <w:p w14:paraId="14E1AF25" w14:textId="759F2D8B" w:rsidR="00317E83" w:rsidRPr="00EE0E45" w:rsidRDefault="00317E83" w:rsidP="00EE0E45">
      <w:pPr>
        <w:tabs>
          <w:tab w:val="left" w:pos="2120"/>
        </w:tabs>
        <w:adjustRightInd w:val="0"/>
        <w:snapToGrid w:val="0"/>
        <w:spacing w:line="360" w:lineRule="auto"/>
        <w:jc w:val="both"/>
        <w:rPr>
          <w:rFonts w:ascii="Book Antiqua" w:hAnsi="Book Antiqua"/>
          <w:b/>
        </w:rPr>
      </w:pPr>
      <w:r w:rsidRPr="00EE0E45">
        <w:rPr>
          <w:rFonts w:ascii="Book Antiqua" w:hAnsi="Book Antiqua"/>
          <w:b/>
        </w:rPr>
        <w:t>Article in press:</w:t>
      </w:r>
      <w:r w:rsidR="00F512AF" w:rsidRPr="00EE0E45">
        <w:rPr>
          <w:rFonts w:ascii="Book Antiqua" w:hAnsi="Book Antiqua"/>
          <w:b/>
        </w:rPr>
        <w:tab/>
      </w:r>
    </w:p>
    <w:p w14:paraId="2833A941" w14:textId="3108CE06" w:rsidR="00862453" w:rsidRPr="00EE0E45" w:rsidRDefault="00317E83" w:rsidP="00EE0E45">
      <w:pPr>
        <w:adjustRightInd w:val="0"/>
        <w:snapToGrid w:val="0"/>
        <w:spacing w:line="360" w:lineRule="auto"/>
        <w:jc w:val="both"/>
        <w:rPr>
          <w:rFonts w:ascii="Book Antiqua" w:hAnsi="Book Antiqua"/>
          <w:lang w:val="en-GB"/>
        </w:rPr>
      </w:pPr>
      <w:r w:rsidRPr="00EE0E45">
        <w:rPr>
          <w:rFonts w:ascii="Book Antiqua" w:hAnsi="Book Antiqua"/>
          <w:b/>
        </w:rPr>
        <w:t>Published online:</w:t>
      </w:r>
      <w:r w:rsidR="00862453" w:rsidRPr="00EE0E45">
        <w:rPr>
          <w:rFonts w:ascii="Book Antiqua" w:hAnsi="Book Antiqua"/>
          <w:b/>
          <w:lang w:val="en-GB"/>
        </w:rPr>
        <w:br w:type="page"/>
      </w:r>
    </w:p>
    <w:p w14:paraId="60F0F662" w14:textId="77777777" w:rsidR="00C6230B" w:rsidRPr="00EE0E45" w:rsidRDefault="00C6230B" w:rsidP="00EE0E45">
      <w:pPr>
        <w:adjustRightInd w:val="0"/>
        <w:snapToGrid w:val="0"/>
        <w:spacing w:line="360" w:lineRule="auto"/>
        <w:jc w:val="both"/>
        <w:rPr>
          <w:rFonts w:ascii="Book Antiqua" w:hAnsi="Book Antiqua"/>
          <w:b/>
          <w:lang w:val="en-GB"/>
        </w:rPr>
      </w:pPr>
      <w:r w:rsidRPr="00EE0E45">
        <w:rPr>
          <w:rFonts w:ascii="Book Antiqua" w:hAnsi="Book Antiqua"/>
          <w:b/>
          <w:lang w:val="en-GB"/>
        </w:rPr>
        <w:lastRenderedPageBreak/>
        <w:t>Abstract</w:t>
      </w:r>
    </w:p>
    <w:p w14:paraId="1728EA4A" w14:textId="3427286D" w:rsidR="00807584" w:rsidRPr="00EE0E45" w:rsidRDefault="00D00A29" w:rsidP="00EE0E45">
      <w:pPr>
        <w:adjustRightInd w:val="0"/>
        <w:snapToGrid w:val="0"/>
        <w:spacing w:line="360" w:lineRule="auto"/>
        <w:jc w:val="both"/>
        <w:rPr>
          <w:rFonts w:ascii="Book Antiqua" w:hAnsi="Book Antiqua"/>
          <w:lang w:val="en-GB"/>
        </w:rPr>
      </w:pPr>
      <w:r w:rsidRPr="00EE0E45">
        <w:rPr>
          <w:rFonts w:ascii="Book Antiqua" w:hAnsi="Book Antiqua"/>
          <w:lang w:val="en-GB"/>
        </w:rPr>
        <w:t xml:space="preserve">Locoregional treatments (LRT) represent a broad strategy used for reducing the risk of drop-off and contextually improving the survivals in patients with hepatocellular cancer (HCC) receiving a liver transplantation (LT). However, it is not sufficiently clear if LRT are only a surrogate of tumor aggressiveness or if they consent a real benefit in terms of tumor stabilization. A recent study by Pommergaard </w:t>
      </w:r>
      <w:r w:rsidRPr="00EE0E45">
        <w:rPr>
          <w:rFonts w:ascii="Book Antiqua" w:hAnsi="Book Antiqua"/>
          <w:i/>
          <w:lang w:val="en-GB"/>
        </w:rPr>
        <w:t>et al</w:t>
      </w:r>
      <w:r w:rsidRPr="00EE0E45">
        <w:rPr>
          <w:rFonts w:ascii="Book Antiqua" w:hAnsi="Book Antiqua"/>
          <w:lang w:val="en-GB"/>
        </w:rPr>
        <w:t xml:space="preserve"> reported the results from the European Liver Transplant Registry. Patients receiving LRT before LT had better 5-year survival rates respect to no-LRT cases (69.7</w:t>
      </w:r>
      <w:r w:rsidR="00E6048F" w:rsidRPr="00EE0E45">
        <w:rPr>
          <w:rFonts w:ascii="Book Antiqua" w:hAnsi="Book Antiqua"/>
          <w:lang w:val="en-GB"/>
        </w:rPr>
        <w:t>%</w:t>
      </w:r>
      <w:r w:rsidRPr="00EE0E45">
        <w:rPr>
          <w:rFonts w:ascii="Book Antiqua" w:hAnsi="Book Antiqua"/>
          <w:lang w:val="en-GB"/>
        </w:rPr>
        <w:t xml:space="preserve"> </w:t>
      </w:r>
      <w:r w:rsidRPr="00EE0E45">
        <w:rPr>
          <w:rFonts w:ascii="Book Antiqua" w:hAnsi="Book Antiqua"/>
          <w:i/>
          <w:lang w:val="en-GB"/>
        </w:rPr>
        <w:t>vs</w:t>
      </w:r>
      <w:r w:rsidRPr="00EE0E45">
        <w:rPr>
          <w:rFonts w:ascii="Book Antiqua" w:hAnsi="Book Antiqua"/>
          <w:lang w:val="en-GB"/>
        </w:rPr>
        <w:t xml:space="preserve"> 65.8%; </w:t>
      </w:r>
      <w:r w:rsidRPr="00EE0E45">
        <w:rPr>
          <w:rFonts w:ascii="Book Antiqua" w:hAnsi="Book Antiqua"/>
          <w:i/>
          <w:lang w:val="en-GB"/>
        </w:rPr>
        <w:t>P</w:t>
      </w:r>
      <w:r w:rsidR="00B436DB" w:rsidRPr="00EE0E45">
        <w:rPr>
          <w:rFonts w:ascii="Book Antiqua" w:hAnsi="Book Antiqua"/>
          <w:lang w:val="en-GB"/>
        </w:rPr>
        <w:t xml:space="preserve"> </w:t>
      </w:r>
      <w:r w:rsidRPr="00EE0E45">
        <w:rPr>
          <w:rFonts w:ascii="Book Antiqua" w:hAnsi="Book Antiqua"/>
          <w:lang w:val="en-GB"/>
        </w:rPr>
        <w:t>&lt;</w:t>
      </w:r>
      <w:r w:rsidR="00B436DB" w:rsidRPr="00EE0E45">
        <w:rPr>
          <w:rFonts w:ascii="Book Antiqua" w:hAnsi="Book Antiqua"/>
          <w:lang w:val="en-GB"/>
        </w:rPr>
        <w:t xml:space="preserve"> </w:t>
      </w:r>
      <w:r w:rsidRPr="00EE0E45">
        <w:rPr>
          <w:rFonts w:ascii="Book Antiqua" w:hAnsi="Book Antiqua"/>
          <w:lang w:val="en-GB"/>
        </w:rPr>
        <w:t xml:space="preserve">0.001). When the number of LRT was tested, one-to-two treatments were connected with improved survivals respect to no treatment </w:t>
      </w:r>
      <w:r w:rsidR="00A92051">
        <w:rPr>
          <w:rFonts w:ascii="Book Antiqua" w:hAnsi="Book Antiqua" w:hint="eastAsia"/>
          <w:lang w:val="en-GB"/>
        </w:rPr>
        <w:t>[</w:t>
      </w:r>
      <w:r w:rsidR="00B95E62" w:rsidRPr="00EE0E45">
        <w:rPr>
          <w:rFonts w:ascii="Book Antiqua" w:hAnsi="Book Antiqua"/>
          <w:lang w:val="en-GB"/>
        </w:rPr>
        <w:t>hazard ratio (</w:t>
      </w:r>
      <w:r w:rsidRPr="00EE0E45">
        <w:rPr>
          <w:rFonts w:ascii="Book Antiqua" w:hAnsi="Book Antiqua"/>
          <w:lang w:val="en-GB"/>
        </w:rPr>
        <w:t>HR</w:t>
      </w:r>
      <w:r w:rsidR="00B95E62" w:rsidRPr="00EE0E45">
        <w:rPr>
          <w:rFonts w:ascii="Book Antiqua" w:hAnsi="Book Antiqua"/>
          <w:lang w:val="en-GB"/>
        </w:rPr>
        <w:t>)</w:t>
      </w:r>
      <w:r w:rsidR="00B436DB" w:rsidRPr="00EE0E45">
        <w:rPr>
          <w:rFonts w:ascii="Book Antiqua" w:hAnsi="Book Antiqua"/>
          <w:lang w:val="en-GB"/>
        </w:rPr>
        <w:t xml:space="preserve"> </w:t>
      </w:r>
      <w:r w:rsidRPr="00EE0E45">
        <w:rPr>
          <w:rFonts w:ascii="Book Antiqua" w:hAnsi="Book Antiqua"/>
          <w:lang w:val="en-GB"/>
        </w:rPr>
        <w:t>=</w:t>
      </w:r>
      <w:r w:rsidR="00B436DB" w:rsidRPr="00EE0E45">
        <w:rPr>
          <w:rFonts w:ascii="Book Antiqua" w:hAnsi="Book Antiqua"/>
          <w:lang w:val="en-GB"/>
        </w:rPr>
        <w:t xml:space="preserve"> </w:t>
      </w:r>
      <w:r w:rsidRPr="00EE0E45">
        <w:rPr>
          <w:rFonts w:ascii="Book Antiqua" w:hAnsi="Book Antiqua"/>
          <w:lang w:val="en-GB"/>
        </w:rPr>
        <w:t>0.85 and 0.71, respectively</w:t>
      </w:r>
      <w:r w:rsidR="00A92051">
        <w:rPr>
          <w:rFonts w:ascii="Book Antiqua" w:hAnsi="Book Antiqua" w:hint="eastAsia"/>
          <w:lang w:val="en-GB"/>
        </w:rPr>
        <w:t>]</w:t>
      </w:r>
      <w:r w:rsidR="00A92051" w:rsidRPr="00EE0E45">
        <w:rPr>
          <w:rFonts w:ascii="Book Antiqua" w:hAnsi="Book Antiqua"/>
          <w:lang w:val="en-GB"/>
        </w:rPr>
        <w:t xml:space="preserve">. </w:t>
      </w:r>
      <w:r w:rsidRPr="00EE0E45">
        <w:rPr>
          <w:rFonts w:ascii="Book Antiqua" w:hAnsi="Book Antiqua"/>
          <w:lang w:val="en-GB"/>
        </w:rPr>
        <w:t>The efficacy of LRT was also reported in the presence of larger tumors (HR</w:t>
      </w:r>
      <w:r w:rsidR="00B436DB" w:rsidRPr="00EE0E45">
        <w:rPr>
          <w:rFonts w:ascii="Book Antiqua" w:hAnsi="Book Antiqua"/>
          <w:lang w:val="en-GB"/>
        </w:rPr>
        <w:t xml:space="preserve"> </w:t>
      </w:r>
      <w:r w:rsidRPr="00EE0E45">
        <w:rPr>
          <w:rFonts w:ascii="Book Antiqua" w:hAnsi="Book Antiqua"/>
          <w:lang w:val="en-GB"/>
        </w:rPr>
        <w:t>=</w:t>
      </w:r>
      <w:r w:rsidR="00B436DB" w:rsidRPr="00EE0E45">
        <w:rPr>
          <w:rFonts w:ascii="Book Antiqua" w:hAnsi="Book Antiqua"/>
          <w:lang w:val="en-GB"/>
        </w:rPr>
        <w:t xml:space="preserve"> </w:t>
      </w:r>
      <w:r w:rsidRPr="00EE0E45">
        <w:rPr>
          <w:rFonts w:ascii="Book Antiqua" w:hAnsi="Book Antiqua"/>
          <w:lang w:val="en-GB"/>
        </w:rPr>
        <w:t>0.78) and micro-macrovascular invasion (HR</w:t>
      </w:r>
      <w:r w:rsidR="00B436DB" w:rsidRPr="00EE0E45">
        <w:rPr>
          <w:rFonts w:ascii="Book Antiqua" w:hAnsi="Book Antiqua"/>
          <w:lang w:val="en-GB"/>
        </w:rPr>
        <w:t xml:space="preserve"> </w:t>
      </w:r>
      <w:r w:rsidRPr="00EE0E45">
        <w:rPr>
          <w:rFonts w:ascii="Book Antiqua" w:hAnsi="Book Antiqua"/>
          <w:lang w:val="en-GB"/>
        </w:rPr>
        <w:t>=</w:t>
      </w:r>
      <w:r w:rsidR="00B436DB" w:rsidRPr="00EE0E45">
        <w:rPr>
          <w:rFonts w:ascii="Book Antiqua" w:hAnsi="Book Antiqua"/>
          <w:lang w:val="en-GB"/>
        </w:rPr>
        <w:t xml:space="preserve"> </w:t>
      </w:r>
      <w:r w:rsidRPr="00EE0E45">
        <w:rPr>
          <w:rFonts w:ascii="Book Antiqua" w:hAnsi="Book Antiqua"/>
          <w:lang w:val="en-GB"/>
        </w:rPr>
        <w:t xml:space="preserve">0.71). The results observed in the present study are partially in discordance with other analyses showing a detrimental effect of LRT. The main problem in the interpretation of these results is connected with the possible initial selection biases present in the studies. The most recent guidelines suggest to perform LRT before the transplant, but the </w:t>
      </w:r>
      <w:r w:rsidR="003D2266" w:rsidRPr="00EE0E45">
        <w:rPr>
          <w:rFonts w:ascii="Book Antiqua" w:hAnsi="Book Antiqua"/>
          <w:lang w:val="en-GB"/>
        </w:rPr>
        <w:t xml:space="preserve">level of evidence </w:t>
      </w:r>
      <w:r w:rsidRPr="00EE0E45">
        <w:rPr>
          <w:rFonts w:ascii="Book Antiqua" w:hAnsi="Book Antiqua"/>
          <w:lang w:val="en-GB"/>
        </w:rPr>
        <w:t>is typically low due to the absence of prospectively designed studies.</w:t>
      </w:r>
    </w:p>
    <w:p w14:paraId="17B0E6D0" w14:textId="77777777" w:rsidR="00D00A29" w:rsidRPr="00EE0E45" w:rsidRDefault="00D00A29" w:rsidP="00EE0E45">
      <w:pPr>
        <w:adjustRightInd w:val="0"/>
        <w:snapToGrid w:val="0"/>
        <w:spacing w:line="360" w:lineRule="auto"/>
        <w:jc w:val="both"/>
        <w:rPr>
          <w:rFonts w:ascii="Book Antiqua" w:hAnsi="Book Antiqua"/>
          <w:lang w:val="en-GB"/>
        </w:rPr>
      </w:pPr>
    </w:p>
    <w:p w14:paraId="78936970" w14:textId="4BE0C65B" w:rsidR="00C6230B" w:rsidRPr="00EE0E45" w:rsidRDefault="00C6230B" w:rsidP="00EE0E45">
      <w:pPr>
        <w:adjustRightInd w:val="0"/>
        <w:snapToGrid w:val="0"/>
        <w:spacing w:line="360" w:lineRule="auto"/>
        <w:jc w:val="both"/>
        <w:rPr>
          <w:rFonts w:ascii="Book Antiqua" w:hAnsi="Book Antiqua"/>
          <w:lang w:val="en-GB"/>
        </w:rPr>
      </w:pPr>
      <w:r w:rsidRPr="00EE0E45">
        <w:rPr>
          <w:rFonts w:ascii="Book Antiqua" w:hAnsi="Book Antiqua"/>
          <w:b/>
          <w:lang w:val="en-GB"/>
        </w:rPr>
        <w:t>Key words:</w:t>
      </w:r>
      <w:r w:rsidRPr="00EE0E45">
        <w:rPr>
          <w:rFonts w:ascii="Book Antiqua" w:hAnsi="Book Antiqua"/>
          <w:lang w:val="en-GB"/>
        </w:rPr>
        <w:t xml:space="preserve"> </w:t>
      </w:r>
      <w:r w:rsidR="00B436DB" w:rsidRPr="00EE0E45">
        <w:rPr>
          <w:rFonts w:ascii="Book Antiqua" w:hAnsi="Book Antiqua"/>
          <w:lang w:val="en-GB"/>
        </w:rPr>
        <w:t>T</w:t>
      </w:r>
      <w:r w:rsidR="005512C0" w:rsidRPr="00EE0E45">
        <w:rPr>
          <w:rFonts w:ascii="Book Antiqua" w:hAnsi="Book Antiqua"/>
          <w:lang w:val="en-GB"/>
        </w:rPr>
        <w:t xml:space="preserve">rans-arterial chemo-embolization; </w:t>
      </w:r>
      <w:r w:rsidR="00B436DB" w:rsidRPr="00EE0E45">
        <w:rPr>
          <w:rFonts w:ascii="Book Antiqua" w:hAnsi="Book Antiqua"/>
          <w:lang w:val="en-GB"/>
        </w:rPr>
        <w:t>R</w:t>
      </w:r>
      <w:r w:rsidR="005512C0" w:rsidRPr="00EE0E45">
        <w:rPr>
          <w:rFonts w:ascii="Book Antiqua" w:hAnsi="Book Antiqua"/>
          <w:lang w:val="en-GB"/>
        </w:rPr>
        <w:t xml:space="preserve">adiofrequency ablation; </w:t>
      </w:r>
      <w:r w:rsidR="00B436DB" w:rsidRPr="00EE0E45">
        <w:rPr>
          <w:rFonts w:ascii="Book Antiqua" w:hAnsi="Book Antiqua"/>
          <w:lang w:val="en-GB"/>
        </w:rPr>
        <w:t>A</w:t>
      </w:r>
      <w:r w:rsidR="005512C0" w:rsidRPr="00EE0E45">
        <w:rPr>
          <w:rFonts w:ascii="Book Antiqua" w:hAnsi="Book Antiqua"/>
          <w:lang w:val="en-GB"/>
        </w:rPr>
        <w:t xml:space="preserve">llocation; </w:t>
      </w:r>
      <w:r w:rsidR="00B436DB" w:rsidRPr="00EE0E45">
        <w:rPr>
          <w:rFonts w:ascii="Book Antiqua" w:hAnsi="Book Antiqua"/>
          <w:lang w:val="en-GB"/>
        </w:rPr>
        <w:t>R</w:t>
      </w:r>
      <w:r w:rsidR="005512C0" w:rsidRPr="00EE0E45">
        <w:rPr>
          <w:rFonts w:ascii="Book Antiqua" w:hAnsi="Book Antiqua"/>
          <w:lang w:val="en-GB"/>
        </w:rPr>
        <w:t xml:space="preserve">ecurrence; </w:t>
      </w:r>
      <w:r w:rsidR="00B436DB" w:rsidRPr="00EE0E45">
        <w:rPr>
          <w:rFonts w:ascii="Book Antiqua" w:hAnsi="Book Antiqua"/>
          <w:lang w:val="en-GB"/>
        </w:rPr>
        <w:t>M</w:t>
      </w:r>
      <w:r w:rsidR="005512C0" w:rsidRPr="00EE0E45">
        <w:rPr>
          <w:rFonts w:ascii="Book Antiqua" w:hAnsi="Book Antiqua"/>
          <w:lang w:val="en-GB"/>
        </w:rPr>
        <w:t>odel for end-stage liver disease.</w:t>
      </w:r>
    </w:p>
    <w:p w14:paraId="4A40F083" w14:textId="77777777" w:rsidR="00365081" w:rsidRPr="00EE0E45" w:rsidRDefault="00365081" w:rsidP="00EE0E45">
      <w:pPr>
        <w:adjustRightInd w:val="0"/>
        <w:snapToGrid w:val="0"/>
        <w:spacing w:line="360" w:lineRule="auto"/>
        <w:jc w:val="both"/>
        <w:rPr>
          <w:rFonts w:ascii="Book Antiqua" w:hAnsi="Book Antiqua"/>
          <w:lang w:val="en-GB"/>
        </w:rPr>
      </w:pPr>
    </w:p>
    <w:p w14:paraId="3857B120" w14:textId="77777777" w:rsidR="00B436DB" w:rsidRPr="00EE0E45" w:rsidRDefault="00B436DB" w:rsidP="00EE0E45">
      <w:pPr>
        <w:adjustRightInd w:val="0"/>
        <w:snapToGrid w:val="0"/>
        <w:spacing w:line="360" w:lineRule="auto"/>
        <w:jc w:val="both"/>
        <w:rPr>
          <w:rFonts w:ascii="Book Antiqua" w:hAnsi="Book Antiqua" w:cs="Arial"/>
          <w:color w:val="000000" w:themeColor="text1"/>
        </w:rPr>
      </w:pPr>
      <w:bookmarkStart w:id="6" w:name="OLE_LINK55"/>
      <w:bookmarkStart w:id="7" w:name="OLE_LINK56"/>
      <w:r w:rsidRPr="00EE0E45">
        <w:rPr>
          <w:rFonts w:ascii="Book Antiqua" w:hAnsi="Book Antiqua"/>
          <w:b/>
          <w:color w:val="000000" w:themeColor="text1"/>
        </w:rPr>
        <w:t>©</w:t>
      </w:r>
      <w:bookmarkEnd w:id="6"/>
      <w:bookmarkEnd w:id="7"/>
      <w:r w:rsidRPr="00EE0E45">
        <w:rPr>
          <w:rFonts w:ascii="Book Antiqua" w:hAnsi="Book Antiqua"/>
          <w:b/>
          <w:color w:val="000000" w:themeColor="text1"/>
        </w:rPr>
        <w:t xml:space="preserve"> </w:t>
      </w:r>
      <w:r w:rsidRPr="00EE0E45">
        <w:rPr>
          <w:rFonts w:ascii="Book Antiqua" w:hAnsi="Book Antiqua" w:cs="Arial"/>
          <w:b/>
          <w:color w:val="000000" w:themeColor="text1"/>
        </w:rPr>
        <w:t xml:space="preserve">The Author(s) 2018. </w:t>
      </w:r>
      <w:r w:rsidRPr="00EE0E45">
        <w:rPr>
          <w:rFonts w:ascii="Book Antiqua" w:hAnsi="Book Antiqua" w:cs="Arial"/>
          <w:color w:val="000000" w:themeColor="text1"/>
        </w:rPr>
        <w:t>Published by Baishideng Publishing Group Inc. All rights reserved.</w:t>
      </w:r>
    </w:p>
    <w:p w14:paraId="1732E2CF" w14:textId="77777777" w:rsidR="00B436DB" w:rsidRPr="00EE0E45" w:rsidRDefault="00B436DB" w:rsidP="00EE0E45">
      <w:pPr>
        <w:adjustRightInd w:val="0"/>
        <w:snapToGrid w:val="0"/>
        <w:spacing w:line="360" w:lineRule="auto"/>
        <w:jc w:val="both"/>
        <w:rPr>
          <w:rFonts w:ascii="Book Antiqua" w:hAnsi="Book Antiqua"/>
          <w:lang w:val="en-GB"/>
        </w:rPr>
      </w:pPr>
    </w:p>
    <w:p w14:paraId="1633CBEF" w14:textId="50410149" w:rsidR="00C6230B" w:rsidRPr="00EE0E45" w:rsidRDefault="00C6230B" w:rsidP="00EE0E45">
      <w:pPr>
        <w:adjustRightInd w:val="0"/>
        <w:snapToGrid w:val="0"/>
        <w:spacing w:line="360" w:lineRule="auto"/>
        <w:jc w:val="both"/>
        <w:rPr>
          <w:rFonts w:ascii="Book Antiqua" w:hAnsi="Book Antiqua"/>
          <w:lang w:val="en-GB"/>
        </w:rPr>
      </w:pPr>
      <w:r w:rsidRPr="00EE0E45">
        <w:rPr>
          <w:rFonts w:ascii="Book Antiqua" w:hAnsi="Book Antiqua"/>
          <w:b/>
          <w:lang w:val="en-GB"/>
        </w:rPr>
        <w:t>Core tip:</w:t>
      </w:r>
      <w:r w:rsidRPr="00EE0E45">
        <w:rPr>
          <w:rFonts w:ascii="Book Antiqua" w:hAnsi="Book Antiqua"/>
          <w:lang w:val="en-GB"/>
        </w:rPr>
        <w:t xml:space="preserve"> </w:t>
      </w:r>
      <w:r w:rsidR="00807584" w:rsidRPr="00EE0E45">
        <w:rPr>
          <w:rFonts w:ascii="Book Antiqua" w:hAnsi="Book Antiqua"/>
          <w:lang w:val="en-GB"/>
        </w:rPr>
        <w:t>The role of locoregional treatments in the setting of hepatocellular cancer and liver transplantation is controversial. On one side, neoadjuvant approaches should consent a selection of tumor aggressiveness. On the other side, a real survival improvement thanks to the tumor ablation should be achieved. Recent evidences report an effective beneficial role of locoregional strategies in terms of survival and recurrence</w:t>
      </w:r>
      <w:r w:rsidR="00DE2FA0" w:rsidRPr="00EE0E45">
        <w:rPr>
          <w:rFonts w:ascii="Book Antiqua" w:hAnsi="Book Antiqua"/>
          <w:lang w:val="en-GB"/>
        </w:rPr>
        <w:t xml:space="preserve">. However, </w:t>
      </w:r>
      <w:r w:rsidR="00807584" w:rsidRPr="00EE0E45">
        <w:rPr>
          <w:rFonts w:ascii="Book Antiqua" w:hAnsi="Book Antiqua"/>
          <w:lang w:val="en-GB"/>
        </w:rPr>
        <w:t xml:space="preserve">several biases must be taken into account in these studies, due to the heterogeneous characteristics of treated </w:t>
      </w:r>
      <w:r w:rsidR="00807584" w:rsidRPr="00EE0E45">
        <w:rPr>
          <w:rFonts w:ascii="Book Antiqua" w:hAnsi="Book Antiqua"/>
          <w:i/>
          <w:lang w:val="en-GB"/>
        </w:rPr>
        <w:t>vs</w:t>
      </w:r>
      <w:r w:rsidR="00807584" w:rsidRPr="00EE0E45">
        <w:rPr>
          <w:rFonts w:ascii="Book Antiqua" w:hAnsi="Book Antiqua"/>
          <w:lang w:val="en-GB"/>
        </w:rPr>
        <w:t xml:space="preserve"> untreated subjects. Further studies are need with the intent to clarify this important topic. </w:t>
      </w:r>
    </w:p>
    <w:p w14:paraId="5C235428" w14:textId="77777777" w:rsidR="00BE73B5" w:rsidRPr="00EE0E45" w:rsidRDefault="00BE73B5" w:rsidP="00EE0E45">
      <w:pPr>
        <w:adjustRightInd w:val="0"/>
        <w:snapToGrid w:val="0"/>
        <w:spacing w:line="360" w:lineRule="auto"/>
        <w:jc w:val="both"/>
        <w:rPr>
          <w:rFonts w:ascii="Book Antiqua" w:hAnsi="Book Antiqua"/>
          <w:lang w:val="en-GB"/>
        </w:rPr>
      </w:pPr>
      <w:bookmarkStart w:id="8" w:name="OLE_LINK286"/>
      <w:bookmarkStart w:id="9" w:name="OLE_LINK287"/>
      <w:bookmarkStart w:id="10" w:name="OLE_LINK310"/>
      <w:bookmarkStart w:id="11" w:name="OLE_LINK579"/>
      <w:bookmarkStart w:id="12" w:name="OLE_LINK712"/>
      <w:bookmarkStart w:id="13" w:name="OLE_LINK47"/>
      <w:bookmarkStart w:id="14" w:name="OLE_LINK48"/>
      <w:bookmarkStart w:id="15" w:name="OLE_LINK232"/>
      <w:bookmarkStart w:id="16" w:name="OLE_LINK233"/>
      <w:bookmarkStart w:id="17" w:name="OLE_LINK271"/>
      <w:bookmarkStart w:id="18" w:name="OLE_LINK311"/>
      <w:bookmarkStart w:id="19" w:name="OLE_LINK452"/>
      <w:bookmarkStart w:id="20" w:name="OLE_LINK753"/>
      <w:bookmarkStart w:id="21" w:name="OLE_LINK775"/>
      <w:bookmarkStart w:id="22" w:name="OLE_LINK892"/>
      <w:bookmarkStart w:id="23" w:name="OLE_LINK907"/>
      <w:bookmarkStart w:id="24" w:name="OLE_LINK924"/>
      <w:bookmarkStart w:id="25" w:name="OLE_LINK1016"/>
      <w:bookmarkStart w:id="26" w:name="OLE_LINK3"/>
      <w:bookmarkStart w:id="27" w:name="OLE_LINK4"/>
      <w:bookmarkStart w:id="28" w:name="OLE_LINK70"/>
      <w:bookmarkStart w:id="29" w:name="OLE_LINK118"/>
      <w:bookmarkStart w:id="30" w:name="OLE_LINK145"/>
      <w:bookmarkStart w:id="31" w:name="OLE_LINK218"/>
      <w:bookmarkStart w:id="32" w:name="OLE_LINK520"/>
      <w:bookmarkStart w:id="33" w:name="OLE_LINK537"/>
      <w:bookmarkStart w:id="34" w:name="OLE_LINK598"/>
      <w:bookmarkStart w:id="35" w:name="OLE_LINK728"/>
      <w:bookmarkStart w:id="36" w:name="OLE_LINK745"/>
    </w:p>
    <w:p w14:paraId="5260758C" w14:textId="5C978A66" w:rsidR="00862453" w:rsidRPr="00EE0E45" w:rsidRDefault="00BE73B5" w:rsidP="00EE0E45">
      <w:pPr>
        <w:adjustRightInd w:val="0"/>
        <w:snapToGrid w:val="0"/>
        <w:spacing w:line="360" w:lineRule="auto"/>
        <w:jc w:val="both"/>
        <w:rPr>
          <w:rFonts w:ascii="Book Antiqua" w:hAnsi="Book Antiqua"/>
          <w:lang w:val="en-GB"/>
        </w:rPr>
      </w:pPr>
      <w:r w:rsidRPr="00EE0E45">
        <w:rPr>
          <w:rFonts w:ascii="Book Antiqua" w:hAnsi="Book Antiqua"/>
          <w:lang w:val="en-GB"/>
        </w:rPr>
        <w:lastRenderedPageBreak/>
        <w:t xml:space="preserve">Lai Q, Di Martino M, Lucatelli P, Mennini G. Locoregional therapy response in patients with hepatocellular cancer waiting for liver transplantation: </w:t>
      </w:r>
      <w:r w:rsidR="00B436DB" w:rsidRPr="00EE0E45">
        <w:rPr>
          <w:rFonts w:ascii="Book Antiqua" w:hAnsi="Book Antiqua"/>
          <w:lang w:val="en-GB"/>
        </w:rPr>
        <w:t>O</w:t>
      </w:r>
      <w:r w:rsidRPr="00EE0E45">
        <w:rPr>
          <w:rFonts w:ascii="Book Antiqua" w:hAnsi="Book Antiqua"/>
          <w:lang w:val="en-GB"/>
        </w:rPr>
        <w:t>nly selection or biological effect?</w:t>
      </w:r>
      <w:bookmarkStart w:id="37" w:name="OLE_LINK200"/>
      <w:bookmarkStart w:id="38" w:name="OLE_LINK196"/>
      <w:bookmarkStart w:id="39" w:name="OLE_LINK341"/>
      <w:bookmarkStart w:id="40" w:name="OLE_LINK377"/>
      <w:bookmarkStart w:id="41" w:name="OLE_LINK366"/>
      <w:bookmarkStart w:id="42" w:name="OLE_LINK1038"/>
      <w:bookmarkStart w:id="43" w:name="OLE_LINK1166"/>
      <w:r w:rsidR="00862453" w:rsidRPr="00EE0E45">
        <w:rPr>
          <w:rFonts w:ascii="Book Antiqua" w:hAnsi="Book Antiqua"/>
          <w:i/>
          <w:lang w:val="en-GB"/>
        </w:rPr>
        <w:t xml:space="preserve"> </w:t>
      </w:r>
      <w:bookmarkStart w:id="44" w:name="OLE_LINK1105"/>
      <w:bookmarkStart w:id="45" w:name="OLE_LINK1107"/>
      <w:r w:rsidR="00862453" w:rsidRPr="00EE0E45">
        <w:rPr>
          <w:rFonts w:ascii="Book Antiqua" w:hAnsi="Book Antiqua"/>
          <w:i/>
          <w:lang w:val="en-GB"/>
        </w:rPr>
        <w:t xml:space="preserve">World J Gastroenterol </w:t>
      </w:r>
      <w:r w:rsidR="00862453" w:rsidRPr="00EE0E45">
        <w:rPr>
          <w:rFonts w:ascii="Book Antiqua" w:hAnsi="Book Antiqua"/>
          <w:lang w:val="en-GB"/>
        </w:rPr>
        <w:t xml:space="preserve">2018; </w:t>
      </w:r>
      <w:proofErr w:type="gramStart"/>
      <w:r w:rsidR="00862453" w:rsidRPr="00EE0E45">
        <w:rPr>
          <w:rFonts w:ascii="Book Antiqua" w:hAnsi="Book Antiqua"/>
          <w:lang w:val="en-GB"/>
        </w:rPr>
        <w:t>In</w:t>
      </w:r>
      <w:proofErr w:type="gramEnd"/>
      <w:r w:rsidR="00862453" w:rsidRPr="00EE0E45">
        <w:rPr>
          <w:rFonts w:ascii="Book Antiqua" w:hAnsi="Book Antiqua"/>
          <w:lang w:val="en-GB"/>
        </w:rPr>
        <w:t xml:space="preserve"> pres</w:t>
      </w:r>
      <w:bookmarkEnd w:id="8"/>
      <w:bookmarkEnd w:id="9"/>
      <w:bookmarkEnd w:id="10"/>
      <w:bookmarkEnd w:id="11"/>
      <w:bookmarkEnd w:id="12"/>
      <w:bookmarkEnd w:id="13"/>
      <w:bookmarkEnd w:id="14"/>
      <w:bookmarkEnd w:id="44"/>
      <w:bookmarkEnd w:id="45"/>
      <w:r w:rsidRPr="00EE0E45">
        <w:rPr>
          <w:rFonts w:ascii="Book Antiqua" w:hAnsi="Book Antiqua"/>
          <w:lang w:val="en-GB"/>
        </w:rPr>
        <w:t>s</w:t>
      </w:r>
    </w:p>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598A4EBB" w14:textId="77777777" w:rsidR="00B436DB" w:rsidRPr="00EE0E45" w:rsidRDefault="00B436DB" w:rsidP="00EE0E45">
      <w:pPr>
        <w:adjustRightInd w:val="0"/>
        <w:snapToGrid w:val="0"/>
        <w:spacing w:line="360" w:lineRule="auto"/>
        <w:rPr>
          <w:rFonts w:ascii="Book Antiqua" w:hAnsi="Book Antiqua"/>
          <w:b/>
          <w:lang w:val="en-GB"/>
        </w:rPr>
      </w:pPr>
      <w:r w:rsidRPr="00EE0E45">
        <w:rPr>
          <w:rFonts w:ascii="Book Antiqua" w:hAnsi="Book Antiqua"/>
          <w:b/>
          <w:lang w:val="en-GB"/>
        </w:rPr>
        <w:br w:type="page"/>
      </w:r>
    </w:p>
    <w:p w14:paraId="29FB31BA" w14:textId="77777777" w:rsidR="00C6230B" w:rsidRPr="00EE0E45" w:rsidRDefault="00C6230B" w:rsidP="00EE0E45">
      <w:pPr>
        <w:adjustRightInd w:val="0"/>
        <w:snapToGrid w:val="0"/>
        <w:spacing w:line="360" w:lineRule="auto"/>
        <w:jc w:val="both"/>
        <w:rPr>
          <w:rFonts w:ascii="Book Antiqua" w:hAnsi="Book Antiqua"/>
          <w:b/>
          <w:lang w:val="en-GB"/>
        </w:rPr>
      </w:pPr>
      <w:r w:rsidRPr="00EE0E45">
        <w:rPr>
          <w:rFonts w:ascii="Book Antiqua" w:hAnsi="Book Antiqua"/>
          <w:b/>
          <w:lang w:val="en-GB"/>
        </w:rPr>
        <w:lastRenderedPageBreak/>
        <w:t>INTRODUCTION</w:t>
      </w:r>
    </w:p>
    <w:p w14:paraId="24AF8596" w14:textId="183B92D4" w:rsidR="005512C0" w:rsidRPr="00EE0E45" w:rsidRDefault="005512C0" w:rsidP="00EE0E45">
      <w:pPr>
        <w:adjustRightInd w:val="0"/>
        <w:snapToGrid w:val="0"/>
        <w:spacing w:line="360" w:lineRule="auto"/>
        <w:jc w:val="both"/>
        <w:rPr>
          <w:rFonts w:ascii="Book Antiqua" w:hAnsi="Book Antiqua"/>
          <w:lang w:val="en-GB"/>
        </w:rPr>
      </w:pPr>
      <w:r w:rsidRPr="00EE0E45">
        <w:rPr>
          <w:rFonts w:ascii="Book Antiqua" w:hAnsi="Book Antiqua"/>
          <w:lang w:val="en-GB"/>
        </w:rPr>
        <w:t xml:space="preserve">Liver transplantation (LT) represents the gold-standard treatment in patients with unresectable hepatocellular cancer (HCC) developed on underlying </w:t>
      </w:r>
      <w:proofErr w:type="gramStart"/>
      <w:r w:rsidRPr="00EE0E45">
        <w:rPr>
          <w:rFonts w:ascii="Book Antiqua" w:hAnsi="Book Antiqua"/>
          <w:lang w:val="en-GB"/>
        </w:rPr>
        <w:t>cirrhosis</w:t>
      </w:r>
      <w:r w:rsidRPr="00EE0E45">
        <w:rPr>
          <w:rFonts w:ascii="Book Antiqua" w:hAnsi="Book Antiqua"/>
          <w:vertAlign w:val="superscript"/>
          <w:lang w:val="en-GB"/>
        </w:rPr>
        <w:t>[</w:t>
      </w:r>
      <w:proofErr w:type="gramEnd"/>
      <w:r w:rsidRPr="00EE0E45">
        <w:rPr>
          <w:rFonts w:ascii="Book Antiqua" w:hAnsi="Book Antiqua"/>
          <w:vertAlign w:val="superscript"/>
          <w:lang w:val="en-GB"/>
        </w:rPr>
        <w:t>1]</w:t>
      </w:r>
      <w:r w:rsidRPr="00EE0E45">
        <w:rPr>
          <w:rFonts w:ascii="Book Antiqua" w:hAnsi="Book Antiqua"/>
          <w:lang w:val="en-GB"/>
        </w:rPr>
        <w:t xml:space="preserve">. Unfortunately, LT represents a scarce resource, mainly due to the limited number of available </w:t>
      </w:r>
      <w:proofErr w:type="gramStart"/>
      <w:r w:rsidRPr="00EE0E45">
        <w:rPr>
          <w:rFonts w:ascii="Book Antiqua" w:hAnsi="Book Antiqua"/>
          <w:lang w:val="en-GB"/>
        </w:rPr>
        <w:t>donors</w:t>
      </w:r>
      <w:r w:rsidRPr="00EE0E45">
        <w:rPr>
          <w:rFonts w:ascii="Book Antiqua" w:hAnsi="Book Antiqua"/>
          <w:vertAlign w:val="superscript"/>
          <w:lang w:val="en-GB"/>
        </w:rPr>
        <w:t>[</w:t>
      </w:r>
      <w:proofErr w:type="gramEnd"/>
      <w:r w:rsidRPr="00EE0E45">
        <w:rPr>
          <w:rFonts w:ascii="Book Antiqua" w:hAnsi="Book Antiqua"/>
          <w:vertAlign w:val="superscript"/>
          <w:lang w:val="en-GB"/>
        </w:rPr>
        <w:t>2]</w:t>
      </w:r>
      <w:r w:rsidRPr="00EE0E45">
        <w:rPr>
          <w:rFonts w:ascii="Book Antiqua" w:hAnsi="Book Antiqua"/>
          <w:lang w:val="en-GB"/>
        </w:rPr>
        <w:t xml:space="preserve">. Thus, in patients awaiting LT, disease burden may progress beyond the conventional LT criteria while on the waiting </w:t>
      </w:r>
      <w:proofErr w:type="gramStart"/>
      <w:r w:rsidRPr="00EE0E45">
        <w:rPr>
          <w:rFonts w:ascii="Book Antiqua" w:hAnsi="Book Antiqua"/>
          <w:lang w:val="en-GB"/>
        </w:rPr>
        <w:t>list</w:t>
      </w:r>
      <w:r w:rsidRPr="00EE0E45">
        <w:rPr>
          <w:rFonts w:ascii="Book Antiqua" w:hAnsi="Book Antiqua"/>
          <w:vertAlign w:val="superscript"/>
          <w:lang w:val="en-GB"/>
        </w:rPr>
        <w:t>[</w:t>
      </w:r>
      <w:proofErr w:type="gramEnd"/>
      <w:r w:rsidRPr="00EE0E45">
        <w:rPr>
          <w:rFonts w:ascii="Book Antiqua" w:hAnsi="Book Antiqua"/>
          <w:vertAlign w:val="superscript"/>
          <w:lang w:val="en-GB"/>
        </w:rPr>
        <w:t>3]</w:t>
      </w:r>
      <w:r w:rsidRPr="00EE0E45">
        <w:rPr>
          <w:rFonts w:ascii="Book Antiqua" w:hAnsi="Book Antiqua"/>
          <w:lang w:val="en-GB"/>
        </w:rPr>
        <w:t xml:space="preserve">. Several strategies have been adopted with the intent to alleviate the risk of drop-out due to tumor progression: for example, Model for End-Stage Liver Disease (MELD) exception points are routinely used in several regions in the presence of T2 </w:t>
      </w:r>
      <w:proofErr w:type="gramStart"/>
      <w:r w:rsidRPr="00EE0E45">
        <w:rPr>
          <w:rFonts w:ascii="Book Antiqua" w:hAnsi="Book Antiqua"/>
          <w:lang w:val="en-GB"/>
        </w:rPr>
        <w:t>HCCs</w:t>
      </w:r>
      <w:r w:rsidRPr="00EE0E45">
        <w:rPr>
          <w:rFonts w:ascii="Book Antiqua" w:hAnsi="Book Antiqua"/>
          <w:vertAlign w:val="superscript"/>
          <w:lang w:val="en-GB"/>
        </w:rPr>
        <w:t>[</w:t>
      </w:r>
      <w:proofErr w:type="gramEnd"/>
      <w:r w:rsidRPr="00EE0E45">
        <w:rPr>
          <w:rFonts w:ascii="Book Antiqua" w:hAnsi="Book Antiqua"/>
          <w:vertAlign w:val="superscript"/>
          <w:lang w:val="en-GB"/>
        </w:rPr>
        <w:t>4]</w:t>
      </w:r>
      <w:r w:rsidRPr="00EE0E45">
        <w:rPr>
          <w:rFonts w:ascii="Book Antiqua" w:hAnsi="Book Antiqua"/>
          <w:lang w:val="en-GB"/>
        </w:rPr>
        <w:t>. Another widespread strategy is the use of locoregional treatments (LRT</w:t>
      </w:r>
      <w:r w:rsidR="008C7B11" w:rsidRPr="00EE0E45">
        <w:rPr>
          <w:rFonts w:ascii="Book Antiqua" w:hAnsi="Book Antiqua"/>
        </w:rPr>
        <w:t>s</w:t>
      </w:r>
      <w:r w:rsidRPr="00EE0E45">
        <w:rPr>
          <w:rFonts w:ascii="Book Antiqua" w:hAnsi="Book Antiqua"/>
          <w:lang w:val="en-GB"/>
        </w:rPr>
        <w:t xml:space="preserve">) as a neo-adjuvant strategy with the intent to bridge patients to </w:t>
      </w:r>
      <w:proofErr w:type="gramStart"/>
      <w:r w:rsidRPr="00EE0E45">
        <w:rPr>
          <w:rFonts w:ascii="Book Antiqua" w:hAnsi="Book Antiqua"/>
          <w:lang w:val="en-GB"/>
        </w:rPr>
        <w:t>LT</w:t>
      </w:r>
      <w:r w:rsidRPr="00EE0E45">
        <w:rPr>
          <w:rFonts w:ascii="Book Antiqua" w:hAnsi="Book Antiqua"/>
          <w:vertAlign w:val="superscript"/>
          <w:lang w:val="en-GB"/>
        </w:rPr>
        <w:t>[</w:t>
      </w:r>
      <w:proofErr w:type="gramEnd"/>
      <w:r w:rsidR="00D72495" w:rsidRPr="00EE0E45">
        <w:rPr>
          <w:rFonts w:ascii="Book Antiqua" w:hAnsi="Book Antiqua"/>
          <w:vertAlign w:val="superscript"/>
          <w:lang w:val="en-GB"/>
        </w:rPr>
        <w:t>5</w:t>
      </w:r>
      <w:r w:rsidRPr="00EE0E45">
        <w:rPr>
          <w:rFonts w:ascii="Book Antiqua" w:hAnsi="Book Antiqua"/>
          <w:vertAlign w:val="superscript"/>
          <w:lang w:val="en-GB"/>
        </w:rPr>
        <w:t>]</w:t>
      </w:r>
      <w:r w:rsidRPr="00EE0E45">
        <w:rPr>
          <w:rFonts w:ascii="Book Antiqua" w:hAnsi="Book Antiqua"/>
          <w:lang w:val="en-GB"/>
        </w:rPr>
        <w:t xml:space="preserve"> or downstage patients initially outside transplantation criteria</w:t>
      </w:r>
      <w:r w:rsidRPr="00EE0E45">
        <w:rPr>
          <w:rFonts w:ascii="Book Antiqua" w:hAnsi="Book Antiqua"/>
          <w:vertAlign w:val="superscript"/>
          <w:lang w:val="en-GB"/>
        </w:rPr>
        <w:t>[</w:t>
      </w:r>
      <w:r w:rsidR="00D72495" w:rsidRPr="00EE0E45">
        <w:rPr>
          <w:rFonts w:ascii="Book Antiqua" w:hAnsi="Book Antiqua"/>
          <w:vertAlign w:val="superscript"/>
          <w:lang w:val="en-GB"/>
        </w:rPr>
        <w:t>6</w:t>
      </w:r>
      <w:r w:rsidRPr="00EE0E45">
        <w:rPr>
          <w:rFonts w:ascii="Book Antiqua" w:hAnsi="Book Antiqua"/>
          <w:vertAlign w:val="superscript"/>
          <w:lang w:val="en-GB"/>
        </w:rPr>
        <w:t>]</w:t>
      </w:r>
      <w:r w:rsidRPr="00EE0E45">
        <w:rPr>
          <w:rFonts w:ascii="Book Antiqua" w:hAnsi="Book Antiqua"/>
          <w:lang w:val="en-GB"/>
        </w:rPr>
        <w:t>.</w:t>
      </w:r>
    </w:p>
    <w:p w14:paraId="7CA49D3C" w14:textId="68E0528F" w:rsidR="005512C0" w:rsidRPr="00EE0E45" w:rsidRDefault="00B436DB" w:rsidP="00EE0E45">
      <w:pPr>
        <w:adjustRightInd w:val="0"/>
        <w:snapToGrid w:val="0"/>
        <w:spacing w:line="360" w:lineRule="auto"/>
        <w:jc w:val="both"/>
        <w:rPr>
          <w:rFonts w:ascii="Book Antiqua" w:hAnsi="Book Antiqua"/>
          <w:lang w:val="en-GB"/>
        </w:rPr>
      </w:pPr>
      <w:r w:rsidRPr="00EE0E45">
        <w:rPr>
          <w:rFonts w:ascii="Book Antiqua" w:hAnsi="Book Antiqua"/>
          <w:lang w:val="en-GB"/>
        </w:rPr>
        <w:t xml:space="preserve">  </w:t>
      </w:r>
      <w:r w:rsidR="005512C0" w:rsidRPr="00EE0E45">
        <w:rPr>
          <w:rFonts w:ascii="Book Antiqua" w:hAnsi="Book Antiqua"/>
          <w:lang w:val="en-GB"/>
        </w:rPr>
        <w:t xml:space="preserve">Response to LRT has been correlated with improved post-LT survival rates in several </w:t>
      </w:r>
      <w:proofErr w:type="gramStart"/>
      <w:r w:rsidR="005512C0" w:rsidRPr="00EE0E45">
        <w:rPr>
          <w:rFonts w:ascii="Book Antiqua" w:hAnsi="Book Antiqua"/>
          <w:lang w:val="en-GB"/>
        </w:rPr>
        <w:t>studies</w:t>
      </w:r>
      <w:r w:rsidR="005512C0" w:rsidRPr="00EE0E45">
        <w:rPr>
          <w:rFonts w:ascii="Book Antiqua" w:hAnsi="Book Antiqua"/>
          <w:vertAlign w:val="superscript"/>
          <w:lang w:val="en-GB"/>
        </w:rPr>
        <w:t>[</w:t>
      </w:r>
      <w:proofErr w:type="gramEnd"/>
      <w:r w:rsidR="00E60F50" w:rsidRPr="00EE0E45">
        <w:rPr>
          <w:rFonts w:ascii="Book Antiqua" w:hAnsi="Book Antiqua"/>
          <w:vertAlign w:val="superscript"/>
          <w:lang w:val="en-GB"/>
        </w:rPr>
        <w:t>7,8</w:t>
      </w:r>
      <w:r w:rsidR="005512C0" w:rsidRPr="00EE0E45">
        <w:rPr>
          <w:rFonts w:ascii="Book Antiqua" w:hAnsi="Book Antiqua"/>
          <w:vertAlign w:val="superscript"/>
          <w:lang w:val="en-GB"/>
        </w:rPr>
        <w:t>]</w:t>
      </w:r>
      <w:r w:rsidR="005512C0" w:rsidRPr="00EE0E45">
        <w:rPr>
          <w:rFonts w:ascii="Book Antiqua" w:hAnsi="Book Antiqua"/>
          <w:lang w:val="en-GB"/>
        </w:rPr>
        <w:t xml:space="preserve">. However, it is not sufficiently clear if LRTs are only a surrogate of tumor aggressiveness, efficaciously selecting patients with favorable tumor biology, or if they are beneficial concerning tumor stabilization, mainly in case of complete or partial response. </w:t>
      </w:r>
    </w:p>
    <w:p w14:paraId="52310D84" w14:textId="77777777" w:rsidR="00B436DB" w:rsidRPr="00EE0E45" w:rsidRDefault="00B436DB" w:rsidP="00EE0E45">
      <w:pPr>
        <w:adjustRightInd w:val="0"/>
        <w:snapToGrid w:val="0"/>
        <w:spacing w:line="360" w:lineRule="auto"/>
        <w:jc w:val="both"/>
        <w:rPr>
          <w:rFonts w:ascii="Book Antiqua" w:hAnsi="Book Antiqua"/>
          <w:b/>
          <w:lang w:val="en-GB"/>
        </w:rPr>
      </w:pPr>
    </w:p>
    <w:p w14:paraId="3EE07192" w14:textId="77777777" w:rsidR="005512C0" w:rsidRPr="00EE0E45" w:rsidRDefault="005512C0" w:rsidP="00EE0E45">
      <w:pPr>
        <w:adjustRightInd w:val="0"/>
        <w:snapToGrid w:val="0"/>
        <w:spacing w:line="360" w:lineRule="auto"/>
        <w:jc w:val="both"/>
        <w:rPr>
          <w:rFonts w:ascii="Book Antiqua" w:hAnsi="Book Antiqua"/>
          <w:b/>
          <w:lang w:val="en-GB"/>
        </w:rPr>
      </w:pPr>
      <w:r w:rsidRPr="00EE0E45">
        <w:rPr>
          <w:rFonts w:ascii="Book Antiqua" w:hAnsi="Book Antiqua"/>
          <w:b/>
          <w:lang w:val="en-GB"/>
        </w:rPr>
        <w:t>STUDY ANALYSIS</w:t>
      </w:r>
    </w:p>
    <w:p w14:paraId="4371C81A" w14:textId="7C9EF95D" w:rsidR="005512C0" w:rsidRPr="00EE0E45" w:rsidRDefault="005512C0" w:rsidP="00EE0E45">
      <w:pPr>
        <w:adjustRightInd w:val="0"/>
        <w:snapToGrid w:val="0"/>
        <w:spacing w:line="360" w:lineRule="auto"/>
        <w:jc w:val="both"/>
        <w:rPr>
          <w:rFonts w:ascii="Book Antiqua" w:hAnsi="Book Antiqua"/>
          <w:lang w:val="en-GB"/>
        </w:rPr>
      </w:pPr>
      <w:r w:rsidRPr="00EE0E45">
        <w:rPr>
          <w:rFonts w:ascii="Book Antiqua" w:hAnsi="Book Antiqua"/>
          <w:lang w:val="en-GB"/>
        </w:rPr>
        <w:t xml:space="preserve">In a recent Issue on Transplant International, Pommergaard </w:t>
      </w:r>
      <w:r w:rsidRPr="00EE0E45">
        <w:rPr>
          <w:rFonts w:ascii="Book Antiqua" w:hAnsi="Book Antiqua"/>
          <w:i/>
          <w:lang w:val="en-GB"/>
        </w:rPr>
        <w:t xml:space="preserve">et </w:t>
      </w:r>
      <w:proofErr w:type="gramStart"/>
      <w:r w:rsidRPr="00EE0E45">
        <w:rPr>
          <w:rFonts w:ascii="Book Antiqua" w:hAnsi="Book Antiqua"/>
          <w:i/>
          <w:lang w:val="en-GB"/>
        </w:rPr>
        <w:t>al</w:t>
      </w:r>
      <w:r w:rsidRPr="00EE0E45">
        <w:rPr>
          <w:rFonts w:ascii="Book Antiqua" w:hAnsi="Book Antiqua"/>
          <w:vertAlign w:val="superscript"/>
          <w:lang w:val="en-GB"/>
        </w:rPr>
        <w:t>[</w:t>
      </w:r>
      <w:proofErr w:type="gramEnd"/>
      <w:r w:rsidR="00E20979" w:rsidRPr="00EE0E45">
        <w:rPr>
          <w:rFonts w:ascii="Book Antiqua" w:hAnsi="Book Antiqua"/>
          <w:vertAlign w:val="superscript"/>
          <w:lang w:val="en-GB"/>
        </w:rPr>
        <w:t>9</w:t>
      </w:r>
      <w:r w:rsidRPr="00EE0E45">
        <w:rPr>
          <w:rFonts w:ascii="Book Antiqua" w:hAnsi="Book Antiqua"/>
          <w:vertAlign w:val="superscript"/>
          <w:lang w:val="en-GB"/>
        </w:rPr>
        <w:t>]</w:t>
      </w:r>
      <w:r w:rsidRPr="00EE0E45">
        <w:rPr>
          <w:rFonts w:ascii="Book Antiqua" w:hAnsi="Book Antiqua"/>
          <w:lang w:val="en-GB"/>
        </w:rPr>
        <w:t xml:space="preserve"> reported the results of a multicentric study based on the European Liver Transplant Registry (ELTR) and focused on the use of LRT in HCC patients undergoing LT. A total of 4978 patients (no LRT</w:t>
      </w:r>
      <w:r w:rsidR="00B436DB" w:rsidRPr="00EE0E45">
        <w:rPr>
          <w:rFonts w:ascii="Book Antiqua" w:hAnsi="Book Antiqua"/>
          <w:lang w:val="en-GB"/>
        </w:rPr>
        <w:t xml:space="preserve"> </w:t>
      </w:r>
      <w:r w:rsidRPr="00EE0E45">
        <w:rPr>
          <w:rFonts w:ascii="Book Antiqua" w:hAnsi="Book Antiqua"/>
          <w:lang w:val="en-GB"/>
        </w:rPr>
        <w:t>=</w:t>
      </w:r>
      <w:r w:rsidR="00B436DB" w:rsidRPr="00EE0E45">
        <w:rPr>
          <w:rFonts w:ascii="Book Antiqua" w:hAnsi="Book Antiqua"/>
          <w:lang w:val="en-GB"/>
        </w:rPr>
        <w:t xml:space="preserve"> </w:t>
      </w:r>
      <w:r w:rsidRPr="00EE0E45">
        <w:rPr>
          <w:rFonts w:ascii="Book Antiqua" w:hAnsi="Book Antiqua"/>
          <w:lang w:val="en-GB"/>
        </w:rPr>
        <w:t>1406, 28.2%; LRT</w:t>
      </w:r>
      <w:r w:rsidR="00B436DB" w:rsidRPr="00EE0E45">
        <w:rPr>
          <w:rFonts w:ascii="Book Antiqua" w:hAnsi="Book Antiqua"/>
          <w:lang w:val="en-GB"/>
        </w:rPr>
        <w:t xml:space="preserve"> </w:t>
      </w:r>
      <w:r w:rsidRPr="00EE0E45">
        <w:rPr>
          <w:rFonts w:ascii="Book Antiqua" w:hAnsi="Book Antiqua"/>
          <w:lang w:val="en-GB"/>
        </w:rPr>
        <w:t>=</w:t>
      </w:r>
      <w:r w:rsidR="00B436DB" w:rsidRPr="00EE0E45">
        <w:rPr>
          <w:rFonts w:ascii="Book Antiqua" w:hAnsi="Book Antiqua"/>
          <w:lang w:val="en-GB"/>
        </w:rPr>
        <w:t xml:space="preserve"> </w:t>
      </w:r>
      <w:r w:rsidRPr="00EE0E45">
        <w:rPr>
          <w:rFonts w:ascii="Book Antiqua" w:hAnsi="Book Antiqua"/>
          <w:lang w:val="en-GB"/>
        </w:rPr>
        <w:t xml:space="preserve">3572, 71.8%) were enrolled. As expected, the median waiting time was longer in the LRT group (4 </w:t>
      </w:r>
      <w:r w:rsidR="004C4054" w:rsidRPr="00EE0E45">
        <w:rPr>
          <w:rFonts w:ascii="Book Antiqua" w:hAnsi="Book Antiqua"/>
          <w:lang w:val="en-GB"/>
        </w:rPr>
        <w:t>mo</w:t>
      </w:r>
      <w:r w:rsidR="004C4054" w:rsidRPr="00EE0E45">
        <w:rPr>
          <w:rFonts w:ascii="Book Antiqua" w:hAnsi="Book Antiqua"/>
          <w:i/>
          <w:lang w:val="en-GB"/>
        </w:rPr>
        <w:t xml:space="preserve"> </w:t>
      </w:r>
      <w:r w:rsidRPr="00EE0E45">
        <w:rPr>
          <w:rFonts w:ascii="Book Antiqua" w:hAnsi="Book Antiqua"/>
          <w:i/>
          <w:lang w:val="en-GB"/>
        </w:rPr>
        <w:t>vs</w:t>
      </w:r>
      <w:r w:rsidRPr="00EE0E45">
        <w:rPr>
          <w:rFonts w:ascii="Book Antiqua" w:hAnsi="Book Antiqua"/>
          <w:lang w:val="en-GB"/>
        </w:rPr>
        <w:t xml:space="preserve"> 1.7 mo; </w:t>
      </w:r>
      <w:r w:rsidRPr="00EE0E45">
        <w:rPr>
          <w:rFonts w:ascii="Book Antiqua" w:hAnsi="Book Antiqua"/>
          <w:i/>
          <w:lang w:val="en-GB"/>
        </w:rPr>
        <w:t>P</w:t>
      </w:r>
      <w:r w:rsidR="00B436DB" w:rsidRPr="00EE0E45">
        <w:rPr>
          <w:rFonts w:ascii="Book Antiqua" w:hAnsi="Book Antiqua"/>
          <w:lang w:val="en-GB"/>
        </w:rPr>
        <w:t xml:space="preserve"> </w:t>
      </w:r>
      <w:r w:rsidRPr="00EE0E45">
        <w:rPr>
          <w:rFonts w:ascii="Book Antiqua" w:hAnsi="Book Antiqua"/>
          <w:lang w:val="en-GB"/>
        </w:rPr>
        <w:t>&lt;</w:t>
      </w:r>
      <w:r w:rsidR="00B436DB" w:rsidRPr="00EE0E45">
        <w:rPr>
          <w:rFonts w:ascii="Book Antiqua" w:hAnsi="Book Antiqua"/>
          <w:lang w:val="en-GB"/>
        </w:rPr>
        <w:t xml:space="preserve"> </w:t>
      </w:r>
      <w:r w:rsidRPr="00EE0E45">
        <w:rPr>
          <w:rFonts w:ascii="Book Antiqua" w:hAnsi="Book Antiqua"/>
          <w:lang w:val="en-GB"/>
        </w:rPr>
        <w:t xml:space="preserve">0.001) and the median MELD score was higher in the directly transplanted subjects (12 </w:t>
      </w:r>
      <w:r w:rsidRPr="00EE0E45">
        <w:rPr>
          <w:rFonts w:ascii="Book Antiqua" w:hAnsi="Book Antiqua"/>
          <w:i/>
          <w:lang w:val="en-GB"/>
        </w:rPr>
        <w:t>vs</w:t>
      </w:r>
      <w:r w:rsidRPr="00EE0E45">
        <w:rPr>
          <w:rFonts w:ascii="Book Antiqua" w:hAnsi="Book Antiqua"/>
          <w:lang w:val="en-GB"/>
        </w:rPr>
        <w:t xml:space="preserve"> 10; </w:t>
      </w:r>
      <w:r w:rsidRPr="00EE0E45">
        <w:rPr>
          <w:rFonts w:ascii="Book Antiqua" w:hAnsi="Book Antiqua"/>
          <w:i/>
          <w:lang w:val="en-GB"/>
        </w:rPr>
        <w:t>P</w:t>
      </w:r>
      <w:r w:rsidR="00B436DB" w:rsidRPr="00EE0E45">
        <w:rPr>
          <w:rFonts w:ascii="Book Antiqua" w:hAnsi="Book Antiqua"/>
          <w:i/>
          <w:lang w:val="en-GB"/>
        </w:rPr>
        <w:t xml:space="preserve"> </w:t>
      </w:r>
      <w:r w:rsidRPr="00EE0E45">
        <w:rPr>
          <w:rFonts w:ascii="Book Antiqua" w:hAnsi="Book Antiqua"/>
          <w:lang w:val="en-GB"/>
        </w:rPr>
        <w:t>&lt;</w:t>
      </w:r>
      <w:r w:rsidR="00B436DB" w:rsidRPr="00EE0E45">
        <w:rPr>
          <w:rFonts w:ascii="Book Antiqua" w:hAnsi="Book Antiqua"/>
          <w:lang w:val="en-GB"/>
        </w:rPr>
        <w:t xml:space="preserve"> </w:t>
      </w:r>
      <w:r w:rsidRPr="00EE0E45">
        <w:rPr>
          <w:rFonts w:ascii="Book Antiqua" w:hAnsi="Book Antiqua"/>
          <w:lang w:val="en-GB"/>
        </w:rPr>
        <w:t>0.001). Overall, patients receiving LRT before LT had better 5-year survival rates respect to no-LRT cases (69.7</w:t>
      </w:r>
      <w:r w:rsidR="00E6048F" w:rsidRPr="00EE0E45">
        <w:rPr>
          <w:rFonts w:ascii="Book Antiqua" w:hAnsi="Book Antiqua"/>
          <w:lang w:val="en-GB"/>
        </w:rPr>
        <w:t>%</w:t>
      </w:r>
      <w:r w:rsidRPr="00EE0E45">
        <w:rPr>
          <w:rFonts w:ascii="Book Antiqua" w:hAnsi="Book Antiqua"/>
          <w:lang w:val="en-GB"/>
        </w:rPr>
        <w:t xml:space="preserve"> </w:t>
      </w:r>
      <w:r w:rsidRPr="00EE0E45">
        <w:rPr>
          <w:rFonts w:ascii="Book Antiqua" w:hAnsi="Book Antiqua"/>
          <w:i/>
          <w:lang w:val="en-GB"/>
        </w:rPr>
        <w:t>vs</w:t>
      </w:r>
      <w:r w:rsidRPr="00EE0E45">
        <w:rPr>
          <w:rFonts w:ascii="Book Antiqua" w:hAnsi="Book Antiqua"/>
          <w:lang w:val="en-GB"/>
        </w:rPr>
        <w:t xml:space="preserve"> 65.8%; </w:t>
      </w:r>
      <w:r w:rsidRPr="00EE0E45">
        <w:rPr>
          <w:rFonts w:ascii="Book Antiqua" w:hAnsi="Book Antiqua"/>
          <w:i/>
          <w:lang w:val="en-GB"/>
        </w:rPr>
        <w:t>P</w:t>
      </w:r>
      <w:r w:rsidR="00B436DB" w:rsidRPr="00EE0E45">
        <w:rPr>
          <w:rFonts w:ascii="Book Antiqua" w:hAnsi="Book Antiqua"/>
          <w:lang w:val="en-GB"/>
        </w:rPr>
        <w:t xml:space="preserve"> </w:t>
      </w:r>
      <w:r w:rsidRPr="00EE0E45">
        <w:rPr>
          <w:rFonts w:ascii="Book Antiqua" w:hAnsi="Book Antiqua"/>
          <w:lang w:val="en-GB"/>
        </w:rPr>
        <w:t>&lt;</w:t>
      </w:r>
      <w:r w:rsidR="00B436DB" w:rsidRPr="00EE0E45">
        <w:rPr>
          <w:rFonts w:ascii="Book Antiqua" w:hAnsi="Book Antiqua"/>
          <w:lang w:val="en-GB"/>
        </w:rPr>
        <w:t xml:space="preserve"> </w:t>
      </w:r>
      <w:r w:rsidRPr="00EE0E45">
        <w:rPr>
          <w:rFonts w:ascii="Book Antiqua" w:hAnsi="Book Antiqua"/>
          <w:lang w:val="en-GB"/>
        </w:rPr>
        <w:t xml:space="preserve">0.001). When the different treatment types were investigated, the use of radiofrequency ablation (RFA) had the strongest association with an improved overall survival </w:t>
      </w:r>
      <w:bookmarkStart w:id="46" w:name="OLE_LINK20"/>
      <w:bookmarkStart w:id="47" w:name="OLE_LINK21"/>
      <w:r w:rsidR="009865AA">
        <w:rPr>
          <w:rFonts w:ascii="Book Antiqua" w:hAnsi="Book Antiqua" w:hint="eastAsia"/>
          <w:lang w:val="en-GB"/>
        </w:rPr>
        <w:t>[</w:t>
      </w:r>
      <w:r w:rsidRPr="00EE0E45">
        <w:rPr>
          <w:rFonts w:ascii="Book Antiqua" w:hAnsi="Book Antiqua"/>
          <w:lang w:val="en-GB"/>
        </w:rPr>
        <w:t>hazard ratio</w:t>
      </w:r>
      <w:bookmarkEnd w:id="46"/>
      <w:bookmarkEnd w:id="47"/>
      <w:r w:rsidR="009307F4" w:rsidRPr="00EE0E45">
        <w:rPr>
          <w:rFonts w:ascii="Book Antiqua" w:hAnsi="Book Antiqua"/>
          <w:lang w:val="en-GB"/>
        </w:rPr>
        <w:t xml:space="preserve"> (HR)</w:t>
      </w:r>
      <w:r w:rsidR="00B436DB" w:rsidRPr="00EE0E45">
        <w:rPr>
          <w:rFonts w:ascii="Book Antiqua" w:hAnsi="Book Antiqua"/>
          <w:lang w:val="en-GB"/>
        </w:rPr>
        <w:t xml:space="preserve"> </w:t>
      </w:r>
      <w:r w:rsidRPr="00EE0E45">
        <w:rPr>
          <w:rFonts w:ascii="Book Antiqua" w:hAnsi="Book Antiqua"/>
          <w:lang w:val="en-GB"/>
        </w:rPr>
        <w:t>=</w:t>
      </w:r>
      <w:r w:rsidR="00B436DB" w:rsidRPr="00EE0E45">
        <w:rPr>
          <w:rFonts w:ascii="Book Antiqua" w:hAnsi="Book Antiqua"/>
          <w:lang w:val="en-GB"/>
        </w:rPr>
        <w:t xml:space="preserve"> </w:t>
      </w:r>
      <w:r w:rsidRPr="00EE0E45">
        <w:rPr>
          <w:rFonts w:ascii="Book Antiqua" w:hAnsi="Book Antiqua"/>
          <w:lang w:val="en-GB"/>
        </w:rPr>
        <w:t>0.51</w:t>
      </w:r>
      <w:r w:rsidR="009865AA">
        <w:rPr>
          <w:rFonts w:ascii="Book Antiqua" w:hAnsi="Book Antiqua" w:hint="eastAsia"/>
          <w:lang w:val="en-GB"/>
        </w:rPr>
        <w:t>]</w:t>
      </w:r>
      <w:r w:rsidR="009865AA" w:rsidRPr="00EE0E45">
        <w:rPr>
          <w:rFonts w:ascii="Book Antiqua" w:hAnsi="Book Antiqua"/>
          <w:lang w:val="en-GB"/>
        </w:rPr>
        <w:t xml:space="preserve">. </w:t>
      </w:r>
      <w:r w:rsidRPr="00EE0E45">
        <w:rPr>
          <w:rFonts w:ascii="Book Antiqua" w:hAnsi="Book Antiqua"/>
          <w:lang w:val="en-GB"/>
        </w:rPr>
        <w:t>The beneficial effect was also observed in case of the combination of RFA and trans-arterial chemo-embolization (TACE) (HR</w:t>
      </w:r>
      <w:r w:rsidR="00B436DB" w:rsidRPr="00EE0E45">
        <w:rPr>
          <w:rFonts w:ascii="Book Antiqua" w:hAnsi="Book Antiqua"/>
          <w:lang w:val="en-GB"/>
        </w:rPr>
        <w:t xml:space="preserve"> </w:t>
      </w:r>
      <w:r w:rsidRPr="00EE0E45">
        <w:rPr>
          <w:rFonts w:ascii="Book Antiqua" w:hAnsi="Book Antiqua"/>
          <w:lang w:val="en-GB"/>
        </w:rPr>
        <w:t>=</w:t>
      </w:r>
      <w:r w:rsidR="00B436DB" w:rsidRPr="00EE0E45">
        <w:rPr>
          <w:rFonts w:ascii="Book Antiqua" w:hAnsi="Book Antiqua"/>
          <w:lang w:val="en-GB"/>
        </w:rPr>
        <w:t xml:space="preserve"> </w:t>
      </w:r>
      <w:r w:rsidRPr="00EE0E45">
        <w:rPr>
          <w:rFonts w:ascii="Book Antiqua" w:hAnsi="Book Antiqua"/>
          <w:lang w:val="en-GB"/>
        </w:rPr>
        <w:t>0.74). Several sub-analyses were also done. As for the number of LRT performed, one-two treatments were connected with improved survivals respect to no treatment (HR</w:t>
      </w:r>
      <w:r w:rsidR="00B436DB" w:rsidRPr="00EE0E45">
        <w:rPr>
          <w:rFonts w:ascii="Book Antiqua" w:hAnsi="Book Antiqua"/>
          <w:lang w:val="en-GB"/>
        </w:rPr>
        <w:t xml:space="preserve"> </w:t>
      </w:r>
      <w:r w:rsidRPr="00EE0E45">
        <w:rPr>
          <w:rFonts w:ascii="Book Antiqua" w:hAnsi="Book Antiqua"/>
          <w:lang w:val="en-GB"/>
        </w:rPr>
        <w:t>=</w:t>
      </w:r>
      <w:r w:rsidR="00B436DB" w:rsidRPr="00EE0E45">
        <w:rPr>
          <w:rFonts w:ascii="Book Antiqua" w:hAnsi="Book Antiqua"/>
          <w:lang w:val="en-GB"/>
        </w:rPr>
        <w:t xml:space="preserve"> </w:t>
      </w:r>
      <w:r w:rsidRPr="00EE0E45">
        <w:rPr>
          <w:rFonts w:ascii="Book Antiqua" w:hAnsi="Book Antiqua"/>
          <w:lang w:val="en-GB"/>
        </w:rPr>
        <w:t>0.85 and 0.71, respectively). On the opposite, three or more treatments showed no association (HR</w:t>
      </w:r>
      <w:r w:rsidR="00B436DB" w:rsidRPr="00EE0E45">
        <w:rPr>
          <w:rFonts w:ascii="Book Antiqua" w:hAnsi="Book Antiqua"/>
          <w:lang w:val="en-GB"/>
        </w:rPr>
        <w:t xml:space="preserve"> </w:t>
      </w:r>
      <w:r w:rsidRPr="00EE0E45">
        <w:rPr>
          <w:rFonts w:ascii="Book Antiqua" w:hAnsi="Book Antiqua"/>
          <w:lang w:val="en-GB"/>
        </w:rPr>
        <w:t>=</w:t>
      </w:r>
      <w:r w:rsidR="00B436DB" w:rsidRPr="00EE0E45">
        <w:rPr>
          <w:rFonts w:ascii="Book Antiqua" w:hAnsi="Book Antiqua"/>
          <w:lang w:val="en-GB"/>
        </w:rPr>
        <w:t xml:space="preserve"> </w:t>
      </w:r>
      <w:r w:rsidRPr="00EE0E45">
        <w:rPr>
          <w:rFonts w:ascii="Book Antiqua" w:hAnsi="Book Antiqua"/>
          <w:lang w:val="en-GB"/>
        </w:rPr>
        <w:t>1.11).</w:t>
      </w:r>
    </w:p>
    <w:p w14:paraId="7F167405" w14:textId="014DEAAB" w:rsidR="005512C0" w:rsidRPr="00EE0E45" w:rsidRDefault="00B436DB" w:rsidP="00EE0E45">
      <w:pPr>
        <w:adjustRightInd w:val="0"/>
        <w:snapToGrid w:val="0"/>
        <w:spacing w:line="360" w:lineRule="auto"/>
        <w:jc w:val="both"/>
        <w:rPr>
          <w:rFonts w:ascii="Book Antiqua" w:hAnsi="Book Antiqua"/>
          <w:lang w:val="en-GB"/>
        </w:rPr>
      </w:pPr>
      <w:r w:rsidRPr="00EE0E45">
        <w:rPr>
          <w:rFonts w:ascii="Book Antiqua" w:hAnsi="Book Antiqua"/>
          <w:lang w:val="en-GB"/>
        </w:rPr>
        <w:lastRenderedPageBreak/>
        <w:t xml:space="preserve">  </w:t>
      </w:r>
      <w:r w:rsidR="005512C0" w:rsidRPr="00EE0E45">
        <w:rPr>
          <w:rFonts w:ascii="Book Antiqua" w:hAnsi="Book Antiqua"/>
          <w:lang w:val="en-GB"/>
        </w:rPr>
        <w:t>When a subclass of HCCs being larger (&gt;</w:t>
      </w:r>
      <w:r w:rsidRPr="00EE0E45">
        <w:rPr>
          <w:rFonts w:ascii="Book Antiqua" w:hAnsi="Book Antiqua"/>
          <w:lang w:val="en-GB"/>
        </w:rPr>
        <w:t xml:space="preserve"> </w:t>
      </w:r>
      <w:r w:rsidR="005512C0" w:rsidRPr="00EE0E45">
        <w:rPr>
          <w:rFonts w:ascii="Book Antiqua" w:hAnsi="Book Antiqua"/>
          <w:lang w:val="en-GB"/>
        </w:rPr>
        <w:t>3 cm) or with more nodules (&gt;</w:t>
      </w:r>
      <w:r w:rsidRPr="00EE0E45">
        <w:rPr>
          <w:rFonts w:ascii="Book Antiqua" w:hAnsi="Book Antiqua"/>
          <w:lang w:val="en-GB"/>
        </w:rPr>
        <w:t xml:space="preserve"> </w:t>
      </w:r>
      <w:r w:rsidR="005512C0" w:rsidRPr="00EE0E45">
        <w:rPr>
          <w:rFonts w:ascii="Book Antiqua" w:hAnsi="Book Antiqua"/>
          <w:lang w:val="en-GB"/>
        </w:rPr>
        <w:t>5 lesions) was examined, LRT maintained their protective role for the risk of death (HR</w:t>
      </w:r>
      <w:r w:rsidRPr="00EE0E45">
        <w:rPr>
          <w:rFonts w:ascii="Book Antiqua" w:hAnsi="Book Antiqua"/>
          <w:lang w:val="en-GB"/>
        </w:rPr>
        <w:t xml:space="preserve"> </w:t>
      </w:r>
      <w:r w:rsidR="005512C0" w:rsidRPr="00EE0E45">
        <w:rPr>
          <w:rFonts w:ascii="Book Antiqua" w:hAnsi="Book Antiqua"/>
          <w:lang w:val="en-GB"/>
        </w:rPr>
        <w:t>=</w:t>
      </w:r>
      <w:r w:rsidRPr="00EE0E45">
        <w:rPr>
          <w:rFonts w:ascii="Book Antiqua" w:hAnsi="Book Antiqua"/>
          <w:lang w:val="en-GB"/>
        </w:rPr>
        <w:t xml:space="preserve"> </w:t>
      </w:r>
      <w:r w:rsidR="005512C0" w:rsidRPr="00EE0E45">
        <w:rPr>
          <w:rFonts w:ascii="Book Antiqua" w:hAnsi="Book Antiqua"/>
          <w:lang w:val="en-GB"/>
        </w:rPr>
        <w:t>0.78). In this context, RFA, TACE or combined RFA</w:t>
      </w:r>
      <w:r w:rsidR="008D102B">
        <w:rPr>
          <w:rFonts w:ascii="Book Antiqua" w:hAnsi="Book Antiqua" w:hint="eastAsia"/>
          <w:lang w:val="en-GB"/>
        </w:rPr>
        <w:t xml:space="preserve"> </w:t>
      </w:r>
      <w:r w:rsidR="005512C0" w:rsidRPr="00EE0E45">
        <w:rPr>
          <w:rFonts w:ascii="Book Antiqua" w:hAnsi="Book Antiqua"/>
          <w:lang w:val="en-GB"/>
        </w:rPr>
        <w:t>+</w:t>
      </w:r>
      <w:r w:rsidR="008D102B">
        <w:rPr>
          <w:rFonts w:ascii="Book Antiqua" w:hAnsi="Book Antiqua" w:hint="eastAsia"/>
          <w:lang w:val="en-GB"/>
        </w:rPr>
        <w:t xml:space="preserve"> </w:t>
      </w:r>
      <w:r w:rsidR="005512C0" w:rsidRPr="00EE0E45">
        <w:rPr>
          <w:rFonts w:ascii="Book Antiqua" w:hAnsi="Book Antiqua"/>
          <w:lang w:val="en-GB"/>
        </w:rPr>
        <w:t>TACE all were significantly associated with improved survival (HR</w:t>
      </w:r>
      <w:r w:rsidRPr="00EE0E45">
        <w:rPr>
          <w:rFonts w:ascii="Book Antiqua" w:hAnsi="Book Antiqua"/>
          <w:lang w:val="en-GB"/>
        </w:rPr>
        <w:t xml:space="preserve"> </w:t>
      </w:r>
      <w:r w:rsidR="005512C0" w:rsidRPr="00EE0E45">
        <w:rPr>
          <w:rFonts w:ascii="Book Antiqua" w:hAnsi="Book Antiqua"/>
          <w:lang w:val="en-GB"/>
        </w:rPr>
        <w:t>=</w:t>
      </w:r>
      <w:r w:rsidRPr="00EE0E45">
        <w:rPr>
          <w:rFonts w:ascii="Book Antiqua" w:hAnsi="Book Antiqua"/>
          <w:lang w:val="en-GB"/>
        </w:rPr>
        <w:t xml:space="preserve"> </w:t>
      </w:r>
      <w:r w:rsidR="005512C0" w:rsidRPr="00EE0E45">
        <w:rPr>
          <w:rFonts w:ascii="Book Antiqua" w:hAnsi="Book Antiqua"/>
          <w:lang w:val="en-GB"/>
        </w:rPr>
        <w:t xml:space="preserve">0.54, 0.81, and 0.60, respectively). </w:t>
      </w:r>
    </w:p>
    <w:p w14:paraId="1B6DD735" w14:textId="5D38BBDA" w:rsidR="005512C0" w:rsidRPr="00EE0E45" w:rsidRDefault="00414F6E" w:rsidP="00EE0E45">
      <w:pPr>
        <w:adjustRightInd w:val="0"/>
        <w:snapToGrid w:val="0"/>
        <w:spacing w:line="360" w:lineRule="auto"/>
        <w:jc w:val="both"/>
        <w:rPr>
          <w:rFonts w:ascii="Book Antiqua" w:hAnsi="Book Antiqua"/>
          <w:lang w:val="en-GB"/>
        </w:rPr>
      </w:pPr>
      <w:r w:rsidRPr="00EE0E45">
        <w:rPr>
          <w:rFonts w:ascii="Book Antiqua" w:hAnsi="Book Antiqua"/>
          <w:lang w:val="en-GB"/>
        </w:rPr>
        <w:t xml:space="preserve">  </w:t>
      </w:r>
      <w:r w:rsidR="005512C0" w:rsidRPr="00EE0E45">
        <w:rPr>
          <w:rFonts w:ascii="Book Antiqua" w:hAnsi="Book Antiqua"/>
          <w:lang w:val="en-GB"/>
        </w:rPr>
        <w:t xml:space="preserve">Stratifying the entire population according to the underlying liver status (cirrhosis </w:t>
      </w:r>
      <w:r w:rsidR="005512C0" w:rsidRPr="00EE0E45">
        <w:rPr>
          <w:rFonts w:ascii="Book Antiqua" w:hAnsi="Book Antiqua"/>
          <w:i/>
          <w:lang w:val="en-GB"/>
        </w:rPr>
        <w:t>vs</w:t>
      </w:r>
      <w:r w:rsidR="005512C0" w:rsidRPr="00EE0E45">
        <w:rPr>
          <w:rFonts w:ascii="Book Antiqua" w:hAnsi="Book Antiqua"/>
          <w:lang w:val="en-GB"/>
        </w:rPr>
        <w:t xml:space="preserve"> non-cirrhotic liver), in case of HCC on cirrhosis LRT were also protective (HR</w:t>
      </w:r>
      <w:r w:rsidR="00B436DB" w:rsidRPr="00EE0E45">
        <w:rPr>
          <w:rFonts w:ascii="Book Antiqua" w:hAnsi="Book Antiqua"/>
          <w:lang w:val="en-GB"/>
        </w:rPr>
        <w:t xml:space="preserve"> </w:t>
      </w:r>
      <w:r w:rsidR="005512C0" w:rsidRPr="00EE0E45">
        <w:rPr>
          <w:rFonts w:ascii="Book Antiqua" w:hAnsi="Book Antiqua"/>
          <w:lang w:val="en-GB"/>
        </w:rPr>
        <w:t>=</w:t>
      </w:r>
      <w:r w:rsidR="00B436DB" w:rsidRPr="00EE0E45">
        <w:rPr>
          <w:rFonts w:ascii="Book Antiqua" w:hAnsi="Book Antiqua"/>
          <w:lang w:val="en-GB"/>
        </w:rPr>
        <w:t xml:space="preserve"> </w:t>
      </w:r>
      <w:r w:rsidR="005512C0" w:rsidRPr="00EE0E45">
        <w:rPr>
          <w:rFonts w:ascii="Book Antiqua" w:hAnsi="Book Antiqua"/>
          <w:lang w:val="en-GB"/>
        </w:rPr>
        <w:t>0.86).</w:t>
      </w:r>
    </w:p>
    <w:p w14:paraId="5FE5DB9A" w14:textId="3DE04C8B" w:rsidR="005512C0" w:rsidRPr="00EE0E45" w:rsidRDefault="005512C0" w:rsidP="00EE0E45">
      <w:pPr>
        <w:adjustRightInd w:val="0"/>
        <w:snapToGrid w:val="0"/>
        <w:spacing w:line="360" w:lineRule="auto"/>
        <w:jc w:val="both"/>
        <w:rPr>
          <w:rFonts w:ascii="Book Antiqua" w:hAnsi="Book Antiqua"/>
          <w:lang w:val="en-GB"/>
        </w:rPr>
      </w:pPr>
      <w:r w:rsidRPr="00EE0E45">
        <w:rPr>
          <w:rFonts w:ascii="Book Antiqua" w:hAnsi="Book Antiqua"/>
          <w:lang w:val="en-GB"/>
        </w:rPr>
        <w:t>In the presence of pathological micro-macrovascular invasion, the effect of LRT was strong (HR</w:t>
      </w:r>
      <w:r w:rsidR="00B436DB" w:rsidRPr="00EE0E45">
        <w:rPr>
          <w:rFonts w:ascii="Book Antiqua" w:hAnsi="Book Antiqua"/>
          <w:lang w:val="en-GB"/>
        </w:rPr>
        <w:t xml:space="preserve"> </w:t>
      </w:r>
      <w:r w:rsidRPr="00EE0E45">
        <w:rPr>
          <w:rFonts w:ascii="Book Antiqua" w:hAnsi="Book Antiqua"/>
          <w:lang w:val="en-GB"/>
        </w:rPr>
        <w:t>=</w:t>
      </w:r>
      <w:r w:rsidR="00B436DB" w:rsidRPr="00EE0E45">
        <w:rPr>
          <w:rFonts w:ascii="Book Antiqua" w:hAnsi="Book Antiqua"/>
          <w:lang w:val="en-GB"/>
        </w:rPr>
        <w:t xml:space="preserve"> </w:t>
      </w:r>
      <w:r w:rsidRPr="00EE0E45">
        <w:rPr>
          <w:rFonts w:ascii="Book Antiqua" w:hAnsi="Book Antiqua"/>
          <w:lang w:val="en-GB"/>
        </w:rPr>
        <w:t>0.71). Both RFA and TACE (HR</w:t>
      </w:r>
      <w:r w:rsidR="00B436DB" w:rsidRPr="00EE0E45">
        <w:rPr>
          <w:rFonts w:ascii="Book Antiqua" w:hAnsi="Book Antiqua"/>
          <w:lang w:val="en-GB"/>
        </w:rPr>
        <w:t xml:space="preserve"> </w:t>
      </w:r>
      <w:r w:rsidRPr="00EE0E45">
        <w:rPr>
          <w:rFonts w:ascii="Book Antiqua" w:hAnsi="Book Antiqua"/>
          <w:lang w:val="en-GB"/>
        </w:rPr>
        <w:t>=</w:t>
      </w:r>
      <w:r w:rsidR="00B436DB" w:rsidRPr="00EE0E45">
        <w:rPr>
          <w:rFonts w:ascii="Book Antiqua" w:hAnsi="Book Antiqua"/>
          <w:lang w:val="en-GB"/>
        </w:rPr>
        <w:t xml:space="preserve"> </w:t>
      </w:r>
      <w:r w:rsidRPr="00EE0E45">
        <w:rPr>
          <w:rFonts w:ascii="Book Antiqua" w:hAnsi="Book Antiqua"/>
          <w:lang w:val="en-GB"/>
        </w:rPr>
        <w:t>0.54 and 0.69, respectively) were associated with improved survival.</w:t>
      </w:r>
    </w:p>
    <w:p w14:paraId="10268A80" w14:textId="77777777" w:rsidR="00414F6E" w:rsidRPr="00EE0E45" w:rsidRDefault="00414F6E" w:rsidP="00EE0E45">
      <w:pPr>
        <w:adjustRightInd w:val="0"/>
        <w:snapToGrid w:val="0"/>
        <w:spacing w:line="360" w:lineRule="auto"/>
        <w:jc w:val="both"/>
        <w:rPr>
          <w:rFonts w:ascii="Book Antiqua" w:hAnsi="Book Antiqua"/>
          <w:b/>
          <w:lang w:val="en-GB"/>
        </w:rPr>
      </w:pPr>
    </w:p>
    <w:p w14:paraId="319C0507" w14:textId="77777777" w:rsidR="005512C0" w:rsidRPr="00EE0E45" w:rsidRDefault="005512C0" w:rsidP="00EE0E45">
      <w:pPr>
        <w:adjustRightInd w:val="0"/>
        <w:snapToGrid w:val="0"/>
        <w:spacing w:line="360" w:lineRule="auto"/>
        <w:jc w:val="both"/>
        <w:rPr>
          <w:rFonts w:ascii="Book Antiqua" w:hAnsi="Book Antiqua"/>
          <w:b/>
          <w:lang w:val="en-GB"/>
        </w:rPr>
      </w:pPr>
      <w:r w:rsidRPr="00EE0E45">
        <w:rPr>
          <w:rFonts w:ascii="Book Antiqua" w:hAnsi="Book Antiqua"/>
          <w:b/>
          <w:lang w:val="en-GB"/>
        </w:rPr>
        <w:t>PERSPECTIVE</w:t>
      </w:r>
    </w:p>
    <w:p w14:paraId="49799DAE" w14:textId="238DFDE6" w:rsidR="005512C0" w:rsidRPr="00EE0E45" w:rsidRDefault="005512C0" w:rsidP="00EE0E45">
      <w:pPr>
        <w:adjustRightInd w:val="0"/>
        <w:snapToGrid w:val="0"/>
        <w:spacing w:line="360" w:lineRule="auto"/>
        <w:jc w:val="both"/>
        <w:rPr>
          <w:rFonts w:ascii="Book Antiqua" w:hAnsi="Book Antiqua"/>
          <w:lang w:val="en-GB"/>
        </w:rPr>
      </w:pPr>
      <w:r w:rsidRPr="00EE0E45">
        <w:rPr>
          <w:rFonts w:ascii="Book Antiqua" w:hAnsi="Book Antiqua"/>
          <w:lang w:val="en-GB"/>
        </w:rPr>
        <w:t>The role of LRT in the setting of HCC and LT has not been fully clarified, mainly in light of the potential detrimental effects of repetitive treatments. For example, a recent meta-analysis performed on 1122 TACE patients showed an increased risk of post-LT hepatic artery complications (odds ratio</w:t>
      </w:r>
      <w:r w:rsidR="00414F6E" w:rsidRPr="00EE0E45">
        <w:rPr>
          <w:rFonts w:ascii="Book Antiqua" w:hAnsi="Book Antiqua"/>
          <w:lang w:val="en-GB"/>
        </w:rPr>
        <w:t xml:space="preserve"> </w:t>
      </w:r>
      <w:r w:rsidRPr="00EE0E45">
        <w:rPr>
          <w:rFonts w:ascii="Book Antiqua" w:hAnsi="Book Antiqua"/>
          <w:lang w:val="en-GB"/>
        </w:rPr>
        <w:t>=</w:t>
      </w:r>
      <w:r w:rsidR="00414F6E" w:rsidRPr="00EE0E45">
        <w:rPr>
          <w:rFonts w:ascii="Book Antiqua" w:hAnsi="Book Antiqua"/>
          <w:lang w:val="en-GB"/>
        </w:rPr>
        <w:t xml:space="preserve"> </w:t>
      </w:r>
      <w:r w:rsidRPr="00EE0E45">
        <w:rPr>
          <w:rFonts w:ascii="Book Antiqua" w:hAnsi="Book Antiqua"/>
          <w:lang w:val="en-GB"/>
        </w:rPr>
        <w:t xml:space="preserve">1.57; </w:t>
      </w:r>
      <w:r w:rsidRPr="00EE0E45">
        <w:rPr>
          <w:rFonts w:ascii="Book Antiqua" w:hAnsi="Book Antiqua"/>
          <w:i/>
          <w:lang w:val="en-GB"/>
        </w:rPr>
        <w:t>P</w:t>
      </w:r>
      <w:r w:rsidR="00414F6E" w:rsidRPr="00EE0E45">
        <w:rPr>
          <w:rFonts w:ascii="Book Antiqua" w:hAnsi="Book Antiqua"/>
          <w:lang w:val="en-GB"/>
        </w:rPr>
        <w:t xml:space="preserve"> </w:t>
      </w:r>
      <w:r w:rsidRPr="00EE0E45">
        <w:rPr>
          <w:rFonts w:ascii="Book Antiqua" w:hAnsi="Book Antiqua"/>
          <w:lang w:val="en-GB"/>
        </w:rPr>
        <w:t>=</w:t>
      </w:r>
      <w:r w:rsidR="00414F6E" w:rsidRPr="00EE0E45">
        <w:rPr>
          <w:rFonts w:ascii="Book Antiqua" w:hAnsi="Book Antiqua"/>
          <w:lang w:val="en-GB"/>
        </w:rPr>
        <w:t xml:space="preserve"> </w:t>
      </w:r>
      <w:r w:rsidRPr="00EE0E45">
        <w:rPr>
          <w:rFonts w:ascii="Book Antiqua" w:hAnsi="Book Antiqua"/>
          <w:lang w:val="en-GB"/>
        </w:rPr>
        <w:t>0.02</w:t>
      </w:r>
      <w:proofErr w:type="gramStart"/>
      <w:r w:rsidRPr="00EE0E45">
        <w:rPr>
          <w:rFonts w:ascii="Book Antiqua" w:hAnsi="Book Antiqua"/>
          <w:lang w:val="en-GB"/>
        </w:rPr>
        <w:t>)</w:t>
      </w:r>
      <w:r w:rsidRPr="00EE0E45">
        <w:rPr>
          <w:rFonts w:ascii="Book Antiqua" w:hAnsi="Book Antiqua"/>
          <w:vertAlign w:val="superscript"/>
          <w:lang w:val="en-GB"/>
        </w:rPr>
        <w:t>[</w:t>
      </w:r>
      <w:proofErr w:type="gramEnd"/>
      <w:r w:rsidR="007D5FBF" w:rsidRPr="00EE0E45">
        <w:rPr>
          <w:rFonts w:ascii="Book Antiqua" w:hAnsi="Book Antiqua"/>
          <w:vertAlign w:val="superscript"/>
          <w:lang w:val="en-GB"/>
        </w:rPr>
        <w:t>10</w:t>
      </w:r>
      <w:r w:rsidRPr="00EE0E45">
        <w:rPr>
          <w:rFonts w:ascii="Book Antiqua" w:hAnsi="Book Antiqua"/>
          <w:vertAlign w:val="superscript"/>
          <w:lang w:val="en-GB"/>
        </w:rPr>
        <w:t>]</w:t>
      </w:r>
      <w:r w:rsidRPr="00EE0E45">
        <w:rPr>
          <w:rFonts w:ascii="Book Antiqua" w:hAnsi="Book Antiqua"/>
          <w:lang w:val="en-GB"/>
        </w:rPr>
        <w:t>. Another study from the US performed on 3601 patients all meeting the Milan Criteria, showed that the increasing number of LRT significantly predicted post-LT recurrence (3 LRTs: HR</w:t>
      </w:r>
      <w:r w:rsidR="00414F6E" w:rsidRPr="00EE0E45">
        <w:rPr>
          <w:rFonts w:ascii="Book Antiqua" w:hAnsi="Book Antiqua"/>
          <w:lang w:val="en-GB"/>
        </w:rPr>
        <w:t xml:space="preserve"> </w:t>
      </w:r>
      <w:r w:rsidRPr="00EE0E45">
        <w:rPr>
          <w:rFonts w:ascii="Book Antiqua" w:hAnsi="Book Antiqua"/>
          <w:lang w:val="en-GB"/>
        </w:rPr>
        <w:t>=</w:t>
      </w:r>
      <w:r w:rsidR="00414F6E" w:rsidRPr="00EE0E45">
        <w:rPr>
          <w:rFonts w:ascii="Book Antiqua" w:hAnsi="Book Antiqua"/>
          <w:lang w:val="en-GB"/>
        </w:rPr>
        <w:t xml:space="preserve"> </w:t>
      </w:r>
      <w:r w:rsidRPr="00EE0E45">
        <w:rPr>
          <w:rFonts w:ascii="Book Antiqua" w:hAnsi="Book Antiqua"/>
          <w:lang w:val="en-GB"/>
        </w:rPr>
        <w:t xml:space="preserve">2.1; </w:t>
      </w:r>
      <w:r w:rsidRPr="00EE0E45">
        <w:rPr>
          <w:rFonts w:ascii="Book Antiqua" w:hAnsi="Book Antiqua"/>
          <w:i/>
          <w:lang w:val="en-GB"/>
        </w:rPr>
        <w:t>P</w:t>
      </w:r>
      <w:r w:rsidR="00414F6E" w:rsidRPr="00EE0E45">
        <w:rPr>
          <w:rFonts w:ascii="Book Antiqua" w:hAnsi="Book Antiqua"/>
          <w:lang w:val="en-GB"/>
        </w:rPr>
        <w:t xml:space="preserve"> </w:t>
      </w:r>
      <w:r w:rsidRPr="00EE0E45">
        <w:rPr>
          <w:rFonts w:ascii="Book Antiqua" w:hAnsi="Book Antiqua"/>
          <w:lang w:val="en-GB"/>
        </w:rPr>
        <w:t>&lt;</w:t>
      </w:r>
      <w:r w:rsidR="00414F6E" w:rsidRPr="00EE0E45">
        <w:rPr>
          <w:rFonts w:ascii="Book Antiqua" w:hAnsi="Book Antiqua"/>
          <w:lang w:val="en-GB"/>
        </w:rPr>
        <w:t xml:space="preserve"> </w:t>
      </w:r>
      <w:r w:rsidRPr="00EE0E45">
        <w:rPr>
          <w:rFonts w:ascii="Book Antiqua" w:hAnsi="Book Antiqua"/>
          <w:lang w:val="en-GB"/>
        </w:rPr>
        <w:t>0.001; 4</w:t>
      </w:r>
      <w:r w:rsidR="00414F6E" w:rsidRPr="00EE0E45">
        <w:rPr>
          <w:rFonts w:ascii="Book Antiqua" w:hAnsi="Book Antiqua"/>
          <w:lang w:val="en-GB"/>
        </w:rPr>
        <w:t xml:space="preserve"> </w:t>
      </w:r>
      <w:r w:rsidRPr="00EE0E45">
        <w:rPr>
          <w:rFonts w:ascii="Book Antiqua" w:hAnsi="Book Antiqua"/>
          <w:lang w:val="en-GB"/>
        </w:rPr>
        <w:t>+ LRTs: HR</w:t>
      </w:r>
      <w:r w:rsidR="00414F6E" w:rsidRPr="00EE0E45">
        <w:rPr>
          <w:rFonts w:ascii="Book Antiqua" w:hAnsi="Book Antiqua"/>
          <w:lang w:val="en-GB"/>
        </w:rPr>
        <w:t xml:space="preserve"> </w:t>
      </w:r>
      <w:r w:rsidRPr="00EE0E45">
        <w:rPr>
          <w:rFonts w:ascii="Book Antiqua" w:hAnsi="Book Antiqua"/>
          <w:lang w:val="en-GB"/>
        </w:rPr>
        <w:t>=</w:t>
      </w:r>
      <w:r w:rsidR="00414F6E" w:rsidRPr="00EE0E45">
        <w:rPr>
          <w:rFonts w:ascii="Book Antiqua" w:hAnsi="Book Antiqua"/>
          <w:lang w:val="en-GB"/>
        </w:rPr>
        <w:t xml:space="preserve"> </w:t>
      </w:r>
      <w:r w:rsidRPr="00EE0E45">
        <w:rPr>
          <w:rFonts w:ascii="Book Antiqua" w:hAnsi="Book Antiqua"/>
          <w:lang w:val="en-GB"/>
        </w:rPr>
        <w:t xml:space="preserve">2.5; </w:t>
      </w:r>
      <w:r w:rsidRPr="00EE0E45">
        <w:rPr>
          <w:rFonts w:ascii="Book Antiqua" w:hAnsi="Book Antiqua"/>
          <w:i/>
          <w:lang w:val="en-GB"/>
        </w:rPr>
        <w:t>P</w:t>
      </w:r>
      <w:r w:rsidR="00414F6E" w:rsidRPr="00EE0E45">
        <w:rPr>
          <w:rFonts w:ascii="Book Antiqua" w:hAnsi="Book Antiqua"/>
          <w:lang w:val="en-GB"/>
        </w:rPr>
        <w:t xml:space="preserve"> </w:t>
      </w:r>
      <w:r w:rsidRPr="00EE0E45">
        <w:rPr>
          <w:rFonts w:ascii="Book Antiqua" w:hAnsi="Book Antiqua"/>
          <w:lang w:val="en-GB"/>
        </w:rPr>
        <w:t>&lt;</w:t>
      </w:r>
      <w:r w:rsidR="00414F6E" w:rsidRPr="00EE0E45">
        <w:rPr>
          <w:rFonts w:ascii="Book Antiqua" w:hAnsi="Book Antiqua"/>
          <w:lang w:val="en-GB"/>
        </w:rPr>
        <w:t xml:space="preserve"> </w:t>
      </w:r>
      <w:r w:rsidRPr="00EE0E45">
        <w:rPr>
          <w:rFonts w:ascii="Book Antiqua" w:hAnsi="Book Antiqua"/>
          <w:lang w:val="en-GB"/>
        </w:rPr>
        <w:t>0.001)</w:t>
      </w:r>
      <w:r w:rsidRPr="00EE0E45">
        <w:rPr>
          <w:rFonts w:ascii="Book Antiqua" w:hAnsi="Book Antiqua"/>
          <w:vertAlign w:val="superscript"/>
          <w:lang w:val="en-GB"/>
        </w:rPr>
        <w:t>[</w:t>
      </w:r>
      <w:r w:rsidR="007D5FBF" w:rsidRPr="00EE0E45">
        <w:rPr>
          <w:rFonts w:ascii="Book Antiqua" w:hAnsi="Book Antiqua"/>
          <w:vertAlign w:val="superscript"/>
          <w:lang w:val="en-GB"/>
        </w:rPr>
        <w:t>5</w:t>
      </w:r>
      <w:r w:rsidRPr="00EE0E45">
        <w:rPr>
          <w:rFonts w:ascii="Book Antiqua" w:hAnsi="Book Antiqua"/>
          <w:vertAlign w:val="superscript"/>
          <w:lang w:val="en-GB"/>
        </w:rPr>
        <w:t>]</w:t>
      </w:r>
      <w:r w:rsidRPr="00EE0E45">
        <w:rPr>
          <w:rFonts w:ascii="Book Antiqua" w:hAnsi="Book Antiqua"/>
          <w:lang w:val="en-GB"/>
        </w:rPr>
        <w:t>. Interestingly, LRT patients achieving complete response had superior 5-year recurrence-free survivals when compared with untreated cases or LRT subjects not achieving complete response (72</w:t>
      </w:r>
      <w:r w:rsidR="00E6048F" w:rsidRPr="00EE0E45">
        <w:rPr>
          <w:rFonts w:ascii="Book Antiqua" w:hAnsi="Book Antiqua"/>
          <w:lang w:val="en-GB"/>
        </w:rPr>
        <w:t>%</w:t>
      </w:r>
      <w:r w:rsidRPr="00EE0E45">
        <w:rPr>
          <w:rFonts w:ascii="Book Antiqua" w:hAnsi="Book Antiqua"/>
          <w:lang w:val="en-GB"/>
        </w:rPr>
        <w:t xml:space="preserve"> </w:t>
      </w:r>
      <w:r w:rsidRPr="00EE0E45">
        <w:rPr>
          <w:rFonts w:ascii="Book Antiqua" w:hAnsi="Book Antiqua"/>
          <w:i/>
          <w:lang w:val="en-GB"/>
        </w:rPr>
        <w:t xml:space="preserve">vs </w:t>
      </w:r>
      <w:r w:rsidRPr="00EE0E45">
        <w:rPr>
          <w:rFonts w:ascii="Book Antiqua" w:hAnsi="Book Antiqua"/>
          <w:lang w:val="en-GB"/>
        </w:rPr>
        <w:t>69</w:t>
      </w:r>
      <w:r w:rsidR="00E6048F" w:rsidRPr="00EE0E45">
        <w:rPr>
          <w:rFonts w:ascii="Book Antiqua" w:hAnsi="Book Antiqua"/>
          <w:lang w:val="en-GB"/>
        </w:rPr>
        <w:t>%</w:t>
      </w:r>
      <w:r w:rsidRPr="00EE0E45">
        <w:rPr>
          <w:rFonts w:ascii="Book Antiqua" w:hAnsi="Book Antiqua"/>
          <w:lang w:val="en-GB"/>
        </w:rPr>
        <w:t xml:space="preserve"> </w:t>
      </w:r>
      <w:r w:rsidRPr="00EE0E45">
        <w:rPr>
          <w:rFonts w:ascii="Book Antiqua" w:hAnsi="Book Antiqua"/>
          <w:i/>
          <w:lang w:val="en-GB"/>
        </w:rPr>
        <w:t>vs</w:t>
      </w:r>
      <w:r w:rsidRPr="00EE0E45">
        <w:rPr>
          <w:rFonts w:ascii="Book Antiqua" w:hAnsi="Book Antiqua"/>
          <w:lang w:val="en-GB"/>
        </w:rPr>
        <w:t xml:space="preserve"> 67%; respectively)</w:t>
      </w:r>
      <w:r w:rsidRPr="00EE0E45">
        <w:rPr>
          <w:rFonts w:ascii="Book Antiqua" w:hAnsi="Book Antiqua"/>
          <w:vertAlign w:val="superscript"/>
          <w:lang w:val="en-GB"/>
        </w:rPr>
        <w:t>[</w:t>
      </w:r>
      <w:r w:rsidR="007D5FBF" w:rsidRPr="00EE0E45">
        <w:rPr>
          <w:rFonts w:ascii="Book Antiqua" w:hAnsi="Book Antiqua"/>
          <w:vertAlign w:val="superscript"/>
          <w:lang w:val="en-GB"/>
        </w:rPr>
        <w:t>5</w:t>
      </w:r>
      <w:r w:rsidRPr="00EE0E45">
        <w:rPr>
          <w:rFonts w:ascii="Book Antiqua" w:hAnsi="Book Antiqua"/>
          <w:vertAlign w:val="superscript"/>
          <w:lang w:val="en-GB"/>
        </w:rPr>
        <w:t>]</w:t>
      </w:r>
      <w:r w:rsidRPr="00EE0E45">
        <w:rPr>
          <w:rFonts w:ascii="Book Antiqua" w:hAnsi="Book Antiqua"/>
          <w:lang w:val="en-GB"/>
        </w:rPr>
        <w:t xml:space="preserve">. The </w:t>
      </w:r>
      <w:r w:rsidR="007D5FBF" w:rsidRPr="00EE0E45">
        <w:rPr>
          <w:rFonts w:ascii="Book Antiqua" w:hAnsi="Book Antiqua"/>
          <w:lang w:val="en-GB"/>
        </w:rPr>
        <w:t xml:space="preserve">here described </w:t>
      </w:r>
      <w:r w:rsidRPr="00EE0E45">
        <w:rPr>
          <w:rFonts w:ascii="Book Antiqua" w:hAnsi="Book Antiqua"/>
          <w:lang w:val="en-GB"/>
        </w:rPr>
        <w:t xml:space="preserve">study performed on a large population of European HCC cases showed the beneficial role of LRT, mainly in case of RFA use. Moreover, the repetitive number of treatments was not connected with worse results. LRT maintained their protective role for the risk of death even when larger tumors or harmful clinical conditions like vascular invasion were investigated. It is difficult to definitively clarify if the LRT only select low-risk HCC, or if their ability of tumor burden zeroing should also have some impact regarding survival improvement. It is clear that the response after LRT is a robust predictor of post-LT course. A recent large multicentric European study based on 2103 HCC patients identified the poor radiological response after LRT as one of the most important predictors for the risk of low intention-to-treat benefit after </w:t>
      </w:r>
      <w:proofErr w:type="gramStart"/>
      <w:r w:rsidRPr="00EE0E45">
        <w:rPr>
          <w:rFonts w:ascii="Book Antiqua" w:hAnsi="Book Antiqua"/>
          <w:lang w:val="en-GB"/>
        </w:rPr>
        <w:t>transplant</w:t>
      </w:r>
      <w:r w:rsidRPr="00EE0E45">
        <w:rPr>
          <w:rFonts w:ascii="Book Antiqua" w:hAnsi="Book Antiqua"/>
          <w:vertAlign w:val="superscript"/>
          <w:lang w:val="en-GB"/>
        </w:rPr>
        <w:t>[</w:t>
      </w:r>
      <w:proofErr w:type="gramEnd"/>
      <w:r w:rsidR="007D5FBF" w:rsidRPr="00EE0E45">
        <w:rPr>
          <w:rFonts w:ascii="Book Antiqua" w:hAnsi="Book Antiqua"/>
          <w:vertAlign w:val="superscript"/>
          <w:lang w:val="en-GB"/>
        </w:rPr>
        <w:t>11</w:t>
      </w:r>
      <w:r w:rsidRPr="00EE0E45">
        <w:rPr>
          <w:rFonts w:ascii="Book Antiqua" w:hAnsi="Book Antiqua"/>
          <w:vertAlign w:val="superscript"/>
          <w:lang w:val="en-GB"/>
        </w:rPr>
        <w:t>]</w:t>
      </w:r>
      <w:r w:rsidRPr="00EE0E45">
        <w:rPr>
          <w:rFonts w:ascii="Book Antiqua" w:hAnsi="Book Antiqua"/>
          <w:lang w:val="en-GB"/>
        </w:rPr>
        <w:t xml:space="preserve">. Another multicentric European study performed on 276 cases all treated with LRT showed that an HCC-related remaining vital tissue in the main lesion </w:t>
      </w:r>
      <w:r w:rsidRPr="00EE0E45">
        <w:rPr>
          <w:rFonts w:ascii="Book Antiqua" w:hAnsi="Book Antiqua" w:hint="eastAsia"/>
          <w:lang w:val="en-GB"/>
        </w:rPr>
        <w:t>≥</w:t>
      </w:r>
      <w:r w:rsidR="00414F6E" w:rsidRPr="00EE0E45">
        <w:rPr>
          <w:rFonts w:ascii="Book Antiqua" w:hAnsi="Book Antiqua"/>
          <w:lang w:val="en-GB"/>
        </w:rPr>
        <w:t xml:space="preserve"> </w:t>
      </w:r>
      <w:r w:rsidRPr="00EE0E45">
        <w:rPr>
          <w:rFonts w:ascii="Book Antiqua" w:hAnsi="Book Antiqua"/>
          <w:lang w:val="en-GB"/>
        </w:rPr>
        <w:t xml:space="preserve">2 cm at pathological assessment after LT was a strong independent risk factor for </w:t>
      </w:r>
      <w:r w:rsidRPr="00EE0E45">
        <w:rPr>
          <w:rFonts w:ascii="Book Antiqua" w:hAnsi="Book Antiqua"/>
          <w:lang w:val="en-GB"/>
        </w:rPr>
        <w:lastRenderedPageBreak/>
        <w:t>post-LT recurrence (HR</w:t>
      </w:r>
      <w:r w:rsidR="00414F6E" w:rsidRPr="00EE0E45">
        <w:rPr>
          <w:rFonts w:ascii="Book Antiqua" w:hAnsi="Book Antiqua"/>
          <w:lang w:val="en-GB"/>
        </w:rPr>
        <w:t xml:space="preserve"> </w:t>
      </w:r>
      <w:r w:rsidRPr="00EE0E45">
        <w:rPr>
          <w:rFonts w:ascii="Book Antiqua" w:hAnsi="Book Antiqua"/>
          <w:lang w:val="en-GB"/>
        </w:rPr>
        <w:t>=</w:t>
      </w:r>
      <w:r w:rsidR="00414F6E" w:rsidRPr="00EE0E45">
        <w:rPr>
          <w:rFonts w:ascii="Book Antiqua" w:hAnsi="Book Antiqua"/>
          <w:lang w:val="en-GB"/>
        </w:rPr>
        <w:t xml:space="preserve"> </w:t>
      </w:r>
      <w:r w:rsidRPr="00EE0E45">
        <w:rPr>
          <w:rFonts w:ascii="Book Antiqua" w:hAnsi="Book Antiqua"/>
          <w:lang w:val="en-GB"/>
        </w:rPr>
        <w:t xml:space="preserve">5.6; </w:t>
      </w:r>
      <w:r w:rsidRPr="00EE0E45">
        <w:rPr>
          <w:rFonts w:ascii="Book Antiqua" w:hAnsi="Book Antiqua"/>
          <w:i/>
          <w:lang w:val="en-GB"/>
        </w:rPr>
        <w:t>P</w:t>
      </w:r>
      <w:r w:rsidR="00414F6E" w:rsidRPr="00EE0E45">
        <w:rPr>
          <w:rFonts w:ascii="Book Antiqua" w:hAnsi="Book Antiqua"/>
          <w:lang w:val="en-GB"/>
        </w:rPr>
        <w:t xml:space="preserve"> </w:t>
      </w:r>
      <w:r w:rsidRPr="00EE0E45">
        <w:rPr>
          <w:rFonts w:ascii="Book Antiqua" w:hAnsi="Book Antiqua"/>
          <w:lang w:val="en-GB"/>
        </w:rPr>
        <w:t>&lt; 0.001)</w:t>
      </w:r>
      <w:r w:rsidRPr="00EE0E45">
        <w:rPr>
          <w:rFonts w:ascii="Book Antiqua" w:hAnsi="Book Antiqua"/>
          <w:vertAlign w:val="superscript"/>
          <w:lang w:val="en-GB"/>
        </w:rPr>
        <w:t>[</w:t>
      </w:r>
      <w:r w:rsidR="007D5FBF" w:rsidRPr="00EE0E45">
        <w:rPr>
          <w:rFonts w:ascii="Book Antiqua" w:hAnsi="Book Antiqua"/>
          <w:vertAlign w:val="superscript"/>
          <w:lang w:val="en-GB"/>
        </w:rPr>
        <w:t>12</w:t>
      </w:r>
      <w:r w:rsidRPr="00EE0E45">
        <w:rPr>
          <w:rFonts w:ascii="Book Antiqua" w:hAnsi="Book Antiqua"/>
          <w:vertAlign w:val="superscript"/>
          <w:lang w:val="en-GB"/>
        </w:rPr>
        <w:t>]</w:t>
      </w:r>
      <w:r w:rsidRPr="00EE0E45">
        <w:rPr>
          <w:rFonts w:ascii="Book Antiqua" w:hAnsi="Book Antiqua"/>
          <w:lang w:val="en-GB"/>
        </w:rPr>
        <w:t xml:space="preserve">. All of these results have been positively recognized by the recent </w:t>
      </w:r>
      <w:r w:rsidR="00B95E62" w:rsidRPr="00EE0E45">
        <w:rPr>
          <w:rFonts w:ascii="Book Antiqua" w:hAnsi="Book Antiqua"/>
        </w:rPr>
        <w:t>European Association for the Study of the Liver</w:t>
      </w:r>
      <w:r w:rsidR="00B95E62" w:rsidRPr="00EE0E45">
        <w:rPr>
          <w:rFonts w:ascii="Book Antiqua" w:hAnsi="Book Antiqua"/>
          <w:lang w:val="en-GB"/>
        </w:rPr>
        <w:t xml:space="preserve"> (</w:t>
      </w:r>
      <w:r w:rsidRPr="00EE0E45">
        <w:rPr>
          <w:rFonts w:ascii="Book Antiqua" w:hAnsi="Book Antiqua"/>
          <w:lang w:val="en-GB"/>
        </w:rPr>
        <w:t>EASL</w:t>
      </w:r>
      <w:r w:rsidR="00B95E62" w:rsidRPr="00EE0E45">
        <w:rPr>
          <w:rFonts w:ascii="Book Antiqua" w:hAnsi="Book Antiqua"/>
          <w:lang w:val="en-GB"/>
        </w:rPr>
        <w:t>)</w:t>
      </w:r>
      <w:r w:rsidRPr="00EE0E45">
        <w:rPr>
          <w:rFonts w:ascii="Book Antiqua" w:hAnsi="Book Antiqua"/>
          <w:lang w:val="en-GB"/>
        </w:rPr>
        <w:t xml:space="preserve"> guidelines, in which it is stated that “in LT candidates with HCC, the use of pre-transplant (neoadjuvant) loco-regional therapies is recommended if feasible, as it reduces the risk of pre-LT drop-out and aims at lowering post-LT recurrence – particularly when complete or partial tumour response are achieved</w:t>
      </w:r>
      <w:proofErr w:type="gramStart"/>
      <w:r w:rsidRPr="00EE0E45">
        <w:rPr>
          <w:rFonts w:ascii="Book Antiqua" w:hAnsi="Book Antiqua"/>
          <w:lang w:val="en-GB"/>
        </w:rPr>
        <w:t>”</w:t>
      </w:r>
      <w:r w:rsidRPr="00EE0E45">
        <w:rPr>
          <w:rFonts w:ascii="Book Antiqua" w:hAnsi="Book Antiqua"/>
          <w:vertAlign w:val="superscript"/>
          <w:lang w:val="en-GB"/>
        </w:rPr>
        <w:t>[</w:t>
      </w:r>
      <w:proofErr w:type="gramEnd"/>
      <w:r w:rsidR="007D5FBF" w:rsidRPr="00EE0E45">
        <w:rPr>
          <w:rFonts w:ascii="Book Antiqua" w:hAnsi="Book Antiqua"/>
          <w:vertAlign w:val="superscript"/>
          <w:lang w:val="en-GB"/>
        </w:rPr>
        <w:t>13</w:t>
      </w:r>
      <w:r w:rsidRPr="00EE0E45">
        <w:rPr>
          <w:rFonts w:ascii="Book Antiqua" w:hAnsi="Book Antiqua"/>
          <w:vertAlign w:val="superscript"/>
          <w:lang w:val="en-GB"/>
        </w:rPr>
        <w:t>]</w:t>
      </w:r>
      <w:r w:rsidRPr="00EE0E45">
        <w:rPr>
          <w:rFonts w:ascii="Book Antiqua" w:hAnsi="Book Antiqua"/>
          <w:lang w:val="en-GB"/>
        </w:rPr>
        <w:t xml:space="preserve">. Unfortunately, although the strength of recommendation for this statement is strong, the scientific evidence is low, clearly underlining the lack of prospectively designed studies. More researchers are needed, with the intent to better explore the role of LRT concerning intention-to-treat survivals. </w:t>
      </w:r>
    </w:p>
    <w:p w14:paraId="59A308A2" w14:textId="60E538F3" w:rsidR="00022B34" w:rsidRPr="00EE0E45" w:rsidRDefault="00414F6E" w:rsidP="00EE0E45">
      <w:pPr>
        <w:adjustRightInd w:val="0"/>
        <w:snapToGrid w:val="0"/>
        <w:spacing w:line="360" w:lineRule="auto"/>
        <w:jc w:val="both"/>
        <w:rPr>
          <w:rFonts w:ascii="Book Antiqua" w:hAnsi="Book Antiqua"/>
          <w:bCs/>
          <w:lang w:val="en-GB"/>
        </w:rPr>
      </w:pPr>
      <w:bookmarkStart w:id="48" w:name="_Hlk518031657"/>
      <w:r w:rsidRPr="00EE0E45">
        <w:rPr>
          <w:rFonts w:ascii="Book Antiqua" w:hAnsi="Book Antiqua"/>
          <w:bCs/>
          <w:lang w:val="en-GB"/>
        </w:rPr>
        <w:t xml:space="preserve">  </w:t>
      </w:r>
      <w:r w:rsidR="00022B34" w:rsidRPr="00EE0E45">
        <w:rPr>
          <w:rFonts w:ascii="Book Antiqua" w:hAnsi="Book Antiqua"/>
          <w:bCs/>
          <w:lang w:val="en-GB"/>
        </w:rPr>
        <w:t>Moreover, we should remember the critical impact that local allocation rules and waiting time duration may play on the role and the effect of LRT. As an example, in the U</w:t>
      </w:r>
      <w:r w:rsidR="00B95E62" w:rsidRPr="00EE0E45">
        <w:rPr>
          <w:rFonts w:ascii="Book Antiqua" w:hAnsi="Book Antiqua"/>
          <w:bCs/>
          <w:lang w:val="en-GB"/>
        </w:rPr>
        <w:t>nited States</w:t>
      </w:r>
      <w:r w:rsidR="00022B34" w:rsidRPr="00EE0E45">
        <w:rPr>
          <w:rFonts w:ascii="Book Antiqua" w:hAnsi="Book Antiqua"/>
          <w:bCs/>
          <w:lang w:val="en-GB"/>
        </w:rPr>
        <w:t xml:space="preserve"> most HCC patients wait for at least six months from the diagnosis before having the opportunity to be transplanted. More studies also focused on these aspects are surely needed. </w:t>
      </w:r>
    </w:p>
    <w:bookmarkEnd w:id="48"/>
    <w:p w14:paraId="7C2F8685" w14:textId="77777777" w:rsidR="00414F6E" w:rsidRPr="00EE0E45" w:rsidRDefault="00414F6E" w:rsidP="002A5553">
      <w:pPr>
        <w:adjustRightInd w:val="0"/>
        <w:snapToGrid w:val="0"/>
        <w:spacing w:line="360" w:lineRule="auto"/>
        <w:jc w:val="both"/>
        <w:rPr>
          <w:rFonts w:ascii="Book Antiqua" w:hAnsi="Book Antiqua"/>
          <w:b/>
          <w:lang w:val="fr-FR"/>
        </w:rPr>
      </w:pPr>
      <w:r w:rsidRPr="00EE0E45">
        <w:rPr>
          <w:rFonts w:ascii="Book Antiqua" w:hAnsi="Book Antiqua"/>
          <w:b/>
          <w:lang w:val="fr-FR"/>
        </w:rPr>
        <w:br w:type="page"/>
      </w:r>
    </w:p>
    <w:p w14:paraId="464895A0" w14:textId="77777777" w:rsidR="00C6230B" w:rsidRPr="00EE0E45" w:rsidRDefault="00C6230B" w:rsidP="00EE0E45">
      <w:pPr>
        <w:adjustRightInd w:val="0"/>
        <w:snapToGrid w:val="0"/>
        <w:spacing w:line="360" w:lineRule="auto"/>
        <w:jc w:val="both"/>
        <w:rPr>
          <w:rFonts w:ascii="Book Antiqua" w:hAnsi="Book Antiqua"/>
          <w:b/>
          <w:lang w:val="fr-FR"/>
        </w:rPr>
      </w:pPr>
      <w:r w:rsidRPr="00EE0E45">
        <w:rPr>
          <w:rFonts w:ascii="Book Antiqua" w:hAnsi="Book Antiqua"/>
          <w:b/>
          <w:lang w:val="fr-FR"/>
        </w:rPr>
        <w:lastRenderedPageBreak/>
        <w:t>REFERENCES</w:t>
      </w:r>
    </w:p>
    <w:p w14:paraId="69A0F7F5" w14:textId="77777777" w:rsidR="00FE7688" w:rsidRPr="00EE0E45" w:rsidRDefault="00FE7688" w:rsidP="00EE0E45">
      <w:pPr>
        <w:adjustRightInd w:val="0"/>
        <w:snapToGrid w:val="0"/>
        <w:spacing w:line="360" w:lineRule="auto"/>
        <w:jc w:val="both"/>
        <w:rPr>
          <w:rFonts w:ascii="Book Antiqua" w:hAnsi="Book Antiqua"/>
        </w:rPr>
      </w:pPr>
      <w:r w:rsidRPr="00EE0E45">
        <w:rPr>
          <w:rFonts w:ascii="Book Antiqua" w:hAnsi="Book Antiqua"/>
        </w:rPr>
        <w:t>1 </w:t>
      </w:r>
      <w:r w:rsidRPr="00EE0E45">
        <w:rPr>
          <w:rFonts w:ascii="Book Antiqua" w:hAnsi="Book Antiqua"/>
          <w:b/>
          <w:bCs/>
        </w:rPr>
        <w:t>Lai Q</w:t>
      </w:r>
      <w:r w:rsidRPr="00EE0E45">
        <w:rPr>
          <w:rFonts w:ascii="Book Antiqua" w:hAnsi="Book Antiqua"/>
        </w:rPr>
        <w:t>, Lerut JP. Hepatocellular cancer: how to expand safely inclusion criteria for liver transplantation. </w:t>
      </w:r>
      <w:r w:rsidRPr="00EE0E45">
        <w:rPr>
          <w:rFonts w:ascii="Book Antiqua" w:hAnsi="Book Antiqua"/>
          <w:i/>
          <w:iCs/>
        </w:rPr>
        <w:t>Curr Opin Organ Transplant</w:t>
      </w:r>
      <w:r w:rsidRPr="00EE0E45">
        <w:rPr>
          <w:rFonts w:ascii="Book Antiqua" w:hAnsi="Book Antiqua"/>
        </w:rPr>
        <w:t> 2014; </w:t>
      </w:r>
      <w:r w:rsidRPr="00EE0E45">
        <w:rPr>
          <w:rFonts w:ascii="Book Antiqua" w:hAnsi="Book Antiqua"/>
          <w:b/>
          <w:bCs/>
        </w:rPr>
        <w:t>19</w:t>
      </w:r>
      <w:r w:rsidRPr="00EE0E45">
        <w:rPr>
          <w:rFonts w:ascii="Book Antiqua" w:hAnsi="Book Antiqua"/>
        </w:rPr>
        <w:t>: 229-234 [PMID: 24811435 DOI: 10.1097/MOT.0000000000000085]</w:t>
      </w:r>
    </w:p>
    <w:p w14:paraId="5F55743A" w14:textId="77777777" w:rsidR="00FE7688" w:rsidRPr="00EE0E45" w:rsidRDefault="00FE7688" w:rsidP="00EE0E45">
      <w:pPr>
        <w:adjustRightInd w:val="0"/>
        <w:snapToGrid w:val="0"/>
        <w:spacing w:line="360" w:lineRule="auto"/>
        <w:jc w:val="both"/>
        <w:rPr>
          <w:rFonts w:ascii="Book Antiqua" w:hAnsi="Book Antiqua"/>
        </w:rPr>
      </w:pPr>
      <w:r w:rsidRPr="00EE0E45">
        <w:rPr>
          <w:rFonts w:ascii="Book Antiqua" w:hAnsi="Book Antiqua"/>
        </w:rPr>
        <w:t>2 </w:t>
      </w:r>
      <w:r w:rsidRPr="00EE0E45">
        <w:rPr>
          <w:rFonts w:ascii="Book Antiqua" w:hAnsi="Book Antiqua"/>
          <w:b/>
          <w:bCs/>
        </w:rPr>
        <w:t>Lai Q</w:t>
      </w:r>
      <w:r w:rsidRPr="00EE0E45">
        <w:rPr>
          <w:rFonts w:ascii="Book Antiqua" w:hAnsi="Book Antiqua"/>
        </w:rPr>
        <w:t>, Melandro F, Levi Sandri GB, Mennini G, Corradini SG, Merli M, Berloco PB, Rossi M. Use of elderly donors for liver transplantation: has the limit been reached? </w:t>
      </w:r>
      <w:r w:rsidRPr="00EE0E45">
        <w:rPr>
          <w:rFonts w:ascii="Book Antiqua" w:hAnsi="Book Antiqua"/>
          <w:i/>
          <w:iCs/>
        </w:rPr>
        <w:t>J Gastrointestin Liver Dis</w:t>
      </w:r>
      <w:r w:rsidRPr="00EE0E45">
        <w:rPr>
          <w:rFonts w:ascii="Book Antiqua" w:hAnsi="Book Antiqua"/>
        </w:rPr>
        <w:t> 2011; </w:t>
      </w:r>
      <w:r w:rsidRPr="00EE0E45">
        <w:rPr>
          <w:rFonts w:ascii="Book Antiqua" w:hAnsi="Book Antiqua"/>
          <w:b/>
          <w:bCs/>
        </w:rPr>
        <w:t>20</w:t>
      </w:r>
      <w:r w:rsidRPr="00EE0E45">
        <w:rPr>
          <w:rFonts w:ascii="Book Antiqua" w:hAnsi="Book Antiqua"/>
        </w:rPr>
        <w:t>: 383-387 [PMID: 22187704]</w:t>
      </w:r>
    </w:p>
    <w:p w14:paraId="6C58C96E" w14:textId="77777777" w:rsidR="00FE7688" w:rsidRPr="00EE0E45" w:rsidRDefault="00FE7688" w:rsidP="00EE0E45">
      <w:pPr>
        <w:adjustRightInd w:val="0"/>
        <w:snapToGrid w:val="0"/>
        <w:spacing w:line="360" w:lineRule="auto"/>
        <w:jc w:val="both"/>
        <w:rPr>
          <w:rFonts w:ascii="Book Antiqua" w:hAnsi="Book Antiqua"/>
        </w:rPr>
      </w:pPr>
      <w:r w:rsidRPr="00EE0E45">
        <w:rPr>
          <w:rFonts w:ascii="Book Antiqua" w:hAnsi="Book Antiqua"/>
        </w:rPr>
        <w:t>3 </w:t>
      </w:r>
      <w:r w:rsidRPr="00EE0E45">
        <w:rPr>
          <w:rFonts w:ascii="Book Antiqua" w:hAnsi="Book Antiqua"/>
          <w:b/>
          <w:bCs/>
        </w:rPr>
        <w:t>Mehta N</w:t>
      </w:r>
      <w:r w:rsidRPr="00EE0E45">
        <w:rPr>
          <w:rFonts w:ascii="Book Antiqua" w:hAnsi="Book Antiqua"/>
        </w:rPr>
        <w:t>, Heimbach J, Lee D, Dodge JL, Harnois D, Burns J, Sanchez W, Roberts JP, Yao FY. Wait Time of Less Than 6 and Greater Than 18 Months Predicts Hepatocellular Carcinoma Recurrence After Liver Transplantation: Proposing a Wait Time "Sweet Spot". </w:t>
      </w:r>
      <w:r w:rsidRPr="00EE0E45">
        <w:rPr>
          <w:rFonts w:ascii="Book Antiqua" w:hAnsi="Book Antiqua"/>
          <w:i/>
          <w:iCs/>
        </w:rPr>
        <w:t>Transplantation</w:t>
      </w:r>
      <w:r w:rsidRPr="00EE0E45">
        <w:rPr>
          <w:rFonts w:ascii="Book Antiqua" w:hAnsi="Book Antiqua"/>
        </w:rPr>
        <w:t> 2017; </w:t>
      </w:r>
      <w:r w:rsidRPr="00EE0E45">
        <w:rPr>
          <w:rFonts w:ascii="Book Antiqua" w:hAnsi="Book Antiqua"/>
          <w:b/>
          <w:bCs/>
        </w:rPr>
        <w:t>101</w:t>
      </w:r>
      <w:r w:rsidRPr="00EE0E45">
        <w:rPr>
          <w:rFonts w:ascii="Book Antiqua" w:hAnsi="Book Antiqua"/>
        </w:rPr>
        <w:t>: 2071-2078 [PMID: 28353492 DOI: 10.1097/TP.0000000000001752]</w:t>
      </w:r>
    </w:p>
    <w:p w14:paraId="25348489" w14:textId="3D7F1EB5" w:rsidR="00FE7688" w:rsidRPr="00EE0E45" w:rsidRDefault="00FE7688" w:rsidP="00EE0E45">
      <w:pPr>
        <w:adjustRightInd w:val="0"/>
        <w:snapToGrid w:val="0"/>
        <w:spacing w:line="360" w:lineRule="auto"/>
        <w:jc w:val="both"/>
        <w:rPr>
          <w:rFonts w:ascii="Book Antiqua" w:hAnsi="Book Antiqua"/>
        </w:rPr>
      </w:pPr>
      <w:r w:rsidRPr="00EE0E45">
        <w:rPr>
          <w:rFonts w:ascii="Book Antiqua" w:hAnsi="Book Antiqua"/>
        </w:rPr>
        <w:t>4 </w:t>
      </w:r>
      <w:r w:rsidRPr="00EE0E45">
        <w:rPr>
          <w:rFonts w:ascii="Book Antiqua" w:hAnsi="Book Antiqua"/>
          <w:b/>
          <w:bCs/>
        </w:rPr>
        <w:t>Marrero JA</w:t>
      </w:r>
      <w:r w:rsidRPr="00EE0E45">
        <w:rPr>
          <w:rFonts w:ascii="Book Antiqua" w:hAnsi="Book Antiqua"/>
        </w:rPr>
        <w:t>, Kulik LM, Sirlin C, Zhu AX, Finn RS, Abecassis MM, Roberts LR, Heimbach JK. Diagnosis, Staging and Management of Hepatocellular Carcinoma: 2018 Practice Guidance by the American Association for the Study of Liver Diseases. </w:t>
      </w:r>
      <w:bookmarkStart w:id="49" w:name="OLE_LINK12"/>
      <w:bookmarkStart w:id="50" w:name="OLE_LINK13"/>
      <w:r w:rsidRPr="00EE0E45">
        <w:rPr>
          <w:rFonts w:ascii="Book Antiqua" w:hAnsi="Book Antiqua"/>
          <w:i/>
          <w:iCs/>
        </w:rPr>
        <w:t>Hepatology</w:t>
      </w:r>
      <w:bookmarkEnd w:id="49"/>
      <w:bookmarkEnd w:id="50"/>
      <w:r w:rsidRPr="00EE0E45">
        <w:rPr>
          <w:rFonts w:ascii="Book Antiqua" w:hAnsi="Book Antiqua"/>
        </w:rPr>
        <w:t> 2018; </w:t>
      </w:r>
      <w:r w:rsidR="000B53DD" w:rsidRPr="00EE0E45">
        <w:rPr>
          <w:rFonts w:ascii="Book Antiqua" w:hAnsi="Book Antiqua"/>
        </w:rPr>
        <w:t>Epub ahead of print</w:t>
      </w:r>
      <w:r w:rsidRPr="00EE0E45">
        <w:rPr>
          <w:rFonts w:ascii="Book Antiqua" w:hAnsi="Book Antiqua"/>
        </w:rPr>
        <w:t xml:space="preserve"> [</w:t>
      </w:r>
      <w:bookmarkStart w:id="51" w:name="OLE_LINK22"/>
      <w:bookmarkStart w:id="52" w:name="OLE_LINK23"/>
      <w:r w:rsidRPr="00EE0E45">
        <w:rPr>
          <w:rFonts w:ascii="Book Antiqua" w:hAnsi="Book Antiqua"/>
        </w:rPr>
        <w:t>PMID: 29624699</w:t>
      </w:r>
      <w:bookmarkEnd w:id="51"/>
      <w:bookmarkEnd w:id="52"/>
      <w:r w:rsidRPr="00EE0E45">
        <w:rPr>
          <w:rFonts w:ascii="Book Antiqua" w:hAnsi="Book Antiqua"/>
        </w:rPr>
        <w:t xml:space="preserve"> DOI: 10.1002/hep.29913]</w:t>
      </w:r>
    </w:p>
    <w:p w14:paraId="6ACD541C" w14:textId="77777777" w:rsidR="00FE7688" w:rsidRPr="00EE0E45" w:rsidRDefault="00FE7688" w:rsidP="00EE0E45">
      <w:pPr>
        <w:adjustRightInd w:val="0"/>
        <w:snapToGrid w:val="0"/>
        <w:spacing w:line="360" w:lineRule="auto"/>
        <w:jc w:val="both"/>
        <w:rPr>
          <w:rFonts w:ascii="Book Antiqua" w:hAnsi="Book Antiqua"/>
        </w:rPr>
      </w:pPr>
      <w:r w:rsidRPr="00EE0E45">
        <w:rPr>
          <w:rFonts w:ascii="Book Antiqua" w:hAnsi="Book Antiqua"/>
        </w:rPr>
        <w:t>5 </w:t>
      </w:r>
      <w:r w:rsidRPr="00EE0E45">
        <w:rPr>
          <w:rFonts w:ascii="Book Antiqua" w:hAnsi="Book Antiqua"/>
          <w:b/>
          <w:bCs/>
        </w:rPr>
        <w:t>Agopian VG</w:t>
      </w:r>
      <w:r w:rsidRPr="00EE0E45">
        <w:rPr>
          <w:rFonts w:ascii="Book Antiqua" w:hAnsi="Book Antiqua"/>
        </w:rPr>
        <w:t xml:space="preserve">, Harlander-Locke MP, Ruiz RM, Klintmalm GB, Senguttuvan S, Florman SS, Haydel B, Hoteit M, Levine MH, Lee DD, Taner CB, Verna EC, Halazun KJ, Abdelmessih R, Tevar AD, Humar A, Aucejo F, Chapman WC, Vachharajani N, Nguyen MH, Melcher ML, Nydam TL, Mobley C, Ghobrial RM, Amundsen B, Markmann JF, Langnas AN, Carney CA, Berumen J, Hemming AW, Sudan DL, Hong JC, Kim J, Zimmerman MA, Rana A, Kueht ML, Jones CM, Fishbein TM, Busuttil RW. Impact of Pretransplant Bridging Locoregional Therapy for Patients </w:t>
      </w:r>
      <w:proofErr w:type="gramStart"/>
      <w:r w:rsidRPr="00EE0E45">
        <w:rPr>
          <w:rFonts w:ascii="Book Antiqua" w:hAnsi="Book Antiqua"/>
        </w:rPr>
        <w:t>With</w:t>
      </w:r>
      <w:proofErr w:type="gramEnd"/>
      <w:r w:rsidRPr="00EE0E45">
        <w:rPr>
          <w:rFonts w:ascii="Book Antiqua" w:hAnsi="Book Antiqua"/>
        </w:rPr>
        <w:t xml:space="preserve"> Hepatocellular Carcinoma Within Milan Criteria Undergoing Liver Transplantation: Analysis of 3601 Patients From the US Multicenter HCC Transplant Consortium. </w:t>
      </w:r>
      <w:r w:rsidRPr="00EE0E45">
        <w:rPr>
          <w:rFonts w:ascii="Book Antiqua" w:hAnsi="Book Antiqua"/>
          <w:i/>
          <w:iCs/>
        </w:rPr>
        <w:t>Ann Surg</w:t>
      </w:r>
      <w:r w:rsidRPr="00EE0E45">
        <w:rPr>
          <w:rFonts w:ascii="Book Antiqua" w:hAnsi="Book Antiqua"/>
        </w:rPr>
        <w:t> 2017; </w:t>
      </w:r>
      <w:r w:rsidRPr="00EE0E45">
        <w:rPr>
          <w:rFonts w:ascii="Book Antiqua" w:hAnsi="Book Antiqua"/>
          <w:b/>
          <w:bCs/>
        </w:rPr>
        <w:t>266</w:t>
      </w:r>
      <w:r w:rsidRPr="00EE0E45">
        <w:rPr>
          <w:rFonts w:ascii="Book Antiqua" w:hAnsi="Book Antiqua"/>
        </w:rPr>
        <w:t>: 525-535 [PMID: 28654545 DOI: 10.1097/SLA.0000000000002381]</w:t>
      </w:r>
    </w:p>
    <w:p w14:paraId="622095EE" w14:textId="77777777" w:rsidR="00FE7688" w:rsidRPr="00EE0E45" w:rsidRDefault="00FE7688" w:rsidP="00EE0E45">
      <w:pPr>
        <w:adjustRightInd w:val="0"/>
        <w:snapToGrid w:val="0"/>
        <w:spacing w:line="360" w:lineRule="auto"/>
        <w:jc w:val="both"/>
        <w:rPr>
          <w:rFonts w:ascii="Book Antiqua" w:hAnsi="Book Antiqua"/>
        </w:rPr>
      </w:pPr>
      <w:r w:rsidRPr="00EE0E45">
        <w:rPr>
          <w:rFonts w:ascii="Book Antiqua" w:hAnsi="Book Antiqua"/>
        </w:rPr>
        <w:t>6 </w:t>
      </w:r>
      <w:r w:rsidRPr="00EE0E45">
        <w:rPr>
          <w:rFonts w:ascii="Book Antiqua" w:hAnsi="Book Antiqua"/>
          <w:b/>
          <w:bCs/>
        </w:rPr>
        <w:t>Kulik L</w:t>
      </w:r>
      <w:r w:rsidRPr="00EE0E45">
        <w:rPr>
          <w:rFonts w:ascii="Book Antiqua" w:hAnsi="Book Antiqua"/>
        </w:rPr>
        <w:t>, Heimbach JK, Zaiem F, Almasri J, Prokop LJ, Wang Z, Murad MH, Mohammed K. Therapies for patients with hepatocellular carcinoma awaiting liver transplantation: A systematic review and meta-analysis. </w:t>
      </w:r>
      <w:r w:rsidRPr="00EE0E45">
        <w:rPr>
          <w:rFonts w:ascii="Book Antiqua" w:hAnsi="Book Antiqua"/>
          <w:i/>
          <w:iCs/>
        </w:rPr>
        <w:t>Hepatology</w:t>
      </w:r>
      <w:r w:rsidRPr="00EE0E45">
        <w:rPr>
          <w:rFonts w:ascii="Book Antiqua" w:hAnsi="Book Antiqua"/>
        </w:rPr>
        <w:t> 2018; </w:t>
      </w:r>
      <w:r w:rsidRPr="00EE0E45">
        <w:rPr>
          <w:rFonts w:ascii="Book Antiqua" w:hAnsi="Book Antiqua"/>
          <w:b/>
          <w:bCs/>
        </w:rPr>
        <w:t>67</w:t>
      </w:r>
      <w:r w:rsidRPr="00EE0E45">
        <w:rPr>
          <w:rFonts w:ascii="Book Antiqua" w:hAnsi="Book Antiqua"/>
        </w:rPr>
        <w:t>: 381-400 [PMID: 28859222 DOI: 10.1002/hep.29485]</w:t>
      </w:r>
    </w:p>
    <w:p w14:paraId="1724AAB3" w14:textId="77777777" w:rsidR="00FE7688" w:rsidRPr="00EE0E45" w:rsidRDefault="00FE7688" w:rsidP="00EE0E45">
      <w:pPr>
        <w:adjustRightInd w:val="0"/>
        <w:snapToGrid w:val="0"/>
        <w:spacing w:line="360" w:lineRule="auto"/>
        <w:jc w:val="both"/>
        <w:rPr>
          <w:rFonts w:ascii="Book Antiqua" w:hAnsi="Book Antiqua"/>
        </w:rPr>
      </w:pPr>
      <w:r w:rsidRPr="00EE0E45">
        <w:rPr>
          <w:rFonts w:ascii="Book Antiqua" w:hAnsi="Book Antiqua"/>
        </w:rPr>
        <w:t>7 </w:t>
      </w:r>
      <w:r w:rsidRPr="00EE0E45">
        <w:rPr>
          <w:rFonts w:ascii="Book Antiqua" w:hAnsi="Book Antiqua"/>
          <w:b/>
          <w:bCs/>
        </w:rPr>
        <w:t>Lai Q</w:t>
      </w:r>
      <w:r w:rsidRPr="00EE0E45">
        <w:rPr>
          <w:rFonts w:ascii="Book Antiqua" w:hAnsi="Book Antiqua"/>
        </w:rPr>
        <w:t xml:space="preserve">, Nicolini D, Inostroza Nunez M, Iesari S, Goffette P, Agostini A, Giovagnoni A, Vivarelli M, Lerut J. A Novel Prognostic Index in Patients </w:t>
      </w:r>
      <w:proofErr w:type="gramStart"/>
      <w:r w:rsidRPr="00EE0E45">
        <w:rPr>
          <w:rFonts w:ascii="Book Antiqua" w:hAnsi="Book Antiqua"/>
        </w:rPr>
        <w:t>With</w:t>
      </w:r>
      <w:proofErr w:type="gramEnd"/>
      <w:r w:rsidRPr="00EE0E45">
        <w:rPr>
          <w:rFonts w:ascii="Book Antiqua" w:hAnsi="Book Antiqua"/>
        </w:rPr>
        <w:t xml:space="preserve"> Hepatocellular Cancer </w:t>
      </w:r>
      <w:r w:rsidRPr="00EE0E45">
        <w:rPr>
          <w:rFonts w:ascii="Book Antiqua" w:hAnsi="Book Antiqua"/>
        </w:rPr>
        <w:lastRenderedPageBreak/>
        <w:t>Waiting for Liver Transplantation: Time-Radiological-response-Alpha-fetoprotein-INflammation (TRAIN) Score. </w:t>
      </w:r>
      <w:r w:rsidRPr="00EE0E45">
        <w:rPr>
          <w:rFonts w:ascii="Book Antiqua" w:hAnsi="Book Antiqua"/>
          <w:i/>
          <w:iCs/>
        </w:rPr>
        <w:t>Ann Surg</w:t>
      </w:r>
      <w:r w:rsidRPr="00EE0E45">
        <w:rPr>
          <w:rFonts w:ascii="Book Antiqua" w:hAnsi="Book Antiqua"/>
        </w:rPr>
        <w:t> 2016; </w:t>
      </w:r>
      <w:r w:rsidRPr="00EE0E45">
        <w:rPr>
          <w:rFonts w:ascii="Book Antiqua" w:hAnsi="Book Antiqua"/>
          <w:b/>
          <w:bCs/>
        </w:rPr>
        <w:t>264</w:t>
      </w:r>
      <w:r w:rsidRPr="00EE0E45">
        <w:rPr>
          <w:rFonts w:ascii="Book Antiqua" w:hAnsi="Book Antiqua"/>
        </w:rPr>
        <w:t>: 787-796 [PMID: 27429025 DOI: 10.1097/SLA.0000000000001881]</w:t>
      </w:r>
    </w:p>
    <w:p w14:paraId="74B54355" w14:textId="77777777" w:rsidR="00FE7688" w:rsidRPr="00EE0E45" w:rsidRDefault="00FE7688" w:rsidP="00EE0E45">
      <w:pPr>
        <w:adjustRightInd w:val="0"/>
        <w:snapToGrid w:val="0"/>
        <w:spacing w:line="360" w:lineRule="auto"/>
        <w:jc w:val="both"/>
        <w:rPr>
          <w:rFonts w:ascii="Book Antiqua" w:hAnsi="Book Antiqua"/>
        </w:rPr>
      </w:pPr>
      <w:r w:rsidRPr="00EE0E45">
        <w:rPr>
          <w:rFonts w:ascii="Book Antiqua" w:hAnsi="Book Antiqua"/>
        </w:rPr>
        <w:t>8 </w:t>
      </w:r>
      <w:r w:rsidRPr="00EE0E45">
        <w:rPr>
          <w:rFonts w:ascii="Book Antiqua" w:hAnsi="Book Antiqua"/>
          <w:b/>
          <w:bCs/>
        </w:rPr>
        <w:t>Lai Q</w:t>
      </w:r>
      <w:r w:rsidRPr="00EE0E45">
        <w:rPr>
          <w:rFonts w:ascii="Book Antiqua" w:hAnsi="Book Antiqua"/>
        </w:rPr>
        <w:t>, Avolio AW, Graziadei I, Otto G, Rossi M, Tisone G, Goffette P, Vogel W, Pitton MB, Lerut J; European Hepatocellular Cancer Liver Transplant Study Group. Alpha-fetoprotein and modified response evaluation criteria in solid tumors progression after locoregional therapy as predictors of hepatocellular cancer recurrence and death after transplantation. </w:t>
      </w:r>
      <w:r w:rsidRPr="00EE0E45">
        <w:rPr>
          <w:rFonts w:ascii="Book Antiqua" w:hAnsi="Book Antiqua"/>
          <w:i/>
          <w:iCs/>
        </w:rPr>
        <w:t>Liver Transpl</w:t>
      </w:r>
      <w:r w:rsidRPr="00EE0E45">
        <w:rPr>
          <w:rFonts w:ascii="Book Antiqua" w:hAnsi="Book Antiqua"/>
        </w:rPr>
        <w:t> 2013; </w:t>
      </w:r>
      <w:r w:rsidRPr="00EE0E45">
        <w:rPr>
          <w:rFonts w:ascii="Book Antiqua" w:hAnsi="Book Antiqua"/>
          <w:b/>
          <w:bCs/>
        </w:rPr>
        <w:t>19</w:t>
      </w:r>
      <w:r w:rsidRPr="00EE0E45">
        <w:rPr>
          <w:rFonts w:ascii="Book Antiqua" w:hAnsi="Book Antiqua"/>
        </w:rPr>
        <w:t>: 1108-1118 [PMID: 23873764 DOI: 10.1002/lt.23706]</w:t>
      </w:r>
    </w:p>
    <w:p w14:paraId="68E4F775" w14:textId="77777777" w:rsidR="00FE7688" w:rsidRPr="00EE0E45" w:rsidRDefault="00FE7688" w:rsidP="00EE0E45">
      <w:pPr>
        <w:adjustRightInd w:val="0"/>
        <w:snapToGrid w:val="0"/>
        <w:spacing w:line="360" w:lineRule="auto"/>
        <w:jc w:val="both"/>
        <w:rPr>
          <w:rFonts w:ascii="Book Antiqua" w:hAnsi="Book Antiqua"/>
        </w:rPr>
      </w:pPr>
      <w:r w:rsidRPr="00EE0E45">
        <w:rPr>
          <w:rFonts w:ascii="Book Antiqua" w:hAnsi="Book Antiqua"/>
        </w:rPr>
        <w:t>9 </w:t>
      </w:r>
      <w:r w:rsidRPr="00EE0E45">
        <w:rPr>
          <w:rFonts w:ascii="Book Antiqua" w:hAnsi="Book Antiqua"/>
          <w:b/>
          <w:bCs/>
        </w:rPr>
        <w:t>Pommergaard HC</w:t>
      </w:r>
      <w:r w:rsidRPr="00EE0E45">
        <w:rPr>
          <w:rFonts w:ascii="Book Antiqua" w:hAnsi="Book Antiqua"/>
        </w:rPr>
        <w:t>, Rostved AA, Adam R, Thygesen LC, Salizzoni M, Gómez Bravo MA, Cherqui D, De Simone P, Boudjema K, Mazzaferro V, Soubrane O, García-Valdecasas JC, Fabregat Prous J, Pinna AD, O'Grady J, Karam V, Duvoux C, Rasmussen A; European Liver and Intestine Transplant Association (ELITA). Locoregional treatments before liver transplantation for hepatocellular carcinoma: a study from the European Liver Transplant Registry. </w:t>
      </w:r>
      <w:r w:rsidRPr="00EE0E45">
        <w:rPr>
          <w:rFonts w:ascii="Book Antiqua" w:hAnsi="Book Antiqua"/>
          <w:i/>
          <w:iCs/>
        </w:rPr>
        <w:t>Transpl Int</w:t>
      </w:r>
      <w:r w:rsidRPr="00EE0E45">
        <w:rPr>
          <w:rFonts w:ascii="Book Antiqua" w:hAnsi="Book Antiqua"/>
        </w:rPr>
        <w:t> 2018; </w:t>
      </w:r>
      <w:r w:rsidRPr="00EE0E45">
        <w:rPr>
          <w:rFonts w:ascii="Book Antiqua" w:hAnsi="Book Antiqua"/>
          <w:b/>
          <w:bCs/>
        </w:rPr>
        <w:t>31</w:t>
      </w:r>
      <w:r w:rsidRPr="00EE0E45">
        <w:rPr>
          <w:rFonts w:ascii="Book Antiqua" w:hAnsi="Book Antiqua"/>
        </w:rPr>
        <w:t>: 531-539 [PMID: 29380442 DOI: 10.1111/tri.13123]</w:t>
      </w:r>
    </w:p>
    <w:p w14:paraId="32F62CC7" w14:textId="77777777" w:rsidR="00FE7688" w:rsidRPr="00EE0E45" w:rsidRDefault="00FE7688" w:rsidP="00EE0E45">
      <w:pPr>
        <w:adjustRightInd w:val="0"/>
        <w:snapToGrid w:val="0"/>
        <w:spacing w:line="360" w:lineRule="auto"/>
        <w:jc w:val="both"/>
        <w:rPr>
          <w:rFonts w:ascii="Book Antiqua" w:hAnsi="Book Antiqua"/>
        </w:rPr>
      </w:pPr>
      <w:r w:rsidRPr="00EE0E45">
        <w:rPr>
          <w:rFonts w:ascii="Book Antiqua" w:hAnsi="Book Antiqua"/>
        </w:rPr>
        <w:t>10 </w:t>
      </w:r>
      <w:r w:rsidRPr="00EE0E45">
        <w:rPr>
          <w:rFonts w:ascii="Book Antiqua" w:hAnsi="Book Antiqua"/>
          <w:b/>
          <w:bCs/>
        </w:rPr>
        <w:t>Sneiders D</w:t>
      </w:r>
      <w:r w:rsidRPr="00EE0E45">
        <w:rPr>
          <w:rFonts w:ascii="Book Antiqua" w:hAnsi="Book Antiqua"/>
        </w:rPr>
        <w:t>, Houwen T, Pengel LHM, Polak WG, Dor FJMF, Hartog H. Systematic Review and Meta-Analysis of Posttransplant Hepatic Artery and Biliary Complications in Patients Treated With Transarterial Chemoembolization Before Liver Transplantation. </w:t>
      </w:r>
      <w:r w:rsidRPr="00EE0E45">
        <w:rPr>
          <w:rFonts w:ascii="Book Antiqua" w:hAnsi="Book Antiqua"/>
          <w:i/>
          <w:iCs/>
        </w:rPr>
        <w:t>Transplantation</w:t>
      </w:r>
      <w:r w:rsidRPr="00EE0E45">
        <w:rPr>
          <w:rFonts w:ascii="Book Antiqua" w:hAnsi="Book Antiqua"/>
        </w:rPr>
        <w:t> 2018; </w:t>
      </w:r>
      <w:r w:rsidRPr="00EE0E45">
        <w:rPr>
          <w:rFonts w:ascii="Book Antiqua" w:hAnsi="Book Antiqua"/>
          <w:b/>
          <w:bCs/>
        </w:rPr>
        <w:t>102</w:t>
      </w:r>
      <w:r w:rsidRPr="00EE0E45">
        <w:rPr>
          <w:rFonts w:ascii="Book Antiqua" w:hAnsi="Book Antiqua"/>
        </w:rPr>
        <w:t>: 88-96 [PMID: 28885493 DOI: 10.1097/TP.0000000000001936]</w:t>
      </w:r>
    </w:p>
    <w:p w14:paraId="2920B000" w14:textId="77777777" w:rsidR="00FE7688" w:rsidRPr="00EE0E45" w:rsidRDefault="00FE7688" w:rsidP="00EE0E45">
      <w:pPr>
        <w:adjustRightInd w:val="0"/>
        <w:snapToGrid w:val="0"/>
        <w:spacing w:line="360" w:lineRule="auto"/>
        <w:jc w:val="both"/>
        <w:rPr>
          <w:rFonts w:ascii="Book Antiqua" w:hAnsi="Book Antiqua"/>
        </w:rPr>
      </w:pPr>
      <w:r w:rsidRPr="00EE0E45">
        <w:rPr>
          <w:rFonts w:ascii="Book Antiqua" w:hAnsi="Book Antiqua"/>
        </w:rPr>
        <w:t>11 </w:t>
      </w:r>
      <w:r w:rsidRPr="00EE0E45">
        <w:rPr>
          <w:rFonts w:ascii="Book Antiqua" w:hAnsi="Book Antiqua"/>
          <w:b/>
          <w:bCs/>
        </w:rPr>
        <w:t>Lai Q</w:t>
      </w:r>
      <w:r w:rsidRPr="00EE0E45">
        <w:rPr>
          <w:rFonts w:ascii="Book Antiqua" w:hAnsi="Book Antiqua"/>
        </w:rPr>
        <w:t>, Vitale A, Iesari S, Finkenstedt A, Mennini G, Spoletini G, Hoppe-Lotichius M, Vennarecci G, Manzia TM, Nicolini D, Avolio AW, Frigo AC, Graziadei I, Rossi M, Tsochatzis E, Otto G, Ettorre GM, Tisone G, Vivarelli M, Agnes S, Cillo U, Lerut J; European Hepatocellular Cancer Liver Transplant Study Group. Intention-to-treat survival benefit of liver transplantation in patients with hepatocellular cancer. </w:t>
      </w:r>
      <w:r w:rsidRPr="00EE0E45">
        <w:rPr>
          <w:rFonts w:ascii="Book Antiqua" w:hAnsi="Book Antiqua"/>
          <w:i/>
          <w:iCs/>
        </w:rPr>
        <w:t>Hepatology</w:t>
      </w:r>
      <w:r w:rsidRPr="00EE0E45">
        <w:rPr>
          <w:rFonts w:ascii="Book Antiqua" w:hAnsi="Book Antiqua"/>
        </w:rPr>
        <w:t> 2017; </w:t>
      </w:r>
      <w:r w:rsidRPr="00EE0E45">
        <w:rPr>
          <w:rFonts w:ascii="Book Antiqua" w:hAnsi="Book Antiqua"/>
          <w:b/>
          <w:bCs/>
        </w:rPr>
        <w:t>66</w:t>
      </w:r>
      <w:r w:rsidRPr="00EE0E45">
        <w:rPr>
          <w:rFonts w:ascii="Book Antiqua" w:hAnsi="Book Antiqua"/>
        </w:rPr>
        <w:t>: 1910-1919 [PMID: 28653750 DOI: 10.1002/hep.29342]</w:t>
      </w:r>
    </w:p>
    <w:p w14:paraId="660CC471" w14:textId="7BBA36C1" w:rsidR="00FE7688" w:rsidRPr="00EE0E45" w:rsidRDefault="00FE7688" w:rsidP="00EE0E45">
      <w:pPr>
        <w:adjustRightInd w:val="0"/>
        <w:snapToGrid w:val="0"/>
        <w:spacing w:line="360" w:lineRule="auto"/>
        <w:jc w:val="both"/>
        <w:rPr>
          <w:rFonts w:ascii="Book Antiqua" w:hAnsi="Book Antiqua"/>
          <w:lang w:eastAsia="en-US"/>
        </w:rPr>
      </w:pPr>
      <w:r w:rsidRPr="00EE0E45">
        <w:rPr>
          <w:rFonts w:ascii="Book Antiqua" w:hAnsi="Book Antiqua"/>
        </w:rPr>
        <w:t>12 </w:t>
      </w:r>
      <w:r w:rsidRPr="00EE0E45">
        <w:rPr>
          <w:rFonts w:ascii="Book Antiqua" w:hAnsi="Book Antiqua"/>
          <w:b/>
          <w:bCs/>
        </w:rPr>
        <w:t>Manzia TM</w:t>
      </w:r>
      <w:r w:rsidRPr="00EE0E45">
        <w:rPr>
          <w:rFonts w:ascii="Book Antiqua" w:hAnsi="Book Antiqua"/>
        </w:rPr>
        <w:t>, Lai Q, Iesari S, Perera MTPR, Komuta M, Carvalheiro A, Shah T, Angelico R, Quaranta C, Nicolini D, Montalti R, Scarpelli M, Palmieri G, Orlacchio A, Vivarelli M, Angelico M, Lerut J, Tisone G. Impact of remnant vital tissue after locoregional treatment and liver transplant in hepatocellular cancer patients, a multicentre cohort study. </w:t>
      </w:r>
      <w:r w:rsidRPr="00EE0E45">
        <w:rPr>
          <w:rFonts w:ascii="Book Antiqua" w:hAnsi="Book Antiqua"/>
          <w:i/>
          <w:iCs/>
        </w:rPr>
        <w:t>Transpl Int</w:t>
      </w:r>
      <w:r w:rsidRPr="00EE0E45">
        <w:rPr>
          <w:rFonts w:ascii="Book Antiqua" w:hAnsi="Book Antiqua"/>
        </w:rPr>
        <w:t> 2018; </w:t>
      </w:r>
      <w:r w:rsidR="000B53DD" w:rsidRPr="00EE0E45">
        <w:rPr>
          <w:rFonts w:ascii="Book Antiqua" w:hAnsi="Book Antiqua"/>
          <w:lang w:eastAsia="en-US"/>
        </w:rPr>
        <w:t>Epub ahead of print</w:t>
      </w:r>
      <w:r w:rsidRPr="00EE0E45">
        <w:rPr>
          <w:rFonts w:ascii="Book Antiqua" w:hAnsi="Book Antiqua"/>
        </w:rPr>
        <w:t xml:space="preserve"> [PMID: 29572974 DOI: 10.1111/tri.13153]</w:t>
      </w:r>
    </w:p>
    <w:p w14:paraId="12D91818" w14:textId="79D17133" w:rsidR="00FE7688" w:rsidRPr="00EE0E45" w:rsidRDefault="00FE7688" w:rsidP="00EE0E45">
      <w:pPr>
        <w:adjustRightInd w:val="0"/>
        <w:snapToGrid w:val="0"/>
        <w:spacing w:line="360" w:lineRule="auto"/>
        <w:jc w:val="both"/>
        <w:rPr>
          <w:rFonts w:ascii="Book Antiqua" w:hAnsi="Book Antiqua"/>
        </w:rPr>
      </w:pPr>
      <w:r w:rsidRPr="00EE0E45">
        <w:rPr>
          <w:rFonts w:ascii="Book Antiqua" w:hAnsi="Book Antiqua"/>
        </w:rPr>
        <w:lastRenderedPageBreak/>
        <w:t>13 </w:t>
      </w:r>
      <w:r w:rsidRPr="00EE0E45">
        <w:rPr>
          <w:rFonts w:ascii="Book Antiqua" w:hAnsi="Book Antiqua"/>
          <w:b/>
          <w:bCs/>
        </w:rPr>
        <w:t>European Association for the Study of the Liver</w:t>
      </w:r>
      <w:r w:rsidRPr="00EE0E45">
        <w:rPr>
          <w:rFonts w:ascii="Book Antiqua" w:hAnsi="Book Antiqua"/>
        </w:rPr>
        <w:t xml:space="preserve">; </w:t>
      </w:r>
      <w:bookmarkStart w:id="53" w:name="OLE_LINK18"/>
      <w:bookmarkStart w:id="54" w:name="OLE_LINK19"/>
      <w:r w:rsidRPr="00EE0E45">
        <w:rPr>
          <w:rFonts w:ascii="Book Antiqua" w:hAnsi="Book Antiqua"/>
        </w:rPr>
        <w:t>European Association for the Study of the Liver</w:t>
      </w:r>
      <w:bookmarkEnd w:id="53"/>
      <w:bookmarkEnd w:id="54"/>
      <w:r w:rsidRPr="00EE0E45">
        <w:rPr>
          <w:rFonts w:ascii="Book Antiqua" w:hAnsi="Book Antiqua"/>
        </w:rPr>
        <w:t>. EASL Clinical Practice Guidelines: Management of hepatocellular carcinoma. </w:t>
      </w:r>
      <w:r w:rsidRPr="00EE0E45">
        <w:rPr>
          <w:rFonts w:ascii="Book Antiqua" w:hAnsi="Book Antiqua"/>
          <w:i/>
          <w:iCs/>
        </w:rPr>
        <w:t>J Hepatol</w:t>
      </w:r>
      <w:r w:rsidRPr="00EE0E45">
        <w:rPr>
          <w:rFonts w:ascii="Book Antiqua" w:hAnsi="Book Antiqua"/>
        </w:rPr>
        <w:t> 2018; </w:t>
      </w:r>
      <w:r w:rsidRPr="00EE0E45">
        <w:rPr>
          <w:rFonts w:ascii="Book Antiqua" w:hAnsi="Book Antiqua"/>
          <w:b/>
          <w:bCs/>
        </w:rPr>
        <w:t>69</w:t>
      </w:r>
      <w:r w:rsidRPr="00EE0E45">
        <w:rPr>
          <w:rFonts w:ascii="Book Antiqua" w:hAnsi="Book Antiqua"/>
        </w:rPr>
        <w:t>: 182-236 [PMID: 29628281 DOI: 10.1016/j.jhep.2018.03.019]</w:t>
      </w:r>
    </w:p>
    <w:p w14:paraId="2D7DF98E" w14:textId="77777777" w:rsidR="00FE7688" w:rsidRPr="00EE0E45" w:rsidRDefault="00FE7688" w:rsidP="002A5553">
      <w:pPr>
        <w:adjustRightInd w:val="0"/>
        <w:snapToGrid w:val="0"/>
        <w:spacing w:line="360" w:lineRule="auto"/>
        <w:jc w:val="both"/>
        <w:rPr>
          <w:rFonts w:ascii="Book Antiqua" w:hAnsi="Book Antiqua"/>
          <w:lang w:val="fr-FR"/>
        </w:rPr>
      </w:pPr>
    </w:p>
    <w:p w14:paraId="54DB9633" w14:textId="77777777" w:rsidR="00FE7688" w:rsidRPr="00EE0E45" w:rsidRDefault="00FE7688" w:rsidP="002A5553">
      <w:pPr>
        <w:adjustRightInd w:val="0"/>
        <w:snapToGrid w:val="0"/>
        <w:spacing w:line="360" w:lineRule="auto"/>
        <w:jc w:val="right"/>
        <w:rPr>
          <w:rFonts w:ascii="Book Antiqua" w:hAnsi="Book Antiqua"/>
          <w:bCs/>
        </w:rPr>
      </w:pPr>
      <w:bookmarkStart w:id="55" w:name="OLE_LINK148"/>
      <w:bookmarkStart w:id="56" w:name="OLE_LINK320"/>
      <w:bookmarkStart w:id="57" w:name="OLE_LINK387"/>
      <w:bookmarkStart w:id="58" w:name="OLE_LINK254"/>
      <w:bookmarkStart w:id="59" w:name="OLE_LINK149"/>
      <w:bookmarkStart w:id="60" w:name="OLE_LINK225"/>
      <w:bookmarkStart w:id="61" w:name="OLE_LINK207"/>
      <w:bookmarkStart w:id="62" w:name="OLE_LINK226"/>
      <w:bookmarkStart w:id="63" w:name="OLE_LINK212"/>
      <w:bookmarkStart w:id="64" w:name="OLE_LINK250"/>
      <w:bookmarkStart w:id="65" w:name="OLE_LINK281"/>
      <w:bookmarkStart w:id="66" w:name="OLE_LINK282"/>
      <w:bookmarkStart w:id="67" w:name="OLE_LINK313"/>
      <w:bookmarkStart w:id="68" w:name="OLE_LINK304"/>
      <w:bookmarkStart w:id="69" w:name="OLE_LINK321"/>
      <w:bookmarkStart w:id="70" w:name="OLE_LINK385"/>
      <w:bookmarkStart w:id="71" w:name="OLE_LINK400"/>
      <w:bookmarkStart w:id="72" w:name="OLE_LINK346"/>
      <w:bookmarkStart w:id="73" w:name="OLE_LINK371"/>
      <w:bookmarkStart w:id="74" w:name="OLE_LINK334"/>
      <w:bookmarkStart w:id="75" w:name="OLE_LINK1830"/>
      <w:bookmarkStart w:id="76" w:name="OLE_LINK457"/>
      <w:bookmarkStart w:id="77" w:name="OLE_LINK288"/>
      <w:bookmarkStart w:id="78" w:name="OLE_LINK384"/>
      <w:bookmarkStart w:id="79" w:name="OLE_LINK379"/>
      <w:bookmarkStart w:id="80" w:name="OLE_LINK303"/>
      <w:bookmarkStart w:id="81" w:name="OLE_LINK450"/>
      <w:bookmarkStart w:id="82" w:name="OLE_LINK489"/>
      <w:bookmarkStart w:id="83" w:name="OLE_LINK535"/>
      <w:bookmarkStart w:id="84" w:name="OLE_LINK648"/>
      <w:bookmarkStart w:id="85" w:name="OLE_LINK686"/>
      <w:bookmarkStart w:id="86" w:name="OLE_LINK471"/>
      <w:bookmarkStart w:id="87" w:name="OLE_LINK462"/>
      <w:bookmarkStart w:id="88" w:name="OLE_LINK519"/>
      <w:bookmarkStart w:id="89" w:name="OLE_LINK575"/>
      <w:bookmarkStart w:id="90" w:name="OLE_LINK491"/>
      <w:bookmarkStart w:id="91" w:name="OLE_LINK532"/>
      <w:bookmarkStart w:id="92" w:name="OLE_LINK572"/>
      <w:bookmarkStart w:id="93" w:name="OLE_LINK574"/>
      <w:bookmarkStart w:id="94" w:name="OLE_LINK480"/>
      <w:bookmarkStart w:id="95" w:name="OLE_LINK567"/>
      <w:bookmarkStart w:id="96" w:name="OLE_LINK2700"/>
      <w:bookmarkStart w:id="97" w:name="OLE_LINK581"/>
      <w:bookmarkStart w:id="98" w:name="OLE_LINK639"/>
      <w:bookmarkStart w:id="99" w:name="OLE_LINK688"/>
      <w:bookmarkStart w:id="100" w:name="OLE_LINK722"/>
      <w:bookmarkStart w:id="101" w:name="OLE_LINK542"/>
      <w:bookmarkStart w:id="102" w:name="OLE_LINK589"/>
      <w:bookmarkStart w:id="103" w:name="OLE_LINK582"/>
      <w:bookmarkStart w:id="104" w:name="OLE_LINK640"/>
      <w:bookmarkStart w:id="105" w:name="OLE_LINK714"/>
      <w:bookmarkStart w:id="106" w:name="OLE_LINK593"/>
      <w:bookmarkStart w:id="107" w:name="OLE_LINK716"/>
      <w:bookmarkStart w:id="108" w:name="OLE_LINK770"/>
      <w:bookmarkStart w:id="109" w:name="OLE_LINK801"/>
      <w:bookmarkStart w:id="110" w:name="OLE_LINK660"/>
      <w:bookmarkStart w:id="111" w:name="OLE_LINK781"/>
      <w:bookmarkStart w:id="112" w:name="OLE_LINK833"/>
      <w:bookmarkStart w:id="113" w:name="OLE_LINK642"/>
      <w:bookmarkStart w:id="114" w:name="OLE_LINK700"/>
      <w:bookmarkStart w:id="115" w:name="OLE_LINK792"/>
      <w:bookmarkStart w:id="116" w:name="OLE_LINK2882"/>
      <w:bookmarkStart w:id="117" w:name="OLE_LINK836"/>
      <w:bookmarkStart w:id="118" w:name="OLE_LINK889"/>
      <w:bookmarkStart w:id="119" w:name="OLE_LINK782"/>
      <w:bookmarkStart w:id="120" w:name="OLE_LINK826"/>
      <w:bookmarkStart w:id="121" w:name="OLE_LINK865"/>
      <w:bookmarkStart w:id="122" w:name="OLE_LINK856"/>
      <w:bookmarkStart w:id="123" w:name="OLE_LINK908"/>
      <w:bookmarkStart w:id="124" w:name="OLE_LINK980"/>
      <w:bookmarkStart w:id="125" w:name="OLE_LINK1018"/>
      <w:bookmarkStart w:id="126" w:name="OLE_LINK1049"/>
      <w:bookmarkStart w:id="127" w:name="OLE_LINK1076"/>
      <w:bookmarkStart w:id="128" w:name="OLE_LINK1106"/>
      <w:bookmarkStart w:id="129" w:name="OLE_LINK891"/>
      <w:bookmarkStart w:id="130" w:name="OLE_LINK943"/>
      <w:bookmarkStart w:id="131" w:name="OLE_LINK981"/>
      <w:bookmarkStart w:id="132" w:name="OLE_LINK1030"/>
      <w:bookmarkStart w:id="133" w:name="OLE_LINK847"/>
      <w:bookmarkStart w:id="134" w:name="OLE_LINK909"/>
      <w:bookmarkStart w:id="135" w:name="OLE_LINK906"/>
      <w:bookmarkStart w:id="136" w:name="OLE_LINK992"/>
      <w:bookmarkStart w:id="137" w:name="OLE_LINK993"/>
      <w:bookmarkStart w:id="138" w:name="OLE_LINK1052"/>
      <w:bookmarkStart w:id="139" w:name="OLE_LINK946"/>
      <w:bookmarkStart w:id="140" w:name="OLE_LINK911"/>
      <w:bookmarkStart w:id="141" w:name="OLE_LINK930"/>
      <w:bookmarkStart w:id="142" w:name="OLE_LINK1059"/>
      <w:bookmarkStart w:id="143" w:name="OLE_LINK1174"/>
      <w:bookmarkStart w:id="144" w:name="OLE_LINK1137"/>
      <w:bookmarkStart w:id="145" w:name="OLE_LINK1167"/>
      <w:bookmarkStart w:id="146" w:name="OLE_LINK1200"/>
      <w:bookmarkStart w:id="147" w:name="OLE_LINK1241"/>
      <w:bookmarkStart w:id="148" w:name="OLE_LINK1288"/>
      <w:bookmarkStart w:id="149" w:name="OLE_LINK1056"/>
      <w:bookmarkStart w:id="150" w:name="OLE_LINK1158"/>
      <w:bookmarkStart w:id="151" w:name="OLE_LINK1175"/>
      <w:bookmarkStart w:id="152" w:name="OLE_LINK1074"/>
      <w:bookmarkStart w:id="153" w:name="OLE_LINK1169"/>
      <w:r w:rsidRPr="00EE0E45">
        <w:rPr>
          <w:rFonts w:ascii="Book Antiqua" w:hAnsi="Book Antiqua"/>
          <w:b/>
          <w:bCs/>
        </w:rPr>
        <w:t xml:space="preserve">P-Reviewer: </w:t>
      </w:r>
      <w:r w:rsidRPr="00EE0E45">
        <w:rPr>
          <w:rFonts w:ascii="Book Antiqua" w:hAnsi="Book Antiqua"/>
          <w:bCs/>
        </w:rPr>
        <w:t>Bramhall S, Chiu KW, Inoue K, Koksal A, Ramsay MA, Therapondos G, Wang GY</w:t>
      </w:r>
    </w:p>
    <w:p w14:paraId="071E05A9" w14:textId="77777777" w:rsidR="00FE7688" w:rsidRPr="00EE0E45" w:rsidRDefault="00FE7688" w:rsidP="002A5553">
      <w:pPr>
        <w:adjustRightInd w:val="0"/>
        <w:snapToGrid w:val="0"/>
        <w:spacing w:line="360" w:lineRule="auto"/>
        <w:jc w:val="right"/>
        <w:rPr>
          <w:rFonts w:ascii="Book Antiqua" w:hAnsi="Book Antiqua"/>
        </w:rPr>
      </w:pPr>
      <w:r w:rsidRPr="00EE0E45">
        <w:rPr>
          <w:rFonts w:ascii="Book Antiqua" w:hAnsi="Book Antiqua"/>
          <w:b/>
          <w:bCs/>
        </w:rPr>
        <w:t>S-Editor:</w:t>
      </w:r>
      <w:r w:rsidRPr="00EE0E45">
        <w:rPr>
          <w:rFonts w:ascii="Book Antiqua" w:hAnsi="Book Antiqua"/>
        </w:rPr>
        <w:t xml:space="preserve"> Gong ZM </w:t>
      </w:r>
      <w:r w:rsidRPr="00EE0E45">
        <w:rPr>
          <w:rFonts w:ascii="Book Antiqua" w:hAnsi="Book Antiqua"/>
          <w:b/>
          <w:bCs/>
        </w:rPr>
        <w:t>L-Editor:</w:t>
      </w:r>
      <w:r w:rsidRPr="00EE0E45">
        <w:rPr>
          <w:rFonts w:ascii="Book Antiqua" w:hAnsi="Book Antiqua"/>
        </w:rPr>
        <w:t xml:space="preserve"> </w:t>
      </w:r>
      <w:r w:rsidRPr="00EE0E45">
        <w:rPr>
          <w:rFonts w:ascii="Book Antiqua" w:hAnsi="Book Antiqua"/>
          <w:b/>
          <w:bCs/>
        </w:rPr>
        <w:t>E-Editor:</w:t>
      </w:r>
    </w:p>
    <w:p w14:paraId="25CBE3C9" w14:textId="72F09A80" w:rsidR="00FE7688" w:rsidRPr="00EE0E45" w:rsidRDefault="00FE7688" w:rsidP="002A5553">
      <w:pPr>
        <w:shd w:val="clear" w:color="auto" w:fill="FFFFFF"/>
        <w:adjustRightInd w:val="0"/>
        <w:snapToGrid w:val="0"/>
        <w:spacing w:line="360" w:lineRule="auto"/>
        <w:jc w:val="both"/>
        <w:rPr>
          <w:rFonts w:ascii="Book Antiqua" w:hAnsi="Book Antiqua" w:cs="Helvetica"/>
          <w:b/>
        </w:rPr>
      </w:pPr>
      <w:bookmarkStart w:id="154" w:name="OLE_LINK880"/>
      <w:bookmarkStart w:id="155" w:name="OLE_LINK881"/>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EE0E45">
        <w:rPr>
          <w:rFonts w:ascii="Book Antiqua" w:hAnsi="Book Antiqua" w:cs="Helvetica"/>
          <w:b/>
        </w:rPr>
        <w:t xml:space="preserve">Specialty type: </w:t>
      </w:r>
      <w:r w:rsidR="00B80326" w:rsidRPr="00B80326">
        <w:rPr>
          <w:rFonts w:ascii="Book Antiqua" w:hAnsi="Book Antiqua" w:cs="Helvetica"/>
        </w:rPr>
        <w:t>Gastroenterology and Hepatology</w:t>
      </w:r>
    </w:p>
    <w:p w14:paraId="19EE6320" w14:textId="77777777" w:rsidR="00FE7688" w:rsidRPr="00EE0E45" w:rsidRDefault="00FE7688" w:rsidP="002A5553">
      <w:pPr>
        <w:shd w:val="clear" w:color="auto" w:fill="FFFFFF"/>
        <w:adjustRightInd w:val="0"/>
        <w:snapToGrid w:val="0"/>
        <w:spacing w:line="360" w:lineRule="auto"/>
        <w:jc w:val="both"/>
        <w:rPr>
          <w:rFonts w:ascii="Book Antiqua" w:hAnsi="Book Antiqua" w:cs="Helvetica"/>
          <w:b/>
        </w:rPr>
      </w:pPr>
      <w:r w:rsidRPr="00EE0E45">
        <w:rPr>
          <w:rFonts w:ascii="Book Antiqua" w:hAnsi="Book Antiqua" w:cs="Helvetica"/>
          <w:b/>
        </w:rPr>
        <w:t xml:space="preserve">Country of origin: </w:t>
      </w:r>
      <w:r w:rsidRPr="00EE0E45">
        <w:rPr>
          <w:rFonts w:ascii="Book Antiqua" w:hAnsi="Book Antiqua" w:cs="Helvetica"/>
          <w:lang w:val="en-CA"/>
        </w:rPr>
        <w:t>Italy</w:t>
      </w:r>
    </w:p>
    <w:p w14:paraId="695D7294" w14:textId="77777777" w:rsidR="00FE7688" w:rsidRPr="00EE0E45" w:rsidRDefault="00FE7688" w:rsidP="002A5553">
      <w:pPr>
        <w:shd w:val="clear" w:color="auto" w:fill="FFFFFF"/>
        <w:adjustRightInd w:val="0"/>
        <w:snapToGrid w:val="0"/>
        <w:spacing w:line="360" w:lineRule="auto"/>
        <w:jc w:val="both"/>
        <w:rPr>
          <w:rFonts w:ascii="Book Antiqua" w:hAnsi="Book Antiqua" w:cs="Helvetica"/>
          <w:b/>
        </w:rPr>
      </w:pPr>
      <w:r w:rsidRPr="00EE0E45">
        <w:rPr>
          <w:rFonts w:ascii="Book Antiqua" w:hAnsi="Book Antiqua" w:cs="Helvetica"/>
          <w:b/>
        </w:rPr>
        <w:t>Peer-review report classification</w:t>
      </w:r>
    </w:p>
    <w:p w14:paraId="41017B32" w14:textId="77777777" w:rsidR="00FE7688" w:rsidRPr="00EE0E45" w:rsidRDefault="00FE7688" w:rsidP="002A5553">
      <w:pPr>
        <w:shd w:val="clear" w:color="auto" w:fill="FFFFFF"/>
        <w:adjustRightInd w:val="0"/>
        <w:snapToGrid w:val="0"/>
        <w:spacing w:line="360" w:lineRule="auto"/>
        <w:jc w:val="both"/>
        <w:rPr>
          <w:rFonts w:ascii="Book Antiqua" w:hAnsi="Book Antiqua" w:cs="Helvetica"/>
        </w:rPr>
      </w:pPr>
      <w:r w:rsidRPr="00EE0E45">
        <w:rPr>
          <w:rFonts w:ascii="Book Antiqua" w:hAnsi="Book Antiqua" w:cs="Helvetica"/>
        </w:rPr>
        <w:t xml:space="preserve">Grade </w:t>
      </w:r>
      <w:proofErr w:type="gramStart"/>
      <w:r w:rsidRPr="00EE0E45">
        <w:rPr>
          <w:rFonts w:ascii="Book Antiqua" w:hAnsi="Book Antiqua" w:cs="Helvetica"/>
        </w:rPr>
        <w:t>A</w:t>
      </w:r>
      <w:proofErr w:type="gramEnd"/>
      <w:r w:rsidRPr="00EE0E45">
        <w:rPr>
          <w:rFonts w:ascii="Book Antiqua" w:hAnsi="Book Antiqua" w:cs="Helvetica"/>
        </w:rPr>
        <w:t xml:space="preserve"> (Excellent): 0</w:t>
      </w:r>
    </w:p>
    <w:p w14:paraId="70E0086D" w14:textId="77777777" w:rsidR="00FE7688" w:rsidRPr="00EE0E45" w:rsidRDefault="00FE7688" w:rsidP="002A5553">
      <w:pPr>
        <w:shd w:val="clear" w:color="auto" w:fill="FFFFFF"/>
        <w:adjustRightInd w:val="0"/>
        <w:snapToGrid w:val="0"/>
        <w:spacing w:line="360" w:lineRule="auto"/>
        <w:jc w:val="both"/>
        <w:rPr>
          <w:rFonts w:ascii="Book Antiqua" w:hAnsi="Book Antiqua" w:cs="Helvetica"/>
        </w:rPr>
      </w:pPr>
      <w:r w:rsidRPr="00EE0E45">
        <w:rPr>
          <w:rFonts w:ascii="Book Antiqua" w:hAnsi="Book Antiqua" w:cs="Helvetica"/>
        </w:rPr>
        <w:t xml:space="preserve">Grade B (Very good): B, B, </w:t>
      </w:r>
      <w:proofErr w:type="gramStart"/>
      <w:r w:rsidRPr="00EE0E45">
        <w:rPr>
          <w:rFonts w:ascii="Book Antiqua" w:hAnsi="Book Antiqua" w:cs="Helvetica"/>
        </w:rPr>
        <w:t>B</w:t>
      </w:r>
      <w:proofErr w:type="gramEnd"/>
    </w:p>
    <w:p w14:paraId="5DB02094" w14:textId="77777777" w:rsidR="00FE7688" w:rsidRPr="00EE0E45" w:rsidRDefault="00FE7688" w:rsidP="002A5553">
      <w:pPr>
        <w:shd w:val="clear" w:color="auto" w:fill="FFFFFF"/>
        <w:adjustRightInd w:val="0"/>
        <w:snapToGrid w:val="0"/>
        <w:spacing w:line="360" w:lineRule="auto"/>
        <w:jc w:val="both"/>
        <w:rPr>
          <w:rFonts w:ascii="Book Antiqua" w:hAnsi="Book Antiqua" w:cs="Helvetica"/>
        </w:rPr>
      </w:pPr>
      <w:r w:rsidRPr="00EE0E45">
        <w:rPr>
          <w:rFonts w:ascii="Book Antiqua" w:hAnsi="Book Antiqua" w:cs="Helvetica"/>
        </w:rPr>
        <w:t>Grade C (Good): C, C, C</w:t>
      </w:r>
    </w:p>
    <w:p w14:paraId="48DEA5A8" w14:textId="77777777" w:rsidR="00FE7688" w:rsidRPr="00EE0E45" w:rsidRDefault="00FE7688" w:rsidP="002A5553">
      <w:pPr>
        <w:shd w:val="clear" w:color="auto" w:fill="FFFFFF"/>
        <w:adjustRightInd w:val="0"/>
        <w:snapToGrid w:val="0"/>
        <w:spacing w:line="360" w:lineRule="auto"/>
        <w:jc w:val="both"/>
        <w:rPr>
          <w:rFonts w:ascii="Book Antiqua" w:hAnsi="Book Antiqua" w:cs="Helvetica"/>
        </w:rPr>
      </w:pPr>
      <w:r w:rsidRPr="00EE0E45">
        <w:rPr>
          <w:rFonts w:ascii="Book Antiqua" w:hAnsi="Book Antiqua" w:cs="Helvetica"/>
        </w:rPr>
        <w:t>Grade D (Fair): 0</w:t>
      </w:r>
    </w:p>
    <w:p w14:paraId="3AB7317A" w14:textId="70B70067" w:rsidR="00D2511D" w:rsidRPr="00EE0E45" w:rsidRDefault="00FE7688" w:rsidP="002A5553">
      <w:pPr>
        <w:adjustRightInd w:val="0"/>
        <w:snapToGrid w:val="0"/>
        <w:spacing w:line="360" w:lineRule="auto"/>
        <w:jc w:val="both"/>
        <w:rPr>
          <w:rFonts w:ascii="Book Antiqua" w:hAnsi="Book Antiqua"/>
          <w:b/>
          <w:lang w:val="en-GB"/>
        </w:rPr>
      </w:pPr>
      <w:r w:rsidRPr="00EE0E45">
        <w:rPr>
          <w:rFonts w:ascii="Book Antiqua" w:hAnsi="Book Antiqua" w:cs="Helvetica"/>
        </w:rPr>
        <w:t xml:space="preserve">Grade E (Poor): </w:t>
      </w:r>
      <w:bookmarkEnd w:id="154"/>
      <w:bookmarkEnd w:id="155"/>
      <w:r w:rsidRPr="00EE0E45">
        <w:rPr>
          <w:rFonts w:ascii="Book Antiqua" w:hAnsi="Book Antiqua" w:cs="Helvetica"/>
        </w:rPr>
        <w:t>E</w:t>
      </w:r>
    </w:p>
    <w:sectPr w:rsidR="00D2511D" w:rsidRPr="00EE0E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57"/>
    <w:rsid w:val="00022B34"/>
    <w:rsid w:val="0004724E"/>
    <w:rsid w:val="00076E31"/>
    <w:rsid w:val="000B53DD"/>
    <w:rsid w:val="000D022F"/>
    <w:rsid w:val="00131D0F"/>
    <w:rsid w:val="00177CB4"/>
    <w:rsid w:val="001D4D66"/>
    <w:rsid w:val="001E110F"/>
    <w:rsid w:val="002A5553"/>
    <w:rsid w:val="002D792B"/>
    <w:rsid w:val="002F1877"/>
    <w:rsid w:val="00317E83"/>
    <w:rsid w:val="00332B2E"/>
    <w:rsid w:val="00365081"/>
    <w:rsid w:val="00392903"/>
    <w:rsid w:val="003D2266"/>
    <w:rsid w:val="00414F6E"/>
    <w:rsid w:val="004253FA"/>
    <w:rsid w:val="00450E20"/>
    <w:rsid w:val="0048273D"/>
    <w:rsid w:val="004C4054"/>
    <w:rsid w:val="004D766F"/>
    <w:rsid w:val="005357A1"/>
    <w:rsid w:val="005512C0"/>
    <w:rsid w:val="005B527A"/>
    <w:rsid w:val="005F663C"/>
    <w:rsid w:val="006107BB"/>
    <w:rsid w:val="00613A99"/>
    <w:rsid w:val="00630678"/>
    <w:rsid w:val="006A3A0C"/>
    <w:rsid w:val="007D5FBF"/>
    <w:rsid w:val="00807584"/>
    <w:rsid w:val="008614F7"/>
    <w:rsid w:val="00862453"/>
    <w:rsid w:val="00891731"/>
    <w:rsid w:val="008C659B"/>
    <w:rsid w:val="008C7B11"/>
    <w:rsid w:val="008D102B"/>
    <w:rsid w:val="008F5489"/>
    <w:rsid w:val="009201B2"/>
    <w:rsid w:val="009307F4"/>
    <w:rsid w:val="009865AA"/>
    <w:rsid w:val="00A22C76"/>
    <w:rsid w:val="00A44BE2"/>
    <w:rsid w:val="00A60C11"/>
    <w:rsid w:val="00A60E49"/>
    <w:rsid w:val="00A82641"/>
    <w:rsid w:val="00A92051"/>
    <w:rsid w:val="00AD24B6"/>
    <w:rsid w:val="00AF420C"/>
    <w:rsid w:val="00B00C05"/>
    <w:rsid w:val="00B22BD5"/>
    <w:rsid w:val="00B436DB"/>
    <w:rsid w:val="00B80326"/>
    <w:rsid w:val="00B9067F"/>
    <w:rsid w:val="00B95E62"/>
    <w:rsid w:val="00BA12F1"/>
    <w:rsid w:val="00BD3B1A"/>
    <w:rsid w:val="00BE3557"/>
    <w:rsid w:val="00BE73B5"/>
    <w:rsid w:val="00C22F33"/>
    <w:rsid w:val="00C6230B"/>
    <w:rsid w:val="00CC152A"/>
    <w:rsid w:val="00D00A29"/>
    <w:rsid w:val="00D2511D"/>
    <w:rsid w:val="00D72495"/>
    <w:rsid w:val="00DE2FA0"/>
    <w:rsid w:val="00E0355F"/>
    <w:rsid w:val="00E062BA"/>
    <w:rsid w:val="00E20979"/>
    <w:rsid w:val="00E521EA"/>
    <w:rsid w:val="00E6048F"/>
    <w:rsid w:val="00E60F50"/>
    <w:rsid w:val="00EB7348"/>
    <w:rsid w:val="00EE0E45"/>
    <w:rsid w:val="00F4333C"/>
    <w:rsid w:val="00F512AF"/>
    <w:rsid w:val="00FB4932"/>
    <w:rsid w:val="00FC435F"/>
    <w:rsid w:val="00FD54EA"/>
    <w:rsid w:val="00FE768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9BB4"/>
  <w15:docId w15:val="{49BFF40D-EC5A-4AE7-8268-070E5A02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3DD"/>
    <w:pPr>
      <w:spacing w:after="0" w:line="240" w:lineRule="auto"/>
    </w:pPr>
    <w:rPr>
      <w:rFonts w:ascii="Times New Roma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453"/>
    <w:rPr>
      <w:rFonts w:asciiTheme="minorHAnsi" w:hAnsiTheme="minorHAnsi" w:cstheme="minorBidi"/>
      <w:sz w:val="18"/>
      <w:szCs w:val="18"/>
      <w:lang w:val="it-IT" w:eastAsia="en-US"/>
    </w:rPr>
  </w:style>
  <w:style w:type="character" w:customStyle="1" w:styleId="BalloonTextChar">
    <w:name w:val="Balloon Text Char"/>
    <w:basedOn w:val="DefaultParagraphFont"/>
    <w:link w:val="BalloonText"/>
    <w:uiPriority w:val="99"/>
    <w:semiHidden/>
    <w:rsid w:val="00862453"/>
    <w:rPr>
      <w:sz w:val="18"/>
      <w:szCs w:val="18"/>
    </w:rPr>
  </w:style>
  <w:style w:type="character" w:styleId="CommentReference">
    <w:name w:val="annotation reference"/>
    <w:basedOn w:val="DefaultParagraphFont"/>
    <w:uiPriority w:val="99"/>
    <w:semiHidden/>
    <w:unhideWhenUsed/>
    <w:rsid w:val="00862453"/>
    <w:rPr>
      <w:sz w:val="21"/>
      <w:szCs w:val="21"/>
    </w:rPr>
  </w:style>
  <w:style w:type="paragraph" w:styleId="CommentText">
    <w:name w:val="annotation text"/>
    <w:basedOn w:val="Normal"/>
    <w:link w:val="CommentTextChar"/>
    <w:uiPriority w:val="99"/>
    <w:semiHidden/>
    <w:unhideWhenUsed/>
    <w:rsid w:val="00862453"/>
    <w:pPr>
      <w:spacing w:after="160" w:line="259" w:lineRule="auto"/>
    </w:pPr>
    <w:rPr>
      <w:rFonts w:asciiTheme="minorHAnsi" w:hAnsiTheme="minorHAnsi" w:cstheme="minorBidi"/>
      <w:sz w:val="22"/>
      <w:szCs w:val="22"/>
      <w:lang w:val="it-IT" w:eastAsia="en-US"/>
    </w:rPr>
  </w:style>
  <w:style w:type="character" w:customStyle="1" w:styleId="CommentTextChar">
    <w:name w:val="Comment Text Char"/>
    <w:basedOn w:val="DefaultParagraphFont"/>
    <w:link w:val="CommentText"/>
    <w:uiPriority w:val="99"/>
    <w:semiHidden/>
    <w:rsid w:val="00862453"/>
  </w:style>
  <w:style w:type="paragraph" w:styleId="CommentSubject">
    <w:name w:val="annotation subject"/>
    <w:basedOn w:val="CommentText"/>
    <w:next w:val="CommentText"/>
    <w:link w:val="CommentSubjectChar"/>
    <w:uiPriority w:val="99"/>
    <w:semiHidden/>
    <w:unhideWhenUsed/>
    <w:rsid w:val="00862453"/>
    <w:rPr>
      <w:b/>
      <w:bCs/>
    </w:rPr>
  </w:style>
  <w:style w:type="character" w:customStyle="1" w:styleId="CommentSubjectChar">
    <w:name w:val="Comment Subject Char"/>
    <w:basedOn w:val="CommentTextChar"/>
    <w:link w:val="CommentSubject"/>
    <w:uiPriority w:val="99"/>
    <w:semiHidden/>
    <w:rsid w:val="00862453"/>
    <w:rPr>
      <w:b/>
      <w:bCs/>
    </w:rPr>
  </w:style>
  <w:style w:type="paragraph" w:customStyle="1" w:styleId="1">
    <w:name w:val="正文1"/>
    <w:uiPriority w:val="99"/>
    <w:rsid w:val="00862453"/>
    <w:pPr>
      <w:spacing w:after="0" w:line="276" w:lineRule="auto"/>
    </w:pPr>
    <w:rPr>
      <w:rFonts w:ascii="Arial" w:eastAsia="SimSun" w:hAnsi="Arial" w:cs="Arial"/>
      <w:color w:val="000000"/>
      <w:szCs w:val="20"/>
      <w:lang w:val="pl-PL" w:eastAsia="pl-PL"/>
    </w:rPr>
  </w:style>
  <w:style w:type="character" w:styleId="Hyperlink">
    <w:name w:val="Hyperlink"/>
    <w:basedOn w:val="DefaultParagraphFont"/>
    <w:uiPriority w:val="99"/>
    <w:unhideWhenUsed/>
    <w:rsid w:val="00B436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2533">
      <w:bodyDiv w:val="1"/>
      <w:marLeft w:val="0"/>
      <w:marRight w:val="0"/>
      <w:marTop w:val="0"/>
      <w:marBottom w:val="0"/>
      <w:divBdr>
        <w:top w:val="none" w:sz="0" w:space="0" w:color="auto"/>
        <w:left w:val="none" w:sz="0" w:space="0" w:color="auto"/>
        <w:bottom w:val="none" w:sz="0" w:space="0" w:color="auto"/>
        <w:right w:val="none" w:sz="0" w:space="0" w:color="auto"/>
      </w:divBdr>
    </w:div>
    <w:div w:id="119231336">
      <w:bodyDiv w:val="1"/>
      <w:marLeft w:val="0"/>
      <w:marRight w:val="0"/>
      <w:marTop w:val="0"/>
      <w:marBottom w:val="0"/>
      <w:divBdr>
        <w:top w:val="none" w:sz="0" w:space="0" w:color="auto"/>
        <w:left w:val="none" w:sz="0" w:space="0" w:color="auto"/>
        <w:bottom w:val="none" w:sz="0" w:space="0" w:color="auto"/>
        <w:right w:val="none" w:sz="0" w:space="0" w:color="auto"/>
      </w:divBdr>
      <w:divsChild>
        <w:div w:id="471947306">
          <w:marLeft w:val="0"/>
          <w:marRight w:val="0"/>
          <w:marTop w:val="288"/>
          <w:marBottom w:val="100"/>
          <w:divBdr>
            <w:top w:val="none" w:sz="0" w:space="0" w:color="auto"/>
            <w:left w:val="none" w:sz="0" w:space="0" w:color="auto"/>
            <w:bottom w:val="none" w:sz="0" w:space="0" w:color="auto"/>
            <w:right w:val="none" w:sz="0" w:space="0" w:color="auto"/>
          </w:divBdr>
          <w:divsChild>
            <w:div w:id="1822693455">
              <w:marLeft w:val="0"/>
              <w:marRight w:val="0"/>
              <w:marTop w:val="0"/>
              <w:marBottom w:val="0"/>
              <w:divBdr>
                <w:top w:val="none" w:sz="0" w:space="0" w:color="auto"/>
                <w:left w:val="none" w:sz="0" w:space="0" w:color="auto"/>
                <w:bottom w:val="none" w:sz="0" w:space="0" w:color="auto"/>
                <w:right w:val="none" w:sz="0" w:space="0" w:color="auto"/>
              </w:divBdr>
            </w:div>
          </w:divsChild>
        </w:div>
        <w:div w:id="363601926">
          <w:marLeft w:val="0"/>
          <w:marRight w:val="0"/>
          <w:marTop w:val="288"/>
          <w:marBottom w:val="100"/>
          <w:divBdr>
            <w:top w:val="none" w:sz="0" w:space="0" w:color="auto"/>
            <w:left w:val="none" w:sz="0" w:space="0" w:color="auto"/>
            <w:bottom w:val="none" w:sz="0" w:space="0" w:color="auto"/>
            <w:right w:val="none" w:sz="0" w:space="0" w:color="auto"/>
          </w:divBdr>
          <w:divsChild>
            <w:div w:id="174830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5198">
      <w:bodyDiv w:val="1"/>
      <w:marLeft w:val="0"/>
      <w:marRight w:val="0"/>
      <w:marTop w:val="0"/>
      <w:marBottom w:val="0"/>
      <w:divBdr>
        <w:top w:val="none" w:sz="0" w:space="0" w:color="auto"/>
        <w:left w:val="none" w:sz="0" w:space="0" w:color="auto"/>
        <w:bottom w:val="none" w:sz="0" w:space="0" w:color="auto"/>
        <w:right w:val="none" w:sz="0" w:space="0" w:color="auto"/>
      </w:divBdr>
      <w:divsChild>
        <w:div w:id="1520126156">
          <w:marLeft w:val="0"/>
          <w:marRight w:val="0"/>
          <w:marTop w:val="0"/>
          <w:marBottom w:val="0"/>
          <w:divBdr>
            <w:top w:val="none" w:sz="0" w:space="0" w:color="auto"/>
            <w:left w:val="none" w:sz="0" w:space="0" w:color="auto"/>
            <w:bottom w:val="none" w:sz="0" w:space="0" w:color="auto"/>
            <w:right w:val="none" w:sz="0" w:space="0" w:color="auto"/>
          </w:divBdr>
        </w:div>
        <w:div w:id="1694451784">
          <w:marLeft w:val="0"/>
          <w:marRight w:val="0"/>
          <w:marTop w:val="0"/>
          <w:marBottom w:val="0"/>
          <w:divBdr>
            <w:top w:val="none" w:sz="0" w:space="0" w:color="auto"/>
            <w:left w:val="none" w:sz="0" w:space="0" w:color="auto"/>
            <w:bottom w:val="none" w:sz="0" w:space="0" w:color="auto"/>
            <w:right w:val="none" w:sz="0" w:space="0" w:color="auto"/>
          </w:divBdr>
        </w:div>
        <w:div w:id="138815636">
          <w:marLeft w:val="0"/>
          <w:marRight w:val="0"/>
          <w:marTop w:val="0"/>
          <w:marBottom w:val="0"/>
          <w:divBdr>
            <w:top w:val="none" w:sz="0" w:space="0" w:color="auto"/>
            <w:left w:val="none" w:sz="0" w:space="0" w:color="auto"/>
            <w:bottom w:val="none" w:sz="0" w:space="0" w:color="auto"/>
            <w:right w:val="none" w:sz="0" w:space="0" w:color="auto"/>
          </w:divBdr>
        </w:div>
        <w:div w:id="1918511829">
          <w:marLeft w:val="0"/>
          <w:marRight w:val="0"/>
          <w:marTop w:val="288"/>
          <w:marBottom w:val="100"/>
          <w:divBdr>
            <w:top w:val="none" w:sz="0" w:space="0" w:color="auto"/>
            <w:left w:val="none" w:sz="0" w:space="0" w:color="auto"/>
            <w:bottom w:val="none" w:sz="0" w:space="0" w:color="auto"/>
            <w:right w:val="none" w:sz="0" w:space="0" w:color="auto"/>
          </w:divBdr>
          <w:divsChild>
            <w:div w:id="1028288269">
              <w:marLeft w:val="0"/>
              <w:marRight w:val="0"/>
              <w:marTop w:val="0"/>
              <w:marBottom w:val="0"/>
              <w:divBdr>
                <w:top w:val="none" w:sz="0" w:space="0" w:color="auto"/>
                <w:left w:val="none" w:sz="0" w:space="0" w:color="auto"/>
                <w:bottom w:val="none" w:sz="0" w:space="0" w:color="auto"/>
                <w:right w:val="none" w:sz="0" w:space="0" w:color="auto"/>
              </w:divBdr>
            </w:div>
          </w:divsChild>
        </w:div>
        <w:div w:id="1238131550">
          <w:marLeft w:val="0"/>
          <w:marRight w:val="0"/>
          <w:marTop w:val="432"/>
          <w:marBottom w:val="100"/>
          <w:divBdr>
            <w:top w:val="none" w:sz="0" w:space="0" w:color="auto"/>
            <w:left w:val="none" w:sz="0" w:space="0" w:color="auto"/>
            <w:bottom w:val="none" w:sz="0" w:space="0" w:color="auto"/>
            <w:right w:val="none" w:sz="0" w:space="0" w:color="auto"/>
          </w:divBdr>
        </w:div>
        <w:div w:id="1028723850">
          <w:marLeft w:val="0"/>
          <w:marRight w:val="0"/>
          <w:marTop w:val="288"/>
          <w:marBottom w:val="100"/>
          <w:divBdr>
            <w:top w:val="none" w:sz="0" w:space="0" w:color="auto"/>
            <w:left w:val="none" w:sz="0" w:space="0" w:color="auto"/>
            <w:bottom w:val="none" w:sz="0" w:space="0" w:color="auto"/>
            <w:right w:val="none" w:sz="0" w:space="0" w:color="auto"/>
          </w:divBdr>
        </w:div>
      </w:divsChild>
    </w:div>
    <w:div w:id="239873691">
      <w:bodyDiv w:val="1"/>
      <w:marLeft w:val="0"/>
      <w:marRight w:val="0"/>
      <w:marTop w:val="0"/>
      <w:marBottom w:val="0"/>
      <w:divBdr>
        <w:top w:val="none" w:sz="0" w:space="0" w:color="auto"/>
        <w:left w:val="none" w:sz="0" w:space="0" w:color="auto"/>
        <w:bottom w:val="none" w:sz="0" w:space="0" w:color="auto"/>
        <w:right w:val="none" w:sz="0" w:space="0" w:color="auto"/>
      </w:divBdr>
      <w:divsChild>
        <w:div w:id="298608185">
          <w:marLeft w:val="0"/>
          <w:marRight w:val="0"/>
          <w:marTop w:val="288"/>
          <w:marBottom w:val="100"/>
          <w:divBdr>
            <w:top w:val="none" w:sz="0" w:space="0" w:color="auto"/>
            <w:left w:val="none" w:sz="0" w:space="0" w:color="auto"/>
            <w:bottom w:val="none" w:sz="0" w:space="0" w:color="auto"/>
            <w:right w:val="none" w:sz="0" w:space="0" w:color="auto"/>
          </w:divBdr>
          <w:divsChild>
            <w:div w:id="178088464">
              <w:marLeft w:val="0"/>
              <w:marRight w:val="0"/>
              <w:marTop w:val="0"/>
              <w:marBottom w:val="0"/>
              <w:divBdr>
                <w:top w:val="none" w:sz="0" w:space="0" w:color="auto"/>
                <w:left w:val="none" w:sz="0" w:space="0" w:color="auto"/>
                <w:bottom w:val="none" w:sz="0" w:space="0" w:color="auto"/>
                <w:right w:val="none" w:sz="0" w:space="0" w:color="auto"/>
              </w:divBdr>
            </w:div>
          </w:divsChild>
        </w:div>
        <w:div w:id="1566720722">
          <w:marLeft w:val="0"/>
          <w:marRight w:val="0"/>
          <w:marTop w:val="288"/>
          <w:marBottom w:val="100"/>
          <w:divBdr>
            <w:top w:val="none" w:sz="0" w:space="0" w:color="auto"/>
            <w:left w:val="none" w:sz="0" w:space="0" w:color="auto"/>
            <w:bottom w:val="none" w:sz="0" w:space="0" w:color="auto"/>
            <w:right w:val="none" w:sz="0" w:space="0" w:color="auto"/>
          </w:divBdr>
          <w:divsChild>
            <w:div w:id="13285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0541">
      <w:bodyDiv w:val="1"/>
      <w:marLeft w:val="0"/>
      <w:marRight w:val="0"/>
      <w:marTop w:val="0"/>
      <w:marBottom w:val="0"/>
      <w:divBdr>
        <w:top w:val="none" w:sz="0" w:space="0" w:color="auto"/>
        <w:left w:val="none" w:sz="0" w:space="0" w:color="auto"/>
        <w:bottom w:val="none" w:sz="0" w:space="0" w:color="auto"/>
        <w:right w:val="none" w:sz="0" w:space="0" w:color="auto"/>
      </w:divBdr>
    </w:div>
    <w:div w:id="867721737">
      <w:bodyDiv w:val="1"/>
      <w:marLeft w:val="0"/>
      <w:marRight w:val="0"/>
      <w:marTop w:val="0"/>
      <w:marBottom w:val="0"/>
      <w:divBdr>
        <w:top w:val="none" w:sz="0" w:space="0" w:color="auto"/>
        <w:left w:val="none" w:sz="0" w:space="0" w:color="auto"/>
        <w:bottom w:val="none" w:sz="0" w:space="0" w:color="auto"/>
        <w:right w:val="none" w:sz="0" w:space="0" w:color="auto"/>
      </w:divBdr>
      <w:divsChild>
        <w:div w:id="1534154512">
          <w:marLeft w:val="0"/>
          <w:marRight w:val="0"/>
          <w:marTop w:val="120"/>
          <w:marBottom w:val="360"/>
          <w:divBdr>
            <w:top w:val="none" w:sz="0" w:space="0" w:color="auto"/>
            <w:left w:val="none" w:sz="0" w:space="0" w:color="auto"/>
            <w:bottom w:val="none" w:sz="0" w:space="0" w:color="auto"/>
            <w:right w:val="none" w:sz="0" w:space="0" w:color="auto"/>
          </w:divBdr>
          <w:divsChild>
            <w:div w:id="1233851036">
              <w:marLeft w:val="0"/>
              <w:marRight w:val="0"/>
              <w:marTop w:val="0"/>
              <w:marBottom w:val="0"/>
              <w:divBdr>
                <w:top w:val="none" w:sz="0" w:space="0" w:color="auto"/>
                <w:left w:val="none" w:sz="0" w:space="0" w:color="auto"/>
                <w:bottom w:val="none" w:sz="0" w:space="0" w:color="auto"/>
                <w:right w:val="none" w:sz="0" w:space="0" w:color="auto"/>
              </w:divBdr>
            </w:div>
            <w:div w:id="1909878385">
              <w:marLeft w:val="0"/>
              <w:marRight w:val="0"/>
              <w:marTop w:val="0"/>
              <w:marBottom w:val="0"/>
              <w:divBdr>
                <w:top w:val="none" w:sz="0" w:space="0" w:color="auto"/>
                <w:left w:val="none" w:sz="0" w:space="0" w:color="auto"/>
                <w:bottom w:val="none" w:sz="0" w:space="0" w:color="auto"/>
                <w:right w:val="none" w:sz="0" w:space="0" w:color="auto"/>
              </w:divBdr>
            </w:div>
            <w:div w:id="346831989">
              <w:marLeft w:val="0"/>
              <w:marRight w:val="0"/>
              <w:marTop w:val="0"/>
              <w:marBottom w:val="0"/>
              <w:divBdr>
                <w:top w:val="none" w:sz="0" w:space="0" w:color="auto"/>
                <w:left w:val="none" w:sz="0" w:space="0" w:color="auto"/>
                <w:bottom w:val="none" w:sz="0" w:space="0" w:color="auto"/>
                <w:right w:val="none" w:sz="0" w:space="0" w:color="auto"/>
              </w:divBdr>
            </w:div>
            <w:div w:id="2082095279">
              <w:marLeft w:val="0"/>
              <w:marRight w:val="0"/>
              <w:marTop w:val="288"/>
              <w:marBottom w:val="100"/>
              <w:divBdr>
                <w:top w:val="none" w:sz="0" w:space="0" w:color="auto"/>
                <w:left w:val="none" w:sz="0" w:space="0" w:color="auto"/>
                <w:bottom w:val="none" w:sz="0" w:space="0" w:color="auto"/>
                <w:right w:val="none" w:sz="0" w:space="0" w:color="auto"/>
              </w:divBdr>
              <w:divsChild>
                <w:div w:id="1543707343">
                  <w:marLeft w:val="0"/>
                  <w:marRight w:val="0"/>
                  <w:marTop w:val="0"/>
                  <w:marBottom w:val="0"/>
                  <w:divBdr>
                    <w:top w:val="none" w:sz="0" w:space="0" w:color="auto"/>
                    <w:left w:val="none" w:sz="0" w:space="0" w:color="auto"/>
                    <w:bottom w:val="none" w:sz="0" w:space="0" w:color="auto"/>
                    <w:right w:val="none" w:sz="0" w:space="0" w:color="auto"/>
                  </w:divBdr>
                </w:div>
              </w:divsChild>
            </w:div>
            <w:div w:id="1303999716">
              <w:marLeft w:val="0"/>
              <w:marRight w:val="0"/>
              <w:marTop w:val="264"/>
              <w:marBottom w:val="0"/>
              <w:divBdr>
                <w:top w:val="none" w:sz="0" w:space="0" w:color="auto"/>
                <w:left w:val="none" w:sz="0" w:space="0" w:color="auto"/>
                <w:bottom w:val="none" w:sz="0" w:space="0" w:color="auto"/>
                <w:right w:val="none" w:sz="0" w:space="0" w:color="auto"/>
              </w:divBdr>
            </w:div>
            <w:div w:id="2015495214">
              <w:marLeft w:val="0"/>
              <w:marRight w:val="0"/>
              <w:marTop w:val="288"/>
              <w:marBottom w:val="100"/>
              <w:divBdr>
                <w:top w:val="none" w:sz="0" w:space="0" w:color="auto"/>
                <w:left w:val="none" w:sz="0" w:space="0" w:color="auto"/>
                <w:bottom w:val="none" w:sz="0" w:space="0" w:color="auto"/>
                <w:right w:val="none" w:sz="0" w:space="0" w:color="auto"/>
              </w:divBdr>
              <w:divsChild>
                <w:div w:id="1939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92008">
      <w:bodyDiv w:val="1"/>
      <w:marLeft w:val="0"/>
      <w:marRight w:val="0"/>
      <w:marTop w:val="0"/>
      <w:marBottom w:val="0"/>
      <w:divBdr>
        <w:top w:val="none" w:sz="0" w:space="0" w:color="auto"/>
        <w:left w:val="none" w:sz="0" w:space="0" w:color="auto"/>
        <w:bottom w:val="none" w:sz="0" w:space="0" w:color="auto"/>
        <w:right w:val="none" w:sz="0" w:space="0" w:color="auto"/>
      </w:divBdr>
    </w:div>
    <w:div w:id="1020397068">
      <w:bodyDiv w:val="1"/>
      <w:marLeft w:val="0"/>
      <w:marRight w:val="0"/>
      <w:marTop w:val="0"/>
      <w:marBottom w:val="0"/>
      <w:divBdr>
        <w:top w:val="none" w:sz="0" w:space="0" w:color="auto"/>
        <w:left w:val="none" w:sz="0" w:space="0" w:color="auto"/>
        <w:bottom w:val="none" w:sz="0" w:space="0" w:color="auto"/>
        <w:right w:val="none" w:sz="0" w:space="0" w:color="auto"/>
      </w:divBdr>
      <w:divsChild>
        <w:div w:id="591474172">
          <w:marLeft w:val="0"/>
          <w:marRight w:val="0"/>
          <w:marTop w:val="288"/>
          <w:marBottom w:val="100"/>
          <w:divBdr>
            <w:top w:val="none" w:sz="0" w:space="0" w:color="auto"/>
            <w:left w:val="none" w:sz="0" w:space="0" w:color="auto"/>
            <w:bottom w:val="none" w:sz="0" w:space="0" w:color="auto"/>
            <w:right w:val="none" w:sz="0" w:space="0" w:color="auto"/>
          </w:divBdr>
          <w:divsChild>
            <w:div w:id="1824925906">
              <w:marLeft w:val="0"/>
              <w:marRight w:val="0"/>
              <w:marTop w:val="0"/>
              <w:marBottom w:val="0"/>
              <w:divBdr>
                <w:top w:val="none" w:sz="0" w:space="0" w:color="auto"/>
                <w:left w:val="none" w:sz="0" w:space="0" w:color="auto"/>
                <w:bottom w:val="none" w:sz="0" w:space="0" w:color="auto"/>
                <w:right w:val="none" w:sz="0" w:space="0" w:color="auto"/>
              </w:divBdr>
            </w:div>
          </w:divsChild>
        </w:div>
        <w:div w:id="44379804">
          <w:marLeft w:val="0"/>
          <w:marRight w:val="0"/>
          <w:marTop w:val="264"/>
          <w:marBottom w:val="0"/>
          <w:divBdr>
            <w:top w:val="none" w:sz="0" w:space="0" w:color="auto"/>
            <w:left w:val="none" w:sz="0" w:space="0" w:color="auto"/>
            <w:bottom w:val="none" w:sz="0" w:space="0" w:color="auto"/>
            <w:right w:val="none" w:sz="0" w:space="0" w:color="auto"/>
          </w:divBdr>
        </w:div>
        <w:div w:id="1557623170">
          <w:marLeft w:val="0"/>
          <w:marRight w:val="0"/>
          <w:marTop w:val="288"/>
          <w:marBottom w:val="100"/>
          <w:divBdr>
            <w:top w:val="none" w:sz="0" w:space="0" w:color="auto"/>
            <w:left w:val="none" w:sz="0" w:space="0" w:color="auto"/>
            <w:bottom w:val="none" w:sz="0" w:space="0" w:color="auto"/>
            <w:right w:val="none" w:sz="0" w:space="0" w:color="auto"/>
          </w:divBdr>
          <w:divsChild>
            <w:div w:id="7715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8307">
      <w:bodyDiv w:val="1"/>
      <w:marLeft w:val="0"/>
      <w:marRight w:val="0"/>
      <w:marTop w:val="0"/>
      <w:marBottom w:val="0"/>
      <w:divBdr>
        <w:top w:val="none" w:sz="0" w:space="0" w:color="auto"/>
        <w:left w:val="none" w:sz="0" w:space="0" w:color="auto"/>
        <w:bottom w:val="none" w:sz="0" w:space="0" w:color="auto"/>
        <w:right w:val="none" w:sz="0" w:space="0" w:color="auto"/>
      </w:divBdr>
      <w:divsChild>
        <w:div w:id="1940946568">
          <w:marLeft w:val="0"/>
          <w:marRight w:val="0"/>
          <w:marTop w:val="0"/>
          <w:marBottom w:val="0"/>
          <w:divBdr>
            <w:top w:val="none" w:sz="0" w:space="0" w:color="auto"/>
            <w:left w:val="none" w:sz="0" w:space="0" w:color="auto"/>
            <w:bottom w:val="none" w:sz="0" w:space="0" w:color="auto"/>
            <w:right w:val="none" w:sz="0" w:space="0" w:color="auto"/>
          </w:divBdr>
        </w:div>
        <w:div w:id="1565871887">
          <w:marLeft w:val="0"/>
          <w:marRight w:val="0"/>
          <w:marTop w:val="0"/>
          <w:marBottom w:val="0"/>
          <w:divBdr>
            <w:top w:val="none" w:sz="0" w:space="0" w:color="auto"/>
            <w:left w:val="none" w:sz="0" w:space="0" w:color="auto"/>
            <w:bottom w:val="none" w:sz="0" w:space="0" w:color="auto"/>
            <w:right w:val="none" w:sz="0" w:space="0" w:color="auto"/>
          </w:divBdr>
        </w:div>
        <w:div w:id="348726445">
          <w:marLeft w:val="0"/>
          <w:marRight w:val="0"/>
          <w:marTop w:val="0"/>
          <w:marBottom w:val="0"/>
          <w:divBdr>
            <w:top w:val="none" w:sz="0" w:space="0" w:color="auto"/>
            <w:left w:val="none" w:sz="0" w:space="0" w:color="auto"/>
            <w:bottom w:val="none" w:sz="0" w:space="0" w:color="auto"/>
            <w:right w:val="none" w:sz="0" w:space="0" w:color="auto"/>
          </w:divBdr>
        </w:div>
        <w:div w:id="159002439">
          <w:marLeft w:val="0"/>
          <w:marRight w:val="0"/>
          <w:marTop w:val="288"/>
          <w:marBottom w:val="100"/>
          <w:divBdr>
            <w:top w:val="none" w:sz="0" w:space="0" w:color="auto"/>
            <w:left w:val="none" w:sz="0" w:space="0" w:color="auto"/>
            <w:bottom w:val="none" w:sz="0" w:space="0" w:color="auto"/>
            <w:right w:val="none" w:sz="0" w:space="0" w:color="auto"/>
          </w:divBdr>
        </w:div>
      </w:divsChild>
    </w:div>
    <w:div w:id="1051075853">
      <w:bodyDiv w:val="1"/>
      <w:marLeft w:val="0"/>
      <w:marRight w:val="0"/>
      <w:marTop w:val="0"/>
      <w:marBottom w:val="0"/>
      <w:divBdr>
        <w:top w:val="none" w:sz="0" w:space="0" w:color="auto"/>
        <w:left w:val="none" w:sz="0" w:space="0" w:color="auto"/>
        <w:bottom w:val="none" w:sz="0" w:space="0" w:color="auto"/>
        <w:right w:val="none" w:sz="0" w:space="0" w:color="auto"/>
      </w:divBdr>
    </w:div>
    <w:div w:id="1132672553">
      <w:bodyDiv w:val="1"/>
      <w:marLeft w:val="0"/>
      <w:marRight w:val="0"/>
      <w:marTop w:val="0"/>
      <w:marBottom w:val="0"/>
      <w:divBdr>
        <w:top w:val="none" w:sz="0" w:space="0" w:color="auto"/>
        <w:left w:val="none" w:sz="0" w:space="0" w:color="auto"/>
        <w:bottom w:val="none" w:sz="0" w:space="0" w:color="auto"/>
        <w:right w:val="none" w:sz="0" w:space="0" w:color="auto"/>
      </w:divBdr>
    </w:div>
    <w:div w:id="1150710765">
      <w:bodyDiv w:val="1"/>
      <w:marLeft w:val="0"/>
      <w:marRight w:val="0"/>
      <w:marTop w:val="0"/>
      <w:marBottom w:val="0"/>
      <w:divBdr>
        <w:top w:val="none" w:sz="0" w:space="0" w:color="auto"/>
        <w:left w:val="none" w:sz="0" w:space="0" w:color="auto"/>
        <w:bottom w:val="none" w:sz="0" w:space="0" w:color="auto"/>
        <w:right w:val="none" w:sz="0" w:space="0" w:color="auto"/>
      </w:divBdr>
      <w:divsChild>
        <w:div w:id="1162432597">
          <w:marLeft w:val="0"/>
          <w:marRight w:val="0"/>
          <w:marTop w:val="288"/>
          <w:marBottom w:val="100"/>
          <w:divBdr>
            <w:top w:val="none" w:sz="0" w:space="0" w:color="auto"/>
            <w:left w:val="none" w:sz="0" w:space="0" w:color="auto"/>
            <w:bottom w:val="none" w:sz="0" w:space="0" w:color="auto"/>
            <w:right w:val="none" w:sz="0" w:space="0" w:color="auto"/>
          </w:divBdr>
          <w:divsChild>
            <w:div w:id="543174124">
              <w:marLeft w:val="0"/>
              <w:marRight w:val="0"/>
              <w:marTop w:val="0"/>
              <w:marBottom w:val="0"/>
              <w:divBdr>
                <w:top w:val="none" w:sz="0" w:space="0" w:color="auto"/>
                <w:left w:val="none" w:sz="0" w:space="0" w:color="auto"/>
                <w:bottom w:val="none" w:sz="0" w:space="0" w:color="auto"/>
                <w:right w:val="none" w:sz="0" w:space="0" w:color="auto"/>
              </w:divBdr>
            </w:div>
          </w:divsChild>
        </w:div>
        <w:div w:id="2108967192">
          <w:marLeft w:val="0"/>
          <w:marRight w:val="0"/>
          <w:marTop w:val="288"/>
          <w:marBottom w:val="100"/>
          <w:divBdr>
            <w:top w:val="none" w:sz="0" w:space="0" w:color="auto"/>
            <w:left w:val="none" w:sz="0" w:space="0" w:color="auto"/>
            <w:bottom w:val="none" w:sz="0" w:space="0" w:color="auto"/>
            <w:right w:val="none" w:sz="0" w:space="0" w:color="auto"/>
          </w:divBdr>
          <w:divsChild>
            <w:div w:id="15628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5159">
      <w:bodyDiv w:val="1"/>
      <w:marLeft w:val="0"/>
      <w:marRight w:val="0"/>
      <w:marTop w:val="0"/>
      <w:marBottom w:val="0"/>
      <w:divBdr>
        <w:top w:val="none" w:sz="0" w:space="0" w:color="auto"/>
        <w:left w:val="none" w:sz="0" w:space="0" w:color="auto"/>
        <w:bottom w:val="none" w:sz="0" w:space="0" w:color="auto"/>
        <w:right w:val="none" w:sz="0" w:space="0" w:color="auto"/>
      </w:divBdr>
    </w:div>
    <w:div w:id="1355614213">
      <w:bodyDiv w:val="1"/>
      <w:marLeft w:val="0"/>
      <w:marRight w:val="0"/>
      <w:marTop w:val="0"/>
      <w:marBottom w:val="0"/>
      <w:divBdr>
        <w:top w:val="none" w:sz="0" w:space="0" w:color="auto"/>
        <w:left w:val="none" w:sz="0" w:space="0" w:color="auto"/>
        <w:bottom w:val="none" w:sz="0" w:space="0" w:color="auto"/>
        <w:right w:val="none" w:sz="0" w:space="0" w:color="auto"/>
      </w:divBdr>
      <w:divsChild>
        <w:div w:id="799566301">
          <w:marLeft w:val="0"/>
          <w:marRight w:val="0"/>
          <w:marTop w:val="288"/>
          <w:marBottom w:val="100"/>
          <w:divBdr>
            <w:top w:val="none" w:sz="0" w:space="0" w:color="auto"/>
            <w:left w:val="none" w:sz="0" w:space="0" w:color="auto"/>
            <w:bottom w:val="none" w:sz="0" w:space="0" w:color="auto"/>
            <w:right w:val="none" w:sz="0" w:space="0" w:color="auto"/>
          </w:divBdr>
          <w:divsChild>
            <w:div w:id="593513512">
              <w:marLeft w:val="0"/>
              <w:marRight w:val="0"/>
              <w:marTop w:val="0"/>
              <w:marBottom w:val="0"/>
              <w:divBdr>
                <w:top w:val="none" w:sz="0" w:space="0" w:color="auto"/>
                <w:left w:val="none" w:sz="0" w:space="0" w:color="auto"/>
                <w:bottom w:val="none" w:sz="0" w:space="0" w:color="auto"/>
                <w:right w:val="none" w:sz="0" w:space="0" w:color="auto"/>
              </w:divBdr>
            </w:div>
          </w:divsChild>
        </w:div>
        <w:div w:id="1628466823">
          <w:marLeft w:val="0"/>
          <w:marRight w:val="0"/>
          <w:marTop w:val="288"/>
          <w:marBottom w:val="100"/>
          <w:divBdr>
            <w:top w:val="none" w:sz="0" w:space="0" w:color="auto"/>
            <w:left w:val="none" w:sz="0" w:space="0" w:color="auto"/>
            <w:bottom w:val="none" w:sz="0" w:space="0" w:color="auto"/>
            <w:right w:val="none" w:sz="0" w:space="0" w:color="auto"/>
          </w:divBdr>
          <w:divsChild>
            <w:div w:id="15232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83691">
      <w:bodyDiv w:val="1"/>
      <w:marLeft w:val="0"/>
      <w:marRight w:val="0"/>
      <w:marTop w:val="0"/>
      <w:marBottom w:val="0"/>
      <w:divBdr>
        <w:top w:val="none" w:sz="0" w:space="0" w:color="auto"/>
        <w:left w:val="none" w:sz="0" w:space="0" w:color="auto"/>
        <w:bottom w:val="none" w:sz="0" w:space="0" w:color="auto"/>
        <w:right w:val="none" w:sz="0" w:space="0" w:color="auto"/>
      </w:divBdr>
    </w:div>
    <w:div w:id="1654990422">
      <w:bodyDiv w:val="1"/>
      <w:marLeft w:val="0"/>
      <w:marRight w:val="0"/>
      <w:marTop w:val="0"/>
      <w:marBottom w:val="0"/>
      <w:divBdr>
        <w:top w:val="none" w:sz="0" w:space="0" w:color="auto"/>
        <w:left w:val="none" w:sz="0" w:space="0" w:color="auto"/>
        <w:bottom w:val="none" w:sz="0" w:space="0" w:color="auto"/>
        <w:right w:val="none" w:sz="0" w:space="0" w:color="auto"/>
      </w:divBdr>
    </w:div>
    <w:div w:id="1734233934">
      <w:bodyDiv w:val="1"/>
      <w:marLeft w:val="0"/>
      <w:marRight w:val="0"/>
      <w:marTop w:val="0"/>
      <w:marBottom w:val="0"/>
      <w:divBdr>
        <w:top w:val="none" w:sz="0" w:space="0" w:color="auto"/>
        <w:left w:val="none" w:sz="0" w:space="0" w:color="auto"/>
        <w:bottom w:val="none" w:sz="0" w:space="0" w:color="auto"/>
        <w:right w:val="none" w:sz="0" w:space="0" w:color="auto"/>
      </w:divBdr>
    </w:div>
    <w:div w:id="1787191718">
      <w:bodyDiv w:val="1"/>
      <w:marLeft w:val="0"/>
      <w:marRight w:val="0"/>
      <w:marTop w:val="0"/>
      <w:marBottom w:val="0"/>
      <w:divBdr>
        <w:top w:val="none" w:sz="0" w:space="0" w:color="auto"/>
        <w:left w:val="none" w:sz="0" w:space="0" w:color="auto"/>
        <w:bottom w:val="none" w:sz="0" w:space="0" w:color="auto"/>
        <w:right w:val="none" w:sz="0" w:space="0" w:color="auto"/>
      </w:divBdr>
      <w:divsChild>
        <w:div w:id="1826776974">
          <w:marLeft w:val="0"/>
          <w:marRight w:val="0"/>
          <w:marTop w:val="288"/>
          <w:marBottom w:val="100"/>
          <w:divBdr>
            <w:top w:val="none" w:sz="0" w:space="0" w:color="auto"/>
            <w:left w:val="none" w:sz="0" w:space="0" w:color="auto"/>
            <w:bottom w:val="none" w:sz="0" w:space="0" w:color="auto"/>
            <w:right w:val="none" w:sz="0" w:space="0" w:color="auto"/>
          </w:divBdr>
          <w:divsChild>
            <w:div w:id="1918635946">
              <w:marLeft w:val="0"/>
              <w:marRight w:val="0"/>
              <w:marTop w:val="0"/>
              <w:marBottom w:val="0"/>
              <w:divBdr>
                <w:top w:val="none" w:sz="0" w:space="0" w:color="auto"/>
                <w:left w:val="none" w:sz="0" w:space="0" w:color="auto"/>
                <w:bottom w:val="none" w:sz="0" w:space="0" w:color="auto"/>
                <w:right w:val="none" w:sz="0" w:space="0" w:color="auto"/>
              </w:divBdr>
            </w:div>
          </w:divsChild>
        </w:div>
        <w:div w:id="1386756160">
          <w:marLeft w:val="0"/>
          <w:marRight w:val="0"/>
          <w:marTop w:val="432"/>
          <w:marBottom w:val="100"/>
          <w:divBdr>
            <w:top w:val="none" w:sz="0" w:space="0" w:color="auto"/>
            <w:left w:val="none" w:sz="0" w:space="0" w:color="auto"/>
            <w:bottom w:val="none" w:sz="0" w:space="0" w:color="auto"/>
            <w:right w:val="none" w:sz="0" w:space="0" w:color="auto"/>
          </w:divBdr>
        </w:div>
        <w:div w:id="1593127005">
          <w:marLeft w:val="0"/>
          <w:marRight w:val="0"/>
          <w:marTop w:val="288"/>
          <w:marBottom w:val="100"/>
          <w:divBdr>
            <w:top w:val="none" w:sz="0" w:space="0" w:color="auto"/>
            <w:left w:val="none" w:sz="0" w:space="0" w:color="auto"/>
            <w:bottom w:val="none" w:sz="0" w:space="0" w:color="auto"/>
            <w:right w:val="none" w:sz="0" w:space="0" w:color="auto"/>
          </w:divBdr>
          <w:divsChild>
            <w:div w:id="1674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9841">
      <w:bodyDiv w:val="1"/>
      <w:marLeft w:val="0"/>
      <w:marRight w:val="0"/>
      <w:marTop w:val="0"/>
      <w:marBottom w:val="0"/>
      <w:divBdr>
        <w:top w:val="none" w:sz="0" w:space="0" w:color="auto"/>
        <w:left w:val="none" w:sz="0" w:space="0" w:color="auto"/>
        <w:bottom w:val="none" w:sz="0" w:space="0" w:color="auto"/>
        <w:right w:val="none" w:sz="0" w:space="0" w:color="auto"/>
      </w:divBdr>
      <w:divsChild>
        <w:div w:id="1311206310">
          <w:marLeft w:val="0"/>
          <w:marRight w:val="0"/>
          <w:marTop w:val="288"/>
          <w:marBottom w:val="100"/>
          <w:divBdr>
            <w:top w:val="none" w:sz="0" w:space="0" w:color="auto"/>
            <w:left w:val="none" w:sz="0" w:space="0" w:color="auto"/>
            <w:bottom w:val="none" w:sz="0" w:space="0" w:color="auto"/>
            <w:right w:val="none" w:sz="0" w:space="0" w:color="auto"/>
          </w:divBdr>
          <w:divsChild>
            <w:div w:id="1125005385">
              <w:marLeft w:val="0"/>
              <w:marRight w:val="0"/>
              <w:marTop w:val="0"/>
              <w:marBottom w:val="0"/>
              <w:divBdr>
                <w:top w:val="none" w:sz="0" w:space="0" w:color="auto"/>
                <w:left w:val="none" w:sz="0" w:space="0" w:color="auto"/>
                <w:bottom w:val="none" w:sz="0" w:space="0" w:color="auto"/>
                <w:right w:val="none" w:sz="0" w:space="0" w:color="auto"/>
              </w:divBdr>
            </w:div>
          </w:divsChild>
        </w:div>
        <w:div w:id="1162046191">
          <w:marLeft w:val="0"/>
          <w:marRight w:val="0"/>
          <w:marTop w:val="288"/>
          <w:marBottom w:val="100"/>
          <w:divBdr>
            <w:top w:val="none" w:sz="0" w:space="0" w:color="auto"/>
            <w:left w:val="none" w:sz="0" w:space="0" w:color="auto"/>
            <w:bottom w:val="none" w:sz="0" w:space="0" w:color="auto"/>
            <w:right w:val="none" w:sz="0" w:space="0" w:color="auto"/>
          </w:divBdr>
          <w:divsChild>
            <w:div w:id="16420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53253">
      <w:bodyDiv w:val="1"/>
      <w:marLeft w:val="0"/>
      <w:marRight w:val="0"/>
      <w:marTop w:val="0"/>
      <w:marBottom w:val="0"/>
      <w:divBdr>
        <w:top w:val="none" w:sz="0" w:space="0" w:color="auto"/>
        <w:left w:val="none" w:sz="0" w:space="0" w:color="auto"/>
        <w:bottom w:val="none" w:sz="0" w:space="0" w:color="auto"/>
        <w:right w:val="none" w:sz="0" w:space="0" w:color="auto"/>
      </w:divBdr>
      <w:divsChild>
        <w:div w:id="2121878287">
          <w:marLeft w:val="0"/>
          <w:marRight w:val="0"/>
          <w:marTop w:val="0"/>
          <w:marBottom w:val="0"/>
          <w:divBdr>
            <w:top w:val="none" w:sz="0" w:space="0" w:color="auto"/>
            <w:left w:val="none" w:sz="0" w:space="0" w:color="auto"/>
            <w:bottom w:val="none" w:sz="0" w:space="0" w:color="auto"/>
            <w:right w:val="none" w:sz="0" w:space="0" w:color="auto"/>
          </w:divBdr>
        </w:div>
        <w:div w:id="632952071">
          <w:marLeft w:val="0"/>
          <w:marRight w:val="0"/>
          <w:marTop w:val="0"/>
          <w:marBottom w:val="0"/>
          <w:divBdr>
            <w:top w:val="none" w:sz="0" w:space="0" w:color="auto"/>
            <w:left w:val="none" w:sz="0" w:space="0" w:color="auto"/>
            <w:bottom w:val="none" w:sz="0" w:space="0" w:color="auto"/>
            <w:right w:val="none" w:sz="0" w:space="0" w:color="auto"/>
          </w:divBdr>
        </w:div>
        <w:div w:id="423764027">
          <w:marLeft w:val="0"/>
          <w:marRight w:val="0"/>
          <w:marTop w:val="0"/>
          <w:marBottom w:val="0"/>
          <w:divBdr>
            <w:top w:val="none" w:sz="0" w:space="0" w:color="auto"/>
            <w:left w:val="none" w:sz="0" w:space="0" w:color="auto"/>
            <w:bottom w:val="none" w:sz="0" w:space="0" w:color="auto"/>
            <w:right w:val="none" w:sz="0" w:space="0" w:color="auto"/>
          </w:divBdr>
          <w:divsChild>
            <w:div w:id="1143623553">
              <w:marLeft w:val="0"/>
              <w:marRight w:val="0"/>
              <w:marTop w:val="0"/>
              <w:marBottom w:val="0"/>
              <w:divBdr>
                <w:top w:val="none" w:sz="0" w:space="0" w:color="auto"/>
                <w:left w:val="none" w:sz="0" w:space="0" w:color="auto"/>
                <w:bottom w:val="none" w:sz="0" w:space="0" w:color="auto"/>
                <w:right w:val="none" w:sz="0" w:space="0" w:color="auto"/>
              </w:divBdr>
            </w:div>
          </w:divsChild>
        </w:div>
        <w:div w:id="132646235">
          <w:marLeft w:val="0"/>
          <w:marRight w:val="0"/>
          <w:marTop w:val="288"/>
          <w:marBottom w:val="100"/>
          <w:divBdr>
            <w:top w:val="none" w:sz="0" w:space="0" w:color="auto"/>
            <w:left w:val="none" w:sz="0" w:space="0" w:color="auto"/>
            <w:bottom w:val="none" w:sz="0" w:space="0" w:color="auto"/>
            <w:right w:val="none" w:sz="0" w:space="0" w:color="auto"/>
          </w:divBdr>
        </w:div>
      </w:divsChild>
    </w:div>
    <w:div w:id="2003121074">
      <w:bodyDiv w:val="1"/>
      <w:marLeft w:val="0"/>
      <w:marRight w:val="0"/>
      <w:marTop w:val="0"/>
      <w:marBottom w:val="0"/>
      <w:divBdr>
        <w:top w:val="none" w:sz="0" w:space="0" w:color="auto"/>
        <w:left w:val="none" w:sz="0" w:space="0" w:color="auto"/>
        <w:bottom w:val="none" w:sz="0" w:space="0" w:color="auto"/>
        <w:right w:val="none" w:sz="0" w:space="0" w:color="auto"/>
      </w:divBdr>
      <w:divsChild>
        <w:div w:id="1840608561">
          <w:marLeft w:val="0"/>
          <w:marRight w:val="0"/>
          <w:marTop w:val="288"/>
          <w:marBottom w:val="100"/>
          <w:divBdr>
            <w:top w:val="none" w:sz="0" w:space="0" w:color="auto"/>
            <w:left w:val="none" w:sz="0" w:space="0" w:color="auto"/>
            <w:bottom w:val="none" w:sz="0" w:space="0" w:color="auto"/>
            <w:right w:val="none" w:sz="0" w:space="0" w:color="auto"/>
          </w:divBdr>
          <w:divsChild>
            <w:div w:id="1328367414">
              <w:marLeft w:val="0"/>
              <w:marRight w:val="0"/>
              <w:marTop w:val="0"/>
              <w:marBottom w:val="0"/>
              <w:divBdr>
                <w:top w:val="none" w:sz="0" w:space="0" w:color="auto"/>
                <w:left w:val="none" w:sz="0" w:space="0" w:color="auto"/>
                <w:bottom w:val="none" w:sz="0" w:space="0" w:color="auto"/>
                <w:right w:val="none" w:sz="0" w:space="0" w:color="auto"/>
              </w:divBdr>
            </w:div>
          </w:divsChild>
        </w:div>
        <w:div w:id="1542129918">
          <w:marLeft w:val="0"/>
          <w:marRight w:val="0"/>
          <w:marTop w:val="288"/>
          <w:marBottom w:val="100"/>
          <w:divBdr>
            <w:top w:val="none" w:sz="0" w:space="0" w:color="auto"/>
            <w:left w:val="none" w:sz="0" w:space="0" w:color="auto"/>
            <w:bottom w:val="none" w:sz="0" w:space="0" w:color="auto"/>
            <w:right w:val="none" w:sz="0" w:space="0" w:color="auto"/>
          </w:divBdr>
          <w:divsChild>
            <w:div w:id="296574391">
              <w:marLeft w:val="0"/>
              <w:marRight w:val="0"/>
              <w:marTop w:val="0"/>
              <w:marBottom w:val="0"/>
              <w:divBdr>
                <w:top w:val="none" w:sz="0" w:space="0" w:color="auto"/>
                <w:left w:val="none" w:sz="0" w:space="0" w:color="auto"/>
                <w:bottom w:val="none" w:sz="0" w:space="0" w:color="auto"/>
                <w:right w:val="none" w:sz="0" w:space="0" w:color="auto"/>
              </w:divBdr>
            </w:div>
            <w:div w:id="12239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844">
      <w:bodyDiv w:val="1"/>
      <w:marLeft w:val="0"/>
      <w:marRight w:val="0"/>
      <w:marTop w:val="0"/>
      <w:marBottom w:val="0"/>
      <w:divBdr>
        <w:top w:val="none" w:sz="0" w:space="0" w:color="auto"/>
        <w:left w:val="none" w:sz="0" w:space="0" w:color="auto"/>
        <w:bottom w:val="none" w:sz="0" w:space="0" w:color="auto"/>
        <w:right w:val="none" w:sz="0" w:space="0" w:color="auto"/>
      </w:divBdr>
      <w:divsChild>
        <w:div w:id="160000712">
          <w:marLeft w:val="0"/>
          <w:marRight w:val="0"/>
          <w:marTop w:val="288"/>
          <w:marBottom w:val="100"/>
          <w:divBdr>
            <w:top w:val="none" w:sz="0" w:space="0" w:color="auto"/>
            <w:left w:val="none" w:sz="0" w:space="0" w:color="auto"/>
            <w:bottom w:val="none" w:sz="0" w:space="0" w:color="auto"/>
            <w:right w:val="none" w:sz="0" w:space="0" w:color="auto"/>
          </w:divBdr>
          <w:divsChild>
            <w:div w:id="1732340363">
              <w:marLeft w:val="0"/>
              <w:marRight w:val="0"/>
              <w:marTop w:val="0"/>
              <w:marBottom w:val="0"/>
              <w:divBdr>
                <w:top w:val="none" w:sz="0" w:space="0" w:color="auto"/>
                <w:left w:val="none" w:sz="0" w:space="0" w:color="auto"/>
                <w:bottom w:val="none" w:sz="0" w:space="0" w:color="auto"/>
                <w:right w:val="none" w:sz="0" w:space="0" w:color="auto"/>
              </w:divBdr>
            </w:div>
          </w:divsChild>
        </w:div>
        <w:div w:id="1978535920">
          <w:marLeft w:val="0"/>
          <w:marRight w:val="0"/>
          <w:marTop w:val="288"/>
          <w:marBottom w:val="100"/>
          <w:divBdr>
            <w:top w:val="none" w:sz="0" w:space="0" w:color="auto"/>
            <w:left w:val="none" w:sz="0" w:space="0" w:color="auto"/>
            <w:bottom w:val="none" w:sz="0" w:space="0" w:color="auto"/>
            <w:right w:val="none" w:sz="0" w:space="0" w:color="auto"/>
          </w:divBdr>
          <w:divsChild>
            <w:div w:id="7775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reativecommons.org/licenses/by-nc/4.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2399</Words>
  <Characters>13679</Characters>
  <Application>Microsoft Office Word</Application>
  <DocSecurity>0</DocSecurity>
  <Lines>113</Lines>
  <Paragraphs>32</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16046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Quirino Lai</dc:creator>
  <cp:lastModifiedBy>Na Ma</cp:lastModifiedBy>
  <cp:revision>4</cp:revision>
  <dcterms:created xsi:type="dcterms:W3CDTF">2018-07-16T01:14:00Z</dcterms:created>
  <dcterms:modified xsi:type="dcterms:W3CDTF">2018-07-16T01:33:00Z</dcterms:modified>
</cp:coreProperties>
</file>