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EBB95" w14:textId="10EBB75A" w:rsidR="002023E6" w:rsidRPr="002D44D6" w:rsidRDefault="002023E6" w:rsidP="002D44D6">
      <w:pPr>
        <w:widowControl w:val="0"/>
        <w:adjustRightInd w:val="0"/>
        <w:snapToGrid w:val="0"/>
        <w:spacing w:line="360" w:lineRule="auto"/>
        <w:jc w:val="both"/>
        <w:rPr>
          <w:rFonts w:ascii="Book Antiqua" w:hAnsi="Book Antiqua" w:cs="Arial"/>
          <w:i/>
          <w:color w:val="000000"/>
        </w:rPr>
      </w:pPr>
      <w:r w:rsidRPr="002D44D6">
        <w:rPr>
          <w:rFonts w:ascii="Book Antiqua" w:hAnsi="Book Antiqua" w:cs="Arial"/>
          <w:b/>
          <w:color w:val="000000"/>
        </w:rPr>
        <w:t xml:space="preserve">Name of Journal: </w:t>
      </w:r>
      <w:r w:rsidRPr="002D44D6">
        <w:rPr>
          <w:rFonts w:ascii="Book Antiqua" w:hAnsi="Book Antiqua" w:cs="Arial"/>
          <w:b/>
          <w:i/>
          <w:color w:val="000000"/>
        </w:rPr>
        <w:t>World Journal of Gastroenterology</w:t>
      </w:r>
    </w:p>
    <w:p w14:paraId="280E4D02" w14:textId="057FF9D6" w:rsidR="002023E6" w:rsidRPr="002D44D6" w:rsidRDefault="00C761F0" w:rsidP="002D44D6">
      <w:pPr>
        <w:widowControl w:val="0"/>
        <w:adjustRightInd w:val="0"/>
        <w:snapToGrid w:val="0"/>
        <w:spacing w:line="360" w:lineRule="auto"/>
        <w:jc w:val="both"/>
        <w:rPr>
          <w:rFonts w:ascii="Book Antiqua" w:eastAsia="SimSun" w:hAnsi="Book Antiqua" w:cs="Arial"/>
          <w:b/>
          <w:color w:val="000000"/>
          <w:kern w:val="2"/>
          <w:lang w:val="en" w:eastAsia="zh-CN"/>
        </w:rPr>
      </w:pPr>
      <w:r w:rsidRPr="002D44D6">
        <w:rPr>
          <w:rFonts w:ascii="Book Antiqua" w:eastAsia="Times New Roman" w:hAnsi="Book Antiqua" w:cs="Times New Roman"/>
          <w:b/>
          <w:bCs/>
          <w:color w:val="222222"/>
          <w:kern w:val="2"/>
          <w:lang w:eastAsia="zh-CN"/>
        </w:rPr>
        <w:t>Manuscript NO</w:t>
      </w:r>
      <w:r w:rsidRPr="002D44D6">
        <w:rPr>
          <w:rFonts w:ascii="Book Antiqua" w:eastAsia="SimSun" w:hAnsi="Book Antiqua" w:cs="Arial"/>
          <w:b/>
          <w:color w:val="000000"/>
          <w:kern w:val="2"/>
          <w:lang w:val="en" w:eastAsia="zh-CN"/>
        </w:rPr>
        <w:t>: 40099</w:t>
      </w:r>
    </w:p>
    <w:p w14:paraId="249D7C8B" w14:textId="15DCA5A0" w:rsidR="002023E6" w:rsidRPr="002D44D6" w:rsidRDefault="002023E6" w:rsidP="002D44D6">
      <w:pPr>
        <w:widowControl w:val="0"/>
        <w:adjustRightInd w:val="0"/>
        <w:snapToGrid w:val="0"/>
        <w:spacing w:line="360" w:lineRule="auto"/>
        <w:jc w:val="both"/>
        <w:rPr>
          <w:rFonts w:ascii="Book Antiqua" w:hAnsi="Book Antiqua" w:cs="Arial"/>
          <w:color w:val="000000"/>
        </w:rPr>
      </w:pPr>
      <w:r w:rsidRPr="002D44D6">
        <w:rPr>
          <w:rFonts w:ascii="Book Antiqua" w:hAnsi="Book Antiqua" w:cs="Arial"/>
          <w:b/>
          <w:color w:val="000000"/>
        </w:rPr>
        <w:t>Manuscript Type:</w:t>
      </w:r>
      <w:r w:rsidRPr="002D44D6">
        <w:rPr>
          <w:rFonts w:ascii="Book Antiqua" w:hAnsi="Book Antiqua" w:cs="Arial"/>
          <w:color w:val="000000"/>
        </w:rPr>
        <w:t xml:space="preserve"> </w:t>
      </w:r>
      <w:r w:rsidRPr="002D44D6">
        <w:rPr>
          <w:rFonts w:ascii="Book Antiqua" w:hAnsi="Book Antiqua" w:cs="Arial"/>
          <w:b/>
          <w:color w:val="000000"/>
        </w:rPr>
        <w:t>MINIREVIEWS</w:t>
      </w:r>
    </w:p>
    <w:p w14:paraId="47ACFE72" w14:textId="77777777" w:rsidR="002023E6" w:rsidRPr="002D44D6" w:rsidRDefault="002023E6" w:rsidP="002D44D6">
      <w:pPr>
        <w:widowControl w:val="0"/>
        <w:adjustRightInd w:val="0"/>
        <w:snapToGrid w:val="0"/>
        <w:spacing w:line="360" w:lineRule="auto"/>
        <w:jc w:val="both"/>
        <w:rPr>
          <w:rFonts w:ascii="Book Antiqua" w:hAnsi="Book Antiqua" w:cs="Arial"/>
          <w:color w:val="000000"/>
        </w:rPr>
      </w:pPr>
    </w:p>
    <w:p w14:paraId="4CCA98E8" w14:textId="1358D573" w:rsidR="002023E6" w:rsidRPr="002D44D6" w:rsidRDefault="002023E6" w:rsidP="002D44D6">
      <w:pPr>
        <w:widowControl w:val="0"/>
        <w:adjustRightInd w:val="0"/>
        <w:snapToGrid w:val="0"/>
        <w:spacing w:line="360" w:lineRule="auto"/>
        <w:jc w:val="both"/>
        <w:rPr>
          <w:rFonts w:ascii="Book Antiqua" w:eastAsia="SimSun" w:hAnsi="Book Antiqua" w:cs="Arial"/>
          <w:b/>
          <w:color w:val="000000"/>
          <w:lang w:eastAsia="zh-CN"/>
        </w:rPr>
      </w:pPr>
      <w:r w:rsidRPr="002D44D6">
        <w:rPr>
          <w:rFonts w:ascii="Book Antiqua" w:hAnsi="Book Antiqua" w:cs="Arial"/>
          <w:b/>
          <w:color w:val="000000"/>
        </w:rPr>
        <w:t>Osteoporosis in primary biliary cholangitis</w:t>
      </w:r>
    </w:p>
    <w:p w14:paraId="19A02BAF" w14:textId="77777777" w:rsidR="00C761F0" w:rsidRPr="002D44D6" w:rsidRDefault="00C761F0" w:rsidP="002D44D6">
      <w:pPr>
        <w:widowControl w:val="0"/>
        <w:adjustRightInd w:val="0"/>
        <w:snapToGrid w:val="0"/>
        <w:spacing w:line="360" w:lineRule="auto"/>
        <w:jc w:val="both"/>
        <w:rPr>
          <w:rFonts w:ascii="Book Antiqua" w:eastAsia="SimSun" w:hAnsi="Book Antiqua" w:cs="Arial"/>
          <w:b/>
          <w:color w:val="000000"/>
          <w:lang w:eastAsia="zh-CN"/>
        </w:rPr>
      </w:pPr>
    </w:p>
    <w:p w14:paraId="50CEB25D" w14:textId="605299B2" w:rsidR="002023E6" w:rsidRPr="002D44D6" w:rsidRDefault="002023E6" w:rsidP="002D44D6">
      <w:pPr>
        <w:widowControl w:val="0"/>
        <w:adjustRightInd w:val="0"/>
        <w:snapToGrid w:val="0"/>
        <w:spacing w:line="360" w:lineRule="auto"/>
        <w:jc w:val="both"/>
        <w:rPr>
          <w:rFonts w:ascii="Book Antiqua" w:hAnsi="Book Antiqua" w:cs="Arial"/>
        </w:rPr>
      </w:pPr>
      <w:proofErr w:type="spellStart"/>
      <w:r w:rsidRPr="002D44D6">
        <w:rPr>
          <w:rFonts w:ascii="Book Antiqua" w:hAnsi="Book Antiqua" w:cs="Arial"/>
        </w:rPr>
        <w:t>Danford</w:t>
      </w:r>
      <w:proofErr w:type="spellEnd"/>
      <w:r w:rsidRPr="002D44D6">
        <w:rPr>
          <w:rFonts w:ascii="Book Antiqua" w:hAnsi="Book Antiqua" w:cs="Arial"/>
        </w:rPr>
        <w:t xml:space="preserve"> CJ </w:t>
      </w:r>
      <w:r w:rsidRPr="002D44D6">
        <w:rPr>
          <w:rFonts w:ascii="Book Antiqua" w:hAnsi="Book Antiqua" w:cs="Arial"/>
          <w:i/>
        </w:rPr>
        <w:t>et al.</w:t>
      </w:r>
      <w:r w:rsidRPr="002D44D6">
        <w:rPr>
          <w:rFonts w:ascii="Book Antiqua" w:hAnsi="Book Antiqua" w:cs="Arial"/>
        </w:rPr>
        <w:t xml:space="preserve"> Osteoporosis in PBC</w:t>
      </w:r>
    </w:p>
    <w:p w14:paraId="52AA4882" w14:textId="77777777" w:rsidR="002023E6" w:rsidRPr="002D44D6" w:rsidRDefault="002023E6" w:rsidP="002D44D6">
      <w:pPr>
        <w:widowControl w:val="0"/>
        <w:adjustRightInd w:val="0"/>
        <w:snapToGrid w:val="0"/>
        <w:spacing w:line="360" w:lineRule="auto"/>
        <w:jc w:val="both"/>
        <w:rPr>
          <w:rFonts w:ascii="Book Antiqua" w:hAnsi="Book Antiqua" w:cs="Arial"/>
        </w:rPr>
      </w:pPr>
    </w:p>
    <w:p w14:paraId="19CD0E6D" w14:textId="3EEA28AF" w:rsidR="002023E6" w:rsidRPr="00AC7817" w:rsidRDefault="002023E6" w:rsidP="002D44D6">
      <w:pPr>
        <w:widowControl w:val="0"/>
        <w:adjustRightInd w:val="0"/>
        <w:snapToGrid w:val="0"/>
        <w:spacing w:line="360" w:lineRule="auto"/>
        <w:jc w:val="both"/>
        <w:rPr>
          <w:rFonts w:ascii="Book Antiqua" w:hAnsi="Book Antiqua" w:cs="Arial"/>
        </w:rPr>
      </w:pPr>
      <w:r w:rsidRPr="00AC7817">
        <w:rPr>
          <w:rFonts w:ascii="Book Antiqua" w:hAnsi="Book Antiqua" w:cs="Arial"/>
        </w:rPr>
        <w:t xml:space="preserve">Christopher J </w:t>
      </w:r>
      <w:proofErr w:type="spellStart"/>
      <w:r w:rsidRPr="00AC7817">
        <w:rPr>
          <w:rFonts w:ascii="Book Antiqua" w:hAnsi="Book Antiqua" w:cs="Arial"/>
        </w:rPr>
        <w:t>Danford</w:t>
      </w:r>
      <w:proofErr w:type="spellEnd"/>
      <w:r w:rsidRPr="00AC7817">
        <w:rPr>
          <w:rFonts w:ascii="Book Antiqua" w:hAnsi="Book Antiqua" w:cs="Arial"/>
        </w:rPr>
        <w:t xml:space="preserve">, Hirsh D Trivedi, Konstantinos </w:t>
      </w:r>
      <w:proofErr w:type="spellStart"/>
      <w:r w:rsidRPr="00AC7817">
        <w:rPr>
          <w:rFonts w:ascii="Book Antiqua" w:hAnsi="Book Antiqua" w:cs="Arial"/>
        </w:rPr>
        <w:t>Papamichael</w:t>
      </w:r>
      <w:proofErr w:type="spellEnd"/>
      <w:r w:rsidRPr="00AC7817">
        <w:rPr>
          <w:rFonts w:ascii="Book Antiqua" w:hAnsi="Book Antiqua" w:cs="Arial"/>
        </w:rPr>
        <w:t>, Elliot B Tapper, Alan Bonder</w:t>
      </w:r>
    </w:p>
    <w:p w14:paraId="69AC8F0C" w14:textId="77777777" w:rsidR="002023E6" w:rsidRPr="002D44D6" w:rsidRDefault="002023E6" w:rsidP="002D44D6">
      <w:pPr>
        <w:widowControl w:val="0"/>
        <w:adjustRightInd w:val="0"/>
        <w:snapToGrid w:val="0"/>
        <w:spacing w:line="360" w:lineRule="auto"/>
        <w:jc w:val="both"/>
        <w:rPr>
          <w:rFonts w:ascii="Book Antiqua" w:hAnsi="Book Antiqua" w:cs="Arial"/>
          <w:b/>
        </w:rPr>
      </w:pPr>
    </w:p>
    <w:p w14:paraId="4D401303" w14:textId="4FCEEBEC" w:rsidR="002023E6" w:rsidRPr="002D44D6" w:rsidRDefault="002023E6" w:rsidP="002D44D6">
      <w:pPr>
        <w:widowControl w:val="0"/>
        <w:adjustRightInd w:val="0"/>
        <w:snapToGrid w:val="0"/>
        <w:spacing w:line="360" w:lineRule="auto"/>
        <w:jc w:val="both"/>
        <w:rPr>
          <w:rFonts w:ascii="Book Antiqua" w:eastAsia="SimSun" w:hAnsi="Book Antiqua" w:cs="Arial"/>
          <w:lang w:eastAsia="zh-CN"/>
        </w:rPr>
      </w:pPr>
      <w:r w:rsidRPr="002D44D6">
        <w:rPr>
          <w:rFonts w:ascii="Book Antiqua" w:hAnsi="Book Antiqua" w:cs="Arial"/>
          <w:b/>
        </w:rPr>
        <w:t xml:space="preserve">Christopher J </w:t>
      </w:r>
      <w:proofErr w:type="spellStart"/>
      <w:r w:rsidRPr="002D44D6">
        <w:rPr>
          <w:rFonts w:ascii="Book Antiqua" w:hAnsi="Book Antiqua" w:cs="Arial"/>
          <w:b/>
        </w:rPr>
        <w:t>Danford</w:t>
      </w:r>
      <w:proofErr w:type="spellEnd"/>
      <w:r w:rsidRPr="002D44D6">
        <w:rPr>
          <w:rFonts w:ascii="Book Antiqua" w:hAnsi="Book Antiqua" w:cs="Arial"/>
          <w:b/>
        </w:rPr>
        <w:t xml:space="preserve">, Hirsh D Trivedi, Konstantinos </w:t>
      </w:r>
      <w:proofErr w:type="spellStart"/>
      <w:r w:rsidRPr="002D44D6">
        <w:rPr>
          <w:rFonts w:ascii="Book Antiqua" w:hAnsi="Book Antiqua" w:cs="Arial"/>
          <w:b/>
        </w:rPr>
        <w:t>Papamichael</w:t>
      </w:r>
      <w:proofErr w:type="spellEnd"/>
      <w:r w:rsidRPr="002D44D6">
        <w:rPr>
          <w:rFonts w:ascii="Book Antiqua" w:hAnsi="Book Antiqua" w:cs="Arial"/>
          <w:b/>
        </w:rPr>
        <w:t xml:space="preserve">, Alan Bonder, </w:t>
      </w:r>
      <w:r w:rsidRPr="002D44D6">
        <w:rPr>
          <w:rFonts w:ascii="Book Antiqua" w:hAnsi="Book Antiqua" w:cs="Arial"/>
        </w:rPr>
        <w:t>Division of Gastroenterology and Hepatology, Beth Israel Deaconess Medical Center, Harvard Medical School, Boston, MA 02215, U</w:t>
      </w:r>
      <w:r w:rsidR="002D44D6">
        <w:rPr>
          <w:rFonts w:ascii="Book Antiqua" w:eastAsia="SimSun" w:hAnsi="Book Antiqua" w:cs="Arial"/>
          <w:lang w:eastAsia="zh-CN"/>
        </w:rPr>
        <w:t>nites</w:t>
      </w:r>
      <w:r w:rsidR="002D44D6">
        <w:rPr>
          <w:rFonts w:ascii="Book Antiqua" w:eastAsia="SimSun" w:hAnsi="Book Antiqua" w:cs="Arial" w:hint="eastAsia"/>
          <w:lang w:eastAsia="zh-CN"/>
        </w:rPr>
        <w:t xml:space="preserve"> States</w:t>
      </w:r>
    </w:p>
    <w:p w14:paraId="1BF8A7D0" w14:textId="77777777" w:rsidR="002023E6" w:rsidRPr="002D44D6" w:rsidRDefault="002023E6" w:rsidP="002D44D6">
      <w:pPr>
        <w:widowControl w:val="0"/>
        <w:adjustRightInd w:val="0"/>
        <w:snapToGrid w:val="0"/>
        <w:spacing w:line="360" w:lineRule="auto"/>
        <w:jc w:val="both"/>
        <w:rPr>
          <w:rFonts w:ascii="Book Antiqua" w:hAnsi="Book Antiqua" w:cs="Arial"/>
        </w:rPr>
      </w:pPr>
    </w:p>
    <w:p w14:paraId="45243013" w14:textId="182B530A" w:rsidR="00925FE0" w:rsidRPr="002D44D6" w:rsidRDefault="002023E6" w:rsidP="002D44D6">
      <w:pPr>
        <w:widowControl w:val="0"/>
        <w:adjustRightInd w:val="0"/>
        <w:snapToGrid w:val="0"/>
        <w:spacing w:line="360" w:lineRule="auto"/>
        <w:jc w:val="both"/>
        <w:rPr>
          <w:rFonts w:ascii="Book Antiqua" w:hAnsi="Book Antiqua" w:cs="Arial"/>
        </w:rPr>
      </w:pPr>
      <w:r w:rsidRPr="002D44D6">
        <w:rPr>
          <w:rFonts w:ascii="Book Antiqua" w:hAnsi="Book Antiqua" w:cs="Arial"/>
          <w:b/>
        </w:rPr>
        <w:t>Elliot B Tapper,</w:t>
      </w:r>
      <w:r w:rsidRPr="002D44D6">
        <w:rPr>
          <w:rFonts w:ascii="Book Antiqua" w:hAnsi="Book Antiqua" w:cs="Arial"/>
        </w:rPr>
        <w:t xml:space="preserve"> Department of Hepatology, University of Michigan, Ann Arbor, MI</w:t>
      </w:r>
      <w:r w:rsidR="00925FE0" w:rsidRPr="002D44D6">
        <w:rPr>
          <w:rFonts w:ascii="Book Antiqua" w:hAnsi="Book Antiqua" w:cs="Arial"/>
        </w:rPr>
        <w:t xml:space="preserve"> 48109, </w:t>
      </w:r>
      <w:r w:rsidR="002D44D6" w:rsidRPr="002D44D6">
        <w:rPr>
          <w:rFonts w:ascii="Book Antiqua" w:hAnsi="Book Antiqua" w:cs="Arial"/>
        </w:rPr>
        <w:t>U</w:t>
      </w:r>
      <w:r w:rsidR="002D44D6">
        <w:rPr>
          <w:rFonts w:ascii="Book Antiqua" w:eastAsia="SimSun" w:hAnsi="Book Antiqua" w:cs="Arial"/>
          <w:lang w:eastAsia="zh-CN"/>
        </w:rPr>
        <w:t>nites</w:t>
      </w:r>
      <w:r w:rsidR="002D44D6">
        <w:rPr>
          <w:rFonts w:ascii="Book Antiqua" w:eastAsia="SimSun" w:hAnsi="Book Antiqua" w:cs="Arial" w:hint="eastAsia"/>
          <w:lang w:eastAsia="zh-CN"/>
        </w:rPr>
        <w:t xml:space="preserve"> States</w:t>
      </w:r>
    </w:p>
    <w:p w14:paraId="08704198" w14:textId="77777777" w:rsidR="00925FE0" w:rsidRPr="002D44D6" w:rsidRDefault="00925FE0" w:rsidP="002D44D6">
      <w:pPr>
        <w:widowControl w:val="0"/>
        <w:adjustRightInd w:val="0"/>
        <w:snapToGrid w:val="0"/>
        <w:spacing w:line="360" w:lineRule="auto"/>
        <w:jc w:val="both"/>
        <w:rPr>
          <w:rFonts w:ascii="Book Antiqua" w:hAnsi="Book Antiqua" w:cs="Arial"/>
        </w:rPr>
      </w:pPr>
    </w:p>
    <w:p w14:paraId="393005E2" w14:textId="77528409" w:rsidR="00925FE0" w:rsidRPr="002D44D6" w:rsidRDefault="00D25D11" w:rsidP="002D44D6">
      <w:pPr>
        <w:widowControl w:val="0"/>
        <w:adjustRightInd w:val="0"/>
        <w:snapToGrid w:val="0"/>
        <w:spacing w:line="360" w:lineRule="auto"/>
        <w:jc w:val="both"/>
        <w:rPr>
          <w:rFonts w:ascii="Book Antiqua" w:hAnsi="Book Antiqua" w:cs="Arial"/>
        </w:rPr>
      </w:pPr>
      <w:r>
        <w:rPr>
          <w:rFonts w:ascii="Book Antiqua" w:hAnsi="Book Antiqua" w:cs="Arial"/>
          <w:b/>
        </w:rPr>
        <w:t>ORCID number</w:t>
      </w:r>
      <w:r w:rsidR="00925FE0" w:rsidRPr="002D44D6">
        <w:rPr>
          <w:rFonts w:ascii="Book Antiqua" w:hAnsi="Book Antiqua" w:cs="Arial"/>
          <w:b/>
        </w:rPr>
        <w:t>:</w:t>
      </w:r>
      <w:r w:rsidR="00925FE0" w:rsidRPr="002D44D6">
        <w:rPr>
          <w:rFonts w:ascii="Book Antiqua" w:hAnsi="Book Antiqua" w:cs="Arial"/>
        </w:rPr>
        <w:t xml:space="preserve"> Christopher J </w:t>
      </w:r>
      <w:proofErr w:type="spellStart"/>
      <w:r w:rsidR="00925FE0" w:rsidRPr="002D44D6">
        <w:rPr>
          <w:rFonts w:ascii="Book Antiqua" w:hAnsi="Book Antiqua" w:cs="Arial"/>
        </w:rPr>
        <w:t>Danford</w:t>
      </w:r>
      <w:proofErr w:type="spellEnd"/>
      <w:r w:rsidR="00925FE0" w:rsidRPr="002D44D6">
        <w:rPr>
          <w:rFonts w:ascii="Book Antiqua" w:hAnsi="Book Antiqua" w:cs="Arial"/>
        </w:rPr>
        <w:t xml:space="preserve"> (0000-0003-0322-7705), Hirsh D Trivedi (0000-0002-8328-9211), Konstantinos </w:t>
      </w:r>
      <w:proofErr w:type="spellStart"/>
      <w:r w:rsidR="00925FE0" w:rsidRPr="002D44D6">
        <w:rPr>
          <w:rFonts w:ascii="Book Antiqua" w:hAnsi="Book Antiqua" w:cs="Arial"/>
        </w:rPr>
        <w:t>Papamichael</w:t>
      </w:r>
      <w:proofErr w:type="spellEnd"/>
      <w:r w:rsidR="00925FE0" w:rsidRPr="002D44D6">
        <w:rPr>
          <w:rFonts w:ascii="Book Antiqua" w:hAnsi="Book Antiqua" w:cs="Arial"/>
        </w:rPr>
        <w:t xml:space="preserve"> (</w:t>
      </w:r>
      <w:r w:rsidR="002D44D6" w:rsidRPr="002D44D6">
        <w:rPr>
          <w:rFonts w:ascii="Book Antiqua" w:hAnsi="Book Antiqua" w:cs="Arial"/>
        </w:rPr>
        <w:t>0000-0003-1497-0254</w:t>
      </w:r>
      <w:r w:rsidR="00925FE0" w:rsidRPr="002D44D6">
        <w:rPr>
          <w:rFonts w:ascii="Book Antiqua" w:hAnsi="Book Antiqua" w:cs="Arial"/>
        </w:rPr>
        <w:t>), Elliot B Tapper (0000-0002-0839-1515), Alan Bonder (</w:t>
      </w:r>
      <w:r w:rsidR="002D44D6" w:rsidRPr="002D44D6">
        <w:rPr>
          <w:rFonts w:ascii="Book Antiqua" w:hAnsi="Book Antiqua" w:cs="Arial"/>
        </w:rPr>
        <w:t>0000-0001-6821-0416</w:t>
      </w:r>
      <w:r w:rsidR="00925FE0" w:rsidRPr="002D44D6">
        <w:rPr>
          <w:rFonts w:ascii="Book Antiqua" w:hAnsi="Book Antiqua" w:cs="Arial"/>
        </w:rPr>
        <w:t xml:space="preserve"> )</w:t>
      </w:r>
    </w:p>
    <w:p w14:paraId="2FF35FD7" w14:textId="77777777" w:rsidR="00925FE0" w:rsidRPr="002D44D6" w:rsidRDefault="00925FE0" w:rsidP="002D44D6">
      <w:pPr>
        <w:widowControl w:val="0"/>
        <w:adjustRightInd w:val="0"/>
        <w:snapToGrid w:val="0"/>
        <w:spacing w:line="360" w:lineRule="auto"/>
        <w:jc w:val="both"/>
        <w:rPr>
          <w:rFonts w:ascii="Book Antiqua" w:hAnsi="Book Antiqua" w:cs="Arial"/>
        </w:rPr>
      </w:pPr>
    </w:p>
    <w:p w14:paraId="5F715808" w14:textId="191B1859" w:rsidR="00925FE0" w:rsidRPr="002D44D6" w:rsidRDefault="00925FE0" w:rsidP="002D44D6">
      <w:pPr>
        <w:widowControl w:val="0"/>
        <w:adjustRightInd w:val="0"/>
        <w:snapToGrid w:val="0"/>
        <w:spacing w:line="360" w:lineRule="auto"/>
        <w:jc w:val="both"/>
        <w:rPr>
          <w:rFonts w:ascii="Book Antiqua" w:hAnsi="Book Antiqua" w:cs="Arial"/>
        </w:rPr>
      </w:pPr>
      <w:r w:rsidRPr="002D44D6">
        <w:rPr>
          <w:rFonts w:ascii="Book Antiqua" w:hAnsi="Book Antiqua" w:cs="Arial"/>
          <w:b/>
        </w:rPr>
        <w:t>Author contributions:</w:t>
      </w:r>
      <w:r w:rsidRPr="002D44D6">
        <w:rPr>
          <w:rFonts w:ascii="Book Antiqua" w:hAnsi="Book Antiqua" w:cs="Arial"/>
        </w:rPr>
        <w:t xml:space="preserve"> </w:t>
      </w:r>
      <w:proofErr w:type="spellStart"/>
      <w:r w:rsidRPr="002D44D6">
        <w:rPr>
          <w:rFonts w:ascii="Book Antiqua" w:hAnsi="Book Antiqua" w:cs="Arial"/>
        </w:rPr>
        <w:t>Danford</w:t>
      </w:r>
      <w:proofErr w:type="spellEnd"/>
      <w:r w:rsidRPr="002D44D6">
        <w:rPr>
          <w:rFonts w:ascii="Book Antiqua" w:hAnsi="Book Antiqua" w:cs="Arial"/>
        </w:rPr>
        <w:t xml:space="preserve"> CJ and Trivedi HD performed the literature search and </w:t>
      </w:r>
      <w:r w:rsidR="00DF632B" w:rsidRPr="002D44D6">
        <w:rPr>
          <w:rFonts w:ascii="Book Antiqua" w:hAnsi="Book Antiqua" w:cs="Arial"/>
        </w:rPr>
        <w:t>drafting of t</w:t>
      </w:r>
      <w:r w:rsidRPr="002D44D6">
        <w:rPr>
          <w:rFonts w:ascii="Book Antiqua" w:hAnsi="Book Antiqua" w:cs="Arial"/>
        </w:rPr>
        <w:t>he manuscript</w:t>
      </w:r>
      <w:r w:rsidR="00DE2D15">
        <w:rPr>
          <w:rFonts w:ascii="Book Antiqua" w:eastAsia="SimSun" w:hAnsi="Book Antiqua" w:cs="Arial" w:hint="eastAsia"/>
          <w:lang w:eastAsia="zh-CN"/>
        </w:rPr>
        <w:t>;</w:t>
      </w:r>
      <w:r w:rsidRPr="002D44D6">
        <w:rPr>
          <w:rFonts w:ascii="Book Antiqua" w:hAnsi="Book Antiqua" w:cs="Arial"/>
        </w:rPr>
        <w:t xml:space="preserve"> </w:t>
      </w:r>
      <w:r w:rsidR="00DE2D15" w:rsidRPr="002D44D6">
        <w:rPr>
          <w:rFonts w:ascii="Book Antiqua" w:hAnsi="Book Antiqua" w:cs="Arial"/>
        </w:rPr>
        <w:t>a</w:t>
      </w:r>
      <w:r w:rsidRPr="002D44D6">
        <w:rPr>
          <w:rFonts w:ascii="Book Antiqua" w:hAnsi="Book Antiqua" w:cs="Arial"/>
        </w:rPr>
        <w:t xml:space="preserve">ll authors participated in the </w:t>
      </w:r>
      <w:r w:rsidR="00430543" w:rsidRPr="002D44D6">
        <w:rPr>
          <w:rFonts w:ascii="Book Antiqua" w:hAnsi="Book Antiqua" w:cs="Arial"/>
        </w:rPr>
        <w:t>conceptual design of the paper and revision of the manuscript.</w:t>
      </w:r>
    </w:p>
    <w:p w14:paraId="095327B6" w14:textId="77777777" w:rsidR="00430543" w:rsidRPr="002D44D6" w:rsidRDefault="00430543" w:rsidP="002D44D6">
      <w:pPr>
        <w:widowControl w:val="0"/>
        <w:adjustRightInd w:val="0"/>
        <w:snapToGrid w:val="0"/>
        <w:spacing w:line="360" w:lineRule="auto"/>
        <w:jc w:val="both"/>
        <w:rPr>
          <w:rFonts w:ascii="Book Antiqua" w:hAnsi="Book Antiqua" w:cs="Arial"/>
        </w:rPr>
      </w:pPr>
    </w:p>
    <w:p w14:paraId="7CD4A7CE" w14:textId="6BC4625B" w:rsidR="00430543" w:rsidRPr="00DE2D15" w:rsidRDefault="006C28B6" w:rsidP="002D44D6">
      <w:pPr>
        <w:widowControl w:val="0"/>
        <w:adjustRightInd w:val="0"/>
        <w:snapToGrid w:val="0"/>
        <w:spacing w:line="360" w:lineRule="auto"/>
        <w:jc w:val="both"/>
        <w:rPr>
          <w:rFonts w:ascii="Book Antiqua" w:eastAsia="SimSun" w:hAnsi="Book Antiqua" w:cs="Arial"/>
          <w:lang w:eastAsia="zh-CN"/>
        </w:rPr>
      </w:pPr>
      <w:r w:rsidRPr="002D44D6">
        <w:rPr>
          <w:rFonts w:ascii="Book Antiqua" w:hAnsi="Book Antiqua" w:cs="Arial"/>
          <w:b/>
        </w:rPr>
        <w:t>Supported by</w:t>
      </w:r>
      <w:r w:rsidR="00DE2D15">
        <w:rPr>
          <w:rFonts w:ascii="Book Antiqua" w:eastAsia="SimSun" w:hAnsi="Book Antiqua" w:cs="Arial" w:hint="eastAsia"/>
          <w:lang w:eastAsia="zh-CN"/>
        </w:rPr>
        <w:t xml:space="preserve"> </w:t>
      </w:r>
      <w:r w:rsidR="00DE2D15" w:rsidRPr="002D44D6">
        <w:rPr>
          <w:rFonts w:ascii="Book Antiqua" w:hAnsi="Book Antiqua" w:cs="Arial"/>
        </w:rPr>
        <w:t>NIH T32 training grant</w:t>
      </w:r>
      <w:r w:rsidR="00DE2D15">
        <w:rPr>
          <w:rFonts w:ascii="Book Antiqua" w:eastAsia="SimSun" w:hAnsi="Book Antiqua" w:cs="Arial" w:hint="eastAsia"/>
          <w:lang w:eastAsia="zh-CN"/>
        </w:rPr>
        <w:t xml:space="preserve">, No. </w:t>
      </w:r>
      <w:r w:rsidR="00DE2D15" w:rsidRPr="002D44D6">
        <w:rPr>
          <w:rFonts w:ascii="Book Antiqua" w:hAnsi="Book Antiqua" w:cs="Arial"/>
        </w:rPr>
        <w:t>4T32GM103702-04</w:t>
      </w:r>
      <w:r w:rsidR="00DE2D15">
        <w:rPr>
          <w:rFonts w:ascii="Book Antiqua" w:eastAsia="SimSun" w:hAnsi="Book Antiqua" w:cs="Arial" w:hint="eastAsia"/>
          <w:lang w:eastAsia="zh-CN"/>
        </w:rPr>
        <w:t xml:space="preserve"> </w:t>
      </w:r>
      <w:r w:rsidR="00DE2D15" w:rsidRPr="002D44D6">
        <w:rPr>
          <w:rFonts w:ascii="Book Antiqua" w:hAnsi="Book Antiqua" w:cs="Arial"/>
        </w:rPr>
        <w:t>t</w:t>
      </w:r>
      <w:r w:rsidR="00DE2D15">
        <w:rPr>
          <w:rFonts w:ascii="Book Antiqua" w:eastAsia="SimSun" w:hAnsi="Book Antiqua" w:cs="Arial" w:hint="eastAsia"/>
          <w:lang w:eastAsia="zh-CN"/>
        </w:rPr>
        <w:t xml:space="preserve">o </w:t>
      </w:r>
      <w:r w:rsidR="00DE2D15">
        <w:rPr>
          <w:rFonts w:ascii="Book Antiqua" w:hAnsi="Book Antiqua" w:cs="Arial"/>
        </w:rPr>
        <w:t>Hirsh D Trivedi</w:t>
      </w:r>
      <w:r w:rsidR="00DE2D15">
        <w:rPr>
          <w:rFonts w:ascii="Book Antiqua" w:eastAsia="SimSun" w:hAnsi="Book Antiqua" w:cs="Arial" w:hint="eastAsia"/>
          <w:lang w:eastAsia="zh-CN"/>
        </w:rPr>
        <w:t>.</w:t>
      </w:r>
    </w:p>
    <w:p w14:paraId="36095C0E" w14:textId="77777777" w:rsidR="00C761F0" w:rsidRPr="002D44D6" w:rsidRDefault="00C761F0" w:rsidP="002D44D6">
      <w:pPr>
        <w:widowControl w:val="0"/>
        <w:adjustRightInd w:val="0"/>
        <w:snapToGrid w:val="0"/>
        <w:spacing w:line="360" w:lineRule="auto"/>
        <w:jc w:val="both"/>
        <w:rPr>
          <w:rFonts w:ascii="Book Antiqua" w:eastAsia="SimSun" w:hAnsi="Book Antiqua" w:cs="Arial"/>
          <w:b/>
          <w:lang w:eastAsia="zh-CN"/>
        </w:rPr>
      </w:pPr>
    </w:p>
    <w:p w14:paraId="05367D14" w14:textId="2B92164D" w:rsidR="00430543" w:rsidRPr="002D44D6" w:rsidRDefault="00C761F0" w:rsidP="002D44D6">
      <w:pPr>
        <w:widowControl w:val="0"/>
        <w:adjustRightInd w:val="0"/>
        <w:snapToGrid w:val="0"/>
        <w:spacing w:line="360" w:lineRule="auto"/>
        <w:jc w:val="both"/>
        <w:rPr>
          <w:rFonts w:ascii="Book Antiqua" w:hAnsi="Book Antiqua" w:cs="Arial"/>
        </w:rPr>
      </w:pPr>
      <w:r w:rsidRPr="002D44D6">
        <w:rPr>
          <w:rFonts w:ascii="Book Antiqua" w:hAnsi="Book Antiqua"/>
          <w:b/>
          <w:color w:val="000000"/>
        </w:rPr>
        <w:t>Conflict-of-interest statement:</w:t>
      </w:r>
      <w:r w:rsidRPr="002D44D6">
        <w:rPr>
          <w:rFonts w:ascii="Book Antiqua" w:hAnsi="Book Antiqua"/>
          <w:color w:val="000000"/>
        </w:rPr>
        <w:t xml:space="preserve"> </w:t>
      </w:r>
      <w:r w:rsidR="006C28B6" w:rsidRPr="002D44D6">
        <w:rPr>
          <w:rFonts w:ascii="Book Antiqua" w:hAnsi="Book Antiqua" w:cs="Arial"/>
        </w:rPr>
        <w:t xml:space="preserve">There are no other financial disclosures or </w:t>
      </w:r>
      <w:r w:rsidR="006C28B6" w:rsidRPr="002D44D6">
        <w:rPr>
          <w:rFonts w:ascii="Book Antiqua" w:hAnsi="Book Antiqua" w:cs="Arial"/>
        </w:rPr>
        <w:lastRenderedPageBreak/>
        <w:t>conflicts of interest in the production of this manuscript.</w:t>
      </w:r>
    </w:p>
    <w:p w14:paraId="3B1EAE63" w14:textId="77777777" w:rsidR="006C28B6" w:rsidRDefault="006C28B6" w:rsidP="002D44D6">
      <w:pPr>
        <w:widowControl w:val="0"/>
        <w:adjustRightInd w:val="0"/>
        <w:snapToGrid w:val="0"/>
        <w:spacing w:line="360" w:lineRule="auto"/>
        <w:jc w:val="both"/>
        <w:rPr>
          <w:rFonts w:ascii="Book Antiqua" w:eastAsia="SimSun" w:hAnsi="Book Antiqua" w:cs="Arial"/>
          <w:lang w:eastAsia="zh-CN"/>
        </w:rPr>
      </w:pPr>
    </w:p>
    <w:p w14:paraId="12AD1E19" w14:textId="77777777" w:rsidR="00DE2D15" w:rsidRPr="00DE2D15" w:rsidRDefault="00DE2D15" w:rsidP="00DE2D15">
      <w:pPr>
        <w:spacing w:line="360" w:lineRule="auto"/>
        <w:jc w:val="both"/>
        <w:rPr>
          <w:rFonts w:ascii="Book Antiqua" w:eastAsia="MS Mincho" w:hAnsi="Book Antiqua" w:cs="Times New Roman"/>
          <w:b/>
          <w:color w:val="000000"/>
          <w:lang w:eastAsia="it-IT"/>
        </w:rPr>
      </w:pPr>
      <w:r w:rsidRPr="00DE2D15">
        <w:rPr>
          <w:rFonts w:ascii="Book Antiqua" w:eastAsia="MS Mincho" w:hAnsi="Book Antiqua" w:cs="Times New Roman"/>
          <w:b/>
          <w:color w:val="000000"/>
          <w:lang w:eastAsia="it-IT"/>
        </w:rPr>
        <w:t xml:space="preserve">Open-Access: </w:t>
      </w:r>
      <w:r w:rsidRPr="00DE2D15">
        <w:rPr>
          <w:rFonts w:ascii="Book Antiqua" w:eastAsia="MS Mincho" w:hAnsi="Book Antiqua" w:cs="Times New Roman"/>
          <w:color w:val="000000"/>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686DC4" w14:textId="77777777" w:rsidR="00DE2D15" w:rsidRPr="00DE2D15" w:rsidRDefault="00DE2D15" w:rsidP="00DE2D15">
      <w:pPr>
        <w:widowControl w:val="0"/>
        <w:adjustRightInd w:val="0"/>
        <w:snapToGrid w:val="0"/>
        <w:spacing w:line="360" w:lineRule="auto"/>
        <w:jc w:val="both"/>
        <w:rPr>
          <w:rFonts w:ascii="Book Antiqua" w:eastAsia="SimSun" w:hAnsi="Book Antiqua" w:cs="Times New Roman"/>
          <w:color w:val="000000"/>
          <w:kern w:val="2"/>
          <w:lang w:eastAsia="zh-CN"/>
        </w:rPr>
      </w:pPr>
    </w:p>
    <w:p w14:paraId="3F47B306" w14:textId="77777777" w:rsidR="00DE2D15" w:rsidRPr="00DE2D15" w:rsidRDefault="00DE2D15" w:rsidP="00DE2D15">
      <w:pPr>
        <w:widowControl w:val="0"/>
        <w:adjustRightInd w:val="0"/>
        <w:snapToGrid w:val="0"/>
        <w:spacing w:line="360" w:lineRule="auto"/>
        <w:jc w:val="both"/>
        <w:rPr>
          <w:rFonts w:ascii="Book Antiqua" w:eastAsia="SimSun" w:hAnsi="Book Antiqua" w:cs="Arial Unicode MS"/>
          <w:color w:val="000000"/>
          <w:kern w:val="2"/>
          <w:lang w:eastAsia="zh-CN"/>
        </w:rPr>
      </w:pPr>
      <w:r w:rsidRPr="00DE2D15">
        <w:rPr>
          <w:rFonts w:ascii="Book Antiqua" w:eastAsia="SimSun" w:hAnsi="Book Antiqua" w:cs="Arial Unicode MS"/>
          <w:b/>
          <w:color w:val="000000"/>
          <w:kern w:val="2"/>
          <w:lang w:eastAsia="zh-CN"/>
        </w:rPr>
        <w:t>Manuscript source:</w:t>
      </w:r>
      <w:r w:rsidRPr="00DE2D15">
        <w:rPr>
          <w:rFonts w:ascii="Book Antiqua" w:eastAsia="SimSun" w:hAnsi="Book Antiqua" w:cs="Arial Unicode MS"/>
          <w:color w:val="000000"/>
          <w:kern w:val="2"/>
          <w:lang w:eastAsia="zh-CN"/>
        </w:rPr>
        <w:t xml:space="preserve"> Invited manuscript</w:t>
      </w:r>
    </w:p>
    <w:p w14:paraId="48A00CFA" w14:textId="77777777" w:rsidR="00CB7C62" w:rsidRPr="00DE2D15" w:rsidRDefault="00CB7C62" w:rsidP="002D44D6">
      <w:pPr>
        <w:widowControl w:val="0"/>
        <w:adjustRightInd w:val="0"/>
        <w:snapToGrid w:val="0"/>
        <w:spacing w:line="360" w:lineRule="auto"/>
        <w:jc w:val="both"/>
        <w:rPr>
          <w:rFonts w:ascii="Book Antiqua" w:eastAsia="SimSun" w:hAnsi="Book Antiqua" w:cs="Arial"/>
          <w:lang w:eastAsia="zh-CN"/>
        </w:rPr>
      </w:pPr>
    </w:p>
    <w:p w14:paraId="08E5A218" w14:textId="45E8483F" w:rsidR="007E18AC" w:rsidRPr="002D44D6" w:rsidRDefault="006C28B6" w:rsidP="002D44D6">
      <w:pPr>
        <w:widowControl w:val="0"/>
        <w:adjustRightInd w:val="0"/>
        <w:snapToGrid w:val="0"/>
        <w:spacing w:line="360" w:lineRule="auto"/>
        <w:jc w:val="both"/>
        <w:rPr>
          <w:rFonts w:ascii="Book Antiqua" w:hAnsi="Book Antiqua" w:cs="Arial"/>
        </w:rPr>
      </w:pPr>
      <w:r w:rsidRPr="002D44D6">
        <w:rPr>
          <w:rFonts w:ascii="Book Antiqua" w:hAnsi="Book Antiqua" w:cs="Arial"/>
          <w:b/>
        </w:rPr>
        <w:t xml:space="preserve">Correspondence to: Alan Bonder, MD, </w:t>
      </w:r>
      <w:r w:rsidR="00DE2D15" w:rsidRPr="00DE2D15">
        <w:rPr>
          <w:rFonts w:ascii="Book Antiqua" w:hAnsi="Book Antiqua" w:cs="Arial"/>
          <w:b/>
        </w:rPr>
        <w:t>Attending Doctor</w:t>
      </w:r>
      <w:r w:rsidR="00DE2D15">
        <w:rPr>
          <w:rFonts w:ascii="Book Antiqua" w:eastAsia="SimSun" w:hAnsi="Book Antiqua" w:cs="Arial" w:hint="eastAsia"/>
          <w:b/>
          <w:lang w:eastAsia="zh-CN"/>
        </w:rPr>
        <w:t xml:space="preserve">, </w:t>
      </w:r>
      <w:r w:rsidR="00DE2D15" w:rsidRPr="002D44D6">
        <w:rPr>
          <w:rFonts w:ascii="Book Antiqua" w:hAnsi="Book Antiqua" w:cs="Arial"/>
        </w:rPr>
        <w:t>Division of Gastroenterology and Hepatology, Beth Israel Deaconess Medical Center,</w:t>
      </w:r>
      <w:r w:rsidR="00DE2D15">
        <w:rPr>
          <w:rFonts w:ascii="Book Antiqua" w:eastAsia="SimSun" w:hAnsi="Book Antiqua" w:cs="Arial" w:hint="eastAsia"/>
          <w:lang w:eastAsia="zh-CN"/>
        </w:rPr>
        <w:t xml:space="preserve"> </w:t>
      </w:r>
      <w:r w:rsidRPr="002D44D6">
        <w:rPr>
          <w:rFonts w:ascii="Book Antiqua" w:hAnsi="Book Antiqua" w:cs="Arial"/>
        </w:rPr>
        <w:t>110 Francis St. Suite 8E, Boston, MA 02215, U</w:t>
      </w:r>
      <w:r w:rsidR="00DE2D15">
        <w:rPr>
          <w:rFonts w:ascii="Book Antiqua" w:eastAsia="SimSun" w:hAnsi="Book Antiqua" w:cs="Arial" w:hint="eastAsia"/>
          <w:lang w:eastAsia="zh-CN"/>
        </w:rPr>
        <w:t>nited States</w:t>
      </w:r>
      <w:r w:rsidRPr="002D44D6">
        <w:rPr>
          <w:rFonts w:ascii="Book Antiqua" w:hAnsi="Book Antiqua" w:cs="Arial"/>
        </w:rPr>
        <w:t>. abonder@bidmc.harvard.edu</w:t>
      </w:r>
    </w:p>
    <w:p w14:paraId="63E688B7" w14:textId="4B791816" w:rsidR="007E18AC" w:rsidRPr="002D44D6" w:rsidRDefault="006C28B6" w:rsidP="002D44D6">
      <w:pPr>
        <w:widowControl w:val="0"/>
        <w:adjustRightInd w:val="0"/>
        <w:snapToGrid w:val="0"/>
        <w:spacing w:line="360" w:lineRule="auto"/>
        <w:jc w:val="both"/>
        <w:rPr>
          <w:rFonts w:ascii="Book Antiqua" w:hAnsi="Book Antiqua" w:cs="Arial"/>
        </w:rPr>
      </w:pPr>
      <w:r w:rsidRPr="002D44D6">
        <w:rPr>
          <w:rFonts w:ascii="Book Antiqua" w:hAnsi="Book Antiqua" w:cs="Arial"/>
          <w:b/>
        </w:rPr>
        <w:t>Telephone</w:t>
      </w:r>
      <w:r w:rsidR="007E18AC" w:rsidRPr="002D44D6">
        <w:rPr>
          <w:rFonts w:ascii="Book Antiqua" w:hAnsi="Book Antiqua" w:cs="Arial"/>
        </w:rPr>
        <w:t xml:space="preserve">: </w:t>
      </w:r>
      <w:r w:rsidR="001C07C5">
        <w:rPr>
          <w:rFonts w:ascii="Book Antiqua" w:eastAsia="SimSun" w:hAnsi="Book Antiqua" w:cs="Arial" w:hint="eastAsia"/>
          <w:lang w:eastAsia="zh-CN"/>
        </w:rPr>
        <w:t>+</w:t>
      </w:r>
      <w:r w:rsidRPr="002D44D6">
        <w:rPr>
          <w:rFonts w:ascii="Book Antiqua" w:hAnsi="Book Antiqua" w:cs="Arial"/>
        </w:rPr>
        <w:t>1-</w:t>
      </w:r>
      <w:r w:rsidR="00E15307">
        <w:rPr>
          <w:rFonts w:ascii="Book Antiqua" w:hAnsi="Book Antiqua" w:cs="Arial"/>
        </w:rPr>
        <w:t>617-632</w:t>
      </w:r>
      <w:r w:rsidR="007E18AC" w:rsidRPr="002D44D6">
        <w:rPr>
          <w:rFonts w:ascii="Book Antiqua" w:hAnsi="Book Antiqua" w:cs="Arial"/>
        </w:rPr>
        <w:t>1070</w:t>
      </w:r>
    </w:p>
    <w:p w14:paraId="617F07D3" w14:textId="6895D785" w:rsidR="007E18AC" w:rsidRPr="002D44D6" w:rsidRDefault="007E18AC" w:rsidP="002D44D6">
      <w:pPr>
        <w:widowControl w:val="0"/>
        <w:adjustRightInd w:val="0"/>
        <w:snapToGrid w:val="0"/>
        <w:spacing w:line="360" w:lineRule="auto"/>
        <w:jc w:val="both"/>
        <w:rPr>
          <w:rFonts w:ascii="Book Antiqua" w:hAnsi="Book Antiqua" w:cs="Arial"/>
        </w:rPr>
      </w:pPr>
      <w:r w:rsidRPr="002D44D6">
        <w:rPr>
          <w:rFonts w:ascii="Book Antiqua" w:hAnsi="Book Antiqua" w:cs="Arial"/>
          <w:b/>
        </w:rPr>
        <w:t>Fax</w:t>
      </w:r>
      <w:r w:rsidRPr="002D44D6">
        <w:rPr>
          <w:rFonts w:ascii="Book Antiqua" w:hAnsi="Book Antiqua" w:cs="Arial"/>
        </w:rPr>
        <w:t xml:space="preserve">: </w:t>
      </w:r>
      <w:r w:rsidR="001C07C5">
        <w:rPr>
          <w:rFonts w:ascii="Book Antiqua" w:eastAsia="SimSun" w:hAnsi="Book Antiqua" w:cs="Arial" w:hint="eastAsia"/>
          <w:lang w:eastAsia="zh-CN"/>
        </w:rPr>
        <w:t>+</w:t>
      </w:r>
      <w:r w:rsidR="006C28B6" w:rsidRPr="002D44D6">
        <w:rPr>
          <w:rFonts w:ascii="Book Antiqua" w:hAnsi="Book Antiqua" w:cs="Arial"/>
        </w:rPr>
        <w:t>1-</w:t>
      </w:r>
      <w:r w:rsidR="00E15307">
        <w:rPr>
          <w:rFonts w:ascii="Book Antiqua" w:hAnsi="Book Antiqua" w:cs="Arial"/>
        </w:rPr>
        <w:t>617-623</w:t>
      </w:r>
      <w:r w:rsidRPr="002D44D6">
        <w:rPr>
          <w:rFonts w:ascii="Book Antiqua" w:hAnsi="Book Antiqua" w:cs="Arial"/>
        </w:rPr>
        <w:t>1065</w:t>
      </w:r>
    </w:p>
    <w:p w14:paraId="3243DBE4" w14:textId="77777777" w:rsidR="006C28B6" w:rsidRDefault="006C28B6" w:rsidP="002D44D6">
      <w:pPr>
        <w:widowControl w:val="0"/>
        <w:adjustRightInd w:val="0"/>
        <w:snapToGrid w:val="0"/>
        <w:spacing w:line="360" w:lineRule="auto"/>
        <w:jc w:val="both"/>
        <w:rPr>
          <w:rFonts w:ascii="Book Antiqua" w:eastAsia="SimSun" w:hAnsi="Book Antiqua" w:cs="Arial"/>
          <w:b/>
          <w:color w:val="000000"/>
          <w:lang w:eastAsia="zh-CN"/>
        </w:rPr>
      </w:pPr>
    </w:p>
    <w:p w14:paraId="18CFDAE1" w14:textId="305BF8B9" w:rsidR="00DE2D15" w:rsidRPr="00DE2D15" w:rsidRDefault="00DE2D15" w:rsidP="00DE2D15">
      <w:pPr>
        <w:widowControl w:val="0"/>
        <w:adjustRightInd w:val="0"/>
        <w:snapToGrid w:val="0"/>
        <w:spacing w:line="360" w:lineRule="auto"/>
        <w:jc w:val="both"/>
        <w:rPr>
          <w:rFonts w:ascii="Book Antiqua" w:eastAsia="SimSun" w:hAnsi="Book Antiqua" w:cs="Times New Roman"/>
          <w:color w:val="000000"/>
          <w:kern w:val="2"/>
          <w:lang w:eastAsia="zh-CN"/>
        </w:rPr>
      </w:pPr>
      <w:r w:rsidRPr="00DE2D15">
        <w:rPr>
          <w:rFonts w:ascii="Book Antiqua" w:eastAsia="SimSun" w:hAnsi="Book Antiqua" w:cs="Times New Roman"/>
          <w:b/>
          <w:color w:val="000000"/>
          <w:kern w:val="2"/>
          <w:lang w:eastAsia="zh-CN"/>
        </w:rPr>
        <w:t>Received:</w:t>
      </w:r>
      <w:r w:rsidRPr="00DE2D15">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June</w:t>
      </w:r>
      <w:r w:rsidRPr="00DE2D15">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1</w:t>
      </w:r>
      <w:r w:rsidRPr="00DE2D15">
        <w:rPr>
          <w:rFonts w:ascii="Book Antiqua" w:eastAsia="SimSun" w:hAnsi="Book Antiqua" w:cs="Arial" w:hint="eastAsia"/>
          <w:color w:val="000000"/>
          <w:lang w:eastAsia="zh-CN"/>
        </w:rPr>
        <w:t>, 2018</w:t>
      </w:r>
    </w:p>
    <w:p w14:paraId="790CB21E" w14:textId="615C8607" w:rsidR="00DE2D15" w:rsidRPr="00DE2D15" w:rsidRDefault="00DE2D15" w:rsidP="00DE2D15">
      <w:pPr>
        <w:widowControl w:val="0"/>
        <w:adjustRightInd w:val="0"/>
        <w:snapToGrid w:val="0"/>
        <w:spacing w:line="360" w:lineRule="auto"/>
        <w:jc w:val="both"/>
        <w:rPr>
          <w:rFonts w:ascii="Book Antiqua" w:eastAsia="SimSun" w:hAnsi="Book Antiqua" w:cs="Times New Roman"/>
          <w:color w:val="000000"/>
          <w:kern w:val="2"/>
          <w:lang w:eastAsia="zh-CN"/>
        </w:rPr>
      </w:pPr>
      <w:r w:rsidRPr="00DE2D15">
        <w:rPr>
          <w:rFonts w:ascii="Book Antiqua" w:eastAsia="SimSun" w:hAnsi="Book Antiqua" w:cs="Times New Roman"/>
          <w:b/>
          <w:color w:val="000000"/>
          <w:kern w:val="2"/>
          <w:lang w:eastAsia="zh-CN"/>
        </w:rPr>
        <w:t>Peer-review started:</w:t>
      </w:r>
      <w:r w:rsidRPr="00DE2D15">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June</w:t>
      </w:r>
      <w:r w:rsidRPr="00DE2D15">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1</w:t>
      </w:r>
      <w:r w:rsidRPr="00DE2D15">
        <w:rPr>
          <w:rFonts w:ascii="Book Antiqua" w:eastAsia="SimSun" w:hAnsi="Book Antiqua" w:cs="Arial" w:hint="eastAsia"/>
          <w:color w:val="000000"/>
          <w:lang w:eastAsia="zh-CN"/>
        </w:rPr>
        <w:t>, 2018</w:t>
      </w:r>
    </w:p>
    <w:p w14:paraId="771A1491" w14:textId="5452C8C4" w:rsidR="00DE2D15" w:rsidRPr="00DE2D15" w:rsidRDefault="00DE2D15" w:rsidP="00DE2D15">
      <w:pPr>
        <w:widowControl w:val="0"/>
        <w:adjustRightInd w:val="0"/>
        <w:snapToGrid w:val="0"/>
        <w:spacing w:line="360" w:lineRule="auto"/>
        <w:jc w:val="both"/>
        <w:rPr>
          <w:rFonts w:ascii="Book Antiqua" w:eastAsia="SimSun" w:hAnsi="Book Antiqua" w:cs="Times New Roman"/>
          <w:color w:val="000000"/>
          <w:kern w:val="2"/>
          <w:lang w:eastAsia="zh-CN"/>
        </w:rPr>
      </w:pPr>
      <w:r w:rsidRPr="00DE2D15">
        <w:rPr>
          <w:rFonts w:ascii="Book Antiqua" w:eastAsia="SimSun" w:hAnsi="Book Antiqua" w:cs="Times New Roman"/>
          <w:b/>
          <w:color w:val="000000"/>
          <w:kern w:val="2"/>
          <w:lang w:eastAsia="zh-CN"/>
        </w:rPr>
        <w:t>First decision:</w:t>
      </w:r>
      <w:r w:rsidRPr="00DE2D15">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July</w:t>
      </w:r>
      <w:r w:rsidRPr="00DE2D15">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6</w:t>
      </w:r>
      <w:r w:rsidRPr="00DE2D15">
        <w:rPr>
          <w:rFonts w:ascii="Book Antiqua" w:eastAsia="SimSun" w:hAnsi="Book Antiqua" w:cs="Arial" w:hint="eastAsia"/>
          <w:color w:val="000000"/>
          <w:lang w:eastAsia="zh-CN"/>
        </w:rPr>
        <w:t>, 2018</w:t>
      </w:r>
    </w:p>
    <w:p w14:paraId="3E93FFA1" w14:textId="703142D8" w:rsidR="00DE2D15" w:rsidRPr="00DE2D15" w:rsidRDefault="00DE2D15" w:rsidP="00DE2D15">
      <w:pPr>
        <w:widowControl w:val="0"/>
        <w:adjustRightInd w:val="0"/>
        <w:snapToGrid w:val="0"/>
        <w:spacing w:line="360" w:lineRule="auto"/>
        <w:jc w:val="both"/>
        <w:rPr>
          <w:rFonts w:ascii="Book Antiqua" w:eastAsia="SimSun" w:hAnsi="Book Antiqua" w:cs="Times New Roman"/>
          <w:color w:val="000000"/>
          <w:kern w:val="2"/>
          <w:lang w:eastAsia="zh-CN"/>
        </w:rPr>
      </w:pPr>
      <w:r w:rsidRPr="00DE2D15">
        <w:rPr>
          <w:rFonts w:ascii="Book Antiqua" w:eastAsia="SimSun" w:hAnsi="Book Antiqua" w:cs="Times New Roman"/>
          <w:b/>
          <w:color w:val="000000"/>
          <w:kern w:val="2"/>
          <w:lang w:eastAsia="zh-CN"/>
        </w:rPr>
        <w:t>Revised:</w:t>
      </w:r>
      <w:r w:rsidRPr="00DE2D15">
        <w:rPr>
          <w:rFonts w:ascii="Book Antiqua" w:eastAsia="SimSun" w:hAnsi="Book Antiqua" w:cs="Times New Roman"/>
          <w:color w:val="000000"/>
          <w:kern w:val="2"/>
          <w:lang w:eastAsia="zh-CN"/>
        </w:rPr>
        <w:t xml:space="preserve"> </w:t>
      </w:r>
      <w:r>
        <w:rPr>
          <w:rFonts w:ascii="Book Antiqua" w:eastAsia="SimSun" w:hAnsi="Book Antiqua" w:cs="Arial" w:hint="eastAsia"/>
          <w:color w:val="000000"/>
          <w:lang w:eastAsia="zh-CN"/>
        </w:rPr>
        <w:t>July</w:t>
      </w:r>
      <w:r w:rsidRPr="00DE2D15">
        <w:rPr>
          <w:rFonts w:ascii="Book Antiqua" w:eastAsia="SimSun" w:hAnsi="Book Antiqua" w:cs="Arial" w:hint="eastAsia"/>
          <w:color w:val="000000"/>
          <w:lang w:eastAsia="zh-CN"/>
        </w:rPr>
        <w:t xml:space="preserve"> </w:t>
      </w:r>
      <w:r>
        <w:rPr>
          <w:rFonts w:ascii="Book Antiqua" w:eastAsia="SimSun" w:hAnsi="Book Antiqua" w:cs="Arial" w:hint="eastAsia"/>
          <w:color w:val="000000"/>
          <w:lang w:eastAsia="zh-CN"/>
        </w:rPr>
        <w:t>11</w:t>
      </w:r>
      <w:r w:rsidRPr="00DE2D15">
        <w:rPr>
          <w:rFonts w:ascii="Book Antiqua" w:eastAsia="SimSun" w:hAnsi="Book Antiqua" w:cs="Arial" w:hint="eastAsia"/>
          <w:color w:val="000000"/>
          <w:lang w:eastAsia="zh-CN"/>
        </w:rPr>
        <w:t>, 2018</w:t>
      </w:r>
    </w:p>
    <w:p w14:paraId="4EC28E31" w14:textId="33CAD7A7" w:rsidR="00DE2D15" w:rsidRPr="00DE2D15" w:rsidRDefault="00DE2D15" w:rsidP="00DE2D15">
      <w:pPr>
        <w:widowControl w:val="0"/>
        <w:adjustRightInd w:val="0"/>
        <w:snapToGrid w:val="0"/>
        <w:spacing w:line="360" w:lineRule="auto"/>
        <w:jc w:val="both"/>
        <w:rPr>
          <w:rFonts w:ascii="Book Antiqua" w:eastAsia="SimSun" w:hAnsi="Book Antiqua" w:cs="Times New Roman"/>
          <w:color w:val="000000"/>
          <w:kern w:val="2"/>
          <w:lang w:eastAsia="zh-CN"/>
        </w:rPr>
      </w:pPr>
      <w:r w:rsidRPr="00DE2D15">
        <w:rPr>
          <w:rFonts w:ascii="Book Antiqua" w:eastAsia="SimSun" w:hAnsi="Book Antiqua" w:cs="Times New Roman"/>
          <w:b/>
          <w:color w:val="000000"/>
          <w:kern w:val="2"/>
          <w:lang w:eastAsia="zh-CN"/>
        </w:rPr>
        <w:t>Accepted:</w:t>
      </w:r>
      <w:r w:rsidR="00A33510" w:rsidRPr="00A33510">
        <w:t xml:space="preserve"> </w:t>
      </w:r>
      <w:r w:rsidR="00A33510" w:rsidRPr="00A33510">
        <w:rPr>
          <w:rFonts w:ascii="Book Antiqua" w:eastAsia="SimSun" w:hAnsi="Book Antiqua" w:cs="Times New Roman"/>
          <w:color w:val="000000"/>
          <w:kern w:val="2"/>
          <w:lang w:eastAsia="zh-CN"/>
        </w:rPr>
        <w:t>July 22, 2018</w:t>
      </w:r>
      <w:r w:rsidRPr="00DE2D15">
        <w:rPr>
          <w:rFonts w:ascii="Book Antiqua" w:eastAsia="SimSun" w:hAnsi="Book Antiqua" w:cs="Times New Roman"/>
          <w:color w:val="000000"/>
          <w:kern w:val="2"/>
          <w:lang w:eastAsia="zh-CN"/>
        </w:rPr>
        <w:t xml:space="preserve"> </w:t>
      </w:r>
    </w:p>
    <w:p w14:paraId="18D5CB50" w14:textId="77777777" w:rsidR="00DE2D15" w:rsidRPr="00DE2D15" w:rsidRDefault="00DE2D15" w:rsidP="00DE2D15">
      <w:pPr>
        <w:widowControl w:val="0"/>
        <w:adjustRightInd w:val="0"/>
        <w:snapToGrid w:val="0"/>
        <w:spacing w:line="360" w:lineRule="auto"/>
        <w:jc w:val="both"/>
        <w:rPr>
          <w:rFonts w:ascii="Book Antiqua" w:eastAsia="SimSun" w:hAnsi="Book Antiqua" w:cs="Times New Roman"/>
          <w:b/>
          <w:color w:val="000000"/>
          <w:kern w:val="2"/>
          <w:lang w:eastAsia="zh-CN"/>
        </w:rPr>
      </w:pPr>
      <w:r w:rsidRPr="00DE2D15">
        <w:rPr>
          <w:rFonts w:ascii="Book Antiqua" w:eastAsia="SimSun" w:hAnsi="Book Antiqua" w:cs="Times New Roman"/>
          <w:b/>
          <w:color w:val="000000"/>
          <w:kern w:val="2"/>
          <w:lang w:eastAsia="zh-CN"/>
        </w:rPr>
        <w:t>Article in press:</w:t>
      </w:r>
    </w:p>
    <w:p w14:paraId="7B28628A" w14:textId="6CE8A548" w:rsidR="00DE2D15" w:rsidRPr="00DE2D15" w:rsidRDefault="00DE2D15" w:rsidP="002D44D6">
      <w:pPr>
        <w:widowControl w:val="0"/>
        <w:adjustRightInd w:val="0"/>
        <w:snapToGrid w:val="0"/>
        <w:spacing w:line="360" w:lineRule="auto"/>
        <w:jc w:val="both"/>
        <w:rPr>
          <w:rFonts w:ascii="Book Antiqua" w:eastAsia="SimSun" w:hAnsi="Book Antiqua" w:cs="Times New Roman"/>
          <w:b/>
          <w:color w:val="000000"/>
          <w:kern w:val="2"/>
          <w:lang w:eastAsia="zh-CN"/>
        </w:rPr>
      </w:pPr>
      <w:r w:rsidRPr="00DE2D15">
        <w:rPr>
          <w:rFonts w:ascii="Book Antiqua" w:eastAsia="SimSun" w:hAnsi="Book Antiqua" w:cs="Times New Roman"/>
          <w:b/>
          <w:color w:val="000000"/>
          <w:kern w:val="2"/>
          <w:lang w:eastAsia="zh-CN"/>
        </w:rPr>
        <w:t>Published online:</w:t>
      </w:r>
    </w:p>
    <w:p w14:paraId="57FC3FA7" w14:textId="77777777" w:rsidR="006C28B6" w:rsidRPr="002D44D6" w:rsidRDefault="006C28B6" w:rsidP="002D44D6">
      <w:pPr>
        <w:widowControl w:val="0"/>
        <w:adjustRightInd w:val="0"/>
        <w:snapToGrid w:val="0"/>
        <w:spacing w:line="360" w:lineRule="auto"/>
        <w:jc w:val="both"/>
        <w:rPr>
          <w:rFonts w:ascii="Book Antiqua" w:hAnsi="Book Antiqua" w:cs="Arial"/>
          <w:b/>
          <w:color w:val="000000"/>
        </w:rPr>
      </w:pPr>
      <w:r w:rsidRPr="002D44D6">
        <w:rPr>
          <w:rFonts w:ascii="Book Antiqua" w:hAnsi="Book Antiqua" w:cs="Arial"/>
          <w:b/>
          <w:color w:val="000000"/>
        </w:rPr>
        <w:br w:type="page"/>
      </w:r>
    </w:p>
    <w:p w14:paraId="44A73298" w14:textId="0322D39F" w:rsidR="00453E6A" w:rsidRPr="002D44D6" w:rsidRDefault="00453E6A" w:rsidP="002D44D6">
      <w:pPr>
        <w:widowControl w:val="0"/>
        <w:adjustRightInd w:val="0"/>
        <w:snapToGrid w:val="0"/>
        <w:spacing w:line="360" w:lineRule="auto"/>
        <w:jc w:val="both"/>
        <w:rPr>
          <w:rFonts w:ascii="Book Antiqua" w:hAnsi="Book Antiqua" w:cs="Arial"/>
          <w:b/>
          <w:color w:val="000000"/>
        </w:rPr>
      </w:pPr>
      <w:r w:rsidRPr="002D44D6">
        <w:rPr>
          <w:rFonts w:ascii="Book Antiqua" w:hAnsi="Book Antiqua" w:cs="Arial"/>
          <w:b/>
          <w:color w:val="000000"/>
        </w:rPr>
        <w:lastRenderedPageBreak/>
        <w:t>Abstract</w:t>
      </w:r>
    </w:p>
    <w:p w14:paraId="2F0A3191" w14:textId="7AD7C1D5" w:rsidR="00467492" w:rsidRPr="002D44D6" w:rsidRDefault="00453E6A" w:rsidP="002D44D6">
      <w:pPr>
        <w:widowControl w:val="0"/>
        <w:adjustRightInd w:val="0"/>
        <w:snapToGrid w:val="0"/>
        <w:spacing w:line="360" w:lineRule="auto"/>
        <w:jc w:val="both"/>
        <w:rPr>
          <w:rFonts w:ascii="Book Antiqua" w:hAnsi="Book Antiqua" w:cs="Arial"/>
          <w:color w:val="000000"/>
        </w:rPr>
      </w:pPr>
      <w:r w:rsidRPr="002D44D6">
        <w:rPr>
          <w:rFonts w:ascii="Book Antiqua" w:hAnsi="Book Antiqua" w:cs="Arial"/>
          <w:color w:val="000000"/>
        </w:rPr>
        <w:t xml:space="preserve">Primary biliary cholangitis (PBC) is an autoimmune cholestatic liver disease with </w:t>
      </w:r>
      <w:r w:rsidR="00644954" w:rsidRPr="002D44D6">
        <w:rPr>
          <w:rFonts w:ascii="Book Antiqua" w:hAnsi="Book Antiqua" w:cs="Arial"/>
          <w:color w:val="000000"/>
        </w:rPr>
        <w:t xml:space="preserve">multiple debilitating </w:t>
      </w:r>
      <w:r w:rsidR="001E66FF" w:rsidRPr="002D44D6">
        <w:rPr>
          <w:rFonts w:ascii="Book Antiqua" w:hAnsi="Book Antiqua" w:cs="Arial"/>
          <w:color w:val="000000"/>
        </w:rPr>
        <w:t xml:space="preserve">complications. </w:t>
      </w:r>
      <w:r w:rsidRPr="002D44D6">
        <w:rPr>
          <w:rFonts w:ascii="Book Antiqua" w:hAnsi="Book Antiqua" w:cs="Arial"/>
          <w:color w:val="000000"/>
        </w:rPr>
        <w:t xml:space="preserve">Osteoporosis is a common complication of PBC resulting in frequent fractures and </w:t>
      </w:r>
      <w:r w:rsidR="009C114E" w:rsidRPr="002D44D6">
        <w:rPr>
          <w:rFonts w:ascii="Book Antiqua" w:hAnsi="Book Antiqua" w:cs="Arial"/>
          <w:color w:val="000000"/>
        </w:rPr>
        <w:t>leading</w:t>
      </w:r>
      <w:r w:rsidR="00644954" w:rsidRPr="002D44D6">
        <w:rPr>
          <w:rFonts w:ascii="Book Antiqua" w:hAnsi="Book Antiqua" w:cs="Arial"/>
          <w:color w:val="000000"/>
        </w:rPr>
        <w:t xml:space="preserve"> to </w:t>
      </w:r>
      <w:r w:rsidRPr="002D44D6">
        <w:rPr>
          <w:rFonts w:ascii="Book Antiqua" w:hAnsi="Book Antiqua" w:cs="Arial"/>
          <w:color w:val="000000"/>
        </w:rPr>
        <w:t>significa</w:t>
      </w:r>
      <w:r w:rsidR="006C28B6" w:rsidRPr="002D44D6">
        <w:rPr>
          <w:rFonts w:ascii="Book Antiqua" w:hAnsi="Book Antiqua" w:cs="Arial"/>
          <w:color w:val="000000"/>
        </w:rPr>
        <w:t>nt morbidity in this population, yet evidence for effective therapy is lacking.</w:t>
      </w:r>
      <w:r w:rsidR="00AC67CA" w:rsidRPr="002D44D6">
        <w:rPr>
          <w:rFonts w:ascii="Book Antiqua" w:hAnsi="Book Antiqua" w:cs="Arial"/>
          <w:color w:val="000000"/>
        </w:rPr>
        <w:t xml:space="preserve"> </w:t>
      </w:r>
      <w:r w:rsidR="001E66FF" w:rsidRPr="002D44D6">
        <w:rPr>
          <w:rFonts w:ascii="Book Antiqua" w:hAnsi="Book Antiqua" w:cs="Arial"/>
          <w:color w:val="000000"/>
        </w:rPr>
        <w:t xml:space="preserve">We sought to summarize our current understanding of the pathophysiology of osteoporosis in PBC, as well as current and emerging therapies in order to guide future research directions. </w:t>
      </w:r>
      <w:r w:rsidRPr="002D44D6">
        <w:rPr>
          <w:rFonts w:ascii="Book Antiqua" w:hAnsi="Book Antiqua" w:cs="Arial"/>
          <w:color w:val="000000"/>
        </w:rPr>
        <w:t xml:space="preserve">A complete search </w:t>
      </w:r>
      <w:r w:rsidR="00644954" w:rsidRPr="002D44D6">
        <w:rPr>
          <w:rFonts w:ascii="Book Antiqua" w:hAnsi="Book Antiqua" w:cs="Arial"/>
          <w:color w:val="000000"/>
        </w:rPr>
        <w:t xml:space="preserve">with a comprehensive literature review </w:t>
      </w:r>
      <w:r w:rsidRPr="002D44D6">
        <w:rPr>
          <w:rFonts w:ascii="Book Antiqua" w:hAnsi="Book Antiqua" w:cs="Arial"/>
          <w:color w:val="000000"/>
        </w:rPr>
        <w:t>was performed with studies from PubMed, EMBASE, Web of Science,</w:t>
      </w:r>
      <w:r w:rsidR="00644954" w:rsidRPr="002D44D6">
        <w:rPr>
          <w:rFonts w:ascii="Book Antiqua" w:hAnsi="Book Antiqua" w:cs="Arial"/>
          <w:color w:val="000000"/>
        </w:rPr>
        <w:t xml:space="preserve"> </w:t>
      </w:r>
      <w:r w:rsidRPr="002D44D6">
        <w:rPr>
          <w:rFonts w:ascii="Book Antiqua" w:hAnsi="Book Antiqua" w:cs="Arial"/>
          <w:color w:val="000000"/>
        </w:rPr>
        <w:t xml:space="preserve">Cochrane database, </w:t>
      </w:r>
      <w:r w:rsidR="003E2B69" w:rsidRPr="002D44D6">
        <w:rPr>
          <w:rFonts w:ascii="Book Antiqua" w:hAnsi="Book Antiqua" w:cs="Arial"/>
          <w:color w:val="000000"/>
        </w:rPr>
        <w:t xml:space="preserve">and the </w:t>
      </w:r>
      <w:proofErr w:type="spellStart"/>
      <w:r w:rsidR="003E2B69" w:rsidRPr="002D44D6">
        <w:rPr>
          <w:rFonts w:ascii="Book Antiqua" w:hAnsi="Book Antiqua" w:cs="Arial"/>
          <w:color w:val="000000"/>
        </w:rPr>
        <w:t>Countway</w:t>
      </w:r>
      <w:proofErr w:type="spellEnd"/>
      <w:r w:rsidR="003E2B69" w:rsidRPr="002D44D6">
        <w:rPr>
          <w:rFonts w:ascii="Book Antiqua" w:hAnsi="Book Antiqua" w:cs="Arial"/>
          <w:color w:val="000000"/>
        </w:rPr>
        <w:t xml:space="preserve"> Library</w:t>
      </w:r>
      <w:r w:rsidR="00AC67CA" w:rsidRPr="002D44D6">
        <w:rPr>
          <w:rFonts w:ascii="Book Antiqua" w:hAnsi="Book Antiqua" w:cs="Arial"/>
          <w:color w:val="000000"/>
        </w:rPr>
        <w:t>.</w:t>
      </w:r>
      <w:r w:rsidR="00644954" w:rsidRPr="002D44D6">
        <w:rPr>
          <w:rFonts w:ascii="Book Antiqua" w:hAnsi="Book Antiqua" w:cs="Arial"/>
          <w:color w:val="000000"/>
        </w:rPr>
        <w:t xml:space="preserve"> </w:t>
      </w:r>
      <w:r w:rsidR="001E66FF" w:rsidRPr="002D44D6">
        <w:rPr>
          <w:rFonts w:ascii="Book Antiqua" w:hAnsi="Book Antiqua" w:cs="Arial"/>
          <w:color w:val="000000"/>
        </w:rPr>
        <w:t xml:space="preserve">Osteoporosis in PBC is driven primarily by decreased bone formation, which differs from the increased bone resorption seen in postmenopausal osteoporosis. Despite this fundamental difference, current treatment recommendations are based primarily on experience with postmenopausal osteoporosis. Trials specific to PBC-related osteoporosis are small and have not consistently demonstrated a benefit in this population. </w:t>
      </w:r>
      <w:r w:rsidR="0003721C" w:rsidRPr="002D44D6">
        <w:rPr>
          <w:rFonts w:ascii="Book Antiqua" w:hAnsi="Book Antiqua" w:cs="Arial"/>
          <w:color w:val="000000"/>
        </w:rPr>
        <w:t>As it stands, p</w:t>
      </w:r>
      <w:r w:rsidR="00DB7984" w:rsidRPr="002D44D6">
        <w:rPr>
          <w:rFonts w:ascii="Book Antiqua" w:hAnsi="Book Antiqua" w:cs="Arial"/>
          <w:color w:val="000000"/>
        </w:rPr>
        <w:t xml:space="preserve">revention of osteoporosis in PBC relies on </w:t>
      </w:r>
      <w:r w:rsidR="00644954" w:rsidRPr="002D44D6">
        <w:rPr>
          <w:rFonts w:ascii="Book Antiqua" w:hAnsi="Book Antiqua" w:cs="Arial"/>
          <w:color w:val="000000"/>
        </w:rPr>
        <w:t xml:space="preserve">the </w:t>
      </w:r>
      <w:r w:rsidR="00DB7984" w:rsidRPr="002D44D6">
        <w:rPr>
          <w:rFonts w:ascii="Book Antiqua" w:hAnsi="Book Antiqua" w:cs="Arial"/>
          <w:color w:val="000000"/>
        </w:rPr>
        <w:t>mitigation of risk factors such as smoking and alcohol use</w:t>
      </w:r>
      <w:r w:rsidR="00644954" w:rsidRPr="002D44D6">
        <w:rPr>
          <w:rFonts w:ascii="Book Antiqua" w:hAnsi="Book Antiqua" w:cs="Arial"/>
          <w:color w:val="000000"/>
        </w:rPr>
        <w:t>,</w:t>
      </w:r>
      <w:r w:rsidR="00DB7984" w:rsidRPr="002D44D6">
        <w:rPr>
          <w:rFonts w:ascii="Book Antiqua" w:hAnsi="Book Antiqua" w:cs="Arial"/>
          <w:color w:val="000000"/>
        </w:rPr>
        <w:t xml:space="preserve"> as well as encouraging a healthy die</w:t>
      </w:r>
      <w:r w:rsidR="0003721C" w:rsidRPr="002D44D6">
        <w:rPr>
          <w:rFonts w:ascii="Book Antiqua" w:hAnsi="Book Antiqua" w:cs="Arial"/>
          <w:color w:val="000000"/>
        </w:rPr>
        <w:t xml:space="preserve">t and weight-bearing exercise. The primary medical intervention for the treatment of osteoporosis in PBC remains bisphosphonates though a benefit in terms of fracture reduction has never been shown. </w:t>
      </w:r>
      <w:r w:rsidR="007A6847" w:rsidRPr="002D44D6">
        <w:rPr>
          <w:rFonts w:ascii="Book Antiqua" w:hAnsi="Book Antiqua" w:cs="Arial"/>
          <w:color w:val="000000"/>
        </w:rPr>
        <w:t>This review outlines what is known regarding the pathogenesis of bone disease in PBC and summarizes current and emerging therapies.</w:t>
      </w:r>
    </w:p>
    <w:p w14:paraId="2223596D" w14:textId="77777777" w:rsidR="00467492" w:rsidRPr="002D44D6" w:rsidRDefault="00467492" w:rsidP="002D44D6">
      <w:pPr>
        <w:widowControl w:val="0"/>
        <w:adjustRightInd w:val="0"/>
        <w:snapToGrid w:val="0"/>
        <w:spacing w:line="360" w:lineRule="auto"/>
        <w:jc w:val="both"/>
        <w:rPr>
          <w:rFonts w:ascii="Book Antiqua" w:hAnsi="Book Antiqua" w:cs="Arial"/>
          <w:color w:val="000000"/>
        </w:rPr>
      </w:pPr>
    </w:p>
    <w:p w14:paraId="28E783FE" w14:textId="1B67D751" w:rsidR="00467492" w:rsidRPr="002D44D6" w:rsidRDefault="00137E3E" w:rsidP="002D44D6">
      <w:pPr>
        <w:widowControl w:val="0"/>
        <w:adjustRightInd w:val="0"/>
        <w:snapToGrid w:val="0"/>
        <w:spacing w:line="360" w:lineRule="auto"/>
        <w:jc w:val="both"/>
        <w:rPr>
          <w:rFonts w:ascii="Book Antiqua" w:hAnsi="Book Antiqua" w:cs="Arial"/>
        </w:rPr>
      </w:pPr>
      <w:r w:rsidRPr="002D44D6">
        <w:rPr>
          <w:rFonts w:ascii="Book Antiqua" w:hAnsi="Book Antiqua" w:cs="Arial"/>
          <w:b/>
        </w:rPr>
        <w:t>Key</w:t>
      </w:r>
      <w:r w:rsidR="00C761F0" w:rsidRPr="002D44D6">
        <w:rPr>
          <w:rFonts w:ascii="Book Antiqua" w:eastAsia="SimSun" w:hAnsi="Book Antiqua" w:cs="Arial"/>
          <w:b/>
          <w:lang w:eastAsia="zh-CN"/>
        </w:rPr>
        <w:t xml:space="preserve"> </w:t>
      </w:r>
      <w:r w:rsidRPr="002D44D6">
        <w:rPr>
          <w:rFonts w:ascii="Book Antiqua" w:hAnsi="Book Antiqua" w:cs="Arial"/>
          <w:b/>
        </w:rPr>
        <w:t>words:</w:t>
      </w:r>
      <w:r w:rsidR="00472C6C" w:rsidRPr="002D44D6">
        <w:rPr>
          <w:rFonts w:ascii="Book Antiqua" w:hAnsi="Book Antiqua" w:cs="Arial"/>
        </w:rPr>
        <w:t xml:space="preserve"> Biliary cirrhosis; C</w:t>
      </w:r>
      <w:r w:rsidRPr="002D44D6">
        <w:rPr>
          <w:rFonts w:ascii="Book Antiqua" w:hAnsi="Book Antiqua" w:cs="Arial"/>
        </w:rPr>
        <w:t xml:space="preserve">holestatic </w:t>
      </w:r>
      <w:r w:rsidR="00472C6C" w:rsidRPr="002D44D6">
        <w:rPr>
          <w:rFonts w:ascii="Book Antiqua" w:hAnsi="Book Antiqua" w:cs="Arial"/>
        </w:rPr>
        <w:t>liver disease; O</w:t>
      </w:r>
      <w:r w:rsidRPr="002D44D6">
        <w:rPr>
          <w:rFonts w:ascii="Book Antiqua" w:hAnsi="Book Antiqua" w:cs="Arial"/>
        </w:rPr>
        <w:t>s</w:t>
      </w:r>
      <w:r w:rsidR="00472C6C" w:rsidRPr="002D44D6">
        <w:rPr>
          <w:rFonts w:ascii="Book Antiqua" w:hAnsi="Book Antiqua" w:cs="Arial"/>
        </w:rPr>
        <w:t>teopenia; Hepatic O</w:t>
      </w:r>
      <w:r w:rsidR="00467492" w:rsidRPr="002D44D6">
        <w:rPr>
          <w:rFonts w:ascii="Book Antiqua" w:hAnsi="Book Antiqua" w:cs="Arial"/>
        </w:rPr>
        <w:t>steodystrophy</w:t>
      </w:r>
      <w:r w:rsidR="00472C6C" w:rsidRPr="002D44D6">
        <w:rPr>
          <w:rFonts w:ascii="Book Antiqua" w:hAnsi="Book Antiqua" w:cs="Arial"/>
        </w:rPr>
        <w:t>; Bisphosphonates; Hormone replacement therapy</w:t>
      </w:r>
    </w:p>
    <w:p w14:paraId="412A681D" w14:textId="77777777" w:rsidR="00467492" w:rsidRDefault="00467492" w:rsidP="002D44D6">
      <w:pPr>
        <w:widowControl w:val="0"/>
        <w:adjustRightInd w:val="0"/>
        <w:snapToGrid w:val="0"/>
        <w:spacing w:line="360" w:lineRule="auto"/>
        <w:jc w:val="both"/>
        <w:rPr>
          <w:rFonts w:ascii="Book Antiqua" w:eastAsia="SimSun" w:hAnsi="Book Antiqua" w:cs="Arial"/>
          <w:lang w:eastAsia="zh-CN"/>
        </w:rPr>
      </w:pPr>
    </w:p>
    <w:p w14:paraId="7825956F" w14:textId="77777777" w:rsidR="00DE2D15" w:rsidRPr="00DE2D15" w:rsidRDefault="00DE2D15" w:rsidP="00DE2D15">
      <w:pPr>
        <w:widowControl w:val="0"/>
        <w:adjustRightInd w:val="0"/>
        <w:snapToGrid w:val="0"/>
        <w:spacing w:line="360" w:lineRule="auto"/>
        <w:jc w:val="both"/>
        <w:rPr>
          <w:rFonts w:ascii="Book Antiqua" w:eastAsia="SimSun" w:hAnsi="Book Antiqua" w:cs="Tahoma"/>
          <w:color w:val="000000"/>
          <w:kern w:val="2"/>
          <w:lang w:eastAsia="zh-CN"/>
        </w:rPr>
      </w:pPr>
      <w:bookmarkStart w:id="0" w:name="OLE_LINK148"/>
      <w:bookmarkStart w:id="1" w:name="OLE_LINK149"/>
      <w:bookmarkStart w:id="2" w:name="OLE_LINK200"/>
      <w:bookmarkStart w:id="3" w:name="OLE_LINK288"/>
      <w:bookmarkStart w:id="4" w:name="OLE_LINK1864"/>
      <w:bookmarkStart w:id="5" w:name="OLE_LINK16"/>
      <w:bookmarkStart w:id="6" w:name="OLE_LINK382"/>
      <w:bookmarkStart w:id="7" w:name="OLE_LINK306"/>
      <w:bookmarkStart w:id="8" w:name="OLE_LINK569"/>
      <w:bookmarkStart w:id="9" w:name="OLE_LINK682"/>
      <w:r w:rsidRPr="00DE2D15">
        <w:rPr>
          <w:rFonts w:ascii="Book Antiqua" w:eastAsia="SimSun" w:hAnsi="Book Antiqua" w:cs="Tahoma"/>
          <w:b/>
          <w:color w:val="000000"/>
          <w:kern w:val="2"/>
          <w:lang w:eastAsia="ja-JP"/>
        </w:rPr>
        <w:t>© The Author(s) 201</w:t>
      </w:r>
      <w:r w:rsidRPr="00DE2D15">
        <w:rPr>
          <w:rFonts w:ascii="Book Antiqua" w:eastAsia="SimSun" w:hAnsi="Book Antiqua" w:cs="Tahoma"/>
          <w:b/>
          <w:color w:val="000000"/>
          <w:kern w:val="2"/>
          <w:lang w:eastAsia="zh-CN"/>
        </w:rPr>
        <w:t>8</w:t>
      </w:r>
      <w:r w:rsidRPr="00DE2D15">
        <w:rPr>
          <w:rFonts w:ascii="Book Antiqua" w:eastAsia="SimSun" w:hAnsi="Book Antiqua" w:cs="Tahoma"/>
          <w:b/>
          <w:color w:val="000000"/>
          <w:kern w:val="2"/>
          <w:lang w:eastAsia="ja-JP"/>
        </w:rPr>
        <w:t>.</w:t>
      </w:r>
      <w:r w:rsidRPr="00DE2D15">
        <w:rPr>
          <w:rFonts w:ascii="Book Antiqua" w:eastAsia="SimSun" w:hAnsi="Book Antiqua" w:cs="Tahoma"/>
          <w:color w:val="000000"/>
          <w:kern w:val="2"/>
          <w:lang w:eastAsia="ja-JP"/>
        </w:rPr>
        <w:t xml:space="preserve"> Published by </w:t>
      </w:r>
      <w:proofErr w:type="spellStart"/>
      <w:r w:rsidRPr="00DE2D15">
        <w:rPr>
          <w:rFonts w:ascii="Book Antiqua" w:eastAsia="SimSun" w:hAnsi="Book Antiqua" w:cs="Tahoma"/>
          <w:color w:val="000000"/>
          <w:kern w:val="2"/>
          <w:lang w:eastAsia="ja-JP"/>
        </w:rPr>
        <w:t>Baishideng</w:t>
      </w:r>
      <w:proofErr w:type="spellEnd"/>
      <w:r w:rsidRPr="00DE2D15">
        <w:rPr>
          <w:rFonts w:ascii="Book Antiqua" w:eastAsia="SimSun" w:hAnsi="Book Antiqua" w:cs="Tahoma"/>
          <w:color w:val="000000"/>
          <w:kern w:val="2"/>
          <w:lang w:eastAsia="ja-JP"/>
        </w:rPr>
        <w:t xml:space="preserve"> Publishing Group Inc. All rights reserved.</w:t>
      </w:r>
      <w:bookmarkEnd w:id="0"/>
      <w:bookmarkEnd w:id="1"/>
      <w:bookmarkEnd w:id="2"/>
      <w:bookmarkEnd w:id="3"/>
      <w:bookmarkEnd w:id="4"/>
      <w:bookmarkEnd w:id="5"/>
      <w:bookmarkEnd w:id="6"/>
      <w:bookmarkEnd w:id="7"/>
      <w:bookmarkEnd w:id="8"/>
      <w:bookmarkEnd w:id="9"/>
    </w:p>
    <w:p w14:paraId="7363B928" w14:textId="77777777" w:rsidR="00DE2D15" w:rsidRPr="00DE2D15" w:rsidRDefault="00DE2D15" w:rsidP="002D44D6">
      <w:pPr>
        <w:widowControl w:val="0"/>
        <w:adjustRightInd w:val="0"/>
        <w:snapToGrid w:val="0"/>
        <w:spacing w:line="360" w:lineRule="auto"/>
        <w:jc w:val="both"/>
        <w:rPr>
          <w:rFonts w:ascii="Book Antiqua" w:eastAsia="SimSun" w:hAnsi="Book Antiqua" w:cs="Arial"/>
          <w:lang w:eastAsia="zh-CN"/>
        </w:rPr>
      </w:pPr>
    </w:p>
    <w:p w14:paraId="4D9037D5" w14:textId="43651F86" w:rsidR="00467492" w:rsidRPr="002D44D6" w:rsidRDefault="00472C6C" w:rsidP="002D44D6">
      <w:pPr>
        <w:widowControl w:val="0"/>
        <w:adjustRightInd w:val="0"/>
        <w:snapToGrid w:val="0"/>
        <w:spacing w:line="360" w:lineRule="auto"/>
        <w:jc w:val="both"/>
        <w:rPr>
          <w:rFonts w:ascii="Book Antiqua" w:hAnsi="Book Antiqua" w:cs="Arial"/>
        </w:rPr>
      </w:pPr>
      <w:r w:rsidRPr="002D44D6">
        <w:rPr>
          <w:rFonts w:ascii="Book Antiqua" w:hAnsi="Book Antiqua" w:cs="Arial"/>
          <w:b/>
        </w:rPr>
        <w:lastRenderedPageBreak/>
        <w:t>Core tip</w:t>
      </w:r>
      <w:r w:rsidR="00467492" w:rsidRPr="002D44D6">
        <w:rPr>
          <w:rFonts w:ascii="Book Antiqua" w:hAnsi="Book Antiqua" w:cs="Arial"/>
          <w:b/>
        </w:rPr>
        <w:t>:</w:t>
      </w:r>
      <w:r w:rsidR="00467492" w:rsidRPr="002D44D6">
        <w:rPr>
          <w:rFonts w:ascii="Book Antiqua" w:hAnsi="Book Antiqua" w:cs="Arial"/>
        </w:rPr>
        <w:t xml:space="preserve"> This article reviews the available literature on the </w:t>
      </w:r>
      <w:r w:rsidRPr="002D44D6">
        <w:rPr>
          <w:rFonts w:ascii="Book Antiqua" w:hAnsi="Book Antiqua" w:cs="Arial"/>
        </w:rPr>
        <w:t xml:space="preserve">pathophysiology and </w:t>
      </w:r>
      <w:r w:rsidR="00467492" w:rsidRPr="002D44D6">
        <w:rPr>
          <w:rFonts w:ascii="Book Antiqua" w:hAnsi="Book Antiqua" w:cs="Arial"/>
        </w:rPr>
        <w:t>mana</w:t>
      </w:r>
      <w:r w:rsidRPr="002D44D6">
        <w:rPr>
          <w:rFonts w:ascii="Book Antiqua" w:hAnsi="Book Antiqua" w:cs="Arial"/>
        </w:rPr>
        <w:t xml:space="preserve">gement of osteoporosis in </w:t>
      </w:r>
      <w:r w:rsidR="00DE2D15" w:rsidRPr="002D44D6">
        <w:rPr>
          <w:rFonts w:ascii="Book Antiqua" w:hAnsi="Book Antiqua" w:cs="Arial"/>
          <w:color w:val="000000"/>
        </w:rPr>
        <w:t>primary biliary cholangitis (PBC)</w:t>
      </w:r>
      <w:r w:rsidRPr="002D44D6">
        <w:rPr>
          <w:rFonts w:ascii="Book Antiqua" w:hAnsi="Book Antiqua" w:cs="Arial"/>
        </w:rPr>
        <w:t xml:space="preserve">. </w:t>
      </w:r>
      <w:r w:rsidR="00DF632B" w:rsidRPr="002D44D6">
        <w:rPr>
          <w:rFonts w:ascii="Book Antiqua" w:hAnsi="Book Antiqua" w:cs="Arial"/>
        </w:rPr>
        <w:t>PBC-related osteoporosis is driven mainly by decreased bone formation as opposed to the increased bone resorption seen in postmenopausal osteoporosis. Despite this and a lack of evidence of efficacy, b</w:t>
      </w:r>
      <w:r w:rsidR="00467492" w:rsidRPr="002D44D6">
        <w:rPr>
          <w:rFonts w:ascii="Book Antiqua" w:hAnsi="Book Antiqua" w:cs="Arial"/>
        </w:rPr>
        <w:t>isphosphonates remain the cornerstone of treatment</w:t>
      </w:r>
      <w:r w:rsidR="00DF632B" w:rsidRPr="002D44D6">
        <w:rPr>
          <w:rFonts w:ascii="Book Antiqua" w:hAnsi="Book Antiqua" w:cs="Arial"/>
        </w:rPr>
        <w:t>. Future attention should be given to the use of anabolic bone agents in the treatment of PBC-related osteoporosis.</w:t>
      </w:r>
    </w:p>
    <w:p w14:paraId="45CEC5AD" w14:textId="77777777" w:rsidR="00DF632B" w:rsidRPr="002D44D6" w:rsidRDefault="00DF632B" w:rsidP="002D44D6">
      <w:pPr>
        <w:widowControl w:val="0"/>
        <w:adjustRightInd w:val="0"/>
        <w:snapToGrid w:val="0"/>
        <w:spacing w:line="360" w:lineRule="auto"/>
        <w:jc w:val="both"/>
        <w:rPr>
          <w:rFonts w:ascii="Book Antiqua" w:hAnsi="Book Antiqua" w:cs="Arial"/>
          <w:b/>
        </w:rPr>
      </w:pPr>
    </w:p>
    <w:p w14:paraId="25C99DF5" w14:textId="6ED8552B" w:rsidR="00C761F0" w:rsidRPr="00353967" w:rsidRDefault="00DF632B" w:rsidP="002D44D6">
      <w:pPr>
        <w:widowControl w:val="0"/>
        <w:adjustRightInd w:val="0"/>
        <w:snapToGrid w:val="0"/>
        <w:spacing w:line="360" w:lineRule="auto"/>
        <w:jc w:val="both"/>
        <w:rPr>
          <w:rFonts w:ascii="Book Antiqua" w:eastAsia="SimSun" w:hAnsi="Book Antiqua"/>
          <w:color w:val="FF0000"/>
          <w:lang w:eastAsia="zh-CN"/>
        </w:rPr>
      </w:pPr>
      <w:proofErr w:type="spellStart"/>
      <w:r w:rsidRPr="002D44D6">
        <w:rPr>
          <w:rFonts w:ascii="Book Antiqua" w:hAnsi="Book Antiqua" w:cs="Arial"/>
        </w:rPr>
        <w:t>Danford</w:t>
      </w:r>
      <w:proofErr w:type="spellEnd"/>
      <w:r w:rsidRPr="002D44D6">
        <w:rPr>
          <w:rFonts w:ascii="Book Antiqua" w:hAnsi="Book Antiqua" w:cs="Arial"/>
        </w:rPr>
        <w:t xml:space="preserve"> CJ, Trivedi HD, </w:t>
      </w:r>
      <w:proofErr w:type="spellStart"/>
      <w:r w:rsidRPr="002D44D6">
        <w:rPr>
          <w:rFonts w:ascii="Book Antiqua" w:hAnsi="Book Antiqua" w:cs="Arial"/>
        </w:rPr>
        <w:t>Papamichael</w:t>
      </w:r>
      <w:proofErr w:type="spellEnd"/>
      <w:r w:rsidRPr="002D44D6">
        <w:rPr>
          <w:rFonts w:ascii="Book Antiqua" w:hAnsi="Book Antiqua" w:cs="Arial"/>
        </w:rPr>
        <w:t xml:space="preserve"> K, Tapper EB, Bonder A. Osteoporosis in primary biliary cholangitis.</w:t>
      </w:r>
      <w:r w:rsidR="00C761F0" w:rsidRPr="002D44D6">
        <w:rPr>
          <w:rFonts w:ascii="Book Antiqua" w:eastAsia="SimSun" w:hAnsi="Book Antiqua" w:cs="Arial"/>
          <w:lang w:eastAsia="zh-CN"/>
        </w:rPr>
        <w:t xml:space="preserve"> </w:t>
      </w:r>
      <w:r w:rsidR="00C761F0" w:rsidRPr="00353967">
        <w:rPr>
          <w:rFonts w:ascii="Book Antiqua" w:hAnsi="Book Antiqua"/>
          <w:i/>
        </w:rPr>
        <w:t xml:space="preserve">World J </w:t>
      </w:r>
      <w:proofErr w:type="spellStart"/>
      <w:r w:rsidR="00C761F0" w:rsidRPr="00353967">
        <w:rPr>
          <w:rFonts w:ascii="Book Antiqua" w:hAnsi="Book Antiqua"/>
          <w:i/>
        </w:rPr>
        <w:t>Gastroenterol</w:t>
      </w:r>
      <w:proofErr w:type="spellEnd"/>
      <w:r w:rsidR="00C761F0" w:rsidRPr="00353967">
        <w:rPr>
          <w:rFonts w:ascii="Book Antiqua" w:hAnsi="Book Antiqua"/>
        </w:rPr>
        <w:t xml:space="preserve"> 2018; </w:t>
      </w:r>
      <w:bookmarkStart w:id="10" w:name="OLE_LINK1297"/>
      <w:bookmarkStart w:id="11" w:name="OLE_LINK1298"/>
      <w:bookmarkStart w:id="12" w:name="OLE_LINK1689"/>
      <w:proofErr w:type="gramStart"/>
      <w:r w:rsidR="00C761F0" w:rsidRPr="00353967">
        <w:rPr>
          <w:rFonts w:ascii="Book Antiqua" w:hAnsi="Book Antiqua"/>
        </w:rPr>
        <w:t>In</w:t>
      </w:r>
      <w:proofErr w:type="gramEnd"/>
      <w:r w:rsidR="00C761F0" w:rsidRPr="00353967">
        <w:rPr>
          <w:rFonts w:ascii="Book Antiqua" w:hAnsi="Book Antiqua"/>
        </w:rPr>
        <w:t xml:space="preserve"> press</w:t>
      </w:r>
      <w:bookmarkEnd w:id="10"/>
      <w:bookmarkEnd w:id="11"/>
      <w:bookmarkEnd w:id="12"/>
    </w:p>
    <w:p w14:paraId="731D7264" w14:textId="1B52C618" w:rsidR="00DF632B" w:rsidRPr="002D44D6" w:rsidRDefault="00DF632B" w:rsidP="002D44D6">
      <w:pPr>
        <w:widowControl w:val="0"/>
        <w:adjustRightInd w:val="0"/>
        <w:snapToGrid w:val="0"/>
        <w:spacing w:line="360" w:lineRule="auto"/>
        <w:jc w:val="both"/>
        <w:rPr>
          <w:rFonts w:ascii="Book Antiqua" w:hAnsi="Book Antiqua" w:cs="Arial"/>
          <w:b/>
        </w:rPr>
      </w:pPr>
      <w:r w:rsidRPr="002D44D6">
        <w:rPr>
          <w:rFonts w:ascii="Book Antiqua" w:hAnsi="Book Antiqua" w:cs="Arial"/>
          <w:b/>
        </w:rPr>
        <w:br w:type="page"/>
      </w:r>
    </w:p>
    <w:p w14:paraId="4B420DCB" w14:textId="5ACABD00" w:rsidR="00B17149" w:rsidRPr="002D44D6" w:rsidRDefault="00C761F0" w:rsidP="002D44D6">
      <w:pPr>
        <w:widowControl w:val="0"/>
        <w:adjustRightInd w:val="0"/>
        <w:snapToGrid w:val="0"/>
        <w:spacing w:line="360" w:lineRule="auto"/>
        <w:jc w:val="both"/>
        <w:rPr>
          <w:rFonts w:ascii="Book Antiqua" w:hAnsi="Book Antiqua" w:cs="Arial"/>
          <w:b/>
          <w:color w:val="000000"/>
        </w:rPr>
      </w:pPr>
      <w:r w:rsidRPr="002D44D6">
        <w:rPr>
          <w:rFonts w:ascii="Book Antiqua" w:hAnsi="Book Antiqua" w:cs="Arial"/>
          <w:b/>
          <w:color w:val="000000"/>
        </w:rPr>
        <w:lastRenderedPageBreak/>
        <w:t>INTRODUCTION</w:t>
      </w:r>
    </w:p>
    <w:p w14:paraId="0A03C8AC" w14:textId="13435F41" w:rsidR="00CC6064" w:rsidRPr="002D44D6" w:rsidRDefault="00CC6064" w:rsidP="002D44D6">
      <w:pPr>
        <w:widowControl w:val="0"/>
        <w:adjustRightInd w:val="0"/>
        <w:snapToGrid w:val="0"/>
        <w:spacing w:line="360" w:lineRule="auto"/>
        <w:jc w:val="both"/>
        <w:rPr>
          <w:rFonts w:ascii="Book Antiqua" w:hAnsi="Book Antiqua" w:cs="Arial"/>
        </w:rPr>
      </w:pPr>
      <w:r w:rsidRPr="002D44D6">
        <w:rPr>
          <w:rFonts w:ascii="Book Antiqua" w:hAnsi="Book Antiqua" w:cs="Arial"/>
          <w:color w:val="000000"/>
        </w:rPr>
        <w:t>Primary biliary cholangitis (PBC) is a chronic, progressive cholestatic liver disease associated with numerous extrahepatic complications. Osteoporosis, a disease of decreased bone density and strength, is a common complication of PBC</w:t>
      </w:r>
      <w:r w:rsidR="001638E8" w:rsidRPr="002D44D6">
        <w:rPr>
          <w:rFonts w:ascii="Book Antiqua" w:hAnsi="Book Antiqua" w:cs="Arial"/>
          <w:color w:val="000000"/>
        </w:rPr>
        <w:fldChar w:fldCharType="begin" w:fldLock="1"/>
      </w:r>
      <w:r w:rsidR="001638E8" w:rsidRPr="002D44D6">
        <w:rPr>
          <w:rFonts w:ascii="Book Antiqua" w:hAnsi="Book Antiqua" w:cs="Arial"/>
          <w:color w:val="000000"/>
        </w:rPr>
        <w:instrText>ADDIN CSL_CITATION { "citationItems" : [ { "id" : "ITEM-1", "itemData" : { "DOI" : "10.1136/gut.49.2.282", "ISSN" : "0017-5749", "PMID" : "11454807", "abstract" : "Primary biliary cirrhosis (PBC) is increasingly being diagnosed in the earlier non-cholestatic stages of disease. Accepted wisdom has been that PBC is frequently complicated by osteoporosis. Whether this association holds true for the broader spectrum of PBC patients now recognised has not as yet been studied.", "author" : [ { "dropping-particle" : "", "family" : "Newton", "given" : "J", "non-dropping-particle" : "", "parse-names" : false, "suffix" : "" }, { "dropping-particle" : "", "family" : "Francis", "given" : "R", "non-dropping-particle" : "", "parse-names" : false, "suffix" : "" }, { "dropping-particle" : "", "family" : "Prince", "given" : "M", "non-dropping-particle" : "", "parse-names" : false, "suffix" : "" }, { "dropping-particle" : "", "family" : "James", "given" : "O", "non-dropping-particle" : "", "parse-names" : false, "suffix" : "" }, { "dropping-particle" : "", "family" : "Bassendine", "given" : "M", "non-dropping-particle" : "", "parse-names" : false, "suffix" : "" }, { "dropping-particle" : "", "family" : "Rawlings", "given" : "D", "non-dropping-particle" : "", "parse-names" : false, "suffix" : "" }, { "dropping-particle" : "", "family" : "Jones", "given" : "D", "non-dropping-particle" : "", "parse-names" : false, "suffix" : "" } ], "container-title" : "Gut", "id" : "ITEM-1", "issue" : "2", "issued" : { "date-parts" : [ [ "2001" ] ] }, "page" : "282-7", "title" : "Osteoporosis in primary biliary cirrhosis revisited.", "type" : "article-journal", "volume" : "49" }, "uris" : [ "http://www.mendeley.com/documents/?uuid=4478a13b-b935-4a0f-8358-067f0ab41815" ] }, { "id" : "ITEM-2", "itemData" : { "DOI" : "10.1016/j.jhep.2004.11.035", "ISSN" : "01688278", "PMID" : "15763344", "abstract" : "Background: Since primary biliary cirrhosis (PBC) is usually diagnosed in postmenopausal women with minor cholestasis, it has been questioned whether PBC itself represents a further risk for osteoporosis. Aim: To assess the prevalence and risk factors for osteoporosis in an unselected series of women with PBC. Patients and Methods: 142 women with PBC (age: 54.3\u00b10.8 years) and an age-matched control group. Osteoporosis was established by densitometry (bone mineral density below -2.5 T-score). Age, duration and severity of PBC, body mass index, menopausal status, histological stage and markers of bone turnover were assessed. Results: Prevalence of osteoporosis was higher in PBC (32.4%) than in normal women (11. 1%) (RR: 3.83, 95%CI: 2.59-5.67, P&lt;0.001). Osteoporosis was associated with older age, menopausal status, body mass index, longer PBC duration, advanced histological stage, high bilirubin and alkaline phosphatase, and low albumin and prothrombin index. Regression analysis identified older age, higher Mayo risk score, lower body mass index and advanced histological stage but not menopause as the independent risk factors for osteoporosis. Conclusions: Osteoporosis is more prevalent in women with PBC than in the general population. Age and severity of the disease, but not menopausal status, are the main risk factors for osteoporosis in this liver disease. \u00a9 2005 European Association for the Study of the Liver. Published by Elsevier B.V. All rights reserved.", "author" : [ { "dropping-particle" : "", "family" : "Gua\u00f1abens", "given" : "N\u00faria", "non-dropping-particle" : "", "parse-names" : false, "suffix" : "" }, { "dropping-particle" : "", "family" : "Par\u00e9s", "given" : "Albert", "non-dropping-particle" : "", "parse-names" : false, "suffix" : "" }, { "dropping-particle" : "", "family" : "Ros", "given" : "Inmaculada", "non-dropping-particle" : "", "parse-names" : false, "suffix" : "" }, { "dropping-particle" : "", "family" : "Caballer\u00eda", "given" : "Lloren\u00e7", "non-dropping-particle" : "", "parse-names" : false, "suffix" : "" }, { "dropping-particle" : "", "family" : "Pons", "given" : "Francesca", "non-dropping-particle" : "", "parse-names" : false, "suffix" : "" }, { "dropping-particle" : "", "family" : "Vidal", "given" : "Sergi", "non-dropping-particle" : "", "parse-names" : false, "suffix" : "" }, { "dropping-particle" : "", "family" : "Monegal", "given" : "Ana", "non-dropping-particle" : "", "parse-names" : false, "suffix" : "" }, { "dropping-particle" : "", "family" : "Peris", "given" : "Pilar", "non-dropping-particle" : "", "parse-names" : false, "suffix" : "" }, { "dropping-particle" : "", "family" : "Rod\u00e9s", "given" : "Juan", "non-dropping-particle" : "", "parse-names" : false, "suffix" : "" } ], "container-title" : "Journal of Hepatology", "id" : "ITEM-2", "issue" : "4", "issued" : { "date-parts" : [ [ "2005" ] ] }, "page" : "573-577", "title" : "Severity of cholestasis and advanced histological stage but not menopausal status are the major risk factors for osteoporosis in primary biliary cirrhosis", "type" : "article-journal", "volume" : "42" }, "uris" : [ "http://www.mendeley.com/documents/?uuid=3fc888f2-736b-495e-aa5e-eba830cdbfb5" ] }, { "id" : "ITEM-3", "itemData" : { "DOI" : "10.1053/j.gastro.2010.02.016", "ISSN" : "00165085", "PMID" : "20178794", "abstract" : "Background &amp; Aims: The influence of osteoporosis and liver disease on fracture risk is not well characterized in patients with primary biliary cirrhosis (PBC). We studied a large series of women with PBC to assess the prevalence and risk factors for fractures and the fracture threshold. Methods: In female patients with PBC (n = 185; age, 55.7 \u00b1 0.7 years; range 28-79 years), age, duration of PBC, menopausal status, and histologic stage and severity of liver disease were assessed. Vertebral and non-vertebral fractures were recorded in 170 and 172 patients, respectively. Osteoporosis and osteopenia were diagnosed based on densitometry analysis. Results: The prevalences of vertebral, non-vertebral, and overall fractures were 11.2%, 12.2%, 20.8%, respectively. Osteoporosis was significantly more frequent in patients with PBC than in normal women. Osteoporosis was associated with age, weight, height, histologic stage, severity, and duration of liver damage; fractures were associated with osteoporosis, menopause, age, and height but not with severity of PBC. Osteoporosis was a risk factor for vertebral fracture (odds ratio [OR], 8.48; 95% confidence interval [CI]: 2.67-26.95). Lumbar T score &lt;-1.5 (OR, 8.27; 95% CI: 1.84-37.08) and femoral neck T score &lt;-1.5 (OR, 6.83; 95% CI: 1.48-31.63) were significant risk factors for vertebral fractures. Conclusions: Fractures, particularly vertebral fractures, are associated with osteoporosis, osteopenia, and T scores less than -1.5, whereas osteoporosis and osteopenia are associated with the severity of liver damage. Patients with T scores less than -1.5 might require additional monitoring and be considered for therapy to prevent fractures. \u00a9 2010 AGA Institute.", "author" : [ { "dropping-particle" : "", "family" : "Gua\u00f1abens", "given" : "N\u00faria", "non-dropping-particle" : "", "parse-names" : false, "suffix" : "" }, { "dropping-particle" : "", "family" : "Cerd\u00e1", "given" : "Dacia", "non-dropping-particle" : "", "parse-names" : false, "suffix" : "" }, { "dropping-particle" : "", "family" : "Monegal", "given" : "Ana", "non-dropping-particle" : "", "parse-names" : false, "suffix" : "" }, { "dropping-particle" : "", "family" : "Pons", "given" : "Francesca", "non-dropping-particle" : "", "parse-names" : false, "suffix" : "" }, { "dropping-particle" : "", "family" : "Caballer\u00eda", "given" : "Lloren\u00e7", "non-dropping-particle" : "", "parse-names" : false, "suffix" : "" }, { "dropping-particle" : "", "family" : "Peris", "given" : "Pilar", "non-dropping-particle" : "", "parse-names" : false, "suffix" : "" }, { "dropping-particle" : "", "family" : "Par\u00e9s", "given" : "Albert", "non-dropping-particle" : "", "parse-names" : false, "suffix" : "" } ], "container-title" : "Gastroenterology", "id" : "ITEM-3", "issue" : "7", "issued" : { "date-parts" : [ [ "2010" ] ] }, "page" : "2348-2356", "publisher" : "Elsevier Inc.", "title" : "Low Bone Mass and Severity of Cholestasis Affect Fracture Risk in Patients With Primary Biliary Cirrhosis", "type" : "article-journal", "volume" : "138" }, "uris" : [ "http://www.mendeley.com/documents/?uuid=d83d476e-c0d2-46ba-a97e-09bb7c142e78" ] } ], "mendeley" : { "formattedCitation" : "&lt;sup&gt;[1\u20133]&lt;/sup&gt;", "plainTextFormattedCitation" : "[1\u20133]", "previouslyFormattedCitation" : "&lt;sup&gt;[1\u20133]&lt;/sup&gt;" }, "properties" : { "noteIndex" : 0 }, "schema" : "https://github.com/citation-style-language/schema/raw/master/csl-citation.json" }</w:instrText>
      </w:r>
      <w:r w:rsidR="001638E8" w:rsidRPr="002D44D6">
        <w:rPr>
          <w:rFonts w:ascii="Book Antiqua" w:hAnsi="Book Antiqua" w:cs="Arial"/>
          <w:color w:val="000000"/>
        </w:rPr>
        <w:fldChar w:fldCharType="separate"/>
      </w:r>
      <w:r w:rsidR="001638E8" w:rsidRPr="002D44D6">
        <w:rPr>
          <w:rFonts w:ascii="Book Antiqua" w:hAnsi="Book Antiqua" w:cs="Arial"/>
          <w:noProof/>
          <w:color w:val="000000"/>
          <w:vertAlign w:val="superscript"/>
        </w:rPr>
        <w:t>[1</w:t>
      </w:r>
      <w:r w:rsidR="00E21B32">
        <w:rPr>
          <w:rFonts w:ascii="Book Antiqua" w:eastAsia="SimSun" w:hAnsi="Book Antiqua" w:cs="Arial" w:hint="eastAsia"/>
          <w:noProof/>
          <w:color w:val="000000"/>
          <w:vertAlign w:val="superscript"/>
          <w:lang w:eastAsia="zh-CN"/>
        </w:rPr>
        <w:t>-</w:t>
      </w:r>
      <w:r w:rsidR="001638E8" w:rsidRPr="002D44D6">
        <w:rPr>
          <w:rFonts w:ascii="Book Antiqua" w:hAnsi="Book Antiqua" w:cs="Arial"/>
          <w:noProof/>
          <w:color w:val="000000"/>
          <w:vertAlign w:val="superscript"/>
        </w:rPr>
        <w:t>3]</w:t>
      </w:r>
      <w:r w:rsidR="001638E8" w:rsidRPr="002D44D6">
        <w:rPr>
          <w:rFonts w:ascii="Book Antiqua" w:hAnsi="Book Antiqua" w:cs="Arial"/>
          <w:color w:val="000000"/>
        </w:rPr>
        <w:fldChar w:fldCharType="end"/>
      </w:r>
      <w:r w:rsidRPr="002D44D6">
        <w:rPr>
          <w:rFonts w:ascii="Book Antiqua" w:hAnsi="Book Antiqua" w:cs="Arial"/>
          <w:color w:val="000000"/>
        </w:rPr>
        <w:t>.</w:t>
      </w:r>
      <w:r w:rsidR="001E4ECE" w:rsidRPr="002D44D6">
        <w:rPr>
          <w:rFonts w:ascii="Book Antiqua" w:hAnsi="Book Antiqua" w:cs="Arial"/>
          <w:color w:val="000000"/>
        </w:rPr>
        <w:t xml:space="preserve"> </w:t>
      </w:r>
      <w:r w:rsidRPr="002D44D6">
        <w:rPr>
          <w:rFonts w:ascii="Book Antiqua" w:hAnsi="Book Antiqua" w:cs="Arial"/>
          <w:color w:val="000000"/>
        </w:rPr>
        <w:t>The prevalence of osteoporosis in patients with PBC is roughly 30%</w:t>
      </w:r>
      <w:r w:rsidR="001E4ECE" w:rsidRPr="002D44D6">
        <w:rPr>
          <w:rFonts w:ascii="Book Antiqua" w:hAnsi="Book Antiqua" w:cs="Arial"/>
          <w:color w:val="000000"/>
        </w:rPr>
        <w:fldChar w:fldCharType="begin" w:fldLock="1"/>
      </w:r>
      <w:r w:rsidR="001E4ECE" w:rsidRPr="002D44D6">
        <w:rPr>
          <w:rFonts w:ascii="Book Antiqua" w:hAnsi="Book Antiqua" w:cs="Arial"/>
          <w:color w:val="000000"/>
        </w:rPr>
        <w:instrText>ADDIN CSL_CITATION { "citationItems" : [ { "id" : "ITEM-1", "itemData" : { "DOI" : "10.1136/gut.49.2.282", "ISSN" : "0017-5749", "PMID" : "11454807", "abstract" : "Primary biliary cirrhosis (PBC) is increasingly being diagnosed in the earlier non-cholestatic stages of disease. Accepted wisdom has been that PBC is frequently complicated by osteoporosis. Whether this association holds true for the broader spectrum of PBC patients now recognised has not as yet been studied.", "author" : [ { "dropping-particle" : "", "family" : "Newton", "given" : "J", "non-dropping-particle" : "", "parse-names" : false, "suffix" : "" }, { "dropping-particle" : "", "family" : "Francis", "given" : "R", "non-dropping-particle" : "", "parse-names" : false, "suffix" : "" }, { "dropping-particle" : "", "family" : "Prince", "given" : "M", "non-dropping-particle" : "", "parse-names" : false, "suffix" : "" }, { "dropping-particle" : "", "family" : "James", "given" : "O", "non-dropping-particle" : "", "parse-names" : false, "suffix" : "" }, { "dropping-particle" : "", "family" : "Bassendine", "given" : "M", "non-dropping-particle" : "", "parse-names" : false, "suffix" : "" }, { "dropping-particle" : "", "family" : "Rawlings", "given" : "D", "non-dropping-particle" : "", "parse-names" : false, "suffix" : "" }, { "dropping-particle" : "", "family" : "Jones", "given" : "D", "non-dropping-particle" : "", "parse-names" : false, "suffix" : "" } ], "container-title" : "Gut", "id" : "ITEM-1", "issue" : "2", "issued" : { "date-parts" : [ [ "2001" ] ] }, "page" : "282-7", "title" : "Osteoporosis in primary biliary cirrhosis revisited.", "type" : "article-journal", "volume" : "49" }, "uris" : [ "http://www.mendeley.com/documents/?uuid=4478a13b-b935-4a0f-8358-067f0ab41815" ] }, { "id" : "ITEM-2", "itemData" : { "DOI" : "10.1016/j.jhep.2004.11.035", "ISSN" : "01688278", "PMID" : "15763344", "abstract" : "Background: Since primary biliary cirrhosis (PBC) is usually diagnosed in postmenopausal women with minor cholestasis, it has been questioned whether PBC itself represents a further risk for osteoporosis. Aim: To assess the prevalence and risk factors for osteoporosis in an unselected series of women with PBC. Patients and Methods: 142 women with PBC (age: 54.3\u00b10.8 years) and an age-matched control group. Osteoporosis was established by densitometry (bone mineral density below -2.5 T-score). Age, duration and severity of PBC, body mass index, menopausal status, histological stage and markers of bone turnover were assessed. Results: Prevalence of osteoporosis was higher in PBC (32.4%) than in normal women (11. 1%) (RR: 3.83, 95%CI: 2.59-5.67, P&lt;0.001). Osteoporosis was associated with older age, menopausal status, body mass index, longer PBC duration, advanced histological stage, high bilirubin and alkaline phosphatase, and low albumin and prothrombin index. Regression analysis identified older age, higher Mayo risk score, lower body mass index and advanced histological stage but not menopause as the independent risk factors for osteoporosis. Conclusions: Osteoporosis is more prevalent in women with PBC than in the general population. Age and severity of the disease, but not menopausal status, are the main risk factors for osteoporosis in this liver disease. \u00a9 2005 European Association for the Study of the Liver. Published by Elsevier B.V. All rights reserved.", "author" : [ { "dropping-particle" : "", "family" : "Gua\u00f1abens", "given" : "N\u00faria", "non-dropping-particle" : "", "parse-names" : false, "suffix" : "" }, { "dropping-particle" : "", "family" : "Par\u00e9s", "given" : "Albert", "non-dropping-particle" : "", "parse-names" : false, "suffix" : "" }, { "dropping-particle" : "", "family" : "Ros", "given" : "Inmaculada", "non-dropping-particle" : "", "parse-names" : false, "suffix" : "" }, { "dropping-particle" : "", "family" : "Caballer\u00eda", "given" : "Lloren\u00e7", "non-dropping-particle" : "", "parse-names" : false, "suffix" : "" }, { "dropping-particle" : "", "family" : "Pons", "given" : "Francesca", "non-dropping-particle" : "", "parse-names" : false, "suffix" : "" }, { "dropping-particle" : "", "family" : "Vidal", "given" : "Sergi", "non-dropping-particle" : "", "parse-names" : false, "suffix" : "" }, { "dropping-particle" : "", "family" : "Monegal", "given" : "Ana", "non-dropping-particle" : "", "parse-names" : false, "suffix" : "" }, { "dropping-particle" : "", "family" : "Peris", "given" : "Pilar", "non-dropping-particle" : "", "parse-names" : false, "suffix" : "" }, { "dropping-particle" : "", "family" : "Rod\u00e9s", "given" : "Juan", "non-dropping-particle" : "", "parse-names" : false, "suffix" : "" } ], "container-title" : "Journal of Hepatology", "id" : "ITEM-2", "issue" : "4", "issued" : { "date-parts" : [ [ "2005" ] ] }, "page" : "573-577", "title" : "Severity of cholestasis and advanced histological stage but not menopausal status are the major risk factors for osteoporosis in primary biliary cirrhosis", "type" : "article-journal", "volume" : "42" }, "uris" : [ "http://www.mendeley.com/documents/?uuid=3fc888f2-736b-495e-aa5e-eba830cdbfb5" ] }, { "id" : "ITEM-3", "itemData" : { "DOI" : "10.1053/j.gastro.2010.02.016", "ISSN" : "00165085", "PMID" : "20178794", "abstract" : "Background &amp; Aims: The influence of osteoporosis and liver disease on fracture risk is not well characterized in patients with primary biliary cirrhosis (PBC). We studied a large series of women with PBC to assess the prevalence and risk factors for fractures and the fracture threshold. Methods: In female patients with PBC (n = 185; age, 55.7 \u00b1 0.7 years; range 28-79 years), age, duration of PBC, menopausal status, and histologic stage and severity of liver disease were assessed. Vertebral and non-vertebral fractures were recorded in 170 and 172 patients, respectively. Osteoporosis and osteopenia were diagnosed based on densitometry analysis. Results: The prevalences of vertebral, non-vertebral, and overall fractures were 11.2%, 12.2%, 20.8%, respectively. Osteoporosis was significantly more frequent in patients with PBC than in normal women. Osteoporosis was associated with age, weight, height, histologic stage, severity, and duration of liver damage; fractures were associated with osteoporosis, menopause, age, and height but not with severity of PBC. Osteoporosis was a risk factor for vertebral fracture (odds ratio [OR], 8.48; 95% confidence interval [CI]: 2.67-26.95). Lumbar T score &lt;-1.5 (OR, 8.27; 95% CI: 1.84-37.08) and femoral neck T score &lt;-1.5 (OR, 6.83; 95% CI: 1.48-31.63) were significant risk factors for vertebral fractures. Conclusions: Fractures, particularly vertebral fractures, are associated with osteoporosis, osteopenia, and T scores less than -1.5, whereas osteoporosis and osteopenia are associated with the severity of liver damage. Patients with T scores less than -1.5 might require additional monitoring and be considered for therapy to prevent fractures. \u00a9 2010 AGA Institute.", "author" : [ { "dropping-particle" : "", "family" : "Gua\u00f1abens", "given" : "N\u00faria", "non-dropping-particle" : "", "parse-names" : false, "suffix" : "" }, { "dropping-particle" : "", "family" : "Cerd\u00e1", "given" : "Dacia", "non-dropping-particle" : "", "parse-names" : false, "suffix" : "" }, { "dropping-particle" : "", "family" : "Monegal", "given" : "Ana", "non-dropping-particle" : "", "parse-names" : false, "suffix" : "" }, { "dropping-particle" : "", "family" : "Pons", "given" : "Francesca", "non-dropping-particle" : "", "parse-names" : false, "suffix" : "" }, { "dropping-particle" : "", "family" : "Caballer\u00eda", "given" : "Lloren\u00e7", "non-dropping-particle" : "", "parse-names" : false, "suffix" : "" }, { "dropping-particle" : "", "family" : "Peris", "given" : "Pilar", "non-dropping-particle" : "", "parse-names" : false, "suffix" : "" }, { "dropping-particle" : "", "family" : "Par\u00e9s", "given" : "Albert", "non-dropping-particle" : "", "parse-names" : false, "suffix" : "" } ], "container-title" : "Gastroenterology", "id" : "ITEM-3", "issue" : "7", "issued" : { "date-parts" : [ [ "2010" ] ] }, "page" : "2348-2356", "publisher" : "Elsevier Inc.", "title" : "Low Bone Mass and Severity of Cholestasis Affect Fracture Risk in Patients With Primary Biliary Cirrhosis", "type" : "article-journal", "volume" : "138" }, "uris" : [ "http://www.mendeley.com/documents/?uuid=d83d476e-c0d2-46ba-a97e-09bb7c142e78" ] } ], "mendeley" : { "formattedCitation" : "&lt;sup&gt;[1\u20133]&lt;/sup&gt;", "plainTextFormattedCitation" : "[1\u20133]", "previouslyFormattedCitation" : "&lt;sup&gt;[1\u20133]&lt;/sup&gt;" }, "properties" : { "noteIndex" : 0 }, "schema" : "https://github.com/citation-style-language/schema/raw/master/csl-citation.json" }</w:instrText>
      </w:r>
      <w:r w:rsidR="001E4ECE" w:rsidRPr="002D44D6">
        <w:rPr>
          <w:rFonts w:ascii="Book Antiqua" w:hAnsi="Book Antiqua" w:cs="Arial"/>
          <w:color w:val="000000"/>
        </w:rPr>
        <w:fldChar w:fldCharType="separate"/>
      </w:r>
      <w:r w:rsidR="001E4ECE" w:rsidRPr="002D44D6">
        <w:rPr>
          <w:rFonts w:ascii="Book Antiqua" w:hAnsi="Book Antiqua" w:cs="Arial"/>
          <w:noProof/>
          <w:color w:val="000000"/>
          <w:vertAlign w:val="superscript"/>
        </w:rPr>
        <w:t>[1</w:t>
      </w:r>
      <w:r w:rsidR="00E21B32">
        <w:rPr>
          <w:rFonts w:ascii="Book Antiqua" w:eastAsia="SimSun" w:hAnsi="Book Antiqua" w:cs="Arial" w:hint="eastAsia"/>
          <w:noProof/>
          <w:color w:val="000000"/>
          <w:vertAlign w:val="superscript"/>
          <w:lang w:eastAsia="zh-CN"/>
        </w:rPr>
        <w:t>-</w:t>
      </w:r>
      <w:r w:rsidR="001E4ECE" w:rsidRPr="002D44D6">
        <w:rPr>
          <w:rFonts w:ascii="Book Antiqua" w:hAnsi="Book Antiqua" w:cs="Arial"/>
          <w:noProof/>
          <w:color w:val="000000"/>
          <w:vertAlign w:val="superscript"/>
        </w:rPr>
        <w:t>3]</w:t>
      </w:r>
      <w:r w:rsidR="001E4ECE" w:rsidRPr="002D44D6">
        <w:rPr>
          <w:rFonts w:ascii="Book Antiqua" w:hAnsi="Book Antiqua" w:cs="Arial"/>
          <w:color w:val="000000"/>
        </w:rPr>
        <w:fldChar w:fldCharType="end"/>
      </w:r>
      <w:r w:rsidRPr="002D44D6">
        <w:rPr>
          <w:rFonts w:ascii="Book Antiqua" w:hAnsi="Book Antiqua" w:cs="Arial"/>
          <w:color w:val="000000"/>
        </w:rPr>
        <w:t xml:space="preserve"> </w:t>
      </w:r>
      <w:bookmarkStart w:id="13" w:name="_GoBack"/>
      <w:bookmarkEnd w:id="13"/>
      <w:r w:rsidRPr="002D44D6">
        <w:rPr>
          <w:rFonts w:ascii="Book Antiqua" w:hAnsi="Book Antiqua" w:cs="Arial"/>
          <w:color w:val="000000"/>
        </w:rPr>
        <w:t>and higher in advanced stages of liver disease, up to 44% in those awaiting liver transplantation</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"10.1002/lt.20874", "PMID" : "16933236", "abstract" : "Fracturing after liver transplantation (OLT) occurs due to the combination of preexisting low bone mineral density (BMD) andearly posttransplant bone loss, the risk factors for which are poorly defined. The prevalence and predictive factors for hepaticosteopenia and osteoporosis, posttransplant bone loss, and subsequent bone gain were studied by the long-termposttransplant follow-up of 360 consecutive adult patients with end-stage primary biliary cirrhosis (PBC) and primary sclerosingcholangitis (PSC). Only 20% of patients with advanced PBC or PSC have normal bone mass. Risk factors for low spinal BMDare low body mass index, older age, postmenopausal status, muscle wasting, high alkaline phosphatase and low serumalbumin. A high rate of spinal bone loss occurred in the first 4 posttransplant months (annual rate of 16%) especially in thosewith younger age, PSC, higher pretransplant bone density, no inflammatory bowel disease, shorter duration of liver disease,current smoking, and ongoing cholestasis at 4 months. Factors favoring spinal bone gain from 4 to 24 months aftertransplantation were lower baseline and/or 4-month bone density, premenopausal status, lower cumulative glucocorticoids, noongoing cholestasis, and higher levels of vitamin D and parathyroid hormone. Bone mass therefore improves most in patientswith lowest pretransplant BMD who undergo successful transplantation with normal hepatic function and improved gonadal andnutritional status. Patients transplanted most recently have improved bone mass before OLT, and although bone loss stilloccurs early after OLT, these patients also have a greater recovery in BMD over the years following OLT.", "author" : [ { "dropping-particle" : "", "family" : "Guichelaar", "given" : "Maureen M J", "non-dropping-particle" : "", "parse-names" : false, "suffix" : "" }, { "dropping-particle" : "", "family" : "Kendall", "given" : "Rebecca", "non-dropping-particle" : "", "parse-names" : false, "suffix" : "" }, { "dropping-particle" : "", "family" : "Malinchoc", "given" : "Michael", "non-dropping-particle" : "", "parse-names" : false, "suffix" : "" }, { "dropping-particle" : "", "family" : "Hay", "given" : "J Eileen", "non-dropping-particle" : "", "parse-names" : false, "suffix" : "" } ], "container-title" : "Liver Transplantation", "id" : "ITEM-1", "issued" : { "date-parts" : [ [ "2006" ] ] }, "page" : "1390-1402", "title" : "Bone Mineral Density Before and After OLT: Long-term Follow-up and Predictive Factors", "type" : "article-journal", "volume" : "12" }, "uris" : [ "http://www.mendeley.com/documents/?uuid=bd3a8a92-e9d2-4d5e-90ef-40ceda2df958" ] } ], "mendeley" : { "formattedCitation" : "&lt;sup&gt;[4]&lt;/sup&gt;", "plainTextFormattedCitation" : "[4]", "previouslyFormattedCitation" : "&lt;sup&gt;[4]&lt;/sup&gt;"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[4]</w:t>
      </w:r>
      <w:r w:rsidR="00E21B32" w:rsidRPr="002D44D6">
        <w:rPr>
          <w:rFonts w:ascii="Book Antiqua" w:hAnsi="Book Antiqua" w:cs="Arial"/>
          <w:color w:val="000000"/>
        </w:rPr>
        <w:fldChar w:fldCharType="end"/>
      </w:r>
      <w:r w:rsidRPr="002D44D6">
        <w:rPr>
          <w:rFonts w:ascii="Book Antiqua" w:hAnsi="Book Antiqua" w:cs="Arial"/>
          <w:color w:val="000000"/>
        </w:rPr>
        <w:t>.</w:t>
      </w:r>
      <w:r w:rsidR="001E4ECE" w:rsidRPr="002D44D6">
        <w:rPr>
          <w:rFonts w:ascii="Book Antiqua" w:hAnsi="Book Antiqua" w:cs="Arial"/>
        </w:rPr>
        <w:t xml:space="preserve"> </w:t>
      </w:r>
      <w:r w:rsidRPr="002D44D6">
        <w:rPr>
          <w:rFonts w:ascii="Book Antiqua" w:hAnsi="Book Antiqua" w:cs="Arial"/>
          <w:color w:val="000000"/>
        </w:rPr>
        <w:t>Osteoporosis is a major risk factor for fractures</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"10.1053/j.gastro.2010.02.016", "ISSN" : "00165085", "PMID" : "20178794", "abstract" : "Background &amp; Aims: The influence of osteoporosis and liver disease on fracture risk is not well characterized in patients with primary biliary cirrhosis (PBC). We studied a large series of women with PBC to assess the prevalence and risk factors for fractures and the fracture threshold. Methods: In female patients with PBC (n = 185; age, 55.7 \u00b1 0.7 years; range 28-79 years), age, duration of PBC, menopausal status, and histologic stage and severity of liver disease were assessed. Vertebral and non-vertebral fractures were recorded in 170 and 172 patients, respectively. Osteoporosis and osteopenia were diagnosed based on densitometry analysis. Results: The prevalences of vertebral, non-vertebral, and overall fractures were 11.2%, 12.2%, 20.8%, respectively. Osteoporosis was significantly more frequent in patients with PBC than in normal women. Osteoporosis was associated with age, weight, height, histologic stage, severity, and duration of liver damage; fractures were associated with osteoporosis, menopause, age, and height but not with severity of PBC. Osteoporosis was a risk factor for vertebral fracture (odds ratio [OR], 8.48; 95% confidence interval [CI]: 2.67-26.95). Lumbar T score &lt;-1.5 (OR, 8.27; 95% CI: 1.84-37.08) and femoral neck T score &lt;-1.5 (OR, 6.83; 95% CI: 1.48-31.63) were significant risk factors for vertebral fractures. Conclusions: Fractures, particularly vertebral fractures, are associated with osteoporosis, osteopenia, and T scores less than -1.5, whereas osteoporosis and osteopenia are associated with the severity of liver damage. Patients with T scores less than -1.5 might require additional monitoring and be considered for therapy to prevent fractures. \u00a9 2010 AGA Institute.", "author" : [ { "dropping-particle" : "", "family" : "Gua\u00f1abens", "given" : "N\u00faria", "non-dropping-particle" : "", "parse-names" : false, "suffix" : "" }, { "dropping-particle" : "", "family" : "Cerd\u00e1", "given" : "Dacia", "non-dropping-particle" : "", "parse-names" : false, "suffix" : "" }, { "dropping-particle" : "", "family" : "Monegal", "given" : "Ana", "non-dropping-particle" : "", "parse-names" : false, "suffix" : "" }, { "dropping-particle" : "", "family" : "Pons", "given" : "Francesca", "non-dropping-particle" : "", "parse-names" : false, "suffix" : "" }, { "dropping-particle" : "", "family" : "Caballer\u00eda", "given" : "Lloren\u00e7", "non-dropping-particle" : "", "parse-names" : false, "suffix" : "" }, { "dropping-particle" : "", "family" : "Peris", "given" : "Pilar", "non-dropping-particle" : "", "parse-names" : false, "suffix" : "" }, { "dropping-particle" : "", "family" : "Par\u00e9s", "given" : "Albert", "non-dropping-particle" : "", "parse-names" : false, "suffix" : "" } ], "container-title" : "Gastroenterology", "id" : "ITEM-1", "issue" : "7", "issued" : { "date-parts" : [ [ "2010" ] ] }, "page" : "2348-2356", "publisher" : "Elsevier Inc.", "title" : "Low Bone Mass and Severity of Cholestasis Affect Fracture Risk in Patients With Primary Biliary Cirrhosis", "type" : "article-journal", "volume" : "138" }, "uris" : [ "http://www.mendeley.com/documents/?uuid=d83d476e-c0d2-46ba-a97e-09bb7c142e78" ] }, { "id" : "ITEM-2", "itemData" : { "PMID" : "2220729", "abstract" : "The prevalence, type, and factors that may influence the development of bone disease in primary biliary cirrhosis, have been investigated in 20 consecutive patients, who, in addition to liver function tests and mineral and vitamin D metabolism studies, were submitted to a transiliac bone biopsy after tetracycline double-labeling for quantitative histomorphometric examination. Intestinal calcium absorption was also assessed in 16 patients. Seven patients (35%) had reduced bone volume and were considered osteoporotic. Three also had bone mineralization impairment, but did not have criteria for osteomalacia. Bone formation was depressed in 15 patients, and bone resorption was low or normal in 19 cases. Eroded surfaces were reduced in all osteoporotic patients. Duration of primary biliary cirrhosis was significantly longer in patients with osteoporosis (6.3 +/- 0.6 yr) than in those without osteoporosis (2.6 +/- 0.6, p = 0.004). Moreover, osteoporosis was more prevalent in postmenopausal women, and in those who had intestinal calcium malabsorption, which was present in 80% of osteoporotic patients but in only 18% of nonosteoporotic patients (p = 0.03). Osteoporosis and mineralization bone impairment were unrelated to the severity of cholestasis. 25-Hydroxyvitamin D was significantly lower in those patients with intestinal calcium malabsorption. The results of this study indicate that osteodystrophy in primary biliary cirrhosis is characterized mainly by \"low-turnover\" osteoporosis, which is related to the duration of the liver disease, postmenopausal condition, and calcium malabsorption.", "author" : [ { "dropping-particle" : "", "family" : "Gua\u00f1abens", "given" : "N\u00faria", "non-dropping-particle" : "", "parse-names" : false, "suffix" : "" }, { "dropping-particle" : "", "family" : "Par\u00e9s", "given" : "Albert", "non-dropping-particle" : "", "parse-names" : false, "suffix" : "" }, { "dropping-particle" : "", "family" : "Marinoso", "given" : "L", "non-dropping-particle" : "", "parse-names" : false, "suffix" : "" }, { "dropping-particle" : "", "family" : "Brancos", "given" : "MA", "non-dropping-particle" : "", "parse-names" : false, "suffix" : "" }, { "dropping-particle" : "", "family" : "Piera", "given" : "C", "non-dropping-particle" : "", "parse-names" : false, "suffix" : "" }, { "dropping-particle" : "", "family" : "Serrano", "given" : "S", "non-dropping-particle" : "", "parse-names" : false, "suffix" : "" }, { "dropping-particle" : "", "family" : "Rivera", "given" : "F", "non-dropping-particle" : "", "parse-names" : false, "suffix" : "" }, { "dropping-particle" : "", "family" : "Rodes", "given" : "J", "non-dropping-particle" : "", "parse-names" : false, "suffix" : "" } ], "container-title" : "American Journal of Gastroenterology", "id" : "ITEM-2", "issue" : "10", "issued" : { "date-parts" : [ [ "1990" ] ] }, "page" : "1356-62", "title" : "Factors influencing the development of metabolic bone disease in primary biliary cirrhosis", "type" : "article-journal", "volume" : "85" }, "uris" : [ "http://www.mendeley.com/documents/?uuid=e87486ac-863f-4161-bb3e-9b4411e10bf3" ] }, { "id" : "ITEM-3", "itemData" : { "DOI" : "10.1016/S0168-8278(00)80118-X", "ISBN" : "0168-8278 (Print)\\r0168-8278 (Linking)", "ISSN" : "01688278", "PMID" : "11131448", "abstract" : "Background/Aim: Osteoporosis is a common complication of primary biliary cirrhosis but there is no accepted therapy for the osteoporosis. In this randomized controlled trial, we compared the effects of etidronate to placebo on the treatment of osteoporosis associated with primary biliary cirrhosis. Methods: Sixty-seven patients with primary biliary cirrhosis and osteopenia, defined by bone mineral density criteria (T-score &lt;-2.0) were enrolled. Measurements of the lumbar spine and proximal femur, as well as x-rays of the lumbar spine, were obtained. Patients received cyclical etidronate 400 mg/day for 14 days every 3 months for at least 1 year. Supplemental calcium was administered on the days patients did not receive etidronate. Results: Of the 67 patients entered, 60 completed at least 1 year of therapy. There was no significant difference in changes in bone density at either the lumbar spine or femur in patients receiving etidronate when compared to placebo. Fractures occurred in eight patients, four receiving etidronate. Etidronate therapy was associated with a significant reduction in markers of bone turnover compared to placebo. These changes did not correlate with changes in bone density. Conclusions: Cyclical etidronate administered with supplemental calcium did not significantly improve bone density in patients with primary biliary cirrhosis.", "author" : [ { "dropping-particle" : "", "family" : "Lindor", "given" : "Keith D.", "non-dropping-particle" : "", "parse-names" : false, "suffix" : "" }, { "dropping-particle" : "", "family" : "Jorgensen", "given" : "Roberta A.", "non-dropping-particle" : "", "parse-names" : false, "suffix" : "" }, { "dropping-particle" : "", "family" : "Tiegs", "given" : "Robert D.", "non-dropping-particle" : "", "parse-names" : false, "suffix" : "" }, { "dropping-particle" : "", "family" : "Khosla", "given" : "Sundeep", "non-dropping-particle" : "", "parse-names" : false, "suffix" : "" }, { "dropping-particle" : "", "family" : "Dickson", "given" : "E. Rolland", "non-dropping-particle" : "", "parse-names" : false, "suffix" : "" } ], "container-title" : "Journal of Hepatology", "id" : "ITEM-3", "issue" : "6", "issued" : { "date-parts" : [ [ "2000" ] ] }, "page" : "878-882", "title" : "Etidronate for osteoporosis in primary biliary cirrhosis: A randomized trial", "type" : "article-journal", "volume" : "33" }, "uris" : [ "http://www.mendeley.com/documents/?uuid=74607aab-5872-4fbe-a830-24081022e53e" ] } ], "mendeley" : { "formattedCitation" : "&lt;sup&gt;[3,5,6]&lt;/sup&gt;", "plainTextFormattedCitation" : "[3,5,6]", "previouslyFormattedCitation" : "&lt;sup&gt;[3,5,6]&lt;/sup&gt;"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[3,5,6]</w:t>
      </w:r>
      <w:r w:rsidR="00E21B32" w:rsidRPr="002D44D6">
        <w:rPr>
          <w:rFonts w:ascii="Book Antiqua" w:hAnsi="Book Antiqua" w:cs="Arial"/>
          <w:color w:val="000000"/>
        </w:rPr>
        <w:fldChar w:fldCharType="end"/>
      </w:r>
      <w:r w:rsidRPr="002D44D6">
        <w:rPr>
          <w:rFonts w:ascii="Book Antiqua" w:hAnsi="Book Antiqua" w:cs="Arial"/>
          <w:color w:val="000000"/>
        </w:rPr>
        <w:t>.</w:t>
      </w:r>
      <w:r w:rsidR="001E4ECE" w:rsidRPr="002D44D6">
        <w:rPr>
          <w:rFonts w:ascii="Book Antiqua" w:hAnsi="Book Antiqua" w:cs="Arial"/>
          <w:color w:val="000000"/>
        </w:rPr>
        <w:t xml:space="preserve"> </w:t>
      </w:r>
      <w:r w:rsidRPr="002D44D6">
        <w:rPr>
          <w:rFonts w:ascii="Book Antiqua" w:hAnsi="Book Antiqua" w:cs="Arial"/>
          <w:color w:val="000000"/>
        </w:rPr>
        <w:t>The incidence of fractures in PBC ranges from 0</w:t>
      </w:r>
      <w:r w:rsidR="00E02673">
        <w:rPr>
          <w:rFonts w:ascii="Book Antiqua" w:eastAsia="SimSun" w:hAnsi="Book Antiqua" w:cs="Arial" w:hint="eastAsia"/>
          <w:color w:val="000000"/>
          <w:lang w:eastAsia="zh-CN"/>
        </w:rPr>
        <w:t>-</w:t>
      </w:r>
      <w:r w:rsidRPr="002D44D6">
        <w:rPr>
          <w:rFonts w:ascii="Book Antiqua" w:hAnsi="Book Antiqua" w:cs="Arial"/>
          <w:color w:val="000000"/>
        </w:rPr>
        <w:t>14% over a two-year period</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"10.1016/S0168-8278(00)80118-X", "ISBN" : "0168-8278 (Print)\\r0168-8278 (Linking)", "ISSN" : "01688278", "PMID" : "11131448", "abstract" : "Background/Aim: Osteoporosis is a common complication of primary biliary cirrhosis but there is no accepted therapy for the osteoporosis. In this randomized controlled trial, we compared the effects of etidronate to placebo on the treatment of osteoporosis associated with primary biliary cirrhosis. Methods: Sixty-seven patients with primary biliary cirrhosis and osteopenia, defined by bone mineral density criteria (T-score &lt;-2.0) were enrolled. Measurements of the lumbar spine and proximal femur, as well as x-rays of the lumbar spine, were obtained. Patients received cyclical etidronate 400 mg/day for 14 days every 3 months for at least 1 year. Supplemental calcium was administered on the days patients did not receive etidronate. Results: Of the 67 patients entered, 60 completed at least 1 year of therapy. There was no significant difference in changes in bone density at either the lumbar spine or femur in patients receiving etidronate when compared to placebo. Fractures occurred in eight patients, four receiving etidronate. Etidronate therapy was associated with a significant reduction in markers of bone turnover compared to placebo. These changes did not correlate with changes in bone density. Conclusions: Cyclical etidronate administered with supplemental calcium did not significantly improve bone density in patients with primary biliary cirrhosis.", "author" : [ { "dropping-particle" : "", "family" : "Lindor", "given" : "Keith D.", "non-dropping-particle" : "", "parse-names" : false, "suffix" : "" }, { "dropping-particle" : "", "family" : "Jorgensen", "given" : "Roberta A.", "non-dropping-particle" : "", "parse-names" : false, "suffix" : "" }, { "dropping-particle" : "", "family" : "Tiegs", "given" : "Robert D.", "non-dropping-particle" : "", "parse-names" : false, "suffix" : "" }, { "dropping-particle" : "", "family" : "Khosla", "given" : "Sundeep", "non-dropping-particle" : "", "parse-names" : false, "suffix" : "" }, { "dropping-particle" : "", "family" : "Dickson", "given" : "E. Rolland", "non-dropping-particle" : "", "parse-names" : false, "suffix" : "" } ], "container-title" : "Journal of Hepatology", "id" : "ITEM-1", "issue" : "6", "issued" : { "date-parts" : [ [ "2000" ] ] }, "page" : "878-882", "title" : "Etidronate for osteoporosis in primary biliary cirrhosis: A randomized trial", "type" : "article-journal", "volume" : "33" }, "uris" : [ "http://www.mendeley.com/documents/?uuid=74607aab-5872-4fbe-a830-24081022e53e" ] }, { "id" : "ITEM-2", "itemData" : { "PMID" : "1447501", "abstract" : "Low-bone-turnover osteoporosis is a common complication of primary biliary cirrhosis (PBC). Since sodium fluoride stimulates bone formation we assessed the effect of this drug on bone mass in a 2-year, prospective, double-blind trial including 22 women with PBC who were randomly assigned to receive sodium fluoride (50 mg/day) or placebo. All received calcium supplements and low doses of vitamin D. Bone mineral density of the lumbar spine was measured by dual-photon absorptiometry initially and every 6 months. Vertebral fractures were evaluated in thoracic and lumbar spine initially, and after 1 and 2 years. Seven patients in the fluoride group and eight in the placebo group completed the trial. In the fluoride group, bone mineral density did not change after 2 years (initial 1.05 +/- 0.07, final 1.07 +/- 0.06 g/cm2; p = n.s.). In the placebo group, however, bone mineral density decreased significantly (initial 1.00 +/- 0.07, final 0.93 +/- 0.06 g/cm2; p = 0.03). Moreover, in the fluoride group bone mineral density increased by 2.9 +/- 3.6%, and in the placebo group decreased by 6.6 +/- 2.6% (p = 0.04). None of the patients developed new vertebral or non-vertebral fractures. Treatment with sodium fluoride did not impair liver function or cholestasis in PBC. These results indicate that sodium fluoride prevents bone loss in PBC and therefore might be considered as a possible therapeutic agent for osteoporosis associated with this liver disease. Since a small number of patients completed the trial, further studies are required", "author" : [ { "dropping-particle" : "", "family" : "Guanabens", "given" : "N", "non-dropping-particle" : "", "parse-names" : false, "suffix" : "" }, { "dropping-particle" : "", "family" : "Pares", "given" : "A", "non-dropping-particle" : "", "parse-names" : false, "suffix" : "" }, { "dropping-particle" : "", "family" : "Rio", "given" : "L", "non-dropping-particle" : "del", "parse-names" : false, "suffix" : "" }, { "dropping-particle" : "", "family" : "Roca", "given" : "M", "non-dropping-particle" : "", "parse-names" : false, "suffix" : "" }, { "dropping-particle" : "", "family" : "Gomez", "given" : "R", "non-dropping-particle" : "", "parse-names" : false, "suffix" : "" }, { "dropping-particle" : "", "family" : "Munoz", "given" : "J", "non-dropping-particle" : "", "parse-names" : false, "suffix" : "" }, { "dropping-particle" : "", "family" : "Rodes", "given" : "J", "non-dropping-particle" : "", "parse-names" : false, "suffix" : "" } ], "container-title" : "J.Hepatol.", "id" : "ITEM-2", "issue" : "0168-8278 SB - IM", "issued" : { "date-parts" : [ [ "1992" ] ] }, "page" : "345-349", "title" : "Sodium fluoride prevents bone loss in primary biliary cirrhosis", "type" : "article-journal", "volume" : "15" }, "uris" : [ "http://www.mendeley.com/documents/?uuid=c01904d5-dd42-4ceb-b334-f65424da6084" ] }, { "id" : "ITEM-3", "itemData" : { "ISSN" : "0168-8278 (Print)", "PMID" : "7963418", "abstract" : "To assess whether cyclosporin A has any influence on the bones of patients with primary biliary cirrhosis, bone mineral density, vertebral fractures and biochemical and hormonal parameters of bone mineral metabolism were evaluated in 38 female patients with primary biliary cirrhosis who, 7 to 47 months previously, had been randomized to receive cyclosporin A (n = 18) or placebo (n = 20). Bone mineral density and vertebral fractures were reevaluated after 12 to 47 months in 19 of these patients (ten with cyclosporin and nine with placebo). Serum osteocalcin levels in patients taking cyclosporin (median, range: 7.8, 4.2-16 ng/ml) were similar to healthy female controls (6.0, 4.7-9.5 ng/ml), and significantly higher than in patients receiving placebo (5.4, 1.0-8.6 ng/ml, p &lt; 0.02). Patients treated with cyclosporin showed a higher urinary hydroxyproline/creatinine ratio (0.097, 0.025-0.138) than patients with placebo (0.031, 0.022-0.044) (0.05 &gt; p &lt; 0.1), and healthy controls (0.032, 0.021-0.048) (p &lt; 0.001). Urinary hydroxyproline was above normal levels in six of nine patients treated with cyclosporin. Circulating parathyroid hormone levels were also higher in patients treated with cyclosporin (4.3, 2.0-9.0 pmol/l) than in those with placebo (3.1, 1.1-5.1 pmol/l) (p &lt; 0.001), and healthy controls (2.9, 1.1-6.9 pmol/l) (p &lt; 0.001). In four patients treated with cyclosporin the parathyroid hormone levels were above normal values. No patient had renal failure.(ABSTRACT TRUNCATED AT 250 WORDS)", "author" : [ { "dropping-particle" : "", "family" : "Guanabens", "given" : "N", "non-dropping-particle" : "", "parse-names" : false, "suffix" : "" }, { "dropping-particle" : "", "family" : "Pares", "given" : "A", "non-dropping-particle" : "", "parse-names" : false, "suffix" : "" }, { "dropping-particle" : "", "family" : "Navasa", "given" : "M", "non-dropping-particle" : "", "parse-names" : false, "suffix" : "" }, { "dropping-particle" : "", "family" : "Martinez de Osaba", "given" : "M J", "non-dropping-particle" : "", "parse-names" : false, "suffix" : "" }, { "dropping-particle" : "", "family" : "Hernandez", "given" : "M E", "non-dropping-particle" : "", "parse-names" : false, "suffix" : "" }, { "dropping-particle" : "", "family" : "Munoz", "given" : "J", "non-dropping-particle" : "", "parse-names" : false, "suffix" : "" }, { "dropping-particle" : "", "family" : "Rodes", "given" : "J", "non-dropping-particle" : "", "parse-names" : false, "suffix" : "" } ], "container-title" : "Journal of hepatology", "id" : "ITEM-3", "issue" : "1", "issued" : { "date-parts" : [ [ "1994" ] ] }, "page" : "24-28", "title" : "Cyclosporin A increases the biochemical markers of bone remodeling in primary biliary cirrhosis.", "type" : "article-journal", "volume" : "21" }, "uris" : [ "http://www.mendeley.com/documents/?uuid=49b4abae-ad34-41a0-987e-206bb838b479" ] }, { "id" : "ITEM-4", "itemData" : { "DOI" : "10.1007/s10620-006-8015-x", "ISBN" : "0163-2116", "ISSN" : "01632116", "PMID" : "16865577", "abstract" : "The optimal therapy for the prevention and treatment of osteoporosis in primary biliary cirrhosis (PBC) is unknown. Hormone replacement therapy (HRT) prevents osteoporosis, but may promote cholestasis. We performed a double-blind, randomized, placebo-controlled trial of transdermal estrogen/progestin in postmenopausal women with PBC. The 24-month study enrolled 31 patients, but trial uptake was limited and treatment arm dropout was significant. Placebo-treated patients had a higher percentage loss in femoral neck bone mineral density than actively treated patients (-3.76 +/- 1.37% versus 0.21 +/- 1.01%, respectively, P = .058). New fractures occurred in 2 patients on placebo, and in no patients on treatment. The mean monthly increase in bilirubin was not significantly different between groups, but individual data suggest HRT may worsen cholestasis. In conclusion, women with PBC have strong feelings about HRT, and recruitment for this intervention is difficult. Transdermal estrogen/progestin likely provides protection against bone loss in PBC patients, but may worsen cholestasis.", "author" : [ { "dropping-particle" : "", "family" : "Boone", "given" : "Robert H.", "non-dropping-particle" : "", "parse-names" : false, "suffix" : "" }, { "dropping-particle" : "", "family" : "Cheung", "given" : "Angela M.", "non-dropping-particle" : "", "parse-names" : false, "suffix" : "" }, { "dropping-particle" : "", "family" : "Girlan", "given" : "Larisa M.", "non-dropping-particle" : "", "parse-names" : false, "suffix" : "" }, { "dropping-particle" : "", "family" : "Heathcote", "given" : "E. Jenny", "non-dropping-particle" : "", "parse-names" : false, "suffix" : "" } ], "container-title" : "Digestive Diseases and Sciences", "id" : "ITEM-4", "issue" : "6", "issued" : { "date-parts" : [ [ "2006" ] ] }, "page" : "1103-1112", "title" : "Osteoporosis in primary biliary cirrhosis: A randomized trial of the efficacy and feasibility of estrogen/progestin", "type" : "article-journal", "volume" : "51" }, "uris" : [ "http://www.mendeley.com/documents/?uuid=22fc824f-73d0-4222-907b-50e754f71168" ] } ], "mendeley" : { "formattedCitation" : "&lt;sup&gt;[6\u20139]&lt;/sup&gt;", "plainTextFormattedCitation" : "[6\u20139]", "previouslyFormattedCitation" : "&lt;sup&gt;[6\u20139]&lt;/sup&gt;"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[6</w:t>
      </w:r>
      <w:r w:rsidR="00E21B32">
        <w:rPr>
          <w:rFonts w:ascii="Book Antiqua" w:eastAsia="SimSun" w:hAnsi="Book Antiqua" w:cs="Arial" w:hint="eastAsia"/>
          <w:noProof/>
          <w:color w:val="000000"/>
          <w:vertAlign w:val="superscript"/>
          <w:lang w:eastAsia="zh-CN"/>
        </w:rPr>
        <w:t>-</w:t>
      </w:r>
      <w:r w:rsidR="00E21B32" w:rsidRPr="002D44D6">
        <w:rPr>
          <w:rFonts w:ascii="Book Antiqua" w:hAnsi="Book Antiqua" w:cs="Arial"/>
          <w:noProof/>
          <w:color w:val="000000"/>
          <w:vertAlign w:val="superscript"/>
        </w:rPr>
        <w:t>9]</w:t>
      </w:r>
      <w:r w:rsidR="00E21B32" w:rsidRPr="002D44D6">
        <w:rPr>
          <w:rFonts w:ascii="Book Antiqua" w:hAnsi="Book Antiqua" w:cs="Arial"/>
          <w:color w:val="000000"/>
        </w:rPr>
        <w:fldChar w:fldCharType="end"/>
      </w:r>
      <w:r w:rsidRPr="002D44D6">
        <w:rPr>
          <w:rFonts w:ascii="Book Antiqua" w:hAnsi="Book Antiqua" w:cs="Arial"/>
          <w:color w:val="000000"/>
        </w:rPr>
        <w:t>.</w:t>
      </w:r>
      <w:r w:rsidR="001E4ECE" w:rsidRPr="002D44D6">
        <w:rPr>
          <w:rFonts w:ascii="Book Antiqua" w:hAnsi="Book Antiqua" w:cs="Arial"/>
          <w:color w:val="000000"/>
        </w:rPr>
        <w:t xml:space="preserve"> </w:t>
      </w:r>
      <w:r w:rsidRPr="002D44D6">
        <w:rPr>
          <w:rFonts w:ascii="Book Antiqua" w:hAnsi="Book Antiqua" w:cs="Arial"/>
          <w:color w:val="000000"/>
        </w:rPr>
        <w:t>The prevalence of fractures is reported to be 10</w:t>
      </w:r>
      <w:r w:rsidR="00E21B32">
        <w:rPr>
          <w:rFonts w:ascii="Book Antiqua" w:eastAsia="SimSun" w:hAnsi="Book Antiqua" w:cs="Arial" w:hint="eastAsia"/>
          <w:color w:val="000000"/>
          <w:lang w:eastAsia="zh-CN"/>
        </w:rPr>
        <w:t>%</w:t>
      </w:r>
      <w:r w:rsidR="00E02673">
        <w:rPr>
          <w:rFonts w:ascii="Book Antiqua" w:eastAsia="SimSun" w:hAnsi="Book Antiqua" w:cs="Arial" w:hint="eastAsia"/>
          <w:color w:val="000000"/>
          <w:lang w:eastAsia="zh-CN"/>
        </w:rPr>
        <w:t>-</w:t>
      </w:r>
      <w:r w:rsidRPr="002D44D6">
        <w:rPr>
          <w:rFonts w:ascii="Book Antiqua" w:hAnsi="Book Antiqua" w:cs="Arial"/>
          <w:color w:val="000000"/>
        </w:rPr>
        <w:t>20%</w:t>
      </w:r>
      <w:r w:rsidR="001E4ECE" w:rsidRPr="002D44D6">
        <w:rPr>
          <w:rFonts w:ascii="Book Antiqua" w:hAnsi="Book Antiqua" w:cs="Arial"/>
          <w:color w:val="000000"/>
        </w:rPr>
        <w:fldChar w:fldCharType="begin" w:fldLock="1"/>
      </w:r>
      <w:r w:rsidR="00DB6418" w:rsidRPr="002D44D6">
        <w:rPr>
          <w:rFonts w:ascii="Book Antiqua" w:hAnsi="Book Antiqua" w:cs="Arial"/>
          <w:color w:val="000000"/>
        </w:rPr>
        <w:instrText>ADDIN CSL_CITATION { "citationItems" : [ { "id" : "ITEM-1", "itemData" : { "DOI" : "10.1053/j.gastro.2010.02.016", "ISSN" : "00165085", "PMID" : "20178794", "abstract" : "Background &amp; Aims: The influence of osteoporosis and liver disease on fracture risk is not well characterized in patients with primary biliary cirrhosis (PBC). We studied a large series of women with PBC to assess the prevalence and risk factors for fractures and the fracture threshold. Methods: In female patients with PBC (n = 185; age, 55.7 \u00b1 0.7 years; range 28-79 years), age, duration of PBC, menopausal status, and histologic stage and severity of liver disease were assessed. Vertebral and non-vertebral fractures were recorded in 170 and 172 patients, respectively. Osteoporosis and osteopenia were diagnosed based on densitometry analysis. Results: The prevalences of vertebral, non-vertebral, and overall fractures were 11.2%, 12.2%, 20.8%, respectively. Osteoporosis was significantly more frequent in patients with PBC than in normal women. Osteoporosis was associated with age, weight, height, histologic stage, severity, and duration of liver damage; fractures were associated with osteoporosis, menopause, age, and height but not with severity of PBC. Osteoporosis was a risk factor for vertebral fracture (odds ratio [OR], 8.48; 95% confidence interval [CI]: 2.67-26.95). Lumbar T score &lt;-1.5 (OR, 8.27; 95% CI: 1.84-37.08) and femoral neck T score &lt;-1.5 (OR, 6.83; 95% CI: 1.48-31.63) were significant risk factors for vertebral fractures. Conclusions: Fractures, particularly vertebral fractures, are associated with osteoporosis, osteopenia, and T scores less than -1.5, whereas osteoporosis and osteopenia are associated with the severity of liver damage. Patients with T scores less than -1.5 might require additional monitoring and be considered for therapy to prevent fractures. \u00a9 2010 AGA Institute.", "author" : [ { "dropping-particle" : "", "family" : "Gua\u00f1abens", "given" : "N\u00faria", "non-dropping-particle" : "", "parse-names" : false, "suffix" : "" }, { "dropping-particle" : "", "family" : "Cerd\u00e1", "given" : "Dacia", "non-dropping-particle" : "", "parse-names" : false, "suffix" : "" }, { "dropping-particle" : "", "family" : "Monegal", "given" : "Ana", "non-dropping-particle" : "", "parse-names" : false, "suffix" : "" }, { "dropping-particle" : "", "family" : "Pons", "given" : "Francesca", "non-dropping-particle" : "", "parse-names" : false, "suffix" : "" }, { "dropping-particle" : "", "family" : "Caballer\u00eda", "given" : "Lloren\u00e7", "non-dropping-particle" : "", "parse-names" : false, "suffix" : "" }, { "dropping-particle" : "", "family" : "Peris", "given" : "Pilar", "non-dropping-particle" : "", "parse-names" : false, "suffix" : "" }, { "dropping-particle" : "", "family" : "Par\u00e9s", "given" : "Albert", "non-dropping-particle" : "", "parse-names" : false, "suffix" : "" } ], "container-title" : "Gastroenterology", "id" : "ITEM-1", "issue" : "7", "issued" : { "date-parts" : [ [ "2010" ] ] }, "page" : "2348-2356", "publisher" : "Elsevier Inc.", "title" : "Low Bone Mass and Severity of Cholestasis Affect Fracture Risk in Patients With Primary Biliary Cirrhosis", "type" : "article-journal", "volume" : "138" }, "uris" : [ "http://www.mendeley.com/documents/?uuid=d83d476e-c0d2-46ba-a97e-09bb7c142e78" ] }, { "id" : "ITEM-2", "itemData" : { "PMID" : "2220729", "abstract" : "The prevalence, type, and factors that may influence the development of bone disease in primary biliary cirrhosis, have been investigated in 20 consecutive patients, who, in addition to liver function tests and mineral and vitamin D metabolism studies, were submitted to a transiliac bone biopsy after tetracycline double-labeling for quantitative histomorphometric examination. Intestinal calcium absorption was also assessed in 16 patients. Seven patients (35%) had reduced bone volume and were considered osteoporotic. Three also had bone mineralization impairment, but did not have criteria for osteomalacia. Bone formation was depressed in 15 patients, and bone resorption was low or normal in 19 cases. Eroded surfaces were reduced in all osteoporotic patients. Duration of primary biliary cirrhosis was significantly longer in patients with osteoporosis (6.3 +/- 0.6 yr) than in those without osteoporosis (2.6 +/- 0.6, p = 0.004). Moreover, osteoporosis was more prevalent in postmenopausal women, and in those who had intestinal calcium malabsorption, which was present in 80% of osteoporotic patients but in only 18% of nonosteoporotic patients (p = 0.03). Osteoporosis and mineralization bone impairment were unrelated to the severity of cholestasis. 25-Hydroxyvitamin D was significantly lower in those patients with intestinal calcium malabsorption. The results of this study indicate that osteodystrophy in primary biliary cirrhosis is characterized mainly by \"low-turnover\" osteoporosis, which is related to the duration of the liver disease, postmenopausal condition, and calcium malabsorption.", "author" : [ { "dropping-particle" : "", "family" : "Gua\u00f1abens", "given" : "N\u00faria", "non-dropping-particle" : "", "parse-names" : false, "suffix" : "" }, { "dropping-particle" : "", "family" : "Par\u00e9s", "given" : "Albert", "non-dropping-particle" : "", "parse-names" : false, "suffix" : "" }, { "dropping-particle" : "", "family" : "Marinoso", "given" : "L", "non-dropping-particle" : "", "parse-names" : false, "suffix" : "" }, { "dropping-particle" : "", "family" : "Brancos", "given" : "MA", "non-dropping-particle" : "", "parse-names" : false, "suffix" : "" }, { "dropping-particle" : "", "family" : "Piera", "given" : "C", "non-dropping-particle" : "", "parse-names" : false, "suffix" : "" }, { "dropping-particle" : "", "family" : "Serrano", "given" : "S", "non-dropping-particle" : "", "parse-names" : false, "suffix" : "" }, { "dropping-particle" : "", "family" : "Rivera", "given" : "F", "non-dropping-particle" : "", "parse-names" : false, "suffix" : "" }, { "dropping-particle" : "", "family" : "Rodes", "given" : "J", "non-dropping-particle" : "", "parse-names" : false, "suffix" : "" } ], "container-title" : "American Journal of Gastroenterology", "id" : "ITEM-2", "issue" : "10", "issued" : { "date-parts" : [ [ "1990" ] ] }, "page" : "1356-62", "title" : "Factors influencing the development of metabolic bone disease in primary biliary cirrhosis", "type" : "article-journal", "volume" : "85" }, "uris" : [ "http://www.mendeley.com/documents/?uuid=e87486ac-863f-4161-bb3e-9b4411e10bf3" ] }, { "id" : "ITEM-3", "itemData" : { "DOI" : "10.1016/S0168-8278(00)80118-X", "ISBN" : "0168-8278 (Print)\\r0168-8278 (Linking)", "ISSN" : "01688278", "PMID" : "11131448", "abstract" : "Background/Aim: Osteoporosis is a common complication of primary biliary cirrhosis but there is no accepted therapy for the osteoporosis. In this randomized controlled trial, we compared the effects of etidronate to placebo on the treatment of osteoporosis associated with primary biliary cirrhosis. Methods: Sixty-seven patients with primary biliary cirrhosis and osteopenia, defined by bone mineral density criteria (T-score &lt;-2.0) were enrolled. Measurements of the lumbar spine and proximal femur, as well as x-rays of the lumbar spine, were obtained. Patients received cyclical etidronate 400 mg/day for 14 days every 3 months for at least 1 year. Supplemental calcium was administered on the days patients did not receive etidronate. Results: Of the 67 patients entered, 60 completed at least 1 year of therapy. There was no significant difference in changes in bone density at either the lumbar spine or femur in patients receiving etidronate when compared to placebo. Fractures occurred in eight patients, four receiving etidronate. Etidronate therapy was associated with a significant reduction in markers of bone turnover compared to placebo. These changes did not correlate with changes in bone density. Conclusions: Cyclical etidronate administered with supplemental calcium did not significantly improve bone density in patients with primary biliary cirrhosis.", "author" : [ { "dropping-particle" : "", "family" : "Lindor", "given" : "Keith D.", "non-dropping-particle" : "", "parse-names" : false, "suffix" : "" }, { "dropping-particle" : "", "family" : "Jorgensen", "given" : "Roberta A.", "non-dropping-particle" : "", "parse-names" : false, "suffix" : "" }, { "dropping-particle" : "", "family" : "Tiegs", "given" : "Robert D.", "non-dropping-particle" : "", "parse-names" : false, "suffix" : "" }, { "dropping-particle" : "", "family" : "Khosla", "given" : "Sundeep", "non-dropping-particle" : "", "parse-names" : false, "suffix" : "" }, { "dropping-particle" : "", "family" : "Dickson", "given" : "E. Rolland", "non-dropping-particle" : "", "parse-names" : false, "suffix" : "" } ], "container-title" : "Journal of Hepatology", "id" : "ITEM-3", "issue" : "6", "issued" : { "date-parts" : [ [ "2000" ] ] }, "page" : "878-882", "title" : "Etidronate for osteoporosis in primary biliary cirrhosis: A randomized trial", "type" : "article-journal", "volume" : "33" }, "uris" : [ "http://www.mendeley.com/documents/?uuid=74607aab-5872-4fbe-a830-24081022e53e" ] } ], "mendeley" : { "formattedCitation" : "&lt;sup&gt;[3,5,6]&lt;/sup&gt;", "plainTextFormattedCitation" : "[3,5,6]", "previouslyFormattedCitation" : "&lt;sup&gt;[3,5,6]&lt;/sup&gt;" }, "properties" : { "noteIndex" : 0 }, "schema" : "https://github.com/citation-style-language/schema/raw/master/csl-citation.json" }</w:instrText>
      </w:r>
      <w:r w:rsidR="001E4ECE" w:rsidRPr="002D44D6">
        <w:rPr>
          <w:rFonts w:ascii="Book Antiqua" w:hAnsi="Book Antiqua" w:cs="Arial"/>
          <w:color w:val="000000"/>
        </w:rPr>
        <w:fldChar w:fldCharType="separate"/>
      </w:r>
      <w:r w:rsidR="001E4ECE" w:rsidRPr="002D44D6">
        <w:rPr>
          <w:rFonts w:ascii="Book Antiqua" w:hAnsi="Book Antiqua" w:cs="Arial"/>
          <w:noProof/>
          <w:color w:val="000000"/>
          <w:vertAlign w:val="superscript"/>
        </w:rPr>
        <w:t>[3,5,6]</w:t>
      </w:r>
      <w:r w:rsidR="001E4ECE" w:rsidRPr="002D44D6">
        <w:rPr>
          <w:rFonts w:ascii="Book Antiqua" w:hAnsi="Book Antiqua" w:cs="Arial"/>
          <w:color w:val="000000"/>
        </w:rPr>
        <w:fldChar w:fldCharType="end"/>
      </w:r>
      <w:r w:rsidR="001E4ECE" w:rsidRPr="002D44D6">
        <w:rPr>
          <w:rFonts w:ascii="Book Antiqua" w:hAnsi="Book Antiqua" w:cs="Arial"/>
          <w:color w:val="000000"/>
        </w:rPr>
        <w:t xml:space="preserve">, </w:t>
      </w:r>
      <w:r w:rsidRPr="002D44D6">
        <w:rPr>
          <w:rFonts w:ascii="Book Antiqua" w:hAnsi="Book Antiqua" w:cs="Arial"/>
          <w:color w:val="000000"/>
        </w:rPr>
        <w:t>increasing to 22% in transplant waitlisted patients</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"10.1002/lt.20874", "PMID" : "16933236", "abstract" : "Fracturing after liver transplantation (OLT) occurs due to the combination of preexisting low bone mineral density (BMD) andearly posttransplant bone loss, the risk factors for which are poorly defined. The prevalence and predictive factors for hepaticosteopenia and osteoporosis, posttransplant bone loss, and subsequent bone gain were studied by the long-termposttransplant follow-up of 360 consecutive adult patients with end-stage primary biliary cirrhosis (PBC) and primary sclerosingcholangitis (PSC). Only 20% of patients with advanced PBC or PSC have normal bone mass. Risk factors for low spinal BMDare low body mass index, older age, postmenopausal status, muscle wasting, high alkaline phosphatase and low serumalbumin. A high rate of spinal bone loss occurred in the first 4 posttransplant months (annual rate of 16%) especially in thosewith younger age, PSC, higher pretransplant bone density, no inflammatory bowel disease, shorter duration of liver disease,current smoking, and ongoing cholestasis at 4 months. Factors favoring spinal bone gain from 4 to 24 months aftertransplantation were lower baseline and/or 4-month bone density, premenopausal status, lower cumulative glucocorticoids, noongoing cholestasis, and higher levels of vitamin D and parathyroid hormone. Bone mass therefore improves most in patientswith lowest pretransplant BMD who undergo successful transplantation with normal hepatic function and improved gonadal andnutritional status. Patients transplanted most recently have improved bone mass before OLT, and although bone loss stilloccurs early after OLT, these patients also have a greater recovery in BMD over the years following OLT.", "author" : [ { "dropping-particle" : "", "family" : "Guichelaar", "given" : "Maureen M J", "non-dropping-particle" : "", "parse-names" : false, "suffix" : "" }, { "dropping-particle" : "", "family" : "Kendall", "given" : "Rebecca", "non-dropping-particle" : "", "parse-names" : false, "suffix" : "" }, { "dropping-particle" : "", "family" : "Malinchoc", "given" : "Michael", "non-dropping-particle" : "", "parse-names" : false, "suffix" : "" }, { "dropping-particle" : "", "family" : "Hay", "given" : "J Eileen", "non-dropping-particle" : "", "parse-names" : false, "suffix" : "" } ], "container-title" : "Liver Transplantation", "id" : "ITEM-1", "issued" : { "date-parts" : [ [ "2006" ] ] }, "page" : "1390-1402", "title" : "Bone Mineral Density Before and After OLT: Long-term Follow-up and Predictive Factors", "type" : "article-journal", "volume" : "12" }, "uris" : [ "http://www.mendeley.com/documents/?uuid=bd3a8a92-e9d2-4d5e-90ef-40ceda2df958" ] } ], "mendeley" : { "formattedCitation" : "&lt;sup&gt;[4]&lt;/sup&gt;", "plainTextFormattedCitation" : "[4]", "previouslyFormattedCitation" : "&lt;sup&gt;[4]&lt;/sup&gt;"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[4]</w:t>
      </w:r>
      <w:r w:rsidR="00E21B32" w:rsidRPr="002D44D6">
        <w:rPr>
          <w:rFonts w:ascii="Book Antiqua" w:hAnsi="Book Antiqua" w:cs="Arial"/>
          <w:color w:val="000000"/>
        </w:rPr>
        <w:fldChar w:fldCharType="end"/>
      </w:r>
      <w:r w:rsidRPr="002D44D6">
        <w:rPr>
          <w:rFonts w:ascii="Book Antiqua" w:hAnsi="Book Antiqua" w:cs="Arial"/>
          <w:color w:val="000000"/>
        </w:rPr>
        <w:t>. S</w:t>
      </w:r>
      <w:r w:rsidRPr="002D44D6">
        <w:rPr>
          <w:rFonts w:ascii="Book Antiqua" w:hAnsi="Book Antiqua" w:cs="Arial"/>
        </w:rPr>
        <w:t>erious injuries such as fractures are more difficult to manage in patients with advanced liver disease with perioperative morbidity and mortality approaching 80% and 60% respectively in cirrhotics undergoing emergent total hip arthroplasty</w:t>
      </w:r>
      <w:r w:rsidR="00E21B32" w:rsidRPr="002D44D6">
        <w:rPr>
          <w:rFonts w:ascii="Book Antiqua" w:hAnsi="Book Antiqua" w:cs="Arial"/>
        </w:rPr>
        <w:fldChar w:fldCharType="begin" w:fldLock="1"/>
      </w:r>
      <w:r w:rsidR="00E21B32" w:rsidRPr="002D44D6">
        <w:rPr>
          <w:rFonts w:ascii="Book Antiqua" w:hAnsi="Book Antiqua" w:cs="Arial"/>
        </w:rPr>
        <w:instrText>ADDIN CSL_CITATION { "citationItems" : [ { "id" : "ITEM-1", "itemData" : { "DOI" : "10.1016/j.arth.2004.05.004", "ISSN" : "08835403", "PMID" : "16124961", "abstract" : "Limited data exist on the safety of primary total hip arthroplasty (THA) and total knee arthroplasty (TKA) in cirrhotic patients. We retrospectively reviewed outcomes of these procedures in cirrhotic patients and matched controls. Significant adverse outcomes occurred in 20.7% (6 of 29) of cirrhotic patients compared with 3.23% (3 of 93) of controls. No significant differences were seen between the groups for elective TKA or THA. However, 80% (4 of 5) of the cirrhotic patients undergoing emergent THA secondary to fracture had major complications, with a 60% (3 of 5) mortality rate. There was a trend toward worse overall outcome in cirrhotic patients with more advanced liver disease. In conclusion, primary THA or TKA can be safely performed electively in Child's A and B cirrhotic patients. However, emergent THA to repair fractures in cirrhotic patients is associated with significantly increased morbidity and mortality. \u00a9 2005 Elsevier Inc. All rights reserved.", "author" : [ { "dropping-particle" : "", "family" : "Cohen", "given" : "Stanley Martin", "non-dropping-particle" : "", "parse-names" : false, "suffix" : "" }, { "dropping-particle" : "", "family" : "Te", "given" : "Helen S.", "non-dropping-particle" : "", "parse-names" : false, "suffix" : "" }, { "dropping-particle" : "", "family" : "Levitsky", "given" : "Josh", "non-dropping-particle" : "", "parse-names" : false, "suffix" : "" } ], "container-title" : "Journal of Arthroplasty", "id" : "ITEM-1", "issue" : "4", "issued" : { "date-parts" : [ [ "2005" ] ] }, "page" : "460-466", "title" : "Operative risk of total hip and knee arthroplasty in cirrhotic patients", "type" : "article-journal", "volume" : "20" }, "uris" : [ "http://www.mendeley.com/documents/?uuid=877dc411-505f-412d-b014-1bd4db817585" ] } ], "mendeley" : { "formattedCitation" : "&lt;sup&gt;[10]&lt;/sup&gt;", "plainTextFormattedCitation" : "[10]", "previouslyFormattedCitation" : "&lt;sup&gt;[10]&lt;/sup&gt;" }, "properties" : { "noteIndex" : 0 }, "schema" : "https://github.com/citation-style-language/schema/raw/master/csl-citation.json" }</w:instrText>
      </w:r>
      <w:r w:rsidR="00E21B32" w:rsidRPr="002D44D6">
        <w:rPr>
          <w:rFonts w:ascii="Book Antiqua" w:hAnsi="Book Antiqua" w:cs="Arial"/>
        </w:rPr>
        <w:fldChar w:fldCharType="separate"/>
      </w:r>
      <w:r w:rsidR="00E21B32" w:rsidRPr="002D44D6">
        <w:rPr>
          <w:rFonts w:ascii="Book Antiqua" w:hAnsi="Book Antiqua" w:cs="Arial"/>
          <w:noProof/>
          <w:vertAlign w:val="superscript"/>
        </w:rPr>
        <w:t>[10]</w:t>
      </w:r>
      <w:r w:rsidR="00E21B32" w:rsidRPr="002D44D6">
        <w:rPr>
          <w:rFonts w:ascii="Book Antiqua" w:hAnsi="Book Antiqua" w:cs="Arial"/>
        </w:rPr>
        <w:fldChar w:fldCharType="end"/>
      </w:r>
      <w:r w:rsidRPr="002D44D6">
        <w:rPr>
          <w:rFonts w:ascii="Book Antiqua" w:hAnsi="Book Antiqua" w:cs="Arial"/>
        </w:rPr>
        <w:t>.</w:t>
      </w:r>
      <w:r w:rsidRPr="002D44D6">
        <w:rPr>
          <w:rFonts w:ascii="Book Antiqua" w:hAnsi="Book Antiqua" w:cs="Arial"/>
          <w:color w:val="000000"/>
        </w:rPr>
        <w:t xml:space="preserve"> Patients would therefore benefit from a timely diagnosis, effective risk factor modification, and treatment of PBC-related osteoporosis.</w:t>
      </w:r>
    </w:p>
    <w:p w14:paraId="12D80DFE" w14:textId="1C2A1593" w:rsidR="00E13F25" w:rsidRPr="002D44D6" w:rsidRDefault="00CC6064" w:rsidP="00E21B32">
      <w:pPr>
        <w:widowControl w:val="0"/>
        <w:adjustRightInd w:val="0"/>
        <w:snapToGrid w:val="0"/>
        <w:spacing w:line="360" w:lineRule="auto"/>
        <w:ind w:firstLineChars="100" w:firstLine="240"/>
        <w:jc w:val="both"/>
        <w:rPr>
          <w:rFonts w:ascii="Book Antiqua" w:eastAsia="Times New Roman" w:hAnsi="Book Antiqua" w:cs="Arial"/>
        </w:rPr>
      </w:pPr>
      <w:r w:rsidRPr="002D44D6">
        <w:rPr>
          <w:rFonts w:ascii="Book Antiqua" w:hAnsi="Book Antiqua" w:cs="Arial"/>
          <w:color w:val="000000"/>
        </w:rPr>
        <w:t xml:space="preserve">While effective treatments exist for postmenopausal osteoporosis, management of osteoporosis in PBC is limited by an incomplete understanding of pathophysiology specific to this disease process and a paucity of studies evaluating potential treatment. The current </w:t>
      </w:r>
      <w:r w:rsidR="00112EBF" w:rsidRPr="00112EBF">
        <w:rPr>
          <w:rFonts w:ascii="Book Antiqua" w:hAnsi="Book Antiqua" w:cs="Arial"/>
          <w:color w:val="000000"/>
        </w:rPr>
        <w:t>American Association for the Study of Liver Diseases</w:t>
      </w:r>
      <w:r w:rsidRPr="002D44D6">
        <w:rPr>
          <w:rFonts w:ascii="Book Antiqua" w:hAnsi="Book Antiqua" w:cs="Arial"/>
          <w:color w:val="000000"/>
        </w:rPr>
        <w:t xml:space="preserve"> guidelines recommend vitamin D and calcium supplementation based on experience in postmenopausal women as well as alendronate based on a single RCT in PBC</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"10.1002/hep.22906", "ISBN" : "1527-3350 (Electronic)\\r0270-9139 (Linking)", "ISSN" : "02709139", "PMID" : "19554543", "abstract" : "These recommendations provide a data-supported ap-proach to the management of primary biliary cirrhosis (PBC). They are based on the following: (1) formal review and analysis of the recently published world literature on the topic (Medline search); (2) American College of Phy-sicians Manual for Assessing Health Practices and Designing Practice Guidelines 1 ; (3) guideline policies, including the AASLD Policy on the Development and Use of Practice Guidelines and the American Gastroenterological Associ-ation Policy Statement on Guidelines 2 ; and (4) the expe-rience of the authors in the specified topic. Intended for use by physicians, these recommendations suggest pre-ferred approaches to the diagnostic, therapeutic, and pre-ventive aspects of care. They are intended to be flexible, in contrast to standards of care, which are inflexible policies to be followed in every case. Specific recommendations are based on relevant published information. To more fully characterize the quality of evidence supporting rec-ommendations, the Practice Guideline Committee of the AASLD requires a Class (reflecting benefit versus risk) and Level (assessing strength or certainty) of Evidence to be assigned and reported with each recommendation (Ta-ble 1, adapted from the American College of Cardiology and the American Heart Association Practice Guide-lines 3).", "author" : [ { "dropping-particle" : "", "family" : "Lindor", "given" : "Keith D.", "non-dropping-particle" : "", "parse-names" : false, "suffix" : "" }, { "dropping-particle" : "", "family" : "Gershwin", "given" : "M. Eric", "non-dropping-particle" : "", "parse-names" : false, "suffix" : "" }, { "dropping-particle" : "", "family" : "Poupon", "given" : "Raoul", "non-dropping-particle" : "", "parse-names" : false, "suffix" : "" }, { "dropping-particle" : "", "family" : "Kaplan", "given" : "Marshall", "non-dropping-particle" : "", "parse-names" : false, "suffix" : "" }, { "dropping-particle" : "V.", "family" : "Bergasa", "given" : "Nora", "non-dropping-particle" : "", "parse-names" : false, "suffix" : "" }, { "dropping-particle" : "", "family" : "Heathcote", "given" : "E. Jenny", "non-dropping-particle" : "", "parse-names" : false, "suffix" : "" } ], "container-title" : "Hepatology", "id" : "ITEM-1", "issue" : "1", "issued" : { "date-parts" : [ [ "2009" ] ] }, "page" : "291-308", "title" : "Primary biliary cirrhosis", "type" : "article-journal", "volume" : "50" }, "uris" : [ "http://www.mendeley.com/documents/?uuid=1c2284db-43a8-4aac-a5b7-075305957b34" ] } ], "mendeley" : { "formattedCitation" : "&lt;sup&gt;[11]&lt;/sup&gt;", "plainTextFormattedCitation" : "[11]", "previouslyFormattedCitation" : "&lt;sup&gt;[11]&lt;/sup&gt;"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[11]</w:t>
      </w:r>
      <w:r w:rsidR="00E21B32" w:rsidRPr="002D44D6">
        <w:rPr>
          <w:rFonts w:ascii="Book Antiqua" w:hAnsi="Book Antiqua" w:cs="Arial"/>
          <w:color w:val="000000"/>
        </w:rPr>
        <w:fldChar w:fldCharType="end"/>
      </w:r>
      <w:r w:rsidRPr="002D44D6">
        <w:rPr>
          <w:rFonts w:ascii="Book Antiqua" w:hAnsi="Book Antiqua" w:cs="Arial"/>
          <w:color w:val="000000"/>
        </w:rPr>
        <w:t>.</w:t>
      </w:r>
      <w:r w:rsidR="001E4ECE" w:rsidRPr="002D44D6">
        <w:rPr>
          <w:rFonts w:ascii="Book Antiqua" w:hAnsi="Book Antiqua" w:cs="Arial"/>
          <w:color w:val="000000"/>
        </w:rPr>
        <w:t xml:space="preserve"> </w:t>
      </w:r>
      <w:r w:rsidRPr="002D44D6">
        <w:rPr>
          <w:rFonts w:ascii="Book Antiqua" w:hAnsi="Book Antiqua" w:cs="Arial"/>
          <w:color w:val="000000"/>
        </w:rPr>
        <w:t xml:space="preserve">An overreliance on postmenopausal osteoporosis data may lead to relatively ineffective treatment of PBC-related osteoporosis. To this end, we aim </w:t>
      </w:r>
      <w:r w:rsidRPr="002D44D6">
        <w:rPr>
          <w:rFonts w:ascii="Book Antiqua" w:eastAsia="Times New Roman" w:hAnsi="Book Antiqua" w:cs="Arial"/>
        </w:rPr>
        <w:t>to summarize our current understanding of the pathophysiology behind bone disease in PBC as well as the evidence behind current and emerging therapies for osteoporosis in PBC.</w:t>
      </w:r>
    </w:p>
    <w:p w14:paraId="513402BC" w14:textId="4BB5EE01" w:rsidR="00E13F25" w:rsidRPr="002D44D6" w:rsidRDefault="00CC6064" w:rsidP="00E21B32">
      <w:pPr>
        <w:widowControl w:val="0"/>
        <w:adjustRightInd w:val="0"/>
        <w:snapToGrid w:val="0"/>
        <w:spacing w:line="360" w:lineRule="auto"/>
        <w:ind w:firstLineChars="100" w:firstLine="240"/>
        <w:jc w:val="both"/>
        <w:rPr>
          <w:rFonts w:ascii="Book Antiqua" w:eastAsia="Times New Roman" w:hAnsi="Book Antiqua" w:cs="Arial"/>
        </w:rPr>
      </w:pPr>
      <w:r w:rsidRPr="002D44D6">
        <w:rPr>
          <w:rFonts w:ascii="Book Antiqua" w:eastAsia="Times New Roman" w:hAnsi="Book Antiqua" w:cs="Arial"/>
        </w:rPr>
        <w:t xml:space="preserve">The </w:t>
      </w:r>
      <w:r w:rsidRPr="00E21B32">
        <w:rPr>
          <w:rFonts w:ascii="Book Antiqua" w:eastAsia="Times New Roman" w:hAnsi="Book Antiqua" w:cs="Arial"/>
        </w:rPr>
        <w:t>term</w:t>
      </w:r>
      <w:r w:rsidR="008B1E86" w:rsidRPr="00E21B32">
        <w:rPr>
          <w:rFonts w:ascii="Book Antiqua" w:eastAsia="Times New Roman" w:hAnsi="Book Antiqua" w:cs="Arial"/>
        </w:rPr>
        <w:t xml:space="preserve"> hepatic osteodystrophy is</w:t>
      </w:r>
      <w:r w:rsidR="008B1E86" w:rsidRPr="002D44D6">
        <w:rPr>
          <w:rFonts w:ascii="Book Antiqua" w:eastAsia="Times New Roman" w:hAnsi="Book Antiqua" w:cs="Arial"/>
        </w:rPr>
        <w:t xml:space="preserve"> sometimes used to refer to all metabolic bone disease</w:t>
      </w:r>
      <w:r w:rsidR="00E21B32">
        <w:rPr>
          <w:rFonts w:ascii="Book Antiqua" w:eastAsia="Times New Roman" w:hAnsi="Book Antiqua" w:cs="Arial"/>
        </w:rPr>
        <w:t xml:space="preserve"> seen in chronic liver disease.</w:t>
      </w:r>
      <w:r w:rsidR="008B1E86" w:rsidRPr="002D44D6">
        <w:rPr>
          <w:rFonts w:ascii="Book Antiqua" w:eastAsia="Times New Roman" w:hAnsi="Book Antiqua" w:cs="Arial"/>
        </w:rPr>
        <w:t xml:space="preserve"> It refers to both osteomalacia, or decreased bone mineralization, and osteoporosis, or decreased bone </w:t>
      </w:r>
      <w:r w:rsidR="00043B70" w:rsidRPr="002D44D6">
        <w:rPr>
          <w:rFonts w:ascii="Book Antiqua" w:eastAsia="Times New Roman" w:hAnsi="Book Antiqua" w:cs="Arial"/>
        </w:rPr>
        <w:t xml:space="preserve">mass, which </w:t>
      </w:r>
      <w:r w:rsidR="00043B70" w:rsidRPr="002D44D6">
        <w:rPr>
          <w:rFonts w:ascii="Book Antiqua" w:eastAsia="Times New Roman" w:hAnsi="Book Antiqua" w:cs="Arial"/>
        </w:rPr>
        <w:lastRenderedPageBreak/>
        <w:t>can both be seen in advanced liver disease</w:t>
      </w:r>
      <w:r w:rsidR="008B1E86" w:rsidRPr="002D44D6">
        <w:rPr>
          <w:rFonts w:ascii="Book Antiqua" w:eastAsia="Times New Roman" w:hAnsi="Book Antiqua" w:cs="Arial"/>
        </w:rPr>
        <w:t>.</w:t>
      </w:r>
      <w:r w:rsidR="009C114E" w:rsidRPr="002D44D6">
        <w:rPr>
          <w:rFonts w:ascii="Book Antiqua" w:eastAsia="Times New Roman" w:hAnsi="Book Antiqua" w:cs="Arial"/>
        </w:rPr>
        <w:t xml:space="preserve"> </w:t>
      </w:r>
      <w:r w:rsidR="00043B70" w:rsidRPr="002D44D6">
        <w:rPr>
          <w:rFonts w:ascii="Book Antiqua" w:eastAsia="Times New Roman" w:hAnsi="Book Antiqua" w:cs="Arial"/>
        </w:rPr>
        <w:t>Osteomalacia</w:t>
      </w:r>
      <w:r w:rsidR="002F2AD3" w:rsidRPr="002D44D6">
        <w:rPr>
          <w:rFonts w:ascii="Book Antiqua" w:eastAsia="Times New Roman" w:hAnsi="Book Antiqua" w:cs="Arial"/>
        </w:rPr>
        <w:t xml:space="preserve"> was once </w:t>
      </w:r>
      <w:r w:rsidR="00C4346A" w:rsidRPr="002D44D6">
        <w:rPr>
          <w:rFonts w:ascii="Book Antiqua" w:eastAsia="Times New Roman" w:hAnsi="Book Antiqua" w:cs="Arial"/>
        </w:rPr>
        <w:t>thought to be common in cholestatic liver disease;</w:t>
      </w:r>
      <w:r w:rsidR="002F2AD3" w:rsidRPr="002D44D6">
        <w:rPr>
          <w:rFonts w:ascii="Book Antiqua" w:eastAsia="Times New Roman" w:hAnsi="Book Antiqua" w:cs="Arial"/>
        </w:rPr>
        <w:t xml:space="preserve"> </w:t>
      </w:r>
      <w:r w:rsidR="00C4346A" w:rsidRPr="002D44D6">
        <w:rPr>
          <w:rFonts w:ascii="Book Antiqua" w:eastAsia="Times New Roman" w:hAnsi="Book Antiqua" w:cs="Arial"/>
        </w:rPr>
        <w:t>theoretically due dietary vitamin D malabsorption in the setting of severe cholestasis and impaired hepatic 25</w:t>
      </w:r>
      <w:r w:rsidR="00E21B32">
        <w:rPr>
          <w:rFonts w:ascii="Book Antiqua" w:eastAsia="SimSun" w:hAnsi="Book Antiqua" w:cs="Arial" w:hint="eastAsia"/>
          <w:lang w:eastAsia="zh-CN"/>
        </w:rPr>
        <w:t>-</w:t>
      </w:r>
      <w:r w:rsidR="00C4346A" w:rsidRPr="002D44D6">
        <w:rPr>
          <w:rFonts w:ascii="Book Antiqua" w:eastAsia="Times New Roman" w:hAnsi="Book Antiqua" w:cs="Arial"/>
        </w:rPr>
        <w:t>hydroxylation</w:t>
      </w:r>
      <w:r w:rsidR="00E21B32" w:rsidRPr="002D44D6">
        <w:rPr>
          <w:rFonts w:ascii="Book Antiqua" w:eastAsia="Times New Roman" w:hAnsi="Book Antiqua" w:cs="Arial"/>
        </w:rPr>
        <w:fldChar w:fldCharType="begin" w:fldLock="1"/>
      </w:r>
      <w:r w:rsidR="00E21B32" w:rsidRPr="002D44D6">
        <w:rPr>
          <w:rFonts w:ascii="Book Antiqua" w:eastAsia="Times New Roman" w:hAnsi="Book Antiqua" w:cs="Arial"/>
        </w:rPr>
        <w:instrText>ADDIN CSL_CITATION { "citationItems" : [ { "id" : "ITEM-1", "itemData" : { "PMID" : "620204", "abstract" : "Despite regular long-term parenteral vitamin D, treatment, four patients with biliary cirrhosis had multiple symptoms of bone disease and bone biopsy specimens showed osteomalacia without osteoporosis. Three patients also had a proximal myopathy. Plasma calcium values (after correction for albumin), phosphorus, magnesium, and serum25-hydroxy-vitaminD were within normal limits. Treatment with 1,25-dihydroxy-cholecalciferol (1,25-(OH),D,) relieved symptoms int hree of the four patients and improved those in the fourth. Histological examination of bone showed improvement in all four patients, but serum and urinary biochemical changes were not pronounced. We conclude that 1,25-(OH),D, treatment has a beneficial effect on bone and muscle in hepatic osteomalacia, either because vitaminD1 hydroxylation fails in biliary cirrhosis or because hepatic osteomalacia is resistant to vitaminD metabolites.", "author" : [ { "dropping-particle" : "", "family" : "Long", "given" : "R G", "non-dropping-particle" : "", "parse-names" : false, "suffix" : "" }, { "dropping-particle" : "", "family" : "Varghese", "given" : "Z", "non-dropping-particle" : "", "parse-names" : false, "suffix" : "" }, { "dropping-particle" : "", "family" : "Meinhard", "given" : "E A", "non-dropping-particle" : "", "parse-names" : false, "suffix" : "" }, { "dropping-particle" : "", "family" : "Skinner", "given" : "R K", "non-dropping-particle" : "", "parse-names" : false, "suffix" : "" }, { "dropping-particle" : "", "family" : "Wills", "given" : "M R", "non-dropping-particle" : "", "parse-names" : false, "suffix" : "" }, { "dropping-particle" : "", "family" : "Sherlock", "given" : "S", "non-dropping-particle" : "", "parse-names" : false, "suffix" : "" } ], "container-title" : "British Medical Journal", "id" : "ITEM-1", "issue" : "January", "issued" : { "date-parts" : [ [ "1978" ] ] }, "page" : "75-77", "title" : "Parenteral 1,25-dihydroxycholecalciferol in hepatic osteomalacia", "type" : "article-journal" }, "uris" : [ "http://www.mendeley.com/documents/?uuid=7cf79e80-0475-4f3b-ae2e-4d5301dcd2c6" ] }, { "id" : "ITEM-2", "itemData" : { "PMID" : "476441", "author" : [ { "dropping-particle" : "", "family" : "Compston", "given" : "Juliet E.", "non-dropping-particle" : "", "parse-names" : false, "suffix" : "" }, { "dropping-particle" : "", "family" : "Crowe", "given" : "John P.", "non-dropping-particle" : "", "parse-names" : false, "suffix" : "" }, { "dropping-particle" : "", "family" : "Horton", "given" : "L. W.L.", "non-dropping-particle" : "", "parse-names" : false, "suffix" : "" } ], "container-title" : "British Medical Journal", "id" : "ITEM-2", "issue" : "August", "issued" : { "date-parts" : [ [ "1979" ] ] }, "page" : "309", "title" : "Treatment of osteomalacia associated with primary biliary cirrhosis with oral I-alpha-hydroxy vitamin D3", "type" : "article-journal" }, "uris" : [ "http://www.mendeley.com/documents/?uuid=a99be9f5-894a-4398-9384-2e945a458847" ] } ], "mendeley" : { "formattedCitation" : "&lt;sup&gt;[12,13]&lt;/sup&gt;", "plainTextFormattedCitation" : "[12,13]", "previouslyFormattedCitation" : "&lt;sup&gt;[12,13]&lt;/sup&gt;" }, "properties" : { "noteIndex" : 0 }, "schema" : "https://github.com/citation-style-language/schema/raw/master/csl-citation.json" }</w:instrText>
      </w:r>
      <w:r w:rsidR="00E21B32" w:rsidRPr="002D44D6">
        <w:rPr>
          <w:rFonts w:ascii="Book Antiqua" w:eastAsia="Times New Roman" w:hAnsi="Book Antiqua" w:cs="Arial"/>
        </w:rPr>
        <w:fldChar w:fldCharType="separate"/>
      </w:r>
      <w:r w:rsidR="00E21B32" w:rsidRPr="002D44D6">
        <w:rPr>
          <w:rFonts w:ascii="Book Antiqua" w:eastAsia="Times New Roman" w:hAnsi="Book Antiqua" w:cs="Arial"/>
          <w:noProof/>
          <w:vertAlign w:val="superscript"/>
        </w:rPr>
        <w:t>[12,13]</w:t>
      </w:r>
      <w:r w:rsidR="00E21B32" w:rsidRPr="002D44D6">
        <w:rPr>
          <w:rFonts w:ascii="Book Antiqua" w:eastAsia="Times New Roman" w:hAnsi="Book Antiqua" w:cs="Arial"/>
        </w:rPr>
        <w:fldChar w:fldCharType="end"/>
      </w:r>
      <w:r w:rsidR="00C4346A" w:rsidRPr="002D44D6">
        <w:rPr>
          <w:rFonts w:ascii="Book Antiqua" w:eastAsia="Times New Roman" w:hAnsi="Book Antiqua" w:cs="Arial"/>
        </w:rPr>
        <w:t>.</w:t>
      </w:r>
      <w:r w:rsidRPr="002D44D6">
        <w:rPr>
          <w:rFonts w:ascii="Book Antiqua" w:eastAsia="Times New Roman" w:hAnsi="Book Antiqua" w:cs="Arial"/>
        </w:rPr>
        <w:t xml:space="preserve"> </w:t>
      </w:r>
      <w:r w:rsidR="00C4346A" w:rsidRPr="002D44D6">
        <w:rPr>
          <w:rFonts w:ascii="Book Antiqua" w:eastAsia="Times New Roman" w:hAnsi="Book Antiqua" w:cs="Arial"/>
        </w:rPr>
        <w:t xml:space="preserve">However, it appears osteomalacia is actually quite rare in </w:t>
      </w:r>
      <w:r w:rsidR="0070482E" w:rsidRPr="002D44D6">
        <w:rPr>
          <w:rFonts w:ascii="Book Antiqua" w:eastAsia="Times New Roman" w:hAnsi="Book Antiqua" w:cs="Arial"/>
        </w:rPr>
        <w:t>PBC and cholestatic liver disease and early studies were plagued by selection bias and a loose definition of osteomala</w:t>
      </w:r>
      <w:r w:rsidR="00391300" w:rsidRPr="002D44D6">
        <w:rPr>
          <w:rFonts w:ascii="Book Antiqua" w:eastAsia="Times New Roman" w:hAnsi="Book Antiqua" w:cs="Arial"/>
        </w:rPr>
        <w:t>cia</w:t>
      </w:r>
      <w:r w:rsidR="00E21B32" w:rsidRPr="002D44D6">
        <w:rPr>
          <w:rFonts w:ascii="Book Antiqua" w:eastAsia="Times New Roman" w:hAnsi="Book Antiqua" w:cs="Arial"/>
        </w:rPr>
        <w:fldChar w:fldCharType="begin" w:fldLock="1"/>
      </w:r>
      <w:r w:rsidR="00E21B32" w:rsidRPr="002D44D6">
        <w:rPr>
          <w:rFonts w:ascii="Book Antiqua" w:eastAsia="Times New Roman" w:hAnsi="Book Antiqua" w:cs="Arial"/>
        </w:rPr>
        <w:instrText>ADDIN CSL_CITATION { "citationItems" : [ { "id" : "ITEM-1", "itemData" : { "DOI" : "10.1016/S0016-5085(03)01062-X", "ISBN" : "0016-5085 (Print)\\n0016-5085 (Linking)", "ISSN" : "00165085", "PMID" : "12612917", "abstract" : "BackgroundStandards for good practice in clinical risk management issued by the Clinical Negligence Scheme for Trusts indicate that appropriate information is provided to patients on the risks and benefits of proposed treatment, and of the alternatives available before a signature on a consent form is sought. AimsTo investigate the practicability and patient acceptability of a postal information and consent booklet for patients undergoing outpatient gastroscopy. MethodsInformation about gastroscopy procedure, personalised appointment details, and a carbonised consent form were compiled into a single booklet. This was mailed to patients well in advance of their endoscopic procedure. Patient satisfaction for this new process was assessed by questionnaire. Results275 patients received a patient information booklet. Of these, 150 (54.5%) returned the consent form by post when they confirmed their attendance; 141 (94%) had signed the form, and the other nine requested further information. Of the remaining 125 booklets sent out, 115 (92%) forms were brought back on the day of the investigation having been previously signed. The remaining 10 (8%) required further information before signing the form. An audit of 168 patients was used to test reaction to the booklet and the idea of filling in the form before coming to hospital; 155 patients (92.2%) reported the information given in the booklet to be very useful, and all reported it to be clear and understandable. ConclusionA specifically designed patient information booklet with integral consent form is accepted by patients, and improves the level of understanding prior to the investigation being carried out.", "author" : [ { "dropping-particle" : "", "family" : "Leslie", "given" : "William D.", "non-dropping-particle" : "", "parse-names" : false, "suffix" : "" }, { "dropping-particle" : "", "family" : "Bernstein", "given" : "Charles N.", "non-dropping-particle" : "", "parse-names" : false, "suffix" : "" }, { "dropping-particle" : "", "family" : "Leboff", "given" : "Meryl S.", "non-dropping-particle" : "", "parse-names" : false, "suffix" : "" } ], "container-title" : "Gastroenterology", "id" : "ITEM-1", "issue" : "3", "issued" : { "date-parts" : [ [ "2003" ] ] }, "page" : "941-966", "title" : "AGA technical review on osteoporosis in hepatic disorders", "type" : "article-journal", "volume" : "125" }, "uris" : [ "http://www.mendeley.com/documents/?uuid=fd7000cf-2bcf-4412-ac4e-a5a9d1f9953d" ] } ], "mendeley" : { "formattedCitation" : "&lt;sup&gt;[14]&lt;/sup&gt;", "plainTextFormattedCitation" : "[14]", "previouslyFormattedCitation" : "&lt;sup&gt;[14]&lt;/sup&gt;" }, "properties" : { "noteIndex" : 0 }, "schema" : "https://github.com/citation-style-language/schema/raw/master/csl-citation.json" }</w:instrText>
      </w:r>
      <w:r w:rsidR="00E21B32" w:rsidRPr="002D44D6">
        <w:rPr>
          <w:rFonts w:ascii="Book Antiqua" w:eastAsia="Times New Roman" w:hAnsi="Book Antiqua" w:cs="Arial"/>
        </w:rPr>
        <w:fldChar w:fldCharType="separate"/>
      </w:r>
      <w:r w:rsidR="00E21B32" w:rsidRPr="002D44D6">
        <w:rPr>
          <w:rFonts w:ascii="Book Antiqua" w:eastAsia="Times New Roman" w:hAnsi="Book Antiqua" w:cs="Arial"/>
          <w:noProof/>
          <w:vertAlign w:val="superscript"/>
        </w:rPr>
        <w:t>[14]</w:t>
      </w:r>
      <w:r w:rsidR="00E21B32" w:rsidRPr="002D44D6">
        <w:rPr>
          <w:rFonts w:ascii="Book Antiqua" w:eastAsia="Times New Roman" w:hAnsi="Book Antiqua" w:cs="Arial"/>
        </w:rPr>
        <w:fldChar w:fldCharType="end"/>
      </w:r>
      <w:r w:rsidR="00391300" w:rsidRPr="002D44D6">
        <w:rPr>
          <w:rFonts w:ascii="Book Antiqua" w:eastAsia="Times New Roman" w:hAnsi="Book Antiqua" w:cs="Arial"/>
        </w:rPr>
        <w:t>. It is now widely accepted that osteoporosis is the primary metabolic bone disease in PBC</w:t>
      </w:r>
      <w:r w:rsidR="001E4ECE" w:rsidRPr="002D44D6">
        <w:rPr>
          <w:rFonts w:ascii="Book Antiqua" w:eastAsia="Times New Roman" w:hAnsi="Book Antiqua" w:cs="Arial"/>
        </w:rPr>
        <w:fldChar w:fldCharType="begin" w:fldLock="1"/>
      </w:r>
      <w:r w:rsidR="001E4ECE" w:rsidRPr="002D44D6">
        <w:rPr>
          <w:rFonts w:ascii="Book Antiqua" w:eastAsia="Times New Roman" w:hAnsi="Book Antiqua" w:cs="Arial"/>
        </w:rPr>
        <w:instrText>ADDIN CSL_CITATION { "citationItems" : [ { "id" : "ITEM-1", "itemData" : { "ISSN" : "0016-5085", "PMID" : "7806050", "abstract" : "Osteopenia in the form of osteoporosis is a common clinical problem associated with chronic cholestatic liver disease, and clinical morbidity from atraumatic fractures is increasing as more patients with PBC and PSC undergo successful liver transplantation. In the absence of symptomatic fractures, the clinical diagnosis may not be evident and must be sought by specific means to assess bone mineral density. The clinical problem has now been defined, but much remains unknown, from etiologic mechanisms to effective therapies. At present, it seems reasonable to provide aggressive supportive therapy in an attempt to maximize skeletal well-being until more effective therapies for osteopenia become available.", "author" : [ { "dropping-particle" : "", "family" : "Hay", "given" : "J E", "non-dropping-particle" : "", "parse-names" : false, "suffix" : "" } ], "container-title" : "Gastroenterology", "id" : "ITEM-1", "issue" : "1", "issued" : { "date-parts" : [ [ "1995" ] ] }, "page" : "276-83", "title" : "Bone disease in cholestatic liver disease.", "type" : "article-journal", "volume" : "108" }, "uris" : [ "http://www.mendeley.com/documents/?uuid=84290db4-dbb2-4c5b-b080-ad9dee465f2a" ] } ], "mendeley" : { "formattedCitation" : "&lt;sup&gt;[15]&lt;/sup&gt;", "plainTextFormattedCitation" : "[15]", "previouslyFormattedCitation" : "&lt;sup&gt;[15]&lt;/sup&gt;" }, "properties" : { "noteIndex" : 0 }, "schema" : "https://github.com/citation-style-language/schema/raw/master/csl-citation.json" }</w:instrText>
      </w:r>
      <w:r w:rsidR="001E4ECE" w:rsidRPr="002D44D6">
        <w:rPr>
          <w:rFonts w:ascii="Book Antiqua" w:eastAsia="Times New Roman" w:hAnsi="Book Antiqua" w:cs="Arial"/>
        </w:rPr>
        <w:fldChar w:fldCharType="separate"/>
      </w:r>
      <w:r w:rsidR="001E4ECE" w:rsidRPr="002D44D6">
        <w:rPr>
          <w:rFonts w:ascii="Book Antiqua" w:eastAsia="Times New Roman" w:hAnsi="Book Antiqua" w:cs="Arial"/>
          <w:noProof/>
          <w:vertAlign w:val="superscript"/>
        </w:rPr>
        <w:t>[15]</w:t>
      </w:r>
      <w:r w:rsidR="001E4ECE" w:rsidRPr="002D44D6">
        <w:rPr>
          <w:rFonts w:ascii="Book Antiqua" w:eastAsia="Times New Roman" w:hAnsi="Book Antiqua" w:cs="Arial"/>
        </w:rPr>
        <w:fldChar w:fldCharType="end"/>
      </w:r>
      <w:r w:rsidR="001E4ECE" w:rsidRPr="002D44D6">
        <w:rPr>
          <w:rFonts w:ascii="Book Antiqua" w:eastAsia="Times New Roman" w:hAnsi="Book Antiqua" w:cs="Arial"/>
        </w:rPr>
        <w:t xml:space="preserve"> </w:t>
      </w:r>
      <w:r w:rsidR="00FE4DD3" w:rsidRPr="002D44D6">
        <w:rPr>
          <w:rFonts w:ascii="Book Antiqua" w:eastAsia="Times New Roman" w:hAnsi="Book Antiqua" w:cs="Arial"/>
        </w:rPr>
        <w:t>and t</w:t>
      </w:r>
      <w:r w:rsidR="00714EAE" w:rsidRPr="002D44D6">
        <w:rPr>
          <w:rFonts w:ascii="Book Antiqua" w:eastAsia="Times New Roman" w:hAnsi="Book Antiqua" w:cs="Arial"/>
        </w:rPr>
        <w:t>his review will focus on the management of osteoporosis in PBC</w:t>
      </w:r>
      <w:r w:rsidR="001E4ECE" w:rsidRPr="002D44D6">
        <w:rPr>
          <w:rFonts w:ascii="Book Antiqua" w:eastAsia="Times New Roman" w:hAnsi="Book Antiqua" w:cs="Arial"/>
        </w:rPr>
        <w:t>.</w:t>
      </w:r>
    </w:p>
    <w:p w14:paraId="58ADC5AD" w14:textId="21267077" w:rsidR="003C14D5" w:rsidRPr="00E21B32" w:rsidRDefault="00E21B32" w:rsidP="002D44D6">
      <w:pPr>
        <w:widowControl w:val="0"/>
        <w:adjustRightInd w:val="0"/>
        <w:snapToGrid w:val="0"/>
        <w:spacing w:line="360" w:lineRule="auto"/>
        <w:jc w:val="both"/>
        <w:rPr>
          <w:rFonts w:ascii="Book Antiqua" w:eastAsia="SimSun" w:hAnsi="Book Antiqua" w:cs="Times New Roman"/>
          <w:lang w:eastAsia="zh-CN"/>
        </w:rPr>
      </w:pPr>
      <w:r>
        <w:rPr>
          <w:rFonts w:ascii="Book Antiqua" w:eastAsia="SimSun" w:hAnsi="Book Antiqua" w:cs="Times New Roman" w:hint="eastAsia"/>
          <w:lang w:eastAsia="zh-CN"/>
        </w:rPr>
        <w:t xml:space="preserve"> </w:t>
      </w:r>
    </w:p>
    <w:p w14:paraId="5359BAE4" w14:textId="77777777" w:rsidR="00E13F25" w:rsidRPr="00E21B32" w:rsidRDefault="00E13F25" w:rsidP="002D44D6">
      <w:pPr>
        <w:widowControl w:val="0"/>
        <w:adjustRightInd w:val="0"/>
        <w:snapToGrid w:val="0"/>
        <w:spacing w:line="360" w:lineRule="auto"/>
        <w:jc w:val="both"/>
        <w:rPr>
          <w:rFonts w:ascii="Book Antiqua" w:hAnsi="Book Antiqua" w:cs="Arial"/>
          <w:b/>
          <w:i/>
          <w:iCs/>
          <w:color w:val="000000"/>
        </w:rPr>
      </w:pPr>
      <w:r w:rsidRPr="00E21B32">
        <w:rPr>
          <w:rFonts w:ascii="Book Antiqua" w:hAnsi="Book Antiqua" w:cs="Arial"/>
          <w:b/>
          <w:i/>
          <w:iCs/>
          <w:color w:val="000000"/>
        </w:rPr>
        <w:t>Pathogenesis</w:t>
      </w:r>
    </w:p>
    <w:p w14:paraId="34639971" w14:textId="1DFCBEED" w:rsidR="00E13F25" w:rsidRPr="002D44D6" w:rsidRDefault="00E13F25" w:rsidP="002D44D6">
      <w:pPr>
        <w:widowControl w:val="0"/>
        <w:adjustRightInd w:val="0"/>
        <w:snapToGrid w:val="0"/>
        <w:spacing w:line="360" w:lineRule="auto"/>
        <w:jc w:val="both"/>
        <w:rPr>
          <w:rFonts w:ascii="Book Antiqua" w:hAnsi="Book Antiqua" w:cs="Times New Roman"/>
        </w:rPr>
      </w:pPr>
      <w:r w:rsidRPr="002D44D6">
        <w:rPr>
          <w:rFonts w:ascii="Book Antiqua" w:hAnsi="Book Antiqua" w:cs="Arial"/>
          <w:color w:val="000000"/>
        </w:rPr>
        <w:t>The pathogenesis of osteoporosis in PBC appears to be largely drive</w:t>
      </w:r>
      <w:r w:rsidR="00E66352" w:rsidRPr="002D44D6">
        <w:rPr>
          <w:rFonts w:ascii="Book Antiqua" w:hAnsi="Book Antiqua" w:cs="Arial"/>
          <w:color w:val="000000"/>
        </w:rPr>
        <w:t>n</w:t>
      </w:r>
      <w:r w:rsidRPr="002D44D6">
        <w:rPr>
          <w:rFonts w:ascii="Book Antiqua" w:hAnsi="Book Antiqua" w:cs="Arial"/>
          <w:color w:val="000000"/>
        </w:rPr>
        <w:t xml:space="preserve"> by decreased bone formation, though increased bone resorption may play a role in certain scenario</w:t>
      </w:r>
      <w:r w:rsidR="009C114E" w:rsidRPr="002D44D6">
        <w:rPr>
          <w:rFonts w:ascii="Book Antiqua" w:hAnsi="Book Antiqua" w:cs="Arial"/>
          <w:color w:val="000000"/>
        </w:rPr>
        <w:t xml:space="preserve">s. </w:t>
      </w:r>
      <w:r w:rsidRPr="002D44D6">
        <w:rPr>
          <w:rFonts w:ascii="Book Antiqua" w:hAnsi="Book Antiqua" w:cs="Arial"/>
          <w:color w:val="000000"/>
        </w:rPr>
        <w:t>Several studies evaluating bone histomorphometry have shown decreased tetracycline double-</w:t>
      </w:r>
      <w:r w:rsidR="00095EA9" w:rsidRPr="002D44D6">
        <w:rPr>
          <w:rFonts w:ascii="Book Antiqua" w:hAnsi="Book Antiqua" w:cs="Arial"/>
          <w:color w:val="000000"/>
        </w:rPr>
        <w:t>labe</w:t>
      </w:r>
      <w:r w:rsidRPr="002D44D6">
        <w:rPr>
          <w:rFonts w:ascii="Book Antiqua" w:hAnsi="Book Antiqua" w:cs="Arial"/>
          <w:color w:val="000000"/>
        </w:rPr>
        <w:t xml:space="preserve">ling, decreased bone formation rates, decreased osteoblast numbers, and decreased </w:t>
      </w:r>
      <w:r w:rsidR="000B3F4B" w:rsidRPr="002D44D6">
        <w:rPr>
          <w:rFonts w:ascii="Book Antiqua" w:hAnsi="Book Antiqua" w:cs="Arial"/>
          <w:color w:val="000000"/>
        </w:rPr>
        <w:t xml:space="preserve">serum </w:t>
      </w:r>
      <w:r w:rsidRPr="002D44D6">
        <w:rPr>
          <w:rFonts w:ascii="Book Antiqua" w:hAnsi="Book Antiqua" w:cs="Arial"/>
          <w:color w:val="000000"/>
        </w:rPr>
        <w:t>osteocalcin, a marker of bone formation</w:t>
      </w:r>
      <w:r w:rsidR="000B3F4B" w:rsidRPr="002D44D6">
        <w:rPr>
          <w:rFonts w:ascii="Book Antiqua" w:hAnsi="Book Antiqua" w:cs="Arial"/>
          <w:color w:val="000000"/>
        </w:rPr>
        <w:t>, all pointing towards osteoblast dysfunction and deficient bone formation as central to the pathogenesis of PBC-related osteoporosis</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"PMID" : "2220729", "abstract" : "The prevalence, type, and factors that may influence the development of bone disease in primary biliary cirrhosis, have been investigated in 20 consecutive patients, who, in addition to liver function tests and mineral and vitamin D metabolism studies, were submitted to a transiliac bone biopsy after tetracycline double-labeling for quantitative histomorphometric examination. Intestinal calcium absorption was also assessed in 16 patients. Seven patients (35%) had reduced bone volume and were considered osteoporotic. Three also had bone mineralization impairment, but did not have criteria for osteomalacia. Bone formation was depressed in 15 patients, and bone resorption was low or normal in 19 cases. Eroded surfaces were reduced in all osteoporotic patients. Duration of primary biliary cirrhosis was significantly longer in patients with osteoporosis (6.3 +/- 0.6 yr) than in those without osteoporosis (2.6 +/- 0.6, p = 0.004). Moreover, osteoporosis was more prevalent in postmenopausal women, and in those who had intestinal calcium malabsorption, which was present in 80% of osteoporotic patients but in only 18% of nonosteoporotic patients (p = 0.03). Osteoporosis and mineralization bone impairment were unrelated to the severity of cholestasis. 25-Hydroxyvitamin D was significantly lower in those patients with intestinal calcium malabsorption. The results of this study indicate that osteodystrophy in primary biliary cirrhosis is characterized mainly by \"low-turnover\" osteoporosis, which is related to the duration of the liver disease, postmenopausal condition, and calcium malabsorption.", "author" : [ { "dropping-particle" : "", "family" : "Gua\u00f1abens", "given" : "N\u00faria", "non-dropping-particle" : "", "parse-names" : false, "suffix" : "" }, { "dropping-particle" : "", "family" : "Par\u00e9s", "given" : "Albert", "non-dropping-particle" : "", "parse-names" : false, "suffix" : "" }, { "dropping-particle" : "", "family" : "Marinoso", "given" : "L", "non-dropping-particle" : "", "parse-names" : false, "suffix" : "" }, { "dropping-particle" : "", "family" : "Brancos", "given" : "MA", "non-dropping-particle" : "", "parse-names" : false, "suffix" : "" }, { "dropping-particle" : "", "family" : "Piera", "given" : "C", "non-dropping-particle" : "", "parse-names" : false, "suffix" : "" }, { "dropping-particle" : "", "family" : "Serrano", "given" : "S", "non-dropping-particle" : "", "parse-names" : false, "suffix" : "" }, { "dropping-particle" : "", "family" : "Rivera", "given" : "F", "non-dropping-particle" : "", "parse-names" : false, "suffix" : "" }, { "dropping-particle" : "", "family" : "Rodes", "given" : "J", "non-dropping-particle" : "", "parse-names" : false, "suffix" : "" } ], "container-title" : "American Journal of Gastroenterology", "id" : "ITEM-1", "issue" : "10", "issued" : { "date-parts" : [ [ "1990" ] ] }, "page" : "1356-62", "title" : "Factors influencing the development of metabolic bone disease in primary biliary cirrhosis", "type" : "article-journal", "volume" : "85" }, "uris" : [ "http://www.mendeley.com/documents/?uuid=e87486ac-863f-4161-bb3e-9b4411e10bf3" ] }, { "id" : "ITEM-2", "itemData" : { "DOI" : "10.1053/jhep.2002.36357", "ISBN" : "5072662810", "ISSN" : "0270-9139 (Print)", "PMID" : "12297836", "abstract" : "Despite the clinical importance of cholestatic osteopenia, little is known about  its pathophysiologic mechanism. By tetracycline-labeled histomorphometric analysis of bone biopsies taken at the time of liver transplantation, we prospectively evaluated bone resorption and formation in 50 consecutive patients with advanced primary biliary cirrhosis (PBC) and primary sclerosing cholangitis (PSC). Histomorphometric analysis confirmed low bone volume parameters, consistent with the mean T-score of the lumbar spine of -1.9 by dual energy x-ray absorptiometry. Dynamic (bone formation rates, adjusted apposition rates) and static (osteoid markers, osteoblast number) parameters of bone formation were decreased in cholestatic patients with no abnormalities in mineralization. Increased osteoclast numbers and increased eroded surface areas suggested increased bone resorption, and this was supported in female patients by increased trabecular separation and decreased trabecular number. Male cholestatic patients, however, did not have significant increases in resorption parameters, although they were as osteopenic as female patients and had low bone formation markers. Bone histomorphometric changes were similar in PBC and PSC, suggesting an etiologic effect of chronic cholestasis rather than the individual diseases. Cancellous bone volume and osteoid markers correlated with bone mineral density measurements but no correlations were found between histomorphometric parameters and biochemical markers of bone metabolism. In conclusion, cholestatic osteopenia appears to result from a combination of decreased bone formation and increased resorption, especially in female patients, but the relative importance of these two abnormalities and their actual etiology remain to be elucidated.", "author" : [ { "dropping-particle" : "", "family" : "Guichelaar", "given" : "Maureen M J", "non-dropping-particle" : "", "parse-names" : false, "suffix" : "" }, { "dropping-particle" : "", "family" : "Malinchoc", "given" : "Michael", "non-dropping-particle" : "", "parse-names" : false, "suffix" : "" }, { "dropping-particle" : "", "family" : "Sibonga", "given" : "Jean", "non-dropping-particle" : "", "parse-names" : false, "suffix" : "" }, { "dropping-particle" : "", "family" : "Clarke", "given" : "Bart L", "non-dropping-particle" : "", "parse-names" : false, "suffix" : "" }, { "dropping-particle" : "", "family" : "Hay", "given" : "J Eileen", "non-dropping-particle" : "", "parse-names" : false, "suffix" : "" } ], "container-title" : "Hepatology (Baltimore, Md.)", "id" : "ITEM-2", "issue" : "4 Pt 1", "issued" : { "date-parts" : [ [ "2002" ] ] }, "page" : "895-903", "title" : "Bone metabolism in advanced cholestatic liver disease: analysis by bone histomorphometry.", "type" : "article-journal", "volume" : "36" }, "uris" : [ "http://www.mendeley.com/documents/?uuid=ee036ba0-c679-4e35-84ae-6be51a859457" ] }, { "id" : "ITEM-3", "itemData" : { "ISSN" : "00034819", "PMID" : "4062087", "abstract" : "The association of bone loss with primary biliary cirrhosis is poorly understood. In 15 premenopausal female patients, only 2 of whom had fractures, mean bone mineral density was reduced at the lumbar spine but not at the midradius or distal radius. Bone loss was not statistically related to the duration or severity of liver disease. Urinary hydroxyproline excretion, an index for bone resorption, was not different from that of 15 age-matched normal women, but the serum concentration of bone Gla-protein (osteocalcin), a specific marker for bone turnover, was decreased (p less than 0.001). Bone histomorphometric examination in 13 patients showed no osteomalacia but a reduced bone formation rate despite normal values for fractional osteoblast-osteoid interface. The substantial early loss of trabecular bone is mediated by a severe reduction in osteoblast function, which may be caused by retained toxic substances associated with cholestasis.", "author" : [ { "dropping-particle" : "", "family" : "Hodgson", "given" : "S. F.", "non-dropping-particle" : "", "parse-names" : false, "suffix" : "" }, { "dropping-particle" : "", "family" : "Dickson", "given" : "E. R.", "non-dropping-particle" : "", "parse-names" : false, "suffix" : "" }, { "dropping-particle" : "", "family" : "Wahner", "given" : "H. W.", "non-dropping-particle" : "", "parse-names" : false, "suffix" : "" }, { "dropping-particle" : "", "family" : "Johnson", "given" : "K. A.", "non-dropping-particle" : "", "parse-names" : false, "suffix" : "" }, { "dropping-particle" : "", "family" : "Mann", "given" : "K. G.", "non-dropping-particle" : "", "parse-names" : false, "suffix" : "" }, { "dropping-particle" : "", "family" : "Riggs", "given" : "B. L.", "non-dropping-particle" : "", "parse-names" : false, "suffix" : "" } ], "container-title" : "Annals of Internal Medicine", "id" : "ITEM-3", "issue" : "6 I", "issued" : { "date-parts" : [ [ "1985" ] ] }, "page" : "855-860", "title" : "Bone loss and reduced osteoblast function in primary biliary cirrhosis", "type" : "article-journal", "volume" : "103" }, "uris" : [ "http://www.mendeley.com/documents/?uuid=edc02689-c0cd-4e75-9ed1-dbdf2c04d670" ] }, { "id" : "ITEM-4", "itemData" : { "ISSN" : "0106-9543 (Print)", "PMID" : "12028412", "abstract" : "BACKGROUND: The etiology of osteopenia in cholestatic liver disease is uncertain. An animal model is needed in order to study the efficacy of therapeutic agents. AIMS: In order to characterise the bone disease in rats with cholestatic liver disease. METHODS: Four-month old male Sprague-Dawley bile duct-ligated (BDL) and sham-operated (SO) rats were studied. Twenty-eight days after surgery serum osteocalcin, a bone-formation marker, urinary deoxypyridinoline (DPD) cross-links, a resorption marker, and 25-hydroxyvitamin D3 were determined. Static and dynamic (tetracycline-based) histomorphometric analysis was performed on femurs and tibiae. RESULTS: All BDL rats developed biliary cirrhosis. Bile duct-ligated rats had lower bone mass, reflected in statistically significantly 13.5% lower femoral dry-weight, 16% lower femoral ash-weight, 42.7% lower tibial cancellous bone area and 19% lower trabecular thickness, compared with SO rats. Bile duct-ligated rats exhibited decreased bone formation manifested by statistically significantly 70% lower tetracycline double-labelling, 40% lower mineralising surface, 51% lower bone-formation rate and 47% lower osteocalcin compared with SO rats. Deoxypyridinoline levels were 20% lower in BDL rats. Bile duct-ligated rats had 52% lower serum 25-hydroxyvitamin D3 level, but no significant increase in cortical osteoid area. CONCLUSIONS: Bile duct-ligated rats develop osteopenia characterised by low bone-formation rate, and can be used for studying therapeutic agents for patients with cholestatic liver disease displaying similar bone changes.", "author" : [ { "dropping-particle" : "", "family" : "Ackerman", "given" : "Zvi", "non-dropping-particle" : "", "parse-names" : false, "suffix" : "" }, { "dropping-particle" : "", "family" : "Weinreb", "given" : "Miron", "non-dropping-particle" : "", "parse-names" : false, "suffix" : "" }, { "dropping-particle" : "", "family" : "Amir", "given" : "Gail", "non-dropping-particle" : "", "parse-names" : false, "suffix" : "" }, { "dropping-particle" : "", "family" : "Pollak", "given" : "Rivka D", "non-dropping-particle" : "", "parse-names" : false, "suffix" : "" } ], "container-title" : "Liver", "id" : "ITEM-4", "issue" : "2", "issued" : { "date-parts" : [ [ "2002" ] ] }, "page" : "166-172", "title" : "Bone mineral metabolism and histomorphometry in rats with cholestatic liver disease.", "type" : "article-journal", "volume" : "22" }, "uris" : [ "http://www.mendeley.com/documents/?uuid=ebfdd937-1e95-40ac-8ec3-770b279b813c" ] } ], "mendeley" : { "formattedCitation" : "&lt;sup&gt;[5,16\u201318]&lt;/sup&gt;", "plainTextFormattedCitation" : "[5,16\u201318]", "previouslyFormattedCitation" : "&lt;sup&gt;[5,16\u201318]&lt;/sup&gt;"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[5,16</w:t>
      </w:r>
      <w:r w:rsidR="00E21B32">
        <w:rPr>
          <w:rFonts w:ascii="Book Antiqua" w:eastAsia="SimSun" w:hAnsi="Book Antiqua" w:cs="Arial" w:hint="eastAsia"/>
          <w:noProof/>
          <w:color w:val="000000"/>
          <w:vertAlign w:val="superscript"/>
          <w:lang w:eastAsia="zh-CN"/>
        </w:rPr>
        <w:t>-</w:t>
      </w:r>
      <w:r w:rsidR="00E21B32" w:rsidRPr="002D44D6">
        <w:rPr>
          <w:rFonts w:ascii="Book Antiqua" w:hAnsi="Book Antiqua" w:cs="Arial"/>
          <w:noProof/>
          <w:color w:val="000000"/>
          <w:vertAlign w:val="superscript"/>
        </w:rPr>
        <w:t>18]</w:t>
      </w:r>
      <w:r w:rsidR="00E21B32" w:rsidRPr="002D44D6">
        <w:rPr>
          <w:rFonts w:ascii="Book Antiqua" w:hAnsi="Book Antiqua" w:cs="Arial"/>
          <w:color w:val="000000"/>
        </w:rPr>
        <w:fldChar w:fldCharType="end"/>
      </w:r>
      <w:r w:rsidR="000B3F4B" w:rsidRPr="002D44D6">
        <w:rPr>
          <w:rFonts w:ascii="Book Antiqua" w:hAnsi="Book Antiqua" w:cs="Arial"/>
          <w:color w:val="000000"/>
        </w:rPr>
        <w:t>.</w:t>
      </w:r>
      <w:r w:rsidR="00E21B32" w:rsidRPr="002D44D6">
        <w:rPr>
          <w:rFonts w:ascii="Book Antiqua" w:hAnsi="Book Antiqua" w:cs="Times New Roman"/>
        </w:rPr>
        <w:t xml:space="preserve"> </w:t>
      </w:r>
    </w:p>
    <w:p w14:paraId="2F046617" w14:textId="1E6D9DC7" w:rsidR="00E13F25" w:rsidRPr="002D44D6" w:rsidRDefault="00E13F25" w:rsidP="00E21B32">
      <w:pPr>
        <w:widowControl w:val="0"/>
        <w:adjustRightInd w:val="0"/>
        <w:snapToGrid w:val="0"/>
        <w:spacing w:line="360" w:lineRule="auto"/>
        <w:ind w:firstLineChars="100" w:firstLine="240"/>
        <w:jc w:val="both"/>
        <w:rPr>
          <w:rFonts w:ascii="Book Antiqua" w:hAnsi="Book Antiqua" w:cs="Times New Roman"/>
        </w:rPr>
      </w:pPr>
      <w:r w:rsidRPr="002D44D6">
        <w:rPr>
          <w:rFonts w:ascii="Book Antiqua" w:hAnsi="Book Antiqua" w:cs="Arial"/>
          <w:color w:val="000000"/>
        </w:rPr>
        <w:t>Osteoblast dysfunction is a multifactorial process caused both by decreased osteoblast stimulation and in</w:t>
      </w:r>
      <w:r w:rsidR="00E21B32">
        <w:rPr>
          <w:rFonts w:ascii="Book Antiqua" w:hAnsi="Book Antiqua" w:cs="Arial"/>
          <w:color w:val="000000"/>
        </w:rPr>
        <w:t>creased osteoblast inhibition.</w:t>
      </w:r>
      <w:r w:rsidR="00E21B32">
        <w:rPr>
          <w:rFonts w:ascii="Book Antiqua" w:eastAsia="SimSun" w:hAnsi="Book Antiqua" w:cs="Arial" w:hint="eastAsia"/>
          <w:color w:val="000000"/>
          <w:lang w:eastAsia="zh-CN"/>
        </w:rPr>
        <w:t xml:space="preserve"> </w:t>
      </w:r>
      <w:r w:rsidRPr="002D44D6">
        <w:rPr>
          <w:rFonts w:ascii="Book Antiqua" w:hAnsi="Book Antiqua" w:cs="Arial"/>
          <w:color w:val="000000"/>
        </w:rPr>
        <w:t>Serum levels</w:t>
      </w:r>
      <w:r w:rsidR="00F20D4D" w:rsidRPr="002D44D6">
        <w:rPr>
          <w:rFonts w:ascii="Book Antiqua" w:hAnsi="Book Antiqua" w:cs="Arial"/>
          <w:color w:val="000000"/>
        </w:rPr>
        <w:t xml:space="preserve"> of insulin-like growth factor-1 (IGF-1</w:t>
      </w:r>
      <w:r w:rsidRPr="002D44D6">
        <w:rPr>
          <w:rFonts w:ascii="Book Antiqua" w:hAnsi="Book Antiqua" w:cs="Arial"/>
          <w:color w:val="000000"/>
        </w:rPr>
        <w:t>), an osteoblast trophic factor, are lower in cirrhotics compared to controls</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"10.1002/hep.510280315", "ISSN" : "0270-9139", "PMID" : "9731561", "abstract" : "Previous studies suggest that low bone mass is a complication of alcoholic liver disease. Nevertheless, little is known about bone mass and bone metabolism in viral cirrhosis. To evaluate the prevalence and magnitude of hepatic osteopenia in these patients, bone remodeling status, and its relationship with the severity of liver disease and serum levels of insulin-like growth factor I (IGF-I), we studied 32 consecutive patients with viral cirrhosis and no history of alcohol intake. Bone mineral density (BMD) was measured by dual x-ray absorptiometry in the lumbar spine (LS) and femoral neck (FN), and the values were expressed as the z score. Bone metabolism markers and hormone profiles were measured. Patients with viral cirrhosis showed reduced BMD in all sites (LS: -1.27 +/- 1.06, P &lt; .001; FN: -0.48 +/- 0.96; P &lt; .01). Of the 32 patients, 53% met the diagnostic criteria for osteoporosis. In patients, urine deoxypyridinoline (D-Pyr) as a marker of bone resorption and serum bone alkaline phosphatase (b-AP) as a marker of bone formation were significantly higher than in control subjects (P &lt; .001 and P &lt; .01, respectively). Serum IGF-I was lower than in control subjects (P &lt; .001), and significant differences were also found between patients with and without osteoporosis (P &lt; .05). BMD in LS correlated with severity of the disease, with serum levels of IGF-I, and with urine D-Pyr. Our findings show that viral cirrhosis is a major cause of osteoporosis in men, and that low serum IGF-I levels seem to play a role in the bone mass loss in these patients. The biochemical markers of bone remodeling suggest high-turnover osteoporosis in patients with viral cirrhosis.", "author" : [ { "dropping-particle" : "", "family" : "Gallego-Rojo", "given" : "F J", "non-dropping-particle" : "", "parse-names" : false, "suffix" : "" }, { "dropping-particle" : "", "family" : "Gonzalez-Calvin", "given" : "J L", "non-dropping-particle" : "", "parse-names" : false, "suffix" : "" }, { "dropping-particle" : "", "family" : "Mu\u00f1oz-Torres", "given" : "M", "non-dropping-particle" : "", "parse-names" : false, "suffix" : "" }, { "dropping-particle" : "", "family" : "Mundi", "given" : "J L", "non-dropping-particle" : "", "parse-names" : false, "suffix" : "" }, { "dropping-particle" : "", "family" : "Fernandez-Perez", "given" : "R", "non-dropping-particle" : "", "parse-names" : false, "suffix" : "" }, { "dropping-particle" : "", "family" : "Rodrigo-Moreno", "given" : "D", "non-dropping-particle" : "", "parse-names" : false, "suffix" : "" } ], "container-title" : "Hepatology (Baltimore, Md.)", "id" : "ITEM-1", "issue" : "3", "issued" : { "date-parts" : [ [ "1998" ] ] }, "page" : "695-699", "title" : "Bone mineral density, serum insulin-like growth factor I, and bone turnover markers in viral cirrhosis.", "type" : "article-journal", "volume" : "28" }, "uris" : [ "http://www.mendeley.com/documents/?uuid=edc7f553-f8b6-4d45-9c52-6d88a0d83cbd" ] } ], "mendeley" : { "formattedCitation" : "&lt;sup&gt;[19]&lt;/sup&gt;", "plainTextFormattedCitation" : "[19]", "previouslyFormattedCitation" : "&lt;sup&gt;[19]&lt;/sup&gt;"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[19]</w:t>
      </w:r>
      <w:r w:rsidR="00E21B32" w:rsidRPr="002D44D6">
        <w:rPr>
          <w:rFonts w:ascii="Book Antiqua" w:hAnsi="Book Antiqua" w:cs="Arial"/>
          <w:color w:val="000000"/>
        </w:rPr>
        <w:fldChar w:fldCharType="end"/>
      </w:r>
      <w:r w:rsidR="00F20D4D" w:rsidRPr="002D44D6">
        <w:rPr>
          <w:rFonts w:ascii="Book Antiqua" w:hAnsi="Book Antiqua" w:cs="Arial"/>
          <w:color w:val="000000"/>
        </w:rPr>
        <w:t>.</w:t>
      </w:r>
      <w:r w:rsidR="00E21B32">
        <w:rPr>
          <w:rFonts w:ascii="Book Antiqua" w:eastAsia="SimSun" w:hAnsi="Book Antiqua" w:cs="Arial" w:hint="eastAsia"/>
          <w:color w:val="000000"/>
          <w:lang w:eastAsia="zh-CN"/>
        </w:rPr>
        <w:t xml:space="preserve"> </w:t>
      </w:r>
      <w:r w:rsidR="00F20D4D" w:rsidRPr="002D44D6">
        <w:rPr>
          <w:rFonts w:ascii="Book Antiqua" w:hAnsi="Book Antiqua" w:cs="Arial"/>
          <w:color w:val="000000"/>
        </w:rPr>
        <w:t>Supplementation of IGF-1</w:t>
      </w:r>
      <w:r w:rsidRPr="002D44D6">
        <w:rPr>
          <w:rFonts w:ascii="Book Antiqua" w:hAnsi="Book Antiqua" w:cs="Arial"/>
          <w:color w:val="000000"/>
        </w:rPr>
        <w:t xml:space="preserve"> in cirrhotic rats results in improvement in bone mass and bone density</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"10.1016/S0168-8278(98)80211-0", "ISSN" : "01688278", "PMID" : "9537849", "abstract" : "Background/Aims: Liver cirrhosis is associated with osteopenia and also with low levels of IGF-I. This hormone has been reported to stimulate bone formation in states of undernutrition and low bone turnover. Our aims were to evaluate whether osteopenia develops in male Wistar rats with CCl4-induced cirrhosis and whether IGF-I is effective in the restoration of bone mass in these animals. Methods: Cirrhotic rats were distributed into two groups: group CI (n=12) which received placebo and group CI+IGF (n=12) which was treated with human recombinant IGF-I (2 ??g/100 g bw/day, sc, 21 days). Twelve normal animals which received placebo constituted the control group. On the 22nd day, the animals were sacrificed, and bone parameters were analyzed in femur and/or tibia. Results: Posterior-anterior and latero- medial diameters were similar in all groups. Also, no significant differences were observed in bone contents of calcium, total proteins, collagen and hydroxyapatite in CI rats as compared with controls. However, CI rats showed significant reductions in bone weight (-13.5%, p&lt;0.001), total bone density (-9.28%, p&lt;0.001), and increased perimedullar bone resorption and urinary levels of deoxypyridinoline (a marker of bone resorption). In CI+IGF rats these parameters improved significantly as compared with CI animals. Conclusions: Osteopenia characterized by loss of bone mass and preserved bone composition is found in rats with CCl4-induced cirrhosis. This bone disorder is partially corrected by treatment with low doses of IGF-I. Since osteoporosis seems to be the predominant form of osteopenia in patients with cirrhosis, IGF-I should be considered as a possible therapy for this disorder.", "author" : [ { "dropping-particle" : "", "family" : "Cemborain", "given" : "Arantxa", "non-dropping-particle" : "", "parse-names" : false, "suffix" : "" }, { "dropping-particle" : "", "family" : "Castilla-Cort\u00e1zar", "given" : "Inma", "non-dropping-particle" : "", "parse-names" : false, "suffix" : "" }, { "dropping-particle" : "", "family" : "Garc\u00eda", "given" : "Mar\u00eda", "non-dropping-particle" : "", "parse-names" : false, "suffix" : "" }, { "dropping-particle" : "", "family" : "Quirog", "given" : "Jorge", "non-dropping-particle" : "", "parse-names" : false, "suffix" : "" }, { "dropping-particle" : "", "family" : "Muguerza", "given" : "Bego\u00f1a", "non-dropping-particle" : "", "parse-names" : false, "suffix" : "" }, { "dropping-particle" : "", "family" : "Picardi", "given" : "Antonio", "non-dropping-particle" : "", "parse-names" : false, "suffix" : "" }, { "dropping-particle" : "", "family" : "Santidri\u00e1n", "given" : "Santiago", "non-dropping-particle" : "", "parse-names" : false, "suffix" : "" }, { "dropping-particle" : "", "family" : "Prieto", "given" : "Jes\u00fas", "non-dropping-particle" : "", "parse-names" : false, "suffix" : "" } ], "container-title" : "Journal of Hepatology", "id" : "ITEM-1", "issue" : "1", "issued" : { "date-parts" : [ [ "1998" ] ] }, "page" : "122-131", "title" : "Osteopenia in rats with liver cirrhosis: Beneficial effects of IGF-I treatment", "type" : "article-journal", "volume" : "28" }, "uris" : [ "http://www.mendeley.com/documents/?uuid=4e976e4f-0a21-4c74-89d5-248161b97075" ] } ], "mendeley" : { "formattedCitation" : "&lt;sup&gt;[20]&lt;/sup&gt;", "plainTextFormattedCitation" : "[20]", "previouslyFormattedCitation" : "&lt;sup&gt;[20]&lt;/sup&gt;"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[20]</w:t>
      </w:r>
      <w:r w:rsidR="00E21B32" w:rsidRPr="002D44D6">
        <w:rPr>
          <w:rFonts w:ascii="Book Antiqua" w:hAnsi="Book Antiqua" w:cs="Arial"/>
          <w:color w:val="000000"/>
        </w:rPr>
        <w:fldChar w:fldCharType="end"/>
      </w:r>
      <w:r w:rsidR="004113B5" w:rsidRPr="002D44D6">
        <w:rPr>
          <w:rFonts w:ascii="Book Antiqua" w:hAnsi="Book Antiqua" w:cs="Arial"/>
          <w:color w:val="000000"/>
        </w:rPr>
        <w:t>.</w:t>
      </w:r>
      <w:r w:rsidR="00840E3C" w:rsidRPr="002D44D6">
        <w:rPr>
          <w:rFonts w:ascii="Book Antiqua" w:hAnsi="Book Antiqua" w:cs="Arial"/>
          <w:color w:val="000000"/>
        </w:rPr>
        <w:t xml:space="preserve"> </w:t>
      </w:r>
      <w:r w:rsidRPr="002D44D6">
        <w:rPr>
          <w:rFonts w:ascii="Book Antiqua" w:hAnsi="Book Antiqua" w:cs="Arial"/>
          <w:color w:val="000000"/>
        </w:rPr>
        <w:t>Vitamin K is also involved in bone metabolism through carboxylation of the non-collagenous bone protein, osteocalcin</w:t>
      </w:r>
      <w:r w:rsidR="00840E3C" w:rsidRPr="002D44D6">
        <w:rPr>
          <w:rFonts w:ascii="Book Antiqua" w:hAnsi="Book Antiqua" w:cs="Arial"/>
          <w:color w:val="000000"/>
        </w:rPr>
        <w:t>,</w:t>
      </w:r>
      <w:r w:rsidRPr="002D44D6">
        <w:rPr>
          <w:rFonts w:ascii="Book Antiqua" w:hAnsi="Book Antiqua" w:cs="Arial"/>
          <w:color w:val="000000"/>
        </w:rPr>
        <w:t xml:space="preserve"> and has been shown to stimulate osteoblastogenesis and inhibit osteoclastogenesis</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"ISBN" : "0264-6021 (Print)\\r0264-6021 (Linking)", "ISSN" : "0264-6021", "PMID" : "11988107", "abstract" : "Two different sites on vitamin K-dependent gamma-glutamyl carboxylase (VKC) are involved in enzyme-substrate interaction: the propeptide-binding site required for high-affinity substrate binding and the active site for glutamate carboxylation. Synthetic descarboxy osteocalcin (d-OC) is a low-K(m) substrate for the VKC, but unique since it possesses a high-affinity recognition site for the VKC, distinct from the propeptide which is essential as a binding site for VKC. However, the exact location and composition of this VKC-recognition domain on d-OC has remained unclear until now. Using a stereospecific substrate analogue [t-butyloxycarbonyl-(2S,4S)-4-methylglutamic acid-Glu-Val (S-MeTPT)] we demonstrate in this paper that the high affinity of d-OC for VKC cannot be explained by a direct interaction with either the active site or with the propeptide-binding site on VKC. It is shown using various synthetic peptides derived from d-OC that there are two domains on d-OC necessary for recognition: one located between residues 1 and 12 and a second between residues 26 and 39, i.e. at the C-terminal side of the gamma-carboxyglutamate (Gla) domain. Both internal sequences contribute substantially to the efficiency of carboxylation. On the basis of these data we postulate the presence of a second high-affinity substrate-binding site on VKC capable of specifically binding d-OC, which is the first vitamin K-dependent substrate of which the VKC binding domain is interrupted by the Gla domain.", "author" : [ { "dropping-particle" : "", "family" : "Houben", "given" : "Roger J T J", "non-dropping-particle" : "", "parse-names" : false, "suffix" : "" }, { "dropping-particle" : "", "family" : "Rijkers", "given" : "Dirk T S", "non-dropping-particle" : "", "parse-names" : false, "suffix" : "" }, { "dropping-particle" : "", "family" : "Stanley", "given" : "Thomas B", "non-dropping-particle" : "", "parse-names" : false, "suffix" : "" }, { "dropping-particle" : "", "family" : "Acher", "given" : "Francine", "non-dropping-particle" : "", "parse-names" : false, "suffix" : "" }, { "dropping-particle" : "", "family" : "Azerad", "given" : "Robert", "non-dropping-particle" : "", "parse-names" : false, "suffix" : "" }, { "dropping-particle" : "", "family" : "K\u00e4k\u00f6nen", "given" : "Sanna-Maria", "non-dropping-particle" : "", "parse-names" : false, "suffix" : "" }, { "dropping-particle" : "", "family" : "Vermeer", "given" : "Cees", "non-dropping-particle" : "", "parse-names" : false, "suffix" : "" }, { "dropping-particle" : "", "family" : "Soute", "given" : "Berry A M", "non-dropping-particle" : "", "parse-names" : false, "suffix" : "" } ], "container-title" : "The Biochemical journal", "id" : "ITEM-1", "issue" : "Pt 1", "issued" : { "date-parts" : [ [ "2002" ] ] }, "page" : "323-8", "title" : "Characteristics and composition of the vitamin K-dependent gamma-glutamyl carboxylase-binding domain on osteocalcin.", "type" : "article-journal", "volume" : "364" }, "uris" : [ "http://www.mendeley.com/documents/?uuid=55aa8e49-73b9-4e67-b784-fe7d55d59ff9" ] }, { "id" : "ITEM-2", "itemData" : { "DOI" : "10.1677/joe.0.1760339", "ISBN" : "0022-0795 (Print)", "ISSN" : "00220795", "PMID" : "12630919", "abstract" : "Accumulating evidence indicates that menaquinone-4 (MK-4), a vitamin K(2) with four isoprene units, inhibits osteoclastogenesis in murine bone marrow culture, but the reason for this inhibition is not yet clear, especially in human bone marrow culture. To clarify the inhibitory mechanism, we investigated the differentiation of colony-forming-unit fibroblasts (CFU-Fs) and osteoclasts in human bone marrow culture, to learn whether the enhancement of the differentiation of CFU-Fs from progenitor cells might relate to inhibition of osteoclast formation. Human bone marrow cells were grown in alpha-minimal essential medium with horse serum in the presence of MK-4 until adherent cells formed colonies (CFU-Fs). Colonies that stained positive for alkaline phosphatase activity (CFU-F/ALP(+)) were considered to have osteogenic potential. MK-4 stimulated the number of CFU-F/ALP(+) colonies in the presence or absence of dexamethasone. The stimulation was also seen in vitamin K(1) treatment. These cells had the ability to mineralize in the presence of alpha-glycerophosphate. In contrast, both MK-4 and vitamin K(1) inhibited 1,25 dihydroxyvitamin D(3)-induced osteoclast formation and increased stromal cell formation in human bone marrow culture. These stromal cells expressed ALP and Cbfa1. Moreover, both types of vitamin K treatment decreased the expression of receptor activator of nuclear factor kappaB ligand/osteoclast differentiation factor (RANKL/ODF) and enhanced the expression of osteoprotegerin/osteoclast inhibitory factor (OPG/OCIF) in the stromal cells. The effective concentrations were 1.0 microM and 10 microM for the expression of RANKL/ODF and OPG/OCIF respectively. Vitamin K might stimulate osteoblastogenesis in bone marrow cells, regulating osteoclastogenesis through the expression of RANKL/ODF more than through that of OPG/OCIF.", "author" : [ { "dropping-particle" : "", "family" : "Koshihara", "given" : "Y.", "non-dropping-particle" : "", "parse-names" : false, "suffix" : "" }, { "dropping-particle" : "", "family" : "Hoshi", "given" : "K.", "non-dropping-particle" : "", "parse-names" : false, "suffix" : "" }, { "dropping-particle" : "", "family" : "Okawara", "given" : "R.", "non-dropping-particle" : "", "parse-names" : false, "suffix" : "" }, { "dropping-particle" : "", "family" : "Ishibashi", "given" : "H.", "non-dropping-particle" : "", "parse-names" : false, "suffix" : "" }, { "dropping-particle" : "", "family" : "Yamamoto", "given" : "S.", "non-dropping-particle" : "", "parse-names" : false, "suffix" : "" } ], "container-title" : "Journal of Endocrinology", "id" : "ITEM-2", "issue" : "3", "issued" : { "date-parts" : [ [ "2003" ] ] }, "page" : "339-348", "title" : "Vitamin K stimulates osteoblastogenesis and inhibits osteoclastogenesis in human bone marrow cell culture", "type" : "article-journal", "volume" : "176" }, "uris" : [ "http://www.mendeley.com/documents/?uuid=86c093d4-daa2-4d69-b8f4-dd99ce4ee92c" ] } ], "mendeley" : { "formattedCitation" : "&lt;sup&gt;[21,22]&lt;/sup&gt;", "plainTextFormattedCitation" : "[21,22]", "previouslyFormattedCitation" : "&lt;sup&gt;[21,22]&lt;/sup&gt;"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[21,22]</w:t>
      </w:r>
      <w:r w:rsidR="00E21B32" w:rsidRPr="002D44D6">
        <w:rPr>
          <w:rFonts w:ascii="Book Antiqua" w:hAnsi="Book Antiqua" w:cs="Arial"/>
          <w:color w:val="000000"/>
        </w:rPr>
        <w:fldChar w:fldCharType="end"/>
      </w:r>
      <w:r w:rsidR="004113B5" w:rsidRPr="002D44D6">
        <w:rPr>
          <w:rFonts w:ascii="Book Antiqua" w:hAnsi="Book Antiqua" w:cs="Arial"/>
          <w:color w:val="000000"/>
        </w:rPr>
        <w:t>.</w:t>
      </w:r>
      <w:r w:rsidR="00840E3C" w:rsidRPr="002D44D6">
        <w:rPr>
          <w:rFonts w:ascii="Book Antiqua" w:hAnsi="Book Antiqua" w:cs="Arial"/>
          <w:color w:val="000000"/>
        </w:rPr>
        <w:t xml:space="preserve"> </w:t>
      </w:r>
      <w:r w:rsidRPr="002D44D6">
        <w:rPr>
          <w:rFonts w:ascii="Book Antiqua" w:hAnsi="Book Antiqua" w:cs="Arial"/>
          <w:color w:val="000000"/>
        </w:rPr>
        <w:t>Vitamin K levels may be decreased in patients with severe cholestasis and impaired fatty-soluble vitamin absorption resulting in</w:t>
      </w:r>
      <w:r w:rsidR="009C114E" w:rsidRPr="002D44D6">
        <w:rPr>
          <w:rFonts w:ascii="Book Antiqua" w:hAnsi="Book Antiqua" w:cs="Arial"/>
          <w:color w:val="000000"/>
        </w:rPr>
        <w:t xml:space="preserve"> impaired osteoblast function. </w:t>
      </w:r>
      <w:r w:rsidRPr="002D44D6">
        <w:rPr>
          <w:rFonts w:ascii="Book Antiqua" w:hAnsi="Book Antiqua" w:cs="Arial"/>
          <w:color w:val="000000"/>
        </w:rPr>
        <w:t>Indeed a meta-analysis does indicate some reduction in bone loss with vitamin K supplementation, but was not performed exclusively in patients with chronic liver disease</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"10.1001/archinte.166.12.1256", "ISBN" : "0003-9926 (Print)\\r0003-9926 (Linking)", "ISSN" : "0003-9926", "PMID" : "16801507", "abstract" : "&lt;h3&gt;Background&lt;/h3&gt;&lt;p&gt;Observational and some experimental data suggest that low intake of vitamin K may be associated with an increased risk of fracture.&lt;/p&gt;&lt;h3&gt;Objective&lt;/h3&gt;&lt;p&gt;To assess whether oral vitamin K (phytonadione and menaquinone) supplementation can reduce bone loss and prevent fractures.&lt;/p&gt;&lt;h3&gt;Data Sources&lt;/h3&gt;&lt;p&gt;The search included the following electronic databases: MEDLINE (1966 to June 2005), EMBASE (1980 to June 2005), the Cochrane Library (issue 2, 2005), the ISI Web of Science (1945 to June 2005), the National Research Register (inception to the present), Current Controlled Trials, and the Medical Research Council Research Register.&lt;/p&gt;&lt;h3&gt;Study Selection&lt;/h3&gt;&lt;p&gt;Randomized controlled trials that gave adult participants oral phytonadione and menaquinone supplements for longer than 6 months were included in this review.&lt;/p&gt;&lt;h3&gt;Data Extraction&lt;/h3&gt;&lt;p&gt;Four authors extracted data on changes in bone density and type of fracture. All articles were double screened and double data extracted.&lt;/p&gt;&lt;h3&gt;Data Synthesis&lt;/h3&gt;&lt;p&gt;Thirteen trials were identified with data on bone loss, and 7 reported fracture data. All studies but 1 showed an advantage of phytonadione and menaquinone in reducing bone loss. All 7 trials that reported fracture effects were Japanese and used menaquinone. Pooling the 7 trials with fracture data in a meta-analysis, we found an odds ratio (OR) favoring menaquinone of 0.40 (95% confidence interval [CI], 0.25-0.65) for vertebral fractures, an OR of 0.23 (95% CI, 0.12-0.47) for hip fractures, and an OR of 0.19 (95% CI, 0.11-0.35) for all nonvertebral fractures.&lt;/p&gt;&lt;h3&gt;Conclusions&lt;/h3&gt;&lt;p&gt;This systematic review suggests that supplementation with phytonadione and menaquinone-4 reduces bone loss. In the case of the latter, there is a strong effect on incident fractures among Japanese patients.&lt;/p&gt;", "author" : [ { "dropping-particle" : "", "family" : "Cockayne", "given" : "Sarah", "non-dropping-particle" : "", "parse-names" : false, "suffix" : "" }, { "dropping-particle" : "", "family" : "Adamson", "given" : "Joy", "non-dropping-particle" : "", "parse-names" : false, "suffix" : "" }, { "dropping-particle" : "", "family" : "Lanham-New", "given" : "Susan", "non-dropping-particle" : "", "parse-names" : false, "suffix" : "" }, { "dropping-particle" : "", "family" : "Shearer", "given" : "Martin J.", "non-dropping-particle" : "", "parse-names" : false, "suffix" : "" }, { "dropping-particle" : "", "family" : "Gilbody", "given" : "Simon", "non-dropping-particle" : "", "parse-names" : false, "suffix" : "" }, { "dropping-particle" : "", "family" : "Torgerson", "given" : "David J.", "non-dropping-particle" : "", "parse-names" : false, "suffix" : "" } ], "container-title" : "Archives of Internal Medicine", "id" : "ITEM-1", "issue" : "12", "issued" : { "date-parts" : [ [ "2006" ] ] }, "page" : "1256", "title" : "Vitamin K and the Prevention of Fractures", "type" : "article-journal", "volume" : "166" }, "uris" : [ "http://www.mendeley.com/documents/?uuid=a638c164-91a8-435b-9667-b420f1f5d8da" ] } ], "mendeley" : { "formattedCitation" : "&lt;sup&gt;[23]&lt;/sup&gt;", "plainTextFormattedCitation" : "[23]", "previouslyFormattedCitation" : "&lt;sup&gt;[23]&lt;/sup&gt;"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[23]</w:t>
      </w:r>
      <w:r w:rsidR="00E21B32" w:rsidRPr="002D44D6">
        <w:rPr>
          <w:rFonts w:ascii="Book Antiqua" w:hAnsi="Book Antiqua" w:cs="Arial"/>
          <w:color w:val="000000"/>
        </w:rPr>
        <w:fldChar w:fldCharType="end"/>
      </w:r>
      <w:r w:rsidR="004113B5" w:rsidRPr="002D44D6">
        <w:rPr>
          <w:rFonts w:ascii="Book Antiqua" w:hAnsi="Book Antiqua" w:cs="Arial"/>
          <w:color w:val="000000"/>
        </w:rPr>
        <w:t>.</w:t>
      </w:r>
      <w:r w:rsidR="00E21B32" w:rsidRPr="002D44D6">
        <w:rPr>
          <w:rFonts w:ascii="Book Antiqua" w:hAnsi="Book Antiqua" w:cs="Times New Roman"/>
        </w:rPr>
        <w:t xml:space="preserve"> </w:t>
      </w:r>
    </w:p>
    <w:p w14:paraId="1F65FDB3" w14:textId="4A5A416B" w:rsidR="00E13F25" w:rsidRPr="002D44D6" w:rsidRDefault="00E13F25" w:rsidP="00E21B32">
      <w:pPr>
        <w:widowControl w:val="0"/>
        <w:adjustRightInd w:val="0"/>
        <w:snapToGrid w:val="0"/>
        <w:spacing w:line="360" w:lineRule="auto"/>
        <w:ind w:firstLineChars="100" w:firstLine="240"/>
        <w:jc w:val="both"/>
        <w:rPr>
          <w:rFonts w:ascii="Book Antiqua" w:hAnsi="Book Antiqua" w:cs="Times New Roman"/>
        </w:rPr>
      </w:pPr>
      <w:r w:rsidRPr="002D44D6">
        <w:rPr>
          <w:rFonts w:ascii="Book Antiqua" w:hAnsi="Book Antiqua" w:cs="Arial"/>
          <w:color w:val="000000"/>
        </w:rPr>
        <w:lastRenderedPageBreak/>
        <w:t xml:space="preserve">Elevated levels of bilirubin, bile salts, and </w:t>
      </w:r>
      <w:r w:rsidR="00840E3C" w:rsidRPr="002D44D6">
        <w:rPr>
          <w:rFonts w:ascii="Book Antiqua" w:hAnsi="Book Antiqua" w:cs="Arial"/>
          <w:color w:val="000000"/>
        </w:rPr>
        <w:t xml:space="preserve">altered </w:t>
      </w:r>
      <w:r w:rsidRPr="002D44D6">
        <w:rPr>
          <w:rFonts w:ascii="Book Antiqua" w:hAnsi="Book Antiqua" w:cs="Arial"/>
          <w:color w:val="000000"/>
        </w:rPr>
        <w:t>fibronectin</w:t>
      </w:r>
      <w:r w:rsidR="00840E3C" w:rsidRPr="002D44D6">
        <w:rPr>
          <w:rFonts w:ascii="Book Antiqua" w:hAnsi="Book Antiqua" w:cs="Arial"/>
          <w:color w:val="000000"/>
        </w:rPr>
        <w:t xml:space="preserve"> production</w:t>
      </w:r>
      <w:r w:rsidRPr="002D44D6">
        <w:rPr>
          <w:rFonts w:ascii="Book Antiqua" w:hAnsi="Book Antiqua" w:cs="Arial"/>
          <w:color w:val="000000"/>
        </w:rPr>
        <w:t xml:space="preserve"> may also play a role in decreased bone formatio</w:t>
      </w:r>
      <w:r w:rsidR="00840E3C" w:rsidRPr="002D44D6">
        <w:rPr>
          <w:rFonts w:ascii="Book Antiqua" w:hAnsi="Book Antiqua" w:cs="Arial"/>
          <w:color w:val="000000"/>
        </w:rPr>
        <w:t>n through osteoblast inhibition in PBC.</w:t>
      </w:r>
      <w:r w:rsidR="009C114E" w:rsidRPr="002D44D6">
        <w:rPr>
          <w:rFonts w:ascii="Book Antiqua" w:hAnsi="Book Antiqua" w:cs="Arial"/>
          <w:color w:val="000000"/>
        </w:rPr>
        <w:t xml:space="preserve"> </w:t>
      </w:r>
      <w:r w:rsidRPr="002D44D6">
        <w:rPr>
          <w:rFonts w:ascii="Book Antiqua" w:hAnsi="Book Antiqua" w:cs="Arial"/>
          <w:color w:val="000000"/>
        </w:rPr>
        <w:t>In one study,</w:t>
      </w:r>
      <w:r w:rsidR="00F20D4D" w:rsidRPr="002D44D6">
        <w:rPr>
          <w:rFonts w:ascii="Book Antiqua" w:hAnsi="Book Antiqua" w:cs="Arial"/>
          <w:color w:val="000000"/>
        </w:rPr>
        <w:t xml:space="preserve"> plasma mitogenic activity</w:t>
      </w:r>
      <w:r w:rsidRPr="002D44D6">
        <w:rPr>
          <w:rFonts w:ascii="Book Antiqua" w:hAnsi="Book Antiqua" w:cs="Arial"/>
          <w:color w:val="000000"/>
        </w:rPr>
        <w:t xml:space="preserve"> of osteoblasts was significantly lower in patients with cholestatic liver disease compared to healthy controls</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"10.1172/JCI117959", "ISSN" : "00219738", "PMID" : "7769100", "abstract" : "Because the osteoporosis occurring in chronic cholestatic liver disease (CCLD) is associated with decreased bone formation and is reversible by liver transplantation, substances retained in plasma during cholestasis may impair osteoblast function. This hypothesis was tested using a new bioassay that measures plasma mitogenic activity (PMA) for normal human osteoblast-like (hOB) cells. In 29 jaundiced patients, mean PMA was 56.4% (P &lt; 0.001) of that in 29 age- and sex-matched normal subjects, and the decrease in PMA was similar in the 14 with CCLD and the 15 with other causes of jaundice. Bile acids and bilirubin are the two major groups of products retained during cholestasis. The common conjugated bile acids and bilirubin were added to normal human plasma in concentrations simulating those found in patients with CCLD. Various bile salts had no effect on PMA whereas unconjugated bilirubin decreased PMA in a dose-dependent fashion (r = -0.98, P &lt; 0.0001) without affecting cell viability. Relatively selective removal of bilirubin from the plasma by photobleaching normalized the decreased PMA in five jaundiced patients but produced no apparent change in five normal subjects. These data support the hypothesis that hyperbilirubinemia or possibly other photolabile substances impair osteoblast proliferative capacity and thus may play a major role in the pathogenesis of the osteoporosis associated with CCLD.", "author" : [ { "dropping-particle" : "", "family" : "Janes", "given" : "C. H.", "non-dropping-particle" : "", "parse-names" : false, "suffix" : "" }, { "dropping-particle" : "", "family" : "Dickson", "given" : "E. R.", "non-dropping-particle" : "", "parse-names" : false, "suffix" : "" }, { "dropping-particle" : "", "family" : "Okazaki", "given" : "R.", "non-dropping-particle" : "", "parse-names" : false, "suffix" : "" }, { "dropping-particle" : "", "family" : "Bonde", "given" : "S.", "non-dropping-particle" : "", "parse-names" : false, "suffix" : "" }, { "dropping-particle" : "", "family" : "McDonagh", "given" : "A. F.", "non-dropping-particle" : "", "parse-names" : false, "suffix" : "" }, { "dropping-particle" : "", "family" : "Riggs", "given" : "B. L.", "non-dropping-particle" : "", "parse-names" : false, "suffix" : "" } ], "container-title" : "Journal of Clinical Investigation", "id" : "ITEM-1", "issue" : "6", "issued" : { "date-parts" : [ [ "1995" ] ] }, "page" : "2581-2586", "title" : "Role of hyperbilirubinemia in the impairment of osteoblast proliferation associated with cholestatic jaundice", "type" : "article-journal", "volume" : "95" }, "uris" : [ "http://www.mendeley.com/documents/?uuid=923a994c-7fcd-41ca-83cf-3c921d28e82b" ] } ], "mendeley" : { "formattedCitation" : "&lt;sup&gt;[24]&lt;/sup&gt;", "plainTextFormattedCitation" : "[24]", "previouslyFormattedCitation" : "&lt;sup&gt;[24]&lt;/sup&gt;"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[24]</w:t>
      </w:r>
      <w:r w:rsidR="00E21B32" w:rsidRPr="002D44D6">
        <w:rPr>
          <w:rFonts w:ascii="Book Antiqua" w:hAnsi="Book Antiqua" w:cs="Arial"/>
          <w:color w:val="000000"/>
        </w:rPr>
        <w:fldChar w:fldCharType="end"/>
      </w:r>
      <w:r w:rsidR="004113B5" w:rsidRPr="002D44D6">
        <w:rPr>
          <w:rFonts w:ascii="Book Antiqua" w:hAnsi="Book Antiqua" w:cs="Arial"/>
          <w:color w:val="000000"/>
        </w:rPr>
        <w:t>.</w:t>
      </w:r>
      <w:r w:rsidRPr="002D44D6">
        <w:rPr>
          <w:rFonts w:ascii="Book Antiqua" w:hAnsi="Book Antiqua" w:cs="Arial"/>
          <w:color w:val="000000"/>
        </w:rPr>
        <w:t xml:space="preserve"> In addition, removal of bilirubin by plasma photobl</w:t>
      </w:r>
      <w:r w:rsidR="00F20D4D" w:rsidRPr="002D44D6">
        <w:rPr>
          <w:rFonts w:ascii="Book Antiqua" w:hAnsi="Book Antiqua" w:cs="Arial"/>
          <w:color w:val="000000"/>
        </w:rPr>
        <w:t>eaching resulted in improved plasma mitogenic activity</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"10.1172/JCI117959", "ISSN" : "00219738", "PMID" : "7769100", "abstract" : "Because the osteoporosis occurring in chronic cholestatic liver disease (CCLD) is associated with decreased bone formation and is reversible by liver transplantation, substances retained in plasma during cholestasis may impair osteoblast function. This hypothesis was tested using a new bioassay that measures plasma mitogenic activity (PMA) for normal human osteoblast-like (hOB) cells. In 29 jaundiced patients, mean PMA was 56.4% (P &lt; 0.001) of that in 29 age- and sex-matched normal subjects, and the decrease in PMA was similar in the 14 with CCLD and the 15 with other causes of jaundice. Bile acids and bilirubin are the two major groups of products retained during cholestasis. The common conjugated bile acids and bilirubin were added to normal human plasma in concentrations simulating those found in patients with CCLD. Various bile salts had no effect on PMA whereas unconjugated bilirubin decreased PMA in a dose-dependent fashion (r = -0.98, P &lt; 0.0001) without affecting cell viability. Relatively selective removal of bilirubin from the plasma by photobleaching normalized the decreased PMA in five jaundiced patients but produced no apparent change in five normal subjects. These data support the hypothesis that hyperbilirubinemia or possibly other photolabile substances impair osteoblast proliferative capacity and thus may play a major role in the pathogenesis of the osteoporosis associated with CCLD.", "author" : [ { "dropping-particle" : "", "family" : "Janes", "given" : "C. H.", "non-dropping-particle" : "", "parse-names" : false, "suffix" : "" }, { "dropping-particle" : "", "family" : "Dickson", "given" : "E. R.", "non-dropping-particle" : "", "parse-names" : false, "suffix" : "" }, { "dropping-particle" : "", "family" : "Okazaki", "given" : "R.", "non-dropping-particle" : "", "parse-names" : false, "suffix" : "" }, { "dropping-particle" : "", "family" : "Bonde", "given" : "S.", "non-dropping-particle" : "", "parse-names" : false, "suffix" : "" }, { "dropping-particle" : "", "family" : "McDonagh", "given" : "A. F.", "non-dropping-particle" : "", "parse-names" : false, "suffix" : "" }, { "dropping-particle" : "", "family" : "Riggs", "given" : "B. L.", "non-dropping-particle" : "", "parse-names" : false, "suffix" : "" } ], "container-title" : "Journal of Clinical Investigation", "id" : "ITEM-1", "issue" : "6", "issued" : { "date-parts" : [ [ "1995" ] ] }, "page" : "2581-2586", "title" : "Role of hyperbilirubinemia in the impairment of osteoblast proliferation associated with cholestatic jaundice", "type" : "article-journal", "volume" : "95" }, "uris" : [ "http://www.mendeley.com/documents/?uuid=923a994c-7fcd-41ca-83cf-3c921d28e82b" ] } ], "mendeley" : { "formattedCitation" : "&lt;sup&gt;[24]&lt;/sup&gt;", "plainTextFormattedCitation" : "[24]", "previouslyFormattedCitation" : "&lt;sup&gt;[24]&lt;/sup&gt;"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[24]</w:t>
      </w:r>
      <w:r w:rsidR="00E21B32" w:rsidRPr="002D44D6">
        <w:rPr>
          <w:rFonts w:ascii="Book Antiqua" w:hAnsi="Book Antiqua" w:cs="Arial"/>
          <w:color w:val="000000"/>
        </w:rPr>
        <w:fldChar w:fldCharType="end"/>
      </w:r>
      <w:r w:rsidRPr="002D44D6">
        <w:rPr>
          <w:rFonts w:ascii="Book Antiqua" w:hAnsi="Book Antiqua" w:cs="Arial"/>
          <w:color w:val="000000"/>
        </w:rPr>
        <w:t xml:space="preserve">. </w:t>
      </w:r>
      <w:r w:rsidR="00840E3C" w:rsidRPr="002D44D6">
        <w:rPr>
          <w:rFonts w:ascii="Book Antiqua" w:hAnsi="Book Antiqua" w:cs="Arial"/>
          <w:color w:val="000000"/>
        </w:rPr>
        <w:t>Similarly, e</w:t>
      </w:r>
      <w:r w:rsidRPr="002D44D6">
        <w:rPr>
          <w:rFonts w:ascii="Book Antiqua" w:hAnsi="Book Antiqua" w:cs="Arial"/>
          <w:color w:val="000000"/>
        </w:rPr>
        <w:t>levated lithocolic acid concentrations have been shown t</w:t>
      </w:r>
      <w:r w:rsidR="002F18BB" w:rsidRPr="002D44D6">
        <w:rPr>
          <w:rFonts w:ascii="Book Antiqua" w:hAnsi="Book Antiqua" w:cs="Arial"/>
          <w:color w:val="000000"/>
        </w:rPr>
        <w:t xml:space="preserve">o decrease osteoblast survival </w:t>
      </w:r>
      <w:r w:rsidRPr="002D44D6">
        <w:rPr>
          <w:rFonts w:ascii="Book Antiqua" w:hAnsi="Book Antiqua" w:cs="Arial"/>
          <w:color w:val="000000"/>
        </w:rPr>
        <w:t>through impaired vitamin D stimulation of osteoblast gene transcription</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"10.1111/j.1365-2362.2009.02230.x", "ISBN" : "1365-2362 (Electronic)\\r0014-2972 (Linking)", "ISSN" : "00142972", "PMID" : "20055894", "abstract" : "BACKGROUND Osteoporosis is a common complication in chronic cholestasis. It has been proposed that retained substances such as bile acids may produce a damaging effect on bone cells. This study analyses the effects of lithocholic acid (LCA) on cell survival and vitamin D metabolism in human osteoblasts (hOB). MATERIALS AND METHODS Human osteoblasts cultures were performed with or without foetal bovine serum (FBS) or human albumin (HA) at different LCA concentrations and times with or without vitamin D. RESULTS Lithocholic acid at concentrations higher than 10(-5 )M decreased cell survival. This effect was partially prevented by the presence of FBS or HA. Vitamin D stimulated CYP24A, BGLAP and TNFSF11 expression in hOB and these effects were modified by nontoxic LCA concentrations. LCA significantly decreased vitamin D stimulation of CYP24A, BGLAP and TNFSF11 gene expression at 72%, 79% and 56% (respectively). LCA alone has an agonistic effect, as has vitamin D, thus partially increasing CYP24A and BGLAP expression, but with no changes on TNFRSF11B expression. Equivalent effects of the LCA were observed by performing gene reporter assays using MG-63 cells transfected with constructs containing CYP24A1 promoter regions. CONCLUSIONS Lithocholic acid decreases the stimulatory effect of vitamin D on CYP24A, BGLAP and TNFSF11 expression in hOB. This effect is produced through vitamin D response elements (VDREs), located in the promoter regions of these genes, suggesting that LCA acts as a mild analogous of vitamin D, interacting with the vitamin D receptor. These results may explain the potential deleterious effects of retained bile acids on hOB.", "author" : [ { "dropping-particle" : "", "family" : "Ruiz-Gasp\u00e0", "given" : "S.", "non-dropping-particle" : "", "parse-names" : false, "suffix" : "" }, { "dropping-particle" : "", "family" : "Gua\u00f1abens", "given" : "N.", "non-dropping-particle" : "", "parse-names" : false, "suffix" : "" }, { "dropping-particle" : "", "family" : "Enjuanes", "given" : "A.", "non-dropping-particle" : "", "parse-names" : false, "suffix" : "" }, { "dropping-particle" : "", "family" : "Peris", "given" : "P.", "non-dropping-particle" : "", "parse-names" : false, "suffix" : "" }, { "dropping-particle" : "", "family" : "Martinez-Ferrer", "given" : "A.", "non-dropping-particle" : "", "parse-names" : false, "suffix" : "" }, { "dropping-particle" : "", "family" : "Martinez De Osaba", "given" : "M. J.", "non-dropping-particle" : "", "parse-names" : false, "suffix" : "" }, { "dropping-particle" : "", "family" : "Gonzalez", "given" : "B.", "non-dropping-particle" : "", "parse-names" : false, "suffix" : "" }, { "dropping-particle" : "", "family" : "Alvarez", "given" : "L.", "non-dropping-particle" : "", "parse-names" : false, "suffix" : "" }, { "dropping-particle" : "", "family" : "Monegal", "given" : "A.", "non-dropping-particle" : "", "parse-names" : false, "suffix" : "" }, { "dropping-particle" : "", "family" : "Combalia", "given" : "A.", "non-dropping-particle" : "", "parse-names" : false, "suffix" : "" }, { "dropping-particle" : "", "family" : "Par\u00e9s", "given" : "A.", "non-dropping-particle" : "", "parse-names" : false, "suffix" : "" } ], "container-title" : "European Journal of Clinical Investigation", "id" : "ITEM-1", "issue" : "1", "issued" : { "date-parts" : [ [ "2010" ] ] }, "page" : "25-34", "title" : "Lithocholic acid downregulates vitamin D effects in human osteoblasts", "type" : "article-journal", "volume" : "40" }, "uris" : [ "http://www.mendeley.com/documents/?uuid=b47d248d-df92-45ac-8cdb-4ca65f05da24" ] } ], "mendeley" : { "formattedCitation" : "&lt;sup&gt;[25]&lt;/sup&gt;", "plainTextFormattedCitation" : "[25]", "previouslyFormattedCitation" : "&lt;sup&gt;[25]&lt;/sup&gt;"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[25]</w:t>
      </w:r>
      <w:r w:rsidR="00E21B32" w:rsidRPr="002D44D6">
        <w:rPr>
          <w:rFonts w:ascii="Book Antiqua" w:hAnsi="Book Antiqua" w:cs="Arial"/>
          <w:color w:val="000000"/>
        </w:rPr>
        <w:fldChar w:fldCharType="end"/>
      </w:r>
      <w:r w:rsidR="004113B5" w:rsidRPr="002D44D6">
        <w:rPr>
          <w:rFonts w:ascii="Book Antiqua" w:hAnsi="Book Antiqua" w:cs="Arial"/>
          <w:color w:val="000000"/>
        </w:rPr>
        <w:t xml:space="preserve">. </w:t>
      </w:r>
      <w:r w:rsidRPr="002D44D6">
        <w:rPr>
          <w:rFonts w:ascii="Book Antiqua" w:hAnsi="Book Antiqua" w:cs="Arial"/>
          <w:color w:val="000000"/>
        </w:rPr>
        <w:t xml:space="preserve">Patients with chronic liver disease </w:t>
      </w:r>
      <w:r w:rsidR="00840E3C" w:rsidRPr="002D44D6">
        <w:rPr>
          <w:rFonts w:ascii="Book Antiqua" w:hAnsi="Book Antiqua" w:cs="Arial"/>
          <w:color w:val="000000"/>
        </w:rPr>
        <w:t xml:space="preserve">also </w:t>
      </w:r>
      <w:r w:rsidRPr="002D44D6">
        <w:rPr>
          <w:rFonts w:ascii="Book Antiqua" w:hAnsi="Book Antiqua" w:cs="Arial"/>
          <w:color w:val="000000"/>
        </w:rPr>
        <w:t>exhibit altered hepatic fibronectin production</w:t>
      </w:r>
      <w:r w:rsidR="002F18BB" w:rsidRPr="002D44D6">
        <w:rPr>
          <w:rFonts w:ascii="Book Antiqua" w:hAnsi="Book Antiqua" w:cs="Arial"/>
          <w:color w:val="000000"/>
        </w:rPr>
        <w:t>,</w:t>
      </w:r>
      <w:r w:rsidRPr="002D44D6">
        <w:rPr>
          <w:rFonts w:ascii="Book Antiqua" w:hAnsi="Book Antiqua" w:cs="Arial"/>
          <w:color w:val="000000"/>
        </w:rPr>
        <w:t xml:space="preserve"> resulting in increased production of a fibronectin isoform containing the oncofetal domain</w:t>
      </w:r>
      <w:r w:rsidR="002F18BB" w:rsidRPr="002D44D6">
        <w:rPr>
          <w:rFonts w:ascii="Book Antiqua" w:hAnsi="Book Antiqua" w:cs="Arial"/>
          <w:color w:val="000000"/>
        </w:rPr>
        <w:t>, which</w:t>
      </w:r>
      <w:r w:rsidRPr="002D44D6">
        <w:rPr>
          <w:rFonts w:ascii="Book Antiqua" w:hAnsi="Book Antiqua" w:cs="Arial"/>
          <w:color w:val="000000"/>
        </w:rPr>
        <w:t xml:space="preserve"> inhibits osteoblast-mediated mineralization in humans and mice</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"10.1359/jbmr.080313", "ISSN" : "1523-4681 (Electronic)", "PMID" : "18348696", "abstract" : "Osteoporosis is a major cause of morbidity and decreased quality of life in patients with chronic cholestatic liver disease. It is established that this osteoporosis results from decreased bone formation, but the mechanisms for the interaction between liver and bone remain elusive. The aim of this study was to test the hypothesis that an increase in the production of cellular fibronectins during liver disease may result in decreased osteoblast-mediated mineralization and thus explain the decrease in bone formation. We performed a prospective cross-sectional study in patients with primary biliary cirrhosis and matched controls, followed by experiments on human and mouse osteoblasts in culture and injections in mice in vivo. In patients with primary biliary cirrhosis, the oncofetal domain of fibronectin correlated significantly with the decrease in osteocalcin, a marker of bone formation (r = -0.57, p &lt; 0.05). In vitro, amniotic fluid fibronectin (aFN) containing mainly the oncofetal domain and EIIIA domain resulted in decreased osteoblast-mediated mineralization in human osteoblasts (69% decrease at 100 microg/ml; p &lt; 0.01) and mouse osteoblasts (71% decrease; p &lt; 0.05). Removing the EIIIA domain from aFN similarly suppressed mineralization by osteoblasts (78% decrease; p &lt; 0.05). Injection of labeled aFN in mice showed that it infiltrates the bone, and its administration over 10 days resulted in decreased trabecular BMD (17% drop; p &lt; 0.05), mineralizing surface (30% drop; p &lt; 0.005), and number of osteoblasts (45% drop; p &lt; 0.05). Increased production of a fibronectin isoform containing the oncofetal domain and its release in the circulation in patients with primary biliary cirrhosis is at least partially responsible for the decrease in bone formation seen in these patients. This establishes that a molecule that has thus far been viewed as an extracellular matrix protein exerts hormone-like actions.", "author" : [ { "dropping-particle" : "", "family" : "Kawelke", "given" : "Nina", "non-dropping-particle" : "", "parse-names" : false, "suffix" : "" }, { "dropping-particle" : "", "family" : "Bentmann", "given" : "Anke", "non-dropping-particle" : "", "parse-names" : false, "suffix" : "" }, { "dropping-particle" : "", "family" : "Hackl", "given" : "Norman", "non-dropping-particle" : "", "parse-names" : false, "suffix" : "" }, { "dropping-particle" : "", "family" : "Hager", "given" : "Hans-Dieter", "non-dropping-particle" : "", "parse-names" : false, "suffix" : "" }, { "dropping-particle" : "", "family" : "Feick", "given" : "Peter", "non-dropping-particle" : "", "parse-names" : false, "suffix" : "" }, { "dropping-particle" : "", "family" : "Geursen", "given" : "Anne", "non-dropping-particle" : "", "parse-names" : false, "suffix" : "" }, { "dropping-particle" : "V", "family" : "Singer", "given" : "Manfred", "non-dropping-particle" : "", "parse-names" : false, "suffix" : "" }, { "dropping-particle" : "", "family" : "Nakchbandi", "given" : "Inaam A", "non-dropping-particle" : "", "parse-names" : false, "suffix" : "" } ], "container-title" : "Journal of bone and mineral research : the official journal of the American Society for Bone and Mineral Research", "id" : "ITEM-1", "issue" : "8", "issued" : { "date-parts" : [ [ "2008" ] ] }, "page" : "1278-1286", "title" : "Isoform of fibronectin mediates bone loss in patients with primary biliary cirrhosis by suppressing bone formation.", "type" : "article-journal", "volume" : "23" }, "uris" : [ "http://www.mendeley.com/documents/?uuid=8788184a-9917-4b50-aadf-7ea3d297c1ad" ] } ], "mendeley" : { "formattedCitation" : "&lt;sup&gt;[26]&lt;/sup&gt;", "plainTextFormattedCitation" : "[26]", "previouslyFormattedCitation" : "&lt;sup&gt;[26]&lt;/sup&gt;"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[26]</w:t>
      </w:r>
      <w:r w:rsidR="00E21B32" w:rsidRPr="002D44D6">
        <w:rPr>
          <w:rFonts w:ascii="Book Antiqua" w:hAnsi="Book Antiqua" w:cs="Arial"/>
          <w:color w:val="000000"/>
        </w:rPr>
        <w:fldChar w:fldCharType="end"/>
      </w:r>
      <w:r w:rsidR="004113B5" w:rsidRPr="002D44D6">
        <w:rPr>
          <w:rFonts w:ascii="Book Antiqua" w:hAnsi="Book Antiqua" w:cs="Arial"/>
          <w:color w:val="000000"/>
        </w:rPr>
        <w:t>.</w:t>
      </w:r>
      <w:r w:rsidR="00E21B32" w:rsidRPr="002D44D6">
        <w:rPr>
          <w:rFonts w:ascii="Book Antiqua" w:hAnsi="Book Antiqua" w:cs="Times New Roman"/>
        </w:rPr>
        <w:t xml:space="preserve"> </w:t>
      </w:r>
    </w:p>
    <w:p w14:paraId="0F671512" w14:textId="355FC2BD" w:rsidR="00E13F25" w:rsidRPr="002D44D6" w:rsidRDefault="00E13F25" w:rsidP="00E21B32">
      <w:pPr>
        <w:widowControl w:val="0"/>
        <w:adjustRightInd w:val="0"/>
        <w:snapToGrid w:val="0"/>
        <w:spacing w:line="360" w:lineRule="auto"/>
        <w:ind w:firstLineChars="100" w:firstLine="240"/>
        <w:jc w:val="both"/>
        <w:rPr>
          <w:rFonts w:ascii="Book Antiqua" w:hAnsi="Book Antiqua" w:cs="Arial"/>
          <w:color w:val="000000"/>
        </w:rPr>
      </w:pPr>
      <w:r w:rsidRPr="002D44D6">
        <w:rPr>
          <w:rFonts w:ascii="Book Antiqua" w:hAnsi="Book Antiqua" w:cs="Arial"/>
          <w:color w:val="000000"/>
        </w:rPr>
        <w:t>Increased bone resorption may also play a role in osteoporosis in PBC in certain populations such as post-menopausal women and men with hypogonadism</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"10.1053/jhep.2002.36357", "ISBN" : "5072662810", "ISSN" : "0270-9139 (Print)", "PMID" : "12297836", "abstract" : "Despite the clinical importance of cholestatic osteopenia, little is known about  its pathophysiologic mechanism. By tetracycline-labeled histomorphometric analysis of bone biopsies taken at the time of liver transplantation, we prospectively evaluated bone resorption and formation in 50 consecutive patients with advanced primary biliary cirrhosis (PBC) and primary sclerosing cholangitis (PSC). Histomorphometric analysis confirmed low bone volume parameters, consistent with the mean T-score of the lumbar spine of -1.9 by dual energy x-ray absorptiometry. Dynamic (bone formation rates, adjusted apposition rates) and static (osteoid markers, osteoblast number) parameters of bone formation were decreased in cholestatic patients with no abnormalities in mineralization. Increased osteoclast numbers and increased eroded surface areas suggested increased bone resorption, and this was supported in female patients by increased trabecular separation and decreased trabecular number. Male cholestatic patients, however, did not have significant increases in resorption parameters, although they were as osteopenic as female patients and had low bone formation markers. Bone histomorphometric changes were similar in PBC and PSC, suggesting an etiologic effect of chronic cholestasis rather than the individual diseases. Cancellous bone volume and osteoid markers correlated with bone mineral density measurements but no correlations were found between histomorphometric parameters and biochemical markers of bone metabolism. In conclusion, cholestatic osteopenia appears to result from a combination of decreased bone formation and increased resorption, especially in female patients, but the relative importance of these two abnormalities and their actual etiology remain to be elucidated.", "author" : [ { "dropping-particle" : "", "family" : "Guichelaar", "given" : "Maureen M J", "non-dropping-particle" : "", "parse-names" : false, "suffix" : "" }, { "dropping-particle" : "", "family" : "Malinchoc", "given" : "Michael", "non-dropping-particle" : "", "parse-names" : false, "suffix" : "" }, { "dropping-particle" : "", "family" : "Sibonga", "given" : "Jean", "non-dropping-particle" : "", "parse-names" : false, "suffix" : "" }, { "dropping-particle" : "", "family" : "Clarke", "given" : "Bart L", "non-dropping-particle" : "", "parse-names" : false, "suffix" : "" }, { "dropping-particle" : "", "family" : "Hay", "given" : "J Eileen", "non-dropping-particle" : "", "parse-names" : false, "suffix" : "" } ], "container-title" : "Hepatology (Baltimore, Md.)", "id" : "ITEM-1", "issue" : "4 Pt 1", "issued" : { "date-parts" : [ [ "2002" ] ] }, "page" : "895-903", "title" : "Bone metabolism in advanced cholestatic liver disease: analysis by bone histomorphometry.", "type" : "article-journal", "volume" : "36" }, "uris" : [ "http://www.mendeley.com/documents/?uuid=ee036ba0-c679-4e35-84ae-6be51a859457" ] }, { "id" : "ITEM-2", "itemData" : { "DOI" : "10.1016/S0016-5085(03)01062-X", "ISBN" : "0016-5085 (Print)\\n0016-5085 (Linking)", "ISSN" : "00165085", "PMID" : "12612917", "abstract" : "BackgroundStandards for good practice in clinical risk management issued by the Clinical Negligence Scheme for Trusts indicate that appropriate information is provided to patients on the risks and benefits of proposed treatment, and of the alternatives available before a signature on a consent form is sought. AimsTo investigate the practicability and patient acceptability of a postal information and consent booklet for patients undergoing outpatient gastroscopy. MethodsInformation about gastroscopy procedure, personalised appointment details, and a carbonised consent form were compiled into a single booklet. This was mailed to patients well in advance of their endoscopic procedure. Patient satisfaction for this new process was assessed by questionnaire. Results275 patients received a patient information booklet. Of these, 150 (54.5%) returned the consent form by post when they confirmed their attendance; 141 (94%) had signed the form, and the other nine requested further information. Of the remaining 125 booklets sent out, 115 (92%) forms were brought back on the day of the investigation having been previously signed. The remaining 10 (8%) required further information before signing the form. An audit of 168 patients was used to test reaction to the booklet and the idea of filling in the form before coming to hospital; 155 patients (92.2%) reported the information given in the booklet to be very useful, and all reported it to be clear and understandable. ConclusionA specifically designed patient information booklet with integral consent form is accepted by patients, and improves the level of understanding prior to the investigation being carried out.", "author" : [ { "dropping-particle" : "", "family" : "Leslie", "given" : "William D.", "non-dropping-particle" : "", "parse-names" : false, "suffix" : "" }, { "dropping-particle" : "", "family" : "Bernstein", "given" : "Charles N.", "non-dropping-particle" : "", "parse-names" : false, "suffix" : "" }, { "dropping-particle" : "", "family" : "Leboff", "given" : "Meryl S.", "non-dropping-particle" : "", "parse-names" : false, "suffix" : "" } ], "container-title" : "Gastroenterology", "id" : "ITEM-2", "issue" : "3", "issued" : { "date-parts" : [ [ "2003" ] ] }, "page" : "941-966", "title" : "AGA technical review on osteoporosis in hepatic disorders", "type" : "article-journal", "volume" : "125" }, "uris" : [ "http://www.mendeley.com/documents/?uuid=fd7000cf-2bcf-4412-ac4e-a5a9d1f9953d" ] }, { "id" : "ITEM-3", "itemData" : { "PMID" : "2220729", "abstract" : "The prevalence, type, and factors that may influence the development of bone disease in primary biliary cirrhosis, have been investigated in 20 consecutive patients, who, in addition to liver function tests and mineral and vitamin D metabolism studies, were submitted to a transiliac bone biopsy after tetracycline double-labeling for quantitative histomorphometric examination. Intestinal calcium absorption was also assessed in 16 patients. Seven patients (35%) had reduced bone volume and were considered osteoporotic. Three also had bone mineralization impairment, but did not have criteria for osteomalacia. Bone formation was depressed in 15 patients, and bone resorption was low or normal in 19 cases. Eroded surfaces were reduced in all osteoporotic patients. Duration of primary biliary cirrhosis was significantly longer in patients with osteoporosis (6.3 +/- 0.6 yr) than in those without osteoporosis (2.6 +/- 0.6, p = 0.004). Moreover, osteoporosis was more prevalent in postmenopausal women, and in those who had intestinal calcium malabsorption, which was present in 80% of osteoporotic patients but in only 18% of nonosteoporotic patients (p = 0.03). Osteoporosis and mineralization bone impairment were unrelated to the severity of cholestasis. 25-Hydroxyvitamin D was significantly lower in those patients with intestinal calcium malabsorption. The results of this study indicate that osteodystrophy in primary biliary cirrhosis is characterized mainly by \"low-turnover\" osteoporosis, which is related to the duration of the liver disease, postmenopausal condition, and calcium malabsorption.", "author" : [ { "dropping-particle" : "", "family" : "Gua\u00f1abens", "given" : "N\u00faria", "non-dropping-particle" : "", "parse-names" : false, "suffix" : "" }, { "dropping-particle" : "", "family" : "Par\u00e9s", "given" : "Albert", "non-dropping-particle" : "", "parse-names" : false, "suffix" : "" }, { "dropping-particle" : "", "family" : "Marinoso", "given" : "L", "non-dropping-particle" : "", "parse-names" : false, "suffix" : "" }, { "dropping-particle" : "", "family" : "Brancos", "given" : "MA", "non-dropping-particle" : "", "parse-names" : false, "suffix" : "" }, { "dropping-particle" : "", "family" : "Piera", "given" : "C", "non-dropping-particle" : "", "parse-names" : false, "suffix" : "" }, { "dropping-particle" : "", "family" : "Serrano", "given" : "S", "non-dropping-particle" : "", "parse-names" : false, "suffix" : "" }, { "dropping-particle" : "", "family" : "Rivera", "given" : "F", "non-dropping-particle" : "", "parse-names" : false, "suffix" : "" }, { "dropping-particle" : "", "family" : "Rodes", "given" : "J", "non-dropping-particle" : "", "parse-names" : false, "suffix" : "" } ], "container-title" : "American Journal of Gastroenterology", "id" : "ITEM-3", "issue" : "10", "issued" : { "date-parts" : [ [ "1990" ] ] }, "page" : "1356-62", "title" : "Factors influencing the development of metabolic bone disease in primary biliary cirrhosis", "type" : "article-journal", "volume" : "85" }, "uris" : [ "http://www.mendeley.com/documents/?uuid=e87486ac-863f-4161-bb3e-9b4411e10bf3" ] } ], "mendeley" : { "formattedCitation" : "&lt;sup&gt;[5,14,16]&lt;/sup&gt;", "plainTextFormattedCitation" : "[5,14,16]", "previouslyFormattedCitation" : "&lt;sup&gt;[5,14,16]&lt;/sup&gt;"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[5,14,16]</w:t>
      </w:r>
      <w:r w:rsidR="00E21B32" w:rsidRPr="002D44D6">
        <w:rPr>
          <w:rFonts w:ascii="Book Antiqua" w:hAnsi="Book Antiqua" w:cs="Arial"/>
          <w:color w:val="000000"/>
        </w:rPr>
        <w:fldChar w:fldCharType="end"/>
      </w:r>
      <w:r w:rsidR="004113B5" w:rsidRPr="002D44D6">
        <w:rPr>
          <w:rFonts w:ascii="Book Antiqua" w:hAnsi="Book Antiqua" w:cs="Arial"/>
          <w:color w:val="000000"/>
        </w:rPr>
        <w:t>.</w:t>
      </w:r>
      <w:r w:rsidR="00C03BF6" w:rsidRPr="002D44D6">
        <w:rPr>
          <w:rFonts w:ascii="Book Antiqua" w:hAnsi="Book Antiqua" w:cs="Arial"/>
          <w:color w:val="000000"/>
        </w:rPr>
        <w:t xml:space="preserve"> </w:t>
      </w:r>
      <w:r w:rsidRPr="002D44D6">
        <w:rPr>
          <w:rFonts w:ascii="Book Antiqua" w:hAnsi="Book Antiqua" w:cs="Arial"/>
          <w:color w:val="000000"/>
        </w:rPr>
        <w:t>One study showed increased osteoblast numbers and increased eroded surface area indicative of increased resorption, but only in female patients with cholestatic liver disease</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"10.1053/jhep.2002.36357", "ISBN" : "5072662810", "ISSN" : "0270-9139 (Print)", "PMID" : "12297836", "abstract" : "Despite the clinical importance of cholestatic osteopenia, little is known about  its pathophysiologic mechanism. By tetracycline-labeled histomorphometric analysis of bone biopsies taken at the time of liver transplantation, we prospectively evaluated bone resorption and formation in 50 consecutive patients with advanced primary biliary cirrhosis (PBC) and primary sclerosing cholangitis (PSC). Histomorphometric analysis confirmed low bone volume parameters, consistent with the mean T-score of the lumbar spine of -1.9 by dual energy x-ray absorptiometry. Dynamic (bone formation rates, adjusted apposition rates) and static (osteoid markers, osteoblast number) parameters of bone formation were decreased in cholestatic patients with no abnormalities in mineralization. Increased osteoclast numbers and increased eroded surface areas suggested increased bone resorption, and this was supported in female patients by increased trabecular separation and decreased trabecular number. Male cholestatic patients, however, did not have significant increases in resorption parameters, although they were as osteopenic as female patients and had low bone formation markers. Bone histomorphometric changes were similar in PBC and PSC, suggesting an etiologic effect of chronic cholestasis rather than the individual diseases. Cancellous bone volume and osteoid markers correlated with bone mineral density measurements but no correlations were found between histomorphometric parameters and biochemical markers of bone metabolism. In conclusion, cholestatic osteopenia appears to result from a combination of decreased bone formation and increased resorption, especially in female patients, but the relative importance of these two abnormalities and their actual etiology remain to be elucidated.", "author" : [ { "dropping-particle" : "", "family" : "Guichelaar", "given" : "Maureen M J", "non-dropping-particle" : "", "parse-names" : false, "suffix" : "" }, { "dropping-particle" : "", "family" : "Malinchoc", "given" : "Michael", "non-dropping-particle" : "", "parse-names" : false, "suffix" : "" }, { "dropping-particle" : "", "family" : "Sibonga", "given" : "Jean", "non-dropping-particle" : "", "parse-names" : false, "suffix" : "" }, { "dropping-particle" : "", "family" : "Clarke", "given" : "Bart L", "non-dropping-particle" : "", "parse-names" : false, "suffix" : "" }, { "dropping-particle" : "", "family" : "Hay", "given" : "J Eileen", "non-dropping-particle" : "", "parse-names" : false, "suffix" : "" } ], "container-title" : "Hepatology (Baltimore, Md.)", "id" : "ITEM-1", "issue" : "4 Pt 1", "issued" : { "date-parts" : [ [ "2002" ] ] }, "page" : "895-903", "title" : "Bone metabolism in advanced cholestatic liver disease: analysis by bone histomorphometry.", "type" : "article-journal", "volume" : "36" }, "uris" : [ "http://www.mendeley.com/documents/?uuid=ee036ba0-c679-4e35-84ae-6be51a859457" ] } ], "mendeley" : { "formattedCitation" : "&lt;sup&gt;[16]&lt;/sup&gt;", "plainTextFormattedCitation" : "[16]", "previouslyFormattedCitation" : "&lt;sup&gt;[16]&lt;/sup&gt;"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[16]</w:t>
      </w:r>
      <w:r w:rsidR="00E21B32" w:rsidRPr="002D44D6">
        <w:rPr>
          <w:rFonts w:ascii="Book Antiqua" w:hAnsi="Book Antiqua" w:cs="Arial"/>
          <w:color w:val="000000"/>
        </w:rPr>
        <w:fldChar w:fldCharType="end"/>
      </w:r>
      <w:r w:rsidR="004113B5" w:rsidRPr="002D44D6">
        <w:rPr>
          <w:rFonts w:ascii="Book Antiqua" w:hAnsi="Book Antiqua" w:cs="Arial"/>
          <w:color w:val="000000"/>
        </w:rPr>
        <w:t xml:space="preserve">. </w:t>
      </w:r>
      <w:r w:rsidR="00840E3C" w:rsidRPr="002D44D6">
        <w:rPr>
          <w:rFonts w:ascii="Book Antiqua" w:hAnsi="Book Antiqua" w:cs="Arial"/>
          <w:color w:val="000000"/>
        </w:rPr>
        <w:t xml:space="preserve">Estrogen promotes apoptosis of osteoclasts and its absence results in a sharp decline in </w:t>
      </w:r>
      <w:r w:rsidR="003544E9" w:rsidRPr="002D44D6">
        <w:rPr>
          <w:rFonts w:ascii="Book Antiqua" w:hAnsi="Book Antiqua" w:cs="Arial"/>
          <w:color w:val="000000"/>
        </w:rPr>
        <w:t>bone mineral density (</w:t>
      </w:r>
      <w:r w:rsidR="00840E3C" w:rsidRPr="002D44D6">
        <w:rPr>
          <w:rFonts w:ascii="Book Antiqua" w:hAnsi="Book Antiqua" w:cs="Arial"/>
          <w:color w:val="000000"/>
        </w:rPr>
        <w:t>BMD</w:t>
      </w:r>
      <w:r w:rsidR="003544E9" w:rsidRPr="002D44D6">
        <w:rPr>
          <w:rFonts w:ascii="Book Antiqua" w:hAnsi="Book Antiqua" w:cs="Arial"/>
          <w:color w:val="000000"/>
        </w:rPr>
        <w:t>)</w:t>
      </w:r>
      <w:r w:rsidR="00840E3C" w:rsidRPr="002D44D6">
        <w:rPr>
          <w:rFonts w:ascii="Book Antiqua" w:hAnsi="Book Antiqua" w:cs="Arial"/>
          <w:color w:val="000000"/>
        </w:rPr>
        <w:t xml:space="preserve"> after menopause</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"10.1038/nm1096-1132", "ISBN" : "1078-8956 (Print)\\r1078-8956 (Linking)", "ISSN" : "10788956", "PMID" : "8837613", "abstract" : "Postmenopausal osteoporosis, the most common bone disease in the developed world, is associated with estrogen deficiency. This deficiency induces increased generation and activity of osteoclasts, which perforate bone trabeculae, thus reducing their strength and increasing fracture risk. Estrogen replacement prevents these effects, indicating that estrogen negatively regulates osteoclast formation and function, but how it does this is unclear. Because functional osteoclast life span and thus the amount of bone that osteoclasts resorb could also be enhanced following estrogen deficiency, and since sex steroids regulate apoptosis in other target tissues, we investigated whether estrogen may affect osteoclast function by promoting apoptosis. 17 beta-Estradiol promoted apoptosis of murine osteoclasts in vitro and in vivo by two- to threefold. Tamoxifen, which has estrogenic effects on bone resorption, and transforming growth factor-beta 1 (TGF-beta), whose production by osteoblasts is increased by estrogen, had similar effects in vitro. Anti-TGF-beta antibody inhibited TGF-beta-, estrogen- and tamoxifen-induced osteoclast apoptosis, indicating that TGF-beta might mediate this effect. These findings suggest that estrogen may prevent excessive bone loss before and after the menopause by limiting osteoclast life span through promotion of apoptosis. The development of analogues to promote this mechanism specifically could be a useful and novel therapeutic approach to prevent postmenopausal osteoporosis.", "author" : [ { "dropping-particle" : "", "family" : "Hughes", "given" : "David E.", "non-dropping-particle" : "", "parse-names" : false, "suffix" : "" }, { "dropping-particle" : "", "family" : "Dai", "given" : "Aihua", "non-dropping-particle" : "", "parse-names" : false, "suffix" : "" }, { "dropping-particle" : "", "family" : "Tiffee", "given" : "John C.", "non-dropping-particle" : "", "parse-names" : false, "suffix" : "" }, { "dropping-particle" : "", "family" : "Li", "given" : "He Hiu", "non-dropping-particle" : "", "parse-names" : false, "suffix" : "" }, { "dropping-particle" : "", "family" : "Munoy", "given" : "Gregory R.", "non-dropping-particle" : "", "parse-names" : false, "suffix" : "" }, { "dropping-particle" : "", "family" : "Boyce", "given" : "Brendan F.", "non-dropping-particle" : "", "parse-names" : false, "suffix" : "" } ], "container-title" : "Nature Medicine", "id" : "ITEM-1", "issue" : "10", "issued" : { "date-parts" : [ [ "1996" ] ] }, "page" : "1132-1135", "title" : "Estrogen promotes apoptosis of murine osteoclasts mediated by TGF-", "type" : "article-journal", "volume" : "2" }, "uris" : [ "http://www.mendeley.com/documents/?uuid=74f6e39a-c8df-4985-a741-1812a47a0443" ] }, { "id" : "ITEM-2", "itemData" : { "DOI" : "10.1016/j.ecl.2012.04.006", "ISBN" : "9781455748433", "ISSN" : "08898529", "PMID" : "22877425", "abstract" : "Understanding of the pathophysiology of osteoporosis has evolved to include compromised bone strength and skeletal fragility caused by several factors: (1) defects in microarchitecture of trabeculae, (2) defective intrinsic material properties of bone tissue, (3) defective repair of microdamage from normal daily activities, and (4) excessive bone remodeling rates. These factors occur in the context of age-related bone loss. Clinical studies of estrogen deprivation, antiresorptives, mechanical loading, and disuse have helped further knowledge of the factors affecting bone quality and the mechanisms that underlie them. This progress has led to several new drug targets in the treatment of osteoporosis. \u00a9 2012 Elsevier Inc.", "author" : [ { "dropping-particle" : "", "family" : "Armas", "given" : "Laura A G", "non-dropping-particle" : "", "parse-names" : false, "suffix" : "" }, { "dropping-particle" : "", "family" : "Recker", "given" : "Robert R.", "non-dropping-particle" : "", "parse-names" : false, "suffix" : "" } ], "container-title" : "Endocrinology and Metabolism Clinics of North America", "id" : "ITEM-2", "issue" : "3", "issued" : { "date-parts" : [ [ "2012" ] ] }, "page" : "475-486", "publisher" : "Elsevier Inc", "title" : "Pathophysiology of Osteoporosis. New Mechanistic Insights.", "type" : "article-journal", "volume" : "41" }, "uris" : [ "http://www.mendeley.com/documents/?uuid=ada58d50-f744-4a9d-bc19-6d3a4a52adbf" ] } ], "mendeley" : { "formattedCitation" : "&lt;sup&gt;[27,28]&lt;/sup&gt;", "plainTextFormattedCitation" : "[27,28]", "previouslyFormattedCitation" : "&lt;sup&gt;[27,28]&lt;/sup&gt;"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[27,28]</w:t>
      </w:r>
      <w:r w:rsidR="00E21B32" w:rsidRPr="002D44D6">
        <w:rPr>
          <w:rFonts w:ascii="Book Antiqua" w:hAnsi="Book Antiqua" w:cs="Arial"/>
          <w:color w:val="000000"/>
        </w:rPr>
        <w:fldChar w:fldCharType="end"/>
      </w:r>
      <w:r w:rsidR="00840E3C" w:rsidRPr="002D44D6">
        <w:rPr>
          <w:rFonts w:ascii="Book Antiqua" w:hAnsi="Book Antiqua" w:cs="Arial"/>
          <w:color w:val="000000"/>
        </w:rPr>
        <w:t>.</w:t>
      </w:r>
      <w:r w:rsidR="004113B5" w:rsidRPr="002D44D6">
        <w:rPr>
          <w:rFonts w:ascii="Book Antiqua" w:hAnsi="Book Antiqua" w:cs="Arial"/>
          <w:color w:val="000000"/>
        </w:rPr>
        <w:t xml:space="preserve"> </w:t>
      </w:r>
      <w:r w:rsidR="00840E3C" w:rsidRPr="002D44D6">
        <w:rPr>
          <w:rFonts w:ascii="Book Antiqua" w:hAnsi="Book Antiqua" w:cs="Arial"/>
          <w:color w:val="000000"/>
        </w:rPr>
        <w:t>Men with cholestatic liver disease show no signs of increased bone resorption despite similar degrees of osteopenia</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"10.1053/jhep.2002.36357", "ISBN" : "5072662810", "ISSN" : "0270-9139 (Print)", "PMID" : "12297836", "abstract" : "Despite the clinical importance of cholestatic osteopenia, little is known about  its pathophysiologic mechanism. By tetracycline-labeled histomorphometric analysis of bone biopsies taken at the time of liver transplantation, we prospectively evaluated bone resorption and formation in 50 consecutive patients with advanced primary biliary cirrhosis (PBC) and primary sclerosing cholangitis (PSC). Histomorphometric analysis confirmed low bone volume parameters, consistent with the mean T-score of the lumbar spine of -1.9 by dual energy x-ray absorptiometry. Dynamic (bone formation rates, adjusted apposition rates) and static (osteoid markers, osteoblast number) parameters of bone formation were decreased in cholestatic patients with no abnormalities in mineralization. Increased osteoclast numbers and increased eroded surface areas suggested increased bone resorption, and this was supported in female patients by increased trabecular separation and decreased trabecular number. Male cholestatic patients, however, did not have significant increases in resorption parameters, although they were as osteopenic as female patients and had low bone formation markers. Bone histomorphometric changes were similar in PBC and PSC, suggesting an etiologic effect of chronic cholestasis rather than the individual diseases. Cancellous bone volume and osteoid markers correlated with bone mineral density measurements but no correlations were found between histomorphometric parameters and biochemical markers of bone metabolism. In conclusion, cholestatic osteopenia appears to result from a combination of decreased bone formation and increased resorption, especially in female patients, but the relative importance of these two abnormalities and their actual etiology remain to be elucidated.", "author" : [ { "dropping-particle" : "", "family" : "Guichelaar", "given" : "Maureen M J", "non-dropping-particle" : "", "parse-names" : false, "suffix" : "" }, { "dropping-particle" : "", "family" : "Malinchoc", "given" : "Michael", "non-dropping-particle" : "", "parse-names" : false, "suffix" : "" }, { "dropping-particle" : "", "family" : "Sibonga", "given" : "Jean", "non-dropping-particle" : "", "parse-names" : false, "suffix" : "" }, { "dropping-particle" : "", "family" : "Clarke", "given" : "Bart L", "non-dropping-particle" : "", "parse-names" : false, "suffix" : "" }, { "dropping-particle" : "", "family" : "Hay", "given" : "J Eileen", "non-dropping-particle" : "", "parse-names" : false, "suffix" : "" } ], "container-title" : "Hepatology (Baltimore, Md.)", "id" : "ITEM-1", "issue" : "4 Pt 1", "issued" : { "date-parts" : [ [ "2002" ] ] }, "page" : "895-903", "title" : "Bone metabolism in advanced cholestatic liver disease: analysis by bone histomorphometry.", "type" : "article-journal", "volume" : "36" }, "uris" : [ "http://www.mendeley.com/documents/?uuid=ee036ba0-c679-4e35-84ae-6be51a859457" ] } ], "mendeley" : { "formattedCitation" : "&lt;sup&gt;[16]&lt;/sup&gt;", "plainTextFormattedCitation" : "[16]", "previouslyFormattedCitation" : "&lt;sup&gt;[16]&lt;/sup&gt;"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[16]</w:t>
      </w:r>
      <w:r w:rsidR="00E21B32" w:rsidRPr="002D44D6">
        <w:rPr>
          <w:rFonts w:ascii="Book Antiqua" w:hAnsi="Book Antiqua" w:cs="Arial"/>
          <w:color w:val="000000"/>
        </w:rPr>
        <w:fldChar w:fldCharType="end"/>
      </w:r>
      <w:r w:rsidR="00840E3C" w:rsidRPr="002D44D6">
        <w:rPr>
          <w:rFonts w:ascii="Book Antiqua" w:hAnsi="Book Antiqua" w:cs="Arial"/>
          <w:color w:val="000000"/>
        </w:rPr>
        <w:t>.</w:t>
      </w:r>
      <w:r w:rsidR="00E21B32" w:rsidRPr="002D44D6">
        <w:rPr>
          <w:rFonts w:ascii="Book Antiqua" w:hAnsi="Book Antiqua" w:cs="Arial"/>
          <w:color w:val="000000"/>
        </w:rPr>
        <w:t xml:space="preserve"> </w:t>
      </w:r>
    </w:p>
    <w:p w14:paraId="4002A38D" w14:textId="79958FE6" w:rsidR="00E13F25" w:rsidRPr="002D44D6" w:rsidRDefault="00E13F25" w:rsidP="00E21B32">
      <w:pPr>
        <w:widowControl w:val="0"/>
        <w:adjustRightInd w:val="0"/>
        <w:snapToGrid w:val="0"/>
        <w:spacing w:line="360" w:lineRule="auto"/>
        <w:ind w:firstLineChars="100" w:firstLine="240"/>
        <w:jc w:val="both"/>
        <w:rPr>
          <w:rFonts w:ascii="Book Antiqua" w:hAnsi="Book Antiqua" w:cs="Arial"/>
          <w:color w:val="000000"/>
        </w:rPr>
      </w:pPr>
      <w:r w:rsidRPr="002D44D6">
        <w:rPr>
          <w:rFonts w:ascii="Book Antiqua" w:hAnsi="Book Antiqua" w:cs="Arial"/>
          <w:color w:val="000000"/>
        </w:rPr>
        <w:t>Theoretically, calcium and vitamin D deficiencies may develop in those with cholestatic liver disease leading to secondary hyperparathyroidism and increased bone</w:t>
      </w:r>
      <w:r w:rsidR="009C114E" w:rsidRPr="002D44D6">
        <w:rPr>
          <w:rFonts w:ascii="Book Antiqua" w:hAnsi="Book Antiqua" w:cs="Arial"/>
          <w:color w:val="000000"/>
        </w:rPr>
        <w:t xml:space="preserve"> resorption. </w:t>
      </w:r>
      <w:r w:rsidRPr="002D44D6">
        <w:rPr>
          <w:rFonts w:ascii="Book Antiqua" w:hAnsi="Book Antiqua" w:cs="Arial"/>
          <w:color w:val="000000"/>
        </w:rPr>
        <w:t xml:space="preserve">Data is conflicting, </w:t>
      </w:r>
      <w:r w:rsidR="00245B5D" w:rsidRPr="002D44D6">
        <w:rPr>
          <w:rFonts w:ascii="Book Antiqua" w:hAnsi="Book Antiqua" w:cs="Arial"/>
          <w:color w:val="000000"/>
        </w:rPr>
        <w:t xml:space="preserve">however. Some studies have found </w:t>
      </w:r>
      <w:r w:rsidRPr="002D44D6">
        <w:rPr>
          <w:rFonts w:ascii="Book Antiqua" w:hAnsi="Book Antiqua" w:cs="Arial"/>
          <w:color w:val="000000"/>
        </w:rPr>
        <w:t xml:space="preserve">decreased calcium absorption and </w:t>
      </w:r>
      <w:r w:rsidR="00245B5D" w:rsidRPr="002D44D6">
        <w:rPr>
          <w:rFonts w:ascii="Book Antiqua" w:hAnsi="Book Antiqua" w:cs="Arial"/>
          <w:color w:val="000000"/>
        </w:rPr>
        <w:t xml:space="preserve">serum </w:t>
      </w:r>
      <w:r w:rsidRPr="002D44D6">
        <w:rPr>
          <w:rFonts w:ascii="Book Antiqua" w:hAnsi="Book Antiqua" w:cs="Arial"/>
          <w:color w:val="000000"/>
        </w:rPr>
        <w:t xml:space="preserve">vitamin D levels </w:t>
      </w:r>
      <w:r w:rsidR="00245B5D" w:rsidRPr="002D44D6">
        <w:rPr>
          <w:rFonts w:ascii="Book Antiqua" w:hAnsi="Book Antiqua" w:cs="Arial"/>
          <w:color w:val="000000"/>
        </w:rPr>
        <w:t xml:space="preserve">in PBC patients </w:t>
      </w:r>
      <w:r w:rsidRPr="002D44D6">
        <w:rPr>
          <w:rFonts w:ascii="Book Antiqua" w:hAnsi="Book Antiqua" w:cs="Arial"/>
          <w:color w:val="000000"/>
        </w:rPr>
        <w:t>compared to controls</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"PMID" : "6706300", "author" : [ { "dropping-particle" : "", "family" : "Bengoa", "given" : "J M", "non-dropping-particle" : "", "parse-names" : false, "suffix" : "" }, { "dropping-particle" : "", "family" : "Sitrin", "given" : "M D", "non-dropping-particle" : "", "parse-names" : false, "suffix" : "" }, { "dropping-particle" : "", "family" : "Meredith", "given" : "S", "non-dropping-particle" : "", "parse-names" : false, "suffix" : "" }, { "dropping-particle" : "", "family" : "Kelly", "given" : "S E", "non-dropping-particle" : "", "parse-names" : false, "suffix" : "" }, { "dropping-particle" : "", "family" : "Shah", "given" : "N", "non-dropping-particle" : "", "parse-names" : false, "suffix" : "" }, { "dropping-particle" : "", "family" : "Baker", "given" : "A L", "non-dropping-particle" : "", "parse-names" : false, "suffix" : "" }, { "dropping-particle" : "", "family" : "Rosenberg", "given" : "I H", "non-dropping-particle" : "", "parse-names" : false, "suffix" : "" } ], "container-title" : "Hepatology", "id" : "ITEM-1", "issue" : "2", "issued" : { "date-parts" : [ [ "1984" ] ] }, "page" : "261-265", "title" : "Intestinal calcium absorption and vitamin D status in chronic cholestatic liver disease.", "type" : "article-journal", "volume" : "4" }, "uris" : [ "http://www.mendeley.com/documents/?uuid=2ae67410-81d2-4707-9ba0-ac6ce1f9f853" ] }, { "id" : "ITEM-2", "itemData" : { "PMID" : "2220729", "abstract" : "The prevalence, type, and factors that may influence the development of bone disease in primary biliary cirrhosis, have been investigated in 20 consecutive patients, who, in addition to liver function tests and mineral and vitamin D metabolism studies, were submitted to a transiliac bone biopsy after tetracycline double-labeling for quantitative histomorphometric examination. Intestinal calcium absorption was also assessed in 16 patients. Seven patients (35%) had reduced bone volume and were considered osteoporotic. Three also had bone mineralization impairment, but did not have criteria for osteomalacia. Bone formation was depressed in 15 patients, and bone resorption was low or normal in 19 cases. Eroded surfaces were reduced in all osteoporotic patients. Duration of primary biliary cirrhosis was significantly longer in patients with osteoporosis (6.3 +/- 0.6 yr) than in those without osteoporosis (2.6 +/- 0.6, p = 0.004). Moreover, osteoporosis was more prevalent in postmenopausal women, and in those who had intestinal calcium malabsorption, which was present in 80% of osteoporotic patients but in only 18% of nonosteoporotic patients (p = 0.03). Osteoporosis and mineralization bone impairment were unrelated to the severity of cholestasis. 25-Hydroxyvitamin D was significantly lower in those patients with intestinal calcium malabsorption. The results of this study indicate that osteodystrophy in primary biliary cirrhosis is characterized mainly by \"low-turnover\" osteoporosis, which is related to the duration of the liver disease, postmenopausal condition, and calcium malabsorption.", "author" : [ { "dropping-particle" : "", "family" : "Gua\u00f1abens", "given" : "N\u00faria", "non-dropping-particle" : "", "parse-names" : false, "suffix" : "" }, { "dropping-particle" : "", "family" : "Par\u00e9s", "given" : "Albert", "non-dropping-particle" : "", "parse-names" : false, "suffix" : "" }, { "dropping-particle" : "", "family" : "Marinoso", "given" : "L", "non-dropping-particle" : "", "parse-names" : false, "suffix" : "" }, { "dropping-particle" : "", "family" : "Brancos", "given" : "MA", "non-dropping-particle" : "", "parse-names" : false, "suffix" : "" }, { "dropping-particle" : "", "family" : "Piera", "given" : "C", "non-dropping-particle" : "", "parse-names" : false, "suffix" : "" }, { "dropping-particle" : "", "family" : "Serrano", "given" : "S", "non-dropping-particle" : "", "parse-names" : false, "suffix" : "" }, { "dropping-particle" : "", "family" : "Rivera", "given" : "F", "non-dropping-particle" : "", "parse-names" : false, "suffix" : "" }, { "dropping-particle" : "", "family" : "Rodes", "given" : "J", "non-dropping-particle" : "", "parse-names" : false, "suffix" : "" } ], "container-title" : "American Journal of Gastroenterology", "id" : "ITEM-2", "issue" : "10", "issued" : { "date-parts" : [ [ "1990" ] ] }, "page" : "1356-62", "title" : "Factors influencing the development of metabolic bone disease in primary biliary cirrhosis", "type" : "article-journal", "volume" : "85" }, "uris" : [ "http://www.mendeley.com/documents/?uuid=e87486ac-863f-4161-bb3e-9b4411e10bf3" ] } ], "mendeley" : { "formattedCitation" : "&lt;sup&gt;[5,29]&lt;/sup&gt;", "plainTextFormattedCitation" : "[5,29]", "previouslyFormattedCitation" : "&lt;sup&gt;[5,29]&lt;/sup&gt;"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[5,29]</w:t>
      </w:r>
      <w:r w:rsidR="00E21B32" w:rsidRPr="002D44D6">
        <w:rPr>
          <w:rFonts w:ascii="Book Antiqua" w:hAnsi="Book Antiqua" w:cs="Arial"/>
          <w:color w:val="000000"/>
        </w:rPr>
        <w:fldChar w:fldCharType="end"/>
      </w:r>
      <w:r w:rsidR="004113B5" w:rsidRPr="002D44D6">
        <w:rPr>
          <w:rFonts w:ascii="Book Antiqua" w:hAnsi="Book Antiqua" w:cs="Arial"/>
          <w:color w:val="000000"/>
        </w:rPr>
        <w:t>,</w:t>
      </w:r>
      <w:r w:rsidRPr="002D44D6">
        <w:rPr>
          <w:rFonts w:ascii="Book Antiqua" w:hAnsi="Book Antiqua" w:cs="Arial"/>
          <w:color w:val="000000"/>
        </w:rPr>
        <w:t xml:space="preserve"> but </w:t>
      </w:r>
      <w:r w:rsidR="00245B5D" w:rsidRPr="002D44D6">
        <w:rPr>
          <w:rFonts w:ascii="Book Antiqua" w:hAnsi="Book Antiqua" w:cs="Arial"/>
          <w:color w:val="000000"/>
        </w:rPr>
        <w:t xml:space="preserve">others have found normal </w:t>
      </w:r>
      <w:r w:rsidRPr="002D44D6">
        <w:rPr>
          <w:rFonts w:ascii="Book Antiqua" w:hAnsi="Book Antiqua" w:cs="Arial"/>
          <w:color w:val="000000"/>
        </w:rPr>
        <w:t xml:space="preserve">vitamin D, calcium, and PTH levels </w:t>
      </w:r>
      <w:r w:rsidR="00245B5D" w:rsidRPr="002D44D6">
        <w:rPr>
          <w:rFonts w:ascii="Book Antiqua" w:hAnsi="Book Antiqua" w:cs="Arial"/>
          <w:color w:val="000000"/>
        </w:rPr>
        <w:t>even among</w:t>
      </w:r>
      <w:r w:rsidRPr="002D44D6">
        <w:rPr>
          <w:rFonts w:ascii="Book Antiqua" w:hAnsi="Book Antiqua" w:cs="Arial"/>
          <w:color w:val="000000"/>
        </w:rPr>
        <w:t xml:space="preserve"> osteoporotic patients with PBC</w:t>
      </w:r>
      <w:r w:rsidR="00C03BF6" w:rsidRPr="002D44D6">
        <w:rPr>
          <w:rFonts w:ascii="Book Antiqua" w:hAnsi="Book Antiqua" w:cs="Arial"/>
          <w:color w:val="000000"/>
        </w:rPr>
        <w:fldChar w:fldCharType="begin" w:fldLock="1"/>
      </w:r>
      <w:r w:rsidR="001E4ECE" w:rsidRPr="002D44D6">
        <w:rPr>
          <w:rFonts w:ascii="Book Antiqua" w:hAnsi="Book Antiqua" w:cs="Arial"/>
          <w:color w:val="000000"/>
        </w:rPr>
        <w:instrText>ADDIN CSL_CITATION { "citationItems" : [ { "id" : "ITEM-1", "itemData" : { "DOI" : "10.1053/jhep.2002.36357", "ISBN" : "5072662810", "ISSN" : "0270-9139 (Print)", "PMID" : "12297836", "abstract" : "Despite the clinical importance of cholestatic osteopenia, little is known about  its pathophysiologic mechanism. By tetracycline-labeled histomorphometric analysis of bone biopsies taken at the time of liver transplantation, we prospectively evaluated bone resorption and formation in 50 consecutive patients with advanced primary biliary cirrhosis (PBC) and primary sclerosing cholangitis (PSC). Histomorphometric analysis confirmed low bone volume parameters, consistent with the mean T-score of the lumbar spine of -1.9 by dual energy x-ray absorptiometry. Dynamic (bone formation rates, adjusted apposition rates) and static (osteoid markers, osteoblast number) parameters of bone formation were decreased in cholestatic patients with no abnormalities in mineralization. Increased osteoclast numbers and increased eroded surface areas suggested increased bone resorption, and this was supported in female patients by increased trabecular separation and decreased trabecular number. Male cholestatic patients, however, did not have significant increases in resorption parameters, although they were as osteopenic as female patients and had low bone formation markers. Bone histomorphometric changes were similar in PBC and PSC, suggesting an etiologic effect of chronic cholestasis rather than the individual diseases. Cancellous bone volume and osteoid markers correlated with bone mineral density measurements but no correlations were found between histomorphometric parameters and biochemical markers of bone metabolism. In conclusion, cholestatic osteopenia appears to result from a combination of decreased bone formation and increased resorption, especially in female patients, but the relative importance of these two abnormalities and their actual etiology remain to be elucidated.", "author" : [ { "dropping-particle" : "", "family" : "Guichelaar", "given" : "Maureen M J", "non-dropping-particle" : "", "parse-names" : false, "suffix" : "" }, { "dropping-particle" : "", "family" : "Malinchoc", "given" : "Michael", "non-dropping-particle" : "", "parse-names" : false, "suffix" : "" }, { "dropping-particle" : "", "family" : "Sibonga", "given" : "Jean", "non-dropping-particle" : "", "parse-names" : false, "suffix" : "" }, { "dropping-particle" : "", "family" : "Clarke", "given" : "Bart L", "non-dropping-particle" : "", "parse-names" : false, "suffix" : "" }, { "dropping-particle" : "", "family" : "Hay", "given" : "J Eileen", "non-dropping-particle" : "", "parse-names" : false, "suffix" : "" } ], "container-title" : "Hepatology (Baltimore, Md.)", "id" : "ITEM-1", "issue" : "4 Pt 1", "issued" : { "date-parts" : [ [ "2002" ] ] }, "page" : "895-903", "title" : "Bone metabolism in advanced cholestatic liver disease: analysis by bone histomorphometry.", "type" : "article-journal", "volume" : "36" }, "uris" : [ "http://www.mendeley.com/documents/?uuid=ee036ba0-c679-4e35-84ae-6be51a859457" ] }, { "id" : "ITEM-2", "itemData" : { "DOI" : "10.1359/jbmr.080313", "ISSN" : "1523-4681 (Electronic)", "PMID" : "18348696", "abstract" : "Osteoporosis is a major cause of morbidity and decreased quality of life in patients with chronic cholestatic liver disease. It is established that this osteoporosis results from decreased bone formation, but the mechanisms for the interaction between liver and bone remain elusive. The aim of this study was to test the hypothesis that an increase in the production of cellular fibronectins during liver disease may result in decreased osteoblast-mediated mineralization and thus explain the decrease in bone formation. We performed a prospective cross-sectional study in patients with primary biliary cirrhosis and matched controls, followed by experiments on human and mouse osteoblasts in culture and injections in mice in vivo. In patients with primary biliary cirrhosis, the oncofetal domain of fibronectin correlated significantly with the decrease in osteocalcin, a marker of bone formation (r = -0.57, p &lt; 0.05). In vitro, amniotic fluid fibronectin (aFN) containing mainly the oncofetal domain and EIIIA domain resulted in decreased osteoblast-mediated mineralization in human osteoblasts (69% decrease at 100 microg/ml; p &lt; 0.01) and mouse osteoblasts (71% decrease; p &lt; 0.05). Removing the EIIIA domain from aFN similarly suppressed mineralization by osteoblasts (78% decrease; p &lt; 0.05). Injection of labeled aFN in mice showed that it infiltrates the bone, and its administration over 10 days resulted in decreased trabecular BMD (17% drop; p &lt; 0.05), mineralizing surface (30% drop; p &lt; 0.005), and number of osteoblasts (45% drop; p &lt; 0.05). Increased production of a fibronectin isoform containing the oncofetal domain and its release in the circulation in patients with primary biliary cirrhosis is at least partially responsible for the decrease in bone formation seen in these patients. This establishes that a molecule that has thus far been viewed as an extracellular matrix protein exerts hormone-like actions.", "author" : [ { "dropping-particle" : "", "family" : "Kawelke", "given" : "Nina", "non-dropping-particle" : "", "parse-names" : false, "suffix" : "" }, { "dropping-particle" : "", "family" : "Bentmann", "given" : "Anke", "non-dropping-particle" : "", "parse-names" : false, "suffix" : "" }, { "dropping-particle" : "", "family" : "Hackl", "given" : "Norman", "non-dropping-particle" : "", "parse-names" : false, "suffix" : "" }, { "dropping-particle" : "", "family" : "Hager", "given" : "Hans-Dieter", "non-dropping-particle" : "", "parse-names" : false, "suffix" : "" }, { "dropping-particle" : "", "family" : "Feick", "given" : "Peter", "non-dropping-particle" : "", "parse-names" : false, "suffix" : "" }, { "dropping-particle" : "", "family" : "Geursen", "given" : "Anne", "non-dropping-particle" : "", "parse-names" : false, "suffix" : "" }, { "dropping-particle" : "V", "family" : "Singer", "given" : "Manfred", "non-dropping-particle" : "", "parse-names" : false, "suffix" : "" }, { "dropping-particle" : "", "family" : "Nakchbandi", "given" : "Inaam A", "non-dropping-particle" : "", "parse-names" : false, "suffix" : "" } ], "container-title" : "Journal of bone and mineral research : the official journal of the American Society for Bone and Mineral Research", "id" : "ITEM-2", "issue" : "8", "issued" : { "date-parts" : [ [ "2008" ] ] }, "page" : "1278-1286", "title" : "Isoform of fibronectin mediates bone loss in patients with primary biliary cirrhosis by suppressing bone formation.", "type" : "article-journal", "volume" : "23" }, "uris" : [ "http://www.mendeley.com/documents/?uuid=8788184a-9917-4b50-aadf-7ea3d297c1ad" ] }, { "id" : "ITEM-3", "itemData" : { "ISSN" : "00034819", "PMID" : "4062087", "abstract" : "The association of bone loss with primary biliary cirrhosis is poorly understood. In 15 premenopausal female patients, only 2 of whom had fractures, mean bone mineral density was reduced at the lumbar spine but not at the midradius or distal radius. Bone loss was not statistically related to the duration or severity of liver disease. Urinary hydroxyproline excretion, an index for bone resorption, was not different from that of 15 age-matched normal women, but the serum concentration of bone Gla-protein (osteocalcin), a specific marker for bone turnover, was decreased (p less than 0.001). Bone histomorphometric examination in 13 patients showed no osteomalacia but a reduced bone formation rate despite normal values for fractional osteoblast-osteoid interface. The substantial early loss of trabecular bone is mediated by a severe reduction in osteoblast function, which may be caused by retained toxic substances associated with cholestasis.", "author" : [ { "dropping-particle" : "", "family" : "Hodgson", "given" : "S. F.", "non-dropping-particle" : "", "parse-names" : false, "suffix" : "" }, { "dropping-particle" : "", "family" : "Dickson", "given" : "E. R.", "non-dropping-particle" : "", "parse-names" : false, "suffix" : "" }, { "dropping-particle" : "", "family" : "Wahner", "given" : "H. W.", "non-dropping-particle" : "", "parse-names" : false, "suffix" : "" }, { "dropping-particle" : "", "family" : "Johnson", "given" : "K. A.", "non-dropping-particle" : "", "parse-names" : false, "suffix" : "" }, { "dropping-particle" : "", "family" : "Mann", "given" : "K. G.", "non-dropping-particle" : "", "parse-names" : false, "suffix" : "" }, { "dropping-particle" : "", "family" : "Riggs", "given" : "B. L.", "non-dropping-particle" : "", "parse-names" : false, "suffix" : "" } ], "container-title" : "Annals of Internal Medicine", "id" : "ITEM-3", "issue" : "6 I", "issued" : { "date-parts" : [ [ "1985" ] ] }, "page" : "855-860", "title" : "Bone loss and reduced osteoblast function in primary biliary cirrhosis", "type" : "article-journal", "volume" : "103" }, "uris" : [ "http://www.mendeley.com/documents/?uuid=edc02689-c0cd-4e75-9ed1-dbdf2c04d670" ] } ], "mendeley" : { "formattedCitation" : "&lt;sup&gt;[16,17,26]&lt;/sup&gt;", "plainTextFormattedCitation" : "[16,17,26]", "previouslyFormattedCitation" : "&lt;sup&gt;[16,17,26]&lt;/sup&gt;" }, "properties" : { "noteIndex" : 0 }, "schema" : "https://github.com/citation-style-language/schema/raw/master/csl-citation.json" }</w:instrText>
      </w:r>
      <w:r w:rsidR="00C03BF6" w:rsidRPr="002D44D6">
        <w:rPr>
          <w:rFonts w:ascii="Book Antiqua" w:hAnsi="Book Antiqua" w:cs="Arial"/>
          <w:color w:val="000000"/>
        </w:rPr>
        <w:fldChar w:fldCharType="separate"/>
      </w:r>
      <w:r w:rsidR="00AC67CA" w:rsidRPr="002D44D6">
        <w:rPr>
          <w:rFonts w:ascii="Book Antiqua" w:hAnsi="Book Antiqua" w:cs="Arial"/>
          <w:noProof/>
          <w:color w:val="000000"/>
          <w:vertAlign w:val="superscript"/>
        </w:rPr>
        <w:t>[16,17,26]</w:t>
      </w:r>
      <w:r w:rsidR="00C03BF6" w:rsidRPr="002D44D6">
        <w:rPr>
          <w:rFonts w:ascii="Book Antiqua" w:hAnsi="Book Antiqua" w:cs="Arial"/>
          <w:color w:val="000000"/>
        </w:rPr>
        <w:fldChar w:fldCharType="end"/>
      </w:r>
      <w:r w:rsidR="00C03BF6" w:rsidRPr="002D44D6">
        <w:rPr>
          <w:rFonts w:ascii="Book Antiqua" w:hAnsi="Book Antiqua" w:cs="Arial"/>
          <w:color w:val="000000"/>
        </w:rPr>
        <w:t>.</w:t>
      </w:r>
      <w:r w:rsidR="004113B5" w:rsidRPr="002D44D6">
        <w:rPr>
          <w:rFonts w:ascii="Book Antiqua" w:hAnsi="Book Antiqua" w:cs="Arial"/>
          <w:color w:val="000000"/>
        </w:rPr>
        <w:t xml:space="preserve"> </w:t>
      </w:r>
      <w:r w:rsidRPr="002D44D6">
        <w:rPr>
          <w:rFonts w:ascii="Book Antiqua" w:hAnsi="Book Antiqua" w:cs="Arial"/>
          <w:color w:val="000000"/>
        </w:rPr>
        <w:t>In addition, vitamin D supplementation to normal levels has not been shown to improve</w:t>
      </w:r>
      <w:r w:rsidR="003544E9" w:rsidRPr="002D44D6">
        <w:rPr>
          <w:rFonts w:ascii="Book Antiqua" w:hAnsi="Book Antiqua" w:cs="Arial"/>
          <w:color w:val="000000"/>
        </w:rPr>
        <w:t xml:space="preserve"> BMD </w:t>
      </w:r>
      <w:r w:rsidRPr="002D44D6">
        <w:rPr>
          <w:rFonts w:ascii="Book Antiqua" w:hAnsi="Book Antiqua" w:cs="Arial"/>
          <w:color w:val="000000"/>
        </w:rPr>
        <w:t>in PBC</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"PMID" : "6978827", "abstract" : "Fifteen female patients with primary biliary cirrhosis were evaluated for vitamin D status and evidence of metabolic bone disease. Full-thickness iliac crest bone biopsy specimens with histomorphometric analysis after double tetracycline labeling were performed before and after 1 yr of treatment with oral 25-hydroxyvitamin D (100 micrograms/day). Initially, serum 25-hydroxyvitamin D levels were low (less than 15 ng/ml) in 11 of the 15 patients and were increased to normal (greater than 25 ng/ml) in all patients within 3 mo. Serum parathyroid hormone levels were low normal or not detectable in all patients and did not change with therapy. No patient had a fracture during the treatment. No evidence of osteomalacia was found initially or in follow-up study in any patient. Follow-up histomorphometric analysis at the end of the 1-yr treatment showed that bone volume decreased during the study interval despite therapy (p less than 0.001). Photon beam densitometry confirmed the loss in trabecular density of the radius over the study interval (p less than 0.03). The mean fractional osteoid surface was not increased initially and did not change with therapy. The mean linear bone appositional rate as measured by double tetracycline labeling was not decreased initially and did not change with therapy. It was concluded that in moderate to severe primary ciliary cirrhosis, initial 25-hydroxyvitamin D levels are low and are rapidly corrected by oral 25-hydroxyvitamin D. These patients have significant osteoporosis which progresses despite 25-hydroxyvitamin D.", "author" : [ { "dropping-particle" : "", "family" : "Herlong", "given" : "HF", "non-dropping-particle" : "", "parse-names" : false, "suffix" : "" }, { "dropping-particle" : "", "family" : "Recker", "given" : "RR", "non-dropping-particle" : "", "parse-names" : false, "suffix" : "" }, { "dropping-particle" : "", "family" : "Maddrey", "given" : "WC", "non-dropping-particle" : "", "parse-names" : false, "suffix" : "" } ], "container-title" : "Gastroenterology", "id" : "ITEM-1", "issued" : { "date-parts" : [ [ "1982" ] ] }, "page" : "103-8", "title" : "Bone disease in primary biliary cirrhosis: histologic features and response to 25-hydroxyvitamin D", "type" : "article-journal", "volume" : "83" }, "uris" : [ "http://www.mendeley.com/documents/?uuid=b2d0e593-3f44-4ea9-8dde-89844d6e1be3" ] }, { "id" : "ITEM-2", "itemData" : { "DOI" : "10.1016/S0016-5085(82)80291-6", "ISSN" : "00165085", "PMID" : "7075948", "abstract" : "Bone histology, bone mineral content, and calcium absorption were evaluated in 10 patients with primary biliary cirrhosis and osteopenia, before and after 1 yr of treatment with oral 25-hydroxycholecalciferol. Before treatment, quantitative histomorphometric analysis of full-thickness iliac crest bone biopsy specimens with double-tetracycline labeling demonstrated that 9 of 10 patients had osteoporosis. None had osteomalacia. Fasting intestinal calcium absorption correlated well with trabecular bone volume (r = 0.85). Bone mineral content measured by 125I-photon absorption was low in 6 of 10 patients, and it correlated poorly with iliac crest trabecular bone volume. After 1 yr of treatment with oral 25-hydroxyvitamin D3, bone mineral content fell in all 8 patients who were restudied. Iliac crest trabecular bone volume increased in 3 patients, 2 of whom had the greatest pretreatment impairment in calcium absorption, but fell in 5. Bone fractures continued to occur in 3 of 5 patients who were alive after 1 yr and developed for the first time in a sixth patient. We conclude that 25-hydroxyvitamin D3 is ineffective in reversing the bone thinning in the majority of primary biliary cirrhosis patients, but it may be helpful in a few selected patients.", "author" : [ { "dropping-particle" : "", "family" : "Matloff", "given" : "D S", "non-dropping-particle" : "", "parse-names" : false, "suffix" : "" }, { "dropping-particle" : "", "family" : "Kaplan", "given" : "M M", "non-dropping-particle" : "", "parse-names" : false, "suffix" : "" }, { "dropping-particle" : "", "family" : "Neer", "given" : "R M", "non-dropping-particle" : "", "parse-names" : false, "suffix" : "" }, { "dropping-particle" : "", "family" : "Goldberg", "given" : "M J", "non-dropping-particle" : "", "parse-names" : false, "suffix" : "" }, { "dropping-particle" : "", "family" : "Bitman", "given" : "W", "non-dropping-particle" : "", "parse-names" : false, "suffix" : "" }, { "dropping-particle" : "", "family" : "Wolfe", "given" : "H J", "non-dropping-particle" : "", "parse-names" : false, "suffix" : "" } ], "container-title" : "Gastroenterology", "id" : "ITEM-2", "issue" : "1 Pt 1", "issued" : { "date-parts" : [ [ "1982" ] ] }, "page" : "97-102", "title" : "Osteoporosis in primary biliary cirrhosis: effects of 25-hydroxyvitamin D3 treatment.", "type" : "article-journal", "volume" : "83" }, "uris" : [ "http://www.mendeley.com/documents/?uuid=950a69ed-4a6f-4b83-a25b-4b26a687dcb9" ] } ], "mendeley" : { "formattedCitation" : "&lt;sup&gt;[30,31]&lt;/sup&gt;", "plainTextFormattedCitation" : "[30,31]", "previouslyFormattedCitation" : "&lt;sup&gt;[30,31]&lt;/sup&gt;"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[30,31]</w:t>
      </w:r>
      <w:r w:rsidR="00E21B32" w:rsidRPr="002D44D6">
        <w:rPr>
          <w:rFonts w:ascii="Book Antiqua" w:hAnsi="Book Antiqua" w:cs="Arial"/>
          <w:color w:val="000000"/>
        </w:rPr>
        <w:fldChar w:fldCharType="end"/>
      </w:r>
      <w:r w:rsidR="004113B5" w:rsidRPr="002D44D6">
        <w:rPr>
          <w:rFonts w:ascii="Book Antiqua" w:hAnsi="Book Antiqua" w:cs="Arial"/>
          <w:color w:val="000000"/>
        </w:rPr>
        <w:t xml:space="preserve">. </w:t>
      </w:r>
      <w:r w:rsidR="0070482E" w:rsidRPr="002D44D6">
        <w:rPr>
          <w:rFonts w:ascii="Book Antiqua" w:hAnsi="Book Antiqua" w:cs="Arial"/>
          <w:color w:val="000000"/>
        </w:rPr>
        <w:t>While vitamin D absorption may be impaired in those taking cholestyramine, this is overcome by increasing the oral dose of vitamin D</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"PMID" : "66519", "abstract" : "Bone histology and intestinal absorption of 25-hydroxyvitamin D3 (25-OHD) were investigated in 11 patients with primary biliary cirrhosis (P.B.C.). 4 patients had osteomalacia, and all these had received long-term cholestyramine. Plasma-25-hydroxyvitamin-D (25-OHD) concentrations after an oral dose of 25-OHD3 were significantly lower in the patients with P.B.C. (especially those with osteomalacia) than in normal controls. Serum calcium and urinary calcium excretion were lower, and serum-alkaline-phosphatase higher, in patients with osteomalacia. It is suggested that absorption of 25-OHD undergoing enterohepatic circulation and of dietary vitamin D is reduced in patients with P.B.C. Absorption of 25-OHD is further decreased by cholestyramine and the development of osteomalacia is thus hastened.", "author" : [ { "dropping-particle" : "", "family" : "Compston", "given" : "Juliet E.", "non-dropping-particle" : "", "parse-names" : false, "suffix" : "" }, { "dropping-particle" : "", "family" : "Thompson", "given" : "R P", "non-dropping-particle" : "", "parse-names" : false, "suffix" : "" } ], "container-title" : "The Lancet", "id" : "ITEM-1", "issue" : "1804", "issued" : { "date-parts" : [ [ "1977" ] ] }, "page" : "721-724", "title" : "Intestinal absorption of 25-hydroxyvitamin D and osteomalacia in primary biliary cirrhosis", "type" : "article-journal", "volume" : "1" }, "uris" : [ "http://www.mendeley.com/documents/?uuid=860c910e-8c1a-4ac9-aa85-7b86dcaeaf75" ] } ], "mendeley" : { "formattedCitation" : "&lt;sup&gt;[32]&lt;/sup&gt;", "plainTextFormattedCitation" : "[32]", "previouslyFormattedCitation" : "&lt;sup&gt;[32]&lt;/sup&gt;"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[32]</w:t>
      </w:r>
      <w:r w:rsidR="00E21B32" w:rsidRPr="002D44D6">
        <w:rPr>
          <w:rFonts w:ascii="Book Antiqua" w:hAnsi="Book Antiqua" w:cs="Arial"/>
          <w:color w:val="000000"/>
        </w:rPr>
        <w:fldChar w:fldCharType="end"/>
      </w:r>
      <w:r w:rsidR="004113B5" w:rsidRPr="002D44D6">
        <w:rPr>
          <w:rFonts w:ascii="Book Antiqua" w:hAnsi="Book Antiqua" w:cs="Arial"/>
          <w:color w:val="000000"/>
        </w:rPr>
        <w:t>.</w:t>
      </w:r>
      <w:r w:rsidR="00E21B32" w:rsidRPr="002D44D6">
        <w:rPr>
          <w:rFonts w:ascii="Book Antiqua" w:hAnsi="Book Antiqua" w:cs="Arial"/>
          <w:color w:val="000000"/>
        </w:rPr>
        <w:t xml:space="preserve"> </w:t>
      </w:r>
    </w:p>
    <w:p w14:paraId="312D0263" w14:textId="77777777" w:rsidR="00474D92" w:rsidRPr="002D44D6" w:rsidRDefault="00474D92" w:rsidP="002D44D6">
      <w:pPr>
        <w:widowControl w:val="0"/>
        <w:adjustRightInd w:val="0"/>
        <w:snapToGrid w:val="0"/>
        <w:spacing w:line="360" w:lineRule="auto"/>
        <w:jc w:val="both"/>
        <w:rPr>
          <w:rFonts w:ascii="Book Antiqua" w:hAnsi="Book Antiqua" w:cs="Times New Roman"/>
        </w:rPr>
      </w:pPr>
    </w:p>
    <w:p w14:paraId="40491C8F" w14:textId="1588EEE4" w:rsidR="00E13F25" w:rsidRPr="00E21B32" w:rsidRDefault="00E13F25" w:rsidP="002D44D6">
      <w:pPr>
        <w:widowControl w:val="0"/>
        <w:adjustRightInd w:val="0"/>
        <w:snapToGrid w:val="0"/>
        <w:spacing w:line="360" w:lineRule="auto"/>
        <w:jc w:val="both"/>
        <w:rPr>
          <w:rFonts w:ascii="Book Antiqua" w:hAnsi="Book Antiqua" w:cs="Arial"/>
          <w:b/>
          <w:i/>
          <w:iCs/>
          <w:color w:val="000000"/>
        </w:rPr>
      </w:pPr>
      <w:r w:rsidRPr="00E21B32">
        <w:rPr>
          <w:rFonts w:ascii="Book Antiqua" w:hAnsi="Book Antiqua" w:cs="Arial"/>
          <w:b/>
          <w:i/>
          <w:iCs/>
          <w:color w:val="000000"/>
        </w:rPr>
        <w:lastRenderedPageBreak/>
        <w:t xml:space="preserve">Diagnosis and </w:t>
      </w:r>
      <w:r w:rsidR="00E21B32" w:rsidRPr="00E21B32">
        <w:rPr>
          <w:rFonts w:ascii="Book Antiqua" w:hAnsi="Book Antiqua" w:cs="Arial"/>
          <w:b/>
          <w:i/>
          <w:iCs/>
          <w:color w:val="000000"/>
        </w:rPr>
        <w:t>m</w:t>
      </w:r>
      <w:r w:rsidRPr="00E21B32">
        <w:rPr>
          <w:rFonts w:ascii="Book Antiqua" w:hAnsi="Book Antiqua" w:cs="Arial"/>
          <w:b/>
          <w:i/>
          <w:iCs/>
          <w:color w:val="000000"/>
        </w:rPr>
        <w:t>onitoring</w:t>
      </w:r>
    </w:p>
    <w:p w14:paraId="4FD9669A" w14:textId="1E279435" w:rsidR="00E13F25" w:rsidRPr="002D44D6" w:rsidRDefault="00245B5D" w:rsidP="002D44D6">
      <w:pPr>
        <w:widowControl w:val="0"/>
        <w:adjustRightInd w:val="0"/>
        <w:snapToGrid w:val="0"/>
        <w:spacing w:line="360" w:lineRule="auto"/>
        <w:jc w:val="both"/>
        <w:rPr>
          <w:rFonts w:ascii="Book Antiqua" w:hAnsi="Book Antiqua" w:cs="Times New Roman"/>
        </w:rPr>
      </w:pPr>
      <w:r w:rsidRPr="002D44D6">
        <w:rPr>
          <w:rFonts w:ascii="Book Antiqua" w:hAnsi="Book Antiqua" w:cs="Arial"/>
          <w:color w:val="000000"/>
        </w:rPr>
        <w:t>No data exists as to the optimal timing of screening and monitoring for osteoporosis in PBC, however, e</w:t>
      </w:r>
      <w:r w:rsidR="00E13F25" w:rsidRPr="002D44D6">
        <w:rPr>
          <w:rFonts w:ascii="Book Antiqua" w:hAnsi="Book Antiqua" w:cs="Arial"/>
          <w:color w:val="000000"/>
        </w:rPr>
        <w:t>xpert opinion recommends bone densitometry be performed in all PBC patients at diagnosis</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"10.1002/hep.22906", "ISBN" : "1527-3350 (Electronic)\\r0270-9139 (Linking)", "ISSN" : "02709139", "PMID" : "19554543", "abstract" : "These recommendations provide a data-supported ap-proach to the management of primary biliary cirrhosis (PBC). They are based on the following: (1) formal review and analysis of the recently published world literature on the topic (Medline search); (2) American College of Phy-sicians Manual for Assessing Health Practices and Designing Practice Guidelines 1 ; (3) guideline policies, including the AASLD Policy on the Development and Use of Practice Guidelines and the American Gastroenterological Associ-ation Policy Statement on Guidelines 2 ; and (4) the expe-rience of the authors in the specified topic. Intended for use by physicians, these recommendations suggest pre-ferred approaches to the diagnostic, therapeutic, and pre-ventive aspects of care. They are intended to be flexible, in contrast to standards of care, which are inflexible policies to be followed in every case. Specific recommendations are based on relevant published information. To more fully characterize the quality of evidence supporting rec-ommendations, the Practice Guideline Committee of the AASLD requires a Class (reflecting benefit versus risk) and Level (assessing strength or certainty) of Evidence to be assigned and reported with each recommendation (Ta-ble 1, adapted from the American College of Cardiology and the American Heart Association Practice Guide-lines 3).", "author" : [ { "dropping-particle" : "", "family" : "Lindor", "given" : "Keith D.", "non-dropping-particle" : "", "parse-names" : false, "suffix" : "" }, { "dropping-particle" : "", "family" : "Gershwin", "given" : "M. Eric", "non-dropping-particle" : "", "parse-names" : false, "suffix" : "" }, { "dropping-particle" : "", "family" : "Poupon", "given" : "Raoul", "non-dropping-particle" : "", "parse-names" : false, "suffix" : "" }, { "dropping-particle" : "", "family" : "Kaplan", "given" : "Marshall", "non-dropping-particle" : "", "parse-names" : false, "suffix" : "" }, { "dropping-particle" : "V.", "family" : "Bergasa", "given" : "Nora", "non-dropping-particle" : "", "parse-names" : false, "suffix" : "" }, { "dropping-particle" : "", "family" : "Heathcote", "given" : "E. Jenny", "non-dropping-particle" : "", "parse-names" : false, "suffix" : "" } ], "container-title" : "Hepatology", "id" : "ITEM-1", "issue" : "1", "issued" : { "date-parts" : [ [ "2009" ] ] }, "page" : "291-308", "title" : "Primary biliary cirrhosis", "type" : "article-journal", "volume" : "50" }, "uris" : [ "http://www.mendeley.com/documents/?uuid=1c2284db-43a8-4aac-a5b7-075305957b34" ] } ], "mendeley" : { "formattedCitation" : "&lt;sup&gt;[11]&lt;/sup&gt;", "plainTextFormattedCitation" : "[11]", "previouslyFormattedCitation" : "&lt;sup&gt;[11]&lt;/sup&gt;"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[11]</w:t>
      </w:r>
      <w:r w:rsidR="00E21B32" w:rsidRPr="002D44D6">
        <w:rPr>
          <w:rFonts w:ascii="Book Antiqua" w:hAnsi="Book Antiqua" w:cs="Arial"/>
          <w:color w:val="000000"/>
        </w:rPr>
        <w:fldChar w:fldCharType="end"/>
      </w:r>
      <w:r w:rsidR="00E13F25" w:rsidRPr="002D44D6">
        <w:rPr>
          <w:rFonts w:ascii="Book Antiqua" w:hAnsi="Book Antiqua" w:cs="Arial"/>
          <w:color w:val="000000"/>
        </w:rPr>
        <w:t xml:space="preserve">. </w:t>
      </w:r>
      <w:r w:rsidR="00FE4DD3" w:rsidRPr="002D44D6">
        <w:rPr>
          <w:rFonts w:ascii="Book Antiqua" w:eastAsia="Times New Roman" w:hAnsi="Book Antiqua" w:cs="Arial"/>
        </w:rPr>
        <w:t xml:space="preserve">The World Health Organization defines osteoporosis as </w:t>
      </w:r>
      <w:r w:rsidR="003544E9" w:rsidRPr="002D44D6">
        <w:rPr>
          <w:rFonts w:ascii="Book Antiqua" w:eastAsia="Times New Roman" w:hAnsi="Book Antiqua" w:cs="Arial"/>
        </w:rPr>
        <w:t>BMD</w:t>
      </w:r>
      <w:r w:rsidR="00FE4DD3" w:rsidRPr="002D44D6">
        <w:rPr>
          <w:rFonts w:ascii="Book Antiqua" w:eastAsia="Times New Roman" w:hAnsi="Book Antiqua" w:cs="Arial"/>
        </w:rPr>
        <w:t xml:space="preserve"> at the spine or proximal femur less than 2.5 standard deviations (SDs) below the mean of a young adult population (expressed as a T score)</w:t>
      </w:r>
      <w:r w:rsidR="00E21B32" w:rsidRPr="002D44D6">
        <w:rPr>
          <w:rFonts w:ascii="Book Antiqua" w:eastAsia="Times New Roman" w:hAnsi="Book Antiqua" w:cs="Arial"/>
        </w:rPr>
        <w:fldChar w:fldCharType="begin" w:fldLock="1"/>
      </w:r>
      <w:r w:rsidR="00E21B32" w:rsidRPr="002D44D6">
        <w:rPr>
          <w:rFonts w:ascii="Book Antiqua" w:eastAsia="Times New Roman" w:hAnsi="Book Antiqua" w:cs="Arial"/>
        </w:rPr>
        <w:instrText>ADDIN CSL_CITATION { "citationItems" : [ { "id" : "ITEM-1", "itemData" : { "DOI" : "10.2165/00002018-200932030-00004", "ISBN" : "0114-5916 (Print) 0114-5916 (Linking)", "ISSN" : "0114-5916", "PMID" : "20945569", "abstract" : "This first-ever Surgeon General\u2019s Report on bone health and osteoporosis illustrates the large burden that bone disease places on our Nation and its citizens. Like other chronic diseases that disproportionately affect the elderly, the prevalence of bone disease and fractures is projected to increase markedly as the population ages. If these predictions come true, bone disease and fractures will have a tremendous negative impact on the future well-being of Americans. But as this report makes clear, they need not come true: by working together we can change the picture of aging in America. Osteoporosis, fractures, and other chronic diseases no longer should be thought of as an inevitable part of growing old. By focusing on prevention and lifestyle changes, including physical activity and nutrition, as well as early diagnosis and appropriate treatment, Americans can avoid much of the damaging impact of bone disease and other chronic diseases.", "author" : [ { "dropping-particle" : "", "family" : "US Department of Health and Human Services", "given" : "", "non-dropping-particle" : "", "parse-names" : false, "suffix" : "" } ], "container-title" : "US Health and Human Services", "id" : "ITEM-1", "issued" : { "date-parts" : [ [ "2004" ] ] }, "page" : "437", "title" : "Bone health and osteoporosis: a report of the Surgeon General", "type" : "article-journal" }, "uris" : [ "http://www.mendeley.com/documents/?uuid=3804af81-963c-47ae-ae30-8ad79372e82c" ] } ], "mendeley" : { "formattedCitation" : "&lt;sup&gt;[33]&lt;/sup&gt;", "plainTextFormattedCitation" : "[33]", "previouslyFormattedCitation" : "&lt;sup&gt;[33]&lt;/sup&gt;" }, "properties" : { "noteIndex" : 0 }, "schema" : "https://github.com/citation-style-language/schema/raw/master/csl-citation.json" }</w:instrText>
      </w:r>
      <w:r w:rsidR="00E21B32" w:rsidRPr="002D44D6">
        <w:rPr>
          <w:rFonts w:ascii="Book Antiqua" w:eastAsia="Times New Roman" w:hAnsi="Book Antiqua" w:cs="Arial"/>
        </w:rPr>
        <w:fldChar w:fldCharType="separate"/>
      </w:r>
      <w:r w:rsidR="00E21B32" w:rsidRPr="002D44D6">
        <w:rPr>
          <w:rFonts w:ascii="Book Antiqua" w:eastAsia="Times New Roman" w:hAnsi="Book Antiqua" w:cs="Arial"/>
          <w:noProof/>
          <w:vertAlign w:val="superscript"/>
        </w:rPr>
        <w:t>[33]</w:t>
      </w:r>
      <w:r w:rsidR="00E21B32" w:rsidRPr="002D44D6">
        <w:rPr>
          <w:rFonts w:ascii="Book Antiqua" w:eastAsia="Times New Roman" w:hAnsi="Book Antiqua" w:cs="Arial"/>
        </w:rPr>
        <w:fldChar w:fldCharType="end"/>
      </w:r>
      <w:r w:rsidR="004113B5" w:rsidRPr="002D44D6">
        <w:rPr>
          <w:rFonts w:ascii="Book Antiqua" w:eastAsia="Times New Roman" w:hAnsi="Book Antiqua" w:cs="Arial"/>
        </w:rPr>
        <w:t>.</w:t>
      </w:r>
      <w:r w:rsidR="00FE4DD3" w:rsidRPr="002D44D6">
        <w:rPr>
          <w:rFonts w:ascii="Book Antiqua" w:eastAsia="Times New Roman" w:hAnsi="Book Antiqua" w:cs="Arial"/>
        </w:rPr>
        <w:t xml:space="preserve"> Osteopenia refers to those with a T score between -1.0 and -2.5 SDs below the mean. </w:t>
      </w:r>
      <w:r w:rsidR="00E13F25" w:rsidRPr="002D44D6">
        <w:rPr>
          <w:rFonts w:ascii="Book Antiqua" w:hAnsi="Book Antiqua" w:cs="Arial"/>
          <w:color w:val="000000"/>
        </w:rPr>
        <w:t>Patients</w:t>
      </w:r>
      <w:r w:rsidR="00C06449" w:rsidRPr="002D44D6">
        <w:rPr>
          <w:rFonts w:ascii="Book Antiqua" w:hAnsi="Book Antiqua" w:cs="Arial"/>
          <w:color w:val="000000"/>
        </w:rPr>
        <w:t xml:space="preserve"> </w:t>
      </w:r>
      <w:r w:rsidR="00E13F25" w:rsidRPr="002D44D6">
        <w:rPr>
          <w:rFonts w:ascii="Book Antiqua" w:hAnsi="Book Antiqua" w:cs="Arial"/>
          <w:color w:val="000000"/>
        </w:rPr>
        <w:t>who initially have normal bone densi</w:t>
      </w:r>
      <w:r w:rsidR="00C06449" w:rsidRPr="002D44D6">
        <w:rPr>
          <w:rFonts w:ascii="Book Antiqua" w:hAnsi="Book Antiqua" w:cs="Arial"/>
          <w:color w:val="000000"/>
        </w:rPr>
        <w:t>tometry should be reassessed every</w:t>
      </w:r>
      <w:r w:rsidR="00E13F25" w:rsidRPr="002D44D6">
        <w:rPr>
          <w:rFonts w:ascii="Book Antiqua" w:hAnsi="Book Antiqua" w:cs="Arial"/>
          <w:color w:val="000000"/>
        </w:rPr>
        <w:t xml:space="preserve"> 2-3 year</w:t>
      </w:r>
      <w:r w:rsidR="00C06449" w:rsidRPr="002D44D6">
        <w:rPr>
          <w:rFonts w:ascii="Book Antiqua" w:hAnsi="Book Antiqua" w:cs="Arial"/>
          <w:color w:val="000000"/>
        </w:rPr>
        <w:t xml:space="preserve">s with repeat bone densitometry, while those with additional risk factors for low </w:t>
      </w:r>
      <w:r w:rsidR="00A95E1F" w:rsidRPr="002D44D6">
        <w:rPr>
          <w:rFonts w:ascii="Book Antiqua" w:hAnsi="Book Antiqua" w:cs="Arial"/>
          <w:color w:val="000000"/>
        </w:rPr>
        <w:t>bone density and fractures (</w:t>
      </w:r>
      <w:r w:rsidR="00A95E1F" w:rsidRPr="002D44D6">
        <w:rPr>
          <w:rFonts w:ascii="Book Antiqua" w:hAnsi="Book Antiqua" w:cs="Arial"/>
          <w:i/>
          <w:color w:val="000000"/>
        </w:rPr>
        <w:t>i.e.</w:t>
      </w:r>
      <w:r w:rsidR="00E02673">
        <w:rPr>
          <w:rFonts w:ascii="Book Antiqua" w:eastAsia="SimSun" w:hAnsi="Book Antiqua" w:cs="Arial" w:hint="eastAsia"/>
          <w:color w:val="000000"/>
          <w:lang w:eastAsia="zh-CN"/>
        </w:rPr>
        <w:t>,</w:t>
      </w:r>
      <w:r w:rsidR="00C06449" w:rsidRPr="002D44D6">
        <w:rPr>
          <w:rFonts w:ascii="Book Antiqua" w:hAnsi="Book Antiqua" w:cs="Arial"/>
          <w:color w:val="000000"/>
        </w:rPr>
        <w:t xml:space="preserve"> severe cholestasis, long-term corticosteroid use, postmenopausal women, BMI</w:t>
      </w:r>
      <w:r w:rsidR="00E21B32">
        <w:rPr>
          <w:rFonts w:ascii="Book Antiqua" w:eastAsia="SimSun" w:hAnsi="Book Antiqua" w:cs="Arial" w:hint="eastAsia"/>
          <w:color w:val="000000"/>
          <w:lang w:eastAsia="zh-CN"/>
        </w:rPr>
        <w:t xml:space="preserve"> </w:t>
      </w:r>
      <w:r w:rsidR="00C06449" w:rsidRPr="002D44D6">
        <w:rPr>
          <w:rFonts w:ascii="Book Antiqua" w:hAnsi="Book Antiqua" w:cs="Arial"/>
          <w:color w:val="000000"/>
        </w:rPr>
        <w:t>&lt;</w:t>
      </w:r>
      <w:r w:rsidR="00E21B32">
        <w:rPr>
          <w:rFonts w:ascii="Book Antiqua" w:eastAsia="SimSun" w:hAnsi="Book Antiqua" w:cs="Arial" w:hint="eastAsia"/>
          <w:color w:val="000000"/>
          <w:lang w:eastAsia="zh-CN"/>
        </w:rPr>
        <w:t xml:space="preserve"> </w:t>
      </w:r>
      <w:r w:rsidR="00C06449" w:rsidRPr="002D44D6">
        <w:rPr>
          <w:rFonts w:ascii="Book Antiqua" w:hAnsi="Book Antiqua" w:cs="Arial"/>
          <w:color w:val="000000"/>
        </w:rPr>
        <w:t xml:space="preserve">19, </w:t>
      </w:r>
      <w:r w:rsidR="007F7A3F" w:rsidRPr="002D44D6">
        <w:rPr>
          <w:rFonts w:ascii="Book Antiqua" w:hAnsi="Book Antiqua" w:cs="Arial"/>
          <w:color w:val="000000"/>
        </w:rPr>
        <w:t xml:space="preserve">menopause before age 45, </w:t>
      </w:r>
      <w:r w:rsidR="00C06449" w:rsidRPr="002D44D6">
        <w:rPr>
          <w:rFonts w:ascii="Book Antiqua" w:hAnsi="Book Antiqua" w:cs="Arial"/>
          <w:color w:val="000000"/>
        </w:rPr>
        <w:t xml:space="preserve">alcohol abuse, smoking) </w:t>
      </w:r>
      <w:r w:rsidR="004113B5" w:rsidRPr="002D44D6">
        <w:rPr>
          <w:rFonts w:ascii="Book Antiqua" w:hAnsi="Book Antiqua" w:cs="Arial"/>
          <w:color w:val="000000"/>
        </w:rPr>
        <w:t xml:space="preserve">should be reassessed annually. </w:t>
      </w:r>
      <w:r w:rsidR="00E13F25" w:rsidRPr="002D44D6">
        <w:rPr>
          <w:rFonts w:ascii="Book Antiqua" w:hAnsi="Book Antiqua" w:cs="Arial"/>
          <w:color w:val="000000"/>
        </w:rPr>
        <w:t>Serum calcium, phosphorus, 25-vitamin D, and parathyroid hormone levels should also be checked at diagnosis of PBC and yearly thereafter</w:t>
      </w:r>
      <w:r w:rsidR="004113B5" w:rsidRPr="002D44D6">
        <w:rPr>
          <w:rFonts w:ascii="Book Antiqua" w:hAnsi="Book Antiqua" w:cs="Arial"/>
          <w:color w:val="000000"/>
        </w:rPr>
        <w:t>.</w:t>
      </w:r>
      <w:r w:rsidR="00121A65" w:rsidRPr="002D44D6">
        <w:rPr>
          <w:rFonts w:ascii="Book Antiqua" w:hAnsi="Book Antiqua" w:cs="Arial"/>
          <w:color w:val="000000"/>
        </w:rPr>
        <w:fldChar w:fldCharType="begin" w:fldLock="1"/>
      </w:r>
      <w:r w:rsidR="00DB6418" w:rsidRPr="002D44D6">
        <w:rPr>
          <w:rFonts w:ascii="Book Antiqua" w:hAnsi="Book Antiqua" w:cs="Arial"/>
          <w:color w:val="000000"/>
        </w:rPr>
        <w:instrText>ADDIN CSL_CITATION { "citationItems" : [ { "id" : "ITEM-1", "itemData" : { "DOI" : "10.1016/S0016-5085(03)01062-X", "ISBN" : "0016-5085 (Print)\\n0016-5085 (Linking)", "ISSN" : "00165085", "PMID" : "12612917", "abstract" : "BackgroundStandards for good practice in clinical risk management issued by the Clinical Negligence Scheme for Trusts indicate that appropriate information is provided to patients on the risks and benefits of proposed treatment, and of the alternatives available before a signature on a consent form is sought. AimsTo investigate the practicability and patient acceptability of a postal information and consent booklet for patients undergoing outpatient gastroscopy. MethodsInformation about gastroscopy procedure, personalised appointment details, and a carbonised consent form were compiled into a single booklet. This was mailed to patients well in advance of their endoscopic procedure. Patient satisfaction for this new process was assessed by questionnaire. Results275 patients received a patient information booklet. Of these, 150 (54.5%) returned the consent form by post when they confirmed their attendance; 141 (94%) had signed the form, and the other nine requested further information. Of the remaining 125 booklets sent out, 115 (92%) forms were brought back on the day of the investigation having been previously signed. The remaining 10 (8%) required further information before signing the form. An audit of 168 patients was used to test reaction to the booklet and the idea of filling in the form before coming to hospital; 155 patients (92.2%) reported the information given in the booklet to be very useful, and all reported it to be clear and understandable. ConclusionA specifically designed patient information booklet with integral consent form is accepted by patients, and improves the level of understanding prior to the investigation being carried out.", "author" : [ { "dropping-particle" : "", "family" : "Leslie", "given" : "William D.", "non-dropping-particle" : "", "parse-names" : false, "suffix" : "" }, { "dropping-particle" : "", "family" : "Bernstein", "given" : "Charles N.", "non-dropping-particle" : "", "parse-names" : false, "suffix" : "" }, { "dropping-particle" : "", "family" : "Leboff", "given" : "Meryl S.", "non-dropping-particle" : "", "parse-names" : false, "suffix" : "" } ], "container-title" : "Gastroenterology", "id" : "ITEM-1", "issue" : "3", "issued" : { "date-parts" : [ [ "2003" ] ] }, "page" : "941-966", "title" : "AGA technical review on osteoporosis in hepatic disorders", "type" : "article-journal", "volume" : "125" }, "uris" : [ "http://www.mendeley.com/documents/?uuid=fd7000cf-2bcf-4412-ac4e-a5a9d1f9953d" ] }, { "id" : "ITEM-2", "itemData" : { "DOI" : "10.1016/j.cld.2008.02.005", "ISSN" : "10893261", "PMID" : "18456188", "abstract" : "Osteoporosis, characterized by loss of bone strength leading to fragility fractures, is a common event in patients who have primary biliary cirrhosis. Although its pathogenesis is not well known, it results mainly from low bone formation. There is no specific treatment, but bisphosphonates, especially alendronate, effectively increases bone mass and prevents bone loss. Despite these favorable effects on bone mass, no clear effects on decreasing the fracture rate are demonstrated, probably because of the low number of patients included in the trials. The potential usefulness of new agents requires further evaluation. ?? 2008 Elsevier Inc. All rights reserved.", "author" : [ { "dropping-particle" : "", "family" : "Pares", "given" : "Albert", "non-dropping-particle" : "", "parse-names" : false, "suffix" : "" }, { "dropping-particle" : "", "family" : "Guanabens", "given" : "Nuria", "non-dropping-particle" : "", "parse-names" : false, "suffix" : "" } ], "container-title" : "Clinics in Liver Disease", "id" : "ITEM-2", "issue" : "2", "issued" : { "date-parts" : [ [ "2008" ] ] }, "page" : "407-424", "title" : "Osteoporosis in Primary Biliary Cirrhosis: Pathogenesis and Treatment", "type" : "article-journal", "volume" : "12" }, "uris" : [ "http://www.mendeley.com/documents/?uuid=71354740-4005-46bc-86db-94e5485c07eb" ] }, { "id" : "ITEM-3", "itemData" : { "DOI" : "10.1016/j.gtc.2016.02.009", "ISSN" : "08898553", "PMID" : "27261902", "author" : [ { "dropping-particle" : "", "family" : "Glass", "given" : "Lisa M", "non-dropping-particle" : "", "parse-names" : false, "suffix" : "" }, { "dropping-particle" : "", "family" : "Li-Chun Su", "given" : "Grace", "non-dropping-particle" : "", "parse-names" : false, "suffix" : "" } ], "container-title" : "Gastroenterology Clinics of NA", "id" : "ITEM-3", "issue" : "2", "issued" : { "date-parts" : [ [ "2016" ] ] }, "page" : "333-343", "publisher" : "Elsevier Inc", "title" : "Metabolic Bone Disease in Primary Biliary Cirrhosis", "type" : "article-journal", "volume" : "45" }, "uris" : [ "http://www.mendeley.com/documents/?uuid=08ff350b-0386-4ceb-a6b5-061040a9b712" ] } ], "mendeley" : { "formattedCitation" : "&lt;sup&gt;[14,34,35]&lt;/sup&gt;", "plainTextFormattedCitation" : "[14,34,35]", "previouslyFormattedCitation" : "&lt;sup&gt;[14,34,35]&lt;/sup&gt;" }, "properties" : { "noteIndex" : 0 }, "schema" : "https://github.com/citation-style-language/schema/raw/master/csl-citation.json" }</w:instrText>
      </w:r>
      <w:r w:rsidR="00121A65" w:rsidRPr="002D44D6">
        <w:rPr>
          <w:rFonts w:ascii="Book Antiqua" w:hAnsi="Book Antiqua" w:cs="Arial"/>
          <w:color w:val="000000"/>
        </w:rPr>
        <w:fldChar w:fldCharType="separate"/>
      </w:r>
      <w:r w:rsidR="004113B5" w:rsidRPr="002D44D6">
        <w:rPr>
          <w:rFonts w:ascii="Book Antiqua" w:hAnsi="Book Antiqua" w:cs="Arial"/>
          <w:noProof/>
          <w:color w:val="000000"/>
          <w:vertAlign w:val="superscript"/>
        </w:rPr>
        <w:t>[14,34,35]</w:t>
      </w:r>
      <w:r w:rsidR="00121A65" w:rsidRPr="002D44D6">
        <w:rPr>
          <w:rFonts w:ascii="Book Antiqua" w:hAnsi="Book Antiqua" w:cs="Arial"/>
          <w:color w:val="000000"/>
        </w:rPr>
        <w:fldChar w:fldCharType="end"/>
      </w:r>
      <w:r w:rsidRPr="002D44D6">
        <w:rPr>
          <w:rFonts w:ascii="Book Antiqua" w:hAnsi="Book Antiqua" w:cs="Arial"/>
          <w:color w:val="000000"/>
        </w:rPr>
        <w:t xml:space="preserve"> </w:t>
      </w:r>
      <w:r w:rsidR="006C006F" w:rsidRPr="002D44D6">
        <w:rPr>
          <w:rFonts w:ascii="Book Antiqua" w:hAnsi="Book Antiqua" w:cs="Arial"/>
          <w:color w:val="000000"/>
        </w:rPr>
        <w:t>Patients in whom treatment has been initiated should have repeat BMD measured every 1</w:t>
      </w:r>
      <w:r w:rsidR="00E21B32">
        <w:rPr>
          <w:rFonts w:ascii="Book Antiqua" w:eastAsia="SimSun" w:hAnsi="Book Antiqua" w:cs="Arial" w:hint="eastAsia"/>
          <w:color w:val="000000"/>
          <w:lang w:eastAsia="zh-CN"/>
        </w:rPr>
        <w:t>-</w:t>
      </w:r>
      <w:r w:rsidR="006C006F" w:rsidRPr="002D44D6">
        <w:rPr>
          <w:rFonts w:ascii="Book Antiqua" w:hAnsi="Book Antiqua" w:cs="Arial"/>
          <w:color w:val="000000"/>
        </w:rPr>
        <w:t>2 years</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"10.1007/s00198-014-2794-2", "ISBN" : "978-0-9798989-9-0", "ISSN" : "14332965", "PMID" : "25182228", "abstract" : "The Clinician\u2019s Guide to Prevention and Treatment of Osteoporosis was developed by an expert committee of the National Osteoporosis Foundation (NOF) in collaboration with a multispecialty council of medical experts in the field of bone health convened by NOF. Readers are urged to consult current prescribing information on any drug, device, or procedure discussed in this publication.", "author" : [ { "dropping-particle" : "", "family" : "Cosman", "given" : "F.", "non-dropping-particle" : "", "parse-names" : false, "suffix" : "" }, { "dropping-particle" : "", "family" : "Beur", "given" : "S. J.", "non-dropping-particle" : "de", "parse-names" : false, "suffix" : "" }, { "dropping-particle" : "", "family" : "LeBoff", "given" : "M. S.", "non-dropping-particle" : "", "parse-names" : false, "suffix" : "" }, { "dropping-particle" : "", "family" : "Lewiecki", "given" : "E. M.", "non-dropping-particle" : "", "parse-names" : false, "suffix" : "" }, { "dropping-particle" : "", "family" : "Tanner", "given" : "B.", "non-dropping-particle" : "", "parse-names" : false, "suffix" : "" }, { "dropping-particle" : "", "family" : "Randall", "given" : "S.", "non-dropping-particle" : "", "parse-names" : false, "suffix" : "" }, { "dropping-particle" : "", "family" : "Lindsay", "given" : "R.", "non-dropping-particle" : "", "parse-names" : false, "suffix" : "" } ], "container-title" : "Osteoporosis International", "id" : "ITEM-1", "issue" : "10", "issued" : { "date-parts" : [ [ "2014" ] ] }, "page" : "2359-2381", "title" : "Clinician's Guide to Prevention and Treatment of Osteoporosis", "type" : "article-journal", "volume" : "25" }, "uris" : [ "http://www.mendeley.com/documents/?uuid=282b3816-fe0b-43d5-82a5-cc7fe228881a" ] } ], "mendeley" : { "formattedCitation" : "&lt;sup&gt;[36]&lt;/sup&gt;", "plainTextFormattedCitation" : "[36]", "previouslyFormattedCitation" : "&lt;sup&gt;[36]&lt;/sup&gt;"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[36]</w:t>
      </w:r>
      <w:r w:rsidR="00E21B32" w:rsidRPr="002D44D6">
        <w:rPr>
          <w:rFonts w:ascii="Book Antiqua" w:hAnsi="Book Antiqua" w:cs="Arial"/>
          <w:color w:val="000000"/>
        </w:rPr>
        <w:fldChar w:fldCharType="end"/>
      </w:r>
      <w:r w:rsidR="004113B5" w:rsidRPr="002D44D6">
        <w:rPr>
          <w:rFonts w:ascii="Book Antiqua" w:hAnsi="Book Antiqua" w:cs="Arial"/>
          <w:color w:val="000000"/>
        </w:rPr>
        <w:t>.</w:t>
      </w:r>
      <w:r w:rsidR="00E21B32" w:rsidRPr="002D44D6">
        <w:rPr>
          <w:rFonts w:ascii="Book Antiqua" w:hAnsi="Book Antiqua" w:cs="Times New Roman"/>
        </w:rPr>
        <w:t xml:space="preserve"> </w:t>
      </w:r>
    </w:p>
    <w:p w14:paraId="720B0175" w14:textId="77777777" w:rsidR="00FE4DD3" w:rsidRPr="002D44D6" w:rsidRDefault="00FE4DD3" w:rsidP="002D44D6">
      <w:pPr>
        <w:widowControl w:val="0"/>
        <w:adjustRightInd w:val="0"/>
        <w:snapToGrid w:val="0"/>
        <w:spacing w:line="360" w:lineRule="auto"/>
        <w:jc w:val="both"/>
        <w:rPr>
          <w:rFonts w:ascii="Book Antiqua" w:hAnsi="Book Antiqua" w:cs="Arial"/>
          <w:b/>
          <w:color w:val="000000"/>
        </w:rPr>
      </w:pPr>
    </w:p>
    <w:p w14:paraId="68648036" w14:textId="52B68D67" w:rsidR="00B64D0E" w:rsidRPr="002D44D6" w:rsidRDefault="00C761F0" w:rsidP="002D44D6">
      <w:pPr>
        <w:widowControl w:val="0"/>
        <w:adjustRightInd w:val="0"/>
        <w:snapToGrid w:val="0"/>
        <w:spacing w:line="360" w:lineRule="auto"/>
        <w:jc w:val="both"/>
        <w:rPr>
          <w:rFonts w:ascii="Book Antiqua" w:hAnsi="Book Antiqua" w:cs="Arial"/>
          <w:b/>
          <w:color w:val="000000"/>
        </w:rPr>
      </w:pPr>
      <w:r w:rsidRPr="002D44D6">
        <w:rPr>
          <w:rFonts w:ascii="Book Antiqua" w:hAnsi="Book Antiqua" w:cs="Arial"/>
          <w:b/>
          <w:color w:val="000000"/>
        </w:rPr>
        <w:t>MANAGEMENT</w:t>
      </w:r>
    </w:p>
    <w:p w14:paraId="472FFCE7" w14:textId="062CB471" w:rsidR="00B64D0E" w:rsidRPr="002D44D6" w:rsidRDefault="00E13F25" w:rsidP="002D44D6">
      <w:pPr>
        <w:widowControl w:val="0"/>
        <w:adjustRightInd w:val="0"/>
        <w:snapToGrid w:val="0"/>
        <w:spacing w:line="360" w:lineRule="auto"/>
        <w:jc w:val="both"/>
        <w:rPr>
          <w:rFonts w:ascii="Book Antiqua" w:hAnsi="Book Antiqua" w:cs="Arial"/>
          <w:b/>
          <w:i/>
          <w:iCs/>
          <w:color w:val="000000"/>
        </w:rPr>
      </w:pPr>
      <w:r w:rsidRPr="002D44D6">
        <w:rPr>
          <w:rFonts w:ascii="Book Antiqua" w:hAnsi="Book Antiqua" w:cs="Arial"/>
          <w:b/>
          <w:i/>
          <w:iCs/>
          <w:color w:val="000000"/>
        </w:rPr>
        <w:t xml:space="preserve">Prevention </w:t>
      </w:r>
    </w:p>
    <w:p w14:paraId="0E1E0BAC" w14:textId="0801AFE4" w:rsidR="00E13F25" w:rsidRPr="002D44D6" w:rsidRDefault="00E13F25" w:rsidP="002D44D6">
      <w:pPr>
        <w:widowControl w:val="0"/>
        <w:adjustRightInd w:val="0"/>
        <w:snapToGrid w:val="0"/>
        <w:spacing w:line="360" w:lineRule="auto"/>
        <w:jc w:val="both"/>
        <w:rPr>
          <w:rFonts w:ascii="Book Antiqua" w:hAnsi="Book Antiqua" w:cs="Times New Roman"/>
        </w:rPr>
      </w:pPr>
      <w:r w:rsidRPr="002D44D6">
        <w:rPr>
          <w:rFonts w:ascii="Book Antiqua" w:hAnsi="Book Antiqua" w:cs="Arial"/>
          <w:color w:val="000000"/>
        </w:rPr>
        <w:t>General measures to prevent bone loss in PBC are extrapolated from osteoporosis risk fac</w:t>
      </w:r>
      <w:r w:rsidR="009C114E" w:rsidRPr="002D44D6">
        <w:rPr>
          <w:rFonts w:ascii="Book Antiqua" w:hAnsi="Book Antiqua" w:cs="Arial"/>
          <w:color w:val="000000"/>
        </w:rPr>
        <w:t>tors in the general population.</w:t>
      </w:r>
      <w:r w:rsidR="00E21B32">
        <w:rPr>
          <w:rFonts w:ascii="Book Antiqua" w:eastAsia="SimSun" w:hAnsi="Book Antiqua" w:cs="Arial" w:hint="eastAsia"/>
          <w:color w:val="000000"/>
          <w:lang w:eastAsia="zh-CN"/>
        </w:rPr>
        <w:t xml:space="preserve"> </w:t>
      </w:r>
      <w:r w:rsidRPr="002D44D6">
        <w:rPr>
          <w:rFonts w:ascii="Book Antiqua" w:hAnsi="Book Antiqua" w:cs="Arial"/>
          <w:color w:val="000000"/>
        </w:rPr>
        <w:t xml:space="preserve">Epidemiologic data suggests lifestyle factors such as tobacco and alcohol use, </w:t>
      </w:r>
      <w:r w:rsidR="00A265BC" w:rsidRPr="002D44D6">
        <w:rPr>
          <w:rFonts w:ascii="Book Antiqua" w:hAnsi="Book Antiqua" w:cs="Arial"/>
          <w:color w:val="000000"/>
        </w:rPr>
        <w:t xml:space="preserve">low dietary </w:t>
      </w:r>
      <w:r w:rsidRPr="002D44D6">
        <w:rPr>
          <w:rFonts w:ascii="Book Antiqua" w:hAnsi="Book Antiqua" w:cs="Arial"/>
          <w:color w:val="000000"/>
        </w:rPr>
        <w:t xml:space="preserve">calcium intake, and </w:t>
      </w:r>
      <w:r w:rsidR="00A265BC" w:rsidRPr="002D44D6">
        <w:rPr>
          <w:rFonts w:ascii="Book Antiqua" w:hAnsi="Book Antiqua" w:cs="Arial"/>
          <w:color w:val="000000"/>
        </w:rPr>
        <w:t xml:space="preserve">low levels of </w:t>
      </w:r>
      <w:r w:rsidRPr="002D44D6">
        <w:rPr>
          <w:rFonts w:ascii="Book Antiqua" w:hAnsi="Book Antiqua" w:cs="Arial"/>
          <w:color w:val="000000"/>
        </w:rPr>
        <w:t>exercise are associated with decreased bone density and fracture risk</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"10.2165/00002018-200932030-00004", "ISBN" : "0114-5916 (Print) 0114-5916 (Linking)", "ISSN" : "0114-5916", "PMID" : "20945569", "abstract" : "This first-ever Surgeon General\u2019s Report on bone health and osteoporosis illustrates the large burden that bone disease places on our Nation and its citizens. Like other chronic diseases that disproportionately affect the elderly, the prevalence of bone disease and fractures is projected to increase markedly as the population ages. If these predictions come true, bone disease and fractures will have a tremendous negative impact on the future well-being of Americans. But as this report makes clear, they need not come true: by working together we can change the picture of aging in America. Osteoporosis, fractures, and other chronic diseases no longer should be thought of as an inevitable part of growing old. By focusing on prevention and lifestyle changes, including physical activity and nutrition, as well as early diagnosis and appropriate treatment, Americans can avoid much of the damaging impact of bone disease and other chronic diseases.", "author" : [ { "dropping-particle" : "", "family" : "US Department of Health and Human Services", "given" : "", "non-dropping-particle" : "", "parse-names" : false, "suffix" : "" } ], "container-title" : "US Health and Human Services", "id" : "ITEM-1", "issued" : { "date-parts" : [ [ "2004" ] ] }, "page" : "437", "title" : "Bone health and osteoporosis: a report of the Surgeon General", "type" : "article-journal" }, "uris" : [ "http://www.mendeley.com/documents/?uuid=3804af81-963c-47ae-ae30-8ad79372e82c" ] } ], "mendeley" : { "formattedCitation" : "&lt;sup&gt;[33]&lt;/sup&gt;", "plainTextFormattedCitation" : "[33]", "previouslyFormattedCitation" : "&lt;sup&gt;[33]&lt;/sup&gt;"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[33]</w:t>
      </w:r>
      <w:r w:rsidR="00E21B32" w:rsidRPr="002D44D6">
        <w:rPr>
          <w:rFonts w:ascii="Book Antiqua" w:hAnsi="Book Antiqua" w:cs="Arial"/>
          <w:color w:val="000000"/>
        </w:rPr>
        <w:fldChar w:fldCharType="end"/>
      </w:r>
      <w:r w:rsidRPr="002D44D6">
        <w:rPr>
          <w:rFonts w:ascii="Book Antiqua" w:hAnsi="Book Antiqua" w:cs="Arial"/>
          <w:color w:val="000000"/>
        </w:rPr>
        <w:t>.</w:t>
      </w:r>
      <w:r w:rsidR="004113B5" w:rsidRPr="002D44D6">
        <w:rPr>
          <w:rFonts w:ascii="Book Antiqua" w:hAnsi="Book Antiqua" w:cs="Arial"/>
          <w:color w:val="000000"/>
        </w:rPr>
        <w:t xml:space="preserve"> </w:t>
      </w:r>
      <w:r w:rsidRPr="002D44D6">
        <w:rPr>
          <w:rFonts w:ascii="Book Antiqua" w:hAnsi="Book Antiqua" w:cs="Arial"/>
          <w:color w:val="000000"/>
        </w:rPr>
        <w:t>Based on this, tobacco and alcohol cessation are recommended in all PBC patient</w:t>
      </w:r>
      <w:r w:rsidR="004113B5" w:rsidRPr="002D44D6">
        <w:rPr>
          <w:rFonts w:ascii="Book Antiqua" w:hAnsi="Book Antiqua" w:cs="Arial"/>
          <w:color w:val="000000"/>
        </w:rPr>
        <w:t xml:space="preserve">s to reduce risk of bone loss. </w:t>
      </w:r>
      <w:r w:rsidRPr="002D44D6">
        <w:rPr>
          <w:rFonts w:ascii="Book Antiqua" w:hAnsi="Book Antiqua" w:cs="Arial"/>
          <w:color w:val="000000"/>
        </w:rPr>
        <w:t>A balanced diet with adequate levels of calcium and vitami</w:t>
      </w:r>
      <w:r w:rsidR="004113B5" w:rsidRPr="002D44D6">
        <w:rPr>
          <w:rFonts w:ascii="Book Antiqua" w:hAnsi="Book Antiqua" w:cs="Arial"/>
          <w:color w:val="000000"/>
        </w:rPr>
        <w:t xml:space="preserve">n D should also be encouraged. </w:t>
      </w:r>
      <w:r w:rsidRPr="002D44D6">
        <w:rPr>
          <w:rFonts w:ascii="Book Antiqua" w:hAnsi="Book Antiqua" w:cs="Arial"/>
          <w:color w:val="000000"/>
        </w:rPr>
        <w:t>General recommendations for daily dietary calcium and vitamin D intake in at-risk populations (women older than 50) are 1200</w:t>
      </w:r>
      <w:r w:rsidR="00A3434F" w:rsidRPr="002D44D6">
        <w:rPr>
          <w:rFonts w:ascii="Book Antiqua" w:hAnsi="Book Antiqua" w:cs="Arial"/>
          <w:color w:val="000000"/>
        </w:rPr>
        <w:t xml:space="preserve"> </w:t>
      </w:r>
      <w:r w:rsidRPr="002D44D6">
        <w:rPr>
          <w:rFonts w:ascii="Book Antiqua" w:hAnsi="Book Antiqua" w:cs="Arial"/>
          <w:color w:val="000000"/>
        </w:rPr>
        <w:t>mg and 800 IU daily</w:t>
      </w:r>
      <w:r w:rsidR="00A3434F" w:rsidRPr="002D44D6">
        <w:rPr>
          <w:rFonts w:ascii="Book Antiqua" w:hAnsi="Book Antiqua" w:cs="Arial"/>
          <w:color w:val="000000"/>
        </w:rPr>
        <w:t>,</w:t>
      </w:r>
      <w:r w:rsidRPr="002D44D6">
        <w:rPr>
          <w:rFonts w:ascii="Book Antiqua" w:hAnsi="Book Antiqua" w:cs="Arial"/>
          <w:color w:val="000000"/>
        </w:rPr>
        <w:t xml:space="preserve"> respectively</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"10.2165/00002018-200932030-00004", "ISBN" : "0114-5916 (Print) 0114-5916 (Linking)", "ISSN" : "0114-5916", "PMID" : "20945569", "abstract" : "This first-ever Surgeon General\u2019s Report on bone health and osteoporosis illustrates the large burden that bone disease places on our Nation and its citizens. Like other chronic diseases that disproportionately affect the elderly, the prevalence of bone disease and fractures is projected to increase markedly as the population ages. If these predictions come true, bone disease and fractures will have a tremendous negative impact on the future well-being of Americans. But as this report makes clear, they need not come true: by working together we can change the picture of aging in America. Osteoporosis, fractures, and other chronic diseases no longer should be thought of as an inevitable part of growing old. By focusing on prevention and lifestyle changes, including physical activity and nutrition, as well as early diagnosis and appropriate treatment, Americans can avoid much of the damaging impact of bone disease and other chronic diseases.", "author" : [ { "dropping-particle" : "", "family" : "US Department of Health and Human Services", "given" : "", "non-dropping-particle" : "", "parse-names" : false, "suffix" : "" } ], "container-title" : "US Health and Human Services", "id" : "ITEM-1", "issued" : { "date-parts" : [ [ "2004" ] ] }, "page" : "437", "title" : "Bone health and osteoporosis: a report of the Surgeon General", "type" : "article-journal" }, "uris" : [ "http://www.mendeley.com/documents/?uuid=3804af81-963c-47ae-ae30-8ad79372e82c" ] } ], "mendeley" : { "formattedCitation" : "&lt;sup&gt;[33]&lt;/sup&gt;", "plainTextFormattedCitation" : "[33]", "previouslyFormattedCitation" : "&lt;sup&gt;[33]&lt;/sup&gt;"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[33]</w:t>
      </w:r>
      <w:r w:rsidR="00E21B32" w:rsidRPr="002D44D6">
        <w:rPr>
          <w:rFonts w:ascii="Book Antiqua" w:hAnsi="Book Antiqua" w:cs="Arial"/>
          <w:color w:val="000000"/>
        </w:rPr>
        <w:fldChar w:fldCharType="end"/>
      </w:r>
      <w:r w:rsidR="004113B5" w:rsidRPr="002D44D6">
        <w:rPr>
          <w:rFonts w:ascii="Book Antiqua" w:hAnsi="Book Antiqua" w:cs="Arial"/>
          <w:color w:val="000000"/>
        </w:rPr>
        <w:t>.</w:t>
      </w:r>
      <w:r w:rsidR="00E21B32" w:rsidRPr="002D44D6">
        <w:rPr>
          <w:rFonts w:ascii="Book Antiqua" w:hAnsi="Book Antiqua" w:cs="Times New Roman"/>
        </w:rPr>
        <w:t xml:space="preserve"> </w:t>
      </w:r>
    </w:p>
    <w:p w14:paraId="14018A67" w14:textId="06960629" w:rsidR="00E13F25" w:rsidRPr="002D44D6" w:rsidRDefault="00E13F25" w:rsidP="00E21B32">
      <w:pPr>
        <w:widowControl w:val="0"/>
        <w:adjustRightInd w:val="0"/>
        <w:snapToGrid w:val="0"/>
        <w:spacing w:line="360" w:lineRule="auto"/>
        <w:ind w:firstLineChars="100" w:firstLine="240"/>
        <w:jc w:val="both"/>
        <w:rPr>
          <w:rFonts w:ascii="Book Antiqua" w:hAnsi="Book Antiqua" w:cs="Arial"/>
          <w:color w:val="000000"/>
        </w:rPr>
      </w:pPr>
      <w:r w:rsidRPr="002D44D6">
        <w:rPr>
          <w:rFonts w:ascii="Book Antiqua" w:hAnsi="Book Antiqua" w:cs="Arial"/>
          <w:color w:val="000000"/>
        </w:rPr>
        <w:t>Evidence for routine weight-bearing exercise comes from menopausal women.</w:t>
      </w:r>
      <w:r w:rsidR="00E21B32">
        <w:rPr>
          <w:rFonts w:ascii="Book Antiqua" w:eastAsia="SimSun" w:hAnsi="Book Antiqua" w:cs="Arial" w:hint="eastAsia"/>
          <w:color w:val="000000"/>
          <w:lang w:eastAsia="zh-CN"/>
        </w:rPr>
        <w:t xml:space="preserve"> </w:t>
      </w:r>
      <w:r w:rsidRPr="002D44D6">
        <w:rPr>
          <w:rFonts w:ascii="Book Antiqua" w:hAnsi="Book Antiqua" w:cs="Arial"/>
          <w:color w:val="000000"/>
        </w:rPr>
        <w:lastRenderedPageBreak/>
        <w:t>In a 16-year prospective study of early-postmenopausal women with mild osteopenia, those who exercised regularly had significant improvement in BMD compared to controls.</w:t>
      </w:r>
      <w:r w:rsidR="00E21B32">
        <w:rPr>
          <w:rFonts w:ascii="Book Antiqua" w:eastAsia="SimSun" w:hAnsi="Book Antiqua" w:cs="Arial" w:hint="eastAsia"/>
          <w:color w:val="000000"/>
          <w:lang w:eastAsia="zh-CN"/>
        </w:rPr>
        <w:t xml:space="preserve"> </w:t>
      </w:r>
      <w:r w:rsidRPr="002D44D6">
        <w:rPr>
          <w:rFonts w:ascii="Book Antiqua" w:hAnsi="Book Antiqua" w:cs="Arial"/>
          <w:color w:val="000000"/>
        </w:rPr>
        <w:t>This finding was sustained and even greater at 16 years compared to 4</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"10.1002/jbmr.2608", "ISBN" : "1523-4681", "ISSN" : "15234681", "PMID" : "26234411", "abstract" : "There is increasing evidence that physical exercise can prevent fractures in postmenopausal women. However, even with careful adaptation of the exercise program to subjects' changing bone, health, and fitness status, effectivity may still decrease over the time. This could be specifically the case where the limitations of higher age collide with the specification of the exercise program. Thus, the aim of this study was to monitor bone mineral density (BMD) changes over a 16-year period of supervised exercise. Our hypothesis was that BMD differences at lumbar spine (LS) and femoral neck (FN) between exercisers (EG) and nontraining controls (CG) increased throughout the intervention with significant differences for each of the four 4-year observation periods. Sixty-seven (EG, n = 39 versus CG, n = 28) initially early-postmenopausal osteopenic women of the Erlangen Fitness and Osteoporosis Prevention Study (EFOPS) with complete BMD data sets for baseline (1998) and 4-, 8-, 12-, and 16-year follow-up were included in the analysis. The exercise protocol initially focused on a high-intensity strategy that addressed bone but increasingly shifted to a more comprehensive intervention. LS-BMD differences between the EG and CG continuously increased (year 4: 2.4% (95%- Confidence Interval 1.0% to 3.8%), year 8: 3.1% (1.6% to 4.7%), year 12: 3.9% (1.9% to 5.8), year 16: 4.5% (2.5% to 6.6%). Correspondingly, rising differences for FN-BMD (0.9% (-0.2% to 2.1%) versus 1.9% (0.4% to 3.3%) versus 2.0% (0.5% to 3.8%) versus 3.0% (1.0% to 5.0%)) were observed. However, in contrast to our hypothesis, group differences within the four 4-year periods were not consistently significant (LS, p = 0.001 to 0.097; FN, p = 0.026 to 0.673); further, BMD kinetics among the groups varied between LS and FN. Of particular importance, significant differences (p \u2264 0.030) for both regions were still found in the final period. We conclude that exercise-even when adapted for subjects' decreasing bone, health, and fitness status-is consistently effective in favorably affecting BMD in (initially) early-postmenopausal osteopenic women without any leveling-off effect after 16 years of exercise.", "author" : [ { "dropping-particle" : "", "family" : "Kemmler", "given" : "Wolfgang", "non-dropping-particle" : "", "parse-names" : false, "suffix" : "" }, { "dropping-particle" : "", "family" : "Engelke", "given" : "Klaus", "non-dropping-particle" : "", "parse-names" : false, "suffix" : "" }, { "dropping-particle" : "", "family" : "Stengel", "given" : "Simon", "non-dropping-particle" : "von", "parse-names" : false, "suffix" : "" } ], "container-title" : "Journal of Bone and Mineral Research", "id" : "ITEM-1", "issue" : "1", "issued" : { "date-parts" : [ [ "2016" ] ] }, "page" : "215-222", "title" : "Long-Term Exercise and Bone Mineral Density Changes in Postmenopausal Women-Are There Periods of Reduced Effectiveness?", "type" : "article-journal", "volume" : "31" }, "uris" : [ "http://www.mendeley.com/documents/?uuid=8a0ebb3d-ecc3-4df2-b0d5-7855dfcb94c5" ] } ], "mendeley" : { "formattedCitation" : "&lt;sup&gt;[37]&lt;/sup&gt;", "plainTextFormattedCitation" : "[37]", "previouslyFormattedCitation" : "&lt;sup&gt;[37]&lt;/sup&gt;"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[37]</w:t>
      </w:r>
      <w:r w:rsidR="00E21B32" w:rsidRPr="002D44D6">
        <w:rPr>
          <w:rFonts w:ascii="Book Antiqua" w:hAnsi="Book Antiqua" w:cs="Arial"/>
          <w:color w:val="000000"/>
        </w:rPr>
        <w:fldChar w:fldCharType="end"/>
      </w:r>
      <w:r w:rsidR="004113B5" w:rsidRPr="002D44D6">
        <w:rPr>
          <w:rFonts w:ascii="Book Antiqua" w:hAnsi="Book Antiqua" w:cs="Arial"/>
          <w:color w:val="000000"/>
        </w:rPr>
        <w:t>.</w:t>
      </w:r>
      <w:r w:rsidR="00E21B32" w:rsidRPr="002D44D6">
        <w:rPr>
          <w:rFonts w:ascii="Book Antiqua" w:hAnsi="Book Antiqua" w:cs="Arial"/>
          <w:color w:val="000000"/>
        </w:rPr>
        <w:t xml:space="preserve"> </w:t>
      </w:r>
    </w:p>
    <w:p w14:paraId="59948BA7" w14:textId="77777777" w:rsidR="004113B5" w:rsidRPr="002D44D6" w:rsidRDefault="004113B5" w:rsidP="002D44D6">
      <w:pPr>
        <w:widowControl w:val="0"/>
        <w:adjustRightInd w:val="0"/>
        <w:snapToGrid w:val="0"/>
        <w:spacing w:line="360" w:lineRule="auto"/>
        <w:jc w:val="both"/>
        <w:rPr>
          <w:rFonts w:ascii="Book Antiqua" w:hAnsi="Book Antiqua" w:cs="Times New Roman"/>
        </w:rPr>
      </w:pPr>
    </w:p>
    <w:p w14:paraId="5036C711" w14:textId="0FB34224" w:rsidR="00A94841" w:rsidRPr="002D44D6" w:rsidRDefault="00E13F25" w:rsidP="002D44D6">
      <w:pPr>
        <w:widowControl w:val="0"/>
        <w:adjustRightInd w:val="0"/>
        <w:snapToGrid w:val="0"/>
        <w:spacing w:line="360" w:lineRule="auto"/>
        <w:jc w:val="both"/>
        <w:rPr>
          <w:rFonts w:ascii="Book Antiqua" w:hAnsi="Book Antiqua" w:cs="Times New Roman"/>
          <w:b/>
          <w:i/>
        </w:rPr>
      </w:pPr>
      <w:r w:rsidRPr="002D44D6">
        <w:rPr>
          <w:rFonts w:ascii="Book Antiqua" w:hAnsi="Book Antiqua" w:cs="Arial"/>
          <w:b/>
          <w:i/>
          <w:iCs/>
          <w:color w:val="000000"/>
        </w:rPr>
        <w:t>Treatment</w:t>
      </w:r>
    </w:p>
    <w:p w14:paraId="00C59885" w14:textId="16BF5BB9" w:rsidR="00E13F25" w:rsidRPr="002D44D6" w:rsidRDefault="0030062D" w:rsidP="002D44D6">
      <w:pPr>
        <w:widowControl w:val="0"/>
        <w:adjustRightInd w:val="0"/>
        <w:snapToGrid w:val="0"/>
        <w:spacing w:line="360" w:lineRule="auto"/>
        <w:jc w:val="both"/>
        <w:rPr>
          <w:rFonts w:ascii="Book Antiqua" w:hAnsi="Book Antiqua" w:cs="Times New Roman"/>
        </w:rPr>
      </w:pPr>
      <w:r w:rsidRPr="002D44D6">
        <w:rPr>
          <w:rFonts w:ascii="Book Antiqua" w:hAnsi="Book Antiqua" w:cs="Arial"/>
          <w:color w:val="000000"/>
        </w:rPr>
        <w:t>Timing of treatment is based on recommendations from the postmenopausal osteoporosis literature</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"10.1007/s00198-014-2794-2", "ISBN" : "978-0-9798989-9-0", "ISSN" : "14332965", "PMID" : "25182228", "abstract" : "The Clinician\u2019s Guide to Prevention and Treatment of Osteoporosis was developed by an expert committee of the National Osteoporosis Foundation (NOF) in collaboration with a multispecialty council of medical experts in the field of bone health convened by NOF. Readers are urged to consult current prescribing information on any drug, device, or procedure discussed in this publication.", "author" : [ { "dropping-particle" : "", "family" : "Cosman", "given" : "F.", "non-dropping-particle" : "", "parse-names" : false, "suffix" : "" }, { "dropping-particle" : "", "family" : "Beur", "given" : "S. J.", "non-dropping-particle" : "de", "parse-names" : false, "suffix" : "" }, { "dropping-particle" : "", "family" : "LeBoff", "given" : "M. S.", "non-dropping-particle" : "", "parse-names" : false, "suffix" : "" }, { "dropping-particle" : "", "family" : "Lewiecki", "given" : "E. M.", "non-dropping-particle" : "", "parse-names" : false, "suffix" : "" }, { "dropping-particle" : "", "family" : "Tanner", "given" : "B.", "non-dropping-particle" : "", "parse-names" : false, "suffix" : "" }, { "dropping-particle" : "", "family" : "Randall", "given" : "S.", "non-dropping-particle" : "", "parse-names" : false, "suffix" : "" }, { "dropping-particle" : "", "family" : "Lindsay", "given" : "R.", "non-dropping-particle" : "", "parse-names" : false, "suffix" : "" } ], "container-title" : "Osteoporosis International", "id" : "ITEM-1", "issue" : "10", "issued" : { "date-parts" : [ [ "2014" ] ] }, "page" : "2359-2381", "title" : "Clinician's Guide to Prevention and Treatment of Osteoporosis", "type" : "article-journal", "volume" : "25" }, "uris" : [ "http://www.mendeley.com/documents/?uuid=282b3816-fe0b-43d5-82a5-cc7fe228881a" ] } ], "mendeley" : { "formattedCitation" : "&lt;sup&gt;[36]&lt;/sup&gt;", "plainTextFormattedCitation" : "[36]", "previouslyFormattedCitation" : "&lt;sup&gt;[36]&lt;/sup&gt;"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[36]</w:t>
      </w:r>
      <w:r w:rsidR="00E21B32" w:rsidRPr="002D44D6">
        <w:rPr>
          <w:rFonts w:ascii="Book Antiqua" w:hAnsi="Book Antiqua" w:cs="Arial"/>
          <w:color w:val="000000"/>
        </w:rPr>
        <w:fldChar w:fldCharType="end"/>
      </w:r>
      <w:r w:rsidR="004113B5" w:rsidRPr="002D44D6">
        <w:rPr>
          <w:rFonts w:ascii="Book Antiqua" w:hAnsi="Book Antiqua" w:cs="Arial"/>
          <w:color w:val="000000"/>
        </w:rPr>
        <w:t xml:space="preserve">. </w:t>
      </w:r>
      <w:r w:rsidR="00E13F25" w:rsidRPr="002D44D6">
        <w:rPr>
          <w:rFonts w:ascii="Book Antiqua" w:hAnsi="Book Antiqua" w:cs="Arial"/>
          <w:color w:val="000000"/>
        </w:rPr>
        <w:t>Treatment should be initiated in all PBC patients with osteoporosis (T score &lt; -2.5)</w:t>
      </w:r>
      <w:r w:rsidR="009C114E" w:rsidRPr="002D44D6">
        <w:rPr>
          <w:rFonts w:ascii="Book Antiqua" w:hAnsi="Book Antiqua" w:cs="Arial"/>
          <w:color w:val="000000"/>
        </w:rPr>
        <w:t xml:space="preserve">. </w:t>
      </w:r>
      <w:r w:rsidR="00E13F25" w:rsidRPr="002D44D6">
        <w:rPr>
          <w:rFonts w:ascii="Book Antiqua" w:hAnsi="Book Antiqua" w:cs="Arial"/>
          <w:color w:val="000000"/>
        </w:rPr>
        <w:t xml:space="preserve">The ideal time to start treatment in those with osteopenia (T score &lt; -1 to </w:t>
      </w:r>
      <w:r w:rsidR="009C114E" w:rsidRPr="002D44D6">
        <w:rPr>
          <w:rFonts w:ascii="Book Antiqua" w:hAnsi="Book Antiqua" w:cs="Arial"/>
          <w:color w:val="000000"/>
        </w:rPr>
        <w:t>-2.5) is less well established.</w:t>
      </w:r>
      <w:r w:rsidR="00E21B32">
        <w:rPr>
          <w:rFonts w:ascii="Book Antiqua" w:eastAsia="SimSun" w:hAnsi="Book Antiqua" w:cs="Arial" w:hint="eastAsia"/>
          <w:color w:val="000000"/>
          <w:lang w:eastAsia="zh-CN"/>
        </w:rPr>
        <w:t xml:space="preserve"> </w:t>
      </w:r>
      <w:r w:rsidR="00E13F25" w:rsidRPr="002D44D6">
        <w:rPr>
          <w:rFonts w:ascii="Book Antiqua" w:hAnsi="Book Antiqua" w:cs="Arial"/>
          <w:color w:val="000000"/>
        </w:rPr>
        <w:t>The National Osteoporosis Foundation recommends treatment in individuals with a prior hip or vertebral fracture or 10-year hip fracture risk ≥ 3% or osteoporosis-related fracture risk ≥ 20% based on the World Health Organization Fracture Risk Assessment Tool in those with osteopenia</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"10.1007/s00198-014-2794-2", "ISBN" : "978-0-9798989-9-0", "ISSN" : "14332965", "PMID" : "25182228", "abstract" : "The Clinician\u2019s Guide to Prevention and Treatment of Osteoporosis was developed by an expert committee of the National Osteoporosis Foundation (NOF) in collaboration with a multispecialty council of medical experts in the field of bone health convened by NOF. Readers are urged to consult current prescribing information on any drug, device, or procedure discussed in this publication.", "author" : [ { "dropping-particle" : "", "family" : "Cosman", "given" : "F.", "non-dropping-particle" : "", "parse-names" : false, "suffix" : "" }, { "dropping-particle" : "", "family" : "Beur", "given" : "S. J.", "non-dropping-particle" : "de", "parse-names" : false, "suffix" : "" }, { "dropping-particle" : "", "family" : "LeBoff", "given" : "M. S.", "non-dropping-particle" : "", "parse-names" : false, "suffix" : "" }, { "dropping-particle" : "", "family" : "Lewiecki", "given" : "E. M.", "non-dropping-particle" : "", "parse-names" : false, "suffix" : "" }, { "dropping-particle" : "", "family" : "Tanner", "given" : "B.", "non-dropping-particle" : "", "parse-names" : false, "suffix" : "" }, { "dropping-particle" : "", "family" : "Randall", "given" : "S.", "non-dropping-particle" : "", "parse-names" : false, "suffix" : "" }, { "dropping-particle" : "", "family" : "Lindsay", "given" : "R.", "non-dropping-particle" : "", "parse-names" : false, "suffix" : "" } ], "container-title" : "Osteoporosis International", "id" : "ITEM-1", "issue" : "10", "issued" : { "date-parts" : [ [ "2014" ] ] }, "page" : "2359-2381", "title" : "Clinician's Guide to Prevention and Treatment of Osteoporosis", "type" : "article-journal", "volume" : "25" }, "uris" : [ "http://www.mendeley.com/documents/?uuid=282b3816-fe0b-43d5-82a5-cc7fe228881a" ] } ], "mendeley" : { "formattedCitation" : "&lt;sup&gt;[36]&lt;/sup&gt;", "plainTextFormattedCitation" : "[36]", "previouslyFormattedCitation" : "&lt;sup&gt;[36]&lt;/sup&gt;"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[36]</w:t>
      </w:r>
      <w:r w:rsidR="00E21B32" w:rsidRPr="002D44D6">
        <w:rPr>
          <w:rFonts w:ascii="Book Antiqua" w:hAnsi="Book Antiqua" w:cs="Arial"/>
          <w:color w:val="000000"/>
        </w:rPr>
        <w:fldChar w:fldCharType="end"/>
      </w:r>
      <w:r w:rsidR="004113B5" w:rsidRPr="002D44D6">
        <w:rPr>
          <w:rFonts w:ascii="Book Antiqua" w:hAnsi="Book Antiqua" w:cs="Arial"/>
          <w:color w:val="000000"/>
        </w:rPr>
        <w:t xml:space="preserve">. </w:t>
      </w:r>
      <w:r w:rsidR="00E13F25" w:rsidRPr="002D44D6">
        <w:rPr>
          <w:rFonts w:ascii="Book Antiqua" w:hAnsi="Book Antiqua" w:cs="Arial"/>
          <w:color w:val="000000"/>
        </w:rPr>
        <w:t>In PBC, patients with a T score &lt; 1.5 appear to be at increased risk of fracture</w:t>
      </w:r>
      <w:r w:rsidR="00121A65" w:rsidRPr="002D44D6">
        <w:rPr>
          <w:rFonts w:ascii="Book Antiqua" w:hAnsi="Book Antiqua" w:cs="Arial"/>
          <w:color w:val="000000"/>
        </w:rPr>
        <w:fldChar w:fldCharType="begin" w:fldLock="1"/>
      </w:r>
      <w:r w:rsidR="001E4ECE" w:rsidRPr="002D44D6">
        <w:rPr>
          <w:rFonts w:ascii="Book Antiqua" w:hAnsi="Book Antiqua" w:cs="Arial"/>
          <w:color w:val="000000"/>
        </w:rPr>
        <w:instrText>ADDIN CSL_CITATION { "citationItems" : [ { "id" : "ITEM-1", "itemData" : { "DOI" : "10.1053/j.gastro.2010.02.016", "ISSN" : "00165085", "PMID" : "20178794", "abstract" : "Background &amp; Aims: The influence of osteoporosis and liver disease on fracture risk is not well characterized in patients with primary biliary cirrhosis (PBC). We studied a large series of women with PBC to assess the prevalence and risk factors for fractures and the fracture threshold. Methods: In female patients with PBC (n = 185; age, 55.7 \u00b1 0.7 years; range 28-79 years), age, duration of PBC, menopausal status, and histologic stage and severity of liver disease were assessed. Vertebral and non-vertebral fractures were recorded in 170 and 172 patients, respectively. Osteoporosis and osteopenia were diagnosed based on densitometry analysis. Results: The prevalences of vertebral, non-vertebral, and overall fractures were 11.2%, 12.2%, 20.8%, respectively. Osteoporosis was significantly more frequent in patients with PBC than in normal women. Osteoporosis was associated with age, weight, height, histologic stage, severity, and duration of liver damage; fractures were associated with osteoporosis, menopause, age, and height but not with severity of PBC. Osteoporosis was a risk factor for vertebral fracture (odds ratio [OR], 8.48; 95% confidence interval [CI]: 2.67-26.95). Lumbar T score &lt;-1.5 (OR, 8.27; 95% CI: 1.84-37.08) and femoral neck T score &lt;-1.5 (OR, 6.83; 95% CI: 1.48-31.63) were significant risk factors for vertebral fractures. Conclusions: Fractures, particularly vertebral fractures, are associated with osteoporosis, osteopenia, and T scores less than -1.5, whereas osteoporosis and osteopenia are associated with the severity of liver damage. Patients with T scores less than -1.5 might require additional monitoring and be considered for therapy to prevent fractures. \u00a9 2010 AGA Institute.", "author" : [ { "dropping-particle" : "", "family" : "Gua\u00f1abens", "given" : "N\u00faria", "non-dropping-particle" : "", "parse-names" : false, "suffix" : "" }, { "dropping-particle" : "", "family" : "Cerd\u00e1", "given" : "Dacia", "non-dropping-particle" : "", "parse-names" : false, "suffix" : "" }, { "dropping-particle" : "", "family" : "Monegal", "given" : "Ana", "non-dropping-particle" : "", "parse-names" : false, "suffix" : "" }, { "dropping-particle" : "", "family" : "Pons", "given" : "Francesca", "non-dropping-particle" : "", "parse-names" : false, "suffix" : "" }, { "dropping-particle" : "", "family" : "Caballer\u00eda", "given" : "Lloren\u00e7", "non-dropping-particle" : "", "parse-names" : false, "suffix" : "" }, { "dropping-particle" : "", "family" : "Peris", "given" : "Pilar", "non-dropping-particle" : "", "parse-names" : false, "suffix" : "" }, { "dropping-particle" : "", "family" : "Par\u00e9s", "given" : "Albert", "non-dropping-particle" : "", "parse-names" : false, "suffix" : "" } ], "container-title" : "Gastroenterology", "id" : "ITEM-1", "issue" : "7", "issued" : { "date-parts" : [ [ "2010" ] ] }, "page" : "2348-2356", "publisher" : "Elsevier Inc.", "title" : "Low Bone Mass and Severity of Cholestasis Affect Fracture Risk in Patients With Primary Biliary Cirrhosis", "type" : "article-journal", "volume" : "138" }, "uris" : [ "http://www.mendeley.com/documents/?uuid=d83d476e-c0d2-46ba-a97e-09bb7c142e78" ] } ], "mendeley" : { "formattedCitation" : "&lt;sup&gt;[3]&lt;/sup&gt;", "plainTextFormattedCitation" : "[3]", "previouslyFormattedCitation" : "&lt;sup&gt;[3]&lt;/sup&gt;" }, "properties" : { "noteIndex" : 0 }, "schema" : "https://github.com/citation-style-language/schema/raw/master/csl-citation.json" }</w:instrText>
      </w:r>
      <w:r w:rsidR="00121A65" w:rsidRPr="002D44D6">
        <w:rPr>
          <w:rFonts w:ascii="Book Antiqua" w:hAnsi="Book Antiqua" w:cs="Arial"/>
          <w:color w:val="000000"/>
        </w:rPr>
        <w:fldChar w:fldCharType="separate"/>
      </w:r>
      <w:r w:rsidR="00AC67CA" w:rsidRPr="002D44D6">
        <w:rPr>
          <w:rFonts w:ascii="Book Antiqua" w:hAnsi="Book Antiqua" w:cs="Arial"/>
          <w:noProof/>
          <w:color w:val="000000"/>
          <w:vertAlign w:val="superscript"/>
        </w:rPr>
        <w:t>[3]</w:t>
      </w:r>
      <w:r w:rsidR="00121A65" w:rsidRPr="002D44D6">
        <w:rPr>
          <w:rFonts w:ascii="Book Antiqua" w:hAnsi="Book Antiqua" w:cs="Arial"/>
          <w:color w:val="000000"/>
        </w:rPr>
        <w:fldChar w:fldCharType="end"/>
      </w:r>
      <w:r w:rsidR="00E13F25" w:rsidRPr="002D44D6">
        <w:rPr>
          <w:rFonts w:ascii="Book Antiqua" w:hAnsi="Book Antiqua" w:cs="Arial"/>
          <w:color w:val="000000"/>
        </w:rPr>
        <w:t xml:space="preserve"> and initiation of specific treatment could be considered at this point</w:t>
      </w:r>
      <w:r w:rsidR="00AF114B" w:rsidRPr="002D44D6">
        <w:rPr>
          <w:rFonts w:ascii="Book Antiqua" w:hAnsi="Book Antiqua" w:cs="Arial"/>
          <w:color w:val="000000"/>
        </w:rPr>
        <w:t xml:space="preserve"> (Figure 1)</w:t>
      </w:r>
      <w:r w:rsidR="00E13F25" w:rsidRPr="002D44D6">
        <w:rPr>
          <w:rFonts w:ascii="Book Antiqua" w:hAnsi="Book Antiqua" w:cs="Arial"/>
          <w:color w:val="000000"/>
        </w:rPr>
        <w:t>.</w:t>
      </w:r>
      <w:r w:rsidR="004113B5" w:rsidRPr="002D44D6">
        <w:rPr>
          <w:rFonts w:ascii="Book Antiqua" w:hAnsi="Book Antiqua" w:cs="Arial"/>
          <w:color w:val="000000"/>
        </w:rPr>
        <w:t xml:space="preserve"> </w:t>
      </w:r>
      <w:r w:rsidR="006513D1" w:rsidRPr="002D44D6">
        <w:rPr>
          <w:rFonts w:ascii="Book Antiqua" w:hAnsi="Book Antiqua" w:cs="Arial"/>
          <w:color w:val="000000"/>
        </w:rPr>
        <w:t>A number of different therapeutic approaches have been evaluated, however, most are limited by small sample size and</w:t>
      </w:r>
      <w:r w:rsidR="00AF114B" w:rsidRPr="002D44D6">
        <w:rPr>
          <w:rFonts w:ascii="Book Antiqua" w:hAnsi="Book Antiqua" w:cs="Arial"/>
          <w:color w:val="000000"/>
        </w:rPr>
        <w:t xml:space="preserve"> short follow-up (</w:t>
      </w:r>
      <w:r w:rsidR="006513D1" w:rsidRPr="002D44D6">
        <w:rPr>
          <w:rFonts w:ascii="Book Antiqua" w:hAnsi="Book Antiqua" w:cs="Arial"/>
          <w:color w:val="000000"/>
        </w:rPr>
        <w:t>Tables 1 and 2).</w:t>
      </w:r>
      <w:r w:rsidR="004113B5" w:rsidRPr="002D44D6">
        <w:rPr>
          <w:rFonts w:ascii="Book Antiqua" w:hAnsi="Book Antiqua" w:cs="Arial"/>
          <w:color w:val="000000"/>
        </w:rPr>
        <w:t xml:space="preserve"> </w:t>
      </w:r>
      <w:r w:rsidR="006C006F" w:rsidRPr="002D44D6">
        <w:rPr>
          <w:rFonts w:ascii="Book Antiqua" w:hAnsi="Book Antiqua" w:cs="Arial"/>
          <w:color w:val="000000"/>
        </w:rPr>
        <w:t>The duration of treatm</w:t>
      </w:r>
      <w:r w:rsidRPr="002D44D6">
        <w:rPr>
          <w:rFonts w:ascii="Book Antiqua" w:hAnsi="Book Antiqua" w:cs="Arial"/>
          <w:color w:val="000000"/>
        </w:rPr>
        <w:t>ent is unclear even in the post</w:t>
      </w:r>
      <w:r w:rsidR="006C006F" w:rsidRPr="002D44D6">
        <w:rPr>
          <w:rFonts w:ascii="Book Antiqua" w:hAnsi="Book Antiqua" w:cs="Arial"/>
          <w:color w:val="000000"/>
        </w:rPr>
        <w:t xml:space="preserve">menopausal population, though the National Osteoporosis Foundation emphasizes that treatment should not be indefinite and </w:t>
      </w:r>
      <w:r w:rsidR="00585816" w:rsidRPr="002D44D6">
        <w:rPr>
          <w:rFonts w:ascii="Book Antiqua" w:hAnsi="Book Antiqua" w:cs="Arial"/>
          <w:color w:val="000000"/>
        </w:rPr>
        <w:t>generally is continued for anywhere from 2 to 5 years based on individual risk assessment</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"DOI" : "10.1007/s00198-014-2794-2", "ISBN" : "978-0-9798989-9-0", "ISSN" : "14332965", "PMID" : "25182228", "abstract" : "The Clinician\u2019s Guide to Prevention and Treatment of Osteoporosis was developed by an expert committee of the National Osteoporosis Foundation (NOF) in collaboration with a multispecialty council of medical experts in the field of bone health convened by NOF. Readers are urged to consult current prescribing information on any drug, device, or procedure discussed in this publication.", "author" : [ { "dropping-particle" : "", "family" : "Cosman", "given" : "F.", "non-dropping-particle" : "", "parse-names" : false, "suffix" : "" }, { "dropping-particle" : "", "family" : "Beur", "given" : "S. J.", "non-dropping-particle" : "de", "parse-names" : false, "suffix" : "" }, { "dropping-particle" : "", "family" : "LeBoff", "given" : "M. S.", "non-dropping-particle" : "", "parse-names" : false, "suffix" : "" }, { "dropping-particle" : "", "family" : "Lewiecki", "given" : "E. M.", "non-dropping-particle" : "", "parse-names" : false, "suffix" : "" }, { "dropping-particle" : "", "family" : "Tanner", "given" : "B.", "non-dropping-particle" : "", "parse-names" : false, "suffix" : "" }, { "dropping-particle" : "", "family" : "Randall", "given" : "S.", "non-dropping-particle" : "", "parse-names" : false, "suffix" : "" }, { "dropping-particle" : "", "family" : "Lindsay", "given" : "R.", "non-dropping-particle" : "", "parse-names" : false, "suffix" : "" } ], "container-title" : "Osteoporosis International", "id" : "ITEM-1", "issue" : "10", "issued" : { "date-parts" : [ [ "2014" ] ] }, "page" : "2359-2381", "title" : "Clinician's Guide to Prevention and Treatment of Osteoporosis", "type" : "article-journal", "volume" : "25" }, "uris" : [ "http://www.mendeley.com/documents/?uuid=282b3816-fe0b-43d5-82a5-cc7fe228881a" ] } ], "mendeley" : { "formattedCitation" : "&lt;sup&gt;[36]&lt;/sup&gt;", "plainTextFormattedCitation" : "[36]", "previouslyFormattedCitation" : "&lt;sup&gt;[36]&lt;/sup&gt;"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[36]</w:t>
      </w:r>
      <w:r w:rsidR="00E21B32" w:rsidRPr="002D44D6">
        <w:rPr>
          <w:rFonts w:ascii="Book Antiqua" w:hAnsi="Book Antiqua" w:cs="Arial"/>
          <w:color w:val="000000"/>
        </w:rPr>
        <w:fldChar w:fldCharType="end"/>
      </w:r>
      <w:r w:rsidR="004113B5" w:rsidRPr="002D44D6">
        <w:rPr>
          <w:rFonts w:ascii="Book Antiqua" w:hAnsi="Book Antiqua" w:cs="Arial"/>
          <w:color w:val="000000"/>
        </w:rPr>
        <w:t>.</w:t>
      </w:r>
      <w:r w:rsidR="00E21B32" w:rsidRPr="002D44D6">
        <w:rPr>
          <w:rFonts w:ascii="Book Antiqua" w:hAnsi="Book Antiqua" w:cs="Times New Roman"/>
        </w:rPr>
        <w:t xml:space="preserve"> </w:t>
      </w:r>
    </w:p>
    <w:p w14:paraId="3778C603" w14:textId="77777777" w:rsidR="00E13F25" w:rsidRPr="002D44D6" w:rsidRDefault="00E13F25" w:rsidP="002D44D6">
      <w:pPr>
        <w:widowControl w:val="0"/>
        <w:adjustRightInd w:val="0"/>
        <w:snapToGrid w:val="0"/>
        <w:spacing w:line="360" w:lineRule="auto"/>
        <w:jc w:val="both"/>
        <w:rPr>
          <w:rFonts w:ascii="Book Antiqua" w:eastAsia="Times New Roman" w:hAnsi="Book Antiqua" w:cs="Times New Roman"/>
          <w:b/>
        </w:rPr>
      </w:pPr>
    </w:p>
    <w:p w14:paraId="1BF08C90" w14:textId="13F3F4E2" w:rsidR="00A94841" w:rsidRPr="002D44D6" w:rsidRDefault="00C761F0" w:rsidP="002D44D6">
      <w:pPr>
        <w:widowControl w:val="0"/>
        <w:adjustRightInd w:val="0"/>
        <w:snapToGrid w:val="0"/>
        <w:spacing w:line="360" w:lineRule="auto"/>
        <w:jc w:val="both"/>
        <w:rPr>
          <w:rFonts w:ascii="Book Antiqua" w:eastAsia="Times New Roman" w:hAnsi="Book Antiqua" w:cs="Times New Roman"/>
          <w:b/>
        </w:rPr>
      </w:pPr>
      <w:r w:rsidRPr="002D44D6">
        <w:rPr>
          <w:rFonts w:ascii="Book Antiqua" w:eastAsia="Times New Roman" w:hAnsi="Book Antiqua" w:cs="Times New Roman"/>
          <w:b/>
        </w:rPr>
        <w:t>THERAPEUTIC OPTIONS</w:t>
      </w:r>
    </w:p>
    <w:p w14:paraId="340782D0" w14:textId="7B481DBC" w:rsidR="00A94841" w:rsidRPr="002D44D6" w:rsidRDefault="00E13F25" w:rsidP="002D44D6">
      <w:pPr>
        <w:widowControl w:val="0"/>
        <w:adjustRightInd w:val="0"/>
        <w:snapToGrid w:val="0"/>
        <w:spacing w:line="360" w:lineRule="auto"/>
        <w:jc w:val="both"/>
        <w:rPr>
          <w:rFonts w:ascii="Book Antiqua" w:hAnsi="Book Antiqua" w:cs="Arial"/>
          <w:b/>
          <w:bCs/>
          <w:i/>
          <w:color w:val="000000"/>
        </w:rPr>
      </w:pPr>
      <w:r w:rsidRPr="002D44D6">
        <w:rPr>
          <w:rFonts w:ascii="Book Antiqua" w:hAnsi="Book Antiqua" w:cs="Arial"/>
          <w:b/>
          <w:bCs/>
          <w:i/>
          <w:color w:val="000000"/>
        </w:rPr>
        <w:t xml:space="preserve">Vitamin D </w:t>
      </w:r>
      <w:r w:rsidR="00C761F0" w:rsidRPr="002D44D6">
        <w:rPr>
          <w:rFonts w:ascii="Book Antiqua" w:hAnsi="Book Antiqua" w:cs="Arial"/>
          <w:b/>
          <w:bCs/>
          <w:i/>
          <w:color w:val="000000"/>
        </w:rPr>
        <w:t>and calcium supplementation</w:t>
      </w:r>
    </w:p>
    <w:p w14:paraId="595A4497" w14:textId="21AE7A27" w:rsidR="00E13F25" w:rsidRPr="002D44D6" w:rsidRDefault="00E13F25" w:rsidP="002D44D6">
      <w:pPr>
        <w:widowControl w:val="0"/>
        <w:adjustRightInd w:val="0"/>
        <w:snapToGrid w:val="0"/>
        <w:spacing w:line="360" w:lineRule="auto"/>
        <w:jc w:val="both"/>
        <w:rPr>
          <w:rFonts w:ascii="Book Antiqua" w:hAnsi="Book Antiqua" w:cs="Times New Roman"/>
        </w:rPr>
      </w:pPr>
      <w:r w:rsidRPr="002D44D6">
        <w:rPr>
          <w:rFonts w:ascii="Book Antiqua" w:hAnsi="Book Antiqua" w:cs="Arial"/>
          <w:color w:val="000000"/>
        </w:rPr>
        <w:t xml:space="preserve">In PBC patients with osteopenia or osteoporosis, vitamin D and calcium supplementation </w:t>
      </w:r>
      <w:r w:rsidR="0030062D" w:rsidRPr="002D44D6">
        <w:rPr>
          <w:rFonts w:ascii="Book Antiqua" w:hAnsi="Book Antiqua" w:cs="Arial"/>
          <w:color w:val="000000"/>
        </w:rPr>
        <w:t>has not been shown to improve BMD or reduce fracture risk</w:t>
      </w:r>
      <w:r w:rsidRPr="002D44D6">
        <w:rPr>
          <w:rFonts w:ascii="Book Antiqua" w:hAnsi="Book Antiqua" w:cs="Arial"/>
          <w:color w:val="000000"/>
        </w:rPr>
        <w:t xml:space="preserve">, </w:t>
      </w:r>
      <w:r w:rsidR="0030062D" w:rsidRPr="002D44D6">
        <w:rPr>
          <w:rFonts w:ascii="Book Antiqua" w:hAnsi="Book Antiqua" w:cs="Arial"/>
          <w:color w:val="000000"/>
        </w:rPr>
        <w:t xml:space="preserve">though given few side effects and potential for deficiency, </w:t>
      </w:r>
      <w:r w:rsidRPr="002D44D6">
        <w:rPr>
          <w:rFonts w:ascii="Book Antiqua" w:hAnsi="Book Antiqua" w:cs="Arial"/>
          <w:color w:val="000000"/>
        </w:rPr>
        <w:t>supplementation is generally recommended</w:t>
      </w:r>
      <w:r w:rsidR="00121A65" w:rsidRPr="002D44D6">
        <w:rPr>
          <w:rFonts w:ascii="Book Antiqua" w:hAnsi="Book Antiqua" w:cs="Arial"/>
          <w:color w:val="000000"/>
        </w:rPr>
        <w:fldChar w:fldCharType="begin" w:fldLock="1"/>
      </w:r>
      <w:r w:rsidR="00DB6418" w:rsidRPr="002D44D6">
        <w:rPr>
          <w:rFonts w:ascii="Book Antiqua" w:hAnsi="Book Antiqua" w:cs="Arial"/>
          <w:color w:val="000000"/>
        </w:rPr>
        <w:instrText>ADDIN CSL_CITATION { "citationItems" : [ { "id" : "ITEM-1", "itemData" : { "DOI" : "10.1016/S0016-5085(03)01062-X", "ISBN" : "0016-5085 (Print)\\n0016-5085 (Linking)", "ISSN" : "00165085", "PMID" : "12612917", "abstract" : "BackgroundStandards for good practice in clinical risk management issued by the Clinical Negligence Scheme for Trusts indicate that appropriate information is provided to patients on the risks and benefits of proposed treatment, and of the alternatives available before a signature on a consent form is sought. AimsTo investigate the practicability and patient acceptability of a postal information and consent booklet for patients undergoing outpatient gastroscopy. MethodsInformation about gastroscopy procedure, personalised appointment details, and a carbonised consent form were compiled into a single booklet. This was mailed to patients well in advance of their endoscopic procedure. Patient satisfaction for this new process was assessed by questionnaire. Results275 patients received a patient information booklet. Of these, 150 (54.5%) returned the consent form by post when they confirmed their attendance; 141 (94%) had signed the form, and the other nine requested further information. Of the remaining 125 booklets sent out, 115 (92%) forms were brought back on the day of the investigation having been previously signed. The remaining 10 (8%) required further information before signing the form. An audit of 168 patients was used to test reaction to the booklet and the idea of filling in the form before coming to hospital; 155 patients (92.2%) reported the information given in the booklet to be very useful, and all reported it to be clear and understandable. ConclusionA specifically designed patient information booklet with integral consent form is accepted by patients, and improves the level of understanding prior to the investigation being carried out.", "author" : [ { "dropping-particle" : "", "family" : "Leslie", "given" : "William D.", "non-dropping-particle" : "", "parse-names" : false, "suffix" : "" }, { "dropping-particle" : "", "family" : "Bernstein", "given" : "Charles N.", "non-dropping-particle" : "", "parse-names" : false, "suffix" : "" }, { "dropping-particle" : "", "family" : "Leboff", "given" : "Meryl S.", "non-dropping-particle" : "", "parse-names" : false, "suffix" : "" } ], "container-title" : "Gastroenterology", "id" : "ITEM-1", "issue" : "3", "issued" : { "date-parts" : [ [ "2003" ] ] }, "page" : "941-966", "title" : "AGA technical review on osteoporosis in hepatic disorders", "type" : "article-journal", "volume" : "125" }, "uris" : [ "http://www.mendeley.com/documents/?uuid=fd7000cf-2bcf-4412-ac4e-a5a9d1f9953d" ] }, { "id" : "ITEM-2", "itemData" : { "DOI" : "10.1016/j.cld.2008.02.005", "ISSN" : "10893261", "PMID" : "18456188", "abstract" : "Osteoporosis, characterized by loss of bone strength leading to fragility fractures, is a common event in patients who have primary biliary cirrhosis. Although its pathogenesis is not well known, it results mainly from low bone formation. There is no specific treatment, but bisphosphonates, especially alendronate, effectively increases bone mass and prevents bone loss. Despite these favorable effects on bone mass, no clear effects on decreasing the fracture rate are demonstrated, probably because of the low number of patients included in the trials. The potential usefulness of new agents requires further evaluation. ?? 2008 Elsevier Inc. All rights reserved.", "author" : [ { "dropping-particle" : "", "family" : "Pares", "given" : "Albert", "non-dropping-particle" : "", "parse-names" : false, "suffix" : "" }, { "dropping-particle" : "", "family" : "Guanabens", "given" : "Nuria", "non-dropping-particle" : "", "parse-names" : false, "suffix" : "" } ], "container-title" : "Clinics in Liver Disease", "id" : "ITEM-2", "issue" : "2", "issued" : { "date-parts" : [ [ "2008" ] ] }, "page" : "407-424", "title" : "Osteoporosis in Primary Biliary Cirrhosis: Pathogenesis and Treatment", "type" : "article-journal", "volume" : "12" }, "uris" : [ "http://www.mendeley.com/documents/?uuid=71354740-4005-46bc-86db-94e5485c07eb" ] }, { "id" : "ITEM-3", "itemData" : { "DOI" : "10.1016/j.gtc.2016.02.009", "ISSN" : "08898553", "PMID" : "27261902", "author" : [ { "dropping-particle" : "", "family" : "Glass", "given" : "Lisa M", "non-dropping-particle" : "", "parse-names" : false, "suffix" : "" }, { "dropping-particle" : "", "family" : "Li-Chun Su", "given" : "Grace", "non-dropping-particle" : "", "parse-names" : false, "suffix" : "" } ], "container-title" : "Gastroenterology Clinics of NA", "id" : "ITEM-3", "issue" : "2", "issued" : { "date-parts" : [ [ "2016" ] ] }, "page" : "333-343", "publisher" : "Elsevier Inc", "title" : "Metabolic Bone Disease in Primary Biliary Cirrhosis", "type" : "article-journal", "volume" : "45" }, "uris" : [ "http://www.mendeley.com/documents/?uuid=08ff350b-0386-4ceb-a6b5-061040a9b712" ] } ], "mendeley" : { "formattedCitation" : "&lt;sup&gt;[14,34,35]&lt;/sup&gt;", "plainTextFormattedCitation" : "[14,34,35]", "previouslyFormattedCitation" : "&lt;sup&gt;[14,34,35]&lt;/sup&gt;" }, "properties" : { "noteIndex" : 0 }, "schema" : "https://github.com/citation-style-language/schema/raw/master/csl-citation.json" }</w:instrText>
      </w:r>
      <w:r w:rsidR="00121A65" w:rsidRPr="002D44D6">
        <w:rPr>
          <w:rFonts w:ascii="Book Antiqua" w:hAnsi="Book Antiqua" w:cs="Arial"/>
          <w:color w:val="000000"/>
        </w:rPr>
        <w:fldChar w:fldCharType="separate"/>
      </w:r>
      <w:r w:rsidR="004113B5" w:rsidRPr="002D44D6">
        <w:rPr>
          <w:rFonts w:ascii="Book Antiqua" w:hAnsi="Book Antiqua" w:cs="Arial"/>
          <w:noProof/>
          <w:color w:val="000000"/>
          <w:vertAlign w:val="superscript"/>
        </w:rPr>
        <w:t>[14,34,35]</w:t>
      </w:r>
      <w:r w:rsidR="00121A65" w:rsidRPr="002D44D6">
        <w:rPr>
          <w:rFonts w:ascii="Book Antiqua" w:hAnsi="Book Antiqua" w:cs="Arial"/>
          <w:color w:val="000000"/>
        </w:rPr>
        <w:fldChar w:fldCharType="end"/>
      </w:r>
      <w:r w:rsidRPr="002D44D6">
        <w:rPr>
          <w:rFonts w:ascii="Book Antiqua" w:hAnsi="Book Antiqua" w:cs="Arial"/>
          <w:color w:val="000000"/>
        </w:rPr>
        <w:t xml:space="preserve">. </w:t>
      </w:r>
      <w:r w:rsidR="00B72525" w:rsidRPr="002D44D6">
        <w:rPr>
          <w:rFonts w:ascii="Book Antiqua" w:hAnsi="Book Antiqua" w:cs="Arial"/>
          <w:color w:val="000000"/>
        </w:rPr>
        <w:t xml:space="preserve">The only randomized controlled trial (RCT) looking at calcitriol supplementation did not find a significant improvement in </w:t>
      </w:r>
      <w:r w:rsidR="00B72525" w:rsidRPr="002D44D6">
        <w:rPr>
          <w:rFonts w:ascii="Book Antiqua" w:hAnsi="Book Antiqua" w:cs="Arial"/>
          <w:color w:val="000000"/>
        </w:rPr>
        <w:lastRenderedPageBreak/>
        <w:t>BMD from baseline at one year, though BMD did significantly worsen in those who rec</w:t>
      </w:r>
      <w:r w:rsidR="004113B5" w:rsidRPr="002D44D6">
        <w:rPr>
          <w:rFonts w:ascii="Book Antiqua" w:hAnsi="Book Antiqua" w:cs="Arial"/>
          <w:color w:val="000000"/>
        </w:rPr>
        <w:t>eived no treatment</w:t>
      </w:r>
      <w:r w:rsidR="00E21B32" w:rsidRPr="002D44D6">
        <w:rPr>
          <w:rFonts w:ascii="Book Antiqua" w:hAnsi="Book Antiqua" w:cs="Arial"/>
          <w:color w:val="000000"/>
        </w:rPr>
        <w:fldChar w:fldCharType="begin" w:fldLock="1"/>
      </w:r>
      <w:r w:rsidR="00E21B32" w:rsidRPr="002D44D6">
        <w:rPr>
          <w:rFonts w:ascii="Book Antiqua" w:hAnsi="Book Antiqua" w:cs="Arial"/>
          <w:color w:val="000000"/>
        </w:rPr>
        <w:instrText>ADDIN CSL_CITATION { "citationItems" : [ { "id" : "ITEM-1", "itemData" : { "ISSN" : "0944-1174", "PMID" : "10213125", "abstract" : "Because osteoporosis is a common complication of primary biliary cirrhosis, we evaluated the effects of calcitriol (1alpha, 25-dihydroxyvitamin D3) on bone mineral density in 34 women with primary biliary cirrhosis (stage I disease in 16 patients, stage II in 9, stage III in 4, and stage IV in 5). Patients were assigned randomly to receive calcitriol (0.5mg twice a day) or not. Bone mineral density of the lumbar vertebrae was measured by dual-energy X-ray absorptiometry at least twice during a period of 12-43 months. The mean annual change in bone mineral density was 0.1% in the treatment group and -3.1% in the control group. The median annual change (with 25th and 75th percentiles) in bone mineral density was 0.3% (-0.5%, 1.9%) in the treated group and -3.1% (-4.1%, -2.1%) in the control group. This difference between the two groups was significant (P = 0.0007, Mann-Whitney U-test). Our findings suggest that calcitriol prevents bone loss and may be an effective treatment for osteoporosis in patients with primary biliary cirrhosis.", "author" : [ { "dropping-particle" : "", "family" : "Shiomi", "given" : "S", "non-dropping-particle" : "", "parse-names" : false, "suffix" : "" }, { "dropping-particle" : "", "family" : "Masaki", "given" : "K", "non-dropping-particle" : "", "parse-names" : false, "suffix" : "" }, { "dropping-particle" : "", "family" : "Habu", "given" : "D", "non-dropping-particle" : "", "parse-names" : false, "suffix" : "" }, { "dropping-particle" : "", "family" : "Takeda", "given" : "T", "non-dropping-particle" : "", "parse-names" : false, "suffix" : "" }, { "dropping-particle" : "", "family" : "Nishiguchi", "given" : "S", "non-dropping-particle" : "", "parse-names" : false, "suffix" : "" }, { "dropping-particle" : "", "family" : "Kuroki", "given" : "T", "non-dropping-particle" : "", "parse-names" : false, "suffix" : "" }, { "dropping-particle" : "", "family" : "Ochi", "given" : "H", "non-dropping-particle" : "", "parse-names" : false, "suffix" : "" } ], "container-title" : "Journal of gastroenterology", "id" : "ITEM-1", "issue" : "2", "issued" : { "date-parts" : [ [ "1999" ] ] }, "page" : "241-5", "title" : "Calcitriol for bone loss in patients with primary biliary cirrhosis.", "type" : "article-journal", "volume" : "34" }, "uris" : [ "http://www.mendeley.com/documents/?uuid=b1c37ed0-60e6-41e5-8399-dff47510b9e8" ] } ], "mendeley" : { "formattedCitation" : "&lt;sup&gt;[38]&lt;/sup&gt;", "plainTextFormattedCitation" : "[38]", "previouslyFormattedCitation" : "&lt;sup&gt;[38]&lt;/sup&gt;" }, "properties" : { "noteIndex" : 0 }, "schema" : "https://github.com/citation-style-language/schema/raw/master/csl-citation.json" }</w:instrText>
      </w:r>
      <w:r w:rsidR="00E21B32" w:rsidRPr="002D44D6">
        <w:rPr>
          <w:rFonts w:ascii="Book Antiqua" w:hAnsi="Book Antiqua" w:cs="Arial"/>
          <w:color w:val="000000"/>
        </w:rPr>
        <w:fldChar w:fldCharType="separate"/>
      </w:r>
      <w:r w:rsidR="00E21B32" w:rsidRPr="002D44D6">
        <w:rPr>
          <w:rFonts w:ascii="Book Antiqua" w:hAnsi="Book Antiqua" w:cs="Arial"/>
          <w:noProof/>
          <w:color w:val="000000"/>
          <w:vertAlign w:val="superscript"/>
        </w:rPr>
        <w:t>[38]</w:t>
      </w:r>
      <w:r w:rsidR="00E21B32" w:rsidRPr="002D44D6">
        <w:rPr>
          <w:rFonts w:ascii="Book Antiqua" w:hAnsi="Book Antiqua" w:cs="Arial"/>
          <w:color w:val="000000"/>
        </w:rPr>
        <w:fldChar w:fldCharType="end"/>
      </w:r>
      <w:r w:rsidR="00B72525" w:rsidRPr="002D44D6">
        <w:rPr>
          <w:rFonts w:ascii="Book Antiqua" w:hAnsi="Book Antiqua" w:cs="Arial"/>
          <w:color w:val="000000"/>
        </w:rPr>
        <w:t xml:space="preserve">. Most studies use some combination of </w:t>
      </w:r>
      <w:r w:rsidR="00EF4229" w:rsidRPr="002D44D6">
        <w:rPr>
          <w:rFonts w:ascii="Book Antiqua" w:hAnsi="Book Antiqua" w:cs="Arial"/>
          <w:color w:val="000000"/>
        </w:rPr>
        <w:t>calcium and vitamin D supplementation as standard of care in both the intervention and control groups</w:t>
      </w:r>
      <w:r w:rsidR="004113B5" w:rsidRPr="002D44D6">
        <w:rPr>
          <w:rFonts w:ascii="Book Antiqua" w:hAnsi="Book Antiqua" w:cs="Arial"/>
          <w:color w:val="000000"/>
        </w:rPr>
        <w:t>, though notably</w:t>
      </w:r>
      <w:r w:rsidR="00B72525" w:rsidRPr="002D44D6">
        <w:rPr>
          <w:rFonts w:ascii="Book Antiqua" w:hAnsi="Book Antiqua" w:cs="Arial"/>
          <w:color w:val="000000"/>
        </w:rPr>
        <w:t xml:space="preserve">, </w:t>
      </w:r>
      <w:r w:rsidR="00B85257" w:rsidRPr="002D44D6">
        <w:rPr>
          <w:rFonts w:ascii="Book Antiqua" w:hAnsi="Book Antiqua" w:cs="Arial"/>
          <w:color w:val="000000"/>
        </w:rPr>
        <w:t xml:space="preserve">BMD </w:t>
      </w:r>
      <w:r w:rsidR="00A95E1F" w:rsidRPr="002D44D6">
        <w:rPr>
          <w:rFonts w:ascii="Book Antiqua" w:hAnsi="Book Antiqua" w:cs="Arial"/>
          <w:color w:val="000000"/>
        </w:rPr>
        <w:t>continue</w:t>
      </w:r>
      <w:r w:rsidR="00B85257" w:rsidRPr="002D44D6">
        <w:rPr>
          <w:rFonts w:ascii="Book Antiqua" w:hAnsi="Book Antiqua" w:cs="Arial"/>
          <w:color w:val="000000"/>
        </w:rPr>
        <w:t>s</w:t>
      </w:r>
      <w:r w:rsidR="00A95E1F" w:rsidRPr="002D44D6">
        <w:rPr>
          <w:rFonts w:ascii="Book Antiqua" w:hAnsi="Book Antiqua" w:cs="Arial"/>
          <w:color w:val="000000"/>
        </w:rPr>
        <w:t xml:space="preserve"> to worsen in </w:t>
      </w:r>
      <w:r w:rsidR="00B72525" w:rsidRPr="002D44D6">
        <w:rPr>
          <w:rFonts w:ascii="Book Antiqua" w:hAnsi="Book Antiqua" w:cs="Arial"/>
          <w:color w:val="000000"/>
        </w:rPr>
        <w:t xml:space="preserve">the control group </w:t>
      </w:r>
      <w:r w:rsidR="00A95E1F" w:rsidRPr="002D44D6">
        <w:rPr>
          <w:rFonts w:ascii="Book Antiqua" w:hAnsi="Book Antiqua" w:cs="Arial"/>
          <w:color w:val="000000"/>
        </w:rPr>
        <w:t>despite supplementation</w:t>
      </w:r>
      <w:r w:rsidR="00121A65" w:rsidRPr="002D44D6">
        <w:rPr>
          <w:rFonts w:ascii="Book Antiqua" w:hAnsi="Book Antiqua" w:cs="Arial"/>
          <w:color w:val="000000"/>
        </w:rPr>
        <w:fldChar w:fldCharType="begin" w:fldLock="1"/>
      </w:r>
      <w:r w:rsidR="004113B5" w:rsidRPr="002D44D6">
        <w:rPr>
          <w:rFonts w:ascii="Book Antiqua" w:hAnsi="Book Antiqua" w:cs="Arial"/>
          <w:color w:val="000000"/>
        </w:rPr>
        <w:instrText>ADDIN CSL_CITATION { "citationItems" : [ { "id" : "ITEM-1", "itemData" : { "DOI" : "10.1016/S0016-5085(97)70098-2", "ISSN" : "00165085", "PMID" : "9207281", "abstract" : "Background and Aims: Because osteopenia increases morbidity of primary biliary cirrhosis (PBC), the effects of cyclical etidronate vs. sodium fluoride on bone mass were compared in patients with PBC. Methods: Thirty- two women with PBC were randomly assigned to receive etidronate (400 mg/day during 14 days every 3 months) or fluoride (50 mg/day, enteric-coated tablets). Bone mineral density of the lumbar spine and proximal femur were measured initially and every 6 months. Bone fractures were also evaluated. Results: Sixteen patients were allocated into each group, which were comparable with respect to the severity of PBC and osteopenia. Thirteen patients with etidronate and 10 patients with fluoride completed 2 years in the study. In the etidronate group, bone mineral density increased in the lumbar spine (P = 0.02) and did not change in the proximal femur. In the fluoride group, lumbar bone mineral density did not change but femoral bone mass decreased, particularly in the Ward's triangle. Two patients in the fluoride and none in the etidronate group developed new vertebral fractures, and the number of new nonvertebral fractures was similar in both groups. Neither treatment impaired liver function or cholestasis. Conclusions: Cyclical etidronate is more effective and better tolerated than sodium fluoride in preventing bone loss in PBC.", "author" : [ { "dropping-particle" : "", "family" : "Guanabens", "given" : "N.", "non-dropping-particle" : "", "parse-names" : false, "suffix" : "" }, { "dropping-particle" : "", "family" : "Pares", "given" : "A.", "non-dropping-particle" : "", "parse-names" : false, "suffix" : "" }, { "dropping-particle" : "", "family" : "Monegal", "given" : "A.", "non-dropping-particle" : "", "parse-names" : false, "suffix" : "" }, { "dropping-particle" : "", "family" : "Peris", "given" : "P.", "non-dropping-particle" : "", "parse-names" : false, "suffix" : "" }, { "dropping-particle" : "", "family" : "Pons", "given" : "F.", "non-dropping-particle" : "", "parse-names" : false, "suffix" : "" }, { "dropping-particle" : "", "family" : "Alvarez", "given" : "L.", "non-dropping-particle" : "", "parse-names" : false, "suffix" : "" }, { "dropping-particle" : "", "family" : "Osaba", "given" : "M. J M", "non-dropping-particle" : "De", "parse-names" : false, "suffix" : "" }, { "dropping-particle" : "", "family" : "Roca", "given" : "M.", "non-dropping-particle" : "", "parse-names" : false, "suffix" : "" }, { "dropping-particle" : "", "family" : "Torra", "given" : "M.", "non-dropping-particle" : "", "parse-names" : false, "suffix" : "" }, { "dropping-particle" : "", "family" : "Rodes", "given" : "J.", "non-dropping-particle" : "", "parse-names" : false, "suffix" : "" } ], "container-title" : "Gastroenterology", "id" : "ITEM-1", "issue" : "1", "issued" : { "date-parts" : [ [ "1997" ] ] }, "page" : "219-224", "title" : "Etidronate versus fluoride for treatment of osteopenia in primary biliary cirrhosis: Preliminary results after 2 years", "type" : "article-journal", "volume" : "113" }, "uris" : [ "http://www.mendeley.com/documents/?uuid=bcdb0a91-c439-498f-93a5-3ee8692e2439" ] }, { "id" : "ITEM-2", "itemData" : { "DOI" : "10.1080/00365520510023279", "ISSN" : "0036-5521", "PMID" : "16109666", "author" : [ { "dropping-particle" : "", "family" : "Musialik", "given" : "J", "non-dropping-particle" : "", "parse-names" : false, "suffix" : "" }, { "dropping-particle" : "", "family" : "Petelenz", "given" : "M", "non-dropping-particle" : "", "parse-names" : false, "suffix" : "" }, { "dropping-particle" : "", "family" : "Gonciarz", "given" : "Z", "non-dropping-particle" : "", "parse-names" : false, "suffix" : "" } ], "container-title" : "Scandinavian Journal of Gastroenterology", "id" : "ITEM-2", "issue" : "7", "issued" : { "date-parts" : [ [ "2005" ] ] }, "page" : "873-874", "title" : "Effects of alendronate on bone mass in patients with primary biliary cirrhosis and osteoporosis: preliminary results after one year", "type" : "article-journal", "volume" : "40" }, "uris" : [ "http://www.mendeley.com/documents/?uuid=adec375d-fdf2-4e01-b556-ed583af0fa19" ] }, { "id" : "ITEM-3", "itemData" : { "DOI" : "10.1007/s10620-006-8015-x", "ISBN" : "0163-2116", "ISSN" : "01632116", "PMID" : "16865577", "abstract" : "The optimal therapy for the prevention and treatment of osteoporosis in primary biliary cirrhosis (PBC) is unknown. Hormone replacement therapy (HRT) prevents osteoporosis, but may promote cholestasis. We performed a double-blind, randomized, placebo-controlled trial of transdermal estrogen/progestin in postmenopausal women with PBC. The 24-month study enrolled 31 patients, but trial uptake was limited and treatment arm dropout was significant. Placebo-treated patients had a higher percentage loss in femoral neck bone mineral density than actively treated patients (-3.76 +/- 1.37% versus 0.21 +/- 1.01%, respectively, P = .058). New fractures occurred in 2 patients on placebo, and in no patients on treatment. The mean monthly increase in bilirubin was not significantly different between groups, but individual data suggest HRT may worsen cholestasis. In conclusion, women with PBC have strong feelings about HRT, and recruitment for this intervention is difficult. Transdermal estrogen/progestin likely provides protection against bone loss in PBC patients, but may worsen cholestasis.", "author" : [ { "dropping-particle" : "", "family" : "Boone", "given" : "Robert H.", "non-dropping-particle" : "", "parse-names" : false, "suffix" : "" }, { "dropping-particle" : "", "family" : "Cheung", "given" : "Angela M.", "non-dropping-particle" : "", "parse-names" : false, "suffix" : "" }, { "dropping-particle" : "", "family" : "Girlan", "given" : "Larisa M.", "non-dropping-particle" : "", "parse-names" : false, "suffix" : "" }, { "dropping-particle" : "", "family" : "Heathcote", "given" : "E. Jenny", "non-dropping-particle" : "", "parse-names" : false, "suffix" : "" } ], "container-title" : "Digestive Diseases and Sciences", "id" : "ITEM-3", "issue" : "6", "issued" : { "date-parts" : [ [ "2006" ] ] }, "page" : "1103-1112", "title" : "Osteoporosis in primary biliary cirrhosis: A randomized trial of the efficacy and feasibility of estrogen/progestin", "type" : "article-journal", "volume" : "51" }, "uris" : [ "http://www.mendeley.com/documents/?uuid=22fc824f-73d0-4222-907b-50e754f71168" ] } ], "mendeley" : { "formattedCitation" : "&lt;sup&gt;[9,39,40]&lt;/sup&gt;", "plainTextFormattedCitation" : "[9,39,40]", "previouslyFormattedCitation" : "&lt;sup&gt;[9,39,40]&lt;/sup&gt;" }, "properties" : { "noteIndex" : 0 }, "schema" : "https://github.com/citation-style-language/schema/raw/master/csl-citation.json" }</w:instrText>
      </w:r>
      <w:r w:rsidR="00121A65" w:rsidRPr="002D44D6">
        <w:rPr>
          <w:rFonts w:ascii="Book Antiqua" w:hAnsi="Book Antiqua" w:cs="Arial"/>
          <w:color w:val="000000"/>
        </w:rPr>
        <w:fldChar w:fldCharType="separate"/>
      </w:r>
      <w:r w:rsidR="004113B5" w:rsidRPr="002D44D6">
        <w:rPr>
          <w:rFonts w:ascii="Book Antiqua" w:hAnsi="Book Antiqua" w:cs="Arial"/>
          <w:noProof/>
          <w:color w:val="000000"/>
          <w:vertAlign w:val="superscript"/>
        </w:rPr>
        <w:t>[9,39,40]</w:t>
      </w:r>
      <w:r w:rsidR="00121A65" w:rsidRPr="002D44D6">
        <w:rPr>
          <w:rFonts w:ascii="Book Antiqua" w:hAnsi="Book Antiqua" w:cs="Arial"/>
          <w:color w:val="000000"/>
        </w:rPr>
        <w:fldChar w:fldCharType="end"/>
      </w:r>
      <w:r w:rsidR="00F613A6" w:rsidRPr="002D44D6">
        <w:rPr>
          <w:rFonts w:ascii="Book Antiqua" w:hAnsi="Book Antiqua" w:cs="Arial"/>
          <w:color w:val="000000"/>
        </w:rPr>
        <w:t>.</w:t>
      </w:r>
    </w:p>
    <w:p w14:paraId="77062B3F" w14:textId="77777777" w:rsidR="00E13F25" w:rsidRPr="002D44D6" w:rsidRDefault="00E13F25" w:rsidP="002D44D6">
      <w:pPr>
        <w:widowControl w:val="0"/>
        <w:adjustRightInd w:val="0"/>
        <w:snapToGrid w:val="0"/>
        <w:spacing w:line="360" w:lineRule="auto"/>
        <w:jc w:val="both"/>
        <w:rPr>
          <w:rFonts w:ascii="Book Antiqua" w:eastAsia="Times New Roman" w:hAnsi="Book Antiqua" w:cs="Times New Roman"/>
        </w:rPr>
      </w:pPr>
    </w:p>
    <w:p w14:paraId="60E242D0" w14:textId="457D2016" w:rsidR="00A94841" w:rsidRPr="002D44D6" w:rsidRDefault="00E13F25" w:rsidP="002D44D6">
      <w:pPr>
        <w:widowControl w:val="0"/>
        <w:adjustRightInd w:val="0"/>
        <w:snapToGrid w:val="0"/>
        <w:spacing w:line="360" w:lineRule="auto"/>
        <w:jc w:val="both"/>
        <w:rPr>
          <w:rFonts w:ascii="Book Antiqua" w:hAnsi="Book Antiqua" w:cs="Arial"/>
          <w:b/>
          <w:bCs/>
          <w:i/>
          <w:color w:val="000000"/>
        </w:rPr>
      </w:pPr>
      <w:r w:rsidRPr="002D44D6">
        <w:rPr>
          <w:rFonts w:ascii="Book Antiqua" w:hAnsi="Book Antiqua" w:cs="Arial"/>
          <w:b/>
          <w:bCs/>
          <w:i/>
          <w:color w:val="000000"/>
        </w:rPr>
        <w:t>Bisphosphonates</w:t>
      </w:r>
    </w:p>
    <w:p w14:paraId="7783590B" w14:textId="303C0E11" w:rsidR="00E13F25" w:rsidRPr="002D44D6" w:rsidRDefault="00E13F25" w:rsidP="002D44D6">
      <w:pPr>
        <w:widowControl w:val="0"/>
        <w:adjustRightInd w:val="0"/>
        <w:snapToGrid w:val="0"/>
        <w:spacing w:line="360" w:lineRule="auto"/>
        <w:jc w:val="both"/>
        <w:rPr>
          <w:rFonts w:ascii="Book Antiqua" w:hAnsi="Book Antiqua" w:cs="Arial"/>
          <w:color w:val="000000"/>
        </w:rPr>
      </w:pPr>
      <w:r w:rsidRPr="002D44D6">
        <w:rPr>
          <w:rFonts w:ascii="Book Antiqua" w:hAnsi="Book Antiqua" w:cs="Arial"/>
          <w:color w:val="000000"/>
        </w:rPr>
        <w:t xml:space="preserve">Bisphosphonates reduce bone resorption and are effective in increasing BMD </w:t>
      </w:r>
      <w:r w:rsidR="00A94841" w:rsidRPr="002D44D6">
        <w:rPr>
          <w:rFonts w:ascii="Book Antiqua" w:hAnsi="Book Antiqua" w:cs="Arial"/>
          <w:color w:val="000000"/>
        </w:rPr>
        <w:t xml:space="preserve">while </w:t>
      </w:r>
      <w:r w:rsidRPr="002D44D6">
        <w:rPr>
          <w:rFonts w:ascii="Book Antiqua" w:hAnsi="Book Antiqua" w:cs="Arial"/>
          <w:color w:val="000000"/>
        </w:rPr>
        <w:t>reducing fractures in postmenopausal osteoporosis</w:t>
      </w:r>
      <w:r w:rsidR="00121A65" w:rsidRPr="002D44D6">
        <w:rPr>
          <w:rFonts w:ascii="Book Antiqua" w:hAnsi="Book Antiqua" w:cs="Arial"/>
          <w:color w:val="000000"/>
        </w:rPr>
        <w:fldChar w:fldCharType="begin" w:fldLock="1"/>
      </w:r>
      <w:r w:rsidR="004113B5" w:rsidRPr="002D44D6">
        <w:rPr>
          <w:rFonts w:ascii="Book Antiqua" w:hAnsi="Book Antiqua" w:cs="Arial"/>
          <w:color w:val="000000"/>
        </w:rPr>
        <w:instrText>ADDIN CSL_CITATION { "citationItems" : [ { "id" : "ITEM-1", "itemData" : { "DOI" : "10.1016/j.bone.2016.05.013", "ISBN" : "doi:10.1016/j.bone.2016.05.013", "ISSN" : "87563282", "PMID" : "27262775", "abstract" : "Objectives: To assess the relative efficacy of bisphosphonates (alendronate, risedronate, ibandronate and zoledronic acid) for the treatment of osteoporosis using network meta-analysis (NMA). Methods: A systematic review of the literature was conducted using PRISMA guidelines. A network meta-analysis was used to determine the relative efficacy of treatments on four fracture outcomes (vertebral, non-vertebral, hip and wrist) and percentage change in femoral neck bone mineral density (BMD). Treatment effects were modelled using an exchangeable treatment effects model. Heterogeneity in treatment effects was explored by considering potential treatment effect modifiers using meta-regression. Where appropriate, inconsistency between direct and indirect evidence was assessed using node-splitting. Results: 46 randomised controlled trials (RCTs) were identified. Twenty seven RCTs provided fracture data and 35 RCTs provided BMD data for analysis. Zoledronic acid was associated with the greatest treatment effect on vertebral fractures (HR 0.41, 95% CrI: 0.28, 0.56) and percentage change in BMD (3.21, 95%: CrI 2.52, 3.86) compared to placebo. The greatest treatment effect on non-vertebral and wrist fractures was given by risedronate (HR 0.72, 95%: CrI 0.53, 0.89 and HR 0.77, 95%: CrI 0.44, 1.24, respectively). For hip fractures the greatest treatment effect was given by alendronate (HR 0.78, 95% CrI: 0.44, 1.30). Conclusions: All treatments examined were associated with beneficial effects on fractures and femoral neck BMD relative to placebo. For vertebral fractures and percentage change in femoral neck BMD the treatment effects were statistically significant for all treatments. Pairwise comparisons between treatments indicated that no active treatment was statistically significantly more effective than any other active treatment for fracture outcomes. There was some heterogeneity in treatment effects between studies suggesting differential treatment effects according to study characteristics; however, there was no evidence of differential treatment effects with respect to gender and age.", "author" : [ { "dropping-particle" : "", "family" : "Sanderson", "given" : "Jean", "non-dropping-particle" : "", "parse-names" : false, "suffix" : "" }, { "dropping-particle" : "", "family" : "Martyn-St James", "given" : "Marrissa", "non-dropping-particle" : "", "parse-names" : false, "suffix" : "" }, { "dropping-particle" : "", "family" : "Stevens", "given" : "John", "non-dropping-particle" : "", "parse-names" : false, "suffix" : "" }, { "dropping-particle" : "", "family" : "Goka", "given" : "Edward", "non-dropping-particle" : "", "parse-names" : false, "suffix" : "" }, { "dropping-particle" : "", "family" : "Wong", "given" : "Ruth", "non-dropping-particle" : "", "parse-names" : false, "suffix" : "" }, { "dropping-particle" : "", "family" : "Campbell", "given" : "Fiona", "non-dropping-particle" : "", "parse-names" : false, "suffix" : "" }, { "dropping-particle" : "", "family" : "Selby", "given" : "Peter", "non-dropping-particle" : "", "parse-names" : false, "suffix" : "" }, { "dropping-particle" : "", "family" : "Gittoes", "given" : "Neil", "non-dropping-particle" : "", "parse-names" : false, "suffix" : "" }, { "dropping-particle" : "", "family" : "Davis", "given" : "Sarah", "non-dropping-particle" : "", "parse-names" : false, "suffix" : "" } ], "container-title" : "Bone", "id" : "ITEM-1", "issued" : { "date-parts" : [ [ "2016" ] ] }, "page" : "52-58", "publisher" : "Elsevier B.V.", "title" : "Clinical effectiveness of bisphosphonates for the prevention of fragility fractures: A systematic review and network meta-analysis", "type" : "article-journal", "volume" : "89" }, "uris" : [ "http://www.mendeley.com/documents/?uuid=86a081de-27f6-4079-9be4-67a047293327" ] } ], "mendeley" : { "formattedCitation" : "&lt;sup&gt;[41]&lt;/sup&gt;", "plainTextFormattedCitation" : "[41]", "previouslyFormattedCitation" : "&lt;sup&gt;[41]&lt;/sup&gt;" }, "properties" : { "noteIndex" : 0 }, "schema" : "https://github.com/citation-style-language/schema/raw/master/csl-citation.json" }</w:instrText>
      </w:r>
      <w:r w:rsidR="00121A65" w:rsidRPr="002D44D6">
        <w:rPr>
          <w:rFonts w:ascii="Book Antiqua" w:hAnsi="Book Antiqua" w:cs="Arial"/>
          <w:color w:val="000000"/>
        </w:rPr>
        <w:fldChar w:fldCharType="separate"/>
      </w:r>
      <w:r w:rsidR="004113B5" w:rsidRPr="002D44D6">
        <w:rPr>
          <w:rFonts w:ascii="Book Antiqua" w:hAnsi="Book Antiqua" w:cs="Arial"/>
          <w:noProof/>
          <w:color w:val="000000"/>
          <w:vertAlign w:val="superscript"/>
        </w:rPr>
        <w:t>[41]</w:t>
      </w:r>
      <w:r w:rsidR="00121A65" w:rsidRPr="002D44D6">
        <w:rPr>
          <w:rFonts w:ascii="Book Antiqua" w:hAnsi="Book Antiqua" w:cs="Arial"/>
          <w:color w:val="000000"/>
        </w:rPr>
        <w:fldChar w:fldCharType="end"/>
      </w:r>
      <w:r w:rsidR="004113B5" w:rsidRPr="002D44D6">
        <w:rPr>
          <w:rFonts w:ascii="Book Antiqua" w:hAnsi="Book Antiqua" w:cs="Arial"/>
          <w:color w:val="000000"/>
        </w:rPr>
        <w:t xml:space="preserve">. </w:t>
      </w:r>
      <w:r w:rsidRPr="002D44D6">
        <w:rPr>
          <w:rFonts w:ascii="Book Antiqua" w:hAnsi="Book Antiqua" w:cs="Arial"/>
          <w:color w:val="000000"/>
        </w:rPr>
        <w:t>Their effectiveness in PBC is not as clear due to the small number of studies with small s</w:t>
      </w:r>
      <w:r w:rsidR="009C114E" w:rsidRPr="002D44D6">
        <w:rPr>
          <w:rFonts w:ascii="Book Antiqua" w:hAnsi="Book Antiqua" w:cs="Arial"/>
          <w:color w:val="000000"/>
        </w:rPr>
        <w:t xml:space="preserve">tudy size and short follow-up. </w:t>
      </w:r>
      <w:r w:rsidRPr="002D44D6">
        <w:rPr>
          <w:rFonts w:ascii="Book Antiqua" w:hAnsi="Book Antiqua" w:cs="Arial"/>
          <w:color w:val="000000"/>
        </w:rPr>
        <w:t>A 2011 Cochrane review of bisphosphonates in PBC concluded there was insufficient data supporting improved BMD and fracture risk</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"10.1002/14651858.CD009144.pub2", "ISBN" : "1361-6137", "ISSN" : "1469-493X (Electronic)", "PMID" : "22161446", "abstract" : "BACKGROUND: Bisphosphonates are widely used for treatment of postmenopausal osteoporosis. Patients with primary biliary cirrhosis often have osteoporosis - either postmenopausal or secondary to the liver disease. No systematic review or meta-analysis has assessed the effects of bisphosphonates for osteoporosis in patients with primary biliary cirrhosis. OBJECTIVES: To assess the beneficial and harmful effects of bisphosphonates for osteoporosis in primary biliary cirrhosis. SEARCH METHODS: The Cochrane Hepato-Biliary Group Controlled Trials Register, The Cochrane Central Register of Controlled Trials (CENTRAL) in The Cochrane Library, MEDLINE, EMBASE, Science Citation Index Expanded, LILACS, clinicaltrials.gov, the WHO International Clinical Trials Registry Platform, and full text searches were conducted until November 2011. Manufacturers and authors were contacted for additional studies during the conductance of the review. SELECTION CRITERIA: All randomised clinical trials of bisphosphonates in primary biliary cirrhosis compared with placebo or no intervention, or another bisphosphonate, or any other drug. DATA COLLECTION AND ANALYSIS: Two authors extracted data. RevMan Analysis was used for statistical analysis of dichotomous data with risk ratio (RR) or risk difference (RD) and of continuous data with mean difference (MD) or standardised mean difference (SMD), all with 95% confidence intervals (CI). Methodological components were used to assess risk of systematic errors (bias). Trial sequential analysis was also used to control for random errors (play of chance). MAIN RESULTS: Six trials were included. Three trials with 106 participants, of which two trials with high risk of bias, did not demonstrate significant effects of bisphosphonates (etidronate or alendronate) versus placebo or no intervention regarding mortality (RD 0.00; 95% CI -0.12 to 0.12, I(2) = 0%), fractures (RR 0.87; 95% CI 0.29 to 2.66, I(2) = 0%), or adverse events (RR 1.00; 95% CI 0.49 to 2.04). Two trials with 62 participants with high risk of bias compared one bisphosphonate (etidronate or alendronate) versus another (alendronate or ibandronate) and found no significant difference regarding mortality (RD -0.03; 95% CI -0.14 to 0.07, I(2) = 0%), fractures (RR 0.95; 95% CI 0.18 to 5.06, I(2) = 0%), or adverse events (RR 1.00; 95% CI 0.49 to 2.04, I(2) = 0%). Bisphosphonates had no significant effect on liver-related mortality, liver transplantation, or liver-related morbidity compa\u2026", "author" : [ { "dropping-particle" : "", "family" : "Rudic", "given" : "Jelena S", "non-dropping-particle" : "", "parse-names" : false, "suffix" : "" }, { "dropping-particle" : "", "family" : "Giljaca", "given" : "Vanja", "non-dropping-particle" : "", "parse-names" : false, "suffix" : "" }, { "dropping-particle" : "", "family" : "Krstic", "given" : "Miodrag N", "non-dropping-particle" : "", "parse-names" : false, "suffix" : "" }, { "dropping-particle" : "", "family" : "Bjelakovic", "given" : "Goran", "non-dropping-particle" : "", "parse-names" : false, "suffix" : "" }, { "dropping-particle" : "", "family" : "Gluud", "given" : "Christian", "non-dropping-particle" : "", "parse-names" : false, "suffix" : "" } ], "container-title" : "The Cochrane database of systematic reviews", "id" : "ITEM-1", "issue" : "12", "issued" : { "date-parts" : [ [ "2011" ] ] }, "page" : "CD009144", "title" : "Bisphosphonates for osteoporosis in primary biliary cirrhosis.", "type" : "article-journal" }, "uris" : [ "http://www.mendeley.com/documents/?uuid=c1840be8-3a03-48f1-891e-0124b20b7974" ] } ], "mendeley" : { "formattedCitation" : "&lt;sup&gt;[42]&lt;/sup&gt;", "plainTextFormattedCitation" : "[42]", "previouslyFormattedCitation" : "&lt;sup&gt;[42]&lt;/sup&gt;"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[42]</w:t>
      </w:r>
      <w:r w:rsidR="00F613A6" w:rsidRPr="002D44D6">
        <w:rPr>
          <w:rFonts w:ascii="Book Antiqua" w:hAnsi="Book Antiqua" w:cs="Arial"/>
          <w:color w:val="000000"/>
        </w:rPr>
        <w:fldChar w:fldCharType="end"/>
      </w:r>
      <w:r w:rsidR="004113B5" w:rsidRPr="002D44D6">
        <w:rPr>
          <w:rFonts w:ascii="Book Antiqua" w:hAnsi="Book Antiqua" w:cs="Arial"/>
          <w:color w:val="000000"/>
        </w:rPr>
        <w:t xml:space="preserve">. </w:t>
      </w:r>
      <w:r w:rsidRPr="002D44D6">
        <w:rPr>
          <w:rFonts w:ascii="Book Antiqua" w:hAnsi="Book Antiqua" w:cs="Arial"/>
          <w:color w:val="000000"/>
        </w:rPr>
        <w:t>It appear</w:t>
      </w:r>
      <w:r w:rsidR="001D55A3" w:rsidRPr="002D44D6">
        <w:rPr>
          <w:rFonts w:ascii="Book Antiqua" w:hAnsi="Book Antiqua" w:cs="Arial"/>
          <w:color w:val="000000"/>
        </w:rPr>
        <w:t>s</w:t>
      </w:r>
      <w:r w:rsidRPr="002D44D6">
        <w:rPr>
          <w:rFonts w:ascii="Book Antiqua" w:hAnsi="Book Antiqua" w:cs="Arial"/>
          <w:color w:val="000000"/>
        </w:rPr>
        <w:t xml:space="preserve"> etidronate </w:t>
      </w:r>
      <w:r w:rsidR="001D55A3" w:rsidRPr="002D44D6">
        <w:rPr>
          <w:rFonts w:ascii="Book Antiqua" w:hAnsi="Book Antiqua" w:cs="Arial"/>
          <w:color w:val="000000"/>
        </w:rPr>
        <w:t>is not</w:t>
      </w:r>
      <w:r w:rsidRPr="002D44D6">
        <w:rPr>
          <w:rFonts w:ascii="Book Antiqua" w:hAnsi="Book Antiqua" w:cs="Arial"/>
          <w:color w:val="000000"/>
        </w:rPr>
        <w:t xml:space="preserve"> effective in improving BMD an</w:t>
      </w:r>
      <w:r w:rsidR="009C114E" w:rsidRPr="002D44D6">
        <w:rPr>
          <w:rFonts w:ascii="Book Antiqua" w:hAnsi="Book Antiqua" w:cs="Arial"/>
          <w:color w:val="000000"/>
        </w:rPr>
        <w:t xml:space="preserve">d preventing fractures in PBC. </w:t>
      </w:r>
      <w:r w:rsidRPr="002D44D6">
        <w:rPr>
          <w:rFonts w:ascii="Book Antiqua" w:hAnsi="Book Antiqua" w:cs="Arial"/>
          <w:color w:val="000000"/>
        </w:rPr>
        <w:t xml:space="preserve">In </w:t>
      </w:r>
      <w:r w:rsidR="001D55A3" w:rsidRPr="002D44D6">
        <w:rPr>
          <w:rFonts w:ascii="Book Antiqua" w:hAnsi="Book Antiqua" w:cs="Arial"/>
          <w:color w:val="000000"/>
        </w:rPr>
        <w:t xml:space="preserve">two </w:t>
      </w:r>
      <w:r w:rsidR="00A95E1F" w:rsidRPr="002D44D6">
        <w:rPr>
          <w:rFonts w:ascii="Book Antiqua" w:hAnsi="Book Antiqua" w:cs="Arial"/>
          <w:color w:val="000000"/>
        </w:rPr>
        <w:t>RCTs</w:t>
      </w:r>
      <w:r w:rsidR="001D55A3" w:rsidRPr="002D44D6">
        <w:rPr>
          <w:rFonts w:ascii="Book Antiqua" w:hAnsi="Book Antiqua" w:cs="Arial"/>
          <w:color w:val="000000"/>
        </w:rPr>
        <w:t xml:space="preserve"> comparing etidronate to calcium alone or placebo, neither demonstrated an improvement in BMD from baseline with etidronate</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"PMID" : "9059953", "author" : [ { "dropping-particle" : "", "family" : "Wolfhagen", "given" : "Frank HJ", "non-dropping-particle" : "", "parse-names" : false, "suffix" : "" }, { "dropping-particle" : "", "family" : "Buuren", "given" : "Henk R.", "non-dropping-particle" : "van", "parse-names" : false, "suffix" : "" }, { "dropping-particle" : "", "family" : "Ouden", "given" : "Janny W.", "non-dropping-particle" : "den", "parse-names" : false, "suffix" : "" }, { "dropping-particle" : "", "family" : "Hop", "given" : "Wim CJ", "non-dropping-particle" : "", "parse-names" : false, "suffix" : "" }, { "dropping-particle" : "", "family" : "can Leeuwen", "given" : "Johannes PTM", "non-dropping-particle" : "", "parse-names" : false, "suffix" : "" }, { "dropping-particle" : "", "family" : "Schalm", "given" : "Solko W.", "non-dropping-particle" : "", "parse-names" : false, "suffix" : "" }, { "dropping-particle" : "", "family" : "Pols", "given" : "Huib AP", "non-dropping-particle" : "", "parse-names" : false, "suffix" : "" } ], "container-title" : "Journal of Hepatology", "id" : "ITEM-1", "issued" : { "date-parts" : [ [ "1997" ] ] }, "page" : "325-330", "title" : "Cyclical etidronate in the prevention of bone loss in corticosteroid-treated primary bii cirrhosis", "type" : "article-journal", "volume" : "26" }, "uris" : [ "http://www.mendeley.com/documents/?uuid=5927fc60-83b2-40d9-ab79-900142609550" ] }, { "id" : "ITEM-2", "itemData" : { "DOI" : "10.1016/S0168-8278(00)80118-X", "ISBN" : "0168-8278 (Print)\\r0168-8278 (Linking)", "ISSN" : "01688278", "PMID" : "11131448", "abstract" : "Background/Aim: Osteoporosis is a common complication of primary biliary cirrhosis but there is no accepted therapy for the osteoporosis. In this randomized controlled trial, we compared the effects of etidronate to placebo on the treatment of osteoporosis associated with primary biliary cirrhosis. Methods: Sixty-seven patients with primary biliary cirrhosis and osteopenia, defined by bone mineral density criteria (T-score &lt;-2.0) were enrolled. Measurements of the lumbar spine and proximal femur, as well as x-rays of the lumbar spine, were obtained. Patients received cyclical etidronate 400 mg/day for 14 days every 3 months for at least 1 year. Supplemental calcium was administered on the days patients did not receive etidronate. Results: Of the 67 patients entered, 60 completed at least 1 year of therapy. There was no significant difference in changes in bone density at either the lumbar spine or femur in patients receiving etidronate when compared to placebo. Fractures occurred in eight patients, four receiving etidronate. Etidronate therapy was associated with a significant reduction in markers of bone turnover compared to placebo. These changes did not correlate with changes in bone density. Conclusions: Cyclical etidronate administered with supplemental calcium did not significantly improve bone density in patients with primary biliary cirrhosis.", "author" : [ { "dropping-particle" : "", "family" : "Lindor", "given" : "Keith D.", "non-dropping-particle" : "", "parse-names" : false, "suffix" : "" }, { "dropping-particle" : "", "family" : "Jorgensen", "given" : "Roberta A.", "non-dropping-particle" : "", "parse-names" : false, "suffix" : "" }, { "dropping-particle" : "", "family" : "Tiegs", "given" : "Robert D.", "non-dropping-particle" : "", "parse-names" : false, "suffix" : "" }, { "dropping-particle" : "", "family" : "Khosla", "given" : "Sundeep", "non-dropping-particle" : "", "parse-names" : false, "suffix" : "" }, { "dropping-particle" : "", "family" : "Dickson", "given" : "E. Rolland", "non-dropping-particle" : "", "parse-names" : false, "suffix" : "" } ], "container-title" : "Journal of Hepatology", "id" : "ITEM-2", "issue" : "6", "issued" : { "date-parts" : [ [ "2000" ] ] }, "page" : "878-882", "title" : "Etidronate for osteoporosis in primary biliary cirrhosis: A randomized trial", "type" : "article-journal", "volume" : "33" }, "uris" : [ "http://www.mendeley.com/documents/?uuid=74607aab-5872-4fbe-a830-24081022e53e" ] } ], "mendeley" : { "formattedCitation" : "&lt;sup&gt;[6,43]&lt;/sup&gt;", "plainTextFormattedCitation" : "[6,43]", "previouslyFormattedCitation" : "&lt;sup&gt;[6,43]&lt;/sup&gt;"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[6,43]</w:t>
      </w:r>
      <w:r w:rsidR="00F613A6" w:rsidRPr="002D44D6">
        <w:rPr>
          <w:rFonts w:ascii="Book Antiqua" w:hAnsi="Book Antiqua" w:cs="Arial"/>
          <w:color w:val="000000"/>
        </w:rPr>
        <w:fldChar w:fldCharType="end"/>
      </w:r>
      <w:r w:rsidR="004113B5" w:rsidRPr="002D44D6">
        <w:rPr>
          <w:rFonts w:ascii="Book Antiqua" w:hAnsi="Book Antiqua" w:cs="Arial"/>
          <w:color w:val="000000"/>
        </w:rPr>
        <w:t>,</w:t>
      </w:r>
      <w:r w:rsidR="001D55A3" w:rsidRPr="002D44D6">
        <w:rPr>
          <w:rFonts w:ascii="Book Antiqua" w:hAnsi="Book Antiqua" w:cs="Arial"/>
          <w:color w:val="000000"/>
        </w:rPr>
        <w:t xml:space="preserve"> though one did show significantly less bone loss compared t</w:t>
      </w:r>
      <w:r w:rsidR="004113B5" w:rsidRPr="002D44D6">
        <w:rPr>
          <w:rFonts w:ascii="Book Antiqua" w:hAnsi="Book Antiqua" w:cs="Arial"/>
          <w:color w:val="000000"/>
        </w:rPr>
        <w:t>o calcium alone</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"PMID" : "9059953", "author" : [ { "dropping-particle" : "", "family" : "Wolfhagen", "given" : "Frank HJ", "non-dropping-particle" : "", "parse-names" : false, "suffix" : "" }, { "dropping-particle" : "", "family" : "Buuren", "given" : "Henk R.", "non-dropping-particle" : "van", "parse-names" : false, "suffix" : "" }, { "dropping-particle" : "", "family" : "Ouden", "given" : "Janny W.", "non-dropping-particle" : "den", "parse-names" : false, "suffix" : "" }, { "dropping-particle" : "", "family" : "Hop", "given" : "Wim CJ", "non-dropping-particle" : "", "parse-names" : false, "suffix" : "" }, { "dropping-particle" : "", "family" : "can Leeuwen", "given" : "Johannes PTM", "non-dropping-particle" : "", "parse-names" : false, "suffix" : "" }, { "dropping-particle" : "", "family" : "Schalm", "given" : "Solko W.", "non-dropping-particle" : "", "parse-names" : false, "suffix" : "" }, { "dropping-particle" : "", "family" : "Pols", "given" : "Huib AP", "non-dropping-particle" : "", "parse-names" : false, "suffix" : "" } ], "container-title" : "Journal of Hepatology", "id" : "ITEM-1", "issued" : { "date-parts" : [ [ "1997" ] ] }, "page" : "325-330", "title" : "Cyclical etidronate in the prevention of bone loss in corticosteroid-treated primary bii cirrhosis", "type" : "article-journal", "volume" : "26" }, "uris" : [ "http://www.mendeley.com/documents/?uuid=5927fc60-83b2-40d9-ab79-900142609550" ] } ], "mendeley" : { "formattedCitation" : "&lt;sup&gt;[43]&lt;/sup&gt;", "plainTextFormattedCitation" : "[43]", "previouslyFormattedCitation" : "&lt;sup&gt;[43]&lt;/sup&gt;"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[43]</w:t>
      </w:r>
      <w:r w:rsidR="00F613A6" w:rsidRPr="002D44D6">
        <w:rPr>
          <w:rFonts w:ascii="Book Antiqua" w:hAnsi="Book Antiqua" w:cs="Arial"/>
          <w:color w:val="000000"/>
        </w:rPr>
        <w:fldChar w:fldCharType="end"/>
      </w:r>
      <w:r w:rsidR="001D55A3" w:rsidRPr="002D44D6">
        <w:rPr>
          <w:rFonts w:ascii="Book Antiqua" w:hAnsi="Book Antiqua" w:cs="Arial"/>
          <w:color w:val="000000"/>
        </w:rPr>
        <w:t>. Neither showed a difference in fracture risk over 1-2 years of follow-</w:t>
      </w:r>
      <w:r w:rsidR="00492F9E" w:rsidRPr="002D44D6">
        <w:rPr>
          <w:rFonts w:ascii="Book Antiqua" w:hAnsi="Book Antiqua" w:cs="Arial"/>
          <w:color w:val="000000"/>
        </w:rPr>
        <w:t>up</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"PMID" : "9059953", "author" : [ { "dropping-particle" : "", "family" : "Wolfhagen", "given" : "Frank HJ", "non-dropping-particle" : "", "parse-names" : false, "suffix" : "" }, { "dropping-particle" : "", "family" : "Buuren", "given" : "Henk R.", "non-dropping-particle" : "van", "parse-names" : false, "suffix" : "" }, { "dropping-particle" : "", "family" : "Ouden", "given" : "Janny W.", "non-dropping-particle" : "den", "parse-names" : false, "suffix" : "" }, { "dropping-particle" : "", "family" : "Hop", "given" : "Wim CJ", "non-dropping-particle" : "", "parse-names" : false, "suffix" : "" }, { "dropping-particle" : "", "family" : "can Leeuwen", "given" : "Johannes PTM", "non-dropping-particle" : "", "parse-names" : false, "suffix" : "" }, { "dropping-particle" : "", "family" : "Schalm", "given" : "Solko W.", "non-dropping-particle" : "", "parse-names" : false, "suffix" : "" }, { "dropping-particle" : "", "family" : "Pols", "given" : "Huib AP", "non-dropping-particle" : "", "parse-names" : false, "suffix" : "" } ], "container-title" : "Journal of Hepatology", "id" : "ITEM-1", "issued" : { "date-parts" : [ [ "1997" ] ] }, "page" : "325-330", "title" : "Cyclical etidronate in the prevention of bone loss in corticosteroid-treated primary bii cirrhosis", "type" : "article-journal", "volume" : "26" }, "uris" : [ "http://www.mendeley.com/documents/?uuid=5927fc60-83b2-40d9-ab79-900142609550" ] }, { "id" : "ITEM-2", "itemData" : { "DOI" : "10.1016/S0168-8278(00)80118-X", "ISBN" : "0168-8278 (Print)\\r0168-8278 (Linking)", "ISSN" : "01688278", "PMID" : "11131448", "abstract" : "Background/Aim: Osteoporosis is a common complication of primary biliary cirrhosis but there is no accepted therapy for the osteoporosis. In this randomized controlled trial, we compared the effects of etidronate to placebo on the treatment of osteoporosis associated with primary biliary cirrhosis. Methods: Sixty-seven patients with primary biliary cirrhosis and osteopenia, defined by bone mineral density criteria (T-score &lt;-2.0) were enrolled. Measurements of the lumbar spine and proximal femur, as well as x-rays of the lumbar spine, were obtained. Patients received cyclical etidronate 400 mg/day for 14 days every 3 months for at least 1 year. Supplemental calcium was administered on the days patients did not receive etidronate. Results: Of the 67 patients entered, 60 completed at least 1 year of therapy. There was no significant difference in changes in bone density at either the lumbar spine or femur in patients receiving etidronate when compared to placebo. Fractures occurred in eight patients, four receiving etidronate. Etidronate therapy was associated with a significant reduction in markers of bone turnover compared to placebo. These changes did not correlate with changes in bone density. Conclusions: Cyclical etidronate administered with supplemental calcium did not significantly improve bone density in patients with primary biliary cirrhosis.", "author" : [ { "dropping-particle" : "", "family" : "Lindor", "given" : "Keith D.", "non-dropping-particle" : "", "parse-names" : false, "suffix" : "" }, { "dropping-particle" : "", "family" : "Jorgensen", "given" : "Roberta A.", "non-dropping-particle" : "", "parse-names" : false, "suffix" : "" }, { "dropping-particle" : "", "family" : "Tiegs", "given" : "Robert D.", "non-dropping-particle" : "", "parse-names" : false, "suffix" : "" }, { "dropping-particle" : "", "family" : "Khosla", "given" : "Sundeep", "non-dropping-particle" : "", "parse-names" : false, "suffix" : "" }, { "dropping-particle" : "", "family" : "Dickson", "given" : "E. Rolland", "non-dropping-particle" : "", "parse-names" : false, "suffix" : "" } ], "container-title" : "Journal of Hepatology", "id" : "ITEM-2", "issue" : "6", "issued" : { "date-parts" : [ [ "2000" ] ] }, "page" : "878-882", "title" : "Etidronate for osteoporosis in primary biliary cirrhosis: A randomized trial", "type" : "article-journal", "volume" : "33" }, "uris" : [ "http://www.mendeley.com/documents/?uuid=74607aab-5872-4fbe-a830-24081022e53e" ] } ], "mendeley" : { "formattedCitation" : "&lt;sup&gt;[6,43]&lt;/sup&gt;", "plainTextFormattedCitation" : "[6,43]", "previouslyFormattedCitation" : "&lt;sup&gt;[6,43]&lt;/sup&gt;"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[6,43]</w:t>
      </w:r>
      <w:r w:rsidR="00F613A6" w:rsidRPr="002D44D6">
        <w:rPr>
          <w:rFonts w:ascii="Book Antiqua" w:hAnsi="Book Antiqua" w:cs="Arial"/>
          <w:color w:val="000000"/>
        </w:rPr>
        <w:fldChar w:fldCharType="end"/>
      </w:r>
      <w:r w:rsidR="001D55A3" w:rsidRPr="002D44D6">
        <w:rPr>
          <w:rFonts w:ascii="Book Antiqua" w:hAnsi="Book Antiqua" w:cs="Arial"/>
          <w:color w:val="000000"/>
        </w:rPr>
        <w:t>.</w:t>
      </w:r>
      <w:r w:rsidR="00F613A6" w:rsidRPr="002D44D6">
        <w:rPr>
          <w:rFonts w:ascii="Book Antiqua" w:hAnsi="Book Antiqua" w:cs="Arial"/>
          <w:color w:val="000000"/>
        </w:rPr>
        <w:t xml:space="preserve"> </w:t>
      </w:r>
    </w:p>
    <w:p w14:paraId="3A2A0220" w14:textId="6380A168" w:rsidR="008E22C2" w:rsidRPr="002D44D6" w:rsidRDefault="00E13F25" w:rsidP="00F613A6">
      <w:pPr>
        <w:widowControl w:val="0"/>
        <w:adjustRightInd w:val="0"/>
        <w:snapToGrid w:val="0"/>
        <w:spacing w:line="360" w:lineRule="auto"/>
        <w:ind w:firstLineChars="100" w:firstLine="240"/>
        <w:jc w:val="both"/>
        <w:rPr>
          <w:rFonts w:ascii="Book Antiqua" w:hAnsi="Book Antiqua" w:cs="Arial"/>
          <w:color w:val="000000"/>
        </w:rPr>
      </w:pPr>
      <w:r w:rsidRPr="002D44D6">
        <w:rPr>
          <w:rFonts w:ascii="Book Antiqua" w:hAnsi="Book Antiqua" w:cs="Arial"/>
          <w:color w:val="000000"/>
        </w:rPr>
        <w:t xml:space="preserve">Alendronate, </w:t>
      </w:r>
      <w:r w:rsidR="001D55A3" w:rsidRPr="002D44D6">
        <w:rPr>
          <w:rFonts w:ascii="Book Antiqua" w:hAnsi="Book Antiqua" w:cs="Arial"/>
          <w:color w:val="000000"/>
        </w:rPr>
        <w:t>a nitrogen-containing bisphosphonate</w:t>
      </w:r>
      <w:r w:rsidR="00B85257" w:rsidRPr="002D44D6">
        <w:rPr>
          <w:rFonts w:ascii="Book Antiqua" w:hAnsi="Book Antiqua" w:cs="Arial"/>
          <w:color w:val="000000"/>
        </w:rPr>
        <w:t xml:space="preserve"> as opposed to etidronate</w:t>
      </w:r>
      <w:r w:rsidRPr="002D44D6">
        <w:rPr>
          <w:rFonts w:ascii="Book Antiqua" w:hAnsi="Book Antiqua" w:cs="Arial"/>
          <w:color w:val="000000"/>
        </w:rPr>
        <w:t xml:space="preserve">, has had </w:t>
      </w:r>
      <w:r w:rsidR="00C209D3" w:rsidRPr="002D44D6">
        <w:rPr>
          <w:rFonts w:ascii="Book Antiqua" w:hAnsi="Book Antiqua" w:cs="Arial"/>
          <w:color w:val="000000"/>
        </w:rPr>
        <w:t>more promising result</w:t>
      </w:r>
      <w:r w:rsidR="00492F9E" w:rsidRPr="002D44D6">
        <w:rPr>
          <w:rFonts w:ascii="Book Antiqua" w:hAnsi="Book Antiqua" w:cs="Arial"/>
          <w:color w:val="000000"/>
        </w:rPr>
        <w:t xml:space="preserve">s in PBC. </w:t>
      </w:r>
      <w:r w:rsidR="001D55A3" w:rsidRPr="002D44D6">
        <w:rPr>
          <w:rFonts w:ascii="Book Antiqua" w:hAnsi="Book Antiqua" w:cs="Arial"/>
          <w:color w:val="000000"/>
        </w:rPr>
        <w:t>Only one RCT has been performed comparing alendrona</w:t>
      </w:r>
      <w:r w:rsidR="00492F9E" w:rsidRPr="002D44D6">
        <w:rPr>
          <w:rFonts w:ascii="Book Antiqua" w:hAnsi="Book Antiqua" w:cs="Arial"/>
          <w:color w:val="000000"/>
        </w:rPr>
        <w:t>te to placebo in PBC</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"10.1002/hep.20866", "ISSN" : "02709139", "PMID" : "16175618", "abstract" : "Bone loss is a well-recognized complication of primary biliary cirrhosis (PBC). Although it has been suggested that alendronate might improve bone mineral density (BMD) in PBC, no randomized placebo-controlled trial has been conducted. The primary aim of this study was to compare the effects of alendronate versus placebo on BMD and biochemical measurements of bone turnover in patients with PBC-associated bone loss. We conducted a double-blinded, randomized, placebo-controlled trial. Patients with a PBC and BMD t score of less than -1.5 were randomized to receive 70 mg per week of alendronate or placebo over 1 year. BMD of the lumbar spine and proximal femur were measured at entry and at 1 year. Changes from baseline in BMD and biochemical measurements of bone turnover were assessed. Thirty-four patients were enrolled. Seventeen patients were randomized to each arm. After 1 year, a significantly larger improvement (P = .005) in spine BMD was observed in the alendronate group (0.09 +/- 0.03 g/cm2 SD from baseline) compared with the placebo group (-0.003 +/- 0.02 g/cm2 SD from baseline). A larger improvement (P = .046) was also observed in the femoral BMD of alendronate patients versus placebo. BMD changes were independent of concomitant estrogen therapy. The rate of adverse effects was similar in both groups. In conclusion, in patients with PBC-related bone loss, alendronate significantly improves BMD compared with placebo. Although in this study oral alendronate appears to be well tolerated in patients with PBC, larger studies are needed to formally evaluate safety.", "author" : [ { "dropping-particle" : "", "family" : "Zein", "given" : "Claudia O.", "non-dropping-particle" : "", "parse-names" : false, "suffix" : "" }, { "dropping-particle" : "", "family" : "Jorgensen", "given" : "Roberta A.", "non-dropping-particle" : "", "parse-names" : false, "suffix" : "" }, { "dropping-particle" : "", "family" : "Clarke", "given" : "Bart", "non-dropping-particle" : "", "parse-names" : false, "suffix" : "" }, { "dropping-particle" : "", "family" : "Wenger", "given" : "Doris E.", "non-dropping-particle" : "", "parse-names" : false, "suffix" : "" }, { "dropping-particle" : "", "family" : "Keach", "given" : "Jill C.", "non-dropping-particle" : "", "parse-names" : false, "suffix" : "" }, { "dropping-particle" : "", "family" : "Angulo", "given" : "Paul", "non-dropping-particle" : "", "parse-names" : false, "suffix" : "" }, { "dropping-particle" : "", "family" : "Lindor", "given" : "Keith D.", "non-dropping-particle" : "", "parse-names" : false, "suffix" : "" } ], "container-title" : "Hepatology", "id" : "ITEM-1", "issue" : "4", "issued" : { "date-parts" : [ [ "2005" ] ] }, "page" : "762-771", "title" : "Alendronate improves bone mineral density in primary biliary cirrhosis: A randomized placebo-controlled trial", "type" : "article-journal", "volume" : "42" }, "uris" : [ "http://www.mendeley.com/documents/?uuid=948106bd-7aef-40a2-8eab-af8f31b6e0f5" ] } ], "mendeley" : { "formattedCitation" : "&lt;sup&gt;[44]&lt;/sup&gt;", "plainTextFormattedCitation" : "[44]", "previouslyFormattedCitation" : "&lt;sup&gt;[44]&lt;/sup&gt;"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[44]</w:t>
      </w:r>
      <w:r w:rsidR="00F613A6" w:rsidRPr="002D44D6">
        <w:rPr>
          <w:rFonts w:ascii="Book Antiqua" w:hAnsi="Book Antiqua" w:cs="Arial"/>
          <w:color w:val="000000"/>
        </w:rPr>
        <w:fldChar w:fldCharType="end"/>
      </w:r>
      <w:r w:rsidR="001D55A3" w:rsidRPr="002D44D6">
        <w:rPr>
          <w:rFonts w:ascii="Book Antiqua" w:hAnsi="Book Antiqua" w:cs="Arial"/>
          <w:color w:val="000000"/>
        </w:rPr>
        <w:t>. In this study</w:t>
      </w:r>
      <w:r w:rsidRPr="002D44D6">
        <w:rPr>
          <w:rFonts w:ascii="Book Antiqua" w:hAnsi="Book Antiqua" w:cs="Arial"/>
          <w:color w:val="000000"/>
        </w:rPr>
        <w:t>, 34 patients were randomized to receiv</w:t>
      </w:r>
      <w:r w:rsidR="009C114E" w:rsidRPr="002D44D6">
        <w:rPr>
          <w:rFonts w:ascii="Book Antiqua" w:hAnsi="Book Antiqua" w:cs="Arial"/>
          <w:color w:val="000000"/>
        </w:rPr>
        <w:t xml:space="preserve">e oral alendronate or placebo. </w:t>
      </w:r>
      <w:r w:rsidRPr="002D44D6">
        <w:rPr>
          <w:rFonts w:ascii="Book Antiqua" w:hAnsi="Book Antiqua" w:cs="Arial"/>
          <w:color w:val="000000"/>
        </w:rPr>
        <w:t>After 1 year, pati</w:t>
      </w:r>
      <w:r w:rsidR="001E4A6D" w:rsidRPr="002D44D6">
        <w:rPr>
          <w:rFonts w:ascii="Book Antiqua" w:hAnsi="Book Antiqua" w:cs="Arial"/>
          <w:color w:val="000000"/>
        </w:rPr>
        <w:t xml:space="preserve">ents in the alendronate arm </w:t>
      </w:r>
      <w:r w:rsidRPr="002D44D6">
        <w:rPr>
          <w:rFonts w:ascii="Book Antiqua" w:hAnsi="Book Antiqua" w:cs="Arial"/>
          <w:color w:val="000000"/>
        </w:rPr>
        <w:t xml:space="preserve">experienced a 10.4% increase in lumbar spine BMD compared to </w:t>
      </w:r>
      <w:r w:rsidR="008E22C2" w:rsidRPr="002D44D6">
        <w:rPr>
          <w:rFonts w:ascii="Book Antiqua" w:hAnsi="Book Antiqua" w:cs="Arial"/>
          <w:color w:val="000000"/>
        </w:rPr>
        <w:t>-0.12% for placebo</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"10.1002/hep.20866", "ISSN" : "02709139", "PMID" : "16175618", "abstract" : "Bone loss is a well-recognized complication of primary biliary cirrhosis (PBC). Although it has been suggested that alendronate might improve bone mineral density (BMD) in PBC, no randomized placebo-controlled trial has been conducted. The primary aim of this study was to compare the effects of alendronate versus placebo on BMD and biochemical measurements of bone turnover in patients with PBC-associated bone loss. We conducted a double-blinded, randomized, placebo-controlled trial. Patients with a PBC and BMD t score of less than -1.5 were randomized to receive 70 mg per week of alendronate or placebo over 1 year. BMD of the lumbar spine and proximal femur were measured at entry and at 1 year. Changes from baseline in BMD and biochemical measurements of bone turnover were assessed. Thirty-four patients were enrolled. Seventeen patients were randomized to each arm. After 1 year, a significantly larger improvement (P = .005) in spine BMD was observed in the alendronate group (0.09 +/- 0.03 g/cm2 SD from baseline) compared with the placebo group (-0.003 +/- 0.02 g/cm2 SD from baseline). A larger improvement (P = .046) was also observed in the femoral BMD of alendronate patients versus placebo. BMD changes were independent of concomitant estrogen therapy. The rate of adverse effects was similar in both groups. In conclusion, in patients with PBC-related bone loss, alendronate significantly improves BMD compared with placebo. Although in this study oral alendronate appears to be well tolerated in patients with PBC, larger studies are needed to formally evaluate safety.", "author" : [ { "dropping-particle" : "", "family" : "Zein", "given" : "Claudia O.", "non-dropping-particle" : "", "parse-names" : false, "suffix" : "" }, { "dropping-particle" : "", "family" : "Jorgensen", "given" : "Roberta A.", "non-dropping-particle" : "", "parse-names" : false, "suffix" : "" }, { "dropping-particle" : "", "family" : "Clarke", "given" : "Bart", "non-dropping-particle" : "", "parse-names" : false, "suffix" : "" }, { "dropping-particle" : "", "family" : "Wenger", "given" : "Doris E.", "non-dropping-particle" : "", "parse-names" : false, "suffix" : "" }, { "dropping-particle" : "", "family" : "Keach", "given" : "Jill C.", "non-dropping-particle" : "", "parse-names" : false, "suffix" : "" }, { "dropping-particle" : "", "family" : "Angulo", "given" : "Paul", "non-dropping-particle" : "", "parse-names" : false, "suffix" : "" }, { "dropping-particle" : "", "family" : "Lindor", "given" : "Keith D.", "non-dropping-particle" : "", "parse-names" : false, "suffix" : "" } ], "container-title" : "Hepatology", "id" : "ITEM-1", "issue" : "4", "issued" : { "date-parts" : [ [ "2005" ] ] }, "page" : "762-771", "title" : "Alendronate improves bone mineral density in primary biliary cirrhosis: A randomized placebo-controlled trial", "type" : "article-journal", "volume" : "42" }, "uris" : [ "http://www.mendeley.com/documents/?uuid=948106bd-7aef-40a2-8eab-af8f31b6e0f5" ] } ], "mendeley" : { "formattedCitation" : "&lt;sup&gt;[44]&lt;/sup&gt;", "plainTextFormattedCitation" : "[44]", "previouslyFormattedCitation" : "&lt;sup&gt;[44]&lt;/sup&gt;"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[44]</w:t>
      </w:r>
      <w:r w:rsidR="00F613A6" w:rsidRPr="002D44D6">
        <w:rPr>
          <w:rFonts w:ascii="Book Antiqua" w:hAnsi="Book Antiqua" w:cs="Arial"/>
          <w:color w:val="000000"/>
        </w:rPr>
        <w:fldChar w:fldCharType="end"/>
      </w:r>
      <w:r w:rsidR="00492F9E" w:rsidRPr="002D44D6">
        <w:rPr>
          <w:rFonts w:ascii="Book Antiqua" w:hAnsi="Book Antiqua" w:cs="Arial"/>
          <w:color w:val="000000"/>
        </w:rPr>
        <w:t xml:space="preserve">. </w:t>
      </w:r>
      <w:r w:rsidR="001E4A6D" w:rsidRPr="002D44D6">
        <w:rPr>
          <w:rFonts w:ascii="Book Antiqua" w:hAnsi="Book Antiqua" w:cs="Arial"/>
          <w:color w:val="000000"/>
        </w:rPr>
        <w:t>However, t</w:t>
      </w:r>
      <w:r w:rsidR="008E22C2" w:rsidRPr="002D44D6">
        <w:rPr>
          <w:rFonts w:ascii="Book Antiqua" w:hAnsi="Book Antiqua" w:cs="Arial"/>
          <w:color w:val="000000"/>
        </w:rPr>
        <w:t>here was no difference in fracture incidence over a year</w:t>
      </w:r>
      <w:r w:rsidR="001E4A6D" w:rsidRPr="002D44D6">
        <w:rPr>
          <w:rFonts w:ascii="Book Antiqua" w:hAnsi="Book Antiqua" w:cs="Arial"/>
          <w:color w:val="000000"/>
        </w:rPr>
        <w:t xml:space="preserve"> and the study included only one male and two pos</w:t>
      </w:r>
      <w:r w:rsidR="00492F9E" w:rsidRPr="002D44D6">
        <w:rPr>
          <w:rFonts w:ascii="Book Antiqua" w:hAnsi="Book Antiqua" w:cs="Arial"/>
          <w:color w:val="000000"/>
        </w:rPr>
        <w:t>t-menopausal females</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"10.1002/hep.20866", "ISSN" : "02709139", "PMID" : "16175618", "abstract" : "Bone loss is a well-recognized complication of primary biliary cirrhosis (PBC). Although it has been suggested that alendronate might improve bone mineral density (BMD) in PBC, no randomized placebo-controlled trial has been conducted. The primary aim of this study was to compare the effects of alendronate versus placebo on BMD and biochemical measurements of bone turnover in patients with PBC-associated bone loss. We conducted a double-blinded, randomized, placebo-controlled trial. Patients with a PBC and BMD t score of less than -1.5 were randomized to receive 70 mg per week of alendronate or placebo over 1 year. BMD of the lumbar spine and proximal femur were measured at entry and at 1 year. Changes from baseline in BMD and biochemical measurements of bone turnover were assessed. Thirty-four patients were enrolled. Seventeen patients were randomized to each arm. After 1 year, a significantly larger improvement (P = .005) in spine BMD was observed in the alendronate group (0.09 +/- 0.03 g/cm2 SD from baseline) compared with the placebo group (-0.003 +/- 0.02 g/cm2 SD from baseline). A larger improvement (P = .046) was also observed in the femoral BMD of alendronate patients versus placebo. BMD changes were independent of concomitant estrogen therapy. The rate of adverse effects was similar in both groups. In conclusion, in patients with PBC-related bone loss, alendronate significantly improves BMD compared with placebo. Although in this study oral alendronate appears to be well tolerated in patients with PBC, larger studies are needed to formally evaluate safety.", "author" : [ { "dropping-particle" : "", "family" : "Zein", "given" : "Claudia O.", "non-dropping-particle" : "", "parse-names" : false, "suffix" : "" }, { "dropping-particle" : "", "family" : "Jorgensen", "given" : "Roberta A.", "non-dropping-particle" : "", "parse-names" : false, "suffix" : "" }, { "dropping-particle" : "", "family" : "Clarke", "given" : "Bart", "non-dropping-particle" : "", "parse-names" : false, "suffix" : "" }, { "dropping-particle" : "", "family" : "Wenger", "given" : "Doris E.", "non-dropping-particle" : "", "parse-names" : false, "suffix" : "" }, { "dropping-particle" : "", "family" : "Keach", "given" : "Jill C.", "non-dropping-particle" : "", "parse-names" : false, "suffix" : "" }, { "dropping-particle" : "", "family" : "Angulo", "given" : "Paul", "non-dropping-particle" : "", "parse-names" : false, "suffix" : "" }, { "dropping-particle" : "", "family" : "Lindor", "given" : "Keith D.", "non-dropping-particle" : "", "parse-names" : false, "suffix" : "" } ], "container-title" : "Hepatology", "id" : "ITEM-1", "issue" : "4", "issued" : { "date-parts" : [ [ "2005" ] ] }, "page" : "762-771", "title" : "Alendronate improves bone mineral density in primary biliary cirrhosis: A randomized placebo-controlled trial", "type" : "article-journal", "volume" : "42" }, "uris" : [ "http://www.mendeley.com/documents/?uuid=948106bd-7aef-40a2-8eab-af8f31b6e0f5" ] } ], "mendeley" : { "formattedCitation" : "&lt;sup&gt;[44]&lt;/sup&gt;", "plainTextFormattedCitation" : "[44]", "previouslyFormattedCitation" : "&lt;sup&gt;[44]&lt;/sup&gt;"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[44]</w:t>
      </w:r>
      <w:r w:rsidR="00F613A6" w:rsidRPr="002D44D6">
        <w:rPr>
          <w:rFonts w:ascii="Book Antiqua" w:hAnsi="Book Antiqua" w:cs="Arial"/>
          <w:color w:val="000000"/>
        </w:rPr>
        <w:fldChar w:fldCharType="end"/>
      </w:r>
      <w:r w:rsidR="001E4A6D" w:rsidRPr="002D44D6">
        <w:rPr>
          <w:rFonts w:ascii="Book Antiqua" w:hAnsi="Book Antiqua" w:cs="Arial"/>
          <w:color w:val="000000"/>
        </w:rPr>
        <w:t>.</w:t>
      </w:r>
      <w:r w:rsidR="00F613A6" w:rsidRPr="002D44D6">
        <w:rPr>
          <w:rFonts w:ascii="Book Antiqua" w:hAnsi="Book Antiqua" w:cs="Arial"/>
          <w:color w:val="000000"/>
        </w:rPr>
        <w:t xml:space="preserve"> </w:t>
      </w:r>
    </w:p>
    <w:p w14:paraId="6409DD8B" w14:textId="31D43522" w:rsidR="00E13F25" w:rsidRPr="002D44D6" w:rsidRDefault="008E22C2" w:rsidP="00F613A6">
      <w:pPr>
        <w:widowControl w:val="0"/>
        <w:adjustRightInd w:val="0"/>
        <w:snapToGrid w:val="0"/>
        <w:spacing w:line="360" w:lineRule="auto"/>
        <w:ind w:firstLineChars="100" w:firstLine="240"/>
        <w:jc w:val="both"/>
        <w:rPr>
          <w:rFonts w:ascii="Book Antiqua" w:hAnsi="Book Antiqua" w:cs="Arial"/>
          <w:color w:val="000000"/>
        </w:rPr>
      </w:pPr>
      <w:r w:rsidRPr="002D44D6">
        <w:rPr>
          <w:rFonts w:ascii="Book Antiqua" w:hAnsi="Book Antiqua" w:cs="Arial"/>
          <w:color w:val="000000"/>
        </w:rPr>
        <w:t>Several studies have also compared bisphosphonates to</w:t>
      </w:r>
      <w:r w:rsidR="00E02673">
        <w:rPr>
          <w:rFonts w:ascii="Book Antiqua" w:hAnsi="Book Antiqua" w:cs="Arial"/>
          <w:color w:val="000000"/>
        </w:rPr>
        <w:t xml:space="preserve"> one another. </w:t>
      </w:r>
      <w:r w:rsidR="00E9143A" w:rsidRPr="002D44D6">
        <w:rPr>
          <w:rFonts w:ascii="Book Antiqua" w:hAnsi="Book Antiqua" w:cs="Arial"/>
          <w:color w:val="000000"/>
        </w:rPr>
        <w:t xml:space="preserve">Alendronate was found to be superior to etidronate in </w:t>
      </w:r>
      <w:r w:rsidR="001E4A6D" w:rsidRPr="002D44D6">
        <w:rPr>
          <w:rFonts w:ascii="Book Antiqua" w:hAnsi="Book Antiqua" w:cs="Arial"/>
          <w:color w:val="000000"/>
        </w:rPr>
        <w:t xml:space="preserve">terms of BMD improvement in </w:t>
      </w:r>
      <w:r w:rsidR="00E9143A" w:rsidRPr="002D44D6">
        <w:rPr>
          <w:rFonts w:ascii="Book Antiqua" w:hAnsi="Book Antiqua" w:cs="Arial"/>
          <w:color w:val="000000"/>
        </w:rPr>
        <w:t xml:space="preserve">a </w:t>
      </w:r>
      <w:r w:rsidR="00E13F25" w:rsidRPr="002D44D6">
        <w:rPr>
          <w:rFonts w:ascii="Book Antiqua" w:hAnsi="Book Antiqua" w:cs="Arial"/>
          <w:color w:val="000000"/>
        </w:rPr>
        <w:t>small trial of 3</w:t>
      </w:r>
      <w:r w:rsidR="00E9143A" w:rsidRPr="002D44D6">
        <w:rPr>
          <w:rFonts w:ascii="Book Antiqua" w:hAnsi="Book Antiqua" w:cs="Arial"/>
          <w:color w:val="000000"/>
        </w:rPr>
        <w:t>2 women with PBC and osteopenia in which</w:t>
      </w:r>
      <w:r w:rsidR="00E13F25" w:rsidRPr="002D44D6">
        <w:rPr>
          <w:rFonts w:ascii="Book Antiqua" w:hAnsi="Book Antiqua" w:cs="Arial"/>
          <w:color w:val="000000"/>
        </w:rPr>
        <w:t xml:space="preserve"> </w:t>
      </w:r>
      <w:r w:rsidR="00E13F25" w:rsidRPr="002D44D6">
        <w:rPr>
          <w:rFonts w:ascii="Book Antiqua" w:hAnsi="Book Antiqua" w:cs="Arial"/>
          <w:color w:val="000000"/>
        </w:rPr>
        <w:lastRenderedPageBreak/>
        <w:t>patients were randomized to receive cyclical etidronate or weekly alendronate</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"10.1016/S0002-9270(03)00550-1", "ISBN" : "0002-9270", "ISSN" : "00029270", "PMID" : "14572578", "abstract" : "OBJECTIVES: Osteopenia increases the morbidity of primary biliary cirrhosis (PBC). In this study, we have compared two bisphosphonates, alendronate and cyclical etidronate, that inhibit osteoclast-mediated bone resorption and have examined their effects on bone mass in patients with this disease. METHODS: A total of 32 women with PBC were randomly assigned to receive alendronate (10 mg/day) or etidronate (400 mg/day) for 14 days every 3 months. Bone mineral density of the lumbar spine and proximal femur were measured initially and every 6 months. Bone fractures and markers of bone mineral metabolism were also evaluated. RESULTS: Sixteen patients were allocated to each group, which were comparable with respect to the severity of PBC and osteopenia. Thirteen patients in each group completed the 2-yr trial. Both treatments increased bone mineral density after 2 yr, although the increase at the lumbar spine and at the proximal femur was significantly higher in patients receiving alendronate than in patients on etidronate. This higher effect of alendronate paralleled with changes in the biochemical markers of bone turnover. No patient developed new vertebral fractures, but new peripheral fractures were detected in two patients on alendronate and in one on etidronate. There were no serious adverse effects. Neither treatment impaired liver function or cholestasis. CONCLUSIONS: Alendronate effectively increases bone mass and has greater antiresorptive power than etidronate in patients with primary biliary cirrhosis, and is associated with minor or no side effects. \u00a9 2003 by Am. Coll. of Gastroenterology.", "author" : [ { "dropping-particle" : "", "family" : "Gua\u00f1abens", "given" : "Nuria", "non-dropping-particle" : "", "parse-names" : false, "suffix" : "" }, { "dropping-particle" : "", "family" : "Par\u00e9s", "given" : "Albert", "non-dropping-particle" : "", "parse-names" : false, "suffix" : "" }, { "dropping-particle" : "", "family" : "Ros", "given" : "Inmaculada", "non-dropping-particle" : "", "parse-names" : false, "suffix" : "" }, { "dropping-particle" : "", "family" : "Alvarez", "given" : "Luisa", "non-dropping-particle" : "", "parse-names" : false, "suffix" : "" }, { "dropping-particle" : "", "family" : "Pons", "given" : "Francesca", "non-dropping-particle" : "", "parse-names" : false, "suffix" : "" }, { "dropping-particle" : "", "family" : "Caballer\u00eda", "given" : "Lloren\u00e7", "non-dropping-particle" : "", "parse-names" : false, "suffix" : "" }, { "dropping-particle" : "", "family" : "Monegal", "given" : "Ana", "non-dropping-particle" : "", "parse-names" : false, "suffix" : "" }, { "dropping-particle" : "", "family" : "Mart\u00ednez de Osaba", "given" : "M. Jesus", "non-dropping-particle" : "", "parse-names" : false, "suffix" : "" }, { "dropping-particle" : "", "family" : "Roca", "given" : "Merce", "non-dropping-particle" : "", "parse-names" : false, "suffix" : "" }, { "dropping-particle" : "", "family" : "Peris", "given" : "Pilar", "non-dropping-particle" : "", "parse-names" : false, "suffix" : "" }, { "dropping-particle" : "", "family" : "Rod\u00e9s", "given" : "Juan", "non-dropping-particle" : "", "parse-names" : false, "suffix" : "" } ], "container-title" : "American Journal of Gastroenterology", "id" : "ITEM-1", "issue" : "10", "issued" : { "date-parts" : [ [ "2003" ] ] }, "page" : "2268-2274", "title" : "Alendronate is More Effective Than Etidronate for Increasing Bone Mass in Osteopenic Patients With Primary Biliary Cirrhosis", "type" : "article-journal", "volume" : "98" }, "uris" : [ "http://www.mendeley.com/documents/?uuid=84a8f2d4-c6b4-49b4-9441-50b8fc13ed73" ] } ], "mendeley" : { "formattedCitation" : "&lt;sup&gt;[45]&lt;/sup&gt;", "plainTextFormattedCitation" : "[45]", "previouslyFormattedCitation" : "&lt;sup&gt;[45]&lt;/sup&gt;"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[45]</w:t>
      </w:r>
      <w:r w:rsidR="00F613A6" w:rsidRPr="002D44D6">
        <w:rPr>
          <w:rFonts w:ascii="Book Antiqua" w:hAnsi="Book Antiqua" w:cs="Arial"/>
          <w:color w:val="000000"/>
        </w:rPr>
        <w:fldChar w:fldCharType="end"/>
      </w:r>
      <w:r w:rsidR="00E13F25" w:rsidRPr="002D44D6">
        <w:rPr>
          <w:rFonts w:ascii="Book Antiqua" w:hAnsi="Book Antiqua" w:cs="Arial"/>
          <w:color w:val="000000"/>
        </w:rPr>
        <w:t>.</w:t>
      </w:r>
      <w:r w:rsidR="00F613A6">
        <w:rPr>
          <w:rFonts w:ascii="Book Antiqua" w:eastAsia="SimSun" w:hAnsi="Book Antiqua" w:cs="Arial" w:hint="eastAsia"/>
          <w:color w:val="000000"/>
          <w:lang w:eastAsia="zh-CN"/>
        </w:rPr>
        <w:t xml:space="preserve"> </w:t>
      </w:r>
      <w:r w:rsidR="00E13F25" w:rsidRPr="002D44D6">
        <w:rPr>
          <w:rFonts w:ascii="Book Antiqua" w:hAnsi="Book Antiqua" w:cs="Arial"/>
          <w:color w:val="000000"/>
        </w:rPr>
        <w:t>The alendronate group had significantly higher lumbar BMD (5.8%) at the end of 2 years compared t</w:t>
      </w:r>
      <w:r w:rsidR="00492F9E" w:rsidRPr="002D44D6">
        <w:rPr>
          <w:rFonts w:ascii="Book Antiqua" w:hAnsi="Book Antiqua" w:cs="Arial"/>
          <w:color w:val="000000"/>
        </w:rPr>
        <w:t>o the etidronate group (1.</w:t>
      </w:r>
      <w:r w:rsidR="003544E9" w:rsidRPr="002D44D6">
        <w:rPr>
          <w:rFonts w:ascii="Book Antiqua" w:hAnsi="Book Antiqua" w:cs="Arial"/>
          <w:color w:val="000000"/>
        </w:rPr>
        <w:t>9</w:t>
      </w:r>
      <w:r w:rsidR="00492F9E" w:rsidRPr="002D44D6">
        <w:rPr>
          <w:rFonts w:ascii="Book Antiqua" w:hAnsi="Book Antiqua" w:cs="Arial"/>
          <w:color w:val="000000"/>
        </w:rPr>
        <w:t xml:space="preserve">%). </w:t>
      </w:r>
      <w:r w:rsidR="00E13F25" w:rsidRPr="002D44D6">
        <w:rPr>
          <w:rFonts w:ascii="Book Antiqua" w:hAnsi="Book Antiqua" w:cs="Arial"/>
          <w:color w:val="000000"/>
        </w:rPr>
        <w:t>There was no significant improvement in either lumbar or femoral BMD in the e</w:t>
      </w:r>
      <w:r w:rsidR="00492F9E" w:rsidRPr="002D44D6">
        <w:rPr>
          <w:rFonts w:ascii="Book Antiqua" w:hAnsi="Book Antiqua" w:cs="Arial"/>
          <w:color w:val="000000"/>
        </w:rPr>
        <w:t xml:space="preserve">tidronate group from baseline. </w:t>
      </w:r>
      <w:r w:rsidR="00E13F25" w:rsidRPr="002D44D6">
        <w:rPr>
          <w:rFonts w:ascii="Book Antiqua" w:hAnsi="Book Antiqua" w:cs="Arial"/>
          <w:color w:val="000000"/>
        </w:rPr>
        <w:t>However, 2 patients in the alendronate group experienced new non-vertebral fractures during the study period compared to 1 in the etidronate group</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"10.1016/S0002-9270(03)00550-1", "ISBN" : "0002-9270", "ISSN" : "00029270", "PMID" : "14572578", "abstract" : "OBJECTIVES: Osteopenia increases the morbidity of primary biliary cirrhosis (PBC). In this study, we have compared two bisphosphonates, alendronate and cyclical etidronate, that inhibit osteoclast-mediated bone resorption and have examined their effects on bone mass in patients with this disease. METHODS: A total of 32 women with PBC were randomly assigned to receive alendronate (10 mg/day) or etidronate (400 mg/day) for 14 days every 3 months. Bone mineral density of the lumbar spine and proximal femur were measured initially and every 6 months. Bone fractures and markers of bone mineral metabolism were also evaluated. RESULTS: Sixteen patients were allocated to each group, which were comparable with respect to the severity of PBC and osteopenia. Thirteen patients in each group completed the 2-yr trial. Both treatments increased bone mineral density after 2 yr, although the increase at the lumbar spine and at the proximal femur was significantly higher in patients receiving alendronate than in patients on etidronate. This higher effect of alendronate paralleled with changes in the biochemical markers of bone turnover. No patient developed new vertebral fractures, but new peripheral fractures were detected in two patients on alendronate and in one on etidronate. There were no serious adverse effects. Neither treatment impaired liver function or cholestasis. CONCLUSIONS: Alendronate effectively increases bone mass and has greater antiresorptive power than etidronate in patients with primary biliary cirrhosis, and is associated with minor or no side effects. \u00a9 2003 by Am. Coll. of Gastroenterology.", "author" : [ { "dropping-particle" : "", "family" : "Gua\u00f1abens", "given" : "Nuria", "non-dropping-particle" : "", "parse-names" : false, "suffix" : "" }, { "dropping-particle" : "", "family" : "Par\u00e9s", "given" : "Albert", "non-dropping-particle" : "", "parse-names" : false, "suffix" : "" }, { "dropping-particle" : "", "family" : "Ros", "given" : "Inmaculada", "non-dropping-particle" : "", "parse-names" : false, "suffix" : "" }, { "dropping-particle" : "", "family" : "Alvarez", "given" : "Luisa", "non-dropping-particle" : "", "parse-names" : false, "suffix" : "" }, { "dropping-particle" : "", "family" : "Pons", "given" : "Francesca", "non-dropping-particle" : "", "parse-names" : false, "suffix" : "" }, { "dropping-particle" : "", "family" : "Caballer\u00eda", "given" : "Lloren\u00e7", "non-dropping-particle" : "", "parse-names" : false, "suffix" : "" }, { "dropping-particle" : "", "family" : "Monegal", "given" : "Ana", "non-dropping-particle" : "", "parse-names" : false, "suffix" : "" }, { "dropping-particle" : "", "family" : "Mart\u00ednez de Osaba", "given" : "M. Jesus", "non-dropping-particle" : "", "parse-names" : false, "suffix" : "" }, { "dropping-particle" : "", "family" : "Roca", "given" : "Merce", "non-dropping-particle" : "", "parse-names" : false, "suffix" : "" }, { "dropping-particle" : "", "family" : "Peris", "given" : "Pilar", "non-dropping-particle" : "", "parse-names" : false, "suffix" : "" }, { "dropping-particle" : "", "family" : "Rod\u00e9s", "given" : "Juan", "non-dropping-particle" : "", "parse-names" : false, "suffix" : "" } ], "container-title" : "American Journal of Gastroenterology", "id" : "ITEM-1", "issue" : "10", "issued" : { "date-parts" : [ [ "2003" ] ] }, "page" : "2268-2274", "title" : "Alendronate is More Effective Than Etidronate for Increasing Bone Mass in Osteopenic Patients With Primary Biliary Cirrhosis", "type" : "article-journal", "volume" : "98" }, "uris" : [ "http://www.mendeley.com/documents/?uuid=84a8f2d4-c6b4-49b4-9441-50b8fc13ed73" ] } ], "mendeley" : { "formattedCitation" : "&lt;sup&gt;[45]&lt;/sup&gt;", "plainTextFormattedCitation" : "[45]", "previouslyFormattedCitation" : "&lt;sup&gt;[45]&lt;/sup&gt;"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[45]</w:t>
      </w:r>
      <w:r w:rsidR="00F613A6" w:rsidRPr="002D44D6">
        <w:rPr>
          <w:rFonts w:ascii="Book Antiqua" w:hAnsi="Book Antiqua" w:cs="Arial"/>
          <w:color w:val="000000"/>
        </w:rPr>
        <w:fldChar w:fldCharType="end"/>
      </w:r>
      <w:r w:rsidR="00492F9E" w:rsidRPr="002D44D6">
        <w:rPr>
          <w:rFonts w:ascii="Book Antiqua" w:hAnsi="Book Antiqua" w:cs="Arial"/>
          <w:color w:val="000000"/>
        </w:rPr>
        <w:t>.</w:t>
      </w:r>
      <w:r w:rsidR="00F613A6" w:rsidRPr="002D44D6">
        <w:rPr>
          <w:rFonts w:ascii="Book Antiqua" w:hAnsi="Book Antiqua" w:cs="Arial"/>
          <w:color w:val="000000"/>
        </w:rPr>
        <w:t xml:space="preserve"> </w:t>
      </w:r>
    </w:p>
    <w:p w14:paraId="2F8413B9" w14:textId="6004DDA4" w:rsidR="00E13F25" w:rsidRPr="002D44D6" w:rsidRDefault="00E13F25" w:rsidP="00F613A6">
      <w:pPr>
        <w:widowControl w:val="0"/>
        <w:adjustRightInd w:val="0"/>
        <w:snapToGrid w:val="0"/>
        <w:spacing w:line="360" w:lineRule="auto"/>
        <w:ind w:firstLineChars="100" w:firstLine="240"/>
        <w:jc w:val="both"/>
        <w:rPr>
          <w:rFonts w:ascii="Book Antiqua" w:hAnsi="Book Antiqua" w:cs="Times New Roman"/>
        </w:rPr>
      </w:pPr>
      <w:r w:rsidRPr="002D44D6">
        <w:rPr>
          <w:rFonts w:ascii="Book Antiqua" w:hAnsi="Book Antiqua" w:cs="Arial"/>
          <w:color w:val="000000"/>
        </w:rPr>
        <w:t>Ibandronate was also compared to alendronate in a more recent study of 42 post-menopausal women with PBC and osteoporosis</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"10.1002/hep.26466", "ISSN" : "02709139", "PMID" : "23686738", "abstract" : "UNLABELLED Osteoporosis resulting in bone fractures is a complication in patients with primary biliary cirrhosis (PBC). Once-weekly alendronate improves bone mass and is well tolerated in these patients, but there is a concern because of poor compliance. Therefore, the efficacy, adherence, and safety of monthly ibandronate (150 mg) with weekly alendronate (70 mg) were compared in a randomized, 2-year study in 42 postmenopausal women with PBC and osteoporosis. Bone mineral density (BMD) of the lumbar spine and proximal femur (by DXA), liver function, and bone markers were measured at entry and every 6 months over 2 years. Adherence to therapy was assessed by the Morisky-Green score. At enrollment, the two groups were similar with respect to age, BMD, severity of cholestasis, previous fractures, and bone markers. Thirty-three patients, 14 in the ibandronate group and 19 in the alendronate group, completed the trial. At 2 years both treatments resulted in a significant increase in BMD at the lumbar spine (from 0.875 \u00b1 0.025 to 0.913 \u00b1 0.026 g/cm(2), P &lt; 0.001 with alendronate, and from 0.898 \u00b1 0.024 to 0.949 \u00b1 0.027 g/cm(2), P &lt; 0.001 with ibandronate). The mean percentage change was 4.5% and 5.7%, respectively (P = not significant). BMD increased at the total hip by 2.0% and 1.2%, respectively. Changes in bone markers were similar in both groups and one patient with alendronate developed a new vertebral fracture. Adherence to therapy was higher with ibandronate (P = 0.009). Neither treatment impaired liver function or cholestasis. CONCLUSION Both regimens, weekly alendronate and monthly ibandronate, improve bone mass and are comparable in safety for osteoporosis therapy in patients with PBC, although adherence is higher with the monthly regimen. Further larger studies are needed to assess fracture prevention.", "author" : [ { "dropping-particle" : "", "family" : "Gua\u00f1abens", "given" : "N\u00faria", "non-dropping-particle" : "", "parse-names" : false, "suffix" : "" }, { "dropping-particle" : "", "family" : "Monegal", "given" : "Anna", "non-dropping-particle" : "", "parse-names" : false, "suffix" : "" }, { "dropping-particle" : "", "family" : "Cerd\u00e1", "given" : "Dacia", "non-dropping-particle" : "", "parse-names" : false, "suffix" : "" }, { "dropping-particle" : "", "family" : "Mux\u00ed", "given" : "\u00c1frica", "non-dropping-particle" : "", "parse-names" : false, "suffix" : "" }, { "dropping-particle" : "", "family" : "Gifre", "given" : "Laia", "non-dropping-particle" : "", "parse-names" : false, "suffix" : "" }, { "dropping-particle" : "", "family" : "Peris", "given" : "Pilar", "non-dropping-particle" : "", "parse-names" : false, "suffix" : "" }, { "dropping-particle" : "", "family" : "Par\u00e9s", "given" : "Albert", "non-dropping-particle" : "", "parse-names" : false, "suffix" : "" } ], "container-title" : "Hepatology", "id" : "ITEM-1", "issue" : "6", "issued" : { "date-parts" : [ [ "2013" ] ] }, "page" : "2070-2078", "title" : "Randomized trial comparing monthly ibandronate and weekly alendronate for osteoporosis in patients with primary biliary cirrhosis", "type" : "article-journal", "volume" : "58" }, "uris" : [ "http://www.mendeley.com/documents/?uuid=10b24d8b-a098-446c-b241-cb8be890fe9d" ] } ], "mendeley" : { "formattedCitation" : "&lt;sup&gt;[46]&lt;/sup&gt;", "plainTextFormattedCitation" : "[46]", "previouslyFormattedCitation" : "&lt;sup&gt;[46]&lt;/sup&gt;"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[46]</w:t>
      </w:r>
      <w:r w:rsidR="00F613A6" w:rsidRPr="002D44D6">
        <w:rPr>
          <w:rFonts w:ascii="Book Antiqua" w:hAnsi="Book Antiqua" w:cs="Arial"/>
          <w:color w:val="000000"/>
        </w:rPr>
        <w:fldChar w:fldCharType="end"/>
      </w:r>
      <w:r w:rsidRPr="002D44D6">
        <w:rPr>
          <w:rFonts w:ascii="Book Antiqua" w:hAnsi="Book Antiqua" w:cs="Arial"/>
          <w:color w:val="000000"/>
        </w:rPr>
        <w:t>.</w:t>
      </w:r>
      <w:r w:rsidR="00492F9E" w:rsidRPr="002D44D6">
        <w:rPr>
          <w:rFonts w:ascii="Book Antiqua" w:hAnsi="Book Antiqua" w:cs="Arial"/>
          <w:color w:val="000000"/>
        </w:rPr>
        <w:t xml:space="preserve"> </w:t>
      </w:r>
      <w:r w:rsidRPr="002D44D6">
        <w:rPr>
          <w:rFonts w:ascii="Book Antiqua" w:hAnsi="Book Antiqua" w:cs="Arial"/>
          <w:color w:val="000000"/>
        </w:rPr>
        <w:t>In this study, women were randomized to receive IV ibandronate monthly or weekly oral al</w:t>
      </w:r>
      <w:r w:rsidR="00492F9E" w:rsidRPr="002D44D6">
        <w:rPr>
          <w:rFonts w:ascii="Book Antiqua" w:hAnsi="Book Antiqua" w:cs="Arial"/>
          <w:color w:val="000000"/>
        </w:rPr>
        <w:t xml:space="preserve">endronate. </w:t>
      </w:r>
      <w:r w:rsidRPr="002D44D6">
        <w:rPr>
          <w:rFonts w:ascii="Book Antiqua" w:hAnsi="Book Antiqua" w:cs="Arial"/>
          <w:color w:val="000000"/>
        </w:rPr>
        <w:t>There was no significant difference in BMD between the 2 groups at the end of 2 years, however, compliance was significantly better in the ibandronate group</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"10.1002/hep.26466", "ISSN" : "02709139", "PMID" : "23686738", "abstract" : "UNLABELLED Osteoporosis resulting in bone fractures is a complication in patients with primary biliary cirrhosis (PBC). Once-weekly alendronate improves bone mass and is well tolerated in these patients, but there is a concern because of poor compliance. Therefore, the efficacy, adherence, and safety of monthly ibandronate (150 mg) with weekly alendronate (70 mg) were compared in a randomized, 2-year study in 42 postmenopausal women with PBC and osteoporosis. Bone mineral density (BMD) of the lumbar spine and proximal femur (by DXA), liver function, and bone markers were measured at entry and every 6 months over 2 years. Adherence to therapy was assessed by the Morisky-Green score. At enrollment, the two groups were similar with respect to age, BMD, severity of cholestasis, previous fractures, and bone markers. Thirty-three patients, 14 in the ibandronate group and 19 in the alendronate group, completed the trial. At 2 years both treatments resulted in a significant increase in BMD at the lumbar spine (from 0.875 \u00b1 0.025 to 0.913 \u00b1 0.026 g/cm(2), P &lt; 0.001 with alendronate, and from 0.898 \u00b1 0.024 to 0.949 \u00b1 0.027 g/cm(2), P &lt; 0.001 with ibandronate). The mean percentage change was 4.5% and 5.7%, respectively (P = not significant). BMD increased at the total hip by 2.0% and 1.2%, respectively. Changes in bone markers were similar in both groups and one patient with alendronate developed a new vertebral fracture. Adherence to therapy was higher with ibandronate (P = 0.009). Neither treatment impaired liver function or cholestasis. CONCLUSION Both regimens, weekly alendronate and monthly ibandronate, improve bone mass and are comparable in safety for osteoporosis therapy in patients with PBC, although adherence is higher with the monthly regimen. Further larger studies are needed to assess fracture prevention.", "author" : [ { "dropping-particle" : "", "family" : "Gua\u00f1abens", "given" : "N\u00faria", "non-dropping-particle" : "", "parse-names" : false, "suffix" : "" }, { "dropping-particle" : "", "family" : "Monegal", "given" : "Anna", "non-dropping-particle" : "", "parse-names" : false, "suffix" : "" }, { "dropping-particle" : "", "family" : "Cerd\u00e1", "given" : "Dacia", "non-dropping-particle" : "", "parse-names" : false, "suffix" : "" }, { "dropping-particle" : "", "family" : "Mux\u00ed", "given" : "\u00c1frica", "non-dropping-particle" : "", "parse-names" : false, "suffix" : "" }, { "dropping-particle" : "", "family" : "Gifre", "given" : "Laia", "non-dropping-particle" : "", "parse-names" : false, "suffix" : "" }, { "dropping-particle" : "", "family" : "Peris", "given" : "Pilar", "non-dropping-particle" : "", "parse-names" : false, "suffix" : "" }, { "dropping-particle" : "", "family" : "Par\u00e9s", "given" : "Albert", "non-dropping-particle" : "", "parse-names" : false, "suffix" : "" } ], "container-title" : "Hepatology", "id" : "ITEM-1", "issue" : "6", "issued" : { "date-parts" : [ [ "2013" ] ] }, "page" : "2070-2078", "title" : "Randomized trial comparing monthly ibandronate and weekly alendronate for osteoporosis in patients with primary biliary cirrhosis", "type" : "article-journal", "volume" : "58" }, "uris" : [ "http://www.mendeley.com/documents/?uuid=10b24d8b-a098-446c-b241-cb8be890fe9d" ] } ], "mendeley" : { "formattedCitation" : "&lt;sup&gt;[46]&lt;/sup&gt;", "plainTextFormattedCitation" : "[46]", "previouslyFormattedCitation" : "&lt;sup&gt;[46]&lt;/sup&gt;"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[46]</w:t>
      </w:r>
      <w:r w:rsidR="00F613A6" w:rsidRPr="002D44D6">
        <w:rPr>
          <w:rFonts w:ascii="Book Antiqua" w:hAnsi="Book Antiqua" w:cs="Arial"/>
          <w:color w:val="000000"/>
        </w:rPr>
        <w:fldChar w:fldCharType="end"/>
      </w:r>
      <w:r w:rsidR="00492F9E" w:rsidRPr="002D44D6">
        <w:rPr>
          <w:rFonts w:ascii="Book Antiqua" w:hAnsi="Book Antiqua" w:cs="Arial"/>
          <w:color w:val="000000"/>
        </w:rPr>
        <w:t xml:space="preserve">. </w:t>
      </w:r>
      <w:r w:rsidRPr="002D44D6">
        <w:rPr>
          <w:rFonts w:ascii="Book Antiqua" w:hAnsi="Book Antiqua" w:cs="Arial"/>
          <w:color w:val="000000"/>
        </w:rPr>
        <w:t>One patient in the alendronate group devel</w:t>
      </w:r>
      <w:r w:rsidR="009C114E" w:rsidRPr="002D44D6">
        <w:rPr>
          <w:rFonts w:ascii="Book Antiqua" w:hAnsi="Book Antiqua" w:cs="Arial"/>
          <w:color w:val="000000"/>
        </w:rPr>
        <w:t xml:space="preserve">oped a new vertebral fracture. </w:t>
      </w:r>
      <w:r w:rsidRPr="002D44D6">
        <w:rPr>
          <w:rFonts w:ascii="Book Antiqua" w:hAnsi="Book Antiqua" w:cs="Arial"/>
          <w:color w:val="000000"/>
        </w:rPr>
        <w:t xml:space="preserve">Another advantage of IV administration is the avoidance of the theoretical concern of esophagitis and variceal bleeding with oral </w:t>
      </w:r>
      <w:r w:rsidR="00492F9E" w:rsidRPr="002D44D6">
        <w:rPr>
          <w:rFonts w:ascii="Book Antiqua" w:hAnsi="Book Antiqua" w:cs="Arial"/>
          <w:color w:val="000000"/>
        </w:rPr>
        <w:t xml:space="preserve">bisphosphonates in cirrhotics. </w:t>
      </w:r>
      <w:r w:rsidRPr="002D44D6">
        <w:rPr>
          <w:rFonts w:ascii="Book Antiqua" w:hAnsi="Book Antiqua" w:cs="Arial"/>
          <w:color w:val="000000"/>
        </w:rPr>
        <w:t>However, none of the studies with alendronate and etidronate noted any esophagitis or variceal bleeds</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"PMID" : "9059953", "author" : [ { "dropping-particle" : "", "family" : "Wolfhagen", "given" : "Frank HJ", "non-dropping-particle" : "", "parse-names" : false, "suffix" : "" }, { "dropping-particle" : "", "family" : "Buuren", "given" : "Henk R.", "non-dropping-particle" : "van", "parse-names" : false, "suffix" : "" }, { "dropping-particle" : "", "family" : "Ouden", "given" : "Janny W.", "non-dropping-particle" : "den", "parse-names" : false, "suffix" : "" }, { "dropping-particle" : "", "family" : "Hop", "given" : "Wim CJ", "non-dropping-particle" : "", "parse-names" : false, "suffix" : "" }, { "dropping-particle" : "", "family" : "can Leeuwen", "given" : "Johannes PTM", "non-dropping-particle" : "", "parse-names" : false, "suffix" : "" }, { "dropping-particle" : "", "family" : "Schalm", "given" : "Solko W.", "non-dropping-particle" : "", "parse-names" : false, "suffix" : "" }, { "dropping-particle" : "", "family" : "Pols", "given" : "Huib AP", "non-dropping-particle" : "", "parse-names" : false, "suffix" : "" } ], "container-title" : "Journal of Hepatology", "id" : "ITEM-1", "issued" : { "date-parts" : [ [ "1997" ] ] }, "page" : "325-330", "title" : "Cyclical etidronate in the prevention of bone loss in corticosteroid-treated primary bii cirrhosis", "type" : "article-journal", "volume" : "26" }, "uris" : [ "http://www.mendeley.com/documents/?uuid=5927fc60-83b2-40d9-ab79-900142609550" ] }, { "id" : "ITEM-2", "itemData" : { "DOI" : "10.1016/S0168-8278(00)80118-X", "ISBN" : "0168-8278 (Print)\\r0168-8278 (Linking)", "ISSN" : "01688278", "PMID" : "11131448", "abstract" : "Background/Aim: Osteoporosis is a common complication of primary biliary cirrhosis but there is no accepted therapy for the osteoporosis. In this randomized controlled trial, we compared the effects of etidronate to placebo on the treatment of osteoporosis associated with primary biliary cirrhosis. Methods: Sixty-seven patients with primary biliary cirrhosis and osteopenia, defined by bone mineral density criteria (T-score &lt;-2.0) were enrolled. Measurements of the lumbar spine and proximal femur, as well as x-rays of the lumbar spine, were obtained. Patients received cyclical etidronate 400 mg/day for 14 days every 3 months for at least 1 year. Supplemental calcium was administered on the days patients did not receive etidronate. Results: Of the 67 patients entered, 60 completed at least 1 year of therapy. There was no significant difference in changes in bone density at either the lumbar spine or femur in patients receiving etidronate when compared to placebo. Fractures occurred in eight patients, four receiving etidronate. Etidronate therapy was associated with a significant reduction in markers of bone turnover compared to placebo. These changes did not correlate with changes in bone density. Conclusions: Cyclical etidronate administered with supplemental calcium did not significantly improve bone density in patients with primary biliary cirrhosis.", "author" : [ { "dropping-particle" : "", "family" : "Lindor", "given" : "Keith D.", "non-dropping-particle" : "", "parse-names" : false, "suffix" : "" }, { "dropping-particle" : "", "family" : "Jorgensen", "given" : "Roberta A.", "non-dropping-particle" : "", "parse-names" : false, "suffix" : "" }, { "dropping-particle" : "", "family" : "Tiegs", "given" : "Robert D.", "non-dropping-particle" : "", "parse-names" : false, "suffix" : "" }, { "dropping-particle" : "", "family" : "Khosla", "given" : "Sundeep", "non-dropping-particle" : "", "parse-names" : false, "suffix" : "" }, { "dropping-particle" : "", "family" : "Dickson", "given" : "E. Rolland", "non-dropping-particle" : "", "parse-names" : false, "suffix" : "" } ], "container-title" : "Journal of Hepatology", "id" : "ITEM-2", "issue" : "6", "issued" : { "date-parts" : [ [ "2000" ] ] }, "page" : "878-882", "title" : "Etidronate for osteoporosis in primary biliary cirrhosis: A randomized trial", "type" : "article-journal", "volume" : "33" }, "uris" : [ "http://www.mendeley.com/documents/?uuid=74607aab-5872-4fbe-a830-24081022e53e" ] }, { "id" : "ITEM-3", "itemData" : { "DOI" : "10.1080/00365520510023279", "ISSN" : "0036-5521", "PMID" : "16109666", "author" : [ { "dropping-particle" : "", "family" : "Musialik", "given" : "J", "non-dropping-particle" : "", "parse-names" : false, "suffix" : "" }, { "dropping-particle" : "", "family" : "Petelenz", "given" : "M", "non-dropping-particle" : "", "parse-names" : false, "suffix" : "" }, { "dropping-particle" : "", "family" : "Gonciarz", "given" : "Z", "non-dropping-particle" : "", "parse-names" : false, "suffix" : "" } ], "container-title" : "Scandinavian Journal of Gastroenterology", "id" : "ITEM-3", "issue" : "7", "issued" : { "date-parts" : [ [ "2005" ] ] }, "page" : "873-874", "title" : "Effects of alendronate on bone mass in patients with primary biliary cirrhosis and osteoporosis: preliminary results after one year", "type" : "article-journal", "volume" : "40" }, "uris" : [ "http://www.mendeley.com/documents/?uuid=adec375d-fdf2-4e01-b556-ed583af0fa19" ] }, { "id" : "ITEM-4", "itemData" : { "DOI" : "10.1002/hep.20866", "ISSN" : "02709139", "PMID" : "16175618", "abstract" : "Bone loss is a well-recognized complication of primary biliary cirrhosis (PBC). Although it has been suggested that alendronate might improve bone mineral density (BMD) in PBC, no randomized placebo-controlled trial has been conducted. The primary aim of this study was to compare the effects of alendronate versus placebo on BMD and biochemical measurements of bone turnover in patients with PBC-associated bone loss. We conducted a double-blinded, randomized, placebo-controlled trial. Patients with a PBC and BMD t score of less than -1.5 were randomized to receive 70 mg per week of alendronate or placebo over 1 year. BMD of the lumbar spine and proximal femur were measured at entry and at 1 year. Changes from baseline in BMD and biochemical measurements of bone turnover were assessed. Thirty-four patients were enrolled. Seventeen patients were randomized to each arm. After 1 year, a significantly larger improvement (P = .005) in spine BMD was observed in the alendronate group (0.09 +/- 0.03 g/cm2 SD from baseline) compared with the placebo group (-0.003 +/- 0.02 g/cm2 SD from baseline). A larger improvement (P = .046) was also observed in the femoral BMD of alendronate patients versus placebo. BMD changes were independent of concomitant estrogen therapy. The rate of adverse effects was similar in both groups. In conclusion, in patients with PBC-related bone loss, alendronate significantly improves BMD compared with placebo. Although in this study oral alendronate appears to be well tolerated in patients with PBC, larger studies are needed to formally evaluate safety.", "author" : [ { "dropping-particle" : "", "family" : "Zein", "given" : "Claudia O.", "non-dropping-particle" : "", "parse-names" : false, "suffix" : "" }, { "dropping-particle" : "", "family" : "Jorgensen", "given" : "Roberta A.", "non-dropping-particle" : "", "parse-names" : false, "suffix" : "" }, { "dropping-particle" : "", "family" : "Clarke", "given" : "Bart", "non-dropping-particle" : "", "parse-names" : false, "suffix" : "" }, { "dropping-particle" : "", "family" : "Wenger", "given" : "Doris E.", "non-dropping-particle" : "", "parse-names" : false, "suffix" : "" }, { "dropping-particle" : "", "family" : "Keach", "given" : "Jill C.", "non-dropping-particle" : "", "parse-names" : false, "suffix" : "" }, { "dropping-particle" : "", "family" : "Angulo", "given" : "Paul", "non-dropping-particle" : "", "parse-names" : false, "suffix" : "" }, { "dropping-particle" : "", "family" : "Lindor", "given" : "Keith D.", "non-dropping-particle" : "", "parse-names" : false, "suffix" : "" } ], "container-title" : "Hepatology", "id" : "ITEM-4", "issue" : "4", "issued" : { "date-parts" : [ [ "2005" ] ] }, "page" : "762-771", "title" : "Alendronate improves bone mineral density in primary biliary cirrhosis: A randomized placebo-controlled trial", "type" : "article-journal", "volume" : "42" }, "uris" : [ "http://www.mendeley.com/documents/?uuid=948106bd-7aef-40a2-8eab-af8f31b6e0f5" ] }, { "id" : "ITEM-5", "itemData" : { "DOI" : "10.1016/S0002-9270(03)00550-1", "ISBN" : "0002-9270", "ISSN" : "00029270", "PMID" : "14572578", "abstract" : "OBJECTIVES: Osteopenia increases the morbidity of primary biliary cirrhosis (PBC). In this study, we have compared two bisphosphonates, alendronate and cyclical etidronate, that inhibit osteoclast-mediated bone resorption and have examined their effects on bone mass in patients with this disease. METHODS: A total of 32 women with PBC were randomly assigned to receive alendronate (10 mg/day) or etidronate (400 mg/day) for 14 days every 3 months. Bone mineral density of the lumbar spine and proximal femur were measured initially and every 6 months. Bone fractures and markers of bone mineral metabolism were also evaluated. RESULTS: Sixteen patients were allocated to each group, which were comparable with respect to the severity of PBC and osteopenia. Thirteen patients in each group completed the 2-yr trial. Both treatments increased bone mineral density after 2 yr, although the increase at the lumbar spine and at the proximal femur was significantly higher in patients receiving alendronate than in patients on etidronate. This higher effect of alendronate paralleled with changes in the biochemical markers of bone turnover. No patient developed new vertebral fractures, but new peripheral fractures were detected in two patients on alendronate and in one on etidronate. There were no serious adverse effects. Neither treatment impaired liver function or cholestasis. CONCLUSIONS: Alendronate effectively increases bone mass and has greater antiresorptive power than etidronate in patients with primary biliary cirrhosis, and is associated with minor or no side effects. \u00a9 2003 by Am. Coll. of Gastroenterology.", "author" : [ { "dropping-particle" : "", "family" : "Gua\u00f1abens", "given" : "Nuria", "non-dropping-particle" : "", "parse-names" : false, "suffix" : "" }, { "dropping-particle" : "", "family" : "Par\u00e9s", "given" : "Albert", "non-dropping-particle" : "", "parse-names" : false, "suffix" : "" }, { "dropping-particle" : "", "family" : "Ros", "given" : "Inmaculada", "non-dropping-particle" : "", "parse-names" : false, "suffix" : "" }, { "dropping-particle" : "", "family" : "Alvarez", "given" : "Luisa", "non-dropping-particle" : "", "parse-names" : false, "suffix" : "" }, { "dropping-particle" : "", "family" : "Pons", "given" : "Francesca", "non-dropping-particle" : "", "parse-names" : false, "suffix" : "" }, { "dropping-particle" : "", "family" : "Caballer\u00eda", "given" : "Lloren\u00e7", "non-dropping-particle" : "", "parse-names" : false, "suffix" : "" }, { "dropping-particle" : "", "family" : "Monegal", "given" : "Ana", "non-dropping-particle" : "", "parse-names" : false, "suffix" : "" }, { "dropping-particle" : "", "family" : "Mart\u00ednez de Osaba", "given" : "M. Jesus", "non-dropping-particle" : "", "parse-names" : false, "suffix" : "" }, { "dropping-particle" : "", "family" : "Roca", "given" : "Merce", "non-dropping-particle" : "", "parse-names" : false, "suffix" : "" }, { "dropping-particle" : "", "family" : "Peris", "given" : "Pilar", "non-dropping-particle" : "", "parse-names" : false, "suffix" : "" }, { "dropping-particle" : "", "family" : "Rod\u00e9s", "given" : "Juan", "non-dropping-particle" : "", "parse-names" : false, "suffix" : "" } ], "container-title" : "American Journal of Gastroenterology", "id" : "ITEM-5", "issue" : "10", "issued" : { "date-parts" : [ [ "2003" ] ] }, "page" : "2268-2274", "title" : "Alendronate is More Effective Than Etidronate for Increasing Bone Mass in Osteopenic Patients With Primary Biliary Cirrhosis", "type" : "article-journal", "volume" : "98" }, "uris" : [ "http://www.mendeley.com/documents/?uuid=84a8f2d4-c6b4-49b4-9441-50b8fc13ed73" ] }, { "id" : "ITEM-6", "itemData" : { "DOI" : "10.1002/hep.26466", "ISSN" : "02709139", "PMID" : "23686738", "abstract" : "UNLABELLED Osteoporosis resulting in bone fractures is a complication in patients with primary biliary cirrhosis (PBC). Once-weekly alendronate improves bone mass and is well tolerated in these patients, but there is a concern because of poor compliance. Therefore, the efficacy, adherence, and safety of monthly ibandronate (150 mg) with weekly alendronate (70 mg) were compared in a randomized, 2-year study in 42 postmenopausal women with PBC and osteoporosis. Bone mineral density (BMD) of the lumbar spine and proximal femur (by DXA), liver function, and bone markers were measured at entry and every 6 months over 2 years. Adherence to therapy was assessed by the Morisky-Green score. At enrollment, the two groups were similar with respect to age, BMD, severity of cholestasis, previous fractures, and bone markers. Thirty-three patients, 14 in the ibandronate group and 19 in the alendronate group, completed the trial. At 2 years both treatments resulted in a significant increase in BMD at the lumbar spine (from 0.875 \u00b1 0.025 to 0.913 \u00b1 0.026 g/cm(2), P &lt; 0.001 with alendronate, and from 0.898 \u00b1 0.024 to 0.949 \u00b1 0.027 g/cm(2), P &lt; 0.001 with ibandronate). The mean percentage change was 4.5% and 5.7%, respectively (P = not significant). BMD increased at the total hip by 2.0% and 1.2%, respectively. Changes in bone markers were similar in both groups and one patient with alendronate developed a new vertebral fracture. Adherence to therapy was higher with ibandronate (P = 0.009). Neither treatment impaired liver function or cholestasis. CONCLUSION Both regimens, weekly alendronate and monthly ibandronate, improve bone mass and are comparable in safety for osteoporosis therapy in patients with PBC, although adherence is higher with the monthly regimen. Further larger studies are needed to assess fracture prevention.", "author" : [ { "dropping-particle" : "", "family" : "Gua\u00f1abens", "given" : "N\u00faria", "non-dropping-particle" : "", "parse-names" : false, "suffix" : "" }, { "dropping-particle" : "", "family" : "Monegal", "given" : "Anna", "non-dropping-particle" : "", "parse-names" : false, "suffix" : "" }, { "dropping-particle" : "", "family" : "Cerd\u00e1", "given" : "Dacia", "non-dropping-particle" : "", "parse-names" : false, "suffix" : "" }, { "dropping-particle" : "", "family" : "Mux\u00ed", "given" : "\u00c1frica", "non-dropping-particle" : "", "parse-names" : false, "suffix" : "" }, { "dropping-particle" : "", "family" : "Gifre", "given" : "Laia", "non-dropping-particle" : "", "parse-names" : false, "suffix" : "" }, { "dropping-particle" : "", "family" : "Peris", "given" : "Pilar", "non-dropping-particle" : "", "parse-names" : false, "suffix" : "" }, { "dropping-particle" : "", "family" : "Par\u00e9s", "given" : "Albert", "non-dropping-particle" : "", "parse-names" : false, "suffix" : "" } ], "container-title" : "Hepatology", "id" : "ITEM-6", "issue" : "6", "issued" : { "date-parts" : [ [ "2013" ] ] }, "page" : "2070-2078", "title" : "Randomized trial comparing monthly ibandronate and weekly alendronate for osteoporosis in patients with primary biliary cirrhosis", "type" : "article-journal", "volume" : "58" }, "uris" : [ "http://www.mendeley.com/documents/?uuid=10b24d8b-a098-446c-b241-cb8be890fe9d" ] } ], "mendeley" : { "formattedCitation" : "&lt;sup&gt;[6,40,43\u201346]&lt;/sup&gt;", "plainTextFormattedCitation" : "[6,40,43\u201346]", "previouslyFormattedCitation" : "&lt;sup&gt;[6,40,43\u201346]&lt;/sup&gt;"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[6,40,43</w:t>
      </w:r>
      <w:r w:rsidR="00F613A6">
        <w:rPr>
          <w:rFonts w:ascii="Book Antiqua" w:eastAsia="SimSun" w:hAnsi="Book Antiqua" w:cs="Arial" w:hint="eastAsia"/>
          <w:noProof/>
          <w:color w:val="000000"/>
          <w:vertAlign w:val="superscript"/>
          <w:lang w:eastAsia="zh-CN"/>
        </w:rPr>
        <w:t>-</w:t>
      </w:r>
      <w:r w:rsidR="00F613A6" w:rsidRPr="002D44D6">
        <w:rPr>
          <w:rFonts w:ascii="Book Antiqua" w:hAnsi="Book Antiqua" w:cs="Arial"/>
          <w:noProof/>
          <w:color w:val="000000"/>
          <w:vertAlign w:val="superscript"/>
        </w:rPr>
        <w:t>46]</w:t>
      </w:r>
      <w:r w:rsidR="00F613A6" w:rsidRPr="002D44D6">
        <w:rPr>
          <w:rFonts w:ascii="Book Antiqua" w:hAnsi="Book Antiqua" w:cs="Arial"/>
          <w:color w:val="000000"/>
        </w:rPr>
        <w:fldChar w:fldCharType="end"/>
      </w:r>
      <w:r w:rsidR="00492F9E" w:rsidRPr="002D44D6">
        <w:rPr>
          <w:rFonts w:ascii="Book Antiqua" w:hAnsi="Book Antiqua" w:cs="Arial"/>
          <w:color w:val="000000"/>
        </w:rPr>
        <w:t>.</w:t>
      </w:r>
      <w:r w:rsidR="00F613A6" w:rsidRPr="002D44D6">
        <w:rPr>
          <w:rFonts w:ascii="Book Antiqua" w:hAnsi="Book Antiqua" w:cs="Times New Roman"/>
        </w:rPr>
        <w:t xml:space="preserve"> </w:t>
      </w:r>
    </w:p>
    <w:p w14:paraId="41350A67" w14:textId="4FB25416" w:rsidR="008E22C2" w:rsidRPr="002D44D6" w:rsidRDefault="001E4A6D" w:rsidP="00F613A6">
      <w:pPr>
        <w:widowControl w:val="0"/>
        <w:adjustRightInd w:val="0"/>
        <w:snapToGrid w:val="0"/>
        <w:spacing w:line="360" w:lineRule="auto"/>
        <w:ind w:firstLineChars="100" w:firstLine="240"/>
        <w:jc w:val="both"/>
        <w:rPr>
          <w:rFonts w:ascii="Book Antiqua" w:eastAsia="Times New Roman" w:hAnsi="Book Antiqua" w:cs="Times New Roman"/>
        </w:rPr>
      </w:pPr>
      <w:r w:rsidRPr="002D44D6">
        <w:rPr>
          <w:rFonts w:ascii="Book Antiqua" w:eastAsia="Times New Roman" w:hAnsi="Book Antiqua" w:cs="Times New Roman"/>
        </w:rPr>
        <w:t>Evidence for the use of bisphosphonates in PBC is limited with only one small trial of alendronate showing improvem</w:t>
      </w:r>
      <w:r w:rsidR="004444C9" w:rsidRPr="002D44D6">
        <w:rPr>
          <w:rFonts w:ascii="Book Antiqua" w:eastAsia="Times New Roman" w:hAnsi="Book Antiqua" w:cs="Times New Roman"/>
        </w:rPr>
        <w:t xml:space="preserve">ent in BMD compared to placebo, though this occurred almost exclusively in postmenopausal women, </w:t>
      </w:r>
      <w:r w:rsidRPr="002D44D6">
        <w:rPr>
          <w:rFonts w:ascii="Book Antiqua" w:eastAsia="Times New Roman" w:hAnsi="Book Antiqua" w:cs="Times New Roman"/>
        </w:rPr>
        <w:t>and none demonstrating fracture risk reduction</w:t>
      </w:r>
      <w:r w:rsidR="00F613A6" w:rsidRPr="002D44D6">
        <w:rPr>
          <w:rFonts w:ascii="Book Antiqua" w:eastAsia="Times New Roman" w:hAnsi="Book Antiqua" w:cs="Times New Roman"/>
        </w:rPr>
        <w:fldChar w:fldCharType="begin" w:fldLock="1"/>
      </w:r>
      <w:r w:rsidR="00F613A6" w:rsidRPr="002D44D6">
        <w:rPr>
          <w:rFonts w:ascii="Book Antiqua" w:eastAsia="Times New Roman" w:hAnsi="Book Antiqua" w:cs="Times New Roman"/>
        </w:rPr>
        <w:instrText>ADDIN CSL_CITATION { "citationItems" : [ { "id" : "ITEM-1", "itemData" : { "DOI" : "10.1002/hep.20866", "ISSN" : "02709139", "PMID" : "16175618", "abstract" : "Bone loss is a well-recognized complication of primary biliary cirrhosis (PBC). Although it has been suggested that alendronate might improve bone mineral density (BMD) in PBC, no randomized placebo-controlled trial has been conducted. The primary aim of this study was to compare the effects of alendronate versus placebo on BMD and biochemical measurements of bone turnover in patients with PBC-associated bone loss. We conducted a double-blinded, randomized, placebo-controlled trial. Patients with a PBC and BMD t score of less than -1.5 were randomized to receive 70 mg per week of alendronate or placebo over 1 year. BMD of the lumbar spine and proximal femur were measured at entry and at 1 year. Changes from baseline in BMD and biochemical measurements of bone turnover were assessed. Thirty-four patients were enrolled. Seventeen patients were randomized to each arm. After 1 year, a significantly larger improvement (P = .005) in spine BMD was observed in the alendronate group (0.09 +/- 0.03 g/cm2 SD from baseline) compared with the placebo group (-0.003 +/- 0.02 g/cm2 SD from baseline). A larger improvement (P = .046) was also observed in the femoral BMD of alendronate patients versus placebo. BMD changes were independent of concomitant estrogen therapy. The rate of adverse effects was similar in both groups. In conclusion, in patients with PBC-related bone loss, alendronate significantly improves BMD compared with placebo. Although in this study oral alendronate appears to be well tolerated in patients with PBC, larger studies are needed to formally evaluate safety.", "author" : [ { "dropping-particle" : "", "family" : "Zein", "given" : "Claudia O.", "non-dropping-particle" : "", "parse-names" : false, "suffix" : "" }, { "dropping-particle" : "", "family" : "Jorgensen", "given" : "Roberta A.", "non-dropping-particle" : "", "parse-names" : false, "suffix" : "" }, { "dropping-particle" : "", "family" : "Clarke", "given" : "Bart", "non-dropping-particle" : "", "parse-names" : false, "suffix" : "" }, { "dropping-particle" : "", "family" : "Wenger", "given" : "Doris E.", "non-dropping-particle" : "", "parse-names" : false, "suffix" : "" }, { "dropping-particle" : "", "family" : "Keach", "given" : "Jill C.", "non-dropping-particle" : "", "parse-names" : false, "suffix" : "" }, { "dropping-particle" : "", "family" : "Angulo", "given" : "Paul", "non-dropping-particle" : "", "parse-names" : false, "suffix" : "" }, { "dropping-particle" : "", "family" : "Lindor", "given" : "Keith D.", "non-dropping-particle" : "", "parse-names" : false, "suffix" : "" } ], "container-title" : "Hepatology", "id" : "ITEM-1", "issue" : "4", "issued" : { "date-parts" : [ [ "2005" ] ] }, "page" : "762-771", "title" : "Alendronate improves bone mineral density in primary biliary cirrhosis: A randomized placebo-controlled trial", "type" : "article-journal", "volume" : "42" }, "uris" : [ "http://www.mendeley.com/documents/?uuid=948106bd-7aef-40a2-8eab-af8f31b6e0f5" ] }, { "id" : "ITEM-2", "itemData" : { "PMID" : "9059953", "author" : [ { "dropping-particle" : "", "family" : "Wolfhagen", "given" : "Frank HJ", "non-dropping-particle" : "", "parse-names" : false, "suffix" : "" }, { "dropping-particle" : "", "family" : "Buuren", "given" : "Henk R.", "non-dropping-particle" : "van", "parse-names" : false, "suffix" : "" }, { "dropping-particle" : "", "family" : "Ouden", "given" : "Janny W.", "non-dropping-particle" : "den", "parse-names" : false, "suffix" : "" }, { "dropping-particle" : "", "family" : "Hop", "given" : "Wim CJ", "non-dropping-particle" : "", "parse-names" : false, "suffix" : "" }, { "dropping-particle" : "", "family" : "can Leeuwen", "given" : "Johannes PTM", "non-dropping-particle" : "", "parse-names" : false, "suffix" : "" }, { "dropping-particle" : "", "family" : "Schalm", "given" : "Solko W.", "non-dropping-particle" : "", "parse-names" : false, "suffix" : "" }, { "dropping-particle" : "", "family" : "Pols", "given" : "Huib AP", "non-dropping-particle" : "", "parse-names" : false, "suffix" : "" } ], "container-title" : "Journal of Hepatology", "id" : "ITEM-2", "issued" : { "date-parts" : [ [ "1997" ] ] }, "page" : "325-330", "title" : "Cyclical etidronate in the prevention of bone loss in corticosteroid-treated primary bii cirrhosis", "type" : "article-journal", "volume" : "26" }, "uris" : [ "http://www.mendeley.com/documents/?uuid=5927fc60-83b2-40d9-ab79-900142609550" ] }, { "id" : "ITEM-3", "itemData" : { "DOI" : "10.1016/S0168-8278(00)80118-X", "ISBN" : "0168-8278 (Print)\\r0168-8278 (Linking)", "ISSN" : "01688278", "PMID" : "11131448", "abstract" : "Background/Aim: Osteoporosis is a common complication of primary biliary cirrhosis but there is no accepted therapy for the osteoporosis. In this randomized controlled trial, we compared the effects of etidronate to placebo on the treatment of osteoporosis associated with primary biliary cirrhosis. Methods: Sixty-seven patients with primary biliary cirrhosis and osteopenia, defined by bone mineral density criteria (T-score &lt;-2.0) were enrolled. Measurements of the lumbar spine and proximal femur, as well as x-rays of the lumbar spine, were obtained. Patients received cyclical etidronate 400 mg/day for 14 days every 3 months for at least 1 year. Supplemental calcium was administered on the days patients did not receive etidronate. Results: Of the 67 patients entered, 60 completed at least 1 year of therapy. There was no significant difference in changes in bone density at either the lumbar spine or femur in patients receiving etidronate when compared to placebo. Fractures occurred in eight patients, four receiving etidronate. Etidronate therapy was associated with a significant reduction in markers of bone turnover compared to placebo. These changes did not correlate with changes in bone density. Conclusions: Cyclical etidronate administered with supplemental calcium did not significantly improve bone density in patients with primary biliary cirrhosis.", "author" : [ { "dropping-particle" : "", "family" : "Lindor", "given" : "Keith D.", "non-dropping-particle" : "", "parse-names" : false, "suffix" : "" }, { "dropping-particle" : "", "family" : "Jorgensen", "given" : "Roberta A.", "non-dropping-particle" : "", "parse-names" : false, "suffix" : "" }, { "dropping-particle" : "", "family" : "Tiegs", "given" : "Robert D.", "non-dropping-particle" : "", "parse-names" : false, "suffix" : "" }, { "dropping-particle" : "", "family" : "Khosla", "given" : "Sundeep", "non-dropping-particle" : "", "parse-names" : false, "suffix" : "" }, { "dropping-particle" : "", "family" : "Dickson", "given" : "E. Rolland", "non-dropping-particle" : "", "parse-names" : false, "suffix" : "" } ], "container-title" : "Journal of Hepatology", "id" : "ITEM-3", "issue" : "6", "issued" : { "date-parts" : [ [ "2000" ] ] }, "page" : "878-882", "title" : "Etidronate for osteoporosis in primary biliary cirrhosis: A randomized trial", "type" : "article-journal", "volume" : "33" }, "uris" : [ "http://www.mendeley.com/documents/?uuid=74607aab-5872-4fbe-a830-24081022e53e" ] } ], "mendeley" : { "formattedCitation" : "&lt;sup&gt;[6,43,44]&lt;/sup&gt;", "plainTextFormattedCitation" : "[6,43,44]", "previouslyFormattedCitation" : "&lt;sup&gt;[6,43,44]&lt;/sup&gt;" }, "properties" : { "noteIndex" : 0 }, "schema" : "https://github.com/citation-style-language/schema/raw/master/csl-citation.json" }</w:instrText>
      </w:r>
      <w:r w:rsidR="00F613A6" w:rsidRPr="002D44D6">
        <w:rPr>
          <w:rFonts w:ascii="Book Antiqua" w:eastAsia="Times New Roman" w:hAnsi="Book Antiqua" w:cs="Times New Roman"/>
        </w:rPr>
        <w:fldChar w:fldCharType="separate"/>
      </w:r>
      <w:r w:rsidR="00F613A6" w:rsidRPr="002D44D6">
        <w:rPr>
          <w:rFonts w:ascii="Book Antiqua" w:eastAsia="Times New Roman" w:hAnsi="Book Antiqua" w:cs="Times New Roman"/>
          <w:noProof/>
          <w:vertAlign w:val="superscript"/>
        </w:rPr>
        <w:t>[6,43,44]</w:t>
      </w:r>
      <w:r w:rsidR="00F613A6" w:rsidRPr="002D44D6">
        <w:rPr>
          <w:rFonts w:ascii="Book Antiqua" w:eastAsia="Times New Roman" w:hAnsi="Book Antiqua" w:cs="Times New Roman"/>
        </w:rPr>
        <w:fldChar w:fldCharType="end"/>
      </w:r>
      <w:r w:rsidRPr="002D44D6">
        <w:rPr>
          <w:rFonts w:ascii="Book Antiqua" w:eastAsia="Times New Roman" w:hAnsi="Book Antiqua" w:cs="Times New Roman"/>
        </w:rPr>
        <w:t xml:space="preserve">. </w:t>
      </w:r>
      <w:r w:rsidR="004444C9" w:rsidRPr="002D44D6">
        <w:rPr>
          <w:rFonts w:ascii="Book Antiqua" w:eastAsia="Times New Roman" w:hAnsi="Book Antiqua" w:cs="Times New Roman"/>
        </w:rPr>
        <w:t xml:space="preserve">Similarly powered trials in postmenopausal osteoporosis have shown improvement benefit in terms of both fracture reduction </w:t>
      </w:r>
      <w:r w:rsidR="00492F9E" w:rsidRPr="002D44D6">
        <w:rPr>
          <w:rFonts w:ascii="Book Antiqua" w:eastAsia="Times New Roman" w:hAnsi="Book Antiqua" w:cs="Times New Roman"/>
        </w:rPr>
        <w:t>and BMD improvement</w:t>
      </w:r>
      <w:r w:rsidR="00F613A6" w:rsidRPr="002D44D6">
        <w:rPr>
          <w:rFonts w:ascii="Book Antiqua" w:eastAsia="Times New Roman" w:hAnsi="Book Antiqua" w:cs="Times New Roman"/>
        </w:rPr>
        <w:fldChar w:fldCharType="begin" w:fldLock="1"/>
      </w:r>
      <w:r w:rsidR="00F613A6" w:rsidRPr="002D44D6">
        <w:rPr>
          <w:rFonts w:ascii="Book Antiqua" w:eastAsia="Times New Roman" w:hAnsi="Book Antiqua" w:cs="Times New Roman"/>
        </w:rPr>
        <w:instrText>ADDIN CSL_CITATION { "citationItems" : [ { "id" : "ITEM-1", "itemData" : { "DOI" : "10.1056/NEJM199005033221803", "PMID" : "109197", "author" : [ { "dropping-particle" : "", "family" : "Storm", "given" : "Tommy", "non-dropping-particle" : "", "parse-names" : false, "suffix" : "" }, { "dropping-particle" : "", "family" : "Thamsborg", "given" : "Gorm", "non-dropping-particle" : "", "parse-names" : false, "suffix" : "" }, { "dropping-particle" : "", "family" : "Steiniche", "given" : "Torben", "non-dropping-particle" : "", "parse-names" : false, "suffix" : "" }, { "dropping-particle" : "", "family" : "Genant", "given" : "Harry K.", "non-dropping-particle" : "", "parse-names" : false, "suffix" : "" }, { "dropping-particle" : "", "family" : "Sorensen", "given" : "Ole Helmer", "non-dropping-particle" : "", "parse-names" : false, "suffix" : "" } ], "container-title" : "New England Journal of Medicine", "id" : "ITEM-1", "issue" : "18", "issued" : { "date-parts" : [ [ "1990" ] ] }, "page" : "1265-71", "title" : "Effect of Intermittent Cyclical Etidronate Therapy on Bone Mass and Fracture Rate in Women with Postmenopausal Osteoporosis", "type" : "article-journal", "volume" : "322" }, "uris" : [ "http://www.mendeley.com/documents/?uuid=1562dbc0-55ec-49ac-b503-90976f565098" ] } ], "mendeley" : { "formattedCitation" : "&lt;sup&gt;[47]&lt;/sup&gt;", "plainTextFormattedCitation" : "[47]", "previouslyFormattedCitation" : "&lt;sup&gt;[47]&lt;/sup&gt;" }, "properties" : { "noteIndex" : 0 }, "schema" : "https://github.com/citation-style-language/schema/raw/master/csl-citation.json" }</w:instrText>
      </w:r>
      <w:r w:rsidR="00F613A6" w:rsidRPr="002D44D6">
        <w:rPr>
          <w:rFonts w:ascii="Book Antiqua" w:eastAsia="Times New Roman" w:hAnsi="Book Antiqua" w:cs="Times New Roman"/>
        </w:rPr>
        <w:fldChar w:fldCharType="separate"/>
      </w:r>
      <w:r w:rsidR="00F613A6" w:rsidRPr="002D44D6">
        <w:rPr>
          <w:rFonts w:ascii="Book Antiqua" w:eastAsia="Times New Roman" w:hAnsi="Book Antiqua" w:cs="Times New Roman"/>
          <w:noProof/>
          <w:vertAlign w:val="superscript"/>
        </w:rPr>
        <w:t>[47]</w:t>
      </w:r>
      <w:r w:rsidR="00F613A6" w:rsidRPr="002D44D6">
        <w:rPr>
          <w:rFonts w:ascii="Book Antiqua" w:eastAsia="Times New Roman" w:hAnsi="Book Antiqua" w:cs="Times New Roman"/>
        </w:rPr>
        <w:fldChar w:fldCharType="end"/>
      </w:r>
      <w:r w:rsidR="004444C9" w:rsidRPr="002D44D6">
        <w:rPr>
          <w:rFonts w:ascii="Book Antiqua" w:eastAsia="Times New Roman" w:hAnsi="Book Antiqua" w:cs="Times New Roman"/>
        </w:rPr>
        <w:t>, and the PBC-specific benefit of bisphosphonates remains unclear.</w:t>
      </w:r>
    </w:p>
    <w:p w14:paraId="6AB4FD9B" w14:textId="77777777" w:rsidR="004444C9" w:rsidRPr="002D44D6" w:rsidRDefault="004444C9" w:rsidP="002D44D6">
      <w:pPr>
        <w:widowControl w:val="0"/>
        <w:adjustRightInd w:val="0"/>
        <w:snapToGrid w:val="0"/>
        <w:spacing w:line="360" w:lineRule="auto"/>
        <w:jc w:val="both"/>
        <w:rPr>
          <w:rFonts w:ascii="Book Antiqua" w:eastAsia="Times New Roman" w:hAnsi="Book Antiqua" w:cs="Times New Roman"/>
        </w:rPr>
      </w:pPr>
    </w:p>
    <w:p w14:paraId="7716FE74" w14:textId="4353EDD9" w:rsidR="003C14D5" w:rsidRPr="002D44D6" w:rsidRDefault="00E13F25" w:rsidP="002D44D6">
      <w:pPr>
        <w:widowControl w:val="0"/>
        <w:adjustRightInd w:val="0"/>
        <w:snapToGrid w:val="0"/>
        <w:spacing w:line="360" w:lineRule="auto"/>
        <w:jc w:val="both"/>
        <w:rPr>
          <w:rFonts w:ascii="Book Antiqua" w:hAnsi="Book Antiqua" w:cs="Arial"/>
          <w:b/>
          <w:bCs/>
          <w:i/>
          <w:color w:val="000000"/>
        </w:rPr>
      </w:pPr>
      <w:r w:rsidRPr="002D44D6">
        <w:rPr>
          <w:rFonts w:ascii="Book Antiqua" w:hAnsi="Book Antiqua" w:cs="Arial"/>
          <w:b/>
          <w:bCs/>
          <w:i/>
          <w:color w:val="000000"/>
        </w:rPr>
        <w:t>Hormon</w:t>
      </w:r>
      <w:r w:rsidR="00A265BC" w:rsidRPr="002D44D6">
        <w:rPr>
          <w:rFonts w:ascii="Book Antiqua" w:hAnsi="Book Antiqua" w:cs="Arial"/>
          <w:b/>
          <w:bCs/>
          <w:i/>
          <w:color w:val="000000"/>
        </w:rPr>
        <w:t>e</w:t>
      </w:r>
      <w:r w:rsidRPr="002D44D6">
        <w:rPr>
          <w:rFonts w:ascii="Book Antiqua" w:hAnsi="Book Antiqua" w:cs="Arial"/>
          <w:b/>
          <w:bCs/>
          <w:i/>
          <w:color w:val="000000"/>
        </w:rPr>
        <w:t xml:space="preserve"> </w:t>
      </w:r>
      <w:r w:rsidR="00C761F0" w:rsidRPr="002D44D6">
        <w:rPr>
          <w:rFonts w:ascii="Book Antiqua" w:hAnsi="Book Antiqua" w:cs="Arial"/>
          <w:b/>
          <w:bCs/>
          <w:i/>
          <w:color w:val="000000"/>
        </w:rPr>
        <w:t>r</w:t>
      </w:r>
      <w:r w:rsidRPr="002D44D6">
        <w:rPr>
          <w:rFonts w:ascii="Book Antiqua" w:hAnsi="Book Antiqua" w:cs="Arial"/>
          <w:b/>
          <w:bCs/>
          <w:i/>
          <w:color w:val="000000"/>
        </w:rPr>
        <w:t>eplacement</w:t>
      </w:r>
    </w:p>
    <w:p w14:paraId="36AE64F8" w14:textId="7CDCC2CB" w:rsidR="00E13F25" w:rsidRPr="00F613A6" w:rsidRDefault="00E13F25" w:rsidP="002D44D6">
      <w:pPr>
        <w:widowControl w:val="0"/>
        <w:adjustRightInd w:val="0"/>
        <w:snapToGrid w:val="0"/>
        <w:spacing w:line="360" w:lineRule="auto"/>
        <w:jc w:val="both"/>
        <w:rPr>
          <w:rFonts w:ascii="Book Antiqua" w:eastAsia="SimSun" w:hAnsi="Book Antiqua" w:cs="Times New Roman"/>
          <w:lang w:eastAsia="zh-CN"/>
        </w:rPr>
      </w:pPr>
      <w:r w:rsidRPr="002D44D6">
        <w:rPr>
          <w:rFonts w:ascii="Book Antiqua" w:hAnsi="Book Antiqua" w:cs="Arial"/>
          <w:color w:val="000000"/>
        </w:rPr>
        <w:t>Estrogens also have strong anti</w:t>
      </w:r>
      <w:r w:rsidR="004444C9" w:rsidRPr="002D44D6">
        <w:rPr>
          <w:rFonts w:ascii="Book Antiqua" w:hAnsi="Book Antiqua" w:cs="Arial"/>
          <w:color w:val="000000"/>
        </w:rPr>
        <w:t>-</w:t>
      </w:r>
      <w:r w:rsidRPr="002D44D6">
        <w:rPr>
          <w:rFonts w:ascii="Book Antiqua" w:hAnsi="Book Antiqua" w:cs="Arial"/>
          <w:color w:val="000000"/>
        </w:rPr>
        <w:t>resorptive effect on bones and for a period of time were widely used in postmenopausal osteoporosis</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"ISSN" : "0937-941X (Print)", "PMID" : "7696830", "abstract" : "Transdermal hormone replacement therapy (HRT) is now an accepted form of treatment, but the long-term skeletal effects have not been assessed. Sixty-six early postmenopausal women were randomized to receive either transdermal HRT (continuous 17 beta-oestradiol 0.05 mg/day, with 0.25 mg/day of norethisterone acetate added for 14 days of each 28-day cycle) or oral HRT (continuous conjugated equine oestrogens 0.625 mg/day, with 0.15 mg/day dl-norgestrel added for 12 days of each 28-day cycle). Treatment was given for 3 years and 30 matched untreated women were studied concurrently as a control group. Bone density was measured in the lumbar spine and proximal femur by dual-photon absorptiometry at 6-monthly intervals. Bone turnover was assessed by measurement of biochemical markers. At 3 years bone density had declined by 4% in the lumbar spine and by more than 5% in the femoral neck in the untreated group. By comparison bone density increased in both treatment groups at both sites (p &lt; 0.001 vs. untreated) and biochemical measurements indicated a significant reduction in bone turnover. There were no significant differences between the treatment groups. Twelve per cent of women on transdermal or oral treatments lost a significant amount of bone from the femoral neck by 3 years despite adequate compliance. Women taking therapy primarily for hip fracture prevention may require a follow-up bone density measurement to establish the efficacy of treatment.", "author" : [ { "dropping-particle" : "", "family" : "Hillard", "given" : "T C", "non-dropping-particle" : "", "parse-names" : false, "suffix" : "" }, { "dropping-particle" : "", "family" : "Whitcroft", "given" : "S J", "non-dropping-particle" : "", "parse-names" : false, "suffix" : "" }, { "dropping-particle" : "", "family" : "Marsh", "given" : "M S", "non-dropping-particle" : "", "parse-names" : false, "suffix" : "" }, { "dropping-particle" : "", "family" : "Ellerington", "given" : "M C", "non-dropping-particle" : "", "parse-names" : false, "suffix" : "" }, { "dropping-particle" : "", "family" : "Lees", "given" : "B", "non-dropping-particle" : "", "parse-names" : false, "suffix" : "" }, { "dropping-particle" : "", "family" : "Whitehead", "given" : "M I", "non-dropping-particle" : "", "parse-names" : false, "suffix" : "" }, { "dropping-particle" : "", "family" : "Stevenson", "given" : "J C", "non-dropping-particle" : "", "parse-names" : false, "suffix" : "" } ], "container-title" : "Osteoporosis international", "id" : "ITEM-1", "issue" : "6", "issued" : { "date-parts" : [ [ "1994" ] ] }, "page" : "341-348", "title" : "Long-term effects of transdermal and oral hormone replacement therapy on postmenopausal bone loss.", "type" : "article-journal", "volume" : "4" }, "uris" : [ "http://www.mendeley.com/documents/?uuid=d88d7155-4b80-4248-b5fa-c6ea28d0b140" ] } ], "mendeley" : { "formattedCitation" : "&lt;sup&gt;[48]&lt;/sup&gt;", "plainTextFormattedCitation" : "[48]", "previouslyFormattedCitation" : "&lt;sup&gt;[48]&lt;/sup&gt;"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[48]</w:t>
      </w:r>
      <w:r w:rsidR="00F613A6" w:rsidRPr="002D44D6">
        <w:rPr>
          <w:rFonts w:ascii="Book Antiqua" w:hAnsi="Book Antiqua" w:cs="Arial"/>
          <w:color w:val="000000"/>
        </w:rPr>
        <w:fldChar w:fldCharType="end"/>
      </w:r>
      <w:r w:rsidRPr="002D44D6">
        <w:rPr>
          <w:rFonts w:ascii="Book Antiqua" w:hAnsi="Book Antiqua" w:cs="Arial"/>
          <w:color w:val="000000"/>
        </w:rPr>
        <w:t>.</w:t>
      </w:r>
      <w:r w:rsidR="00F613A6">
        <w:rPr>
          <w:rFonts w:ascii="Book Antiqua" w:eastAsia="SimSun" w:hAnsi="Book Antiqua" w:cs="Arial" w:hint="eastAsia"/>
          <w:color w:val="000000"/>
          <w:lang w:eastAsia="zh-CN"/>
        </w:rPr>
        <w:t xml:space="preserve"> </w:t>
      </w:r>
      <w:r w:rsidRPr="002D44D6">
        <w:rPr>
          <w:rFonts w:ascii="Book Antiqua" w:hAnsi="Book Antiqua" w:cs="Arial"/>
          <w:color w:val="000000"/>
        </w:rPr>
        <w:t>Concerns over worsening of cholestasis initi</w:t>
      </w:r>
      <w:r w:rsidR="00492F9E" w:rsidRPr="002D44D6">
        <w:rPr>
          <w:rFonts w:ascii="Book Antiqua" w:hAnsi="Book Antiqua" w:cs="Arial"/>
          <w:color w:val="000000"/>
        </w:rPr>
        <w:t xml:space="preserve">ally limited their use in PBC. </w:t>
      </w:r>
      <w:r w:rsidRPr="002D44D6">
        <w:rPr>
          <w:rFonts w:ascii="Book Antiqua" w:hAnsi="Book Antiqua" w:cs="Arial"/>
          <w:color w:val="000000"/>
        </w:rPr>
        <w:t>However</w:t>
      </w:r>
      <w:r w:rsidR="003138BE" w:rsidRPr="002D44D6">
        <w:rPr>
          <w:rFonts w:ascii="Book Antiqua" w:hAnsi="Book Antiqua" w:cs="Arial"/>
          <w:color w:val="000000"/>
        </w:rPr>
        <w:t>,</w:t>
      </w:r>
      <w:r w:rsidR="004444C9" w:rsidRPr="002D44D6">
        <w:rPr>
          <w:rFonts w:ascii="Book Antiqua" w:hAnsi="Book Antiqua" w:cs="Arial"/>
          <w:color w:val="000000"/>
        </w:rPr>
        <w:t xml:space="preserve"> several </w:t>
      </w:r>
      <w:r w:rsidR="004444C9" w:rsidRPr="002D44D6">
        <w:rPr>
          <w:rFonts w:ascii="Book Antiqua" w:hAnsi="Book Antiqua" w:cs="Arial"/>
          <w:color w:val="000000"/>
        </w:rPr>
        <w:lastRenderedPageBreak/>
        <w:t xml:space="preserve">observational </w:t>
      </w:r>
      <w:r w:rsidRPr="002D44D6">
        <w:rPr>
          <w:rFonts w:ascii="Book Antiqua" w:hAnsi="Book Antiqua" w:cs="Arial"/>
          <w:color w:val="000000"/>
        </w:rPr>
        <w:t>studies did not show any significant worsening in liver disease with hormone replacement therapy</w:t>
      </w:r>
      <w:r w:rsidR="00486D04" w:rsidRPr="002D44D6">
        <w:rPr>
          <w:rFonts w:ascii="Book Antiqua" w:hAnsi="Book Antiqua" w:cs="Arial"/>
          <w:color w:val="000000"/>
        </w:rPr>
        <w:t xml:space="preserve"> (HRT)</w:t>
      </w:r>
      <w:r w:rsidR="001A4F78" w:rsidRPr="002D44D6">
        <w:rPr>
          <w:rFonts w:ascii="Book Antiqua" w:hAnsi="Book Antiqua" w:cs="Arial"/>
          <w:color w:val="000000"/>
        </w:rPr>
        <w:fldChar w:fldCharType="begin" w:fldLock="1"/>
      </w:r>
      <w:r w:rsidR="00DB6418" w:rsidRPr="002D44D6">
        <w:rPr>
          <w:rFonts w:ascii="Book Antiqua" w:hAnsi="Book Antiqua" w:cs="Arial"/>
          <w:color w:val="000000"/>
        </w:rPr>
        <w:instrText>ADDIN CSL_CITATION { "citationItems" : [ { "id" : "ITEM-1", "itemData" : { "DOI" : "10.1111/j.1478-3231.1999.tb00034.x", "ISSN" : "01069543", "PMID" : "10395037", "abstract" : "Aims/Background: Patients with primary biliary cirrhosis (PBC) often have osteoporosis of the high-turnover type, suggesting that estrogen could have a beneficial effect. However, the cholestatic potential of estrogen could imply a risk of increased cholestasis in a disease characterized by cholestasis. The aim of the present study was to test whether hormone replacement therapy (HRT) could be used to increase bone mineral density (BMD) in PBC patients with osteoporosis, without causing deterioration of the liver function. Methods: Nine female PBC patients with osteoporosis and one with osteopenia were offered HRT for two years. The change in BMD was compared to the change in ten age-matched female PBC patients who had less severe or no osteopenia and who did not receive HRT. Liver function tests were checked at six-month intervals. Results: HRT patients showed a statistically significant increase in lumbar spine BMD and total body BMD whereas control patients showed a significant decrease in lumbar and total body BMD. In contrast to the controls, HRT patients also showed a decrease in truncal fat (-3.8%). Neither of the groups showed any statistically significant changes in the liver function tests. Conclusions: HRT is safe and effective in female PBC patients with osteoporosis.", "author" : [ { "dropping-particle" : "", "family" : "Olsson", "given" : "R.", "non-dropping-particle" : "", "parse-names" : false, "suffix" : "" }, { "dropping-particle" : "", "family" : "Mattsson", "given" : "L.-A.", "non-dropping-particle" : "", "parse-names" : false, "suffix" : "" }, { "dropping-particle" : "", "family" : "Obrant", "given" : "K.", "non-dropping-particle" : "", "parse-names" : false, "suffix" : "" }, { "dropping-particle" : "", "family" : "Mellstr?m", "given" : "D.", "non-dropping-particle" : "", "parse-names" : false, "suffix" : "" } ], "container-title" : "Liver", "id" : "ITEM-1", "issue" : "3", "issued" : { "date-parts" : [ [ "1999" ] ] }, "page" : "188-192", "title" : "Estrogen-progestogen therapy for low bone mineral density in primary biliary cirrhosis", "type" : "article-journal", "volume" : "19" }, "uris" : [ "http://www.mendeley.com/documents/?uuid=27ef613b-d378-4dc7-a576-e6fe7a803d27" ] }, { "id" : "ITEM-2", "itemData" : { "DOI" : "10.1111/j.1572-0241.2003.07341.x", "ISBN" : "0002-9270 (Print)\\r0002-9270 (Linking)", "ISSN" : "00029270", "PMID" : "12738473", "abstract" : "OBJECTIVE: Estrogen therapy has been found to be useful in the treatment of postmenopausal osteoporosis. However, concern about its potential for worsening cholestasis has limited its use in postmenopausal women with primary biliary cirrhosis. The aim of the present study was to determine the safety as well as the efficacy of estrogen replacement therapy with respect to bone mass in postmenopausal women with primary biliary cirrhosis. METHODS: Bone mineral density of the lumbar spine (measured using dual energy x-ray absorptiometry) of 46 unselected postmenopausal women with primary biliary cirrhosis receiving estrogen replacement therapy was compared with 46 age-matched women with primary biliary cirrhosis not receiving estrogen replacement therapy, and with the expected normal bone mineral density adjusted for age and ethnic group. RESULTS: The mean duration of follow-up was 4.8 +/- 0.4 yr. Treatment with estrogens resulted in a significantly lower rate of bone loss (0.002 g/cm(2)/yr +/- 0.028 vs 0.009 g/cm(2)/yr +/- 0.020, p = 0.05). Worsening cholestasis attributable to estrogen replacement therapy did not occur in any patient. One patient (2%) discontinued therapy because of side effects. CONCLUSIONS: Estrogen replacement therapy in postmenopausal patients with primary biliary cirrhosis is safe and may be effective in decreasing the rate of bone loss.", "author" : [ { "dropping-particle" : "V", "family" : "Menon", "given" : "K", "non-dropping-particle" : "", "parse-names" : false, "suffix" : "" }, { "dropping-particle" : "", "family" : "Angulo", "given" : "P", "non-dropping-particle" : "", "parse-names" : false, "suffix" : "" }, { "dropping-particle" : "", "family" : "Boe", "given" : "G M", "non-dropping-particle" : "", "parse-names" : false, "suffix" : "" }, { "dropping-particle" : "", "family" : "Lindor", "given" : "K D", "non-dropping-particle" : "", "parse-names" : false, "suffix" : "" } ], "container-title" : "Am J Gastroenterol", "id" : "ITEM-2", "issue" : "4", "issued" : { "date-parts" : [ [ "2003" ] ] }, "page" : "889-892", "title" : "Safety and efficacy of estrogen therapy in preventing bone loss in primary biliary cirrhosis", "type" : "article-journal", "volume" : "98" }, "uris" : [ "http://www.mendeley.com/documents/?uuid=7d9cf1bd-cf0c-45b6-a726-0f6a5276750e" ] } ], "mendeley" : { "formattedCitation" : "&lt;sup&gt;[49,50]&lt;/sup&gt;", "plainTextFormattedCitation" : "[49,50]", "previouslyFormattedCitation" : "&lt;sup&gt;[49,50]&lt;/sup&gt;" }, "properties" : { "noteIndex" : 0 }, "schema" : "https://github.com/citation-style-language/schema/raw/master/csl-citation.json" }</w:instrText>
      </w:r>
      <w:r w:rsidR="001A4F78" w:rsidRPr="002D44D6">
        <w:rPr>
          <w:rFonts w:ascii="Book Antiqua" w:hAnsi="Book Antiqua" w:cs="Arial"/>
          <w:color w:val="000000"/>
        </w:rPr>
        <w:fldChar w:fldCharType="separate"/>
      </w:r>
      <w:r w:rsidR="00492F9E" w:rsidRPr="002D44D6">
        <w:rPr>
          <w:rFonts w:ascii="Book Antiqua" w:hAnsi="Book Antiqua" w:cs="Arial"/>
          <w:noProof/>
          <w:color w:val="000000"/>
          <w:vertAlign w:val="superscript"/>
        </w:rPr>
        <w:t>[49,50]</w:t>
      </w:r>
      <w:r w:rsidR="001A4F78" w:rsidRPr="002D44D6">
        <w:rPr>
          <w:rFonts w:ascii="Book Antiqua" w:hAnsi="Book Antiqua" w:cs="Arial"/>
          <w:color w:val="000000"/>
        </w:rPr>
        <w:fldChar w:fldCharType="end"/>
      </w:r>
      <w:r w:rsidR="00492F9E" w:rsidRPr="002D44D6">
        <w:rPr>
          <w:rFonts w:ascii="Book Antiqua" w:hAnsi="Book Antiqua" w:cs="Arial"/>
          <w:color w:val="000000"/>
        </w:rPr>
        <w:t xml:space="preserve"> </w:t>
      </w:r>
      <w:r w:rsidR="004444C9" w:rsidRPr="002D44D6">
        <w:rPr>
          <w:rFonts w:ascii="Book Antiqua" w:hAnsi="Book Antiqua" w:cs="Arial"/>
          <w:color w:val="000000"/>
        </w:rPr>
        <w:t>and subsequently two</w:t>
      </w:r>
      <w:r w:rsidRPr="002D44D6">
        <w:rPr>
          <w:rFonts w:ascii="Book Antiqua" w:hAnsi="Book Antiqua" w:cs="Arial"/>
          <w:color w:val="000000"/>
        </w:rPr>
        <w:t xml:space="preserve"> </w:t>
      </w:r>
      <w:r w:rsidR="004444C9" w:rsidRPr="002D44D6">
        <w:rPr>
          <w:rFonts w:ascii="Book Antiqua" w:hAnsi="Book Antiqua" w:cs="Arial"/>
          <w:color w:val="000000"/>
        </w:rPr>
        <w:t>RCTs</w:t>
      </w:r>
      <w:r w:rsidRPr="002D44D6">
        <w:rPr>
          <w:rFonts w:ascii="Book Antiqua" w:hAnsi="Book Antiqua" w:cs="Arial"/>
          <w:color w:val="000000"/>
        </w:rPr>
        <w:t xml:space="preserve"> similarly found no worsening in liver disease</w:t>
      </w:r>
      <w:r w:rsidR="001A4F78" w:rsidRPr="002D44D6">
        <w:rPr>
          <w:rFonts w:ascii="Book Antiqua" w:hAnsi="Book Antiqua" w:cs="Arial"/>
          <w:color w:val="000000"/>
        </w:rPr>
        <w:t>.</w:t>
      </w:r>
      <w:r w:rsidR="00492F9E" w:rsidRPr="002D44D6">
        <w:rPr>
          <w:rFonts w:ascii="Book Antiqua" w:hAnsi="Book Antiqua" w:cs="Arial"/>
          <w:color w:val="000000"/>
        </w:rPr>
        <w:fldChar w:fldCharType="begin" w:fldLock="1"/>
      </w:r>
      <w:r w:rsidR="00492F9E" w:rsidRPr="002D44D6">
        <w:rPr>
          <w:rFonts w:ascii="Book Antiqua" w:hAnsi="Book Antiqua" w:cs="Arial"/>
          <w:color w:val="000000"/>
        </w:rPr>
        <w:instrText>ADDIN CSL_CITATION { "citationItems" : [ { "id" : "ITEM-1", "itemData" : { "DOI" : "10.1007/s10620-006-8015-x", "ISBN" : "0163-2116", "ISSN" : "01632116", "PMID" : "16865577", "abstract" : "The optimal therapy for the prevention and treatment of osteoporosis in primary biliary cirrhosis (PBC) is unknown. Hormone replacement therapy (HRT) prevents osteoporosis, but may promote cholestasis. We performed a double-blind, randomized, placebo-controlled trial of transdermal estrogen/progestin in postmenopausal women with PBC. The 24-month study enrolled 31 patients, but trial uptake was limited and treatment arm dropout was significant. Placebo-treated patients had a higher percentage loss in femoral neck bone mineral density than actively treated patients (-3.76 +/- 1.37% versus 0.21 +/- 1.01%, respectively, P = .058). New fractures occurred in 2 patients on placebo, and in no patients on treatment. The mean monthly increase in bilirubin was not significantly different between groups, but individual data suggest HRT may worsen cholestasis. In conclusion, women with PBC have strong feelings about HRT, and recruitment for this intervention is difficult. Transdermal estrogen/progestin likely provides protection against bone loss in PBC patients, but may worsen cholestasis.", "author" : [ { "dropping-particle" : "", "family" : "Boone", "given" : "Robert H.", "non-dropping-particle" : "", "parse-names" : false, "suffix" : "" }, { "dropping-particle" : "", "family" : "Cheung", "given" : "Angela M.", "non-dropping-particle" : "", "parse-names" : false, "suffix" : "" }, { "dropping-particle" : "", "family" : "Girlan", "given" : "Larisa M.", "non-dropping-particle" : "", "parse-names" : false, "suffix" : "" }, { "dropping-particle" : "", "family" : "Heathcote", "given" : "E. Jenny", "non-dropping-particle" : "", "parse-names" : false, "suffix" : "" } ], "container-title" : "Digestive Diseases and Sciences", "id" : "ITEM-1", "issue" : "6", "issued" : { "date-parts" : [ [ "2006" ] ] }, "page" : "1103-1112", "title" : "Osteoporosis in primary biliary cirrhosis: A randomized trial of the efficacy and feasibility of estrogen/progestin", "type" : "article-journal", "volume" : "51" }, "uris" : [ "http://www.mendeley.com/documents/?uuid=22fc824f-73d0-4222-907b-50e754f71168" ] }, { "id" : "ITEM-2", "itemData" : { "DOI" : "10.1111/j.1365-2796.2004.01342.x", "ISSN" : "0954-6820 (Print)", "PMID" : "15189367", "abstract" : "OBJECTIVES: The prevalence of osteoporosis amongst patients with primary biliary  cirrhosis (PBC) is high and may be a serious clinical problem. Hormone replacement therapy (HRT) is effective in preventing bone loss but has not been evaluated in randomized trials in PBC. The primary aim was to study the effect of transdermal HRT in combination with daily vitamin D and calcium supplementation on bone loss compared with vitamin D and calcium supplementation only in postmenopausal women with PBC. The secondary aim was to study the safety of transdermal HRT. SUBJECTS/INTERVENTIONS: Eighteen females with PBC were randomized to receive 2 years therapy with either (i) transdermal oestradiol 50 microg 24 h(-1) two times per week + medroxyprogesterone 2.5 mg day(-1) + alfacalcidol 0.25 microg day(-1) and calcium 1 g day(-1) or (ii) alfacalcidol 0.25 microg day(-1) and calcium 1 g day(-1). Dual-energy X-ray absorptiometry for measurement of bone mineral density (BMD) and sampling of blood and serum for measurements of biochemical markers of liver function was performed before, during and at the end of treatment. RESULTS: BMD increased significantly at the lumbar spine (P &lt; 0.05) and the femoral neck (P &lt; 0.05) in the HRT group whereas no significant change was found in the control group. One oestrogen-treated patient was excluded after 1 year because of deteriorating, but reversible, aminotransferases. Dropout frequency because of nonliver-related causes was higher in the HRT group. Otherwise, no difference with respect to adverse liver reactions was found between the groups. CONCLUSION: Transdermal HRT increases BMD in PBC patients with few severe side effects related to the liver.", "author" : [ { "dropping-particle" : "", "family" : "Ormarsdottir", "given" : "S", "non-dropping-particle" : "", "parse-names" : false, "suffix" : "" }, { "dropping-particle" : "", "family" : "Mallmin", "given" : "H", "non-dropping-particle" : "", "parse-names" : false, "suffix" : "" }, { "dropping-particle" : "", "family" : "Naessen", "given" : "T", "non-dropping-particle" : "", "parse-names" : false, "suffix" : "" }, { "dropping-particle" : "", "family" : "Petren-Mallmin", "given" : "M", "non-dropping-particle" : "", "parse-names" : false, "suffix" : "" }, { "dropping-particle" : "", "family" : "Broome", "given" : "U", "non-dropping-particle" : "", "parse-names" : false, "suffix" : "" }, { "dropping-particle" : "", "family" : "Hultcrantz", "given" : "R", "non-dropping-particle" : "", "parse-names" : false, "suffix" : "" }, { "dropping-particle" : "", "family" : "Loof", "given" : "L", "non-dropping-particle" : "", "parse-names" : false, "suffix" : "" } ], "container-title" : "Journal of internal medicine", "id" : "ITEM-2", "issue" : "1", "issued" : { "date-parts" : [ [ "2004" ] ] }, "page" : "63-69", "title" : "An open, randomized, controlled study of transdermal hormone replacement therapy  on the rate of bone loss in primary biliary cirrhosis.", "type" : "article-journal", "volume" : "256" }, "uris" : [ "http://www.mendeley.com/documents/?uuid=6132d0f3-f9d3-49ab-aba3-3d1fa0595afc" ] } ], "mendeley" : { "formattedCitation" : "&lt;sup&gt;[9,51]&lt;/sup&gt;", "plainTextFormattedCitation" : "[9,51]", "previouslyFormattedCitation" : "&lt;sup&gt;[9,51]&lt;/sup&gt;" }, "properties" : { "noteIndex" : 0 }, "schema" : "https://github.com/citation-style-language/schema/raw/master/csl-citation.json" }</w:instrText>
      </w:r>
      <w:r w:rsidR="00492F9E" w:rsidRPr="002D44D6">
        <w:rPr>
          <w:rFonts w:ascii="Book Antiqua" w:hAnsi="Book Antiqua" w:cs="Arial"/>
          <w:color w:val="000000"/>
        </w:rPr>
        <w:fldChar w:fldCharType="separate"/>
      </w:r>
      <w:r w:rsidR="00492F9E" w:rsidRPr="002D44D6">
        <w:rPr>
          <w:rFonts w:ascii="Book Antiqua" w:hAnsi="Book Antiqua" w:cs="Arial"/>
          <w:noProof/>
          <w:color w:val="000000"/>
          <w:vertAlign w:val="superscript"/>
        </w:rPr>
        <w:t>[9,51]</w:t>
      </w:r>
      <w:r w:rsidR="00492F9E" w:rsidRPr="002D44D6">
        <w:rPr>
          <w:rFonts w:ascii="Book Antiqua" w:hAnsi="Book Antiqua" w:cs="Arial"/>
          <w:color w:val="000000"/>
        </w:rPr>
        <w:fldChar w:fldCharType="end"/>
      </w:r>
      <w:r w:rsidR="00492F9E" w:rsidRPr="002D44D6">
        <w:rPr>
          <w:rFonts w:ascii="Book Antiqua" w:hAnsi="Book Antiqua" w:cs="Arial"/>
          <w:color w:val="000000"/>
        </w:rPr>
        <w:t xml:space="preserve"> </w:t>
      </w:r>
      <w:r w:rsidRPr="002D44D6">
        <w:rPr>
          <w:rFonts w:ascii="Book Antiqua" w:hAnsi="Book Antiqua" w:cs="Arial"/>
          <w:color w:val="000000"/>
        </w:rPr>
        <w:t xml:space="preserve">In these </w:t>
      </w:r>
      <w:r w:rsidR="004444C9" w:rsidRPr="002D44D6">
        <w:rPr>
          <w:rFonts w:ascii="Book Antiqua" w:hAnsi="Book Antiqua" w:cs="Arial"/>
          <w:color w:val="000000"/>
        </w:rPr>
        <w:t>RCTs,</w:t>
      </w:r>
      <w:r w:rsidRPr="002D44D6">
        <w:rPr>
          <w:rFonts w:ascii="Book Antiqua" w:hAnsi="Book Antiqua" w:cs="Arial"/>
          <w:color w:val="000000"/>
        </w:rPr>
        <w:t xml:space="preserve"> those randomized to transdermal estrogen and progesterone had femoral and vertebral BMD compared to control</w:t>
      </w:r>
      <w:r w:rsidR="001A28CE" w:rsidRPr="002D44D6">
        <w:rPr>
          <w:rFonts w:ascii="Book Antiqua" w:hAnsi="Book Antiqua" w:cs="Arial"/>
          <w:color w:val="000000"/>
        </w:rPr>
        <w:t>s after 1</w:t>
      </w:r>
      <w:r w:rsidR="00F613A6">
        <w:rPr>
          <w:rFonts w:ascii="Book Antiqua" w:eastAsia="SimSun" w:hAnsi="Book Antiqua" w:cs="Arial" w:hint="eastAsia"/>
          <w:color w:val="000000"/>
          <w:lang w:eastAsia="zh-CN"/>
        </w:rPr>
        <w:t>-</w:t>
      </w:r>
      <w:r w:rsidR="001A28CE" w:rsidRPr="002D44D6">
        <w:rPr>
          <w:rFonts w:ascii="Book Antiqua" w:hAnsi="Book Antiqua" w:cs="Arial"/>
          <w:color w:val="000000"/>
        </w:rPr>
        <w:t>2 years of tre</w:t>
      </w:r>
      <w:r w:rsidR="00492F9E" w:rsidRPr="002D44D6">
        <w:rPr>
          <w:rFonts w:ascii="Book Antiqua" w:hAnsi="Book Antiqua" w:cs="Arial"/>
          <w:color w:val="000000"/>
        </w:rPr>
        <w:t>atment</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"10.1007/s10620-006-8015-x", "ISBN" : "0163-2116", "ISSN" : "01632116", "PMID" : "16865577", "abstract" : "The optimal therapy for the prevention and treatment of osteoporosis in primary biliary cirrhosis (PBC) is unknown. Hormone replacement therapy (HRT) prevents osteoporosis, but may promote cholestasis. We performed a double-blind, randomized, placebo-controlled trial of transdermal estrogen/progestin in postmenopausal women with PBC. The 24-month study enrolled 31 patients, but trial uptake was limited and treatment arm dropout was significant. Placebo-treated patients had a higher percentage loss in femoral neck bone mineral density than actively treated patients (-3.76 +/- 1.37% versus 0.21 +/- 1.01%, respectively, P = .058). New fractures occurred in 2 patients on placebo, and in no patients on treatment. The mean monthly increase in bilirubin was not significantly different between groups, but individual data suggest HRT may worsen cholestasis. In conclusion, women with PBC have strong feelings about HRT, and recruitment for this intervention is difficult. Transdermal estrogen/progestin likely provides protection against bone loss in PBC patients, but may worsen cholestasis.", "author" : [ { "dropping-particle" : "", "family" : "Boone", "given" : "Robert H.", "non-dropping-particle" : "", "parse-names" : false, "suffix" : "" }, { "dropping-particle" : "", "family" : "Cheung", "given" : "Angela M.", "non-dropping-particle" : "", "parse-names" : false, "suffix" : "" }, { "dropping-particle" : "", "family" : "Girlan", "given" : "Larisa M.", "non-dropping-particle" : "", "parse-names" : false, "suffix" : "" }, { "dropping-particle" : "", "family" : "Heathcote", "given" : "E. Jenny", "non-dropping-particle" : "", "parse-names" : false, "suffix" : "" } ], "container-title" : "Digestive Diseases and Sciences", "id" : "ITEM-1", "issue" : "6", "issued" : { "date-parts" : [ [ "2006" ] ] }, "page" : "1103-1112", "title" : "Osteoporosis in primary biliary cirrhosis: A randomized trial of the efficacy and feasibility of estrogen/progestin", "type" : "article-journal", "volume" : "51" }, "uris" : [ "http://www.mendeley.com/documents/?uuid=22fc824f-73d0-4222-907b-50e754f71168" ] }, { "id" : "ITEM-2", "itemData" : { "DOI" : "10.1111/j.1365-2796.2004.01342.x", "ISSN" : "0954-6820 (Print)", "PMID" : "15189367", "abstract" : "OBJECTIVES: The prevalence of osteoporosis amongst patients with primary biliary  cirrhosis (PBC) is high and may be a serious clinical problem. Hormone replacement therapy (HRT) is effective in preventing bone loss but has not been evaluated in randomized trials in PBC. The primary aim was to study the effect of transdermal HRT in combination with daily vitamin D and calcium supplementation on bone loss compared with vitamin D and calcium supplementation only in postmenopausal women with PBC. The secondary aim was to study the safety of transdermal HRT. SUBJECTS/INTERVENTIONS: Eighteen females with PBC were randomized to receive 2 years therapy with either (i) transdermal oestradiol 50 microg 24 h(-1) two times per week + medroxyprogesterone 2.5 mg day(-1) + alfacalcidol 0.25 microg day(-1) and calcium 1 g day(-1) or (ii) alfacalcidol 0.25 microg day(-1) and calcium 1 g day(-1). Dual-energy X-ray absorptiometry for measurement of bone mineral density (BMD) and sampling of blood and serum for measurements of biochemical markers of liver function was performed before, during and at the end of treatment. RESULTS: BMD increased significantly at the lumbar spine (P &lt; 0.05) and the femoral neck (P &lt; 0.05) in the HRT group whereas no significant change was found in the control group. One oestrogen-treated patient was excluded after 1 year because of deteriorating, but reversible, aminotransferases. Dropout frequency because of nonliver-related causes was higher in the HRT group. Otherwise, no difference with respect to adverse liver reactions was found between the groups. CONCLUSION: Transdermal HRT increases BMD in PBC patients with few severe side effects related to the liver.", "author" : [ { "dropping-particle" : "", "family" : "Ormarsdottir", "given" : "S", "non-dropping-particle" : "", "parse-names" : false, "suffix" : "" }, { "dropping-particle" : "", "family" : "Mallmin", "given" : "H", "non-dropping-particle" : "", "parse-names" : false, "suffix" : "" }, { "dropping-particle" : "", "family" : "Naessen", "given" : "T", "non-dropping-particle" : "", "parse-names" : false, "suffix" : "" }, { "dropping-particle" : "", "family" : "Petren-Mallmin", "given" : "M", "non-dropping-particle" : "", "parse-names" : false, "suffix" : "" }, { "dropping-particle" : "", "family" : "Broome", "given" : "U", "non-dropping-particle" : "", "parse-names" : false, "suffix" : "" }, { "dropping-particle" : "", "family" : "Hultcrantz", "given" : "R", "non-dropping-particle" : "", "parse-names" : false, "suffix" : "" }, { "dropping-particle" : "", "family" : "Loof", "given" : "L", "non-dropping-particle" : "", "parse-names" : false, "suffix" : "" } ], "container-title" : "Journal of internal medicine", "id" : "ITEM-2", "issue" : "1", "issued" : { "date-parts" : [ [ "2004" ] ] }, "page" : "63-69", "title" : "An open, randomized, controlled study of transdermal hormone replacement therapy  on the rate of bone loss in primary biliary cirrhosis.", "type" : "article-journal", "volume" : "256" }, "uris" : [ "http://www.mendeley.com/documents/?uuid=6132d0f3-f9d3-49ab-aba3-3d1fa0595afc" ] } ], "mendeley" : { "formattedCitation" : "&lt;sup&gt;[9,51]&lt;/sup&gt;", "plainTextFormattedCitation" : "[9,51]", "previouslyFormattedCitation" : "&lt;sup&gt;[9,51]&lt;/sup&gt;"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[9,51]</w:t>
      </w:r>
      <w:r w:rsidR="00F613A6" w:rsidRPr="002D44D6">
        <w:rPr>
          <w:rFonts w:ascii="Book Antiqua" w:hAnsi="Book Antiqua" w:cs="Arial"/>
          <w:color w:val="000000"/>
        </w:rPr>
        <w:fldChar w:fldCharType="end"/>
      </w:r>
      <w:r w:rsidR="001A28CE" w:rsidRPr="002D44D6">
        <w:rPr>
          <w:rFonts w:ascii="Book Antiqua" w:hAnsi="Book Antiqua" w:cs="Arial"/>
          <w:color w:val="000000"/>
        </w:rPr>
        <w:t>, though only one showed an improvement in BMD from baseline</w:t>
      </w:r>
      <w:r w:rsidR="00492F9E" w:rsidRPr="002D44D6">
        <w:rPr>
          <w:rFonts w:ascii="Book Antiqua" w:hAnsi="Book Antiqua" w:cs="Arial"/>
          <w:color w:val="000000"/>
        </w:rPr>
        <w:fldChar w:fldCharType="begin" w:fldLock="1"/>
      </w:r>
      <w:r w:rsidR="00492F9E" w:rsidRPr="002D44D6">
        <w:rPr>
          <w:rFonts w:ascii="Book Antiqua" w:hAnsi="Book Antiqua" w:cs="Arial"/>
          <w:color w:val="000000"/>
        </w:rPr>
        <w:instrText>ADDIN CSL_CITATION { "citationItems" : [ { "id" : "ITEM-1", "itemData" : { "DOI" : "10.1111/j.1365-2796.2004.01342.x", "ISSN" : "0954-6820 (Print)", "PMID" : "15189367", "abstract" : "OBJECTIVES: The prevalence of osteoporosis amongst patients with primary biliary  cirrhosis (PBC) is high and may be a serious clinical problem. Hormone replacement therapy (HRT) is effective in preventing bone loss but has not been evaluated in randomized trials in PBC. The primary aim was to study the effect of transdermal HRT in combination with daily vitamin D and calcium supplementation on bone loss compared with vitamin D and calcium supplementation only in postmenopausal women with PBC. The secondary aim was to study the safety of transdermal HRT. SUBJECTS/INTERVENTIONS: Eighteen females with PBC were randomized to receive 2 years therapy with either (i) transdermal oestradiol 50 microg 24 h(-1) two times per week + medroxyprogesterone 2.5 mg day(-1) + alfacalcidol 0.25 microg day(-1) and calcium 1 g day(-1) or (ii) alfacalcidol 0.25 microg day(-1) and calcium 1 g day(-1). Dual-energy X-ray absorptiometry for measurement of bone mineral density (BMD) and sampling of blood and serum for measurements of biochemical markers of liver function was performed before, during and at the end of treatment. RESULTS: BMD increased significantly at the lumbar spine (P &lt; 0.05) and the femoral neck (P &lt; 0.05) in the HRT group whereas no significant change was found in the control group. One oestrogen-treated patient was excluded after 1 year because of deteriorating, but reversible, aminotransferases. Dropout frequency because of nonliver-related causes was higher in the HRT group. Otherwise, no difference with respect to adverse liver reactions was found between the groups. CONCLUSION: Transdermal HRT increases BMD in PBC patients with few severe side effects related to the liver.", "author" : [ { "dropping-particle" : "", "family" : "Ormarsdottir", "given" : "S", "non-dropping-particle" : "", "parse-names" : false, "suffix" : "" }, { "dropping-particle" : "", "family" : "Mallmin", "given" : "H", "non-dropping-particle" : "", "parse-names" : false, "suffix" : "" }, { "dropping-particle" : "", "family" : "Naessen", "given" : "T", "non-dropping-particle" : "", "parse-names" : false, "suffix" : "" }, { "dropping-particle" : "", "family" : "Petren-Mallmin", "given" : "M", "non-dropping-particle" : "", "parse-names" : false, "suffix" : "" }, { "dropping-particle" : "", "family" : "Broome", "given" : "U", "non-dropping-particle" : "", "parse-names" : false, "suffix" : "" }, { "dropping-particle" : "", "family" : "Hultcrantz", "given" : "R", "non-dropping-particle" : "", "parse-names" : false, "suffix" : "" }, { "dropping-particle" : "", "family" : "Loof", "given" : "L", "non-dropping-particle" : "", "parse-names" : false, "suffix" : "" } ], "container-title" : "Journal of internal medicine", "id" : "ITEM-1", "issue" : "1", "issued" : { "date-parts" : [ [ "2004" ] ] }, "page" : "63-69", "title" : "An open, randomized, controlled study of transdermal hormone replacement therapy  on the rate of bone loss in primary biliary cirrhosis.", "type" : "article-journal", "volume" : "256" }, "uris" : [ "http://www.mendeley.com/documents/?uuid=6132d0f3-f9d3-49ab-aba3-3d1fa0595afc" ] } ], "mendeley" : { "formattedCitation" : "&lt;sup&gt;[51]&lt;/sup&gt;", "plainTextFormattedCitation" : "[51]", "previouslyFormattedCitation" : "&lt;sup&gt;[51]&lt;/sup&gt;" }, "properties" : { "noteIndex" : 0 }, "schema" : "https://github.com/citation-style-language/schema/raw/master/csl-citation.json" }</w:instrText>
      </w:r>
      <w:r w:rsidR="00492F9E" w:rsidRPr="002D44D6">
        <w:rPr>
          <w:rFonts w:ascii="Book Antiqua" w:hAnsi="Book Antiqua" w:cs="Arial"/>
          <w:color w:val="000000"/>
        </w:rPr>
        <w:fldChar w:fldCharType="separate"/>
      </w:r>
      <w:r w:rsidR="00492F9E" w:rsidRPr="002D44D6">
        <w:rPr>
          <w:rFonts w:ascii="Book Antiqua" w:hAnsi="Book Antiqua" w:cs="Arial"/>
          <w:noProof/>
          <w:color w:val="000000"/>
          <w:vertAlign w:val="superscript"/>
        </w:rPr>
        <w:t>[51]</w:t>
      </w:r>
      <w:r w:rsidR="00492F9E" w:rsidRPr="002D44D6">
        <w:rPr>
          <w:rFonts w:ascii="Book Antiqua" w:hAnsi="Book Antiqua" w:cs="Arial"/>
          <w:color w:val="000000"/>
        </w:rPr>
        <w:fldChar w:fldCharType="end"/>
      </w:r>
      <w:r w:rsidR="00492F9E" w:rsidRPr="002D44D6">
        <w:rPr>
          <w:rFonts w:ascii="Book Antiqua" w:hAnsi="Book Antiqua" w:cs="Arial"/>
          <w:color w:val="000000"/>
        </w:rPr>
        <w:t xml:space="preserve"> </w:t>
      </w:r>
      <w:r w:rsidR="001A28CE" w:rsidRPr="002D44D6">
        <w:rPr>
          <w:rFonts w:ascii="Book Antiqua" w:hAnsi="Book Antiqua" w:cs="Arial"/>
          <w:color w:val="000000"/>
        </w:rPr>
        <w:t>and neither showed a reduction in fra</w:t>
      </w:r>
      <w:r w:rsidR="00492F9E" w:rsidRPr="002D44D6">
        <w:rPr>
          <w:rFonts w:ascii="Book Antiqua" w:hAnsi="Book Antiqua" w:cs="Arial"/>
          <w:color w:val="000000"/>
        </w:rPr>
        <w:t>cture risk</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"10.1111/j.1365-2796.2004.01342.x", "ISSN" : "0954-6820 (Print)", "PMID" : "15189367", "abstract" : "OBJECTIVES: The prevalence of osteoporosis amongst patients with primary biliary  cirrhosis (PBC) is high and may be a serious clinical problem. Hormone replacement therapy (HRT) is effective in preventing bone loss but has not been evaluated in randomized trials in PBC. The primary aim was to study the effect of transdermal HRT in combination with daily vitamin D and calcium supplementation on bone loss compared with vitamin D and calcium supplementation only in postmenopausal women with PBC. The secondary aim was to study the safety of transdermal HRT. SUBJECTS/INTERVENTIONS: Eighteen females with PBC were randomized to receive 2 years therapy with either (i) transdermal oestradiol 50 microg 24 h(-1) two times per week + medroxyprogesterone 2.5 mg day(-1) + alfacalcidol 0.25 microg day(-1) and calcium 1 g day(-1) or (ii) alfacalcidol 0.25 microg day(-1) and calcium 1 g day(-1). Dual-energy X-ray absorptiometry for measurement of bone mineral density (BMD) and sampling of blood and serum for measurements of biochemical markers of liver function was performed before, during and at the end of treatment. RESULTS: BMD increased significantly at the lumbar spine (P &lt; 0.05) and the femoral neck (P &lt; 0.05) in the HRT group whereas no significant change was found in the control group. One oestrogen-treated patient was excluded after 1 year because of deteriorating, but reversible, aminotransferases. Dropout frequency because of nonliver-related causes was higher in the HRT group. Otherwise, no difference with respect to adverse liver reactions was found between the groups. CONCLUSION: Transdermal HRT increases BMD in PBC patients with few severe side effects related to the liver.", "author" : [ { "dropping-particle" : "", "family" : "Ormarsdottir", "given" : "S", "non-dropping-particle" : "", "parse-names" : false, "suffix" : "" }, { "dropping-particle" : "", "family" : "Mallmin", "given" : "H", "non-dropping-particle" : "", "parse-names" : false, "suffix" : "" }, { "dropping-particle" : "", "family" : "Naessen", "given" : "T", "non-dropping-particle" : "", "parse-names" : false, "suffix" : "" }, { "dropping-particle" : "", "family" : "Petren-Mallmin", "given" : "M", "non-dropping-particle" : "", "parse-names" : false, "suffix" : "" }, { "dropping-particle" : "", "family" : "Broome", "given" : "U", "non-dropping-particle" : "", "parse-names" : false, "suffix" : "" }, { "dropping-particle" : "", "family" : "Hultcrantz", "given" : "R", "non-dropping-particle" : "", "parse-names" : false, "suffix" : "" }, { "dropping-particle" : "", "family" : "Loof", "given" : "L", "non-dropping-particle" : "", "parse-names" : false, "suffix" : "" } ], "container-title" : "Journal of internal medicine", "id" : "ITEM-1", "issue" : "1", "issued" : { "date-parts" : [ [ "2004" ] ] }, "page" : "63-69", "title" : "An open, randomized, controlled study of transdermal hormone replacement therapy  on the rate of bone loss in primary biliary cirrhosis.", "type" : "article-journal", "volume" : "256" }, "uris" : [ "http://www.mendeley.com/documents/?uuid=6132d0f3-f9d3-49ab-aba3-3d1fa0595afc" ] }, { "id" : "ITEM-2", "itemData" : { "DOI" : "10.1007/s10620-006-8015-x", "ISBN" : "0163-2116", "ISSN" : "01632116", "PMID" : "16865577", "abstract" : "The optimal therapy for the prevention and treatment of osteoporosis in primary biliary cirrhosis (PBC) is unknown. Hormone replacement therapy (HRT) prevents osteoporosis, but may promote cholestasis. We performed a double-blind, randomized, placebo-controlled trial of transdermal estrogen/progestin in postmenopausal women with PBC. The 24-month study enrolled 31 patients, but trial uptake was limited and treatment arm dropout was significant. Placebo-treated patients had a higher percentage loss in femoral neck bone mineral density than actively treated patients (-3.76 +/- 1.37% versus 0.21 +/- 1.01%, respectively, P = .058). New fractures occurred in 2 patients on placebo, and in no patients on treatment. The mean monthly increase in bilirubin was not significantly different between groups, but individual data suggest HRT may worsen cholestasis. In conclusion, women with PBC have strong feelings about HRT, and recruitment for this intervention is difficult. Transdermal estrogen/progestin likely provides protection against bone loss in PBC patients, but may worsen cholestasis.", "author" : [ { "dropping-particle" : "", "family" : "Boone", "given" : "Robert H.", "non-dropping-particle" : "", "parse-names" : false, "suffix" : "" }, { "dropping-particle" : "", "family" : "Cheung", "given" : "Angela M.", "non-dropping-particle" : "", "parse-names" : false, "suffix" : "" }, { "dropping-particle" : "", "family" : "Girlan", "given" : "Larisa M.", "non-dropping-particle" : "", "parse-names" : false, "suffix" : "" }, { "dropping-particle" : "", "family" : "Heathcote", "given" : "E. Jenny", "non-dropping-particle" : "", "parse-names" : false, "suffix" : "" } ], "container-title" : "Digestive Diseases and Sciences", "id" : "ITEM-2", "issue" : "6", "issued" : { "date-parts" : [ [ "2006" ] ] }, "page" : "1103-1112", "title" : "Osteoporosis in primary biliary cirrhosis: A randomized trial of the efficacy and feasibility of estrogen/progestin", "type" : "article-journal", "volume" : "51" }, "uris" : [ "http://www.mendeley.com/documents/?uuid=22fc824f-73d0-4222-907b-50e754f71168" ] } ], "mendeley" : { "formattedCitation" : "&lt;sup&gt;[9,51]&lt;/sup&gt;", "plainTextFormattedCitation" : "[9,51]", "previouslyFormattedCitation" : "&lt;sup&gt;[9,51]&lt;/sup&gt;"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[9,51]</w:t>
      </w:r>
      <w:r w:rsidR="00F613A6" w:rsidRPr="002D44D6">
        <w:rPr>
          <w:rFonts w:ascii="Book Antiqua" w:hAnsi="Book Antiqua" w:cs="Arial"/>
          <w:color w:val="000000"/>
        </w:rPr>
        <w:fldChar w:fldCharType="end"/>
      </w:r>
      <w:r w:rsidR="001A28CE" w:rsidRPr="002D44D6">
        <w:rPr>
          <w:rFonts w:ascii="Book Antiqua" w:hAnsi="Book Antiqua" w:cs="Arial"/>
          <w:color w:val="000000"/>
        </w:rPr>
        <w:t>. In addition, both studies noted an increase in noncholestatic adverse events, such as vaginal bleeding and headaches, in the HRT arm leading to increas</w:t>
      </w:r>
      <w:r w:rsidR="00492F9E" w:rsidRPr="002D44D6">
        <w:rPr>
          <w:rFonts w:ascii="Book Antiqua" w:hAnsi="Book Antiqua" w:cs="Arial"/>
          <w:color w:val="000000"/>
        </w:rPr>
        <w:t>ed dropout</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"10.1007/s10620-006-8015-x", "ISBN" : "0163-2116", "ISSN" : "01632116", "PMID" : "16865577", "abstract" : "The optimal therapy for the prevention and treatment of osteoporosis in primary biliary cirrhosis (PBC) is unknown. Hormone replacement therapy (HRT) prevents osteoporosis, but may promote cholestasis. We performed a double-blind, randomized, placebo-controlled trial of transdermal estrogen/progestin in postmenopausal women with PBC. The 24-month study enrolled 31 patients, but trial uptake was limited and treatment arm dropout was significant. Placebo-treated patients had a higher percentage loss in femoral neck bone mineral density than actively treated patients (-3.76 +/- 1.37% versus 0.21 +/- 1.01%, respectively, P = .058). New fractures occurred in 2 patients on placebo, and in no patients on treatment. The mean monthly increase in bilirubin was not significantly different between groups, but individual data suggest HRT may worsen cholestasis. In conclusion, women with PBC have strong feelings about HRT, and recruitment for this intervention is difficult. Transdermal estrogen/progestin likely provides protection against bone loss in PBC patients, but may worsen cholestasis.", "author" : [ { "dropping-particle" : "", "family" : "Boone", "given" : "Robert H.", "non-dropping-particle" : "", "parse-names" : false, "suffix" : "" }, { "dropping-particle" : "", "family" : "Cheung", "given" : "Angela M.", "non-dropping-particle" : "", "parse-names" : false, "suffix" : "" }, { "dropping-particle" : "", "family" : "Girlan", "given" : "Larisa M.", "non-dropping-particle" : "", "parse-names" : false, "suffix" : "" }, { "dropping-particle" : "", "family" : "Heathcote", "given" : "E. Jenny", "non-dropping-particle" : "", "parse-names" : false, "suffix" : "" } ], "container-title" : "Digestive Diseases and Sciences", "id" : "ITEM-1", "issue" : "6", "issued" : { "date-parts" : [ [ "2006" ] ] }, "page" : "1103-1112", "title" : "Osteoporosis in primary biliary cirrhosis: A randomized trial of the efficacy and feasibility of estrogen/progestin", "type" : "article-journal", "volume" : "51" }, "uris" : [ "http://www.mendeley.com/documents/?uuid=22fc824f-73d0-4222-907b-50e754f71168" ] }, { "id" : "ITEM-2", "itemData" : { "DOI" : "10.1111/j.1365-2796.2004.01342.x", "ISSN" : "0954-6820 (Print)", "PMID" : "15189367", "abstract" : "OBJECTIVES: The prevalence of osteoporosis amongst patients with primary biliary  cirrhosis (PBC) is high and may be a serious clinical problem. Hormone replacement therapy (HRT) is effective in preventing bone loss but has not been evaluated in randomized trials in PBC. The primary aim was to study the effect of transdermal HRT in combination with daily vitamin D and calcium supplementation on bone loss compared with vitamin D and calcium supplementation only in postmenopausal women with PBC. The secondary aim was to study the safety of transdermal HRT. SUBJECTS/INTERVENTIONS: Eighteen females with PBC were randomized to receive 2 years therapy with either (i) transdermal oestradiol 50 microg 24 h(-1) two times per week + medroxyprogesterone 2.5 mg day(-1) + alfacalcidol 0.25 microg day(-1) and calcium 1 g day(-1) or (ii) alfacalcidol 0.25 microg day(-1) and calcium 1 g day(-1). Dual-energy X-ray absorptiometry for measurement of bone mineral density (BMD) and sampling of blood and serum for measurements of biochemical markers of liver function was performed before, during and at the end of treatment. RESULTS: BMD increased significantly at the lumbar spine (P &lt; 0.05) and the femoral neck (P &lt; 0.05) in the HRT group whereas no significant change was found in the control group. One oestrogen-treated patient was excluded after 1 year because of deteriorating, but reversible, aminotransferases. Dropout frequency because of nonliver-related causes was higher in the HRT group. Otherwise, no difference with respect to adverse liver reactions was found between the groups. CONCLUSION: Transdermal HRT increases BMD in PBC patients with few severe side effects related to the liver.", "author" : [ { "dropping-particle" : "", "family" : "Ormarsdottir", "given" : "S", "non-dropping-particle" : "", "parse-names" : false, "suffix" : "" }, { "dropping-particle" : "", "family" : "Mallmin", "given" : "H", "non-dropping-particle" : "", "parse-names" : false, "suffix" : "" }, { "dropping-particle" : "", "family" : "Naessen", "given" : "T", "non-dropping-particle" : "", "parse-names" : false, "suffix" : "" }, { "dropping-particle" : "", "family" : "Petren-Mallmin", "given" : "M", "non-dropping-particle" : "", "parse-names" : false, "suffix" : "" }, { "dropping-particle" : "", "family" : "Broome", "given" : "U", "non-dropping-particle" : "", "parse-names" : false, "suffix" : "" }, { "dropping-particle" : "", "family" : "Hultcrantz", "given" : "R", "non-dropping-particle" : "", "parse-names" : false, "suffix" : "" }, { "dropping-particle" : "", "family" : "Loof", "given" : "L", "non-dropping-particle" : "", "parse-names" : false, "suffix" : "" } ], "container-title" : "Journal of internal medicine", "id" : "ITEM-2", "issue" : "1", "issued" : { "date-parts" : [ [ "2004" ] ] }, "page" : "63-69", "title" : "An open, randomized, controlled study of transdermal hormone replacement therapy  on the rate of bone loss in primary biliary cirrhosis.", "type" : "article-journal", "volume" : "256" }, "uris" : [ "http://www.mendeley.com/documents/?uuid=6132d0f3-f9d3-49ab-aba3-3d1fa0595afc" ] } ], "mendeley" : { "formattedCitation" : "&lt;sup&gt;[9,51]&lt;/sup&gt;", "plainTextFormattedCitation" : "[9,51]", "previouslyFormattedCitation" : "&lt;sup&gt;[9,51]&lt;/sup&gt;"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[9,51]</w:t>
      </w:r>
      <w:r w:rsidR="00F613A6" w:rsidRPr="002D44D6">
        <w:rPr>
          <w:rFonts w:ascii="Book Antiqua" w:hAnsi="Book Antiqua" w:cs="Arial"/>
          <w:color w:val="000000"/>
        </w:rPr>
        <w:fldChar w:fldCharType="end"/>
      </w:r>
      <w:r w:rsidR="001A28CE" w:rsidRPr="002D44D6">
        <w:rPr>
          <w:rFonts w:ascii="Book Antiqua" w:hAnsi="Book Antiqua" w:cs="Arial"/>
          <w:color w:val="000000"/>
        </w:rPr>
        <w:t xml:space="preserve">. </w:t>
      </w:r>
      <w:r w:rsidR="00FA7751" w:rsidRPr="002D44D6">
        <w:rPr>
          <w:rFonts w:ascii="Book Antiqua" w:hAnsi="Book Antiqua" w:cs="Arial"/>
          <w:color w:val="000000"/>
        </w:rPr>
        <w:t xml:space="preserve">Hormone replacement </w:t>
      </w:r>
      <w:r w:rsidR="001A28CE" w:rsidRPr="002D44D6">
        <w:rPr>
          <w:rFonts w:ascii="Book Antiqua" w:hAnsi="Book Antiqua" w:cs="Arial"/>
          <w:color w:val="000000"/>
        </w:rPr>
        <w:t>is also</w:t>
      </w:r>
      <w:r w:rsidR="00FA7751" w:rsidRPr="002D44D6">
        <w:rPr>
          <w:rFonts w:ascii="Book Antiqua" w:hAnsi="Book Antiqua" w:cs="Arial"/>
          <w:color w:val="000000"/>
        </w:rPr>
        <w:t xml:space="preserve"> associated with increased risk of venous thromboembolism, stroke, ischemic heart disease, and breast cancer and is not recommended in women older than age 60 or greater </w:t>
      </w:r>
      <w:r w:rsidR="00EF4229" w:rsidRPr="002D44D6">
        <w:rPr>
          <w:rFonts w:ascii="Book Antiqua" w:hAnsi="Book Antiqua" w:cs="Arial"/>
          <w:color w:val="000000"/>
        </w:rPr>
        <w:t>than</w:t>
      </w:r>
      <w:r w:rsidR="00FA7751" w:rsidRPr="002D44D6">
        <w:rPr>
          <w:rFonts w:ascii="Book Antiqua" w:hAnsi="Book Antiqua" w:cs="Arial"/>
          <w:color w:val="000000"/>
        </w:rPr>
        <w:t xml:space="preserve"> 10 years after menopause</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"10.1016/j.maturitas.2013.02.001", "ISBN" : "1369-7137", "ISSN" : "03785122", "PMID" : "23497918", "author" : [ { "dropping-particle" : "", "family" : "Villiers", "given" : "T. J.", "non-dropping-particle" : "De", "parse-names" : false, "suffix" : "" }, { "dropping-particle" : "", "family" : "Gass", "given" : "M. L S", "non-dropping-particle" : "", "parse-names" : false, "suffix" : "" }, { "dropping-particle" : "", "family" : "Haines", "given" : "C. J.", "non-dropping-particle" : "", "parse-names" : false, "suffix" : "" }, { "dropping-particle" : "", "family" : "Hall", "given" : "J. E.", "non-dropping-particle" : "", "parse-names" : false, "suffix" : "" }, { "dropping-particle" : "", "family" : "Lobo", "given" : "R. A.", "non-dropping-particle" : "", "parse-names" : false, "suffix" : "" }, { "dropping-particle" : "", "family" : "Pierroz", "given" : "D. D.", "non-dropping-particle" : "", "parse-names" : false, "suffix" : "" }, { "dropping-particle" : "", "family" : "Rees", "given" : "M.", "non-dropping-particle" : "", "parse-names" : false, "suffix" : "" } ], "container-title" : "Climacteric", "id" : "ITEM-1", "issue" : "4", "issued" : { "date-parts" : [ [ "2013" ] ] }, "page" : "391-392", "title" : "Global Consensus Statement on menopausal hormone therapy", "type" : "article-journal", "volume" : "74" }, "uris" : [ "http://www.mendeley.com/documents/?uuid=51612035-8dd0-439a-baac-259906ca8a6b" ] } ], "mendeley" : { "formattedCitation" : "&lt;sup&gt;[52]&lt;/sup&gt;", "plainTextFormattedCitation" : "[52]", "previouslyFormattedCitation" : "&lt;sup&gt;[52]&lt;/sup&gt;"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[52]</w:t>
      </w:r>
      <w:r w:rsidR="00F613A6" w:rsidRPr="002D44D6">
        <w:rPr>
          <w:rFonts w:ascii="Book Antiqua" w:hAnsi="Book Antiqua" w:cs="Arial"/>
          <w:color w:val="000000"/>
        </w:rPr>
        <w:fldChar w:fldCharType="end"/>
      </w:r>
      <w:r w:rsidR="00492F9E" w:rsidRPr="002D44D6">
        <w:rPr>
          <w:rFonts w:ascii="Book Antiqua" w:hAnsi="Book Antiqua" w:cs="Arial"/>
          <w:color w:val="000000"/>
        </w:rPr>
        <w:t xml:space="preserve">. </w:t>
      </w:r>
      <w:r w:rsidR="007B7B1C" w:rsidRPr="002D44D6">
        <w:rPr>
          <w:rFonts w:ascii="Book Antiqua" w:hAnsi="Book Antiqua" w:cs="Arial"/>
          <w:color w:val="000000"/>
        </w:rPr>
        <w:t>H</w:t>
      </w:r>
      <w:r w:rsidRPr="002D44D6">
        <w:rPr>
          <w:rFonts w:ascii="Book Antiqua" w:hAnsi="Book Antiqua" w:cs="Arial"/>
          <w:color w:val="000000"/>
        </w:rPr>
        <w:t xml:space="preserve">ormone replacement </w:t>
      </w:r>
      <w:r w:rsidR="001A28CE" w:rsidRPr="002D44D6">
        <w:rPr>
          <w:rFonts w:ascii="Book Antiqua" w:hAnsi="Book Antiqua" w:cs="Arial"/>
          <w:color w:val="000000"/>
        </w:rPr>
        <w:t>may be</w:t>
      </w:r>
      <w:r w:rsidRPr="002D44D6">
        <w:rPr>
          <w:rFonts w:ascii="Book Antiqua" w:hAnsi="Book Antiqua" w:cs="Arial"/>
          <w:color w:val="000000"/>
        </w:rPr>
        <w:t xml:space="preserve"> effect</w:t>
      </w:r>
      <w:r w:rsidR="007B7B1C" w:rsidRPr="002D44D6">
        <w:rPr>
          <w:rFonts w:ascii="Book Antiqua" w:hAnsi="Book Antiqua" w:cs="Arial"/>
          <w:color w:val="000000"/>
        </w:rPr>
        <w:t>ive in improving BMD in PBC, though</w:t>
      </w:r>
      <w:r w:rsidR="001A28CE" w:rsidRPr="002D44D6">
        <w:rPr>
          <w:rFonts w:ascii="Book Antiqua" w:hAnsi="Book Antiqua" w:cs="Arial"/>
          <w:color w:val="000000"/>
        </w:rPr>
        <w:t xml:space="preserve"> no improvement in fracture risk has been shown and side effects limit their use</w:t>
      </w:r>
      <w:r w:rsidRPr="002D44D6">
        <w:rPr>
          <w:rFonts w:ascii="Book Antiqua" w:hAnsi="Book Antiqua" w:cs="Arial"/>
          <w:color w:val="000000"/>
        </w:rPr>
        <w:t>.</w:t>
      </w:r>
      <w:r w:rsidR="00F613A6">
        <w:rPr>
          <w:rFonts w:ascii="Book Antiqua" w:hAnsi="Book Antiqua" w:cs="Arial"/>
          <w:color w:val="000000"/>
        </w:rPr>
        <w:t xml:space="preserve"> </w:t>
      </w:r>
    </w:p>
    <w:p w14:paraId="5B644CFE" w14:textId="77777777" w:rsidR="00E13F25" w:rsidRPr="002D44D6" w:rsidRDefault="00E13F25" w:rsidP="002D44D6">
      <w:pPr>
        <w:widowControl w:val="0"/>
        <w:adjustRightInd w:val="0"/>
        <w:snapToGrid w:val="0"/>
        <w:spacing w:line="360" w:lineRule="auto"/>
        <w:jc w:val="both"/>
        <w:rPr>
          <w:rFonts w:ascii="Book Antiqua" w:eastAsia="Times New Roman" w:hAnsi="Book Antiqua" w:cs="Times New Roman"/>
        </w:rPr>
      </w:pPr>
    </w:p>
    <w:p w14:paraId="1484C815" w14:textId="6175FB46" w:rsidR="00783F86" w:rsidRPr="002D44D6" w:rsidRDefault="00E13F25" w:rsidP="002D44D6">
      <w:pPr>
        <w:widowControl w:val="0"/>
        <w:adjustRightInd w:val="0"/>
        <w:snapToGrid w:val="0"/>
        <w:spacing w:line="360" w:lineRule="auto"/>
        <w:jc w:val="both"/>
        <w:rPr>
          <w:rFonts w:ascii="Book Antiqua" w:hAnsi="Book Antiqua" w:cs="Arial"/>
          <w:b/>
          <w:bCs/>
          <w:i/>
          <w:color w:val="000000"/>
        </w:rPr>
      </w:pPr>
      <w:r w:rsidRPr="002D44D6">
        <w:rPr>
          <w:rFonts w:ascii="Book Antiqua" w:hAnsi="Book Antiqua" w:cs="Arial"/>
          <w:b/>
          <w:bCs/>
          <w:i/>
          <w:color w:val="000000"/>
        </w:rPr>
        <w:t>Calcitonin</w:t>
      </w:r>
    </w:p>
    <w:p w14:paraId="0EB1A67E" w14:textId="2CFE0C1F" w:rsidR="00E13F25" w:rsidRPr="00F613A6" w:rsidRDefault="00E13F25" w:rsidP="002D44D6">
      <w:pPr>
        <w:widowControl w:val="0"/>
        <w:adjustRightInd w:val="0"/>
        <w:snapToGrid w:val="0"/>
        <w:spacing w:line="360" w:lineRule="auto"/>
        <w:jc w:val="both"/>
        <w:rPr>
          <w:rFonts w:ascii="Book Antiqua" w:eastAsia="SimSun" w:hAnsi="Book Antiqua" w:cs="Arial"/>
          <w:color w:val="000000"/>
          <w:lang w:eastAsia="zh-CN"/>
        </w:rPr>
      </w:pPr>
      <w:r w:rsidRPr="002D44D6">
        <w:rPr>
          <w:rFonts w:ascii="Book Antiqua" w:hAnsi="Book Antiqua" w:cs="Arial"/>
          <w:color w:val="000000"/>
        </w:rPr>
        <w:t>Calcitonin has been shown to have some effect</w:t>
      </w:r>
      <w:r w:rsidR="007B7B1C" w:rsidRPr="002D44D6">
        <w:rPr>
          <w:rFonts w:ascii="Book Antiqua" w:hAnsi="Book Antiqua" w:cs="Arial"/>
          <w:color w:val="000000"/>
        </w:rPr>
        <w:t xml:space="preserve"> in postmenopausal osteopo</w:t>
      </w:r>
      <w:r w:rsidR="00354F9C" w:rsidRPr="002D44D6">
        <w:rPr>
          <w:rFonts w:ascii="Book Antiqua" w:hAnsi="Book Antiqua" w:cs="Arial"/>
          <w:color w:val="000000"/>
        </w:rPr>
        <w:t>rosis, however, data in PBC is lacking</w:t>
      </w:r>
      <w:r w:rsidR="007B7B1C" w:rsidRPr="002D44D6">
        <w:rPr>
          <w:rFonts w:ascii="Book Antiqua" w:hAnsi="Book Antiqua" w:cs="Arial"/>
          <w:color w:val="000000"/>
        </w:rPr>
        <w:t>.</w:t>
      </w:r>
      <w:r w:rsidRPr="002D44D6">
        <w:rPr>
          <w:rFonts w:ascii="Book Antiqua" w:hAnsi="Book Antiqua" w:cs="Arial"/>
          <w:color w:val="000000"/>
        </w:rPr>
        <w:t xml:space="preserve"> A</w:t>
      </w:r>
      <w:r w:rsidR="00354F9C" w:rsidRPr="002D44D6">
        <w:rPr>
          <w:rFonts w:ascii="Book Antiqua" w:hAnsi="Book Antiqua" w:cs="Arial"/>
          <w:color w:val="000000"/>
        </w:rPr>
        <w:t xml:space="preserve"> crossover</w:t>
      </w:r>
      <w:r w:rsidRPr="002D44D6">
        <w:rPr>
          <w:rFonts w:ascii="Book Antiqua" w:hAnsi="Book Antiqua" w:cs="Arial"/>
          <w:color w:val="000000"/>
        </w:rPr>
        <w:t xml:space="preserve"> study of IV calcitonin for 6 </w:t>
      </w:r>
      <w:proofErr w:type="spellStart"/>
      <w:r w:rsidRPr="002D44D6">
        <w:rPr>
          <w:rFonts w:ascii="Book Antiqua" w:hAnsi="Book Antiqua" w:cs="Arial"/>
          <w:color w:val="000000"/>
        </w:rPr>
        <w:t>mo</w:t>
      </w:r>
      <w:proofErr w:type="spellEnd"/>
      <w:r w:rsidR="00AC7817">
        <w:rPr>
          <w:rFonts w:ascii="Book Antiqua" w:eastAsia="SimSun" w:hAnsi="Book Antiqua" w:cs="Arial" w:hint="eastAsia"/>
          <w:color w:val="000000"/>
          <w:lang w:eastAsia="zh-CN"/>
        </w:rPr>
        <w:t xml:space="preserve"> </w:t>
      </w:r>
      <w:r w:rsidRPr="002D44D6">
        <w:rPr>
          <w:rFonts w:ascii="Book Antiqua" w:hAnsi="Book Antiqua" w:cs="Arial"/>
          <w:color w:val="000000"/>
        </w:rPr>
        <w:t>compared to oral calcium supplementation did not find a significant difference between the two and BMD ultimately fell in both groups</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"ISSN" : "0270-9139", "PMID" : "8076921", "abstract" : "No satisfactory treatment is available for metabolic bone disease associated with primary biliary cirrhosis. On the basis of the similarities to postmenopausal osteoporosis, the rationale exists for calcitonin to be tested in clinical studies in patients with primary biliary cirrhosis-associated osteoporosis. We evaluated the effect of calcitonin on bone metabolism and mineral density in 25 women with primary biliary cirrhosis and severe osteopenia. After 6 mo of observation, patients received a synthetic calcitonin or a control treatment consisting of less than one hundredth of the recommended dose of porcine calcitonin. The two treatments were administered in sequence to each patient for two 6-mo periods, with a 3-mo washout between them, according to a crossover design. After the observation period, oral calcium supplementation was started. Bone mineral density was measured by dual-photon absorptiometry of the lumbar spine at study entry and at the beginning and the end of each treatment period. During the observation period bone mineral density fell by 3.5% whereas during the following 6 mo it increased in both the patients who received calcitonin (4.3%) and those who received the control treatment (4.9%). Conversely, after the crossover, bone mineral density decreased during both calcitonin (-2.7%) and control treatment (-2.9%). A significant difference was observed between the two periods but not between the two treatments or between the two sequences of treatment administration. In conclusion, our findings indicate that parenterally administered calcitonin for 6 mo is ineffective in halting bone loss in patients with primary biliary cirrhosis-associated metabolic bone disease, whereas calcium supplementation may have a transient beneficial effect.", "author" : [ { "dropping-particle" : "", "family" : "Camisasca", "given" : "M", "non-dropping-particle" : "", "parse-names" : false, "suffix" : "" }, { "dropping-particle" : "", "family" : "Crosignani", "given" : "a", "non-dropping-particle" : "", "parse-names" : false, "suffix" : "" }, { "dropping-particle" : "", "family" : "Battezzati", "given" : "P M", "non-dropping-particle" : "", "parse-names" : false, "suffix" : "" }, { "dropping-particle" : "", "family" : "Albisetti", "given" : "W", "non-dropping-particle" : "", "parse-names" : false, "suffix" : "" }, { "dropping-particle" : "", "family" : "Grandinetti", "given" : "G", "non-dropping-particle" : "", "parse-names" : false, "suffix" : "" }, { "dropping-particle" : "", "family" : "Pietrogrande", "given" : "L", "non-dropping-particle" : "", "parse-names" : false, "suffix" : "" }, { "dropping-particle" : "", "family" : "Biffi", "given" : "a", "non-dropping-particle" : "", "parse-names" : false, "suffix" : "" }, { "dropping-particle" : "", "family" : "Zuin", "given" : "M", "non-dropping-particle" : "", "parse-names" : false, "suffix" : "" }, { "dropping-particle" : "", "family" : "Podda", "given" : "M", "non-dropping-particle" : "", "parse-names" : false, "suffix" : "" } ], "container-title" : "Hepatology (Baltimore, Md.)", "id" : "ITEM-1", "issue" : "3", "issued" : { "date-parts" : [ [ "1994" ] ] }, "page" : "633-7", "title" : "Parenteral calcitonin for metabolic bone disease associated with primary biliary cirrhosis.", "type" : "article-journal", "volume" : "20" }, "uris" : [ "http://www.mendeley.com/documents/?uuid=c461884c-7143-4349-8225-fb32a75fd3a4" ] } ], "mendeley" : { "formattedCitation" : "&lt;sup&gt;[53]&lt;/sup&gt;", "plainTextFormattedCitation" : "[53]", "previouslyFormattedCitation" : "&lt;sup&gt;[53]&lt;/sup&gt;"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[53]</w:t>
      </w:r>
      <w:r w:rsidR="00F613A6" w:rsidRPr="002D44D6">
        <w:rPr>
          <w:rFonts w:ascii="Book Antiqua" w:hAnsi="Book Antiqua" w:cs="Arial"/>
          <w:color w:val="000000"/>
        </w:rPr>
        <w:fldChar w:fldCharType="end"/>
      </w:r>
      <w:r w:rsidR="00492F9E" w:rsidRPr="002D44D6">
        <w:rPr>
          <w:rFonts w:ascii="Book Antiqua" w:hAnsi="Book Antiqua" w:cs="Arial"/>
          <w:color w:val="000000"/>
        </w:rPr>
        <w:t xml:space="preserve">. </w:t>
      </w:r>
      <w:r w:rsidR="00354F9C" w:rsidRPr="002D44D6">
        <w:rPr>
          <w:rFonts w:ascii="Book Antiqua" w:hAnsi="Book Antiqua" w:cs="Arial"/>
          <w:color w:val="000000"/>
        </w:rPr>
        <w:t xml:space="preserve">A </w:t>
      </w:r>
      <w:r w:rsidRPr="002D44D6">
        <w:rPr>
          <w:rFonts w:ascii="Book Antiqua" w:hAnsi="Book Antiqua" w:cs="Arial"/>
          <w:color w:val="000000"/>
        </w:rPr>
        <w:t xml:space="preserve">3-year study of vitamin D, calcium, and IM calcitonin found </w:t>
      </w:r>
      <w:r w:rsidR="00354F9C" w:rsidRPr="002D44D6">
        <w:rPr>
          <w:rFonts w:ascii="Book Antiqua" w:hAnsi="Book Antiqua" w:cs="Arial"/>
          <w:color w:val="000000"/>
        </w:rPr>
        <w:t>significantly less</w:t>
      </w:r>
      <w:r w:rsidRPr="002D44D6">
        <w:rPr>
          <w:rFonts w:ascii="Book Antiqua" w:hAnsi="Book Antiqua" w:cs="Arial"/>
          <w:color w:val="000000"/>
        </w:rPr>
        <w:t xml:space="preserve"> BMD </w:t>
      </w:r>
      <w:r w:rsidR="00354F9C" w:rsidRPr="002D44D6">
        <w:rPr>
          <w:rFonts w:ascii="Book Antiqua" w:hAnsi="Book Antiqua" w:cs="Arial"/>
          <w:color w:val="000000"/>
        </w:rPr>
        <w:t xml:space="preserve">loss in treatment patients </w:t>
      </w:r>
      <w:r w:rsidRPr="002D44D6">
        <w:rPr>
          <w:rFonts w:ascii="Book Antiqua" w:hAnsi="Book Antiqua" w:cs="Arial"/>
          <w:color w:val="000000"/>
        </w:rPr>
        <w:t>compared to controls who received no treatment</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"10.1016/0168-8278(91)90941-4", "ISBN" : "0168-8278 (Print)\\r0168-8278 (Linking)", "ISSN" : "01688278", "PMID" : "2051000", "abstract" : "The aims of this study were to evaluate bone metabolism in primary biliary cirrhosis (PBC) and the effect of ADFR (activate, depress, free, repeat) therapy with vitamin D, calcium and calcitonin in preventing bone resorption. Sixty-nine female subjects entered the study: 38 PBC (AMA+ve) patients, 11 AMA-negative chronic liver disease patients and 20 age-matched healthy controls. Bone metabolism was evaluated by biochemical parameters and dual-photon absorptiometry of the lumbar spine at time 0, 6 and 18 months. Both PBC and chronic liver disease (CLD) patients showed low levels of serum 25-hydroxyvitamin D, osteocalcin and bone mineral content expressed as AAD (average area density) compared to healthy controls. Serum parathyroid hormone in PBC patients was at the lower limit of the normal range and was significantly lower than patients with chronic liver disease. At a 6-month interval, AAD significantly decreased in PBC patients (p &lt; 0.005). At the 6-month period PBC patients were allocated into two groups according to a cut-off AAD of 0.800 g/cm2: group A (no treatment, AAD &gt; 0.800, n = 11), group B (treatment, AAD &lt; 0.800, n = 13). The latter group received a 4-week course with oral calcium carbonate (1500 mg daily) + oral 1, 25-dihydroxyvitamin D (0.5 ??g twice a day for 5 days) + carbocalcitonin (40 U MRC) i.m. thrice a week. The treatment was repeated with the same protocol at 2-month intervals for 12 months. At the end of the study, we found a significant decrease in AAD in untreated as compared to treated patients (?? = -4.93 ?? 8 in group A vs. -0.91 ?? 7 in group B, p &lt; 0.05). In conclusion, these results suggest an early process of bone loss in PBC. Calcium, vitamin D and calcitonin supplements are effective in controlling bone resorption in PBC patients with severe osteodystrophy. ?? 1991.", "author" : [ { "dropping-particle" : "", "family" : "Floreani", "given" : "A.", "non-dropping-particle" : "", "parse-names" : false, "suffix" : "" }, { "dropping-particle" : "", "family" : "Chiaramonte", "given" : "M.", "non-dropping-particle" : "", "parse-names" : false, "suffix" : "" }, { "dropping-particle" : "", "family" : "Giannini", "given" : "S.", "non-dropping-particle" : "", "parse-names" : false, "suffix" : "" }, { "dropping-particle" : "", "family" : "Malvasi", "given" : "L.", "non-dropping-particle" : "", "parse-names" : false, "suffix" : "" }, { "dropping-particle" : "", "family" : "Lodetti", "given" : "M. G.", "non-dropping-particle" : "", "parse-names" : false, "suffix" : "" }, { "dropping-particle" : "", "family" : "Castrignano", "given" : "R.", "non-dropping-particle" : "", "parse-names" : false, "suffix" : "" }, { "dropping-particle" : "", "family" : "Giacomini", "given" : "A.", "non-dropping-particle" : "", "parse-names" : false, "suffix" : "" }, { "dropping-particle" : "", "family" : "D'angelo", "given" : "A.", "non-dropping-particle" : "", "parse-names" : false, "suffix" : "" }, { "dropping-particle" : "", "family" : "Naccarato", "given" : "R.", "non-dropping-particle" : "", "parse-names" : false, "suffix" : "" } ], "container-title" : "Journal of Hepatology", "id" : "ITEM-1", "issue" : "2", "issued" : { "date-parts" : [ [ "1991" ] ] }, "page" : "217-223", "title" : "Longitudinal study on osteodystrophy in primary biliary cirrhosis (PBC) and a pilot study on calcitonin treatment", "type" : "article-journal", "volume" : "12" }, "uris" : [ "http://www.mendeley.com/documents/?uuid=8a6d0224-f025-403a-83f9-936a50242609" ] }, { "id" : "ITEM-2", "itemData" : { "DOI" : "10.1097/00004836-199706000-00012", "ISSN" : "0192-0790 (Print)", "PMID" : "9252849", "abstract" : "We carried out a 3-year pilot study of 59 consecutive women with osteoporosis of  primary biliary cirrhosis (PBC), allocating them to two groups according to the severity of bone demineralization assessed by means of dual-photon absorptiometry (DPA) of the lumbar spine, Group A (36 patients; bone mineral density [BMD] &gt; 0.800 g/cm2) received no treatment; group B (23 patients; BMD &lt; 0.800 g/cm2) was treated as follows: oral 1,25-dihydroxyvitamin D (0.5 microgram twice a day for 5 days) followed by a 1-month course with oral calcium carbonate (1,500 mg/day) +carbocalcitonin (40 UMRC intramuscularly three times weekly). This treatment was repeated every 3 months. The following parameters were assessed at baseline and every 12 months: DPA, serum and urinary minerals, serum parathyroid hormone (PTH), osteocalcin (BGP), 25-hydroxyvitamin D, and 1,25-dihydroxyvitamin D. During follow-up, 11 initially untreated patients whose BMD dropped below 0.800 g/cm2 were switched to the treatment group (8 after 12 months and 3 after 24 months). No significant changes were observed in either group for PTH, BGP, or vitamin D metabolites. Comparing patients who were always treated, those who were never treated, and those who switched to the treatment group (ever treated) in this 36-month period, the percentage of annual bone loss in the never-treated patients was significantly less (p &lt; 0.002) than in the ever-treated patients, suggesting the presence of two subgroups in PBC patients; one with rapid bone loss and the other with slow bone loss. Moreover, in the ever-treated patients, ADFR (activate, depress, free, repeat) therapy resulted in an improvement in BMD (p &lt; 0.05 compared with the value before therapy). We conclude that ADFR therapy is effective in the treatment of patients with PBC with severe osteodystrophy, despite no change in osteoblastic activity, although controlled, randomized studies are in order to confirm our data.", "author" : [ { "dropping-particle" : "", "family" : "Floreani", "given" : "A", "non-dropping-particle" : "", "parse-names" : false, "suffix" : "" }, { "dropping-particle" : "", "family" : "Zappala", "given" : "F", "non-dropping-particle" : "", "parse-names" : false, "suffix" : "" }, { "dropping-particle" : "", "family" : "Fries", "given" : "W", "non-dropping-particle" : "", "parse-names" : false, "suffix" : "" }, { "dropping-particle" : "", "family" : "Naccarato", "given" : "R", "non-dropping-particle" : "", "parse-names" : false, "suffix" : "" }, { "dropping-particle" : "", "family" : "Plebani", "given" : "M", "non-dropping-particle" : "", "parse-names" : false, "suffix" : "" }, { "dropping-particle" : "", "family" : "D'Angelo", "given" : "A", "non-dropping-particle" : "", "parse-names" : false, "suffix" : "" }, { "dropping-particle" : "", "family" : "Chiaramonte", "given" : "M", "non-dropping-particle" : "", "parse-names" : false, "suffix" : "" } ], "container-title" : "Journal of clinical gastroenterology", "id" : "ITEM-2", "issue" : "4", "issued" : { "date-parts" : [ [ "1997" ] ] }, "page" : "239-244", "title" : "A 3-year pilot study with 1,25-dihydroxyvitamin D, calcium, and calcitonin for severe osteodystrophy in primary biliary cirrhosis.", "type" : "article-journal", "volume" : "24" }, "uris" : [ "http://www.mendeley.com/documents/?uuid=05fd2e7e-01f2-40f8-af22-3f0f26930827" ] } ], "mendeley" : { "formattedCitation" : "&lt;sup&gt;[54,55]&lt;/sup&gt;", "plainTextFormattedCitation" : "[54,55]", "previouslyFormattedCitation" : "&lt;sup&gt;[54,55]&lt;/sup&gt;"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[54,55]</w:t>
      </w:r>
      <w:r w:rsidR="00F613A6" w:rsidRPr="002D44D6">
        <w:rPr>
          <w:rFonts w:ascii="Book Antiqua" w:hAnsi="Book Antiqua" w:cs="Arial"/>
          <w:color w:val="000000"/>
        </w:rPr>
        <w:fldChar w:fldCharType="end"/>
      </w:r>
      <w:r w:rsidR="00492F9E" w:rsidRPr="002D44D6">
        <w:rPr>
          <w:rFonts w:ascii="Book Antiqua" w:hAnsi="Book Antiqua" w:cs="Arial"/>
          <w:color w:val="000000"/>
        </w:rPr>
        <w:t>.</w:t>
      </w:r>
      <w:r w:rsidR="00F613A6">
        <w:rPr>
          <w:rFonts w:ascii="Book Antiqua" w:eastAsia="SimSun" w:hAnsi="Book Antiqua" w:cs="Arial" w:hint="eastAsia"/>
          <w:color w:val="000000"/>
          <w:lang w:eastAsia="zh-CN"/>
        </w:rPr>
        <w:t xml:space="preserve"> </w:t>
      </w:r>
      <w:r w:rsidRPr="002D44D6">
        <w:rPr>
          <w:rFonts w:ascii="Book Antiqua" w:hAnsi="Book Antiqua" w:cs="Arial"/>
          <w:color w:val="000000"/>
        </w:rPr>
        <w:t>However, there was no significant improvement in the calcitonin group and, since the control group received no therapy, the stabilization of BMD may have been from calcium and vitamin D supplementation</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"10.1097/00004836-199706000-00012", "ISSN" : "0192-0790 (Print)", "PMID" : "9252849", "abstract" : "We carried out a 3-year pilot study of 59 consecutive women with osteoporosis of  primary biliary cirrhosis (PBC), allocating them to two groups according to the severity of bone demineralization assessed by means of dual-photon absorptiometry (DPA) of the lumbar spine, Group A (36 patients; bone mineral density [BMD] &gt; 0.800 g/cm2) received no treatment; group B (23 patients; BMD &lt; 0.800 g/cm2) was treated as follows: oral 1,25-dihydroxyvitamin D (0.5 microgram twice a day for 5 days) followed by a 1-month course with oral calcium carbonate (1,500 mg/day) +carbocalcitonin (40 UMRC intramuscularly three times weekly). This treatment was repeated every 3 months. The following parameters were assessed at baseline and every 12 months: DPA, serum and urinary minerals, serum parathyroid hormone (PTH), osteocalcin (BGP), 25-hydroxyvitamin D, and 1,25-dihydroxyvitamin D. During follow-up, 11 initially untreated patients whose BMD dropped below 0.800 g/cm2 were switched to the treatment group (8 after 12 months and 3 after 24 months). No significant changes were observed in either group for PTH, BGP, or vitamin D metabolites. Comparing patients who were always treated, those who were never treated, and those who switched to the treatment group (ever treated) in this 36-month period, the percentage of annual bone loss in the never-treated patients was significantly less (p &lt; 0.002) than in the ever-treated patients, suggesting the presence of two subgroups in PBC patients; one with rapid bone loss and the other with slow bone loss. Moreover, in the ever-treated patients, ADFR (activate, depress, free, repeat) therapy resulted in an improvement in BMD (p &lt; 0.05 compared with the value before therapy). We conclude that ADFR therapy is effective in the treatment of patients with PBC with severe osteodystrophy, despite no change in osteoblastic activity, although controlled, randomized studies are in order to confirm our data.", "author" : [ { "dropping-particle" : "", "family" : "Floreani", "given" : "A", "non-dropping-particle" : "", "parse-names" : false, "suffix" : "" }, { "dropping-particle" : "", "family" : "Zappala", "given" : "F", "non-dropping-particle" : "", "parse-names" : false, "suffix" : "" }, { "dropping-particle" : "", "family" : "Fries", "given" : "W", "non-dropping-particle" : "", "parse-names" : false, "suffix" : "" }, { "dropping-particle" : "", "family" : "Naccarato", "given" : "R", "non-dropping-particle" : "", "parse-names" : false, "suffix" : "" }, { "dropping-particle" : "", "family" : "Plebani", "given" : "M", "non-dropping-particle" : "", "parse-names" : false, "suffix" : "" }, { "dropping-particle" : "", "family" : "D'Angelo", "given" : "A", "non-dropping-particle" : "", "parse-names" : false, "suffix" : "" }, { "dropping-particle" : "", "family" : "Chiaramonte", "given" : "M", "non-dropping-particle" : "", "parse-names" : false, "suffix" : "" } ], "container-title" : "Journal of clinical gastroenterology", "id" : "ITEM-1", "issue" : "4", "issued" : { "date-parts" : [ [ "1997" ] ] }, "page" : "239-244", "title" : "A 3-year pilot study with 1,25-dihydroxyvitamin D, calcium, and calcitonin for severe osteodystrophy in primary biliary cirrhosis.", "type" : "article-journal", "volume" : "24" }, "uris" : [ "http://www.mendeley.com/documents/?uuid=05fd2e7e-01f2-40f8-af22-3f0f26930827" ] } ], "mendeley" : { "formattedCitation" : "&lt;sup&gt;[55]&lt;/sup&gt;", "plainTextFormattedCitation" : "[55]", "previouslyFormattedCitation" : "&lt;sup&gt;[55]&lt;/sup&gt;"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[55]</w:t>
      </w:r>
      <w:r w:rsidR="00F613A6" w:rsidRPr="002D44D6">
        <w:rPr>
          <w:rFonts w:ascii="Book Antiqua" w:hAnsi="Book Antiqua" w:cs="Arial"/>
          <w:color w:val="000000"/>
        </w:rPr>
        <w:fldChar w:fldCharType="end"/>
      </w:r>
      <w:r w:rsidRPr="002D44D6">
        <w:rPr>
          <w:rFonts w:ascii="Book Antiqua" w:hAnsi="Book Antiqua" w:cs="Arial"/>
          <w:color w:val="000000"/>
        </w:rPr>
        <w:t>.</w:t>
      </w:r>
      <w:r w:rsidR="00F613A6" w:rsidRPr="00F613A6">
        <w:rPr>
          <w:rFonts w:ascii="Book Antiqua" w:eastAsia="SimSun" w:hAnsi="Book Antiqua" w:cs="Arial"/>
          <w:color w:val="000000"/>
          <w:lang w:eastAsia="zh-CN"/>
        </w:rPr>
        <w:t xml:space="preserve"> </w:t>
      </w:r>
    </w:p>
    <w:p w14:paraId="504CEDAA" w14:textId="77777777" w:rsidR="00E13F25" w:rsidRPr="002D44D6" w:rsidRDefault="00E13F25" w:rsidP="002D44D6">
      <w:pPr>
        <w:widowControl w:val="0"/>
        <w:adjustRightInd w:val="0"/>
        <w:snapToGrid w:val="0"/>
        <w:spacing w:line="360" w:lineRule="auto"/>
        <w:jc w:val="both"/>
        <w:rPr>
          <w:rFonts w:ascii="Book Antiqua" w:eastAsia="Times New Roman" w:hAnsi="Book Antiqua" w:cs="Times New Roman"/>
        </w:rPr>
      </w:pPr>
    </w:p>
    <w:p w14:paraId="44FC8633" w14:textId="299CF072" w:rsidR="00783F86" w:rsidRPr="002D44D6" w:rsidRDefault="00E13F25" w:rsidP="002D44D6">
      <w:pPr>
        <w:widowControl w:val="0"/>
        <w:adjustRightInd w:val="0"/>
        <w:snapToGrid w:val="0"/>
        <w:spacing w:line="360" w:lineRule="auto"/>
        <w:jc w:val="both"/>
        <w:rPr>
          <w:rFonts w:ascii="Book Antiqua" w:hAnsi="Book Antiqua" w:cs="Arial"/>
          <w:b/>
          <w:bCs/>
          <w:i/>
          <w:color w:val="000000"/>
        </w:rPr>
      </w:pPr>
      <w:r w:rsidRPr="002D44D6">
        <w:rPr>
          <w:rFonts w:ascii="Book Antiqua" w:hAnsi="Book Antiqua" w:cs="Arial"/>
          <w:b/>
          <w:bCs/>
          <w:i/>
          <w:color w:val="000000"/>
        </w:rPr>
        <w:t>Selective estrogen receptor modulators (SERMs)</w:t>
      </w:r>
    </w:p>
    <w:p w14:paraId="52F4B8ED" w14:textId="71DA8863" w:rsidR="00E13F25" w:rsidRPr="002D44D6" w:rsidRDefault="00E13F25" w:rsidP="002D44D6">
      <w:pPr>
        <w:widowControl w:val="0"/>
        <w:adjustRightInd w:val="0"/>
        <w:snapToGrid w:val="0"/>
        <w:spacing w:line="360" w:lineRule="auto"/>
        <w:jc w:val="both"/>
        <w:rPr>
          <w:rFonts w:ascii="Book Antiqua" w:hAnsi="Book Antiqua" w:cs="Times New Roman"/>
        </w:rPr>
      </w:pPr>
      <w:r w:rsidRPr="002D44D6">
        <w:rPr>
          <w:rFonts w:ascii="Book Antiqua" w:hAnsi="Book Antiqua" w:cs="Arial"/>
          <w:color w:val="000000"/>
        </w:rPr>
        <w:t>Raloxifene is a SERM that maintains the antiresorptive effects of estrogen in bone with anti-estrogen effects in the ute</w:t>
      </w:r>
      <w:r w:rsidR="009C114E" w:rsidRPr="002D44D6">
        <w:rPr>
          <w:rFonts w:ascii="Book Antiqua" w:hAnsi="Book Antiqua" w:cs="Arial"/>
          <w:color w:val="000000"/>
        </w:rPr>
        <w:t>rus and breast.</w:t>
      </w:r>
      <w:r w:rsidR="00F613A6">
        <w:rPr>
          <w:rFonts w:ascii="Book Antiqua" w:eastAsia="SimSun" w:hAnsi="Book Antiqua" w:cs="Arial" w:hint="eastAsia"/>
          <w:color w:val="000000"/>
          <w:lang w:eastAsia="zh-CN"/>
        </w:rPr>
        <w:t xml:space="preserve"> </w:t>
      </w:r>
      <w:r w:rsidRPr="002D44D6">
        <w:rPr>
          <w:rFonts w:ascii="Book Antiqua" w:hAnsi="Book Antiqua" w:cs="Arial"/>
          <w:color w:val="000000"/>
        </w:rPr>
        <w:t xml:space="preserve">A single pilot study has </w:t>
      </w:r>
      <w:r w:rsidRPr="002D44D6">
        <w:rPr>
          <w:rFonts w:ascii="Book Antiqua" w:hAnsi="Book Antiqua" w:cs="Arial"/>
          <w:color w:val="000000"/>
        </w:rPr>
        <w:lastRenderedPageBreak/>
        <w:t>examined the efficacy of raloxifene in PBC. In this study, 9 women with PBC treated with raloxifene were compared to 3 age-matched controls</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"10.1111/j.1478-3231.2005.01026.x", "ISSN" : "1478-3223", "PMID" : "15698408", "abstract" : "Background/Aims: Bone disease is common in patients with primary biliary cirrhosis (PBC). Our aim was to evaluate safety and efficacy of raloxifene in this population. Methods: Nine postmenopausal women with PBC were enrolled and seven completed the study. Subjects received raloxifene 60 mg daily for 1 year. Each patient on raloxifene was age-matched to three controls. Liver biochemistries were monitored periodically; bone mineral density (BMD) of the lumbar spine (LS) and femoral neck (FN) was measured at baseline and at 1 year. Results: No significant adverse effects were reported. Liver biochemistries remained unchanged. Baseline LS-BMD was similar in the treatment group and controls [median 0.720 g/cm2 (range 0.620-0.867) vs. 0.740 g/cm2 (0.570-1.040), P = 0.5]. Conclusion: Compared with baseline, LS-BMD improved significantly with 1 year of therapy [0.72 g/cm2 (0.62-0.87) vs. 0.74 g/cm2 (0.63-0.97), P = 0.02]. FN-BMD remained stable [0.53 g/cm2 (0.50-0.60) vs. 0.54 g/cm2 (0.49-0.63), P = 0.6]. Improvement in LS BMD was seen in patients on raloxifene but not in matched controls [0.02 g/cm2 (0.01-0.10) vs. 0.00 g/cm2 ( -0.120-0.040), P = 0.06)]. In conclusion, raloxifene appears safe and of benefit in preventing bone loss in patients with PBC. Larger studies with longer follow-up are warranted. \u00a9 Blackwell Munksgaard 2005.", "author" : [ { "dropping-particle" : "", "family" : "Levy", "given" : "C", "non-dropping-particle" : "", "parse-names" : false, "suffix" : "" }, { "dropping-particle" : "", "family" : "Harnois", "given" : "D M", "non-dropping-particle" : "", "parse-names" : false, "suffix" : "" }, { "dropping-particle" : "", "family" : "Angulo", "given" : "P", "non-dropping-particle" : "", "parse-names" : false, "suffix" : "" }, { "dropping-particle" : "", "family" : "Jorgensen", "given" : "R", "non-dropping-particle" : "", "parse-names" : false, "suffix" : "" }, { "dropping-particle" : "", "family" : "Lindor", "given" : "K D", "non-dropping-particle" : "", "parse-names" : false, "suffix" : "" } ], "container-title" : "Liver International", "id" : "ITEM-1", "issue" : "1", "issued" : { "date-parts" : [ [ "2005" ] ] }, "page" : "117-121", "title" : "Raloxifene improves bone mass in osteopenic women with primary biliary cirrhosis: Results of a pilot study", "type" : "article-journal", "volume" : "25" }, "uris" : [ "http://www.mendeley.com/documents/?uuid=d85ee2b1-7c36-45a1-b0be-a64d79003add" ] } ], "mendeley" : { "formattedCitation" : "&lt;sup&gt;[56]&lt;/sup&gt;", "plainTextFormattedCitation" : "[56]", "previouslyFormattedCitation" : "&lt;sup&gt;[56]&lt;/sup&gt;"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[56]</w:t>
      </w:r>
      <w:r w:rsidR="00F613A6" w:rsidRPr="002D44D6">
        <w:rPr>
          <w:rFonts w:ascii="Book Antiqua" w:hAnsi="Book Antiqua" w:cs="Arial"/>
          <w:color w:val="000000"/>
        </w:rPr>
        <w:fldChar w:fldCharType="end"/>
      </w:r>
      <w:r w:rsidRPr="002D44D6">
        <w:rPr>
          <w:rFonts w:ascii="Book Antiqua" w:hAnsi="Book Antiqua" w:cs="Arial"/>
          <w:color w:val="000000"/>
        </w:rPr>
        <w:t>.</w:t>
      </w:r>
      <w:r w:rsidR="00492F9E" w:rsidRPr="002D44D6">
        <w:rPr>
          <w:rFonts w:ascii="Book Antiqua" w:hAnsi="Book Antiqua" w:cs="Arial"/>
          <w:color w:val="000000"/>
        </w:rPr>
        <w:t xml:space="preserve"> </w:t>
      </w:r>
      <w:r w:rsidRPr="002D44D6">
        <w:rPr>
          <w:rFonts w:ascii="Book Antiqua" w:hAnsi="Book Antiqua" w:cs="Arial"/>
          <w:color w:val="000000"/>
        </w:rPr>
        <w:t>After 1 year, there was a small (0.02 g/cm</w:t>
      </w:r>
      <w:r w:rsidRPr="002D44D6">
        <w:rPr>
          <w:rFonts w:ascii="Book Antiqua" w:hAnsi="Book Antiqua" w:cs="Arial"/>
          <w:color w:val="000000"/>
          <w:vertAlign w:val="superscript"/>
        </w:rPr>
        <w:t>2</w:t>
      </w:r>
      <w:r w:rsidRPr="002D44D6">
        <w:rPr>
          <w:rFonts w:ascii="Book Antiqua" w:hAnsi="Book Antiqua" w:cs="Arial"/>
          <w:color w:val="000000"/>
        </w:rPr>
        <w:t xml:space="preserve"> </w:t>
      </w:r>
      <w:r w:rsidRPr="00F613A6">
        <w:rPr>
          <w:rFonts w:ascii="Book Antiqua" w:hAnsi="Book Antiqua" w:cs="Arial"/>
          <w:i/>
          <w:color w:val="000000"/>
        </w:rPr>
        <w:t>vs</w:t>
      </w:r>
      <w:r w:rsidRPr="002D44D6">
        <w:rPr>
          <w:rFonts w:ascii="Book Antiqua" w:hAnsi="Book Antiqua" w:cs="Arial"/>
          <w:color w:val="000000"/>
        </w:rPr>
        <w:t xml:space="preserve"> 0.00 g/cm</w:t>
      </w:r>
      <w:r w:rsidRPr="002D44D6">
        <w:rPr>
          <w:rFonts w:ascii="Book Antiqua" w:hAnsi="Book Antiqua" w:cs="Arial"/>
          <w:color w:val="000000"/>
          <w:vertAlign w:val="superscript"/>
        </w:rPr>
        <w:t>2</w:t>
      </w:r>
      <w:r w:rsidRPr="002D44D6">
        <w:rPr>
          <w:rFonts w:ascii="Book Antiqua" w:hAnsi="Book Antiqua" w:cs="Arial"/>
          <w:color w:val="000000"/>
        </w:rPr>
        <w:t>) but significant improvement in lumbar BMD compared to controls, though there was no difference in femoral BMD and no data on fracture risk</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"10.1111/j.1478-3231.2005.01026.x", "ISSN" : "1478-3223", "PMID" : "15698408", "abstract" : "Background/Aims: Bone disease is common in patients with primary biliary cirrhosis (PBC). Our aim was to evaluate safety and efficacy of raloxifene in this population. Methods: Nine postmenopausal women with PBC were enrolled and seven completed the study. Subjects received raloxifene 60 mg daily for 1 year. Each patient on raloxifene was age-matched to three controls. Liver biochemistries were monitored periodically; bone mineral density (BMD) of the lumbar spine (LS) and femoral neck (FN) was measured at baseline and at 1 year. Results: No significant adverse effects were reported. Liver biochemistries remained unchanged. Baseline LS-BMD was similar in the treatment group and controls [median 0.720 g/cm2 (range 0.620-0.867) vs. 0.740 g/cm2 (0.570-1.040), P = 0.5]. Conclusion: Compared with baseline, LS-BMD improved significantly with 1 year of therapy [0.72 g/cm2 (0.62-0.87) vs. 0.74 g/cm2 (0.63-0.97), P = 0.02]. FN-BMD remained stable [0.53 g/cm2 (0.50-0.60) vs. 0.54 g/cm2 (0.49-0.63), P = 0.6]. Improvement in LS BMD was seen in patients on raloxifene but not in matched controls [0.02 g/cm2 (0.01-0.10) vs. 0.00 g/cm2 ( -0.120-0.040), P = 0.06)]. In conclusion, raloxifene appears safe and of benefit in preventing bone loss in patients with PBC. Larger studies with longer follow-up are warranted. \u00a9 Blackwell Munksgaard 2005.", "author" : [ { "dropping-particle" : "", "family" : "Levy", "given" : "C", "non-dropping-particle" : "", "parse-names" : false, "suffix" : "" }, { "dropping-particle" : "", "family" : "Harnois", "given" : "D M", "non-dropping-particle" : "", "parse-names" : false, "suffix" : "" }, { "dropping-particle" : "", "family" : "Angulo", "given" : "P", "non-dropping-particle" : "", "parse-names" : false, "suffix" : "" }, { "dropping-particle" : "", "family" : "Jorgensen", "given" : "R", "non-dropping-particle" : "", "parse-names" : false, "suffix" : "" }, { "dropping-particle" : "", "family" : "Lindor", "given" : "K D", "non-dropping-particle" : "", "parse-names" : false, "suffix" : "" } ], "container-title" : "Liver International", "id" : "ITEM-1", "issue" : "1", "issued" : { "date-parts" : [ [ "2005" ] ] }, "page" : "117-121", "title" : "Raloxifene improves bone mass in osteopenic women with primary biliary cirrhosis: Results of a pilot study", "type" : "article-journal", "volume" : "25" }, "uris" : [ "http://www.mendeley.com/documents/?uuid=d85ee2b1-7c36-45a1-b0be-a64d79003add" ] } ], "mendeley" : { "formattedCitation" : "&lt;sup&gt;[56]&lt;/sup&gt;", "plainTextFormattedCitation" : "[56]", "previouslyFormattedCitation" : "&lt;sup&gt;[56]&lt;/sup&gt;"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[56]</w:t>
      </w:r>
      <w:r w:rsidR="00F613A6" w:rsidRPr="002D44D6">
        <w:rPr>
          <w:rFonts w:ascii="Book Antiqua" w:hAnsi="Book Antiqua" w:cs="Arial"/>
          <w:color w:val="000000"/>
        </w:rPr>
        <w:fldChar w:fldCharType="end"/>
      </w:r>
      <w:r w:rsidR="00492F9E" w:rsidRPr="002D44D6">
        <w:rPr>
          <w:rFonts w:ascii="Book Antiqua" w:hAnsi="Book Antiqua" w:cs="Arial"/>
          <w:color w:val="000000"/>
        </w:rPr>
        <w:t>.</w:t>
      </w:r>
      <w:r w:rsidR="00F613A6" w:rsidRPr="002D44D6">
        <w:rPr>
          <w:rFonts w:ascii="Book Antiqua" w:hAnsi="Book Antiqua" w:cs="Times New Roman"/>
        </w:rPr>
        <w:t xml:space="preserve"> </w:t>
      </w:r>
    </w:p>
    <w:p w14:paraId="1167380A" w14:textId="77777777" w:rsidR="00E13F25" w:rsidRPr="002D44D6" w:rsidRDefault="00E13F25" w:rsidP="002D44D6">
      <w:pPr>
        <w:widowControl w:val="0"/>
        <w:adjustRightInd w:val="0"/>
        <w:snapToGrid w:val="0"/>
        <w:spacing w:line="360" w:lineRule="auto"/>
        <w:jc w:val="both"/>
        <w:rPr>
          <w:rFonts w:ascii="Book Antiqua" w:eastAsia="Times New Roman" w:hAnsi="Book Antiqua" w:cs="Times New Roman"/>
        </w:rPr>
      </w:pPr>
    </w:p>
    <w:p w14:paraId="6D6D49E5" w14:textId="04C11CC9" w:rsidR="00783F86" w:rsidRPr="002D44D6" w:rsidRDefault="00E13F25" w:rsidP="002D44D6">
      <w:pPr>
        <w:widowControl w:val="0"/>
        <w:adjustRightInd w:val="0"/>
        <w:snapToGrid w:val="0"/>
        <w:spacing w:line="360" w:lineRule="auto"/>
        <w:jc w:val="both"/>
        <w:rPr>
          <w:rFonts w:ascii="Book Antiqua" w:hAnsi="Book Antiqua" w:cs="Arial"/>
          <w:b/>
          <w:bCs/>
          <w:i/>
          <w:color w:val="000000"/>
        </w:rPr>
      </w:pPr>
      <w:r w:rsidRPr="002D44D6">
        <w:rPr>
          <w:rFonts w:ascii="Book Antiqua" w:hAnsi="Book Antiqua" w:cs="Arial"/>
          <w:b/>
          <w:bCs/>
          <w:i/>
          <w:color w:val="000000"/>
        </w:rPr>
        <w:t>Sodium fluoride</w:t>
      </w:r>
    </w:p>
    <w:p w14:paraId="3617AEF0" w14:textId="613F7B67" w:rsidR="003C14D5" w:rsidRPr="00F613A6" w:rsidRDefault="00E13F25" w:rsidP="002D44D6">
      <w:pPr>
        <w:widowControl w:val="0"/>
        <w:adjustRightInd w:val="0"/>
        <w:snapToGrid w:val="0"/>
        <w:spacing w:line="360" w:lineRule="auto"/>
        <w:jc w:val="both"/>
        <w:rPr>
          <w:rFonts w:ascii="Book Antiqua" w:eastAsia="SimSun" w:hAnsi="Book Antiqua" w:cs="Arial"/>
          <w:color w:val="000000"/>
          <w:lang w:eastAsia="zh-CN"/>
        </w:rPr>
      </w:pPr>
      <w:r w:rsidRPr="002D44D6">
        <w:rPr>
          <w:rFonts w:ascii="Book Antiqua" w:hAnsi="Book Antiqua" w:cs="Arial"/>
          <w:color w:val="000000"/>
        </w:rPr>
        <w:t>Sodium fluoride increases bone formation and has been shown to be effective in postmenopausal osteoporosis, but is not as effective as anti</w:t>
      </w:r>
      <w:r w:rsidR="00354F9C" w:rsidRPr="002D44D6">
        <w:rPr>
          <w:rFonts w:ascii="Book Antiqua" w:hAnsi="Book Antiqua" w:cs="Arial"/>
          <w:color w:val="000000"/>
        </w:rPr>
        <w:t>-</w:t>
      </w:r>
      <w:r w:rsidR="00492F9E" w:rsidRPr="002D44D6">
        <w:rPr>
          <w:rFonts w:ascii="Book Antiqua" w:hAnsi="Book Antiqua" w:cs="Arial"/>
          <w:color w:val="000000"/>
        </w:rPr>
        <w:t xml:space="preserve">resorptive agents. </w:t>
      </w:r>
      <w:r w:rsidRPr="002D44D6">
        <w:rPr>
          <w:rFonts w:ascii="Book Antiqua" w:hAnsi="Book Antiqua" w:cs="Arial"/>
          <w:color w:val="000000"/>
        </w:rPr>
        <w:t>One randomized, controlled trial examined sodium fluoride in PBC and found a significant increase in BMD (+2.9%) compared to placebo (-6.6%) in 22 women with PBC followed for 2 years</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"PMID" : "1447501", "abstract" : "Low-bone-turnover osteoporosis is a common complication of primary biliary cirrhosis (PBC). Since sodium fluoride stimulates bone formation we assessed the effect of this drug on bone mass in a 2-year, prospective, double-blind trial including 22 women with PBC who were randomly assigned to receive sodium fluoride (50 mg/day) or placebo. All received calcium supplements and low doses of vitamin D. Bone mineral density of the lumbar spine was measured by dual-photon absorptiometry initially and every 6 months. Vertebral fractures were evaluated in thoracic and lumbar spine initially, and after 1 and 2 years. Seven patients in the fluoride group and eight in the placebo group completed the trial. In the fluoride group, bone mineral density did not change after 2 years (initial 1.05 +/- 0.07, final 1.07 +/- 0.06 g/cm2; p = n.s.). In the placebo group, however, bone mineral density decreased significantly (initial 1.00 +/- 0.07, final 0.93 +/- 0.06 g/cm2; p = 0.03). Moreover, in the fluoride group bone mineral density increased by 2.9 +/- 3.6%, and in the placebo group decreased by 6.6 +/- 2.6% (p = 0.04). None of the patients developed new vertebral or non-vertebral fractures. Treatment with sodium fluoride did not impair liver function or cholestasis in PBC. These results indicate that sodium fluoride prevents bone loss in PBC and therefore might be considered as a possible therapeutic agent for osteoporosis associated with this liver disease. Since a small number of patients completed the trial, further studies are required", "author" : [ { "dropping-particle" : "", "family" : "Guanabens", "given" : "N", "non-dropping-particle" : "", "parse-names" : false, "suffix" : "" }, { "dropping-particle" : "", "family" : "Pares", "given" : "A", "non-dropping-particle" : "", "parse-names" : false, "suffix" : "" }, { "dropping-particle" : "", "family" : "Rio", "given" : "L", "non-dropping-particle" : "del", "parse-names" : false, "suffix" : "" }, { "dropping-particle" : "", "family" : "Roca", "given" : "M", "non-dropping-particle" : "", "parse-names" : false, "suffix" : "" }, { "dropping-particle" : "", "family" : "Gomez", "given" : "R", "non-dropping-particle" : "", "parse-names" : false, "suffix" : "" }, { "dropping-particle" : "", "family" : "Munoz", "given" : "J", "non-dropping-particle" : "", "parse-names" : false, "suffix" : "" }, { "dropping-particle" : "", "family" : "Rodes", "given" : "J", "non-dropping-particle" : "", "parse-names" : false, "suffix" : "" } ], "container-title" : "J.Hepatol.", "id" : "ITEM-1", "issue" : "0168-8278 SB - IM", "issued" : { "date-parts" : [ [ "1992" ] ] }, "page" : "345-349", "title" : "Sodium fluoride prevents bone loss in primary biliary cirrhosis", "type" : "article-journal", "volume" : "15" }, "uris" : [ "http://www.mendeley.com/documents/?uuid=c01904d5-dd42-4ceb-b334-f65424da6084" ] } ], "mendeley" : { "formattedCitation" : "&lt;sup&gt;[7]&lt;/sup&gt;", "plainTextFormattedCitation" : "[7]", "previouslyFormattedCitation" : "&lt;sup&gt;[7]&lt;/sup&gt;"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[7]</w:t>
      </w:r>
      <w:r w:rsidR="00F613A6" w:rsidRPr="002D44D6">
        <w:rPr>
          <w:rFonts w:ascii="Book Antiqua" w:hAnsi="Book Antiqua" w:cs="Arial"/>
          <w:color w:val="000000"/>
        </w:rPr>
        <w:fldChar w:fldCharType="end"/>
      </w:r>
      <w:r w:rsidRPr="002D44D6">
        <w:rPr>
          <w:rFonts w:ascii="Book Antiqua" w:hAnsi="Book Antiqua" w:cs="Arial"/>
          <w:color w:val="000000"/>
        </w:rPr>
        <w:t>.</w:t>
      </w:r>
      <w:r w:rsidR="00492F9E" w:rsidRPr="002D44D6">
        <w:rPr>
          <w:rFonts w:ascii="Book Antiqua" w:hAnsi="Book Antiqua" w:cs="Arial"/>
          <w:color w:val="000000"/>
        </w:rPr>
        <w:t xml:space="preserve"> </w:t>
      </w:r>
      <w:r w:rsidRPr="002D44D6">
        <w:rPr>
          <w:rFonts w:ascii="Book Antiqua" w:hAnsi="Book Antiqua" w:cs="Arial"/>
          <w:color w:val="000000"/>
        </w:rPr>
        <w:t>No fractures occurred in either group</w:t>
      </w:r>
      <w:r w:rsidR="001A4F78" w:rsidRPr="002D44D6">
        <w:rPr>
          <w:rFonts w:ascii="Book Antiqua" w:hAnsi="Book Antiqua" w:cs="Arial"/>
          <w:color w:val="000000"/>
        </w:rPr>
        <w:fldChar w:fldCharType="begin" w:fldLock="1"/>
      </w:r>
      <w:r w:rsidR="001E4ECE" w:rsidRPr="002D44D6">
        <w:rPr>
          <w:rFonts w:ascii="Book Antiqua" w:hAnsi="Book Antiqua" w:cs="Arial"/>
          <w:color w:val="000000"/>
        </w:rPr>
        <w:instrText>ADDIN CSL_CITATION { "citationItems" : [ { "id" : "ITEM-1", "itemData" : { "PMID" : "1447501", "abstract" : "Low-bone-turnover osteoporosis is a common complication of primary biliary cirrhosis (PBC). Since sodium fluoride stimulates bone formation we assessed the effect of this drug on bone mass in a 2-year, prospective, double-blind trial including 22 women with PBC who were randomly assigned to receive sodium fluoride (50 mg/day) or placebo. All received calcium supplements and low doses of vitamin D. Bone mineral density of the lumbar spine was measured by dual-photon absorptiometry initially and every 6 months. Vertebral fractures were evaluated in thoracic and lumbar spine initially, and after 1 and 2 years. Seven patients in the fluoride group and eight in the placebo group completed the trial. In the fluoride group, bone mineral density did not change after 2 years (initial 1.05 +/- 0.07, final 1.07 +/- 0.06 g/cm2; p = n.s.). In the placebo group, however, bone mineral density decreased significantly (initial 1.00 +/- 0.07, final 0.93 +/- 0.06 g/cm2; p = 0.03). Moreover, in the fluoride group bone mineral density increased by 2.9 +/- 3.6%, and in the placebo group decreased by 6.6 +/- 2.6% (p = 0.04). None of the patients developed new vertebral or non-vertebral fractures. Treatment with sodium fluoride did not impair liver function or cholestasis in PBC. These results indicate that sodium fluoride prevents bone loss in PBC and therefore might be considered as a possible therapeutic agent for osteoporosis associated with this liver disease. Since a small number of patients completed the trial, further studies are required", "author" : [ { "dropping-particle" : "", "family" : "Guanabens", "given" : "N", "non-dropping-particle" : "", "parse-names" : false, "suffix" : "" }, { "dropping-particle" : "", "family" : "Pares", "given" : "A", "non-dropping-particle" : "", "parse-names" : false, "suffix" : "" }, { "dropping-particle" : "", "family" : "Rio", "given" : "L", "non-dropping-particle" : "del", "parse-names" : false, "suffix" : "" }, { "dropping-particle" : "", "family" : "Roca", "given" : "M", "non-dropping-particle" : "", "parse-names" : false, "suffix" : "" }, { "dropping-particle" : "", "family" : "Gomez", "given" : "R", "non-dropping-particle" : "", "parse-names" : false, "suffix" : "" }, { "dropping-particle" : "", "family" : "Munoz", "given" : "J", "non-dropping-particle" : "", "parse-names" : false, "suffix" : "" }, { "dropping-particle" : "", "family" : "Rodes", "given" : "J", "non-dropping-particle" : "", "parse-names" : false, "suffix" : "" } ], "container-title" : "J.Hepatol.", "id" : "ITEM-1", "issue" : "0168-8278 SB - IM", "issued" : { "date-parts" : [ [ "1992" ] ] }, "page" : "345-349", "title" : "Sodium fluoride prevents bone loss in primary biliary cirrhosis", "type" : "article-journal", "volume" : "15" }, "uris" : [ "http://www.mendeley.com/documents/?uuid=c01904d5-dd42-4ceb-b334-f65424da6084" ] } ], "mendeley" : { "formattedCitation" : "&lt;sup&gt;[7]&lt;/sup&gt;", "plainTextFormattedCitation" : "[7]", "previouslyFormattedCitation" : "&lt;sup&gt;[7]&lt;/sup&gt;" }, "properties" : { "noteIndex" : 0 }, "schema" : "https://github.com/citation-style-language/schema/raw/master/csl-citation.json" }</w:instrText>
      </w:r>
      <w:r w:rsidR="001A4F78" w:rsidRPr="002D44D6">
        <w:rPr>
          <w:rFonts w:ascii="Book Antiqua" w:hAnsi="Book Antiqua" w:cs="Arial"/>
          <w:color w:val="000000"/>
        </w:rPr>
        <w:fldChar w:fldCharType="separate"/>
      </w:r>
      <w:r w:rsidR="00AC67CA" w:rsidRPr="002D44D6">
        <w:rPr>
          <w:rFonts w:ascii="Book Antiqua" w:hAnsi="Book Antiqua" w:cs="Arial"/>
          <w:noProof/>
          <w:color w:val="000000"/>
          <w:vertAlign w:val="superscript"/>
        </w:rPr>
        <w:t>[7]</w:t>
      </w:r>
      <w:r w:rsidR="001A4F78" w:rsidRPr="002D44D6">
        <w:rPr>
          <w:rFonts w:ascii="Book Antiqua" w:hAnsi="Book Antiqua" w:cs="Arial"/>
          <w:color w:val="000000"/>
        </w:rPr>
        <w:fldChar w:fldCharType="end"/>
      </w:r>
      <w:r w:rsidR="00492F9E" w:rsidRPr="002D44D6">
        <w:rPr>
          <w:rFonts w:ascii="Book Antiqua" w:hAnsi="Book Antiqua" w:cs="Arial"/>
          <w:color w:val="000000"/>
        </w:rPr>
        <w:t>.</w:t>
      </w:r>
      <w:r w:rsidR="00354F9C" w:rsidRPr="002D44D6">
        <w:rPr>
          <w:rFonts w:ascii="Book Antiqua" w:hAnsi="Book Antiqua" w:cs="Arial"/>
          <w:color w:val="000000"/>
        </w:rPr>
        <w:t xml:space="preserve"> </w:t>
      </w:r>
      <w:r w:rsidRPr="002D44D6">
        <w:rPr>
          <w:rFonts w:ascii="Book Antiqua" w:hAnsi="Book Antiqua" w:cs="Arial"/>
          <w:color w:val="000000"/>
        </w:rPr>
        <w:t>A subsequent trial comparing sodium fluoride to etidronate, however, found etidronate to be superior and actually observed a decrease in femoral BMD in the sodium fluoride group after 2 years</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"10.1016/S0016-5085(97)70098-2", "ISSN" : "00165085", "PMID" : "9207281", "abstract" : "Background and Aims: Because osteopenia increases morbidity of primary biliary cirrhosis (PBC), the effects of cyclical etidronate vs. sodium fluoride on bone mass were compared in patients with PBC. Methods: Thirty- two women with PBC were randomly assigned to receive etidronate (400 mg/day during 14 days every 3 months) or fluoride (50 mg/day, enteric-coated tablets). Bone mineral density of the lumbar spine and proximal femur were measured initially and every 6 months. Bone fractures were also evaluated. Results: Sixteen patients were allocated into each group, which were comparable with respect to the severity of PBC and osteopenia. Thirteen patients with etidronate and 10 patients with fluoride completed 2 years in the study. In the etidronate group, bone mineral density increased in the lumbar spine (P = 0.02) and did not change in the proximal femur. In the fluoride group, lumbar bone mineral density did not change but femoral bone mass decreased, particularly in the Ward's triangle. Two patients in the fluoride and none in the etidronate group developed new vertebral fractures, and the number of new nonvertebral fractures was similar in both groups. Neither treatment impaired liver function or cholestasis. Conclusions: Cyclical etidronate is more effective and better tolerated than sodium fluoride in preventing bone loss in PBC.", "author" : [ { "dropping-particle" : "", "family" : "Guanabens", "given" : "N.", "non-dropping-particle" : "", "parse-names" : false, "suffix" : "" }, { "dropping-particle" : "", "family" : "Pares", "given" : "A.", "non-dropping-particle" : "", "parse-names" : false, "suffix" : "" }, { "dropping-particle" : "", "family" : "Monegal", "given" : "A.", "non-dropping-particle" : "", "parse-names" : false, "suffix" : "" }, { "dropping-particle" : "", "family" : "Peris", "given" : "P.", "non-dropping-particle" : "", "parse-names" : false, "suffix" : "" }, { "dropping-particle" : "", "family" : "Pons", "given" : "F.", "non-dropping-particle" : "", "parse-names" : false, "suffix" : "" }, { "dropping-particle" : "", "family" : "Alvarez", "given" : "L.", "non-dropping-particle" : "", "parse-names" : false, "suffix" : "" }, { "dropping-particle" : "", "family" : "Osaba", "given" : "M. J M", "non-dropping-particle" : "De", "parse-names" : false, "suffix" : "" }, { "dropping-particle" : "", "family" : "Roca", "given" : "M.", "non-dropping-particle" : "", "parse-names" : false, "suffix" : "" }, { "dropping-particle" : "", "family" : "Torra", "given" : "M.", "non-dropping-particle" : "", "parse-names" : false, "suffix" : "" }, { "dropping-particle" : "", "family" : "Rodes", "given" : "J.", "non-dropping-particle" : "", "parse-names" : false, "suffix" : "" } ], "container-title" : "Gastroenterology", "id" : "ITEM-1", "issue" : "1", "issued" : { "date-parts" : [ [ "1997" ] ] }, "page" : "219-224", "title" : "Etidronate versus fluoride for treatment of osteopenia in primary biliary cirrhosis: Preliminary results after 2 years", "type" : "article-journal", "volume" : "113" }, "uris" : [ "http://www.mendeley.com/documents/?uuid=bcdb0a91-c439-498f-93a5-3ee8692e2439" ] } ], "mendeley" : { "formattedCitation" : "&lt;sup&gt;[39]&lt;/sup&gt;", "plainTextFormattedCitation" : "[39]", "previouslyFormattedCitation" : "&lt;sup&gt;[39]&lt;/sup&gt;"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[39]</w:t>
      </w:r>
      <w:r w:rsidR="00F613A6" w:rsidRPr="002D44D6">
        <w:rPr>
          <w:rFonts w:ascii="Book Antiqua" w:hAnsi="Book Antiqua" w:cs="Arial"/>
          <w:color w:val="000000"/>
        </w:rPr>
        <w:fldChar w:fldCharType="end"/>
      </w:r>
      <w:r w:rsidRPr="002D44D6">
        <w:rPr>
          <w:rFonts w:ascii="Book Antiqua" w:hAnsi="Book Antiqua" w:cs="Arial"/>
          <w:color w:val="000000"/>
        </w:rPr>
        <w:t>.</w:t>
      </w:r>
      <w:r w:rsidR="00F613A6">
        <w:rPr>
          <w:rFonts w:ascii="Book Antiqua" w:eastAsia="SimSun" w:hAnsi="Book Antiqua" w:cs="Arial" w:hint="eastAsia"/>
          <w:color w:val="000000"/>
          <w:lang w:eastAsia="zh-CN"/>
        </w:rPr>
        <w:t xml:space="preserve"> </w:t>
      </w:r>
      <w:r w:rsidRPr="002D44D6">
        <w:rPr>
          <w:rFonts w:ascii="Book Antiqua" w:hAnsi="Book Antiqua" w:cs="Arial"/>
          <w:color w:val="000000"/>
        </w:rPr>
        <w:t xml:space="preserve">In addition, 2 patients </w:t>
      </w:r>
      <w:r w:rsidR="00A3434F" w:rsidRPr="002D44D6">
        <w:rPr>
          <w:rFonts w:ascii="Book Antiqua" w:hAnsi="Book Antiqua" w:cs="Arial"/>
          <w:color w:val="000000"/>
        </w:rPr>
        <w:t xml:space="preserve">in the sodium fluoride group </w:t>
      </w:r>
      <w:r w:rsidRPr="002D44D6">
        <w:rPr>
          <w:rFonts w:ascii="Book Antiqua" w:hAnsi="Book Antiqua" w:cs="Arial"/>
          <w:color w:val="000000"/>
        </w:rPr>
        <w:t>experienced new vertebral fractures compared to none in the etidronate group</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"10.1016/S0016-5085(97)70098-2", "ISSN" : "00165085", "PMID" : "9207281", "abstract" : "Background and Aims: Because osteopenia increases morbidity of primary biliary cirrhosis (PBC), the effects of cyclical etidronate vs. sodium fluoride on bone mass were compared in patients with PBC. Methods: Thirty- two women with PBC were randomly assigned to receive etidronate (400 mg/day during 14 days every 3 months) or fluoride (50 mg/day, enteric-coated tablets). Bone mineral density of the lumbar spine and proximal femur were measured initially and every 6 months. Bone fractures were also evaluated. Results: Sixteen patients were allocated into each group, which were comparable with respect to the severity of PBC and osteopenia. Thirteen patients with etidronate and 10 patients with fluoride completed 2 years in the study. In the etidronate group, bone mineral density increased in the lumbar spine (P = 0.02) and did not change in the proximal femur. In the fluoride group, lumbar bone mineral density did not change but femoral bone mass decreased, particularly in the Ward's triangle. Two patients in the fluoride and none in the etidronate group developed new vertebral fractures, and the number of new nonvertebral fractures was similar in both groups. Neither treatment impaired liver function or cholestasis. Conclusions: Cyclical etidronate is more effective and better tolerated than sodium fluoride in preventing bone loss in PBC.", "author" : [ { "dropping-particle" : "", "family" : "Guanabens", "given" : "N.", "non-dropping-particle" : "", "parse-names" : false, "suffix" : "" }, { "dropping-particle" : "", "family" : "Pares", "given" : "A.", "non-dropping-particle" : "", "parse-names" : false, "suffix" : "" }, { "dropping-particle" : "", "family" : "Monegal", "given" : "A.", "non-dropping-particle" : "", "parse-names" : false, "suffix" : "" }, { "dropping-particle" : "", "family" : "Peris", "given" : "P.", "non-dropping-particle" : "", "parse-names" : false, "suffix" : "" }, { "dropping-particle" : "", "family" : "Pons", "given" : "F.", "non-dropping-particle" : "", "parse-names" : false, "suffix" : "" }, { "dropping-particle" : "", "family" : "Alvarez", "given" : "L.", "non-dropping-particle" : "", "parse-names" : false, "suffix" : "" }, { "dropping-particle" : "", "family" : "Osaba", "given" : "M. J M", "non-dropping-particle" : "De", "parse-names" : false, "suffix" : "" }, { "dropping-particle" : "", "family" : "Roca", "given" : "M.", "non-dropping-particle" : "", "parse-names" : false, "suffix" : "" }, { "dropping-particle" : "", "family" : "Torra", "given" : "M.", "non-dropping-particle" : "", "parse-names" : false, "suffix" : "" }, { "dropping-particle" : "", "family" : "Rodes", "given" : "J.", "non-dropping-particle" : "", "parse-names" : false, "suffix" : "" } ], "container-title" : "Gastroenterology", "id" : "ITEM-1", "issue" : "1", "issued" : { "date-parts" : [ [ "1997" ] ] }, "page" : "219-224", "title" : "Etidronate versus fluoride for treatment of osteopenia in primary biliary cirrhosis: Preliminary results after 2 years", "type" : "article-journal", "volume" : "113" }, "uris" : [ "http://www.mendeley.com/documents/?uuid=bcdb0a91-c439-498f-93a5-3ee8692e2439" ] } ], "mendeley" : { "formattedCitation" : "&lt;sup&gt;[39]&lt;/sup&gt;", "plainTextFormattedCitation" : "[39]", "previouslyFormattedCitation" : "&lt;sup&gt;[39]&lt;/sup&gt;"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[39]</w:t>
      </w:r>
      <w:r w:rsidR="00F613A6" w:rsidRPr="002D44D6">
        <w:rPr>
          <w:rFonts w:ascii="Book Antiqua" w:hAnsi="Book Antiqua" w:cs="Arial"/>
          <w:color w:val="000000"/>
        </w:rPr>
        <w:fldChar w:fldCharType="end"/>
      </w:r>
      <w:r w:rsidR="00492F9E" w:rsidRPr="002D44D6">
        <w:rPr>
          <w:rFonts w:ascii="Book Antiqua" w:hAnsi="Book Antiqua" w:cs="Arial"/>
          <w:color w:val="000000"/>
        </w:rPr>
        <w:t>.</w:t>
      </w:r>
      <w:r w:rsidR="00F613A6" w:rsidRPr="00F613A6">
        <w:rPr>
          <w:rFonts w:ascii="Book Antiqua" w:eastAsia="SimSun" w:hAnsi="Book Antiqua" w:cs="Arial"/>
          <w:color w:val="000000"/>
          <w:lang w:eastAsia="zh-CN"/>
        </w:rPr>
        <w:t xml:space="preserve"> </w:t>
      </w:r>
    </w:p>
    <w:p w14:paraId="6381DF8A" w14:textId="77777777" w:rsidR="00E9143A" w:rsidRPr="002D44D6" w:rsidRDefault="00E9143A" w:rsidP="002D44D6">
      <w:pPr>
        <w:widowControl w:val="0"/>
        <w:adjustRightInd w:val="0"/>
        <w:snapToGrid w:val="0"/>
        <w:spacing w:line="360" w:lineRule="auto"/>
        <w:jc w:val="both"/>
        <w:rPr>
          <w:rFonts w:ascii="Book Antiqua" w:hAnsi="Book Antiqua" w:cs="Times New Roman"/>
        </w:rPr>
      </w:pPr>
    </w:p>
    <w:p w14:paraId="14B8D4D3" w14:textId="372C2092" w:rsidR="00783F86" w:rsidRPr="002D44D6" w:rsidRDefault="00E13F25" w:rsidP="002D44D6">
      <w:pPr>
        <w:widowControl w:val="0"/>
        <w:adjustRightInd w:val="0"/>
        <w:snapToGrid w:val="0"/>
        <w:spacing w:line="360" w:lineRule="auto"/>
        <w:jc w:val="both"/>
        <w:rPr>
          <w:rFonts w:ascii="Book Antiqua" w:hAnsi="Book Antiqua" w:cs="Arial"/>
          <w:b/>
          <w:bCs/>
          <w:i/>
          <w:color w:val="000000"/>
        </w:rPr>
      </w:pPr>
      <w:r w:rsidRPr="002D44D6">
        <w:rPr>
          <w:rFonts w:ascii="Book Antiqua" w:hAnsi="Book Antiqua" w:cs="Arial"/>
          <w:b/>
          <w:bCs/>
          <w:i/>
          <w:color w:val="000000"/>
        </w:rPr>
        <w:t>Vitamin K</w:t>
      </w:r>
    </w:p>
    <w:p w14:paraId="76AF5101" w14:textId="7AAB14A9" w:rsidR="00E13F25" w:rsidRPr="002D44D6" w:rsidRDefault="00E13F25" w:rsidP="002D44D6">
      <w:pPr>
        <w:widowControl w:val="0"/>
        <w:adjustRightInd w:val="0"/>
        <w:snapToGrid w:val="0"/>
        <w:spacing w:line="360" w:lineRule="auto"/>
        <w:jc w:val="both"/>
        <w:rPr>
          <w:rFonts w:ascii="Book Antiqua" w:hAnsi="Book Antiqua" w:cs="Times New Roman"/>
        </w:rPr>
      </w:pPr>
      <w:r w:rsidRPr="002D44D6">
        <w:rPr>
          <w:rFonts w:ascii="Book Antiqua" w:hAnsi="Book Antiqua" w:cs="Arial"/>
          <w:color w:val="000000"/>
        </w:rPr>
        <w:t>Patients with severe cholestasis may have decreased absorption of fat-soluble vitamins</w:t>
      </w:r>
      <w:r w:rsidR="00783F86" w:rsidRPr="002D44D6">
        <w:rPr>
          <w:rFonts w:ascii="Book Antiqua" w:hAnsi="Book Antiqua" w:cs="Arial"/>
          <w:color w:val="000000"/>
        </w:rPr>
        <w:t>,</w:t>
      </w:r>
      <w:r w:rsidR="009C114E" w:rsidRPr="002D44D6">
        <w:rPr>
          <w:rFonts w:ascii="Book Antiqua" w:hAnsi="Book Antiqua" w:cs="Arial"/>
          <w:color w:val="000000"/>
        </w:rPr>
        <w:t xml:space="preserve"> such as vitamin K. </w:t>
      </w:r>
      <w:r w:rsidRPr="002D44D6">
        <w:rPr>
          <w:rFonts w:ascii="Book Antiqua" w:hAnsi="Book Antiqua" w:cs="Arial"/>
          <w:color w:val="000000"/>
        </w:rPr>
        <w:t>Vitamin K is involved in bone formation through stimulation of osteoblastogenesis</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"ISBN" : "0264-6021 (Print)\\r0264-6021 (Linking)", "ISSN" : "0264-6021", "PMID" : "11988107", "abstract" : "Two different sites on vitamin K-dependent gamma-glutamyl carboxylase (VKC) are involved in enzyme-substrate interaction: the propeptide-binding site required for high-affinity substrate binding and the active site for glutamate carboxylation. Synthetic descarboxy osteocalcin (d-OC) is a low-K(m) substrate for the VKC, but unique since it possesses a high-affinity recognition site for the VKC, distinct from the propeptide which is essential as a binding site for VKC. However, the exact location and composition of this VKC-recognition domain on d-OC has remained unclear until now. Using a stereospecific substrate analogue [t-butyloxycarbonyl-(2S,4S)-4-methylglutamic acid-Glu-Val (S-MeTPT)] we demonstrate in this paper that the high affinity of d-OC for VKC cannot be explained by a direct interaction with either the active site or with the propeptide-binding site on VKC. It is shown using various synthetic peptides derived from d-OC that there are two domains on d-OC necessary for recognition: one located between residues 1 and 12 and a second between residues 26 and 39, i.e. at the C-terminal side of the gamma-carboxyglutamate (Gla) domain. Both internal sequences contribute substantially to the efficiency of carboxylation. On the basis of these data we postulate the presence of a second high-affinity substrate-binding site on VKC capable of specifically binding d-OC, which is the first vitamin K-dependent substrate of which the VKC binding domain is interrupted by the Gla domain.", "author" : [ { "dropping-particle" : "", "family" : "Houben", "given" : "Roger J T J", "non-dropping-particle" : "", "parse-names" : false, "suffix" : "" }, { "dropping-particle" : "", "family" : "Rijkers", "given" : "Dirk T S", "non-dropping-particle" : "", "parse-names" : false, "suffix" : "" }, { "dropping-particle" : "", "family" : "Stanley", "given" : "Thomas B", "non-dropping-particle" : "", "parse-names" : false, "suffix" : "" }, { "dropping-particle" : "", "family" : "Acher", "given" : "Francine", "non-dropping-particle" : "", "parse-names" : false, "suffix" : "" }, { "dropping-particle" : "", "family" : "Azerad", "given" : "Robert", "non-dropping-particle" : "", "parse-names" : false, "suffix" : "" }, { "dropping-particle" : "", "family" : "K\u00e4k\u00f6nen", "given" : "Sanna-Maria", "non-dropping-particle" : "", "parse-names" : false, "suffix" : "" }, { "dropping-particle" : "", "family" : "Vermeer", "given" : "Cees", "non-dropping-particle" : "", "parse-names" : false, "suffix" : "" }, { "dropping-particle" : "", "family" : "Soute", "given" : "Berry A M", "non-dropping-particle" : "", "parse-names" : false, "suffix" : "" } ], "container-title" : "The Biochemical journal", "id" : "ITEM-1", "issue" : "Pt 1", "issued" : { "date-parts" : [ [ "2002" ] ] }, "page" : "323-8", "title" : "Characteristics and composition of the vitamin K-dependent gamma-glutamyl carboxylase-binding domain on osteocalcin.", "type" : "article-journal", "volume" : "364" }, "uris" : [ "http://www.mendeley.com/documents/?uuid=55aa8e49-73b9-4e67-b784-fe7d55d59ff9" ] }, { "id" : "ITEM-2", "itemData" : { "DOI" : "10.1677/joe.0.1760339", "ISBN" : "0022-0795 (Print)", "ISSN" : "00220795", "PMID" : "12630919", "abstract" : "Accumulating evidence indicates that menaquinone-4 (MK-4), a vitamin K(2) with four isoprene units, inhibits osteoclastogenesis in murine bone marrow culture, but the reason for this inhibition is not yet clear, especially in human bone marrow culture. To clarify the inhibitory mechanism, we investigated the differentiation of colony-forming-unit fibroblasts (CFU-Fs) and osteoclasts in human bone marrow culture, to learn whether the enhancement of the differentiation of CFU-Fs from progenitor cells might relate to inhibition of osteoclast formation. Human bone marrow cells were grown in alpha-minimal essential medium with horse serum in the presence of MK-4 until adherent cells formed colonies (CFU-Fs). Colonies that stained positive for alkaline phosphatase activity (CFU-F/ALP(+)) were considered to have osteogenic potential. MK-4 stimulated the number of CFU-F/ALP(+) colonies in the presence or absence of dexamethasone. The stimulation was also seen in vitamin K(1) treatment. These cells had the ability to mineralize in the presence of alpha-glycerophosphate. In contrast, both MK-4 and vitamin K(1) inhibited 1,25 dihydroxyvitamin D(3)-induced osteoclast formation and increased stromal cell formation in human bone marrow culture. These stromal cells expressed ALP and Cbfa1. Moreover, both types of vitamin K treatment decreased the expression of receptor activator of nuclear factor kappaB ligand/osteoclast differentiation factor (RANKL/ODF) and enhanced the expression of osteoprotegerin/osteoclast inhibitory factor (OPG/OCIF) in the stromal cells. The effective concentrations were 1.0 microM and 10 microM for the expression of RANKL/ODF and OPG/OCIF respectively. Vitamin K might stimulate osteoblastogenesis in bone marrow cells, regulating osteoclastogenesis through the expression of RANKL/ODF more than through that of OPG/OCIF.", "author" : [ { "dropping-particle" : "", "family" : "Koshihara", "given" : "Y.", "non-dropping-particle" : "", "parse-names" : false, "suffix" : "" }, { "dropping-particle" : "", "family" : "Hoshi", "given" : "K.", "non-dropping-particle" : "", "parse-names" : false, "suffix" : "" }, { "dropping-particle" : "", "family" : "Okawara", "given" : "R.", "non-dropping-particle" : "", "parse-names" : false, "suffix" : "" }, { "dropping-particle" : "", "family" : "Ishibashi", "given" : "H.", "non-dropping-particle" : "", "parse-names" : false, "suffix" : "" }, { "dropping-particle" : "", "family" : "Yamamoto", "given" : "S.", "non-dropping-particle" : "", "parse-names" : false, "suffix" : "" } ], "container-title" : "Journal of Endocrinology", "id" : "ITEM-2", "issue" : "3", "issued" : { "date-parts" : [ [ "2003" ] ] }, "page" : "339-348", "title" : "Vitamin K stimulates osteoblastogenesis and inhibits osteoclastogenesis in human bone marrow cell culture", "type" : "article-journal", "volume" : "176" }, "uris" : [ "http://www.mendeley.com/documents/?uuid=86c093d4-daa2-4d69-b8f4-dd99ce4ee92c" ] } ], "mendeley" : { "formattedCitation" : "&lt;sup&gt;[21,22]&lt;/sup&gt;", "plainTextFormattedCitation" : "[21,22]", "previouslyFormattedCitation" : "&lt;sup&gt;[21,22]&lt;/sup&gt;"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[21,22]</w:t>
      </w:r>
      <w:r w:rsidR="00F613A6" w:rsidRPr="002D44D6">
        <w:rPr>
          <w:rFonts w:ascii="Book Antiqua" w:hAnsi="Book Antiqua" w:cs="Arial"/>
          <w:color w:val="000000"/>
        </w:rPr>
        <w:fldChar w:fldCharType="end"/>
      </w:r>
      <w:r w:rsidR="00492F9E" w:rsidRPr="002D44D6">
        <w:rPr>
          <w:rFonts w:ascii="Book Antiqua" w:hAnsi="Book Antiqua" w:cs="Arial"/>
          <w:color w:val="000000"/>
        </w:rPr>
        <w:t>.</w:t>
      </w:r>
      <w:r w:rsidR="00354F9C" w:rsidRPr="002D44D6">
        <w:rPr>
          <w:rFonts w:ascii="Book Antiqua" w:hAnsi="Book Antiqua" w:cs="Arial"/>
          <w:color w:val="000000"/>
        </w:rPr>
        <w:t xml:space="preserve"> </w:t>
      </w:r>
      <w:r w:rsidRPr="002D44D6">
        <w:rPr>
          <w:rFonts w:ascii="Book Antiqua" w:hAnsi="Book Antiqua" w:cs="Arial"/>
          <w:color w:val="000000"/>
        </w:rPr>
        <w:t>One meta-analysis did indicate some reduction in bone loss with vitamin K supplementation, but did not focus on patients with cholestatic liver disease</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"10.1001/archinte.166.12.1256", "ISBN" : "0003-9926 (Print)\\r0003-9926 (Linking)", "ISSN" : "0003-9926", "PMID" : "16801507", "abstract" : "&lt;h3&gt;Background&lt;/h3&gt;&lt;p&gt;Observational and some experimental data suggest that low intake of vitamin K may be associated with an increased risk of fracture.&lt;/p&gt;&lt;h3&gt;Objective&lt;/h3&gt;&lt;p&gt;To assess whether oral vitamin K (phytonadione and menaquinone) supplementation can reduce bone loss and prevent fractures.&lt;/p&gt;&lt;h3&gt;Data Sources&lt;/h3&gt;&lt;p&gt;The search included the following electronic databases: MEDLINE (1966 to June 2005), EMBASE (1980 to June 2005), the Cochrane Library (issue 2, 2005), the ISI Web of Science (1945 to June 2005), the National Research Register (inception to the present), Current Controlled Trials, and the Medical Research Council Research Register.&lt;/p&gt;&lt;h3&gt;Study Selection&lt;/h3&gt;&lt;p&gt;Randomized controlled trials that gave adult participants oral phytonadione and menaquinone supplements for longer than 6 months were included in this review.&lt;/p&gt;&lt;h3&gt;Data Extraction&lt;/h3&gt;&lt;p&gt;Four authors extracted data on changes in bone density and type of fracture. All articles were double screened and double data extracted.&lt;/p&gt;&lt;h3&gt;Data Synthesis&lt;/h3&gt;&lt;p&gt;Thirteen trials were identified with data on bone loss, and 7 reported fracture data. All studies but 1 showed an advantage of phytonadione and menaquinone in reducing bone loss. All 7 trials that reported fracture effects were Japanese and used menaquinone. Pooling the 7 trials with fracture data in a meta-analysis, we found an odds ratio (OR) favoring menaquinone of 0.40 (95% confidence interval [CI], 0.25-0.65) for vertebral fractures, an OR of 0.23 (95% CI, 0.12-0.47) for hip fractures, and an OR of 0.19 (95% CI, 0.11-0.35) for all nonvertebral fractures.&lt;/p&gt;&lt;h3&gt;Conclusions&lt;/h3&gt;&lt;p&gt;This systematic review suggests that supplementation with phytonadione and menaquinone-4 reduces bone loss. In the case of the latter, there is a strong effect on incident fractures among Japanese patients.&lt;/p&gt;", "author" : [ { "dropping-particle" : "", "family" : "Cockayne", "given" : "Sarah", "non-dropping-particle" : "", "parse-names" : false, "suffix" : "" }, { "dropping-particle" : "", "family" : "Adamson", "given" : "Joy", "non-dropping-particle" : "", "parse-names" : false, "suffix" : "" }, { "dropping-particle" : "", "family" : "Lanham-New", "given" : "Susan", "non-dropping-particle" : "", "parse-names" : false, "suffix" : "" }, { "dropping-particle" : "", "family" : "Shearer", "given" : "Martin J.", "non-dropping-particle" : "", "parse-names" : false, "suffix" : "" }, { "dropping-particle" : "", "family" : "Gilbody", "given" : "Simon", "non-dropping-particle" : "", "parse-names" : false, "suffix" : "" }, { "dropping-particle" : "", "family" : "Torgerson", "given" : "David J.", "non-dropping-particle" : "", "parse-names" : false, "suffix" : "" } ], "container-title" : "Archives of Internal Medicine", "id" : "ITEM-1", "issue" : "12", "issued" : { "date-parts" : [ [ "2006" ] ] }, "page" : "1256", "title" : "Vitamin K and the Prevention of Fractures", "type" : "article-journal", "volume" : "166" }, "uris" : [ "http://www.mendeley.com/documents/?uuid=a638c164-91a8-435b-9667-b420f1f5d8da" ] } ], "mendeley" : { "formattedCitation" : "&lt;sup&gt;[23]&lt;/sup&gt;", "plainTextFormattedCitation" : "[23]", "previouslyFormattedCitation" : "&lt;sup&gt;[23]&lt;/sup&gt;"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[23]</w:t>
      </w:r>
      <w:r w:rsidR="00F613A6" w:rsidRPr="002D44D6">
        <w:rPr>
          <w:rFonts w:ascii="Book Antiqua" w:hAnsi="Book Antiqua" w:cs="Arial"/>
          <w:color w:val="000000"/>
        </w:rPr>
        <w:fldChar w:fldCharType="end"/>
      </w:r>
      <w:r w:rsidR="00492F9E" w:rsidRPr="002D44D6">
        <w:rPr>
          <w:rFonts w:ascii="Book Antiqua" w:hAnsi="Book Antiqua" w:cs="Arial"/>
          <w:color w:val="000000"/>
        </w:rPr>
        <w:t xml:space="preserve">. </w:t>
      </w:r>
      <w:r w:rsidR="00335C65" w:rsidRPr="002D44D6">
        <w:rPr>
          <w:rFonts w:ascii="Book Antiqua" w:hAnsi="Book Antiqua" w:cs="Arial"/>
          <w:color w:val="000000"/>
        </w:rPr>
        <w:t>One small RCT</w:t>
      </w:r>
      <w:r w:rsidRPr="002D44D6">
        <w:rPr>
          <w:rFonts w:ascii="Book Antiqua" w:hAnsi="Book Antiqua" w:cs="Arial"/>
          <w:color w:val="000000"/>
        </w:rPr>
        <w:t xml:space="preserve"> in PBC found significantly less bone loss in vitamin K patients compared to controls, but was ultimately not effective in improving BMD</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"10.1016/S0168-8278(01)00133-7", "ISSN" : "01688278", "PMID" : "11682046", "author" : [ { "dropping-particle" : "", "family" : "Nishiguchi", "given" : "Shuhei", "non-dropping-particle" : "", "parse-names" : false, "suffix" : "" }, { "dropping-particle" : "", "family" : "Shimoi", "given" : "Susumu", "non-dropping-particle" : "", "parse-names" : false, "suffix" : "" }, { "dropping-particle" : "", "family" : "Kurooka", "given" : "Hiroko", "non-dropping-particle" : "", "parse-names" : false, "suffix" : "" }, { "dropping-particle" : "", "family" : "Tamori", "given" : "Akihiro", "non-dropping-particle" : "", "parse-names" : false, "suffix" : "" }, { "dropping-particle" : "", "family" : "Habu", "given" : "Daiki", "non-dropping-particle" : "", "parse-names" : false, "suffix" : "" }, { "dropping-particle" : "", "family" : "Takeda", "given" : "Tadashi", "non-dropping-particle" : "", "parse-names" : false, "suffix" : "" }, { "dropping-particle" : "", "family" : "Ochi", "given" : "Hironobu", "non-dropping-particle" : "", "parse-names" : false, "suffix" : "" } ], "container-title" : "Journal of Hepatology", "id" : "ITEM-1", "issue" : "4", "issued" : { "date-parts" : [ [ "2001" ] ] }, "page" : "543-545", "title" : "Randomized pilot trial of vitamin K2 for bone loss in patients with primary biliary cirrhosis", "type" : "article-journal", "volume" : "35" }, "uris" : [ "http://www.mendeley.com/documents/?uuid=64cd77ae-2982-42ff-b17a-66e50794ec72" ] } ], "mendeley" : { "formattedCitation" : "&lt;sup&gt;[57]&lt;/sup&gt;", "plainTextFormattedCitation" : "[57]", "previouslyFormattedCitation" : "&lt;sup&gt;[57]&lt;/sup&gt;"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[57]</w:t>
      </w:r>
      <w:r w:rsidR="00F613A6" w:rsidRPr="002D44D6">
        <w:rPr>
          <w:rFonts w:ascii="Book Antiqua" w:hAnsi="Book Antiqua" w:cs="Arial"/>
          <w:color w:val="000000"/>
        </w:rPr>
        <w:fldChar w:fldCharType="end"/>
      </w:r>
      <w:r w:rsidRPr="002D44D6">
        <w:rPr>
          <w:rFonts w:ascii="Book Antiqua" w:hAnsi="Book Antiqua" w:cs="Arial"/>
          <w:color w:val="000000"/>
        </w:rPr>
        <w:t>.</w:t>
      </w:r>
      <w:r w:rsidR="00F613A6" w:rsidRPr="002D44D6">
        <w:rPr>
          <w:rFonts w:ascii="Book Antiqua" w:hAnsi="Book Antiqua" w:cs="Times New Roman"/>
        </w:rPr>
        <w:t xml:space="preserve"> </w:t>
      </w:r>
    </w:p>
    <w:p w14:paraId="3EC393F1" w14:textId="77777777" w:rsidR="00E13F25" w:rsidRPr="002D44D6" w:rsidRDefault="00E13F25" w:rsidP="002D44D6">
      <w:pPr>
        <w:widowControl w:val="0"/>
        <w:adjustRightInd w:val="0"/>
        <w:snapToGrid w:val="0"/>
        <w:spacing w:line="360" w:lineRule="auto"/>
        <w:jc w:val="both"/>
        <w:rPr>
          <w:rFonts w:ascii="Book Antiqua" w:eastAsia="Times New Roman" w:hAnsi="Book Antiqua" w:cs="Times New Roman"/>
        </w:rPr>
      </w:pPr>
    </w:p>
    <w:p w14:paraId="73D78336" w14:textId="5CC72F68" w:rsidR="00783F86" w:rsidRPr="002D44D6" w:rsidRDefault="00783F86" w:rsidP="002D44D6">
      <w:pPr>
        <w:widowControl w:val="0"/>
        <w:adjustRightInd w:val="0"/>
        <w:snapToGrid w:val="0"/>
        <w:spacing w:line="360" w:lineRule="auto"/>
        <w:jc w:val="both"/>
        <w:rPr>
          <w:rFonts w:ascii="Book Antiqua" w:hAnsi="Book Antiqua" w:cs="Arial"/>
          <w:b/>
          <w:bCs/>
          <w:color w:val="000000"/>
        </w:rPr>
      </w:pPr>
      <w:r w:rsidRPr="002D44D6">
        <w:rPr>
          <w:rFonts w:ascii="Book Antiqua" w:hAnsi="Book Antiqua" w:cs="Arial"/>
          <w:b/>
          <w:bCs/>
          <w:i/>
          <w:color w:val="000000"/>
        </w:rPr>
        <w:t xml:space="preserve">Parathyroid </w:t>
      </w:r>
      <w:r w:rsidR="00C761F0" w:rsidRPr="002D44D6">
        <w:rPr>
          <w:rFonts w:ascii="Book Antiqua" w:hAnsi="Book Antiqua" w:cs="Arial"/>
          <w:b/>
          <w:bCs/>
          <w:i/>
          <w:color w:val="000000"/>
        </w:rPr>
        <w:t>h</w:t>
      </w:r>
      <w:r w:rsidRPr="002D44D6">
        <w:rPr>
          <w:rFonts w:ascii="Book Antiqua" w:hAnsi="Book Antiqua" w:cs="Arial"/>
          <w:b/>
          <w:bCs/>
          <w:i/>
          <w:color w:val="000000"/>
        </w:rPr>
        <w:t>ormone</w:t>
      </w:r>
    </w:p>
    <w:p w14:paraId="16E4882D" w14:textId="1002F53E" w:rsidR="00E13F25" w:rsidRPr="002D44D6" w:rsidRDefault="00E13F25" w:rsidP="002D44D6">
      <w:pPr>
        <w:widowControl w:val="0"/>
        <w:adjustRightInd w:val="0"/>
        <w:snapToGrid w:val="0"/>
        <w:spacing w:line="360" w:lineRule="auto"/>
        <w:jc w:val="both"/>
        <w:rPr>
          <w:rFonts w:ascii="Book Antiqua" w:hAnsi="Book Antiqua" w:cs="Times New Roman"/>
        </w:rPr>
      </w:pPr>
      <w:r w:rsidRPr="002D44D6">
        <w:rPr>
          <w:rFonts w:ascii="Book Antiqua" w:hAnsi="Book Antiqua" w:cs="Arial"/>
          <w:color w:val="000000"/>
        </w:rPr>
        <w:t xml:space="preserve">Human parathyroid hormone (PTH) improves BMD and reduces fractures in </w:t>
      </w:r>
      <w:r w:rsidRPr="002D44D6">
        <w:rPr>
          <w:rFonts w:ascii="Book Antiqua" w:hAnsi="Book Antiqua" w:cs="Arial"/>
          <w:color w:val="000000"/>
        </w:rPr>
        <w:lastRenderedPageBreak/>
        <w:t xml:space="preserve">postmenopausal osteoporosis through stimulating bone formation, </w:t>
      </w:r>
      <w:r w:rsidR="00C75913" w:rsidRPr="002D44D6">
        <w:rPr>
          <w:rFonts w:ascii="Book Antiqua" w:hAnsi="Book Antiqua" w:cs="Arial"/>
          <w:color w:val="000000"/>
        </w:rPr>
        <w:t>the major driver of osteoporosis in PBC</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"10.1056/NEJM200105103441904", "ISBN" : "00284793", "ISSN" : "0028-4793", "PMID" : "11346808", "abstract" : "BACKGROUND Once-daily injections of parathyroid hormone or its amino-terminal fragments increase bone formation and bone mass without causing hypercalcemia, but their effects on fractures are unknown. METHODS We randomly assigned 1637 postmenopausal women with prior vertebral fractures to receive 20 or 40 microg of parathyroid hormone (1-34) or placebo, administered subcutaneously by the women daily. We obtained vertebral radiographs at base line and at the end of the study (median duration of observation, 21 months) and performed serial measurements of bone mass by dual-energy x-ray absorptiometry. RESULTS New vertebral fractures occurred in 14 percent of the women in the placebo group and in 5 percent and 4 percent, respectively, of the women in the 20-microg and 40-microg parathyroid hormone groups; the respective relative risks of fracture in the 20-microg and 40-microg groups, as compared with the placebo group, were 0.35 and 0.31 (95 percent confidence intervals, 0.22 to 0.55 and 0.19 to 0.50). New nonvertebral fragility fractures occurred in 6 percent of the women in the placebo group and in 3 percent of those in each parathyroid hormone group (relative risk, 0.47 and 0.46, respectively [95 percent confidence intervals, 0.25 to 0.88 and 0.25 to 0.861). As compared with placebo, the 20-microg and 40-microg doses of parathyroid hormone increased bone mineral density by 9 and 13 more percentage points in the lumbar spine and by 3 and 6 more percentage points in the femoral neck; the 40-microg dose decreased bone mineral density at the shaft of the radius by 2 more percentage points. Both doses increased total-body bone mineral by 2 to 4 more percentage points than did placebo. Parathyroid hormone had only minor side effects (occasional nausea and headache). CONCLUSIONS Treatment of postmenopausal osteoporosis with parathyroid hormone (1-34) decreases the risk of vertebral and nonvertebral fractures; increases vertebral, femoral, and total-body bone mineral density; and is well tolerated. The 40-microg dose increased bone mineral density more than the 20-microg dose but had similar effects on the risk of fracture and was more likely to have side effects.", "author" : [ { "dropping-particle" : "", "family" : "Neer", "given" : "Robert M.", "non-dropping-particle" : "", "parse-names" : false, "suffix" : "" }, { "dropping-particle" : "", "family" : "Arnaud", "given" : "Claude D.", "non-dropping-particle" : "", "parse-names" : false, "suffix" : "" }, { "dropping-particle" : "", "family" : "Zanchetta", "given" : "Jose R.", "non-dropping-particle" : "", "parse-names" : false, "suffix" : "" }, { "dropping-particle" : "", "family" : "Prince", "given" : "Richard", "non-dropping-particle" : "", "parse-names" : false, "suffix" : "" }, { "dropping-particle" : "", "family" : "Gaich", "given" : "Gregory A.", "non-dropping-particle" : "", "parse-names" : false, "suffix" : "" }, { "dropping-particle" : "", "family" : "Reginster", "given" : "J Y", "non-dropping-particle" : "", "parse-names" : false, "suffix" : "" }, { "dropping-particle" : "", "family" : "Hodsman", "given" : "Anthony B.", "non-dropping-particle" : "", "parse-names" : false, "suffix" : "" }, { "dropping-particle" : "", "family" : "Eriksen", "given" : "Erik F.", "non-dropping-particle" : "", "parse-names" : false, "suffix" : "" }, { "dropping-particle" : "", "family" : "Ish-Shalom", "given" : "Sophia", "non-dropping-particle" : "", "parse-names" : false, "suffix" : "" }, { "dropping-particle" : "", "family" : "Genant", "given" : "Harry K.", "non-dropping-particle" : "", "parse-names" : false, "suffix" : "" }, { "dropping-particle" : "", "family" : "Wang", "given" : "Ouhong", "non-dropping-particle" : "", "parse-names" : false, "suffix" : "" }, { "dropping-particle" : "", "family" : "Mitlak", "given" : "Bruce H.", "non-dropping-particle" : "", "parse-names" : false, "suffix" : "" } ], "container-title" : "The New England journal of medicine", "id" : "ITEM-1", "issue" : "19", "issued" : { "date-parts" : [ [ "2001" ] ] }, "page" : "1434-41", "title" : "Effect of parathyroid hormone (1-34) on fractures and bone mineral density in postmenopausal women with osteoporosis.", "type" : "article-journal", "volume" : "344" }, "uris" : [ "http://www.mendeley.com/documents/?uuid=7f7429ba-20c8-452e-954e-1889d894f855" ] }, { "id" : "ITEM-2", "itemData" : { "DOI" : "10.1001/jama.2016.11136", "ISSN" : "15383598", "PMID" : "27533157", "abstract" : "IMPORTANCE Additional therapies are needed for prevention of osteoporotic fractures. Abaloparatide is a selective activator of the parathyroid hormone type 1 receptor. OBJECTIVE To determine the efficacy and safety of abaloparatide, 80{{}{{}{}}{{}{\\`{i}}{}}{{}{}}{}}g, vs placebo for prevention of new vertebral fracture in postmenopausalwomen at risk of osteoporotic fracture. DESIGN, SETTING, AND PARTICIPANTS The Abaloparatide Comparator Trial In Vertebral Endpoints (ACTIVE)was a phase 3, double-blind, RCT (March 2011-October 2014) at 28 sites in 10 countries. Postmenopausalwomen with bone mineral density (BMD) T score\u2264-2.5 and {{}{{}{}}{{}{\\textgreater}{}}{{}{}}{}}5.0 at the lumbar spine or femoral neck and radiological evidence\u22652 mild or\u22651 moderate lumbar or thoracic vertebral fracture or history of low-trauma nonvertebral fracture within the past 5 yearswere eligible. Postmenopausalwomen (65 y) with fracture criteria and a T score \u2264-2.0 and {{}{{}{}}{{}{\\textgreater}{}}{{}{}}{}}5.0 or without fracture criteria and a T score\u2265-3.0 and {{}{{}{}}{{}{\\textgreater}{}}{{}{}}{}}-5.0 could enroll. INTERVENTIONS Blinded, daily subcutaneous injections of placebo (n = 821); abaloparatide, 80{{}{$}{}}\\backslashmu{\\{}\\backslash{\\$}{\\}}g (n = 824); or open-label teriparatide, 20 {{}{$}{}}\\backslashmu{\\{}\\backslash{\\$}{\\}}g (n = 818) for 18 months. MAIN OUTCOMES AND MEASURES Primary end pointwas percentage of participants with new vertebral fracture in the abaloparatide vs placebo groups. Sample size was set to detect a 4{{}{{}{}}{{}{%}{}}{{}{}}{}} difference (57{{}{{}{}}{{}{%}{}}{{}{}}{}}risk reduction) between treatment groups. Secondary end points included change in BMD at total hip, femoral neck, and lumbar spine in abaloparatide-treated vs placebo participants and time to first incident nonvertebral fracture. Hypercalcemia was a prespecified safety end point in abaloparatide-treated vs teriparatide participants. RESULTS Among 2463 women (mean age, 69 years [range, 49-86]), 1901 completed the study. New morphometric vertebral fractures occurred less frequently in the active treatment groups vs placebo. The Kaplan-Meier estimated event rate for nonvertebral fracture was lower with abaloparatide vs placebo. BMD increases were greater with abaloparatide than placebo (all P {{}{{}{}}{{}{\\textless}{}}{{}{}}{}} .001). Incidence of hypercalcemia was lower with abaloparatide (3.4{{}{{}{}}{{}{%}{}}{{}{}}{}}) vs teriparatide (6.4{{}{{}{}}{{}{%}{}}{{}{}}{}}) (risk differenc\u2026", "author" : [ { "dropping-particle" : "", "family" : "Miller", "given" : "Paul D.", "non-dropping-particle" : "", "parse-names" : false, "suffix" : "" }, { "dropping-particle" : "", "family" : "Hattersley", "given" : "Gary", "non-dropping-particle" : "", "parse-names" : false, "suffix" : "" }, { "dropping-particle" : "", "family" : "Riis", "given" : "Bente Juel", "non-dropping-particle" : "", "parse-names" : false, "suffix" : "" }, { "dropping-particle" : "", "family" : "Williams", "given" : "Gregory C.", "non-dropping-particle" : "", "parse-names" : false, "suffix" : "" }, { "dropping-particle" : "", "family" : "Lau", "given" : "Edith", "non-dropping-particle" : "", "parse-names" : false, "suffix" : "" }, { "dropping-particle" : "", "family" : "Russo", "given" : "Luis Augusto", "non-dropping-particle" : "", "parse-names" : false, "suffix" : "" }, { "dropping-particle" : "", "family" : "Alexandersen", "given" : "Peter", "non-dropping-particle" : "", "parse-names" : false, "suffix" : "" }, { "dropping-particle" : "", "family" : "Zerbini", "given" : "Cristiano A.F.", "non-dropping-particle" : "", "parse-names" : false, "suffix" : "" }, { "dropping-particle" : "", "family" : "Hu", "given" : "Ming Yi", "non-dropping-particle" : "", "parse-names" : false, "suffix" : "" }, { "dropping-particle" : "", "family" : "Harris", "given" : "Alan G.", "non-dropping-particle" : "", "parse-names" : false, "suffix" : "" }, { "dropping-particle" : "", "family" : "Fitzpatrick", "given" : "Lorraine A.", "non-dropping-particle" : "", "parse-names" : false, "suffix" : "" }, { "dropping-particle" : "", "family" : "Cosman", "given" : "Felicia", "non-dropping-particle" : "", "parse-names" : false, "suffix" : "" }, { "dropping-particle" : "", "family" : "Christiansen", "given" : "Claus", "non-dropping-particle" : "", "parse-names" : false, "suffix" : "" } ], "container-title" : "JAMA - Journal of the American Medical Association", "id" : "ITEM-2", "issue" : "7", "issued" : { "date-parts" : [ [ "2016" ] ] }, "page" : "722-733", "title" : "Effect of abaloparatide vs placebo on newvertebral fractures in postmenopausalwomen with osteoporosis a randomized clinical trial", "type" : "article-journal", "volume" : "316" }, "uris" : [ "http://www.mendeley.com/documents/?uuid=3cf560a4-d5c1-43ff-9270-bb90129bfa2b" ] } ], "mendeley" : { "formattedCitation" : "&lt;sup&gt;[58,59]&lt;/sup&gt;", "plainTextFormattedCitation" : "[58,59]", "previouslyFormattedCitation" : "&lt;sup&gt;[58,59]&lt;/sup&gt;"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[58,59]</w:t>
      </w:r>
      <w:r w:rsidR="00F613A6" w:rsidRPr="002D44D6">
        <w:rPr>
          <w:rFonts w:ascii="Book Antiqua" w:hAnsi="Book Antiqua" w:cs="Arial"/>
          <w:color w:val="000000"/>
        </w:rPr>
        <w:fldChar w:fldCharType="end"/>
      </w:r>
      <w:r w:rsidR="00C75913" w:rsidRPr="002D44D6">
        <w:rPr>
          <w:rFonts w:ascii="Book Antiqua" w:hAnsi="Book Antiqua" w:cs="Arial"/>
          <w:color w:val="000000"/>
        </w:rPr>
        <w:t>. T</w:t>
      </w:r>
      <w:r w:rsidR="008838B0" w:rsidRPr="002D44D6">
        <w:rPr>
          <w:rFonts w:ascii="Book Antiqua" w:hAnsi="Book Antiqua" w:cs="Arial"/>
          <w:color w:val="000000"/>
        </w:rPr>
        <w:t xml:space="preserve">he recombinant form consisting of the bioactive portion </w:t>
      </w:r>
      <w:r w:rsidR="00C75913" w:rsidRPr="002D44D6">
        <w:rPr>
          <w:rFonts w:ascii="Book Antiqua" w:hAnsi="Book Antiqua" w:cs="Arial"/>
          <w:color w:val="000000"/>
        </w:rPr>
        <w:t xml:space="preserve">of the hormone </w:t>
      </w:r>
      <w:r w:rsidR="008838B0" w:rsidRPr="002D44D6">
        <w:rPr>
          <w:rFonts w:ascii="Book Antiqua" w:hAnsi="Book Antiqua" w:cs="Arial"/>
          <w:color w:val="000000"/>
        </w:rPr>
        <w:t xml:space="preserve">(teriparatide) is approved for treatment of postmenopausal osteoporosis, </w:t>
      </w:r>
      <w:r w:rsidRPr="002D44D6">
        <w:rPr>
          <w:rFonts w:ascii="Book Antiqua" w:hAnsi="Book Antiqua" w:cs="Arial"/>
          <w:color w:val="000000"/>
        </w:rPr>
        <w:t>bu</w:t>
      </w:r>
      <w:r w:rsidR="009C114E" w:rsidRPr="002D44D6">
        <w:rPr>
          <w:rFonts w:ascii="Book Antiqua" w:hAnsi="Book Antiqua" w:cs="Arial"/>
          <w:color w:val="000000"/>
        </w:rPr>
        <w:t xml:space="preserve">t has not been studied in PBC. </w:t>
      </w:r>
      <w:r w:rsidRPr="002D44D6">
        <w:rPr>
          <w:rFonts w:ascii="Book Antiqua" w:hAnsi="Book Antiqua" w:cs="Arial"/>
          <w:color w:val="000000"/>
        </w:rPr>
        <w:t>Recombinant human PTH 1-34 (</w:t>
      </w:r>
      <w:proofErr w:type="spellStart"/>
      <w:r w:rsidRPr="002D44D6">
        <w:rPr>
          <w:rFonts w:ascii="Book Antiqua" w:hAnsi="Book Antiqua" w:cs="Arial"/>
          <w:color w:val="000000"/>
        </w:rPr>
        <w:t>rhPTH</w:t>
      </w:r>
      <w:proofErr w:type="spellEnd"/>
      <w:r w:rsidRPr="002D44D6">
        <w:rPr>
          <w:rFonts w:ascii="Book Antiqua" w:hAnsi="Book Antiqua" w:cs="Arial"/>
          <w:color w:val="000000"/>
        </w:rPr>
        <w:t xml:space="preserve"> 1-34) has been studied in rats </w:t>
      </w:r>
      <w:r w:rsidR="00783F86" w:rsidRPr="002D44D6">
        <w:rPr>
          <w:rFonts w:ascii="Book Antiqua" w:hAnsi="Book Antiqua" w:cs="Arial"/>
          <w:color w:val="000000"/>
        </w:rPr>
        <w:t>that</w:t>
      </w:r>
      <w:r w:rsidRPr="002D44D6">
        <w:rPr>
          <w:rFonts w:ascii="Book Antiqua" w:hAnsi="Book Antiqua" w:cs="Arial"/>
          <w:color w:val="000000"/>
        </w:rPr>
        <w:t xml:space="preserve"> have undergo</w:t>
      </w:r>
      <w:r w:rsidR="00F20D4D" w:rsidRPr="002D44D6">
        <w:rPr>
          <w:rFonts w:ascii="Book Antiqua" w:hAnsi="Book Antiqua" w:cs="Arial"/>
          <w:color w:val="000000"/>
        </w:rPr>
        <w:t>ne biliary ductal ligation</w:t>
      </w:r>
      <w:r w:rsidRPr="002D44D6">
        <w:rPr>
          <w:rFonts w:ascii="Book Antiqua" w:hAnsi="Book Antiqua" w:cs="Arial"/>
          <w:color w:val="000000"/>
        </w:rPr>
        <w:t>.</w:t>
      </w:r>
      <w:r w:rsidR="009C114E" w:rsidRPr="002D44D6">
        <w:rPr>
          <w:rFonts w:ascii="Book Antiqua" w:hAnsi="Book Antiqua" w:cs="Arial"/>
          <w:color w:val="000000"/>
        </w:rPr>
        <w:fldChar w:fldCharType="begin" w:fldLock="1"/>
      </w:r>
      <w:r w:rsidR="009C114E" w:rsidRPr="002D44D6">
        <w:rPr>
          <w:rFonts w:ascii="Book Antiqua" w:hAnsi="Book Antiqua" w:cs="Arial"/>
          <w:color w:val="000000"/>
        </w:rPr>
        <w:instrText>ADDIN CSL_CITATION { "citationItems" : [ { "id" : "ITEM-1", "itemData" : { "DOI" : "10.1053/j.gastro.2007.10.025", "ISBN" : "1528-0012 (Electronic)\\r0016-5085 (Linking)", "ISSN" : "00165085", "PMID" : "18061175", "abstract" : "Background &amp; Aims: Reduced bone mass and increased fracture rate are complications of primary biliary cirrhosis (PBC). The effect of intermittent administration of human parathyroid hormone (hPTH) 1-34 on bone mass and architecture in bile duct-ligated (BDL) rats was studied. Methods: Six-month-old male rats were subjected to BDL or sham operation (SO) and were treated from the second postoperative week intermittently with either hPTH 1-34 40 ??g/kg per day, 80 ??g/kg per day, or a vehicle for 4 weeks. Femoral and tibial bones were evaluated ex vivo by dual x-ray absorptiometry, microcomputed tomography, and histomorphometry. Serum osteocalcin and urinary deoxypyridinoline cross-links (DPD) were determined. Results: BDL rats had decreased bone mass compared with SO rats as indicated by a 6% decrease in femoral and tibial bone mineral density (BMD), 18% reduction in femoral trabecular bone volume (bone volume/total volume [BV/TV]), 17% decrease in trabecular thickness, and 10% decrease in tibial cortical thickness. The administration of hPTH 1-34 at 40 ??g/kg per day increased femoral and tibial BMD (9% and 9%), femoral trabecular BV/TV (50%), trabecular thickness (50%), tibial cortical thickness (17%), and serum osteocalcin (82%). On the other hand, hPTH 1-34 80 ??g/kg per day had no effect on BMD and tibial cortical thickness, was associated with a smaller increase in trabecular BV/TV (24%), and had a higher osteoclast number and DPD compared with untreated BDL rats and the lower hPTH 1-34 dose treatment group. Conclusions: BDL rats exhibit loss of bone mass and structure, which can be prevented by the intermittent administration of hPTH 1-34, a potential therapy for osteoporosis in PBC. ?? 2008 AGA Institute.", "author" : [ { "dropping-particle" : "", "family" : "Dresner-Pollak", "given" : "Rivka", "non-dropping-particle" : "", "parse-names" : false, "suffix" : "" }, { "dropping-particle" : "", "family" : "Gabet", "given" : "Yankel", "non-dropping-particle" : "", "parse-names" : false, "suffix" : "" }, { "dropping-particle" : "", "family" : "Steimatzky", "given" : "Arza", "non-dropping-particle" : "", "parse-names" : false, "suffix" : "" }, { "dropping-particle" : "", "family" : "Hamdani", "given" : "Gilad", "non-dropping-particle" : "", "parse-names" : false, "suffix" : "" }, { "dropping-particle" : "", "family" : "Bab", "given" : "Itai", "non-dropping-particle" : "", "parse-names" : false, "suffix" : "" }, { "dropping-particle" : "", "family" : "Ackerman", "given" : "Zvi", "non-dropping-particle" : "", "parse-names" : false, "suffix" : "" }, { "dropping-particle" : "", "family" : "Weinreb", "given" : "Miron", "non-dropping-particle" : "", "parse-names" : false, "suffix" : "" } ], "container-title" : "Gastroenterology", "id" : "ITEM-1", "issue" : "1", "issued" : { "date-parts" : [ [ "2008" ] ] }, "page" : "259-267", "title" : "Human Parathyroid Hormone 1-34 Prevents Bone Loss in Experimental Biliary Cirrhosis in Rats", "type" : "article-journal", "volume" : "134" }, "uris" : [ "http://www.mendeley.com/documents/?uuid=1f4c5572-ed5e-42bd-bcb3-771845da97c3" ] } ], "mendeley" : { "formattedCitation" : "&lt;sup&gt;[60]&lt;/sup&gt;", "plainTextFormattedCitation" : "[60]", "previouslyFormattedCitation" : "&lt;sup&gt;[60]&lt;/sup&gt;" }, "properties" : { "noteIndex" : 0 }, "schema" : "https://github.com/citation-style-language/schema/raw/master/csl-citation.json" }</w:instrText>
      </w:r>
      <w:r w:rsidR="009C114E" w:rsidRPr="002D44D6">
        <w:rPr>
          <w:rFonts w:ascii="Book Antiqua" w:hAnsi="Book Antiqua" w:cs="Arial"/>
          <w:color w:val="000000"/>
        </w:rPr>
        <w:fldChar w:fldCharType="separate"/>
      </w:r>
      <w:r w:rsidR="009C114E" w:rsidRPr="002D44D6">
        <w:rPr>
          <w:rFonts w:ascii="Book Antiqua" w:hAnsi="Book Antiqua" w:cs="Arial"/>
          <w:noProof/>
          <w:color w:val="000000"/>
          <w:vertAlign w:val="superscript"/>
        </w:rPr>
        <w:t>[60]</w:t>
      </w:r>
      <w:r w:rsidR="009C114E" w:rsidRPr="002D44D6">
        <w:rPr>
          <w:rFonts w:ascii="Book Antiqua" w:hAnsi="Book Antiqua" w:cs="Arial"/>
          <w:color w:val="000000"/>
        </w:rPr>
        <w:fldChar w:fldCharType="end"/>
      </w:r>
      <w:r w:rsidR="009C114E" w:rsidRPr="002D44D6">
        <w:rPr>
          <w:rFonts w:ascii="Book Antiqua" w:hAnsi="Book Antiqua" w:cs="Arial"/>
          <w:color w:val="000000"/>
        </w:rPr>
        <w:t xml:space="preserve"> </w:t>
      </w:r>
      <w:r w:rsidRPr="002D44D6">
        <w:rPr>
          <w:rFonts w:ascii="Book Antiqua" w:hAnsi="Book Antiqua" w:cs="Arial"/>
          <w:color w:val="000000"/>
        </w:rPr>
        <w:t xml:space="preserve">In this study, rats </w:t>
      </w:r>
      <w:r w:rsidR="00783F86" w:rsidRPr="002D44D6">
        <w:rPr>
          <w:rFonts w:ascii="Book Antiqua" w:hAnsi="Book Antiqua" w:cs="Arial"/>
          <w:color w:val="000000"/>
        </w:rPr>
        <w:t>that</w:t>
      </w:r>
      <w:r w:rsidR="00F20D4D" w:rsidRPr="002D44D6">
        <w:rPr>
          <w:rFonts w:ascii="Book Antiqua" w:hAnsi="Book Antiqua" w:cs="Arial"/>
          <w:color w:val="000000"/>
        </w:rPr>
        <w:t xml:space="preserve"> underwent biliary ductal ligation</w:t>
      </w:r>
      <w:r w:rsidRPr="002D44D6">
        <w:rPr>
          <w:rFonts w:ascii="Book Antiqua" w:hAnsi="Book Antiqua" w:cs="Arial"/>
          <w:color w:val="000000"/>
        </w:rPr>
        <w:t xml:space="preserve"> had significant worse</w:t>
      </w:r>
      <w:r w:rsidR="00B64B24" w:rsidRPr="002D44D6">
        <w:rPr>
          <w:rFonts w:ascii="Book Antiqua" w:hAnsi="Book Antiqua" w:cs="Arial"/>
          <w:color w:val="000000"/>
        </w:rPr>
        <w:t>ning in BMD compared to rats that</w:t>
      </w:r>
      <w:r w:rsidRPr="002D44D6">
        <w:rPr>
          <w:rFonts w:ascii="Book Antiqua" w:hAnsi="Book Antiqua" w:cs="Arial"/>
          <w:color w:val="000000"/>
        </w:rPr>
        <w:t xml:space="preserve"> </w:t>
      </w:r>
      <w:r w:rsidR="00F20D4D" w:rsidRPr="002D44D6">
        <w:rPr>
          <w:rFonts w:ascii="Book Antiqua" w:hAnsi="Book Antiqua" w:cs="Arial"/>
          <w:color w:val="000000"/>
        </w:rPr>
        <w:t>underwent a sham operat</w:t>
      </w:r>
      <w:r w:rsidR="009C114E" w:rsidRPr="002D44D6">
        <w:rPr>
          <w:rFonts w:ascii="Book Antiqua" w:hAnsi="Book Antiqua" w:cs="Arial"/>
          <w:color w:val="000000"/>
        </w:rPr>
        <w:t xml:space="preserve">ion. </w:t>
      </w:r>
      <w:r w:rsidR="00F20D4D" w:rsidRPr="002D44D6">
        <w:rPr>
          <w:rFonts w:ascii="Book Antiqua" w:hAnsi="Book Antiqua" w:cs="Arial"/>
          <w:color w:val="000000"/>
        </w:rPr>
        <w:t>Biliary ductal ligation</w:t>
      </w:r>
      <w:r w:rsidRPr="002D44D6">
        <w:rPr>
          <w:rFonts w:ascii="Book Antiqua" w:hAnsi="Book Antiqua" w:cs="Arial"/>
          <w:color w:val="000000"/>
        </w:rPr>
        <w:t xml:space="preserve"> rats were then administered </w:t>
      </w:r>
      <w:proofErr w:type="spellStart"/>
      <w:r w:rsidRPr="002D44D6">
        <w:rPr>
          <w:rFonts w:ascii="Book Antiqua" w:hAnsi="Book Antiqua" w:cs="Arial"/>
          <w:color w:val="000000"/>
        </w:rPr>
        <w:t>rhP</w:t>
      </w:r>
      <w:r w:rsidR="009C114E" w:rsidRPr="002D44D6">
        <w:rPr>
          <w:rFonts w:ascii="Book Antiqua" w:hAnsi="Book Antiqua" w:cs="Arial"/>
          <w:color w:val="000000"/>
        </w:rPr>
        <w:t>TH</w:t>
      </w:r>
      <w:proofErr w:type="spellEnd"/>
      <w:r w:rsidR="009C114E" w:rsidRPr="002D44D6">
        <w:rPr>
          <w:rFonts w:ascii="Book Antiqua" w:hAnsi="Book Antiqua" w:cs="Arial"/>
          <w:color w:val="000000"/>
        </w:rPr>
        <w:t xml:space="preserve"> 1-34 at 40 and 80 </w:t>
      </w:r>
      <w:r w:rsidR="00F613A6">
        <w:rPr>
          <w:rFonts w:ascii="Book Antiqua" w:hAnsi="Book Antiqua" w:cs="Arial"/>
          <w:color w:val="000000"/>
        </w:rPr>
        <w:t>µ</w:t>
      </w:r>
      <w:r w:rsidR="009C114E" w:rsidRPr="002D44D6">
        <w:rPr>
          <w:rFonts w:ascii="Book Antiqua" w:hAnsi="Book Antiqua" w:cs="Arial"/>
          <w:color w:val="000000"/>
        </w:rPr>
        <w:t xml:space="preserve">g/kg/d. </w:t>
      </w:r>
      <w:r w:rsidRPr="002D44D6">
        <w:rPr>
          <w:rFonts w:ascii="Book Antiqua" w:hAnsi="Book Antiqua" w:cs="Arial"/>
          <w:color w:val="000000"/>
        </w:rPr>
        <w:t xml:space="preserve">Those rats who received 40 </w:t>
      </w:r>
      <w:r w:rsidR="00F613A6">
        <w:rPr>
          <w:rFonts w:ascii="Book Antiqua" w:hAnsi="Book Antiqua" w:cs="Arial"/>
          <w:color w:val="000000"/>
        </w:rPr>
        <w:t>µ</w:t>
      </w:r>
      <w:r w:rsidRPr="002D44D6">
        <w:rPr>
          <w:rFonts w:ascii="Book Antiqua" w:hAnsi="Book Antiqua" w:cs="Arial"/>
          <w:color w:val="000000"/>
        </w:rPr>
        <w:t xml:space="preserve">g/kg/d experienced significant improvement in femoral and tibial BMD compared to untreated rats and those who received 80 </w:t>
      </w:r>
      <w:r w:rsidR="00F613A6">
        <w:rPr>
          <w:rFonts w:ascii="Book Antiqua" w:hAnsi="Book Antiqua" w:cs="Arial"/>
          <w:color w:val="000000"/>
        </w:rPr>
        <w:t>µ</w:t>
      </w:r>
      <w:r w:rsidRPr="002D44D6">
        <w:rPr>
          <w:rFonts w:ascii="Book Antiqua" w:hAnsi="Book Antiqua" w:cs="Arial"/>
          <w:color w:val="000000"/>
        </w:rPr>
        <w:t>g/kg/d (who did not experience significant improvement compared to untreated rats)</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"10.1053/j.gastro.2007.10.025", "ISBN" : "1528-0012 (Electronic)\\r0016-5085 (Linking)", "ISSN" : "00165085", "PMID" : "18061175", "abstract" : "Background &amp; Aims: Reduced bone mass and increased fracture rate are complications of primary biliary cirrhosis (PBC). The effect of intermittent administration of human parathyroid hormone (hPTH) 1-34 on bone mass and architecture in bile duct-ligated (BDL) rats was studied. Methods: Six-month-old male rats were subjected to BDL or sham operation (SO) and were treated from the second postoperative week intermittently with either hPTH 1-34 40 ??g/kg per day, 80 ??g/kg per day, or a vehicle for 4 weeks. Femoral and tibial bones were evaluated ex vivo by dual x-ray absorptiometry, microcomputed tomography, and histomorphometry. Serum osteocalcin and urinary deoxypyridinoline cross-links (DPD) were determined. Results: BDL rats had decreased bone mass compared with SO rats as indicated by a 6% decrease in femoral and tibial bone mineral density (BMD), 18% reduction in femoral trabecular bone volume (bone volume/total volume [BV/TV]), 17% decrease in trabecular thickness, and 10% decrease in tibial cortical thickness. The administration of hPTH 1-34 at 40 ??g/kg per day increased femoral and tibial BMD (9% and 9%), femoral trabecular BV/TV (50%), trabecular thickness (50%), tibial cortical thickness (17%), and serum osteocalcin (82%). On the other hand, hPTH 1-34 80 ??g/kg per day had no effect on BMD and tibial cortical thickness, was associated with a smaller increase in trabecular BV/TV (24%), and had a higher osteoclast number and DPD compared with untreated BDL rats and the lower hPTH 1-34 dose treatment group. Conclusions: BDL rats exhibit loss of bone mass and structure, which can be prevented by the intermittent administration of hPTH 1-34, a potential therapy for osteoporosis in PBC. ?? 2008 AGA Institute.", "author" : [ { "dropping-particle" : "", "family" : "Dresner-Pollak", "given" : "Rivka", "non-dropping-particle" : "", "parse-names" : false, "suffix" : "" }, { "dropping-particle" : "", "family" : "Gabet", "given" : "Yankel", "non-dropping-particle" : "", "parse-names" : false, "suffix" : "" }, { "dropping-particle" : "", "family" : "Steimatzky", "given" : "Arza", "non-dropping-particle" : "", "parse-names" : false, "suffix" : "" }, { "dropping-particle" : "", "family" : "Hamdani", "given" : "Gilad", "non-dropping-particle" : "", "parse-names" : false, "suffix" : "" }, { "dropping-particle" : "", "family" : "Bab", "given" : "Itai", "non-dropping-particle" : "", "parse-names" : false, "suffix" : "" }, { "dropping-particle" : "", "family" : "Ackerman", "given" : "Zvi", "non-dropping-particle" : "", "parse-names" : false, "suffix" : "" }, { "dropping-particle" : "", "family" : "Weinreb", "given" : "Miron", "non-dropping-particle" : "", "parse-names" : false, "suffix" : "" } ], "container-title" : "Gastroenterology", "id" : "ITEM-1", "issue" : "1", "issued" : { "date-parts" : [ [ "2008" ] ] }, "page" : "259-267", "title" : "Human Parathyroid Hormone 1-34 Prevents Bone Loss in Experimental Biliary Cirrhosis in Rats", "type" : "article-journal", "volume" : "134" }, "uris" : [ "http://www.mendeley.com/documents/?uuid=1f4c5572-ed5e-42bd-bcb3-771845da97c3" ] } ], "mendeley" : { "formattedCitation" : "&lt;sup&gt;[60]&lt;/sup&gt;", "plainTextFormattedCitation" : "[60]", "previouslyFormattedCitation" : "&lt;sup&gt;[60]&lt;/sup&gt;"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[60]</w:t>
      </w:r>
      <w:r w:rsidR="00F613A6" w:rsidRPr="002D44D6">
        <w:rPr>
          <w:rFonts w:ascii="Book Antiqua" w:hAnsi="Book Antiqua" w:cs="Arial"/>
          <w:color w:val="000000"/>
        </w:rPr>
        <w:fldChar w:fldCharType="end"/>
      </w:r>
      <w:r w:rsidR="009C114E" w:rsidRPr="002D44D6">
        <w:rPr>
          <w:rFonts w:ascii="Book Antiqua" w:hAnsi="Book Antiqua" w:cs="Arial"/>
          <w:color w:val="000000"/>
        </w:rPr>
        <w:t xml:space="preserve">. </w:t>
      </w:r>
      <w:r w:rsidRPr="002D44D6">
        <w:rPr>
          <w:rFonts w:ascii="Book Antiqua" w:hAnsi="Book Antiqua" w:cs="Arial"/>
          <w:color w:val="000000"/>
        </w:rPr>
        <w:t>No trials have been undertaken in humans with PBC.</w:t>
      </w:r>
    </w:p>
    <w:p w14:paraId="241D8369" w14:textId="77777777" w:rsidR="009E7E4A" w:rsidRPr="002D44D6" w:rsidRDefault="009E7E4A" w:rsidP="002D44D6">
      <w:pPr>
        <w:widowControl w:val="0"/>
        <w:adjustRightInd w:val="0"/>
        <w:snapToGrid w:val="0"/>
        <w:spacing w:line="360" w:lineRule="auto"/>
        <w:jc w:val="both"/>
        <w:rPr>
          <w:rFonts w:ascii="Book Antiqua" w:eastAsia="Times New Roman" w:hAnsi="Book Antiqua" w:cs="Times New Roman"/>
        </w:rPr>
      </w:pPr>
    </w:p>
    <w:p w14:paraId="5A83253D" w14:textId="6AEC5E19" w:rsidR="00783F86" w:rsidRPr="002D44D6" w:rsidRDefault="00E13F25" w:rsidP="002D44D6">
      <w:pPr>
        <w:widowControl w:val="0"/>
        <w:adjustRightInd w:val="0"/>
        <w:snapToGrid w:val="0"/>
        <w:spacing w:line="360" w:lineRule="auto"/>
        <w:jc w:val="both"/>
        <w:rPr>
          <w:rFonts w:ascii="Book Antiqua" w:hAnsi="Book Antiqua" w:cs="Arial"/>
          <w:b/>
          <w:bCs/>
          <w:i/>
          <w:color w:val="000000"/>
        </w:rPr>
      </w:pPr>
      <w:r w:rsidRPr="002D44D6">
        <w:rPr>
          <w:rFonts w:ascii="Book Antiqua" w:hAnsi="Book Antiqua" w:cs="Arial"/>
          <w:b/>
          <w:bCs/>
          <w:i/>
          <w:color w:val="000000"/>
        </w:rPr>
        <w:t>PBC-specific therapies</w:t>
      </w:r>
    </w:p>
    <w:p w14:paraId="31203E55" w14:textId="2FF56115" w:rsidR="00230B0D" w:rsidRPr="002D44D6" w:rsidRDefault="00E13F25" w:rsidP="002D44D6">
      <w:pPr>
        <w:widowControl w:val="0"/>
        <w:adjustRightInd w:val="0"/>
        <w:snapToGrid w:val="0"/>
        <w:spacing w:line="360" w:lineRule="auto"/>
        <w:jc w:val="both"/>
        <w:rPr>
          <w:rFonts w:ascii="Book Antiqua" w:hAnsi="Book Antiqua" w:cs="Arial"/>
          <w:color w:val="000000"/>
        </w:rPr>
      </w:pPr>
      <w:r w:rsidRPr="002D44D6">
        <w:rPr>
          <w:rFonts w:ascii="Book Antiqua" w:hAnsi="Book Antiqua" w:cs="Arial"/>
          <w:color w:val="000000"/>
        </w:rPr>
        <w:t xml:space="preserve">Therapies directed at PBC itself have not been </w:t>
      </w:r>
      <w:r w:rsidR="009C114E" w:rsidRPr="002D44D6">
        <w:rPr>
          <w:rFonts w:ascii="Book Antiqua" w:hAnsi="Book Antiqua" w:cs="Arial"/>
          <w:color w:val="000000"/>
        </w:rPr>
        <w:t xml:space="preserve">shown to improve bone disease. </w:t>
      </w:r>
      <w:r w:rsidRPr="002D44D6">
        <w:rPr>
          <w:rFonts w:ascii="Book Antiqua" w:hAnsi="Book Antiqua" w:cs="Arial"/>
          <w:color w:val="000000"/>
        </w:rPr>
        <w:t>Patients enrolled in a randomized, controlled trial of ursodeoxycholic acid (UDCA) were followed over a 3</w:t>
      </w:r>
      <w:r w:rsidR="00AC7817">
        <w:rPr>
          <w:rFonts w:ascii="Book Antiqua" w:eastAsia="SimSun" w:hAnsi="Book Antiqua" w:cs="Arial" w:hint="eastAsia"/>
          <w:color w:val="000000"/>
          <w:lang w:eastAsia="zh-CN"/>
        </w:rPr>
        <w:t>-</w:t>
      </w:r>
      <w:r w:rsidRPr="002D44D6">
        <w:rPr>
          <w:rFonts w:ascii="Book Antiqua" w:hAnsi="Book Antiqua" w:cs="Arial"/>
          <w:color w:val="000000"/>
        </w:rPr>
        <w:t>year period with dual</w:t>
      </w:r>
      <w:r w:rsidR="00F613A6">
        <w:rPr>
          <w:rFonts w:ascii="Book Antiqua" w:hAnsi="Book Antiqua" w:cs="Arial"/>
          <w:color w:val="000000"/>
        </w:rPr>
        <w:t xml:space="preserve">-photon densitometry annually. </w:t>
      </w:r>
      <w:r w:rsidRPr="002D44D6">
        <w:rPr>
          <w:rFonts w:ascii="Book Antiqua" w:hAnsi="Book Antiqua" w:cs="Arial"/>
          <w:color w:val="000000"/>
        </w:rPr>
        <w:t>After 3 years, there was no significant difference in lumbar BMD between UDCA and placebo</w:t>
      </w:r>
      <w:r w:rsidR="00F613A6" w:rsidRPr="002D44D6">
        <w:rPr>
          <w:rFonts w:ascii="Book Antiqua" w:hAnsi="Book Antiqua" w:cs="Arial"/>
          <w:color w:val="000000"/>
        </w:rPr>
        <w:fldChar w:fldCharType="begin" w:fldLock="1"/>
      </w:r>
      <w:r w:rsidR="00F613A6" w:rsidRPr="002D44D6">
        <w:rPr>
          <w:rFonts w:ascii="Book Antiqua" w:hAnsi="Book Antiqua" w:cs="Arial"/>
          <w:color w:val="000000"/>
        </w:rPr>
        <w:instrText>ADDIN CSL_CITATION { "citationItems" : [ { "id" : "ITEM-1", "itemData" : { "DOI" : "S0270913995000553 [pii]", "ISBN" : "0270-9139 (Print)\\r0270-9139 (Linking)", "ISSN" : "0270-9139", "PMID" : "7843710", "abstract" : "Ursodeoxycholic acid (UDCA) has been proposed as beneficial therapy for patients with primary biliary cirrhosis (PBC). The effects of UDCA on metabolic bone disease, a major source of morbidity in patients with PBC, are essentially unknown. Preliminary information suggests that UDCA may improve biochemical indices of bone disease, although information about the effects of UDCA on bone density is lacking. In this study, we describe the effects of UDCA on lumbar spine bone mineral densities over a 3-year period during which patients were enrolled in a randomized, double-blind, therapeutic trial of UDCA for the treatment of PBC. Lumbar spine dual-photon densitometry was measured at entry and annually. Eighty-eight patients, 50 in the UDCA group and 38 in the placebo group, had serial measurements available for up to 3 years. There was no statistical difference between the two treatment groups at entry with respect to histological stage, total bilirubin, age, use of calcium supplement, vitamin D levels, or estrogen. After 3 years of treatment, there was no significant difference in the lumbar spine bone densitometry measurements between the UDCA-treated and placebo groups. We conclude that, after 3 years of treatment, UDCA is not associated with statistically significant differences in the rate of bone loss from the lumbar spine in patients when compared with placebo despite beneficial effects of treatment on the underlying liver disease. Further efforts to define effective treatments for the bone disease need to be pursued.", "author" : [ { "dropping-particle" : "", "family" : "Lindor", "given" : "K D", "non-dropping-particle" : "", "parse-names" : false, "suffix" : "" }, { "dropping-particle" : "", "family" : "Janes", "given" : "C H", "non-dropping-particle" : "", "parse-names" : false, "suffix" : "" }, { "dropping-particle" : "", "family" : "Crippin", "given" : "J S", "non-dropping-particle" : "", "parse-names" : false, "suffix" : "" }, { "dropping-particle" : "", "family" : "Jorgensen", "given" : "R a", "non-dropping-particle" : "", "parse-names" : false, "suffix" : "" }, { "dropping-particle" : "", "family" : "Dickson", "given" : "E R", "non-dropping-particle" : "", "parse-names" : false, "suffix" : "" } ], "container-title" : "Hepatology", "id" : "ITEM-1", "issue" : "2", "issued" : { "date-parts" : [ [ "1995" ] ] }, "page" : "389-392", "title" : "Bone disease in primary biliary cirrhosis: does ursodeoxycholic acid make a difference?", "type" : "article-journal", "volume" : "21" }, "uris" : [ "http://www.mendeley.com/documents/?uuid=efa5d931-09a9-424d-81c5-9304b279a809" ] } ], "mendeley" : { "formattedCitation" : "&lt;sup&gt;[61]&lt;/sup&gt;", "plainTextFormattedCitation" : "[61]", "previouslyFormattedCitation" : "&lt;sup&gt;[61]&lt;/sup&gt;" }, "properties" : { "noteIndex" : 0 }, "schema" : "https://github.com/citation-style-language/schema/raw/master/csl-citation.json" }</w:instrText>
      </w:r>
      <w:r w:rsidR="00F613A6" w:rsidRPr="002D44D6">
        <w:rPr>
          <w:rFonts w:ascii="Book Antiqua" w:hAnsi="Book Antiqua" w:cs="Arial"/>
          <w:color w:val="000000"/>
        </w:rPr>
        <w:fldChar w:fldCharType="separate"/>
      </w:r>
      <w:r w:rsidR="00F613A6" w:rsidRPr="002D44D6">
        <w:rPr>
          <w:rFonts w:ascii="Book Antiqua" w:hAnsi="Book Antiqua" w:cs="Arial"/>
          <w:noProof/>
          <w:color w:val="000000"/>
          <w:vertAlign w:val="superscript"/>
        </w:rPr>
        <w:t>[61]</w:t>
      </w:r>
      <w:r w:rsidR="00F613A6" w:rsidRPr="002D44D6">
        <w:rPr>
          <w:rFonts w:ascii="Book Antiqua" w:hAnsi="Book Antiqua" w:cs="Arial"/>
          <w:color w:val="000000"/>
        </w:rPr>
        <w:fldChar w:fldCharType="end"/>
      </w:r>
      <w:r w:rsidR="009C114E" w:rsidRPr="002D44D6">
        <w:rPr>
          <w:rFonts w:ascii="Book Antiqua" w:hAnsi="Book Antiqua" w:cs="Arial"/>
          <w:color w:val="000000"/>
        </w:rPr>
        <w:t>.</w:t>
      </w:r>
      <w:r w:rsidR="00F613A6" w:rsidRPr="002D44D6">
        <w:rPr>
          <w:rFonts w:ascii="Book Antiqua" w:hAnsi="Book Antiqua" w:cs="Arial"/>
          <w:color w:val="000000"/>
        </w:rPr>
        <w:t xml:space="preserve"> </w:t>
      </w:r>
    </w:p>
    <w:p w14:paraId="7CE4308E" w14:textId="2923D256" w:rsidR="00E13F25" w:rsidRPr="00781A4A" w:rsidRDefault="00230B0D" w:rsidP="00F613A6">
      <w:pPr>
        <w:widowControl w:val="0"/>
        <w:adjustRightInd w:val="0"/>
        <w:snapToGrid w:val="0"/>
        <w:spacing w:line="360" w:lineRule="auto"/>
        <w:ind w:firstLineChars="100" w:firstLine="240"/>
        <w:jc w:val="both"/>
        <w:rPr>
          <w:rFonts w:ascii="Book Antiqua" w:eastAsia="SimSun" w:hAnsi="Book Antiqua" w:cs="Arial"/>
          <w:color w:val="000000"/>
          <w:lang w:eastAsia="zh-CN"/>
        </w:rPr>
      </w:pPr>
      <w:r w:rsidRPr="002D44D6">
        <w:rPr>
          <w:rFonts w:ascii="Book Antiqua" w:hAnsi="Book Antiqua" w:cs="Arial"/>
          <w:color w:val="000000"/>
        </w:rPr>
        <w:t>In the initial phase 3 trial of</w:t>
      </w:r>
      <w:r w:rsidR="00E13F25" w:rsidRPr="002D44D6">
        <w:rPr>
          <w:rFonts w:ascii="Book Antiqua" w:hAnsi="Book Antiqua" w:cs="Arial"/>
          <w:color w:val="000000"/>
        </w:rPr>
        <w:t xml:space="preserve"> obeti</w:t>
      </w:r>
      <w:r w:rsidRPr="002D44D6">
        <w:rPr>
          <w:rFonts w:ascii="Book Antiqua" w:hAnsi="Book Antiqua" w:cs="Arial"/>
          <w:color w:val="000000"/>
        </w:rPr>
        <w:t xml:space="preserve">cholic acid, BMD was measured at baseline and 12 </w:t>
      </w:r>
      <w:proofErr w:type="spellStart"/>
      <w:r w:rsidRPr="002D44D6">
        <w:rPr>
          <w:rFonts w:ascii="Book Antiqua" w:hAnsi="Book Antiqua" w:cs="Arial"/>
          <w:color w:val="000000"/>
        </w:rPr>
        <w:t>mo</w:t>
      </w:r>
      <w:proofErr w:type="spellEnd"/>
      <w:r w:rsidR="00781A4A" w:rsidRPr="002D44D6">
        <w:rPr>
          <w:rFonts w:ascii="Book Antiqua" w:hAnsi="Book Antiqua" w:cs="Arial"/>
          <w:color w:val="000000"/>
        </w:rPr>
        <w:fldChar w:fldCharType="begin" w:fldLock="1"/>
      </w:r>
      <w:r w:rsidR="00781A4A" w:rsidRPr="002D44D6">
        <w:rPr>
          <w:rFonts w:ascii="Book Antiqua" w:hAnsi="Book Antiqua" w:cs="Arial"/>
          <w:color w:val="000000"/>
        </w:rPr>
        <w:instrText>ADDIN CSL_CITATION { "citationItems" : [ { "id" : "ITEM-1", "itemData" : { "DOI" : "10.1056/NEJMoa1509840", "ISBN" : "1533-4406 (Electronic) 0028-4793 (Linking)", "ISSN" : "0028-4793", "PMID" : "27532829", "abstract" : "BackgroundPrimary biliary cholangitis (formerly called primary biliary cirrhosis) can progress to cirrhosis and death despite ursodiol therapy. Alkaline phosphatase and bilirubin levels correlate with the risk of liver transplantation or death. Obeticholic acid, a farnesoid X receptor agonist, has shown potential benefit in patients with this disease. MethodsIn this 12-month, double-blind, placebo-controlled, phase 3 trial, we randomly assigned 217 patients who had an inadequate response to ursodiol or who found the side effects of ursodiol unacceptable to receive obeticholic acid at a dose of 10 mg (the 10-mg group), obeticholic acid at a dose of 5 mg with adjustment to 10 mg if applicable (the 5\u201310-mg group), or placebo. The primary end point was an alkaline phosphatase level of less than 1.67 times the upper limit of the normal range, with a reduction of at least 15% from baseline, and a normal total bilirubin level. ResultsOf 216 patients who underwent randomization and received at least one dose of o...", "author" : [ { "dropping-particle" : "", "family" : "Nevens", "given" : "Frederik", "non-dropping-particle" : "", "parse-names" : false, "suffix" : "" }, { "dropping-particle" : "", "family" : "Andreone", "given" : "Pietro", "non-dropping-particle" : "", "parse-names" : false, "suffix" : "" }, { "dropping-particle" : "", "family" : "Mazzella", "given" : "Giuseppe", "non-dropping-particle" : "", "parse-names" : false, "suffix" : "" }, { "dropping-particle" : "", "family" : "Strasser", "given" : "Simone I.", "non-dropping-particle" : "", "parse-names" : false, "suffix" : "" }, { "dropping-particle" : "", "family" : "Bowlus", "given" : "Christopher", "non-dropping-particle" : "", "parse-names" : false, "suffix" : "" }, { "dropping-particle" : "", "family" : "Invernizzi", "given" : "Pietro", "non-dropping-particle" : "", "parse-names" : false, "suffix" : "" }, { "dropping-particle" : "", "family" : "Drenth", "given" : "Joost P.H.", "non-dropping-particle" : "", "parse-names" : false, "suffix" : "" }, { "dropping-particle" : "", "family" : "Pockros", "given" : "Paul J.", "non-dropping-particle" : "", "parse-names" : false, "suffix" : "" }, { "dropping-particle" : "", "family" : "Regula", "given" : "Jaroslaw", "non-dropping-particle" : "", "parse-names" : false, "suffix" : "" }, { "dropping-particle" : "", "family" : "Beuers", "given" : "Ulrich", "non-dropping-particle" : "", "parse-names" : false, "suffix" : "" }, { "dropping-particle" : "", "family" : "Trauner", "given" : "Michael", "non-dropping-particle" : "", "parse-names" : false, "suffix" : "" }, { "dropping-particle" : "", "family" : "Jones", "given" : "David E.", "non-dropping-particle" : "", "parse-names" : false, "suffix" : "" }, { "dropping-particle" : "", "family" : "Floreani", "given" : "Annarosa", "non-dropping-particle" : "", "parse-names" : false, "suffix" : "" }, { "dropping-particle" : "", "family" : "Hohenester", "given" : "Simon", "non-dropping-particle" : "", "parse-names" : false, "suffix" : "" }, { "dropping-particle" : "", "family" : "Luketic", "given" : "Velimir", "non-dropping-particle" : "", "parse-names" : false, "suffix" : "" }, { "dropping-particle" : "", "family" : "Shiffman", "given" : "Mitchell", "non-dropping-particle" : "", "parse-names" : false, "suffix" : "" }, { "dropping-particle" : "", "family" : "Erpecum", "given" : "Karel J.", "non-dropping-particle" : "van", "parse-names" : false, "suffix" : "" }, { "dropping-particle" : "", "family" : "Vargas", "given" : "Victor", "non-dropping-particle" : "", "parse-names" : false, "suffix" : "" }, { "dropping-particle" : "", "family" : "Vincent", "given" : "Catherine", "non-dropping-particle" : "", "parse-names" : false, "suffix" : "" }, { "dropping-particle" : "", "family" : "Hirschfield", "given" : "Gideon M.", "non-dropping-particle" : "", "parse-names" : false, "suffix" : "" }, { "dropping-particle" : "", "family" : "Shah", "given" : "Hemant", "non-dropping-particle" : "", "parse-names" : false, "suffix" : "" }, { "dropping-particle" : "", "family" : "Hansen", "given" : "Bettina", "non-dropping-particle" : "", "parse-names" : false, "suffix" : "" }, { "dropping-particle" : "", "family" : "Lindor", "given" : "Keith D.", "non-dropping-particle" : "", "parse-names" : false, "suffix" : "" }, { "dropping-particle" : "", "family" : "Marschall", "given" : "Hanns-Ulrich", "non-dropping-particle" : "", "parse-names" : false, "suffix" : "" }, { "dropping-particle" : "V.", "family" : "Kowdley", "given" : "Kris", "non-dropping-particle" : "", "parse-names" : false, "suffix" : "" }, { "dropping-particle" : "", "family" : "Hooshmand-Rad", "given" : "Roya", "non-dropping-particle" : "", "parse-names" : false, "suffix" : "" }, { "dropping-particle" : "", "family" : "Marmon", "given" : "Tonya", "non-dropping-particle" : "", "parse-names" : false, "suffix" : "" }, { "dropping-particle" : "", "family" : "Sheeron", "given" : "Shawn", "non-dropping-particle" : "", "parse-names" : false, "suffix" : "" }, { "dropping-particle" : "", "family" : "Pencek", "given" : "Richard", "non-dropping-particle" : "", "parse-names" : false, "suffix" : "" }, { "dropping-particle" : "", "family" : "MacConell", "given" : "Leigh", "non-dropping-particle" : "", "parse-names" : false, "suffix" : "" }, { "dropping-particle" : "", "family" : "Pruzanski", "given" : "Mark", "non-dropping-particle" : "", "parse-names" : false, "suffix" : "" }, { "dropping-particle" : "", "family" : "Shapiro", "given" : "David", "non-dropping-particle" : "", "parse-names" : false, "suffix" : "" } ], "container-title" : "New England Journal of Medicine", "id" : "ITEM-1", "issue" : "7", "issued" : { "date-parts" : [ [ "2016" ] ] }, "page" : "631-643", "title" : "A Placebo-Controlled Trial of Obeticholic Acid in Primary Biliary Cholangitis", "type" : "article-journal", "volume" : "375" }, "uris" : [ "http://www.mendeley.com/documents/?uuid=7cd2fc06-beae-4168-8c05-acfec66c257b" ] } ], "mendeley" : { "formattedCitation" : "&lt;sup&gt;[62]&lt;/sup&gt;", "plainTextFormattedCitation" : "[62]", "previouslyFormattedCitation" : "&lt;sup&gt;[62]&lt;/sup&gt;" }, "properties" : { "noteIndex" : 0 }, "schema" : "https://github.com/citation-style-language/schema/raw/master/csl-citation.json" }</w:instrText>
      </w:r>
      <w:r w:rsidR="00781A4A" w:rsidRPr="002D44D6">
        <w:rPr>
          <w:rFonts w:ascii="Book Antiqua" w:hAnsi="Book Antiqua" w:cs="Arial"/>
          <w:color w:val="000000"/>
        </w:rPr>
        <w:fldChar w:fldCharType="separate"/>
      </w:r>
      <w:r w:rsidR="00781A4A" w:rsidRPr="002D44D6">
        <w:rPr>
          <w:rFonts w:ascii="Book Antiqua" w:hAnsi="Book Antiqua" w:cs="Arial"/>
          <w:noProof/>
          <w:color w:val="000000"/>
          <w:vertAlign w:val="superscript"/>
        </w:rPr>
        <w:t>[62]</w:t>
      </w:r>
      <w:r w:rsidR="00781A4A" w:rsidRPr="002D44D6">
        <w:rPr>
          <w:rFonts w:ascii="Book Antiqua" w:hAnsi="Book Antiqua" w:cs="Arial"/>
          <w:color w:val="000000"/>
        </w:rPr>
        <w:fldChar w:fldCharType="end"/>
      </w:r>
      <w:r w:rsidR="00E13F25" w:rsidRPr="002D44D6">
        <w:rPr>
          <w:rFonts w:ascii="Book Antiqua" w:hAnsi="Book Antiqua" w:cs="Arial"/>
          <w:color w:val="000000"/>
        </w:rPr>
        <w:t>.</w:t>
      </w:r>
      <w:r w:rsidR="009C114E" w:rsidRPr="002D44D6">
        <w:rPr>
          <w:rFonts w:ascii="Book Antiqua" w:hAnsi="Book Antiqua" w:cs="Arial"/>
          <w:color w:val="000000"/>
        </w:rPr>
        <w:t xml:space="preserve"> </w:t>
      </w:r>
      <w:r w:rsidRPr="002D44D6">
        <w:rPr>
          <w:rFonts w:ascii="Book Antiqua" w:hAnsi="Book Antiqua" w:cs="Arial"/>
          <w:color w:val="000000"/>
        </w:rPr>
        <w:t>BMD continued to decline in the obeticholic acid group</w:t>
      </w:r>
      <w:r w:rsidR="00E5267E" w:rsidRPr="002D44D6">
        <w:rPr>
          <w:rFonts w:ascii="Book Antiqua" w:hAnsi="Book Antiqua" w:cs="Arial"/>
          <w:color w:val="000000"/>
        </w:rPr>
        <w:t>s (both 5</w:t>
      </w:r>
      <w:r w:rsidR="00781A4A">
        <w:rPr>
          <w:rFonts w:ascii="Book Antiqua" w:eastAsia="SimSun" w:hAnsi="Book Antiqua" w:cs="Arial" w:hint="eastAsia"/>
          <w:color w:val="000000"/>
          <w:lang w:eastAsia="zh-CN"/>
        </w:rPr>
        <w:t>-</w:t>
      </w:r>
      <w:r w:rsidR="00E5267E" w:rsidRPr="002D44D6">
        <w:rPr>
          <w:rFonts w:ascii="Book Antiqua" w:hAnsi="Book Antiqua" w:cs="Arial"/>
          <w:color w:val="000000"/>
        </w:rPr>
        <w:t>10 mg and 10 mg groups)</w:t>
      </w:r>
      <w:r w:rsidRPr="002D44D6">
        <w:rPr>
          <w:rFonts w:ascii="Book Antiqua" w:hAnsi="Book Antiqua" w:cs="Arial"/>
          <w:color w:val="000000"/>
        </w:rPr>
        <w:t xml:space="preserve">, however, this decline was significantly less at the femoral neck </w:t>
      </w:r>
      <w:r w:rsidR="00E5267E" w:rsidRPr="002D44D6">
        <w:rPr>
          <w:rFonts w:ascii="Book Antiqua" w:hAnsi="Book Antiqua" w:cs="Arial"/>
          <w:color w:val="000000"/>
        </w:rPr>
        <w:t>compared to placebo</w:t>
      </w:r>
      <w:r w:rsidR="009C114E" w:rsidRPr="002D44D6">
        <w:rPr>
          <w:rFonts w:ascii="Book Antiqua" w:hAnsi="Book Antiqua" w:cs="Arial"/>
          <w:color w:val="000000"/>
        </w:rPr>
        <w:t xml:space="preserve">. </w:t>
      </w:r>
      <w:r w:rsidRPr="002D44D6">
        <w:rPr>
          <w:rFonts w:ascii="Book Antiqua" w:hAnsi="Book Antiqua" w:cs="Arial"/>
          <w:color w:val="000000"/>
        </w:rPr>
        <w:t>BMD decreased in both groups at the lumbar spine</w:t>
      </w:r>
      <w:r w:rsidR="00E5267E" w:rsidRPr="002D44D6">
        <w:rPr>
          <w:rFonts w:ascii="Book Antiqua" w:hAnsi="Book Antiqua" w:cs="Arial"/>
          <w:color w:val="000000"/>
        </w:rPr>
        <w:t xml:space="preserve"> as well</w:t>
      </w:r>
      <w:r w:rsidRPr="002D44D6">
        <w:rPr>
          <w:rFonts w:ascii="Book Antiqua" w:hAnsi="Book Antiqua" w:cs="Arial"/>
          <w:color w:val="000000"/>
        </w:rPr>
        <w:t xml:space="preserve"> and</w:t>
      </w:r>
      <w:r w:rsidR="00E5267E" w:rsidRPr="002D44D6">
        <w:rPr>
          <w:rFonts w:ascii="Book Antiqua" w:hAnsi="Book Antiqua" w:cs="Arial"/>
          <w:color w:val="000000"/>
        </w:rPr>
        <w:t>, while there was a trend toward less decline in the obeticholic acid groups,</w:t>
      </w:r>
      <w:r w:rsidRPr="002D44D6">
        <w:rPr>
          <w:rFonts w:ascii="Book Antiqua" w:hAnsi="Book Antiqua" w:cs="Arial"/>
          <w:color w:val="000000"/>
        </w:rPr>
        <w:t xml:space="preserve"> there was no </w:t>
      </w:r>
      <w:r w:rsidR="00E5267E" w:rsidRPr="002D44D6">
        <w:rPr>
          <w:rFonts w:ascii="Book Antiqua" w:hAnsi="Book Antiqua" w:cs="Arial"/>
          <w:color w:val="000000"/>
        </w:rPr>
        <w:t xml:space="preserve">significant </w:t>
      </w:r>
      <w:r w:rsidRPr="002D44D6">
        <w:rPr>
          <w:rFonts w:ascii="Book Antiqua" w:hAnsi="Book Antiqua" w:cs="Arial"/>
          <w:color w:val="000000"/>
        </w:rPr>
        <w:t>difference</w:t>
      </w:r>
      <w:r w:rsidR="00781A4A" w:rsidRPr="002D44D6">
        <w:rPr>
          <w:rFonts w:ascii="Book Antiqua" w:hAnsi="Book Antiqua" w:cs="Arial"/>
          <w:color w:val="000000"/>
        </w:rPr>
        <w:fldChar w:fldCharType="begin" w:fldLock="1"/>
      </w:r>
      <w:r w:rsidR="00781A4A" w:rsidRPr="002D44D6">
        <w:rPr>
          <w:rFonts w:ascii="Book Antiqua" w:hAnsi="Book Antiqua" w:cs="Arial"/>
          <w:color w:val="000000"/>
        </w:rPr>
        <w:instrText>ADDIN CSL_CITATION { "citationItems" : [ { "id" : "ITEM-1", "itemData" : { "DOI" : "10.1056/NEJMoa1509840", "ISBN" : "1533-4406 (Electronic) 0028-4793 (Linking)", "ISSN" : "0028-4793", "PMID" : "27532829", "abstract" : "BackgroundPrimary biliary cholangitis (formerly called primary biliary cirrhosis) can progress to cirrhosis and death despite ursodiol therapy. Alkaline phosphatase and bilirubin levels correlate with the risk of liver transplantation or death. Obeticholic acid, a farnesoid X receptor agonist, has shown potential benefit in patients with this disease. MethodsIn this 12-month, double-blind, placebo-controlled, phase 3 trial, we randomly assigned 217 patients who had an inadequate response to ursodiol or who found the side effects of ursodiol unacceptable to receive obeticholic acid at a dose of 10 mg (the 10-mg group), obeticholic acid at a dose of 5 mg with adjustment to 10 mg if applicable (the 5\u201310-mg group), or placebo. The primary end point was an alkaline phosphatase level of less than 1.67 times the upper limit of the normal range, with a reduction of at least 15% from baseline, and a normal total bilirubin level. ResultsOf 216 patients who underwent randomization and received at least one dose of o...", "author" : [ { "dropping-particle" : "", "family" : "Nevens", "given" : "Frederik", "non-dropping-particle" : "", "parse-names" : false, "suffix" : "" }, { "dropping-particle" : "", "family" : "Andreone", "given" : "Pietro", "non-dropping-particle" : "", "parse-names" : false, "suffix" : "" }, { "dropping-particle" : "", "family" : "Mazzella", "given" : "Giuseppe", "non-dropping-particle" : "", "parse-names" : false, "suffix" : "" }, { "dropping-particle" : "", "family" : "Strasser", "given" : "Simone I.", "non-dropping-particle" : "", "parse-names" : false, "suffix" : "" }, { "dropping-particle" : "", "family" : "Bowlus", "given" : "Christopher", "non-dropping-particle" : "", "parse-names" : false, "suffix" : "" }, { "dropping-particle" : "", "family" : "Invernizzi", "given" : "Pietro", "non-dropping-particle" : "", "parse-names" : false, "suffix" : "" }, { "dropping-particle" : "", "family" : "Drenth", "given" : "Joost P.H.", "non-dropping-particle" : "", "parse-names" : false, "suffix" : "" }, { "dropping-particle" : "", "family" : "Pockros", "given" : "Paul J.", "non-dropping-particle" : "", "parse-names" : false, "suffix" : "" }, { "dropping-particle" : "", "family" : "Regula", "given" : "Jaroslaw", "non-dropping-particle" : "", "parse-names" : false, "suffix" : "" }, { "dropping-particle" : "", "family" : "Beuers", "given" : "Ulrich", "non-dropping-particle" : "", "parse-names" : false, "suffix" : "" }, { "dropping-particle" : "", "family" : "Trauner", "given" : "Michael", "non-dropping-particle" : "", "parse-names" : false, "suffix" : "" }, { "dropping-particle" : "", "family" : "Jones", "given" : "David E.", "non-dropping-particle" : "", "parse-names" : false, "suffix" : "" }, { "dropping-particle" : "", "family" : "Floreani", "given" : "Annarosa", "non-dropping-particle" : "", "parse-names" : false, "suffix" : "" }, { "dropping-particle" : "", "family" : "Hohenester", "given" : "Simon", "non-dropping-particle" : "", "parse-names" : false, "suffix" : "" }, { "dropping-particle" : "", "family" : "Luketic", "given" : "Velimir", "non-dropping-particle" : "", "parse-names" : false, "suffix" : "" }, { "dropping-particle" : "", "family" : "Shiffman", "given" : "Mitchell", "non-dropping-particle" : "", "parse-names" : false, "suffix" : "" }, { "dropping-particle" : "", "family" : "Erpecum", "given" : "Karel J.", "non-dropping-particle" : "van", "parse-names" : false, "suffix" : "" }, { "dropping-particle" : "", "family" : "Vargas", "given" : "Victor", "non-dropping-particle" : "", "parse-names" : false, "suffix" : "" }, { "dropping-particle" : "", "family" : "Vincent", "given" : "Catherine", "non-dropping-particle" : "", "parse-names" : false, "suffix" : "" }, { "dropping-particle" : "", "family" : "Hirschfield", "given" : "Gideon M.", "non-dropping-particle" : "", "parse-names" : false, "suffix" : "" }, { "dropping-particle" : "", "family" : "Shah", "given" : "Hemant", "non-dropping-particle" : "", "parse-names" : false, "suffix" : "" }, { "dropping-particle" : "", "family" : "Hansen", "given" : "Bettina", "non-dropping-particle" : "", "parse-names" : false, "suffix" : "" }, { "dropping-particle" : "", "family" : "Lindor", "given" : "Keith D.", "non-dropping-particle" : "", "parse-names" : false, "suffix" : "" }, { "dropping-particle" : "", "family" : "Marschall", "given" : "Hanns-Ulrich", "non-dropping-particle" : "", "parse-names" : false, "suffix" : "" }, { "dropping-particle" : "V.", "family" : "Kowdley", "given" : "Kris", "non-dropping-particle" : "", "parse-names" : false, "suffix" : "" }, { "dropping-particle" : "", "family" : "Hooshmand-Rad", "given" : "Roya", "non-dropping-particle" : "", "parse-names" : false, "suffix" : "" }, { "dropping-particle" : "", "family" : "Marmon", "given" : "Tonya", "non-dropping-particle" : "", "parse-names" : false, "suffix" : "" }, { "dropping-particle" : "", "family" : "Sheeron", "given" : "Shawn", "non-dropping-particle" : "", "parse-names" : false, "suffix" : "" }, { "dropping-particle" : "", "family" : "Pencek", "given" : "Richard", "non-dropping-particle" : "", "parse-names" : false, "suffix" : "" }, { "dropping-particle" : "", "family" : "MacConell", "given" : "Leigh", "non-dropping-particle" : "", "parse-names" : false, "suffix" : "" }, { "dropping-particle" : "", "family" : "Pruzanski", "given" : "Mark", "non-dropping-particle" : "", "parse-names" : false, "suffix" : "" }, { "dropping-particle" : "", "family" : "Shapiro", "given" : "David", "non-dropping-particle" : "", "parse-names" : false, "suffix" : "" } ], "container-title" : "New England Journal of Medicine", "id" : "ITEM-1", "issue" : "7", "issued" : { "date-parts" : [ [ "2016" ] ] }, "page" : "631-643", "title" : "A Placebo-Controlled Trial of Obeticholic Acid in Primary Biliary Cholangitis", "type" : "article-journal", "volume" : "375" }, "uris" : [ "http://www.mendeley.com/documents/?uuid=7cd2fc06-beae-4168-8c05-acfec66c257b" ] } ], "mendeley" : { "formattedCitation" : "&lt;sup&gt;[62]&lt;/sup&gt;", "plainTextFormattedCitation" : "[62]", "previouslyFormattedCitation" : "&lt;sup&gt;[62]&lt;/sup&gt;" }, "properties" : { "noteIndex" : 0 }, "schema" : "https://github.com/citation-style-language/schema/raw/master/csl-citation.json" }</w:instrText>
      </w:r>
      <w:r w:rsidR="00781A4A" w:rsidRPr="002D44D6">
        <w:rPr>
          <w:rFonts w:ascii="Book Antiqua" w:hAnsi="Book Antiqua" w:cs="Arial"/>
          <w:color w:val="000000"/>
        </w:rPr>
        <w:fldChar w:fldCharType="separate"/>
      </w:r>
      <w:r w:rsidR="00781A4A" w:rsidRPr="002D44D6">
        <w:rPr>
          <w:rFonts w:ascii="Book Antiqua" w:hAnsi="Book Antiqua" w:cs="Arial"/>
          <w:noProof/>
          <w:color w:val="000000"/>
          <w:vertAlign w:val="superscript"/>
        </w:rPr>
        <w:t>[62]</w:t>
      </w:r>
      <w:r w:rsidR="00781A4A" w:rsidRPr="002D44D6">
        <w:rPr>
          <w:rFonts w:ascii="Book Antiqua" w:hAnsi="Book Antiqua" w:cs="Arial"/>
          <w:color w:val="000000"/>
        </w:rPr>
        <w:fldChar w:fldCharType="end"/>
      </w:r>
      <w:r w:rsidR="009C114E" w:rsidRPr="002D44D6">
        <w:rPr>
          <w:rFonts w:ascii="Book Antiqua" w:hAnsi="Book Antiqua" w:cs="Arial"/>
          <w:color w:val="000000"/>
        </w:rPr>
        <w:t>.</w:t>
      </w:r>
      <w:r w:rsidR="00E5267E" w:rsidRPr="002D44D6">
        <w:rPr>
          <w:rFonts w:ascii="Book Antiqua" w:hAnsi="Book Antiqua" w:cs="Arial"/>
          <w:color w:val="000000"/>
        </w:rPr>
        <w:t xml:space="preserve"> There was no</w:t>
      </w:r>
      <w:r w:rsidR="00335C65" w:rsidRPr="002D44D6">
        <w:rPr>
          <w:rFonts w:ascii="Book Antiqua" w:hAnsi="Book Antiqua" w:cs="Arial"/>
          <w:color w:val="000000"/>
        </w:rPr>
        <w:t xml:space="preserve"> difference</w:t>
      </w:r>
      <w:r w:rsidR="009C114E" w:rsidRPr="002D44D6">
        <w:rPr>
          <w:rFonts w:ascii="Book Antiqua" w:hAnsi="Book Antiqua" w:cs="Arial"/>
          <w:color w:val="000000"/>
        </w:rPr>
        <w:t xml:space="preserve"> in fracture rates</w:t>
      </w:r>
      <w:r w:rsidR="00781A4A" w:rsidRPr="002D44D6">
        <w:rPr>
          <w:rFonts w:ascii="Book Antiqua" w:hAnsi="Book Antiqua" w:cs="Arial"/>
          <w:color w:val="000000"/>
        </w:rPr>
        <w:fldChar w:fldCharType="begin" w:fldLock="1"/>
      </w:r>
      <w:r w:rsidR="00781A4A" w:rsidRPr="002D44D6">
        <w:rPr>
          <w:rFonts w:ascii="Book Antiqua" w:hAnsi="Book Antiqua" w:cs="Arial"/>
          <w:color w:val="000000"/>
        </w:rPr>
        <w:instrText>ADDIN CSL_CITATION { "citationItems" : [ { "id" : "ITEM-1", "itemData" : { "DOI" : "10.1056/NEJMoa1509840", "ISBN" : "1533-4406 (Electronic) 0028-4793 (Linking)", "ISSN" : "0028-4793", "PMID" : "27532829", "abstract" : "BackgroundPrimary biliary cholangitis (formerly called primary biliary cirrhosis) can progress to cirrhosis and death despite ursodiol therapy. Alkaline phosphatase and bilirubin levels correlate with the risk of liver transplantation or death. Obeticholic acid, a farnesoid X receptor agonist, has shown potential benefit in patients with this disease. MethodsIn this 12-month, double-blind, placebo-controlled, phase 3 trial, we randomly assigned 217 patients who had an inadequate response to ursodiol or who found the side effects of ursodiol unacceptable to receive obeticholic acid at a dose of 10 mg (the 10-mg group), obeticholic acid at a dose of 5 mg with adjustment to 10 mg if applicable (the 5\u201310-mg group), or placebo. The primary end point was an alkaline phosphatase level of less than 1.67 times the upper limit of the normal range, with a reduction of at least 15% from baseline, and a normal total bilirubin level. ResultsOf 216 patients who underwent randomization and received at least one dose of o...", "author" : [ { "dropping-particle" : "", "family" : "Nevens", "given" : "Frederik", "non-dropping-particle" : "", "parse-names" : false, "suffix" : "" }, { "dropping-particle" : "", "family" : "Andreone", "given" : "Pietro", "non-dropping-particle" : "", "parse-names" : false, "suffix" : "" }, { "dropping-particle" : "", "family" : "Mazzella", "given" : "Giuseppe", "non-dropping-particle" : "", "parse-names" : false, "suffix" : "" }, { "dropping-particle" : "", "family" : "Strasser", "given" : "Simone I.", "non-dropping-particle" : "", "parse-names" : false, "suffix" : "" }, { "dropping-particle" : "", "family" : "Bowlus", "given" : "Christopher", "non-dropping-particle" : "", "parse-names" : false, "suffix" : "" }, { "dropping-particle" : "", "family" : "Invernizzi", "given" : "Pietro", "non-dropping-particle" : "", "parse-names" : false, "suffix" : "" }, { "dropping-particle" : "", "family" : "Drenth", "given" : "Joost P.H.", "non-dropping-particle" : "", "parse-names" : false, "suffix" : "" }, { "dropping-particle" : "", "family" : "Pockros", "given" : "Paul J.", "non-dropping-particle" : "", "parse-names" : false, "suffix" : "" }, { "dropping-particle" : "", "family" : "Regula", "given" : "Jaroslaw", "non-dropping-particle" : "", "parse-names" : false, "suffix" : "" }, { "dropping-particle" : "", "family" : "Beuers", "given" : "Ulrich", "non-dropping-particle" : "", "parse-names" : false, "suffix" : "" }, { "dropping-particle" : "", "family" : "Trauner", "given" : "Michael", "non-dropping-particle" : "", "parse-names" : false, "suffix" : "" }, { "dropping-particle" : "", "family" : "Jones", "given" : "David E.", "non-dropping-particle" : "", "parse-names" : false, "suffix" : "" }, { "dropping-particle" : "", "family" : "Floreani", "given" : "Annarosa", "non-dropping-particle" : "", "parse-names" : false, "suffix" : "" }, { "dropping-particle" : "", "family" : "Hohenester", "given" : "Simon", "non-dropping-particle" : "", "parse-names" : false, "suffix" : "" }, { "dropping-particle" : "", "family" : "Luketic", "given" : "Velimir", "non-dropping-particle" : "", "parse-names" : false, "suffix" : "" }, { "dropping-particle" : "", "family" : "Shiffman", "given" : "Mitchell", "non-dropping-particle" : "", "parse-names" : false, "suffix" : "" }, { "dropping-particle" : "", "family" : "Erpecum", "given" : "Karel J.", "non-dropping-particle" : "van", "parse-names" : false, "suffix" : "" }, { "dropping-particle" : "", "family" : "Vargas", "given" : "Victor", "non-dropping-particle" : "", "parse-names" : false, "suffix" : "" }, { "dropping-particle" : "", "family" : "Vincent", "given" : "Catherine", "non-dropping-particle" : "", "parse-names" : false, "suffix" : "" }, { "dropping-particle" : "", "family" : "Hirschfield", "given" : "Gideon M.", "non-dropping-particle" : "", "parse-names" : false, "suffix" : "" }, { "dropping-particle" : "", "family" : "Shah", "given" : "Hemant", "non-dropping-particle" : "", "parse-names" : false, "suffix" : "" }, { "dropping-particle" : "", "family" : "Hansen", "given" : "Bettina", "non-dropping-particle" : "", "parse-names" : false, "suffix" : "" }, { "dropping-particle" : "", "family" : "Lindor", "given" : "Keith D.", "non-dropping-particle" : "", "parse-names" : false, "suffix" : "" }, { "dropping-particle" : "", "family" : "Marschall", "given" : "Hanns-Ulrich", "non-dropping-particle" : "", "parse-names" : false, "suffix" : "" }, { "dropping-particle" : "V.", "family" : "Kowdley", "given" : "Kris", "non-dropping-particle" : "", "parse-names" : false, "suffix" : "" }, { "dropping-particle" : "", "family" : "Hooshmand-Rad", "given" : "Roya", "non-dropping-particle" : "", "parse-names" : false, "suffix" : "" }, { "dropping-particle" : "", "family" : "Marmon", "given" : "Tonya", "non-dropping-particle" : "", "parse-names" : false, "suffix" : "" }, { "dropping-particle" : "", "family" : "Sheeron", "given" : "Shawn", "non-dropping-particle" : "", "parse-names" : false, "suffix" : "" }, { "dropping-particle" : "", "family" : "Pencek", "given" : "Richard", "non-dropping-particle" : "", "parse-names" : false, "suffix" : "" }, { "dropping-particle" : "", "family" : "MacConell", "given" : "Leigh", "non-dropping-particle" : "", "parse-names" : false, "suffix" : "" }, { "dropping-particle" : "", "family" : "Pruzanski", "given" : "Mark", "non-dropping-particle" : "", "parse-names" : false, "suffix" : "" }, { "dropping-particle" : "", "family" : "Shapiro", "given" : "David", "non-dropping-particle" : "", "parse-names" : false, "suffix" : "" } ], "container-title" : "New England Journal of Medicine", "id" : "ITEM-1", "issue" : "7", "issued" : { "date-parts" : [ [ "2016" ] ] }, "page" : "631-643", "title" : "A Placebo-Controlled Trial of Obeticholic Acid in Primary Biliary Cholangitis", "type" : "article-journal", "volume" : "375" }, "uris" : [ "http://www.mendeley.com/documents/?uuid=7cd2fc06-beae-4168-8c05-acfec66c257b" ] } ], "mendeley" : { "formattedCitation" : "&lt;sup&gt;[62]&lt;/sup&gt;", "plainTextFormattedCitation" : "[62]", "previouslyFormattedCitation" : "&lt;sup&gt;[62]&lt;/sup&gt;" }, "properties" : { "noteIndex" : 0 }, "schema" : "https://github.com/citation-style-language/schema/raw/master/csl-citation.json" }</w:instrText>
      </w:r>
      <w:r w:rsidR="00781A4A" w:rsidRPr="002D44D6">
        <w:rPr>
          <w:rFonts w:ascii="Book Antiqua" w:hAnsi="Book Antiqua" w:cs="Arial"/>
          <w:color w:val="000000"/>
        </w:rPr>
        <w:fldChar w:fldCharType="separate"/>
      </w:r>
      <w:r w:rsidR="00781A4A" w:rsidRPr="002D44D6">
        <w:rPr>
          <w:rFonts w:ascii="Book Antiqua" w:hAnsi="Book Antiqua" w:cs="Arial"/>
          <w:noProof/>
          <w:color w:val="000000"/>
          <w:vertAlign w:val="superscript"/>
        </w:rPr>
        <w:t>[62]</w:t>
      </w:r>
      <w:r w:rsidR="00781A4A" w:rsidRPr="002D44D6">
        <w:rPr>
          <w:rFonts w:ascii="Book Antiqua" w:hAnsi="Book Antiqua" w:cs="Arial"/>
          <w:color w:val="000000"/>
        </w:rPr>
        <w:fldChar w:fldCharType="end"/>
      </w:r>
      <w:r w:rsidR="00335C65" w:rsidRPr="002D44D6">
        <w:rPr>
          <w:rFonts w:ascii="Book Antiqua" w:hAnsi="Book Antiqua" w:cs="Arial"/>
          <w:color w:val="000000"/>
        </w:rPr>
        <w:t>.</w:t>
      </w:r>
      <w:r w:rsidR="00781A4A">
        <w:rPr>
          <w:rFonts w:ascii="Book Antiqua" w:eastAsia="SimSun" w:hAnsi="Book Antiqua" w:cs="Arial" w:hint="eastAsia"/>
          <w:color w:val="000000"/>
          <w:lang w:eastAsia="zh-CN"/>
        </w:rPr>
        <w:t xml:space="preserve"> </w:t>
      </w:r>
    </w:p>
    <w:p w14:paraId="17C4B5A6" w14:textId="2DCED4BE" w:rsidR="000D46C4" w:rsidRPr="002D44D6" w:rsidRDefault="000D46C4" w:rsidP="00781A4A">
      <w:pPr>
        <w:widowControl w:val="0"/>
        <w:adjustRightInd w:val="0"/>
        <w:snapToGrid w:val="0"/>
        <w:spacing w:line="360" w:lineRule="auto"/>
        <w:ind w:firstLineChars="100" w:firstLine="240"/>
        <w:jc w:val="both"/>
        <w:rPr>
          <w:rFonts w:ascii="Book Antiqua" w:hAnsi="Book Antiqua" w:cs="Arial"/>
          <w:color w:val="000000"/>
        </w:rPr>
      </w:pPr>
      <w:r w:rsidRPr="002D44D6">
        <w:rPr>
          <w:rFonts w:ascii="Book Antiqua" w:hAnsi="Book Antiqua" w:cs="Arial"/>
          <w:color w:val="000000"/>
        </w:rPr>
        <w:t xml:space="preserve">No data currently exists evaluating the effects of fibrates on BMD when used to treat PBC. </w:t>
      </w:r>
    </w:p>
    <w:p w14:paraId="7CEA5893" w14:textId="77777777" w:rsidR="008838B0" w:rsidRPr="002D44D6" w:rsidRDefault="008838B0" w:rsidP="002D44D6">
      <w:pPr>
        <w:widowControl w:val="0"/>
        <w:adjustRightInd w:val="0"/>
        <w:snapToGrid w:val="0"/>
        <w:spacing w:line="360" w:lineRule="auto"/>
        <w:jc w:val="both"/>
        <w:rPr>
          <w:rFonts w:ascii="Book Antiqua" w:hAnsi="Book Antiqua" w:cs="Arial"/>
          <w:color w:val="000000"/>
        </w:rPr>
      </w:pPr>
    </w:p>
    <w:p w14:paraId="3538250A" w14:textId="29D2F406" w:rsidR="00633A74" w:rsidRPr="002D44D6" w:rsidRDefault="00B85257" w:rsidP="002D44D6">
      <w:pPr>
        <w:widowControl w:val="0"/>
        <w:adjustRightInd w:val="0"/>
        <w:snapToGrid w:val="0"/>
        <w:spacing w:line="360" w:lineRule="auto"/>
        <w:jc w:val="both"/>
        <w:rPr>
          <w:rFonts w:ascii="Book Antiqua" w:hAnsi="Book Antiqua" w:cs="Arial"/>
          <w:b/>
          <w:i/>
          <w:color w:val="000000"/>
        </w:rPr>
      </w:pPr>
      <w:r w:rsidRPr="002D44D6">
        <w:rPr>
          <w:rFonts w:ascii="Book Antiqua" w:hAnsi="Book Antiqua" w:cs="Arial"/>
          <w:b/>
          <w:i/>
          <w:color w:val="000000"/>
        </w:rPr>
        <w:t>Future therapies</w:t>
      </w:r>
    </w:p>
    <w:p w14:paraId="1D99D11E" w14:textId="752F7C95" w:rsidR="00EA3CD3" w:rsidRPr="002D44D6" w:rsidRDefault="00C75913" w:rsidP="002D44D6">
      <w:pPr>
        <w:widowControl w:val="0"/>
        <w:adjustRightInd w:val="0"/>
        <w:snapToGrid w:val="0"/>
        <w:spacing w:line="360" w:lineRule="auto"/>
        <w:jc w:val="both"/>
        <w:rPr>
          <w:rFonts w:ascii="Book Antiqua" w:hAnsi="Book Antiqua" w:cs="Arial"/>
          <w:color w:val="000000"/>
        </w:rPr>
      </w:pPr>
      <w:r w:rsidRPr="002D44D6">
        <w:rPr>
          <w:rFonts w:ascii="Book Antiqua" w:hAnsi="Book Antiqua" w:cs="Arial"/>
          <w:color w:val="000000"/>
        </w:rPr>
        <w:t xml:space="preserve">Concerns over long-term efficacy and safety of bisphosphonate use in postmenopausal osteoporosis have led to ongoing development of new medications. </w:t>
      </w:r>
      <w:r w:rsidR="00BD31AD" w:rsidRPr="002D44D6">
        <w:rPr>
          <w:rFonts w:ascii="Book Antiqua" w:hAnsi="Book Antiqua" w:cs="Arial"/>
          <w:color w:val="000000"/>
        </w:rPr>
        <w:t>Abaloparatide, a parathyroid hormone-related peptide analog, was recently approved by the Food and Drug Administration for treatment of postmenopausal osteoporosis and may avoid the pro-resorptive and hypercalcemic effects of teriparatide</w:t>
      </w:r>
      <w:r w:rsidR="00781A4A" w:rsidRPr="002D44D6">
        <w:rPr>
          <w:rFonts w:ascii="Book Antiqua" w:hAnsi="Book Antiqua" w:cs="Arial"/>
          <w:color w:val="000000"/>
        </w:rPr>
        <w:fldChar w:fldCharType="begin" w:fldLock="1"/>
      </w:r>
      <w:r w:rsidR="00781A4A" w:rsidRPr="002D44D6">
        <w:rPr>
          <w:rFonts w:ascii="Book Antiqua" w:hAnsi="Book Antiqua" w:cs="Arial"/>
          <w:color w:val="000000"/>
        </w:rPr>
        <w:instrText>ADDIN CSL_CITATION { "citationItems" : [ { "id" : "ITEM-1", "itemData" : { "DOI" : "10.1016/S2213-8587(17)30188-2", "ISSN" : "22138587", "PMID" : "28689769", "author" : [ { "dropping-particle" : "", "family" : "Khosla", "given" : "Sundeep", "non-dropping-particle" : "", "parse-names" : false, "suffix" : "" }, { "dropping-particle" : "", "family" : "Hofbauer", "given" : "Lorenz C", "non-dropping-particle" : "", "parse-names" : false, "suffix" : "" } ], "container-title" : "The Lancet Diabetes &amp; Endocrinology", "id" : "ITEM-1", "issue" : "17", "issued" : { "date-parts" : [ [ "2017" ] ] }, "publisher" : "Elsevier Ltd", "title" : "Osteoporosis treatment: recent developments and ongoing challenges", "type" : "article-journal", "volume" : "8587" }, "uris" : [ "http://www.mendeley.com/documents/?uuid=9a2ff5f0-148b-4564-a1f8-21b562059e74" ] } ], "mendeley" : { "formattedCitation" : "&lt;sup&gt;[63]&lt;/sup&gt;", "plainTextFormattedCitation" : "[63]", "previouslyFormattedCitation" : "&lt;sup&gt;[63]&lt;/sup&gt;" }, "properties" : { "noteIndex" : 0 }, "schema" : "https://github.com/citation-style-language/schema/raw/master/csl-citation.json" }</w:instrText>
      </w:r>
      <w:r w:rsidR="00781A4A" w:rsidRPr="002D44D6">
        <w:rPr>
          <w:rFonts w:ascii="Book Antiqua" w:hAnsi="Book Antiqua" w:cs="Arial"/>
          <w:color w:val="000000"/>
        </w:rPr>
        <w:fldChar w:fldCharType="separate"/>
      </w:r>
      <w:r w:rsidR="00781A4A" w:rsidRPr="002D44D6">
        <w:rPr>
          <w:rFonts w:ascii="Book Antiqua" w:hAnsi="Book Antiqua" w:cs="Arial"/>
          <w:noProof/>
          <w:color w:val="000000"/>
          <w:vertAlign w:val="superscript"/>
        </w:rPr>
        <w:t>[63]</w:t>
      </w:r>
      <w:r w:rsidR="00781A4A" w:rsidRPr="002D44D6">
        <w:rPr>
          <w:rFonts w:ascii="Book Antiqua" w:hAnsi="Book Antiqua" w:cs="Arial"/>
          <w:color w:val="000000"/>
        </w:rPr>
        <w:fldChar w:fldCharType="end"/>
      </w:r>
      <w:r w:rsidR="009C114E" w:rsidRPr="002D44D6">
        <w:rPr>
          <w:rFonts w:ascii="Book Antiqua" w:hAnsi="Book Antiqua" w:cs="Arial"/>
          <w:color w:val="000000"/>
        </w:rPr>
        <w:t>.</w:t>
      </w:r>
      <w:r w:rsidR="00335C65" w:rsidRPr="002D44D6">
        <w:rPr>
          <w:rFonts w:ascii="Book Antiqua" w:hAnsi="Book Antiqua" w:cs="Arial"/>
          <w:color w:val="000000"/>
        </w:rPr>
        <w:t xml:space="preserve"> Along with</w:t>
      </w:r>
      <w:r w:rsidR="003A2AC0" w:rsidRPr="002D44D6">
        <w:rPr>
          <w:rFonts w:ascii="Book Antiqua" w:hAnsi="Book Antiqua" w:cs="Arial"/>
          <w:color w:val="000000"/>
        </w:rPr>
        <w:t xml:space="preserve"> teriparatide, </w:t>
      </w:r>
      <w:r w:rsidR="00335C65" w:rsidRPr="002D44D6">
        <w:rPr>
          <w:rFonts w:ascii="Book Antiqua" w:hAnsi="Book Antiqua" w:cs="Arial"/>
          <w:color w:val="000000"/>
        </w:rPr>
        <w:t xml:space="preserve">these recombinant human PTH agents differ in that they promote bone formation, the primary deficit in PBC, as opposed to decrease resorption, the driving issue in postmenopausal osteoporosis and the current target of most treatments. </w:t>
      </w:r>
      <w:r w:rsidR="008A164D" w:rsidRPr="002D44D6">
        <w:rPr>
          <w:rFonts w:ascii="Book Antiqua" w:hAnsi="Book Antiqua" w:cs="Arial"/>
          <w:color w:val="000000"/>
        </w:rPr>
        <w:t>Based on our understanding of the pathogenesis of osteoporosis in PBC, f</w:t>
      </w:r>
      <w:r w:rsidR="00335C65" w:rsidRPr="002D44D6">
        <w:rPr>
          <w:rFonts w:ascii="Book Antiqua" w:hAnsi="Book Antiqua" w:cs="Arial"/>
          <w:color w:val="000000"/>
        </w:rPr>
        <w:t xml:space="preserve">uture studies should </w:t>
      </w:r>
      <w:r w:rsidR="008A164D" w:rsidRPr="002D44D6">
        <w:rPr>
          <w:rFonts w:ascii="Book Antiqua" w:hAnsi="Book Antiqua" w:cs="Arial"/>
          <w:color w:val="000000"/>
        </w:rPr>
        <w:t>include therapies that promote bone formation and ample male and premenopausal female PBC patients to decrease the likelihood that results reflect only treatment of postmenopausal osteoporosis.</w:t>
      </w:r>
    </w:p>
    <w:p w14:paraId="6781B0EC" w14:textId="48CB7F2E" w:rsidR="00BD31AD" w:rsidRPr="00781A4A" w:rsidRDefault="00BD31AD" w:rsidP="002D44D6">
      <w:pPr>
        <w:widowControl w:val="0"/>
        <w:adjustRightInd w:val="0"/>
        <w:snapToGrid w:val="0"/>
        <w:spacing w:line="360" w:lineRule="auto"/>
        <w:jc w:val="both"/>
        <w:rPr>
          <w:rFonts w:ascii="Book Antiqua" w:eastAsia="SimSun" w:hAnsi="Book Antiqua" w:cs="Arial"/>
          <w:color w:val="000000"/>
          <w:lang w:eastAsia="zh-CN"/>
        </w:rPr>
      </w:pPr>
    </w:p>
    <w:p w14:paraId="35032297" w14:textId="234F07D8" w:rsidR="00EA3CD3" w:rsidRPr="002D44D6" w:rsidRDefault="00C761F0" w:rsidP="002D44D6">
      <w:pPr>
        <w:widowControl w:val="0"/>
        <w:adjustRightInd w:val="0"/>
        <w:snapToGrid w:val="0"/>
        <w:spacing w:line="360" w:lineRule="auto"/>
        <w:jc w:val="both"/>
        <w:rPr>
          <w:rFonts w:ascii="Book Antiqua" w:hAnsi="Book Antiqua" w:cs="Arial"/>
          <w:b/>
          <w:color w:val="000000"/>
        </w:rPr>
      </w:pPr>
      <w:r w:rsidRPr="002D44D6">
        <w:rPr>
          <w:rFonts w:ascii="Book Antiqua" w:hAnsi="Book Antiqua" w:cs="Arial"/>
          <w:b/>
          <w:color w:val="000000"/>
        </w:rPr>
        <w:t>CONCLUSION</w:t>
      </w:r>
    </w:p>
    <w:p w14:paraId="7AB5C824" w14:textId="6D415321" w:rsidR="00E13F25" w:rsidRPr="00781A4A" w:rsidRDefault="00E13F25" w:rsidP="002D44D6">
      <w:pPr>
        <w:widowControl w:val="0"/>
        <w:adjustRightInd w:val="0"/>
        <w:snapToGrid w:val="0"/>
        <w:spacing w:line="360" w:lineRule="auto"/>
        <w:jc w:val="both"/>
        <w:rPr>
          <w:rFonts w:ascii="Book Antiqua" w:eastAsia="SimSun" w:hAnsi="Book Antiqua" w:cs="Times New Roman"/>
          <w:lang w:eastAsia="zh-CN"/>
        </w:rPr>
      </w:pPr>
      <w:r w:rsidRPr="002D44D6">
        <w:rPr>
          <w:rFonts w:ascii="Book Antiqua" w:hAnsi="Book Antiqua" w:cs="Arial"/>
          <w:color w:val="000000"/>
        </w:rPr>
        <w:t xml:space="preserve">Osteoporosis is a common complication of PBC resulting in </w:t>
      </w:r>
      <w:r w:rsidR="00EA3CD3" w:rsidRPr="002D44D6">
        <w:rPr>
          <w:rFonts w:ascii="Book Antiqua" w:hAnsi="Book Antiqua" w:cs="Arial"/>
          <w:color w:val="000000"/>
        </w:rPr>
        <w:t xml:space="preserve">a </w:t>
      </w:r>
      <w:r w:rsidRPr="002D44D6">
        <w:rPr>
          <w:rFonts w:ascii="Book Antiqua" w:hAnsi="Book Antiqua" w:cs="Arial"/>
          <w:color w:val="000000"/>
        </w:rPr>
        <w:t>significant</w:t>
      </w:r>
      <w:r w:rsidR="00EA3CD3" w:rsidRPr="002D44D6">
        <w:rPr>
          <w:rFonts w:ascii="Book Antiqua" w:hAnsi="Book Antiqua" w:cs="Arial"/>
          <w:color w:val="000000"/>
        </w:rPr>
        <w:t>ly</w:t>
      </w:r>
      <w:r w:rsidRPr="002D44D6">
        <w:rPr>
          <w:rFonts w:ascii="Book Antiqua" w:hAnsi="Book Antiqua" w:cs="Arial"/>
          <w:color w:val="000000"/>
        </w:rPr>
        <w:t xml:space="preserve"> increased risk of fractures especially i</w:t>
      </w:r>
      <w:r w:rsidR="00781A4A">
        <w:rPr>
          <w:rFonts w:ascii="Book Antiqua" w:hAnsi="Book Antiqua" w:cs="Arial"/>
          <w:color w:val="000000"/>
        </w:rPr>
        <w:t xml:space="preserve">n those with a T score &lt; -1.5. </w:t>
      </w:r>
      <w:r w:rsidRPr="002D44D6">
        <w:rPr>
          <w:rFonts w:ascii="Book Antiqua" w:hAnsi="Book Antiqua" w:cs="Arial"/>
          <w:color w:val="000000"/>
        </w:rPr>
        <w:t xml:space="preserve">Severity </w:t>
      </w:r>
      <w:r w:rsidR="00474D92" w:rsidRPr="002D44D6">
        <w:rPr>
          <w:rFonts w:ascii="Book Antiqua" w:hAnsi="Book Antiqua" w:cs="Arial"/>
          <w:color w:val="000000"/>
        </w:rPr>
        <w:t xml:space="preserve">of bone disease </w:t>
      </w:r>
      <w:r w:rsidRPr="002D44D6">
        <w:rPr>
          <w:rFonts w:ascii="Book Antiqua" w:hAnsi="Book Antiqua" w:cs="Arial"/>
          <w:color w:val="000000"/>
        </w:rPr>
        <w:t>is related to the severity and duration of the underlying liver dise</w:t>
      </w:r>
      <w:r w:rsidR="009C114E" w:rsidRPr="002D44D6">
        <w:rPr>
          <w:rFonts w:ascii="Book Antiqua" w:hAnsi="Book Antiqua" w:cs="Arial"/>
          <w:color w:val="000000"/>
        </w:rPr>
        <w:t xml:space="preserve">ase as well as increasing age. </w:t>
      </w:r>
      <w:r w:rsidRPr="002D44D6">
        <w:rPr>
          <w:rFonts w:ascii="Book Antiqua" w:hAnsi="Book Antiqua" w:cs="Arial"/>
          <w:color w:val="000000"/>
        </w:rPr>
        <w:t>The mechani</w:t>
      </w:r>
      <w:r w:rsidR="003A2AC0" w:rsidRPr="002D44D6">
        <w:rPr>
          <w:rFonts w:ascii="Book Antiqua" w:hAnsi="Book Antiqua" w:cs="Arial"/>
          <w:color w:val="000000"/>
        </w:rPr>
        <w:t xml:space="preserve">sm of decreased bone density primarily involves </w:t>
      </w:r>
      <w:r w:rsidRPr="002D44D6">
        <w:rPr>
          <w:rFonts w:ascii="Book Antiqua" w:hAnsi="Book Antiqua" w:cs="Arial"/>
          <w:color w:val="000000"/>
        </w:rPr>
        <w:t>decreased bone formation resulting fr</w:t>
      </w:r>
      <w:r w:rsidR="00474D92" w:rsidRPr="002D44D6">
        <w:rPr>
          <w:rFonts w:ascii="Book Antiqua" w:hAnsi="Book Antiqua" w:cs="Arial"/>
          <w:color w:val="000000"/>
        </w:rPr>
        <w:t>om decreased osteoblast function</w:t>
      </w:r>
      <w:r w:rsidR="00E02673">
        <w:rPr>
          <w:rFonts w:ascii="Book Antiqua" w:hAnsi="Book Antiqua" w:cs="Arial"/>
          <w:color w:val="000000"/>
        </w:rPr>
        <w:t xml:space="preserve">. </w:t>
      </w:r>
      <w:r w:rsidRPr="002D44D6">
        <w:rPr>
          <w:rFonts w:ascii="Book Antiqua" w:hAnsi="Book Antiqua" w:cs="Arial"/>
          <w:color w:val="000000"/>
        </w:rPr>
        <w:t>Increased bone resorption may also play a</w:t>
      </w:r>
      <w:r w:rsidR="00781A4A">
        <w:rPr>
          <w:rFonts w:ascii="Book Antiqua" w:hAnsi="Book Antiqua" w:cs="Arial"/>
          <w:color w:val="000000"/>
        </w:rPr>
        <w:t xml:space="preserve"> role in postmenopausal women. </w:t>
      </w:r>
    </w:p>
    <w:p w14:paraId="70392F9B" w14:textId="151381E3" w:rsidR="00E13F25" w:rsidRPr="002D44D6" w:rsidRDefault="00E13F25" w:rsidP="00781A4A">
      <w:pPr>
        <w:widowControl w:val="0"/>
        <w:adjustRightInd w:val="0"/>
        <w:snapToGrid w:val="0"/>
        <w:spacing w:line="360" w:lineRule="auto"/>
        <w:ind w:firstLineChars="100" w:firstLine="240"/>
        <w:jc w:val="both"/>
        <w:rPr>
          <w:rFonts w:ascii="Book Antiqua" w:hAnsi="Book Antiqua" w:cs="Arial"/>
          <w:color w:val="000000"/>
        </w:rPr>
      </w:pPr>
      <w:r w:rsidRPr="002D44D6">
        <w:rPr>
          <w:rFonts w:ascii="Book Antiqua" w:hAnsi="Book Antiqua" w:cs="Arial"/>
          <w:color w:val="000000"/>
        </w:rPr>
        <w:t>For prevention of osteoporosis, mitigation of risk factors is recommended through smoking and alcohol cessation as well as a balanced diet and re</w:t>
      </w:r>
      <w:r w:rsidR="009C114E" w:rsidRPr="002D44D6">
        <w:rPr>
          <w:rFonts w:ascii="Book Antiqua" w:hAnsi="Book Antiqua" w:cs="Arial"/>
          <w:color w:val="000000"/>
        </w:rPr>
        <w:t xml:space="preserve">gular weight-bearing exercise. </w:t>
      </w:r>
      <w:r w:rsidRPr="002D44D6">
        <w:rPr>
          <w:rFonts w:ascii="Book Antiqua" w:hAnsi="Book Antiqua" w:cs="Arial"/>
          <w:color w:val="000000"/>
        </w:rPr>
        <w:t>Treatment is recommended in patients who have experienced fractures or have osteoporosis (T score &lt; -2.5), though may also be considered in those</w:t>
      </w:r>
      <w:r w:rsidR="009C114E" w:rsidRPr="002D44D6">
        <w:rPr>
          <w:rFonts w:ascii="Book Antiqua" w:hAnsi="Book Antiqua" w:cs="Arial"/>
          <w:color w:val="000000"/>
        </w:rPr>
        <w:t xml:space="preserve"> with a T score &lt; -1.5 in PBC. </w:t>
      </w:r>
      <w:r w:rsidRPr="002D44D6">
        <w:rPr>
          <w:rFonts w:ascii="Book Antiqua" w:hAnsi="Book Antiqua" w:cs="Arial"/>
          <w:color w:val="000000"/>
        </w:rPr>
        <w:t xml:space="preserve">No treatment has been </w:t>
      </w:r>
      <w:r w:rsidRPr="002D44D6">
        <w:rPr>
          <w:rFonts w:ascii="Book Antiqua" w:hAnsi="Book Antiqua" w:cs="Arial"/>
          <w:color w:val="000000"/>
        </w:rPr>
        <w:lastRenderedPageBreak/>
        <w:t xml:space="preserve">adequately shown to reduce fractures in PBC, though the bisphosphonates ibandronate and alendronate </w:t>
      </w:r>
      <w:r w:rsidR="008A164D" w:rsidRPr="002D44D6">
        <w:rPr>
          <w:rFonts w:ascii="Book Antiqua" w:hAnsi="Book Antiqua" w:cs="Arial"/>
          <w:color w:val="000000"/>
        </w:rPr>
        <w:t>may</w:t>
      </w:r>
      <w:r w:rsidRPr="002D44D6">
        <w:rPr>
          <w:rFonts w:ascii="Book Antiqua" w:hAnsi="Book Antiqua" w:cs="Arial"/>
          <w:color w:val="000000"/>
        </w:rPr>
        <w:t xml:space="preserve"> b</w:t>
      </w:r>
      <w:r w:rsidR="009C114E" w:rsidRPr="002D44D6">
        <w:rPr>
          <w:rFonts w:ascii="Book Antiqua" w:hAnsi="Book Antiqua" w:cs="Arial"/>
          <w:color w:val="000000"/>
        </w:rPr>
        <w:t xml:space="preserve">e effective in increasing BMD. </w:t>
      </w:r>
      <w:r w:rsidRPr="002D44D6">
        <w:rPr>
          <w:rFonts w:ascii="Book Antiqua" w:hAnsi="Book Antiqua" w:cs="Arial"/>
          <w:color w:val="000000"/>
        </w:rPr>
        <w:t xml:space="preserve">HRT may also be effective in improving BMD in PBC, </w:t>
      </w:r>
      <w:r w:rsidR="009C114E" w:rsidRPr="002D44D6">
        <w:rPr>
          <w:rFonts w:ascii="Book Antiqua" w:hAnsi="Book Antiqua" w:cs="Arial"/>
          <w:color w:val="000000"/>
        </w:rPr>
        <w:t xml:space="preserve">though with more side effects. </w:t>
      </w:r>
      <w:r w:rsidRPr="002D44D6">
        <w:rPr>
          <w:rFonts w:ascii="Book Antiqua" w:hAnsi="Book Antiqua" w:cs="Arial"/>
          <w:color w:val="000000"/>
        </w:rPr>
        <w:t>Treatment of the</w:t>
      </w:r>
      <w:r w:rsidR="008A164D" w:rsidRPr="002D44D6">
        <w:rPr>
          <w:rFonts w:ascii="Book Antiqua" w:hAnsi="Book Antiqua" w:cs="Arial"/>
          <w:color w:val="000000"/>
        </w:rPr>
        <w:t xml:space="preserve"> underlying liver disease with U</w:t>
      </w:r>
      <w:r w:rsidRPr="002D44D6">
        <w:rPr>
          <w:rFonts w:ascii="Book Antiqua" w:hAnsi="Book Antiqua" w:cs="Arial"/>
          <w:color w:val="000000"/>
        </w:rPr>
        <w:t>DCA</w:t>
      </w:r>
      <w:r w:rsidR="008A164D" w:rsidRPr="002D44D6">
        <w:rPr>
          <w:rFonts w:ascii="Book Antiqua" w:hAnsi="Book Antiqua" w:cs="Arial"/>
          <w:color w:val="000000"/>
        </w:rPr>
        <w:t xml:space="preserve"> or OCA</w:t>
      </w:r>
      <w:r w:rsidRPr="002D44D6">
        <w:rPr>
          <w:rFonts w:ascii="Book Antiqua" w:hAnsi="Book Antiqua" w:cs="Arial"/>
          <w:color w:val="000000"/>
        </w:rPr>
        <w:t xml:space="preserve"> does not appear to eff</w:t>
      </w:r>
      <w:r w:rsidR="008A164D" w:rsidRPr="002D44D6">
        <w:rPr>
          <w:rFonts w:ascii="Book Antiqua" w:hAnsi="Book Antiqua" w:cs="Arial"/>
          <w:color w:val="000000"/>
        </w:rPr>
        <w:t>ectively treat the bone disease</w:t>
      </w:r>
      <w:r w:rsidR="009D3CB1" w:rsidRPr="002D44D6">
        <w:rPr>
          <w:rFonts w:ascii="Book Antiqua" w:hAnsi="Book Antiqua" w:cs="Arial"/>
          <w:color w:val="000000"/>
        </w:rPr>
        <w:t>.</w:t>
      </w:r>
      <w:r w:rsidR="009C114E" w:rsidRPr="002D44D6">
        <w:rPr>
          <w:rFonts w:ascii="Book Antiqua" w:hAnsi="Book Antiqua" w:cs="Arial"/>
          <w:color w:val="000000"/>
        </w:rPr>
        <w:t xml:space="preserve"> </w:t>
      </w:r>
      <w:r w:rsidRPr="002D44D6">
        <w:rPr>
          <w:rFonts w:ascii="Book Antiqua" w:hAnsi="Book Antiqua" w:cs="Arial"/>
          <w:color w:val="000000"/>
        </w:rPr>
        <w:t>Ultimately</w:t>
      </w:r>
      <w:r w:rsidR="008A164D" w:rsidRPr="002D44D6">
        <w:rPr>
          <w:rFonts w:ascii="Book Antiqua" w:hAnsi="Book Antiqua" w:cs="Arial"/>
          <w:color w:val="000000"/>
        </w:rPr>
        <w:t xml:space="preserve"> further research is required, with special attention to </w:t>
      </w:r>
      <w:r w:rsidR="00B85257" w:rsidRPr="002D44D6">
        <w:rPr>
          <w:rFonts w:ascii="Book Antiqua" w:hAnsi="Book Antiqua" w:cs="Arial"/>
          <w:color w:val="000000"/>
        </w:rPr>
        <w:t>anabolic bone</w:t>
      </w:r>
      <w:r w:rsidR="008A164D" w:rsidRPr="002D44D6">
        <w:rPr>
          <w:rFonts w:ascii="Book Antiqua" w:hAnsi="Book Antiqua" w:cs="Arial"/>
          <w:color w:val="000000"/>
        </w:rPr>
        <w:t xml:space="preserve"> agents, to identify effective treatment in PBC-related osteoporosis</w:t>
      </w:r>
      <w:r w:rsidRPr="002D44D6">
        <w:rPr>
          <w:rFonts w:ascii="Book Antiqua" w:hAnsi="Book Antiqua" w:cs="Arial"/>
          <w:color w:val="000000"/>
        </w:rPr>
        <w:t>.</w:t>
      </w:r>
    </w:p>
    <w:p w14:paraId="208B300A" w14:textId="77777777" w:rsidR="00C03BF6" w:rsidRPr="002D44D6" w:rsidRDefault="00C03BF6" w:rsidP="002D44D6">
      <w:pPr>
        <w:widowControl w:val="0"/>
        <w:adjustRightInd w:val="0"/>
        <w:snapToGrid w:val="0"/>
        <w:spacing w:line="360" w:lineRule="auto"/>
        <w:jc w:val="both"/>
        <w:rPr>
          <w:rFonts w:ascii="Book Antiqua" w:hAnsi="Book Antiqua" w:cs="Arial"/>
          <w:color w:val="000000"/>
        </w:rPr>
      </w:pPr>
    </w:p>
    <w:p w14:paraId="7370A47B" w14:textId="77777777" w:rsidR="008A164D" w:rsidRPr="002D44D6" w:rsidRDefault="008A164D" w:rsidP="002D44D6">
      <w:pPr>
        <w:widowControl w:val="0"/>
        <w:autoSpaceDE w:val="0"/>
        <w:autoSpaceDN w:val="0"/>
        <w:adjustRightInd w:val="0"/>
        <w:snapToGrid w:val="0"/>
        <w:spacing w:line="360" w:lineRule="auto"/>
        <w:jc w:val="both"/>
        <w:rPr>
          <w:rFonts w:ascii="Book Antiqua" w:hAnsi="Book Antiqua" w:cs="Arial"/>
          <w:b/>
          <w:color w:val="000000"/>
        </w:rPr>
      </w:pPr>
      <w:r w:rsidRPr="002D44D6">
        <w:rPr>
          <w:rFonts w:ascii="Book Antiqua" w:hAnsi="Book Antiqua" w:cs="Arial"/>
          <w:b/>
          <w:color w:val="000000"/>
        </w:rPr>
        <w:br w:type="page"/>
      </w:r>
    </w:p>
    <w:p w14:paraId="1DC15D9A" w14:textId="7522A386" w:rsidR="00C03BF6" w:rsidRPr="002D44D6" w:rsidRDefault="00C761F0" w:rsidP="002D44D6">
      <w:pPr>
        <w:widowControl w:val="0"/>
        <w:autoSpaceDE w:val="0"/>
        <w:autoSpaceDN w:val="0"/>
        <w:adjustRightInd w:val="0"/>
        <w:snapToGrid w:val="0"/>
        <w:spacing w:line="360" w:lineRule="auto"/>
        <w:jc w:val="both"/>
        <w:rPr>
          <w:rFonts w:ascii="Book Antiqua" w:hAnsi="Book Antiqua" w:cs="Times New Roman"/>
        </w:rPr>
      </w:pPr>
      <w:r w:rsidRPr="002D44D6">
        <w:rPr>
          <w:rFonts w:ascii="Book Antiqua" w:hAnsi="Book Antiqua" w:cs="Arial"/>
          <w:b/>
          <w:color w:val="000000"/>
        </w:rPr>
        <w:lastRenderedPageBreak/>
        <w:t>REFERENCES</w:t>
      </w:r>
    </w:p>
    <w:p w14:paraId="43725094"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1 </w:t>
      </w:r>
      <w:r w:rsidRPr="00B529BA">
        <w:rPr>
          <w:rFonts w:ascii="Book Antiqua" w:eastAsia="SimSun" w:hAnsi="Book Antiqua" w:cs="Times New Roman"/>
          <w:b/>
          <w:kern w:val="2"/>
          <w:lang w:eastAsia="zh-CN"/>
        </w:rPr>
        <w:t>Newton J</w:t>
      </w:r>
      <w:r w:rsidRPr="00B529BA">
        <w:rPr>
          <w:rFonts w:ascii="Book Antiqua" w:eastAsia="SimSun" w:hAnsi="Book Antiqua" w:cs="Times New Roman"/>
          <w:kern w:val="2"/>
          <w:lang w:eastAsia="zh-CN"/>
        </w:rPr>
        <w:t xml:space="preserve">, Francis R, Prince M, James O, </w:t>
      </w:r>
      <w:proofErr w:type="spellStart"/>
      <w:r w:rsidRPr="00B529BA">
        <w:rPr>
          <w:rFonts w:ascii="Book Antiqua" w:eastAsia="SimSun" w:hAnsi="Book Antiqua" w:cs="Times New Roman"/>
          <w:kern w:val="2"/>
          <w:lang w:eastAsia="zh-CN"/>
        </w:rPr>
        <w:t>Bassendine</w:t>
      </w:r>
      <w:proofErr w:type="spellEnd"/>
      <w:r w:rsidRPr="00B529BA">
        <w:rPr>
          <w:rFonts w:ascii="Book Antiqua" w:eastAsia="SimSun" w:hAnsi="Book Antiqua" w:cs="Times New Roman"/>
          <w:kern w:val="2"/>
          <w:lang w:eastAsia="zh-CN"/>
        </w:rPr>
        <w:t xml:space="preserve"> M, Rawlings D, Jones D. Osteoporosis in primary biliary cirrhosis revisited. </w:t>
      </w:r>
      <w:r w:rsidRPr="00B529BA">
        <w:rPr>
          <w:rFonts w:ascii="Book Antiqua" w:eastAsia="SimSun" w:hAnsi="Book Antiqua" w:cs="Times New Roman"/>
          <w:i/>
          <w:kern w:val="2"/>
          <w:lang w:eastAsia="zh-CN"/>
        </w:rPr>
        <w:t>Gut</w:t>
      </w:r>
      <w:r w:rsidRPr="00B529BA">
        <w:rPr>
          <w:rFonts w:ascii="Book Antiqua" w:eastAsia="SimSun" w:hAnsi="Book Antiqua" w:cs="Times New Roman"/>
          <w:kern w:val="2"/>
          <w:lang w:eastAsia="zh-CN"/>
        </w:rPr>
        <w:t xml:space="preserve"> 2001; </w:t>
      </w:r>
      <w:r w:rsidRPr="00B529BA">
        <w:rPr>
          <w:rFonts w:ascii="Book Antiqua" w:eastAsia="SimSun" w:hAnsi="Book Antiqua" w:cs="Times New Roman"/>
          <w:b/>
          <w:kern w:val="2"/>
          <w:lang w:eastAsia="zh-CN"/>
        </w:rPr>
        <w:t>49</w:t>
      </w:r>
      <w:r w:rsidRPr="00B529BA">
        <w:rPr>
          <w:rFonts w:ascii="Book Antiqua" w:eastAsia="SimSun" w:hAnsi="Book Antiqua" w:cs="Times New Roman"/>
          <w:kern w:val="2"/>
          <w:lang w:eastAsia="zh-CN"/>
        </w:rPr>
        <w:t>: 282-287 [PMID: 11454807 DOI: 10.1136/gut.49.2.282]</w:t>
      </w:r>
    </w:p>
    <w:p w14:paraId="138A246C"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2 </w:t>
      </w:r>
      <w:proofErr w:type="spellStart"/>
      <w:r w:rsidRPr="00B529BA">
        <w:rPr>
          <w:rFonts w:ascii="Book Antiqua" w:eastAsia="SimSun" w:hAnsi="Book Antiqua" w:cs="Times New Roman"/>
          <w:b/>
          <w:kern w:val="2"/>
          <w:lang w:eastAsia="zh-CN"/>
        </w:rPr>
        <w:t>Guañabens</w:t>
      </w:r>
      <w:proofErr w:type="spellEnd"/>
      <w:r w:rsidRPr="00B529BA">
        <w:rPr>
          <w:rFonts w:ascii="Book Antiqua" w:eastAsia="SimSun" w:hAnsi="Book Antiqua" w:cs="Times New Roman"/>
          <w:b/>
          <w:kern w:val="2"/>
          <w:lang w:eastAsia="zh-CN"/>
        </w:rPr>
        <w:t xml:space="preserve"> N</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Parés</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Ros</w:t>
      </w:r>
      <w:proofErr w:type="spellEnd"/>
      <w:r w:rsidRPr="00B529BA">
        <w:rPr>
          <w:rFonts w:ascii="Book Antiqua" w:eastAsia="SimSun" w:hAnsi="Book Antiqua" w:cs="Times New Roman"/>
          <w:kern w:val="2"/>
          <w:lang w:eastAsia="zh-CN"/>
        </w:rPr>
        <w:t xml:space="preserve"> I, </w:t>
      </w:r>
      <w:proofErr w:type="spellStart"/>
      <w:r w:rsidRPr="00B529BA">
        <w:rPr>
          <w:rFonts w:ascii="Book Antiqua" w:eastAsia="SimSun" w:hAnsi="Book Antiqua" w:cs="Times New Roman"/>
          <w:kern w:val="2"/>
          <w:lang w:eastAsia="zh-CN"/>
        </w:rPr>
        <w:t>Caballería</w:t>
      </w:r>
      <w:proofErr w:type="spellEnd"/>
      <w:r w:rsidRPr="00B529BA">
        <w:rPr>
          <w:rFonts w:ascii="Book Antiqua" w:eastAsia="SimSun" w:hAnsi="Book Antiqua" w:cs="Times New Roman"/>
          <w:kern w:val="2"/>
          <w:lang w:eastAsia="zh-CN"/>
        </w:rPr>
        <w:t xml:space="preserve"> L, Pons F, Vidal S, </w:t>
      </w:r>
      <w:proofErr w:type="spellStart"/>
      <w:r w:rsidRPr="00B529BA">
        <w:rPr>
          <w:rFonts w:ascii="Book Antiqua" w:eastAsia="SimSun" w:hAnsi="Book Antiqua" w:cs="Times New Roman"/>
          <w:kern w:val="2"/>
          <w:lang w:eastAsia="zh-CN"/>
        </w:rPr>
        <w:t>Monegal</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Peris</w:t>
      </w:r>
      <w:proofErr w:type="spellEnd"/>
      <w:r w:rsidRPr="00B529BA">
        <w:rPr>
          <w:rFonts w:ascii="Book Antiqua" w:eastAsia="SimSun" w:hAnsi="Book Antiqua" w:cs="Times New Roman"/>
          <w:kern w:val="2"/>
          <w:lang w:eastAsia="zh-CN"/>
        </w:rPr>
        <w:t xml:space="preserve"> P, </w:t>
      </w:r>
      <w:proofErr w:type="spellStart"/>
      <w:r w:rsidRPr="00B529BA">
        <w:rPr>
          <w:rFonts w:ascii="Book Antiqua" w:eastAsia="SimSun" w:hAnsi="Book Antiqua" w:cs="Times New Roman"/>
          <w:kern w:val="2"/>
          <w:lang w:eastAsia="zh-CN"/>
        </w:rPr>
        <w:t>Rodés</w:t>
      </w:r>
      <w:proofErr w:type="spellEnd"/>
      <w:r w:rsidRPr="00B529BA">
        <w:rPr>
          <w:rFonts w:ascii="Book Antiqua" w:eastAsia="SimSun" w:hAnsi="Book Antiqua" w:cs="Times New Roman"/>
          <w:kern w:val="2"/>
          <w:lang w:eastAsia="zh-CN"/>
        </w:rPr>
        <w:t xml:space="preserve"> J. Severity of cholestasis and advanced histological stage but not menopausal status are the major risk factors for osteoporosis in primary biliary cirrhosis. </w:t>
      </w:r>
      <w:r w:rsidRPr="00B529BA">
        <w:rPr>
          <w:rFonts w:ascii="Book Antiqua" w:eastAsia="SimSun" w:hAnsi="Book Antiqua" w:cs="Times New Roman"/>
          <w:i/>
          <w:kern w:val="2"/>
          <w:lang w:eastAsia="zh-CN"/>
        </w:rPr>
        <w:t xml:space="preserve">J </w:t>
      </w:r>
      <w:proofErr w:type="spellStart"/>
      <w:r w:rsidRPr="00B529BA">
        <w:rPr>
          <w:rFonts w:ascii="Book Antiqua" w:eastAsia="SimSun" w:hAnsi="Book Antiqua" w:cs="Times New Roman"/>
          <w:i/>
          <w:kern w:val="2"/>
          <w:lang w:eastAsia="zh-CN"/>
        </w:rPr>
        <w:t>Hepatol</w:t>
      </w:r>
      <w:proofErr w:type="spellEnd"/>
      <w:r w:rsidRPr="00B529BA">
        <w:rPr>
          <w:rFonts w:ascii="Book Antiqua" w:eastAsia="SimSun" w:hAnsi="Book Antiqua" w:cs="Times New Roman"/>
          <w:kern w:val="2"/>
          <w:lang w:eastAsia="zh-CN"/>
        </w:rPr>
        <w:t xml:space="preserve"> 2005; </w:t>
      </w:r>
      <w:r w:rsidRPr="00B529BA">
        <w:rPr>
          <w:rFonts w:ascii="Book Antiqua" w:eastAsia="SimSun" w:hAnsi="Book Antiqua" w:cs="Times New Roman"/>
          <w:b/>
          <w:kern w:val="2"/>
          <w:lang w:eastAsia="zh-CN"/>
        </w:rPr>
        <w:t>42</w:t>
      </w:r>
      <w:r w:rsidRPr="00B529BA">
        <w:rPr>
          <w:rFonts w:ascii="Book Antiqua" w:eastAsia="SimSun" w:hAnsi="Book Antiqua" w:cs="Times New Roman"/>
          <w:kern w:val="2"/>
          <w:lang w:eastAsia="zh-CN"/>
        </w:rPr>
        <w:t>: 573-577 [PMID: 15763344 DOI: 10.1016/j.jhep.2004.11.035]</w:t>
      </w:r>
    </w:p>
    <w:p w14:paraId="35A3F0DE"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3 </w:t>
      </w:r>
      <w:proofErr w:type="spellStart"/>
      <w:r w:rsidRPr="00B529BA">
        <w:rPr>
          <w:rFonts w:ascii="Book Antiqua" w:eastAsia="SimSun" w:hAnsi="Book Antiqua" w:cs="Times New Roman"/>
          <w:b/>
          <w:kern w:val="2"/>
          <w:lang w:eastAsia="zh-CN"/>
        </w:rPr>
        <w:t>Guañabens</w:t>
      </w:r>
      <w:proofErr w:type="spellEnd"/>
      <w:r w:rsidRPr="00B529BA">
        <w:rPr>
          <w:rFonts w:ascii="Book Antiqua" w:eastAsia="SimSun" w:hAnsi="Book Antiqua" w:cs="Times New Roman"/>
          <w:b/>
          <w:kern w:val="2"/>
          <w:lang w:eastAsia="zh-CN"/>
        </w:rPr>
        <w:t xml:space="preserve"> N</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Cerdá</w:t>
      </w:r>
      <w:proofErr w:type="spellEnd"/>
      <w:r w:rsidRPr="00B529BA">
        <w:rPr>
          <w:rFonts w:ascii="Book Antiqua" w:eastAsia="SimSun" w:hAnsi="Book Antiqua" w:cs="Times New Roman"/>
          <w:kern w:val="2"/>
          <w:lang w:eastAsia="zh-CN"/>
        </w:rPr>
        <w:t xml:space="preserve"> D, </w:t>
      </w:r>
      <w:proofErr w:type="spellStart"/>
      <w:r w:rsidRPr="00B529BA">
        <w:rPr>
          <w:rFonts w:ascii="Book Antiqua" w:eastAsia="SimSun" w:hAnsi="Book Antiqua" w:cs="Times New Roman"/>
          <w:kern w:val="2"/>
          <w:lang w:eastAsia="zh-CN"/>
        </w:rPr>
        <w:t>Monegal</w:t>
      </w:r>
      <w:proofErr w:type="spellEnd"/>
      <w:r w:rsidRPr="00B529BA">
        <w:rPr>
          <w:rFonts w:ascii="Book Antiqua" w:eastAsia="SimSun" w:hAnsi="Book Antiqua" w:cs="Times New Roman"/>
          <w:kern w:val="2"/>
          <w:lang w:eastAsia="zh-CN"/>
        </w:rPr>
        <w:t xml:space="preserve"> A, Pons F, </w:t>
      </w:r>
      <w:proofErr w:type="spellStart"/>
      <w:r w:rsidRPr="00B529BA">
        <w:rPr>
          <w:rFonts w:ascii="Book Antiqua" w:eastAsia="SimSun" w:hAnsi="Book Antiqua" w:cs="Times New Roman"/>
          <w:kern w:val="2"/>
          <w:lang w:eastAsia="zh-CN"/>
        </w:rPr>
        <w:t>Caballería</w:t>
      </w:r>
      <w:proofErr w:type="spellEnd"/>
      <w:r w:rsidRPr="00B529BA">
        <w:rPr>
          <w:rFonts w:ascii="Book Antiqua" w:eastAsia="SimSun" w:hAnsi="Book Antiqua" w:cs="Times New Roman"/>
          <w:kern w:val="2"/>
          <w:lang w:eastAsia="zh-CN"/>
        </w:rPr>
        <w:t xml:space="preserve"> L, </w:t>
      </w:r>
      <w:proofErr w:type="spellStart"/>
      <w:r w:rsidRPr="00B529BA">
        <w:rPr>
          <w:rFonts w:ascii="Book Antiqua" w:eastAsia="SimSun" w:hAnsi="Book Antiqua" w:cs="Times New Roman"/>
          <w:kern w:val="2"/>
          <w:lang w:eastAsia="zh-CN"/>
        </w:rPr>
        <w:t>Peris</w:t>
      </w:r>
      <w:proofErr w:type="spellEnd"/>
      <w:r w:rsidRPr="00B529BA">
        <w:rPr>
          <w:rFonts w:ascii="Book Antiqua" w:eastAsia="SimSun" w:hAnsi="Book Antiqua" w:cs="Times New Roman"/>
          <w:kern w:val="2"/>
          <w:lang w:eastAsia="zh-CN"/>
        </w:rPr>
        <w:t xml:space="preserve"> P, </w:t>
      </w:r>
      <w:proofErr w:type="spellStart"/>
      <w:r w:rsidRPr="00B529BA">
        <w:rPr>
          <w:rFonts w:ascii="Book Antiqua" w:eastAsia="SimSun" w:hAnsi="Book Antiqua" w:cs="Times New Roman"/>
          <w:kern w:val="2"/>
          <w:lang w:eastAsia="zh-CN"/>
        </w:rPr>
        <w:t>Parés</w:t>
      </w:r>
      <w:proofErr w:type="spellEnd"/>
      <w:r w:rsidRPr="00B529BA">
        <w:rPr>
          <w:rFonts w:ascii="Book Antiqua" w:eastAsia="SimSun" w:hAnsi="Book Antiqua" w:cs="Times New Roman"/>
          <w:kern w:val="2"/>
          <w:lang w:eastAsia="zh-CN"/>
        </w:rPr>
        <w:t xml:space="preserve"> A. Low bone mass and severity of cholestasis affect fracture risk in patients with primary biliary cirrhosis. </w:t>
      </w:r>
      <w:r w:rsidRPr="00B529BA">
        <w:rPr>
          <w:rFonts w:ascii="Book Antiqua" w:eastAsia="SimSun" w:hAnsi="Book Antiqua" w:cs="Times New Roman"/>
          <w:i/>
          <w:kern w:val="2"/>
          <w:lang w:eastAsia="zh-CN"/>
        </w:rPr>
        <w:t>Gastroenterology</w:t>
      </w:r>
      <w:r w:rsidRPr="00B529BA">
        <w:rPr>
          <w:rFonts w:ascii="Book Antiqua" w:eastAsia="SimSun" w:hAnsi="Book Antiqua" w:cs="Times New Roman"/>
          <w:kern w:val="2"/>
          <w:lang w:eastAsia="zh-CN"/>
        </w:rPr>
        <w:t xml:space="preserve"> 2010; </w:t>
      </w:r>
      <w:r w:rsidRPr="00B529BA">
        <w:rPr>
          <w:rFonts w:ascii="Book Antiqua" w:eastAsia="SimSun" w:hAnsi="Book Antiqua" w:cs="Times New Roman"/>
          <w:b/>
          <w:kern w:val="2"/>
          <w:lang w:eastAsia="zh-CN"/>
        </w:rPr>
        <w:t>138</w:t>
      </w:r>
      <w:r w:rsidRPr="00B529BA">
        <w:rPr>
          <w:rFonts w:ascii="Book Antiqua" w:eastAsia="SimSun" w:hAnsi="Book Antiqua" w:cs="Times New Roman"/>
          <w:kern w:val="2"/>
          <w:lang w:eastAsia="zh-CN"/>
        </w:rPr>
        <w:t>: 2348-2356 [PMID: 20178794 DOI: 10.1053/j.gastro.2010.02.016]</w:t>
      </w:r>
    </w:p>
    <w:p w14:paraId="6D5C3FE0"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4 </w:t>
      </w:r>
      <w:proofErr w:type="spellStart"/>
      <w:r w:rsidRPr="00B529BA">
        <w:rPr>
          <w:rFonts w:ascii="Book Antiqua" w:eastAsia="SimSun" w:hAnsi="Book Antiqua" w:cs="Times New Roman"/>
          <w:b/>
          <w:kern w:val="2"/>
          <w:lang w:eastAsia="zh-CN"/>
        </w:rPr>
        <w:t>Guichelaar</w:t>
      </w:r>
      <w:proofErr w:type="spellEnd"/>
      <w:r w:rsidRPr="00B529BA">
        <w:rPr>
          <w:rFonts w:ascii="Book Antiqua" w:eastAsia="SimSun" w:hAnsi="Book Antiqua" w:cs="Times New Roman"/>
          <w:b/>
          <w:kern w:val="2"/>
          <w:lang w:eastAsia="zh-CN"/>
        </w:rPr>
        <w:t xml:space="preserve"> MM</w:t>
      </w:r>
      <w:r w:rsidRPr="00B529BA">
        <w:rPr>
          <w:rFonts w:ascii="Book Antiqua" w:eastAsia="SimSun" w:hAnsi="Book Antiqua" w:cs="Times New Roman"/>
          <w:kern w:val="2"/>
          <w:lang w:eastAsia="zh-CN"/>
        </w:rPr>
        <w:t xml:space="preserve">, Kendall R, </w:t>
      </w:r>
      <w:proofErr w:type="spellStart"/>
      <w:r w:rsidRPr="00B529BA">
        <w:rPr>
          <w:rFonts w:ascii="Book Antiqua" w:eastAsia="SimSun" w:hAnsi="Book Antiqua" w:cs="Times New Roman"/>
          <w:kern w:val="2"/>
          <w:lang w:eastAsia="zh-CN"/>
        </w:rPr>
        <w:t>Malinchoc</w:t>
      </w:r>
      <w:proofErr w:type="spellEnd"/>
      <w:r w:rsidRPr="00B529BA">
        <w:rPr>
          <w:rFonts w:ascii="Book Antiqua" w:eastAsia="SimSun" w:hAnsi="Book Antiqua" w:cs="Times New Roman"/>
          <w:kern w:val="2"/>
          <w:lang w:eastAsia="zh-CN"/>
        </w:rPr>
        <w:t xml:space="preserve"> M, Hay JE. Bone mineral density before and after OLT: long-term follow-up and predictive factors. </w:t>
      </w:r>
      <w:r w:rsidRPr="00B529BA">
        <w:rPr>
          <w:rFonts w:ascii="Book Antiqua" w:eastAsia="SimSun" w:hAnsi="Book Antiqua" w:cs="Times New Roman"/>
          <w:i/>
          <w:kern w:val="2"/>
          <w:lang w:eastAsia="zh-CN"/>
        </w:rPr>
        <w:t xml:space="preserve">Liver </w:t>
      </w:r>
      <w:proofErr w:type="spellStart"/>
      <w:r w:rsidRPr="00B529BA">
        <w:rPr>
          <w:rFonts w:ascii="Book Antiqua" w:eastAsia="SimSun" w:hAnsi="Book Antiqua" w:cs="Times New Roman"/>
          <w:i/>
          <w:kern w:val="2"/>
          <w:lang w:eastAsia="zh-CN"/>
        </w:rPr>
        <w:t>Transpl</w:t>
      </w:r>
      <w:proofErr w:type="spellEnd"/>
      <w:r w:rsidRPr="00B529BA">
        <w:rPr>
          <w:rFonts w:ascii="Book Antiqua" w:eastAsia="SimSun" w:hAnsi="Book Antiqua" w:cs="Times New Roman"/>
          <w:kern w:val="2"/>
          <w:lang w:eastAsia="zh-CN"/>
        </w:rPr>
        <w:t xml:space="preserve"> 2006; </w:t>
      </w:r>
      <w:r w:rsidRPr="00B529BA">
        <w:rPr>
          <w:rFonts w:ascii="Book Antiqua" w:eastAsia="SimSun" w:hAnsi="Book Antiqua" w:cs="Times New Roman"/>
          <w:b/>
          <w:kern w:val="2"/>
          <w:lang w:eastAsia="zh-CN"/>
        </w:rPr>
        <w:t>12</w:t>
      </w:r>
      <w:r w:rsidRPr="00B529BA">
        <w:rPr>
          <w:rFonts w:ascii="Book Antiqua" w:eastAsia="SimSun" w:hAnsi="Book Antiqua" w:cs="Times New Roman"/>
          <w:kern w:val="2"/>
          <w:lang w:eastAsia="zh-CN"/>
        </w:rPr>
        <w:t>: 1390-1402 [PMID: 16933236 DOI: 10.1002/lt.20874]</w:t>
      </w:r>
    </w:p>
    <w:p w14:paraId="070B5C4E"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5 </w:t>
      </w:r>
      <w:proofErr w:type="spellStart"/>
      <w:r w:rsidRPr="00B529BA">
        <w:rPr>
          <w:rFonts w:ascii="Book Antiqua" w:eastAsia="SimSun" w:hAnsi="Book Antiqua" w:cs="Times New Roman"/>
          <w:b/>
          <w:kern w:val="2"/>
          <w:lang w:eastAsia="zh-CN"/>
        </w:rPr>
        <w:t>Guañabens</w:t>
      </w:r>
      <w:proofErr w:type="spellEnd"/>
      <w:r w:rsidRPr="00B529BA">
        <w:rPr>
          <w:rFonts w:ascii="Book Antiqua" w:eastAsia="SimSun" w:hAnsi="Book Antiqua" w:cs="Times New Roman"/>
          <w:b/>
          <w:kern w:val="2"/>
          <w:lang w:eastAsia="zh-CN"/>
        </w:rPr>
        <w:t xml:space="preserve"> N</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Parés</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Mariñoso</w:t>
      </w:r>
      <w:proofErr w:type="spellEnd"/>
      <w:r w:rsidRPr="00B529BA">
        <w:rPr>
          <w:rFonts w:ascii="Book Antiqua" w:eastAsia="SimSun" w:hAnsi="Book Antiqua" w:cs="Times New Roman"/>
          <w:kern w:val="2"/>
          <w:lang w:eastAsia="zh-CN"/>
        </w:rPr>
        <w:t xml:space="preserve"> L, </w:t>
      </w:r>
      <w:proofErr w:type="spellStart"/>
      <w:r w:rsidRPr="00B529BA">
        <w:rPr>
          <w:rFonts w:ascii="Book Antiqua" w:eastAsia="SimSun" w:hAnsi="Book Antiqua" w:cs="Times New Roman"/>
          <w:kern w:val="2"/>
          <w:lang w:eastAsia="zh-CN"/>
        </w:rPr>
        <w:t>Brancós</w:t>
      </w:r>
      <w:proofErr w:type="spellEnd"/>
      <w:r w:rsidRPr="00B529BA">
        <w:rPr>
          <w:rFonts w:ascii="Book Antiqua" w:eastAsia="SimSun" w:hAnsi="Book Antiqua" w:cs="Times New Roman"/>
          <w:kern w:val="2"/>
          <w:lang w:eastAsia="zh-CN"/>
        </w:rPr>
        <w:t xml:space="preserve"> MA, Piera C, Serrano S, Rivera F, </w:t>
      </w:r>
      <w:proofErr w:type="spellStart"/>
      <w:r w:rsidRPr="00B529BA">
        <w:rPr>
          <w:rFonts w:ascii="Book Antiqua" w:eastAsia="SimSun" w:hAnsi="Book Antiqua" w:cs="Times New Roman"/>
          <w:kern w:val="2"/>
          <w:lang w:eastAsia="zh-CN"/>
        </w:rPr>
        <w:t>Rodés</w:t>
      </w:r>
      <w:proofErr w:type="spellEnd"/>
      <w:r w:rsidRPr="00B529BA">
        <w:rPr>
          <w:rFonts w:ascii="Book Antiqua" w:eastAsia="SimSun" w:hAnsi="Book Antiqua" w:cs="Times New Roman"/>
          <w:kern w:val="2"/>
          <w:lang w:eastAsia="zh-CN"/>
        </w:rPr>
        <w:t xml:space="preserve"> J. Factors influencing the development of metabolic bone disease in primary biliary cirrhosis. </w:t>
      </w:r>
      <w:r w:rsidRPr="00B529BA">
        <w:rPr>
          <w:rFonts w:ascii="Book Antiqua" w:eastAsia="SimSun" w:hAnsi="Book Antiqua" w:cs="Times New Roman"/>
          <w:i/>
          <w:kern w:val="2"/>
          <w:lang w:eastAsia="zh-CN"/>
        </w:rPr>
        <w:t xml:space="preserve">Am J </w:t>
      </w:r>
      <w:proofErr w:type="spellStart"/>
      <w:r w:rsidRPr="00B529BA">
        <w:rPr>
          <w:rFonts w:ascii="Book Antiqua" w:eastAsia="SimSun" w:hAnsi="Book Antiqua" w:cs="Times New Roman"/>
          <w:i/>
          <w:kern w:val="2"/>
          <w:lang w:eastAsia="zh-CN"/>
        </w:rPr>
        <w:t>Gastroenterol</w:t>
      </w:r>
      <w:proofErr w:type="spellEnd"/>
      <w:r w:rsidRPr="00B529BA">
        <w:rPr>
          <w:rFonts w:ascii="Book Antiqua" w:eastAsia="SimSun" w:hAnsi="Book Antiqua" w:cs="Times New Roman"/>
          <w:kern w:val="2"/>
          <w:lang w:eastAsia="zh-CN"/>
        </w:rPr>
        <w:t xml:space="preserve"> 1990; </w:t>
      </w:r>
      <w:r w:rsidRPr="00B529BA">
        <w:rPr>
          <w:rFonts w:ascii="Book Antiqua" w:eastAsia="SimSun" w:hAnsi="Book Antiqua" w:cs="Times New Roman"/>
          <w:b/>
          <w:kern w:val="2"/>
          <w:lang w:eastAsia="zh-CN"/>
        </w:rPr>
        <w:t>85</w:t>
      </w:r>
      <w:r w:rsidRPr="00B529BA">
        <w:rPr>
          <w:rFonts w:ascii="Book Antiqua" w:eastAsia="SimSun" w:hAnsi="Book Antiqua" w:cs="Times New Roman"/>
          <w:kern w:val="2"/>
          <w:lang w:eastAsia="zh-CN"/>
        </w:rPr>
        <w:t>: 1356-1362 [PMID: 2220729]</w:t>
      </w:r>
    </w:p>
    <w:p w14:paraId="59E0CD6A"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6 </w:t>
      </w:r>
      <w:proofErr w:type="spellStart"/>
      <w:r w:rsidRPr="00B529BA">
        <w:rPr>
          <w:rFonts w:ascii="Book Antiqua" w:eastAsia="SimSun" w:hAnsi="Book Antiqua" w:cs="Times New Roman"/>
          <w:b/>
          <w:kern w:val="2"/>
          <w:lang w:eastAsia="zh-CN"/>
        </w:rPr>
        <w:t>Lindor</w:t>
      </w:r>
      <w:proofErr w:type="spellEnd"/>
      <w:r w:rsidRPr="00B529BA">
        <w:rPr>
          <w:rFonts w:ascii="Book Antiqua" w:eastAsia="SimSun" w:hAnsi="Book Antiqua" w:cs="Times New Roman"/>
          <w:b/>
          <w:kern w:val="2"/>
          <w:lang w:eastAsia="zh-CN"/>
        </w:rPr>
        <w:t xml:space="preserve"> KD</w:t>
      </w:r>
      <w:r w:rsidRPr="00B529BA">
        <w:rPr>
          <w:rFonts w:ascii="Book Antiqua" w:eastAsia="SimSun" w:hAnsi="Book Antiqua" w:cs="Times New Roman"/>
          <w:kern w:val="2"/>
          <w:lang w:eastAsia="zh-CN"/>
        </w:rPr>
        <w:t xml:space="preserve">, Jorgensen RA, </w:t>
      </w:r>
      <w:proofErr w:type="spellStart"/>
      <w:r w:rsidRPr="00B529BA">
        <w:rPr>
          <w:rFonts w:ascii="Book Antiqua" w:eastAsia="SimSun" w:hAnsi="Book Antiqua" w:cs="Times New Roman"/>
          <w:kern w:val="2"/>
          <w:lang w:eastAsia="zh-CN"/>
        </w:rPr>
        <w:t>Tiegs</w:t>
      </w:r>
      <w:proofErr w:type="spellEnd"/>
      <w:r w:rsidRPr="00B529BA">
        <w:rPr>
          <w:rFonts w:ascii="Book Antiqua" w:eastAsia="SimSun" w:hAnsi="Book Antiqua" w:cs="Times New Roman"/>
          <w:kern w:val="2"/>
          <w:lang w:eastAsia="zh-CN"/>
        </w:rPr>
        <w:t xml:space="preserve"> RD, Khosla S, Dickson ER. Etidronate for osteoporosis in primary biliary cirrhosis: a randomized trial. </w:t>
      </w:r>
      <w:r w:rsidRPr="00B529BA">
        <w:rPr>
          <w:rFonts w:ascii="Book Antiqua" w:eastAsia="SimSun" w:hAnsi="Book Antiqua" w:cs="Times New Roman"/>
          <w:i/>
          <w:kern w:val="2"/>
          <w:lang w:eastAsia="zh-CN"/>
        </w:rPr>
        <w:t xml:space="preserve">J </w:t>
      </w:r>
      <w:proofErr w:type="spellStart"/>
      <w:r w:rsidRPr="00B529BA">
        <w:rPr>
          <w:rFonts w:ascii="Book Antiqua" w:eastAsia="SimSun" w:hAnsi="Book Antiqua" w:cs="Times New Roman"/>
          <w:i/>
          <w:kern w:val="2"/>
          <w:lang w:eastAsia="zh-CN"/>
        </w:rPr>
        <w:t>Hepatol</w:t>
      </w:r>
      <w:proofErr w:type="spellEnd"/>
      <w:r w:rsidRPr="00B529BA">
        <w:rPr>
          <w:rFonts w:ascii="Book Antiqua" w:eastAsia="SimSun" w:hAnsi="Book Antiqua" w:cs="Times New Roman"/>
          <w:kern w:val="2"/>
          <w:lang w:eastAsia="zh-CN"/>
        </w:rPr>
        <w:t xml:space="preserve"> 2000; </w:t>
      </w:r>
      <w:r w:rsidRPr="00B529BA">
        <w:rPr>
          <w:rFonts w:ascii="Book Antiqua" w:eastAsia="SimSun" w:hAnsi="Book Antiqua" w:cs="Times New Roman"/>
          <w:b/>
          <w:kern w:val="2"/>
          <w:lang w:eastAsia="zh-CN"/>
        </w:rPr>
        <w:t>33</w:t>
      </w:r>
      <w:r w:rsidRPr="00B529BA">
        <w:rPr>
          <w:rFonts w:ascii="Book Antiqua" w:eastAsia="SimSun" w:hAnsi="Book Antiqua" w:cs="Times New Roman"/>
          <w:kern w:val="2"/>
          <w:lang w:eastAsia="zh-CN"/>
        </w:rPr>
        <w:t>: 878-882 [PMID: 11131448 DOI: 10.1016/S0168-8278(00)80118-X]</w:t>
      </w:r>
    </w:p>
    <w:p w14:paraId="20353460"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7 </w:t>
      </w:r>
      <w:proofErr w:type="spellStart"/>
      <w:r w:rsidRPr="00B529BA">
        <w:rPr>
          <w:rFonts w:ascii="Book Antiqua" w:eastAsia="SimSun" w:hAnsi="Book Antiqua" w:cs="Times New Roman"/>
          <w:b/>
          <w:kern w:val="2"/>
          <w:lang w:eastAsia="zh-CN"/>
        </w:rPr>
        <w:t>Guañabens</w:t>
      </w:r>
      <w:proofErr w:type="spellEnd"/>
      <w:r w:rsidRPr="00B529BA">
        <w:rPr>
          <w:rFonts w:ascii="Book Antiqua" w:eastAsia="SimSun" w:hAnsi="Book Antiqua" w:cs="Times New Roman"/>
          <w:b/>
          <w:kern w:val="2"/>
          <w:lang w:eastAsia="zh-CN"/>
        </w:rPr>
        <w:t xml:space="preserve"> N</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Parés</w:t>
      </w:r>
      <w:proofErr w:type="spellEnd"/>
      <w:r w:rsidRPr="00B529BA">
        <w:rPr>
          <w:rFonts w:ascii="Book Antiqua" w:eastAsia="SimSun" w:hAnsi="Book Antiqua" w:cs="Times New Roman"/>
          <w:kern w:val="2"/>
          <w:lang w:eastAsia="zh-CN"/>
        </w:rPr>
        <w:t xml:space="preserve"> A, del Rio L, Roca M, Gómez R, Muñoz J, </w:t>
      </w:r>
      <w:proofErr w:type="spellStart"/>
      <w:r w:rsidRPr="00B529BA">
        <w:rPr>
          <w:rFonts w:ascii="Book Antiqua" w:eastAsia="SimSun" w:hAnsi="Book Antiqua" w:cs="Times New Roman"/>
          <w:kern w:val="2"/>
          <w:lang w:eastAsia="zh-CN"/>
        </w:rPr>
        <w:t>Rodés</w:t>
      </w:r>
      <w:proofErr w:type="spellEnd"/>
      <w:r w:rsidRPr="00B529BA">
        <w:rPr>
          <w:rFonts w:ascii="Book Antiqua" w:eastAsia="SimSun" w:hAnsi="Book Antiqua" w:cs="Times New Roman"/>
          <w:kern w:val="2"/>
          <w:lang w:eastAsia="zh-CN"/>
        </w:rPr>
        <w:t xml:space="preserve"> J. Sodium fluoride prevents bone loss in primary biliary cirrhosis. </w:t>
      </w:r>
      <w:r w:rsidRPr="00B529BA">
        <w:rPr>
          <w:rFonts w:ascii="Book Antiqua" w:eastAsia="SimSun" w:hAnsi="Book Antiqua" w:cs="Times New Roman"/>
          <w:i/>
          <w:kern w:val="2"/>
          <w:lang w:eastAsia="zh-CN"/>
        </w:rPr>
        <w:t xml:space="preserve">J </w:t>
      </w:r>
      <w:proofErr w:type="spellStart"/>
      <w:r w:rsidRPr="00B529BA">
        <w:rPr>
          <w:rFonts w:ascii="Book Antiqua" w:eastAsia="SimSun" w:hAnsi="Book Antiqua" w:cs="Times New Roman"/>
          <w:i/>
          <w:kern w:val="2"/>
          <w:lang w:eastAsia="zh-CN"/>
        </w:rPr>
        <w:t>Hepatol</w:t>
      </w:r>
      <w:proofErr w:type="spellEnd"/>
      <w:r w:rsidRPr="00B529BA">
        <w:rPr>
          <w:rFonts w:ascii="Book Antiqua" w:eastAsia="SimSun" w:hAnsi="Book Antiqua" w:cs="Times New Roman"/>
          <w:kern w:val="2"/>
          <w:lang w:eastAsia="zh-CN"/>
        </w:rPr>
        <w:t xml:space="preserve"> 1992; </w:t>
      </w:r>
      <w:r w:rsidRPr="00B529BA">
        <w:rPr>
          <w:rFonts w:ascii="Book Antiqua" w:eastAsia="SimSun" w:hAnsi="Book Antiqua" w:cs="Times New Roman"/>
          <w:b/>
          <w:kern w:val="2"/>
          <w:lang w:eastAsia="zh-CN"/>
        </w:rPr>
        <w:t>15</w:t>
      </w:r>
      <w:r w:rsidRPr="00B529BA">
        <w:rPr>
          <w:rFonts w:ascii="Book Antiqua" w:eastAsia="SimSun" w:hAnsi="Book Antiqua" w:cs="Times New Roman"/>
          <w:kern w:val="2"/>
          <w:lang w:eastAsia="zh-CN"/>
        </w:rPr>
        <w:t>: 345-349 [PMID: 1447501]</w:t>
      </w:r>
    </w:p>
    <w:p w14:paraId="34270AB0"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8 </w:t>
      </w:r>
      <w:proofErr w:type="spellStart"/>
      <w:r w:rsidRPr="00B529BA">
        <w:rPr>
          <w:rFonts w:ascii="Book Antiqua" w:eastAsia="SimSun" w:hAnsi="Book Antiqua" w:cs="Times New Roman"/>
          <w:b/>
          <w:kern w:val="2"/>
          <w:lang w:eastAsia="zh-CN"/>
        </w:rPr>
        <w:t>Guañabens</w:t>
      </w:r>
      <w:proofErr w:type="spellEnd"/>
      <w:r w:rsidRPr="00B529BA">
        <w:rPr>
          <w:rFonts w:ascii="Book Antiqua" w:eastAsia="SimSun" w:hAnsi="Book Antiqua" w:cs="Times New Roman"/>
          <w:b/>
          <w:kern w:val="2"/>
          <w:lang w:eastAsia="zh-CN"/>
        </w:rPr>
        <w:t xml:space="preserve"> N</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Parés</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Navasa</w:t>
      </w:r>
      <w:proofErr w:type="spellEnd"/>
      <w:r w:rsidRPr="00B529BA">
        <w:rPr>
          <w:rFonts w:ascii="Book Antiqua" w:eastAsia="SimSun" w:hAnsi="Book Antiqua" w:cs="Times New Roman"/>
          <w:kern w:val="2"/>
          <w:lang w:eastAsia="zh-CN"/>
        </w:rPr>
        <w:t xml:space="preserve"> M, </w:t>
      </w:r>
      <w:proofErr w:type="spellStart"/>
      <w:r w:rsidRPr="00B529BA">
        <w:rPr>
          <w:rFonts w:ascii="Book Antiqua" w:eastAsia="SimSun" w:hAnsi="Book Antiqua" w:cs="Times New Roman"/>
          <w:kern w:val="2"/>
          <w:lang w:eastAsia="zh-CN"/>
        </w:rPr>
        <w:t>Martínez</w:t>
      </w:r>
      <w:proofErr w:type="spellEnd"/>
      <w:r w:rsidRPr="00B529BA">
        <w:rPr>
          <w:rFonts w:ascii="Book Antiqua" w:eastAsia="SimSun" w:hAnsi="Book Antiqua" w:cs="Times New Roman"/>
          <w:kern w:val="2"/>
          <w:lang w:eastAsia="zh-CN"/>
        </w:rPr>
        <w:t xml:space="preserve"> de </w:t>
      </w:r>
      <w:proofErr w:type="spellStart"/>
      <w:r w:rsidRPr="00B529BA">
        <w:rPr>
          <w:rFonts w:ascii="Book Antiqua" w:eastAsia="SimSun" w:hAnsi="Book Antiqua" w:cs="Times New Roman"/>
          <w:kern w:val="2"/>
          <w:lang w:eastAsia="zh-CN"/>
        </w:rPr>
        <w:t>Osaba</w:t>
      </w:r>
      <w:proofErr w:type="spellEnd"/>
      <w:r w:rsidRPr="00B529BA">
        <w:rPr>
          <w:rFonts w:ascii="Book Antiqua" w:eastAsia="SimSun" w:hAnsi="Book Antiqua" w:cs="Times New Roman"/>
          <w:kern w:val="2"/>
          <w:lang w:eastAsia="zh-CN"/>
        </w:rPr>
        <w:t xml:space="preserve"> MJ, Hernández ME, Muñoz J, </w:t>
      </w:r>
      <w:proofErr w:type="spellStart"/>
      <w:r w:rsidRPr="00B529BA">
        <w:rPr>
          <w:rFonts w:ascii="Book Antiqua" w:eastAsia="SimSun" w:hAnsi="Book Antiqua" w:cs="Times New Roman"/>
          <w:kern w:val="2"/>
          <w:lang w:eastAsia="zh-CN"/>
        </w:rPr>
        <w:t>Rodés</w:t>
      </w:r>
      <w:proofErr w:type="spellEnd"/>
      <w:r w:rsidRPr="00B529BA">
        <w:rPr>
          <w:rFonts w:ascii="Book Antiqua" w:eastAsia="SimSun" w:hAnsi="Book Antiqua" w:cs="Times New Roman"/>
          <w:kern w:val="2"/>
          <w:lang w:eastAsia="zh-CN"/>
        </w:rPr>
        <w:t xml:space="preserve"> J. </w:t>
      </w:r>
      <w:proofErr w:type="spellStart"/>
      <w:r w:rsidRPr="00B529BA">
        <w:rPr>
          <w:rFonts w:ascii="Book Antiqua" w:eastAsia="SimSun" w:hAnsi="Book Antiqua" w:cs="Times New Roman"/>
          <w:kern w:val="2"/>
          <w:lang w:eastAsia="zh-CN"/>
        </w:rPr>
        <w:t>Cyclosporin</w:t>
      </w:r>
      <w:proofErr w:type="spellEnd"/>
      <w:r w:rsidRPr="00B529BA">
        <w:rPr>
          <w:rFonts w:ascii="Book Antiqua" w:eastAsia="SimSun" w:hAnsi="Book Antiqua" w:cs="Times New Roman"/>
          <w:kern w:val="2"/>
          <w:lang w:eastAsia="zh-CN"/>
        </w:rPr>
        <w:t xml:space="preserve"> A increases the biochemical markers of bone remodeling in primary biliary cirrhosis. </w:t>
      </w:r>
      <w:r w:rsidRPr="00B529BA">
        <w:rPr>
          <w:rFonts w:ascii="Book Antiqua" w:eastAsia="SimSun" w:hAnsi="Book Antiqua" w:cs="Times New Roman"/>
          <w:i/>
          <w:kern w:val="2"/>
          <w:lang w:eastAsia="zh-CN"/>
        </w:rPr>
        <w:t xml:space="preserve">J </w:t>
      </w:r>
      <w:proofErr w:type="spellStart"/>
      <w:r w:rsidRPr="00B529BA">
        <w:rPr>
          <w:rFonts w:ascii="Book Antiqua" w:eastAsia="SimSun" w:hAnsi="Book Antiqua" w:cs="Times New Roman"/>
          <w:i/>
          <w:kern w:val="2"/>
          <w:lang w:eastAsia="zh-CN"/>
        </w:rPr>
        <w:t>Hepatol</w:t>
      </w:r>
      <w:proofErr w:type="spellEnd"/>
      <w:r w:rsidRPr="00B529BA">
        <w:rPr>
          <w:rFonts w:ascii="Book Antiqua" w:eastAsia="SimSun" w:hAnsi="Book Antiqua" w:cs="Times New Roman"/>
          <w:kern w:val="2"/>
          <w:lang w:eastAsia="zh-CN"/>
        </w:rPr>
        <w:t xml:space="preserve"> 1994; </w:t>
      </w:r>
      <w:r w:rsidRPr="00B529BA">
        <w:rPr>
          <w:rFonts w:ascii="Book Antiqua" w:eastAsia="SimSun" w:hAnsi="Book Antiqua" w:cs="Times New Roman"/>
          <w:b/>
          <w:kern w:val="2"/>
          <w:lang w:eastAsia="zh-CN"/>
        </w:rPr>
        <w:t>21</w:t>
      </w:r>
      <w:r w:rsidRPr="00B529BA">
        <w:rPr>
          <w:rFonts w:ascii="Book Antiqua" w:eastAsia="SimSun" w:hAnsi="Book Antiqua" w:cs="Times New Roman"/>
          <w:kern w:val="2"/>
          <w:lang w:eastAsia="zh-CN"/>
        </w:rPr>
        <w:t>: 24-28 [PMID: 7963418]</w:t>
      </w:r>
    </w:p>
    <w:p w14:paraId="58D1C42C"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9 </w:t>
      </w:r>
      <w:r w:rsidRPr="00B529BA">
        <w:rPr>
          <w:rFonts w:ascii="Book Antiqua" w:eastAsia="SimSun" w:hAnsi="Book Antiqua" w:cs="Times New Roman"/>
          <w:b/>
          <w:kern w:val="2"/>
          <w:lang w:eastAsia="zh-CN"/>
        </w:rPr>
        <w:t>Boone RH</w:t>
      </w:r>
      <w:r w:rsidRPr="00B529BA">
        <w:rPr>
          <w:rFonts w:ascii="Book Antiqua" w:eastAsia="SimSun" w:hAnsi="Book Antiqua" w:cs="Times New Roman"/>
          <w:kern w:val="2"/>
          <w:lang w:eastAsia="zh-CN"/>
        </w:rPr>
        <w:t xml:space="preserve">, Cheung AM, </w:t>
      </w:r>
      <w:proofErr w:type="spellStart"/>
      <w:r w:rsidRPr="00B529BA">
        <w:rPr>
          <w:rFonts w:ascii="Book Antiqua" w:eastAsia="SimSun" w:hAnsi="Book Antiqua" w:cs="Times New Roman"/>
          <w:kern w:val="2"/>
          <w:lang w:eastAsia="zh-CN"/>
        </w:rPr>
        <w:t>Girlan</w:t>
      </w:r>
      <w:proofErr w:type="spellEnd"/>
      <w:r w:rsidRPr="00B529BA">
        <w:rPr>
          <w:rFonts w:ascii="Book Antiqua" w:eastAsia="SimSun" w:hAnsi="Book Antiqua" w:cs="Times New Roman"/>
          <w:kern w:val="2"/>
          <w:lang w:eastAsia="zh-CN"/>
        </w:rPr>
        <w:t xml:space="preserve"> LM, Heathcote EJ. Osteoporosis in primary </w:t>
      </w:r>
      <w:r w:rsidRPr="00B529BA">
        <w:rPr>
          <w:rFonts w:ascii="Book Antiqua" w:eastAsia="SimSun" w:hAnsi="Book Antiqua" w:cs="Times New Roman"/>
          <w:kern w:val="2"/>
          <w:lang w:eastAsia="zh-CN"/>
        </w:rPr>
        <w:lastRenderedPageBreak/>
        <w:t xml:space="preserve">biliary cirrhosis: a randomized trial of the efficacy and feasibility of estrogen/progestin. </w:t>
      </w:r>
      <w:r w:rsidRPr="00B529BA">
        <w:rPr>
          <w:rFonts w:ascii="Book Antiqua" w:eastAsia="SimSun" w:hAnsi="Book Antiqua" w:cs="Times New Roman"/>
          <w:i/>
          <w:kern w:val="2"/>
          <w:lang w:eastAsia="zh-CN"/>
        </w:rPr>
        <w:t xml:space="preserve">Dig Dis </w:t>
      </w:r>
      <w:proofErr w:type="spellStart"/>
      <w:r w:rsidRPr="00B529BA">
        <w:rPr>
          <w:rFonts w:ascii="Book Antiqua" w:eastAsia="SimSun" w:hAnsi="Book Antiqua" w:cs="Times New Roman"/>
          <w:i/>
          <w:kern w:val="2"/>
          <w:lang w:eastAsia="zh-CN"/>
        </w:rPr>
        <w:t>Sci</w:t>
      </w:r>
      <w:proofErr w:type="spellEnd"/>
      <w:r w:rsidRPr="00B529BA">
        <w:rPr>
          <w:rFonts w:ascii="Book Antiqua" w:eastAsia="SimSun" w:hAnsi="Book Antiqua" w:cs="Times New Roman"/>
          <w:kern w:val="2"/>
          <w:lang w:eastAsia="zh-CN"/>
        </w:rPr>
        <w:t xml:space="preserve"> 2006; </w:t>
      </w:r>
      <w:r w:rsidRPr="00B529BA">
        <w:rPr>
          <w:rFonts w:ascii="Book Antiqua" w:eastAsia="SimSun" w:hAnsi="Book Antiqua" w:cs="Times New Roman"/>
          <w:b/>
          <w:kern w:val="2"/>
          <w:lang w:eastAsia="zh-CN"/>
        </w:rPr>
        <w:t>51</w:t>
      </w:r>
      <w:r w:rsidRPr="00B529BA">
        <w:rPr>
          <w:rFonts w:ascii="Book Antiqua" w:eastAsia="SimSun" w:hAnsi="Book Antiqua" w:cs="Times New Roman"/>
          <w:kern w:val="2"/>
          <w:lang w:eastAsia="zh-CN"/>
        </w:rPr>
        <w:t>: 1103-1112 [PMID: 16865577 DOI: 10.1007/s10620-006-8015-x]</w:t>
      </w:r>
    </w:p>
    <w:p w14:paraId="025FBBB5"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10 </w:t>
      </w:r>
      <w:r w:rsidRPr="00B529BA">
        <w:rPr>
          <w:rFonts w:ascii="Book Antiqua" w:eastAsia="SimSun" w:hAnsi="Book Antiqua" w:cs="Times New Roman"/>
          <w:b/>
          <w:kern w:val="2"/>
          <w:lang w:eastAsia="zh-CN"/>
        </w:rPr>
        <w:t>Cohen SM</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Te</w:t>
      </w:r>
      <w:proofErr w:type="spellEnd"/>
      <w:r w:rsidRPr="00B529BA">
        <w:rPr>
          <w:rFonts w:ascii="Book Antiqua" w:eastAsia="SimSun" w:hAnsi="Book Antiqua" w:cs="Times New Roman"/>
          <w:kern w:val="2"/>
          <w:lang w:eastAsia="zh-CN"/>
        </w:rPr>
        <w:t xml:space="preserve"> HS, </w:t>
      </w:r>
      <w:proofErr w:type="spellStart"/>
      <w:r w:rsidRPr="00B529BA">
        <w:rPr>
          <w:rFonts w:ascii="Book Antiqua" w:eastAsia="SimSun" w:hAnsi="Book Antiqua" w:cs="Times New Roman"/>
          <w:kern w:val="2"/>
          <w:lang w:eastAsia="zh-CN"/>
        </w:rPr>
        <w:t>Levitsky</w:t>
      </w:r>
      <w:proofErr w:type="spellEnd"/>
      <w:r w:rsidRPr="00B529BA">
        <w:rPr>
          <w:rFonts w:ascii="Book Antiqua" w:eastAsia="SimSun" w:hAnsi="Book Antiqua" w:cs="Times New Roman"/>
          <w:kern w:val="2"/>
          <w:lang w:eastAsia="zh-CN"/>
        </w:rPr>
        <w:t xml:space="preserve"> J. Operative risk of total hip and knee arthroplasty in cirrhotic patients. </w:t>
      </w:r>
      <w:r w:rsidRPr="00B529BA">
        <w:rPr>
          <w:rFonts w:ascii="Book Antiqua" w:eastAsia="SimSun" w:hAnsi="Book Antiqua" w:cs="Times New Roman"/>
          <w:i/>
          <w:kern w:val="2"/>
          <w:lang w:eastAsia="zh-CN"/>
        </w:rPr>
        <w:t>J Arthroplasty</w:t>
      </w:r>
      <w:r w:rsidRPr="00B529BA">
        <w:rPr>
          <w:rFonts w:ascii="Book Antiqua" w:eastAsia="SimSun" w:hAnsi="Book Antiqua" w:cs="Times New Roman"/>
          <w:kern w:val="2"/>
          <w:lang w:eastAsia="zh-CN"/>
        </w:rPr>
        <w:t xml:space="preserve"> 2005; </w:t>
      </w:r>
      <w:r w:rsidRPr="00B529BA">
        <w:rPr>
          <w:rFonts w:ascii="Book Antiqua" w:eastAsia="SimSun" w:hAnsi="Book Antiqua" w:cs="Times New Roman"/>
          <w:b/>
          <w:kern w:val="2"/>
          <w:lang w:eastAsia="zh-CN"/>
        </w:rPr>
        <w:t>20</w:t>
      </w:r>
      <w:r w:rsidRPr="00B529BA">
        <w:rPr>
          <w:rFonts w:ascii="Book Antiqua" w:eastAsia="SimSun" w:hAnsi="Book Antiqua" w:cs="Times New Roman"/>
          <w:kern w:val="2"/>
          <w:lang w:eastAsia="zh-CN"/>
        </w:rPr>
        <w:t>: 460-466 [PMID: 16124961 DOI: 10.1016/j.arth.2004.05.004]</w:t>
      </w:r>
    </w:p>
    <w:p w14:paraId="2DB0BB90"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11 </w:t>
      </w:r>
      <w:proofErr w:type="spellStart"/>
      <w:r w:rsidRPr="00B529BA">
        <w:rPr>
          <w:rFonts w:ascii="Book Antiqua" w:eastAsia="SimSun" w:hAnsi="Book Antiqua" w:cs="Times New Roman"/>
          <w:b/>
          <w:kern w:val="2"/>
          <w:lang w:eastAsia="zh-CN"/>
        </w:rPr>
        <w:t>Lindor</w:t>
      </w:r>
      <w:proofErr w:type="spellEnd"/>
      <w:r w:rsidRPr="00B529BA">
        <w:rPr>
          <w:rFonts w:ascii="Book Antiqua" w:eastAsia="SimSun" w:hAnsi="Book Antiqua" w:cs="Times New Roman"/>
          <w:b/>
          <w:kern w:val="2"/>
          <w:lang w:eastAsia="zh-CN"/>
        </w:rPr>
        <w:t xml:space="preserve"> KD</w:t>
      </w:r>
      <w:r w:rsidRPr="00B529BA">
        <w:rPr>
          <w:rFonts w:ascii="Book Antiqua" w:eastAsia="SimSun" w:hAnsi="Book Antiqua" w:cs="Times New Roman"/>
          <w:kern w:val="2"/>
          <w:lang w:eastAsia="zh-CN"/>
        </w:rPr>
        <w:t xml:space="preserve">, Gershwin ME, </w:t>
      </w:r>
      <w:proofErr w:type="spellStart"/>
      <w:r w:rsidRPr="00B529BA">
        <w:rPr>
          <w:rFonts w:ascii="Book Antiqua" w:eastAsia="SimSun" w:hAnsi="Book Antiqua" w:cs="Times New Roman"/>
          <w:kern w:val="2"/>
          <w:lang w:eastAsia="zh-CN"/>
        </w:rPr>
        <w:t>Poupon</w:t>
      </w:r>
      <w:proofErr w:type="spellEnd"/>
      <w:r w:rsidRPr="00B529BA">
        <w:rPr>
          <w:rFonts w:ascii="Book Antiqua" w:eastAsia="SimSun" w:hAnsi="Book Antiqua" w:cs="Times New Roman"/>
          <w:kern w:val="2"/>
          <w:lang w:eastAsia="zh-CN"/>
        </w:rPr>
        <w:t xml:space="preserve"> R, Kaplan M, </w:t>
      </w:r>
      <w:proofErr w:type="spellStart"/>
      <w:r w:rsidRPr="00B529BA">
        <w:rPr>
          <w:rFonts w:ascii="Book Antiqua" w:eastAsia="SimSun" w:hAnsi="Book Antiqua" w:cs="Times New Roman"/>
          <w:kern w:val="2"/>
          <w:lang w:eastAsia="zh-CN"/>
        </w:rPr>
        <w:t>Bergasa</w:t>
      </w:r>
      <w:proofErr w:type="spellEnd"/>
      <w:r w:rsidRPr="00B529BA">
        <w:rPr>
          <w:rFonts w:ascii="Book Antiqua" w:eastAsia="SimSun" w:hAnsi="Book Antiqua" w:cs="Times New Roman"/>
          <w:kern w:val="2"/>
          <w:lang w:eastAsia="zh-CN"/>
        </w:rPr>
        <w:t xml:space="preserve"> NV, Heathcote EJ; American Association for Study of Liver Diseases. Primary biliary cirrhosis. </w:t>
      </w:r>
      <w:r w:rsidRPr="00B529BA">
        <w:rPr>
          <w:rFonts w:ascii="Book Antiqua" w:eastAsia="SimSun" w:hAnsi="Book Antiqua" w:cs="Times New Roman"/>
          <w:i/>
          <w:kern w:val="2"/>
          <w:lang w:eastAsia="zh-CN"/>
        </w:rPr>
        <w:t>Hepatology</w:t>
      </w:r>
      <w:r w:rsidRPr="00B529BA">
        <w:rPr>
          <w:rFonts w:ascii="Book Antiqua" w:eastAsia="SimSun" w:hAnsi="Book Antiqua" w:cs="Times New Roman"/>
          <w:kern w:val="2"/>
          <w:lang w:eastAsia="zh-CN"/>
        </w:rPr>
        <w:t xml:space="preserve"> 2009; </w:t>
      </w:r>
      <w:r w:rsidRPr="00B529BA">
        <w:rPr>
          <w:rFonts w:ascii="Book Antiqua" w:eastAsia="SimSun" w:hAnsi="Book Antiqua" w:cs="Times New Roman"/>
          <w:b/>
          <w:kern w:val="2"/>
          <w:lang w:eastAsia="zh-CN"/>
        </w:rPr>
        <w:t>50</w:t>
      </w:r>
      <w:r w:rsidRPr="00B529BA">
        <w:rPr>
          <w:rFonts w:ascii="Book Antiqua" w:eastAsia="SimSun" w:hAnsi="Book Antiqua" w:cs="Times New Roman"/>
          <w:kern w:val="2"/>
          <w:lang w:eastAsia="zh-CN"/>
        </w:rPr>
        <w:t>: 291-308 [PMID: 19554543 DOI: 10.1002/hep.22906]</w:t>
      </w:r>
    </w:p>
    <w:p w14:paraId="70184E9D"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12 </w:t>
      </w:r>
      <w:r w:rsidRPr="00B529BA">
        <w:rPr>
          <w:rFonts w:ascii="Book Antiqua" w:eastAsia="SimSun" w:hAnsi="Book Antiqua" w:cs="Times New Roman"/>
          <w:b/>
          <w:kern w:val="2"/>
          <w:lang w:eastAsia="zh-CN"/>
        </w:rPr>
        <w:t>Long RG</w:t>
      </w:r>
      <w:r w:rsidRPr="00B529BA">
        <w:rPr>
          <w:rFonts w:ascii="Book Antiqua" w:eastAsia="SimSun" w:hAnsi="Book Antiqua" w:cs="Times New Roman"/>
          <w:kern w:val="2"/>
          <w:lang w:eastAsia="zh-CN"/>
        </w:rPr>
        <w:t xml:space="preserve">, Varghese Z, </w:t>
      </w:r>
      <w:proofErr w:type="spellStart"/>
      <w:r w:rsidRPr="00B529BA">
        <w:rPr>
          <w:rFonts w:ascii="Book Antiqua" w:eastAsia="SimSun" w:hAnsi="Book Antiqua" w:cs="Times New Roman"/>
          <w:kern w:val="2"/>
          <w:lang w:eastAsia="zh-CN"/>
        </w:rPr>
        <w:t>Meinhard</w:t>
      </w:r>
      <w:proofErr w:type="spellEnd"/>
      <w:r w:rsidRPr="00B529BA">
        <w:rPr>
          <w:rFonts w:ascii="Book Antiqua" w:eastAsia="SimSun" w:hAnsi="Book Antiqua" w:cs="Times New Roman"/>
          <w:kern w:val="2"/>
          <w:lang w:eastAsia="zh-CN"/>
        </w:rPr>
        <w:t xml:space="preserve"> EA, Skinner RK, Wills MR, Sherlock S. Parenteral 1,25-dihydroxycholecalciferol in hepatic osteomalacia. </w:t>
      </w:r>
      <w:r w:rsidRPr="00B529BA">
        <w:rPr>
          <w:rFonts w:ascii="Book Antiqua" w:eastAsia="SimSun" w:hAnsi="Book Antiqua" w:cs="Times New Roman"/>
          <w:i/>
          <w:kern w:val="2"/>
          <w:lang w:eastAsia="zh-CN"/>
        </w:rPr>
        <w:t>Br Med J</w:t>
      </w:r>
      <w:r w:rsidRPr="00B529BA">
        <w:rPr>
          <w:rFonts w:ascii="Book Antiqua" w:eastAsia="SimSun" w:hAnsi="Book Antiqua" w:cs="Times New Roman"/>
          <w:kern w:val="2"/>
          <w:lang w:eastAsia="zh-CN"/>
        </w:rPr>
        <w:t xml:space="preserve"> 1978; </w:t>
      </w:r>
      <w:r w:rsidRPr="00B529BA">
        <w:rPr>
          <w:rFonts w:ascii="Book Antiqua" w:eastAsia="SimSun" w:hAnsi="Book Antiqua" w:cs="Times New Roman"/>
          <w:b/>
          <w:kern w:val="2"/>
          <w:lang w:eastAsia="zh-CN"/>
        </w:rPr>
        <w:t>1</w:t>
      </w:r>
      <w:r w:rsidRPr="00B529BA">
        <w:rPr>
          <w:rFonts w:ascii="Book Antiqua" w:eastAsia="SimSun" w:hAnsi="Book Antiqua" w:cs="Times New Roman"/>
          <w:kern w:val="2"/>
          <w:lang w:eastAsia="zh-CN"/>
        </w:rPr>
        <w:t>: 75-77 [PMID: 620204]</w:t>
      </w:r>
    </w:p>
    <w:p w14:paraId="6F8CE2EE"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13 </w:t>
      </w:r>
      <w:proofErr w:type="spellStart"/>
      <w:r w:rsidRPr="00B529BA">
        <w:rPr>
          <w:rFonts w:ascii="Book Antiqua" w:eastAsia="SimSun" w:hAnsi="Book Antiqua" w:cs="Times New Roman"/>
          <w:b/>
          <w:kern w:val="2"/>
          <w:lang w:eastAsia="zh-CN"/>
        </w:rPr>
        <w:t>Compston</w:t>
      </w:r>
      <w:proofErr w:type="spellEnd"/>
      <w:r w:rsidRPr="00B529BA">
        <w:rPr>
          <w:rFonts w:ascii="Book Antiqua" w:eastAsia="SimSun" w:hAnsi="Book Antiqua" w:cs="Times New Roman"/>
          <w:b/>
          <w:kern w:val="2"/>
          <w:lang w:eastAsia="zh-CN"/>
        </w:rPr>
        <w:t xml:space="preserve"> JE</w:t>
      </w:r>
      <w:r w:rsidRPr="00B529BA">
        <w:rPr>
          <w:rFonts w:ascii="Book Antiqua" w:eastAsia="SimSun" w:hAnsi="Book Antiqua" w:cs="Times New Roman"/>
          <w:kern w:val="2"/>
          <w:lang w:eastAsia="zh-CN"/>
        </w:rPr>
        <w:t xml:space="preserve">, Crowe JP, Horton LW. Treatment of osteomalacia associated with primary biliary cirrhosis with oral 1-alpha-hydroxy vitamin D3. </w:t>
      </w:r>
      <w:r w:rsidRPr="00B529BA">
        <w:rPr>
          <w:rFonts w:ascii="Book Antiqua" w:eastAsia="SimSun" w:hAnsi="Book Antiqua" w:cs="Times New Roman"/>
          <w:i/>
          <w:kern w:val="2"/>
          <w:lang w:eastAsia="zh-CN"/>
        </w:rPr>
        <w:t>Br Med J</w:t>
      </w:r>
      <w:r w:rsidRPr="00B529BA">
        <w:rPr>
          <w:rFonts w:ascii="Book Antiqua" w:eastAsia="SimSun" w:hAnsi="Book Antiqua" w:cs="Times New Roman"/>
          <w:kern w:val="2"/>
          <w:lang w:eastAsia="zh-CN"/>
        </w:rPr>
        <w:t xml:space="preserve"> 1979; </w:t>
      </w:r>
      <w:r w:rsidRPr="00B529BA">
        <w:rPr>
          <w:rFonts w:ascii="Book Antiqua" w:eastAsia="SimSun" w:hAnsi="Book Antiqua" w:cs="Times New Roman"/>
          <w:b/>
          <w:kern w:val="2"/>
          <w:lang w:eastAsia="zh-CN"/>
        </w:rPr>
        <w:t>2</w:t>
      </w:r>
      <w:r w:rsidRPr="00B529BA">
        <w:rPr>
          <w:rFonts w:ascii="Book Antiqua" w:eastAsia="SimSun" w:hAnsi="Book Antiqua" w:cs="Times New Roman"/>
          <w:kern w:val="2"/>
          <w:lang w:eastAsia="zh-CN"/>
        </w:rPr>
        <w:t>: 309 [PMID: 476441]</w:t>
      </w:r>
    </w:p>
    <w:p w14:paraId="0AEAB515"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14 </w:t>
      </w:r>
      <w:r w:rsidRPr="00B529BA">
        <w:rPr>
          <w:rFonts w:ascii="Book Antiqua" w:eastAsia="SimSun" w:hAnsi="Book Antiqua" w:cs="Times New Roman"/>
          <w:b/>
          <w:kern w:val="2"/>
          <w:lang w:eastAsia="zh-CN"/>
        </w:rPr>
        <w:t>Bernstein CN</w:t>
      </w:r>
      <w:r w:rsidRPr="00B529BA">
        <w:rPr>
          <w:rFonts w:ascii="Book Antiqua" w:eastAsia="SimSun" w:hAnsi="Book Antiqua" w:cs="Times New Roman"/>
          <w:kern w:val="2"/>
          <w:lang w:eastAsia="zh-CN"/>
        </w:rPr>
        <w:t xml:space="preserve">, Leslie WD, </w:t>
      </w:r>
      <w:proofErr w:type="spellStart"/>
      <w:r w:rsidRPr="00B529BA">
        <w:rPr>
          <w:rFonts w:ascii="Book Antiqua" w:eastAsia="SimSun" w:hAnsi="Book Antiqua" w:cs="Times New Roman"/>
          <w:kern w:val="2"/>
          <w:lang w:eastAsia="zh-CN"/>
        </w:rPr>
        <w:t>Leboff</w:t>
      </w:r>
      <w:proofErr w:type="spellEnd"/>
      <w:r w:rsidRPr="00B529BA">
        <w:rPr>
          <w:rFonts w:ascii="Book Antiqua" w:eastAsia="SimSun" w:hAnsi="Book Antiqua" w:cs="Times New Roman"/>
          <w:kern w:val="2"/>
          <w:lang w:eastAsia="zh-CN"/>
        </w:rPr>
        <w:t xml:space="preserve"> MS. AGA technical review on osteoporosis in gastrointestinal diseases. </w:t>
      </w:r>
      <w:r w:rsidRPr="00B529BA">
        <w:rPr>
          <w:rFonts w:ascii="Book Antiqua" w:eastAsia="SimSun" w:hAnsi="Book Antiqua" w:cs="Times New Roman"/>
          <w:i/>
          <w:kern w:val="2"/>
          <w:lang w:eastAsia="zh-CN"/>
        </w:rPr>
        <w:t>Gastroenterology</w:t>
      </w:r>
      <w:r w:rsidRPr="00B529BA">
        <w:rPr>
          <w:rFonts w:ascii="Book Antiqua" w:eastAsia="SimSun" w:hAnsi="Book Antiqua" w:cs="Times New Roman"/>
          <w:kern w:val="2"/>
          <w:lang w:eastAsia="zh-CN"/>
        </w:rPr>
        <w:t xml:space="preserve"> 2003; </w:t>
      </w:r>
      <w:r w:rsidRPr="00B529BA">
        <w:rPr>
          <w:rFonts w:ascii="Book Antiqua" w:eastAsia="SimSun" w:hAnsi="Book Antiqua" w:cs="Times New Roman"/>
          <w:b/>
          <w:kern w:val="2"/>
          <w:lang w:eastAsia="zh-CN"/>
        </w:rPr>
        <w:t>124</w:t>
      </w:r>
      <w:r w:rsidRPr="00B529BA">
        <w:rPr>
          <w:rFonts w:ascii="Book Antiqua" w:eastAsia="SimSun" w:hAnsi="Book Antiqua" w:cs="Times New Roman"/>
          <w:kern w:val="2"/>
          <w:lang w:eastAsia="zh-CN"/>
        </w:rPr>
        <w:t>: 795-841 [PMID: 12612917 DOI: 10.1016/S0016-5085(03)01062-X]</w:t>
      </w:r>
    </w:p>
    <w:p w14:paraId="69319A67"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15 </w:t>
      </w:r>
      <w:r w:rsidRPr="00B529BA">
        <w:rPr>
          <w:rFonts w:ascii="Book Antiqua" w:eastAsia="SimSun" w:hAnsi="Book Antiqua" w:cs="Times New Roman"/>
          <w:b/>
          <w:kern w:val="2"/>
          <w:lang w:eastAsia="zh-CN"/>
        </w:rPr>
        <w:t>Hay JE</w:t>
      </w:r>
      <w:r w:rsidRPr="00B529BA">
        <w:rPr>
          <w:rFonts w:ascii="Book Antiqua" w:eastAsia="SimSun" w:hAnsi="Book Antiqua" w:cs="Times New Roman"/>
          <w:kern w:val="2"/>
          <w:lang w:eastAsia="zh-CN"/>
        </w:rPr>
        <w:t xml:space="preserve">. Bone disease in cholestatic liver disease. </w:t>
      </w:r>
      <w:r w:rsidRPr="00B529BA">
        <w:rPr>
          <w:rFonts w:ascii="Book Antiqua" w:eastAsia="SimSun" w:hAnsi="Book Antiqua" w:cs="Times New Roman"/>
          <w:i/>
          <w:kern w:val="2"/>
          <w:lang w:eastAsia="zh-CN"/>
        </w:rPr>
        <w:t>Gastroenterology</w:t>
      </w:r>
      <w:r w:rsidRPr="00B529BA">
        <w:rPr>
          <w:rFonts w:ascii="Book Antiqua" w:eastAsia="SimSun" w:hAnsi="Book Antiqua" w:cs="Times New Roman"/>
          <w:kern w:val="2"/>
          <w:lang w:eastAsia="zh-CN"/>
        </w:rPr>
        <w:t xml:space="preserve"> 1995; </w:t>
      </w:r>
      <w:r w:rsidRPr="00B529BA">
        <w:rPr>
          <w:rFonts w:ascii="Book Antiqua" w:eastAsia="SimSun" w:hAnsi="Book Antiqua" w:cs="Times New Roman"/>
          <w:b/>
          <w:kern w:val="2"/>
          <w:lang w:eastAsia="zh-CN"/>
        </w:rPr>
        <w:t>108</w:t>
      </w:r>
      <w:r w:rsidRPr="00B529BA">
        <w:rPr>
          <w:rFonts w:ascii="Book Antiqua" w:eastAsia="SimSun" w:hAnsi="Book Antiqua" w:cs="Times New Roman"/>
          <w:kern w:val="2"/>
          <w:lang w:eastAsia="zh-CN"/>
        </w:rPr>
        <w:t>: 276-283 [PMID: 7806050]</w:t>
      </w:r>
    </w:p>
    <w:p w14:paraId="2EFD4EF7"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16 </w:t>
      </w:r>
      <w:proofErr w:type="spellStart"/>
      <w:r w:rsidRPr="00B529BA">
        <w:rPr>
          <w:rFonts w:ascii="Book Antiqua" w:eastAsia="SimSun" w:hAnsi="Book Antiqua" w:cs="Times New Roman"/>
          <w:b/>
          <w:kern w:val="2"/>
          <w:lang w:eastAsia="zh-CN"/>
        </w:rPr>
        <w:t>Guichelaar</w:t>
      </w:r>
      <w:proofErr w:type="spellEnd"/>
      <w:r w:rsidRPr="00B529BA">
        <w:rPr>
          <w:rFonts w:ascii="Book Antiqua" w:eastAsia="SimSun" w:hAnsi="Book Antiqua" w:cs="Times New Roman"/>
          <w:b/>
          <w:kern w:val="2"/>
          <w:lang w:eastAsia="zh-CN"/>
        </w:rPr>
        <w:t xml:space="preserve"> MM</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Malinchoc</w:t>
      </w:r>
      <w:proofErr w:type="spellEnd"/>
      <w:r w:rsidRPr="00B529BA">
        <w:rPr>
          <w:rFonts w:ascii="Book Antiqua" w:eastAsia="SimSun" w:hAnsi="Book Antiqua" w:cs="Times New Roman"/>
          <w:kern w:val="2"/>
          <w:lang w:eastAsia="zh-CN"/>
        </w:rPr>
        <w:t xml:space="preserve"> M, </w:t>
      </w:r>
      <w:proofErr w:type="spellStart"/>
      <w:r w:rsidRPr="00B529BA">
        <w:rPr>
          <w:rFonts w:ascii="Book Antiqua" w:eastAsia="SimSun" w:hAnsi="Book Antiqua" w:cs="Times New Roman"/>
          <w:kern w:val="2"/>
          <w:lang w:eastAsia="zh-CN"/>
        </w:rPr>
        <w:t>Sibonga</w:t>
      </w:r>
      <w:proofErr w:type="spellEnd"/>
      <w:r w:rsidRPr="00B529BA">
        <w:rPr>
          <w:rFonts w:ascii="Book Antiqua" w:eastAsia="SimSun" w:hAnsi="Book Antiqua" w:cs="Times New Roman"/>
          <w:kern w:val="2"/>
          <w:lang w:eastAsia="zh-CN"/>
        </w:rPr>
        <w:t xml:space="preserve"> J, Clarke BL, Hay JE. Bone metabolism in advanced cholestatic liver disease: analysis by bone histomorphometry. </w:t>
      </w:r>
      <w:r w:rsidRPr="00B529BA">
        <w:rPr>
          <w:rFonts w:ascii="Book Antiqua" w:eastAsia="SimSun" w:hAnsi="Book Antiqua" w:cs="Times New Roman"/>
          <w:i/>
          <w:kern w:val="2"/>
          <w:lang w:eastAsia="zh-CN"/>
        </w:rPr>
        <w:t>Hepatology</w:t>
      </w:r>
      <w:r w:rsidRPr="00B529BA">
        <w:rPr>
          <w:rFonts w:ascii="Book Antiqua" w:eastAsia="SimSun" w:hAnsi="Book Antiqua" w:cs="Times New Roman"/>
          <w:kern w:val="2"/>
          <w:lang w:eastAsia="zh-CN"/>
        </w:rPr>
        <w:t xml:space="preserve"> 2002; </w:t>
      </w:r>
      <w:r w:rsidRPr="00B529BA">
        <w:rPr>
          <w:rFonts w:ascii="Book Antiqua" w:eastAsia="SimSun" w:hAnsi="Book Antiqua" w:cs="Times New Roman"/>
          <w:b/>
          <w:kern w:val="2"/>
          <w:lang w:eastAsia="zh-CN"/>
        </w:rPr>
        <w:t>36</w:t>
      </w:r>
      <w:r w:rsidRPr="00B529BA">
        <w:rPr>
          <w:rFonts w:ascii="Book Antiqua" w:eastAsia="SimSun" w:hAnsi="Book Antiqua" w:cs="Times New Roman"/>
          <w:kern w:val="2"/>
          <w:lang w:eastAsia="zh-CN"/>
        </w:rPr>
        <w:t>: 895-903 [PMID: 12297836 DOI: 10.1053/jhep.2002.36357]</w:t>
      </w:r>
    </w:p>
    <w:p w14:paraId="46CB22A3"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17 </w:t>
      </w:r>
      <w:r w:rsidRPr="00B529BA">
        <w:rPr>
          <w:rFonts w:ascii="Book Antiqua" w:eastAsia="SimSun" w:hAnsi="Book Antiqua" w:cs="Times New Roman"/>
          <w:b/>
          <w:kern w:val="2"/>
          <w:lang w:eastAsia="zh-CN"/>
        </w:rPr>
        <w:t>Hodgson SF</w:t>
      </w:r>
      <w:r w:rsidRPr="00B529BA">
        <w:rPr>
          <w:rFonts w:ascii="Book Antiqua" w:eastAsia="SimSun" w:hAnsi="Book Antiqua" w:cs="Times New Roman"/>
          <w:kern w:val="2"/>
          <w:lang w:eastAsia="zh-CN"/>
        </w:rPr>
        <w:t xml:space="preserve">, Dickson ER, </w:t>
      </w:r>
      <w:proofErr w:type="spellStart"/>
      <w:r w:rsidRPr="00B529BA">
        <w:rPr>
          <w:rFonts w:ascii="Book Antiqua" w:eastAsia="SimSun" w:hAnsi="Book Antiqua" w:cs="Times New Roman"/>
          <w:kern w:val="2"/>
          <w:lang w:eastAsia="zh-CN"/>
        </w:rPr>
        <w:t>Wahner</w:t>
      </w:r>
      <w:proofErr w:type="spellEnd"/>
      <w:r w:rsidRPr="00B529BA">
        <w:rPr>
          <w:rFonts w:ascii="Book Antiqua" w:eastAsia="SimSun" w:hAnsi="Book Antiqua" w:cs="Times New Roman"/>
          <w:kern w:val="2"/>
          <w:lang w:eastAsia="zh-CN"/>
        </w:rPr>
        <w:t xml:space="preserve"> HW, Johnson KA, Mann KG, Riggs BL. Bone loss and reduced osteoblast function in primary biliary cirrhosis. </w:t>
      </w:r>
      <w:r w:rsidRPr="00B529BA">
        <w:rPr>
          <w:rFonts w:ascii="Book Antiqua" w:eastAsia="SimSun" w:hAnsi="Book Antiqua" w:cs="Times New Roman"/>
          <w:i/>
          <w:kern w:val="2"/>
          <w:lang w:eastAsia="zh-CN"/>
        </w:rPr>
        <w:t>Ann Intern Med</w:t>
      </w:r>
      <w:r w:rsidRPr="00B529BA">
        <w:rPr>
          <w:rFonts w:ascii="Book Antiqua" w:eastAsia="SimSun" w:hAnsi="Book Antiqua" w:cs="Times New Roman"/>
          <w:kern w:val="2"/>
          <w:lang w:eastAsia="zh-CN"/>
        </w:rPr>
        <w:t xml:space="preserve"> 1985; </w:t>
      </w:r>
      <w:r w:rsidRPr="00B529BA">
        <w:rPr>
          <w:rFonts w:ascii="Book Antiqua" w:eastAsia="SimSun" w:hAnsi="Book Antiqua" w:cs="Times New Roman"/>
          <w:b/>
          <w:kern w:val="2"/>
          <w:lang w:eastAsia="zh-CN"/>
        </w:rPr>
        <w:t>103</w:t>
      </w:r>
      <w:r w:rsidRPr="00B529BA">
        <w:rPr>
          <w:rFonts w:ascii="Book Antiqua" w:eastAsia="SimSun" w:hAnsi="Book Antiqua" w:cs="Times New Roman"/>
          <w:kern w:val="2"/>
          <w:lang w:eastAsia="zh-CN"/>
        </w:rPr>
        <w:t>: 855-860 [PMID: 4062087]</w:t>
      </w:r>
    </w:p>
    <w:p w14:paraId="79FC96EF"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18 </w:t>
      </w:r>
      <w:r w:rsidRPr="00B529BA">
        <w:rPr>
          <w:rFonts w:ascii="Book Antiqua" w:eastAsia="SimSun" w:hAnsi="Book Antiqua" w:cs="Times New Roman"/>
          <w:b/>
          <w:kern w:val="2"/>
          <w:lang w:eastAsia="zh-CN"/>
        </w:rPr>
        <w:t>Ackerman Z</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Weinreb</w:t>
      </w:r>
      <w:proofErr w:type="spellEnd"/>
      <w:r w:rsidRPr="00B529BA">
        <w:rPr>
          <w:rFonts w:ascii="Book Antiqua" w:eastAsia="SimSun" w:hAnsi="Book Antiqua" w:cs="Times New Roman"/>
          <w:kern w:val="2"/>
          <w:lang w:eastAsia="zh-CN"/>
        </w:rPr>
        <w:t xml:space="preserve"> M, Amir G, </w:t>
      </w:r>
      <w:proofErr w:type="spellStart"/>
      <w:r w:rsidRPr="00B529BA">
        <w:rPr>
          <w:rFonts w:ascii="Book Antiqua" w:eastAsia="SimSun" w:hAnsi="Book Antiqua" w:cs="Times New Roman"/>
          <w:kern w:val="2"/>
          <w:lang w:eastAsia="zh-CN"/>
        </w:rPr>
        <w:t>Pollak</w:t>
      </w:r>
      <w:proofErr w:type="spellEnd"/>
      <w:r w:rsidRPr="00B529BA">
        <w:rPr>
          <w:rFonts w:ascii="Book Antiqua" w:eastAsia="SimSun" w:hAnsi="Book Antiqua" w:cs="Times New Roman"/>
          <w:kern w:val="2"/>
          <w:lang w:eastAsia="zh-CN"/>
        </w:rPr>
        <w:t xml:space="preserve"> RD. Bone mineral metabolism and histomorphometry in rats with cholestatic liver disease. </w:t>
      </w:r>
      <w:r w:rsidRPr="00B529BA">
        <w:rPr>
          <w:rFonts w:ascii="Book Antiqua" w:eastAsia="SimSun" w:hAnsi="Book Antiqua" w:cs="Times New Roman"/>
          <w:i/>
          <w:kern w:val="2"/>
          <w:lang w:eastAsia="zh-CN"/>
        </w:rPr>
        <w:t>Liver</w:t>
      </w:r>
      <w:r w:rsidRPr="00B529BA">
        <w:rPr>
          <w:rFonts w:ascii="Book Antiqua" w:eastAsia="SimSun" w:hAnsi="Book Antiqua" w:cs="Times New Roman"/>
          <w:kern w:val="2"/>
          <w:lang w:eastAsia="zh-CN"/>
        </w:rPr>
        <w:t xml:space="preserve"> 2002; </w:t>
      </w:r>
      <w:r w:rsidRPr="00B529BA">
        <w:rPr>
          <w:rFonts w:ascii="Book Antiqua" w:eastAsia="SimSun" w:hAnsi="Book Antiqua" w:cs="Times New Roman"/>
          <w:b/>
          <w:kern w:val="2"/>
          <w:lang w:eastAsia="zh-CN"/>
        </w:rPr>
        <w:t>22</w:t>
      </w:r>
      <w:r w:rsidRPr="00B529BA">
        <w:rPr>
          <w:rFonts w:ascii="Book Antiqua" w:eastAsia="SimSun" w:hAnsi="Book Antiqua" w:cs="Times New Roman"/>
          <w:kern w:val="2"/>
          <w:lang w:eastAsia="zh-CN"/>
        </w:rPr>
        <w:t xml:space="preserve">: 166-172 </w:t>
      </w:r>
      <w:r w:rsidRPr="00B529BA">
        <w:rPr>
          <w:rFonts w:ascii="Book Antiqua" w:eastAsia="SimSun" w:hAnsi="Book Antiqua" w:cs="Times New Roman"/>
          <w:kern w:val="2"/>
          <w:lang w:eastAsia="zh-CN"/>
        </w:rPr>
        <w:lastRenderedPageBreak/>
        <w:t>[PMID: 12028412]</w:t>
      </w:r>
    </w:p>
    <w:p w14:paraId="6A375937"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19 </w:t>
      </w:r>
      <w:proofErr w:type="spellStart"/>
      <w:r w:rsidRPr="00B529BA">
        <w:rPr>
          <w:rFonts w:ascii="Book Antiqua" w:eastAsia="SimSun" w:hAnsi="Book Antiqua" w:cs="Times New Roman"/>
          <w:b/>
          <w:kern w:val="2"/>
          <w:lang w:eastAsia="zh-CN"/>
        </w:rPr>
        <w:t>Gallego-Rojo</w:t>
      </w:r>
      <w:proofErr w:type="spellEnd"/>
      <w:r w:rsidRPr="00B529BA">
        <w:rPr>
          <w:rFonts w:ascii="Book Antiqua" w:eastAsia="SimSun" w:hAnsi="Book Antiqua" w:cs="Times New Roman"/>
          <w:b/>
          <w:kern w:val="2"/>
          <w:lang w:eastAsia="zh-CN"/>
        </w:rPr>
        <w:t xml:space="preserve"> FJ</w:t>
      </w:r>
      <w:r w:rsidRPr="00B529BA">
        <w:rPr>
          <w:rFonts w:ascii="Book Antiqua" w:eastAsia="SimSun" w:hAnsi="Book Antiqua" w:cs="Times New Roman"/>
          <w:kern w:val="2"/>
          <w:lang w:eastAsia="zh-CN"/>
        </w:rPr>
        <w:t xml:space="preserve">, Gonzalez-Calvin JL, Muñoz-Torres M, Mundi JL, Fernandez-Perez R, Rodrigo-Moreno D. Bone mineral density, serum insulin-like growth factor I, and bone turnover markers in viral cirrhosis. </w:t>
      </w:r>
      <w:r w:rsidRPr="00B529BA">
        <w:rPr>
          <w:rFonts w:ascii="Book Antiqua" w:eastAsia="SimSun" w:hAnsi="Book Antiqua" w:cs="Times New Roman"/>
          <w:i/>
          <w:kern w:val="2"/>
          <w:lang w:eastAsia="zh-CN"/>
        </w:rPr>
        <w:t>Hepatology</w:t>
      </w:r>
      <w:r w:rsidRPr="00B529BA">
        <w:rPr>
          <w:rFonts w:ascii="Book Antiqua" w:eastAsia="SimSun" w:hAnsi="Book Antiqua" w:cs="Times New Roman"/>
          <w:kern w:val="2"/>
          <w:lang w:eastAsia="zh-CN"/>
        </w:rPr>
        <w:t xml:space="preserve"> 1998; </w:t>
      </w:r>
      <w:r w:rsidRPr="00B529BA">
        <w:rPr>
          <w:rFonts w:ascii="Book Antiqua" w:eastAsia="SimSun" w:hAnsi="Book Antiqua" w:cs="Times New Roman"/>
          <w:b/>
          <w:kern w:val="2"/>
          <w:lang w:eastAsia="zh-CN"/>
        </w:rPr>
        <w:t>28</w:t>
      </w:r>
      <w:r w:rsidRPr="00B529BA">
        <w:rPr>
          <w:rFonts w:ascii="Book Antiqua" w:eastAsia="SimSun" w:hAnsi="Book Antiqua" w:cs="Times New Roman"/>
          <w:kern w:val="2"/>
          <w:lang w:eastAsia="zh-CN"/>
        </w:rPr>
        <w:t>: 695-699 [PMID: 9731561 DOI: 10.1002/hep.510280315]</w:t>
      </w:r>
    </w:p>
    <w:p w14:paraId="68667FB3"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20 </w:t>
      </w:r>
      <w:proofErr w:type="spellStart"/>
      <w:r w:rsidRPr="00B529BA">
        <w:rPr>
          <w:rFonts w:ascii="Book Antiqua" w:eastAsia="SimSun" w:hAnsi="Book Antiqua" w:cs="Times New Roman"/>
          <w:b/>
          <w:kern w:val="2"/>
          <w:lang w:eastAsia="zh-CN"/>
        </w:rPr>
        <w:t>Cemborain</w:t>
      </w:r>
      <w:proofErr w:type="spellEnd"/>
      <w:r w:rsidRPr="00B529BA">
        <w:rPr>
          <w:rFonts w:ascii="Book Antiqua" w:eastAsia="SimSun" w:hAnsi="Book Antiqua" w:cs="Times New Roman"/>
          <w:b/>
          <w:kern w:val="2"/>
          <w:lang w:eastAsia="zh-CN"/>
        </w:rPr>
        <w:t xml:space="preserve"> A</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Castilla-Cortázar</w:t>
      </w:r>
      <w:proofErr w:type="spellEnd"/>
      <w:r w:rsidRPr="00B529BA">
        <w:rPr>
          <w:rFonts w:ascii="Book Antiqua" w:eastAsia="SimSun" w:hAnsi="Book Antiqua" w:cs="Times New Roman"/>
          <w:kern w:val="2"/>
          <w:lang w:eastAsia="zh-CN"/>
        </w:rPr>
        <w:t xml:space="preserve"> I, </w:t>
      </w:r>
      <w:proofErr w:type="spellStart"/>
      <w:r w:rsidRPr="00B529BA">
        <w:rPr>
          <w:rFonts w:ascii="Book Antiqua" w:eastAsia="SimSun" w:hAnsi="Book Antiqua" w:cs="Times New Roman"/>
          <w:kern w:val="2"/>
          <w:lang w:eastAsia="zh-CN"/>
        </w:rPr>
        <w:t>García</w:t>
      </w:r>
      <w:proofErr w:type="spellEnd"/>
      <w:r w:rsidRPr="00B529BA">
        <w:rPr>
          <w:rFonts w:ascii="Book Antiqua" w:eastAsia="SimSun" w:hAnsi="Book Antiqua" w:cs="Times New Roman"/>
          <w:kern w:val="2"/>
          <w:lang w:eastAsia="zh-CN"/>
        </w:rPr>
        <w:t xml:space="preserve"> M, </w:t>
      </w:r>
      <w:proofErr w:type="spellStart"/>
      <w:r w:rsidRPr="00B529BA">
        <w:rPr>
          <w:rFonts w:ascii="Book Antiqua" w:eastAsia="SimSun" w:hAnsi="Book Antiqua" w:cs="Times New Roman"/>
          <w:kern w:val="2"/>
          <w:lang w:eastAsia="zh-CN"/>
        </w:rPr>
        <w:t>Quiroga</w:t>
      </w:r>
      <w:proofErr w:type="spellEnd"/>
      <w:r w:rsidRPr="00B529BA">
        <w:rPr>
          <w:rFonts w:ascii="Book Antiqua" w:eastAsia="SimSun" w:hAnsi="Book Antiqua" w:cs="Times New Roman"/>
          <w:kern w:val="2"/>
          <w:lang w:eastAsia="zh-CN"/>
        </w:rPr>
        <w:t xml:space="preserve"> J, </w:t>
      </w:r>
      <w:proofErr w:type="spellStart"/>
      <w:r w:rsidRPr="00B529BA">
        <w:rPr>
          <w:rFonts w:ascii="Book Antiqua" w:eastAsia="SimSun" w:hAnsi="Book Antiqua" w:cs="Times New Roman"/>
          <w:kern w:val="2"/>
          <w:lang w:eastAsia="zh-CN"/>
        </w:rPr>
        <w:t>Muguerza</w:t>
      </w:r>
      <w:proofErr w:type="spellEnd"/>
      <w:r w:rsidRPr="00B529BA">
        <w:rPr>
          <w:rFonts w:ascii="Book Antiqua" w:eastAsia="SimSun" w:hAnsi="Book Antiqua" w:cs="Times New Roman"/>
          <w:kern w:val="2"/>
          <w:lang w:eastAsia="zh-CN"/>
        </w:rPr>
        <w:t xml:space="preserve"> B, </w:t>
      </w:r>
      <w:proofErr w:type="spellStart"/>
      <w:r w:rsidRPr="00B529BA">
        <w:rPr>
          <w:rFonts w:ascii="Book Antiqua" w:eastAsia="SimSun" w:hAnsi="Book Antiqua" w:cs="Times New Roman"/>
          <w:kern w:val="2"/>
          <w:lang w:eastAsia="zh-CN"/>
        </w:rPr>
        <w:t>Picardi</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Santidrián</w:t>
      </w:r>
      <w:proofErr w:type="spellEnd"/>
      <w:r w:rsidRPr="00B529BA">
        <w:rPr>
          <w:rFonts w:ascii="Book Antiqua" w:eastAsia="SimSun" w:hAnsi="Book Antiqua" w:cs="Times New Roman"/>
          <w:kern w:val="2"/>
          <w:lang w:eastAsia="zh-CN"/>
        </w:rPr>
        <w:t xml:space="preserve"> S, Prieto J. Osteopenia in rats with liver cirrhosis: beneficial effects of IGF-I treatment. </w:t>
      </w:r>
      <w:r w:rsidRPr="00B529BA">
        <w:rPr>
          <w:rFonts w:ascii="Book Antiqua" w:eastAsia="SimSun" w:hAnsi="Book Antiqua" w:cs="Times New Roman"/>
          <w:i/>
          <w:kern w:val="2"/>
          <w:lang w:eastAsia="zh-CN"/>
        </w:rPr>
        <w:t xml:space="preserve">J </w:t>
      </w:r>
      <w:proofErr w:type="spellStart"/>
      <w:r w:rsidRPr="00B529BA">
        <w:rPr>
          <w:rFonts w:ascii="Book Antiqua" w:eastAsia="SimSun" w:hAnsi="Book Antiqua" w:cs="Times New Roman"/>
          <w:i/>
          <w:kern w:val="2"/>
          <w:lang w:eastAsia="zh-CN"/>
        </w:rPr>
        <w:t>Hepatol</w:t>
      </w:r>
      <w:proofErr w:type="spellEnd"/>
      <w:r w:rsidRPr="00B529BA">
        <w:rPr>
          <w:rFonts w:ascii="Book Antiqua" w:eastAsia="SimSun" w:hAnsi="Book Antiqua" w:cs="Times New Roman"/>
          <w:kern w:val="2"/>
          <w:lang w:eastAsia="zh-CN"/>
        </w:rPr>
        <w:t xml:space="preserve"> 1998; </w:t>
      </w:r>
      <w:r w:rsidRPr="00B529BA">
        <w:rPr>
          <w:rFonts w:ascii="Book Antiqua" w:eastAsia="SimSun" w:hAnsi="Book Antiqua" w:cs="Times New Roman"/>
          <w:b/>
          <w:kern w:val="2"/>
          <w:lang w:eastAsia="zh-CN"/>
        </w:rPr>
        <w:t>28</w:t>
      </w:r>
      <w:r w:rsidRPr="00B529BA">
        <w:rPr>
          <w:rFonts w:ascii="Book Antiqua" w:eastAsia="SimSun" w:hAnsi="Book Antiqua" w:cs="Times New Roman"/>
          <w:kern w:val="2"/>
          <w:lang w:eastAsia="zh-CN"/>
        </w:rPr>
        <w:t>: 122-131 [PMID: 9537849 DOI: 10.1016/S0168-8278(98)80211-0]</w:t>
      </w:r>
    </w:p>
    <w:p w14:paraId="3F3DE55F"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21 </w:t>
      </w:r>
      <w:proofErr w:type="spellStart"/>
      <w:r w:rsidRPr="00B529BA">
        <w:rPr>
          <w:rFonts w:ascii="Book Antiqua" w:eastAsia="SimSun" w:hAnsi="Book Antiqua" w:cs="Times New Roman"/>
          <w:b/>
          <w:kern w:val="2"/>
          <w:lang w:eastAsia="zh-CN"/>
        </w:rPr>
        <w:t>Houben</w:t>
      </w:r>
      <w:proofErr w:type="spellEnd"/>
      <w:r w:rsidRPr="00B529BA">
        <w:rPr>
          <w:rFonts w:ascii="Book Antiqua" w:eastAsia="SimSun" w:hAnsi="Book Antiqua" w:cs="Times New Roman"/>
          <w:b/>
          <w:kern w:val="2"/>
          <w:lang w:eastAsia="zh-CN"/>
        </w:rPr>
        <w:t xml:space="preserve"> RJ</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Rijkers</w:t>
      </w:r>
      <w:proofErr w:type="spellEnd"/>
      <w:r w:rsidRPr="00B529BA">
        <w:rPr>
          <w:rFonts w:ascii="Book Antiqua" w:eastAsia="SimSun" w:hAnsi="Book Antiqua" w:cs="Times New Roman"/>
          <w:kern w:val="2"/>
          <w:lang w:eastAsia="zh-CN"/>
        </w:rPr>
        <w:t xml:space="preserve"> DT, Stanley TB, </w:t>
      </w:r>
      <w:proofErr w:type="spellStart"/>
      <w:r w:rsidRPr="00B529BA">
        <w:rPr>
          <w:rFonts w:ascii="Book Antiqua" w:eastAsia="SimSun" w:hAnsi="Book Antiqua" w:cs="Times New Roman"/>
          <w:kern w:val="2"/>
          <w:lang w:eastAsia="zh-CN"/>
        </w:rPr>
        <w:t>Acher</w:t>
      </w:r>
      <w:proofErr w:type="spellEnd"/>
      <w:r w:rsidRPr="00B529BA">
        <w:rPr>
          <w:rFonts w:ascii="Book Antiqua" w:eastAsia="SimSun" w:hAnsi="Book Antiqua" w:cs="Times New Roman"/>
          <w:kern w:val="2"/>
          <w:lang w:eastAsia="zh-CN"/>
        </w:rPr>
        <w:t xml:space="preserve"> F, </w:t>
      </w:r>
      <w:proofErr w:type="spellStart"/>
      <w:r w:rsidRPr="00B529BA">
        <w:rPr>
          <w:rFonts w:ascii="Book Antiqua" w:eastAsia="SimSun" w:hAnsi="Book Antiqua" w:cs="Times New Roman"/>
          <w:kern w:val="2"/>
          <w:lang w:eastAsia="zh-CN"/>
        </w:rPr>
        <w:t>Azerad</w:t>
      </w:r>
      <w:proofErr w:type="spellEnd"/>
      <w:r w:rsidRPr="00B529BA">
        <w:rPr>
          <w:rFonts w:ascii="Book Antiqua" w:eastAsia="SimSun" w:hAnsi="Book Antiqua" w:cs="Times New Roman"/>
          <w:kern w:val="2"/>
          <w:lang w:eastAsia="zh-CN"/>
        </w:rPr>
        <w:t xml:space="preserve"> R, </w:t>
      </w:r>
      <w:proofErr w:type="spellStart"/>
      <w:r w:rsidRPr="00B529BA">
        <w:rPr>
          <w:rFonts w:ascii="Book Antiqua" w:eastAsia="SimSun" w:hAnsi="Book Antiqua" w:cs="Times New Roman"/>
          <w:kern w:val="2"/>
          <w:lang w:eastAsia="zh-CN"/>
        </w:rPr>
        <w:t>Käkönen</w:t>
      </w:r>
      <w:proofErr w:type="spellEnd"/>
      <w:r w:rsidRPr="00B529BA">
        <w:rPr>
          <w:rFonts w:ascii="Book Antiqua" w:eastAsia="SimSun" w:hAnsi="Book Antiqua" w:cs="Times New Roman"/>
          <w:kern w:val="2"/>
          <w:lang w:eastAsia="zh-CN"/>
        </w:rPr>
        <w:t xml:space="preserve"> SM, Vermeer C, </w:t>
      </w:r>
      <w:proofErr w:type="spellStart"/>
      <w:r w:rsidRPr="00B529BA">
        <w:rPr>
          <w:rFonts w:ascii="Book Antiqua" w:eastAsia="SimSun" w:hAnsi="Book Antiqua" w:cs="Times New Roman"/>
          <w:kern w:val="2"/>
          <w:lang w:eastAsia="zh-CN"/>
        </w:rPr>
        <w:t>Soute</w:t>
      </w:r>
      <w:proofErr w:type="spellEnd"/>
      <w:r w:rsidRPr="00B529BA">
        <w:rPr>
          <w:rFonts w:ascii="Book Antiqua" w:eastAsia="SimSun" w:hAnsi="Book Antiqua" w:cs="Times New Roman"/>
          <w:kern w:val="2"/>
          <w:lang w:eastAsia="zh-CN"/>
        </w:rPr>
        <w:t xml:space="preserve"> BA. Characteristics and composition of the vitamin K-dependent gamma-glutamyl carboxylase-binding domain on osteocalcin. </w:t>
      </w:r>
      <w:proofErr w:type="spellStart"/>
      <w:r w:rsidRPr="00B529BA">
        <w:rPr>
          <w:rFonts w:ascii="Book Antiqua" w:eastAsia="SimSun" w:hAnsi="Book Antiqua" w:cs="Times New Roman"/>
          <w:i/>
          <w:kern w:val="2"/>
          <w:lang w:eastAsia="zh-CN"/>
        </w:rPr>
        <w:t>Biochem</w:t>
      </w:r>
      <w:proofErr w:type="spellEnd"/>
      <w:r w:rsidRPr="00B529BA">
        <w:rPr>
          <w:rFonts w:ascii="Book Antiqua" w:eastAsia="SimSun" w:hAnsi="Book Antiqua" w:cs="Times New Roman"/>
          <w:i/>
          <w:kern w:val="2"/>
          <w:lang w:eastAsia="zh-CN"/>
        </w:rPr>
        <w:t xml:space="preserve"> J</w:t>
      </w:r>
      <w:r w:rsidRPr="00B529BA">
        <w:rPr>
          <w:rFonts w:ascii="Book Antiqua" w:eastAsia="SimSun" w:hAnsi="Book Antiqua" w:cs="Times New Roman"/>
          <w:kern w:val="2"/>
          <w:lang w:eastAsia="zh-CN"/>
        </w:rPr>
        <w:t xml:space="preserve"> 2002; </w:t>
      </w:r>
      <w:r w:rsidRPr="00B529BA">
        <w:rPr>
          <w:rFonts w:ascii="Book Antiqua" w:eastAsia="SimSun" w:hAnsi="Book Antiqua" w:cs="Times New Roman"/>
          <w:b/>
          <w:kern w:val="2"/>
          <w:lang w:eastAsia="zh-CN"/>
        </w:rPr>
        <w:t>364</w:t>
      </w:r>
      <w:r w:rsidRPr="00B529BA">
        <w:rPr>
          <w:rFonts w:ascii="Book Antiqua" w:eastAsia="SimSun" w:hAnsi="Book Antiqua" w:cs="Times New Roman"/>
          <w:kern w:val="2"/>
          <w:lang w:eastAsia="zh-CN"/>
        </w:rPr>
        <w:t>: 323-328 [PMID: 11988107]</w:t>
      </w:r>
    </w:p>
    <w:p w14:paraId="44954434"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22 </w:t>
      </w:r>
      <w:proofErr w:type="spellStart"/>
      <w:r w:rsidRPr="00B529BA">
        <w:rPr>
          <w:rFonts w:ascii="Book Antiqua" w:eastAsia="SimSun" w:hAnsi="Book Antiqua" w:cs="Times New Roman"/>
          <w:b/>
          <w:kern w:val="2"/>
          <w:lang w:eastAsia="zh-CN"/>
        </w:rPr>
        <w:t>Koshihara</w:t>
      </w:r>
      <w:proofErr w:type="spellEnd"/>
      <w:r w:rsidRPr="00B529BA">
        <w:rPr>
          <w:rFonts w:ascii="Book Antiqua" w:eastAsia="SimSun" w:hAnsi="Book Antiqua" w:cs="Times New Roman"/>
          <w:b/>
          <w:kern w:val="2"/>
          <w:lang w:eastAsia="zh-CN"/>
        </w:rPr>
        <w:t xml:space="preserve"> Y</w:t>
      </w:r>
      <w:r w:rsidRPr="00B529BA">
        <w:rPr>
          <w:rFonts w:ascii="Book Antiqua" w:eastAsia="SimSun" w:hAnsi="Book Antiqua" w:cs="Times New Roman"/>
          <w:kern w:val="2"/>
          <w:lang w:eastAsia="zh-CN"/>
        </w:rPr>
        <w:t xml:space="preserve">, Hoshi K, </w:t>
      </w:r>
      <w:proofErr w:type="spellStart"/>
      <w:r w:rsidRPr="00B529BA">
        <w:rPr>
          <w:rFonts w:ascii="Book Antiqua" w:eastAsia="SimSun" w:hAnsi="Book Antiqua" w:cs="Times New Roman"/>
          <w:kern w:val="2"/>
          <w:lang w:eastAsia="zh-CN"/>
        </w:rPr>
        <w:t>Okawara</w:t>
      </w:r>
      <w:proofErr w:type="spellEnd"/>
      <w:r w:rsidRPr="00B529BA">
        <w:rPr>
          <w:rFonts w:ascii="Book Antiqua" w:eastAsia="SimSun" w:hAnsi="Book Antiqua" w:cs="Times New Roman"/>
          <w:kern w:val="2"/>
          <w:lang w:eastAsia="zh-CN"/>
        </w:rPr>
        <w:t xml:space="preserve"> R, Ishibashi H, Yamamoto S. Vitamin K stimulates osteoblastogenesis and inhibits osteoclastogenesis in human bone marrow cell culture. </w:t>
      </w:r>
      <w:r w:rsidRPr="00B529BA">
        <w:rPr>
          <w:rFonts w:ascii="Book Antiqua" w:eastAsia="SimSun" w:hAnsi="Book Antiqua" w:cs="Times New Roman"/>
          <w:i/>
          <w:kern w:val="2"/>
          <w:lang w:eastAsia="zh-CN"/>
        </w:rPr>
        <w:t xml:space="preserve">J </w:t>
      </w:r>
      <w:proofErr w:type="spellStart"/>
      <w:r w:rsidRPr="00B529BA">
        <w:rPr>
          <w:rFonts w:ascii="Book Antiqua" w:eastAsia="SimSun" w:hAnsi="Book Antiqua" w:cs="Times New Roman"/>
          <w:i/>
          <w:kern w:val="2"/>
          <w:lang w:eastAsia="zh-CN"/>
        </w:rPr>
        <w:t>Endocrinol</w:t>
      </w:r>
      <w:proofErr w:type="spellEnd"/>
      <w:r w:rsidRPr="00B529BA">
        <w:rPr>
          <w:rFonts w:ascii="Book Antiqua" w:eastAsia="SimSun" w:hAnsi="Book Antiqua" w:cs="Times New Roman"/>
          <w:kern w:val="2"/>
          <w:lang w:eastAsia="zh-CN"/>
        </w:rPr>
        <w:t xml:space="preserve"> 2003; </w:t>
      </w:r>
      <w:r w:rsidRPr="00B529BA">
        <w:rPr>
          <w:rFonts w:ascii="Book Antiqua" w:eastAsia="SimSun" w:hAnsi="Book Antiqua" w:cs="Times New Roman"/>
          <w:b/>
          <w:kern w:val="2"/>
          <w:lang w:eastAsia="zh-CN"/>
        </w:rPr>
        <w:t>176</w:t>
      </w:r>
      <w:r w:rsidRPr="00B529BA">
        <w:rPr>
          <w:rFonts w:ascii="Book Antiqua" w:eastAsia="SimSun" w:hAnsi="Book Antiqua" w:cs="Times New Roman"/>
          <w:kern w:val="2"/>
          <w:lang w:eastAsia="zh-CN"/>
        </w:rPr>
        <w:t>: 339-348 [PMID: 12630919 DOI: 10.1677/joe.0.1760339]</w:t>
      </w:r>
    </w:p>
    <w:p w14:paraId="2D665ECD"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23 </w:t>
      </w:r>
      <w:proofErr w:type="spellStart"/>
      <w:r w:rsidRPr="00B529BA">
        <w:rPr>
          <w:rFonts w:ascii="Book Antiqua" w:eastAsia="SimSun" w:hAnsi="Book Antiqua" w:cs="Times New Roman"/>
          <w:b/>
          <w:kern w:val="2"/>
          <w:lang w:eastAsia="zh-CN"/>
        </w:rPr>
        <w:t>Cockayne</w:t>
      </w:r>
      <w:proofErr w:type="spellEnd"/>
      <w:r w:rsidRPr="00B529BA">
        <w:rPr>
          <w:rFonts w:ascii="Book Antiqua" w:eastAsia="SimSun" w:hAnsi="Book Antiqua" w:cs="Times New Roman"/>
          <w:b/>
          <w:kern w:val="2"/>
          <w:lang w:eastAsia="zh-CN"/>
        </w:rPr>
        <w:t xml:space="preserve"> S</w:t>
      </w:r>
      <w:r w:rsidRPr="00B529BA">
        <w:rPr>
          <w:rFonts w:ascii="Book Antiqua" w:eastAsia="SimSun" w:hAnsi="Book Antiqua" w:cs="Times New Roman"/>
          <w:kern w:val="2"/>
          <w:lang w:eastAsia="zh-CN"/>
        </w:rPr>
        <w:t xml:space="preserve">, Adamson J, Lanham-New S, Shearer MJ, </w:t>
      </w:r>
      <w:proofErr w:type="spellStart"/>
      <w:r w:rsidRPr="00B529BA">
        <w:rPr>
          <w:rFonts w:ascii="Book Antiqua" w:eastAsia="SimSun" w:hAnsi="Book Antiqua" w:cs="Times New Roman"/>
          <w:kern w:val="2"/>
          <w:lang w:eastAsia="zh-CN"/>
        </w:rPr>
        <w:t>Gilbody</w:t>
      </w:r>
      <w:proofErr w:type="spellEnd"/>
      <w:r w:rsidRPr="00B529BA">
        <w:rPr>
          <w:rFonts w:ascii="Book Antiqua" w:eastAsia="SimSun" w:hAnsi="Book Antiqua" w:cs="Times New Roman"/>
          <w:kern w:val="2"/>
          <w:lang w:eastAsia="zh-CN"/>
        </w:rPr>
        <w:t xml:space="preserve"> S, </w:t>
      </w:r>
      <w:proofErr w:type="spellStart"/>
      <w:r w:rsidRPr="00B529BA">
        <w:rPr>
          <w:rFonts w:ascii="Book Antiqua" w:eastAsia="SimSun" w:hAnsi="Book Antiqua" w:cs="Times New Roman"/>
          <w:kern w:val="2"/>
          <w:lang w:eastAsia="zh-CN"/>
        </w:rPr>
        <w:t>Torgerson</w:t>
      </w:r>
      <w:proofErr w:type="spellEnd"/>
      <w:r w:rsidRPr="00B529BA">
        <w:rPr>
          <w:rFonts w:ascii="Book Antiqua" w:eastAsia="SimSun" w:hAnsi="Book Antiqua" w:cs="Times New Roman"/>
          <w:kern w:val="2"/>
          <w:lang w:eastAsia="zh-CN"/>
        </w:rPr>
        <w:t xml:space="preserve"> DJ. Vitamin K and the prevention of fractures: systematic review and meta-analysis of randomized controlled trials. </w:t>
      </w:r>
      <w:r w:rsidRPr="00B529BA">
        <w:rPr>
          <w:rFonts w:ascii="Book Antiqua" w:eastAsia="SimSun" w:hAnsi="Book Antiqua" w:cs="Times New Roman"/>
          <w:i/>
          <w:kern w:val="2"/>
          <w:lang w:eastAsia="zh-CN"/>
        </w:rPr>
        <w:t>Arch Intern Med</w:t>
      </w:r>
      <w:r w:rsidRPr="00B529BA">
        <w:rPr>
          <w:rFonts w:ascii="Book Antiqua" w:eastAsia="SimSun" w:hAnsi="Book Antiqua" w:cs="Times New Roman"/>
          <w:kern w:val="2"/>
          <w:lang w:eastAsia="zh-CN"/>
        </w:rPr>
        <w:t xml:space="preserve"> 2006; </w:t>
      </w:r>
      <w:r w:rsidRPr="00B529BA">
        <w:rPr>
          <w:rFonts w:ascii="Book Antiqua" w:eastAsia="SimSun" w:hAnsi="Book Antiqua" w:cs="Times New Roman"/>
          <w:b/>
          <w:kern w:val="2"/>
          <w:lang w:eastAsia="zh-CN"/>
        </w:rPr>
        <w:t>166</w:t>
      </w:r>
      <w:r w:rsidRPr="00B529BA">
        <w:rPr>
          <w:rFonts w:ascii="Book Antiqua" w:eastAsia="SimSun" w:hAnsi="Book Antiqua" w:cs="Times New Roman"/>
          <w:kern w:val="2"/>
          <w:lang w:eastAsia="zh-CN"/>
        </w:rPr>
        <w:t>: 1256-1261 [PMID: 16801507 DOI: 10.1001/archinte.166.12.1256]</w:t>
      </w:r>
    </w:p>
    <w:p w14:paraId="4B4FA521"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24 </w:t>
      </w:r>
      <w:r w:rsidRPr="00B529BA">
        <w:rPr>
          <w:rFonts w:ascii="Book Antiqua" w:eastAsia="SimSun" w:hAnsi="Book Antiqua" w:cs="Times New Roman"/>
          <w:b/>
          <w:kern w:val="2"/>
          <w:lang w:eastAsia="zh-CN"/>
        </w:rPr>
        <w:t>Janes CH</w:t>
      </w:r>
      <w:r w:rsidRPr="00B529BA">
        <w:rPr>
          <w:rFonts w:ascii="Book Antiqua" w:eastAsia="SimSun" w:hAnsi="Book Antiqua" w:cs="Times New Roman"/>
          <w:kern w:val="2"/>
          <w:lang w:eastAsia="zh-CN"/>
        </w:rPr>
        <w:t xml:space="preserve">, Dickson ER, Okazaki R, </w:t>
      </w:r>
      <w:proofErr w:type="spellStart"/>
      <w:r w:rsidRPr="00B529BA">
        <w:rPr>
          <w:rFonts w:ascii="Book Antiqua" w:eastAsia="SimSun" w:hAnsi="Book Antiqua" w:cs="Times New Roman"/>
          <w:kern w:val="2"/>
          <w:lang w:eastAsia="zh-CN"/>
        </w:rPr>
        <w:t>Bonde</w:t>
      </w:r>
      <w:proofErr w:type="spellEnd"/>
      <w:r w:rsidRPr="00B529BA">
        <w:rPr>
          <w:rFonts w:ascii="Book Antiqua" w:eastAsia="SimSun" w:hAnsi="Book Antiqua" w:cs="Times New Roman"/>
          <w:kern w:val="2"/>
          <w:lang w:eastAsia="zh-CN"/>
        </w:rPr>
        <w:t xml:space="preserve"> S, </w:t>
      </w:r>
      <w:proofErr w:type="spellStart"/>
      <w:r w:rsidRPr="00B529BA">
        <w:rPr>
          <w:rFonts w:ascii="Book Antiqua" w:eastAsia="SimSun" w:hAnsi="Book Antiqua" w:cs="Times New Roman"/>
          <w:kern w:val="2"/>
          <w:lang w:eastAsia="zh-CN"/>
        </w:rPr>
        <w:t>McDonagh</w:t>
      </w:r>
      <w:proofErr w:type="spellEnd"/>
      <w:r w:rsidRPr="00B529BA">
        <w:rPr>
          <w:rFonts w:ascii="Book Antiqua" w:eastAsia="SimSun" w:hAnsi="Book Antiqua" w:cs="Times New Roman"/>
          <w:kern w:val="2"/>
          <w:lang w:eastAsia="zh-CN"/>
        </w:rPr>
        <w:t xml:space="preserve"> AF, Riggs BL. Role of hyperbilirubinemia in the impairment of osteoblast proliferation associated with cholestatic jaundice. </w:t>
      </w:r>
      <w:r w:rsidRPr="00B529BA">
        <w:rPr>
          <w:rFonts w:ascii="Book Antiqua" w:eastAsia="SimSun" w:hAnsi="Book Antiqua" w:cs="Times New Roman"/>
          <w:i/>
          <w:kern w:val="2"/>
          <w:lang w:eastAsia="zh-CN"/>
        </w:rPr>
        <w:t xml:space="preserve">J </w:t>
      </w:r>
      <w:proofErr w:type="spellStart"/>
      <w:r w:rsidRPr="00B529BA">
        <w:rPr>
          <w:rFonts w:ascii="Book Antiqua" w:eastAsia="SimSun" w:hAnsi="Book Antiqua" w:cs="Times New Roman"/>
          <w:i/>
          <w:kern w:val="2"/>
          <w:lang w:eastAsia="zh-CN"/>
        </w:rPr>
        <w:t>Clin</w:t>
      </w:r>
      <w:proofErr w:type="spellEnd"/>
      <w:r w:rsidRPr="00B529BA">
        <w:rPr>
          <w:rFonts w:ascii="Book Antiqua" w:eastAsia="SimSun" w:hAnsi="Book Antiqua" w:cs="Times New Roman"/>
          <w:i/>
          <w:kern w:val="2"/>
          <w:lang w:eastAsia="zh-CN"/>
        </w:rPr>
        <w:t xml:space="preserve"> Invest</w:t>
      </w:r>
      <w:r w:rsidRPr="00B529BA">
        <w:rPr>
          <w:rFonts w:ascii="Book Antiqua" w:eastAsia="SimSun" w:hAnsi="Book Antiqua" w:cs="Times New Roman"/>
          <w:kern w:val="2"/>
          <w:lang w:eastAsia="zh-CN"/>
        </w:rPr>
        <w:t xml:space="preserve"> 1995; </w:t>
      </w:r>
      <w:r w:rsidRPr="00B529BA">
        <w:rPr>
          <w:rFonts w:ascii="Book Antiqua" w:eastAsia="SimSun" w:hAnsi="Book Antiqua" w:cs="Times New Roman"/>
          <w:b/>
          <w:kern w:val="2"/>
          <w:lang w:eastAsia="zh-CN"/>
        </w:rPr>
        <w:t>95</w:t>
      </w:r>
      <w:r w:rsidRPr="00B529BA">
        <w:rPr>
          <w:rFonts w:ascii="Book Antiqua" w:eastAsia="SimSun" w:hAnsi="Book Antiqua" w:cs="Times New Roman"/>
          <w:kern w:val="2"/>
          <w:lang w:eastAsia="zh-CN"/>
        </w:rPr>
        <w:t>: 2581-2586 [PMID: 7769100 DOI: 10.1172/JCI117959]</w:t>
      </w:r>
    </w:p>
    <w:p w14:paraId="497EC7D7"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25 </w:t>
      </w:r>
      <w:r w:rsidRPr="00B529BA">
        <w:rPr>
          <w:rFonts w:ascii="Book Antiqua" w:eastAsia="SimSun" w:hAnsi="Book Antiqua" w:cs="Times New Roman"/>
          <w:b/>
          <w:kern w:val="2"/>
          <w:lang w:eastAsia="zh-CN"/>
        </w:rPr>
        <w:t>Ruiz-</w:t>
      </w:r>
      <w:proofErr w:type="spellStart"/>
      <w:r w:rsidRPr="00B529BA">
        <w:rPr>
          <w:rFonts w:ascii="Book Antiqua" w:eastAsia="SimSun" w:hAnsi="Book Antiqua" w:cs="Times New Roman"/>
          <w:b/>
          <w:kern w:val="2"/>
          <w:lang w:eastAsia="zh-CN"/>
        </w:rPr>
        <w:t>Gaspà</w:t>
      </w:r>
      <w:proofErr w:type="spellEnd"/>
      <w:r w:rsidRPr="00B529BA">
        <w:rPr>
          <w:rFonts w:ascii="Book Antiqua" w:eastAsia="SimSun" w:hAnsi="Book Antiqua" w:cs="Times New Roman"/>
          <w:b/>
          <w:kern w:val="2"/>
          <w:lang w:eastAsia="zh-CN"/>
        </w:rPr>
        <w:t xml:space="preserve"> S</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Guañabens</w:t>
      </w:r>
      <w:proofErr w:type="spellEnd"/>
      <w:r w:rsidRPr="00B529BA">
        <w:rPr>
          <w:rFonts w:ascii="Book Antiqua" w:eastAsia="SimSun" w:hAnsi="Book Antiqua" w:cs="Times New Roman"/>
          <w:kern w:val="2"/>
          <w:lang w:eastAsia="zh-CN"/>
        </w:rPr>
        <w:t xml:space="preserve"> N, </w:t>
      </w:r>
      <w:proofErr w:type="spellStart"/>
      <w:r w:rsidRPr="00B529BA">
        <w:rPr>
          <w:rFonts w:ascii="Book Antiqua" w:eastAsia="SimSun" w:hAnsi="Book Antiqua" w:cs="Times New Roman"/>
          <w:kern w:val="2"/>
          <w:lang w:eastAsia="zh-CN"/>
        </w:rPr>
        <w:t>Enjuanes</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Peris</w:t>
      </w:r>
      <w:proofErr w:type="spellEnd"/>
      <w:r w:rsidRPr="00B529BA">
        <w:rPr>
          <w:rFonts w:ascii="Book Antiqua" w:eastAsia="SimSun" w:hAnsi="Book Antiqua" w:cs="Times New Roman"/>
          <w:kern w:val="2"/>
          <w:lang w:eastAsia="zh-CN"/>
        </w:rPr>
        <w:t xml:space="preserve"> P, Martinez-Ferrer A, de </w:t>
      </w:r>
      <w:proofErr w:type="spellStart"/>
      <w:r w:rsidRPr="00B529BA">
        <w:rPr>
          <w:rFonts w:ascii="Book Antiqua" w:eastAsia="SimSun" w:hAnsi="Book Antiqua" w:cs="Times New Roman"/>
          <w:kern w:val="2"/>
          <w:lang w:eastAsia="zh-CN"/>
        </w:rPr>
        <w:t>Osaba</w:t>
      </w:r>
      <w:proofErr w:type="spellEnd"/>
      <w:r w:rsidRPr="00B529BA">
        <w:rPr>
          <w:rFonts w:ascii="Book Antiqua" w:eastAsia="SimSun" w:hAnsi="Book Antiqua" w:cs="Times New Roman"/>
          <w:kern w:val="2"/>
          <w:lang w:eastAsia="zh-CN"/>
        </w:rPr>
        <w:t xml:space="preserve"> MJ, Gonzalez B, Alvarez L, </w:t>
      </w:r>
      <w:proofErr w:type="spellStart"/>
      <w:r w:rsidRPr="00B529BA">
        <w:rPr>
          <w:rFonts w:ascii="Book Antiqua" w:eastAsia="SimSun" w:hAnsi="Book Antiqua" w:cs="Times New Roman"/>
          <w:kern w:val="2"/>
          <w:lang w:eastAsia="zh-CN"/>
        </w:rPr>
        <w:t>Monegal</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Combalia</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Parés</w:t>
      </w:r>
      <w:proofErr w:type="spellEnd"/>
      <w:r w:rsidRPr="00B529BA">
        <w:rPr>
          <w:rFonts w:ascii="Book Antiqua" w:eastAsia="SimSun" w:hAnsi="Book Antiqua" w:cs="Times New Roman"/>
          <w:kern w:val="2"/>
          <w:lang w:eastAsia="zh-CN"/>
        </w:rPr>
        <w:t xml:space="preserve"> A. Lithocholic acid downregulates vitamin D effects in human osteoblasts. </w:t>
      </w:r>
      <w:proofErr w:type="spellStart"/>
      <w:r w:rsidRPr="00B529BA">
        <w:rPr>
          <w:rFonts w:ascii="Book Antiqua" w:eastAsia="SimSun" w:hAnsi="Book Antiqua" w:cs="Times New Roman"/>
          <w:i/>
          <w:kern w:val="2"/>
          <w:lang w:eastAsia="zh-CN"/>
        </w:rPr>
        <w:t>Eur</w:t>
      </w:r>
      <w:proofErr w:type="spellEnd"/>
      <w:r w:rsidRPr="00B529BA">
        <w:rPr>
          <w:rFonts w:ascii="Book Antiqua" w:eastAsia="SimSun" w:hAnsi="Book Antiqua" w:cs="Times New Roman"/>
          <w:i/>
          <w:kern w:val="2"/>
          <w:lang w:eastAsia="zh-CN"/>
        </w:rPr>
        <w:t xml:space="preserve"> J </w:t>
      </w:r>
      <w:proofErr w:type="spellStart"/>
      <w:r w:rsidRPr="00B529BA">
        <w:rPr>
          <w:rFonts w:ascii="Book Antiqua" w:eastAsia="SimSun" w:hAnsi="Book Antiqua" w:cs="Times New Roman"/>
          <w:i/>
          <w:kern w:val="2"/>
          <w:lang w:eastAsia="zh-CN"/>
        </w:rPr>
        <w:t>Clin</w:t>
      </w:r>
      <w:proofErr w:type="spellEnd"/>
      <w:r w:rsidRPr="00B529BA">
        <w:rPr>
          <w:rFonts w:ascii="Book Antiqua" w:eastAsia="SimSun" w:hAnsi="Book Antiqua" w:cs="Times New Roman"/>
          <w:i/>
          <w:kern w:val="2"/>
          <w:lang w:eastAsia="zh-CN"/>
        </w:rPr>
        <w:t xml:space="preserve"> Invest</w:t>
      </w:r>
      <w:r w:rsidRPr="00B529BA">
        <w:rPr>
          <w:rFonts w:ascii="Book Antiqua" w:eastAsia="SimSun" w:hAnsi="Book Antiqua" w:cs="Times New Roman"/>
          <w:kern w:val="2"/>
          <w:lang w:eastAsia="zh-CN"/>
        </w:rPr>
        <w:t xml:space="preserve"> 2010; </w:t>
      </w:r>
      <w:r w:rsidRPr="00B529BA">
        <w:rPr>
          <w:rFonts w:ascii="Book Antiqua" w:eastAsia="SimSun" w:hAnsi="Book Antiqua" w:cs="Times New Roman"/>
          <w:b/>
          <w:kern w:val="2"/>
          <w:lang w:eastAsia="zh-CN"/>
        </w:rPr>
        <w:t>40</w:t>
      </w:r>
      <w:r w:rsidRPr="00B529BA">
        <w:rPr>
          <w:rFonts w:ascii="Book Antiqua" w:eastAsia="SimSun" w:hAnsi="Book Antiqua" w:cs="Times New Roman"/>
          <w:kern w:val="2"/>
          <w:lang w:eastAsia="zh-CN"/>
        </w:rPr>
        <w:t>: 25-34 [PMID: 20055894 DOI: 10.1111/j.1365-2362.2009.02230.x]</w:t>
      </w:r>
    </w:p>
    <w:p w14:paraId="1FC56FAE"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lastRenderedPageBreak/>
        <w:t xml:space="preserve">26 </w:t>
      </w:r>
      <w:proofErr w:type="spellStart"/>
      <w:r w:rsidRPr="00B529BA">
        <w:rPr>
          <w:rFonts w:ascii="Book Antiqua" w:eastAsia="SimSun" w:hAnsi="Book Antiqua" w:cs="Times New Roman"/>
          <w:b/>
          <w:kern w:val="2"/>
          <w:lang w:eastAsia="zh-CN"/>
        </w:rPr>
        <w:t>Kawelke</w:t>
      </w:r>
      <w:proofErr w:type="spellEnd"/>
      <w:r w:rsidRPr="00B529BA">
        <w:rPr>
          <w:rFonts w:ascii="Book Antiqua" w:eastAsia="SimSun" w:hAnsi="Book Antiqua" w:cs="Times New Roman"/>
          <w:b/>
          <w:kern w:val="2"/>
          <w:lang w:eastAsia="zh-CN"/>
        </w:rPr>
        <w:t xml:space="preserve"> N</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Bentmann</w:t>
      </w:r>
      <w:proofErr w:type="spellEnd"/>
      <w:r w:rsidRPr="00B529BA">
        <w:rPr>
          <w:rFonts w:ascii="Book Antiqua" w:eastAsia="SimSun" w:hAnsi="Book Antiqua" w:cs="Times New Roman"/>
          <w:kern w:val="2"/>
          <w:lang w:eastAsia="zh-CN"/>
        </w:rPr>
        <w:t xml:space="preserve"> A, Hackl N, Hager HD, </w:t>
      </w:r>
      <w:proofErr w:type="spellStart"/>
      <w:r w:rsidRPr="00B529BA">
        <w:rPr>
          <w:rFonts w:ascii="Book Antiqua" w:eastAsia="SimSun" w:hAnsi="Book Antiqua" w:cs="Times New Roman"/>
          <w:kern w:val="2"/>
          <w:lang w:eastAsia="zh-CN"/>
        </w:rPr>
        <w:t>Feick</w:t>
      </w:r>
      <w:proofErr w:type="spellEnd"/>
      <w:r w:rsidRPr="00B529BA">
        <w:rPr>
          <w:rFonts w:ascii="Book Antiqua" w:eastAsia="SimSun" w:hAnsi="Book Antiqua" w:cs="Times New Roman"/>
          <w:kern w:val="2"/>
          <w:lang w:eastAsia="zh-CN"/>
        </w:rPr>
        <w:t xml:space="preserve"> P, </w:t>
      </w:r>
      <w:proofErr w:type="spellStart"/>
      <w:r w:rsidRPr="00B529BA">
        <w:rPr>
          <w:rFonts w:ascii="Book Antiqua" w:eastAsia="SimSun" w:hAnsi="Book Antiqua" w:cs="Times New Roman"/>
          <w:kern w:val="2"/>
          <w:lang w:eastAsia="zh-CN"/>
        </w:rPr>
        <w:t>Geursen</w:t>
      </w:r>
      <w:proofErr w:type="spellEnd"/>
      <w:r w:rsidRPr="00B529BA">
        <w:rPr>
          <w:rFonts w:ascii="Book Antiqua" w:eastAsia="SimSun" w:hAnsi="Book Antiqua" w:cs="Times New Roman"/>
          <w:kern w:val="2"/>
          <w:lang w:eastAsia="zh-CN"/>
        </w:rPr>
        <w:t xml:space="preserve"> A, Singer MV, </w:t>
      </w:r>
      <w:proofErr w:type="spellStart"/>
      <w:r w:rsidRPr="00B529BA">
        <w:rPr>
          <w:rFonts w:ascii="Book Antiqua" w:eastAsia="SimSun" w:hAnsi="Book Antiqua" w:cs="Times New Roman"/>
          <w:kern w:val="2"/>
          <w:lang w:eastAsia="zh-CN"/>
        </w:rPr>
        <w:t>Nakchbandi</w:t>
      </w:r>
      <w:proofErr w:type="spellEnd"/>
      <w:r w:rsidRPr="00B529BA">
        <w:rPr>
          <w:rFonts w:ascii="Book Antiqua" w:eastAsia="SimSun" w:hAnsi="Book Antiqua" w:cs="Times New Roman"/>
          <w:kern w:val="2"/>
          <w:lang w:eastAsia="zh-CN"/>
        </w:rPr>
        <w:t xml:space="preserve"> IA. Isoform of fibronectin mediates bone loss in patients with primary biliary cirrhosis by suppressing bone formation. </w:t>
      </w:r>
      <w:r w:rsidRPr="00B529BA">
        <w:rPr>
          <w:rFonts w:ascii="Book Antiqua" w:eastAsia="SimSun" w:hAnsi="Book Antiqua" w:cs="Times New Roman"/>
          <w:i/>
          <w:kern w:val="2"/>
          <w:lang w:eastAsia="zh-CN"/>
        </w:rPr>
        <w:t>J Bone Miner Res</w:t>
      </w:r>
      <w:r w:rsidRPr="00B529BA">
        <w:rPr>
          <w:rFonts w:ascii="Book Antiqua" w:eastAsia="SimSun" w:hAnsi="Book Antiqua" w:cs="Times New Roman"/>
          <w:kern w:val="2"/>
          <w:lang w:eastAsia="zh-CN"/>
        </w:rPr>
        <w:t xml:space="preserve"> 2008; </w:t>
      </w:r>
      <w:r w:rsidRPr="00B529BA">
        <w:rPr>
          <w:rFonts w:ascii="Book Antiqua" w:eastAsia="SimSun" w:hAnsi="Book Antiqua" w:cs="Times New Roman"/>
          <w:b/>
          <w:kern w:val="2"/>
          <w:lang w:eastAsia="zh-CN"/>
        </w:rPr>
        <w:t>23</w:t>
      </w:r>
      <w:r w:rsidRPr="00B529BA">
        <w:rPr>
          <w:rFonts w:ascii="Book Antiqua" w:eastAsia="SimSun" w:hAnsi="Book Antiqua" w:cs="Times New Roman"/>
          <w:kern w:val="2"/>
          <w:lang w:eastAsia="zh-CN"/>
        </w:rPr>
        <w:t>: 1278-1286 [PMID: 18348696 DOI: 10.1359/jbmr.080313]</w:t>
      </w:r>
    </w:p>
    <w:p w14:paraId="745A2140"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27 </w:t>
      </w:r>
      <w:r w:rsidRPr="00B529BA">
        <w:rPr>
          <w:rFonts w:ascii="Book Antiqua" w:eastAsia="SimSun" w:hAnsi="Book Antiqua" w:cs="Times New Roman"/>
          <w:b/>
          <w:kern w:val="2"/>
          <w:lang w:eastAsia="zh-CN"/>
        </w:rPr>
        <w:t>Hughes DE</w:t>
      </w:r>
      <w:r w:rsidRPr="00B529BA">
        <w:rPr>
          <w:rFonts w:ascii="Book Antiqua" w:eastAsia="SimSun" w:hAnsi="Book Antiqua" w:cs="Times New Roman"/>
          <w:kern w:val="2"/>
          <w:lang w:eastAsia="zh-CN"/>
        </w:rPr>
        <w:t xml:space="preserve">, Dai A, </w:t>
      </w:r>
      <w:proofErr w:type="spellStart"/>
      <w:r w:rsidRPr="00B529BA">
        <w:rPr>
          <w:rFonts w:ascii="Book Antiqua" w:eastAsia="SimSun" w:hAnsi="Book Antiqua" w:cs="Times New Roman"/>
          <w:kern w:val="2"/>
          <w:lang w:eastAsia="zh-CN"/>
        </w:rPr>
        <w:t>Tiffee</w:t>
      </w:r>
      <w:proofErr w:type="spellEnd"/>
      <w:r w:rsidRPr="00B529BA">
        <w:rPr>
          <w:rFonts w:ascii="Book Antiqua" w:eastAsia="SimSun" w:hAnsi="Book Antiqua" w:cs="Times New Roman"/>
          <w:kern w:val="2"/>
          <w:lang w:eastAsia="zh-CN"/>
        </w:rPr>
        <w:t xml:space="preserve"> JC, Li HH, Mundy GR, Boyce BF. Estrogen promotes apoptosis of murine osteoclasts mediated by TGF-beta. </w:t>
      </w:r>
      <w:r w:rsidRPr="00B529BA">
        <w:rPr>
          <w:rFonts w:ascii="Book Antiqua" w:eastAsia="SimSun" w:hAnsi="Book Antiqua" w:cs="Times New Roman"/>
          <w:i/>
          <w:kern w:val="2"/>
          <w:lang w:eastAsia="zh-CN"/>
        </w:rPr>
        <w:t>Nat Med</w:t>
      </w:r>
      <w:r w:rsidRPr="00B529BA">
        <w:rPr>
          <w:rFonts w:ascii="Book Antiqua" w:eastAsia="SimSun" w:hAnsi="Book Antiqua" w:cs="Times New Roman"/>
          <w:kern w:val="2"/>
          <w:lang w:eastAsia="zh-CN"/>
        </w:rPr>
        <w:t xml:space="preserve"> 1996; </w:t>
      </w:r>
      <w:r w:rsidRPr="00B529BA">
        <w:rPr>
          <w:rFonts w:ascii="Book Antiqua" w:eastAsia="SimSun" w:hAnsi="Book Antiqua" w:cs="Times New Roman"/>
          <w:b/>
          <w:kern w:val="2"/>
          <w:lang w:eastAsia="zh-CN"/>
        </w:rPr>
        <w:t>2</w:t>
      </w:r>
      <w:r w:rsidRPr="00B529BA">
        <w:rPr>
          <w:rFonts w:ascii="Book Antiqua" w:eastAsia="SimSun" w:hAnsi="Book Antiqua" w:cs="Times New Roman"/>
          <w:kern w:val="2"/>
          <w:lang w:eastAsia="zh-CN"/>
        </w:rPr>
        <w:t>: 1132-1136 [PMID: 8837613 DOI: 10.1038/nm1096-1132]</w:t>
      </w:r>
    </w:p>
    <w:p w14:paraId="40BA998C"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28 </w:t>
      </w:r>
      <w:proofErr w:type="spellStart"/>
      <w:r w:rsidRPr="00B529BA">
        <w:rPr>
          <w:rFonts w:ascii="Book Antiqua" w:eastAsia="SimSun" w:hAnsi="Book Antiqua" w:cs="Times New Roman"/>
          <w:b/>
          <w:kern w:val="2"/>
          <w:lang w:eastAsia="zh-CN"/>
        </w:rPr>
        <w:t>Armas</w:t>
      </w:r>
      <w:proofErr w:type="spellEnd"/>
      <w:r w:rsidRPr="00B529BA">
        <w:rPr>
          <w:rFonts w:ascii="Book Antiqua" w:eastAsia="SimSun" w:hAnsi="Book Antiqua" w:cs="Times New Roman"/>
          <w:b/>
          <w:kern w:val="2"/>
          <w:lang w:eastAsia="zh-CN"/>
        </w:rPr>
        <w:t xml:space="preserve"> LA</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Recker</w:t>
      </w:r>
      <w:proofErr w:type="spellEnd"/>
      <w:r w:rsidRPr="00B529BA">
        <w:rPr>
          <w:rFonts w:ascii="Book Antiqua" w:eastAsia="SimSun" w:hAnsi="Book Antiqua" w:cs="Times New Roman"/>
          <w:kern w:val="2"/>
          <w:lang w:eastAsia="zh-CN"/>
        </w:rPr>
        <w:t xml:space="preserve"> RR. Pathophysiology of osteoporosis: new mechanistic insights. </w:t>
      </w:r>
      <w:proofErr w:type="spellStart"/>
      <w:r w:rsidRPr="00B529BA">
        <w:rPr>
          <w:rFonts w:ascii="Book Antiqua" w:eastAsia="SimSun" w:hAnsi="Book Antiqua" w:cs="Times New Roman"/>
          <w:i/>
          <w:kern w:val="2"/>
          <w:lang w:eastAsia="zh-CN"/>
        </w:rPr>
        <w:t>Endocrinol</w:t>
      </w:r>
      <w:proofErr w:type="spellEnd"/>
      <w:r w:rsidRPr="00B529BA">
        <w:rPr>
          <w:rFonts w:ascii="Book Antiqua" w:eastAsia="SimSun" w:hAnsi="Book Antiqua" w:cs="Times New Roman"/>
          <w:i/>
          <w:kern w:val="2"/>
          <w:lang w:eastAsia="zh-CN"/>
        </w:rPr>
        <w:t xml:space="preserve"> </w:t>
      </w:r>
      <w:proofErr w:type="spellStart"/>
      <w:r w:rsidRPr="00B529BA">
        <w:rPr>
          <w:rFonts w:ascii="Book Antiqua" w:eastAsia="SimSun" w:hAnsi="Book Antiqua" w:cs="Times New Roman"/>
          <w:i/>
          <w:kern w:val="2"/>
          <w:lang w:eastAsia="zh-CN"/>
        </w:rPr>
        <w:t>Metab</w:t>
      </w:r>
      <w:proofErr w:type="spellEnd"/>
      <w:r w:rsidRPr="00B529BA">
        <w:rPr>
          <w:rFonts w:ascii="Book Antiqua" w:eastAsia="SimSun" w:hAnsi="Book Antiqua" w:cs="Times New Roman"/>
          <w:i/>
          <w:kern w:val="2"/>
          <w:lang w:eastAsia="zh-CN"/>
        </w:rPr>
        <w:t xml:space="preserve"> </w:t>
      </w:r>
      <w:proofErr w:type="spellStart"/>
      <w:r w:rsidRPr="00B529BA">
        <w:rPr>
          <w:rFonts w:ascii="Book Antiqua" w:eastAsia="SimSun" w:hAnsi="Book Antiqua" w:cs="Times New Roman"/>
          <w:i/>
          <w:kern w:val="2"/>
          <w:lang w:eastAsia="zh-CN"/>
        </w:rPr>
        <w:t>Clin</w:t>
      </w:r>
      <w:proofErr w:type="spellEnd"/>
      <w:r w:rsidRPr="00B529BA">
        <w:rPr>
          <w:rFonts w:ascii="Book Antiqua" w:eastAsia="SimSun" w:hAnsi="Book Antiqua" w:cs="Times New Roman"/>
          <w:i/>
          <w:kern w:val="2"/>
          <w:lang w:eastAsia="zh-CN"/>
        </w:rPr>
        <w:t xml:space="preserve"> North Am</w:t>
      </w:r>
      <w:r w:rsidRPr="00B529BA">
        <w:rPr>
          <w:rFonts w:ascii="Book Antiqua" w:eastAsia="SimSun" w:hAnsi="Book Antiqua" w:cs="Times New Roman"/>
          <w:kern w:val="2"/>
          <w:lang w:eastAsia="zh-CN"/>
        </w:rPr>
        <w:t xml:space="preserve"> 2012; </w:t>
      </w:r>
      <w:r w:rsidRPr="00B529BA">
        <w:rPr>
          <w:rFonts w:ascii="Book Antiqua" w:eastAsia="SimSun" w:hAnsi="Book Antiqua" w:cs="Times New Roman"/>
          <w:b/>
          <w:kern w:val="2"/>
          <w:lang w:eastAsia="zh-CN"/>
        </w:rPr>
        <w:t>41</w:t>
      </w:r>
      <w:r w:rsidRPr="00B529BA">
        <w:rPr>
          <w:rFonts w:ascii="Book Antiqua" w:eastAsia="SimSun" w:hAnsi="Book Antiqua" w:cs="Times New Roman"/>
          <w:kern w:val="2"/>
          <w:lang w:eastAsia="zh-CN"/>
        </w:rPr>
        <w:t>: 475-486 [PMID: 22877425 DOI: 10.1016/j.ecl.2012.04.006]</w:t>
      </w:r>
    </w:p>
    <w:p w14:paraId="51A16F18"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29 </w:t>
      </w:r>
      <w:proofErr w:type="spellStart"/>
      <w:r w:rsidRPr="00B529BA">
        <w:rPr>
          <w:rFonts w:ascii="Book Antiqua" w:eastAsia="SimSun" w:hAnsi="Book Antiqua" w:cs="Times New Roman"/>
          <w:b/>
          <w:kern w:val="2"/>
          <w:lang w:eastAsia="zh-CN"/>
        </w:rPr>
        <w:t>Bengoa</w:t>
      </w:r>
      <w:proofErr w:type="spellEnd"/>
      <w:r w:rsidRPr="00B529BA">
        <w:rPr>
          <w:rFonts w:ascii="Book Antiqua" w:eastAsia="SimSun" w:hAnsi="Book Antiqua" w:cs="Times New Roman"/>
          <w:b/>
          <w:kern w:val="2"/>
          <w:lang w:eastAsia="zh-CN"/>
        </w:rPr>
        <w:t xml:space="preserve"> JM</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Sitrin</w:t>
      </w:r>
      <w:proofErr w:type="spellEnd"/>
      <w:r w:rsidRPr="00B529BA">
        <w:rPr>
          <w:rFonts w:ascii="Book Antiqua" w:eastAsia="SimSun" w:hAnsi="Book Antiqua" w:cs="Times New Roman"/>
          <w:kern w:val="2"/>
          <w:lang w:eastAsia="zh-CN"/>
        </w:rPr>
        <w:t xml:space="preserve"> MD, Meredith S, Kelly SE, Shah N, Baker AL, Rosenberg IH. Intestinal calcium absorption and vitamin D status in chronic cholestatic liver disease. </w:t>
      </w:r>
      <w:r w:rsidRPr="00B529BA">
        <w:rPr>
          <w:rFonts w:ascii="Book Antiqua" w:eastAsia="SimSun" w:hAnsi="Book Antiqua" w:cs="Times New Roman"/>
          <w:i/>
          <w:kern w:val="2"/>
          <w:lang w:eastAsia="zh-CN"/>
        </w:rPr>
        <w:t>Hepatology</w:t>
      </w:r>
      <w:r w:rsidRPr="00B529BA">
        <w:rPr>
          <w:rFonts w:ascii="Book Antiqua" w:eastAsia="SimSun" w:hAnsi="Book Antiqua" w:cs="Times New Roman"/>
          <w:kern w:val="2"/>
          <w:lang w:eastAsia="zh-CN"/>
        </w:rPr>
        <w:t xml:space="preserve"> 1984; </w:t>
      </w:r>
      <w:r w:rsidRPr="00B529BA">
        <w:rPr>
          <w:rFonts w:ascii="Book Antiqua" w:eastAsia="SimSun" w:hAnsi="Book Antiqua" w:cs="Times New Roman"/>
          <w:b/>
          <w:kern w:val="2"/>
          <w:lang w:eastAsia="zh-CN"/>
        </w:rPr>
        <w:t>4</w:t>
      </w:r>
      <w:r w:rsidRPr="00B529BA">
        <w:rPr>
          <w:rFonts w:ascii="Book Antiqua" w:eastAsia="SimSun" w:hAnsi="Book Antiqua" w:cs="Times New Roman"/>
          <w:kern w:val="2"/>
          <w:lang w:eastAsia="zh-CN"/>
        </w:rPr>
        <w:t>: 261-265 [PMID: 6706300]</w:t>
      </w:r>
    </w:p>
    <w:p w14:paraId="392FC063"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30 </w:t>
      </w:r>
      <w:proofErr w:type="spellStart"/>
      <w:r w:rsidRPr="00B529BA">
        <w:rPr>
          <w:rFonts w:ascii="Book Antiqua" w:eastAsia="SimSun" w:hAnsi="Book Antiqua" w:cs="Times New Roman"/>
          <w:b/>
          <w:kern w:val="2"/>
          <w:lang w:eastAsia="zh-CN"/>
        </w:rPr>
        <w:t>Herlong</w:t>
      </w:r>
      <w:proofErr w:type="spellEnd"/>
      <w:r w:rsidRPr="00B529BA">
        <w:rPr>
          <w:rFonts w:ascii="Book Antiqua" w:eastAsia="SimSun" w:hAnsi="Book Antiqua" w:cs="Times New Roman"/>
          <w:b/>
          <w:kern w:val="2"/>
          <w:lang w:eastAsia="zh-CN"/>
        </w:rPr>
        <w:t xml:space="preserve"> HF</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Recker</w:t>
      </w:r>
      <w:proofErr w:type="spellEnd"/>
      <w:r w:rsidRPr="00B529BA">
        <w:rPr>
          <w:rFonts w:ascii="Book Antiqua" w:eastAsia="SimSun" w:hAnsi="Book Antiqua" w:cs="Times New Roman"/>
          <w:kern w:val="2"/>
          <w:lang w:eastAsia="zh-CN"/>
        </w:rPr>
        <w:t xml:space="preserve"> RR, </w:t>
      </w:r>
      <w:proofErr w:type="spellStart"/>
      <w:r w:rsidRPr="00B529BA">
        <w:rPr>
          <w:rFonts w:ascii="Book Antiqua" w:eastAsia="SimSun" w:hAnsi="Book Antiqua" w:cs="Times New Roman"/>
          <w:kern w:val="2"/>
          <w:lang w:eastAsia="zh-CN"/>
        </w:rPr>
        <w:t>Maddrey</w:t>
      </w:r>
      <w:proofErr w:type="spellEnd"/>
      <w:r w:rsidRPr="00B529BA">
        <w:rPr>
          <w:rFonts w:ascii="Book Antiqua" w:eastAsia="SimSun" w:hAnsi="Book Antiqua" w:cs="Times New Roman"/>
          <w:kern w:val="2"/>
          <w:lang w:eastAsia="zh-CN"/>
        </w:rPr>
        <w:t xml:space="preserve"> WC. Bone disease in primary biliary cirrhosis: histologic features and response to 25-hydroxyvitamin D. </w:t>
      </w:r>
      <w:r w:rsidRPr="00B529BA">
        <w:rPr>
          <w:rFonts w:ascii="Book Antiqua" w:eastAsia="SimSun" w:hAnsi="Book Antiqua" w:cs="Times New Roman"/>
          <w:i/>
          <w:kern w:val="2"/>
          <w:lang w:eastAsia="zh-CN"/>
        </w:rPr>
        <w:t>Gastroenterology</w:t>
      </w:r>
      <w:r w:rsidRPr="00B529BA">
        <w:rPr>
          <w:rFonts w:ascii="Book Antiqua" w:eastAsia="SimSun" w:hAnsi="Book Antiqua" w:cs="Times New Roman"/>
          <w:kern w:val="2"/>
          <w:lang w:eastAsia="zh-CN"/>
        </w:rPr>
        <w:t xml:space="preserve"> 1982; </w:t>
      </w:r>
      <w:r w:rsidRPr="00B529BA">
        <w:rPr>
          <w:rFonts w:ascii="Book Antiqua" w:eastAsia="SimSun" w:hAnsi="Book Antiqua" w:cs="Times New Roman"/>
          <w:b/>
          <w:kern w:val="2"/>
          <w:lang w:eastAsia="zh-CN"/>
        </w:rPr>
        <w:t>83</w:t>
      </w:r>
      <w:r w:rsidRPr="00B529BA">
        <w:rPr>
          <w:rFonts w:ascii="Book Antiqua" w:eastAsia="SimSun" w:hAnsi="Book Antiqua" w:cs="Times New Roman"/>
          <w:kern w:val="2"/>
          <w:lang w:eastAsia="zh-CN"/>
        </w:rPr>
        <w:t>: 103-108 [PMID: 6978827]</w:t>
      </w:r>
    </w:p>
    <w:p w14:paraId="77F4798B"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31 </w:t>
      </w:r>
      <w:proofErr w:type="spellStart"/>
      <w:r w:rsidRPr="00B529BA">
        <w:rPr>
          <w:rFonts w:ascii="Book Antiqua" w:eastAsia="SimSun" w:hAnsi="Book Antiqua" w:cs="Times New Roman"/>
          <w:b/>
          <w:kern w:val="2"/>
          <w:lang w:eastAsia="zh-CN"/>
        </w:rPr>
        <w:t>Matloff</w:t>
      </w:r>
      <w:proofErr w:type="spellEnd"/>
      <w:r w:rsidRPr="00B529BA">
        <w:rPr>
          <w:rFonts w:ascii="Book Antiqua" w:eastAsia="SimSun" w:hAnsi="Book Antiqua" w:cs="Times New Roman"/>
          <w:b/>
          <w:kern w:val="2"/>
          <w:lang w:eastAsia="zh-CN"/>
        </w:rPr>
        <w:t xml:space="preserve"> DS</w:t>
      </w:r>
      <w:r w:rsidRPr="00B529BA">
        <w:rPr>
          <w:rFonts w:ascii="Book Antiqua" w:eastAsia="SimSun" w:hAnsi="Book Antiqua" w:cs="Times New Roman"/>
          <w:kern w:val="2"/>
          <w:lang w:eastAsia="zh-CN"/>
        </w:rPr>
        <w:t xml:space="preserve">, Kaplan MM, </w:t>
      </w:r>
      <w:proofErr w:type="spellStart"/>
      <w:r w:rsidRPr="00B529BA">
        <w:rPr>
          <w:rFonts w:ascii="Book Antiqua" w:eastAsia="SimSun" w:hAnsi="Book Antiqua" w:cs="Times New Roman"/>
          <w:kern w:val="2"/>
          <w:lang w:eastAsia="zh-CN"/>
        </w:rPr>
        <w:t>Neer</w:t>
      </w:r>
      <w:proofErr w:type="spellEnd"/>
      <w:r w:rsidRPr="00B529BA">
        <w:rPr>
          <w:rFonts w:ascii="Book Antiqua" w:eastAsia="SimSun" w:hAnsi="Book Antiqua" w:cs="Times New Roman"/>
          <w:kern w:val="2"/>
          <w:lang w:eastAsia="zh-CN"/>
        </w:rPr>
        <w:t xml:space="preserve"> RM, Goldberg MJ, </w:t>
      </w:r>
      <w:proofErr w:type="spellStart"/>
      <w:r w:rsidRPr="00B529BA">
        <w:rPr>
          <w:rFonts w:ascii="Book Antiqua" w:eastAsia="SimSun" w:hAnsi="Book Antiqua" w:cs="Times New Roman"/>
          <w:kern w:val="2"/>
          <w:lang w:eastAsia="zh-CN"/>
        </w:rPr>
        <w:t>Bitman</w:t>
      </w:r>
      <w:proofErr w:type="spellEnd"/>
      <w:r w:rsidRPr="00B529BA">
        <w:rPr>
          <w:rFonts w:ascii="Book Antiqua" w:eastAsia="SimSun" w:hAnsi="Book Antiqua" w:cs="Times New Roman"/>
          <w:kern w:val="2"/>
          <w:lang w:eastAsia="zh-CN"/>
        </w:rPr>
        <w:t xml:space="preserve"> W, Wolfe HJ. Osteoporosis in primary biliary cirrhosis: effects of 25-hydroxyvitamin D3 treatment. </w:t>
      </w:r>
      <w:r w:rsidRPr="00B529BA">
        <w:rPr>
          <w:rFonts w:ascii="Book Antiqua" w:eastAsia="SimSun" w:hAnsi="Book Antiqua" w:cs="Times New Roman"/>
          <w:i/>
          <w:kern w:val="2"/>
          <w:lang w:eastAsia="zh-CN"/>
        </w:rPr>
        <w:t>Gastroenterology</w:t>
      </w:r>
      <w:r w:rsidRPr="00B529BA">
        <w:rPr>
          <w:rFonts w:ascii="Book Antiqua" w:eastAsia="SimSun" w:hAnsi="Book Antiqua" w:cs="Times New Roman"/>
          <w:kern w:val="2"/>
          <w:lang w:eastAsia="zh-CN"/>
        </w:rPr>
        <w:t xml:space="preserve"> 1982; </w:t>
      </w:r>
      <w:r w:rsidRPr="00B529BA">
        <w:rPr>
          <w:rFonts w:ascii="Book Antiqua" w:eastAsia="SimSun" w:hAnsi="Book Antiqua" w:cs="Times New Roman"/>
          <w:b/>
          <w:kern w:val="2"/>
          <w:lang w:eastAsia="zh-CN"/>
        </w:rPr>
        <w:t>83</w:t>
      </w:r>
      <w:r w:rsidRPr="00B529BA">
        <w:rPr>
          <w:rFonts w:ascii="Book Antiqua" w:eastAsia="SimSun" w:hAnsi="Book Antiqua" w:cs="Times New Roman"/>
          <w:kern w:val="2"/>
          <w:lang w:eastAsia="zh-CN"/>
        </w:rPr>
        <w:t>: 97-102 [PMID: 7075948]</w:t>
      </w:r>
    </w:p>
    <w:p w14:paraId="78E7B2B1"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32 </w:t>
      </w:r>
      <w:proofErr w:type="spellStart"/>
      <w:r w:rsidRPr="00B529BA">
        <w:rPr>
          <w:rFonts w:ascii="Book Antiqua" w:eastAsia="SimSun" w:hAnsi="Book Antiqua" w:cs="Times New Roman"/>
          <w:b/>
          <w:kern w:val="2"/>
          <w:lang w:eastAsia="zh-CN"/>
        </w:rPr>
        <w:t>Compston</w:t>
      </w:r>
      <w:proofErr w:type="spellEnd"/>
      <w:r w:rsidRPr="00B529BA">
        <w:rPr>
          <w:rFonts w:ascii="Book Antiqua" w:eastAsia="SimSun" w:hAnsi="Book Antiqua" w:cs="Times New Roman"/>
          <w:b/>
          <w:kern w:val="2"/>
          <w:lang w:eastAsia="zh-CN"/>
        </w:rPr>
        <w:t xml:space="preserve"> JE</w:t>
      </w:r>
      <w:r w:rsidRPr="00B529BA">
        <w:rPr>
          <w:rFonts w:ascii="Book Antiqua" w:eastAsia="SimSun" w:hAnsi="Book Antiqua" w:cs="Times New Roman"/>
          <w:kern w:val="2"/>
          <w:lang w:eastAsia="zh-CN"/>
        </w:rPr>
        <w:t xml:space="preserve">, Thompson RP. Intestinal absorption of 25-hydroxyvitamin D and osteomalacia in primary biliary cirrhosis. </w:t>
      </w:r>
      <w:r w:rsidRPr="00B529BA">
        <w:rPr>
          <w:rFonts w:ascii="Book Antiqua" w:eastAsia="SimSun" w:hAnsi="Book Antiqua" w:cs="Times New Roman"/>
          <w:i/>
          <w:kern w:val="2"/>
          <w:lang w:eastAsia="zh-CN"/>
        </w:rPr>
        <w:t>Lancet</w:t>
      </w:r>
      <w:r w:rsidRPr="00B529BA">
        <w:rPr>
          <w:rFonts w:ascii="Book Antiqua" w:eastAsia="SimSun" w:hAnsi="Book Antiqua" w:cs="Times New Roman"/>
          <w:kern w:val="2"/>
          <w:lang w:eastAsia="zh-CN"/>
        </w:rPr>
        <w:t xml:space="preserve"> 1977; </w:t>
      </w:r>
      <w:r w:rsidRPr="00B529BA">
        <w:rPr>
          <w:rFonts w:ascii="Book Antiqua" w:eastAsia="SimSun" w:hAnsi="Book Antiqua" w:cs="Times New Roman"/>
          <w:b/>
          <w:kern w:val="2"/>
          <w:lang w:eastAsia="zh-CN"/>
        </w:rPr>
        <w:t>1</w:t>
      </w:r>
      <w:r w:rsidRPr="00B529BA">
        <w:rPr>
          <w:rFonts w:ascii="Book Antiqua" w:eastAsia="SimSun" w:hAnsi="Book Antiqua" w:cs="Times New Roman"/>
          <w:kern w:val="2"/>
          <w:lang w:eastAsia="zh-CN"/>
        </w:rPr>
        <w:t>: 721-724 [PMID: 66519]</w:t>
      </w:r>
    </w:p>
    <w:p w14:paraId="6BBF3166"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33 </w:t>
      </w:r>
      <w:r w:rsidRPr="00B529BA">
        <w:rPr>
          <w:rFonts w:ascii="Book Antiqua" w:eastAsia="SimSun" w:hAnsi="Book Antiqua" w:cs="Times New Roman"/>
          <w:b/>
          <w:kern w:val="2"/>
          <w:lang w:eastAsia="zh-CN"/>
        </w:rPr>
        <w:t>Office of the Surgeon General (US)</w:t>
      </w:r>
      <w:r w:rsidRPr="00B529BA">
        <w:rPr>
          <w:rFonts w:ascii="Book Antiqua" w:eastAsia="SimSun" w:hAnsi="Book Antiqua" w:cs="Times New Roman"/>
          <w:kern w:val="2"/>
          <w:lang w:eastAsia="zh-CN"/>
        </w:rPr>
        <w:t xml:space="preserve">. Bone Health and Osteoporosis: A Report of the Surgeon General. </w:t>
      </w:r>
      <w:r w:rsidRPr="00B529BA">
        <w:rPr>
          <w:rFonts w:ascii="Book Antiqua" w:eastAsia="SimSun" w:hAnsi="Book Antiqua" w:cs="Times New Roman"/>
          <w:i/>
          <w:kern w:val="2"/>
          <w:lang w:eastAsia="zh-CN"/>
        </w:rPr>
        <w:t xml:space="preserve">US Heal Hum </w:t>
      </w:r>
      <w:proofErr w:type="spellStart"/>
      <w:r w:rsidRPr="00B529BA">
        <w:rPr>
          <w:rFonts w:ascii="Book Antiqua" w:eastAsia="SimSun" w:hAnsi="Book Antiqua" w:cs="Times New Roman"/>
          <w:i/>
          <w:kern w:val="2"/>
          <w:lang w:eastAsia="zh-CN"/>
        </w:rPr>
        <w:t>Serv</w:t>
      </w:r>
      <w:proofErr w:type="spellEnd"/>
      <w:r w:rsidRPr="00B529BA">
        <w:rPr>
          <w:rFonts w:ascii="Book Antiqua" w:eastAsia="SimSun" w:hAnsi="Book Antiqua" w:cs="Times New Roman"/>
          <w:kern w:val="2"/>
          <w:lang w:eastAsia="zh-CN"/>
        </w:rPr>
        <w:t xml:space="preserve"> </w:t>
      </w:r>
      <w:r w:rsidRPr="00B529BA">
        <w:rPr>
          <w:rFonts w:ascii="Book Antiqua" w:eastAsia="SimSun" w:hAnsi="Book Antiqua" w:cs="Times New Roman" w:hint="eastAsia"/>
          <w:kern w:val="2"/>
          <w:lang w:eastAsia="zh-CN"/>
        </w:rPr>
        <w:t>(</w:t>
      </w:r>
      <w:r w:rsidRPr="00B529BA">
        <w:rPr>
          <w:rFonts w:ascii="Book Antiqua" w:eastAsia="SimSun" w:hAnsi="Book Antiqua" w:cs="Times New Roman"/>
          <w:kern w:val="2"/>
          <w:lang w:eastAsia="zh-CN"/>
        </w:rPr>
        <w:t>Internet</w:t>
      </w:r>
      <w:r w:rsidRPr="00B529BA">
        <w:rPr>
          <w:rFonts w:ascii="Book Antiqua" w:eastAsia="SimSun" w:hAnsi="Book Antiqua" w:cs="Times New Roman" w:hint="eastAsia"/>
          <w:kern w:val="2"/>
          <w:lang w:eastAsia="zh-CN"/>
        </w:rPr>
        <w:t>)</w:t>
      </w:r>
      <w:r w:rsidRPr="00B529BA">
        <w:rPr>
          <w:rFonts w:ascii="Book Antiqua" w:eastAsia="SimSun" w:hAnsi="Book Antiqua" w:cs="Times New Roman"/>
          <w:kern w:val="2"/>
          <w:lang w:eastAsia="zh-CN"/>
        </w:rPr>
        <w:t xml:space="preserve"> 2004;</w:t>
      </w:r>
      <w:r w:rsidRPr="00B529BA">
        <w:rPr>
          <w:rFonts w:ascii="Book Antiqua" w:eastAsia="SimSun" w:hAnsi="Book Antiqua" w:cs="Times New Roman" w:hint="eastAsia"/>
          <w:kern w:val="2"/>
          <w:lang w:eastAsia="zh-CN"/>
        </w:rPr>
        <w:t xml:space="preserve"> </w:t>
      </w:r>
      <w:r w:rsidRPr="00B529BA">
        <w:rPr>
          <w:rFonts w:ascii="Book Antiqua" w:eastAsia="SimSun" w:hAnsi="Book Antiqua" w:cs="Times New Roman"/>
          <w:kern w:val="2"/>
          <w:lang w:eastAsia="zh-CN"/>
        </w:rPr>
        <w:t>437 [PMID: 20945569 DOI: 10.2165/00002018-200932030-00004]</w:t>
      </w:r>
    </w:p>
    <w:p w14:paraId="20D7150F"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34 </w:t>
      </w:r>
      <w:proofErr w:type="spellStart"/>
      <w:r w:rsidRPr="00B529BA">
        <w:rPr>
          <w:rFonts w:ascii="Book Antiqua" w:eastAsia="SimSun" w:hAnsi="Book Antiqua" w:cs="Times New Roman"/>
          <w:b/>
          <w:kern w:val="2"/>
          <w:lang w:eastAsia="zh-CN"/>
        </w:rPr>
        <w:t>Parés</w:t>
      </w:r>
      <w:proofErr w:type="spellEnd"/>
      <w:r w:rsidRPr="00B529BA">
        <w:rPr>
          <w:rFonts w:ascii="Book Antiqua" w:eastAsia="SimSun" w:hAnsi="Book Antiqua" w:cs="Times New Roman"/>
          <w:b/>
          <w:kern w:val="2"/>
          <w:lang w:eastAsia="zh-CN"/>
        </w:rPr>
        <w:t xml:space="preserve"> A</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Guañabens</w:t>
      </w:r>
      <w:proofErr w:type="spellEnd"/>
      <w:r w:rsidRPr="00B529BA">
        <w:rPr>
          <w:rFonts w:ascii="Book Antiqua" w:eastAsia="SimSun" w:hAnsi="Book Antiqua" w:cs="Times New Roman"/>
          <w:kern w:val="2"/>
          <w:lang w:eastAsia="zh-CN"/>
        </w:rPr>
        <w:t xml:space="preserve"> N. Osteoporosis in primary biliary cirrhosis: pathogenesis and treatment. </w:t>
      </w:r>
      <w:proofErr w:type="spellStart"/>
      <w:r w:rsidRPr="00B529BA">
        <w:rPr>
          <w:rFonts w:ascii="Book Antiqua" w:eastAsia="SimSun" w:hAnsi="Book Antiqua" w:cs="Times New Roman"/>
          <w:i/>
          <w:kern w:val="2"/>
          <w:lang w:eastAsia="zh-CN"/>
        </w:rPr>
        <w:t>Clin</w:t>
      </w:r>
      <w:proofErr w:type="spellEnd"/>
      <w:r w:rsidRPr="00B529BA">
        <w:rPr>
          <w:rFonts w:ascii="Book Antiqua" w:eastAsia="SimSun" w:hAnsi="Book Antiqua" w:cs="Times New Roman"/>
          <w:i/>
          <w:kern w:val="2"/>
          <w:lang w:eastAsia="zh-CN"/>
        </w:rPr>
        <w:t xml:space="preserve"> Liver Dis</w:t>
      </w:r>
      <w:r w:rsidRPr="00B529BA">
        <w:rPr>
          <w:rFonts w:ascii="Book Antiqua" w:eastAsia="SimSun" w:hAnsi="Book Antiqua" w:cs="Times New Roman"/>
          <w:kern w:val="2"/>
          <w:lang w:eastAsia="zh-CN"/>
        </w:rPr>
        <w:t xml:space="preserve"> 2008; </w:t>
      </w:r>
      <w:r w:rsidRPr="00B529BA">
        <w:rPr>
          <w:rFonts w:ascii="Book Antiqua" w:eastAsia="SimSun" w:hAnsi="Book Antiqua" w:cs="Times New Roman"/>
          <w:b/>
          <w:kern w:val="2"/>
          <w:lang w:eastAsia="zh-CN"/>
        </w:rPr>
        <w:t>12</w:t>
      </w:r>
      <w:r w:rsidRPr="00B529BA">
        <w:rPr>
          <w:rFonts w:ascii="Book Antiqua" w:eastAsia="SimSun" w:hAnsi="Book Antiqua" w:cs="Times New Roman"/>
          <w:kern w:val="2"/>
          <w:lang w:eastAsia="zh-CN"/>
        </w:rPr>
        <w:t>: 407-24 [PMID: 18456188 DOI: 10.1016/j.cld.2008.02.005]</w:t>
      </w:r>
    </w:p>
    <w:p w14:paraId="764FB5CA"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35 </w:t>
      </w:r>
      <w:r w:rsidRPr="00B529BA">
        <w:rPr>
          <w:rFonts w:ascii="Book Antiqua" w:eastAsia="SimSun" w:hAnsi="Book Antiqua" w:cs="Times New Roman"/>
          <w:b/>
          <w:kern w:val="2"/>
          <w:lang w:eastAsia="zh-CN"/>
        </w:rPr>
        <w:t>Glass LM</w:t>
      </w:r>
      <w:r w:rsidRPr="00B529BA">
        <w:rPr>
          <w:rFonts w:ascii="Book Antiqua" w:eastAsia="SimSun" w:hAnsi="Book Antiqua" w:cs="Times New Roman"/>
          <w:kern w:val="2"/>
          <w:lang w:eastAsia="zh-CN"/>
        </w:rPr>
        <w:t xml:space="preserve">, Su GL. Metabolic Bone Disease in Primary Biliary Cirrhosis. </w:t>
      </w:r>
      <w:proofErr w:type="spellStart"/>
      <w:r w:rsidRPr="00B529BA">
        <w:rPr>
          <w:rFonts w:ascii="Book Antiqua" w:eastAsia="SimSun" w:hAnsi="Book Antiqua" w:cs="Times New Roman"/>
          <w:i/>
          <w:kern w:val="2"/>
          <w:lang w:eastAsia="zh-CN"/>
        </w:rPr>
        <w:lastRenderedPageBreak/>
        <w:t>Gastroenterol</w:t>
      </w:r>
      <w:proofErr w:type="spellEnd"/>
      <w:r w:rsidRPr="00B529BA">
        <w:rPr>
          <w:rFonts w:ascii="Book Antiqua" w:eastAsia="SimSun" w:hAnsi="Book Antiqua" w:cs="Times New Roman"/>
          <w:i/>
          <w:kern w:val="2"/>
          <w:lang w:eastAsia="zh-CN"/>
        </w:rPr>
        <w:t xml:space="preserve"> </w:t>
      </w:r>
      <w:proofErr w:type="spellStart"/>
      <w:r w:rsidRPr="00B529BA">
        <w:rPr>
          <w:rFonts w:ascii="Book Antiqua" w:eastAsia="SimSun" w:hAnsi="Book Antiqua" w:cs="Times New Roman"/>
          <w:i/>
          <w:kern w:val="2"/>
          <w:lang w:eastAsia="zh-CN"/>
        </w:rPr>
        <w:t>Clin</w:t>
      </w:r>
      <w:proofErr w:type="spellEnd"/>
      <w:r w:rsidRPr="00B529BA">
        <w:rPr>
          <w:rFonts w:ascii="Book Antiqua" w:eastAsia="SimSun" w:hAnsi="Book Antiqua" w:cs="Times New Roman"/>
          <w:i/>
          <w:kern w:val="2"/>
          <w:lang w:eastAsia="zh-CN"/>
        </w:rPr>
        <w:t xml:space="preserve"> North Am</w:t>
      </w:r>
      <w:r w:rsidRPr="00B529BA">
        <w:rPr>
          <w:rFonts w:ascii="Book Antiqua" w:eastAsia="SimSun" w:hAnsi="Book Antiqua" w:cs="Times New Roman"/>
          <w:kern w:val="2"/>
          <w:lang w:eastAsia="zh-CN"/>
        </w:rPr>
        <w:t xml:space="preserve"> 2016; </w:t>
      </w:r>
      <w:r w:rsidRPr="00B529BA">
        <w:rPr>
          <w:rFonts w:ascii="Book Antiqua" w:eastAsia="SimSun" w:hAnsi="Book Antiqua" w:cs="Times New Roman"/>
          <w:b/>
          <w:kern w:val="2"/>
          <w:lang w:eastAsia="zh-CN"/>
        </w:rPr>
        <w:t>45</w:t>
      </w:r>
      <w:r w:rsidRPr="00B529BA">
        <w:rPr>
          <w:rFonts w:ascii="Book Antiqua" w:eastAsia="SimSun" w:hAnsi="Book Antiqua" w:cs="Times New Roman"/>
          <w:kern w:val="2"/>
          <w:lang w:eastAsia="zh-CN"/>
        </w:rPr>
        <w:t>: 333-343 [PMID: 27261902 DOI: 10.1016/j.gtc.2016.02.009]</w:t>
      </w:r>
    </w:p>
    <w:p w14:paraId="6AFE0250"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36 </w:t>
      </w:r>
      <w:proofErr w:type="spellStart"/>
      <w:r w:rsidRPr="00B529BA">
        <w:rPr>
          <w:rFonts w:ascii="Book Antiqua" w:eastAsia="SimSun" w:hAnsi="Book Antiqua" w:cs="Times New Roman"/>
          <w:b/>
          <w:kern w:val="2"/>
          <w:lang w:eastAsia="zh-CN"/>
        </w:rPr>
        <w:t>Cosman</w:t>
      </w:r>
      <w:proofErr w:type="spellEnd"/>
      <w:r w:rsidRPr="00B529BA">
        <w:rPr>
          <w:rFonts w:ascii="Book Antiqua" w:eastAsia="SimSun" w:hAnsi="Book Antiqua" w:cs="Times New Roman"/>
          <w:b/>
          <w:kern w:val="2"/>
          <w:lang w:eastAsia="zh-CN"/>
        </w:rPr>
        <w:t xml:space="preserve"> F</w:t>
      </w:r>
      <w:r w:rsidRPr="00B529BA">
        <w:rPr>
          <w:rFonts w:ascii="Book Antiqua" w:eastAsia="SimSun" w:hAnsi="Book Antiqua" w:cs="Times New Roman"/>
          <w:kern w:val="2"/>
          <w:lang w:eastAsia="zh-CN"/>
        </w:rPr>
        <w:t xml:space="preserve">, de </w:t>
      </w:r>
      <w:proofErr w:type="spellStart"/>
      <w:r w:rsidRPr="00B529BA">
        <w:rPr>
          <w:rFonts w:ascii="Book Antiqua" w:eastAsia="SimSun" w:hAnsi="Book Antiqua" w:cs="Times New Roman"/>
          <w:kern w:val="2"/>
          <w:lang w:eastAsia="zh-CN"/>
        </w:rPr>
        <w:t>Beur</w:t>
      </w:r>
      <w:proofErr w:type="spellEnd"/>
      <w:r w:rsidRPr="00B529BA">
        <w:rPr>
          <w:rFonts w:ascii="Book Antiqua" w:eastAsia="SimSun" w:hAnsi="Book Antiqua" w:cs="Times New Roman"/>
          <w:kern w:val="2"/>
          <w:lang w:eastAsia="zh-CN"/>
        </w:rPr>
        <w:t xml:space="preserve"> SJ, </w:t>
      </w:r>
      <w:proofErr w:type="spellStart"/>
      <w:r w:rsidRPr="00B529BA">
        <w:rPr>
          <w:rFonts w:ascii="Book Antiqua" w:eastAsia="SimSun" w:hAnsi="Book Antiqua" w:cs="Times New Roman"/>
          <w:kern w:val="2"/>
          <w:lang w:eastAsia="zh-CN"/>
        </w:rPr>
        <w:t>LeBoff</w:t>
      </w:r>
      <w:proofErr w:type="spellEnd"/>
      <w:r w:rsidRPr="00B529BA">
        <w:rPr>
          <w:rFonts w:ascii="Book Antiqua" w:eastAsia="SimSun" w:hAnsi="Book Antiqua" w:cs="Times New Roman"/>
          <w:kern w:val="2"/>
          <w:lang w:eastAsia="zh-CN"/>
        </w:rPr>
        <w:t xml:space="preserve"> MS, </w:t>
      </w:r>
      <w:proofErr w:type="spellStart"/>
      <w:r w:rsidRPr="00B529BA">
        <w:rPr>
          <w:rFonts w:ascii="Book Antiqua" w:eastAsia="SimSun" w:hAnsi="Book Antiqua" w:cs="Times New Roman"/>
          <w:kern w:val="2"/>
          <w:lang w:eastAsia="zh-CN"/>
        </w:rPr>
        <w:t>Lewiecki</w:t>
      </w:r>
      <w:proofErr w:type="spellEnd"/>
      <w:r w:rsidRPr="00B529BA">
        <w:rPr>
          <w:rFonts w:ascii="Book Antiqua" w:eastAsia="SimSun" w:hAnsi="Book Antiqua" w:cs="Times New Roman"/>
          <w:kern w:val="2"/>
          <w:lang w:eastAsia="zh-CN"/>
        </w:rPr>
        <w:t xml:space="preserve"> EM, Tanner B, Randall S, Lindsay R; National Osteoporosis Foundation. Clinician's Guide to Prevention and Treatment of Osteoporosis. </w:t>
      </w:r>
      <w:proofErr w:type="spellStart"/>
      <w:r w:rsidRPr="00B529BA">
        <w:rPr>
          <w:rFonts w:ascii="Book Antiqua" w:eastAsia="SimSun" w:hAnsi="Book Antiqua" w:cs="Times New Roman"/>
          <w:i/>
          <w:kern w:val="2"/>
          <w:lang w:eastAsia="zh-CN"/>
        </w:rPr>
        <w:t>Osteoporos</w:t>
      </w:r>
      <w:proofErr w:type="spellEnd"/>
      <w:r w:rsidRPr="00B529BA">
        <w:rPr>
          <w:rFonts w:ascii="Book Antiqua" w:eastAsia="SimSun" w:hAnsi="Book Antiqua" w:cs="Times New Roman"/>
          <w:i/>
          <w:kern w:val="2"/>
          <w:lang w:eastAsia="zh-CN"/>
        </w:rPr>
        <w:t xml:space="preserve"> </w:t>
      </w:r>
      <w:proofErr w:type="spellStart"/>
      <w:r w:rsidRPr="00B529BA">
        <w:rPr>
          <w:rFonts w:ascii="Book Antiqua" w:eastAsia="SimSun" w:hAnsi="Book Antiqua" w:cs="Times New Roman"/>
          <w:i/>
          <w:kern w:val="2"/>
          <w:lang w:eastAsia="zh-CN"/>
        </w:rPr>
        <w:t>Int</w:t>
      </w:r>
      <w:proofErr w:type="spellEnd"/>
      <w:r w:rsidRPr="00B529BA">
        <w:rPr>
          <w:rFonts w:ascii="Book Antiqua" w:eastAsia="SimSun" w:hAnsi="Book Antiqua" w:cs="Times New Roman"/>
          <w:kern w:val="2"/>
          <w:lang w:eastAsia="zh-CN"/>
        </w:rPr>
        <w:t xml:space="preserve"> 2014; </w:t>
      </w:r>
      <w:r w:rsidRPr="00B529BA">
        <w:rPr>
          <w:rFonts w:ascii="Book Antiqua" w:eastAsia="SimSun" w:hAnsi="Book Antiqua" w:cs="Times New Roman"/>
          <w:b/>
          <w:kern w:val="2"/>
          <w:lang w:eastAsia="zh-CN"/>
        </w:rPr>
        <w:t>25</w:t>
      </w:r>
      <w:r w:rsidRPr="00B529BA">
        <w:rPr>
          <w:rFonts w:ascii="Book Antiqua" w:eastAsia="SimSun" w:hAnsi="Book Antiqua" w:cs="Times New Roman"/>
          <w:kern w:val="2"/>
          <w:lang w:eastAsia="zh-CN"/>
        </w:rPr>
        <w:t>: 2359-2381 [PMID: 25182228 DOI: 10.1007/s00198-014-2794-2]</w:t>
      </w:r>
    </w:p>
    <w:p w14:paraId="2DABA189"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37 </w:t>
      </w:r>
      <w:r w:rsidRPr="00B529BA">
        <w:rPr>
          <w:rFonts w:ascii="Book Antiqua" w:eastAsia="SimSun" w:hAnsi="Book Antiqua" w:cs="Times New Roman"/>
          <w:b/>
          <w:kern w:val="2"/>
          <w:lang w:eastAsia="zh-CN"/>
        </w:rPr>
        <w:t>Kemmler W</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Engelke</w:t>
      </w:r>
      <w:proofErr w:type="spellEnd"/>
      <w:r w:rsidRPr="00B529BA">
        <w:rPr>
          <w:rFonts w:ascii="Book Antiqua" w:eastAsia="SimSun" w:hAnsi="Book Antiqua" w:cs="Times New Roman"/>
          <w:kern w:val="2"/>
          <w:lang w:eastAsia="zh-CN"/>
        </w:rPr>
        <w:t xml:space="preserve"> K, von Stengel S. Long-Term Exercise and Bone Mineral Density Changes in Postmenopausal Women--Are There Periods of Reduced Effectiveness? </w:t>
      </w:r>
      <w:r w:rsidRPr="00B529BA">
        <w:rPr>
          <w:rFonts w:ascii="Book Antiqua" w:eastAsia="SimSun" w:hAnsi="Book Antiqua" w:cs="Times New Roman"/>
          <w:i/>
          <w:kern w:val="2"/>
          <w:lang w:eastAsia="zh-CN"/>
        </w:rPr>
        <w:t>J Bone Miner Res</w:t>
      </w:r>
      <w:r w:rsidRPr="00B529BA">
        <w:rPr>
          <w:rFonts w:ascii="Book Antiqua" w:eastAsia="SimSun" w:hAnsi="Book Antiqua" w:cs="Times New Roman"/>
          <w:kern w:val="2"/>
          <w:lang w:eastAsia="zh-CN"/>
        </w:rPr>
        <w:t xml:space="preserve"> 2016; </w:t>
      </w:r>
      <w:r w:rsidRPr="00B529BA">
        <w:rPr>
          <w:rFonts w:ascii="Book Antiqua" w:eastAsia="SimSun" w:hAnsi="Book Antiqua" w:cs="Times New Roman"/>
          <w:b/>
          <w:kern w:val="2"/>
          <w:lang w:eastAsia="zh-CN"/>
        </w:rPr>
        <w:t>31</w:t>
      </w:r>
      <w:r w:rsidRPr="00B529BA">
        <w:rPr>
          <w:rFonts w:ascii="Book Antiqua" w:eastAsia="SimSun" w:hAnsi="Book Antiqua" w:cs="Times New Roman"/>
          <w:kern w:val="2"/>
          <w:lang w:eastAsia="zh-CN"/>
        </w:rPr>
        <w:t>: 215-222 [PMID: 26234411 DOI: 10.1002/jbmr.2608]</w:t>
      </w:r>
    </w:p>
    <w:p w14:paraId="2C60E2F5"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38 </w:t>
      </w:r>
      <w:proofErr w:type="spellStart"/>
      <w:r w:rsidRPr="00B529BA">
        <w:rPr>
          <w:rFonts w:ascii="Book Antiqua" w:eastAsia="SimSun" w:hAnsi="Book Antiqua" w:cs="Times New Roman"/>
          <w:b/>
          <w:kern w:val="2"/>
          <w:lang w:eastAsia="zh-CN"/>
        </w:rPr>
        <w:t>Shiomi</w:t>
      </w:r>
      <w:proofErr w:type="spellEnd"/>
      <w:r w:rsidRPr="00B529BA">
        <w:rPr>
          <w:rFonts w:ascii="Book Antiqua" w:eastAsia="SimSun" w:hAnsi="Book Antiqua" w:cs="Times New Roman"/>
          <w:b/>
          <w:kern w:val="2"/>
          <w:lang w:eastAsia="zh-CN"/>
        </w:rPr>
        <w:t xml:space="preserve"> S</w:t>
      </w:r>
      <w:r w:rsidRPr="00B529BA">
        <w:rPr>
          <w:rFonts w:ascii="Book Antiqua" w:eastAsia="SimSun" w:hAnsi="Book Antiqua" w:cs="Times New Roman"/>
          <w:kern w:val="2"/>
          <w:lang w:eastAsia="zh-CN"/>
        </w:rPr>
        <w:t xml:space="preserve">, Masaki K, </w:t>
      </w:r>
      <w:proofErr w:type="spellStart"/>
      <w:r w:rsidRPr="00B529BA">
        <w:rPr>
          <w:rFonts w:ascii="Book Antiqua" w:eastAsia="SimSun" w:hAnsi="Book Antiqua" w:cs="Times New Roman"/>
          <w:kern w:val="2"/>
          <w:lang w:eastAsia="zh-CN"/>
        </w:rPr>
        <w:t>Habu</w:t>
      </w:r>
      <w:proofErr w:type="spellEnd"/>
      <w:r w:rsidRPr="00B529BA">
        <w:rPr>
          <w:rFonts w:ascii="Book Antiqua" w:eastAsia="SimSun" w:hAnsi="Book Antiqua" w:cs="Times New Roman"/>
          <w:kern w:val="2"/>
          <w:lang w:eastAsia="zh-CN"/>
        </w:rPr>
        <w:t xml:space="preserve"> D, Takeda T, </w:t>
      </w:r>
      <w:proofErr w:type="spellStart"/>
      <w:r w:rsidRPr="00B529BA">
        <w:rPr>
          <w:rFonts w:ascii="Book Antiqua" w:eastAsia="SimSun" w:hAnsi="Book Antiqua" w:cs="Times New Roman"/>
          <w:kern w:val="2"/>
          <w:lang w:eastAsia="zh-CN"/>
        </w:rPr>
        <w:t>Nishiguchi</w:t>
      </w:r>
      <w:proofErr w:type="spellEnd"/>
      <w:r w:rsidRPr="00B529BA">
        <w:rPr>
          <w:rFonts w:ascii="Book Antiqua" w:eastAsia="SimSun" w:hAnsi="Book Antiqua" w:cs="Times New Roman"/>
          <w:kern w:val="2"/>
          <w:lang w:eastAsia="zh-CN"/>
        </w:rPr>
        <w:t xml:space="preserve"> S, Kuroki T, Ochi H. Calcitriol for bone loss in patients with primary biliary cirrhosis. </w:t>
      </w:r>
      <w:r w:rsidRPr="00B529BA">
        <w:rPr>
          <w:rFonts w:ascii="Book Antiqua" w:eastAsia="SimSun" w:hAnsi="Book Antiqua" w:cs="Times New Roman"/>
          <w:i/>
          <w:kern w:val="2"/>
          <w:lang w:eastAsia="zh-CN"/>
        </w:rPr>
        <w:t xml:space="preserve">J </w:t>
      </w:r>
      <w:proofErr w:type="spellStart"/>
      <w:r w:rsidRPr="00B529BA">
        <w:rPr>
          <w:rFonts w:ascii="Book Antiqua" w:eastAsia="SimSun" w:hAnsi="Book Antiqua" w:cs="Times New Roman"/>
          <w:i/>
          <w:kern w:val="2"/>
          <w:lang w:eastAsia="zh-CN"/>
        </w:rPr>
        <w:t>Gastroenterol</w:t>
      </w:r>
      <w:proofErr w:type="spellEnd"/>
      <w:r w:rsidRPr="00B529BA">
        <w:rPr>
          <w:rFonts w:ascii="Book Antiqua" w:eastAsia="SimSun" w:hAnsi="Book Antiqua" w:cs="Times New Roman"/>
          <w:kern w:val="2"/>
          <w:lang w:eastAsia="zh-CN"/>
        </w:rPr>
        <w:t xml:space="preserve"> 1999; </w:t>
      </w:r>
      <w:r w:rsidRPr="00B529BA">
        <w:rPr>
          <w:rFonts w:ascii="Book Antiqua" w:eastAsia="SimSun" w:hAnsi="Book Antiqua" w:cs="Times New Roman"/>
          <w:b/>
          <w:kern w:val="2"/>
          <w:lang w:eastAsia="zh-CN"/>
        </w:rPr>
        <w:t>34</w:t>
      </w:r>
      <w:r w:rsidRPr="00B529BA">
        <w:rPr>
          <w:rFonts w:ascii="Book Antiqua" w:eastAsia="SimSun" w:hAnsi="Book Antiqua" w:cs="Times New Roman"/>
          <w:kern w:val="2"/>
          <w:lang w:eastAsia="zh-CN"/>
        </w:rPr>
        <w:t>: 241-245 [PMID: 10213125]</w:t>
      </w:r>
    </w:p>
    <w:p w14:paraId="1BEF90D8"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39 </w:t>
      </w:r>
      <w:proofErr w:type="spellStart"/>
      <w:r w:rsidRPr="00B529BA">
        <w:rPr>
          <w:rFonts w:ascii="Book Antiqua" w:eastAsia="SimSun" w:hAnsi="Book Antiqua" w:cs="Times New Roman"/>
          <w:b/>
          <w:kern w:val="2"/>
          <w:lang w:eastAsia="zh-CN"/>
        </w:rPr>
        <w:t>Guañabens</w:t>
      </w:r>
      <w:proofErr w:type="spellEnd"/>
      <w:r w:rsidRPr="00B529BA">
        <w:rPr>
          <w:rFonts w:ascii="Book Antiqua" w:eastAsia="SimSun" w:hAnsi="Book Antiqua" w:cs="Times New Roman"/>
          <w:b/>
          <w:kern w:val="2"/>
          <w:lang w:eastAsia="zh-CN"/>
        </w:rPr>
        <w:t xml:space="preserve"> N</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Parés</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Monegal</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Peris</w:t>
      </w:r>
      <w:proofErr w:type="spellEnd"/>
      <w:r w:rsidRPr="00B529BA">
        <w:rPr>
          <w:rFonts w:ascii="Book Antiqua" w:eastAsia="SimSun" w:hAnsi="Book Antiqua" w:cs="Times New Roman"/>
          <w:kern w:val="2"/>
          <w:lang w:eastAsia="zh-CN"/>
        </w:rPr>
        <w:t xml:space="preserve"> P, Pons F, Alvarez L, de </w:t>
      </w:r>
      <w:proofErr w:type="spellStart"/>
      <w:r w:rsidRPr="00B529BA">
        <w:rPr>
          <w:rFonts w:ascii="Book Antiqua" w:eastAsia="SimSun" w:hAnsi="Book Antiqua" w:cs="Times New Roman"/>
          <w:kern w:val="2"/>
          <w:lang w:eastAsia="zh-CN"/>
        </w:rPr>
        <w:t>Osaba</w:t>
      </w:r>
      <w:proofErr w:type="spellEnd"/>
      <w:r w:rsidRPr="00B529BA">
        <w:rPr>
          <w:rFonts w:ascii="Book Antiqua" w:eastAsia="SimSun" w:hAnsi="Book Antiqua" w:cs="Times New Roman"/>
          <w:kern w:val="2"/>
          <w:lang w:eastAsia="zh-CN"/>
        </w:rPr>
        <w:t xml:space="preserve"> MJ, Roca M, </w:t>
      </w:r>
      <w:proofErr w:type="spellStart"/>
      <w:r w:rsidRPr="00B529BA">
        <w:rPr>
          <w:rFonts w:ascii="Book Antiqua" w:eastAsia="SimSun" w:hAnsi="Book Antiqua" w:cs="Times New Roman"/>
          <w:kern w:val="2"/>
          <w:lang w:eastAsia="zh-CN"/>
        </w:rPr>
        <w:t>Torra</w:t>
      </w:r>
      <w:proofErr w:type="spellEnd"/>
      <w:r w:rsidRPr="00B529BA">
        <w:rPr>
          <w:rFonts w:ascii="Book Antiqua" w:eastAsia="SimSun" w:hAnsi="Book Antiqua" w:cs="Times New Roman"/>
          <w:kern w:val="2"/>
          <w:lang w:eastAsia="zh-CN"/>
        </w:rPr>
        <w:t xml:space="preserve"> M, </w:t>
      </w:r>
      <w:proofErr w:type="spellStart"/>
      <w:r w:rsidRPr="00B529BA">
        <w:rPr>
          <w:rFonts w:ascii="Book Antiqua" w:eastAsia="SimSun" w:hAnsi="Book Antiqua" w:cs="Times New Roman"/>
          <w:kern w:val="2"/>
          <w:lang w:eastAsia="zh-CN"/>
        </w:rPr>
        <w:t>Rodés</w:t>
      </w:r>
      <w:proofErr w:type="spellEnd"/>
      <w:r w:rsidRPr="00B529BA">
        <w:rPr>
          <w:rFonts w:ascii="Book Antiqua" w:eastAsia="SimSun" w:hAnsi="Book Antiqua" w:cs="Times New Roman"/>
          <w:kern w:val="2"/>
          <w:lang w:eastAsia="zh-CN"/>
        </w:rPr>
        <w:t xml:space="preserve"> J. Etidronate versus fluoride for treatment of osteopenia in primary biliary cirrhosis: preliminary results after 2 years. </w:t>
      </w:r>
      <w:r w:rsidRPr="00B529BA">
        <w:rPr>
          <w:rFonts w:ascii="Book Antiqua" w:eastAsia="SimSun" w:hAnsi="Book Antiqua" w:cs="Times New Roman"/>
          <w:i/>
          <w:kern w:val="2"/>
          <w:lang w:eastAsia="zh-CN"/>
        </w:rPr>
        <w:t>Gastroenterology</w:t>
      </w:r>
      <w:r w:rsidRPr="00B529BA">
        <w:rPr>
          <w:rFonts w:ascii="Book Antiqua" w:eastAsia="SimSun" w:hAnsi="Book Antiqua" w:cs="Times New Roman"/>
          <w:kern w:val="2"/>
          <w:lang w:eastAsia="zh-CN"/>
        </w:rPr>
        <w:t xml:space="preserve"> 1997; </w:t>
      </w:r>
      <w:r w:rsidRPr="00B529BA">
        <w:rPr>
          <w:rFonts w:ascii="Book Antiqua" w:eastAsia="SimSun" w:hAnsi="Book Antiqua" w:cs="Times New Roman"/>
          <w:b/>
          <w:kern w:val="2"/>
          <w:lang w:eastAsia="zh-CN"/>
        </w:rPr>
        <w:t>113</w:t>
      </w:r>
      <w:r w:rsidRPr="00B529BA">
        <w:rPr>
          <w:rFonts w:ascii="Book Antiqua" w:eastAsia="SimSun" w:hAnsi="Book Antiqua" w:cs="Times New Roman"/>
          <w:kern w:val="2"/>
          <w:lang w:eastAsia="zh-CN"/>
        </w:rPr>
        <w:t>: 219-224 [PMID: 9207281 DOI: 10.1016/S0016-5085(97)70098-2]</w:t>
      </w:r>
    </w:p>
    <w:p w14:paraId="50947F04"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40 </w:t>
      </w:r>
      <w:proofErr w:type="spellStart"/>
      <w:r w:rsidRPr="00B529BA">
        <w:rPr>
          <w:rFonts w:ascii="Book Antiqua" w:eastAsia="SimSun" w:hAnsi="Book Antiqua" w:cs="Times New Roman"/>
          <w:b/>
          <w:kern w:val="2"/>
          <w:lang w:eastAsia="zh-CN"/>
        </w:rPr>
        <w:t>Musialik</w:t>
      </w:r>
      <w:proofErr w:type="spellEnd"/>
      <w:r w:rsidRPr="00B529BA">
        <w:rPr>
          <w:rFonts w:ascii="Book Antiqua" w:eastAsia="SimSun" w:hAnsi="Book Antiqua" w:cs="Times New Roman"/>
          <w:b/>
          <w:kern w:val="2"/>
          <w:lang w:eastAsia="zh-CN"/>
        </w:rPr>
        <w:t xml:space="preserve"> J</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Petelenz</w:t>
      </w:r>
      <w:proofErr w:type="spellEnd"/>
      <w:r w:rsidRPr="00B529BA">
        <w:rPr>
          <w:rFonts w:ascii="Book Antiqua" w:eastAsia="SimSun" w:hAnsi="Book Antiqua" w:cs="Times New Roman"/>
          <w:kern w:val="2"/>
          <w:lang w:eastAsia="zh-CN"/>
        </w:rPr>
        <w:t xml:space="preserve"> M, </w:t>
      </w:r>
      <w:proofErr w:type="spellStart"/>
      <w:r w:rsidRPr="00B529BA">
        <w:rPr>
          <w:rFonts w:ascii="Book Antiqua" w:eastAsia="SimSun" w:hAnsi="Book Antiqua" w:cs="Times New Roman"/>
          <w:kern w:val="2"/>
          <w:lang w:eastAsia="zh-CN"/>
        </w:rPr>
        <w:t>Gonciarz</w:t>
      </w:r>
      <w:proofErr w:type="spellEnd"/>
      <w:r w:rsidRPr="00B529BA">
        <w:rPr>
          <w:rFonts w:ascii="Book Antiqua" w:eastAsia="SimSun" w:hAnsi="Book Antiqua" w:cs="Times New Roman"/>
          <w:kern w:val="2"/>
          <w:lang w:eastAsia="zh-CN"/>
        </w:rPr>
        <w:t xml:space="preserve"> Z. Effects of alendronate on bone mass in patients with primary biliary cirrhosis and osteoporosis: preliminary results after one year. </w:t>
      </w:r>
      <w:proofErr w:type="spellStart"/>
      <w:r w:rsidRPr="00B529BA">
        <w:rPr>
          <w:rFonts w:ascii="Book Antiqua" w:eastAsia="SimSun" w:hAnsi="Book Antiqua" w:cs="Times New Roman"/>
          <w:i/>
          <w:kern w:val="2"/>
          <w:lang w:eastAsia="zh-CN"/>
        </w:rPr>
        <w:t>Scand</w:t>
      </w:r>
      <w:proofErr w:type="spellEnd"/>
      <w:r w:rsidRPr="00B529BA">
        <w:rPr>
          <w:rFonts w:ascii="Book Antiqua" w:eastAsia="SimSun" w:hAnsi="Book Antiqua" w:cs="Times New Roman"/>
          <w:i/>
          <w:kern w:val="2"/>
          <w:lang w:eastAsia="zh-CN"/>
        </w:rPr>
        <w:t xml:space="preserve"> J </w:t>
      </w:r>
      <w:proofErr w:type="spellStart"/>
      <w:r w:rsidRPr="00B529BA">
        <w:rPr>
          <w:rFonts w:ascii="Book Antiqua" w:eastAsia="SimSun" w:hAnsi="Book Antiqua" w:cs="Times New Roman"/>
          <w:i/>
          <w:kern w:val="2"/>
          <w:lang w:eastAsia="zh-CN"/>
        </w:rPr>
        <w:t>Gastroenterol</w:t>
      </w:r>
      <w:proofErr w:type="spellEnd"/>
      <w:r w:rsidRPr="00B529BA">
        <w:rPr>
          <w:rFonts w:ascii="Book Antiqua" w:eastAsia="SimSun" w:hAnsi="Book Antiqua" w:cs="Times New Roman"/>
          <w:kern w:val="2"/>
          <w:lang w:eastAsia="zh-CN"/>
        </w:rPr>
        <w:t xml:space="preserve"> 2005; </w:t>
      </w:r>
      <w:r w:rsidRPr="00B529BA">
        <w:rPr>
          <w:rFonts w:ascii="Book Antiqua" w:eastAsia="SimSun" w:hAnsi="Book Antiqua" w:cs="Times New Roman"/>
          <w:b/>
          <w:kern w:val="2"/>
          <w:lang w:eastAsia="zh-CN"/>
        </w:rPr>
        <w:t>40</w:t>
      </w:r>
      <w:r w:rsidRPr="00B529BA">
        <w:rPr>
          <w:rFonts w:ascii="Book Antiqua" w:eastAsia="SimSun" w:hAnsi="Book Antiqua" w:cs="Times New Roman"/>
          <w:kern w:val="2"/>
          <w:lang w:eastAsia="zh-CN"/>
        </w:rPr>
        <w:t>: 873-874 [PMID: 16109666 DOI: 10.1080/00365520510023279]</w:t>
      </w:r>
    </w:p>
    <w:p w14:paraId="6BD9A068"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41 </w:t>
      </w:r>
      <w:r w:rsidRPr="00B529BA">
        <w:rPr>
          <w:rFonts w:ascii="Book Antiqua" w:eastAsia="SimSun" w:hAnsi="Book Antiqua" w:cs="Times New Roman"/>
          <w:b/>
          <w:kern w:val="2"/>
          <w:lang w:eastAsia="zh-CN"/>
        </w:rPr>
        <w:t>Sanderson J</w:t>
      </w:r>
      <w:r w:rsidRPr="00B529BA">
        <w:rPr>
          <w:rFonts w:ascii="Book Antiqua" w:eastAsia="SimSun" w:hAnsi="Book Antiqua" w:cs="Times New Roman"/>
          <w:kern w:val="2"/>
          <w:lang w:eastAsia="zh-CN"/>
        </w:rPr>
        <w:t xml:space="preserve">, Martyn-St James M, Stevens J, </w:t>
      </w:r>
      <w:proofErr w:type="spellStart"/>
      <w:r w:rsidRPr="00B529BA">
        <w:rPr>
          <w:rFonts w:ascii="Book Antiqua" w:eastAsia="SimSun" w:hAnsi="Book Antiqua" w:cs="Times New Roman"/>
          <w:kern w:val="2"/>
          <w:lang w:eastAsia="zh-CN"/>
        </w:rPr>
        <w:t>Goka</w:t>
      </w:r>
      <w:proofErr w:type="spellEnd"/>
      <w:r w:rsidRPr="00B529BA">
        <w:rPr>
          <w:rFonts w:ascii="Book Antiqua" w:eastAsia="SimSun" w:hAnsi="Book Antiqua" w:cs="Times New Roman"/>
          <w:kern w:val="2"/>
          <w:lang w:eastAsia="zh-CN"/>
        </w:rPr>
        <w:t xml:space="preserve"> E, Wong R, Campbell F, Selby P, </w:t>
      </w:r>
      <w:proofErr w:type="spellStart"/>
      <w:r w:rsidRPr="00B529BA">
        <w:rPr>
          <w:rFonts w:ascii="Book Antiqua" w:eastAsia="SimSun" w:hAnsi="Book Antiqua" w:cs="Times New Roman"/>
          <w:kern w:val="2"/>
          <w:lang w:eastAsia="zh-CN"/>
        </w:rPr>
        <w:t>Gittoes</w:t>
      </w:r>
      <w:proofErr w:type="spellEnd"/>
      <w:r w:rsidRPr="00B529BA">
        <w:rPr>
          <w:rFonts w:ascii="Book Antiqua" w:eastAsia="SimSun" w:hAnsi="Book Antiqua" w:cs="Times New Roman"/>
          <w:kern w:val="2"/>
          <w:lang w:eastAsia="zh-CN"/>
        </w:rPr>
        <w:t xml:space="preserve"> N, Davis S. Clinical effectiveness of bisphosphonates for the prevention of fragility fractures: A systematic review and network meta-analysis. </w:t>
      </w:r>
      <w:r w:rsidRPr="00B529BA">
        <w:rPr>
          <w:rFonts w:ascii="Book Antiqua" w:eastAsia="SimSun" w:hAnsi="Book Antiqua" w:cs="Times New Roman"/>
          <w:i/>
          <w:kern w:val="2"/>
          <w:lang w:eastAsia="zh-CN"/>
        </w:rPr>
        <w:t>Bone</w:t>
      </w:r>
      <w:r w:rsidRPr="00B529BA">
        <w:rPr>
          <w:rFonts w:ascii="Book Antiqua" w:eastAsia="SimSun" w:hAnsi="Book Antiqua" w:cs="Times New Roman"/>
          <w:kern w:val="2"/>
          <w:lang w:eastAsia="zh-CN"/>
        </w:rPr>
        <w:t xml:space="preserve"> 2016; </w:t>
      </w:r>
      <w:r w:rsidRPr="00B529BA">
        <w:rPr>
          <w:rFonts w:ascii="Book Antiqua" w:eastAsia="SimSun" w:hAnsi="Book Antiqua" w:cs="Times New Roman"/>
          <w:b/>
          <w:kern w:val="2"/>
          <w:lang w:eastAsia="zh-CN"/>
        </w:rPr>
        <w:t>89</w:t>
      </w:r>
      <w:r w:rsidRPr="00B529BA">
        <w:rPr>
          <w:rFonts w:ascii="Book Antiqua" w:eastAsia="SimSun" w:hAnsi="Book Antiqua" w:cs="Times New Roman"/>
          <w:kern w:val="2"/>
          <w:lang w:eastAsia="zh-CN"/>
        </w:rPr>
        <w:t>: 52-58 [PMID: 27262775 DOI: 10.1016/j.bone.2016.05.013]</w:t>
      </w:r>
    </w:p>
    <w:p w14:paraId="16EB9B76"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42 </w:t>
      </w:r>
      <w:proofErr w:type="spellStart"/>
      <w:r w:rsidRPr="00B529BA">
        <w:rPr>
          <w:rFonts w:ascii="Book Antiqua" w:eastAsia="SimSun" w:hAnsi="Book Antiqua" w:cs="Times New Roman"/>
          <w:b/>
          <w:kern w:val="2"/>
          <w:lang w:eastAsia="zh-CN"/>
        </w:rPr>
        <w:t>Rudic</w:t>
      </w:r>
      <w:proofErr w:type="spellEnd"/>
      <w:r w:rsidRPr="00B529BA">
        <w:rPr>
          <w:rFonts w:ascii="Book Antiqua" w:eastAsia="SimSun" w:hAnsi="Book Antiqua" w:cs="Times New Roman"/>
          <w:b/>
          <w:kern w:val="2"/>
          <w:lang w:eastAsia="zh-CN"/>
        </w:rPr>
        <w:t xml:space="preserve"> JS</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Giljaca</w:t>
      </w:r>
      <w:proofErr w:type="spellEnd"/>
      <w:r w:rsidRPr="00B529BA">
        <w:rPr>
          <w:rFonts w:ascii="Book Antiqua" w:eastAsia="SimSun" w:hAnsi="Book Antiqua" w:cs="Times New Roman"/>
          <w:kern w:val="2"/>
          <w:lang w:eastAsia="zh-CN"/>
        </w:rPr>
        <w:t xml:space="preserve"> V, </w:t>
      </w:r>
      <w:proofErr w:type="spellStart"/>
      <w:r w:rsidRPr="00B529BA">
        <w:rPr>
          <w:rFonts w:ascii="Book Antiqua" w:eastAsia="SimSun" w:hAnsi="Book Antiqua" w:cs="Times New Roman"/>
          <w:kern w:val="2"/>
          <w:lang w:eastAsia="zh-CN"/>
        </w:rPr>
        <w:t>Krstic</w:t>
      </w:r>
      <w:proofErr w:type="spellEnd"/>
      <w:r w:rsidRPr="00B529BA">
        <w:rPr>
          <w:rFonts w:ascii="Book Antiqua" w:eastAsia="SimSun" w:hAnsi="Book Antiqua" w:cs="Times New Roman"/>
          <w:kern w:val="2"/>
          <w:lang w:eastAsia="zh-CN"/>
        </w:rPr>
        <w:t xml:space="preserve"> MN, </w:t>
      </w:r>
      <w:proofErr w:type="spellStart"/>
      <w:r w:rsidRPr="00B529BA">
        <w:rPr>
          <w:rFonts w:ascii="Book Antiqua" w:eastAsia="SimSun" w:hAnsi="Book Antiqua" w:cs="Times New Roman"/>
          <w:kern w:val="2"/>
          <w:lang w:eastAsia="zh-CN"/>
        </w:rPr>
        <w:t>Bjelakovic</w:t>
      </w:r>
      <w:proofErr w:type="spellEnd"/>
      <w:r w:rsidRPr="00B529BA">
        <w:rPr>
          <w:rFonts w:ascii="Book Antiqua" w:eastAsia="SimSun" w:hAnsi="Book Antiqua" w:cs="Times New Roman"/>
          <w:kern w:val="2"/>
          <w:lang w:eastAsia="zh-CN"/>
        </w:rPr>
        <w:t xml:space="preserve"> G, </w:t>
      </w:r>
      <w:proofErr w:type="spellStart"/>
      <w:r w:rsidRPr="00B529BA">
        <w:rPr>
          <w:rFonts w:ascii="Book Antiqua" w:eastAsia="SimSun" w:hAnsi="Book Antiqua" w:cs="Times New Roman"/>
          <w:kern w:val="2"/>
          <w:lang w:eastAsia="zh-CN"/>
        </w:rPr>
        <w:t>Gluud</w:t>
      </w:r>
      <w:proofErr w:type="spellEnd"/>
      <w:r w:rsidRPr="00B529BA">
        <w:rPr>
          <w:rFonts w:ascii="Book Antiqua" w:eastAsia="SimSun" w:hAnsi="Book Antiqua" w:cs="Times New Roman"/>
          <w:kern w:val="2"/>
          <w:lang w:eastAsia="zh-CN"/>
        </w:rPr>
        <w:t xml:space="preserve"> C. Bisphosphonates for osteoporosis in primary biliary cirrhosis. </w:t>
      </w:r>
      <w:r w:rsidRPr="00B529BA">
        <w:rPr>
          <w:rFonts w:ascii="Book Antiqua" w:eastAsia="SimSun" w:hAnsi="Book Antiqua" w:cs="Times New Roman"/>
          <w:i/>
          <w:kern w:val="2"/>
          <w:lang w:eastAsia="zh-CN"/>
        </w:rPr>
        <w:t xml:space="preserve">Cochrane Database </w:t>
      </w:r>
      <w:proofErr w:type="spellStart"/>
      <w:r w:rsidRPr="00B529BA">
        <w:rPr>
          <w:rFonts w:ascii="Book Antiqua" w:eastAsia="SimSun" w:hAnsi="Book Antiqua" w:cs="Times New Roman"/>
          <w:i/>
          <w:kern w:val="2"/>
          <w:lang w:eastAsia="zh-CN"/>
        </w:rPr>
        <w:t>Syst</w:t>
      </w:r>
      <w:proofErr w:type="spellEnd"/>
      <w:r w:rsidRPr="00B529BA">
        <w:rPr>
          <w:rFonts w:ascii="Book Antiqua" w:eastAsia="SimSun" w:hAnsi="Book Antiqua" w:cs="Times New Roman"/>
          <w:i/>
          <w:kern w:val="2"/>
          <w:lang w:eastAsia="zh-CN"/>
        </w:rPr>
        <w:t xml:space="preserve"> Rev</w:t>
      </w:r>
      <w:r w:rsidRPr="00B529BA">
        <w:rPr>
          <w:rFonts w:ascii="Book Antiqua" w:eastAsia="SimSun" w:hAnsi="Book Antiqua" w:cs="Times New Roman"/>
          <w:kern w:val="2"/>
          <w:lang w:eastAsia="zh-CN"/>
        </w:rPr>
        <w:t xml:space="preserve"> 2011; CD009144 [PMID: 22161446 DOI: 10.1002/14651858.CD009144.pub2]</w:t>
      </w:r>
    </w:p>
    <w:p w14:paraId="67B7C413"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43 </w:t>
      </w:r>
      <w:proofErr w:type="spellStart"/>
      <w:r w:rsidRPr="00B529BA">
        <w:rPr>
          <w:rFonts w:ascii="Book Antiqua" w:eastAsia="SimSun" w:hAnsi="Book Antiqua" w:cs="Times New Roman"/>
          <w:b/>
          <w:kern w:val="2"/>
          <w:lang w:eastAsia="zh-CN"/>
        </w:rPr>
        <w:t>Wolfhagen</w:t>
      </w:r>
      <w:proofErr w:type="spellEnd"/>
      <w:r w:rsidRPr="00B529BA">
        <w:rPr>
          <w:rFonts w:ascii="Book Antiqua" w:eastAsia="SimSun" w:hAnsi="Book Antiqua" w:cs="Times New Roman"/>
          <w:b/>
          <w:kern w:val="2"/>
          <w:lang w:eastAsia="zh-CN"/>
        </w:rPr>
        <w:t xml:space="preserve"> FH</w:t>
      </w:r>
      <w:r w:rsidRPr="00B529BA">
        <w:rPr>
          <w:rFonts w:ascii="Book Antiqua" w:eastAsia="SimSun" w:hAnsi="Book Antiqua" w:cs="Times New Roman"/>
          <w:kern w:val="2"/>
          <w:lang w:eastAsia="zh-CN"/>
        </w:rPr>
        <w:t xml:space="preserve">, van </w:t>
      </w:r>
      <w:proofErr w:type="spellStart"/>
      <w:r w:rsidRPr="00B529BA">
        <w:rPr>
          <w:rFonts w:ascii="Book Antiqua" w:eastAsia="SimSun" w:hAnsi="Book Antiqua" w:cs="Times New Roman"/>
          <w:kern w:val="2"/>
          <w:lang w:eastAsia="zh-CN"/>
        </w:rPr>
        <w:t>Buuren</w:t>
      </w:r>
      <w:proofErr w:type="spellEnd"/>
      <w:r w:rsidRPr="00B529BA">
        <w:rPr>
          <w:rFonts w:ascii="Book Antiqua" w:eastAsia="SimSun" w:hAnsi="Book Antiqua" w:cs="Times New Roman"/>
          <w:kern w:val="2"/>
          <w:lang w:eastAsia="zh-CN"/>
        </w:rPr>
        <w:t xml:space="preserve"> HR, den </w:t>
      </w:r>
      <w:proofErr w:type="spellStart"/>
      <w:r w:rsidRPr="00B529BA">
        <w:rPr>
          <w:rFonts w:ascii="Book Antiqua" w:eastAsia="SimSun" w:hAnsi="Book Antiqua" w:cs="Times New Roman"/>
          <w:kern w:val="2"/>
          <w:lang w:eastAsia="zh-CN"/>
        </w:rPr>
        <w:t>Ouden</w:t>
      </w:r>
      <w:proofErr w:type="spellEnd"/>
      <w:r w:rsidRPr="00B529BA">
        <w:rPr>
          <w:rFonts w:ascii="Book Antiqua" w:eastAsia="SimSun" w:hAnsi="Book Antiqua" w:cs="Times New Roman"/>
          <w:kern w:val="2"/>
          <w:lang w:eastAsia="zh-CN"/>
        </w:rPr>
        <w:t xml:space="preserve"> JW, Hop WC, van </w:t>
      </w:r>
      <w:proofErr w:type="spellStart"/>
      <w:r w:rsidRPr="00B529BA">
        <w:rPr>
          <w:rFonts w:ascii="Book Antiqua" w:eastAsia="SimSun" w:hAnsi="Book Antiqua" w:cs="Times New Roman"/>
          <w:kern w:val="2"/>
          <w:lang w:eastAsia="zh-CN"/>
        </w:rPr>
        <w:t>Leeuwen</w:t>
      </w:r>
      <w:proofErr w:type="spellEnd"/>
      <w:r w:rsidRPr="00B529BA">
        <w:rPr>
          <w:rFonts w:ascii="Book Antiqua" w:eastAsia="SimSun" w:hAnsi="Book Antiqua" w:cs="Times New Roman"/>
          <w:kern w:val="2"/>
          <w:lang w:eastAsia="zh-CN"/>
        </w:rPr>
        <w:t xml:space="preserve"> JP, </w:t>
      </w:r>
      <w:proofErr w:type="spellStart"/>
      <w:r w:rsidRPr="00B529BA">
        <w:rPr>
          <w:rFonts w:ascii="Book Antiqua" w:eastAsia="SimSun" w:hAnsi="Book Antiqua" w:cs="Times New Roman"/>
          <w:kern w:val="2"/>
          <w:lang w:eastAsia="zh-CN"/>
        </w:rPr>
        <w:lastRenderedPageBreak/>
        <w:t>Schalm</w:t>
      </w:r>
      <w:proofErr w:type="spellEnd"/>
      <w:r w:rsidRPr="00B529BA">
        <w:rPr>
          <w:rFonts w:ascii="Book Antiqua" w:eastAsia="SimSun" w:hAnsi="Book Antiqua" w:cs="Times New Roman"/>
          <w:kern w:val="2"/>
          <w:lang w:eastAsia="zh-CN"/>
        </w:rPr>
        <w:t xml:space="preserve"> SW, Pols HA. Cyclical etidronate in the prevention of bone loss in corticosteroid-treated primary biliary cirrhosis. A prospective, controlled pilot study. </w:t>
      </w:r>
      <w:r w:rsidRPr="00B529BA">
        <w:rPr>
          <w:rFonts w:ascii="Book Antiqua" w:eastAsia="SimSun" w:hAnsi="Book Antiqua" w:cs="Times New Roman"/>
          <w:i/>
          <w:kern w:val="2"/>
          <w:lang w:eastAsia="zh-CN"/>
        </w:rPr>
        <w:t xml:space="preserve">J </w:t>
      </w:r>
      <w:proofErr w:type="spellStart"/>
      <w:r w:rsidRPr="00B529BA">
        <w:rPr>
          <w:rFonts w:ascii="Book Antiqua" w:eastAsia="SimSun" w:hAnsi="Book Antiqua" w:cs="Times New Roman"/>
          <w:i/>
          <w:kern w:val="2"/>
          <w:lang w:eastAsia="zh-CN"/>
        </w:rPr>
        <w:t>Hepatol</w:t>
      </w:r>
      <w:proofErr w:type="spellEnd"/>
      <w:r w:rsidRPr="00B529BA">
        <w:rPr>
          <w:rFonts w:ascii="Book Antiqua" w:eastAsia="SimSun" w:hAnsi="Book Antiqua" w:cs="Times New Roman"/>
          <w:kern w:val="2"/>
          <w:lang w:eastAsia="zh-CN"/>
        </w:rPr>
        <w:t xml:space="preserve"> 1997; </w:t>
      </w:r>
      <w:r w:rsidRPr="00B529BA">
        <w:rPr>
          <w:rFonts w:ascii="Book Antiqua" w:eastAsia="SimSun" w:hAnsi="Book Antiqua" w:cs="Times New Roman"/>
          <w:b/>
          <w:kern w:val="2"/>
          <w:lang w:eastAsia="zh-CN"/>
        </w:rPr>
        <w:t>26</w:t>
      </w:r>
      <w:r w:rsidRPr="00B529BA">
        <w:rPr>
          <w:rFonts w:ascii="Book Antiqua" w:eastAsia="SimSun" w:hAnsi="Book Antiqua" w:cs="Times New Roman"/>
          <w:kern w:val="2"/>
          <w:lang w:eastAsia="zh-CN"/>
        </w:rPr>
        <w:t>: 325-330 [PMID: 9059953]</w:t>
      </w:r>
    </w:p>
    <w:p w14:paraId="0FE9EE50"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44 </w:t>
      </w:r>
      <w:proofErr w:type="spellStart"/>
      <w:r w:rsidRPr="00B529BA">
        <w:rPr>
          <w:rFonts w:ascii="Book Antiqua" w:eastAsia="SimSun" w:hAnsi="Book Antiqua" w:cs="Times New Roman"/>
          <w:b/>
          <w:kern w:val="2"/>
          <w:lang w:eastAsia="zh-CN"/>
        </w:rPr>
        <w:t>Zein</w:t>
      </w:r>
      <w:proofErr w:type="spellEnd"/>
      <w:r w:rsidRPr="00B529BA">
        <w:rPr>
          <w:rFonts w:ascii="Book Antiqua" w:eastAsia="SimSun" w:hAnsi="Book Antiqua" w:cs="Times New Roman"/>
          <w:b/>
          <w:kern w:val="2"/>
          <w:lang w:eastAsia="zh-CN"/>
        </w:rPr>
        <w:t xml:space="preserve"> CO</w:t>
      </w:r>
      <w:r w:rsidRPr="00B529BA">
        <w:rPr>
          <w:rFonts w:ascii="Book Antiqua" w:eastAsia="SimSun" w:hAnsi="Book Antiqua" w:cs="Times New Roman"/>
          <w:kern w:val="2"/>
          <w:lang w:eastAsia="zh-CN"/>
        </w:rPr>
        <w:t xml:space="preserve">, Jorgensen RA, Clarke B, Wenger DE, </w:t>
      </w:r>
      <w:proofErr w:type="spellStart"/>
      <w:r w:rsidRPr="00B529BA">
        <w:rPr>
          <w:rFonts w:ascii="Book Antiqua" w:eastAsia="SimSun" w:hAnsi="Book Antiqua" w:cs="Times New Roman"/>
          <w:kern w:val="2"/>
          <w:lang w:eastAsia="zh-CN"/>
        </w:rPr>
        <w:t>Keach</w:t>
      </w:r>
      <w:proofErr w:type="spellEnd"/>
      <w:r w:rsidRPr="00B529BA">
        <w:rPr>
          <w:rFonts w:ascii="Book Antiqua" w:eastAsia="SimSun" w:hAnsi="Book Antiqua" w:cs="Times New Roman"/>
          <w:kern w:val="2"/>
          <w:lang w:eastAsia="zh-CN"/>
        </w:rPr>
        <w:t xml:space="preserve"> JC, Angulo P, </w:t>
      </w:r>
      <w:proofErr w:type="spellStart"/>
      <w:r w:rsidRPr="00B529BA">
        <w:rPr>
          <w:rFonts w:ascii="Book Antiqua" w:eastAsia="SimSun" w:hAnsi="Book Antiqua" w:cs="Times New Roman"/>
          <w:kern w:val="2"/>
          <w:lang w:eastAsia="zh-CN"/>
        </w:rPr>
        <w:t>Lindor</w:t>
      </w:r>
      <w:proofErr w:type="spellEnd"/>
      <w:r w:rsidRPr="00B529BA">
        <w:rPr>
          <w:rFonts w:ascii="Book Antiqua" w:eastAsia="SimSun" w:hAnsi="Book Antiqua" w:cs="Times New Roman"/>
          <w:kern w:val="2"/>
          <w:lang w:eastAsia="zh-CN"/>
        </w:rPr>
        <w:t xml:space="preserve"> KD. Alendronate improves bone mineral density in primary biliary cirrhosis: a randomized placebo-controlled trial. </w:t>
      </w:r>
      <w:r w:rsidRPr="00B529BA">
        <w:rPr>
          <w:rFonts w:ascii="Book Antiqua" w:eastAsia="SimSun" w:hAnsi="Book Antiqua" w:cs="Times New Roman"/>
          <w:i/>
          <w:kern w:val="2"/>
          <w:lang w:eastAsia="zh-CN"/>
        </w:rPr>
        <w:t>Hepatology</w:t>
      </w:r>
      <w:r w:rsidRPr="00B529BA">
        <w:rPr>
          <w:rFonts w:ascii="Book Antiqua" w:eastAsia="SimSun" w:hAnsi="Book Antiqua" w:cs="Times New Roman"/>
          <w:kern w:val="2"/>
          <w:lang w:eastAsia="zh-CN"/>
        </w:rPr>
        <w:t xml:space="preserve"> 2005; </w:t>
      </w:r>
      <w:r w:rsidRPr="00B529BA">
        <w:rPr>
          <w:rFonts w:ascii="Book Antiqua" w:eastAsia="SimSun" w:hAnsi="Book Antiqua" w:cs="Times New Roman"/>
          <w:b/>
          <w:kern w:val="2"/>
          <w:lang w:eastAsia="zh-CN"/>
        </w:rPr>
        <w:t>42</w:t>
      </w:r>
      <w:r w:rsidRPr="00B529BA">
        <w:rPr>
          <w:rFonts w:ascii="Book Antiqua" w:eastAsia="SimSun" w:hAnsi="Book Antiqua" w:cs="Times New Roman"/>
          <w:kern w:val="2"/>
          <w:lang w:eastAsia="zh-CN"/>
        </w:rPr>
        <w:t>: 762-771 [PMID: 16175618 DOI: 10.1002/hep.20866]</w:t>
      </w:r>
    </w:p>
    <w:p w14:paraId="1C682BA3"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45 </w:t>
      </w:r>
      <w:proofErr w:type="spellStart"/>
      <w:r w:rsidRPr="00B529BA">
        <w:rPr>
          <w:rFonts w:ascii="Book Antiqua" w:eastAsia="SimSun" w:hAnsi="Book Antiqua" w:cs="Times New Roman"/>
          <w:b/>
          <w:kern w:val="2"/>
          <w:lang w:eastAsia="zh-CN"/>
        </w:rPr>
        <w:t>Guañabens</w:t>
      </w:r>
      <w:proofErr w:type="spellEnd"/>
      <w:r w:rsidRPr="00B529BA">
        <w:rPr>
          <w:rFonts w:ascii="Book Antiqua" w:eastAsia="SimSun" w:hAnsi="Book Antiqua" w:cs="Times New Roman"/>
          <w:b/>
          <w:kern w:val="2"/>
          <w:lang w:eastAsia="zh-CN"/>
        </w:rPr>
        <w:t xml:space="preserve"> N</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Parés</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Ros</w:t>
      </w:r>
      <w:proofErr w:type="spellEnd"/>
      <w:r w:rsidRPr="00B529BA">
        <w:rPr>
          <w:rFonts w:ascii="Book Antiqua" w:eastAsia="SimSun" w:hAnsi="Book Antiqua" w:cs="Times New Roman"/>
          <w:kern w:val="2"/>
          <w:lang w:eastAsia="zh-CN"/>
        </w:rPr>
        <w:t xml:space="preserve"> I, Alvarez L, Pons F, </w:t>
      </w:r>
      <w:proofErr w:type="spellStart"/>
      <w:r w:rsidRPr="00B529BA">
        <w:rPr>
          <w:rFonts w:ascii="Book Antiqua" w:eastAsia="SimSun" w:hAnsi="Book Antiqua" w:cs="Times New Roman"/>
          <w:kern w:val="2"/>
          <w:lang w:eastAsia="zh-CN"/>
        </w:rPr>
        <w:t>Caballería</w:t>
      </w:r>
      <w:proofErr w:type="spellEnd"/>
      <w:r w:rsidRPr="00B529BA">
        <w:rPr>
          <w:rFonts w:ascii="Book Antiqua" w:eastAsia="SimSun" w:hAnsi="Book Antiqua" w:cs="Times New Roman"/>
          <w:kern w:val="2"/>
          <w:lang w:eastAsia="zh-CN"/>
        </w:rPr>
        <w:t xml:space="preserve"> L, </w:t>
      </w:r>
      <w:proofErr w:type="spellStart"/>
      <w:r w:rsidRPr="00B529BA">
        <w:rPr>
          <w:rFonts w:ascii="Book Antiqua" w:eastAsia="SimSun" w:hAnsi="Book Antiqua" w:cs="Times New Roman"/>
          <w:kern w:val="2"/>
          <w:lang w:eastAsia="zh-CN"/>
        </w:rPr>
        <w:t>Monegal</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Martínez</w:t>
      </w:r>
      <w:proofErr w:type="spellEnd"/>
      <w:r w:rsidRPr="00B529BA">
        <w:rPr>
          <w:rFonts w:ascii="Book Antiqua" w:eastAsia="SimSun" w:hAnsi="Book Antiqua" w:cs="Times New Roman"/>
          <w:kern w:val="2"/>
          <w:lang w:eastAsia="zh-CN"/>
        </w:rPr>
        <w:t xml:space="preserve"> de </w:t>
      </w:r>
      <w:proofErr w:type="spellStart"/>
      <w:r w:rsidRPr="00B529BA">
        <w:rPr>
          <w:rFonts w:ascii="Book Antiqua" w:eastAsia="SimSun" w:hAnsi="Book Antiqua" w:cs="Times New Roman"/>
          <w:kern w:val="2"/>
          <w:lang w:eastAsia="zh-CN"/>
        </w:rPr>
        <w:t>Osaba</w:t>
      </w:r>
      <w:proofErr w:type="spellEnd"/>
      <w:r w:rsidRPr="00B529BA">
        <w:rPr>
          <w:rFonts w:ascii="Book Antiqua" w:eastAsia="SimSun" w:hAnsi="Book Antiqua" w:cs="Times New Roman"/>
          <w:kern w:val="2"/>
          <w:lang w:eastAsia="zh-CN"/>
        </w:rPr>
        <w:t xml:space="preserve"> MJ, Roca M, </w:t>
      </w:r>
      <w:proofErr w:type="spellStart"/>
      <w:r w:rsidRPr="00B529BA">
        <w:rPr>
          <w:rFonts w:ascii="Book Antiqua" w:eastAsia="SimSun" w:hAnsi="Book Antiqua" w:cs="Times New Roman"/>
          <w:kern w:val="2"/>
          <w:lang w:eastAsia="zh-CN"/>
        </w:rPr>
        <w:t>Peris</w:t>
      </w:r>
      <w:proofErr w:type="spellEnd"/>
      <w:r w:rsidRPr="00B529BA">
        <w:rPr>
          <w:rFonts w:ascii="Book Antiqua" w:eastAsia="SimSun" w:hAnsi="Book Antiqua" w:cs="Times New Roman"/>
          <w:kern w:val="2"/>
          <w:lang w:eastAsia="zh-CN"/>
        </w:rPr>
        <w:t xml:space="preserve"> P, </w:t>
      </w:r>
      <w:proofErr w:type="spellStart"/>
      <w:r w:rsidRPr="00B529BA">
        <w:rPr>
          <w:rFonts w:ascii="Book Antiqua" w:eastAsia="SimSun" w:hAnsi="Book Antiqua" w:cs="Times New Roman"/>
          <w:kern w:val="2"/>
          <w:lang w:eastAsia="zh-CN"/>
        </w:rPr>
        <w:t>Rodés</w:t>
      </w:r>
      <w:proofErr w:type="spellEnd"/>
      <w:r w:rsidRPr="00B529BA">
        <w:rPr>
          <w:rFonts w:ascii="Book Antiqua" w:eastAsia="SimSun" w:hAnsi="Book Antiqua" w:cs="Times New Roman"/>
          <w:kern w:val="2"/>
          <w:lang w:eastAsia="zh-CN"/>
        </w:rPr>
        <w:t xml:space="preserve"> J. Alendronate is more effective than etidronate for increasing bone mass in </w:t>
      </w:r>
      <w:proofErr w:type="spellStart"/>
      <w:r w:rsidRPr="00B529BA">
        <w:rPr>
          <w:rFonts w:ascii="Book Antiqua" w:eastAsia="SimSun" w:hAnsi="Book Antiqua" w:cs="Times New Roman"/>
          <w:kern w:val="2"/>
          <w:lang w:eastAsia="zh-CN"/>
        </w:rPr>
        <w:t>osteopenic</w:t>
      </w:r>
      <w:proofErr w:type="spellEnd"/>
      <w:r w:rsidRPr="00B529BA">
        <w:rPr>
          <w:rFonts w:ascii="Book Antiqua" w:eastAsia="SimSun" w:hAnsi="Book Antiqua" w:cs="Times New Roman"/>
          <w:kern w:val="2"/>
          <w:lang w:eastAsia="zh-CN"/>
        </w:rPr>
        <w:t xml:space="preserve"> patients with primary biliary cirrhosis. </w:t>
      </w:r>
      <w:r w:rsidRPr="00B529BA">
        <w:rPr>
          <w:rFonts w:ascii="Book Antiqua" w:eastAsia="SimSun" w:hAnsi="Book Antiqua" w:cs="Times New Roman"/>
          <w:i/>
          <w:kern w:val="2"/>
          <w:lang w:eastAsia="zh-CN"/>
        </w:rPr>
        <w:t xml:space="preserve">Am J </w:t>
      </w:r>
      <w:proofErr w:type="spellStart"/>
      <w:r w:rsidRPr="00B529BA">
        <w:rPr>
          <w:rFonts w:ascii="Book Antiqua" w:eastAsia="SimSun" w:hAnsi="Book Antiqua" w:cs="Times New Roman"/>
          <w:i/>
          <w:kern w:val="2"/>
          <w:lang w:eastAsia="zh-CN"/>
        </w:rPr>
        <w:t>Gastroenterol</w:t>
      </w:r>
      <w:proofErr w:type="spellEnd"/>
      <w:r w:rsidRPr="00B529BA">
        <w:rPr>
          <w:rFonts w:ascii="Book Antiqua" w:eastAsia="SimSun" w:hAnsi="Book Antiqua" w:cs="Times New Roman"/>
          <w:kern w:val="2"/>
          <w:lang w:eastAsia="zh-CN"/>
        </w:rPr>
        <w:t xml:space="preserve"> 2003; </w:t>
      </w:r>
      <w:r w:rsidRPr="00B529BA">
        <w:rPr>
          <w:rFonts w:ascii="Book Antiqua" w:eastAsia="SimSun" w:hAnsi="Book Antiqua" w:cs="Times New Roman"/>
          <w:b/>
          <w:kern w:val="2"/>
          <w:lang w:eastAsia="zh-CN"/>
        </w:rPr>
        <w:t>98</w:t>
      </w:r>
      <w:r w:rsidRPr="00B529BA">
        <w:rPr>
          <w:rFonts w:ascii="Book Antiqua" w:eastAsia="SimSun" w:hAnsi="Book Antiqua" w:cs="Times New Roman"/>
          <w:kern w:val="2"/>
          <w:lang w:eastAsia="zh-CN"/>
        </w:rPr>
        <w:t>: 2268-2274 [PMID: 14572578 DOI: 10.1016/S0002-9270(03)00550-1]</w:t>
      </w:r>
    </w:p>
    <w:p w14:paraId="635EC502"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46 </w:t>
      </w:r>
      <w:proofErr w:type="spellStart"/>
      <w:r w:rsidRPr="00B529BA">
        <w:rPr>
          <w:rFonts w:ascii="Book Antiqua" w:eastAsia="SimSun" w:hAnsi="Book Antiqua" w:cs="Times New Roman"/>
          <w:b/>
          <w:kern w:val="2"/>
          <w:lang w:eastAsia="zh-CN"/>
        </w:rPr>
        <w:t>Guañabens</w:t>
      </w:r>
      <w:proofErr w:type="spellEnd"/>
      <w:r w:rsidRPr="00B529BA">
        <w:rPr>
          <w:rFonts w:ascii="Book Antiqua" w:eastAsia="SimSun" w:hAnsi="Book Antiqua" w:cs="Times New Roman"/>
          <w:b/>
          <w:kern w:val="2"/>
          <w:lang w:eastAsia="zh-CN"/>
        </w:rPr>
        <w:t xml:space="preserve"> N</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Monegal</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Cerdá</w:t>
      </w:r>
      <w:proofErr w:type="spellEnd"/>
      <w:r w:rsidRPr="00B529BA">
        <w:rPr>
          <w:rFonts w:ascii="Book Antiqua" w:eastAsia="SimSun" w:hAnsi="Book Antiqua" w:cs="Times New Roman"/>
          <w:kern w:val="2"/>
          <w:lang w:eastAsia="zh-CN"/>
        </w:rPr>
        <w:t xml:space="preserve"> D, </w:t>
      </w:r>
      <w:proofErr w:type="spellStart"/>
      <w:r w:rsidRPr="00B529BA">
        <w:rPr>
          <w:rFonts w:ascii="Book Antiqua" w:eastAsia="SimSun" w:hAnsi="Book Antiqua" w:cs="Times New Roman"/>
          <w:kern w:val="2"/>
          <w:lang w:eastAsia="zh-CN"/>
        </w:rPr>
        <w:t>Muxí</w:t>
      </w:r>
      <w:proofErr w:type="spellEnd"/>
      <w:r w:rsidRPr="00B529BA">
        <w:rPr>
          <w:rFonts w:ascii="Book Antiqua" w:eastAsia="SimSun" w:hAnsi="Book Antiqua" w:cs="Times New Roman"/>
          <w:kern w:val="2"/>
          <w:lang w:eastAsia="zh-CN"/>
        </w:rPr>
        <w:t xml:space="preserve"> Á, </w:t>
      </w:r>
      <w:proofErr w:type="spellStart"/>
      <w:r w:rsidRPr="00B529BA">
        <w:rPr>
          <w:rFonts w:ascii="Book Antiqua" w:eastAsia="SimSun" w:hAnsi="Book Antiqua" w:cs="Times New Roman"/>
          <w:kern w:val="2"/>
          <w:lang w:eastAsia="zh-CN"/>
        </w:rPr>
        <w:t>Gifre</w:t>
      </w:r>
      <w:proofErr w:type="spellEnd"/>
      <w:r w:rsidRPr="00B529BA">
        <w:rPr>
          <w:rFonts w:ascii="Book Antiqua" w:eastAsia="SimSun" w:hAnsi="Book Antiqua" w:cs="Times New Roman"/>
          <w:kern w:val="2"/>
          <w:lang w:eastAsia="zh-CN"/>
        </w:rPr>
        <w:t xml:space="preserve"> L, </w:t>
      </w:r>
      <w:proofErr w:type="spellStart"/>
      <w:r w:rsidRPr="00B529BA">
        <w:rPr>
          <w:rFonts w:ascii="Book Antiqua" w:eastAsia="SimSun" w:hAnsi="Book Antiqua" w:cs="Times New Roman"/>
          <w:kern w:val="2"/>
          <w:lang w:eastAsia="zh-CN"/>
        </w:rPr>
        <w:t>Peris</w:t>
      </w:r>
      <w:proofErr w:type="spellEnd"/>
      <w:r w:rsidRPr="00B529BA">
        <w:rPr>
          <w:rFonts w:ascii="Book Antiqua" w:eastAsia="SimSun" w:hAnsi="Book Antiqua" w:cs="Times New Roman"/>
          <w:kern w:val="2"/>
          <w:lang w:eastAsia="zh-CN"/>
        </w:rPr>
        <w:t xml:space="preserve"> P, </w:t>
      </w:r>
      <w:proofErr w:type="spellStart"/>
      <w:r w:rsidRPr="00B529BA">
        <w:rPr>
          <w:rFonts w:ascii="Book Antiqua" w:eastAsia="SimSun" w:hAnsi="Book Antiqua" w:cs="Times New Roman"/>
          <w:kern w:val="2"/>
          <w:lang w:eastAsia="zh-CN"/>
        </w:rPr>
        <w:t>Parés</w:t>
      </w:r>
      <w:proofErr w:type="spellEnd"/>
      <w:r w:rsidRPr="00B529BA">
        <w:rPr>
          <w:rFonts w:ascii="Book Antiqua" w:eastAsia="SimSun" w:hAnsi="Book Antiqua" w:cs="Times New Roman"/>
          <w:kern w:val="2"/>
          <w:lang w:eastAsia="zh-CN"/>
        </w:rPr>
        <w:t xml:space="preserve"> A. Randomized trial comparing monthly ibandronate and weekly alendronate for osteoporosis in patients with primary biliary cirrhosis. </w:t>
      </w:r>
      <w:r w:rsidRPr="00B529BA">
        <w:rPr>
          <w:rFonts w:ascii="Book Antiqua" w:eastAsia="SimSun" w:hAnsi="Book Antiqua" w:cs="Times New Roman"/>
          <w:i/>
          <w:kern w:val="2"/>
          <w:lang w:eastAsia="zh-CN"/>
        </w:rPr>
        <w:t>Hepatology</w:t>
      </w:r>
      <w:r w:rsidRPr="00B529BA">
        <w:rPr>
          <w:rFonts w:ascii="Book Antiqua" w:eastAsia="SimSun" w:hAnsi="Book Antiqua" w:cs="Times New Roman"/>
          <w:kern w:val="2"/>
          <w:lang w:eastAsia="zh-CN"/>
        </w:rPr>
        <w:t xml:space="preserve"> 2013; </w:t>
      </w:r>
      <w:r w:rsidRPr="00B529BA">
        <w:rPr>
          <w:rFonts w:ascii="Book Antiqua" w:eastAsia="SimSun" w:hAnsi="Book Antiqua" w:cs="Times New Roman"/>
          <w:b/>
          <w:kern w:val="2"/>
          <w:lang w:eastAsia="zh-CN"/>
        </w:rPr>
        <w:t>58</w:t>
      </w:r>
      <w:r w:rsidRPr="00B529BA">
        <w:rPr>
          <w:rFonts w:ascii="Book Antiqua" w:eastAsia="SimSun" w:hAnsi="Book Antiqua" w:cs="Times New Roman"/>
          <w:kern w:val="2"/>
          <w:lang w:eastAsia="zh-CN"/>
        </w:rPr>
        <w:t>: 2070-2078 [PMID: 23686738 DOI: 10.1002/hep.26466]</w:t>
      </w:r>
    </w:p>
    <w:p w14:paraId="45B8D1CA"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47 </w:t>
      </w:r>
      <w:r w:rsidRPr="00B529BA">
        <w:rPr>
          <w:rFonts w:ascii="Book Antiqua" w:eastAsia="SimSun" w:hAnsi="Book Antiqua" w:cs="Times New Roman"/>
          <w:b/>
          <w:kern w:val="2"/>
          <w:lang w:eastAsia="zh-CN"/>
        </w:rPr>
        <w:t xml:space="preserve">El </w:t>
      </w:r>
      <w:proofErr w:type="spellStart"/>
      <w:r w:rsidRPr="00B529BA">
        <w:rPr>
          <w:rFonts w:ascii="Book Antiqua" w:eastAsia="SimSun" w:hAnsi="Book Antiqua" w:cs="Times New Roman"/>
          <w:b/>
          <w:kern w:val="2"/>
          <w:lang w:eastAsia="zh-CN"/>
        </w:rPr>
        <w:t>Dareer</w:t>
      </w:r>
      <w:proofErr w:type="spellEnd"/>
      <w:r w:rsidRPr="00B529BA">
        <w:rPr>
          <w:rFonts w:ascii="Book Antiqua" w:eastAsia="SimSun" w:hAnsi="Book Antiqua" w:cs="Times New Roman"/>
          <w:b/>
          <w:kern w:val="2"/>
          <w:lang w:eastAsia="zh-CN"/>
        </w:rPr>
        <w:t xml:space="preserve"> SM</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Tillery</w:t>
      </w:r>
      <w:proofErr w:type="spellEnd"/>
      <w:r w:rsidRPr="00B529BA">
        <w:rPr>
          <w:rFonts w:ascii="Book Antiqua" w:eastAsia="SimSun" w:hAnsi="Book Antiqua" w:cs="Times New Roman"/>
          <w:kern w:val="2"/>
          <w:lang w:eastAsia="zh-CN"/>
        </w:rPr>
        <w:t xml:space="preserve"> KF, Hill DL. Disposition of 5-methyltetrahydrohomofolate in mice, dogs, and monkeys. </w:t>
      </w:r>
      <w:r w:rsidRPr="00B529BA">
        <w:rPr>
          <w:rFonts w:ascii="Book Antiqua" w:eastAsia="SimSun" w:hAnsi="Book Antiqua" w:cs="Times New Roman"/>
          <w:i/>
          <w:kern w:val="2"/>
          <w:lang w:eastAsia="zh-CN"/>
        </w:rPr>
        <w:t>Cancer Treat Rep</w:t>
      </w:r>
      <w:r w:rsidRPr="00B529BA">
        <w:rPr>
          <w:rFonts w:ascii="Book Antiqua" w:eastAsia="SimSun" w:hAnsi="Book Antiqua" w:cs="Times New Roman"/>
          <w:kern w:val="2"/>
          <w:lang w:eastAsia="zh-CN"/>
        </w:rPr>
        <w:t xml:space="preserve"> 1979; </w:t>
      </w:r>
      <w:r w:rsidRPr="00B529BA">
        <w:rPr>
          <w:rFonts w:ascii="Book Antiqua" w:eastAsia="SimSun" w:hAnsi="Book Antiqua" w:cs="Times New Roman"/>
          <w:b/>
          <w:kern w:val="2"/>
          <w:lang w:eastAsia="zh-CN"/>
        </w:rPr>
        <w:t>63</w:t>
      </w:r>
      <w:r w:rsidRPr="00B529BA">
        <w:rPr>
          <w:rFonts w:ascii="Book Antiqua" w:eastAsia="SimSun" w:hAnsi="Book Antiqua" w:cs="Times New Roman"/>
          <w:kern w:val="2"/>
          <w:lang w:eastAsia="zh-CN"/>
        </w:rPr>
        <w:t>: 201-207 [PMID: 109197 DOI: 10.1056/NEJM199005033221803]</w:t>
      </w:r>
    </w:p>
    <w:p w14:paraId="5E551A15"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48 </w:t>
      </w:r>
      <w:proofErr w:type="spellStart"/>
      <w:r w:rsidRPr="00B529BA">
        <w:rPr>
          <w:rFonts w:ascii="Book Antiqua" w:eastAsia="SimSun" w:hAnsi="Book Antiqua" w:cs="Times New Roman"/>
          <w:b/>
          <w:kern w:val="2"/>
          <w:lang w:eastAsia="zh-CN"/>
        </w:rPr>
        <w:t>Hillard</w:t>
      </w:r>
      <w:proofErr w:type="spellEnd"/>
      <w:r w:rsidRPr="00B529BA">
        <w:rPr>
          <w:rFonts w:ascii="Book Antiqua" w:eastAsia="SimSun" w:hAnsi="Book Antiqua" w:cs="Times New Roman"/>
          <w:b/>
          <w:kern w:val="2"/>
          <w:lang w:eastAsia="zh-CN"/>
        </w:rPr>
        <w:t xml:space="preserve"> TC</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Whitcroft</w:t>
      </w:r>
      <w:proofErr w:type="spellEnd"/>
      <w:r w:rsidRPr="00B529BA">
        <w:rPr>
          <w:rFonts w:ascii="Book Antiqua" w:eastAsia="SimSun" w:hAnsi="Book Antiqua" w:cs="Times New Roman"/>
          <w:kern w:val="2"/>
          <w:lang w:eastAsia="zh-CN"/>
        </w:rPr>
        <w:t xml:space="preserve"> SJ, Marsh MS, </w:t>
      </w:r>
      <w:proofErr w:type="spellStart"/>
      <w:r w:rsidRPr="00B529BA">
        <w:rPr>
          <w:rFonts w:ascii="Book Antiqua" w:eastAsia="SimSun" w:hAnsi="Book Antiqua" w:cs="Times New Roman"/>
          <w:kern w:val="2"/>
          <w:lang w:eastAsia="zh-CN"/>
        </w:rPr>
        <w:t>Ellerington</w:t>
      </w:r>
      <w:proofErr w:type="spellEnd"/>
      <w:r w:rsidRPr="00B529BA">
        <w:rPr>
          <w:rFonts w:ascii="Book Antiqua" w:eastAsia="SimSun" w:hAnsi="Book Antiqua" w:cs="Times New Roman"/>
          <w:kern w:val="2"/>
          <w:lang w:eastAsia="zh-CN"/>
        </w:rPr>
        <w:t xml:space="preserve"> MC, Lees B, Whitehead MI, Stevenson JC. Long-term effects of transdermal and oral hormone replacement therapy on postmenopausal bone loss. </w:t>
      </w:r>
      <w:proofErr w:type="spellStart"/>
      <w:r w:rsidRPr="00B529BA">
        <w:rPr>
          <w:rFonts w:ascii="Book Antiqua" w:eastAsia="SimSun" w:hAnsi="Book Antiqua" w:cs="Times New Roman"/>
          <w:i/>
          <w:kern w:val="2"/>
          <w:lang w:eastAsia="zh-CN"/>
        </w:rPr>
        <w:t>Osteoporos</w:t>
      </w:r>
      <w:proofErr w:type="spellEnd"/>
      <w:r w:rsidRPr="00B529BA">
        <w:rPr>
          <w:rFonts w:ascii="Book Antiqua" w:eastAsia="SimSun" w:hAnsi="Book Antiqua" w:cs="Times New Roman"/>
          <w:i/>
          <w:kern w:val="2"/>
          <w:lang w:eastAsia="zh-CN"/>
        </w:rPr>
        <w:t xml:space="preserve"> </w:t>
      </w:r>
      <w:proofErr w:type="spellStart"/>
      <w:r w:rsidRPr="00B529BA">
        <w:rPr>
          <w:rFonts w:ascii="Book Antiqua" w:eastAsia="SimSun" w:hAnsi="Book Antiqua" w:cs="Times New Roman"/>
          <w:i/>
          <w:kern w:val="2"/>
          <w:lang w:eastAsia="zh-CN"/>
        </w:rPr>
        <w:t>Int</w:t>
      </w:r>
      <w:proofErr w:type="spellEnd"/>
      <w:r w:rsidRPr="00B529BA">
        <w:rPr>
          <w:rFonts w:ascii="Book Antiqua" w:eastAsia="SimSun" w:hAnsi="Book Antiqua" w:cs="Times New Roman"/>
          <w:kern w:val="2"/>
          <w:lang w:eastAsia="zh-CN"/>
        </w:rPr>
        <w:t xml:space="preserve"> 1994; </w:t>
      </w:r>
      <w:r w:rsidRPr="00B529BA">
        <w:rPr>
          <w:rFonts w:ascii="Book Antiqua" w:eastAsia="SimSun" w:hAnsi="Book Antiqua" w:cs="Times New Roman"/>
          <w:b/>
          <w:kern w:val="2"/>
          <w:lang w:eastAsia="zh-CN"/>
        </w:rPr>
        <w:t>4</w:t>
      </w:r>
      <w:r w:rsidRPr="00B529BA">
        <w:rPr>
          <w:rFonts w:ascii="Book Antiqua" w:eastAsia="SimSun" w:hAnsi="Book Antiqua" w:cs="Times New Roman"/>
          <w:kern w:val="2"/>
          <w:lang w:eastAsia="zh-CN"/>
        </w:rPr>
        <w:t>: 341-348 [PMID: 7696830]</w:t>
      </w:r>
    </w:p>
    <w:p w14:paraId="01D68075"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49 </w:t>
      </w:r>
      <w:r w:rsidRPr="00B529BA">
        <w:rPr>
          <w:rFonts w:ascii="Book Antiqua" w:eastAsia="SimSun" w:hAnsi="Book Antiqua" w:cs="Times New Roman"/>
          <w:b/>
          <w:kern w:val="2"/>
          <w:lang w:eastAsia="zh-CN"/>
        </w:rPr>
        <w:t>Olsson R</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Mattsson</w:t>
      </w:r>
      <w:proofErr w:type="spellEnd"/>
      <w:r w:rsidRPr="00B529BA">
        <w:rPr>
          <w:rFonts w:ascii="Book Antiqua" w:eastAsia="SimSun" w:hAnsi="Book Antiqua" w:cs="Times New Roman"/>
          <w:kern w:val="2"/>
          <w:lang w:eastAsia="zh-CN"/>
        </w:rPr>
        <w:t xml:space="preserve"> LA, </w:t>
      </w:r>
      <w:proofErr w:type="spellStart"/>
      <w:r w:rsidRPr="00B529BA">
        <w:rPr>
          <w:rFonts w:ascii="Book Antiqua" w:eastAsia="SimSun" w:hAnsi="Book Antiqua" w:cs="Times New Roman"/>
          <w:kern w:val="2"/>
          <w:lang w:eastAsia="zh-CN"/>
        </w:rPr>
        <w:t>Obrant</w:t>
      </w:r>
      <w:proofErr w:type="spellEnd"/>
      <w:r w:rsidRPr="00B529BA">
        <w:rPr>
          <w:rFonts w:ascii="Book Antiqua" w:eastAsia="SimSun" w:hAnsi="Book Antiqua" w:cs="Times New Roman"/>
          <w:kern w:val="2"/>
          <w:lang w:eastAsia="zh-CN"/>
        </w:rPr>
        <w:t xml:space="preserve"> K, </w:t>
      </w:r>
      <w:proofErr w:type="spellStart"/>
      <w:r w:rsidRPr="00B529BA">
        <w:rPr>
          <w:rFonts w:ascii="Book Antiqua" w:eastAsia="SimSun" w:hAnsi="Book Antiqua" w:cs="Times New Roman"/>
          <w:kern w:val="2"/>
          <w:lang w:eastAsia="zh-CN"/>
        </w:rPr>
        <w:t>Mellström</w:t>
      </w:r>
      <w:proofErr w:type="spellEnd"/>
      <w:r w:rsidRPr="00B529BA">
        <w:rPr>
          <w:rFonts w:ascii="Book Antiqua" w:eastAsia="SimSun" w:hAnsi="Book Antiqua" w:cs="Times New Roman"/>
          <w:kern w:val="2"/>
          <w:lang w:eastAsia="zh-CN"/>
        </w:rPr>
        <w:t xml:space="preserve"> D. Estrogen-progestogen therapy for low bone mineral density in primary biliary cirrhosis. </w:t>
      </w:r>
      <w:r w:rsidRPr="00B529BA">
        <w:rPr>
          <w:rFonts w:ascii="Book Antiqua" w:eastAsia="SimSun" w:hAnsi="Book Antiqua" w:cs="Times New Roman"/>
          <w:i/>
          <w:kern w:val="2"/>
          <w:lang w:eastAsia="zh-CN"/>
        </w:rPr>
        <w:t>Liver</w:t>
      </w:r>
      <w:r w:rsidRPr="00B529BA">
        <w:rPr>
          <w:rFonts w:ascii="Book Antiqua" w:eastAsia="SimSun" w:hAnsi="Book Antiqua" w:cs="Times New Roman"/>
          <w:kern w:val="2"/>
          <w:lang w:eastAsia="zh-CN"/>
        </w:rPr>
        <w:t xml:space="preserve"> 1999; </w:t>
      </w:r>
      <w:r w:rsidRPr="00B529BA">
        <w:rPr>
          <w:rFonts w:ascii="Book Antiqua" w:eastAsia="SimSun" w:hAnsi="Book Antiqua" w:cs="Times New Roman"/>
          <w:b/>
          <w:kern w:val="2"/>
          <w:lang w:eastAsia="zh-CN"/>
        </w:rPr>
        <w:t>19</w:t>
      </w:r>
      <w:r w:rsidRPr="00B529BA">
        <w:rPr>
          <w:rFonts w:ascii="Book Antiqua" w:eastAsia="SimSun" w:hAnsi="Book Antiqua" w:cs="Times New Roman"/>
          <w:kern w:val="2"/>
          <w:lang w:eastAsia="zh-CN"/>
        </w:rPr>
        <w:t>: 188-192 [PMID: 10395037 DOI: 10.1111/j.1478-3231.1999.tb00034.x]</w:t>
      </w:r>
    </w:p>
    <w:p w14:paraId="1D0AC067"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50 </w:t>
      </w:r>
      <w:r w:rsidRPr="00B529BA">
        <w:rPr>
          <w:rFonts w:ascii="Book Antiqua" w:eastAsia="SimSun" w:hAnsi="Book Antiqua" w:cs="Times New Roman"/>
          <w:b/>
          <w:kern w:val="2"/>
          <w:lang w:eastAsia="zh-CN"/>
        </w:rPr>
        <w:t>Menon KV</w:t>
      </w:r>
      <w:r w:rsidRPr="00B529BA">
        <w:rPr>
          <w:rFonts w:ascii="Book Antiqua" w:eastAsia="SimSun" w:hAnsi="Book Antiqua" w:cs="Times New Roman"/>
          <w:kern w:val="2"/>
          <w:lang w:eastAsia="zh-CN"/>
        </w:rPr>
        <w:t xml:space="preserve">, Angulo P, </w:t>
      </w:r>
      <w:proofErr w:type="spellStart"/>
      <w:r w:rsidRPr="00B529BA">
        <w:rPr>
          <w:rFonts w:ascii="Book Antiqua" w:eastAsia="SimSun" w:hAnsi="Book Antiqua" w:cs="Times New Roman"/>
          <w:kern w:val="2"/>
          <w:lang w:eastAsia="zh-CN"/>
        </w:rPr>
        <w:t>Boe</w:t>
      </w:r>
      <w:proofErr w:type="spellEnd"/>
      <w:r w:rsidRPr="00B529BA">
        <w:rPr>
          <w:rFonts w:ascii="Book Antiqua" w:eastAsia="SimSun" w:hAnsi="Book Antiqua" w:cs="Times New Roman"/>
          <w:kern w:val="2"/>
          <w:lang w:eastAsia="zh-CN"/>
        </w:rPr>
        <w:t xml:space="preserve"> GM, </w:t>
      </w:r>
      <w:proofErr w:type="spellStart"/>
      <w:r w:rsidRPr="00B529BA">
        <w:rPr>
          <w:rFonts w:ascii="Book Antiqua" w:eastAsia="SimSun" w:hAnsi="Book Antiqua" w:cs="Times New Roman"/>
          <w:kern w:val="2"/>
          <w:lang w:eastAsia="zh-CN"/>
        </w:rPr>
        <w:t>Lindor</w:t>
      </w:r>
      <w:proofErr w:type="spellEnd"/>
      <w:r w:rsidRPr="00B529BA">
        <w:rPr>
          <w:rFonts w:ascii="Book Antiqua" w:eastAsia="SimSun" w:hAnsi="Book Antiqua" w:cs="Times New Roman"/>
          <w:kern w:val="2"/>
          <w:lang w:eastAsia="zh-CN"/>
        </w:rPr>
        <w:t xml:space="preserve"> KD. Safety and efficacy of estrogen therapy in preventing bone loss in primary biliary cirrhosis. </w:t>
      </w:r>
      <w:r w:rsidRPr="00B529BA">
        <w:rPr>
          <w:rFonts w:ascii="Book Antiqua" w:eastAsia="SimSun" w:hAnsi="Book Antiqua" w:cs="Times New Roman"/>
          <w:i/>
          <w:kern w:val="2"/>
          <w:lang w:eastAsia="zh-CN"/>
        </w:rPr>
        <w:t xml:space="preserve">Am J </w:t>
      </w:r>
      <w:proofErr w:type="spellStart"/>
      <w:r w:rsidRPr="00B529BA">
        <w:rPr>
          <w:rFonts w:ascii="Book Antiqua" w:eastAsia="SimSun" w:hAnsi="Book Antiqua" w:cs="Times New Roman"/>
          <w:i/>
          <w:kern w:val="2"/>
          <w:lang w:eastAsia="zh-CN"/>
        </w:rPr>
        <w:t>Gastroenterol</w:t>
      </w:r>
      <w:proofErr w:type="spellEnd"/>
      <w:r w:rsidRPr="00B529BA">
        <w:rPr>
          <w:rFonts w:ascii="Book Antiqua" w:eastAsia="SimSun" w:hAnsi="Book Antiqua" w:cs="Times New Roman"/>
          <w:kern w:val="2"/>
          <w:lang w:eastAsia="zh-CN"/>
        </w:rPr>
        <w:t xml:space="preserve"> 2003; </w:t>
      </w:r>
      <w:r w:rsidRPr="00B529BA">
        <w:rPr>
          <w:rFonts w:ascii="Book Antiqua" w:eastAsia="SimSun" w:hAnsi="Book Antiqua" w:cs="Times New Roman"/>
          <w:b/>
          <w:kern w:val="2"/>
          <w:lang w:eastAsia="zh-CN"/>
        </w:rPr>
        <w:t>98</w:t>
      </w:r>
      <w:r w:rsidRPr="00B529BA">
        <w:rPr>
          <w:rFonts w:ascii="Book Antiqua" w:eastAsia="SimSun" w:hAnsi="Book Antiqua" w:cs="Times New Roman"/>
          <w:kern w:val="2"/>
          <w:lang w:eastAsia="zh-CN"/>
        </w:rPr>
        <w:t>: 889-892 [PMID: 12738473 DOI: 10.1111/j.1572-0241.2003.07341.x]</w:t>
      </w:r>
    </w:p>
    <w:p w14:paraId="4083F63A"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lastRenderedPageBreak/>
        <w:t xml:space="preserve">51 </w:t>
      </w:r>
      <w:proofErr w:type="spellStart"/>
      <w:r w:rsidRPr="00B529BA">
        <w:rPr>
          <w:rFonts w:ascii="Book Antiqua" w:eastAsia="SimSun" w:hAnsi="Book Antiqua" w:cs="Times New Roman"/>
          <w:b/>
          <w:kern w:val="2"/>
          <w:lang w:eastAsia="zh-CN"/>
        </w:rPr>
        <w:t>Ormarsdóttir</w:t>
      </w:r>
      <w:proofErr w:type="spellEnd"/>
      <w:r w:rsidRPr="00B529BA">
        <w:rPr>
          <w:rFonts w:ascii="Book Antiqua" w:eastAsia="SimSun" w:hAnsi="Book Antiqua" w:cs="Times New Roman"/>
          <w:b/>
          <w:kern w:val="2"/>
          <w:lang w:eastAsia="zh-CN"/>
        </w:rPr>
        <w:t xml:space="preserve"> S</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Mallmin</w:t>
      </w:r>
      <w:proofErr w:type="spellEnd"/>
      <w:r w:rsidRPr="00B529BA">
        <w:rPr>
          <w:rFonts w:ascii="Book Antiqua" w:eastAsia="SimSun" w:hAnsi="Book Antiqua" w:cs="Times New Roman"/>
          <w:kern w:val="2"/>
          <w:lang w:eastAsia="zh-CN"/>
        </w:rPr>
        <w:t xml:space="preserve"> H, </w:t>
      </w:r>
      <w:proofErr w:type="spellStart"/>
      <w:r w:rsidRPr="00B529BA">
        <w:rPr>
          <w:rFonts w:ascii="Book Antiqua" w:eastAsia="SimSun" w:hAnsi="Book Antiqua" w:cs="Times New Roman"/>
          <w:kern w:val="2"/>
          <w:lang w:eastAsia="zh-CN"/>
        </w:rPr>
        <w:t>Naessén</w:t>
      </w:r>
      <w:proofErr w:type="spellEnd"/>
      <w:r w:rsidRPr="00B529BA">
        <w:rPr>
          <w:rFonts w:ascii="Book Antiqua" w:eastAsia="SimSun" w:hAnsi="Book Antiqua" w:cs="Times New Roman"/>
          <w:kern w:val="2"/>
          <w:lang w:eastAsia="zh-CN"/>
        </w:rPr>
        <w:t xml:space="preserve"> T, </w:t>
      </w:r>
      <w:proofErr w:type="spellStart"/>
      <w:r w:rsidRPr="00B529BA">
        <w:rPr>
          <w:rFonts w:ascii="Book Antiqua" w:eastAsia="SimSun" w:hAnsi="Book Antiqua" w:cs="Times New Roman"/>
          <w:kern w:val="2"/>
          <w:lang w:eastAsia="zh-CN"/>
        </w:rPr>
        <w:t>Petrén-Mallmin</w:t>
      </w:r>
      <w:proofErr w:type="spellEnd"/>
      <w:r w:rsidRPr="00B529BA">
        <w:rPr>
          <w:rFonts w:ascii="Book Antiqua" w:eastAsia="SimSun" w:hAnsi="Book Antiqua" w:cs="Times New Roman"/>
          <w:kern w:val="2"/>
          <w:lang w:eastAsia="zh-CN"/>
        </w:rPr>
        <w:t xml:space="preserve"> M, </w:t>
      </w:r>
      <w:proofErr w:type="spellStart"/>
      <w:r w:rsidRPr="00B529BA">
        <w:rPr>
          <w:rFonts w:ascii="Book Antiqua" w:eastAsia="SimSun" w:hAnsi="Book Antiqua" w:cs="Times New Roman"/>
          <w:kern w:val="2"/>
          <w:lang w:eastAsia="zh-CN"/>
        </w:rPr>
        <w:t>Broomé</w:t>
      </w:r>
      <w:proofErr w:type="spellEnd"/>
      <w:r w:rsidRPr="00B529BA">
        <w:rPr>
          <w:rFonts w:ascii="Book Antiqua" w:eastAsia="SimSun" w:hAnsi="Book Antiqua" w:cs="Times New Roman"/>
          <w:kern w:val="2"/>
          <w:lang w:eastAsia="zh-CN"/>
        </w:rPr>
        <w:t xml:space="preserve"> U, </w:t>
      </w:r>
      <w:proofErr w:type="spellStart"/>
      <w:r w:rsidRPr="00B529BA">
        <w:rPr>
          <w:rFonts w:ascii="Book Antiqua" w:eastAsia="SimSun" w:hAnsi="Book Antiqua" w:cs="Times New Roman"/>
          <w:kern w:val="2"/>
          <w:lang w:eastAsia="zh-CN"/>
        </w:rPr>
        <w:t>Hultcrantz</w:t>
      </w:r>
      <w:proofErr w:type="spellEnd"/>
      <w:r w:rsidRPr="00B529BA">
        <w:rPr>
          <w:rFonts w:ascii="Book Antiqua" w:eastAsia="SimSun" w:hAnsi="Book Antiqua" w:cs="Times New Roman"/>
          <w:kern w:val="2"/>
          <w:lang w:eastAsia="zh-CN"/>
        </w:rPr>
        <w:t xml:space="preserve"> R, </w:t>
      </w:r>
      <w:proofErr w:type="spellStart"/>
      <w:r w:rsidRPr="00B529BA">
        <w:rPr>
          <w:rFonts w:ascii="Book Antiqua" w:eastAsia="SimSun" w:hAnsi="Book Antiqua" w:cs="Times New Roman"/>
          <w:kern w:val="2"/>
          <w:lang w:eastAsia="zh-CN"/>
        </w:rPr>
        <w:t>Lööf</w:t>
      </w:r>
      <w:proofErr w:type="spellEnd"/>
      <w:r w:rsidRPr="00B529BA">
        <w:rPr>
          <w:rFonts w:ascii="Book Antiqua" w:eastAsia="SimSun" w:hAnsi="Book Antiqua" w:cs="Times New Roman"/>
          <w:kern w:val="2"/>
          <w:lang w:eastAsia="zh-CN"/>
        </w:rPr>
        <w:t xml:space="preserve"> L. An open, randomized, controlled study of transdermal hormone replacement therapy on the rate of bone loss in primary biliary cirrhosis. </w:t>
      </w:r>
      <w:r w:rsidRPr="00B529BA">
        <w:rPr>
          <w:rFonts w:ascii="Book Antiqua" w:eastAsia="SimSun" w:hAnsi="Book Antiqua" w:cs="Times New Roman"/>
          <w:i/>
          <w:kern w:val="2"/>
          <w:lang w:eastAsia="zh-CN"/>
        </w:rPr>
        <w:t>J Intern Med</w:t>
      </w:r>
      <w:r w:rsidRPr="00B529BA">
        <w:rPr>
          <w:rFonts w:ascii="Book Antiqua" w:eastAsia="SimSun" w:hAnsi="Book Antiqua" w:cs="Times New Roman"/>
          <w:kern w:val="2"/>
          <w:lang w:eastAsia="zh-CN"/>
        </w:rPr>
        <w:t xml:space="preserve"> 2004; </w:t>
      </w:r>
      <w:r w:rsidRPr="00B529BA">
        <w:rPr>
          <w:rFonts w:ascii="Book Antiqua" w:eastAsia="SimSun" w:hAnsi="Book Antiqua" w:cs="Times New Roman"/>
          <w:b/>
          <w:kern w:val="2"/>
          <w:lang w:eastAsia="zh-CN"/>
        </w:rPr>
        <w:t>256</w:t>
      </w:r>
      <w:r w:rsidRPr="00B529BA">
        <w:rPr>
          <w:rFonts w:ascii="Book Antiqua" w:eastAsia="SimSun" w:hAnsi="Book Antiqua" w:cs="Times New Roman"/>
          <w:kern w:val="2"/>
          <w:lang w:eastAsia="zh-CN"/>
        </w:rPr>
        <w:t>: 63-69 [PMID: 15189367 DOI: 10.1111/j.1365-2796.2004.01342.x]</w:t>
      </w:r>
    </w:p>
    <w:p w14:paraId="2189F281"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52 </w:t>
      </w:r>
      <w:r w:rsidRPr="00B529BA">
        <w:rPr>
          <w:rFonts w:ascii="Book Antiqua" w:eastAsia="SimSun" w:hAnsi="Book Antiqua" w:cs="Times New Roman"/>
          <w:b/>
          <w:kern w:val="2"/>
          <w:lang w:eastAsia="zh-CN"/>
        </w:rPr>
        <w:t>de Villiers TJ</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Gass</w:t>
      </w:r>
      <w:proofErr w:type="spellEnd"/>
      <w:r w:rsidRPr="00B529BA">
        <w:rPr>
          <w:rFonts w:ascii="Book Antiqua" w:eastAsia="SimSun" w:hAnsi="Book Antiqua" w:cs="Times New Roman"/>
          <w:kern w:val="2"/>
          <w:lang w:eastAsia="zh-CN"/>
        </w:rPr>
        <w:t xml:space="preserve"> ML, Haines CJ, Hall JE, Lobo RA, </w:t>
      </w:r>
      <w:proofErr w:type="spellStart"/>
      <w:r w:rsidRPr="00B529BA">
        <w:rPr>
          <w:rFonts w:ascii="Book Antiqua" w:eastAsia="SimSun" w:hAnsi="Book Antiqua" w:cs="Times New Roman"/>
          <w:kern w:val="2"/>
          <w:lang w:eastAsia="zh-CN"/>
        </w:rPr>
        <w:t>Pierroz</w:t>
      </w:r>
      <w:proofErr w:type="spellEnd"/>
      <w:r w:rsidRPr="00B529BA">
        <w:rPr>
          <w:rFonts w:ascii="Book Antiqua" w:eastAsia="SimSun" w:hAnsi="Book Antiqua" w:cs="Times New Roman"/>
          <w:kern w:val="2"/>
          <w:lang w:eastAsia="zh-CN"/>
        </w:rPr>
        <w:t xml:space="preserve"> DD, Rees M. Global Consensus Statement on menopausal hormone therapy. </w:t>
      </w:r>
      <w:proofErr w:type="spellStart"/>
      <w:r w:rsidRPr="00B529BA">
        <w:rPr>
          <w:rFonts w:ascii="Book Antiqua" w:eastAsia="SimSun" w:hAnsi="Book Antiqua" w:cs="Times New Roman"/>
          <w:i/>
          <w:kern w:val="2"/>
          <w:lang w:eastAsia="zh-CN"/>
        </w:rPr>
        <w:t>Maturitas</w:t>
      </w:r>
      <w:proofErr w:type="spellEnd"/>
      <w:r w:rsidRPr="00B529BA">
        <w:rPr>
          <w:rFonts w:ascii="Book Antiqua" w:eastAsia="SimSun" w:hAnsi="Book Antiqua" w:cs="Times New Roman"/>
          <w:kern w:val="2"/>
          <w:lang w:eastAsia="zh-CN"/>
        </w:rPr>
        <w:t xml:space="preserve"> 2013; </w:t>
      </w:r>
      <w:r w:rsidRPr="00B529BA">
        <w:rPr>
          <w:rFonts w:ascii="Book Antiqua" w:eastAsia="SimSun" w:hAnsi="Book Antiqua" w:cs="Times New Roman"/>
          <w:b/>
          <w:kern w:val="2"/>
          <w:lang w:eastAsia="zh-CN"/>
        </w:rPr>
        <w:t>74</w:t>
      </w:r>
      <w:r w:rsidRPr="00B529BA">
        <w:rPr>
          <w:rFonts w:ascii="Book Antiqua" w:eastAsia="SimSun" w:hAnsi="Book Antiqua" w:cs="Times New Roman"/>
          <w:kern w:val="2"/>
          <w:lang w:eastAsia="zh-CN"/>
        </w:rPr>
        <w:t>: 391-392 [PMID: 23497918 DOI: 10.1016/j.maturitas.2013.02.001]</w:t>
      </w:r>
    </w:p>
    <w:p w14:paraId="4428F3C3"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53 </w:t>
      </w:r>
      <w:proofErr w:type="spellStart"/>
      <w:r w:rsidRPr="00B529BA">
        <w:rPr>
          <w:rFonts w:ascii="Book Antiqua" w:eastAsia="SimSun" w:hAnsi="Book Antiqua" w:cs="Times New Roman"/>
          <w:b/>
          <w:kern w:val="2"/>
          <w:lang w:eastAsia="zh-CN"/>
        </w:rPr>
        <w:t>Camisasca</w:t>
      </w:r>
      <w:proofErr w:type="spellEnd"/>
      <w:r w:rsidRPr="00B529BA">
        <w:rPr>
          <w:rFonts w:ascii="Book Antiqua" w:eastAsia="SimSun" w:hAnsi="Book Antiqua" w:cs="Times New Roman"/>
          <w:b/>
          <w:kern w:val="2"/>
          <w:lang w:eastAsia="zh-CN"/>
        </w:rPr>
        <w:t xml:space="preserve"> M</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Crosignani</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Battezzati</w:t>
      </w:r>
      <w:proofErr w:type="spellEnd"/>
      <w:r w:rsidRPr="00B529BA">
        <w:rPr>
          <w:rFonts w:ascii="Book Antiqua" w:eastAsia="SimSun" w:hAnsi="Book Antiqua" w:cs="Times New Roman"/>
          <w:kern w:val="2"/>
          <w:lang w:eastAsia="zh-CN"/>
        </w:rPr>
        <w:t xml:space="preserve"> PM, </w:t>
      </w:r>
      <w:proofErr w:type="spellStart"/>
      <w:r w:rsidRPr="00B529BA">
        <w:rPr>
          <w:rFonts w:ascii="Book Antiqua" w:eastAsia="SimSun" w:hAnsi="Book Antiqua" w:cs="Times New Roman"/>
          <w:kern w:val="2"/>
          <w:lang w:eastAsia="zh-CN"/>
        </w:rPr>
        <w:t>Albisetti</w:t>
      </w:r>
      <w:proofErr w:type="spellEnd"/>
      <w:r w:rsidRPr="00B529BA">
        <w:rPr>
          <w:rFonts w:ascii="Book Antiqua" w:eastAsia="SimSun" w:hAnsi="Book Antiqua" w:cs="Times New Roman"/>
          <w:kern w:val="2"/>
          <w:lang w:eastAsia="zh-CN"/>
        </w:rPr>
        <w:t xml:space="preserve"> W, </w:t>
      </w:r>
      <w:proofErr w:type="spellStart"/>
      <w:r w:rsidRPr="00B529BA">
        <w:rPr>
          <w:rFonts w:ascii="Book Antiqua" w:eastAsia="SimSun" w:hAnsi="Book Antiqua" w:cs="Times New Roman"/>
          <w:kern w:val="2"/>
          <w:lang w:eastAsia="zh-CN"/>
        </w:rPr>
        <w:t>Grandinetti</w:t>
      </w:r>
      <w:proofErr w:type="spellEnd"/>
      <w:r w:rsidRPr="00B529BA">
        <w:rPr>
          <w:rFonts w:ascii="Book Antiqua" w:eastAsia="SimSun" w:hAnsi="Book Antiqua" w:cs="Times New Roman"/>
          <w:kern w:val="2"/>
          <w:lang w:eastAsia="zh-CN"/>
        </w:rPr>
        <w:t xml:space="preserve"> G, </w:t>
      </w:r>
      <w:proofErr w:type="spellStart"/>
      <w:r w:rsidRPr="00B529BA">
        <w:rPr>
          <w:rFonts w:ascii="Book Antiqua" w:eastAsia="SimSun" w:hAnsi="Book Antiqua" w:cs="Times New Roman"/>
          <w:kern w:val="2"/>
          <w:lang w:eastAsia="zh-CN"/>
        </w:rPr>
        <w:t>Pietrogrande</w:t>
      </w:r>
      <w:proofErr w:type="spellEnd"/>
      <w:r w:rsidRPr="00B529BA">
        <w:rPr>
          <w:rFonts w:ascii="Book Antiqua" w:eastAsia="SimSun" w:hAnsi="Book Antiqua" w:cs="Times New Roman"/>
          <w:kern w:val="2"/>
          <w:lang w:eastAsia="zh-CN"/>
        </w:rPr>
        <w:t xml:space="preserve"> L, </w:t>
      </w:r>
      <w:proofErr w:type="spellStart"/>
      <w:r w:rsidRPr="00B529BA">
        <w:rPr>
          <w:rFonts w:ascii="Book Antiqua" w:eastAsia="SimSun" w:hAnsi="Book Antiqua" w:cs="Times New Roman"/>
          <w:kern w:val="2"/>
          <w:lang w:eastAsia="zh-CN"/>
        </w:rPr>
        <w:t>Biffi</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Zuin</w:t>
      </w:r>
      <w:proofErr w:type="spellEnd"/>
      <w:r w:rsidRPr="00B529BA">
        <w:rPr>
          <w:rFonts w:ascii="Book Antiqua" w:eastAsia="SimSun" w:hAnsi="Book Antiqua" w:cs="Times New Roman"/>
          <w:kern w:val="2"/>
          <w:lang w:eastAsia="zh-CN"/>
        </w:rPr>
        <w:t xml:space="preserve"> M, </w:t>
      </w:r>
      <w:proofErr w:type="spellStart"/>
      <w:r w:rsidRPr="00B529BA">
        <w:rPr>
          <w:rFonts w:ascii="Book Antiqua" w:eastAsia="SimSun" w:hAnsi="Book Antiqua" w:cs="Times New Roman"/>
          <w:kern w:val="2"/>
          <w:lang w:eastAsia="zh-CN"/>
        </w:rPr>
        <w:t>Podda</w:t>
      </w:r>
      <w:proofErr w:type="spellEnd"/>
      <w:r w:rsidRPr="00B529BA">
        <w:rPr>
          <w:rFonts w:ascii="Book Antiqua" w:eastAsia="SimSun" w:hAnsi="Book Antiqua" w:cs="Times New Roman"/>
          <w:kern w:val="2"/>
          <w:lang w:eastAsia="zh-CN"/>
        </w:rPr>
        <w:t xml:space="preserve"> M. Parenteral calcitonin for metabolic bone disease associated with primary biliary cirrhosis. </w:t>
      </w:r>
      <w:r w:rsidRPr="00B529BA">
        <w:rPr>
          <w:rFonts w:ascii="Book Antiqua" w:eastAsia="SimSun" w:hAnsi="Book Antiqua" w:cs="Times New Roman"/>
          <w:i/>
          <w:kern w:val="2"/>
          <w:lang w:eastAsia="zh-CN"/>
        </w:rPr>
        <w:t>Hepatology</w:t>
      </w:r>
      <w:r w:rsidRPr="00B529BA">
        <w:rPr>
          <w:rFonts w:ascii="Book Antiqua" w:eastAsia="SimSun" w:hAnsi="Book Antiqua" w:cs="Times New Roman"/>
          <w:kern w:val="2"/>
          <w:lang w:eastAsia="zh-CN"/>
        </w:rPr>
        <w:t xml:space="preserve"> 1994; </w:t>
      </w:r>
      <w:r w:rsidRPr="00B529BA">
        <w:rPr>
          <w:rFonts w:ascii="Book Antiqua" w:eastAsia="SimSun" w:hAnsi="Book Antiqua" w:cs="Times New Roman"/>
          <w:b/>
          <w:kern w:val="2"/>
          <w:lang w:eastAsia="zh-CN"/>
        </w:rPr>
        <w:t>20</w:t>
      </w:r>
      <w:r w:rsidRPr="00B529BA">
        <w:rPr>
          <w:rFonts w:ascii="Book Antiqua" w:eastAsia="SimSun" w:hAnsi="Book Antiqua" w:cs="Times New Roman"/>
          <w:kern w:val="2"/>
          <w:lang w:eastAsia="zh-CN"/>
        </w:rPr>
        <w:t>: 633-637 [PMID: 8076921]</w:t>
      </w:r>
    </w:p>
    <w:p w14:paraId="721C62D1"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54 </w:t>
      </w:r>
      <w:proofErr w:type="spellStart"/>
      <w:r w:rsidRPr="00B529BA">
        <w:rPr>
          <w:rFonts w:ascii="Book Antiqua" w:eastAsia="SimSun" w:hAnsi="Book Antiqua" w:cs="Times New Roman"/>
          <w:b/>
          <w:kern w:val="2"/>
          <w:lang w:eastAsia="zh-CN"/>
        </w:rPr>
        <w:t>Floreani</w:t>
      </w:r>
      <w:proofErr w:type="spellEnd"/>
      <w:r w:rsidRPr="00B529BA">
        <w:rPr>
          <w:rFonts w:ascii="Book Antiqua" w:eastAsia="SimSun" w:hAnsi="Book Antiqua" w:cs="Times New Roman"/>
          <w:b/>
          <w:kern w:val="2"/>
          <w:lang w:eastAsia="zh-CN"/>
        </w:rPr>
        <w:t xml:space="preserve"> A</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Chiaramonte</w:t>
      </w:r>
      <w:proofErr w:type="spellEnd"/>
      <w:r w:rsidRPr="00B529BA">
        <w:rPr>
          <w:rFonts w:ascii="Book Antiqua" w:eastAsia="SimSun" w:hAnsi="Book Antiqua" w:cs="Times New Roman"/>
          <w:kern w:val="2"/>
          <w:lang w:eastAsia="zh-CN"/>
        </w:rPr>
        <w:t xml:space="preserve"> M, </w:t>
      </w:r>
      <w:proofErr w:type="spellStart"/>
      <w:r w:rsidRPr="00B529BA">
        <w:rPr>
          <w:rFonts w:ascii="Book Antiqua" w:eastAsia="SimSun" w:hAnsi="Book Antiqua" w:cs="Times New Roman"/>
          <w:kern w:val="2"/>
          <w:lang w:eastAsia="zh-CN"/>
        </w:rPr>
        <w:t>Giannini</w:t>
      </w:r>
      <w:proofErr w:type="spellEnd"/>
      <w:r w:rsidRPr="00B529BA">
        <w:rPr>
          <w:rFonts w:ascii="Book Antiqua" w:eastAsia="SimSun" w:hAnsi="Book Antiqua" w:cs="Times New Roman"/>
          <w:kern w:val="2"/>
          <w:lang w:eastAsia="zh-CN"/>
        </w:rPr>
        <w:t xml:space="preserve"> S, </w:t>
      </w:r>
      <w:proofErr w:type="spellStart"/>
      <w:r w:rsidRPr="00B529BA">
        <w:rPr>
          <w:rFonts w:ascii="Book Antiqua" w:eastAsia="SimSun" w:hAnsi="Book Antiqua" w:cs="Times New Roman"/>
          <w:kern w:val="2"/>
          <w:lang w:eastAsia="zh-CN"/>
        </w:rPr>
        <w:t>Malvasi</w:t>
      </w:r>
      <w:proofErr w:type="spellEnd"/>
      <w:r w:rsidRPr="00B529BA">
        <w:rPr>
          <w:rFonts w:ascii="Book Antiqua" w:eastAsia="SimSun" w:hAnsi="Book Antiqua" w:cs="Times New Roman"/>
          <w:kern w:val="2"/>
          <w:lang w:eastAsia="zh-CN"/>
        </w:rPr>
        <w:t xml:space="preserve"> L, </w:t>
      </w:r>
      <w:proofErr w:type="spellStart"/>
      <w:r w:rsidRPr="00B529BA">
        <w:rPr>
          <w:rFonts w:ascii="Book Antiqua" w:eastAsia="SimSun" w:hAnsi="Book Antiqua" w:cs="Times New Roman"/>
          <w:kern w:val="2"/>
          <w:lang w:eastAsia="zh-CN"/>
        </w:rPr>
        <w:t>Lodetti</w:t>
      </w:r>
      <w:proofErr w:type="spellEnd"/>
      <w:r w:rsidRPr="00B529BA">
        <w:rPr>
          <w:rFonts w:ascii="Book Antiqua" w:eastAsia="SimSun" w:hAnsi="Book Antiqua" w:cs="Times New Roman"/>
          <w:kern w:val="2"/>
          <w:lang w:eastAsia="zh-CN"/>
        </w:rPr>
        <w:t xml:space="preserve"> MG, </w:t>
      </w:r>
      <w:proofErr w:type="spellStart"/>
      <w:r w:rsidRPr="00B529BA">
        <w:rPr>
          <w:rFonts w:ascii="Book Antiqua" w:eastAsia="SimSun" w:hAnsi="Book Antiqua" w:cs="Times New Roman"/>
          <w:kern w:val="2"/>
          <w:lang w:eastAsia="zh-CN"/>
        </w:rPr>
        <w:t>Castrignano</w:t>
      </w:r>
      <w:proofErr w:type="spellEnd"/>
      <w:r w:rsidRPr="00B529BA">
        <w:rPr>
          <w:rFonts w:ascii="Book Antiqua" w:eastAsia="SimSun" w:hAnsi="Book Antiqua" w:cs="Times New Roman"/>
          <w:kern w:val="2"/>
          <w:lang w:eastAsia="zh-CN"/>
        </w:rPr>
        <w:t xml:space="preserve"> R, Giacomini A, D'Angelo A, </w:t>
      </w:r>
      <w:proofErr w:type="spellStart"/>
      <w:r w:rsidRPr="00B529BA">
        <w:rPr>
          <w:rFonts w:ascii="Book Antiqua" w:eastAsia="SimSun" w:hAnsi="Book Antiqua" w:cs="Times New Roman"/>
          <w:kern w:val="2"/>
          <w:lang w:eastAsia="zh-CN"/>
        </w:rPr>
        <w:t>Naccarato</w:t>
      </w:r>
      <w:proofErr w:type="spellEnd"/>
      <w:r w:rsidRPr="00B529BA">
        <w:rPr>
          <w:rFonts w:ascii="Book Antiqua" w:eastAsia="SimSun" w:hAnsi="Book Antiqua" w:cs="Times New Roman"/>
          <w:kern w:val="2"/>
          <w:lang w:eastAsia="zh-CN"/>
        </w:rPr>
        <w:t xml:space="preserve"> R. Longitudinal study on osteodystrophy in primary biliary cirrhosis (PBC) and a pilot study on calcitonin treatment. </w:t>
      </w:r>
      <w:r w:rsidRPr="00B529BA">
        <w:rPr>
          <w:rFonts w:ascii="Book Antiqua" w:eastAsia="SimSun" w:hAnsi="Book Antiqua" w:cs="Times New Roman"/>
          <w:i/>
          <w:kern w:val="2"/>
          <w:lang w:eastAsia="zh-CN"/>
        </w:rPr>
        <w:t xml:space="preserve">J </w:t>
      </w:r>
      <w:proofErr w:type="spellStart"/>
      <w:r w:rsidRPr="00B529BA">
        <w:rPr>
          <w:rFonts w:ascii="Book Antiqua" w:eastAsia="SimSun" w:hAnsi="Book Antiqua" w:cs="Times New Roman"/>
          <w:i/>
          <w:kern w:val="2"/>
          <w:lang w:eastAsia="zh-CN"/>
        </w:rPr>
        <w:t>Hepatol</w:t>
      </w:r>
      <w:proofErr w:type="spellEnd"/>
      <w:r w:rsidRPr="00B529BA">
        <w:rPr>
          <w:rFonts w:ascii="Book Antiqua" w:eastAsia="SimSun" w:hAnsi="Book Antiqua" w:cs="Times New Roman"/>
          <w:kern w:val="2"/>
          <w:lang w:eastAsia="zh-CN"/>
        </w:rPr>
        <w:t xml:space="preserve"> 1991; </w:t>
      </w:r>
      <w:r w:rsidRPr="00B529BA">
        <w:rPr>
          <w:rFonts w:ascii="Book Antiqua" w:eastAsia="SimSun" w:hAnsi="Book Antiqua" w:cs="Times New Roman"/>
          <w:b/>
          <w:kern w:val="2"/>
          <w:lang w:eastAsia="zh-CN"/>
        </w:rPr>
        <w:t>12</w:t>
      </w:r>
      <w:r w:rsidRPr="00B529BA">
        <w:rPr>
          <w:rFonts w:ascii="Book Antiqua" w:eastAsia="SimSun" w:hAnsi="Book Antiqua" w:cs="Times New Roman"/>
          <w:kern w:val="2"/>
          <w:lang w:eastAsia="zh-CN"/>
        </w:rPr>
        <w:t>: 217-223 [PMID: 2051000 DOI: 10.1016/0168-8278(91)90941-4]</w:t>
      </w:r>
    </w:p>
    <w:p w14:paraId="4607EA1B"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55 </w:t>
      </w:r>
      <w:proofErr w:type="spellStart"/>
      <w:r w:rsidRPr="00B529BA">
        <w:rPr>
          <w:rFonts w:ascii="Book Antiqua" w:eastAsia="SimSun" w:hAnsi="Book Antiqua" w:cs="Times New Roman"/>
          <w:b/>
          <w:kern w:val="2"/>
          <w:lang w:eastAsia="zh-CN"/>
        </w:rPr>
        <w:t>Floreani</w:t>
      </w:r>
      <w:proofErr w:type="spellEnd"/>
      <w:r w:rsidRPr="00B529BA">
        <w:rPr>
          <w:rFonts w:ascii="Book Antiqua" w:eastAsia="SimSun" w:hAnsi="Book Antiqua" w:cs="Times New Roman"/>
          <w:b/>
          <w:kern w:val="2"/>
          <w:lang w:eastAsia="zh-CN"/>
        </w:rPr>
        <w:t xml:space="preserve"> A</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Zappala</w:t>
      </w:r>
      <w:proofErr w:type="spellEnd"/>
      <w:r w:rsidRPr="00B529BA">
        <w:rPr>
          <w:rFonts w:ascii="Book Antiqua" w:eastAsia="SimSun" w:hAnsi="Book Antiqua" w:cs="Times New Roman"/>
          <w:kern w:val="2"/>
          <w:lang w:eastAsia="zh-CN"/>
        </w:rPr>
        <w:t xml:space="preserve"> F, Fries W, </w:t>
      </w:r>
      <w:proofErr w:type="spellStart"/>
      <w:r w:rsidRPr="00B529BA">
        <w:rPr>
          <w:rFonts w:ascii="Book Antiqua" w:eastAsia="SimSun" w:hAnsi="Book Antiqua" w:cs="Times New Roman"/>
          <w:kern w:val="2"/>
          <w:lang w:eastAsia="zh-CN"/>
        </w:rPr>
        <w:t>Naccarato</w:t>
      </w:r>
      <w:proofErr w:type="spellEnd"/>
      <w:r w:rsidRPr="00B529BA">
        <w:rPr>
          <w:rFonts w:ascii="Book Antiqua" w:eastAsia="SimSun" w:hAnsi="Book Antiqua" w:cs="Times New Roman"/>
          <w:kern w:val="2"/>
          <w:lang w:eastAsia="zh-CN"/>
        </w:rPr>
        <w:t xml:space="preserve"> R, </w:t>
      </w:r>
      <w:proofErr w:type="spellStart"/>
      <w:r w:rsidRPr="00B529BA">
        <w:rPr>
          <w:rFonts w:ascii="Book Antiqua" w:eastAsia="SimSun" w:hAnsi="Book Antiqua" w:cs="Times New Roman"/>
          <w:kern w:val="2"/>
          <w:lang w:eastAsia="zh-CN"/>
        </w:rPr>
        <w:t>Plebani</w:t>
      </w:r>
      <w:proofErr w:type="spellEnd"/>
      <w:r w:rsidRPr="00B529BA">
        <w:rPr>
          <w:rFonts w:ascii="Book Antiqua" w:eastAsia="SimSun" w:hAnsi="Book Antiqua" w:cs="Times New Roman"/>
          <w:kern w:val="2"/>
          <w:lang w:eastAsia="zh-CN"/>
        </w:rPr>
        <w:t xml:space="preserve"> M, D'Angelo A, </w:t>
      </w:r>
      <w:proofErr w:type="spellStart"/>
      <w:r w:rsidRPr="00B529BA">
        <w:rPr>
          <w:rFonts w:ascii="Book Antiqua" w:eastAsia="SimSun" w:hAnsi="Book Antiqua" w:cs="Times New Roman"/>
          <w:kern w:val="2"/>
          <w:lang w:eastAsia="zh-CN"/>
        </w:rPr>
        <w:t>Chiaramonte</w:t>
      </w:r>
      <w:proofErr w:type="spellEnd"/>
      <w:r w:rsidRPr="00B529BA">
        <w:rPr>
          <w:rFonts w:ascii="Book Antiqua" w:eastAsia="SimSun" w:hAnsi="Book Antiqua" w:cs="Times New Roman"/>
          <w:kern w:val="2"/>
          <w:lang w:eastAsia="zh-CN"/>
        </w:rPr>
        <w:t xml:space="preserve"> M. A 3-year pilot study with 1</w:t>
      </w:r>
      <w:proofErr w:type="gramStart"/>
      <w:r w:rsidRPr="00B529BA">
        <w:rPr>
          <w:rFonts w:ascii="Book Antiqua" w:eastAsia="SimSun" w:hAnsi="Book Antiqua" w:cs="Times New Roman"/>
          <w:kern w:val="2"/>
          <w:lang w:eastAsia="zh-CN"/>
        </w:rPr>
        <w:t>,25</w:t>
      </w:r>
      <w:proofErr w:type="gramEnd"/>
      <w:r w:rsidRPr="00B529BA">
        <w:rPr>
          <w:rFonts w:ascii="Book Antiqua" w:eastAsia="SimSun" w:hAnsi="Book Antiqua" w:cs="Times New Roman"/>
          <w:kern w:val="2"/>
          <w:lang w:eastAsia="zh-CN"/>
        </w:rPr>
        <w:t xml:space="preserve">-dihydroxyvitamin D, calcium, and calcitonin for severe osteodystrophy in primary biliary cirrhosis. </w:t>
      </w:r>
      <w:r w:rsidRPr="00B529BA">
        <w:rPr>
          <w:rFonts w:ascii="Book Antiqua" w:eastAsia="SimSun" w:hAnsi="Book Antiqua" w:cs="Times New Roman"/>
          <w:i/>
          <w:kern w:val="2"/>
          <w:lang w:eastAsia="zh-CN"/>
        </w:rPr>
        <w:t xml:space="preserve">J </w:t>
      </w:r>
      <w:proofErr w:type="spellStart"/>
      <w:r w:rsidRPr="00B529BA">
        <w:rPr>
          <w:rFonts w:ascii="Book Antiqua" w:eastAsia="SimSun" w:hAnsi="Book Antiqua" w:cs="Times New Roman"/>
          <w:i/>
          <w:kern w:val="2"/>
          <w:lang w:eastAsia="zh-CN"/>
        </w:rPr>
        <w:t>Clin</w:t>
      </w:r>
      <w:proofErr w:type="spellEnd"/>
      <w:r w:rsidRPr="00B529BA">
        <w:rPr>
          <w:rFonts w:ascii="Book Antiqua" w:eastAsia="SimSun" w:hAnsi="Book Antiqua" w:cs="Times New Roman"/>
          <w:i/>
          <w:kern w:val="2"/>
          <w:lang w:eastAsia="zh-CN"/>
        </w:rPr>
        <w:t xml:space="preserve"> </w:t>
      </w:r>
      <w:proofErr w:type="spellStart"/>
      <w:r w:rsidRPr="00B529BA">
        <w:rPr>
          <w:rFonts w:ascii="Book Antiqua" w:eastAsia="SimSun" w:hAnsi="Book Antiqua" w:cs="Times New Roman"/>
          <w:i/>
          <w:kern w:val="2"/>
          <w:lang w:eastAsia="zh-CN"/>
        </w:rPr>
        <w:t>Gastroenterol</w:t>
      </w:r>
      <w:proofErr w:type="spellEnd"/>
      <w:r w:rsidRPr="00B529BA">
        <w:rPr>
          <w:rFonts w:ascii="Book Antiqua" w:eastAsia="SimSun" w:hAnsi="Book Antiqua" w:cs="Times New Roman"/>
          <w:kern w:val="2"/>
          <w:lang w:eastAsia="zh-CN"/>
        </w:rPr>
        <w:t xml:space="preserve"> 1997; </w:t>
      </w:r>
      <w:r w:rsidRPr="00B529BA">
        <w:rPr>
          <w:rFonts w:ascii="Book Antiqua" w:eastAsia="SimSun" w:hAnsi="Book Antiqua" w:cs="Times New Roman"/>
          <w:b/>
          <w:kern w:val="2"/>
          <w:lang w:eastAsia="zh-CN"/>
        </w:rPr>
        <w:t>24</w:t>
      </w:r>
      <w:r w:rsidRPr="00B529BA">
        <w:rPr>
          <w:rFonts w:ascii="Book Antiqua" w:eastAsia="SimSun" w:hAnsi="Book Antiqua" w:cs="Times New Roman"/>
          <w:kern w:val="2"/>
          <w:lang w:eastAsia="zh-CN"/>
        </w:rPr>
        <w:t>: 239-244 [PMID: 9252849 DOI: 10.1097/00004836-199706000-00012]</w:t>
      </w:r>
    </w:p>
    <w:p w14:paraId="38ACE327"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56 </w:t>
      </w:r>
      <w:r w:rsidRPr="00B529BA">
        <w:rPr>
          <w:rFonts w:ascii="Book Antiqua" w:eastAsia="SimSun" w:hAnsi="Book Antiqua" w:cs="Times New Roman"/>
          <w:b/>
          <w:kern w:val="2"/>
          <w:lang w:eastAsia="zh-CN"/>
        </w:rPr>
        <w:t>Levy C</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Harnois</w:t>
      </w:r>
      <w:proofErr w:type="spellEnd"/>
      <w:r w:rsidRPr="00B529BA">
        <w:rPr>
          <w:rFonts w:ascii="Book Antiqua" w:eastAsia="SimSun" w:hAnsi="Book Antiqua" w:cs="Times New Roman"/>
          <w:kern w:val="2"/>
          <w:lang w:eastAsia="zh-CN"/>
        </w:rPr>
        <w:t xml:space="preserve"> DM, Angulo P, Jorgensen R, </w:t>
      </w:r>
      <w:proofErr w:type="spellStart"/>
      <w:r w:rsidRPr="00B529BA">
        <w:rPr>
          <w:rFonts w:ascii="Book Antiqua" w:eastAsia="SimSun" w:hAnsi="Book Antiqua" w:cs="Times New Roman"/>
          <w:kern w:val="2"/>
          <w:lang w:eastAsia="zh-CN"/>
        </w:rPr>
        <w:t>Lindor</w:t>
      </w:r>
      <w:proofErr w:type="spellEnd"/>
      <w:r w:rsidRPr="00B529BA">
        <w:rPr>
          <w:rFonts w:ascii="Book Antiqua" w:eastAsia="SimSun" w:hAnsi="Book Antiqua" w:cs="Times New Roman"/>
          <w:kern w:val="2"/>
          <w:lang w:eastAsia="zh-CN"/>
        </w:rPr>
        <w:t xml:space="preserve"> KD. Raloxifene improves bone mass in </w:t>
      </w:r>
      <w:proofErr w:type="spellStart"/>
      <w:r w:rsidRPr="00B529BA">
        <w:rPr>
          <w:rFonts w:ascii="Book Antiqua" w:eastAsia="SimSun" w:hAnsi="Book Antiqua" w:cs="Times New Roman"/>
          <w:kern w:val="2"/>
          <w:lang w:eastAsia="zh-CN"/>
        </w:rPr>
        <w:t>osteopenic</w:t>
      </w:r>
      <w:proofErr w:type="spellEnd"/>
      <w:r w:rsidRPr="00B529BA">
        <w:rPr>
          <w:rFonts w:ascii="Book Antiqua" w:eastAsia="SimSun" w:hAnsi="Book Antiqua" w:cs="Times New Roman"/>
          <w:kern w:val="2"/>
          <w:lang w:eastAsia="zh-CN"/>
        </w:rPr>
        <w:t xml:space="preserve"> women with primary biliary cirrhosis: results of a pilot study. </w:t>
      </w:r>
      <w:r w:rsidRPr="00B529BA">
        <w:rPr>
          <w:rFonts w:ascii="Book Antiqua" w:eastAsia="SimSun" w:hAnsi="Book Antiqua" w:cs="Times New Roman"/>
          <w:i/>
          <w:kern w:val="2"/>
          <w:lang w:eastAsia="zh-CN"/>
        </w:rPr>
        <w:t xml:space="preserve">Liver </w:t>
      </w:r>
      <w:proofErr w:type="spellStart"/>
      <w:r w:rsidRPr="00B529BA">
        <w:rPr>
          <w:rFonts w:ascii="Book Antiqua" w:eastAsia="SimSun" w:hAnsi="Book Antiqua" w:cs="Times New Roman"/>
          <w:i/>
          <w:kern w:val="2"/>
          <w:lang w:eastAsia="zh-CN"/>
        </w:rPr>
        <w:t>Int</w:t>
      </w:r>
      <w:proofErr w:type="spellEnd"/>
      <w:r w:rsidRPr="00B529BA">
        <w:rPr>
          <w:rFonts w:ascii="Book Antiqua" w:eastAsia="SimSun" w:hAnsi="Book Antiqua" w:cs="Times New Roman"/>
          <w:kern w:val="2"/>
          <w:lang w:eastAsia="zh-CN"/>
        </w:rPr>
        <w:t xml:space="preserve"> 2005; </w:t>
      </w:r>
      <w:r w:rsidRPr="00B529BA">
        <w:rPr>
          <w:rFonts w:ascii="Book Antiqua" w:eastAsia="SimSun" w:hAnsi="Book Antiqua" w:cs="Times New Roman"/>
          <w:b/>
          <w:kern w:val="2"/>
          <w:lang w:eastAsia="zh-CN"/>
        </w:rPr>
        <w:t>25</w:t>
      </w:r>
      <w:r w:rsidRPr="00B529BA">
        <w:rPr>
          <w:rFonts w:ascii="Book Antiqua" w:eastAsia="SimSun" w:hAnsi="Book Antiqua" w:cs="Times New Roman"/>
          <w:kern w:val="2"/>
          <w:lang w:eastAsia="zh-CN"/>
        </w:rPr>
        <w:t>: 117-121 [PMID: 15698408 DOI: 10.1111/j.1478-3231.2005.01026.x]</w:t>
      </w:r>
    </w:p>
    <w:p w14:paraId="5B9324BC"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57 </w:t>
      </w:r>
      <w:proofErr w:type="spellStart"/>
      <w:r w:rsidRPr="00B529BA">
        <w:rPr>
          <w:rFonts w:ascii="Book Antiqua" w:eastAsia="SimSun" w:hAnsi="Book Antiqua" w:cs="Times New Roman"/>
          <w:b/>
          <w:kern w:val="2"/>
          <w:lang w:eastAsia="zh-CN"/>
        </w:rPr>
        <w:t>Nishiguchi</w:t>
      </w:r>
      <w:proofErr w:type="spellEnd"/>
      <w:r w:rsidRPr="00B529BA">
        <w:rPr>
          <w:rFonts w:ascii="Book Antiqua" w:eastAsia="SimSun" w:hAnsi="Book Antiqua" w:cs="Times New Roman"/>
          <w:b/>
          <w:kern w:val="2"/>
          <w:lang w:eastAsia="zh-CN"/>
        </w:rPr>
        <w:t xml:space="preserve"> S</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Shimoi</w:t>
      </w:r>
      <w:proofErr w:type="spellEnd"/>
      <w:r w:rsidRPr="00B529BA">
        <w:rPr>
          <w:rFonts w:ascii="Book Antiqua" w:eastAsia="SimSun" w:hAnsi="Book Antiqua" w:cs="Times New Roman"/>
          <w:kern w:val="2"/>
          <w:lang w:eastAsia="zh-CN"/>
        </w:rPr>
        <w:t xml:space="preserve"> S, </w:t>
      </w:r>
      <w:proofErr w:type="spellStart"/>
      <w:r w:rsidRPr="00B529BA">
        <w:rPr>
          <w:rFonts w:ascii="Book Antiqua" w:eastAsia="SimSun" w:hAnsi="Book Antiqua" w:cs="Times New Roman"/>
          <w:kern w:val="2"/>
          <w:lang w:eastAsia="zh-CN"/>
        </w:rPr>
        <w:t>Kurooka</w:t>
      </w:r>
      <w:proofErr w:type="spellEnd"/>
      <w:r w:rsidRPr="00B529BA">
        <w:rPr>
          <w:rFonts w:ascii="Book Antiqua" w:eastAsia="SimSun" w:hAnsi="Book Antiqua" w:cs="Times New Roman"/>
          <w:kern w:val="2"/>
          <w:lang w:eastAsia="zh-CN"/>
        </w:rPr>
        <w:t xml:space="preserve"> H, </w:t>
      </w:r>
      <w:proofErr w:type="spellStart"/>
      <w:r w:rsidRPr="00B529BA">
        <w:rPr>
          <w:rFonts w:ascii="Book Antiqua" w:eastAsia="SimSun" w:hAnsi="Book Antiqua" w:cs="Times New Roman"/>
          <w:kern w:val="2"/>
          <w:lang w:eastAsia="zh-CN"/>
        </w:rPr>
        <w:t>Tamori</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Habu</w:t>
      </w:r>
      <w:proofErr w:type="spellEnd"/>
      <w:r w:rsidRPr="00B529BA">
        <w:rPr>
          <w:rFonts w:ascii="Book Antiqua" w:eastAsia="SimSun" w:hAnsi="Book Antiqua" w:cs="Times New Roman"/>
          <w:kern w:val="2"/>
          <w:lang w:eastAsia="zh-CN"/>
        </w:rPr>
        <w:t xml:space="preserve"> D, Takeda T, Kubo S. Randomized pilot trial of vitamin K2 for bone loss in patients with primary biliary cirrhosis. </w:t>
      </w:r>
      <w:r w:rsidRPr="00B529BA">
        <w:rPr>
          <w:rFonts w:ascii="Book Antiqua" w:eastAsia="SimSun" w:hAnsi="Book Antiqua" w:cs="Times New Roman"/>
          <w:i/>
          <w:kern w:val="2"/>
          <w:lang w:eastAsia="zh-CN"/>
        </w:rPr>
        <w:t xml:space="preserve">J </w:t>
      </w:r>
      <w:proofErr w:type="spellStart"/>
      <w:r w:rsidRPr="00B529BA">
        <w:rPr>
          <w:rFonts w:ascii="Book Antiqua" w:eastAsia="SimSun" w:hAnsi="Book Antiqua" w:cs="Times New Roman"/>
          <w:i/>
          <w:kern w:val="2"/>
          <w:lang w:eastAsia="zh-CN"/>
        </w:rPr>
        <w:t>Hepatol</w:t>
      </w:r>
      <w:proofErr w:type="spellEnd"/>
      <w:r w:rsidRPr="00B529BA">
        <w:rPr>
          <w:rFonts w:ascii="Book Antiqua" w:eastAsia="SimSun" w:hAnsi="Book Antiqua" w:cs="Times New Roman"/>
          <w:kern w:val="2"/>
          <w:lang w:eastAsia="zh-CN"/>
        </w:rPr>
        <w:t xml:space="preserve"> 2001; </w:t>
      </w:r>
      <w:r w:rsidRPr="00B529BA">
        <w:rPr>
          <w:rFonts w:ascii="Book Antiqua" w:eastAsia="SimSun" w:hAnsi="Book Antiqua" w:cs="Times New Roman"/>
          <w:b/>
          <w:kern w:val="2"/>
          <w:lang w:eastAsia="zh-CN"/>
        </w:rPr>
        <w:t>35</w:t>
      </w:r>
      <w:r w:rsidRPr="00B529BA">
        <w:rPr>
          <w:rFonts w:ascii="Book Antiqua" w:eastAsia="SimSun" w:hAnsi="Book Antiqua" w:cs="Times New Roman"/>
          <w:kern w:val="2"/>
          <w:lang w:eastAsia="zh-CN"/>
        </w:rPr>
        <w:t>: 543-545 [PMID: 11682046 DOI: 10.1016/S0168-</w:t>
      </w:r>
      <w:r w:rsidRPr="00B529BA">
        <w:rPr>
          <w:rFonts w:ascii="Book Antiqua" w:eastAsia="SimSun" w:hAnsi="Book Antiqua" w:cs="Times New Roman"/>
          <w:kern w:val="2"/>
          <w:lang w:eastAsia="zh-CN"/>
        </w:rPr>
        <w:lastRenderedPageBreak/>
        <w:t>8278(01)00133-7]</w:t>
      </w:r>
    </w:p>
    <w:p w14:paraId="36F52AC5"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58 </w:t>
      </w:r>
      <w:proofErr w:type="spellStart"/>
      <w:r w:rsidRPr="00B529BA">
        <w:rPr>
          <w:rFonts w:ascii="Book Antiqua" w:eastAsia="SimSun" w:hAnsi="Book Antiqua" w:cs="Times New Roman"/>
          <w:b/>
          <w:kern w:val="2"/>
          <w:lang w:eastAsia="zh-CN"/>
        </w:rPr>
        <w:t>Neer</w:t>
      </w:r>
      <w:proofErr w:type="spellEnd"/>
      <w:r w:rsidRPr="00B529BA">
        <w:rPr>
          <w:rFonts w:ascii="Book Antiqua" w:eastAsia="SimSun" w:hAnsi="Book Antiqua" w:cs="Times New Roman"/>
          <w:b/>
          <w:kern w:val="2"/>
          <w:lang w:eastAsia="zh-CN"/>
        </w:rPr>
        <w:t xml:space="preserve"> RM</w:t>
      </w:r>
      <w:r w:rsidRPr="00B529BA">
        <w:rPr>
          <w:rFonts w:ascii="Book Antiqua" w:eastAsia="SimSun" w:hAnsi="Book Antiqua" w:cs="Times New Roman"/>
          <w:kern w:val="2"/>
          <w:lang w:eastAsia="zh-CN"/>
        </w:rPr>
        <w:t xml:space="preserve">, Arnaud CD, </w:t>
      </w:r>
      <w:proofErr w:type="spellStart"/>
      <w:r w:rsidRPr="00B529BA">
        <w:rPr>
          <w:rFonts w:ascii="Book Antiqua" w:eastAsia="SimSun" w:hAnsi="Book Antiqua" w:cs="Times New Roman"/>
          <w:kern w:val="2"/>
          <w:lang w:eastAsia="zh-CN"/>
        </w:rPr>
        <w:t>Zanchetta</w:t>
      </w:r>
      <w:proofErr w:type="spellEnd"/>
      <w:r w:rsidRPr="00B529BA">
        <w:rPr>
          <w:rFonts w:ascii="Book Antiqua" w:eastAsia="SimSun" w:hAnsi="Book Antiqua" w:cs="Times New Roman"/>
          <w:kern w:val="2"/>
          <w:lang w:eastAsia="zh-CN"/>
        </w:rPr>
        <w:t xml:space="preserve"> JR, Prince R, </w:t>
      </w:r>
      <w:proofErr w:type="spellStart"/>
      <w:r w:rsidRPr="00B529BA">
        <w:rPr>
          <w:rFonts w:ascii="Book Antiqua" w:eastAsia="SimSun" w:hAnsi="Book Antiqua" w:cs="Times New Roman"/>
          <w:kern w:val="2"/>
          <w:lang w:eastAsia="zh-CN"/>
        </w:rPr>
        <w:t>Gaich</w:t>
      </w:r>
      <w:proofErr w:type="spellEnd"/>
      <w:r w:rsidRPr="00B529BA">
        <w:rPr>
          <w:rFonts w:ascii="Book Antiqua" w:eastAsia="SimSun" w:hAnsi="Book Antiqua" w:cs="Times New Roman"/>
          <w:kern w:val="2"/>
          <w:lang w:eastAsia="zh-CN"/>
        </w:rPr>
        <w:t xml:space="preserve"> GA, </w:t>
      </w:r>
      <w:proofErr w:type="spellStart"/>
      <w:r w:rsidRPr="00B529BA">
        <w:rPr>
          <w:rFonts w:ascii="Book Antiqua" w:eastAsia="SimSun" w:hAnsi="Book Antiqua" w:cs="Times New Roman"/>
          <w:kern w:val="2"/>
          <w:lang w:eastAsia="zh-CN"/>
        </w:rPr>
        <w:t>Reginster</w:t>
      </w:r>
      <w:proofErr w:type="spellEnd"/>
      <w:r w:rsidRPr="00B529BA">
        <w:rPr>
          <w:rFonts w:ascii="Book Antiqua" w:eastAsia="SimSun" w:hAnsi="Book Antiqua" w:cs="Times New Roman"/>
          <w:kern w:val="2"/>
          <w:lang w:eastAsia="zh-CN"/>
        </w:rPr>
        <w:t xml:space="preserve"> JY, </w:t>
      </w:r>
      <w:proofErr w:type="spellStart"/>
      <w:r w:rsidRPr="00B529BA">
        <w:rPr>
          <w:rFonts w:ascii="Book Antiqua" w:eastAsia="SimSun" w:hAnsi="Book Antiqua" w:cs="Times New Roman"/>
          <w:kern w:val="2"/>
          <w:lang w:eastAsia="zh-CN"/>
        </w:rPr>
        <w:t>Hodsman</w:t>
      </w:r>
      <w:proofErr w:type="spellEnd"/>
      <w:r w:rsidRPr="00B529BA">
        <w:rPr>
          <w:rFonts w:ascii="Book Antiqua" w:eastAsia="SimSun" w:hAnsi="Book Antiqua" w:cs="Times New Roman"/>
          <w:kern w:val="2"/>
          <w:lang w:eastAsia="zh-CN"/>
        </w:rPr>
        <w:t xml:space="preserve"> AB, </w:t>
      </w:r>
      <w:proofErr w:type="spellStart"/>
      <w:r w:rsidRPr="00B529BA">
        <w:rPr>
          <w:rFonts w:ascii="Book Antiqua" w:eastAsia="SimSun" w:hAnsi="Book Antiqua" w:cs="Times New Roman"/>
          <w:kern w:val="2"/>
          <w:lang w:eastAsia="zh-CN"/>
        </w:rPr>
        <w:t>Eriksen</w:t>
      </w:r>
      <w:proofErr w:type="spellEnd"/>
      <w:r w:rsidRPr="00B529BA">
        <w:rPr>
          <w:rFonts w:ascii="Book Antiqua" w:eastAsia="SimSun" w:hAnsi="Book Antiqua" w:cs="Times New Roman"/>
          <w:kern w:val="2"/>
          <w:lang w:eastAsia="zh-CN"/>
        </w:rPr>
        <w:t xml:space="preserve"> EF, </w:t>
      </w:r>
      <w:proofErr w:type="spellStart"/>
      <w:r w:rsidRPr="00B529BA">
        <w:rPr>
          <w:rFonts w:ascii="Book Antiqua" w:eastAsia="SimSun" w:hAnsi="Book Antiqua" w:cs="Times New Roman"/>
          <w:kern w:val="2"/>
          <w:lang w:eastAsia="zh-CN"/>
        </w:rPr>
        <w:t>Ish</w:t>
      </w:r>
      <w:proofErr w:type="spellEnd"/>
      <w:r w:rsidRPr="00B529BA">
        <w:rPr>
          <w:rFonts w:ascii="Book Antiqua" w:eastAsia="SimSun" w:hAnsi="Book Antiqua" w:cs="Times New Roman"/>
          <w:kern w:val="2"/>
          <w:lang w:eastAsia="zh-CN"/>
        </w:rPr>
        <w:t xml:space="preserve">-Shalom S, </w:t>
      </w:r>
      <w:proofErr w:type="spellStart"/>
      <w:r w:rsidRPr="00B529BA">
        <w:rPr>
          <w:rFonts w:ascii="Book Antiqua" w:eastAsia="SimSun" w:hAnsi="Book Antiqua" w:cs="Times New Roman"/>
          <w:kern w:val="2"/>
          <w:lang w:eastAsia="zh-CN"/>
        </w:rPr>
        <w:t>Genant</w:t>
      </w:r>
      <w:proofErr w:type="spellEnd"/>
      <w:r w:rsidRPr="00B529BA">
        <w:rPr>
          <w:rFonts w:ascii="Book Antiqua" w:eastAsia="SimSun" w:hAnsi="Book Antiqua" w:cs="Times New Roman"/>
          <w:kern w:val="2"/>
          <w:lang w:eastAsia="zh-CN"/>
        </w:rPr>
        <w:t xml:space="preserve"> HK, Wang O, </w:t>
      </w:r>
      <w:proofErr w:type="spellStart"/>
      <w:r w:rsidRPr="00B529BA">
        <w:rPr>
          <w:rFonts w:ascii="Book Antiqua" w:eastAsia="SimSun" w:hAnsi="Book Antiqua" w:cs="Times New Roman"/>
          <w:kern w:val="2"/>
          <w:lang w:eastAsia="zh-CN"/>
        </w:rPr>
        <w:t>Mitlak</w:t>
      </w:r>
      <w:proofErr w:type="spellEnd"/>
      <w:r w:rsidRPr="00B529BA">
        <w:rPr>
          <w:rFonts w:ascii="Book Antiqua" w:eastAsia="SimSun" w:hAnsi="Book Antiqua" w:cs="Times New Roman"/>
          <w:kern w:val="2"/>
          <w:lang w:eastAsia="zh-CN"/>
        </w:rPr>
        <w:t xml:space="preserve"> BH. Effect of parathyroid hormone (1-34) on fractures and bone mineral density in postmenopausal women with osteoporosis. </w:t>
      </w:r>
      <w:r w:rsidRPr="00B529BA">
        <w:rPr>
          <w:rFonts w:ascii="Book Antiqua" w:eastAsia="SimSun" w:hAnsi="Book Antiqua" w:cs="Times New Roman"/>
          <w:i/>
          <w:kern w:val="2"/>
          <w:lang w:eastAsia="zh-CN"/>
        </w:rPr>
        <w:t xml:space="preserve">N </w:t>
      </w:r>
      <w:proofErr w:type="spellStart"/>
      <w:r w:rsidRPr="00B529BA">
        <w:rPr>
          <w:rFonts w:ascii="Book Antiqua" w:eastAsia="SimSun" w:hAnsi="Book Antiqua" w:cs="Times New Roman"/>
          <w:i/>
          <w:kern w:val="2"/>
          <w:lang w:eastAsia="zh-CN"/>
        </w:rPr>
        <w:t>Engl</w:t>
      </w:r>
      <w:proofErr w:type="spellEnd"/>
      <w:r w:rsidRPr="00B529BA">
        <w:rPr>
          <w:rFonts w:ascii="Book Antiqua" w:eastAsia="SimSun" w:hAnsi="Book Antiqua" w:cs="Times New Roman"/>
          <w:i/>
          <w:kern w:val="2"/>
          <w:lang w:eastAsia="zh-CN"/>
        </w:rPr>
        <w:t xml:space="preserve"> J Med</w:t>
      </w:r>
      <w:r w:rsidRPr="00B529BA">
        <w:rPr>
          <w:rFonts w:ascii="Book Antiqua" w:eastAsia="SimSun" w:hAnsi="Book Antiqua" w:cs="Times New Roman"/>
          <w:kern w:val="2"/>
          <w:lang w:eastAsia="zh-CN"/>
        </w:rPr>
        <w:t xml:space="preserve"> 2001; </w:t>
      </w:r>
      <w:r w:rsidRPr="00B529BA">
        <w:rPr>
          <w:rFonts w:ascii="Book Antiqua" w:eastAsia="SimSun" w:hAnsi="Book Antiqua" w:cs="Times New Roman"/>
          <w:b/>
          <w:kern w:val="2"/>
          <w:lang w:eastAsia="zh-CN"/>
        </w:rPr>
        <w:t>344</w:t>
      </w:r>
      <w:r w:rsidRPr="00B529BA">
        <w:rPr>
          <w:rFonts w:ascii="Book Antiqua" w:eastAsia="SimSun" w:hAnsi="Book Antiqua" w:cs="Times New Roman"/>
          <w:kern w:val="2"/>
          <w:lang w:eastAsia="zh-CN"/>
        </w:rPr>
        <w:t>: 1434-1441 [PMID: 11346808 DOI: 10.1056/NEJM200105103441904]</w:t>
      </w:r>
    </w:p>
    <w:p w14:paraId="7676A5AC"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59 </w:t>
      </w:r>
      <w:r w:rsidRPr="00B529BA">
        <w:rPr>
          <w:rFonts w:ascii="Book Antiqua" w:eastAsia="SimSun" w:hAnsi="Book Antiqua" w:cs="Times New Roman"/>
          <w:b/>
          <w:kern w:val="2"/>
          <w:lang w:eastAsia="zh-CN"/>
        </w:rPr>
        <w:t>Miller PD</w:t>
      </w:r>
      <w:r w:rsidRPr="00B529BA">
        <w:rPr>
          <w:rFonts w:ascii="Book Antiqua" w:eastAsia="SimSun" w:hAnsi="Book Antiqua" w:cs="Times New Roman"/>
          <w:kern w:val="2"/>
          <w:lang w:eastAsia="zh-CN"/>
        </w:rPr>
        <w:t xml:space="preserve">, Hattersley G, Riis BJ, Williams GC, Lau E, Russo LA, </w:t>
      </w:r>
      <w:proofErr w:type="spellStart"/>
      <w:r w:rsidRPr="00B529BA">
        <w:rPr>
          <w:rFonts w:ascii="Book Antiqua" w:eastAsia="SimSun" w:hAnsi="Book Antiqua" w:cs="Times New Roman"/>
          <w:kern w:val="2"/>
          <w:lang w:eastAsia="zh-CN"/>
        </w:rPr>
        <w:t>Alexandersen</w:t>
      </w:r>
      <w:proofErr w:type="spellEnd"/>
      <w:r w:rsidRPr="00B529BA">
        <w:rPr>
          <w:rFonts w:ascii="Book Antiqua" w:eastAsia="SimSun" w:hAnsi="Book Antiqua" w:cs="Times New Roman"/>
          <w:kern w:val="2"/>
          <w:lang w:eastAsia="zh-CN"/>
        </w:rPr>
        <w:t xml:space="preserve"> P, </w:t>
      </w:r>
      <w:proofErr w:type="spellStart"/>
      <w:r w:rsidRPr="00B529BA">
        <w:rPr>
          <w:rFonts w:ascii="Book Antiqua" w:eastAsia="SimSun" w:hAnsi="Book Antiqua" w:cs="Times New Roman"/>
          <w:kern w:val="2"/>
          <w:lang w:eastAsia="zh-CN"/>
        </w:rPr>
        <w:t>Zerbini</w:t>
      </w:r>
      <w:proofErr w:type="spellEnd"/>
      <w:r w:rsidRPr="00B529BA">
        <w:rPr>
          <w:rFonts w:ascii="Book Antiqua" w:eastAsia="SimSun" w:hAnsi="Book Antiqua" w:cs="Times New Roman"/>
          <w:kern w:val="2"/>
          <w:lang w:eastAsia="zh-CN"/>
        </w:rPr>
        <w:t xml:space="preserve"> CA, Hu MY, Harris AG, Fitzpatrick LA, </w:t>
      </w:r>
      <w:proofErr w:type="spellStart"/>
      <w:r w:rsidRPr="00B529BA">
        <w:rPr>
          <w:rFonts w:ascii="Book Antiqua" w:eastAsia="SimSun" w:hAnsi="Book Antiqua" w:cs="Times New Roman"/>
          <w:kern w:val="2"/>
          <w:lang w:eastAsia="zh-CN"/>
        </w:rPr>
        <w:t>Cosman</w:t>
      </w:r>
      <w:proofErr w:type="spellEnd"/>
      <w:r w:rsidRPr="00B529BA">
        <w:rPr>
          <w:rFonts w:ascii="Book Antiqua" w:eastAsia="SimSun" w:hAnsi="Book Antiqua" w:cs="Times New Roman"/>
          <w:kern w:val="2"/>
          <w:lang w:eastAsia="zh-CN"/>
        </w:rPr>
        <w:t xml:space="preserve"> F, Christiansen C; ACTIVE Study Investigators. Effect of Abaloparatide vs Placebo on New Vertebral Fractures in Postmenopausal Women </w:t>
      </w:r>
      <w:proofErr w:type="gramStart"/>
      <w:r w:rsidRPr="00B529BA">
        <w:rPr>
          <w:rFonts w:ascii="Book Antiqua" w:eastAsia="SimSun" w:hAnsi="Book Antiqua" w:cs="Times New Roman"/>
          <w:kern w:val="2"/>
          <w:lang w:eastAsia="zh-CN"/>
        </w:rPr>
        <w:t>With</w:t>
      </w:r>
      <w:proofErr w:type="gramEnd"/>
      <w:r w:rsidRPr="00B529BA">
        <w:rPr>
          <w:rFonts w:ascii="Book Antiqua" w:eastAsia="SimSun" w:hAnsi="Book Antiqua" w:cs="Times New Roman"/>
          <w:kern w:val="2"/>
          <w:lang w:eastAsia="zh-CN"/>
        </w:rPr>
        <w:t xml:space="preserve"> Osteoporosis: A Randomized Clinical Trial. </w:t>
      </w:r>
      <w:r w:rsidRPr="00B529BA">
        <w:rPr>
          <w:rFonts w:ascii="Book Antiqua" w:eastAsia="SimSun" w:hAnsi="Book Antiqua" w:cs="Times New Roman"/>
          <w:i/>
          <w:kern w:val="2"/>
          <w:lang w:eastAsia="zh-CN"/>
        </w:rPr>
        <w:t>JAMA</w:t>
      </w:r>
      <w:r w:rsidRPr="00B529BA">
        <w:rPr>
          <w:rFonts w:ascii="Book Antiqua" w:eastAsia="SimSun" w:hAnsi="Book Antiqua" w:cs="Times New Roman"/>
          <w:kern w:val="2"/>
          <w:lang w:eastAsia="zh-CN"/>
        </w:rPr>
        <w:t xml:space="preserve"> 2016; </w:t>
      </w:r>
      <w:r w:rsidRPr="00B529BA">
        <w:rPr>
          <w:rFonts w:ascii="Book Antiqua" w:eastAsia="SimSun" w:hAnsi="Book Antiqua" w:cs="Times New Roman"/>
          <w:b/>
          <w:kern w:val="2"/>
          <w:lang w:eastAsia="zh-CN"/>
        </w:rPr>
        <w:t>316</w:t>
      </w:r>
      <w:r w:rsidRPr="00B529BA">
        <w:rPr>
          <w:rFonts w:ascii="Book Antiqua" w:eastAsia="SimSun" w:hAnsi="Book Antiqua" w:cs="Times New Roman"/>
          <w:kern w:val="2"/>
          <w:lang w:eastAsia="zh-CN"/>
        </w:rPr>
        <w:t>: 722-733 [PMID: 27533157 DOI: 10.1001/jama.2016.11136]</w:t>
      </w:r>
    </w:p>
    <w:p w14:paraId="40BEBD15"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60 </w:t>
      </w:r>
      <w:proofErr w:type="spellStart"/>
      <w:r w:rsidRPr="00B529BA">
        <w:rPr>
          <w:rFonts w:ascii="Book Antiqua" w:eastAsia="SimSun" w:hAnsi="Book Antiqua" w:cs="Times New Roman"/>
          <w:b/>
          <w:kern w:val="2"/>
          <w:lang w:eastAsia="zh-CN"/>
        </w:rPr>
        <w:t>Dresner-Pollak</w:t>
      </w:r>
      <w:proofErr w:type="spellEnd"/>
      <w:r w:rsidRPr="00B529BA">
        <w:rPr>
          <w:rFonts w:ascii="Book Antiqua" w:eastAsia="SimSun" w:hAnsi="Book Antiqua" w:cs="Times New Roman"/>
          <w:b/>
          <w:kern w:val="2"/>
          <w:lang w:eastAsia="zh-CN"/>
        </w:rPr>
        <w:t xml:space="preserve"> R</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Gabet</w:t>
      </w:r>
      <w:proofErr w:type="spellEnd"/>
      <w:r w:rsidRPr="00B529BA">
        <w:rPr>
          <w:rFonts w:ascii="Book Antiqua" w:eastAsia="SimSun" w:hAnsi="Book Antiqua" w:cs="Times New Roman"/>
          <w:kern w:val="2"/>
          <w:lang w:eastAsia="zh-CN"/>
        </w:rPr>
        <w:t xml:space="preserve"> Y, </w:t>
      </w:r>
      <w:proofErr w:type="spellStart"/>
      <w:r w:rsidRPr="00B529BA">
        <w:rPr>
          <w:rFonts w:ascii="Book Antiqua" w:eastAsia="SimSun" w:hAnsi="Book Antiqua" w:cs="Times New Roman"/>
          <w:kern w:val="2"/>
          <w:lang w:eastAsia="zh-CN"/>
        </w:rPr>
        <w:t>Steimatzky</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Hamdani</w:t>
      </w:r>
      <w:proofErr w:type="spellEnd"/>
      <w:r w:rsidRPr="00B529BA">
        <w:rPr>
          <w:rFonts w:ascii="Book Antiqua" w:eastAsia="SimSun" w:hAnsi="Book Antiqua" w:cs="Times New Roman"/>
          <w:kern w:val="2"/>
          <w:lang w:eastAsia="zh-CN"/>
        </w:rPr>
        <w:t xml:space="preserve"> G, Bab I, Ackerman Z, </w:t>
      </w:r>
      <w:proofErr w:type="spellStart"/>
      <w:r w:rsidRPr="00B529BA">
        <w:rPr>
          <w:rFonts w:ascii="Book Antiqua" w:eastAsia="SimSun" w:hAnsi="Book Antiqua" w:cs="Times New Roman"/>
          <w:kern w:val="2"/>
          <w:lang w:eastAsia="zh-CN"/>
        </w:rPr>
        <w:t>Weinreb</w:t>
      </w:r>
      <w:proofErr w:type="spellEnd"/>
      <w:r w:rsidRPr="00B529BA">
        <w:rPr>
          <w:rFonts w:ascii="Book Antiqua" w:eastAsia="SimSun" w:hAnsi="Book Antiqua" w:cs="Times New Roman"/>
          <w:kern w:val="2"/>
          <w:lang w:eastAsia="zh-CN"/>
        </w:rPr>
        <w:t xml:space="preserve"> M. Human parathyroid hormone 1-34 prevents bone loss in experimental biliary cirrhosis in rats. </w:t>
      </w:r>
      <w:r w:rsidRPr="00B529BA">
        <w:rPr>
          <w:rFonts w:ascii="Book Antiqua" w:eastAsia="SimSun" w:hAnsi="Book Antiqua" w:cs="Times New Roman"/>
          <w:i/>
          <w:kern w:val="2"/>
          <w:lang w:eastAsia="zh-CN"/>
        </w:rPr>
        <w:t>Gastroenterology</w:t>
      </w:r>
      <w:r w:rsidRPr="00B529BA">
        <w:rPr>
          <w:rFonts w:ascii="Book Antiqua" w:eastAsia="SimSun" w:hAnsi="Book Antiqua" w:cs="Times New Roman"/>
          <w:kern w:val="2"/>
          <w:lang w:eastAsia="zh-CN"/>
        </w:rPr>
        <w:t xml:space="preserve"> 2008; </w:t>
      </w:r>
      <w:r w:rsidRPr="00B529BA">
        <w:rPr>
          <w:rFonts w:ascii="Book Antiqua" w:eastAsia="SimSun" w:hAnsi="Book Antiqua" w:cs="Times New Roman"/>
          <w:b/>
          <w:kern w:val="2"/>
          <w:lang w:eastAsia="zh-CN"/>
        </w:rPr>
        <w:t>134</w:t>
      </w:r>
      <w:r w:rsidRPr="00B529BA">
        <w:rPr>
          <w:rFonts w:ascii="Book Antiqua" w:eastAsia="SimSun" w:hAnsi="Book Antiqua" w:cs="Times New Roman"/>
          <w:kern w:val="2"/>
          <w:lang w:eastAsia="zh-CN"/>
        </w:rPr>
        <w:t>: 259-267 [PMID: 18061175 DOI: 10.1053/j.gastro.2007.10.025]</w:t>
      </w:r>
    </w:p>
    <w:p w14:paraId="7068A35F"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61 </w:t>
      </w:r>
      <w:proofErr w:type="spellStart"/>
      <w:r w:rsidRPr="00B529BA">
        <w:rPr>
          <w:rFonts w:ascii="Book Antiqua" w:eastAsia="SimSun" w:hAnsi="Book Antiqua" w:cs="Times New Roman"/>
          <w:b/>
          <w:kern w:val="2"/>
          <w:lang w:eastAsia="zh-CN"/>
        </w:rPr>
        <w:t>Lindor</w:t>
      </w:r>
      <w:proofErr w:type="spellEnd"/>
      <w:r w:rsidRPr="00B529BA">
        <w:rPr>
          <w:rFonts w:ascii="Book Antiqua" w:eastAsia="SimSun" w:hAnsi="Book Antiqua" w:cs="Times New Roman"/>
          <w:b/>
          <w:kern w:val="2"/>
          <w:lang w:eastAsia="zh-CN"/>
        </w:rPr>
        <w:t xml:space="preserve"> KD</w:t>
      </w:r>
      <w:r w:rsidRPr="00B529BA">
        <w:rPr>
          <w:rFonts w:ascii="Book Antiqua" w:eastAsia="SimSun" w:hAnsi="Book Antiqua" w:cs="Times New Roman"/>
          <w:kern w:val="2"/>
          <w:lang w:eastAsia="zh-CN"/>
        </w:rPr>
        <w:t xml:space="preserve">, Janes CH, </w:t>
      </w:r>
      <w:proofErr w:type="spellStart"/>
      <w:r w:rsidRPr="00B529BA">
        <w:rPr>
          <w:rFonts w:ascii="Book Antiqua" w:eastAsia="SimSun" w:hAnsi="Book Antiqua" w:cs="Times New Roman"/>
          <w:kern w:val="2"/>
          <w:lang w:eastAsia="zh-CN"/>
        </w:rPr>
        <w:t>Crippin</w:t>
      </w:r>
      <w:proofErr w:type="spellEnd"/>
      <w:r w:rsidRPr="00B529BA">
        <w:rPr>
          <w:rFonts w:ascii="Book Antiqua" w:eastAsia="SimSun" w:hAnsi="Book Antiqua" w:cs="Times New Roman"/>
          <w:kern w:val="2"/>
          <w:lang w:eastAsia="zh-CN"/>
        </w:rPr>
        <w:t xml:space="preserve"> JS, Jorgensen RA, Dickson ER. Bone disease in primary biliary cirrhosis: does ursodeoxycholic acid make a difference? </w:t>
      </w:r>
      <w:r w:rsidRPr="00B529BA">
        <w:rPr>
          <w:rFonts w:ascii="Book Antiqua" w:eastAsia="SimSun" w:hAnsi="Book Antiqua" w:cs="Times New Roman"/>
          <w:i/>
          <w:kern w:val="2"/>
          <w:lang w:eastAsia="zh-CN"/>
        </w:rPr>
        <w:t>Hepatology</w:t>
      </w:r>
      <w:r w:rsidRPr="00B529BA">
        <w:rPr>
          <w:rFonts w:ascii="Book Antiqua" w:eastAsia="SimSun" w:hAnsi="Book Antiqua" w:cs="Times New Roman"/>
          <w:kern w:val="2"/>
          <w:lang w:eastAsia="zh-CN"/>
        </w:rPr>
        <w:t xml:space="preserve"> 1995; </w:t>
      </w:r>
      <w:r w:rsidRPr="00B529BA">
        <w:rPr>
          <w:rFonts w:ascii="Book Antiqua" w:eastAsia="SimSun" w:hAnsi="Book Antiqua" w:cs="Times New Roman"/>
          <w:b/>
          <w:kern w:val="2"/>
          <w:lang w:eastAsia="zh-CN"/>
        </w:rPr>
        <w:t>21</w:t>
      </w:r>
      <w:r w:rsidRPr="00B529BA">
        <w:rPr>
          <w:rFonts w:ascii="Book Antiqua" w:eastAsia="SimSun" w:hAnsi="Book Antiqua" w:cs="Times New Roman"/>
          <w:kern w:val="2"/>
          <w:lang w:eastAsia="zh-CN"/>
        </w:rPr>
        <w:t>: 389-392 [PMID: 7843710]</w:t>
      </w:r>
    </w:p>
    <w:p w14:paraId="79505E0E"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62 </w:t>
      </w:r>
      <w:proofErr w:type="spellStart"/>
      <w:r w:rsidRPr="00B529BA">
        <w:rPr>
          <w:rFonts w:ascii="Book Antiqua" w:eastAsia="SimSun" w:hAnsi="Book Antiqua" w:cs="Times New Roman"/>
          <w:b/>
          <w:kern w:val="2"/>
          <w:lang w:eastAsia="zh-CN"/>
        </w:rPr>
        <w:t>Nevens</w:t>
      </w:r>
      <w:proofErr w:type="spellEnd"/>
      <w:r w:rsidRPr="00B529BA">
        <w:rPr>
          <w:rFonts w:ascii="Book Antiqua" w:eastAsia="SimSun" w:hAnsi="Book Antiqua" w:cs="Times New Roman"/>
          <w:b/>
          <w:kern w:val="2"/>
          <w:lang w:eastAsia="zh-CN"/>
        </w:rPr>
        <w:t xml:space="preserve"> F</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Andreone</w:t>
      </w:r>
      <w:proofErr w:type="spellEnd"/>
      <w:r w:rsidRPr="00B529BA">
        <w:rPr>
          <w:rFonts w:ascii="Book Antiqua" w:eastAsia="SimSun" w:hAnsi="Book Antiqua" w:cs="Times New Roman"/>
          <w:kern w:val="2"/>
          <w:lang w:eastAsia="zh-CN"/>
        </w:rPr>
        <w:t xml:space="preserve"> P, </w:t>
      </w:r>
      <w:proofErr w:type="spellStart"/>
      <w:r w:rsidRPr="00B529BA">
        <w:rPr>
          <w:rFonts w:ascii="Book Antiqua" w:eastAsia="SimSun" w:hAnsi="Book Antiqua" w:cs="Times New Roman"/>
          <w:kern w:val="2"/>
          <w:lang w:eastAsia="zh-CN"/>
        </w:rPr>
        <w:t>Mazzella</w:t>
      </w:r>
      <w:proofErr w:type="spellEnd"/>
      <w:r w:rsidRPr="00B529BA">
        <w:rPr>
          <w:rFonts w:ascii="Book Antiqua" w:eastAsia="SimSun" w:hAnsi="Book Antiqua" w:cs="Times New Roman"/>
          <w:kern w:val="2"/>
          <w:lang w:eastAsia="zh-CN"/>
        </w:rPr>
        <w:t xml:space="preserve"> G, </w:t>
      </w:r>
      <w:proofErr w:type="spellStart"/>
      <w:r w:rsidRPr="00B529BA">
        <w:rPr>
          <w:rFonts w:ascii="Book Antiqua" w:eastAsia="SimSun" w:hAnsi="Book Antiqua" w:cs="Times New Roman"/>
          <w:kern w:val="2"/>
          <w:lang w:eastAsia="zh-CN"/>
        </w:rPr>
        <w:t>Strasser</w:t>
      </w:r>
      <w:proofErr w:type="spellEnd"/>
      <w:r w:rsidRPr="00B529BA">
        <w:rPr>
          <w:rFonts w:ascii="Book Antiqua" w:eastAsia="SimSun" w:hAnsi="Book Antiqua" w:cs="Times New Roman"/>
          <w:kern w:val="2"/>
          <w:lang w:eastAsia="zh-CN"/>
        </w:rPr>
        <w:t xml:space="preserve"> SI, </w:t>
      </w:r>
      <w:proofErr w:type="spellStart"/>
      <w:r w:rsidRPr="00B529BA">
        <w:rPr>
          <w:rFonts w:ascii="Book Antiqua" w:eastAsia="SimSun" w:hAnsi="Book Antiqua" w:cs="Times New Roman"/>
          <w:kern w:val="2"/>
          <w:lang w:eastAsia="zh-CN"/>
        </w:rPr>
        <w:t>Bowlus</w:t>
      </w:r>
      <w:proofErr w:type="spellEnd"/>
      <w:r w:rsidRPr="00B529BA">
        <w:rPr>
          <w:rFonts w:ascii="Book Antiqua" w:eastAsia="SimSun" w:hAnsi="Book Antiqua" w:cs="Times New Roman"/>
          <w:kern w:val="2"/>
          <w:lang w:eastAsia="zh-CN"/>
        </w:rPr>
        <w:t xml:space="preserve"> C, </w:t>
      </w:r>
      <w:proofErr w:type="spellStart"/>
      <w:r w:rsidRPr="00B529BA">
        <w:rPr>
          <w:rFonts w:ascii="Book Antiqua" w:eastAsia="SimSun" w:hAnsi="Book Antiqua" w:cs="Times New Roman"/>
          <w:kern w:val="2"/>
          <w:lang w:eastAsia="zh-CN"/>
        </w:rPr>
        <w:t>Invernizzi</w:t>
      </w:r>
      <w:proofErr w:type="spellEnd"/>
      <w:r w:rsidRPr="00B529BA">
        <w:rPr>
          <w:rFonts w:ascii="Book Antiqua" w:eastAsia="SimSun" w:hAnsi="Book Antiqua" w:cs="Times New Roman"/>
          <w:kern w:val="2"/>
          <w:lang w:eastAsia="zh-CN"/>
        </w:rPr>
        <w:t xml:space="preserve"> P, </w:t>
      </w:r>
      <w:proofErr w:type="spellStart"/>
      <w:r w:rsidRPr="00B529BA">
        <w:rPr>
          <w:rFonts w:ascii="Book Antiqua" w:eastAsia="SimSun" w:hAnsi="Book Antiqua" w:cs="Times New Roman"/>
          <w:kern w:val="2"/>
          <w:lang w:eastAsia="zh-CN"/>
        </w:rPr>
        <w:t>Drenth</w:t>
      </w:r>
      <w:proofErr w:type="spellEnd"/>
      <w:r w:rsidRPr="00B529BA">
        <w:rPr>
          <w:rFonts w:ascii="Book Antiqua" w:eastAsia="SimSun" w:hAnsi="Book Antiqua" w:cs="Times New Roman"/>
          <w:kern w:val="2"/>
          <w:lang w:eastAsia="zh-CN"/>
        </w:rPr>
        <w:t xml:space="preserve"> JP, </w:t>
      </w:r>
      <w:proofErr w:type="spellStart"/>
      <w:r w:rsidRPr="00B529BA">
        <w:rPr>
          <w:rFonts w:ascii="Book Antiqua" w:eastAsia="SimSun" w:hAnsi="Book Antiqua" w:cs="Times New Roman"/>
          <w:kern w:val="2"/>
          <w:lang w:eastAsia="zh-CN"/>
        </w:rPr>
        <w:t>Pockros</w:t>
      </w:r>
      <w:proofErr w:type="spellEnd"/>
      <w:r w:rsidRPr="00B529BA">
        <w:rPr>
          <w:rFonts w:ascii="Book Antiqua" w:eastAsia="SimSun" w:hAnsi="Book Antiqua" w:cs="Times New Roman"/>
          <w:kern w:val="2"/>
          <w:lang w:eastAsia="zh-CN"/>
        </w:rPr>
        <w:t xml:space="preserve"> PJ, Regula J, </w:t>
      </w:r>
      <w:proofErr w:type="spellStart"/>
      <w:r w:rsidRPr="00B529BA">
        <w:rPr>
          <w:rFonts w:ascii="Book Antiqua" w:eastAsia="SimSun" w:hAnsi="Book Antiqua" w:cs="Times New Roman"/>
          <w:kern w:val="2"/>
          <w:lang w:eastAsia="zh-CN"/>
        </w:rPr>
        <w:t>Beuers</w:t>
      </w:r>
      <w:proofErr w:type="spellEnd"/>
      <w:r w:rsidRPr="00B529BA">
        <w:rPr>
          <w:rFonts w:ascii="Book Antiqua" w:eastAsia="SimSun" w:hAnsi="Book Antiqua" w:cs="Times New Roman"/>
          <w:kern w:val="2"/>
          <w:lang w:eastAsia="zh-CN"/>
        </w:rPr>
        <w:t xml:space="preserve"> U, </w:t>
      </w:r>
      <w:proofErr w:type="spellStart"/>
      <w:r w:rsidRPr="00B529BA">
        <w:rPr>
          <w:rFonts w:ascii="Book Antiqua" w:eastAsia="SimSun" w:hAnsi="Book Antiqua" w:cs="Times New Roman"/>
          <w:kern w:val="2"/>
          <w:lang w:eastAsia="zh-CN"/>
        </w:rPr>
        <w:t>Trauner</w:t>
      </w:r>
      <w:proofErr w:type="spellEnd"/>
      <w:r w:rsidRPr="00B529BA">
        <w:rPr>
          <w:rFonts w:ascii="Book Antiqua" w:eastAsia="SimSun" w:hAnsi="Book Antiqua" w:cs="Times New Roman"/>
          <w:kern w:val="2"/>
          <w:lang w:eastAsia="zh-CN"/>
        </w:rPr>
        <w:t xml:space="preserve"> M, Jones DE, </w:t>
      </w:r>
      <w:proofErr w:type="spellStart"/>
      <w:r w:rsidRPr="00B529BA">
        <w:rPr>
          <w:rFonts w:ascii="Book Antiqua" w:eastAsia="SimSun" w:hAnsi="Book Antiqua" w:cs="Times New Roman"/>
          <w:kern w:val="2"/>
          <w:lang w:eastAsia="zh-CN"/>
        </w:rPr>
        <w:t>Floreani</w:t>
      </w:r>
      <w:proofErr w:type="spellEnd"/>
      <w:r w:rsidRPr="00B529BA">
        <w:rPr>
          <w:rFonts w:ascii="Book Antiqua" w:eastAsia="SimSun" w:hAnsi="Book Antiqua" w:cs="Times New Roman"/>
          <w:kern w:val="2"/>
          <w:lang w:eastAsia="zh-CN"/>
        </w:rPr>
        <w:t xml:space="preserve"> A, </w:t>
      </w:r>
      <w:proofErr w:type="spellStart"/>
      <w:r w:rsidRPr="00B529BA">
        <w:rPr>
          <w:rFonts w:ascii="Book Antiqua" w:eastAsia="SimSun" w:hAnsi="Book Antiqua" w:cs="Times New Roman"/>
          <w:kern w:val="2"/>
          <w:lang w:eastAsia="zh-CN"/>
        </w:rPr>
        <w:t>Hohenester</w:t>
      </w:r>
      <w:proofErr w:type="spellEnd"/>
      <w:r w:rsidRPr="00B529BA">
        <w:rPr>
          <w:rFonts w:ascii="Book Antiqua" w:eastAsia="SimSun" w:hAnsi="Book Antiqua" w:cs="Times New Roman"/>
          <w:kern w:val="2"/>
          <w:lang w:eastAsia="zh-CN"/>
        </w:rPr>
        <w:t xml:space="preserve"> S, </w:t>
      </w:r>
      <w:proofErr w:type="spellStart"/>
      <w:r w:rsidRPr="00B529BA">
        <w:rPr>
          <w:rFonts w:ascii="Book Antiqua" w:eastAsia="SimSun" w:hAnsi="Book Antiqua" w:cs="Times New Roman"/>
          <w:kern w:val="2"/>
          <w:lang w:eastAsia="zh-CN"/>
        </w:rPr>
        <w:t>Luketic</w:t>
      </w:r>
      <w:proofErr w:type="spellEnd"/>
      <w:r w:rsidRPr="00B529BA">
        <w:rPr>
          <w:rFonts w:ascii="Book Antiqua" w:eastAsia="SimSun" w:hAnsi="Book Antiqua" w:cs="Times New Roman"/>
          <w:kern w:val="2"/>
          <w:lang w:eastAsia="zh-CN"/>
        </w:rPr>
        <w:t xml:space="preserve"> V, </w:t>
      </w:r>
      <w:proofErr w:type="spellStart"/>
      <w:r w:rsidRPr="00B529BA">
        <w:rPr>
          <w:rFonts w:ascii="Book Antiqua" w:eastAsia="SimSun" w:hAnsi="Book Antiqua" w:cs="Times New Roman"/>
          <w:kern w:val="2"/>
          <w:lang w:eastAsia="zh-CN"/>
        </w:rPr>
        <w:t>Shiffman</w:t>
      </w:r>
      <w:proofErr w:type="spellEnd"/>
      <w:r w:rsidRPr="00B529BA">
        <w:rPr>
          <w:rFonts w:ascii="Book Antiqua" w:eastAsia="SimSun" w:hAnsi="Book Antiqua" w:cs="Times New Roman"/>
          <w:kern w:val="2"/>
          <w:lang w:eastAsia="zh-CN"/>
        </w:rPr>
        <w:t xml:space="preserve"> M, van </w:t>
      </w:r>
      <w:proofErr w:type="spellStart"/>
      <w:r w:rsidRPr="00B529BA">
        <w:rPr>
          <w:rFonts w:ascii="Book Antiqua" w:eastAsia="SimSun" w:hAnsi="Book Antiqua" w:cs="Times New Roman"/>
          <w:kern w:val="2"/>
          <w:lang w:eastAsia="zh-CN"/>
        </w:rPr>
        <w:t>Erpecum</w:t>
      </w:r>
      <w:proofErr w:type="spellEnd"/>
      <w:r w:rsidRPr="00B529BA">
        <w:rPr>
          <w:rFonts w:ascii="Book Antiqua" w:eastAsia="SimSun" w:hAnsi="Book Antiqua" w:cs="Times New Roman"/>
          <w:kern w:val="2"/>
          <w:lang w:eastAsia="zh-CN"/>
        </w:rPr>
        <w:t xml:space="preserve"> KJ, Vargas V, Vincent C, Hirschfield GM, Shah H, Hansen B, </w:t>
      </w:r>
      <w:proofErr w:type="spellStart"/>
      <w:r w:rsidRPr="00B529BA">
        <w:rPr>
          <w:rFonts w:ascii="Book Antiqua" w:eastAsia="SimSun" w:hAnsi="Book Antiqua" w:cs="Times New Roman"/>
          <w:kern w:val="2"/>
          <w:lang w:eastAsia="zh-CN"/>
        </w:rPr>
        <w:t>Lindor</w:t>
      </w:r>
      <w:proofErr w:type="spellEnd"/>
      <w:r w:rsidRPr="00B529BA">
        <w:rPr>
          <w:rFonts w:ascii="Book Antiqua" w:eastAsia="SimSun" w:hAnsi="Book Antiqua" w:cs="Times New Roman"/>
          <w:kern w:val="2"/>
          <w:lang w:eastAsia="zh-CN"/>
        </w:rPr>
        <w:t xml:space="preserve"> KD, </w:t>
      </w:r>
      <w:proofErr w:type="spellStart"/>
      <w:r w:rsidRPr="00B529BA">
        <w:rPr>
          <w:rFonts w:ascii="Book Antiqua" w:eastAsia="SimSun" w:hAnsi="Book Antiqua" w:cs="Times New Roman"/>
          <w:kern w:val="2"/>
          <w:lang w:eastAsia="zh-CN"/>
        </w:rPr>
        <w:t>Marschall</w:t>
      </w:r>
      <w:proofErr w:type="spellEnd"/>
      <w:r w:rsidRPr="00B529BA">
        <w:rPr>
          <w:rFonts w:ascii="Book Antiqua" w:eastAsia="SimSun" w:hAnsi="Book Antiqua" w:cs="Times New Roman"/>
          <w:kern w:val="2"/>
          <w:lang w:eastAsia="zh-CN"/>
        </w:rPr>
        <w:t xml:space="preserve"> HU, </w:t>
      </w:r>
      <w:proofErr w:type="spellStart"/>
      <w:r w:rsidRPr="00B529BA">
        <w:rPr>
          <w:rFonts w:ascii="Book Antiqua" w:eastAsia="SimSun" w:hAnsi="Book Antiqua" w:cs="Times New Roman"/>
          <w:kern w:val="2"/>
          <w:lang w:eastAsia="zh-CN"/>
        </w:rPr>
        <w:t>Kowdley</w:t>
      </w:r>
      <w:proofErr w:type="spellEnd"/>
      <w:r w:rsidRPr="00B529BA">
        <w:rPr>
          <w:rFonts w:ascii="Book Antiqua" w:eastAsia="SimSun" w:hAnsi="Book Antiqua" w:cs="Times New Roman"/>
          <w:kern w:val="2"/>
          <w:lang w:eastAsia="zh-CN"/>
        </w:rPr>
        <w:t xml:space="preserve"> KV, </w:t>
      </w:r>
      <w:proofErr w:type="spellStart"/>
      <w:r w:rsidRPr="00B529BA">
        <w:rPr>
          <w:rFonts w:ascii="Book Antiqua" w:eastAsia="SimSun" w:hAnsi="Book Antiqua" w:cs="Times New Roman"/>
          <w:kern w:val="2"/>
          <w:lang w:eastAsia="zh-CN"/>
        </w:rPr>
        <w:t>Hooshmand</w:t>
      </w:r>
      <w:proofErr w:type="spellEnd"/>
      <w:r w:rsidRPr="00B529BA">
        <w:rPr>
          <w:rFonts w:ascii="Book Antiqua" w:eastAsia="SimSun" w:hAnsi="Book Antiqua" w:cs="Times New Roman"/>
          <w:kern w:val="2"/>
          <w:lang w:eastAsia="zh-CN"/>
        </w:rPr>
        <w:t xml:space="preserve">-Rad R, Marmon T, </w:t>
      </w:r>
      <w:proofErr w:type="spellStart"/>
      <w:r w:rsidRPr="00B529BA">
        <w:rPr>
          <w:rFonts w:ascii="Book Antiqua" w:eastAsia="SimSun" w:hAnsi="Book Antiqua" w:cs="Times New Roman"/>
          <w:kern w:val="2"/>
          <w:lang w:eastAsia="zh-CN"/>
        </w:rPr>
        <w:t>Sheeron</w:t>
      </w:r>
      <w:proofErr w:type="spellEnd"/>
      <w:r w:rsidRPr="00B529BA">
        <w:rPr>
          <w:rFonts w:ascii="Book Antiqua" w:eastAsia="SimSun" w:hAnsi="Book Antiqua" w:cs="Times New Roman"/>
          <w:kern w:val="2"/>
          <w:lang w:eastAsia="zh-CN"/>
        </w:rPr>
        <w:t xml:space="preserve"> S, </w:t>
      </w:r>
      <w:proofErr w:type="spellStart"/>
      <w:r w:rsidRPr="00B529BA">
        <w:rPr>
          <w:rFonts w:ascii="Book Antiqua" w:eastAsia="SimSun" w:hAnsi="Book Antiqua" w:cs="Times New Roman"/>
          <w:kern w:val="2"/>
          <w:lang w:eastAsia="zh-CN"/>
        </w:rPr>
        <w:t>Pencek</w:t>
      </w:r>
      <w:proofErr w:type="spellEnd"/>
      <w:r w:rsidRPr="00B529BA">
        <w:rPr>
          <w:rFonts w:ascii="Book Antiqua" w:eastAsia="SimSun" w:hAnsi="Book Antiqua" w:cs="Times New Roman"/>
          <w:kern w:val="2"/>
          <w:lang w:eastAsia="zh-CN"/>
        </w:rPr>
        <w:t xml:space="preserve"> R, </w:t>
      </w:r>
      <w:proofErr w:type="spellStart"/>
      <w:r w:rsidRPr="00B529BA">
        <w:rPr>
          <w:rFonts w:ascii="Book Antiqua" w:eastAsia="SimSun" w:hAnsi="Book Antiqua" w:cs="Times New Roman"/>
          <w:kern w:val="2"/>
          <w:lang w:eastAsia="zh-CN"/>
        </w:rPr>
        <w:t>MacConell</w:t>
      </w:r>
      <w:proofErr w:type="spellEnd"/>
      <w:r w:rsidRPr="00B529BA">
        <w:rPr>
          <w:rFonts w:ascii="Book Antiqua" w:eastAsia="SimSun" w:hAnsi="Book Antiqua" w:cs="Times New Roman"/>
          <w:kern w:val="2"/>
          <w:lang w:eastAsia="zh-CN"/>
        </w:rPr>
        <w:t xml:space="preserve"> L, </w:t>
      </w:r>
      <w:proofErr w:type="spellStart"/>
      <w:r w:rsidRPr="00B529BA">
        <w:rPr>
          <w:rFonts w:ascii="Book Antiqua" w:eastAsia="SimSun" w:hAnsi="Book Antiqua" w:cs="Times New Roman"/>
          <w:kern w:val="2"/>
          <w:lang w:eastAsia="zh-CN"/>
        </w:rPr>
        <w:t>Pruzanski</w:t>
      </w:r>
      <w:proofErr w:type="spellEnd"/>
      <w:r w:rsidRPr="00B529BA">
        <w:rPr>
          <w:rFonts w:ascii="Book Antiqua" w:eastAsia="SimSun" w:hAnsi="Book Antiqua" w:cs="Times New Roman"/>
          <w:kern w:val="2"/>
          <w:lang w:eastAsia="zh-CN"/>
        </w:rPr>
        <w:t xml:space="preserve"> M, Shapiro D; POISE Study Group. A Placebo-Controlled Trial of Obeticholic Acid in Primary Biliary Cholangitis. </w:t>
      </w:r>
      <w:r w:rsidRPr="00B529BA">
        <w:rPr>
          <w:rFonts w:ascii="Book Antiqua" w:eastAsia="SimSun" w:hAnsi="Book Antiqua" w:cs="Times New Roman"/>
          <w:i/>
          <w:kern w:val="2"/>
          <w:lang w:eastAsia="zh-CN"/>
        </w:rPr>
        <w:t xml:space="preserve">N </w:t>
      </w:r>
      <w:proofErr w:type="spellStart"/>
      <w:r w:rsidRPr="00B529BA">
        <w:rPr>
          <w:rFonts w:ascii="Book Antiqua" w:eastAsia="SimSun" w:hAnsi="Book Antiqua" w:cs="Times New Roman"/>
          <w:i/>
          <w:kern w:val="2"/>
          <w:lang w:eastAsia="zh-CN"/>
        </w:rPr>
        <w:t>Engl</w:t>
      </w:r>
      <w:proofErr w:type="spellEnd"/>
      <w:r w:rsidRPr="00B529BA">
        <w:rPr>
          <w:rFonts w:ascii="Book Antiqua" w:eastAsia="SimSun" w:hAnsi="Book Antiqua" w:cs="Times New Roman"/>
          <w:i/>
          <w:kern w:val="2"/>
          <w:lang w:eastAsia="zh-CN"/>
        </w:rPr>
        <w:t xml:space="preserve"> J Med</w:t>
      </w:r>
      <w:r w:rsidRPr="00B529BA">
        <w:rPr>
          <w:rFonts w:ascii="Book Antiqua" w:eastAsia="SimSun" w:hAnsi="Book Antiqua" w:cs="Times New Roman"/>
          <w:kern w:val="2"/>
          <w:lang w:eastAsia="zh-CN"/>
        </w:rPr>
        <w:t xml:space="preserve"> 2016; </w:t>
      </w:r>
      <w:r w:rsidRPr="00B529BA">
        <w:rPr>
          <w:rFonts w:ascii="Book Antiqua" w:eastAsia="SimSun" w:hAnsi="Book Antiqua" w:cs="Times New Roman"/>
          <w:b/>
          <w:kern w:val="2"/>
          <w:lang w:eastAsia="zh-CN"/>
        </w:rPr>
        <w:t>375</w:t>
      </w:r>
      <w:r w:rsidRPr="00B529BA">
        <w:rPr>
          <w:rFonts w:ascii="Book Antiqua" w:eastAsia="SimSun" w:hAnsi="Book Antiqua" w:cs="Times New Roman"/>
          <w:kern w:val="2"/>
          <w:lang w:eastAsia="zh-CN"/>
        </w:rPr>
        <w:t>: 631-643 [PMID: 27532829 DOI: 10.1056/NEJMoa1509840]</w:t>
      </w:r>
    </w:p>
    <w:p w14:paraId="1B354A88" w14:textId="77777777" w:rsidR="00B529BA" w:rsidRPr="00B529BA" w:rsidRDefault="00B529BA" w:rsidP="00B529BA">
      <w:pPr>
        <w:widowControl w:val="0"/>
        <w:adjustRightInd w:val="0"/>
        <w:snapToGrid w:val="0"/>
        <w:spacing w:line="360" w:lineRule="auto"/>
        <w:jc w:val="both"/>
        <w:rPr>
          <w:rFonts w:ascii="Book Antiqua" w:eastAsia="SimSun" w:hAnsi="Book Antiqua" w:cs="Times New Roman"/>
          <w:kern w:val="2"/>
          <w:lang w:eastAsia="zh-CN"/>
        </w:rPr>
      </w:pPr>
      <w:r w:rsidRPr="00B529BA">
        <w:rPr>
          <w:rFonts w:ascii="Book Antiqua" w:eastAsia="SimSun" w:hAnsi="Book Antiqua" w:cs="Times New Roman"/>
          <w:kern w:val="2"/>
          <w:lang w:eastAsia="zh-CN"/>
        </w:rPr>
        <w:t xml:space="preserve">63 </w:t>
      </w:r>
      <w:r w:rsidRPr="00B529BA">
        <w:rPr>
          <w:rFonts w:ascii="Book Antiqua" w:eastAsia="SimSun" w:hAnsi="Book Antiqua" w:cs="Times New Roman"/>
          <w:b/>
          <w:kern w:val="2"/>
          <w:lang w:eastAsia="zh-CN"/>
        </w:rPr>
        <w:t>Khosla S</w:t>
      </w:r>
      <w:r w:rsidRPr="00B529BA">
        <w:rPr>
          <w:rFonts w:ascii="Book Antiqua" w:eastAsia="SimSun" w:hAnsi="Book Antiqua" w:cs="Times New Roman"/>
          <w:kern w:val="2"/>
          <w:lang w:eastAsia="zh-CN"/>
        </w:rPr>
        <w:t xml:space="preserve">, </w:t>
      </w:r>
      <w:proofErr w:type="spellStart"/>
      <w:r w:rsidRPr="00B529BA">
        <w:rPr>
          <w:rFonts w:ascii="Book Antiqua" w:eastAsia="SimSun" w:hAnsi="Book Antiqua" w:cs="Times New Roman"/>
          <w:kern w:val="2"/>
          <w:lang w:eastAsia="zh-CN"/>
        </w:rPr>
        <w:t>Hofbauer</w:t>
      </w:r>
      <w:proofErr w:type="spellEnd"/>
      <w:r w:rsidRPr="00B529BA">
        <w:rPr>
          <w:rFonts w:ascii="Book Antiqua" w:eastAsia="SimSun" w:hAnsi="Book Antiqua" w:cs="Times New Roman"/>
          <w:kern w:val="2"/>
          <w:lang w:eastAsia="zh-CN"/>
        </w:rPr>
        <w:t xml:space="preserve"> LC. Osteoporosis treatment: recent developments and ongoing challenges. </w:t>
      </w:r>
      <w:r w:rsidRPr="00B529BA">
        <w:rPr>
          <w:rFonts w:ascii="Book Antiqua" w:eastAsia="SimSun" w:hAnsi="Book Antiqua" w:cs="Times New Roman"/>
          <w:i/>
          <w:kern w:val="2"/>
          <w:lang w:eastAsia="zh-CN"/>
        </w:rPr>
        <w:t xml:space="preserve">Lancet Diabetes </w:t>
      </w:r>
      <w:proofErr w:type="spellStart"/>
      <w:r w:rsidRPr="00B529BA">
        <w:rPr>
          <w:rFonts w:ascii="Book Antiqua" w:eastAsia="SimSun" w:hAnsi="Book Antiqua" w:cs="Times New Roman"/>
          <w:i/>
          <w:kern w:val="2"/>
          <w:lang w:eastAsia="zh-CN"/>
        </w:rPr>
        <w:t>Endocrinol</w:t>
      </w:r>
      <w:proofErr w:type="spellEnd"/>
      <w:r w:rsidRPr="00B529BA">
        <w:rPr>
          <w:rFonts w:ascii="Book Antiqua" w:eastAsia="SimSun" w:hAnsi="Book Antiqua" w:cs="Times New Roman"/>
          <w:kern w:val="2"/>
          <w:lang w:eastAsia="zh-CN"/>
        </w:rPr>
        <w:t xml:space="preserve"> 2017; </w:t>
      </w:r>
      <w:r w:rsidRPr="00B529BA">
        <w:rPr>
          <w:rFonts w:ascii="Book Antiqua" w:eastAsia="SimSun" w:hAnsi="Book Antiqua" w:cs="Times New Roman"/>
          <w:b/>
          <w:kern w:val="2"/>
          <w:lang w:eastAsia="zh-CN"/>
        </w:rPr>
        <w:t>5</w:t>
      </w:r>
      <w:r w:rsidRPr="00B529BA">
        <w:rPr>
          <w:rFonts w:ascii="Book Antiqua" w:eastAsia="SimSun" w:hAnsi="Book Antiqua" w:cs="Times New Roman"/>
          <w:kern w:val="2"/>
          <w:lang w:eastAsia="zh-CN"/>
        </w:rPr>
        <w:t xml:space="preserve">: 898-907 [PMID: 28689769 </w:t>
      </w:r>
      <w:r w:rsidRPr="00B529BA">
        <w:rPr>
          <w:rFonts w:ascii="Book Antiqua" w:eastAsia="SimSun" w:hAnsi="Book Antiqua" w:cs="Times New Roman"/>
          <w:kern w:val="2"/>
          <w:lang w:eastAsia="zh-CN"/>
        </w:rPr>
        <w:lastRenderedPageBreak/>
        <w:t>DOI: 10.1016/S2213-8587(17)30188-2]</w:t>
      </w:r>
    </w:p>
    <w:p w14:paraId="6DB74253" w14:textId="3D12FF02" w:rsidR="00B529BA" w:rsidRPr="00B529BA" w:rsidRDefault="00B529BA" w:rsidP="00B529BA">
      <w:pPr>
        <w:widowControl w:val="0"/>
        <w:wordWrap w:val="0"/>
        <w:adjustRightInd w:val="0"/>
        <w:snapToGrid w:val="0"/>
        <w:spacing w:line="360" w:lineRule="auto"/>
        <w:ind w:left="361" w:hangingChars="150" w:hanging="361"/>
        <w:jc w:val="right"/>
        <w:rPr>
          <w:rFonts w:ascii="Book Antiqua" w:eastAsia="SimSun" w:hAnsi="Book Antiqua" w:cs="Times New Roman"/>
          <w:color w:val="000000"/>
          <w:kern w:val="2"/>
          <w:szCs w:val="22"/>
          <w:lang w:eastAsia="zh-CN"/>
        </w:rPr>
      </w:pPr>
      <w:r w:rsidRPr="00B529BA">
        <w:rPr>
          <w:rFonts w:ascii="Book Antiqua" w:eastAsia="SimSun" w:hAnsi="Book Antiqua" w:cs="Times New Roman"/>
          <w:b/>
          <w:bCs/>
          <w:color w:val="000000"/>
          <w:kern w:val="2"/>
          <w:szCs w:val="22"/>
          <w:lang w:eastAsia="zh-CN"/>
        </w:rPr>
        <w:t>P-Reviewer:</w:t>
      </w:r>
      <w:r w:rsidRPr="00B529BA">
        <w:rPr>
          <w:rFonts w:ascii="Book Antiqua" w:eastAsia="SimSun" w:hAnsi="Book Antiqua" w:cs="Times New Roman" w:hint="eastAsia"/>
          <w:bCs/>
          <w:color w:val="000000"/>
          <w:kern w:val="2"/>
          <w:szCs w:val="22"/>
          <w:lang w:eastAsia="zh-CN"/>
        </w:rPr>
        <w:t xml:space="preserve"> </w:t>
      </w:r>
      <w:r w:rsidRPr="00B529BA">
        <w:rPr>
          <w:rFonts w:ascii="Book Antiqua" w:eastAsia="SimSun" w:hAnsi="Book Antiqua" w:cs="Times New Roman"/>
          <w:bCs/>
          <w:color w:val="000000"/>
          <w:kern w:val="2"/>
          <w:szCs w:val="22"/>
          <w:lang w:eastAsia="zh-CN"/>
        </w:rPr>
        <w:t>Takahashi</w:t>
      </w:r>
      <w:r>
        <w:rPr>
          <w:rFonts w:ascii="Book Antiqua" w:eastAsia="SimSun" w:hAnsi="Book Antiqua" w:cs="Times New Roman" w:hint="eastAsia"/>
          <w:bCs/>
          <w:color w:val="000000"/>
          <w:kern w:val="2"/>
          <w:szCs w:val="22"/>
          <w:lang w:eastAsia="zh-CN"/>
        </w:rPr>
        <w:t xml:space="preserve"> T </w:t>
      </w:r>
      <w:r w:rsidRPr="00B529BA">
        <w:rPr>
          <w:rFonts w:ascii="Book Antiqua" w:eastAsia="SimSun" w:hAnsi="Book Antiqua" w:cs="Times New Roman"/>
          <w:b/>
          <w:bCs/>
          <w:color w:val="000000"/>
          <w:kern w:val="2"/>
          <w:szCs w:val="22"/>
          <w:lang w:eastAsia="zh-CN"/>
        </w:rPr>
        <w:t>S-Editor:</w:t>
      </w:r>
      <w:r>
        <w:rPr>
          <w:rFonts w:ascii="Book Antiqua" w:eastAsia="SimSun" w:hAnsi="Book Antiqua" w:cs="Times New Roman" w:hint="eastAsia"/>
          <w:b/>
          <w:bCs/>
          <w:color w:val="000000"/>
          <w:kern w:val="2"/>
          <w:szCs w:val="22"/>
          <w:lang w:eastAsia="zh-CN"/>
        </w:rPr>
        <w:t xml:space="preserve"> </w:t>
      </w:r>
      <w:r w:rsidRPr="00B529BA">
        <w:rPr>
          <w:rFonts w:ascii="Book Antiqua" w:eastAsia="SimSun" w:hAnsi="Book Antiqua" w:cs="Times New Roman" w:hint="eastAsia"/>
          <w:bCs/>
          <w:color w:val="000000"/>
          <w:kern w:val="2"/>
          <w:szCs w:val="22"/>
          <w:lang w:eastAsia="zh-CN"/>
        </w:rPr>
        <w:t>Wang XJ</w:t>
      </w:r>
    </w:p>
    <w:p w14:paraId="2A7860B1" w14:textId="77777777" w:rsidR="00B529BA" w:rsidRPr="00B529BA" w:rsidRDefault="00B529BA" w:rsidP="00B529BA">
      <w:pPr>
        <w:widowControl w:val="0"/>
        <w:adjustRightInd w:val="0"/>
        <w:snapToGrid w:val="0"/>
        <w:spacing w:line="360" w:lineRule="auto"/>
        <w:ind w:left="361" w:hangingChars="150" w:hanging="361"/>
        <w:jc w:val="right"/>
        <w:rPr>
          <w:rFonts w:ascii="Book Antiqua" w:eastAsia="SimSun" w:hAnsi="Book Antiqua" w:cs="Times New Roman"/>
          <w:b/>
          <w:bCs/>
          <w:color w:val="000000"/>
          <w:kern w:val="2"/>
          <w:szCs w:val="22"/>
          <w:lang w:eastAsia="zh-CN"/>
        </w:rPr>
      </w:pPr>
      <w:r w:rsidRPr="00B529BA">
        <w:rPr>
          <w:rFonts w:ascii="Book Antiqua" w:eastAsia="SimSun" w:hAnsi="Book Antiqua" w:cs="Times New Roman"/>
          <w:b/>
          <w:bCs/>
          <w:color w:val="000000"/>
          <w:kern w:val="2"/>
          <w:szCs w:val="22"/>
          <w:lang w:eastAsia="zh-CN"/>
        </w:rPr>
        <w:t>L-Editor:</w:t>
      </w:r>
      <w:r w:rsidRPr="00B529BA">
        <w:rPr>
          <w:rFonts w:ascii="Book Antiqua" w:eastAsia="SimSun" w:hAnsi="Book Antiqua" w:cs="Times New Roman"/>
          <w:color w:val="000000"/>
          <w:kern w:val="2"/>
          <w:szCs w:val="22"/>
          <w:lang w:eastAsia="zh-CN"/>
        </w:rPr>
        <w:t xml:space="preserve"> </w:t>
      </w:r>
      <w:r w:rsidRPr="00B529BA">
        <w:rPr>
          <w:rFonts w:ascii="Book Antiqua" w:eastAsia="SimSun" w:hAnsi="Book Antiqua" w:cs="Times New Roman"/>
          <w:b/>
          <w:bCs/>
          <w:color w:val="000000"/>
          <w:kern w:val="2"/>
          <w:szCs w:val="22"/>
          <w:lang w:eastAsia="zh-CN"/>
        </w:rPr>
        <w:t>E-Editor:</w:t>
      </w:r>
    </w:p>
    <w:p w14:paraId="244EE16E" w14:textId="77777777" w:rsidR="00B529BA" w:rsidRPr="00B529BA" w:rsidRDefault="00B529BA" w:rsidP="00B529BA">
      <w:pPr>
        <w:adjustRightInd w:val="0"/>
        <w:snapToGrid w:val="0"/>
        <w:spacing w:line="360" w:lineRule="auto"/>
        <w:jc w:val="both"/>
        <w:rPr>
          <w:rFonts w:ascii="Book Antiqua" w:eastAsia="MS Mincho" w:hAnsi="Book Antiqua" w:cs="Times New Roman"/>
          <w:lang w:eastAsia="zh-CN"/>
        </w:rPr>
      </w:pPr>
      <w:r w:rsidRPr="00B529BA">
        <w:rPr>
          <w:rFonts w:ascii="Book Antiqua" w:eastAsia="MS Mincho" w:hAnsi="Book Antiqua" w:cs="Times New Roman"/>
          <w:b/>
          <w:lang w:eastAsia="zh-CN"/>
        </w:rPr>
        <w:t>Specialty type:</w:t>
      </w:r>
      <w:r w:rsidRPr="00B529BA">
        <w:rPr>
          <w:rFonts w:ascii="Book Antiqua" w:eastAsia="MS Mincho" w:hAnsi="Book Antiqua" w:cs="Times New Roman"/>
          <w:lang w:eastAsia="zh-CN"/>
        </w:rPr>
        <w:t xml:space="preserve"> Gastroenterology and hepatology</w:t>
      </w:r>
    </w:p>
    <w:p w14:paraId="012AFD3A" w14:textId="2B776926" w:rsidR="00B529BA" w:rsidRPr="00B529BA" w:rsidRDefault="00B529BA" w:rsidP="00B529BA">
      <w:pPr>
        <w:adjustRightInd w:val="0"/>
        <w:snapToGrid w:val="0"/>
        <w:spacing w:line="360" w:lineRule="auto"/>
        <w:jc w:val="both"/>
        <w:rPr>
          <w:rFonts w:ascii="Book Antiqua" w:eastAsia="SimSun" w:hAnsi="Book Antiqua" w:cs="Times New Roman"/>
          <w:lang w:eastAsia="zh-CN"/>
        </w:rPr>
      </w:pPr>
      <w:r w:rsidRPr="00B529BA">
        <w:rPr>
          <w:rFonts w:ascii="Book Antiqua" w:eastAsia="MS Mincho" w:hAnsi="Book Antiqua" w:cs="Times New Roman"/>
          <w:b/>
          <w:lang w:eastAsia="zh-CN"/>
        </w:rPr>
        <w:t>Country of origin:</w:t>
      </w:r>
      <w:r>
        <w:rPr>
          <w:rFonts w:ascii="Book Antiqua" w:eastAsia="SimSun" w:hAnsi="Book Antiqua" w:cs="Times New Roman" w:hint="eastAsia"/>
          <w:b/>
          <w:lang w:eastAsia="zh-CN"/>
        </w:rPr>
        <w:t xml:space="preserve"> </w:t>
      </w:r>
      <w:r w:rsidRPr="00B529BA">
        <w:rPr>
          <w:rFonts w:ascii="Book Antiqua" w:eastAsia="SimSun" w:hAnsi="Book Antiqua" w:cs="Times New Roman"/>
          <w:lang w:eastAsia="zh-CN"/>
        </w:rPr>
        <w:t>United States</w:t>
      </w:r>
    </w:p>
    <w:p w14:paraId="69413963" w14:textId="77777777" w:rsidR="00B529BA" w:rsidRPr="00B529BA" w:rsidRDefault="00B529BA" w:rsidP="00B529BA">
      <w:pPr>
        <w:adjustRightInd w:val="0"/>
        <w:snapToGrid w:val="0"/>
        <w:spacing w:line="360" w:lineRule="auto"/>
        <w:jc w:val="both"/>
        <w:rPr>
          <w:rFonts w:ascii="Book Antiqua" w:eastAsia="MS Mincho" w:hAnsi="Book Antiqua" w:cs="Times New Roman"/>
          <w:b/>
          <w:lang w:eastAsia="zh-CN"/>
        </w:rPr>
      </w:pPr>
      <w:r w:rsidRPr="00B529BA">
        <w:rPr>
          <w:rFonts w:ascii="Book Antiqua" w:eastAsia="MS Mincho" w:hAnsi="Book Antiqua" w:cs="Times New Roman"/>
          <w:b/>
          <w:lang w:eastAsia="zh-CN"/>
        </w:rPr>
        <w:t>Peer-review report classification</w:t>
      </w:r>
    </w:p>
    <w:p w14:paraId="06438853" w14:textId="77777777" w:rsidR="00B529BA" w:rsidRPr="00B529BA" w:rsidRDefault="00B529BA" w:rsidP="00B529BA">
      <w:pPr>
        <w:adjustRightInd w:val="0"/>
        <w:snapToGrid w:val="0"/>
        <w:spacing w:line="360" w:lineRule="auto"/>
        <w:jc w:val="both"/>
        <w:rPr>
          <w:rFonts w:ascii="Book Antiqua" w:eastAsia="MS Mincho" w:hAnsi="Book Antiqua" w:cs="Times New Roman"/>
          <w:lang w:eastAsia="zh-CN"/>
        </w:rPr>
      </w:pPr>
      <w:r w:rsidRPr="00B529BA">
        <w:rPr>
          <w:rFonts w:ascii="Book Antiqua" w:eastAsia="MS Mincho" w:hAnsi="Book Antiqua" w:cs="Times New Roman"/>
          <w:lang w:eastAsia="zh-CN"/>
        </w:rPr>
        <w:t xml:space="preserve">Grade </w:t>
      </w:r>
      <w:proofErr w:type="gramStart"/>
      <w:r w:rsidRPr="00B529BA">
        <w:rPr>
          <w:rFonts w:ascii="Book Antiqua" w:eastAsia="MS Mincho" w:hAnsi="Book Antiqua" w:cs="Times New Roman"/>
          <w:lang w:eastAsia="zh-CN"/>
        </w:rPr>
        <w:t>A</w:t>
      </w:r>
      <w:proofErr w:type="gramEnd"/>
      <w:r w:rsidRPr="00B529BA">
        <w:rPr>
          <w:rFonts w:ascii="Book Antiqua" w:eastAsia="MS Mincho" w:hAnsi="Book Antiqua" w:cs="Times New Roman"/>
          <w:lang w:eastAsia="zh-CN"/>
        </w:rPr>
        <w:t xml:space="preserve"> (Excellent): 0</w:t>
      </w:r>
    </w:p>
    <w:p w14:paraId="67D192AB" w14:textId="77777777" w:rsidR="00B529BA" w:rsidRPr="00B529BA" w:rsidRDefault="00B529BA" w:rsidP="00B529BA">
      <w:pPr>
        <w:adjustRightInd w:val="0"/>
        <w:snapToGrid w:val="0"/>
        <w:spacing w:line="360" w:lineRule="auto"/>
        <w:jc w:val="both"/>
        <w:rPr>
          <w:rFonts w:ascii="Book Antiqua" w:eastAsia="SimSun" w:hAnsi="Book Antiqua" w:cs="Times New Roman"/>
          <w:lang w:eastAsia="zh-CN"/>
        </w:rPr>
      </w:pPr>
      <w:r w:rsidRPr="00B529BA">
        <w:rPr>
          <w:rFonts w:ascii="Book Antiqua" w:eastAsia="MS Mincho" w:hAnsi="Book Antiqua" w:cs="Times New Roman"/>
          <w:lang w:eastAsia="zh-CN"/>
        </w:rPr>
        <w:t>Grade B (Very good):</w:t>
      </w:r>
      <w:r w:rsidRPr="00B529BA">
        <w:rPr>
          <w:rFonts w:ascii="Book Antiqua" w:eastAsia="SimSun" w:hAnsi="Book Antiqua" w:cs="Times New Roman" w:hint="eastAsia"/>
          <w:lang w:eastAsia="zh-CN"/>
        </w:rPr>
        <w:t xml:space="preserve"> 0</w:t>
      </w:r>
    </w:p>
    <w:p w14:paraId="6DF4A500" w14:textId="50B68807" w:rsidR="00B529BA" w:rsidRPr="00B529BA" w:rsidRDefault="00B529BA" w:rsidP="00B529BA">
      <w:pPr>
        <w:adjustRightInd w:val="0"/>
        <w:snapToGrid w:val="0"/>
        <w:spacing w:line="360" w:lineRule="auto"/>
        <w:jc w:val="both"/>
        <w:rPr>
          <w:rFonts w:ascii="Book Antiqua" w:eastAsia="MS Mincho" w:hAnsi="Book Antiqua" w:cs="Times New Roman"/>
          <w:lang w:eastAsia="zh-CN"/>
        </w:rPr>
      </w:pPr>
      <w:r w:rsidRPr="00B529BA">
        <w:rPr>
          <w:rFonts w:ascii="Book Antiqua" w:eastAsia="MS Mincho" w:hAnsi="Book Antiqua" w:cs="Times New Roman"/>
          <w:lang w:eastAsia="zh-CN"/>
        </w:rPr>
        <w:t xml:space="preserve">Grade C (Good): </w:t>
      </w:r>
      <w:r>
        <w:rPr>
          <w:rFonts w:ascii="Book Antiqua" w:eastAsia="SimSun" w:hAnsi="Book Antiqua" w:cs="Times New Roman" w:hint="eastAsia"/>
          <w:lang w:eastAsia="zh-CN"/>
        </w:rPr>
        <w:t>C</w:t>
      </w:r>
    </w:p>
    <w:p w14:paraId="5D6AED01" w14:textId="77777777" w:rsidR="00B529BA" w:rsidRPr="00B529BA" w:rsidRDefault="00B529BA" w:rsidP="00B529BA">
      <w:pPr>
        <w:adjustRightInd w:val="0"/>
        <w:snapToGrid w:val="0"/>
        <w:spacing w:line="360" w:lineRule="auto"/>
        <w:jc w:val="both"/>
        <w:rPr>
          <w:rFonts w:ascii="Book Antiqua" w:eastAsia="MS Mincho" w:hAnsi="Book Antiqua" w:cs="Times New Roman"/>
          <w:lang w:eastAsia="zh-CN"/>
        </w:rPr>
      </w:pPr>
      <w:r w:rsidRPr="00B529BA">
        <w:rPr>
          <w:rFonts w:ascii="Book Antiqua" w:eastAsia="MS Mincho" w:hAnsi="Book Antiqua" w:cs="Times New Roman"/>
          <w:lang w:eastAsia="zh-CN"/>
        </w:rPr>
        <w:t>Grade D (Fair): 0</w:t>
      </w:r>
    </w:p>
    <w:p w14:paraId="7D4708B1" w14:textId="77777777" w:rsidR="00B529BA" w:rsidRDefault="00B529BA" w:rsidP="00B529BA">
      <w:pPr>
        <w:widowControl w:val="0"/>
        <w:autoSpaceDE w:val="0"/>
        <w:autoSpaceDN w:val="0"/>
        <w:adjustRightInd w:val="0"/>
        <w:snapToGrid w:val="0"/>
        <w:spacing w:line="360" w:lineRule="auto"/>
        <w:jc w:val="both"/>
        <w:rPr>
          <w:rFonts w:ascii="Book Antiqua" w:eastAsia="SimSun" w:hAnsi="Book Antiqua" w:cs="Times New Roman"/>
          <w:lang w:eastAsia="zh-CN"/>
        </w:rPr>
      </w:pPr>
      <w:r w:rsidRPr="00B529BA">
        <w:rPr>
          <w:rFonts w:ascii="Book Antiqua" w:eastAsia="MS Mincho" w:hAnsi="Book Antiqua" w:cs="Times New Roman"/>
          <w:lang w:eastAsia="zh-CN"/>
        </w:rPr>
        <w:t>Grade E (Poor): 0</w:t>
      </w:r>
    </w:p>
    <w:p w14:paraId="43568FA6" w14:textId="29257027" w:rsidR="002C7775" w:rsidRPr="002D44D6" w:rsidRDefault="002C7775" w:rsidP="00B529BA">
      <w:pPr>
        <w:widowControl w:val="0"/>
        <w:autoSpaceDE w:val="0"/>
        <w:autoSpaceDN w:val="0"/>
        <w:adjustRightInd w:val="0"/>
        <w:snapToGrid w:val="0"/>
        <w:spacing w:line="360" w:lineRule="auto"/>
        <w:jc w:val="both"/>
        <w:rPr>
          <w:rFonts w:ascii="Book Antiqua" w:eastAsia="Times New Roman" w:hAnsi="Book Antiqua" w:cs="Times New Roman"/>
          <w:b/>
        </w:rPr>
      </w:pPr>
      <w:r w:rsidRPr="002D44D6">
        <w:rPr>
          <w:rFonts w:ascii="Book Antiqua" w:eastAsia="Times New Roman" w:hAnsi="Book Antiqua" w:cs="Times New Roman"/>
          <w:b/>
        </w:rPr>
        <w:br w:type="page"/>
      </w:r>
    </w:p>
    <w:p w14:paraId="26CD4C2A" w14:textId="77777777" w:rsidR="002C7775" w:rsidRDefault="002C7775" w:rsidP="002D44D6">
      <w:pPr>
        <w:widowControl w:val="0"/>
        <w:adjustRightInd w:val="0"/>
        <w:snapToGrid w:val="0"/>
        <w:spacing w:line="360" w:lineRule="auto"/>
        <w:jc w:val="both"/>
        <w:rPr>
          <w:rFonts w:ascii="Book Antiqua" w:eastAsia="SimSun" w:hAnsi="Book Antiqua"/>
          <w:lang w:eastAsia="zh-CN"/>
        </w:rPr>
      </w:pPr>
      <w:r w:rsidRPr="002D44D6">
        <w:rPr>
          <w:rFonts w:ascii="Book Antiqua" w:hAnsi="Book Antiqua"/>
          <w:noProof/>
          <w:lang w:eastAsia="zh-CN"/>
        </w:rPr>
        <w:lastRenderedPageBreak/>
        <w:drawing>
          <wp:inline distT="0" distB="0" distL="0" distR="0" wp14:anchorId="02A206D9" wp14:editId="3F6204A1">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8">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1392C6E9" w14:textId="418AD7E6" w:rsidR="00B529BA" w:rsidRPr="007C1B7D" w:rsidRDefault="00B529BA" w:rsidP="00B529BA">
      <w:pPr>
        <w:widowControl w:val="0"/>
        <w:adjustRightInd w:val="0"/>
        <w:snapToGrid w:val="0"/>
        <w:spacing w:line="360" w:lineRule="auto"/>
        <w:jc w:val="both"/>
        <w:rPr>
          <w:rFonts w:ascii="Book Antiqua" w:eastAsia="SimSun" w:hAnsi="Book Antiqua"/>
          <w:b/>
          <w:lang w:eastAsia="zh-CN"/>
        </w:rPr>
      </w:pPr>
      <w:r w:rsidRPr="002D44D6">
        <w:rPr>
          <w:rFonts w:ascii="Book Antiqua" w:hAnsi="Book Antiqua"/>
          <w:b/>
        </w:rPr>
        <w:t xml:space="preserve">Figure 1 Summary of prevention and treatment strategies for osteoporosis in </w:t>
      </w:r>
      <w:r w:rsidRPr="00B529BA">
        <w:rPr>
          <w:rFonts w:ascii="Book Antiqua" w:hAnsi="Book Antiqua"/>
          <w:b/>
        </w:rPr>
        <w:t>Primary biliary cholangitis</w:t>
      </w:r>
      <w:r w:rsidR="007C1B7D">
        <w:rPr>
          <w:rFonts w:ascii="Book Antiqua" w:eastAsia="SimSun" w:hAnsi="Book Antiqua" w:hint="eastAsia"/>
          <w:b/>
          <w:lang w:eastAsia="zh-CN"/>
        </w:rPr>
        <w:t>.</w:t>
      </w:r>
    </w:p>
    <w:p w14:paraId="524414F6" w14:textId="77777777" w:rsidR="00264B92" w:rsidRPr="007C1B7D" w:rsidRDefault="00264B92" w:rsidP="002D44D6">
      <w:pPr>
        <w:widowControl w:val="0"/>
        <w:adjustRightInd w:val="0"/>
        <w:snapToGrid w:val="0"/>
        <w:spacing w:line="360" w:lineRule="auto"/>
        <w:jc w:val="both"/>
        <w:rPr>
          <w:rFonts w:ascii="Book Antiqua" w:eastAsia="SimSun" w:hAnsi="Book Antiqua" w:cs="Times New Roman"/>
          <w:b/>
          <w:lang w:eastAsia="zh-CN"/>
        </w:rPr>
        <w:sectPr w:rsidR="00264B92" w:rsidRPr="007C1B7D" w:rsidSect="002D44D6">
          <w:headerReference w:type="even" r:id="rId9"/>
          <w:headerReference w:type="default" r:id="rId10"/>
          <w:type w:val="continuous"/>
          <w:pgSz w:w="12240" w:h="15840"/>
          <w:pgMar w:top="1440" w:right="1800" w:bottom="1440" w:left="1800" w:header="720" w:footer="720" w:gutter="0"/>
          <w:cols w:space="720"/>
          <w:docGrid w:linePitch="360"/>
        </w:sectPr>
      </w:pPr>
    </w:p>
    <w:p w14:paraId="40D87B71" w14:textId="770F39C1" w:rsidR="00D95B09" w:rsidRPr="002D44D6" w:rsidRDefault="00140892" w:rsidP="002D44D6">
      <w:pPr>
        <w:widowControl w:val="0"/>
        <w:adjustRightInd w:val="0"/>
        <w:snapToGrid w:val="0"/>
        <w:spacing w:line="360" w:lineRule="auto"/>
        <w:jc w:val="both"/>
        <w:rPr>
          <w:rFonts w:ascii="Book Antiqua" w:eastAsia="Times New Roman" w:hAnsi="Book Antiqua" w:cs="Times New Roman"/>
          <w:b/>
        </w:rPr>
      </w:pPr>
      <w:r w:rsidRPr="002D44D6">
        <w:rPr>
          <w:rFonts w:ascii="Book Antiqua" w:eastAsia="Times New Roman" w:hAnsi="Book Antiqua" w:cs="Times New Roman"/>
          <w:b/>
        </w:rPr>
        <w:lastRenderedPageBreak/>
        <w:t>Table 1</w:t>
      </w:r>
      <w:r w:rsidR="00474D92" w:rsidRPr="002D44D6">
        <w:rPr>
          <w:rFonts w:ascii="Book Antiqua" w:eastAsia="Times New Roman" w:hAnsi="Book Antiqua" w:cs="Times New Roman"/>
          <w:b/>
        </w:rPr>
        <w:t xml:space="preserve"> </w:t>
      </w:r>
      <w:r w:rsidRPr="002D44D6">
        <w:rPr>
          <w:rFonts w:ascii="Book Antiqua" w:eastAsia="Times New Roman" w:hAnsi="Book Antiqua" w:cs="Times New Roman"/>
          <w:b/>
        </w:rPr>
        <w:t>Summary of results in randomized-co</w:t>
      </w:r>
      <w:r w:rsidR="00E02673">
        <w:rPr>
          <w:rFonts w:ascii="Book Antiqua" w:eastAsia="Times New Roman" w:hAnsi="Book Antiqua" w:cs="Times New Roman"/>
          <w:b/>
        </w:rPr>
        <w:t>ntrolled trials of active agent</w:t>
      </w:r>
      <w:r w:rsidRPr="002D44D6">
        <w:rPr>
          <w:rFonts w:ascii="Book Antiqua" w:eastAsia="Times New Roman" w:hAnsi="Book Antiqua" w:cs="Times New Roman"/>
          <w:b/>
        </w:rPr>
        <w:t xml:space="preserve"> </w:t>
      </w:r>
      <w:r w:rsidRPr="00E02673">
        <w:rPr>
          <w:rFonts w:ascii="Book Antiqua" w:eastAsia="Times New Roman" w:hAnsi="Book Antiqua" w:cs="Times New Roman"/>
          <w:b/>
          <w:i/>
        </w:rPr>
        <w:t>vs</w:t>
      </w:r>
      <w:r w:rsidRPr="002D44D6">
        <w:rPr>
          <w:rFonts w:ascii="Book Antiqua" w:eastAsia="Times New Roman" w:hAnsi="Book Antiqua" w:cs="Times New Roman"/>
          <w:b/>
        </w:rPr>
        <w:t xml:space="preserve"> placebo or no treatment</w:t>
      </w:r>
    </w:p>
    <w:tbl>
      <w:tblPr>
        <w:tblW w:w="5746" w:type="pct"/>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33"/>
        <w:gridCol w:w="2922"/>
        <w:gridCol w:w="2694"/>
        <w:gridCol w:w="2410"/>
        <w:gridCol w:w="2266"/>
        <w:gridCol w:w="1701"/>
      </w:tblGrid>
      <w:tr w:rsidR="00264B92" w:rsidRPr="002D44D6" w14:paraId="34F762E1" w14:textId="77777777" w:rsidTr="00EA034E">
        <w:tc>
          <w:tcPr>
            <w:tcW w:w="1009" w:type="pct"/>
          </w:tcPr>
          <w:p w14:paraId="2EC86491" w14:textId="77777777" w:rsidR="00264B92" w:rsidRPr="00B529BA" w:rsidRDefault="00264B92" w:rsidP="00B529BA">
            <w:pPr>
              <w:widowControl w:val="0"/>
              <w:adjustRightInd w:val="0"/>
              <w:snapToGrid w:val="0"/>
              <w:spacing w:line="360" w:lineRule="auto"/>
              <w:rPr>
                <w:rFonts w:ascii="Book Antiqua" w:hAnsi="Book Antiqua" w:cs="Arial"/>
                <w:b/>
                <w:color w:val="000000"/>
              </w:rPr>
            </w:pPr>
            <w:r w:rsidRPr="00B529BA">
              <w:rPr>
                <w:rFonts w:ascii="Book Antiqua" w:hAnsi="Book Antiqua" w:cs="Arial"/>
                <w:b/>
                <w:color w:val="000000"/>
              </w:rPr>
              <w:t>Agent</w:t>
            </w:r>
          </w:p>
        </w:tc>
        <w:tc>
          <w:tcPr>
            <w:tcW w:w="972" w:type="pct"/>
            <w:tcMar>
              <w:top w:w="100" w:type="dxa"/>
              <w:left w:w="100" w:type="dxa"/>
              <w:bottom w:w="100" w:type="dxa"/>
              <w:right w:w="100" w:type="dxa"/>
            </w:tcMar>
            <w:hideMark/>
          </w:tcPr>
          <w:p w14:paraId="58C6DBC7" w14:textId="77777777" w:rsidR="00264B92" w:rsidRPr="00B529BA" w:rsidRDefault="00264B92" w:rsidP="00B529BA">
            <w:pPr>
              <w:widowControl w:val="0"/>
              <w:adjustRightInd w:val="0"/>
              <w:snapToGrid w:val="0"/>
              <w:spacing w:line="360" w:lineRule="auto"/>
              <w:jc w:val="center"/>
              <w:rPr>
                <w:rFonts w:ascii="Book Antiqua" w:hAnsi="Book Antiqua" w:cs="Arial"/>
                <w:b/>
              </w:rPr>
            </w:pPr>
            <w:r w:rsidRPr="00B529BA">
              <w:rPr>
                <w:rFonts w:ascii="Book Antiqua" w:hAnsi="Book Antiqua" w:cs="Arial"/>
                <w:b/>
                <w:color w:val="000000"/>
              </w:rPr>
              <w:t>Treatment</w:t>
            </w:r>
          </w:p>
        </w:tc>
        <w:tc>
          <w:tcPr>
            <w:tcW w:w="896" w:type="pct"/>
            <w:tcMar>
              <w:top w:w="100" w:type="dxa"/>
              <w:left w:w="100" w:type="dxa"/>
              <w:bottom w:w="100" w:type="dxa"/>
              <w:right w:w="100" w:type="dxa"/>
            </w:tcMar>
            <w:hideMark/>
          </w:tcPr>
          <w:p w14:paraId="5FEA379C" w14:textId="214EC811" w:rsidR="00264B92" w:rsidRPr="00B529BA" w:rsidRDefault="00264B92" w:rsidP="00B529BA">
            <w:pPr>
              <w:widowControl w:val="0"/>
              <w:adjustRightInd w:val="0"/>
              <w:snapToGrid w:val="0"/>
              <w:spacing w:line="360" w:lineRule="auto"/>
              <w:jc w:val="center"/>
              <w:rPr>
                <w:rFonts w:ascii="Book Antiqua" w:hAnsi="Book Antiqua" w:cs="Arial"/>
                <w:b/>
              </w:rPr>
            </w:pPr>
            <w:r w:rsidRPr="00B529BA">
              <w:rPr>
                <w:rFonts w:ascii="Book Antiqua" w:hAnsi="Book Antiqua" w:cs="Arial"/>
                <w:b/>
                <w:color w:val="000000"/>
              </w:rPr>
              <w:t xml:space="preserve">No. of </w:t>
            </w:r>
            <w:r w:rsidR="00B529BA" w:rsidRPr="00B529BA">
              <w:rPr>
                <w:rFonts w:ascii="Book Antiqua" w:hAnsi="Book Antiqua" w:cs="Arial"/>
                <w:b/>
                <w:color w:val="000000"/>
              </w:rPr>
              <w:t>p</w:t>
            </w:r>
            <w:r w:rsidRPr="00B529BA">
              <w:rPr>
                <w:rFonts w:ascii="Book Antiqua" w:hAnsi="Book Antiqua" w:cs="Arial"/>
                <w:b/>
                <w:color w:val="000000"/>
              </w:rPr>
              <w:t>atients (</w:t>
            </w:r>
            <w:r w:rsidRPr="00B529BA">
              <w:rPr>
                <w:rFonts w:ascii="Book Antiqua" w:hAnsi="Book Antiqua" w:cs="Arial"/>
                <w:b/>
                <w:i/>
                <w:color w:val="000000"/>
              </w:rPr>
              <w:t>n</w:t>
            </w:r>
            <w:r w:rsidRPr="00B529BA">
              <w:rPr>
                <w:rFonts w:ascii="Book Antiqua" w:hAnsi="Book Antiqua" w:cs="Arial"/>
                <w:b/>
                <w:color w:val="000000"/>
              </w:rPr>
              <w:t>)</w:t>
            </w:r>
          </w:p>
        </w:tc>
        <w:tc>
          <w:tcPr>
            <w:tcW w:w="802" w:type="pct"/>
            <w:tcMar>
              <w:top w:w="100" w:type="dxa"/>
              <w:left w:w="100" w:type="dxa"/>
              <w:bottom w:w="100" w:type="dxa"/>
              <w:right w:w="100" w:type="dxa"/>
            </w:tcMar>
            <w:hideMark/>
          </w:tcPr>
          <w:p w14:paraId="37643F1A" w14:textId="035432DD" w:rsidR="00264B92" w:rsidRPr="00B529BA" w:rsidRDefault="00264B92" w:rsidP="00B529BA">
            <w:pPr>
              <w:widowControl w:val="0"/>
              <w:adjustRightInd w:val="0"/>
              <w:snapToGrid w:val="0"/>
              <w:spacing w:line="360" w:lineRule="auto"/>
              <w:jc w:val="center"/>
              <w:rPr>
                <w:rFonts w:ascii="Book Antiqua" w:hAnsi="Book Antiqua" w:cs="Arial"/>
                <w:b/>
              </w:rPr>
            </w:pPr>
            <w:r w:rsidRPr="00B529BA">
              <w:rPr>
                <w:rFonts w:ascii="Book Antiqua" w:hAnsi="Book Antiqua" w:cs="Arial"/>
                <w:b/>
                <w:color w:val="000000"/>
              </w:rPr>
              <w:t xml:space="preserve">BMD </w:t>
            </w:r>
            <w:r w:rsidR="00B529BA" w:rsidRPr="00B529BA">
              <w:rPr>
                <w:rFonts w:ascii="Book Antiqua" w:hAnsi="Book Antiqua" w:cs="Arial"/>
                <w:b/>
                <w:color w:val="000000"/>
              </w:rPr>
              <w:t>c</w:t>
            </w:r>
            <w:r w:rsidR="000C125E">
              <w:rPr>
                <w:rFonts w:ascii="Book Antiqua" w:hAnsi="Book Antiqua" w:cs="Arial"/>
                <w:b/>
                <w:color w:val="000000"/>
              </w:rPr>
              <w:t xml:space="preserve">hanges at 1 </w:t>
            </w:r>
            <w:proofErr w:type="spellStart"/>
            <w:r w:rsidR="000C125E">
              <w:rPr>
                <w:rFonts w:ascii="Book Antiqua" w:hAnsi="Book Antiqua" w:cs="Arial"/>
                <w:b/>
                <w:color w:val="000000"/>
              </w:rPr>
              <w:t>y</w:t>
            </w:r>
            <w:r w:rsidRPr="00B529BA">
              <w:rPr>
                <w:rFonts w:ascii="Book Antiqua" w:hAnsi="Book Antiqua" w:cs="Arial"/>
                <w:b/>
                <w:color w:val="000000"/>
              </w:rPr>
              <w:t>r</w:t>
            </w:r>
            <w:proofErr w:type="spellEnd"/>
            <w:r w:rsidRPr="00B529BA">
              <w:rPr>
                <w:rFonts w:ascii="Book Antiqua" w:hAnsi="Book Antiqua" w:cs="Arial"/>
                <w:b/>
                <w:color w:val="000000"/>
              </w:rPr>
              <w:t xml:space="preserve"> (%)</w:t>
            </w:r>
          </w:p>
        </w:tc>
        <w:tc>
          <w:tcPr>
            <w:tcW w:w="754" w:type="pct"/>
            <w:tcMar>
              <w:top w:w="100" w:type="dxa"/>
              <w:left w:w="100" w:type="dxa"/>
              <w:bottom w:w="100" w:type="dxa"/>
              <w:right w:w="100" w:type="dxa"/>
            </w:tcMar>
            <w:hideMark/>
          </w:tcPr>
          <w:p w14:paraId="1BD5A3B6" w14:textId="032E3C84" w:rsidR="00264B92" w:rsidRPr="00B529BA" w:rsidRDefault="000C125E" w:rsidP="00B529BA">
            <w:pPr>
              <w:widowControl w:val="0"/>
              <w:adjustRightInd w:val="0"/>
              <w:snapToGrid w:val="0"/>
              <w:spacing w:line="360" w:lineRule="auto"/>
              <w:jc w:val="center"/>
              <w:rPr>
                <w:rFonts w:ascii="Book Antiqua" w:hAnsi="Book Antiqua" w:cs="Arial"/>
                <w:b/>
              </w:rPr>
            </w:pPr>
            <w:r>
              <w:rPr>
                <w:rFonts w:ascii="Book Antiqua" w:hAnsi="Book Antiqua" w:cs="Arial"/>
                <w:b/>
                <w:color w:val="000000"/>
              </w:rPr>
              <w:t xml:space="preserve">BMD changes at 2 </w:t>
            </w:r>
            <w:proofErr w:type="spellStart"/>
            <w:r>
              <w:rPr>
                <w:rFonts w:ascii="Book Antiqua" w:hAnsi="Book Antiqua" w:cs="Arial"/>
                <w:b/>
                <w:color w:val="000000"/>
              </w:rPr>
              <w:t>yr</w:t>
            </w:r>
            <w:proofErr w:type="spellEnd"/>
            <w:r w:rsidR="00264B92" w:rsidRPr="00B529BA">
              <w:rPr>
                <w:rFonts w:ascii="Book Antiqua" w:hAnsi="Book Antiqua" w:cs="Arial"/>
                <w:b/>
                <w:color w:val="000000"/>
              </w:rPr>
              <w:t xml:space="preserve"> (%)</w:t>
            </w:r>
          </w:p>
        </w:tc>
        <w:tc>
          <w:tcPr>
            <w:tcW w:w="566" w:type="pct"/>
            <w:tcMar>
              <w:top w:w="100" w:type="dxa"/>
              <w:left w:w="100" w:type="dxa"/>
              <w:bottom w:w="100" w:type="dxa"/>
              <w:right w:w="100" w:type="dxa"/>
            </w:tcMar>
            <w:hideMark/>
          </w:tcPr>
          <w:p w14:paraId="6DF639BB" w14:textId="77777777" w:rsidR="00264B92" w:rsidRPr="00B529BA" w:rsidRDefault="00264B92" w:rsidP="00B529BA">
            <w:pPr>
              <w:widowControl w:val="0"/>
              <w:adjustRightInd w:val="0"/>
              <w:snapToGrid w:val="0"/>
              <w:spacing w:line="360" w:lineRule="auto"/>
              <w:jc w:val="center"/>
              <w:rPr>
                <w:rFonts w:ascii="Book Antiqua" w:hAnsi="Book Antiqua" w:cs="Arial"/>
                <w:b/>
              </w:rPr>
            </w:pPr>
            <w:r w:rsidRPr="00B529BA">
              <w:rPr>
                <w:rFonts w:ascii="Book Antiqua" w:hAnsi="Book Antiqua" w:cs="Arial"/>
                <w:b/>
                <w:color w:val="000000"/>
              </w:rPr>
              <w:t>Fractures (</w:t>
            </w:r>
            <w:r w:rsidRPr="00B529BA">
              <w:rPr>
                <w:rFonts w:ascii="Book Antiqua" w:hAnsi="Book Antiqua" w:cs="Arial"/>
                <w:b/>
                <w:i/>
                <w:color w:val="000000"/>
              </w:rPr>
              <w:t>n</w:t>
            </w:r>
            <w:r w:rsidRPr="00B529BA">
              <w:rPr>
                <w:rFonts w:ascii="Book Antiqua" w:hAnsi="Book Antiqua" w:cs="Arial"/>
                <w:b/>
                <w:color w:val="000000"/>
              </w:rPr>
              <w:t>)</w:t>
            </w:r>
          </w:p>
        </w:tc>
      </w:tr>
      <w:tr w:rsidR="00264B92" w:rsidRPr="002D44D6" w14:paraId="307AE836" w14:textId="77777777" w:rsidTr="00EA034E">
        <w:tc>
          <w:tcPr>
            <w:tcW w:w="1009" w:type="pct"/>
          </w:tcPr>
          <w:p w14:paraId="1199274F" w14:textId="77777777" w:rsidR="00264B92" w:rsidRPr="00EA034E" w:rsidRDefault="00264B92" w:rsidP="00B529BA">
            <w:pPr>
              <w:widowControl w:val="0"/>
              <w:adjustRightInd w:val="0"/>
              <w:snapToGrid w:val="0"/>
              <w:spacing w:line="360" w:lineRule="auto"/>
              <w:rPr>
                <w:rFonts w:ascii="Book Antiqua" w:hAnsi="Book Antiqua" w:cs="Arial"/>
                <w:color w:val="000000"/>
              </w:rPr>
            </w:pPr>
            <w:r w:rsidRPr="00EA034E">
              <w:rPr>
                <w:rFonts w:ascii="Book Antiqua" w:hAnsi="Book Antiqua" w:cs="Arial"/>
                <w:color w:val="000000"/>
              </w:rPr>
              <w:t>Etidronate</w:t>
            </w:r>
          </w:p>
          <w:p w14:paraId="3B85C5CF" w14:textId="48CF4DDF" w:rsidR="00264B92" w:rsidRPr="00EA034E" w:rsidRDefault="00264B92" w:rsidP="00B529BA">
            <w:pPr>
              <w:widowControl w:val="0"/>
              <w:adjustRightInd w:val="0"/>
              <w:snapToGrid w:val="0"/>
              <w:spacing w:line="360" w:lineRule="auto"/>
              <w:ind w:firstLineChars="100" w:firstLine="240"/>
              <w:rPr>
                <w:rFonts w:ascii="Book Antiqua" w:hAnsi="Book Antiqua" w:cs="Arial"/>
                <w:color w:val="000000"/>
              </w:rPr>
            </w:pPr>
            <w:proofErr w:type="spellStart"/>
            <w:r w:rsidRPr="00EA034E">
              <w:rPr>
                <w:rFonts w:ascii="Book Antiqua" w:hAnsi="Book Antiqua" w:cs="Arial"/>
                <w:color w:val="000000"/>
              </w:rPr>
              <w:t>Wolfhagen</w:t>
            </w:r>
            <w:proofErr w:type="spellEnd"/>
            <w:r w:rsidRPr="00EA034E">
              <w:rPr>
                <w:rFonts w:ascii="Book Antiqua" w:hAnsi="Book Antiqua" w:cs="Arial"/>
                <w:color w:val="000000"/>
              </w:rPr>
              <w:t xml:space="preserve"> </w:t>
            </w:r>
            <w:r w:rsidR="00B529BA" w:rsidRPr="00EA034E">
              <w:rPr>
                <w:rFonts w:ascii="Book Antiqua" w:eastAsia="SimSun" w:hAnsi="Book Antiqua" w:cs="Arial"/>
                <w:i/>
                <w:color w:val="000000"/>
                <w:lang w:eastAsia="zh-CN"/>
              </w:rPr>
              <w:t>et al</w:t>
            </w:r>
            <w:r w:rsidR="00B529BA" w:rsidRPr="00EA034E">
              <w:rPr>
                <w:rFonts w:ascii="Book Antiqua" w:eastAsia="SimSun" w:hAnsi="Book Antiqua" w:cs="Arial" w:hint="eastAsia"/>
                <w:color w:val="000000"/>
                <w:vertAlign w:val="superscript"/>
                <w:lang w:eastAsia="zh-CN"/>
              </w:rPr>
              <w:t>[43]</w:t>
            </w:r>
            <w:r w:rsidR="00B529BA" w:rsidRPr="00EA034E">
              <w:rPr>
                <w:rFonts w:ascii="Book Antiqua" w:eastAsia="SimSun" w:hAnsi="Book Antiqua" w:cs="Arial" w:hint="eastAsia"/>
                <w:color w:val="000000"/>
                <w:lang w:eastAsia="zh-CN"/>
              </w:rPr>
              <w:t xml:space="preserve">, </w:t>
            </w:r>
            <w:r w:rsidRPr="00EA034E">
              <w:rPr>
                <w:rFonts w:ascii="Book Antiqua" w:hAnsi="Book Antiqua" w:cs="Arial"/>
                <w:color w:val="000000"/>
              </w:rPr>
              <w:t>1997</w:t>
            </w:r>
          </w:p>
        </w:tc>
        <w:tc>
          <w:tcPr>
            <w:tcW w:w="972" w:type="pct"/>
            <w:tcMar>
              <w:top w:w="100" w:type="dxa"/>
              <w:left w:w="100" w:type="dxa"/>
              <w:bottom w:w="100" w:type="dxa"/>
              <w:right w:w="100" w:type="dxa"/>
            </w:tcMar>
            <w:hideMark/>
          </w:tcPr>
          <w:p w14:paraId="16027450" w14:textId="10959FCD" w:rsidR="00264B92" w:rsidRPr="002D44D6" w:rsidRDefault="00264B92" w:rsidP="00EA034E">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 xml:space="preserve">400 mg/d (3 </w:t>
            </w:r>
            <w:proofErr w:type="spellStart"/>
            <w:r w:rsidRPr="002D44D6">
              <w:rPr>
                <w:rFonts w:ascii="Book Antiqua" w:hAnsi="Book Antiqua" w:cs="Arial"/>
                <w:color w:val="000000"/>
              </w:rPr>
              <w:t>m</w:t>
            </w:r>
            <w:r w:rsidR="00EA034E">
              <w:rPr>
                <w:rFonts w:ascii="Book Antiqua" w:eastAsia="SimSun" w:hAnsi="Book Antiqua" w:cs="Arial"/>
                <w:color w:val="000000"/>
                <w:lang w:eastAsia="zh-CN"/>
              </w:rPr>
              <w:t>o</w:t>
            </w:r>
            <w:proofErr w:type="spellEnd"/>
            <w:r w:rsidRPr="002D44D6">
              <w:rPr>
                <w:rFonts w:ascii="Book Antiqua" w:hAnsi="Book Antiqua" w:cs="Arial"/>
                <w:color w:val="000000"/>
              </w:rPr>
              <w:t xml:space="preserve"> cycles)</w:t>
            </w:r>
          </w:p>
        </w:tc>
        <w:tc>
          <w:tcPr>
            <w:tcW w:w="896" w:type="pct"/>
            <w:tcMar>
              <w:top w:w="100" w:type="dxa"/>
              <w:left w:w="100" w:type="dxa"/>
              <w:bottom w:w="100" w:type="dxa"/>
              <w:right w:w="100" w:type="dxa"/>
            </w:tcMar>
            <w:hideMark/>
          </w:tcPr>
          <w:p w14:paraId="7734D9EE" w14:textId="00E5A527"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6 (etidronate)</w:t>
            </w:r>
          </w:p>
          <w:p w14:paraId="41997A7E" w14:textId="2FD114AA" w:rsidR="00264B92" w:rsidRPr="00EA034E" w:rsidRDefault="00264B92" w:rsidP="00EA034E">
            <w:pPr>
              <w:widowControl w:val="0"/>
              <w:adjustRightInd w:val="0"/>
              <w:snapToGrid w:val="0"/>
              <w:spacing w:line="360" w:lineRule="auto"/>
              <w:jc w:val="center"/>
              <w:rPr>
                <w:rFonts w:ascii="Book Antiqua" w:eastAsia="SimSun" w:hAnsi="Book Antiqua" w:cs="Arial"/>
                <w:vertAlign w:val="superscript"/>
                <w:lang w:eastAsia="zh-CN"/>
              </w:rPr>
            </w:pPr>
            <w:r w:rsidRPr="002D44D6">
              <w:rPr>
                <w:rFonts w:ascii="Book Antiqua" w:hAnsi="Book Antiqua" w:cs="Arial"/>
                <w:color w:val="000000"/>
              </w:rPr>
              <w:t>6 (no treatment)</w:t>
            </w:r>
            <w:r w:rsidR="00EA034E">
              <w:rPr>
                <w:rFonts w:ascii="Book Antiqua" w:eastAsia="SimSun" w:hAnsi="Book Antiqua" w:cs="Arial" w:hint="eastAsia"/>
                <w:color w:val="000000"/>
                <w:vertAlign w:val="superscript"/>
                <w:lang w:eastAsia="zh-CN"/>
              </w:rPr>
              <w:t>3</w:t>
            </w:r>
          </w:p>
        </w:tc>
        <w:tc>
          <w:tcPr>
            <w:tcW w:w="802" w:type="pct"/>
            <w:tcMar>
              <w:top w:w="100" w:type="dxa"/>
              <w:left w:w="100" w:type="dxa"/>
              <w:bottom w:w="100" w:type="dxa"/>
              <w:right w:w="100" w:type="dxa"/>
            </w:tcMar>
            <w:hideMark/>
          </w:tcPr>
          <w:p w14:paraId="37FD1781" w14:textId="77777777"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+1.0 (L)</w:t>
            </w:r>
            <w:r w:rsidRPr="002D44D6">
              <w:rPr>
                <w:rFonts w:ascii="Book Antiqua" w:hAnsi="Book Antiqua" w:cs="Arial"/>
              </w:rPr>
              <w:t xml:space="preserve">, </w:t>
            </w:r>
            <w:r w:rsidRPr="002D44D6">
              <w:rPr>
                <w:rFonts w:ascii="Book Antiqua" w:hAnsi="Book Antiqua" w:cs="Arial"/>
                <w:color w:val="000000"/>
              </w:rPr>
              <w:t>+0.2 (F)</w:t>
            </w:r>
          </w:p>
          <w:p w14:paraId="037B80A4"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-1.7 (L)</w:t>
            </w:r>
            <w:r w:rsidRPr="002D44D6">
              <w:rPr>
                <w:rFonts w:ascii="Book Antiqua" w:hAnsi="Book Antiqua" w:cs="Arial"/>
              </w:rPr>
              <w:t xml:space="preserve">, </w:t>
            </w:r>
            <w:r w:rsidRPr="002D44D6">
              <w:rPr>
                <w:rFonts w:ascii="Book Antiqua" w:hAnsi="Book Antiqua" w:cs="Arial"/>
                <w:color w:val="000000"/>
              </w:rPr>
              <w:t>+0.4 (F)</w:t>
            </w:r>
          </w:p>
        </w:tc>
        <w:tc>
          <w:tcPr>
            <w:tcW w:w="754" w:type="pct"/>
            <w:tcMar>
              <w:top w:w="100" w:type="dxa"/>
              <w:left w:w="100" w:type="dxa"/>
              <w:bottom w:w="100" w:type="dxa"/>
              <w:right w:w="100" w:type="dxa"/>
            </w:tcMar>
            <w:hideMark/>
          </w:tcPr>
          <w:p w14:paraId="3402BFB6"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rPr>
              <w:t>N/A</w:t>
            </w:r>
          </w:p>
        </w:tc>
        <w:tc>
          <w:tcPr>
            <w:tcW w:w="566" w:type="pct"/>
            <w:tcMar>
              <w:top w:w="100" w:type="dxa"/>
              <w:left w:w="100" w:type="dxa"/>
              <w:bottom w:w="100" w:type="dxa"/>
              <w:right w:w="100" w:type="dxa"/>
            </w:tcMar>
            <w:hideMark/>
          </w:tcPr>
          <w:p w14:paraId="6881826E" w14:textId="77777777"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0</w:t>
            </w:r>
          </w:p>
          <w:p w14:paraId="4B75A395"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0</w:t>
            </w:r>
          </w:p>
        </w:tc>
      </w:tr>
      <w:tr w:rsidR="00264B92" w:rsidRPr="002D44D6" w14:paraId="35E4B2E4" w14:textId="77777777" w:rsidTr="00EA034E">
        <w:tc>
          <w:tcPr>
            <w:tcW w:w="1009" w:type="pct"/>
          </w:tcPr>
          <w:p w14:paraId="762B2958" w14:textId="452727FA" w:rsidR="00264B92" w:rsidRPr="00EA034E" w:rsidRDefault="00264B92" w:rsidP="00EA034E">
            <w:pPr>
              <w:widowControl w:val="0"/>
              <w:adjustRightInd w:val="0"/>
              <w:snapToGrid w:val="0"/>
              <w:spacing w:line="360" w:lineRule="auto"/>
              <w:ind w:firstLineChars="100" w:firstLine="240"/>
              <w:rPr>
                <w:rFonts w:ascii="Book Antiqua" w:hAnsi="Book Antiqua" w:cs="Arial"/>
                <w:color w:val="000000"/>
              </w:rPr>
            </w:pPr>
            <w:proofErr w:type="spellStart"/>
            <w:r w:rsidRPr="00EA034E">
              <w:rPr>
                <w:rFonts w:ascii="Book Antiqua" w:hAnsi="Book Antiqua" w:cs="Arial"/>
                <w:color w:val="000000"/>
              </w:rPr>
              <w:t>Lindor</w:t>
            </w:r>
            <w:proofErr w:type="spellEnd"/>
            <w:r w:rsidRPr="00EA034E">
              <w:rPr>
                <w:rFonts w:ascii="Book Antiqua" w:hAnsi="Book Antiqua" w:cs="Arial"/>
                <w:color w:val="000000"/>
              </w:rPr>
              <w:t xml:space="preserve"> </w:t>
            </w:r>
            <w:r w:rsidR="00B529BA" w:rsidRPr="00EA034E">
              <w:rPr>
                <w:rFonts w:ascii="Book Antiqua" w:eastAsia="SimSun" w:hAnsi="Book Antiqua" w:cs="Arial"/>
                <w:i/>
                <w:color w:val="000000"/>
                <w:lang w:eastAsia="zh-CN"/>
              </w:rPr>
              <w:t>et al</w:t>
            </w:r>
            <w:r w:rsidR="00B529BA" w:rsidRPr="00EA034E">
              <w:rPr>
                <w:rFonts w:ascii="Book Antiqua" w:eastAsia="SimSun" w:hAnsi="Book Antiqua" w:cs="Arial" w:hint="eastAsia"/>
                <w:color w:val="000000"/>
                <w:vertAlign w:val="superscript"/>
                <w:lang w:eastAsia="zh-CN"/>
              </w:rPr>
              <w:t>[</w:t>
            </w:r>
            <w:r w:rsidR="00EA034E" w:rsidRPr="00EA034E">
              <w:rPr>
                <w:rFonts w:ascii="Book Antiqua" w:eastAsia="SimSun" w:hAnsi="Book Antiqua" w:cs="Arial" w:hint="eastAsia"/>
                <w:color w:val="000000"/>
                <w:vertAlign w:val="superscript"/>
                <w:lang w:eastAsia="zh-CN"/>
              </w:rPr>
              <w:t>6</w:t>
            </w:r>
            <w:r w:rsidR="00B529BA" w:rsidRPr="00EA034E">
              <w:rPr>
                <w:rFonts w:ascii="Book Antiqua" w:eastAsia="SimSun" w:hAnsi="Book Antiqua" w:cs="Arial" w:hint="eastAsia"/>
                <w:color w:val="000000"/>
                <w:vertAlign w:val="superscript"/>
                <w:lang w:eastAsia="zh-CN"/>
              </w:rPr>
              <w:t>]</w:t>
            </w:r>
            <w:r w:rsidR="00B529BA" w:rsidRPr="00EA034E">
              <w:rPr>
                <w:rFonts w:ascii="Book Antiqua" w:eastAsia="SimSun" w:hAnsi="Book Antiqua" w:cs="Arial" w:hint="eastAsia"/>
                <w:color w:val="000000"/>
                <w:lang w:eastAsia="zh-CN"/>
              </w:rPr>
              <w:t xml:space="preserve">, </w:t>
            </w:r>
            <w:r w:rsidRPr="00EA034E">
              <w:rPr>
                <w:rFonts w:ascii="Book Antiqua" w:hAnsi="Book Antiqua" w:cs="Arial"/>
                <w:color w:val="000000"/>
              </w:rPr>
              <w:t>2000</w:t>
            </w:r>
          </w:p>
        </w:tc>
        <w:tc>
          <w:tcPr>
            <w:tcW w:w="972" w:type="pct"/>
            <w:tcMar>
              <w:top w:w="100" w:type="dxa"/>
              <w:left w:w="100" w:type="dxa"/>
              <w:bottom w:w="100" w:type="dxa"/>
              <w:right w:w="100" w:type="dxa"/>
            </w:tcMar>
            <w:hideMark/>
          </w:tcPr>
          <w:p w14:paraId="70DE0AFA" w14:textId="52910457" w:rsidR="00264B92" w:rsidRPr="002D44D6" w:rsidRDefault="00264B92" w:rsidP="00EA034E">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 xml:space="preserve">400 mg/d (3 </w:t>
            </w:r>
            <w:proofErr w:type="spellStart"/>
            <w:r w:rsidR="00EA034E" w:rsidRPr="002D44D6">
              <w:rPr>
                <w:rFonts w:ascii="Book Antiqua" w:hAnsi="Book Antiqua" w:cs="Arial"/>
                <w:color w:val="000000"/>
              </w:rPr>
              <w:t>m</w:t>
            </w:r>
            <w:r w:rsidR="00EA034E">
              <w:rPr>
                <w:rFonts w:ascii="Book Antiqua" w:eastAsia="SimSun" w:hAnsi="Book Antiqua" w:cs="Arial"/>
                <w:color w:val="000000"/>
                <w:lang w:eastAsia="zh-CN"/>
              </w:rPr>
              <w:t>o</w:t>
            </w:r>
            <w:proofErr w:type="spellEnd"/>
            <w:r w:rsidR="00EA034E">
              <w:rPr>
                <w:rFonts w:ascii="Book Antiqua" w:eastAsia="SimSun" w:hAnsi="Book Antiqua" w:cs="Arial" w:hint="eastAsia"/>
                <w:color w:val="000000"/>
                <w:lang w:eastAsia="zh-CN"/>
              </w:rPr>
              <w:t xml:space="preserve"> </w:t>
            </w:r>
            <w:r w:rsidRPr="002D44D6">
              <w:rPr>
                <w:rFonts w:ascii="Book Antiqua" w:hAnsi="Book Antiqua" w:cs="Arial"/>
                <w:color w:val="000000"/>
              </w:rPr>
              <w:t>cycles)</w:t>
            </w:r>
          </w:p>
        </w:tc>
        <w:tc>
          <w:tcPr>
            <w:tcW w:w="896" w:type="pct"/>
            <w:tcMar>
              <w:top w:w="100" w:type="dxa"/>
              <w:left w:w="100" w:type="dxa"/>
              <w:bottom w:w="100" w:type="dxa"/>
              <w:right w:w="100" w:type="dxa"/>
            </w:tcMar>
            <w:hideMark/>
          </w:tcPr>
          <w:p w14:paraId="11581C53" w14:textId="04FD67BE"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29 (etidronate)</w:t>
            </w:r>
          </w:p>
          <w:p w14:paraId="7C43473C"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31 (placebo)</w:t>
            </w:r>
          </w:p>
        </w:tc>
        <w:tc>
          <w:tcPr>
            <w:tcW w:w="802" w:type="pct"/>
            <w:tcMar>
              <w:top w:w="100" w:type="dxa"/>
              <w:left w:w="100" w:type="dxa"/>
              <w:bottom w:w="100" w:type="dxa"/>
              <w:right w:w="100" w:type="dxa"/>
            </w:tcMar>
            <w:hideMark/>
          </w:tcPr>
          <w:p w14:paraId="3C10B3A5" w14:textId="77777777" w:rsidR="00264B92" w:rsidRPr="00EA034E" w:rsidRDefault="00264B92" w:rsidP="00B529BA">
            <w:pPr>
              <w:widowControl w:val="0"/>
              <w:adjustRightInd w:val="0"/>
              <w:snapToGrid w:val="0"/>
              <w:spacing w:line="360" w:lineRule="auto"/>
              <w:jc w:val="center"/>
              <w:rPr>
                <w:rFonts w:ascii="Book Antiqua" w:hAnsi="Book Antiqua" w:cs="Arial"/>
              </w:rPr>
            </w:pPr>
            <w:r w:rsidRPr="00EA034E">
              <w:rPr>
                <w:rFonts w:ascii="Book Antiqua" w:hAnsi="Book Antiqua" w:cs="Arial"/>
                <w:color w:val="000000"/>
              </w:rPr>
              <w:t>+0.7 (L), +1.3 (F)</w:t>
            </w:r>
          </w:p>
          <w:p w14:paraId="67C89BAD" w14:textId="77777777" w:rsidR="00264B92" w:rsidRPr="00EA034E" w:rsidRDefault="00264B92" w:rsidP="00B529BA">
            <w:pPr>
              <w:widowControl w:val="0"/>
              <w:adjustRightInd w:val="0"/>
              <w:snapToGrid w:val="0"/>
              <w:spacing w:line="360" w:lineRule="auto"/>
              <w:jc w:val="center"/>
              <w:rPr>
                <w:rFonts w:ascii="Book Antiqua" w:hAnsi="Book Antiqua" w:cs="Arial"/>
              </w:rPr>
            </w:pPr>
            <w:r w:rsidRPr="00EA034E">
              <w:rPr>
                <w:rFonts w:ascii="Book Antiqua" w:hAnsi="Book Antiqua" w:cs="Arial"/>
                <w:color w:val="000000"/>
              </w:rPr>
              <w:t>-0.6 (L), +0.9 (F)</w:t>
            </w:r>
          </w:p>
        </w:tc>
        <w:tc>
          <w:tcPr>
            <w:tcW w:w="754" w:type="pct"/>
            <w:tcMar>
              <w:top w:w="100" w:type="dxa"/>
              <w:left w:w="100" w:type="dxa"/>
              <w:bottom w:w="100" w:type="dxa"/>
              <w:right w:w="100" w:type="dxa"/>
            </w:tcMar>
            <w:hideMark/>
          </w:tcPr>
          <w:p w14:paraId="16093AC7" w14:textId="77777777" w:rsidR="00264B92" w:rsidRPr="00EA034E" w:rsidRDefault="00264B92" w:rsidP="00B529BA">
            <w:pPr>
              <w:widowControl w:val="0"/>
              <w:adjustRightInd w:val="0"/>
              <w:snapToGrid w:val="0"/>
              <w:spacing w:line="360" w:lineRule="auto"/>
              <w:jc w:val="center"/>
              <w:rPr>
                <w:rFonts w:ascii="Book Antiqua" w:hAnsi="Book Antiqua" w:cs="Arial"/>
              </w:rPr>
            </w:pPr>
            <w:r w:rsidRPr="00EA034E">
              <w:rPr>
                <w:rFonts w:ascii="Book Antiqua" w:hAnsi="Book Antiqua" w:cs="Arial"/>
                <w:color w:val="000000"/>
              </w:rPr>
              <w:t>+1.0 (L), +0.5 (F)</w:t>
            </w:r>
          </w:p>
          <w:p w14:paraId="7B20B297" w14:textId="77777777" w:rsidR="00264B92" w:rsidRPr="00EA034E" w:rsidRDefault="00264B92" w:rsidP="00B529BA">
            <w:pPr>
              <w:widowControl w:val="0"/>
              <w:adjustRightInd w:val="0"/>
              <w:snapToGrid w:val="0"/>
              <w:spacing w:line="360" w:lineRule="auto"/>
              <w:jc w:val="center"/>
              <w:rPr>
                <w:rFonts w:ascii="Book Antiqua" w:hAnsi="Book Antiqua" w:cs="Arial"/>
              </w:rPr>
            </w:pPr>
            <w:r w:rsidRPr="00EA034E">
              <w:rPr>
                <w:rFonts w:ascii="Book Antiqua" w:hAnsi="Book Antiqua" w:cs="Arial"/>
                <w:color w:val="000000"/>
              </w:rPr>
              <w:t>+2.6 (L)</w:t>
            </w:r>
            <w:r w:rsidRPr="00EA034E">
              <w:rPr>
                <w:rFonts w:ascii="Book Antiqua" w:hAnsi="Book Antiqua" w:cs="Arial"/>
              </w:rPr>
              <w:t xml:space="preserve">, </w:t>
            </w:r>
            <w:r w:rsidRPr="00EA034E">
              <w:rPr>
                <w:rFonts w:ascii="Book Antiqua" w:hAnsi="Book Antiqua" w:cs="Arial"/>
                <w:color w:val="000000"/>
              </w:rPr>
              <w:t>+0.8 (F)</w:t>
            </w:r>
          </w:p>
        </w:tc>
        <w:tc>
          <w:tcPr>
            <w:tcW w:w="566" w:type="pct"/>
            <w:tcMar>
              <w:top w:w="100" w:type="dxa"/>
              <w:left w:w="100" w:type="dxa"/>
              <w:bottom w:w="100" w:type="dxa"/>
              <w:right w:w="100" w:type="dxa"/>
            </w:tcMar>
            <w:hideMark/>
          </w:tcPr>
          <w:p w14:paraId="307043F1" w14:textId="77777777"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4 (V)</w:t>
            </w:r>
          </w:p>
          <w:p w14:paraId="5DEB3C68"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4 (V)</w:t>
            </w:r>
          </w:p>
        </w:tc>
      </w:tr>
      <w:tr w:rsidR="00264B92" w:rsidRPr="002D44D6" w14:paraId="5C11FA46" w14:textId="77777777" w:rsidTr="00EA034E">
        <w:tc>
          <w:tcPr>
            <w:tcW w:w="1009" w:type="pct"/>
          </w:tcPr>
          <w:p w14:paraId="21AFA1C8" w14:textId="77777777" w:rsidR="00264B92" w:rsidRPr="00EA034E" w:rsidRDefault="00264B92" w:rsidP="00B529BA">
            <w:pPr>
              <w:widowControl w:val="0"/>
              <w:adjustRightInd w:val="0"/>
              <w:snapToGrid w:val="0"/>
              <w:spacing w:line="360" w:lineRule="auto"/>
              <w:rPr>
                <w:rFonts w:ascii="Book Antiqua" w:hAnsi="Book Antiqua" w:cs="Arial"/>
                <w:color w:val="000000"/>
              </w:rPr>
            </w:pPr>
            <w:r w:rsidRPr="00EA034E">
              <w:rPr>
                <w:rFonts w:ascii="Book Antiqua" w:hAnsi="Book Antiqua" w:cs="Arial"/>
                <w:color w:val="000000"/>
              </w:rPr>
              <w:t>Alendronate</w:t>
            </w:r>
          </w:p>
          <w:p w14:paraId="69DE3E09" w14:textId="46CE3FB0" w:rsidR="00264B92" w:rsidRPr="00EA034E" w:rsidRDefault="00264B92" w:rsidP="00EA034E">
            <w:pPr>
              <w:widowControl w:val="0"/>
              <w:adjustRightInd w:val="0"/>
              <w:snapToGrid w:val="0"/>
              <w:spacing w:line="360" w:lineRule="auto"/>
              <w:ind w:firstLineChars="100" w:firstLine="240"/>
              <w:rPr>
                <w:rFonts w:ascii="Book Antiqua" w:hAnsi="Book Antiqua" w:cs="Arial"/>
                <w:color w:val="000000"/>
              </w:rPr>
            </w:pPr>
            <w:proofErr w:type="spellStart"/>
            <w:r w:rsidRPr="00EA034E">
              <w:rPr>
                <w:rFonts w:ascii="Book Antiqua" w:hAnsi="Book Antiqua" w:cs="Arial"/>
                <w:color w:val="000000"/>
              </w:rPr>
              <w:t>Zein</w:t>
            </w:r>
            <w:proofErr w:type="spellEnd"/>
            <w:r w:rsidRPr="00EA034E">
              <w:rPr>
                <w:rFonts w:ascii="Book Antiqua" w:hAnsi="Book Antiqua" w:cs="Arial"/>
                <w:color w:val="000000"/>
              </w:rPr>
              <w:t xml:space="preserve"> </w:t>
            </w:r>
            <w:r w:rsidR="00B529BA" w:rsidRPr="00EA034E">
              <w:rPr>
                <w:rFonts w:ascii="Book Antiqua" w:eastAsia="SimSun" w:hAnsi="Book Antiqua" w:cs="Arial"/>
                <w:i/>
                <w:color w:val="000000"/>
                <w:lang w:eastAsia="zh-CN"/>
              </w:rPr>
              <w:t>et al</w:t>
            </w:r>
            <w:r w:rsidR="00B529BA" w:rsidRPr="00EA034E">
              <w:rPr>
                <w:rFonts w:ascii="Book Antiqua" w:eastAsia="SimSun" w:hAnsi="Book Antiqua" w:cs="Arial" w:hint="eastAsia"/>
                <w:color w:val="000000"/>
                <w:vertAlign w:val="superscript"/>
                <w:lang w:eastAsia="zh-CN"/>
              </w:rPr>
              <w:t>[</w:t>
            </w:r>
            <w:r w:rsidR="00EA034E" w:rsidRPr="00EA034E">
              <w:rPr>
                <w:rFonts w:ascii="Book Antiqua" w:eastAsia="SimSun" w:hAnsi="Book Antiqua" w:cs="Arial" w:hint="eastAsia"/>
                <w:color w:val="000000"/>
                <w:vertAlign w:val="superscript"/>
                <w:lang w:eastAsia="zh-CN"/>
              </w:rPr>
              <w:t>44</w:t>
            </w:r>
            <w:r w:rsidR="00B529BA" w:rsidRPr="00EA034E">
              <w:rPr>
                <w:rFonts w:ascii="Book Antiqua" w:eastAsia="SimSun" w:hAnsi="Book Antiqua" w:cs="Arial" w:hint="eastAsia"/>
                <w:color w:val="000000"/>
                <w:vertAlign w:val="superscript"/>
                <w:lang w:eastAsia="zh-CN"/>
              </w:rPr>
              <w:t>]</w:t>
            </w:r>
            <w:r w:rsidR="00B529BA" w:rsidRPr="00EA034E">
              <w:rPr>
                <w:rFonts w:ascii="Book Antiqua" w:eastAsia="SimSun" w:hAnsi="Book Antiqua" w:cs="Arial" w:hint="eastAsia"/>
                <w:color w:val="000000"/>
                <w:lang w:eastAsia="zh-CN"/>
              </w:rPr>
              <w:t xml:space="preserve">, </w:t>
            </w:r>
            <w:r w:rsidRPr="00EA034E">
              <w:rPr>
                <w:rFonts w:ascii="Book Antiqua" w:hAnsi="Book Antiqua" w:cs="Arial"/>
                <w:color w:val="000000"/>
              </w:rPr>
              <w:t>2005</w:t>
            </w:r>
          </w:p>
        </w:tc>
        <w:tc>
          <w:tcPr>
            <w:tcW w:w="972" w:type="pct"/>
            <w:tcMar>
              <w:top w:w="100" w:type="dxa"/>
              <w:left w:w="100" w:type="dxa"/>
              <w:bottom w:w="100" w:type="dxa"/>
              <w:right w:w="100" w:type="dxa"/>
            </w:tcMar>
            <w:hideMark/>
          </w:tcPr>
          <w:p w14:paraId="0DFECAF2"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70 mg/wk</w:t>
            </w:r>
          </w:p>
        </w:tc>
        <w:tc>
          <w:tcPr>
            <w:tcW w:w="896" w:type="pct"/>
            <w:tcMar>
              <w:top w:w="100" w:type="dxa"/>
              <w:left w:w="100" w:type="dxa"/>
              <w:bottom w:w="100" w:type="dxa"/>
              <w:right w:w="100" w:type="dxa"/>
            </w:tcMar>
            <w:hideMark/>
          </w:tcPr>
          <w:p w14:paraId="02BC5A11" w14:textId="08819BB3"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15 (alendronate)</w:t>
            </w:r>
          </w:p>
          <w:p w14:paraId="0ED801D7" w14:textId="77777777"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13 (placebo)</w:t>
            </w:r>
          </w:p>
        </w:tc>
        <w:tc>
          <w:tcPr>
            <w:tcW w:w="802" w:type="pct"/>
            <w:tcMar>
              <w:top w:w="100" w:type="dxa"/>
              <w:left w:w="100" w:type="dxa"/>
              <w:bottom w:w="100" w:type="dxa"/>
              <w:right w:w="100" w:type="dxa"/>
            </w:tcMar>
            <w:hideMark/>
          </w:tcPr>
          <w:p w14:paraId="0FCB4969" w14:textId="78B697DA" w:rsidR="00264B92" w:rsidRPr="00EA034E" w:rsidRDefault="00264B92" w:rsidP="00B529BA">
            <w:pPr>
              <w:widowControl w:val="0"/>
              <w:adjustRightInd w:val="0"/>
              <w:snapToGrid w:val="0"/>
              <w:spacing w:line="360" w:lineRule="auto"/>
              <w:jc w:val="center"/>
              <w:rPr>
                <w:rFonts w:ascii="Book Antiqua" w:hAnsi="Book Antiqua" w:cs="Arial"/>
                <w:color w:val="000000"/>
                <w:vertAlign w:val="superscript"/>
              </w:rPr>
            </w:pPr>
            <w:r w:rsidRPr="00EA034E">
              <w:rPr>
                <w:rFonts w:ascii="Book Antiqua" w:hAnsi="Book Antiqua" w:cs="Arial"/>
                <w:color w:val="000000"/>
              </w:rPr>
              <w:t>+10.4 (L)</w:t>
            </w:r>
            <w:r w:rsidR="00EA034E" w:rsidRPr="00EA034E">
              <w:rPr>
                <w:rFonts w:ascii="Book Antiqua" w:eastAsia="SimSun" w:hAnsi="Book Antiqua" w:cs="Arial" w:hint="eastAsia"/>
                <w:color w:val="000000"/>
                <w:vertAlign w:val="superscript"/>
                <w:lang w:eastAsia="zh-CN"/>
              </w:rPr>
              <w:t>1,2</w:t>
            </w:r>
            <w:r w:rsidRPr="00EA034E">
              <w:rPr>
                <w:rFonts w:ascii="Book Antiqua" w:hAnsi="Book Antiqua" w:cs="Arial"/>
              </w:rPr>
              <w:t xml:space="preserve">, </w:t>
            </w:r>
            <w:r w:rsidRPr="00EA034E">
              <w:rPr>
                <w:rFonts w:ascii="Book Antiqua" w:hAnsi="Book Antiqua" w:cs="Arial"/>
                <w:color w:val="000000"/>
              </w:rPr>
              <w:t>+1.4 (F)</w:t>
            </w:r>
            <w:r w:rsidR="00EA034E" w:rsidRPr="00EA034E">
              <w:rPr>
                <w:rFonts w:ascii="Book Antiqua" w:eastAsia="SimSun" w:hAnsi="Book Antiqua" w:cs="Arial" w:hint="eastAsia"/>
                <w:color w:val="000000"/>
                <w:vertAlign w:val="superscript"/>
                <w:lang w:eastAsia="zh-CN"/>
              </w:rPr>
              <w:t>1</w:t>
            </w:r>
          </w:p>
          <w:p w14:paraId="04CC0363" w14:textId="0DDFBAFB" w:rsidR="00264B92" w:rsidRPr="00EA034E" w:rsidRDefault="00264B92" w:rsidP="00B529BA">
            <w:pPr>
              <w:widowControl w:val="0"/>
              <w:adjustRightInd w:val="0"/>
              <w:snapToGrid w:val="0"/>
              <w:spacing w:line="360" w:lineRule="auto"/>
              <w:jc w:val="center"/>
              <w:rPr>
                <w:rFonts w:ascii="Book Antiqua" w:hAnsi="Book Antiqua" w:cs="Arial"/>
                <w:vertAlign w:val="superscript"/>
              </w:rPr>
            </w:pPr>
            <w:r w:rsidRPr="00EA034E">
              <w:rPr>
                <w:rFonts w:ascii="Book Antiqua" w:hAnsi="Book Antiqua" w:cs="Arial"/>
                <w:color w:val="000000"/>
              </w:rPr>
              <w:t>-0.1 (L)</w:t>
            </w:r>
            <w:r w:rsidR="00EA034E" w:rsidRPr="00EA034E">
              <w:rPr>
                <w:rFonts w:ascii="Book Antiqua" w:eastAsia="SimSun" w:hAnsi="Book Antiqua" w:cs="Arial" w:hint="eastAsia"/>
                <w:color w:val="000000"/>
                <w:vertAlign w:val="superscript"/>
                <w:lang w:eastAsia="zh-CN"/>
              </w:rPr>
              <w:t>1</w:t>
            </w:r>
            <w:r w:rsidRPr="00EA034E">
              <w:rPr>
                <w:rFonts w:ascii="Book Antiqua" w:hAnsi="Book Antiqua" w:cs="Arial"/>
                <w:color w:val="000000"/>
              </w:rPr>
              <w:t>, -2.1 (F)</w:t>
            </w:r>
            <w:r w:rsidR="00EA034E" w:rsidRPr="00EA034E">
              <w:rPr>
                <w:rFonts w:ascii="Book Antiqua" w:eastAsia="SimSun" w:hAnsi="Book Antiqua" w:cs="Arial" w:hint="eastAsia"/>
                <w:color w:val="000000"/>
                <w:vertAlign w:val="superscript"/>
                <w:lang w:eastAsia="zh-CN"/>
              </w:rPr>
              <w:t>1</w:t>
            </w:r>
          </w:p>
        </w:tc>
        <w:tc>
          <w:tcPr>
            <w:tcW w:w="754" w:type="pct"/>
            <w:tcMar>
              <w:top w:w="100" w:type="dxa"/>
              <w:left w:w="100" w:type="dxa"/>
              <w:bottom w:w="100" w:type="dxa"/>
              <w:right w:w="100" w:type="dxa"/>
            </w:tcMar>
            <w:hideMark/>
          </w:tcPr>
          <w:p w14:paraId="21AA8FF5" w14:textId="77777777" w:rsidR="00264B92" w:rsidRPr="00EA034E" w:rsidRDefault="00264B92" w:rsidP="00B529BA">
            <w:pPr>
              <w:widowControl w:val="0"/>
              <w:adjustRightInd w:val="0"/>
              <w:snapToGrid w:val="0"/>
              <w:spacing w:line="360" w:lineRule="auto"/>
              <w:jc w:val="center"/>
              <w:rPr>
                <w:rFonts w:ascii="Book Antiqua" w:hAnsi="Book Antiqua" w:cs="Arial"/>
              </w:rPr>
            </w:pPr>
            <w:r w:rsidRPr="00EA034E">
              <w:rPr>
                <w:rFonts w:ascii="Book Antiqua" w:hAnsi="Book Antiqua" w:cs="Arial"/>
              </w:rPr>
              <w:t>N/A</w:t>
            </w:r>
          </w:p>
        </w:tc>
        <w:tc>
          <w:tcPr>
            <w:tcW w:w="566" w:type="pct"/>
            <w:tcMar>
              <w:top w:w="100" w:type="dxa"/>
              <w:left w:w="100" w:type="dxa"/>
              <w:bottom w:w="100" w:type="dxa"/>
              <w:right w:w="100" w:type="dxa"/>
            </w:tcMar>
            <w:hideMark/>
          </w:tcPr>
          <w:p w14:paraId="27617D2D" w14:textId="77777777"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1 (V)</w:t>
            </w:r>
            <w:r w:rsidRPr="002D44D6">
              <w:rPr>
                <w:rFonts w:ascii="Book Antiqua" w:hAnsi="Book Antiqua" w:cs="Arial"/>
              </w:rPr>
              <w:t xml:space="preserve">, </w:t>
            </w:r>
            <w:r w:rsidRPr="002D44D6">
              <w:rPr>
                <w:rFonts w:ascii="Book Antiqua" w:hAnsi="Book Antiqua" w:cs="Arial"/>
                <w:color w:val="000000"/>
              </w:rPr>
              <w:t>0 (P)</w:t>
            </w:r>
          </w:p>
          <w:p w14:paraId="620BF2A6"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0 (V), 1 (P)</w:t>
            </w:r>
          </w:p>
        </w:tc>
      </w:tr>
      <w:tr w:rsidR="00264B92" w:rsidRPr="002D44D6" w14:paraId="7A7D832E" w14:textId="77777777" w:rsidTr="00EA034E">
        <w:tc>
          <w:tcPr>
            <w:tcW w:w="1009" w:type="pct"/>
          </w:tcPr>
          <w:p w14:paraId="38BB413F" w14:textId="77777777" w:rsidR="00264B92" w:rsidRPr="00EA034E" w:rsidRDefault="00264B92" w:rsidP="00B529BA">
            <w:pPr>
              <w:widowControl w:val="0"/>
              <w:adjustRightInd w:val="0"/>
              <w:snapToGrid w:val="0"/>
              <w:spacing w:line="360" w:lineRule="auto"/>
              <w:rPr>
                <w:rFonts w:ascii="Book Antiqua" w:hAnsi="Book Antiqua" w:cs="Arial"/>
                <w:color w:val="000000"/>
              </w:rPr>
            </w:pPr>
            <w:r w:rsidRPr="00EA034E">
              <w:rPr>
                <w:rFonts w:ascii="Book Antiqua" w:hAnsi="Book Antiqua" w:cs="Arial"/>
                <w:color w:val="000000"/>
              </w:rPr>
              <w:t>HRT</w:t>
            </w:r>
          </w:p>
          <w:p w14:paraId="02C2E45C" w14:textId="372EE9C7" w:rsidR="00264B92" w:rsidRPr="00EA034E" w:rsidRDefault="00264B92" w:rsidP="00B529BA">
            <w:pPr>
              <w:widowControl w:val="0"/>
              <w:adjustRightInd w:val="0"/>
              <w:snapToGrid w:val="0"/>
              <w:spacing w:line="360" w:lineRule="auto"/>
              <w:ind w:firstLineChars="100" w:firstLine="240"/>
              <w:rPr>
                <w:rFonts w:ascii="Book Antiqua" w:hAnsi="Book Antiqua" w:cs="Arial"/>
                <w:color w:val="000000"/>
              </w:rPr>
            </w:pPr>
            <w:proofErr w:type="spellStart"/>
            <w:r w:rsidRPr="00EA034E">
              <w:rPr>
                <w:rFonts w:ascii="Book Antiqua" w:hAnsi="Book Antiqua" w:cs="Arial"/>
                <w:color w:val="000000"/>
              </w:rPr>
              <w:t>Ormarsdottir</w:t>
            </w:r>
            <w:proofErr w:type="spellEnd"/>
            <w:r w:rsidRPr="00EA034E">
              <w:rPr>
                <w:rFonts w:ascii="Book Antiqua" w:hAnsi="Book Antiqua" w:cs="Arial"/>
                <w:color w:val="000000"/>
              </w:rPr>
              <w:t xml:space="preserve"> </w:t>
            </w:r>
            <w:r w:rsidR="00B529BA" w:rsidRPr="00EA034E">
              <w:rPr>
                <w:rFonts w:ascii="Book Antiqua" w:eastAsia="SimSun" w:hAnsi="Book Antiqua" w:cs="Arial"/>
                <w:i/>
                <w:color w:val="000000"/>
                <w:lang w:eastAsia="zh-CN"/>
              </w:rPr>
              <w:t>et al</w:t>
            </w:r>
            <w:r w:rsidR="00EA034E" w:rsidRPr="00EA034E">
              <w:rPr>
                <w:rFonts w:ascii="Book Antiqua" w:eastAsia="SimSun" w:hAnsi="Book Antiqua" w:cs="Arial" w:hint="eastAsia"/>
                <w:color w:val="000000"/>
                <w:vertAlign w:val="superscript"/>
                <w:lang w:eastAsia="zh-CN"/>
              </w:rPr>
              <w:t>[51</w:t>
            </w:r>
            <w:r w:rsidR="00B529BA" w:rsidRPr="00EA034E">
              <w:rPr>
                <w:rFonts w:ascii="Book Antiqua" w:eastAsia="SimSun" w:hAnsi="Book Antiqua" w:cs="Arial" w:hint="eastAsia"/>
                <w:color w:val="000000"/>
                <w:vertAlign w:val="superscript"/>
                <w:lang w:eastAsia="zh-CN"/>
              </w:rPr>
              <w:t>]</w:t>
            </w:r>
            <w:r w:rsidR="00B529BA" w:rsidRPr="00EA034E">
              <w:rPr>
                <w:rFonts w:ascii="Book Antiqua" w:eastAsia="SimSun" w:hAnsi="Book Antiqua" w:cs="Arial" w:hint="eastAsia"/>
                <w:color w:val="000000"/>
                <w:lang w:eastAsia="zh-CN"/>
              </w:rPr>
              <w:t xml:space="preserve">, </w:t>
            </w:r>
            <w:r w:rsidRPr="00EA034E">
              <w:rPr>
                <w:rFonts w:ascii="Book Antiqua" w:hAnsi="Book Antiqua" w:cs="Arial"/>
                <w:color w:val="000000"/>
              </w:rPr>
              <w:t>2004</w:t>
            </w:r>
          </w:p>
        </w:tc>
        <w:tc>
          <w:tcPr>
            <w:tcW w:w="972" w:type="pct"/>
            <w:tcMar>
              <w:top w:w="100" w:type="dxa"/>
              <w:left w:w="100" w:type="dxa"/>
              <w:bottom w:w="100" w:type="dxa"/>
              <w:right w:w="100" w:type="dxa"/>
            </w:tcMar>
            <w:hideMark/>
          </w:tcPr>
          <w:p w14:paraId="09BF4211"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50 mcg twice weekly TD estradiol + 2.5 mg/d progestin</w:t>
            </w:r>
          </w:p>
        </w:tc>
        <w:tc>
          <w:tcPr>
            <w:tcW w:w="896" w:type="pct"/>
            <w:tcMar>
              <w:top w:w="100" w:type="dxa"/>
              <w:left w:w="100" w:type="dxa"/>
              <w:bottom w:w="100" w:type="dxa"/>
              <w:right w:w="100" w:type="dxa"/>
            </w:tcMar>
            <w:hideMark/>
          </w:tcPr>
          <w:p w14:paraId="095632D7" w14:textId="6F3EDF6E"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8 (HRT)</w:t>
            </w:r>
          </w:p>
          <w:p w14:paraId="4AE9101A" w14:textId="4AE3A2B8" w:rsidR="00264B92" w:rsidRPr="00EA034E" w:rsidRDefault="00264B92" w:rsidP="00EA034E">
            <w:pPr>
              <w:widowControl w:val="0"/>
              <w:adjustRightInd w:val="0"/>
              <w:snapToGrid w:val="0"/>
              <w:spacing w:line="360" w:lineRule="auto"/>
              <w:jc w:val="center"/>
              <w:rPr>
                <w:rFonts w:ascii="Book Antiqua" w:eastAsia="SimSun" w:hAnsi="Book Antiqua" w:cs="Arial"/>
                <w:vertAlign w:val="superscript"/>
                <w:lang w:eastAsia="zh-CN"/>
              </w:rPr>
            </w:pPr>
            <w:r w:rsidRPr="002D44D6">
              <w:rPr>
                <w:rFonts w:ascii="Book Antiqua" w:hAnsi="Book Antiqua" w:cs="Arial"/>
                <w:color w:val="000000"/>
              </w:rPr>
              <w:t>9 (no treatment)</w:t>
            </w:r>
            <w:r w:rsidR="00EA034E">
              <w:rPr>
                <w:rFonts w:ascii="Book Antiqua" w:eastAsia="SimSun" w:hAnsi="Book Antiqua" w:cs="Arial" w:hint="eastAsia"/>
                <w:color w:val="000000"/>
                <w:vertAlign w:val="superscript"/>
                <w:lang w:eastAsia="zh-CN"/>
              </w:rPr>
              <w:t>3</w:t>
            </w:r>
          </w:p>
        </w:tc>
        <w:tc>
          <w:tcPr>
            <w:tcW w:w="802" w:type="pct"/>
            <w:tcMar>
              <w:top w:w="100" w:type="dxa"/>
              <w:left w:w="100" w:type="dxa"/>
              <w:bottom w:w="100" w:type="dxa"/>
              <w:right w:w="100" w:type="dxa"/>
            </w:tcMar>
            <w:hideMark/>
          </w:tcPr>
          <w:p w14:paraId="6A1B9441" w14:textId="0FEC76E4" w:rsidR="00264B92" w:rsidRPr="00EA034E" w:rsidRDefault="00264B92" w:rsidP="00B529BA">
            <w:pPr>
              <w:widowControl w:val="0"/>
              <w:adjustRightInd w:val="0"/>
              <w:snapToGrid w:val="0"/>
              <w:spacing w:line="360" w:lineRule="auto"/>
              <w:jc w:val="center"/>
              <w:rPr>
                <w:rFonts w:ascii="Book Antiqua" w:hAnsi="Book Antiqua" w:cs="Arial"/>
                <w:color w:val="000000"/>
                <w:vertAlign w:val="superscript"/>
              </w:rPr>
            </w:pPr>
            <w:r w:rsidRPr="00EA034E">
              <w:rPr>
                <w:rFonts w:ascii="Book Antiqua" w:hAnsi="Book Antiqua" w:cs="Arial"/>
                <w:color w:val="000000"/>
              </w:rPr>
              <w:t>+3.1 (L)</w:t>
            </w:r>
            <w:r w:rsidR="00EA034E" w:rsidRPr="00EA034E">
              <w:rPr>
                <w:rFonts w:ascii="Book Antiqua" w:eastAsia="SimSun" w:hAnsi="Book Antiqua" w:cs="Arial" w:hint="eastAsia"/>
                <w:color w:val="000000"/>
                <w:vertAlign w:val="superscript"/>
                <w:lang w:eastAsia="zh-CN"/>
              </w:rPr>
              <w:t>2</w:t>
            </w:r>
            <w:r w:rsidRPr="00EA034E">
              <w:rPr>
                <w:rFonts w:ascii="Book Antiqua" w:hAnsi="Book Antiqua" w:cs="Arial"/>
                <w:color w:val="000000"/>
              </w:rPr>
              <w:t>,</w:t>
            </w:r>
            <w:r w:rsidRPr="00EA034E">
              <w:rPr>
                <w:rFonts w:ascii="Book Antiqua" w:hAnsi="Book Antiqua" w:cs="Arial"/>
              </w:rPr>
              <w:t xml:space="preserve"> </w:t>
            </w:r>
            <w:r w:rsidRPr="00EA034E">
              <w:rPr>
                <w:rFonts w:ascii="Book Antiqua" w:hAnsi="Book Antiqua" w:cs="Arial"/>
                <w:color w:val="000000"/>
              </w:rPr>
              <w:t>+1.7 (F)</w:t>
            </w:r>
            <w:r w:rsidR="00EA034E" w:rsidRPr="00EA034E">
              <w:rPr>
                <w:rFonts w:ascii="Book Antiqua" w:eastAsia="SimSun" w:hAnsi="Book Antiqua" w:cs="Arial" w:hint="eastAsia"/>
                <w:color w:val="000000"/>
                <w:vertAlign w:val="superscript"/>
                <w:lang w:eastAsia="zh-CN"/>
              </w:rPr>
              <w:t>1,2</w:t>
            </w:r>
          </w:p>
          <w:p w14:paraId="3F13809E" w14:textId="3BD36D21" w:rsidR="00264B92" w:rsidRPr="00EA034E" w:rsidRDefault="00264B92" w:rsidP="00B529BA">
            <w:pPr>
              <w:widowControl w:val="0"/>
              <w:adjustRightInd w:val="0"/>
              <w:snapToGrid w:val="0"/>
              <w:spacing w:line="360" w:lineRule="auto"/>
              <w:jc w:val="center"/>
              <w:rPr>
                <w:rFonts w:ascii="Book Antiqua" w:hAnsi="Book Antiqua" w:cs="Arial"/>
                <w:vertAlign w:val="superscript"/>
              </w:rPr>
            </w:pPr>
            <w:r w:rsidRPr="00EA034E">
              <w:rPr>
                <w:rFonts w:ascii="Book Antiqua" w:hAnsi="Book Antiqua" w:cs="Arial"/>
                <w:color w:val="000000"/>
              </w:rPr>
              <w:t>+1.0 (L), -0.6 (F)</w:t>
            </w:r>
            <w:r w:rsidR="00EA034E" w:rsidRPr="00EA034E">
              <w:rPr>
                <w:rFonts w:ascii="Book Antiqua" w:eastAsia="SimSun" w:hAnsi="Book Antiqua" w:cs="Arial" w:hint="eastAsia"/>
                <w:color w:val="000000"/>
                <w:vertAlign w:val="superscript"/>
                <w:lang w:eastAsia="zh-CN"/>
              </w:rPr>
              <w:t>1</w:t>
            </w:r>
          </w:p>
        </w:tc>
        <w:tc>
          <w:tcPr>
            <w:tcW w:w="754" w:type="pct"/>
            <w:tcMar>
              <w:top w:w="100" w:type="dxa"/>
              <w:left w:w="100" w:type="dxa"/>
              <w:bottom w:w="100" w:type="dxa"/>
              <w:right w:w="100" w:type="dxa"/>
            </w:tcMar>
            <w:hideMark/>
          </w:tcPr>
          <w:p w14:paraId="6A3A02AA" w14:textId="77777777" w:rsidR="00264B92" w:rsidRPr="00EA034E" w:rsidRDefault="00264B92" w:rsidP="00B529BA">
            <w:pPr>
              <w:widowControl w:val="0"/>
              <w:adjustRightInd w:val="0"/>
              <w:snapToGrid w:val="0"/>
              <w:spacing w:line="360" w:lineRule="auto"/>
              <w:jc w:val="center"/>
              <w:rPr>
                <w:rFonts w:ascii="Book Antiqua" w:hAnsi="Book Antiqua" w:cs="Arial"/>
              </w:rPr>
            </w:pPr>
            <w:r w:rsidRPr="00EA034E">
              <w:rPr>
                <w:rFonts w:ascii="Book Antiqua" w:hAnsi="Book Antiqua" w:cs="Arial"/>
              </w:rPr>
              <w:t>N/A</w:t>
            </w:r>
          </w:p>
        </w:tc>
        <w:tc>
          <w:tcPr>
            <w:tcW w:w="566" w:type="pct"/>
            <w:tcMar>
              <w:top w:w="100" w:type="dxa"/>
              <w:left w:w="100" w:type="dxa"/>
              <w:bottom w:w="100" w:type="dxa"/>
              <w:right w:w="100" w:type="dxa"/>
            </w:tcMar>
            <w:hideMark/>
          </w:tcPr>
          <w:p w14:paraId="4E8528B8"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rPr>
              <w:t>0</w:t>
            </w:r>
          </w:p>
          <w:p w14:paraId="65780970"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rPr>
              <w:t>0</w:t>
            </w:r>
          </w:p>
        </w:tc>
      </w:tr>
      <w:tr w:rsidR="00264B92" w:rsidRPr="002D44D6" w14:paraId="143493BC" w14:textId="77777777" w:rsidTr="00EA034E">
        <w:tc>
          <w:tcPr>
            <w:tcW w:w="1009" w:type="pct"/>
          </w:tcPr>
          <w:p w14:paraId="3C1E83C8" w14:textId="4A372AF1" w:rsidR="00264B92" w:rsidRPr="00EA034E" w:rsidRDefault="00264B92" w:rsidP="00EA034E">
            <w:pPr>
              <w:widowControl w:val="0"/>
              <w:adjustRightInd w:val="0"/>
              <w:snapToGrid w:val="0"/>
              <w:spacing w:line="360" w:lineRule="auto"/>
              <w:ind w:firstLineChars="100" w:firstLine="240"/>
              <w:rPr>
                <w:rFonts w:ascii="Book Antiqua" w:hAnsi="Book Antiqua" w:cs="Arial"/>
                <w:color w:val="000000"/>
              </w:rPr>
            </w:pPr>
            <w:r w:rsidRPr="00EA034E">
              <w:rPr>
                <w:rFonts w:ascii="Book Antiqua" w:hAnsi="Book Antiqua" w:cs="Arial"/>
                <w:color w:val="000000"/>
              </w:rPr>
              <w:t xml:space="preserve">Boone </w:t>
            </w:r>
            <w:r w:rsidR="00B529BA" w:rsidRPr="00EA034E">
              <w:rPr>
                <w:rFonts w:ascii="Book Antiqua" w:eastAsia="SimSun" w:hAnsi="Book Antiqua" w:cs="Arial"/>
                <w:i/>
                <w:color w:val="000000"/>
                <w:lang w:eastAsia="zh-CN"/>
              </w:rPr>
              <w:t>et al</w:t>
            </w:r>
            <w:r w:rsidR="00EA034E" w:rsidRPr="00EA034E">
              <w:rPr>
                <w:rFonts w:ascii="Book Antiqua" w:eastAsia="SimSun" w:hAnsi="Book Antiqua" w:cs="Arial" w:hint="eastAsia"/>
                <w:color w:val="000000"/>
                <w:vertAlign w:val="superscript"/>
                <w:lang w:eastAsia="zh-CN"/>
              </w:rPr>
              <w:t>[9</w:t>
            </w:r>
            <w:r w:rsidR="00B529BA" w:rsidRPr="00EA034E">
              <w:rPr>
                <w:rFonts w:ascii="Book Antiqua" w:eastAsia="SimSun" w:hAnsi="Book Antiqua" w:cs="Arial" w:hint="eastAsia"/>
                <w:color w:val="000000"/>
                <w:vertAlign w:val="superscript"/>
                <w:lang w:eastAsia="zh-CN"/>
              </w:rPr>
              <w:t>]</w:t>
            </w:r>
            <w:r w:rsidR="00B529BA" w:rsidRPr="00EA034E">
              <w:rPr>
                <w:rFonts w:ascii="Book Antiqua" w:eastAsia="SimSun" w:hAnsi="Book Antiqua" w:cs="Arial" w:hint="eastAsia"/>
                <w:color w:val="000000"/>
                <w:lang w:eastAsia="zh-CN"/>
              </w:rPr>
              <w:t xml:space="preserve">, </w:t>
            </w:r>
            <w:r w:rsidRPr="00EA034E">
              <w:rPr>
                <w:rFonts w:ascii="Book Antiqua" w:hAnsi="Book Antiqua" w:cs="Arial"/>
                <w:color w:val="000000"/>
              </w:rPr>
              <w:t>2006</w:t>
            </w:r>
          </w:p>
        </w:tc>
        <w:tc>
          <w:tcPr>
            <w:tcW w:w="972" w:type="pct"/>
            <w:tcMar>
              <w:top w:w="100" w:type="dxa"/>
              <w:left w:w="100" w:type="dxa"/>
              <w:bottom w:w="100" w:type="dxa"/>
              <w:right w:w="100" w:type="dxa"/>
            </w:tcMar>
            <w:hideMark/>
          </w:tcPr>
          <w:p w14:paraId="79B26419"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0.05 mg/d TD estradiol + 0.25 mg/d TD progestin</w:t>
            </w:r>
          </w:p>
        </w:tc>
        <w:tc>
          <w:tcPr>
            <w:tcW w:w="896" w:type="pct"/>
            <w:tcMar>
              <w:top w:w="100" w:type="dxa"/>
              <w:left w:w="100" w:type="dxa"/>
              <w:bottom w:w="100" w:type="dxa"/>
              <w:right w:w="100" w:type="dxa"/>
            </w:tcMar>
            <w:hideMark/>
          </w:tcPr>
          <w:p w14:paraId="4BB7081F" w14:textId="5A0E6666"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8 (HRT)</w:t>
            </w:r>
          </w:p>
          <w:p w14:paraId="47BF5C9C"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14 (placebo)</w:t>
            </w:r>
          </w:p>
        </w:tc>
        <w:tc>
          <w:tcPr>
            <w:tcW w:w="802" w:type="pct"/>
            <w:tcMar>
              <w:top w:w="100" w:type="dxa"/>
              <w:left w:w="100" w:type="dxa"/>
              <w:bottom w:w="100" w:type="dxa"/>
              <w:right w:w="100" w:type="dxa"/>
            </w:tcMar>
          </w:tcPr>
          <w:p w14:paraId="1350B43A" w14:textId="77777777" w:rsidR="00264B92" w:rsidRPr="00EA034E" w:rsidRDefault="00264B92" w:rsidP="00B529BA">
            <w:pPr>
              <w:widowControl w:val="0"/>
              <w:adjustRightInd w:val="0"/>
              <w:snapToGrid w:val="0"/>
              <w:spacing w:line="360" w:lineRule="auto"/>
              <w:jc w:val="center"/>
              <w:rPr>
                <w:rFonts w:ascii="Book Antiqua" w:hAnsi="Book Antiqua" w:cs="Arial"/>
              </w:rPr>
            </w:pPr>
            <w:r w:rsidRPr="00EA034E">
              <w:rPr>
                <w:rFonts w:ascii="Book Antiqua" w:hAnsi="Book Antiqua" w:cs="Arial"/>
              </w:rPr>
              <w:t>N/A</w:t>
            </w:r>
          </w:p>
        </w:tc>
        <w:tc>
          <w:tcPr>
            <w:tcW w:w="754" w:type="pct"/>
            <w:tcMar>
              <w:top w:w="100" w:type="dxa"/>
              <w:left w:w="100" w:type="dxa"/>
              <w:bottom w:w="100" w:type="dxa"/>
              <w:right w:w="100" w:type="dxa"/>
            </w:tcMar>
            <w:hideMark/>
          </w:tcPr>
          <w:p w14:paraId="1A1EC999" w14:textId="77777777" w:rsidR="00264B92" w:rsidRPr="00EA034E" w:rsidRDefault="00264B92" w:rsidP="00B529BA">
            <w:pPr>
              <w:widowControl w:val="0"/>
              <w:adjustRightInd w:val="0"/>
              <w:snapToGrid w:val="0"/>
              <w:spacing w:line="360" w:lineRule="auto"/>
              <w:jc w:val="center"/>
              <w:rPr>
                <w:rFonts w:ascii="Book Antiqua" w:hAnsi="Book Antiqua" w:cs="Arial"/>
              </w:rPr>
            </w:pPr>
            <w:r w:rsidRPr="00EA034E">
              <w:rPr>
                <w:rFonts w:ascii="Book Antiqua" w:hAnsi="Book Antiqua" w:cs="Arial"/>
                <w:color w:val="000000"/>
              </w:rPr>
              <w:t>-0.6 (L), +0.2 (F)</w:t>
            </w:r>
          </w:p>
          <w:p w14:paraId="2A28B2B9" w14:textId="7D99C37E" w:rsidR="00264B92" w:rsidRPr="00EA034E" w:rsidRDefault="00264B92" w:rsidP="00B529BA">
            <w:pPr>
              <w:widowControl w:val="0"/>
              <w:adjustRightInd w:val="0"/>
              <w:snapToGrid w:val="0"/>
              <w:spacing w:line="360" w:lineRule="auto"/>
              <w:jc w:val="center"/>
              <w:rPr>
                <w:rFonts w:ascii="Book Antiqua" w:eastAsia="SimSun" w:hAnsi="Book Antiqua" w:cs="Arial"/>
                <w:vertAlign w:val="superscript"/>
                <w:lang w:eastAsia="zh-CN"/>
              </w:rPr>
            </w:pPr>
            <w:r w:rsidRPr="00EA034E">
              <w:rPr>
                <w:rFonts w:ascii="Book Antiqua" w:hAnsi="Book Antiqua" w:cs="Arial"/>
                <w:color w:val="000000"/>
              </w:rPr>
              <w:t>-0.8 (L), -3.7 (F)</w:t>
            </w:r>
            <w:r w:rsidR="00EA034E" w:rsidRPr="00EA034E">
              <w:rPr>
                <w:rFonts w:ascii="Book Antiqua" w:eastAsia="SimSun" w:hAnsi="Book Antiqua" w:cs="Arial" w:hint="eastAsia"/>
                <w:color w:val="000000"/>
                <w:vertAlign w:val="superscript"/>
                <w:lang w:eastAsia="zh-CN"/>
              </w:rPr>
              <w:t>2</w:t>
            </w:r>
          </w:p>
        </w:tc>
        <w:tc>
          <w:tcPr>
            <w:tcW w:w="566" w:type="pct"/>
            <w:tcMar>
              <w:top w:w="100" w:type="dxa"/>
              <w:left w:w="100" w:type="dxa"/>
              <w:bottom w:w="100" w:type="dxa"/>
              <w:right w:w="100" w:type="dxa"/>
            </w:tcMar>
            <w:hideMark/>
          </w:tcPr>
          <w:p w14:paraId="765D2943" w14:textId="77777777"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0 (V)</w:t>
            </w:r>
          </w:p>
          <w:p w14:paraId="6F04E92C"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2 (V)</w:t>
            </w:r>
          </w:p>
        </w:tc>
      </w:tr>
      <w:tr w:rsidR="00264B92" w:rsidRPr="002D44D6" w14:paraId="573ADECB" w14:textId="77777777" w:rsidTr="00EA034E">
        <w:tc>
          <w:tcPr>
            <w:tcW w:w="1009" w:type="pct"/>
          </w:tcPr>
          <w:p w14:paraId="40145443" w14:textId="77777777" w:rsidR="00264B92" w:rsidRPr="00EA034E" w:rsidRDefault="00264B92" w:rsidP="00B529BA">
            <w:pPr>
              <w:widowControl w:val="0"/>
              <w:adjustRightInd w:val="0"/>
              <w:snapToGrid w:val="0"/>
              <w:spacing w:line="360" w:lineRule="auto"/>
              <w:rPr>
                <w:rFonts w:ascii="Book Antiqua" w:hAnsi="Book Antiqua" w:cs="Arial"/>
                <w:color w:val="000000"/>
              </w:rPr>
            </w:pPr>
            <w:r w:rsidRPr="00EA034E">
              <w:rPr>
                <w:rFonts w:ascii="Book Antiqua" w:hAnsi="Book Antiqua" w:cs="Arial"/>
                <w:color w:val="000000"/>
              </w:rPr>
              <w:t>Sodium fluoride</w:t>
            </w:r>
          </w:p>
          <w:p w14:paraId="66F15452" w14:textId="15C7A42B" w:rsidR="00264B92" w:rsidRPr="00EA034E" w:rsidRDefault="00264B92" w:rsidP="00B529BA">
            <w:pPr>
              <w:widowControl w:val="0"/>
              <w:adjustRightInd w:val="0"/>
              <w:snapToGrid w:val="0"/>
              <w:spacing w:line="360" w:lineRule="auto"/>
              <w:ind w:firstLineChars="100" w:firstLine="240"/>
              <w:rPr>
                <w:rFonts w:ascii="Book Antiqua" w:hAnsi="Book Antiqua" w:cs="Arial"/>
                <w:color w:val="000000"/>
              </w:rPr>
            </w:pPr>
            <w:proofErr w:type="spellStart"/>
            <w:r w:rsidRPr="00EA034E">
              <w:rPr>
                <w:rFonts w:ascii="Book Antiqua" w:hAnsi="Book Antiqua" w:cs="Arial"/>
                <w:color w:val="000000"/>
              </w:rPr>
              <w:t>Guañabens</w:t>
            </w:r>
            <w:proofErr w:type="spellEnd"/>
            <w:r w:rsidRPr="00EA034E">
              <w:rPr>
                <w:rFonts w:ascii="Book Antiqua" w:hAnsi="Book Antiqua" w:cs="Arial"/>
                <w:color w:val="000000"/>
              </w:rPr>
              <w:t xml:space="preserve"> </w:t>
            </w:r>
            <w:r w:rsidR="00B529BA" w:rsidRPr="00EA034E">
              <w:rPr>
                <w:rFonts w:ascii="Book Antiqua" w:eastAsia="SimSun" w:hAnsi="Book Antiqua" w:cs="Arial"/>
                <w:i/>
                <w:color w:val="000000"/>
                <w:lang w:eastAsia="zh-CN"/>
              </w:rPr>
              <w:t>et al</w:t>
            </w:r>
            <w:r w:rsidR="00EA034E" w:rsidRPr="00EA034E">
              <w:rPr>
                <w:rFonts w:ascii="Book Antiqua" w:eastAsia="SimSun" w:hAnsi="Book Antiqua" w:cs="Arial" w:hint="eastAsia"/>
                <w:color w:val="000000"/>
                <w:vertAlign w:val="superscript"/>
                <w:lang w:eastAsia="zh-CN"/>
              </w:rPr>
              <w:t>[</w:t>
            </w:r>
            <w:r w:rsidR="00B529BA" w:rsidRPr="00EA034E">
              <w:rPr>
                <w:rFonts w:ascii="Book Antiqua" w:eastAsia="SimSun" w:hAnsi="Book Antiqua" w:cs="Arial" w:hint="eastAsia"/>
                <w:color w:val="000000"/>
                <w:vertAlign w:val="superscript"/>
                <w:lang w:eastAsia="zh-CN"/>
              </w:rPr>
              <w:t>7]</w:t>
            </w:r>
            <w:r w:rsidR="00B529BA" w:rsidRPr="00EA034E">
              <w:rPr>
                <w:rFonts w:ascii="Book Antiqua" w:eastAsia="SimSun" w:hAnsi="Book Antiqua" w:cs="Arial" w:hint="eastAsia"/>
                <w:color w:val="000000"/>
                <w:lang w:eastAsia="zh-CN"/>
              </w:rPr>
              <w:t xml:space="preserve">, </w:t>
            </w:r>
            <w:r w:rsidRPr="00EA034E">
              <w:rPr>
                <w:rFonts w:ascii="Book Antiqua" w:hAnsi="Book Antiqua" w:cs="Arial"/>
                <w:color w:val="000000"/>
              </w:rPr>
              <w:t>1992</w:t>
            </w:r>
          </w:p>
        </w:tc>
        <w:tc>
          <w:tcPr>
            <w:tcW w:w="972" w:type="pct"/>
            <w:tcMar>
              <w:top w:w="100" w:type="dxa"/>
              <w:left w:w="100" w:type="dxa"/>
              <w:bottom w:w="100" w:type="dxa"/>
              <w:right w:w="100" w:type="dxa"/>
            </w:tcMar>
            <w:hideMark/>
          </w:tcPr>
          <w:p w14:paraId="533CC0A7"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50 mg/d sodium fluoride</w:t>
            </w:r>
          </w:p>
        </w:tc>
        <w:tc>
          <w:tcPr>
            <w:tcW w:w="896" w:type="pct"/>
            <w:tcMar>
              <w:top w:w="100" w:type="dxa"/>
              <w:left w:w="100" w:type="dxa"/>
              <w:bottom w:w="100" w:type="dxa"/>
              <w:right w:w="100" w:type="dxa"/>
            </w:tcMar>
            <w:hideMark/>
          </w:tcPr>
          <w:p w14:paraId="5CB7B1F7" w14:textId="757B3AA2"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8 (fluoride)</w:t>
            </w:r>
          </w:p>
          <w:p w14:paraId="0E332EC5"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8 (placebo)</w:t>
            </w:r>
          </w:p>
        </w:tc>
        <w:tc>
          <w:tcPr>
            <w:tcW w:w="802" w:type="pct"/>
            <w:tcMar>
              <w:top w:w="100" w:type="dxa"/>
              <w:left w:w="100" w:type="dxa"/>
              <w:bottom w:w="100" w:type="dxa"/>
              <w:right w:w="100" w:type="dxa"/>
            </w:tcMar>
            <w:hideMark/>
          </w:tcPr>
          <w:p w14:paraId="5C95ED78" w14:textId="77777777" w:rsidR="00264B92" w:rsidRPr="00EA034E" w:rsidRDefault="00264B92" w:rsidP="00B529BA">
            <w:pPr>
              <w:widowControl w:val="0"/>
              <w:adjustRightInd w:val="0"/>
              <w:snapToGrid w:val="0"/>
              <w:spacing w:line="360" w:lineRule="auto"/>
              <w:jc w:val="center"/>
              <w:rPr>
                <w:rFonts w:ascii="Book Antiqua" w:hAnsi="Book Antiqua" w:cs="Arial"/>
              </w:rPr>
            </w:pPr>
            <w:r w:rsidRPr="00EA034E">
              <w:rPr>
                <w:rFonts w:ascii="Book Antiqua" w:hAnsi="Book Antiqua" w:cs="Arial"/>
              </w:rPr>
              <w:t>N/A</w:t>
            </w:r>
          </w:p>
        </w:tc>
        <w:tc>
          <w:tcPr>
            <w:tcW w:w="754" w:type="pct"/>
            <w:tcMar>
              <w:top w:w="100" w:type="dxa"/>
              <w:left w:w="100" w:type="dxa"/>
              <w:bottom w:w="100" w:type="dxa"/>
              <w:right w:w="100" w:type="dxa"/>
            </w:tcMar>
            <w:hideMark/>
          </w:tcPr>
          <w:p w14:paraId="7EC3ED61" w14:textId="238735EE" w:rsidR="00264B92" w:rsidRPr="00EA034E" w:rsidRDefault="00264B92" w:rsidP="00B529BA">
            <w:pPr>
              <w:widowControl w:val="0"/>
              <w:adjustRightInd w:val="0"/>
              <w:snapToGrid w:val="0"/>
              <w:spacing w:line="360" w:lineRule="auto"/>
              <w:jc w:val="center"/>
              <w:rPr>
                <w:rFonts w:ascii="Book Antiqua" w:hAnsi="Book Antiqua" w:cs="Arial"/>
                <w:color w:val="000000"/>
                <w:vertAlign w:val="superscript"/>
              </w:rPr>
            </w:pPr>
            <w:r w:rsidRPr="00EA034E">
              <w:rPr>
                <w:rFonts w:ascii="Book Antiqua" w:hAnsi="Book Antiqua" w:cs="Arial"/>
                <w:color w:val="000000"/>
              </w:rPr>
              <w:t>+2.9 (L)</w:t>
            </w:r>
            <w:r w:rsidR="00EA034E" w:rsidRPr="00EA034E">
              <w:rPr>
                <w:rFonts w:ascii="Book Antiqua" w:eastAsia="SimSun" w:hAnsi="Book Antiqua" w:cs="Arial" w:hint="eastAsia"/>
                <w:color w:val="000000"/>
                <w:vertAlign w:val="superscript"/>
                <w:lang w:eastAsia="zh-CN"/>
              </w:rPr>
              <w:t>1</w:t>
            </w:r>
          </w:p>
          <w:p w14:paraId="3D76ABCF" w14:textId="0EEDC199" w:rsidR="00264B92" w:rsidRPr="00EA034E" w:rsidRDefault="00264B92" w:rsidP="00B529BA">
            <w:pPr>
              <w:widowControl w:val="0"/>
              <w:adjustRightInd w:val="0"/>
              <w:snapToGrid w:val="0"/>
              <w:spacing w:line="360" w:lineRule="auto"/>
              <w:jc w:val="center"/>
              <w:rPr>
                <w:rFonts w:ascii="Book Antiqua" w:hAnsi="Book Antiqua" w:cs="Arial"/>
                <w:vertAlign w:val="superscript"/>
              </w:rPr>
            </w:pPr>
            <w:r w:rsidRPr="00EA034E">
              <w:rPr>
                <w:rFonts w:ascii="Book Antiqua" w:hAnsi="Book Antiqua" w:cs="Arial"/>
                <w:color w:val="000000"/>
              </w:rPr>
              <w:t>-6.6 (L)</w:t>
            </w:r>
            <w:r w:rsidR="00EA034E" w:rsidRPr="00EA034E">
              <w:rPr>
                <w:rFonts w:ascii="Book Antiqua" w:eastAsia="SimSun" w:hAnsi="Book Antiqua" w:cs="Arial" w:hint="eastAsia"/>
                <w:color w:val="000000"/>
                <w:vertAlign w:val="superscript"/>
                <w:lang w:eastAsia="zh-CN"/>
              </w:rPr>
              <w:t>1,2</w:t>
            </w:r>
          </w:p>
        </w:tc>
        <w:tc>
          <w:tcPr>
            <w:tcW w:w="566" w:type="pct"/>
            <w:tcMar>
              <w:top w:w="100" w:type="dxa"/>
              <w:left w:w="100" w:type="dxa"/>
              <w:bottom w:w="100" w:type="dxa"/>
              <w:right w:w="100" w:type="dxa"/>
            </w:tcMar>
            <w:hideMark/>
          </w:tcPr>
          <w:p w14:paraId="0CA9EA8F" w14:textId="77777777"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0</w:t>
            </w:r>
          </w:p>
          <w:p w14:paraId="6D9838ED"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0</w:t>
            </w:r>
          </w:p>
        </w:tc>
      </w:tr>
      <w:tr w:rsidR="00264B92" w:rsidRPr="002D44D6" w14:paraId="25ABD8CE" w14:textId="77777777" w:rsidTr="00EA034E">
        <w:tc>
          <w:tcPr>
            <w:tcW w:w="1009" w:type="pct"/>
          </w:tcPr>
          <w:p w14:paraId="0881F27B" w14:textId="77777777" w:rsidR="00264B92" w:rsidRPr="00EA034E" w:rsidRDefault="00264B92" w:rsidP="00B529BA">
            <w:pPr>
              <w:widowControl w:val="0"/>
              <w:adjustRightInd w:val="0"/>
              <w:snapToGrid w:val="0"/>
              <w:spacing w:line="360" w:lineRule="auto"/>
              <w:rPr>
                <w:rFonts w:ascii="Book Antiqua" w:hAnsi="Book Antiqua" w:cs="Arial"/>
                <w:color w:val="000000"/>
              </w:rPr>
            </w:pPr>
            <w:r w:rsidRPr="00EA034E">
              <w:rPr>
                <w:rFonts w:ascii="Book Antiqua" w:hAnsi="Book Antiqua" w:cs="Arial"/>
                <w:color w:val="000000"/>
              </w:rPr>
              <w:lastRenderedPageBreak/>
              <w:t>Calcitriol</w:t>
            </w:r>
          </w:p>
          <w:p w14:paraId="7C401F43" w14:textId="1C5221A0" w:rsidR="00264B92" w:rsidRPr="00EA034E" w:rsidRDefault="00264B92" w:rsidP="00B529BA">
            <w:pPr>
              <w:widowControl w:val="0"/>
              <w:adjustRightInd w:val="0"/>
              <w:snapToGrid w:val="0"/>
              <w:spacing w:line="360" w:lineRule="auto"/>
              <w:ind w:firstLineChars="100" w:firstLine="240"/>
              <w:rPr>
                <w:rFonts w:ascii="Book Antiqua" w:hAnsi="Book Antiqua" w:cs="Arial"/>
                <w:color w:val="000000"/>
              </w:rPr>
            </w:pPr>
            <w:proofErr w:type="spellStart"/>
            <w:r w:rsidRPr="00EA034E">
              <w:rPr>
                <w:rFonts w:ascii="Book Antiqua" w:hAnsi="Book Antiqua" w:cs="Arial"/>
                <w:color w:val="000000"/>
              </w:rPr>
              <w:t>Shiomi</w:t>
            </w:r>
            <w:proofErr w:type="spellEnd"/>
            <w:r w:rsidRPr="00EA034E">
              <w:rPr>
                <w:rFonts w:ascii="Book Antiqua" w:hAnsi="Book Antiqua" w:cs="Arial"/>
                <w:color w:val="000000"/>
              </w:rPr>
              <w:t xml:space="preserve"> </w:t>
            </w:r>
            <w:r w:rsidR="00B529BA" w:rsidRPr="00EA034E">
              <w:rPr>
                <w:rFonts w:ascii="Book Antiqua" w:eastAsia="SimSun" w:hAnsi="Book Antiqua" w:cs="Arial"/>
                <w:i/>
                <w:color w:val="000000"/>
                <w:lang w:eastAsia="zh-CN"/>
              </w:rPr>
              <w:t>et al</w:t>
            </w:r>
            <w:r w:rsidR="00EA034E" w:rsidRPr="00EA034E">
              <w:rPr>
                <w:rFonts w:ascii="Book Antiqua" w:eastAsia="SimSun" w:hAnsi="Book Antiqua" w:cs="Arial" w:hint="eastAsia"/>
                <w:color w:val="000000"/>
                <w:vertAlign w:val="superscript"/>
                <w:lang w:eastAsia="zh-CN"/>
              </w:rPr>
              <w:t>[38</w:t>
            </w:r>
            <w:r w:rsidR="00B529BA" w:rsidRPr="00EA034E">
              <w:rPr>
                <w:rFonts w:ascii="Book Antiqua" w:eastAsia="SimSun" w:hAnsi="Book Antiqua" w:cs="Arial" w:hint="eastAsia"/>
                <w:color w:val="000000"/>
                <w:vertAlign w:val="superscript"/>
                <w:lang w:eastAsia="zh-CN"/>
              </w:rPr>
              <w:t>]</w:t>
            </w:r>
            <w:r w:rsidR="00B529BA" w:rsidRPr="00EA034E">
              <w:rPr>
                <w:rFonts w:ascii="Book Antiqua" w:eastAsia="SimSun" w:hAnsi="Book Antiqua" w:cs="Arial" w:hint="eastAsia"/>
                <w:color w:val="000000"/>
                <w:lang w:eastAsia="zh-CN"/>
              </w:rPr>
              <w:t xml:space="preserve">, </w:t>
            </w:r>
            <w:r w:rsidRPr="00EA034E">
              <w:rPr>
                <w:rFonts w:ascii="Book Antiqua" w:hAnsi="Book Antiqua" w:cs="Arial"/>
                <w:color w:val="000000"/>
              </w:rPr>
              <w:t>1999</w:t>
            </w:r>
          </w:p>
        </w:tc>
        <w:tc>
          <w:tcPr>
            <w:tcW w:w="972" w:type="pct"/>
            <w:tcMar>
              <w:top w:w="100" w:type="dxa"/>
              <w:left w:w="100" w:type="dxa"/>
              <w:bottom w:w="100" w:type="dxa"/>
              <w:right w:w="100" w:type="dxa"/>
            </w:tcMar>
            <w:hideMark/>
          </w:tcPr>
          <w:p w14:paraId="42FC5197" w14:textId="1385420E"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0.5 mcg/d BID calcitriol</w:t>
            </w:r>
          </w:p>
        </w:tc>
        <w:tc>
          <w:tcPr>
            <w:tcW w:w="896" w:type="pct"/>
            <w:tcMar>
              <w:top w:w="100" w:type="dxa"/>
              <w:left w:w="100" w:type="dxa"/>
              <w:bottom w:w="100" w:type="dxa"/>
              <w:right w:w="100" w:type="dxa"/>
            </w:tcMar>
            <w:hideMark/>
          </w:tcPr>
          <w:p w14:paraId="64D2D842" w14:textId="7A43C775"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17 (calcitriol)</w:t>
            </w:r>
          </w:p>
          <w:p w14:paraId="07BF43FB" w14:textId="55A6664E" w:rsidR="00264B92" w:rsidRPr="00EA034E" w:rsidRDefault="00264B92" w:rsidP="00EA034E">
            <w:pPr>
              <w:widowControl w:val="0"/>
              <w:adjustRightInd w:val="0"/>
              <w:snapToGrid w:val="0"/>
              <w:spacing w:line="360" w:lineRule="auto"/>
              <w:jc w:val="center"/>
              <w:rPr>
                <w:rFonts w:ascii="Book Antiqua" w:eastAsia="SimSun" w:hAnsi="Book Antiqua" w:cs="Arial"/>
                <w:vertAlign w:val="superscript"/>
                <w:lang w:eastAsia="zh-CN"/>
              </w:rPr>
            </w:pPr>
            <w:r w:rsidRPr="002D44D6">
              <w:rPr>
                <w:rFonts w:ascii="Book Antiqua" w:hAnsi="Book Antiqua" w:cs="Arial"/>
                <w:color w:val="000000"/>
              </w:rPr>
              <w:t>17 (no treatment)</w:t>
            </w:r>
            <w:r w:rsidR="00EA034E">
              <w:rPr>
                <w:rFonts w:ascii="Book Antiqua" w:eastAsia="SimSun" w:hAnsi="Book Antiqua" w:cs="Arial" w:hint="eastAsia"/>
                <w:color w:val="000000"/>
                <w:vertAlign w:val="superscript"/>
                <w:lang w:eastAsia="zh-CN"/>
              </w:rPr>
              <w:t>3</w:t>
            </w:r>
          </w:p>
        </w:tc>
        <w:tc>
          <w:tcPr>
            <w:tcW w:w="802" w:type="pct"/>
            <w:tcMar>
              <w:top w:w="100" w:type="dxa"/>
              <w:left w:w="100" w:type="dxa"/>
              <w:bottom w:w="100" w:type="dxa"/>
              <w:right w:w="100" w:type="dxa"/>
            </w:tcMar>
            <w:hideMark/>
          </w:tcPr>
          <w:p w14:paraId="4F9FAC28" w14:textId="6D1C463F" w:rsidR="00264B92" w:rsidRPr="00EA034E" w:rsidRDefault="00264B92" w:rsidP="00B529BA">
            <w:pPr>
              <w:widowControl w:val="0"/>
              <w:adjustRightInd w:val="0"/>
              <w:snapToGrid w:val="0"/>
              <w:spacing w:line="360" w:lineRule="auto"/>
              <w:jc w:val="center"/>
              <w:rPr>
                <w:rFonts w:ascii="Book Antiqua" w:hAnsi="Book Antiqua" w:cs="Arial"/>
                <w:color w:val="000000"/>
                <w:vertAlign w:val="superscript"/>
              </w:rPr>
            </w:pPr>
            <w:r w:rsidRPr="00EA034E">
              <w:rPr>
                <w:rFonts w:ascii="Book Antiqua" w:hAnsi="Book Antiqua" w:cs="Arial"/>
                <w:color w:val="000000"/>
              </w:rPr>
              <w:t>+0.1 (L)</w:t>
            </w:r>
            <w:r w:rsidR="00EA034E" w:rsidRPr="00EA034E">
              <w:rPr>
                <w:rFonts w:ascii="Book Antiqua" w:eastAsia="SimSun" w:hAnsi="Book Antiqua" w:cs="Arial" w:hint="eastAsia"/>
                <w:color w:val="000000"/>
                <w:vertAlign w:val="superscript"/>
                <w:lang w:eastAsia="zh-CN"/>
              </w:rPr>
              <w:t>1</w:t>
            </w:r>
          </w:p>
          <w:p w14:paraId="3B9C484F" w14:textId="76671EFA" w:rsidR="00264B92" w:rsidRPr="00EA034E" w:rsidRDefault="00264B92" w:rsidP="00B529BA">
            <w:pPr>
              <w:widowControl w:val="0"/>
              <w:adjustRightInd w:val="0"/>
              <w:snapToGrid w:val="0"/>
              <w:spacing w:line="360" w:lineRule="auto"/>
              <w:jc w:val="center"/>
              <w:rPr>
                <w:rFonts w:ascii="Book Antiqua" w:hAnsi="Book Antiqua" w:cs="Arial"/>
                <w:vertAlign w:val="superscript"/>
              </w:rPr>
            </w:pPr>
            <w:r w:rsidRPr="00EA034E">
              <w:rPr>
                <w:rFonts w:ascii="Book Antiqua" w:hAnsi="Book Antiqua" w:cs="Arial"/>
                <w:color w:val="000000"/>
              </w:rPr>
              <w:t>-3.1 (L)</w:t>
            </w:r>
            <w:r w:rsidR="00EA034E" w:rsidRPr="00EA034E">
              <w:rPr>
                <w:rFonts w:ascii="Book Antiqua" w:eastAsia="SimSun" w:hAnsi="Book Antiqua" w:cs="Arial" w:hint="eastAsia"/>
                <w:color w:val="000000"/>
                <w:vertAlign w:val="superscript"/>
                <w:lang w:eastAsia="zh-CN"/>
              </w:rPr>
              <w:t>1</w:t>
            </w:r>
          </w:p>
        </w:tc>
        <w:tc>
          <w:tcPr>
            <w:tcW w:w="754" w:type="pct"/>
            <w:tcMar>
              <w:top w:w="100" w:type="dxa"/>
              <w:left w:w="100" w:type="dxa"/>
              <w:bottom w:w="100" w:type="dxa"/>
              <w:right w:w="100" w:type="dxa"/>
            </w:tcMar>
            <w:hideMark/>
          </w:tcPr>
          <w:p w14:paraId="758EC701" w14:textId="77777777" w:rsidR="00264B92" w:rsidRPr="00EA034E" w:rsidRDefault="00264B92" w:rsidP="00B529BA">
            <w:pPr>
              <w:widowControl w:val="0"/>
              <w:adjustRightInd w:val="0"/>
              <w:snapToGrid w:val="0"/>
              <w:spacing w:line="360" w:lineRule="auto"/>
              <w:jc w:val="center"/>
              <w:rPr>
                <w:rFonts w:ascii="Book Antiqua" w:hAnsi="Book Antiqua" w:cs="Arial"/>
              </w:rPr>
            </w:pPr>
            <w:r w:rsidRPr="00EA034E">
              <w:rPr>
                <w:rFonts w:ascii="Book Antiqua" w:hAnsi="Book Antiqua" w:cs="Arial"/>
              </w:rPr>
              <w:t>N/A</w:t>
            </w:r>
          </w:p>
        </w:tc>
        <w:tc>
          <w:tcPr>
            <w:tcW w:w="566" w:type="pct"/>
            <w:tcMar>
              <w:top w:w="100" w:type="dxa"/>
              <w:left w:w="100" w:type="dxa"/>
              <w:bottom w:w="100" w:type="dxa"/>
              <w:right w:w="100" w:type="dxa"/>
            </w:tcMar>
            <w:hideMark/>
          </w:tcPr>
          <w:p w14:paraId="01755612" w14:textId="77777777"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N/A</w:t>
            </w:r>
          </w:p>
          <w:p w14:paraId="0D73A8D0" w14:textId="77777777" w:rsidR="00264B92" w:rsidRPr="002D44D6" w:rsidRDefault="00264B92" w:rsidP="00B529BA">
            <w:pPr>
              <w:widowControl w:val="0"/>
              <w:adjustRightInd w:val="0"/>
              <w:snapToGrid w:val="0"/>
              <w:spacing w:line="360" w:lineRule="auto"/>
              <w:jc w:val="center"/>
              <w:rPr>
                <w:rFonts w:ascii="Book Antiqua" w:hAnsi="Book Antiqua" w:cs="Arial"/>
              </w:rPr>
            </w:pPr>
          </w:p>
        </w:tc>
      </w:tr>
      <w:tr w:rsidR="00264B92" w:rsidRPr="002D44D6" w14:paraId="5191BBD8" w14:textId="77777777" w:rsidTr="00EA034E">
        <w:tc>
          <w:tcPr>
            <w:tcW w:w="1009" w:type="pct"/>
          </w:tcPr>
          <w:p w14:paraId="4CA927C2" w14:textId="77777777" w:rsidR="00264B92" w:rsidRPr="00EA034E" w:rsidRDefault="00264B92" w:rsidP="00B529BA">
            <w:pPr>
              <w:widowControl w:val="0"/>
              <w:adjustRightInd w:val="0"/>
              <w:snapToGrid w:val="0"/>
              <w:spacing w:line="360" w:lineRule="auto"/>
              <w:rPr>
                <w:rFonts w:ascii="Book Antiqua" w:hAnsi="Book Antiqua" w:cs="Arial"/>
                <w:color w:val="000000"/>
              </w:rPr>
            </w:pPr>
            <w:r w:rsidRPr="00EA034E">
              <w:rPr>
                <w:rFonts w:ascii="Book Antiqua" w:hAnsi="Book Antiqua" w:cs="Arial"/>
                <w:color w:val="000000"/>
              </w:rPr>
              <w:t>Vitamin K</w:t>
            </w:r>
          </w:p>
          <w:p w14:paraId="10671DEA" w14:textId="57BE2166" w:rsidR="00264B92" w:rsidRPr="00EA034E" w:rsidRDefault="00264B92" w:rsidP="00B529BA">
            <w:pPr>
              <w:widowControl w:val="0"/>
              <w:adjustRightInd w:val="0"/>
              <w:snapToGrid w:val="0"/>
              <w:spacing w:line="360" w:lineRule="auto"/>
              <w:ind w:firstLineChars="100" w:firstLine="240"/>
              <w:rPr>
                <w:rFonts w:ascii="Book Antiqua" w:hAnsi="Book Antiqua" w:cs="Arial"/>
                <w:color w:val="000000"/>
              </w:rPr>
            </w:pPr>
            <w:proofErr w:type="spellStart"/>
            <w:r w:rsidRPr="00EA034E">
              <w:rPr>
                <w:rFonts w:ascii="Book Antiqua" w:hAnsi="Book Antiqua" w:cs="Arial"/>
                <w:color w:val="000000"/>
              </w:rPr>
              <w:t>Nishiguchi</w:t>
            </w:r>
            <w:proofErr w:type="spellEnd"/>
            <w:r w:rsidRPr="00EA034E">
              <w:rPr>
                <w:rFonts w:ascii="Book Antiqua" w:hAnsi="Book Antiqua" w:cs="Arial"/>
                <w:color w:val="000000"/>
              </w:rPr>
              <w:t xml:space="preserve"> </w:t>
            </w:r>
            <w:r w:rsidR="00B529BA" w:rsidRPr="00EA034E">
              <w:rPr>
                <w:rFonts w:ascii="Book Antiqua" w:eastAsia="SimSun" w:hAnsi="Book Antiqua" w:cs="Arial"/>
                <w:i/>
                <w:color w:val="000000"/>
                <w:lang w:eastAsia="zh-CN"/>
              </w:rPr>
              <w:t>et al</w:t>
            </w:r>
            <w:r w:rsidR="00B529BA" w:rsidRPr="00EA034E">
              <w:rPr>
                <w:rFonts w:ascii="Book Antiqua" w:eastAsia="SimSun" w:hAnsi="Book Antiqua" w:cs="Arial" w:hint="eastAsia"/>
                <w:color w:val="000000"/>
                <w:vertAlign w:val="superscript"/>
                <w:lang w:eastAsia="zh-CN"/>
              </w:rPr>
              <w:t>[57]</w:t>
            </w:r>
            <w:r w:rsidR="00B529BA" w:rsidRPr="00EA034E">
              <w:rPr>
                <w:rFonts w:ascii="Book Antiqua" w:eastAsia="SimSun" w:hAnsi="Book Antiqua" w:cs="Arial" w:hint="eastAsia"/>
                <w:color w:val="000000"/>
                <w:lang w:eastAsia="zh-CN"/>
              </w:rPr>
              <w:t xml:space="preserve">, </w:t>
            </w:r>
            <w:r w:rsidRPr="00EA034E">
              <w:rPr>
                <w:rFonts w:ascii="Book Antiqua" w:hAnsi="Book Antiqua" w:cs="Arial"/>
                <w:color w:val="000000"/>
              </w:rPr>
              <w:t>2001</w:t>
            </w:r>
          </w:p>
        </w:tc>
        <w:tc>
          <w:tcPr>
            <w:tcW w:w="972" w:type="pct"/>
            <w:tcMar>
              <w:top w:w="100" w:type="dxa"/>
              <w:left w:w="100" w:type="dxa"/>
              <w:bottom w:w="100" w:type="dxa"/>
              <w:right w:w="100" w:type="dxa"/>
            </w:tcMar>
            <w:hideMark/>
          </w:tcPr>
          <w:p w14:paraId="5EF344B7"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color w:val="000000"/>
              </w:rPr>
              <w:t>45 mg/d vitamin K</w:t>
            </w:r>
            <w:r w:rsidRPr="002D44D6">
              <w:rPr>
                <w:rFonts w:ascii="Book Antiqua" w:hAnsi="Book Antiqua" w:cs="Arial"/>
                <w:color w:val="000000"/>
                <w:vertAlign w:val="subscript"/>
              </w:rPr>
              <w:t>2</w:t>
            </w:r>
          </w:p>
        </w:tc>
        <w:tc>
          <w:tcPr>
            <w:tcW w:w="896" w:type="pct"/>
            <w:tcMar>
              <w:top w:w="100" w:type="dxa"/>
              <w:left w:w="100" w:type="dxa"/>
              <w:bottom w:w="100" w:type="dxa"/>
              <w:right w:w="100" w:type="dxa"/>
            </w:tcMar>
            <w:hideMark/>
          </w:tcPr>
          <w:p w14:paraId="35A00EDA" w14:textId="1547D26F" w:rsidR="00264B92" w:rsidRPr="002D44D6" w:rsidRDefault="00264B92" w:rsidP="00B529BA">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15 (vitamin K)</w:t>
            </w:r>
          </w:p>
          <w:p w14:paraId="58668A06" w14:textId="22057B85" w:rsidR="00264B92" w:rsidRPr="00EA034E" w:rsidRDefault="00264B92" w:rsidP="00EA034E">
            <w:pPr>
              <w:widowControl w:val="0"/>
              <w:adjustRightInd w:val="0"/>
              <w:snapToGrid w:val="0"/>
              <w:spacing w:line="360" w:lineRule="auto"/>
              <w:jc w:val="center"/>
              <w:rPr>
                <w:rFonts w:ascii="Book Antiqua" w:eastAsia="SimSun" w:hAnsi="Book Antiqua" w:cs="Arial"/>
                <w:vertAlign w:val="superscript"/>
                <w:lang w:eastAsia="zh-CN"/>
              </w:rPr>
            </w:pPr>
            <w:r w:rsidRPr="002D44D6">
              <w:rPr>
                <w:rFonts w:ascii="Book Antiqua" w:hAnsi="Book Antiqua" w:cs="Arial"/>
                <w:color w:val="000000"/>
              </w:rPr>
              <w:t>15 (no treatment)</w:t>
            </w:r>
            <w:r w:rsidR="00EA034E">
              <w:rPr>
                <w:rFonts w:ascii="Book Antiqua" w:eastAsia="SimSun" w:hAnsi="Book Antiqua" w:cs="Arial" w:hint="eastAsia"/>
                <w:color w:val="000000"/>
                <w:vertAlign w:val="superscript"/>
                <w:lang w:eastAsia="zh-CN"/>
              </w:rPr>
              <w:t>3</w:t>
            </w:r>
          </w:p>
        </w:tc>
        <w:tc>
          <w:tcPr>
            <w:tcW w:w="802" w:type="pct"/>
            <w:tcMar>
              <w:top w:w="100" w:type="dxa"/>
              <w:left w:w="100" w:type="dxa"/>
              <w:bottom w:w="100" w:type="dxa"/>
              <w:right w:w="100" w:type="dxa"/>
            </w:tcMar>
            <w:hideMark/>
          </w:tcPr>
          <w:p w14:paraId="70C9F74C" w14:textId="743F6E09" w:rsidR="00264B92" w:rsidRPr="00EA034E" w:rsidRDefault="00264B92" w:rsidP="00B529BA">
            <w:pPr>
              <w:widowControl w:val="0"/>
              <w:adjustRightInd w:val="0"/>
              <w:snapToGrid w:val="0"/>
              <w:spacing w:line="360" w:lineRule="auto"/>
              <w:jc w:val="center"/>
              <w:rPr>
                <w:rFonts w:ascii="Book Antiqua" w:eastAsia="SimSun" w:hAnsi="Book Antiqua" w:cs="Arial"/>
                <w:vertAlign w:val="superscript"/>
                <w:lang w:eastAsia="zh-CN"/>
              </w:rPr>
            </w:pPr>
            <w:r w:rsidRPr="00EA034E">
              <w:rPr>
                <w:rFonts w:ascii="Book Antiqua" w:hAnsi="Book Antiqua" w:cs="Arial"/>
                <w:color w:val="000000"/>
              </w:rPr>
              <w:t>+0.3 (L)</w:t>
            </w:r>
            <w:r w:rsidR="00EA034E" w:rsidRPr="00EA034E">
              <w:rPr>
                <w:rFonts w:ascii="Book Antiqua" w:eastAsia="SimSun" w:hAnsi="Book Antiqua" w:cs="Arial" w:hint="eastAsia"/>
                <w:color w:val="000000"/>
                <w:vertAlign w:val="superscript"/>
                <w:lang w:eastAsia="zh-CN"/>
              </w:rPr>
              <w:t>1</w:t>
            </w:r>
          </w:p>
          <w:p w14:paraId="0F2106C3" w14:textId="5B4B566D" w:rsidR="00264B92" w:rsidRPr="00EA034E" w:rsidRDefault="00264B92" w:rsidP="00B529BA">
            <w:pPr>
              <w:widowControl w:val="0"/>
              <w:adjustRightInd w:val="0"/>
              <w:snapToGrid w:val="0"/>
              <w:spacing w:line="360" w:lineRule="auto"/>
              <w:jc w:val="center"/>
              <w:rPr>
                <w:rFonts w:ascii="Book Antiqua" w:eastAsia="SimSun" w:hAnsi="Book Antiqua" w:cs="Arial"/>
                <w:vertAlign w:val="superscript"/>
                <w:lang w:eastAsia="zh-CN"/>
              </w:rPr>
            </w:pPr>
            <w:r w:rsidRPr="00EA034E">
              <w:rPr>
                <w:rFonts w:ascii="Book Antiqua" w:hAnsi="Book Antiqua" w:cs="Arial"/>
                <w:color w:val="000000"/>
              </w:rPr>
              <w:t>-3.5 (L)</w:t>
            </w:r>
            <w:r w:rsidR="00EA034E" w:rsidRPr="00EA034E">
              <w:rPr>
                <w:rFonts w:ascii="Book Antiqua" w:eastAsia="SimSun" w:hAnsi="Book Antiqua" w:cs="Arial" w:hint="eastAsia"/>
                <w:color w:val="000000"/>
                <w:vertAlign w:val="superscript"/>
                <w:lang w:eastAsia="zh-CN"/>
              </w:rPr>
              <w:t>1</w:t>
            </w:r>
          </w:p>
        </w:tc>
        <w:tc>
          <w:tcPr>
            <w:tcW w:w="754" w:type="pct"/>
            <w:tcMar>
              <w:top w:w="100" w:type="dxa"/>
              <w:left w:w="100" w:type="dxa"/>
              <w:bottom w:w="100" w:type="dxa"/>
              <w:right w:w="100" w:type="dxa"/>
            </w:tcMar>
            <w:hideMark/>
          </w:tcPr>
          <w:p w14:paraId="010D2CE7" w14:textId="2F3632BA" w:rsidR="00264B92" w:rsidRPr="00EA034E" w:rsidRDefault="00264B92" w:rsidP="00B529BA">
            <w:pPr>
              <w:widowControl w:val="0"/>
              <w:adjustRightInd w:val="0"/>
              <w:snapToGrid w:val="0"/>
              <w:spacing w:line="360" w:lineRule="auto"/>
              <w:jc w:val="center"/>
              <w:rPr>
                <w:rFonts w:ascii="Book Antiqua" w:hAnsi="Book Antiqua" w:cs="Arial"/>
                <w:color w:val="000000"/>
                <w:vertAlign w:val="superscript"/>
              </w:rPr>
            </w:pPr>
            <w:r w:rsidRPr="00EA034E">
              <w:rPr>
                <w:rFonts w:ascii="Book Antiqua" w:hAnsi="Book Antiqua" w:cs="Arial"/>
                <w:color w:val="000000"/>
              </w:rPr>
              <w:t>-0.8 (L)</w:t>
            </w:r>
            <w:r w:rsidR="00EA034E" w:rsidRPr="00EA034E">
              <w:rPr>
                <w:rFonts w:ascii="Book Antiqua" w:eastAsia="SimSun" w:hAnsi="Book Antiqua" w:cs="Arial" w:hint="eastAsia"/>
                <w:color w:val="000000"/>
                <w:vertAlign w:val="superscript"/>
                <w:lang w:eastAsia="zh-CN"/>
              </w:rPr>
              <w:t>1</w:t>
            </w:r>
          </w:p>
          <w:p w14:paraId="71804706" w14:textId="60080860" w:rsidR="00264B92" w:rsidRPr="00EA034E" w:rsidRDefault="00264B92" w:rsidP="00B529BA">
            <w:pPr>
              <w:widowControl w:val="0"/>
              <w:adjustRightInd w:val="0"/>
              <w:snapToGrid w:val="0"/>
              <w:spacing w:line="360" w:lineRule="auto"/>
              <w:jc w:val="center"/>
              <w:rPr>
                <w:rFonts w:ascii="Book Antiqua" w:hAnsi="Book Antiqua" w:cs="Arial"/>
                <w:vertAlign w:val="superscript"/>
              </w:rPr>
            </w:pPr>
            <w:r w:rsidRPr="00EA034E">
              <w:rPr>
                <w:rFonts w:ascii="Book Antiqua" w:hAnsi="Book Antiqua" w:cs="Arial"/>
                <w:color w:val="000000"/>
              </w:rPr>
              <w:t>-6.9 (L)</w:t>
            </w:r>
            <w:r w:rsidR="00EA034E" w:rsidRPr="00EA034E">
              <w:rPr>
                <w:rFonts w:ascii="Book Antiqua" w:eastAsia="SimSun" w:hAnsi="Book Antiqua" w:cs="Arial" w:hint="eastAsia"/>
                <w:color w:val="000000"/>
                <w:vertAlign w:val="superscript"/>
                <w:lang w:eastAsia="zh-CN"/>
              </w:rPr>
              <w:t>1</w:t>
            </w:r>
          </w:p>
        </w:tc>
        <w:tc>
          <w:tcPr>
            <w:tcW w:w="566" w:type="pct"/>
            <w:tcMar>
              <w:top w:w="100" w:type="dxa"/>
              <w:left w:w="100" w:type="dxa"/>
              <w:bottom w:w="100" w:type="dxa"/>
              <w:right w:w="100" w:type="dxa"/>
            </w:tcMar>
            <w:hideMark/>
          </w:tcPr>
          <w:p w14:paraId="6131985B" w14:textId="77777777" w:rsidR="00264B92" w:rsidRPr="002D44D6" w:rsidRDefault="00264B92" w:rsidP="00B529BA">
            <w:pPr>
              <w:widowControl w:val="0"/>
              <w:adjustRightInd w:val="0"/>
              <w:snapToGrid w:val="0"/>
              <w:spacing w:line="360" w:lineRule="auto"/>
              <w:jc w:val="center"/>
              <w:rPr>
                <w:rFonts w:ascii="Book Antiqua" w:hAnsi="Book Antiqua" w:cs="Arial"/>
              </w:rPr>
            </w:pPr>
            <w:r w:rsidRPr="002D44D6">
              <w:rPr>
                <w:rFonts w:ascii="Book Antiqua" w:hAnsi="Book Antiqua" w:cs="Arial"/>
              </w:rPr>
              <w:t>N/A</w:t>
            </w:r>
          </w:p>
        </w:tc>
      </w:tr>
    </w:tbl>
    <w:p w14:paraId="0253CDAF" w14:textId="1A2A0D38" w:rsidR="00264B92" w:rsidRPr="00EA034E" w:rsidRDefault="00EA034E" w:rsidP="002D44D6">
      <w:pPr>
        <w:widowControl w:val="0"/>
        <w:adjustRightInd w:val="0"/>
        <w:snapToGrid w:val="0"/>
        <w:spacing w:line="360" w:lineRule="auto"/>
        <w:jc w:val="both"/>
        <w:rPr>
          <w:rFonts w:ascii="Book Antiqua" w:eastAsia="SimSun" w:hAnsi="Book Antiqua"/>
          <w:lang w:eastAsia="zh-CN"/>
        </w:rPr>
      </w:pPr>
      <w:r w:rsidRPr="00EA034E">
        <w:rPr>
          <w:rFonts w:ascii="Book Antiqua" w:eastAsia="SimSun" w:hAnsi="Book Antiqua" w:hint="eastAsia"/>
          <w:vertAlign w:val="superscript"/>
          <w:lang w:eastAsia="zh-CN"/>
        </w:rPr>
        <w:t>1</w:t>
      </w:r>
      <w:r w:rsidRPr="002D44D6">
        <w:rPr>
          <w:rFonts w:ascii="Book Antiqua" w:hAnsi="Book Antiqua"/>
        </w:rPr>
        <w:t>S</w:t>
      </w:r>
      <w:r w:rsidR="00264B92" w:rsidRPr="002D44D6">
        <w:rPr>
          <w:rFonts w:ascii="Book Antiqua" w:hAnsi="Book Antiqua"/>
        </w:rPr>
        <w:t>tatistical signifi</w:t>
      </w:r>
      <w:r w:rsidR="00140892" w:rsidRPr="002D44D6">
        <w:rPr>
          <w:rFonts w:ascii="Book Antiqua" w:hAnsi="Book Antiqua"/>
        </w:rPr>
        <w:t>cance (</w:t>
      </w:r>
      <w:r w:rsidRPr="00EA034E">
        <w:rPr>
          <w:rFonts w:ascii="Book Antiqua" w:hAnsi="Book Antiqua"/>
          <w:i/>
        </w:rPr>
        <w:t>P</w:t>
      </w:r>
      <w:r w:rsidR="00140892" w:rsidRPr="002D44D6">
        <w:rPr>
          <w:rFonts w:ascii="Book Antiqua" w:hAnsi="Book Antiqua"/>
        </w:rPr>
        <w:t xml:space="preserve"> &lt; 0.05) between groups; </w:t>
      </w:r>
      <w:r w:rsidRPr="00EA034E">
        <w:rPr>
          <w:rFonts w:ascii="Book Antiqua" w:eastAsia="SimSun" w:hAnsi="Book Antiqua" w:hint="eastAsia"/>
          <w:vertAlign w:val="superscript"/>
          <w:lang w:eastAsia="zh-CN"/>
        </w:rPr>
        <w:t>2</w:t>
      </w:r>
      <w:r w:rsidR="00AC7817" w:rsidRPr="002D44D6">
        <w:rPr>
          <w:rFonts w:ascii="Book Antiqua" w:hAnsi="Book Antiqua"/>
        </w:rPr>
        <w:t>S</w:t>
      </w:r>
      <w:r w:rsidR="00264B92" w:rsidRPr="002D44D6">
        <w:rPr>
          <w:rFonts w:ascii="Book Antiqua" w:hAnsi="Book Antiqua"/>
        </w:rPr>
        <w:t>tatistical diff</w:t>
      </w:r>
      <w:r w:rsidR="00140892" w:rsidRPr="002D44D6">
        <w:rPr>
          <w:rFonts w:ascii="Book Antiqua" w:hAnsi="Book Antiqua"/>
        </w:rPr>
        <w:t>erence (</w:t>
      </w:r>
      <w:r w:rsidRPr="00EA034E">
        <w:rPr>
          <w:rFonts w:ascii="Book Antiqua" w:hAnsi="Book Antiqua"/>
          <w:i/>
        </w:rPr>
        <w:t>P</w:t>
      </w:r>
      <w:r w:rsidR="00140892" w:rsidRPr="002D44D6">
        <w:rPr>
          <w:rFonts w:ascii="Book Antiqua" w:hAnsi="Book Antiqua"/>
        </w:rPr>
        <w:t xml:space="preserve"> &lt; 0.05) from baseline; </w:t>
      </w:r>
      <w:r>
        <w:rPr>
          <w:rFonts w:ascii="Book Antiqua" w:eastAsia="SimSun" w:hAnsi="Book Antiqua" w:hint="eastAsia"/>
          <w:vertAlign w:val="superscript"/>
          <w:lang w:eastAsia="zh-CN"/>
        </w:rPr>
        <w:t>3</w:t>
      </w:r>
      <w:r w:rsidR="00264B92" w:rsidRPr="002D44D6">
        <w:rPr>
          <w:rFonts w:ascii="Book Antiqua" w:hAnsi="Book Antiqua"/>
        </w:rPr>
        <w:t>Patients in no treatment groups received vitamin D and calcium supplementation.</w:t>
      </w:r>
      <w:r>
        <w:rPr>
          <w:rFonts w:ascii="Book Antiqua" w:eastAsia="SimSun" w:hAnsi="Book Antiqua" w:hint="eastAsia"/>
          <w:lang w:eastAsia="zh-CN"/>
        </w:rPr>
        <w:t xml:space="preserve"> </w:t>
      </w:r>
      <w:r w:rsidR="00E335C5" w:rsidRPr="002D44D6">
        <w:rPr>
          <w:rFonts w:ascii="Book Antiqua" w:hAnsi="Book Antiqua"/>
        </w:rPr>
        <w:t xml:space="preserve">L: Lumbar; F: Femoral; V: Vertebral; P: Peripheral; </w:t>
      </w:r>
      <w:r w:rsidRPr="002D44D6">
        <w:rPr>
          <w:rFonts w:ascii="Book Antiqua" w:hAnsi="Book Antiqua" w:cs="Arial"/>
          <w:color w:val="000000"/>
        </w:rPr>
        <w:t>BMD</w:t>
      </w:r>
      <w:r>
        <w:rPr>
          <w:rFonts w:ascii="Book Antiqua" w:eastAsia="SimSun" w:hAnsi="Book Antiqua" w:cs="Arial" w:hint="eastAsia"/>
          <w:color w:val="000000"/>
          <w:lang w:eastAsia="zh-CN"/>
        </w:rPr>
        <w:t>:</w:t>
      </w:r>
      <w:r w:rsidRPr="002D44D6">
        <w:rPr>
          <w:rFonts w:ascii="Book Antiqua" w:hAnsi="Book Antiqua" w:cs="Arial"/>
          <w:color w:val="000000"/>
        </w:rPr>
        <w:t xml:space="preserve"> Bone mineral density</w:t>
      </w:r>
      <w:r>
        <w:rPr>
          <w:rFonts w:ascii="Book Antiqua" w:eastAsia="SimSun" w:hAnsi="Book Antiqua" w:cs="Arial" w:hint="eastAsia"/>
          <w:color w:val="000000"/>
          <w:lang w:eastAsia="zh-CN"/>
        </w:rPr>
        <w:t>.</w:t>
      </w:r>
    </w:p>
    <w:p w14:paraId="497DEB72" w14:textId="477413D5" w:rsidR="00140892" w:rsidRPr="002D44D6" w:rsidRDefault="00140892" w:rsidP="002D44D6">
      <w:pPr>
        <w:widowControl w:val="0"/>
        <w:adjustRightInd w:val="0"/>
        <w:snapToGrid w:val="0"/>
        <w:spacing w:line="360" w:lineRule="auto"/>
        <w:jc w:val="both"/>
        <w:rPr>
          <w:rFonts w:ascii="Book Antiqua" w:eastAsia="Times New Roman" w:hAnsi="Book Antiqua" w:cs="Times New Roman"/>
          <w:b/>
        </w:rPr>
      </w:pPr>
      <w:r w:rsidRPr="002D44D6">
        <w:rPr>
          <w:rFonts w:ascii="Book Antiqua" w:eastAsia="Times New Roman" w:hAnsi="Book Antiqua" w:cs="Times New Roman"/>
          <w:b/>
        </w:rPr>
        <w:br w:type="page"/>
      </w:r>
    </w:p>
    <w:p w14:paraId="41C565AC" w14:textId="1146CE06" w:rsidR="00140892" w:rsidRPr="002D44D6" w:rsidRDefault="00140892" w:rsidP="002D44D6">
      <w:pPr>
        <w:widowControl w:val="0"/>
        <w:adjustRightInd w:val="0"/>
        <w:snapToGrid w:val="0"/>
        <w:spacing w:line="360" w:lineRule="auto"/>
        <w:jc w:val="both"/>
        <w:rPr>
          <w:rFonts w:ascii="Book Antiqua" w:hAnsi="Book Antiqua"/>
          <w:b/>
        </w:rPr>
      </w:pPr>
      <w:r w:rsidRPr="002D44D6">
        <w:rPr>
          <w:rFonts w:ascii="Book Antiqua" w:eastAsia="Times New Roman" w:hAnsi="Book Antiqua" w:cs="Times New Roman"/>
          <w:b/>
        </w:rPr>
        <w:lastRenderedPageBreak/>
        <w:t xml:space="preserve">Table 2 </w:t>
      </w:r>
      <w:r w:rsidRPr="002D44D6">
        <w:rPr>
          <w:rFonts w:ascii="Book Antiqua" w:hAnsi="Book Antiqua"/>
          <w:b/>
        </w:rPr>
        <w:t xml:space="preserve">Summary of results in comparative </w:t>
      </w:r>
      <w:r w:rsidR="002C7775" w:rsidRPr="002D44D6">
        <w:rPr>
          <w:rFonts w:ascii="Book Antiqua" w:hAnsi="Book Antiqua"/>
          <w:b/>
        </w:rPr>
        <w:t xml:space="preserve">randomized controlled </w:t>
      </w:r>
      <w:r w:rsidRPr="002D44D6">
        <w:rPr>
          <w:rFonts w:ascii="Book Antiqua" w:hAnsi="Book Antiqua"/>
          <w:b/>
        </w:rPr>
        <w:t>trials of different agents for treatment of osteoporosis in primary biliary cholangitis</w:t>
      </w:r>
    </w:p>
    <w:tbl>
      <w:tblPr>
        <w:tblW w:w="5909" w:type="pct"/>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437"/>
        <w:gridCol w:w="2234"/>
        <w:gridCol w:w="2271"/>
        <w:gridCol w:w="2973"/>
        <w:gridCol w:w="2976"/>
        <w:gridCol w:w="1561"/>
      </w:tblGrid>
      <w:tr w:rsidR="000C125E" w:rsidRPr="002D44D6" w14:paraId="65CAB461" w14:textId="77777777" w:rsidTr="000C125E">
        <w:tc>
          <w:tcPr>
            <w:tcW w:w="1112" w:type="pct"/>
          </w:tcPr>
          <w:p w14:paraId="4310A254" w14:textId="77777777" w:rsidR="00140892" w:rsidRPr="002D44D6" w:rsidRDefault="00140892" w:rsidP="002D44D6">
            <w:pPr>
              <w:widowControl w:val="0"/>
              <w:adjustRightInd w:val="0"/>
              <w:snapToGrid w:val="0"/>
              <w:spacing w:line="360" w:lineRule="auto"/>
              <w:jc w:val="both"/>
              <w:rPr>
                <w:rFonts w:ascii="Book Antiqua" w:hAnsi="Book Antiqua" w:cs="Arial"/>
                <w:b/>
                <w:color w:val="000000"/>
              </w:rPr>
            </w:pPr>
            <w:r w:rsidRPr="002D44D6">
              <w:rPr>
                <w:rFonts w:ascii="Book Antiqua" w:hAnsi="Book Antiqua" w:cs="Arial"/>
                <w:b/>
                <w:color w:val="000000"/>
              </w:rPr>
              <w:t>Agent</w:t>
            </w:r>
          </w:p>
        </w:tc>
        <w:tc>
          <w:tcPr>
            <w:tcW w:w="723" w:type="pct"/>
            <w:tcMar>
              <w:top w:w="100" w:type="dxa"/>
              <w:left w:w="100" w:type="dxa"/>
              <w:bottom w:w="100" w:type="dxa"/>
              <w:right w:w="100" w:type="dxa"/>
            </w:tcMar>
            <w:hideMark/>
          </w:tcPr>
          <w:p w14:paraId="70304029" w14:textId="77777777" w:rsidR="00140892" w:rsidRPr="000C125E" w:rsidRDefault="00140892" w:rsidP="000C125E">
            <w:pPr>
              <w:widowControl w:val="0"/>
              <w:adjustRightInd w:val="0"/>
              <w:snapToGrid w:val="0"/>
              <w:spacing w:line="360" w:lineRule="auto"/>
              <w:jc w:val="center"/>
              <w:rPr>
                <w:rFonts w:ascii="Book Antiqua" w:hAnsi="Book Antiqua" w:cs="Arial"/>
                <w:b/>
              </w:rPr>
            </w:pPr>
            <w:r w:rsidRPr="000C125E">
              <w:rPr>
                <w:rFonts w:ascii="Book Antiqua" w:hAnsi="Book Antiqua" w:cs="Arial"/>
                <w:b/>
                <w:color w:val="000000"/>
              </w:rPr>
              <w:t>Treatment</w:t>
            </w:r>
          </w:p>
        </w:tc>
        <w:tc>
          <w:tcPr>
            <w:tcW w:w="735" w:type="pct"/>
            <w:tcMar>
              <w:top w:w="100" w:type="dxa"/>
              <w:left w:w="100" w:type="dxa"/>
              <w:bottom w:w="100" w:type="dxa"/>
              <w:right w:w="100" w:type="dxa"/>
            </w:tcMar>
            <w:hideMark/>
          </w:tcPr>
          <w:p w14:paraId="061A6853" w14:textId="21F3D205" w:rsidR="00140892" w:rsidRPr="000C125E" w:rsidRDefault="00140892" w:rsidP="000C125E">
            <w:pPr>
              <w:widowControl w:val="0"/>
              <w:adjustRightInd w:val="0"/>
              <w:snapToGrid w:val="0"/>
              <w:spacing w:line="360" w:lineRule="auto"/>
              <w:jc w:val="center"/>
              <w:rPr>
                <w:rFonts w:ascii="Book Antiqua" w:hAnsi="Book Antiqua" w:cs="Arial"/>
                <w:b/>
              </w:rPr>
            </w:pPr>
            <w:r w:rsidRPr="000C125E">
              <w:rPr>
                <w:rFonts w:ascii="Book Antiqua" w:hAnsi="Book Antiqua" w:cs="Arial"/>
                <w:b/>
                <w:color w:val="000000"/>
              </w:rPr>
              <w:t xml:space="preserve">No. of </w:t>
            </w:r>
            <w:r w:rsidR="000C125E" w:rsidRPr="000C125E">
              <w:rPr>
                <w:rFonts w:ascii="Book Antiqua" w:hAnsi="Book Antiqua" w:cs="Arial"/>
                <w:b/>
                <w:color w:val="000000"/>
              </w:rPr>
              <w:t>p</w:t>
            </w:r>
            <w:r w:rsidRPr="000C125E">
              <w:rPr>
                <w:rFonts w:ascii="Book Antiqua" w:hAnsi="Book Antiqua" w:cs="Arial"/>
                <w:b/>
                <w:color w:val="000000"/>
              </w:rPr>
              <w:t>atients (</w:t>
            </w:r>
            <w:r w:rsidRPr="000C125E">
              <w:rPr>
                <w:rFonts w:ascii="Book Antiqua" w:hAnsi="Book Antiqua" w:cs="Arial"/>
                <w:b/>
                <w:i/>
                <w:color w:val="000000"/>
              </w:rPr>
              <w:t>n</w:t>
            </w:r>
            <w:r w:rsidRPr="000C125E">
              <w:rPr>
                <w:rFonts w:ascii="Book Antiqua" w:hAnsi="Book Antiqua" w:cs="Arial"/>
                <w:b/>
                <w:color w:val="000000"/>
              </w:rPr>
              <w:t>)</w:t>
            </w:r>
          </w:p>
        </w:tc>
        <w:tc>
          <w:tcPr>
            <w:tcW w:w="962" w:type="pct"/>
            <w:tcMar>
              <w:top w:w="100" w:type="dxa"/>
              <w:left w:w="100" w:type="dxa"/>
              <w:bottom w:w="100" w:type="dxa"/>
              <w:right w:w="100" w:type="dxa"/>
            </w:tcMar>
            <w:hideMark/>
          </w:tcPr>
          <w:p w14:paraId="3E20DC58" w14:textId="579CD123" w:rsidR="00140892" w:rsidRPr="000C125E" w:rsidRDefault="00140892" w:rsidP="000C125E">
            <w:pPr>
              <w:widowControl w:val="0"/>
              <w:adjustRightInd w:val="0"/>
              <w:snapToGrid w:val="0"/>
              <w:spacing w:line="360" w:lineRule="auto"/>
              <w:jc w:val="center"/>
              <w:rPr>
                <w:rFonts w:ascii="Book Antiqua" w:hAnsi="Book Antiqua" w:cs="Arial"/>
                <w:b/>
              </w:rPr>
            </w:pPr>
            <w:r w:rsidRPr="000C125E">
              <w:rPr>
                <w:rFonts w:ascii="Book Antiqua" w:hAnsi="Book Antiqua" w:cs="Arial"/>
                <w:b/>
                <w:color w:val="000000"/>
              </w:rPr>
              <w:t xml:space="preserve">BMD </w:t>
            </w:r>
            <w:r w:rsidR="000C125E" w:rsidRPr="000C125E">
              <w:rPr>
                <w:rFonts w:ascii="Book Antiqua" w:hAnsi="Book Antiqua" w:cs="Arial"/>
                <w:b/>
                <w:color w:val="000000"/>
              </w:rPr>
              <w:t>c</w:t>
            </w:r>
            <w:r w:rsidR="000C125E">
              <w:rPr>
                <w:rFonts w:ascii="Book Antiqua" w:hAnsi="Book Antiqua" w:cs="Arial"/>
                <w:b/>
                <w:color w:val="000000"/>
              </w:rPr>
              <w:t xml:space="preserve">hanges at 1 </w:t>
            </w:r>
            <w:proofErr w:type="spellStart"/>
            <w:r w:rsidR="000C125E">
              <w:rPr>
                <w:rFonts w:ascii="Book Antiqua" w:hAnsi="Book Antiqua" w:cs="Arial"/>
                <w:b/>
                <w:color w:val="000000"/>
              </w:rPr>
              <w:t>y</w:t>
            </w:r>
            <w:r w:rsidRPr="000C125E">
              <w:rPr>
                <w:rFonts w:ascii="Book Antiqua" w:hAnsi="Book Antiqua" w:cs="Arial"/>
                <w:b/>
                <w:color w:val="000000"/>
              </w:rPr>
              <w:t>r</w:t>
            </w:r>
            <w:proofErr w:type="spellEnd"/>
            <w:r w:rsidRPr="000C125E">
              <w:rPr>
                <w:rFonts w:ascii="Book Antiqua" w:hAnsi="Book Antiqua" w:cs="Arial"/>
                <w:b/>
                <w:color w:val="000000"/>
              </w:rPr>
              <w:t xml:space="preserve"> (%)</w:t>
            </w:r>
          </w:p>
        </w:tc>
        <w:tc>
          <w:tcPr>
            <w:tcW w:w="963" w:type="pct"/>
            <w:tcMar>
              <w:top w:w="100" w:type="dxa"/>
              <w:left w:w="100" w:type="dxa"/>
              <w:bottom w:w="100" w:type="dxa"/>
              <w:right w:w="100" w:type="dxa"/>
            </w:tcMar>
            <w:hideMark/>
          </w:tcPr>
          <w:p w14:paraId="0DB1EB8C" w14:textId="00D01F88" w:rsidR="00140892" w:rsidRPr="000C125E" w:rsidRDefault="000C125E" w:rsidP="000C125E">
            <w:pPr>
              <w:widowControl w:val="0"/>
              <w:adjustRightInd w:val="0"/>
              <w:snapToGrid w:val="0"/>
              <w:spacing w:line="360" w:lineRule="auto"/>
              <w:jc w:val="center"/>
              <w:rPr>
                <w:rFonts w:ascii="Book Antiqua" w:hAnsi="Book Antiqua" w:cs="Arial"/>
                <w:b/>
              </w:rPr>
            </w:pPr>
            <w:r>
              <w:rPr>
                <w:rFonts w:ascii="Book Antiqua" w:hAnsi="Book Antiqua" w:cs="Arial"/>
                <w:b/>
                <w:color w:val="000000"/>
              </w:rPr>
              <w:t xml:space="preserve">BMD changes at 2 </w:t>
            </w:r>
            <w:proofErr w:type="spellStart"/>
            <w:r>
              <w:rPr>
                <w:rFonts w:ascii="Book Antiqua" w:hAnsi="Book Antiqua" w:cs="Arial"/>
                <w:b/>
                <w:color w:val="000000"/>
              </w:rPr>
              <w:t>yr</w:t>
            </w:r>
            <w:proofErr w:type="spellEnd"/>
            <w:r w:rsidR="00140892" w:rsidRPr="000C125E">
              <w:rPr>
                <w:rFonts w:ascii="Book Antiqua" w:hAnsi="Book Antiqua" w:cs="Arial"/>
                <w:b/>
                <w:color w:val="000000"/>
              </w:rPr>
              <w:t xml:space="preserve"> (%)</w:t>
            </w:r>
          </w:p>
        </w:tc>
        <w:tc>
          <w:tcPr>
            <w:tcW w:w="505" w:type="pct"/>
            <w:tcMar>
              <w:top w:w="100" w:type="dxa"/>
              <w:left w:w="100" w:type="dxa"/>
              <w:bottom w:w="100" w:type="dxa"/>
              <w:right w:w="100" w:type="dxa"/>
            </w:tcMar>
            <w:hideMark/>
          </w:tcPr>
          <w:p w14:paraId="7DA60996" w14:textId="77777777" w:rsidR="00140892" w:rsidRPr="000C125E" w:rsidRDefault="00140892" w:rsidP="000C125E">
            <w:pPr>
              <w:widowControl w:val="0"/>
              <w:adjustRightInd w:val="0"/>
              <w:snapToGrid w:val="0"/>
              <w:spacing w:line="360" w:lineRule="auto"/>
              <w:jc w:val="center"/>
              <w:rPr>
                <w:rFonts w:ascii="Book Antiqua" w:hAnsi="Book Antiqua" w:cs="Arial"/>
                <w:b/>
              </w:rPr>
            </w:pPr>
            <w:r w:rsidRPr="000C125E">
              <w:rPr>
                <w:rFonts w:ascii="Book Antiqua" w:hAnsi="Book Antiqua" w:cs="Arial"/>
                <w:b/>
                <w:color w:val="000000"/>
              </w:rPr>
              <w:t>Fractures (</w:t>
            </w:r>
            <w:r w:rsidRPr="000C125E">
              <w:rPr>
                <w:rFonts w:ascii="Book Antiqua" w:hAnsi="Book Antiqua" w:cs="Arial"/>
                <w:b/>
                <w:i/>
                <w:color w:val="000000"/>
              </w:rPr>
              <w:t>n</w:t>
            </w:r>
            <w:r w:rsidRPr="000C125E">
              <w:rPr>
                <w:rFonts w:ascii="Book Antiqua" w:hAnsi="Book Antiqua" w:cs="Arial"/>
                <w:b/>
                <w:color w:val="000000"/>
              </w:rPr>
              <w:t>)</w:t>
            </w:r>
          </w:p>
        </w:tc>
      </w:tr>
      <w:tr w:rsidR="000C125E" w:rsidRPr="002D44D6" w14:paraId="051AE72C" w14:textId="77777777" w:rsidTr="000C125E">
        <w:trPr>
          <w:trHeight w:val="390"/>
        </w:trPr>
        <w:tc>
          <w:tcPr>
            <w:tcW w:w="1112" w:type="pct"/>
          </w:tcPr>
          <w:p w14:paraId="65D10424" w14:textId="6CE561F8" w:rsidR="00140892" w:rsidRPr="000C125E" w:rsidRDefault="002C7775" w:rsidP="002D44D6">
            <w:pPr>
              <w:widowControl w:val="0"/>
              <w:adjustRightInd w:val="0"/>
              <w:snapToGrid w:val="0"/>
              <w:spacing w:line="360" w:lineRule="auto"/>
              <w:jc w:val="both"/>
              <w:rPr>
                <w:rFonts w:ascii="Book Antiqua" w:hAnsi="Book Antiqua" w:cs="Arial"/>
                <w:color w:val="000000"/>
              </w:rPr>
            </w:pPr>
            <w:proofErr w:type="spellStart"/>
            <w:r w:rsidRPr="000C125E">
              <w:rPr>
                <w:rFonts w:ascii="Book Antiqua" w:hAnsi="Book Antiqua" w:cs="Arial"/>
                <w:color w:val="000000"/>
              </w:rPr>
              <w:t>Guañabens</w:t>
            </w:r>
            <w:proofErr w:type="spellEnd"/>
            <w:r w:rsidRPr="000C125E">
              <w:rPr>
                <w:rFonts w:ascii="Book Antiqua" w:hAnsi="Book Antiqua" w:cs="Arial"/>
                <w:color w:val="000000"/>
              </w:rPr>
              <w:t xml:space="preserve"> </w:t>
            </w:r>
            <w:r w:rsidR="000C125E" w:rsidRPr="00EA034E">
              <w:rPr>
                <w:rFonts w:ascii="Book Antiqua" w:eastAsia="SimSun" w:hAnsi="Book Antiqua" w:cs="Arial"/>
                <w:i/>
                <w:color w:val="000000"/>
                <w:lang w:eastAsia="zh-CN"/>
              </w:rPr>
              <w:t>et al</w:t>
            </w:r>
            <w:r w:rsidR="000C125E">
              <w:rPr>
                <w:rFonts w:ascii="Book Antiqua" w:eastAsia="SimSun" w:hAnsi="Book Antiqua" w:cs="Arial" w:hint="eastAsia"/>
                <w:color w:val="000000"/>
                <w:vertAlign w:val="superscript"/>
                <w:lang w:eastAsia="zh-CN"/>
              </w:rPr>
              <w:t>[39</w:t>
            </w:r>
            <w:r w:rsidR="000C125E" w:rsidRPr="00EA034E">
              <w:rPr>
                <w:rFonts w:ascii="Book Antiqua" w:eastAsia="SimSun" w:hAnsi="Book Antiqua" w:cs="Arial" w:hint="eastAsia"/>
                <w:color w:val="000000"/>
                <w:vertAlign w:val="superscript"/>
                <w:lang w:eastAsia="zh-CN"/>
              </w:rPr>
              <w:t>]</w:t>
            </w:r>
            <w:r w:rsidR="000C125E">
              <w:rPr>
                <w:rFonts w:ascii="Book Antiqua" w:eastAsia="SimSun" w:hAnsi="Book Antiqua" w:cs="Arial" w:hint="eastAsia"/>
                <w:color w:val="000000"/>
                <w:lang w:eastAsia="zh-CN"/>
              </w:rPr>
              <w:t xml:space="preserve">, </w:t>
            </w:r>
            <w:r w:rsidRPr="000C125E">
              <w:rPr>
                <w:rFonts w:ascii="Book Antiqua" w:hAnsi="Book Antiqua" w:cs="Arial"/>
                <w:color w:val="000000"/>
              </w:rPr>
              <w:t>1997</w:t>
            </w:r>
            <w:r w:rsidR="00140892" w:rsidRPr="000C125E">
              <w:rPr>
                <w:rFonts w:ascii="Book Antiqua" w:hAnsi="Book Antiqua" w:cs="Arial"/>
                <w:color w:val="000000"/>
              </w:rPr>
              <w:t xml:space="preserve"> </w:t>
            </w:r>
          </w:p>
        </w:tc>
        <w:tc>
          <w:tcPr>
            <w:tcW w:w="723" w:type="pct"/>
            <w:tcMar>
              <w:top w:w="100" w:type="dxa"/>
              <w:left w:w="100" w:type="dxa"/>
              <w:bottom w:w="100" w:type="dxa"/>
              <w:right w:w="100" w:type="dxa"/>
            </w:tcMar>
            <w:hideMark/>
          </w:tcPr>
          <w:p w14:paraId="1E98BB76" w14:textId="2162715F" w:rsidR="00140892" w:rsidRPr="002D44D6" w:rsidRDefault="00140892" w:rsidP="000C125E">
            <w:pPr>
              <w:widowControl w:val="0"/>
              <w:adjustRightInd w:val="0"/>
              <w:snapToGrid w:val="0"/>
              <w:spacing w:line="360" w:lineRule="auto"/>
              <w:jc w:val="center"/>
              <w:rPr>
                <w:rFonts w:ascii="Book Antiqua" w:hAnsi="Book Antiqua" w:cs="Arial"/>
              </w:rPr>
            </w:pPr>
          </w:p>
        </w:tc>
        <w:tc>
          <w:tcPr>
            <w:tcW w:w="735" w:type="pct"/>
            <w:tcMar>
              <w:top w:w="100" w:type="dxa"/>
              <w:left w:w="100" w:type="dxa"/>
              <w:bottom w:w="100" w:type="dxa"/>
              <w:right w:w="100" w:type="dxa"/>
            </w:tcMar>
            <w:hideMark/>
          </w:tcPr>
          <w:p w14:paraId="4780ADEC" w14:textId="4B7A74C5" w:rsidR="00140892" w:rsidRPr="002D44D6" w:rsidRDefault="00140892" w:rsidP="000C125E">
            <w:pPr>
              <w:widowControl w:val="0"/>
              <w:adjustRightInd w:val="0"/>
              <w:snapToGrid w:val="0"/>
              <w:spacing w:line="360" w:lineRule="auto"/>
              <w:jc w:val="center"/>
              <w:rPr>
                <w:rFonts w:ascii="Book Antiqua" w:hAnsi="Book Antiqua" w:cs="Arial"/>
                <w:vertAlign w:val="superscript"/>
              </w:rPr>
            </w:pPr>
          </w:p>
        </w:tc>
        <w:tc>
          <w:tcPr>
            <w:tcW w:w="962" w:type="pct"/>
            <w:tcMar>
              <w:top w:w="100" w:type="dxa"/>
              <w:left w:w="100" w:type="dxa"/>
              <w:bottom w:w="100" w:type="dxa"/>
              <w:right w:w="100" w:type="dxa"/>
            </w:tcMar>
            <w:hideMark/>
          </w:tcPr>
          <w:p w14:paraId="597AD59E" w14:textId="1C666473" w:rsidR="00140892" w:rsidRPr="002D44D6" w:rsidRDefault="00140892" w:rsidP="000C125E">
            <w:pPr>
              <w:widowControl w:val="0"/>
              <w:adjustRightInd w:val="0"/>
              <w:snapToGrid w:val="0"/>
              <w:spacing w:line="360" w:lineRule="auto"/>
              <w:jc w:val="center"/>
              <w:rPr>
                <w:rFonts w:ascii="Book Antiqua" w:hAnsi="Book Antiqua" w:cs="Arial"/>
              </w:rPr>
            </w:pPr>
          </w:p>
        </w:tc>
        <w:tc>
          <w:tcPr>
            <w:tcW w:w="963" w:type="pct"/>
            <w:tcMar>
              <w:top w:w="100" w:type="dxa"/>
              <w:left w:w="100" w:type="dxa"/>
              <w:bottom w:w="100" w:type="dxa"/>
              <w:right w:w="100" w:type="dxa"/>
            </w:tcMar>
            <w:hideMark/>
          </w:tcPr>
          <w:p w14:paraId="5861F7E5" w14:textId="63E9CBC7" w:rsidR="00140892" w:rsidRPr="002D44D6" w:rsidRDefault="00140892" w:rsidP="000C125E">
            <w:pPr>
              <w:widowControl w:val="0"/>
              <w:adjustRightInd w:val="0"/>
              <w:snapToGrid w:val="0"/>
              <w:spacing w:line="360" w:lineRule="auto"/>
              <w:jc w:val="center"/>
              <w:rPr>
                <w:rFonts w:ascii="Book Antiqua" w:hAnsi="Book Antiqua" w:cs="Arial"/>
              </w:rPr>
            </w:pPr>
          </w:p>
        </w:tc>
        <w:tc>
          <w:tcPr>
            <w:tcW w:w="505" w:type="pct"/>
            <w:tcMar>
              <w:top w:w="100" w:type="dxa"/>
              <w:left w:w="100" w:type="dxa"/>
              <w:bottom w:w="100" w:type="dxa"/>
              <w:right w:w="100" w:type="dxa"/>
            </w:tcMar>
            <w:hideMark/>
          </w:tcPr>
          <w:p w14:paraId="012860EC" w14:textId="475EFA54" w:rsidR="00140892" w:rsidRPr="002D44D6" w:rsidRDefault="00140892" w:rsidP="000C125E">
            <w:pPr>
              <w:widowControl w:val="0"/>
              <w:adjustRightInd w:val="0"/>
              <w:snapToGrid w:val="0"/>
              <w:spacing w:line="360" w:lineRule="auto"/>
              <w:jc w:val="center"/>
              <w:rPr>
                <w:rFonts w:ascii="Book Antiqua" w:hAnsi="Book Antiqua" w:cs="Arial"/>
              </w:rPr>
            </w:pPr>
          </w:p>
        </w:tc>
      </w:tr>
      <w:tr w:rsidR="000C125E" w:rsidRPr="002D44D6" w14:paraId="1492003A" w14:textId="77777777" w:rsidTr="000C125E">
        <w:trPr>
          <w:trHeight w:val="810"/>
        </w:trPr>
        <w:tc>
          <w:tcPr>
            <w:tcW w:w="1112" w:type="pct"/>
          </w:tcPr>
          <w:p w14:paraId="68882E7A" w14:textId="3EAFA968" w:rsidR="00EA034E" w:rsidRPr="000C125E" w:rsidRDefault="00EA034E" w:rsidP="000C125E">
            <w:pPr>
              <w:widowControl w:val="0"/>
              <w:adjustRightInd w:val="0"/>
              <w:snapToGrid w:val="0"/>
              <w:spacing w:line="360" w:lineRule="auto"/>
              <w:ind w:firstLineChars="100" w:firstLine="240"/>
              <w:jc w:val="both"/>
              <w:rPr>
                <w:rFonts w:ascii="Book Antiqua" w:eastAsia="SimSun" w:hAnsi="Book Antiqua" w:cs="Arial"/>
                <w:color w:val="000000"/>
                <w:lang w:eastAsia="zh-CN"/>
              </w:rPr>
            </w:pPr>
            <w:r w:rsidRPr="000C125E">
              <w:rPr>
                <w:rFonts w:ascii="Book Antiqua" w:hAnsi="Book Antiqua" w:cs="Arial"/>
                <w:color w:val="000000"/>
              </w:rPr>
              <w:t>Etidronate</w:t>
            </w:r>
          </w:p>
        </w:tc>
        <w:tc>
          <w:tcPr>
            <w:tcW w:w="723" w:type="pct"/>
            <w:tcMar>
              <w:top w:w="100" w:type="dxa"/>
              <w:left w:w="100" w:type="dxa"/>
              <w:bottom w:w="100" w:type="dxa"/>
              <w:right w:w="100" w:type="dxa"/>
            </w:tcMar>
          </w:tcPr>
          <w:p w14:paraId="4B6BDD8E" w14:textId="36100E8C" w:rsidR="00EA034E" w:rsidRPr="002D44D6" w:rsidRDefault="00EA034E" w:rsidP="000C125E">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 xml:space="preserve">400 mg/d (3 </w:t>
            </w:r>
            <w:proofErr w:type="spellStart"/>
            <w:r w:rsidRPr="002D44D6">
              <w:rPr>
                <w:rFonts w:ascii="Book Antiqua" w:hAnsi="Book Antiqua" w:cs="Arial"/>
                <w:color w:val="000000"/>
              </w:rPr>
              <w:t>mo</w:t>
            </w:r>
            <w:proofErr w:type="spellEnd"/>
            <w:r w:rsidRPr="002D44D6">
              <w:rPr>
                <w:rFonts w:ascii="Book Antiqua" w:hAnsi="Book Antiqua" w:cs="Arial"/>
                <w:color w:val="000000"/>
              </w:rPr>
              <w:t xml:space="preserve"> cycles)</w:t>
            </w:r>
          </w:p>
        </w:tc>
        <w:tc>
          <w:tcPr>
            <w:tcW w:w="735" w:type="pct"/>
            <w:tcMar>
              <w:top w:w="100" w:type="dxa"/>
              <w:left w:w="100" w:type="dxa"/>
              <w:bottom w:w="100" w:type="dxa"/>
              <w:right w:w="100" w:type="dxa"/>
            </w:tcMar>
          </w:tcPr>
          <w:p w14:paraId="444ACFBC" w14:textId="210ADABE" w:rsidR="00EA034E" w:rsidRPr="002D44D6" w:rsidRDefault="00EA034E" w:rsidP="000C125E">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13 (etidronate)</w:t>
            </w:r>
          </w:p>
          <w:p w14:paraId="041F6542" w14:textId="512DD471" w:rsidR="00EA034E" w:rsidRPr="002D44D6" w:rsidRDefault="00EA034E" w:rsidP="000C125E">
            <w:pPr>
              <w:widowControl w:val="0"/>
              <w:adjustRightInd w:val="0"/>
              <w:snapToGrid w:val="0"/>
              <w:spacing w:line="360" w:lineRule="auto"/>
              <w:jc w:val="center"/>
              <w:rPr>
                <w:rFonts w:ascii="Book Antiqua" w:hAnsi="Book Antiqua" w:cs="Arial"/>
                <w:color w:val="000000"/>
              </w:rPr>
            </w:pPr>
          </w:p>
        </w:tc>
        <w:tc>
          <w:tcPr>
            <w:tcW w:w="962" w:type="pct"/>
            <w:tcMar>
              <w:top w:w="100" w:type="dxa"/>
              <w:left w:w="100" w:type="dxa"/>
              <w:bottom w:w="100" w:type="dxa"/>
              <w:right w:w="100" w:type="dxa"/>
            </w:tcMar>
          </w:tcPr>
          <w:p w14:paraId="2F019583" w14:textId="77777777" w:rsidR="00EA034E" w:rsidRPr="00E02673" w:rsidRDefault="00EA034E" w:rsidP="000C125E">
            <w:pPr>
              <w:widowControl w:val="0"/>
              <w:adjustRightInd w:val="0"/>
              <w:snapToGrid w:val="0"/>
              <w:spacing w:line="360" w:lineRule="auto"/>
              <w:jc w:val="center"/>
              <w:rPr>
                <w:rFonts w:ascii="Book Antiqua" w:hAnsi="Book Antiqua" w:cs="Arial"/>
                <w:color w:val="000000"/>
              </w:rPr>
            </w:pPr>
            <w:r w:rsidRPr="00E02673">
              <w:rPr>
                <w:rFonts w:ascii="Book Antiqua" w:hAnsi="Book Antiqua" w:cs="Arial"/>
                <w:color w:val="000000"/>
              </w:rPr>
              <w:t>-0.1 (L), -0.4 (F)</w:t>
            </w:r>
          </w:p>
          <w:p w14:paraId="437C5231" w14:textId="09BFBCC7" w:rsidR="00EA034E" w:rsidRPr="00E02673" w:rsidRDefault="00EA034E" w:rsidP="000C125E">
            <w:pPr>
              <w:widowControl w:val="0"/>
              <w:adjustRightInd w:val="0"/>
              <w:snapToGrid w:val="0"/>
              <w:spacing w:line="360" w:lineRule="auto"/>
              <w:jc w:val="center"/>
              <w:rPr>
                <w:rFonts w:ascii="Book Antiqua" w:hAnsi="Book Antiqua" w:cs="Arial"/>
                <w:color w:val="000000"/>
              </w:rPr>
            </w:pPr>
          </w:p>
        </w:tc>
        <w:tc>
          <w:tcPr>
            <w:tcW w:w="963" w:type="pct"/>
            <w:tcMar>
              <w:top w:w="100" w:type="dxa"/>
              <w:left w:w="100" w:type="dxa"/>
              <w:bottom w:w="100" w:type="dxa"/>
              <w:right w:w="100" w:type="dxa"/>
            </w:tcMar>
          </w:tcPr>
          <w:p w14:paraId="0CBE1196" w14:textId="79B5BA38" w:rsidR="00EA034E" w:rsidRPr="00E02673" w:rsidRDefault="00EA034E" w:rsidP="000C125E">
            <w:pPr>
              <w:widowControl w:val="0"/>
              <w:adjustRightInd w:val="0"/>
              <w:snapToGrid w:val="0"/>
              <w:spacing w:line="360" w:lineRule="auto"/>
              <w:jc w:val="center"/>
              <w:rPr>
                <w:rFonts w:ascii="Book Antiqua" w:hAnsi="Book Antiqua" w:cs="Arial"/>
              </w:rPr>
            </w:pPr>
            <w:r w:rsidRPr="00E02673">
              <w:rPr>
                <w:rFonts w:ascii="Book Antiqua" w:hAnsi="Book Antiqua" w:cs="Arial"/>
              </w:rPr>
              <w:t>+0.5 (L)</w:t>
            </w:r>
            <w:r w:rsidR="00E02673" w:rsidRPr="00E02673">
              <w:rPr>
                <w:rFonts w:ascii="Book Antiqua" w:eastAsia="SimSun" w:hAnsi="Book Antiqua" w:hint="eastAsia"/>
                <w:vertAlign w:val="superscript"/>
                <w:lang w:eastAsia="zh-CN"/>
              </w:rPr>
              <w:t>2</w:t>
            </w:r>
            <w:r w:rsidRPr="00E02673">
              <w:rPr>
                <w:rFonts w:ascii="Book Antiqua" w:hAnsi="Book Antiqua" w:cs="Arial"/>
              </w:rPr>
              <w:t>, -0.2 (F)</w:t>
            </w:r>
          </w:p>
          <w:p w14:paraId="136A0B01" w14:textId="5C2C0EBF" w:rsidR="00EA034E" w:rsidRPr="00E02673" w:rsidRDefault="00EA034E" w:rsidP="000C125E">
            <w:pPr>
              <w:widowControl w:val="0"/>
              <w:adjustRightInd w:val="0"/>
              <w:snapToGrid w:val="0"/>
              <w:spacing w:line="360" w:lineRule="auto"/>
              <w:jc w:val="center"/>
              <w:rPr>
                <w:rFonts w:ascii="Book Antiqua" w:hAnsi="Book Antiqua" w:cs="Arial"/>
              </w:rPr>
            </w:pPr>
          </w:p>
        </w:tc>
        <w:tc>
          <w:tcPr>
            <w:tcW w:w="505" w:type="pct"/>
            <w:tcMar>
              <w:top w:w="100" w:type="dxa"/>
              <w:left w:w="100" w:type="dxa"/>
              <w:bottom w:w="100" w:type="dxa"/>
              <w:right w:w="100" w:type="dxa"/>
            </w:tcMar>
          </w:tcPr>
          <w:p w14:paraId="6C2B0642" w14:textId="77777777" w:rsidR="00EA034E" w:rsidRPr="002D44D6" w:rsidRDefault="00EA034E" w:rsidP="000C125E">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0 (V), 3 (P)</w:t>
            </w:r>
          </w:p>
          <w:p w14:paraId="6634D9BC" w14:textId="4B342403" w:rsidR="00EA034E" w:rsidRPr="002D44D6" w:rsidRDefault="00EA034E" w:rsidP="000C125E">
            <w:pPr>
              <w:widowControl w:val="0"/>
              <w:adjustRightInd w:val="0"/>
              <w:snapToGrid w:val="0"/>
              <w:spacing w:line="360" w:lineRule="auto"/>
              <w:jc w:val="center"/>
              <w:rPr>
                <w:rFonts w:ascii="Book Antiqua" w:hAnsi="Book Antiqua" w:cs="Arial"/>
                <w:color w:val="000000"/>
              </w:rPr>
            </w:pPr>
          </w:p>
        </w:tc>
      </w:tr>
      <w:tr w:rsidR="000C125E" w:rsidRPr="002D44D6" w14:paraId="3774387B" w14:textId="77777777" w:rsidTr="000C125E">
        <w:trPr>
          <w:trHeight w:val="1215"/>
        </w:trPr>
        <w:tc>
          <w:tcPr>
            <w:tcW w:w="1112" w:type="pct"/>
          </w:tcPr>
          <w:p w14:paraId="75EF434A" w14:textId="7402D67E" w:rsidR="00EA034E" w:rsidRPr="000C125E" w:rsidRDefault="00EA034E" w:rsidP="000C125E">
            <w:pPr>
              <w:widowControl w:val="0"/>
              <w:adjustRightInd w:val="0"/>
              <w:snapToGrid w:val="0"/>
              <w:spacing w:line="360" w:lineRule="auto"/>
              <w:ind w:firstLineChars="100" w:firstLine="240"/>
              <w:jc w:val="both"/>
              <w:rPr>
                <w:rFonts w:ascii="Book Antiqua" w:hAnsi="Book Antiqua" w:cs="Arial"/>
                <w:color w:val="000000"/>
              </w:rPr>
            </w:pPr>
            <w:r w:rsidRPr="000C125E">
              <w:rPr>
                <w:rFonts w:ascii="Book Antiqua" w:hAnsi="Book Antiqua" w:cs="Arial"/>
                <w:color w:val="000000"/>
              </w:rPr>
              <w:t>Sodium fluoride</w:t>
            </w:r>
          </w:p>
        </w:tc>
        <w:tc>
          <w:tcPr>
            <w:tcW w:w="723" w:type="pct"/>
            <w:tcMar>
              <w:top w:w="100" w:type="dxa"/>
              <w:left w:w="100" w:type="dxa"/>
              <w:bottom w:w="100" w:type="dxa"/>
              <w:right w:w="100" w:type="dxa"/>
            </w:tcMar>
          </w:tcPr>
          <w:p w14:paraId="76F55488" w14:textId="2761ADC6" w:rsidR="00EA034E" w:rsidRPr="002D44D6" w:rsidRDefault="00EA034E" w:rsidP="000C125E">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50 mg/d sodium fluoride</w:t>
            </w:r>
          </w:p>
        </w:tc>
        <w:tc>
          <w:tcPr>
            <w:tcW w:w="735" w:type="pct"/>
            <w:tcMar>
              <w:top w:w="100" w:type="dxa"/>
              <w:left w:w="100" w:type="dxa"/>
              <w:bottom w:w="100" w:type="dxa"/>
              <w:right w:w="100" w:type="dxa"/>
            </w:tcMar>
          </w:tcPr>
          <w:p w14:paraId="3CB8DFC4" w14:textId="5A678A34" w:rsidR="00EA034E" w:rsidRPr="002D44D6" w:rsidRDefault="00EA034E" w:rsidP="000C125E">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10 (fluoride)</w:t>
            </w:r>
          </w:p>
        </w:tc>
        <w:tc>
          <w:tcPr>
            <w:tcW w:w="962" w:type="pct"/>
            <w:tcMar>
              <w:top w:w="100" w:type="dxa"/>
              <w:left w:w="100" w:type="dxa"/>
              <w:bottom w:w="100" w:type="dxa"/>
              <w:right w:w="100" w:type="dxa"/>
            </w:tcMar>
          </w:tcPr>
          <w:p w14:paraId="1B6D2D82" w14:textId="71E21800" w:rsidR="00EA034E" w:rsidRPr="00E02673" w:rsidRDefault="00EA034E" w:rsidP="000C125E">
            <w:pPr>
              <w:widowControl w:val="0"/>
              <w:adjustRightInd w:val="0"/>
              <w:snapToGrid w:val="0"/>
              <w:spacing w:line="360" w:lineRule="auto"/>
              <w:jc w:val="center"/>
              <w:rPr>
                <w:rFonts w:ascii="Book Antiqua" w:hAnsi="Book Antiqua" w:cs="Arial"/>
                <w:color w:val="000000"/>
              </w:rPr>
            </w:pPr>
            <w:r w:rsidRPr="00E02673">
              <w:rPr>
                <w:rFonts w:ascii="Book Antiqua" w:hAnsi="Book Antiqua" w:cs="Arial"/>
                <w:color w:val="000000"/>
              </w:rPr>
              <w:t>-1.7 (L), -0.6 (F)</w:t>
            </w:r>
          </w:p>
        </w:tc>
        <w:tc>
          <w:tcPr>
            <w:tcW w:w="963" w:type="pct"/>
            <w:tcMar>
              <w:top w:w="100" w:type="dxa"/>
              <w:left w:w="100" w:type="dxa"/>
              <w:bottom w:w="100" w:type="dxa"/>
              <w:right w:w="100" w:type="dxa"/>
            </w:tcMar>
          </w:tcPr>
          <w:p w14:paraId="46779CC2" w14:textId="56D59E70" w:rsidR="00EA034E" w:rsidRPr="00E02673" w:rsidRDefault="00EA034E" w:rsidP="000C125E">
            <w:pPr>
              <w:widowControl w:val="0"/>
              <w:adjustRightInd w:val="0"/>
              <w:snapToGrid w:val="0"/>
              <w:spacing w:line="360" w:lineRule="auto"/>
              <w:jc w:val="center"/>
              <w:rPr>
                <w:rFonts w:ascii="Book Antiqua" w:hAnsi="Book Antiqua" w:cs="Arial"/>
              </w:rPr>
            </w:pPr>
            <w:r w:rsidRPr="00E02673">
              <w:rPr>
                <w:rFonts w:ascii="Book Antiqua" w:hAnsi="Book Antiqua" w:cs="Arial"/>
              </w:rPr>
              <w:t>-2.1 (L), -1.5 (F)</w:t>
            </w:r>
          </w:p>
        </w:tc>
        <w:tc>
          <w:tcPr>
            <w:tcW w:w="505" w:type="pct"/>
            <w:tcMar>
              <w:top w:w="100" w:type="dxa"/>
              <w:left w:w="100" w:type="dxa"/>
              <w:bottom w:w="100" w:type="dxa"/>
              <w:right w:w="100" w:type="dxa"/>
            </w:tcMar>
          </w:tcPr>
          <w:p w14:paraId="75C591B8" w14:textId="144F8F2B" w:rsidR="00EA034E" w:rsidRPr="002D44D6" w:rsidRDefault="00EA034E" w:rsidP="000C125E">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rPr>
              <w:t>2 (V), 2 (P)</w:t>
            </w:r>
          </w:p>
        </w:tc>
      </w:tr>
      <w:tr w:rsidR="000C125E" w:rsidRPr="002D44D6" w14:paraId="22CC8D99" w14:textId="77777777" w:rsidTr="000C125E">
        <w:trPr>
          <w:trHeight w:val="435"/>
        </w:trPr>
        <w:tc>
          <w:tcPr>
            <w:tcW w:w="1112" w:type="pct"/>
          </w:tcPr>
          <w:p w14:paraId="7423479E" w14:textId="224B1E03" w:rsidR="00140892" w:rsidRPr="000C125E" w:rsidRDefault="002C7775" w:rsidP="002D44D6">
            <w:pPr>
              <w:widowControl w:val="0"/>
              <w:adjustRightInd w:val="0"/>
              <w:snapToGrid w:val="0"/>
              <w:spacing w:line="360" w:lineRule="auto"/>
              <w:jc w:val="both"/>
              <w:rPr>
                <w:rFonts w:ascii="Book Antiqua" w:hAnsi="Book Antiqua" w:cs="Arial"/>
                <w:color w:val="000000"/>
              </w:rPr>
            </w:pPr>
            <w:proofErr w:type="spellStart"/>
            <w:r w:rsidRPr="000C125E">
              <w:rPr>
                <w:rFonts w:ascii="Book Antiqua" w:hAnsi="Book Antiqua" w:cs="Arial"/>
                <w:color w:val="000000"/>
              </w:rPr>
              <w:t>Guañabens</w:t>
            </w:r>
            <w:proofErr w:type="spellEnd"/>
            <w:r w:rsidRPr="000C125E">
              <w:rPr>
                <w:rFonts w:ascii="Book Antiqua" w:hAnsi="Book Antiqua" w:cs="Arial"/>
                <w:color w:val="000000"/>
              </w:rPr>
              <w:t xml:space="preserve"> </w:t>
            </w:r>
            <w:r w:rsidR="000C125E" w:rsidRPr="00EA034E">
              <w:rPr>
                <w:rFonts w:ascii="Book Antiqua" w:eastAsia="SimSun" w:hAnsi="Book Antiqua" w:cs="Arial"/>
                <w:i/>
                <w:color w:val="000000"/>
                <w:lang w:eastAsia="zh-CN"/>
              </w:rPr>
              <w:t>et al</w:t>
            </w:r>
            <w:r w:rsidR="000C125E">
              <w:rPr>
                <w:rFonts w:ascii="Book Antiqua" w:eastAsia="SimSun" w:hAnsi="Book Antiqua" w:cs="Arial" w:hint="eastAsia"/>
                <w:color w:val="000000"/>
                <w:vertAlign w:val="superscript"/>
                <w:lang w:eastAsia="zh-CN"/>
              </w:rPr>
              <w:t>[45</w:t>
            </w:r>
            <w:r w:rsidR="000C125E" w:rsidRPr="00EA034E">
              <w:rPr>
                <w:rFonts w:ascii="Book Antiqua" w:eastAsia="SimSun" w:hAnsi="Book Antiqua" w:cs="Arial" w:hint="eastAsia"/>
                <w:color w:val="000000"/>
                <w:vertAlign w:val="superscript"/>
                <w:lang w:eastAsia="zh-CN"/>
              </w:rPr>
              <w:t>]</w:t>
            </w:r>
            <w:r w:rsidR="000C125E">
              <w:rPr>
                <w:rFonts w:ascii="Book Antiqua" w:eastAsia="SimSun" w:hAnsi="Book Antiqua" w:cs="Arial" w:hint="eastAsia"/>
                <w:color w:val="000000"/>
                <w:lang w:eastAsia="zh-CN"/>
              </w:rPr>
              <w:t xml:space="preserve">, </w:t>
            </w:r>
            <w:r w:rsidRPr="000C125E">
              <w:rPr>
                <w:rFonts w:ascii="Book Antiqua" w:hAnsi="Book Antiqua" w:cs="Arial"/>
                <w:color w:val="000000"/>
              </w:rPr>
              <w:t>2003</w:t>
            </w:r>
          </w:p>
        </w:tc>
        <w:tc>
          <w:tcPr>
            <w:tcW w:w="723" w:type="pct"/>
            <w:tcMar>
              <w:top w:w="100" w:type="dxa"/>
              <w:left w:w="100" w:type="dxa"/>
              <w:bottom w:w="100" w:type="dxa"/>
              <w:right w:w="100" w:type="dxa"/>
            </w:tcMar>
            <w:hideMark/>
          </w:tcPr>
          <w:p w14:paraId="087F6C6D" w14:textId="6D69D07A" w:rsidR="00140892" w:rsidRPr="002D44D6" w:rsidRDefault="00140892" w:rsidP="000C125E">
            <w:pPr>
              <w:widowControl w:val="0"/>
              <w:adjustRightInd w:val="0"/>
              <w:snapToGrid w:val="0"/>
              <w:spacing w:line="360" w:lineRule="auto"/>
              <w:jc w:val="center"/>
              <w:rPr>
                <w:rFonts w:ascii="Book Antiqua" w:hAnsi="Book Antiqua" w:cs="Arial"/>
              </w:rPr>
            </w:pPr>
          </w:p>
        </w:tc>
        <w:tc>
          <w:tcPr>
            <w:tcW w:w="735" w:type="pct"/>
            <w:tcMar>
              <w:top w:w="100" w:type="dxa"/>
              <w:left w:w="100" w:type="dxa"/>
              <w:bottom w:w="100" w:type="dxa"/>
              <w:right w:w="100" w:type="dxa"/>
            </w:tcMar>
            <w:hideMark/>
          </w:tcPr>
          <w:p w14:paraId="144717C5" w14:textId="0D278DA5" w:rsidR="00140892" w:rsidRPr="002D44D6" w:rsidRDefault="00140892" w:rsidP="000C125E">
            <w:pPr>
              <w:widowControl w:val="0"/>
              <w:adjustRightInd w:val="0"/>
              <w:snapToGrid w:val="0"/>
              <w:spacing w:line="360" w:lineRule="auto"/>
              <w:jc w:val="center"/>
              <w:rPr>
                <w:rFonts w:ascii="Book Antiqua" w:hAnsi="Book Antiqua" w:cs="Arial"/>
              </w:rPr>
            </w:pPr>
          </w:p>
        </w:tc>
        <w:tc>
          <w:tcPr>
            <w:tcW w:w="962" w:type="pct"/>
            <w:tcMar>
              <w:top w:w="100" w:type="dxa"/>
              <w:left w:w="100" w:type="dxa"/>
              <w:bottom w:w="100" w:type="dxa"/>
              <w:right w:w="100" w:type="dxa"/>
            </w:tcMar>
            <w:hideMark/>
          </w:tcPr>
          <w:p w14:paraId="50FD20C4" w14:textId="616AE893" w:rsidR="00140892" w:rsidRPr="00E02673" w:rsidRDefault="00140892" w:rsidP="000C125E">
            <w:pPr>
              <w:widowControl w:val="0"/>
              <w:adjustRightInd w:val="0"/>
              <w:snapToGrid w:val="0"/>
              <w:spacing w:line="360" w:lineRule="auto"/>
              <w:jc w:val="center"/>
              <w:rPr>
                <w:rFonts w:ascii="Book Antiqua" w:hAnsi="Book Antiqua" w:cs="Arial"/>
              </w:rPr>
            </w:pPr>
          </w:p>
        </w:tc>
        <w:tc>
          <w:tcPr>
            <w:tcW w:w="963" w:type="pct"/>
            <w:tcMar>
              <w:top w:w="100" w:type="dxa"/>
              <w:left w:w="100" w:type="dxa"/>
              <w:bottom w:w="100" w:type="dxa"/>
              <w:right w:w="100" w:type="dxa"/>
            </w:tcMar>
            <w:hideMark/>
          </w:tcPr>
          <w:p w14:paraId="18EDE1FE" w14:textId="458783AE" w:rsidR="00140892" w:rsidRPr="00E02673" w:rsidRDefault="00140892" w:rsidP="000C125E">
            <w:pPr>
              <w:widowControl w:val="0"/>
              <w:adjustRightInd w:val="0"/>
              <w:snapToGrid w:val="0"/>
              <w:spacing w:line="360" w:lineRule="auto"/>
              <w:jc w:val="center"/>
              <w:rPr>
                <w:rFonts w:ascii="Book Antiqua" w:hAnsi="Book Antiqua" w:cs="Arial"/>
              </w:rPr>
            </w:pPr>
          </w:p>
        </w:tc>
        <w:tc>
          <w:tcPr>
            <w:tcW w:w="505" w:type="pct"/>
            <w:tcMar>
              <w:top w:w="100" w:type="dxa"/>
              <w:left w:w="100" w:type="dxa"/>
              <w:bottom w:w="100" w:type="dxa"/>
              <w:right w:w="100" w:type="dxa"/>
            </w:tcMar>
            <w:hideMark/>
          </w:tcPr>
          <w:p w14:paraId="198873BB" w14:textId="1EF84070" w:rsidR="00140892" w:rsidRPr="002D44D6" w:rsidRDefault="00140892" w:rsidP="000C125E">
            <w:pPr>
              <w:widowControl w:val="0"/>
              <w:adjustRightInd w:val="0"/>
              <w:snapToGrid w:val="0"/>
              <w:spacing w:line="360" w:lineRule="auto"/>
              <w:jc w:val="center"/>
              <w:rPr>
                <w:rFonts w:ascii="Book Antiqua" w:hAnsi="Book Antiqua" w:cs="Arial"/>
              </w:rPr>
            </w:pPr>
          </w:p>
        </w:tc>
      </w:tr>
      <w:tr w:rsidR="000C125E" w:rsidRPr="002D44D6" w14:paraId="0C021E70" w14:textId="77777777" w:rsidTr="000C125E">
        <w:trPr>
          <w:trHeight w:val="540"/>
        </w:trPr>
        <w:tc>
          <w:tcPr>
            <w:tcW w:w="1112" w:type="pct"/>
          </w:tcPr>
          <w:p w14:paraId="39416A16" w14:textId="2BEB91AA" w:rsidR="00EA034E" w:rsidRPr="000C125E" w:rsidRDefault="00EA034E" w:rsidP="000C125E">
            <w:pPr>
              <w:widowControl w:val="0"/>
              <w:adjustRightInd w:val="0"/>
              <w:snapToGrid w:val="0"/>
              <w:spacing w:line="360" w:lineRule="auto"/>
              <w:ind w:firstLineChars="100" w:firstLine="240"/>
              <w:jc w:val="both"/>
              <w:rPr>
                <w:rFonts w:ascii="Book Antiqua" w:hAnsi="Book Antiqua" w:cs="Arial"/>
                <w:color w:val="000000"/>
              </w:rPr>
            </w:pPr>
            <w:r w:rsidRPr="000C125E">
              <w:rPr>
                <w:rFonts w:ascii="Book Antiqua" w:hAnsi="Book Antiqua" w:cs="Arial"/>
                <w:color w:val="000000"/>
              </w:rPr>
              <w:t>Alendronate</w:t>
            </w:r>
          </w:p>
        </w:tc>
        <w:tc>
          <w:tcPr>
            <w:tcW w:w="723" w:type="pct"/>
            <w:tcMar>
              <w:top w:w="100" w:type="dxa"/>
              <w:left w:w="100" w:type="dxa"/>
              <w:bottom w:w="100" w:type="dxa"/>
              <w:right w:w="100" w:type="dxa"/>
            </w:tcMar>
          </w:tcPr>
          <w:p w14:paraId="1D8FA3A3" w14:textId="038719D4" w:rsidR="00EA034E" w:rsidRPr="002D44D6" w:rsidRDefault="00EA034E" w:rsidP="000C125E">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10 mg/d</w:t>
            </w:r>
          </w:p>
        </w:tc>
        <w:tc>
          <w:tcPr>
            <w:tcW w:w="735" w:type="pct"/>
            <w:tcMar>
              <w:top w:w="100" w:type="dxa"/>
              <w:left w:w="100" w:type="dxa"/>
              <w:bottom w:w="100" w:type="dxa"/>
              <w:right w:w="100" w:type="dxa"/>
            </w:tcMar>
          </w:tcPr>
          <w:p w14:paraId="2A856F4B" w14:textId="7E21BFA9" w:rsidR="00EA034E" w:rsidRPr="002D44D6" w:rsidRDefault="00EA034E" w:rsidP="000C125E">
            <w:pPr>
              <w:widowControl w:val="0"/>
              <w:adjustRightInd w:val="0"/>
              <w:snapToGrid w:val="0"/>
              <w:spacing w:line="360" w:lineRule="auto"/>
              <w:jc w:val="center"/>
              <w:rPr>
                <w:rFonts w:ascii="Book Antiqua" w:hAnsi="Book Antiqua" w:cs="Arial"/>
              </w:rPr>
            </w:pPr>
            <w:r w:rsidRPr="002D44D6">
              <w:rPr>
                <w:rFonts w:ascii="Book Antiqua" w:hAnsi="Book Antiqua" w:cs="Arial"/>
              </w:rPr>
              <w:t>13 (alendronate)</w:t>
            </w:r>
          </w:p>
        </w:tc>
        <w:tc>
          <w:tcPr>
            <w:tcW w:w="962" w:type="pct"/>
            <w:tcMar>
              <w:top w:w="100" w:type="dxa"/>
              <w:left w:w="100" w:type="dxa"/>
              <w:bottom w:w="100" w:type="dxa"/>
              <w:right w:w="100" w:type="dxa"/>
            </w:tcMar>
          </w:tcPr>
          <w:p w14:paraId="5C0B6A3C" w14:textId="77777777" w:rsidR="00EA034E" w:rsidRPr="00E02673" w:rsidRDefault="00EA034E" w:rsidP="000C125E">
            <w:pPr>
              <w:widowControl w:val="0"/>
              <w:adjustRightInd w:val="0"/>
              <w:snapToGrid w:val="0"/>
              <w:spacing w:line="360" w:lineRule="auto"/>
              <w:jc w:val="center"/>
              <w:rPr>
                <w:rFonts w:ascii="Book Antiqua" w:hAnsi="Book Antiqua" w:cs="Arial"/>
              </w:rPr>
            </w:pPr>
          </w:p>
        </w:tc>
        <w:tc>
          <w:tcPr>
            <w:tcW w:w="963" w:type="pct"/>
            <w:tcMar>
              <w:top w:w="100" w:type="dxa"/>
              <w:left w:w="100" w:type="dxa"/>
              <w:bottom w:w="100" w:type="dxa"/>
              <w:right w:w="100" w:type="dxa"/>
            </w:tcMar>
          </w:tcPr>
          <w:p w14:paraId="3CF75F68" w14:textId="19FDC4B6" w:rsidR="00EA034E" w:rsidRPr="00E02673" w:rsidRDefault="00EA034E" w:rsidP="000C125E">
            <w:pPr>
              <w:widowControl w:val="0"/>
              <w:adjustRightInd w:val="0"/>
              <w:snapToGrid w:val="0"/>
              <w:spacing w:line="360" w:lineRule="auto"/>
              <w:jc w:val="center"/>
              <w:rPr>
                <w:rFonts w:ascii="Book Antiqua" w:hAnsi="Book Antiqua" w:cs="Arial"/>
              </w:rPr>
            </w:pPr>
            <w:r w:rsidRPr="00E02673">
              <w:rPr>
                <w:rFonts w:ascii="Book Antiqua" w:hAnsi="Book Antiqua" w:cs="Arial"/>
              </w:rPr>
              <w:t>+5.8 (L)</w:t>
            </w:r>
            <w:r w:rsidR="000C125E" w:rsidRPr="00E02673">
              <w:rPr>
                <w:rFonts w:ascii="Book Antiqua" w:eastAsia="SimSun" w:hAnsi="Book Antiqua" w:cs="Arial" w:hint="eastAsia"/>
                <w:vertAlign w:val="superscript"/>
                <w:lang w:eastAsia="zh-CN"/>
              </w:rPr>
              <w:t>1,2</w:t>
            </w:r>
            <w:r w:rsidRPr="00E02673">
              <w:rPr>
                <w:rFonts w:ascii="Book Antiqua" w:hAnsi="Book Antiqua" w:cs="Arial"/>
              </w:rPr>
              <w:t>, +3.9 (F)</w:t>
            </w:r>
            <w:r w:rsidR="000C125E" w:rsidRPr="00E02673">
              <w:rPr>
                <w:rFonts w:ascii="Book Antiqua" w:eastAsia="SimSun" w:hAnsi="Book Antiqua" w:cs="Arial" w:hint="eastAsia"/>
                <w:vertAlign w:val="superscript"/>
                <w:lang w:eastAsia="zh-CN"/>
              </w:rPr>
              <w:t>1,2</w:t>
            </w:r>
          </w:p>
        </w:tc>
        <w:tc>
          <w:tcPr>
            <w:tcW w:w="505" w:type="pct"/>
            <w:tcMar>
              <w:top w:w="100" w:type="dxa"/>
              <w:left w:w="100" w:type="dxa"/>
              <w:bottom w:w="100" w:type="dxa"/>
              <w:right w:w="100" w:type="dxa"/>
            </w:tcMar>
          </w:tcPr>
          <w:p w14:paraId="7913E9ED" w14:textId="427481F8" w:rsidR="00EA034E" w:rsidRPr="002D44D6" w:rsidRDefault="00EA034E" w:rsidP="000C125E">
            <w:pPr>
              <w:widowControl w:val="0"/>
              <w:adjustRightInd w:val="0"/>
              <w:snapToGrid w:val="0"/>
              <w:spacing w:line="360" w:lineRule="auto"/>
              <w:jc w:val="center"/>
              <w:rPr>
                <w:rFonts w:ascii="Book Antiqua" w:hAnsi="Book Antiqua" w:cs="Arial"/>
              </w:rPr>
            </w:pPr>
            <w:r w:rsidRPr="002D44D6">
              <w:rPr>
                <w:rFonts w:ascii="Book Antiqua" w:hAnsi="Book Antiqua" w:cs="Arial"/>
              </w:rPr>
              <w:t>0 (V), 2 (P)</w:t>
            </w:r>
          </w:p>
        </w:tc>
      </w:tr>
      <w:tr w:rsidR="000C125E" w:rsidRPr="002D44D6" w14:paraId="2CDA0A5A" w14:textId="77777777" w:rsidTr="000C125E">
        <w:trPr>
          <w:trHeight w:val="1440"/>
        </w:trPr>
        <w:tc>
          <w:tcPr>
            <w:tcW w:w="1112" w:type="pct"/>
          </w:tcPr>
          <w:p w14:paraId="18DC268B" w14:textId="24D4F293" w:rsidR="00EA034E" w:rsidRPr="000C125E" w:rsidRDefault="00EA034E" w:rsidP="000C125E">
            <w:pPr>
              <w:widowControl w:val="0"/>
              <w:adjustRightInd w:val="0"/>
              <w:snapToGrid w:val="0"/>
              <w:spacing w:line="360" w:lineRule="auto"/>
              <w:ind w:firstLineChars="100" w:firstLine="240"/>
              <w:jc w:val="both"/>
              <w:rPr>
                <w:rFonts w:ascii="Book Antiqua" w:eastAsia="SimSun" w:hAnsi="Book Antiqua" w:cs="Arial"/>
                <w:color w:val="000000"/>
                <w:lang w:eastAsia="zh-CN"/>
              </w:rPr>
            </w:pPr>
            <w:r w:rsidRPr="000C125E">
              <w:rPr>
                <w:rFonts w:ascii="Book Antiqua" w:hAnsi="Book Antiqua" w:cs="Arial"/>
                <w:color w:val="000000"/>
              </w:rPr>
              <w:t>Etidronate</w:t>
            </w:r>
          </w:p>
        </w:tc>
        <w:tc>
          <w:tcPr>
            <w:tcW w:w="723" w:type="pct"/>
            <w:tcMar>
              <w:top w:w="100" w:type="dxa"/>
              <w:left w:w="100" w:type="dxa"/>
              <w:bottom w:w="100" w:type="dxa"/>
              <w:right w:w="100" w:type="dxa"/>
            </w:tcMar>
          </w:tcPr>
          <w:p w14:paraId="50BF748B" w14:textId="3876623F" w:rsidR="00EA034E" w:rsidRPr="002D44D6" w:rsidRDefault="00EA034E" w:rsidP="000C125E">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 xml:space="preserve">400 mg/d (3 </w:t>
            </w:r>
            <w:proofErr w:type="spellStart"/>
            <w:r w:rsidRPr="002D44D6">
              <w:rPr>
                <w:rFonts w:ascii="Book Antiqua" w:hAnsi="Book Antiqua" w:cs="Arial"/>
                <w:color w:val="000000"/>
              </w:rPr>
              <w:t>mo</w:t>
            </w:r>
            <w:proofErr w:type="spellEnd"/>
            <w:r w:rsidRPr="002D44D6">
              <w:rPr>
                <w:rFonts w:ascii="Book Antiqua" w:hAnsi="Book Antiqua" w:cs="Arial"/>
                <w:color w:val="000000"/>
              </w:rPr>
              <w:t xml:space="preserve"> cycles)</w:t>
            </w:r>
          </w:p>
        </w:tc>
        <w:tc>
          <w:tcPr>
            <w:tcW w:w="735" w:type="pct"/>
            <w:tcMar>
              <w:top w:w="100" w:type="dxa"/>
              <w:left w:w="100" w:type="dxa"/>
              <w:bottom w:w="100" w:type="dxa"/>
              <w:right w:w="100" w:type="dxa"/>
            </w:tcMar>
          </w:tcPr>
          <w:p w14:paraId="5BE6CE5D" w14:textId="2BD0A39E" w:rsidR="00EA034E" w:rsidRPr="002D44D6" w:rsidRDefault="00EA034E" w:rsidP="000C125E">
            <w:pPr>
              <w:widowControl w:val="0"/>
              <w:adjustRightInd w:val="0"/>
              <w:snapToGrid w:val="0"/>
              <w:spacing w:line="360" w:lineRule="auto"/>
              <w:jc w:val="center"/>
              <w:rPr>
                <w:rFonts w:ascii="Book Antiqua" w:hAnsi="Book Antiqua" w:cs="Arial"/>
              </w:rPr>
            </w:pPr>
            <w:r w:rsidRPr="002D44D6">
              <w:rPr>
                <w:rFonts w:ascii="Book Antiqua" w:hAnsi="Book Antiqua" w:cs="Arial"/>
              </w:rPr>
              <w:t>13 (etidronate)</w:t>
            </w:r>
          </w:p>
        </w:tc>
        <w:tc>
          <w:tcPr>
            <w:tcW w:w="962" w:type="pct"/>
            <w:tcMar>
              <w:top w:w="100" w:type="dxa"/>
              <w:left w:w="100" w:type="dxa"/>
              <w:bottom w:w="100" w:type="dxa"/>
              <w:right w:w="100" w:type="dxa"/>
            </w:tcMar>
          </w:tcPr>
          <w:p w14:paraId="4087A5C5" w14:textId="77777777" w:rsidR="00EA034E" w:rsidRPr="00E02673" w:rsidRDefault="00EA034E" w:rsidP="000C125E">
            <w:pPr>
              <w:widowControl w:val="0"/>
              <w:adjustRightInd w:val="0"/>
              <w:snapToGrid w:val="0"/>
              <w:spacing w:line="360" w:lineRule="auto"/>
              <w:jc w:val="center"/>
              <w:rPr>
                <w:rFonts w:ascii="Book Antiqua" w:hAnsi="Book Antiqua" w:cs="Arial"/>
              </w:rPr>
            </w:pPr>
          </w:p>
        </w:tc>
        <w:tc>
          <w:tcPr>
            <w:tcW w:w="963" w:type="pct"/>
            <w:tcMar>
              <w:top w:w="100" w:type="dxa"/>
              <w:left w:w="100" w:type="dxa"/>
              <w:bottom w:w="100" w:type="dxa"/>
              <w:right w:w="100" w:type="dxa"/>
            </w:tcMar>
          </w:tcPr>
          <w:p w14:paraId="2EEF4432" w14:textId="2EE241F1" w:rsidR="00EA034E" w:rsidRPr="00E02673" w:rsidRDefault="00EA034E" w:rsidP="000C125E">
            <w:pPr>
              <w:widowControl w:val="0"/>
              <w:adjustRightInd w:val="0"/>
              <w:snapToGrid w:val="0"/>
              <w:spacing w:line="360" w:lineRule="auto"/>
              <w:jc w:val="center"/>
              <w:rPr>
                <w:rFonts w:ascii="Book Antiqua" w:hAnsi="Book Antiqua" w:cs="Arial"/>
              </w:rPr>
            </w:pPr>
            <w:r w:rsidRPr="00E02673">
              <w:rPr>
                <w:rFonts w:ascii="Book Antiqua" w:hAnsi="Book Antiqua" w:cs="Arial"/>
              </w:rPr>
              <w:t>+1.9 (L)</w:t>
            </w:r>
            <w:r w:rsidR="000C125E" w:rsidRPr="00E02673">
              <w:rPr>
                <w:rFonts w:ascii="Book Antiqua" w:eastAsia="SimSun" w:hAnsi="Book Antiqua" w:cs="Arial" w:hint="eastAsia"/>
                <w:vertAlign w:val="superscript"/>
                <w:lang w:eastAsia="zh-CN"/>
              </w:rPr>
              <w:t>1</w:t>
            </w:r>
            <w:r w:rsidRPr="00E02673">
              <w:rPr>
                <w:rFonts w:ascii="Book Antiqua" w:hAnsi="Book Antiqua" w:cs="Arial"/>
              </w:rPr>
              <w:t>, +0.4 (F)</w:t>
            </w:r>
            <w:r w:rsidR="000C125E" w:rsidRPr="00E02673">
              <w:rPr>
                <w:rFonts w:ascii="Book Antiqua" w:eastAsia="SimSun" w:hAnsi="Book Antiqua" w:cs="Arial" w:hint="eastAsia"/>
                <w:vertAlign w:val="superscript"/>
                <w:lang w:eastAsia="zh-CN"/>
              </w:rPr>
              <w:t>1</w:t>
            </w:r>
          </w:p>
        </w:tc>
        <w:tc>
          <w:tcPr>
            <w:tcW w:w="505" w:type="pct"/>
            <w:tcMar>
              <w:top w:w="100" w:type="dxa"/>
              <w:left w:w="100" w:type="dxa"/>
              <w:bottom w:w="100" w:type="dxa"/>
              <w:right w:w="100" w:type="dxa"/>
            </w:tcMar>
          </w:tcPr>
          <w:p w14:paraId="2C17EC89" w14:textId="0E0DCCBF" w:rsidR="00EA034E" w:rsidRPr="002D44D6" w:rsidRDefault="00EA034E" w:rsidP="000C125E">
            <w:pPr>
              <w:widowControl w:val="0"/>
              <w:adjustRightInd w:val="0"/>
              <w:snapToGrid w:val="0"/>
              <w:spacing w:line="360" w:lineRule="auto"/>
              <w:jc w:val="center"/>
              <w:rPr>
                <w:rFonts w:ascii="Book Antiqua" w:hAnsi="Book Antiqua" w:cs="Arial"/>
              </w:rPr>
            </w:pPr>
            <w:r w:rsidRPr="002D44D6">
              <w:rPr>
                <w:rFonts w:ascii="Book Antiqua" w:hAnsi="Book Antiqua" w:cs="Arial"/>
              </w:rPr>
              <w:t>0 (V), 1 (P)</w:t>
            </w:r>
          </w:p>
        </w:tc>
      </w:tr>
      <w:tr w:rsidR="000C125E" w:rsidRPr="002D44D6" w14:paraId="57DAB654" w14:textId="77777777" w:rsidTr="000C125E">
        <w:trPr>
          <w:trHeight w:val="345"/>
        </w:trPr>
        <w:tc>
          <w:tcPr>
            <w:tcW w:w="1112" w:type="pct"/>
          </w:tcPr>
          <w:p w14:paraId="4EF2B112" w14:textId="7B2F21CD" w:rsidR="00140892" w:rsidRPr="000C125E" w:rsidRDefault="002C7775" w:rsidP="002D44D6">
            <w:pPr>
              <w:widowControl w:val="0"/>
              <w:adjustRightInd w:val="0"/>
              <w:snapToGrid w:val="0"/>
              <w:spacing w:line="360" w:lineRule="auto"/>
              <w:jc w:val="both"/>
              <w:rPr>
                <w:rFonts w:ascii="Book Antiqua" w:hAnsi="Book Antiqua" w:cs="Arial"/>
                <w:color w:val="000000"/>
              </w:rPr>
            </w:pPr>
            <w:proofErr w:type="spellStart"/>
            <w:r w:rsidRPr="000C125E">
              <w:rPr>
                <w:rFonts w:ascii="Book Antiqua" w:hAnsi="Book Antiqua" w:cs="Arial"/>
                <w:color w:val="000000"/>
              </w:rPr>
              <w:t>Guañabens</w:t>
            </w:r>
            <w:proofErr w:type="spellEnd"/>
            <w:r w:rsidRPr="000C125E">
              <w:rPr>
                <w:rFonts w:ascii="Book Antiqua" w:hAnsi="Book Antiqua" w:cs="Arial"/>
                <w:color w:val="000000"/>
              </w:rPr>
              <w:t xml:space="preserve"> </w:t>
            </w:r>
            <w:r w:rsidR="000C125E" w:rsidRPr="00EA034E">
              <w:rPr>
                <w:rFonts w:ascii="Book Antiqua" w:eastAsia="SimSun" w:hAnsi="Book Antiqua" w:cs="Arial"/>
                <w:i/>
                <w:color w:val="000000"/>
                <w:lang w:eastAsia="zh-CN"/>
              </w:rPr>
              <w:t>et al</w:t>
            </w:r>
            <w:r w:rsidR="000C125E">
              <w:rPr>
                <w:rFonts w:ascii="Book Antiqua" w:eastAsia="SimSun" w:hAnsi="Book Antiqua" w:cs="Arial" w:hint="eastAsia"/>
                <w:color w:val="000000"/>
                <w:vertAlign w:val="superscript"/>
                <w:lang w:eastAsia="zh-CN"/>
              </w:rPr>
              <w:t>[2</w:t>
            </w:r>
            <w:r w:rsidR="000C125E" w:rsidRPr="00EA034E">
              <w:rPr>
                <w:rFonts w:ascii="Book Antiqua" w:eastAsia="SimSun" w:hAnsi="Book Antiqua" w:cs="Arial" w:hint="eastAsia"/>
                <w:color w:val="000000"/>
                <w:vertAlign w:val="superscript"/>
                <w:lang w:eastAsia="zh-CN"/>
              </w:rPr>
              <w:t>]</w:t>
            </w:r>
            <w:r w:rsidR="000C125E">
              <w:rPr>
                <w:rFonts w:ascii="Book Antiqua" w:eastAsia="SimSun" w:hAnsi="Book Antiqua" w:cs="Arial" w:hint="eastAsia"/>
                <w:color w:val="000000"/>
                <w:lang w:eastAsia="zh-CN"/>
              </w:rPr>
              <w:t xml:space="preserve">, </w:t>
            </w:r>
            <w:r w:rsidRPr="000C125E">
              <w:rPr>
                <w:rFonts w:ascii="Book Antiqua" w:hAnsi="Book Antiqua" w:cs="Arial"/>
                <w:color w:val="000000"/>
              </w:rPr>
              <w:t>2005</w:t>
            </w:r>
          </w:p>
        </w:tc>
        <w:tc>
          <w:tcPr>
            <w:tcW w:w="723" w:type="pct"/>
            <w:tcMar>
              <w:top w:w="100" w:type="dxa"/>
              <w:left w:w="100" w:type="dxa"/>
              <w:bottom w:w="100" w:type="dxa"/>
              <w:right w:w="100" w:type="dxa"/>
            </w:tcMar>
            <w:hideMark/>
          </w:tcPr>
          <w:p w14:paraId="4F7FE956" w14:textId="08FBBE7F" w:rsidR="00140892" w:rsidRPr="002D44D6" w:rsidRDefault="00140892" w:rsidP="000C125E">
            <w:pPr>
              <w:widowControl w:val="0"/>
              <w:adjustRightInd w:val="0"/>
              <w:snapToGrid w:val="0"/>
              <w:spacing w:line="360" w:lineRule="auto"/>
              <w:jc w:val="center"/>
              <w:rPr>
                <w:rFonts w:ascii="Book Antiqua" w:hAnsi="Book Antiqua" w:cs="Arial"/>
              </w:rPr>
            </w:pPr>
          </w:p>
        </w:tc>
        <w:tc>
          <w:tcPr>
            <w:tcW w:w="735" w:type="pct"/>
            <w:tcMar>
              <w:top w:w="100" w:type="dxa"/>
              <w:left w:w="100" w:type="dxa"/>
              <w:bottom w:w="100" w:type="dxa"/>
              <w:right w:w="100" w:type="dxa"/>
            </w:tcMar>
            <w:hideMark/>
          </w:tcPr>
          <w:p w14:paraId="79A7F1BE" w14:textId="42F2A117" w:rsidR="00140892" w:rsidRPr="002D44D6" w:rsidRDefault="00140892" w:rsidP="000C125E">
            <w:pPr>
              <w:widowControl w:val="0"/>
              <w:adjustRightInd w:val="0"/>
              <w:snapToGrid w:val="0"/>
              <w:spacing w:line="360" w:lineRule="auto"/>
              <w:jc w:val="center"/>
              <w:rPr>
                <w:rFonts w:ascii="Book Antiqua" w:hAnsi="Book Antiqua" w:cs="Arial"/>
                <w:color w:val="000000"/>
              </w:rPr>
            </w:pPr>
          </w:p>
        </w:tc>
        <w:tc>
          <w:tcPr>
            <w:tcW w:w="962" w:type="pct"/>
            <w:tcMar>
              <w:top w:w="100" w:type="dxa"/>
              <w:left w:w="100" w:type="dxa"/>
              <w:bottom w:w="100" w:type="dxa"/>
              <w:right w:w="100" w:type="dxa"/>
            </w:tcMar>
            <w:hideMark/>
          </w:tcPr>
          <w:p w14:paraId="70A3BF4D" w14:textId="01C2AE1E" w:rsidR="00140892" w:rsidRPr="00E02673" w:rsidRDefault="00140892" w:rsidP="000C125E">
            <w:pPr>
              <w:widowControl w:val="0"/>
              <w:adjustRightInd w:val="0"/>
              <w:snapToGrid w:val="0"/>
              <w:spacing w:line="360" w:lineRule="auto"/>
              <w:jc w:val="center"/>
              <w:rPr>
                <w:rFonts w:ascii="Book Antiqua" w:hAnsi="Book Antiqua" w:cs="Arial"/>
                <w:vertAlign w:val="superscript"/>
              </w:rPr>
            </w:pPr>
          </w:p>
        </w:tc>
        <w:tc>
          <w:tcPr>
            <w:tcW w:w="963" w:type="pct"/>
            <w:tcMar>
              <w:top w:w="100" w:type="dxa"/>
              <w:left w:w="100" w:type="dxa"/>
              <w:bottom w:w="100" w:type="dxa"/>
              <w:right w:w="100" w:type="dxa"/>
            </w:tcMar>
            <w:hideMark/>
          </w:tcPr>
          <w:p w14:paraId="54EECE87" w14:textId="5543AA1A" w:rsidR="00140892" w:rsidRPr="00E02673" w:rsidRDefault="00140892" w:rsidP="000C125E">
            <w:pPr>
              <w:widowControl w:val="0"/>
              <w:adjustRightInd w:val="0"/>
              <w:snapToGrid w:val="0"/>
              <w:spacing w:line="360" w:lineRule="auto"/>
              <w:jc w:val="center"/>
              <w:rPr>
                <w:rFonts w:ascii="Book Antiqua" w:hAnsi="Book Antiqua" w:cs="Arial"/>
              </w:rPr>
            </w:pPr>
          </w:p>
        </w:tc>
        <w:tc>
          <w:tcPr>
            <w:tcW w:w="505" w:type="pct"/>
            <w:tcMar>
              <w:top w:w="100" w:type="dxa"/>
              <w:left w:w="100" w:type="dxa"/>
              <w:bottom w:w="100" w:type="dxa"/>
              <w:right w:w="100" w:type="dxa"/>
            </w:tcMar>
            <w:hideMark/>
          </w:tcPr>
          <w:p w14:paraId="11A090AB" w14:textId="1FE18170" w:rsidR="00140892" w:rsidRPr="002D44D6" w:rsidRDefault="00140892" w:rsidP="000C125E">
            <w:pPr>
              <w:widowControl w:val="0"/>
              <w:adjustRightInd w:val="0"/>
              <w:snapToGrid w:val="0"/>
              <w:spacing w:line="360" w:lineRule="auto"/>
              <w:jc w:val="center"/>
              <w:rPr>
                <w:rFonts w:ascii="Book Antiqua" w:hAnsi="Book Antiqua" w:cs="Arial"/>
              </w:rPr>
            </w:pPr>
          </w:p>
        </w:tc>
      </w:tr>
      <w:tr w:rsidR="000C125E" w:rsidRPr="002D44D6" w14:paraId="2496E799" w14:textId="77777777" w:rsidTr="000C125E">
        <w:trPr>
          <w:trHeight w:val="510"/>
        </w:trPr>
        <w:tc>
          <w:tcPr>
            <w:tcW w:w="1112" w:type="pct"/>
          </w:tcPr>
          <w:p w14:paraId="092CDBDD" w14:textId="3DEDB90C" w:rsidR="00EA034E" w:rsidRPr="000C125E" w:rsidRDefault="00EA034E" w:rsidP="000C125E">
            <w:pPr>
              <w:widowControl w:val="0"/>
              <w:adjustRightInd w:val="0"/>
              <w:snapToGrid w:val="0"/>
              <w:spacing w:line="360" w:lineRule="auto"/>
              <w:ind w:firstLineChars="100" w:firstLine="240"/>
              <w:jc w:val="both"/>
              <w:rPr>
                <w:rFonts w:ascii="Book Antiqua" w:hAnsi="Book Antiqua" w:cs="Arial"/>
                <w:color w:val="000000"/>
              </w:rPr>
            </w:pPr>
            <w:r w:rsidRPr="000C125E">
              <w:rPr>
                <w:rFonts w:ascii="Book Antiqua" w:hAnsi="Book Antiqua" w:cs="Arial"/>
                <w:color w:val="000000"/>
              </w:rPr>
              <w:lastRenderedPageBreak/>
              <w:t>Alendronate</w:t>
            </w:r>
          </w:p>
        </w:tc>
        <w:tc>
          <w:tcPr>
            <w:tcW w:w="723" w:type="pct"/>
            <w:tcMar>
              <w:top w:w="100" w:type="dxa"/>
              <w:left w:w="100" w:type="dxa"/>
              <w:bottom w:w="100" w:type="dxa"/>
              <w:right w:w="100" w:type="dxa"/>
            </w:tcMar>
          </w:tcPr>
          <w:p w14:paraId="18FB5BD1" w14:textId="4F9F8F5E" w:rsidR="00EA034E" w:rsidRPr="002D44D6" w:rsidRDefault="00EA034E" w:rsidP="000C125E">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10 mg/d</w:t>
            </w:r>
          </w:p>
        </w:tc>
        <w:tc>
          <w:tcPr>
            <w:tcW w:w="735" w:type="pct"/>
            <w:tcMar>
              <w:top w:w="100" w:type="dxa"/>
              <w:left w:w="100" w:type="dxa"/>
              <w:bottom w:w="100" w:type="dxa"/>
              <w:right w:w="100" w:type="dxa"/>
            </w:tcMar>
          </w:tcPr>
          <w:p w14:paraId="7DFE330B" w14:textId="7F18202F" w:rsidR="00EA034E" w:rsidRPr="002D44D6" w:rsidRDefault="000C125E" w:rsidP="000C125E">
            <w:pPr>
              <w:widowControl w:val="0"/>
              <w:adjustRightInd w:val="0"/>
              <w:snapToGrid w:val="0"/>
              <w:spacing w:line="360" w:lineRule="auto"/>
              <w:jc w:val="center"/>
              <w:rPr>
                <w:rFonts w:ascii="Book Antiqua" w:hAnsi="Book Antiqua" w:cs="Arial"/>
                <w:color w:val="000000"/>
              </w:rPr>
            </w:pPr>
            <w:r>
              <w:rPr>
                <w:rFonts w:ascii="Book Antiqua" w:hAnsi="Book Antiqua" w:cs="Arial"/>
                <w:color w:val="000000"/>
              </w:rPr>
              <w:t xml:space="preserve">16 </w:t>
            </w:r>
            <w:r w:rsidR="00EA034E" w:rsidRPr="002D44D6">
              <w:rPr>
                <w:rFonts w:ascii="Book Antiqua" w:hAnsi="Book Antiqua" w:cs="Arial"/>
                <w:color w:val="000000"/>
              </w:rPr>
              <w:t>(alendronate)</w:t>
            </w:r>
          </w:p>
        </w:tc>
        <w:tc>
          <w:tcPr>
            <w:tcW w:w="962" w:type="pct"/>
            <w:tcMar>
              <w:top w:w="100" w:type="dxa"/>
              <w:left w:w="100" w:type="dxa"/>
              <w:bottom w:w="100" w:type="dxa"/>
              <w:right w:w="100" w:type="dxa"/>
            </w:tcMar>
          </w:tcPr>
          <w:p w14:paraId="1BF93033" w14:textId="244D1EB0" w:rsidR="00EA034E" w:rsidRPr="00E02673" w:rsidRDefault="00EA034E" w:rsidP="000C125E">
            <w:pPr>
              <w:widowControl w:val="0"/>
              <w:adjustRightInd w:val="0"/>
              <w:snapToGrid w:val="0"/>
              <w:spacing w:line="360" w:lineRule="auto"/>
              <w:jc w:val="center"/>
              <w:rPr>
                <w:rFonts w:ascii="Book Antiqua" w:hAnsi="Book Antiqua" w:cs="Arial"/>
              </w:rPr>
            </w:pPr>
            <w:r w:rsidRPr="00E02673">
              <w:rPr>
                <w:rFonts w:ascii="Book Antiqua" w:hAnsi="Book Antiqua" w:cs="Arial"/>
              </w:rPr>
              <w:t>+3.3 (L)</w:t>
            </w:r>
            <w:r w:rsidR="000C125E" w:rsidRPr="00E02673">
              <w:rPr>
                <w:rFonts w:ascii="Book Antiqua" w:eastAsia="SimSun" w:hAnsi="Book Antiqua" w:hint="eastAsia"/>
                <w:vertAlign w:val="superscript"/>
                <w:lang w:eastAsia="zh-CN"/>
              </w:rPr>
              <w:t>2</w:t>
            </w:r>
            <w:r w:rsidRPr="00E02673">
              <w:rPr>
                <w:rFonts w:ascii="Book Antiqua" w:hAnsi="Book Antiqua" w:cs="Arial"/>
              </w:rPr>
              <w:t>, +1.2 (F)</w:t>
            </w:r>
            <w:r w:rsidR="000C125E" w:rsidRPr="00E02673">
              <w:rPr>
                <w:rFonts w:ascii="Book Antiqua" w:eastAsia="SimSun" w:hAnsi="Book Antiqua" w:hint="eastAsia"/>
                <w:vertAlign w:val="superscript"/>
                <w:lang w:eastAsia="zh-CN"/>
              </w:rPr>
              <w:t>2</w:t>
            </w:r>
          </w:p>
        </w:tc>
        <w:tc>
          <w:tcPr>
            <w:tcW w:w="963" w:type="pct"/>
            <w:tcMar>
              <w:top w:w="100" w:type="dxa"/>
              <w:left w:w="100" w:type="dxa"/>
              <w:bottom w:w="100" w:type="dxa"/>
              <w:right w:w="100" w:type="dxa"/>
            </w:tcMar>
          </w:tcPr>
          <w:p w14:paraId="41BACA1A" w14:textId="77777777" w:rsidR="00EA034E" w:rsidRPr="00E02673" w:rsidRDefault="00EA034E" w:rsidP="000C125E">
            <w:pPr>
              <w:widowControl w:val="0"/>
              <w:adjustRightInd w:val="0"/>
              <w:snapToGrid w:val="0"/>
              <w:spacing w:line="360" w:lineRule="auto"/>
              <w:jc w:val="center"/>
              <w:rPr>
                <w:rFonts w:ascii="Book Antiqua" w:hAnsi="Book Antiqua" w:cs="Arial"/>
              </w:rPr>
            </w:pPr>
          </w:p>
        </w:tc>
        <w:tc>
          <w:tcPr>
            <w:tcW w:w="505" w:type="pct"/>
            <w:tcMar>
              <w:top w:w="100" w:type="dxa"/>
              <w:left w:w="100" w:type="dxa"/>
              <w:bottom w:w="100" w:type="dxa"/>
              <w:right w:w="100" w:type="dxa"/>
            </w:tcMar>
          </w:tcPr>
          <w:p w14:paraId="35E81C6A" w14:textId="77777777" w:rsidR="00EA034E" w:rsidRPr="002D44D6" w:rsidRDefault="00EA034E" w:rsidP="000C125E">
            <w:pPr>
              <w:widowControl w:val="0"/>
              <w:adjustRightInd w:val="0"/>
              <w:snapToGrid w:val="0"/>
              <w:spacing w:line="360" w:lineRule="auto"/>
              <w:jc w:val="center"/>
              <w:rPr>
                <w:rFonts w:ascii="Book Antiqua" w:hAnsi="Book Antiqua" w:cs="Arial"/>
              </w:rPr>
            </w:pPr>
          </w:p>
        </w:tc>
      </w:tr>
      <w:tr w:rsidR="000C125E" w:rsidRPr="002D44D6" w14:paraId="5C9418D8" w14:textId="77777777" w:rsidTr="000C125E">
        <w:trPr>
          <w:trHeight w:val="495"/>
        </w:trPr>
        <w:tc>
          <w:tcPr>
            <w:tcW w:w="1112" w:type="pct"/>
          </w:tcPr>
          <w:p w14:paraId="70F53C9E" w14:textId="30F06E9A" w:rsidR="00EA034E" w:rsidRPr="000C125E" w:rsidRDefault="00EA034E" w:rsidP="000C125E">
            <w:pPr>
              <w:widowControl w:val="0"/>
              <w:adjustRightInd w:val="0"/>
              <w:snapToGrid w:val="0"/>
              <w:spacing w:line="360" w:lineRule="auto"/>
              <w:ind w:firstLineChars="100" w:firstLine="240"/>
              <w:jc w:val="both"/>
              <w:rPr>
                <w:rFonts w:ascii="Book Antiqua" w:eastAsia="SimSun" w:hAnsi="Book Antiqua" w:cs="Arial"/>
                <w:color w:val="000000"/>
                <w:lang w:eastAsia="zh-CN"/>
              </w:rPr>
            </w:pPr>
            <w:r w:rsidRPr="000C125E">
              <w:rPr>
                <w:rFonts w:ascii="Book Antiqua" w:hAnsi="Book Antiqua" w:cs="Arial"/>
                <w:color w:val="000000"/>
              </w:rPr>
              <w:t>Alendronate</w:t>
            </w:r>
          </w:p>
        </w:tc>
        <w:tc>
          <w:tcPr>
            <w:tcW w:w="723" w:type="pct"/>
            <w:tcMar>
              <w:top w:w="100" w:type="dxa"/>
              <w:left w:w="100" w:type="dxa"/>
              <w:bottom w:w="100" w:type="dxa"/>
              <w:right w:w="100" w:type="dxa"/>
            </w:tcMar>
          </w:tcPr>
          <w:p w14:paraId="0B235D5B" w14:textId="5454ADE2" w:rsidR="00EA034E" w:rsidRPr="002D44D6" w:rsidRDefault="00EA034E" w:rsidP="000C125E">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70 mg/wk</w:t>
            </w:r>
          </w:p>
        </w:tc>
        <w:tc>
          <w:tcPr>
            <w:tcW w:w="735" w:type="pct"/>
            <w:tcMar>
              <w:top w:w="100" w:type="dxa"/>
              <w:left w:w="100" w:type="dxa"/>
              <w:bottom w:w="100" w:type="dxa"/>
              <w:right w:w="100" w:type="dxa"/>
            </w:tcMar>
          </w:tcPr>
          <w:p w14:paraId="66C12B5F" w14:textId="0C4490FF" w:rsidR="00EA034E" w:rsidRPr="002D44D6" w:rsidRDefault="00EA034E" w:rsidP="000C125E">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10 (alendronate)</w:t>
            </w:r>
          </w:p>
        </w:tc>
        <w:tc>
          <w:tcPr>
            <w:tcW w:w="962" w:type="pct"/>
            <w:tcMar>
              <w:top w:w="100" w:type="dxa"/>
              <w:left w:w="100" w:type="dxa"/>
              <w:bottom w:w="100" w:type="dxa"/>
              <w:right w:w="100" w:type="dxa"/>
            </w:tcMar>
          </w:tcPr>
          <w:p w14:paraId="1BA9C803" w14:textId="719A712B" w:rsidR="00EA034E" w:rsidRPr="00E02673" w:rsidRDefault="00EA034E" w:rsidP="000C125E">
            <w:pPr>
              <w:widowControl w:val="0"/>
              <w:adjustRightInd w:val="0"/>
              <w:snapToGrid w:val="0"/>
              <w:spacing w:line="360" w:lineRule="auto"/>
              <w:jc w:val="center"/>
              <w:rPr>
                <w:rFonts w:ascii="Book Antiqua" w:hAnsi="Book Antiqua" w:cs="Arial"/>
              </w:rPr>
            </w:pPr>
            <w:r w:rsidRPr="00E02673">
              <w:rPr>
                <w:rFonts w:ascii="Book Antiqua" w:hAnsi="Book Antiqua" w:cs="Arial"/>
              </w:rPr>
              <w:t>+1.2 (L), -0.3 (F)</w:t>
            </w:r>
          </w:p>
        </w:tc>
        <w:tc>
          <w:tcPr>
            <w:tcW w:w="963" w:type="pct"/>
            <w:tcMar>
              <w:top w:w="100" w:type="dxa"/>
              <w:left w:w="100" w:type="dxa"/>
              <w:bottom w:w="100" w:type="dxa"/>
              <w:right w:w="100" w:type="dxa"/>
            </w:tcMar>
          </w:tcPr>
          <w:p w14:paraId="5B6ACF2A" w14:textId="77777777" w:rsidR="00EA034E" w:rsidRPr="00E02673" w:rsidRDefault="00EA034E" w:rsidP="000C125E">
            <w:pPr>
              <w:widowControl w:val="0"/>
              <w:adjustRightInd w:val="0"/>
              <w:snapToGrid w:val="0"/>
              <w:spacing w:line="360" w:lineRule="auto"/>
              <w:jc w:val="center"/>
              <w:rPr>
                <w:rFonts w:ascii="Book Antiqua" w:hAnsi="Book Antiqua" w:cs="Arial"/>
              </w:rPr>
            </w:pPr>
          </w:p>
        </w:tc>
        <w:tc>
          <w:tcPr>
            <w:tcW w:w="505" w:type="pct"/>
            <w:tcMar>
              <w:top w:w="100" w:type="dxa"/>
              <w:left w:w="100" w:type="dxa"/>
              <w:bottom w:w="100" w:type="dxa"/>
              <w:right w:w="100" w:type="dxa"/>
            </w:tcMar>
          </w:tcPr>
          <w:p w14:paraId="2B9A6151" w14:textId="77777777" w:rsidR="00EA034E" w:rsidRPr="002D44D6" w:rsidRDefault="00EA034E" w:rsidP="000C125E">
            <w:pPr>
              <w:widowControl w:val="0"/>
              <w:adjustRightInd w:val="0"/>
              <w:snapToGrid w:val="0"/>
              <w:spacing w:line="360" w:lineRule="auto"/>
              <w:jc w:val="center"/>
              <w:rPr>
                <w:rFonts w:ascii="Book Antiqua" w:hAnsi="Book Antiqua" w:cs="Arial"/>
              </w:rPr>
            </w:pPr>
          </w:p>
        </w:tc>
      </w:tr>
      <w:tr w:rsidR="000C125E" w:rsidRPr="002D44D6" w14:paraId="161AE714" w14:textId="77777777" w:rsidTr="000C125E">
        <w:trPr>
          <w:trHeight w:val="375"/>
        </w:trPr>
        <w:tc>
          <w:tcPr>
            <w:tcW w:w="1112" w:type="pct"/>
          </w:tcPr>
          <w:p w14:paraId="78315DAA" w14:textId="1EB0B65C" w:rsidR="00140892" w:rsidRPr="000C125E" w:rsidRDefault="002C7775" w:rsidP="002D44D6">
            <w:pPr>
              <w:widowControl w:val="0"/>
              <w:adjustRightInd w:val="0"/>
              <w:snapToGrid w:val="0"/>
              <w:spacing w:line="360" w:lineRule="auto"/>
              <w:jc w:val="both"/>
              <w:rPr>
                <w:rFonts w:ascii="Book Antiqua" w:eastAsia="SimSun" w:hAnsi="Book Antiqua" w:cs="Arial"/>
                <w:color w:val="000000"/>
                <w:lang w:eastAsia="zh-CN"/>
              </w:rPr>
            </w:pPr>
            <w:proofErr w:type="spellStart"/>
            <w:r w:rsidRPr="000C125E">
              <w:rPr>
                <w:rFonts w:ascii="Book Antiqua" w:hAnsi="Book Antiqua" w:cs="Arial"/>
                <w:color w:val="000000"/>
              </w:rPr>
              <w:t>Guañabens</w:t>
            </w:r>
            <w:proofErr w:type="spellEnd"/>
            <w:r w:rsidRPr="000C125E">
              <w:rPr>
                <w:rFonts w:ascii="Book Antiqua" w:hAnsi="Book Antiqua" w:cs="Arial"/>
                <w:color w:val="000000"/>
              </w:rPr>
              <w:t xml:space="preserve"> </w:t>
            </w:r>
            <w:r w:rsidR="000C125E" w:rsidRPr="00EA034E">
              <w:rPr>
                <w:rFonts w:ascii="Book Antiqua" w:eastAsia="SimSun" w:hAnsi="Book Antiqua" w:cs="Arial"/>
                <w:i/>
                <w:color w:val="000000"/>
                <w:lang w:eastAsia="zh-CN"/>
              </w:rPr>
              <w:t>et al</w:t>
            </w:r>
            <w:r w:rsidR="000C125E">
              <w:rPr>
                <w:rFonts w:ascii="Book Antiqua" w:eastAsia="SimSun" w:hAnsi="Book Antiqua" w:cs="Arial" w:hint="eastAsia"/>
                <w:color w:val="000000"/>
                <w:vertAlign w:val="superscript"/>
                <w:lang w:eastAsia="zh-CN"/>
              </w:rPr>
              <w:t>[46</w:t>
            </w:r>
            <w:r w:rsidR="000C125E" w:rsidRPr="00EA034E">
              <w:rPr>
                <w:rFonts w:ascii="Book Antiqua" w:eastAsia="SimSun" w:hAnsi="Book Antiqua" w:cs="Arial" w:hint="eastAsia"/>
                <w:color w:val="000000"/>
                <w:vertAlign w:val="superscript"/>
                <w:lang w:eastAsia="zh-CN"/>
              </w:rPr>
              <w:t>]</w:t>
            </w:r>
            <w:r w:rsidR="000C125E">
              <w:rPr>
                <w:rFonts w:ascii="Book Antiqua" w:eastAsia="SimSun" w:hAnsi="Book Antiqua" w:cs="Arial" w:hint="eastAsia"/>
                <w:color w:val="000000"/>
                <w:lang w:eastAsia="zh-CN"/>
              </w:rPr>
              <w:t xml:space="preserve">, </w:t>
            </w:r>
            <w:r w:rsidRPr="000C125E">
              <w:rPr>
                <w:rFonts w:ascii="Book Antiqua" w:hAnsi="Book Antiqua" w:cs="Arial"/>
                <w:color w:val="000000"/>
              </w:rPr>
              <w:t>2013</w:t>
            </w:r>
          </w:p>
        </w:tc>
        <w:tc>
          <w:tcPr>
            <w:tcW w:w="723" w:type="pct"/>
            <w:tcMar>
              <w:top w:w="100" w:type="dxa"/>
              <w:left w:w="100" w:type="dxa"/>
              <w:bottom w:w="100" w:type="dxa"/>
              <w:right w:w="100" w:type="dxa"/>
            </w:tcMar>
            <w:hideMark/>
          </w:tcPr>
          <w:p w14:paraId="18E3485C" w14:textId="075406FE" w:rsidR="00140892" w:rsidRPr="002D44D6" w:rsidRDefault="00140892" w:rsidP="000C125E">
            <w:pPr>
              <w:widowControl w:val="0"/>
              <w:adjustRightInd w:val="0"/>
              <w:snapToGrid w:val="0"/>
              <w:spacing w:line="360" w:lineRule="auto"/>
              <w:jc w:val="center"/>
              <w:rPr>
                <w:rFonts w:ascii="Book Antiqua" w:hAnsi="Book Antiqua" w:cs="Arial"/>
              </w:rPr>
            </w:pPr>
          </w:p>
        </w:tc>
        <w:tc>
          <w:tcPr>
            <w:tcW w:w="735" w:type="pct"/>
            <w:tcMar>
              <w:top w:w="100" w:type="dxa"/>
              <w:left w:w="100" w:type="dxa"/>
              <w:bottom w:w="100" w:type="dxa"/>
              <w:right w:w="100" w:type="dxa"/>
            </w:tcMar>
            <w:hideMark/>
          </w:tcPr>
          <w:p w14:paraId="700E6605" w14:textId="76F2CCC3" w:rsidR="00140892" w:rsidRPr="002D44D6" w:rsidRDefault="00140892" w:rsidP="000C125E">
            <w:pPr>
              <w:widowControl w:val="0"/>
              <w:adjustRightInd w:val="0"/>
              <w:snapToGrid w:val="0"/>
              <w:spacing w:line="360" w:lineRule="auto"/>
              <w:jc w:val="center"/>
              <w:rPr>
                <w:rFonts w:ascii="Book Antiqua" w:hAnsi="Book Antiqua" w:cs="Arial"/>
                <w:vertAlign w:val="superscript"/>
              </w:rPr>
            </w:pPr>
          </w:p>
        </w:tc>
        <w:tc>
          <w:tcPr>
            <w:tcW w:w="962" w:type="pct"/>
            <w:tcMar>
              <w:top w:w="100" w:type="dxa"/>
              <w:left w:w="100" w:type="dxa"/>
              <w:bottom w:w="100" w:type="dxa"/>
              <w:right w:w="100" w:type="dxa"/>
            </w:tcMar>
            <w:hideMark/>
          </w:tcPr>
          <w:p w14:paraId="2C17D661" w14:textId="04E34728" w:rsidR="00140892" w:rsidRPr="00E02673" w:rsidRDefault="00140892" w:rsidP="000C125E">
            <w:pPr>
              <w:widowControl w:val="0"/>
              <w:adjustRightInd w:val="0"/>
              <w:snapToGrid w:val="0"/>
              <w:spacing w:line="360" w:lineRule="auto"/>
              <w:jc w:val="center"/>
              <w:rPr>
                <w:rFonts w:ascii="Book Antiqua" w:hAnsi="Book Antiqua" w:cs="Arial"/>
                <w:vertAlign w:val="superscript"/>
              </w:rPr>
            </w:pPr>
          </w:p>
        </w:tc>
        <w:tc>
          <w:tcPr>
            <w:tcW w:w="963" w:type="pct"/>
            <w:tcMar>
              <w:top w:w="100" w:type="dxa"/>
              <w:left w:w="100" w:type="dxa"/>
              <w:bottom w:w="100" w:type="dxa"/>
              <w:right w:w="100" w:type="dxa"/>
            </w:tcMar>
            <w:hideMark/>
          </w:tcPr>
          <w:p w14:paraId="29882354" w14:textId="20D73D10" w:rsidR="00140892" w:rsidRPr="00E02673" w:rsidRDefault="00140892" w:rsidP="000C125E">
            <w:pPr>
              <w:widowControl w:val="0"/>
              <w:adjustRightInd w:val="0"/>
              <w:snapToGrid w:val="0"/>
              <w:spacing w:line="360" w:lineRule="auto"/>
              <w:jc w:val="center"/>
              <w:rPr>
                <w:rFonts w:ascii="Book Antiqua" w:hAnsi="Book Antiqua" w:cs="Arial"/>
              </w:rPr>
            </w:pPr>
          </w:p>
        </w:tc>
        <w:tc>
          <w:tcPr>
            <w:tcW w:w="505" w:type="pct"/>
            <w:tcMar>
              <w:top w:w="100" w:type="dxa"/>
              <w:left w:w="100" w:type="dxa"/>
              <w:bottom w:w="100" w:type="dxa"/>
              <w:right w:w="100" w:type="dxa"/>
            </w:tcMar>
            <w:hideMark/>
          </w:tcPr>
          <w:p w14:paraId="704EB24B" w14:textId="7F6B4D50" w:rsidR="00140892" w:rsidRPr="002D44D6" w:rsidRDefault="00140892" w:rsidP="000C125E">
            <w:pPr>
              <w:widowControl w:val="0"/>
              <w:adjustRightInd w:val="0"/>
              <w:snapToGrid w:val="0"/>
              <w:spacing w:line="360" w:lineRule="auto"/>
              <w:jc w:val="center"/>
              <w:rPr>
                <w:rFonts w:ascii="Book Antiqua" w:hAnsi="Book Antiqua" w:cs="Arial"/>
              </w:rPr>
            </w:pPr>
          </w:p>
        </w:tc>
      </w:tr>
      <w:tr w:rsidR="000C125E" w:rsidRPr="002D44D6" w14:paraId="1D168A60" w14:textId="77777777" w:rsidTr="000C125E">
        <w:trPr>
          <w:trHeight w:val="514"/>
        </w:trPr>
        <w:tc>
          <w:tcPr>
            <w:tcW w:w="1112" w:type="pct"/>
          </w:tcPr>
          <w:p w14:paraId="778C6B6E" w14:textId="4B6852F1" w:rsidR="00EA034E" w:rsidRPr="000C125E" w:rsidRDefault="00EA034E" w:rsidP="000C125E">
            <w:pPr>
              <w:widowControl w:val="0"/>
              <w:adjustRightInd w:val="0"/>
              <w:snapToGrid w:val="0"/>
              <w:spacing w:line="360" w:lineRule="auto"/>
              <w:ind w:firstLineChars="100" w:firstLine="240"/>
              <w:jc w:val="both"/>
              <w:rPr>
                <w:rFonts w:ascii="Book Antiqua" w:eastAsia="SimSun" w:hAnsi="Book Antiqua" w:cs="Arial"/>
                <w:color w:val="000000"/>
                <w:lang w:eastAsia="zh-CN"/>
              </w:rPr>
            </w:pPr>
            <w:r w:rsidRPr="000C125E">
              <w:rPr>
                <w:rFonts w:ascii="Book Antiqua" w:hAnsi="Book Antiqua" w:cs="Arial"/>
                <w:color w:val="000000"/>
              </w:rPr>
              <w:t>Ibandronate</w:t>
            </w:r>
          </w:p>
        </w:tc>
        <w:tc>
          <w:tcPr>
            <w:tcW w:w="723" w:type="pct"/>
            <w:tcMar>
              <w:top w:w="100" w:type="dxa"/>
              <w:left w:w="100" w:type="dxa"/>
              <w:bottom w:w="100" w:type="dxa"/>
              <w:right w:w="100" w:type="dxa"/>
            </w:tcMar>
          </w:tcPr>
          <w:p w14:paraId="610257DD" w14:textId="001903E7" w:rsidR="00EA034E" w:rsidRPr="000C125E" w:rsidRDefault="000C125E" w:rsidP="000C125E">
            <w:pPr>
              <w:widowControl w:val="0"/>
              <w:adjustRightInd w:val="0"/>
              <w:snapToGrid w:val="0"/>
              <w:spacing w:line="360" w:lineRule="auto"/>
              <w:jc w:val="center"/>
              <w:rPr>
                <w:rFonts w:ascii="Book Antiqua" w:eastAsia="SimSun" w:hAnsi="Book Antiqua" w:cs="Arial"/>
                <w:color w:val="000000"/>
                <w:lang w:eastAsia="zh-CN"/>
              </w:rPr>
            </w:pPr>
            <w:r>
              <w:rPr>
                <w:rFonts w:ascii="Book Antiqua" w:hAnsi="Book Antiqua" w:cs="Arial"/>
                <w:color w:val="000000"/>
              </w:rPr>
              <w:t>150 mg/</w:t>
            </w:r>
            <w:proofErr w:type="spellStart"/>
            <w:r>
              <w:rPr>
                <w:rFonts w:ascii="Book Antiqua" w:hAnsi="Book Antiqua" w:cs="Arial"/>
                <w:color w:val="000000"/>
              </w:rPr>
              <w:t>mo</w:t>
            </w:r>
            <w:proofErr w:type="spellEnd"/>
          </w:p>
        </w:tc>
        <w:tc>
          <w:tcPr>
            <w:tcW w:w="735" w:type="pct"/>
            <w:tcMar>
              <w:top w:w="100" w:type="dxa"/>
              <w:left w:w="100" w:type="dxa"/>
              <w:bottom w:w="100" w:type="dxa"/>
              <w:right w:w="100" w:type="dxa"/>
            </w:tcMar>
          </w:tcPr>
          <w:p w14:paraId="31F1B1B2" w14:textId="5AB764B9" w:rsidR="00EA034E" w:rsidRPr="000C125E" w:rsidRDefault="000C125E" w:rsidP="000C125E">
            <w:pPr>
              <w:widowControl w:val="0"/>
              <w:adjustRightInd w:val="0"/>
              <w:snapToGrid w:val="0"/>
              <w:spacing w:line="360" w:lineRule="auto"/>
              <w:jc w:val="center"/>
              <w:rPr>
                <w:rFonts w:ascii="Book Antiqua" w:eastAsia="SimSun" w:hAnsi="Book Antiqua" w:cs="Arial"/>
                <w:lang w:eastAsia="zh-CN"/>
              </w:rPr>
            </w:pPr>
            <w:r>
              <w:rPr>
                <w:rFonts w:ascii="Book Antiqua" w:hAnsi="Book Antiqua" w:cs="Arial"/>
              </w:rPr>
              <w:t>14 (ibandronate)</w:t>
            </w:r>
          </w:p>
        </w:tc>
        <w:tc>
          <w:tcPr>
            <w:tcW w:w="962" w:type="pct"/>
            <w:tcMar>
              <w:top w:w="100" w:type="dxa"/>
              <w:left w:w="100" w:type="dxa"/>
              <w:bottom w:w="100" w:type="dxa"/>
              <w:right w:w="100" w:type="dxa"/>
            </w:tcMar>
          </w:tcPr>
          <w:p w14:paraId="203ACF89" w14:textId="38C8DE2B" w:rsidR="00EA034E" w:rsidRPr="00E02673" w:rsidRDefault="00EA034E" w:rsidP="000C125E">
            <w:pPr>
              <w:widowControl w:val="0"/>
              <w:adjustRightInd w:val="0"/>
              <w:snapToGrid w:val="0"/>
              <w:spacing w:line="360" w:lineRule="auto"/>
              <w:jc w:val="center"/>
              <w:rPr>
                <w:rFonts w:ascii="Book Antiqua" w:eastAsia="SimSun" w:hAnsi="Book Antiqua" w:cs="Arial"/>
                <w:lang w:eastAsia="zh-CN"/>
              </w:rPr>
            </w:pPr>
            <w:r w:rsidRPr="00E02673">
              <w:rPr>
                <w:rFonts w:ascii="Book Antiqua" w:hAnsi="Book Antiqua" w:cs="Arial"/>
              </w:rPr>
              <w:t>+3.8 (</w:t>
            </w:r>
            <w:r w:rsidR="000C125E" w:rsidRPr="00E02673">
              <w:rPr>
                <w:rFonts w:ascii="Book Antiqua" w:hAnsi="Book Antiqua" w:cs="Arial"/>
              </w:rPr>
              <w:t>L), +1.0 (F)</w:t>
            </w:r>
          </w:p>
        </w:tc>
        <w:tc>
          <w:tcPr>
            <w:tcW w:w="963" w:type="pct"/>
            <w:tcMar>
              <w:top w:w="100" w:type="dxa"/>
              <w:left w:w="100" w:type="dxa"/>
              <w:bottom w:w="100" w:type="dxa"/>
              <w:right w:w="100" w:type="dxa"/>
            </w:tcMar>
          </w:tcPr>
          <w:p w14:paraId="0B387465" w14:textId="1B5821DC" w:rsidR="00EA034E" w:rsidRPr="00E02673" w:rsidRDefault="00EA034E" w:rsidP="000C125E">
            <w:pPr>
              <w:widowControl w:val="0"/>
              <w:adjustRightInd w:val="0"/>
              <w:snapToGrid w:val="0"/>
              <w:spacing w:line="360" w:lineRule="auto"/>
              <w:jc w:val="center"/>
              <w:rPr>
                <w:rFonts w:ascii="Book Antiqua" w:eastAsia="SimSun" w:hAnsi="Book Antiqua" w:cs="Arial"/>
                <w:lang w:eastAsia="zh-CN"/>
              </w:rPr>
            </w:pPr>
            <w:r w:rsidRPr="00E02673">
              <w:rPr>
                <w:rFonts w:ascii="Book Antiqua" w:hAnsi="Book Antiqua" w:cs="Arial"/>
              </w:rPr>
              <w:t>+5.7 (L)</w:t>
            </w:r>
            <w:r w:rsidR="000C125E" w:rsidRPr="00E02673">
              <w:rPr>
                <w:rFonts w:ascii="Book Antiqua" w:eastAsia="SimSun" w:hAnsi="Book Antiqua" w:hint="eastAsia"/>
                <w:vertAlign w:val="superscript"/>
                <w:lang w:eastAsia="zh-CN"/>
              </w:rPr>
              <w:t>2</w:t>
            </w:r>
            <w:r w:rsidR="000C125E" w:rsidRPr="00E02673">
              <w:rPr>
                <w:rFonts w:ascii="Book Antiqua" w:hAnsi="Book Antiqua" w:cs="Arial"/>
              </w:rPr>
              <w:t>, +1.1 (F)</w:t>
            </w:r>
          </w:p>
        </w:tc>
        <w:tc>
          <w:tcPr>
            <w:tcW w:w="505" w:type="pct"/>
            <w:tcMar>
              <w:top w:w="100" w:type="dxa"/>
              <w:left w:w="100" w:type="dxa"/>
              <w:bottom w:w="100" w:type="dxa"/>
              <w:right w:w="100" w:type="dxa"/>
            </w:tcMar>
          </w:tcPr>
          <w:p w14:paraId="0FD5EDF5" w14:textId="2025FD00" w:rsidR="00EA034E" w:rsidRPr="000C125E" w:rsidRDefault="000C125E" w:rsidP="000C125E">
            <w:pPr>
              <w:widowControl w:val="0"/>
              <w:adjustRightInd w:val="0"/>
              <w:snapToGrid w:val="0"/>
              <w:spacing w:line="360" w:lineRule="auto"/>
              <w:jc w:val="center"/>
              <w:rPr>
                <w:rFonts w:ascii="Book Antiqua" w:eastAsia="SimSun" w:hAnsi="Book Antiqua" w:cs="Arial"/>
                <w:lang w:eastAsia="zh-CN"/>
              </w:rPr>
            </w:pPr>
            <w:r>
              <w:rPr>
                <w:rFonts w:ascii="Book Antiqua" w:hAnsi="Book Antiqua" w:cs="Arial"/>
              </w:rPr>
              <w:t>0 (V), 0 (P)</w:t>
            </w:r>
          </w:p>
        </w:tc>
      </w:tr>
      <w:tr w:rsidR="000C125E" w:rsidRPr="002D44D6" w14:paraId="6B7931C6" w14:textId="77777777" w:rsidTr="000C125E">
        <w:trPr>
          <w:trHeight w:val="570"/>
        </w:trPr>
        <w:tc>
          <w:tcPr>
            <w:tcW w:w="1112" w:type="pct"/>
          </w:tcPr>
          <w:p w14:paraId="22773872" w14:textId="46F6AB5E" w:rsidR="00EA034E" w:rsidRPr="000C125E" w:rsidRDefault="00EA034E" w:rsidP="000C125E">
            <w:pPr>
              <w:widowControl w:val="0"/>
              <w:adjustRightInd w:val="0"/>
              <w:snapToGrid w:val="0"/>
              <w:spacing w:line="360" w:lineRule="auto"/>
              <w:ind w:firstLineChars="100" w:firstLine="240"/>
              <w:jc w:val="both"/>
              <w:rPr>
                <w:rFonts w:ascii="Book Antiqua" w:hAnsi="Book Antiqua" w:cs="Arial"/>
                <w:color w:val="000000"/>
              </w:rPr>
            </w:pPr>
            <w:r w:rsidRPr="000C125E">
              <w:rPr>
                <w:rFonts w:ascii="Book Antiqua" w:hAnsi="Book Antiqua" w:cs="Arial"/>
                <w:color w:val="000000"/>
              </w:rPr>
              <w:t>Alendronate</w:t>
            </w:r>
          </w:p>
        </w:tc>
        <w:tc>
          <w:tcPr>
            <w:tcW w:w="723" w:type="pct"/>
            <w:tcMar>
              <w:top w:w="100" w:type="dxa"/>
              <w:left w:w="100" w:type="dxa"/>
              <w:bottom w:w="100" w:type="dxa"/>
              <w:right w:w="100" w:type="dxa"/>
            </w:tcMar>
          </w:tcPr>
          <w:p w14:paraId="52BD2EC0" w14:textId="58D1E53C" w:rsidR="00EA034E" w:rsidRPr="002D44D6" w:rsidRDefault="00EA034E" w:rsidP="000C125E">
            <w:pPr>
              <w:widowControl w:val="0"/>
              <w:adjustRightInd w:val="0"/>
              <w:snapToGrid w:val="0"/>
              <w:spacing w:line="360" w:lineRule="auto"/>
              <w:jc w:val="center"/>
              <w:rPr>
                <w:rFonts w:ascii="Book Antiqua" w:hAnsi="Book Antiqua" w:cs="Arial"/>
                <w:color w:val="000000"/>
              </w:rPr>
            </w:pPr>
            <w:r w:rsidRPr="002D44D6">
              <w:rPr>
                <w:rFonts w:ascii="Book Antiqua" w:hAnsi="Book Antiqua" w:cs="Arial"/>
                <w:color w:val="000000"/>
              </w:rPr>
              <w:t>70 mg/wk</w:t>
            </w:r>
          </w:p>
        </w:tc>
        <w:tc>
          <w:tcPr>
            <w:tcW w:w="735" w:type="pct"/>
            <w:tcMar>
              <w:top w:w="100" w:type="dxa"/>
              <w:left w:w="100" w:type="dxa"/>
              <w:bottom w:w="100" w:type="dxa"/>
              <w:right w:w="100" w:type="dxa"/>
            </w:tcMar>
          </w:tcPr>
          <w:p w14:paraId="3EB76493" w14:textId="657FE7F7" w:rsidR="00EA034E" w:rsidRPr="002D44D6" w:rsidRDefault="00EA034E" w:rsidP="000C125E">
            <w:pPr>
              <w:widowControl w:val="0"/>
              <w:adjustRightInd w:val="0"/>
              <w:snapToGrid w:val="0"/>
              <w:spacing w:line="360" w:lineRule="auto"/>
              <w:jc w:val="center"/>
              <w:rPr>
                <w:rFonts w:ascii="Book Antiqua" w:hAnsi="Book Antiqua" w:cs="Arial"/>
              </w:rPr>
            </w:pPr>
            <w:r w:rsidRPr="002D44D6">
              <w:rPr>
                <w:rFonts w:ascii="Book Antiqua" w:hAnsi="Book Antiqua" w:cs="Arial"/>
              </w:rPr>
              <w:t>19 (alendronate)</w:t>
            </w:r>
          </w:p>
        </w:tc>
        <w:tc>
          <w:tcPr>
            <w:tcW w:w="962" w:type="pct"/>
            <w:tcMar>
              <w:top w:w="100" w:type="dxa"/>
              <w:left w:w="100" w:type="dxa"/>
              <w:bottom w:w="100" w:type="dxa"/>
              <w:right w:w="100" w:type="dxa"/>
            </w:tcMar>
          </w:tcPr>
          <w:p w14:paraId="1C9A39AA" w14:textId="03057EEF" w:rsidR="00EA034E" w:rsidRPr="00E02673" w:rsidRDefault="00EA034E" w:rsidP="000C125E">
            <w:pPr>
              <w:widowControl w:val="0"/>
              <w:adjustRightInd w:val="0"/>
              <w:snapToGrid w:val="0"/>
              <w:spacing w:line="360" w:lineRule="auto"/>
              <w:jc w:val="center"/>
              <w:rPr>
                <w:rFonts w:ascii="Book Antiqua" w:hAnsi="Book Antiqua" w:cs="Arial"/>
              </w:rPr>
            </w:pPr>
            <w:r w:rsidRPr="00E02673">
              <w:rPr>
                <w:rFonts w:ascii="Book Antiqua" w:hAnsi="Book Antiqua" w:cs="Arial"/>
              </w:rPr>
              <w:t>+4.6 (L), +1.4 (F)</w:t>
            </w:r>
          </w:p>
        </w:tc>
        <w:tc>
          <w:tcPr>
            <w:tcW w:w="963" w:type="pct"/>
            <w:tcMar>
              <w:top w:w="100" w:type="dxa"/>
              <w:left w:w="100" w:type="dxa"/>
              <w:bottom w:w="100" w:type="dxa"/>
              <w:right w:w="100" w:type="dxa"/>
            </w:tcMar>
          </w:tcPr>
          <w:p w14:paraId="63A2F590" w14:textId="1F17AA93" w:rsidR="00EA034E" w:rsidRPr="00E02673" w:rsidRDefault="00EA034E" w:rsidP="000C125E">
            <w:pPr>
              <w:widowControl w:val="0"/>
              <w:adjustRightInd w:val="0"/>
              <w:snapToGrid w:val="0"/>
              <w:spacing w:line="360" w:lineRule="auto"/>
              <w:jc w:val="center"/>
              <w:rPr>
                <w:rFonts w:ascii="Book Antiqua" w:hAnsi="Book Antiqua" w:cs="Arial"/>
              </w:rPr>
            </w:pPr>
            <w:r w:rsidRPr="00E02673">
              <w:rPr>
                <w:rFonts w:ascii="Book Antiqua" w:hAnsi="Book Antiqua" w:cs="Arial"/>
              </w:rPr>
              <w:t>+4.5 (L)</w:t>
            </w:r>
            <w:r w:rsidR="000C125E" w:rsidRPr="00E02673">
              <w:rPr>
                <w:rFonts w:ascii="Book Antiqua" w:eastAsia="SimSun" w:hAnsi="Book Antiqua" w:hint="eastAsia"/>
                <w:vertAlign w:val="superscript"/>
                <w:lang w:eastAsia="zh-CN"/>
              </w:rPr>
              <w:t>2</w:t>
            </w:r>
            <w:r w:rsidRPr="00E02673">
              <w:rPr>
                <w:rFonts w:ascii="Book Antiqua" w:hAnsi="Book Antiqua" w:cs="Arial"/>
              </w:rPr>
              <w:t>, +2.5 (F)</w:t>
            </w:r>
          </w:p>
        </w:tc>
        <w:tc>
          <w:tcPr>
            <w:tcW w:w="505" w:type="pct"/>
            <w:tcMar>
              <w:top w:w="100" w:type="dxa"/>
              <w:left w:w="100" w:type="dxa"/>
              <w:bottom w:w="100" w:type="dxa"/>
              <w:right w:w="100" w:type="dxa"/>
            </w:tcMar>
          </w:tcPr>
          <w:p w14:paraId="7DB38819" w14:textId="0B2AAE3F" w:rsidR="00EA034E" w:rsidRPr="002D44D6" w:rsidRDefault="00EA034E" w:rsidP="000C125E">
            <w:pPr>
              <w:widowControl w:val="0"/>
              <w:adjustRightInd w:val="0"/>
              <w:snapToGrid w:val="0"/>
              <w:spacing w:line="360" w:lineRule="auto"/>
              <w:jc w:val="center"/>
              <w:rPr>
                <w:rFonts w:ascii="Book Antiqua" w:hAnsi="Book Antiqua" w:cs="Arial"/>
              </w:rPr>
            </w:pPr>
            <w:r w:rsidRPr="002D44D6">
              <w:rPr>
                <w:rFonts w:ascii="Book Antiqua" w:hAnsi="Book Antiqua" w:cs="Arial"/>
              </w:rPr>
              <w:t>1 (V), 0 (P)</w:t>
            </w:r>
          </w:p>
        </w:tc>
      </w:tr>
    </w:tbl>
    <w:p w14:paraId="1441A9FE" w14:textId="722F374A" w:rsidR="00C761F0" w:rsidRPr="000C125E" w:rsidRDefault="000C125E" w:rsidP="002D44D6">
      <w:pPr>
        <w:widowControl w:val="0"/>
        <w:adjustRightInd w:val="0"/>
        <w:snapToGrid w:val="0"/>
        <w:spacing w:line="360" w:lineRule="auto"/>
        <w:jc w:val="both"/>
        <w:rPr>
          <w:rFonts w:ascii="Book Antiqua" w:eastAsia="SimSun" w:hAnsi="Book Antiqua"/>
          <w:lang w:eastAsia="zh-CN"/>
        </w:rPr>
      </w:pPr>
      <w:r w:rsidRPr="000C125E">
        <w:rPr>
          <w:rFonts w:ascii="Book Antiqua" w:eastAsia="SimSun" w:hAnsi="Book Antiqua" w:hint="eastAsia"/>
          <w:vertAlign w:val="superscript"/>
          <w:lang w:eastAsia="zh-CN"/>
        </w:rPr>
        <w:t>1</w:t>
      </w:r>
      <w:r w:rsidRPr="000C125E">
        <w:rPr>
          <w:rFonts w:ascii="Book Antiqua" w:hAnsi="Book Antiqua"/>
        </w:rPr>
        <w:t>S</w:t>
      </w:r>
      <w:r w:rsidR="00140892" w:rsidRPr="000C125E">
        <w:rPr>
          <w:rFonts w:ascii="Book Antiqua" w:hAnsi="Book Antiqua"/>
        </w:rPr>
        <w:t>tatistical</w:t>
      </w:r>
      <w:r w:rsidR="00140892" w:rsidRPr="002D44D6">
        <w:rPr>
          <w:rFonts w:ascii="Book Antiqua" w:hAnsi="Book Antiqua"/>
        </w:rPr>
        <w:t xml:space="preserve"> significance (</w:t>
      </w:r>
      <w:r w:rsidRPr="000C125E">
        <w:rPr>
          <w:rFonts w:ascii="Book Antiqua" w:hAnsi="Book Antiqua"/>
          <w:i/>
        </w:rPr>
        <w:t>P</w:t>
      </w:r>
      <w:r w:rsidR="00140892" w:rsidRPr="002D44D6">
        <w:rPr>
          <w:rFonts w:ascii="Book Antiqua" w:hAnsi="Book Antiqua"/>
        </w:rPr>
        <w:t xml:space="preserve"> &lt; 0.05) between groups; </w:t>
      </w:r>
      <w:r w:rsidRPr="000C125E">
        <w:rPr>
          <w:rFonts w:ascii="Book Antiqua" w:eastAsia="SimSun" w:hAnsi="Book Antiqua" w:hint="eastAsia"/>
          <w:vertAlign w:val="superscript"/>
          <w:lang w:eastAsia="zh-CN"/>
        </w:rPr>
        <w:t>2</w:t>
      </w:r>
      <w:r w:rsidR="00AC7817" w:rsidRPr="002D44D6">
        <w:rPr>
          <w:rFonts w:ascii="Book Antiqua" w:hAnsi="Book Antiqua"/>
        </w:rPr>
        <w:t>S</w:t>
      </w:r>
      <w:r w:rsidR="00140892" w:rsidRPr="002D44D6">
        <w:rPr>
          <w:rFonts w:ascii="Book Antiqua" w:hAnsi="Book Antiqua"/>
        </w:rPr>
        <w:t>tatistical difference (</w:t>
      </w:r>
      <w:r w:rsidRPr="000C125E">
        <w:rPr>
          <w:rFonts w:ascii="Book Antiqua" w:hAnsi="Book Antiqua"/>
          <w:i/>
        </w:rPr>
        <w:t>P</w:t>
      </w:r>
      <w:r w:rsidR="00140892" w:rsidRPr="002D44D6">
        <w:rPr>
          <w:rFonts w:ascii="Book Antiqua" w:hAnsi="Book Antiqua"/>
        </w:rPr>
        <w:t xml:space="preserve"> &lt; 0.05) from baseline.</w:t>
      </w:r>
      <w:r>
        <w:rPr>
          <w:rFonts w:ascii="Book Antiqua" w:eastAsia="SimSun" w:hAnsi="Book Antiqua" w:hint="eastAsia"/>
          <w:lang w:eastAsia="zh-CN"/>
        </w:rPr>
        <w:t xml:space="preserve"> </w:t>
      </w:r>
      <w:r w:rsidR="00B81A63" w:rsidRPr="002D44D6">
        <w:rPr>
          <w:rFonts w:ascii="Book Antiqua" w:hAnsi="Book Antiqua"/>
        </w:rPr>
        <w:t xml:space="preserve">L: Lumbar; F: Femoral; V: Vertebral; P: Peripheral; </w:t>
      </w:r>
      <w:r w:rsidRPr="002D44D6">
        <w:rPr>
          <w:rFonts w:ascii="Book Antiqua" w:hAnsi="Book Antiqua" w:cs="Arial"/>
          <w:color w:val="000000"/>
        </w:rPr>
        <w:t>BMD</w:t>
      </w:r>
      <w:r>
        <w:rPr>
          <w:rFonts w:ascii="Book Antiqua" w:eastAsia="SimSun" w:hAnsi="Book Antiqua" w:cs="Arial" w:hint="eastAsia"/>
          <w:color w:val="000000"/>
          <w:lang w:eastAsia="zh-CN"/>
        </w:rPr>
        <w:t>:</w:t>
      </w:r>
      <w:r w:rsidRPr="002D44D6">
        <w:rPr>
          <w:rFonts w:ascii="Book Antiqua" w:hAnsi="Book Antiqua" w:cs="Arial"/>
          <w:color w:val="000000"/>
        </w:rPr>
        <w:t xml:space="preserve"> Bone mineral density</w:t>
      </w:r>
      <w:r>
        <w:rPr>
          <w:rFonts w:ascii="Book Antiqua" w:eastAsia="SimSun" w:hAnsi="Book Antiqua" w:cs="Arial" w:hint="eastAsia"/>
          <w:color w:val="000000"/>
          <w:lang w:eastAsia="zh-CN"/>
        </w:rPr>
        <w:t>.</w:t>
      </w:r>
    </w:p>
    <w:sectPr w:rsidR="00C761F0" w:rsidRPr="000C125E" w:rsidSect="002D44D6">
      <w:type w:val="continuous"/>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6E7D2" w14:textId="77777777" w:rsidR="003F4110" w:rsidRDefault="003F4110" w:rsidP="00A06450">
      <w:r>
        <w:separator/>
      </w:r>
    </w:p>
  </w:endnote>
  <w:endnote w:type="continuationSeparator" w:id="0">
    <w:p w14:paraId="5A213A41" w14:textId="77777777" w:rsidR="003F4110" w:rsidRDefault="003F4110" w:rsidP="00A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CEDA0" w14:textId="77777777" w:rsidR="003F4110" w:rsidRDefault="003F4110" w:rsidP="00A06450">
      <w:r>
        <w:separator/>
      </w:r>
    </w:p>
  </w:footnote>
  <w:footnote w:type="continuationSeparator" w:id="0">
    <w:p w14:paraId="69BB2DDA" w14:textId="77777777" w:rsidR="003F4110" w:rsidRDefault="003F4110" w:rsidP="00A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5668" w14:textId="77777777" w:rsidR="00B529BA" w:rsidRDefault="00B529BA" w:rsidP="00A501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FDCF4" w14:textId="77777777" w:rsidR="00B529BA" w:rsidRDefault="00B529BA" w:rsidP="00474D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D88F" w14:textId="4E85D6E0" w:rsidR="00B529BA" w:rsidRPr="00C761F0" w:rsidRDefault="00B529BA" w:rsidP="00C761F0">
    <w:pPr>
      <w:pStyle w:val="Header"/>
      <w:tabs>
        <w:tab w:val="clear" w:pos="4320"/>
        <w:tab w:val="clear" w:pos="8640"/>
        <w:tab w:val="left" w:pos="735"/>
      </w:tabs>
      <w:ind w:right="360"/>
      <w:rPr>
        <w:rFonts w:eastAsia="SimSun"/>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6EF6"/>
    <w:multiLevelType w:val="hybridMultilevel"/>
    <w:tmpl w:val="4BB844AA"/>
    <w:lvl w:ilvl="0" w:tplc="860C094E">
      <w:start w:val="1"/>
      <w:numFmt w:val="decimal"/>
      <w:lvlText w:val="%1)"/>
      <w:lvlJc w:val="left"/>
      <w:pPr>
        <w:tabs>
          <w:tab w:val="num" w:pos="720"/>
        </w:tabs>
        <w:ind w:left="720" w:hanging="360"/>
      </w:pPr>
    </w:lvl>
    <w:lvl w:ilvl="1" w:tplc="7ABC18EA" w:tentative="1">
      <w:start w:val="1"/>
      <w:numFmt w:val="decimal"/>
      <w:lvlText w:val="%2)"/>
      <w:lvlJc w:val="left"/>
      <w:pPr>
        <w:tabs>
          <w:tab w:val="num" w:pos="1440"/>
        </w:tabs>
        <w:ind w:left="1440" w:hanging="360"/>
      </w:pPr>
    </w:lvl>
    <w:lvl w:ilvl="2" w:tplc="2EFE530E" w:tentative="1">
      <w:start w:val="1"/>
      <w:numFmt w:val="decimal"/>
      <w:lvlText w:val="%3)"/>
      <w:lvlJc w:val="left"/>
      <w:pPr>
        <w:tabs>
          <w:tab w:val="num" w:pos="2160"/>
        </w:tabs>
        <w:ind w:left="2160" w:hanging="360"/>
      </w:pPr>
    </w:lvl>
    <w:lvl w:ilvl="3" w:tplc="BC32562E" w:tentative="1">
      <w:start w:val="1"/>
      <w:numFmt w:val="decimal"/>
      <w:lvlText w:val="%4)"/>
      <w:lvlJc w:val="left"/>
      <w:pPr>
        <w:tabs>
          <w:tab w:val="num" w:pos="2880"/>
        </w:tabs>
        <w:ind w:left="2880" w:hanging="360"/>
      </w:pPr>
    </w:lvl>
    <w:lvl w:ilvl="4" w:tplc="8B863922" w:tentative="1">
      <w:start w:val="1"/>
      <w:numFmt w:val="decimal"/>
      <w:lvlText w:val="%5)"/>
      <w:lvlJc w:val="left"/>
      <w:pPr>
        <w:tabs>
          <w:tab w:val="num" w:pos="3600"/>
        </w:tabs>
        <w:ind w:left="3600" w:hanging="360"/>
      </w:pPr>
    </w:lvl>
    <w:lvl w:ilvl="5" w:tplc="53CC2478" w:tentative="1">
      <w:start w:val="1"/>
      <w:numFmt w:val="decimal"/>
      <w:lvlText w:val="%6)"/>
      <w:lvlJc w:val="left"/>
      <w:pPr>
        <w:tabs>
          <w:tab w:val="num" w:pos="4320"/>
        </w:tabs>
        <w:ind w:left="4320" w:hanging="360"/>
      </w:pPr>
    </w:lvl>
    <w:lvl w:ilvl="6" w:tplc="64AEEE4C" w:tentative="1">
      <w:start w:val="1"/>
      <w:numFmt w:val="decimal"/>
      <w:lvlText w:val="%7)"/>
      <w:lvlJc w:val="left"/>
      <w:pPr>
        <w:tabs>
          <w:tab w:val="num" w:pos="5040"/>
        </w:tabs>
        <w:ind w:left="5040" w:hanging="360"/>
      </w:pPr>
    </w:lvl>
    <w:lvl w:ilvl="7" w:tplc="78B4F440" w:tentative="1">
      <w:start w:val="1"/>
      <w:numFmt w:val="decimal"/>
      <w:lvlText w:val="%8)"/>
      <w:lvlJc w:val="left"/>
      <w:pPr>
        <w:tabs>
          <w:tab w:val="num" w:pos="5760"/>
        </w:tabs>
        <w:ind w:left="5760" w:hanging="360"/>
      </w:pPr>
    </w:lvl>
    <w:lvl w:ilvl="8" w:tplc="EA98582C" w:tentative="1">
      <w:start w:val="1"/>
      <w:numFmt w:val="decimal"/>
      <w:lvlText w:val="%9)"/>
      <w:lvlJc w:val="left"/>
      <w:pPr>
        <w:tabs>
          <w:tab w:val="num" w:pos="6480"/>
        </w:tabs>
        <w:ind w:left="6480" w:hanging="360"/>
      </w:pPr>
    </w:lvl>
  </w:abstractNum>
  <w:abstractNum w:abstractNumId="1" w15:restartNumberingAfterBreak="0">
    <w:nsid w:val="71E23E9D"/>
    <w:multiLevelType w:val="hybridMultilevel"/>
    <w:tmpl w:val="8C503D16"/>
    <w:lvl w:ilvl="0" w:tplc="EDAA2FA4">
      <w:start w:val="1"/>
      <w:numFmt w:val="decimal"/>
      <w:lvlText w:val="%1)"/>
      <w:lvlJc w:val="left"/>
      <w:pPr>
        <w:tabs>
          <w:tab w:val="num" w:pos="720"/>
        </w:tabs>
        <w:ind w:left="720" w:hanging="360"/>
      </w:pPr>
    </w:lvl>
    <w:lvl w:ilvl="1" w:tplc="1D7A212E" w:tentative="1">
      <w:start w:val="1"/>
      <w:numFmt w:val="decimal"/>
      <w:lvlText w:val="%2)"/>
      <w:lvlJc w:val="left"/>
      <w:pPr>
        <w:tabs>
          <w:tab w:val="num" w:pos="1440"/>
        </w:tabs>
        <w:ind w:left="1440" w:hanging="360"/>
      </w:pPr>
    </w:lvl>
    <w:lvl w:ilvl="2" w:tplc="6E5C5060" w:tentative="1">
      <w:start w:val="1"/>
      <w:numFmt w:val="decimal"/>
      <w:lvlText w:val="%3)"/>
      <w:lvlJc w:val="left"/>
      <w:pPr>
        <w:tabs>
          <w:tab w:val="num" w:pos="2160"/>
        </w:tabs>
        <w:ind w:left="2160" w:hanging="360"/>
      </w:pPr>
    </w:lvl>
    <w:lvl w:ilvl="3" w:tplc="0854EDA2" w:tentative="1">
      <w:start w:val="1"/>
      <w:numFmt w:val="decimal"/>
      <w:lvlText w:val="%4)"/>
      <w:lvlJc w:val="left"/>
      <w:pPr>
        <w:tabs>
          <w:tab w:val="num" w:pos="2880"/>
        </w:tabs>
        <w:ind w:left="2880" w:hanging="360"/>
      </w:pPr>
    </w:lvl>
    <w:lvl w:ilvl="4" w:tplc="0D6E7D30" w:tentative="1">
      <w:start w:val="1"/>
      <w:numFmt w:val="decimal"/>
      <w:lvlText w:val="%5)"/>
      <w:lvlJc w:val="left"/>
      <w:pPr>
        <w:tabs>
          <w:tab w:val="num" w:pos="3600"/>
        </w:tabs>
        <w:ind w:left="3600" w:hanging="360"/>
      </w:pPr>
    </w:lvl>
    <w:lvl w:ilvl="5" w:tplc="34F60E12" w:tentative="1">
      <w:start w:val="1"/>
      <w:numFmt w:val="decimal"/>
      <w:lvlText w:val="%6)"/>
      <w:lvlJc w:val="left"/>
      <w:pPr>
        <w:tabs>
          <w:tab w:val="num" w:pos="4320"/>
        </w:tabs>
        <w:ind w:left="4320" w:hanging="360"/>
      </w:pPr>
    </w:lvl>
    <w:lvl w:ilvl="6" w:tplc="4E160014" w:tentative="1">
      <w:start w:val="1"/>
      <w:numFmt w:val="decimal"/>
      <w:lvlText w:val="%7)"/>
      <w:lvlJc w:val="left"/>
      <w:pPr>
        <w:tabs>
          <w:tab w:val="num" w:pos="5040"/>
        </w:tabs>
        <w:ind w:left="5040" w:hanging="360"/>
      </w:pPr>
    </w:lvl>
    <w:lvl w:ilvl="7" w:tplc="6A74427C" w:tentative="1">
      <w:start w:val="1"/>
      <w:numFmt w:val="decimal"/>
      <w:lvlText w:val="%8)"/>
      <w:lvlJc w:val="left"/>
      <w:pPr>
        <w:tabs>
          <w:tab w:val="num" w:pos="5760"/>
        </w:tabs>
        <w:ind w:left="5760" w:hanging="360"/>
      </w:pPr>
    </w:lvl>
    <w:lvl w:ilvl="8" w:tplc="0D98FE0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25"/>
    <w:rsid w:val="0003721C"/>
    <w:rsid w:val="000374B7"/>
    <w:rsid w:val="00043B70"/>
    <w:rsid w:val="00060684"/>
    <w:rsid w:val="000608F9"/>
    <w:rsid w:val="00095EA9"/>
    <w:rsid w:val="000B3F4B"/>
    <w:rsid w:val="000B45F4"/>
    <w:rsid w:val="000C125E"/>
    <w:rsid w:val="000D46C4"/>
    <w:rsid w:val="001112D5"/>
    <w:rsid w:val="00112EBF"/>
    <w:rsid w:val="00121A65"/>
    <w:rsid w:val="00137E3E"/>
    <w:rsid w:val="00140892"/>
    <w:rsid w:val="001638E8"/>
    <w:rsid w:val="001A28CE"/>
    <w:rsid w:val="001A4F78"/>
    <w:rsid w:val="001C07C5"/>
    <w:rsid w:val="001C7863"/>
    <w:rsid w:val="001D55A3"/>
    <w:rsid w:val="001E4A6D"/>
    <w:rsid w:val="001E4ECE"/>
    <w:rsid w:val="001E66FF"/>
    <w:rsid w:val="002023E6"/>
    <w:rsid w:val="00221EF8"/>
    <w:rsid w:val="00230B0D"/>
    <w:rsid w:val="00244FB7"/>
    <w:rsid w:val="00245B5D"/>
    <w:rsid w:val="00255544"/>
    <w:rsid w:val="00264B92"/>
    <w:rsid w:val="0027322B"/>
    <w:rsid w:val="002B4B6C"/>
    <w:rsid w:val="002C7775"/>
    <w:rsid w:val="002D44D6"/>
    <w:rsid w:val="002F18BB"/>
    <w:rsid w:val="002F2AD3"/>
    <w:rsid w:val="0030062D"/>
    <w:rsid w:val="003138BE"/>
    <w:rsid w:val="00335C65"/>
    <w:rsid w:val="00353967"/>
    <w:rsid w:val="003544E9"/>
    <w:rsid w:val="00354F9C"/>
    <w:rsid w:val="00391300"/>
    <w:rsid w:val="003A2AC0"/>
    <w:rsid w:val="003B3915"/>
    <w:rsid w:val="003C14D5"/>
    <w:rsid w:val="003E2B69"/>
    <w:rsid w:val="003F4110"/>
    <w:rsid w:val="004113B5"/>
    <w:rsid w:val="00430543"/>
    <w:rsid w:val="00430DD9"/>
    <w:rsid w:val="004444C9"/>
    <w:rsid w:val="00453E6A"/>
    <w:rsid w:val="00467492"/>
    <w:rsid w:val="00472C6C"/>
    <w:rsid w:val="00474D92"/>
    <w:rsid w:val="0048573C"/>
    <w:rsid w:val="00486D04"/>
    <w:rsid w:val="00492F9E"/>
    <w:rsid w:val="004A4E2F"/>
    <w:rsid w:val="004B3A90"/>
    <w:rsid w:val="004D77A6"/>
    <w:rsid w:val="00514FC0"/>
    <w:rsid w:val="005217A8"/>
    <w:rsid w:val="005420ED"/>
    <w:rsid w:val="00584DAD"/>
    <w:rsid w:val="00585816"/>
    <w:rsid w:val="005A5443"/>
    <w:rsid w:val="005D7FA8"/>
    <w:rsid w:val="00602A14"/>
    <w:rsid w:val="00633A74"/>
    <w:rsid w:val="00644954"/>
    <w:rsid w:val="006463C7"/>
    <w:rsid w:val="006513D1"/>
    <w:rsid w:val="00664304"/>
    <w:rsid w:val="0069543E"/>
    <w:rsid w:val="006A14A9"/>
    <w:rsid w:val="006C006F"/>
    <w:rsid w:val="006C28B6"/>
    <w:rsid w:val="006F7015"/>
    <w:rsid w:val="0070482E"/>
    <w:rsid w:val="00706ACE"/>
    <w:rsid w:val="0070784D"/>
    <w:rsid w:val="007125E5"/>
    <w:rsid w:val="00714EAE"/>
    <w:rsid w:val="00776ED3"/>
    <w:rsid w:val="00781A4A"/>
    <w:rsid w:val="00783F86"/>
    <w:rsid w:val="007A6847"/>
    <w:rsid w:val="007B7B1C"/>
    <w:rsid w:val="007C1B7D"/>
    <w:rsid w:val="007C6088"/>
    <w:rsid w:val="007E18AC"/>
    <w:rsid w:val="007F5AE7"/>
    <w:rsid w:val="007F7A3F"/>
    <w:rsid w:val="00803AF3"/>
    <w:rsid w:val="008206CB"/>
    <w:rsid w:val="00837CB9"/>
    <w:rsid w:val="00840E3C"/>
    <w:rsid w:val="008651C4"/>
    <w:rsid w:val="008838B0"/>
    <w:rsid w:val="008A164D"/>
    <w:rsid w:val="008B1E86"/>
    <w:rsid w:val="008C3D4F"/>
    <w:rsid w:val="008C4C46"/>
    <w:rsid w:val="008E22C2"/>
    <w:rsid w:val="008F664B"/>
    <w:rsid w:val="00925FE0"/>
    <w:rsid w:val="00962FED"/>
    <w:rsid w:val="00983E47"/>
    <w:rsid w:val="009C114E"/>
    <w:rsid w:val="009D3CB1"/>
    <w:rsid w:val="009E7E4A"/>
    <w:rsid w:val="009F1AAD"/>
    <w:rsid w:val="00A06450"/>
    <w:rsid w:val="00A22B56"/>
    <w:rsid w:val="00A265BC"/>
    <w:rsid w:val="00A33510"/>
    <w:rsid w:val="00A3434F"/>
    <w:rsid w:val="00A50142"/>
    <w:rsid w:val="00A51006"/>
    <w:rsid w:val="00A62509"/>
    <w:rsid w:val="00A86ED6"/>
    <w:rsid w:val="00A94841"/>
    <w:rsid w:val="00A95E1F"/>
    <w:rsid w:val="00AA4419"/>
    <w:rsid w:val="00AC22F1"/>
    <w:rsid w:val="00AC67CA"/>
    <w:rsid w:val="00AC7817"/>
    <w:rsid w:val="00AD1478"/>
    <w:rsid w:val="00AD2574"/>
    <w:rsid w:val="00AD2F57"/>
    <w:rsid w:val="00AF114B"/>
    <w:rsid w:val="00AF394A"/>
    <w:rsid w:val="00B0739B"/>
    <w:rsid w:val="00B10DE6"/>
    <w:rsid w:val="00B17149"/>
    <w:rsid w:val="00B529BA"/>
    <w:rsid w:val="00B64B24"/>
    <w:rsid w:val="00B64D0E"/>
    <w:rsid w:val="00B7080E"/>
    <w:rsid w:val="00B72525"/>
    <w:rsid w:val="00B81A63"/>
    <w:rsid w:val="00B85257"/>
    <w:rsid w:val="00BD31AD"/>
    <w:rsid w:val="00C03BF6"/>
    <w:rsid w:val="00C06449"/>
    <w:rsid w:val="00C209D3"/>
    <w:rsid w:val="00C36EA6"/>
    <w:rsid w:val="00C4346A"/>
    <w:rsid w:val="00C679B3"/>
    <w:rsid w:val="00C74101"/>
    <w:rsid w:val="00C75913"/>
    <w:rsid w:val="00C761F0"/>
    <w:rsid w:val="00CB7C62"/>
    <w:rsid w:val="00CC6064"/>
    <w:rsid w:val="00CF1122"/>
    <w:rsid w:val="00D24D5B"/>
    <w:rsid w:val="00D25D11"/>
    <w:rsid w:val="00D65222"/>
    <w:rsid w:val="00D95B09"/>
    <w:rsid w:val="00DB6418"/>
    <w:rsid w:val="00DB7984"/>
    <w:rsid w:val="00DE2D15"/>
    <w:rsid w:val="00DF226A"/>
    <w:rsid w:val="00DF632B"/>
    <w:rsid w:val="00E02673"/>
    <w:rsid w:val="00E13F25"/>
    <w:rsid w:val="00E15307"/>
    <w:rsid w:val="00E21B32"/>
    <w:rsid w:val="00E335C5"/>
    <w:rsid w:val="00E5267E"/>
    <w:rsid w:val="00E5575A"/>
    <w:rsid w:val="00E607B6"/>
    <w:rsid w:val="00E609A6"/>
    <w:rsid w:val="00E61068"/>
    <w:rsid w:val="00E66352"/>
    <w:rsid w:val="00E75F3E"/>
    <w:rsid w:val="00E80330"/>
    <w:rsid w:val="00E8388C"/>
    <w:rsid w:val="00E9143A"/>
    <w:rsid w:val="00EA034E"/>
    <w:rsid w:val="00EA3CD3"/>
    <w:rsid w:val="00EC4742"/>
    <w:rsid w:val="00EE2FD6"/>
    <w:rsid w:val="00EF4229"/>
    <w:rsid w:val="00F1517A"/>
    <w:rsid w:val="00F20D4D"/>
    <w:rsid w:val="00F56B12"/>
    <w:rsid w:val="00F613A6"/>
    <w:rsid w:val="00F67CEE"/>
    <w:rsid w:val="00F76D72"/>
    <w:rsid w:val="00FA7751"/>
    <w:rsid w:val="00FE4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A1120"/>
  <w15:docId w15:val="{1CD892C0-F568-4967-A496-983E7475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F2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A1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4A9"/>
    <w:rPr>
      <w:rFonts w:ascii="Lucida Grande" w:hAnsi="Lucida Grande" w:cs="Lucida Grande"/>
      <w:sz w:val="18"/>
      <w:szCs w:val="18"/>
    </w:rPr>
  </w:style>
  <w:style w:type="character" w:styleId="CommentReference">
    <w:name w:val="annotation reference"/>
    <w:basedOn w:val="DefaultParagraphFont"/>
    <w:semiHidden/>
    <w:unhideWhenUsed/>
    <w:rsid w:val="006A14A9"/>
    <w:rPr>
      <w:sz w:val="18"/>
      <w:szCs w:val="18"/>
    </w:rPr>
  </w:style>
  <w:style w:type="paragraph" w:styleId="CommentText">
    <w:name w:val="annotation text"/>
    <w:basedOn w:val="Normal"/>
    <w:link w:val="CommentTextChar"/>
    <w:semiHidden/>
    <w:unhideWhenUsed/>
    <w:qFormat/>
    <w:rsid w:val="006A14A9"/>
  </w:style>
  <w:style w:type="character" w:customStyle="1" w:styleId="CommentTextChar">
    <w:name w:val="Comment Text Char"/>
    <w:basedOn w:val="DefaultParagraphFont"/>
    <w:link w:val="CommentText"/>
    <w:semiHidden/>
    <w:rsid w:val="006A14A9"/>
  </w:style>
  <w:style w:type="paragraph" w:styleId="CommentSubject">
    <w:name w:val="annotation subject"/>
    <w:basedOn w:val="CommentText"/>
    <w:next w:val="CommentText"/>
    <w:link w:val="CommentSubjectChar"/>
    <w:uiPriority w:val="99"/>
    <w:semiHidden/>
    <w:unhideWhenUsed/>
    <w:rsid w:val="006A14A9"/>
    <w:rPr>
      <w:b/>
      <w:bCs/>
      <w:sz w:val="20"/>
      <w:szCs w:val="20"/>
    </w:rPr>
  </w:style>
  <w:style w:type="character" w:customStyle="1" w:styleId="CommentSubjectChar">
    <w:name w:val="Comment Subject Char"/>
    <w:basedOn w:val="CommentTextChar"/>
    <w:link w:val="CommentSubject"/>
    <w:uiPriority w:val="99"/>
    <w:semiHidden/>
    <w:rsid w:val="006A14A9"/>
    <w:rPr>
      <w:b/>
      <w:bCs/>
      <w:sz w:val="20"/>
      <w:szCs w:val="20"/>
    </w:rPr>
  </w:style>
  <w:style w:type="paragraph" w:styleId="Header">
    <w:name w:val="header"/>
    <w:basedOn w:val="Normal"/>
    <w:link w:val="HeaderChar"/>
    <w:uiPriority w:val="99"/>
    <w:unhideWhenUsed/>
    <w:rsid w:val="00A06450"/>
    <w:pPr>
      <w:tabs>
        <w:tab w:val="center" w:pos="4320"/>
        <w:tab w:val="right" w:pos="8640"/>
      </w:tabs>
    </w:pPr>
  </w:style>
  <w:style w:type="character" w:customStyle="1" w:styleId="HeaderChar">
    <w:name w:val="Header Char"/>
    <w:basedOn w:val="DefaultParagraphFont"/>
    <w:link w:val="Header"/>
    <w:uiPriority w:val="99"/>
    <w:rsid w:val="00A06450"/>
  </w:style>
  <w:style w:type="character" w:styleId="PageNumber">
    <w:name w:val="page number"/>
    <w:basedOn w:val="DefaultParagraphFont"/>
    <w:uiPriority w:val="99"/>
    <w:semiHidden/>
    <w:unhideWhenUsed/>
    <w:rsid w:val="00A06450"/>
  </w:style>
  <w:style w:type="paragraph" w:styleId="Revision">
    <w:name w:val="Revision"/>
    <w:hidden/>
    <w:uiPriority w:val="99"/>
    <w:semiHidden/>
    <w:rsid w:val="007B7B1C"/>
  </w:style>
  <w:style w:type="paragraph" w:styleId="ListParagraph">
    <w:name w:val="List Paragraph"/>
    <w:basedOn w:val="Normal"/>
    <w:uiPriority w:val="34"/>
    <w:qFormat/>
    <w:rsid w:val="0069543E"/>
    <w:pPr>
      <w:ind w:left="720"/>
      <w:contextualSpacing/>
    </w:pPr>
    <w:rPr>
      <w:rFonts w:ascii="Times" w:hAnsi="Times"/>
      <w:sz w:val="20"/>
      <w:szCs w:val="20"/>
    </w:rPr>
  </w:style>
  <w:style w:type="paragraph" w:styleId="Footer">
    <w:name w:val="footer"/>
    <w:basedOn w:val="Normal"/>
    <w:link w:val="FooterChar"/>
    <w:uiPriority w:val="99"/>
    <w:unhideWhenUsed/>
    <w:rsid w:val="00C761F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761F0"/>
    <w:rPr>
      <w:sz w:val="18"/>
      <w:szCs w:val="18"/>
    </w:rPr>
  </w:style>
  <w:style w:type="character" w:styleId="Hyperlink">
    <w:name w:val="Hyperlink"/>
    <w:uiPriority w:val="99"/>
    <w:semiHidden/>
    <w:unhideWhenUsed/>
    <w:rsid w:val="00C761F0"/>
    <w:rPr>
      <w:color w:val="0000FF"/>
      <w:u w:val="single"/>
    </w:rPr>
  </w:style>
  <w:style w:type="character" w:customStyle="1" w:styleId="Char">
    <w:name w:val="纯文本 Char"/>
    <w:link w:val="PlainText1"/>
    <w:rsid w:val="00C761F0"/>
    <w:rPr>
      <w:rFonts w:ascii="SimSun" w:hAnsi="Courier New" w:cs="Courier New"/>
      <w:szCs w:val="21"/>
    </w:rPr>
  </w:style>
  <w:style w:type="paragraph" w:customStyle="1" w:styleId="PlainText1">
    <w:name w:val="Plain Text1"/>
    <w:basedOn w:val="Normal"/>
    <w:link w:val="Char"/>
    <w:rsid w:val="00C761F0"/>
    <w:pPr>
      <w:widowControl w:val="0"/>
      <w:jc w:val="both"/>
    </w:pPr>
    <w:rPr>
      <w:rFonts w:ascii="SimSun" w:hAnsi="Courier New" w:cs="Courier New"/>
      <w:szCs w:val="21"/>
    </w:rPr>
  </w:style>
  <w:style w:type="character" w:styleId="LineNumber">
    <w:name w:val="line number"/>
    <w:basedOn w:val="DefaultParagraphFont"/>
    <w:uiPriority w:val="99"/>
    <w:semiHidden/>
    <w:unhideWhenUsed/>
    <w:rsid w:val="003544E9"/>
  </w:style>
  <w:style w:type="character" w:styleId="FollowedHyperlink">
    <w:name w:val="FollowedHyperlink"/>
    <w:basedOn w:val="DefaultParagraphFont"/>
    <w:uiPriority w:val="99"/>
    <w:semiHidden/>
    <w:unhideWhenUsed/>
    <w:rsid w:val="00A86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9181">
      <w:bodyDiv w:val="1"/>
      <w:marLeft w:val="0"/>
      <w:marRight w:val="0"/>
      <w:marTop w:val="0"/>
      <w:marBottom w:val="0"/>
      <w:divBdr>
        <w:top w:val="none" w:sz="0" w:space="0" w:color="auto"/>
        <w:left w:val="none" w:sz="0" w:space="0" w:color="auto"/>
        <w:bottom w:val="none" w:sz="0" w:space="0" w:color="auto"/>
        <w:right w:val="none" w:sz="0" w:space="0" w:color="auto"/>
      </w:divBdr>
    </w:div>
    <w:div w:id="257374508">
      <w:bodyDiv w:val="1"/>
      <w:marLeft w:val="0"/>
      <w:marRight w:val="0"/>
      <w:marTop w:val="0"/>
      <w:marBottom w:val="0"/>
      <w:divBdr>
        <w:top w:val="none" w:sz="0" w:space="0" w:color="auto"/>
        <w:left w:val="none" w:sz="0" w:space="0" w:color="auto"/>
        <w:bottom w:val="none" w:sz="0" w:space="0" w:color="auto"/>
        <w:right w:val="none" w:sz="0" w:space="0" w:color="auto"/>
      </w:divBdr>
    </w:div>
    <w:div w:id="272397258">
      <w:bodyDiv w:val="1"/>
      <w:marLeft w:val="0"/>
      <w:marRight w:val="0"/>
      <w:marTop w:val="0"/>
      <w:marBottom w:val="0"/>
      <w:divBdr>
        <w:top w:val="none" w:sz="0" w:space="0" w:color="auto"/>
        <w:left w:val="none" w:sz="0" w:space="0" w:color="auto"/>
        <w:bottom w:val="none" w:sz="0" w:space="0" w:color="auto"/>
        <w:right w:val="none" w:sz="0" w:space="0" w:color="auto"/>
      </w:divBdr>
    </w:div>
    <w:div w:id="276565715">
      <w:bodyDiv w:val="1"/>
      <w:marLeft w:val="0"/>
      <w:marRight w:val="0"/>
      <w:marTop w:val="0"/>
      <w:marBottom w:val="0"/>
      <w:divBdr>
        <w:top w:val="none" w:sz="0" w:space="0" w:color="auto"/>
        <w:left w:val="none" w:sz="0" w:space="0" w:color="auto"/>
        <w:bottom w:val="none" w:sz="0" w:space="0" w:color="auto"/>
        <w:right w:val="none" w:sz="0" w:space="0" w:color="auto"/>
      </w:divBdr>
    </w:div>
    <w:div w:id="304815832">
      <w:bodyDiv w:val="1"/>
      <w:marLeft w:val="0"/>
      <w:marRight w:val="0"/>
      <w:marTop w:val="0"/>
      <w:marBottom w:val="0"/>
      <w:divBdr>
        <w:top w:val="none" w:sz="0" w:space="0" w:color="auto"/>
        <w:left w:val="none" w:sz="0" w:space="0" w:color="auto"/>
        <w:bottom w:val="none" w:sz="0" w:space="0" w:color="auto"/>
        <w:right w:val="none" w:sz="0" w:space="0" w:color="auto"/>
      </w:divBdr>
    </w:div>
    <w:div w:id="635138124">
      <w:bodyDiv w:val="1"/>
      <w:marLeft w:val="0"/>
      <w:marRight w:val="0"/>
      <w:marTop w:val="0"/>
      <w:marBottom w:val="0"/>
      <w:divBdr>
        <w:top w:val="none" w:sz="0" w:space="0" w:color="auto"/>
        <w:left w:val="none" w:sz="0" w:space="0" w:color="auto"/>
        <w:bottom w:val="none" w:sz="0" w:space="0" w:color="auto"/>
        <w:right w:val="none" w:sz="0" w:space="0" w:color="auto"/>
      </w:divBdr>
    </w:div>
    <w:div w:id="671957343">
      <w:bodyDiv w:val="1"/>
      <w:marLeft w:val="0"/>
      <w:marRight w:val="0"/>
      <w:marTop w:val="0"/>
      <w:marBottom w:val="0"/>
      <w:divBdr>
        <w:top w:val="none" w:sz="0" w:space="0" w:color="auto"/>
        <w:left w:val="none" w:sz="0" w:space="0" w:color="auto"/>
        <w:bottom w:val="none" w:sz="0" w:space="0" w:color="auto"/>
        <w:right w:val="none" w:sz="0" w:space="0" w:color="auto"/>
      </w:divBdr>
      <w:divsChild>
        <w:div w:id="822355238">
          <w:marLeft w:val="0"/>
          <w:marRight w:val="0"/>
          <w:marTop w:val="0"/>
          <w:marBottom w:val="0"/>
          <w:divBdr>
            <w:top w:val="none" w:sz="0" w:space="0" w:color="auto"/>
            <w:left w:val="none" w:sz="0" w:space="0" w:color="auto"/>
            <w:bottom w:val="none" w:sz="0" w:space="0" w:color="auto"/>
            <w:right w:val="none" w:sz="0" w:space="0" w:color="auto"/>
          </w:divBdr>
        </w:div>
      </w:divsChild>
    </w:div>
    <w:div w:id="957103711">
      <w:bodyDiv w:val="1"/>
      <w:marLeft w:val="0"/>
      <w:marRight w:val="0"/>
      <w:marTop w:val="0"/>
      <w:marBottom w:val="0"/>
      <w:divBdr>
        <w:top w:val="none" w:sz="0" w:space="0" w:color="auto"/>
        <w:left w:val="none" w:sz="0" w:space="0" w:color="auto"/>
        <w:bottom w:val="none" w:sz="0" w:space="0" w:color="auto"/>
        <w:right w:val="none" w:sz="0" w:space="0" w:color="auto"/>
      </w:divBdr>
    </w:div>
    <w:div w:id="1005400520">
      <w:bodyDiv w:val="1"/>
      <w:marLeft w:val="0"/>
      <w:marRight w:val="0"/>
      <w:marTop w:val="0"/>
      <w:marBottom w:val="0"/>
      <w:divBdr>
        <w:top w:val="none" w:sz="0" w:space="0" w:color="auto"/>
        <w:left w:val="none" w:sz="0" w:space="0" w:color="auto"/>
        <w:bottom w:val="none" w:sz="0" w:space="0" w:color="auto"/>
        <w:right w:val="none" w:sz="0" w:space="0" w:color="auto"/>
      </w:divBdr>
    </w:div>
    <w:div w:id="1022364829">
      <w:bodyDiv w:val="1"/>
      <w:marLeft w:val="0"/>
      <w:marRight w:val="0"/>
      <w:marTop w:val="0"/>
      <w:marBottom w:val="0"/>
      <w:divBdr>
        <w:top w:val="none" w:sz="0" w:space="0" w:color="auto"/>
        <w:left w:val="none" w:sz="0" w:space="0" w:color="auto"/>
        <w:bottom w:val="none" w:sz="0" w:space="0" w:color="auto"/>
        <w:right w:val="none" w:sz="0" w:space="0" w:color="auto"/>
      </w:divBdr>
    </w:div>
    <w:div w:id="1105928461">
      <w:bodyDiv w:val="1"/>
      <w:marLeft w:val="0"/>
      <w:marRight w:val="0"/>
      <w:marTop w:val="0"/>
      <w:marBottom w:val="0"/>
      <w:divBdr>
        <w:top w:val="none" w:sz="0" w:space="0" w:color="auto"/>
        <w:left w:val="none" w:sz="0" w:space="0" w:color="auto"/>
        <w:bottom w:val="none" w:sz="0" w:space="0" w:color="auto"/>
        <w:right w:val="none" w:sz="0" w:space="0" w:color="auto"/>
      </w:divBdr>
    </w:div>
    <w:div w:id="1295067110">
      <w:bodyDiv w:val="1"/>
      <w:marLeft w:val="0"/>
      <w:marRight w:val="0"/>
      <w:marTop w:val="0"/>
      <w:marBottom w:val="0"/>
      <w:divBdr>
        <w:top w:val="none" w:sz="0" w:space="0" w:color="auto"/>
        <w:left w:val="none" w:sz="0" w:space="0" w:color="auto"/>
        <w:bottom w:val="none" w:sz="0" w:space="0" w:color="auto"/>
        <w:right w:val="none" w:sz="0" w:space="0" w:color="auto"/>
      </w:divBdr>
    </w:div>
    <w:div w:id="1370761173">
      <w:bodyDiv w:val="1"/>
      <w:marLeft w:val="0"/>
      <w:marRight w:val="0"/>
      <w:marTop w:val="0"/>
      <w:marBottom w:val="0"/>
      <w:divBdr>
        <w:top w:val="none" w:sz="0" w:space="0" w:color="auto"/>
        <w:left w:val="none" w:sz="0" w:space="0" w:color="auto"/>
        <w:bottom w:val="none" w:sz="0" w:space="0" w:color="auto"/>
        <w:right w:val="none" w:sz="0" w:space="0" w:color="auto"/>
      </w:divBdr>
    </w:div>
    <w:div w:id="1526939380">
      <w:bodyDiv w:val="1"/>
      <w:marLeft w:val="0"/>
      <w:marRight w:val="0"/>
      <w:marTop w:val="0"/>
      <w:marBottom w:val="0"/>
      <w:divBdr>
        <w:top w:val="none" w:sz="0" w:space="0" w:color="auto"/>
        <w:left w:val="none" w:sz="0" w:space="0" w:color="auto"/>
        <w:bottom w:val="none" w:sz="0" w:space="0" w:color="auto"/>
        <w:right w:val="none" w:sz="0" w:space="0" w:color="auto"/>
      </w:divBdr>
    </w:div>
    <w:div w:id="1699769538">
      <w:bodyDiv w:val="1"/>
      <w:marLeft w:val="0"/>
      <w:marRight w:val="0"/>
      <w:marTop w:val="0"/>
      <w:marBottom w:val="0"/>
      <w:divBdr>
        <w:top w:val="none" w:sz="0" w:space="0" w:color="auto"/>
        <w:left w:val="none" w:sz="0" w:space="0" w:color="auto"/>
        <w:bottom w:val="none" w:sz="0" w:space="0" w:color="auto"/>
        <w:right w:val="none" w:sz="0" w:space="0" w:color="auto"/>
      </w:divBdr>
    </w:div>
    <w:div w:id="1709527286">
      <w:bodyDiv w:val="1"/>
      <w:marLeft w:val="0"/>
      <w:marRight w:val="0"/>
      <w:marTop w:val="0"/>
      <w:marBottom w:val="0"/>
      <w:divBdr>
        <w:top w:val="none" w:sz="0" w:space="0" w:color="auto"/>
        <w:left w:val="none" w:sz="0" w:space="0" w:color="auto"/>
        <w:bottom w:val="none" w:sz="0" w:space="0" w:color="auto"/>
        <w:right w:val="none" w:sz="0" w:space="0" w:color="auto"/>
      </w:divBdr>
    </w:div>
    <w:div w:id="1713536300">
      <w:bodyDiv w:val="1"/>
      <w:marLeft w:val="0"/>
      <w:marRight w:val="0"/>
      <w:marTop w:val="0"/>
      <w:marBottom w:val="0"/>
      <w:divBdr>
        <w:top w:val="none" w:sz="0" w:space="0" w:color="auto"/>
        <w:left w:val="none" w:sz="0" w:space="0" w:color="auto"/>
        <w:bottom w:val="none" w:sz="0" w:space="0" w:color="auto"/>
        <w:right w:val="none" w:sz="0" w:space="0" w:color="auto"/>
      </w:divBdr>
    </w:div>
    <w:div w:id="1728529888">
      <w:bodyDiv w:val="1"/>
      <w:marLeft w:val="0"/>
      <w:marRight w:val="0"/>
      <w:marTop w:val="0"/>
      <w:marBottom w:val="0"/>
      <w:divBdr>
        <w:top w:val="none" w:sz="0" w:space="0" w:color="auto"/>
        <w:left w:val="none" w:sz="0" w:space="0" w:color="auto"/>
        <w:bottom w:val="none" w:sz="0" w:space="0" w:color="auto"/>
        <w:right w:val="none" w:sz="0" w:space="0" w:color="auto"/>
      </w:divBdr>
    </w:div>
    <w:div w:id="1731535067">
      <w:bodyDiv w:val="1"/>
      <w:marLeft w:val="0"/>
      <w:marRight w:val="0"/>
      <w:marTop w:val="0"/>
      <w:marBottom w:val="0"/>
      <w:divBdr>
        <w:top w:val="none" w:sz="0" w:space="0" w:color="auto"/>
        <w:left w:val="none" w:sz="0" w:space="0" w:color="auto"/>
        <w:bottom w:val="none" w:sz="0" w:space="0" w:color="auto"/>
        <w:right w:val="none" w:sz="0" w:space="0" w:color="auto"/>
      </w:divBdr>
    </w:div>
    <w:div w:id="1998459159">
      <w:bodyDiv w:val="1"/>
      <w:marLeft w:val="0"/>
      <w:marRight w:val="0"/>
      <w:marTop w:val="0"/>
      <w:marBottom w:val="0"/>
      <w:divBdr>
        <w:top w:val="none" w:sz="0" w:space="0" w:color="auto"/>
        <w:left w:val="none" w:sz="0" w:space="0" w:color="auto"/>
        <w:bottom w:val="none" w:sz="0" w:space="0" w:color="auto"/>
        <w:right w:val="none" w:sz="0" w:space="0" w:color="auto"/>
      </w:divBdr>
    </w:div>
    <w:div w:id="2006518737">
      <w:bodyDiv w:val="1"/>
      <w:marLeft w:val="0"/>
      <w:marRight w:val="0"/>
      <w:marTop w:val="0"/>
      <w:marBottom w:val="0"/>
      <w:divBdr>
        <w:top w:val="none" w:sz="0" w:space="0" w:color="auto"/>
        <w:left w:val="none" w:sz="0" w:space="0" w:color="auto"/>
        <w:bottom w:val="none" w:sz="0" w:space="0" w:color="auto"/>
        <w:right w:val="none" w:sz="0" w:space="0" w:color="auto"/>
      </w:divBdr>
    </w:div>
    <w:div w:id="2129424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2692-94DA-41A1-9491-FC7DD28E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65312</Words>
  <Characters>372279</Characters>
  <Application>Microsoft Office Word</Application>
  <DocSecurity>0</DocSecurity>
  <Lines>3102</Lines>
  <Paragraphs>873</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436718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Danford</dc:creator>
  <cp:lastModifiedBy>Na Ma</cp:lastModifiedBy>
  <cp:revision>2</cp:revision>
  <dcterms:created xsi:type="dcterms:W3CDTF">2018-07-21T16:57:00Z</dcterms:created>
  <dcterms:modified xsi:type="dcterms:W3CDTF">2018-07-21T16:57:00Z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3cf02533-5e4d-3832-a1ff-e7f3dac119e8</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http://www.zotero.org/styles/clinical-gastroenterology-and-hepatology</vt:lpwstr>
  </property>
  <property fmtid="{D5CDD505-2E9C-101B-9397-08002B2CF9AE}" pid="10" name="Mendeley Recent Style Name 2_1">
    <vt:lpwstr>Clinical Gastroenterology and Hepatology</vt:lpwstr>
  </property>
  <property fmtid="{D5CDD505-2E9C-101B-9397-08002B2CF9AE}" pid="11" name="Mendeley Recent Style Id 3_1">
    <vt:lpwstr>http://www.zotero.org/styles/digestive-diseases</vt:lpwstr>
  </property>
  <property fmtid="{D5CDD505-2E9C-101B-9397-08002B2CF9AE}" pid="12" name="Mendeley Recent Style Name 3_1">
    <vt:lpwstr>Digestive Diseases</vt:lpwstr>
  </property>
  <property fmtid="{D5CDD505-2E9C-101B-9397-08002B2CF9AE}" pid="13" name="Mendeley Recent Style Id 4_1">
    <vt:lpwstr>http://www.zotero.org/styles/elsevier-vancouver-author-date</vt:lpwstr>
  </property>
  <property fmtid="{D5CDD505-2E9C-101B-9397-08002B2CF9AE}" pid="14" name="Mendeley Recent Style Name 4_1">
    <vt:lpwstr>Elsevier - Vancouver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http://www.zotero.org/styles/the-american-journal-of-gastroenterology</vt:lpwstr>
  </property>
  <property fmtid="{D5CDD505-2E9C-101B-9397-08002B2CF9AE}" pid="22" name="Mendeley Recent Style Name 8_1">
    <vt:lpwstr>The American Journal of Gastroenterology</vt:lpwstr>
  </property>
  <property fmtid="{D5CDD505-2E9C-101B-9397-08002B2CF9AE}" pid="23" name="Mendeley Recent Style Id 9_1">
    <vt:lpwstr>http://csl.mendeley.com/styles/27812271/the-american-journal-of-gastroenterology</vt:lpwstr>
  </property>
  <property fmtid="{D5CDD505-2E9C-101B-9397-08002B2CF9AE}" pid="24" name="Mendeley Recent Style Name 9_1">
    <vt:lpwstr>The American Journal of Gastroenterology - Christopher Danford</vt:lpwstr>
  </property>
</Properties>
</file>