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F61BC" w14:textId="77777777" w:rsidR="005B7295" w:rsidRPr="00466BAB" w:rsidRDefault="005B7295" w:rsidP="00466BAB">
      <w:pPr>
        <w:spacing w:line="360" w:lineRule="auto"/>
        <w:jc w:val="both"/>
        <w:rPr>
          <w:rFonts w:ascii="Book Antiqua" w:hAnsi="Book Antiqua" w:cs="Arial"/>
          <w:b/>
          <w:sz w:val="24"/>
          <w:szCs w:val="24"/>
        </w:rPr>
      </w:pPr>
      <w:r w:rsidRPr="00466BAB">
        <w:rPr>
          <w:rFonts w:ascii="Book Antiqua" w:hAnsi="Book Antiqua" w:cs="Arial"/>
          <w:b/>
          <w:sz w:val="24"/>
          <w:szCs w:val="24"/>
        </w:rPr>
        <w:t>Name of Journal:</w:t>
      </w:r>
      <w:r w:rsidRPr="00466BAB">
        <w:rPr>
          <w:rFonts w:ascii="Book Antiqua" w:hAnsi="Book Antiqua" w:cs="Arial"/>
          <w:b/>
          <w:i/>
          <w:sz w:val="24"/>
          <w:szCs w:val="24"/>
        </w:rPr>
        <w:t xml:space="preserve"> </w:t>
      </w:r>
      <w:r w:rsidRPr="00466BAB">
        <w:rPr>
          <w:rFonts w:ascii="Book Antiqua" w:hAnsi="Book Antiqua" w:cs="Arial"/>
          <w:i/>
          <w:sz w:val="24"/>
          <w:szCs w:val="24"/>
        </w:rPr>
        <w:t>World Journal of Gastrointestinal Endoscopy</w:t>
      </w:r>
    </w:p>
    <w:p w14:paraId="6C85278F" w14:textId="77777777" w:rsidR="005B7295" w:rsidRPr="00466BAB" w:rsidRDefault="005B7295" w:rsidP="00466BAB">
      <w:pPr>
        <w:spacing w:line="360" w:lineRule="auto"/>
        <w:jc w:val="both"/>
        <w:rPr>
          <w:rFonts w:ascii="Book Antiqua" w:eastAsia="宋体" w:hAnsi="Book Antiqua" w:cs="Arial"/>
          <w:b/>
          <w:sz w:val="24"/>
          <w:szCs w:val="24"/>
          <w:lang w:eastAsia="zh-CN"/>
        </w:rPr>
      </w:pPr>
      <w:r w:rsidRPr="00466BAB">
        <w:rPr>
          <w:rFonts w:ascii="Book Antiqua" w:hAnsi="Book Antiqua" w:cs="Arial"/>
          <w:b/>
          <w:sz w:val="24"/>
          <w:szCs w:val="24"/>
        </w:rPr>
        <w:t xml:space="preserve">Manuscript NO: </w:t>
      </w:r>
      <w:r w:rsidRPr="00466BAB">
        <w:rPr>
          <w:rFonts w:ascii="Book Antiqua" w:eastAsia="宋体" w:hAnsi="Book Antiqua" w:cs="Arial"/>
          <w:sz w:val="24"/>
          <w:szCs w:val="24"/>
          <w:lang w:eastAsia="zh-CN"/>
        </w:rPr>
        <w:t>40156</w:t>
      </w:r>
    </w:p>
    <w:p w14:paraId="4B4B96FA" w14:textId="77777777" w:rsidR="005B7295" w:rsidRPr="00466BAB" w:rsidRDefault="005B7295" w:rsidP="00466BAB">
      <w:pPr>
        <w:spacing w:line="360" w:lineRule="auto"/>
        <w:jc w:val="both"/>
        <w:rPr>
          <w:rFonts w:ascii="Book Antiqua" w:eastAsia="宋体" w:hAnsi="Book Antiqua" w:cs="Arial"/>
          <w:b/>
          <w:sz w:val="24"/>
          <w:szCs w:val="24"/>
          <w:lang w:eastAsia="zh-CN"/>
        </w:rPr>
      </w:pPr>
      <w:r w:rsidRPr="00466BAB">
        <w:rPr>
          <w:rFonts w:ascii="Book Antiqua" w:hAnsi="Book Antiqua" w:cs="Arial"/>
          <w:b/>
          <w:sz w:val="24"/>
          <w:szCs w:val="24"/>
        </w:rPr>
        <w:t xml:space="preserve">Manuscript Type: </w:t>
      </w:r>
      <w:r w:rsidRPr="00466BAB">
        <w:rPr>
          <w:rFonts w:ascii="Book Antiqua" w:eastAsia="宋体" w:hAnsi="Book Antiqua" w:cs="Arial"/>
          <w:sz w:val="24"/>
          <w:szCs w:val="24"/>
          <w:lang w:eastAsia="zh-CN"/>
        </w:rPr>
        <w:t>EDITORIAL</w:t>
      </w:r>
    </w:p>
    <w:p w14:paraId="2DEBE297" w14:textId="77777777" w:rsidR="005B7295" w:rsidRPr="00466BAB" w:rsidRDefault="005B7295" w:rsidP="00466BAB">
      <w:pPr>
        <w:spacing w:line="360" w:lineRule="auto"/>
        <w:jc w:val="both"/>
        <w:rPr>
          <w:rFonts w:ascii="Book Antiqua" w:eastAsia="宋体" w:hAnsi="Book Antiqua" w:cs="Arial"/>
          <w:b/>
          <w:sz w:val="24"/>
          <w:szCs w:val="24"/>
          <w:lang w:eastAsia="zh-CN"/>
        </w:rPr>
      </w:pPr>
    </w:p>
    <w:p w14:paraId="4D6098AA" w14:textId="77777777" w:rsidR="005B7295" w:rsidRPr="00466BAB" w:rsidRDefault="005B7295" w:rsidP="00466BAB">
      <w:pPr>
        <w:spacing w:line="360" w:lineRule="auto"/>
        <w:jc w:val="both"/>
        <w:rPr>
          <w:rFonts w:ascii="Book Antiqua" w:eastAsiaTheme="minorEastAsia" w:hAnsi="Book Antiqua" w:cs="Arial"/>
          <w:b/>
          <w:sz w:val="24"/>
          <w:szCs w:val="24"/>
          <w:lang w:eastAsia="zh-CN"/>
        </w:rPr>
      </w:pPr>
      <w:r w:rsidRPr="00466BAB">
        <w:rPr>
          <w:rFonts w:ascii="Book Antiqua" w:hAnsi="Book Antiqua" w:cs="Arial"/>
          <w:b/>
          <w:sz w:val="24"/>
          <w:szCs w:val="24"/>
        </w:rPr>
        <w:t>Routine surveillance endoscopy before and after sleeve gastrectomy?</w:t>
      </w:r>
    </w:p>
    <w:p w14:paraId="0DCD9B7C" w14:textId="77777777" w:rsidR="005B7295" w:rsidRPr="00466BAB" w:rsidRDefault="005B7295" w:rsidP="00466BAB">
      <w:pPr>
        <w:spacing w:line="360" w:lineRule="auto"/>
        <w:jc w:val="both"/>
        <w:rPr>
          <w:rFonts w:ascii="Book Antiqua" w:eastAsiaTheme="minorEastAsia" w:hAnsi="Book Antiqua" w:cs="Arial"/>
          <w:b/>
          <w:i/>
          <w:iCs/>
          <w:sz w:val="24"/>
          <w:szCs w:val="24"/>
          <w:lang w:eastAsia="zh-CN"/>
        </w:rPr>
      </w:pPr>
    </w:p>
    <w:p w14:paraId="23D2A2D7"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r w:rsidRPr="00466BAB">
        <w:rPr>
          <w:rFonts w:ascii="Book Antiqua" w:hAnsi="Book Antiqua" w:cs="Arial"/>
          <w:sz w:val="24"/>
          <w:szCs w:val="24"/>
        </w:rPr>
        <w:t>Kassir</w:t>
      </w:r>
      <w:r w:rsidRPr="00466BAB">
        <w:rPr>
          <w:rFonts w:ascii="Book Antiqua" w:eastAsiaTheme="minorEastAsia" w:hAnsi="Book Antiqua" w:cs="Arial"/>
          <w:sz w:val="24"/>
          <w:szCs w:val="24"/>
          <w:lang w:eastAsia="zh-CN"/>
        </w:rPr>
        <w:t xml:space="preserve"> R </w:t>
      </w:r>
      <w:r w:rsidRPr="00466BAB">
        <w:rPr>
          <w:rFonts w:ascii="Book Antiqua" w:eastAsiaTheme="minorEastAsia" w:hAnsi="Book Antiqua" w:cs="Arial"/>
          <w:i/>
          <w:sz w:val="24"/>
          <w:szCs w:val="24"/>
          <w:lang w:eastAsia="zh-CN"/>
        </w:rPr>
        <w:t>et al.</w:t>
      </w:r>
      <w:r w:rsidRPr="00466BAB">
        <w:rPr>
          <w:rFonts w:ascii="Book Antiqua" w:hAnsi="Book Antiqua" w:cs="Arial"/>
          <w:sz w:val="24"/>
          <w:szCs w:val="24"/>
        </w:rPr>
        <w:t xml:space="preserve"> Endoscopy and bariatric surgery</w:t>
      </w:r>
    </w:p>
    <w:p w14:paraId="62BDCDD2" w14:textId="77777777" w:rsidR="005B7295" w:rsidRPr="00466BAB" w:rsidRDefault="005B7295" w:rsidP="00466BAB">
      <w:pPr>
        <w:spacing w:line="360" w:lineRule="auto"/>
        <w:jc w:val="both"/>
        <w:rPr>
          <w:rFonts w:ascii="Book Antiqua" w:eastAsiaTheme="minorEastAsia" w:hAnsi="Book Antiqua" w:cs="Arial"/>
          <w:b/>
          <w:sz w:val="24"/>
          <w:szCs w:val="24"/>
          <w:lang w:eastAsia="zh-CN"/>
        </w:rPr>
      </w:pPr>
    </w:p>
    <w:p w14:paraId="6B93D9F6"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r w:rsidRPr="00466BAB">
        <w:rPr>
          <w:rFonts w:ascii="Book Antiqua" w:hAnsi="Book Antiqua" w:cs="Arial"/>
          <w:sz w:val="24"/>
          <w:szCs w:val="24"/>
        </w:rPr>
        <w:t>Radwan Kassir</w:t>
      </w:r>
      <w:r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Rani Kassir</w:t>
      </w:r>
      <w:r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Bénédicte Deparseval</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Sarah Bekkar</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Chloé Serayssol</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Olivier Favre</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Pierre-Philippe Garnier</w:t>
      </w:r>
    </w:p>
    <w:p w14:paraId="221DA409" w14:textId="77777777" w:rsidR="005B7295" w:rsidRPr="00466BAB" w:rsidRDefault="005B7295" w:rsidP="00466BAB">
      <w:pPr>
        <w:spacing w:line="360" w:lineRule="auto"/>
        <w:jc w:val="both"/>
        <w:rPr>
          <w:rFonts w:ascii="Book Antiqua" w:eastAsiaTheme="minorEastAsia" w:hAnsi="Book Antiqua" w:cs="Arial"/>
          <w:b/>
          <w:sz w:val="24"/>
          <w:szCs w:val="24"/>
          <w:lang w:val="en" w:eastAsia="zh-CN"/>
        </w:rPr>
      </w:pPr>
    </w:p>
    <w:p w14:paraId="662AB5DF" w14:textId="77777777" w:rsidR="005B7295" w:rsidRPr="00466BAB" w:rsidRDefault="005B7295" w:rsidP="00466BAB">
      <w:pPr>
        <w:pStyle w:val="a4"/>
        <w:spacing w:line="360" w:lineRule="auto"/>
        <w:ind w:left="0"/>
        <w:jc w:val="both"/>
        <w:rPr>
          <w:rFonts w:ascii="Book Antiqua" w:eastAsiaTheme="minorEastAsia" w:hAnsi="Book Antiqua" w:cs="Arial"/>
          <w:lang w:val="en-US" w:eastAsia="zh-CN"/>
        </w:rPr>
      </w:pPr>
      <w:r w:rsidRPr="00466BAB">
        <w:rPr>
          <w:rFonts w:ascii="Book Antiqua" w:hAnsi="Book Antiqua" w:cs="Arial"/>
          <w:b/>
        </w:rPr>
        <w:t>Radwan Kassir</w:t>
      </w:r>
      <w:r w:rsidRPr="00466BAB">
        <w:rPr>
          <w:rFonts w:ascii="Book Antiqua" w:eastAsiaTheme="minorEastAsia" w:hAnsi="Book Antiqua" w:cs="Arial"/>
          <w:b/>
          <w:lang w:eastAsia="zh-CN"/>
        </w:rPr>
        <w:t xml:space="preserve">, </w:t>
      </w:r>
      <w:r w:rsidRPr="00466BAB">
        <w:rPr>
          <w:rFonts w:ascii="Book Antiqua" w:hAnsi="Book Antiqua" w:cs="Arial"/>
          <w:b/>
        </w:rPr>
        <w:t>Rani Kassir</w:t>
      </w:r>
      <w:r w:rsidRPr="00466BAB">
        <w:rPr>
          <w:rFonts w:ascii="Book Antiqua" w:eastAsiaTheme="minorEastAsia" w:hAnsi="Book Antiqua" w:cs="Arial"/>
          <w:b/>
          <w:lang w:eastAsia="zh-CN"/>
        </w:rPr>
        <w:t xml:space="preserve">, </w:t>
      </w:r>
      <w:r w:rsidRPr="00466BAB">
        <w:rPr>
          <w:rFonts w:ascii="Book Antiqua" w:hAnsi="Book Antiqua" w:cs="Arial"/>
          <w:b/>
        </w:rPr>
        <w:t>Bénédicte Deparseval</w:t>
      </w:r>
      <w:r w:rsidRPr="00466BAB">
        <w:rPr>
          <w:rFonts w:ascii="Book Antiqua" w:eastAsiaTheme="minorEastAsia" w:hAnsi="Book Antiqua" w:cs="Arial"/>
          <w:b/>
          <w:lang w:eastAsia="zh-CN"/>
        </w:rPr>
        <w:t>,</w:t>
      </w:r>
      <w:r w:rsidRPr="00466BAB">
        <w:rPr>
          <w:rFonts w:ascii="Book Antiqua" w:hAnsi="Book Antiqua" w:cs="Arial"/>
          <w:b/>
        </w:rPr>
        <w:t xml:space="preserve"> Sarah Bekkar</w:t>
      </w:r>
      <w:r w:rsidRPr="00466BAB">
        <w:rPr>
          <w:rFonts w:ascii="Book Antiqua" w:eastAsiaTheme="minorEastAsia" w:hAnsi="Book Antiqua" w:cs="Arial"/>
          <w:b/>
          <w:lang w:eastAsia="zh-CN"/>
        </w:rPr>
        <w:t>,</w:t>
      </w:r>
      <w:r w:rsidRPr="00466BAB">
        <w:rPr>
          <w:rFonts w:ascii="Book Antiqua" w:hAnsi="Book Antiqua" w:cs="Arial"/>
          <w:b/>
        </w:rPr>
        <w:t xml:space="preserve"> Chloé Serayssol</w:t>
      </w:r>
      <w:r w:rsidRPr="00466BAB">
        <w:rPr>
          <w:rFonts w:ascii="Book Antiqua" w:eastAsiaTheme="minorEastAsia" w:hAnsi="Book Antiqua" w:cs="Arial"/>
          <w:b/>
          <w:lang w:eastAsia="zh-CN"/>
        </w:rPr>
        <w:t>,</w:t>
      </w:r>
      <w:r w:rsidRPr="00466BAB">
        <w:rPr>
          <w:rFonts w:ascii="Book Antiqua" w:hAnsi="Book Antiqua" w:cs="Arial"/>
          <w:lang w:val="en-US"/>
        </w:rPr>
        <w:t xml:space="preserve"> Department of Bariatric Surgery, CHU Félix Guyon, La Réunion, Saint Denis</w:t>
      </w:r>
      <w:r w:rsidRPr="00466BAB">
        <w:rPr>
          <w:rFonts w:ascii="Book Antiqua" w:eastAsiaTheme="minorEastAsia" w:hAnsi="Book Antiqua" w:cs="Arial"/>
          <w:lang w:val="en-US" w:eastAsia="zh-CN"/>
        </w:rPr>
        <w:t xml:space="preserve"> </w:t>
      </w:r>
      <w:r w:rsidRPr="00466BAB">
        <w:rPr>
          <w:rFonts w:ascii="Book Antiqua" w:hAnsi="Book Antiqua" w:cs="Arial"/>
          <w:lang w:val="en-US"/>
        </w:rPr>
        <w:t>97400, France</w:t>
      </w:r>
    </w:p>
    <w:p w14:paraId="0F902C98"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p>
    <w:p w14:paraId="290B6B02" w14:textId="77777777" w:rsidR="005B7295" w:rsidRPr="00466BAB" w:rsidRDefault="005B7295" w:rsidP="00466BAB">
      <w:pPr>
        <w:pStyle w:val="a4"/>
        <w:spacing w:line="360" w:lineRule="auto"/>
        <w:ind w:left="0"/>
        <w:jc w:val="both"/>
        <w:rPr>
          <w:rFonts w:ascii="Book Antiqua" w:hAnsi="Book Antiqua" w:cs="Arial"/>
          <w:vertAlign w:val="superscript"/>
        </w:rPr>
      </w:pPr>
      <w:r w:rsidRPr="00466BAB">
        <w:rPr>
          <w:rFonts w:ascii="Book Antiqua" w:hAnsi="Book Antiqua" w:cs="Arial"/>
          <w:b/>
        </w:rPr>
        <w:t>Olivier Favre</w:t>
      </w:r>
      <w:r w:rsidRPr="00466BAB">
        <w:rPr>
          <w:rFonts w:ascii="Book Antiqua" w:eastAsiaTheme="minorEastAsia" w:hAnsi="Book Antiqua" w:cs="Arial"/>
          <w:b/>
          <w:lang w:eastAsia="zh-CN"/>
        </w:rPr>
        <w:t>,</w:t>
      </w:r>
      <w:r w:rsidRPr="00466BAB">
        <w:rPr>
          <w:rFonts w:ascii="Book Antiqua" w:hAnsi="Book Antiqua" w:cs="Arial"/>
          <w:b/>
        </w:rPr>
        <w:t xml:space="preserve"> Pierre-Philippe Garnier</w:t>
      </w:r>
      <w:r w:rsidRPr="00466BAB">
        <w:rPr>
          <w:rFonts w:ascii="Book Antiqua" w:eastAsiaTheme="minorEastAsia" w:hAnsi="Book Antiqua" w:cs="Arial"/>
          <w:b/>
          <w:lang w:eastAsia="zh-CN"/>
        </w:rPr>
        <w:t>,</w:t>
      </w:r>
      <w:r w:rsidRPr="00466BAB">
        <w:rPr>
          <w:rFonts w:ascii="Book Antiqua" w:hAnsi="Book Antiqua" w:cs="Arial"/>
          <w:lang w:val="en-US"/>
        </w:rPr>
        <w:t xml:space="preserve"> Department of Gastroenterology, CHU Félix Guyon, La Réunion, Saint Denis 97400</w:t>
      </w:r>
      <w:r w:rsidRPr="00466BAB">
        <w:rPr>
          <w:rFonts w:ascii="Book Antiqua" w:eastAsiaTheme="minorEastAsia" w:hAnsi="Book Antiqua" w:cs="Arial"/>
          <w:lang w:val="en-US" w:eastAsia="zh-CN"/>
        </w:rPr>
        <w:t>,</w:t>
      </w:r>
      <w:r w:rsidRPr="00466BAB">
        <w:rPr>
          <w:rFonts w:ascii="Book Antiqua" w:hAnsi="Book Antiqua" w:cs="Arial"/>
          <w:lang w:val="en-US"/>
        </w:rPr>
        <w:t xml:space="preserve"> France</w:t>
      </w:r>
    </w:p>
    <w:p w14:paraId="3614F083" w14:textId="77777777" w:rsidR="005B7295" w:rsidRPr="00466BAB" w:rsidRDefault="005B7295" w:rsidP="00466BAB">
      <w:pPr>
        <w:pStyle w:val="Sansinterligne1"/>
        <w:spacing w:line="360" w:lineRule="auto"/>
        <w:jc w:val="both"/>
        <w:rPr>
          <w:rFonts w:ascii="Book Antiqua" w:eastAsiaTheme="minorEastAsia" w:hAnsi="Book Antiqua" w:cs="Arial"/>
          <w:sz w:val="24"/>
          <w:szCs w:val="24"/>
          <w:lang w:val="en-US" w:eastAsia="zh-CN"/>
        </w:rPr>
      </w:pPr>
    </w:p>
    <w:p w14:paraId="5C5BA1B0" w14:textId="77777777" w:rsidR="005B7295" w:rsidRPr="00466BAB" w:rsidRDefault="005B7295" w:rsidP="00466BAB">
      <w:pPr>
        <w:pStyle w:val="Sansinterligne1"/>
        <w:spacing w:line="360" w:lineRule="auto"/>
        <w:jc w:val="both"/>
        <w:rPr>
          <w:rFonts w:ascii="Book Antiqua" w:eastAsiaTheme="minorEastAsia" w:hAnsi="Book Antiqua" w:cs="Arial"/>
          <w:sz w:val="24"/>
          <w:szCs w:val="24"/>
          <w:lang w:eastAsia="zh-CN"/>
        </w:rPr>
      </w:pPr>
      <w:r w:rsidRPr="00466BAB">
        <w:rPr>
          <w:rFonts w:ascii="Book Antiqua" w:hAnsi="Book Antiqua"/>
          <w:b/>
          <w:sz w:val="24"/>
          <w:szCs w:val="24"/>
        </w:rPr>
        <w:t>ORCID number:</w:t>
      </w:r>
      <w:r w:rsidRPr="00466BAB">
        <w:rPr>
          <w:rFonts w:ascii="Book Antiqua" w:hAnsi="Book Antiqua"/>
          <w:sz w:val="24"/>
          <w:szCs w:val="24"/>
        </w:rPr>
        <w:t> </w:t>
      </w:r>
      <w:r w:rsidRPr="00466BAB">
        <w:rPr>
          <w:rFonts w:ascii="Book Antiqua" w:hAnsi="Book Antiqua" w:cs="Arial"/>
          <w:sz w:val="24"/>
          <w:szCs w:val="24"/>
        </w:rPr>
        <w:t>Radwan Kassir</w:t>
      </w:r>
      <w:r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0000-0002-3987-5272</w:t>
      </w:r>
      <w:r w:rsidRPr="00466BAB">
        <w:rPr>
          <w:rFonts w:ascii="Book Antiqua" w:eastAsiaTheme="minorEastAsia" w:hAnsi="Book Antiqua" w:cs="Arial"/>
          <w:sz w:val="24"/>
          <w:szCs w:val="24"/>
          <w:lang w:eastAsia="zh-CN"/>
        </w:rPr>
        <w:t xml:space="preserve">) ; </w:t>
      </w:r>
      <w:r w:rsidRPr="00466BAB">
        <w:rPr>
          <w:rFonts w:ascii="Book Antiqua" w:hAnsi="Book Antiqua" w:cs="Arial"/>
          <w:sz w:val="24"/>
          <w:szCs w:val="24"/>
        </w:rPr>
        <w:t>Rani Kassir</w:t>
      </w:r>
      <w:r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0000-0002-1703-1212</w:t>
      </w:r>
      <w:r w:rsidRPr="00466BAB">
        <w:rPr>
          <w:rFonts w:ascii="Book Antiqua" w:eastAsiaTheme="minorEastAsia" w:hAnsi="Book Antiqua" w:cs="Arial"/>
          <w:sz w:val="24"/>
          <w:szCs w:val="24"/>
          <w:lang w:eastAsia="zh-CN"/>
        </w:rPr>
        <w:t>).</w:t>
      </w:r>
    </w:p>
    <w:p w14:paraId="4256BD72" w14:textId="77777777" w:rsidR="005B7295" w:rsidRPr="00466BAB" w:rsidRDefault="005B7295" w:rsidP="00466BAB">
      <w:pPr>
        <w:pStyle w:val="Sansinterligne1"/>
        <w:spacing w:line="360" w:lineRule="auto"/>
        <w:jc w:val="both"/>
        <w:rPr>
          <w:rFonts w:ascii="Book Antiqua" w:eastAsiaTheme="minorEastAsia" w:hAnsi="Book Antiqua" w:cs="Arial"/>
          <w:sz w:val="24"/>
          <w:szCs w:val="24"/>
          <w:lang w:val="en-US" w:eastAsia="zh-CN"/>
        </w:rPr>
      </w:pPr>
    </w:p>
    <w:p w14:paraId="14AE9675"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r w:rsidRPr="00466BAB">
        <w:rPr>
          <w:rFonts w:ascii="Book Antiqua" w:hAnsi="Book Antiqua"/>
          <w:b/>
          <w:sz w:val="24"/>
          <w:szCs w:val="24"/>
        </w:rPr>
        <w:t>Author contributions:</w:t>
      </w:r>
      <w:r w:rsidRPr="00466BAB">
        <w:rPr>
          <w:rFonts w:ascii="Book Antiqua" w:hAnsi="Book Antiqua" w:cs="Arial"/>
          <w:sz w:val="24"/>
          <w:szCs w:val="24"/>
        </w:rPr>
        <w:t xml:space="preserve"> All authors participated in all stages of development of the study</w:t>
      </w:r>
      <w:r w:rsidRPr="00466BAB">
        <w:rPr>
          <w:rFonts w:ascii="Book Antiqua" w:eastAsiaTheme="minorEastAsia" w:hAnsi="Book Antiqua" w:cs="Arial"/>
          <w:sz w:val="24"/>
          <w:szCs w:val="24"/>
          <w:lang w:eastAsia="zh-CN"/>
        </w:rPr>
        <w:t>.</w:t>
      </w:r>
    </w:p>
    <w:p w14:paraId="08CECA65" w14:textId="77777777" w:rsidR="005B7295" w:rsidRPr="00466BAB" w:rsidRDefault="005B7295" w:rsidP="00466BAB">
      <w:pPr>
        <w:spacing w:line="360" w:lineRule="auto"/>
        <w:jc w:val="both"/>
        <w:rPr>
          <w:rFonts w:ascii="Book Antiqua" w:hAnsi="Book Antiqua" w:cs="Arial"/>
          <w:b/>
          <w:sz w:val="24"/>
          <w:szCs w:val="24"/>
        </w:rPr>
      </w:pPr>
    </w:p>
    <w:p w14:paraId="0037278A" w14:textId="77777777"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Conflict-of-interest statement</w:t>
      </w:r>
      <w:r w:rsidRPr="00466BAB">
        <w:rPr>
          <w:rFonts w:ascii="Book Antiqua" w:hAnsi="Book Antiqua" w:cs="TimesNewRomanPS-BoldItalicMT"/>
          <w:b/>
          <w:iCs/>
          <w:sz w:val="24"/>
          <w:szCs w:val="24"/>
        </w:rPr>
        <w:t xml:space="preserve">: </w:t>
      </w:r>
      <w:r w:rsidRPr="00466BAB">
        <w:rPr>
          <w:rFonts w:ascii="Book Antiqua" w:hAnsi="Book Antiqua" w:cs="Arial"/>
          <w:sz w:val="24"/>
          <w:szCs w:val="24"/>
        </w:rPr>
        <w:t>The authors declare no conflict of interest</w:t>
      </w:r>
      <w:r w:rsidRPr="00466BAB">
        <w:rPr>
          <w:rFonts w:ascii="Book Antiqua" w:hAnsi="Book Antiqua" w:cs="Arial"/>
          <w:b/>
          <w:sz w:val="24"/>
          <w:szCs w:val="24"/>
        </w:rPr>
        <w:t>.</w:t>
      </w:r>
    </w:p>
    <w:p w14:paraId="5EF47800" w14:textId="77777777" w:rsidR="005B7295" w:rsidRPr="00466BAB" w:rsidRDefault="005B7295" w:rsidP="00466BAB">
      <w:pPr>
        <w:widowControl/>
        <w:adjustRightInd w:val="0"/>
        <w:snapToGrid w:val="0"/>
        <w:spacing w:line="360" w:lineRule="auto"/>
        <w:jc w:val="both"/>
        <w:rPr>
          <w:rFonts w:ascii="Book Antiqua" w:eastAsiaTheme="minorEastAsia" w:hAnsi="Book Antiqua"/>
          <w:b/>
          <w:sz w:val="24"/>
          <w:szCs w:val="24"/>
          <w:lang w:eastAsia="zh-CN"/>
        </w:rPr>
      </w:pPr>
    </w:p>
    <w:p w14:paraId="63AC91E8" w14:textId="77777777" w:rsidR="005B7295" w:rsidRPr="00466BAB" w:rsidRDefault="005B7295" w:rsidP="00466BAB">
      <w:pPr>
        <w:widowControl/>
        <w:adjustRightInd w:val="0"/>
        <w:snapToGrid w:val="0"/>
        <w:spacing w:line="360" w:lineRule="auto"/>
        <w:jc w:val="both"/>
        <w:rPr>
          <w:rFonts w:ascii="Book Antiqua" w:hAnsi="Book Antiqua"/>
          <w:sz w:val="24"/>
          <w:szCs w:val="24"/>
        </w:rPr>
      </w:pPr>
      <w:r w:rsidRPr="00466BAB">
        <w:rPr>
          <w:rFonts w:ascii="Book Antiqua" w:hAnsi="Book Antiqua"/>
          <w:b/>
          <w:sz w:val="24"/>
          <w:szCs w:val="24"/>
        </w:rPr>
        <w:t xml:space="preserve">Open-Access: </w:t>
      </w:r>
      <w:r w:rsidRPr="00466B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466BAB">
        <w:rPr>
          <w:rFonts w:ascii="Book Antiqua" w:hAnsi="Book Antiqua"/>
          <w:sz w:val="24"/>
          <w:szCs w:val="24"/>
        </w:rPr>
        <w:lastRenderedPageBreak/>
        <w:t xml:space="preserve">original work is properly cited and the use is non-commercial. See: </w:t>
      </w:r>
      <w:hyperlink r:id="rId8" w:history="1">
        <w:r w:rsidRPr="00466BAB">
          <w:rPr>
            <w:rStyle w:val="a3"/>
            <w:rFonts w:ascii="Book Antiqua" w:hAnsi="Book Antiqua"/>
            <w:sz w:val="24"/>
            <w:szCs w:val="24"/>
          </w:rPr>
          <w:t>http://creativecommons.org/licenses/by-nc/4.0/</w:t>
        </w:r>
      </w:hyperlink>
    </w:p>
    <w:p w14:paraId="6E666DCF" w14:textId="77777777" w:rsidR="005B7295" w:rsidRPr="00466BAB" w:rsidRDefault="005B7295" w:rsidP="00466BAB">
      <w:pPr>
        <w:spacing w:line="360" w:lineRule="auto"/>
        <w:jc w:val="both"/>
        <w:rPr>
          <w:rFonts w:ascii="Book Antiqua" w:eastAsiaTheme="minorEastAsia" w:hAnsi="Book Antiqua" w:cs="Arial"/>
          <w:sz w:val="24"/>
          <w:szCs w:val="24"/>
          <w:lang w:val="en-US" w:eastAsia="zh-CN"/>
        </w:rPr>
      </w:pPr>
    </w:p>
    <w:p w14:paraId="6A8F9A0E" w14:textId="77777777" w:rsidR="005B7295" w:rsidRPr="00466BAB" w:rsidRDefault="005B7295" w:rsidP="00466BAB">
      <w:pPr>
        <w:adjustRightInd w:val="0"/>
        <w:snapToGrid w:val="0"/>
        <w:spacing w:line="360" w:lineRule="auto"/>
        <w:jc w:val="both"/>
        <w:rPr>
          <w:rFonts w:ascii="Book Antiqua" w:hAnsi="Book Antiqua"/>
          <w:sz w:val="24"/>
          <w:szCs w:val="24"/>
        </w:rPr>
      </w:pPr>
      <w:r w:rsidRPr="00466BAB">
        <w:rPr>
          <w:rFonts w:ascii="Book Antiqua" w:eastAsia="宋体" w:hAnsi="Book Antiqua" w:cs="宋体"/>
          <w:b/>
          <w:sz w:val="24"/>
          <w:szCs w:val="24"/>
        </w:rPr>
        <w:t>Manuscript source:</w:t>
      </w:r>
      <w:r w:rsidRPr="00466BAB">
        <w:rPr>
          <w:rFonts w:ascii="Book Antiqua" w:eastAsia="宋体" w:hAnsi="Book Antiqua" w:cs="宋体"/>
          <w:sz w:val="24"/>
          <w:szCs w:val="24"/>
        </w:rPr>
        <w:t> Invited manuscript</w:t>
      </w:r>
    </w:p>
    <w:p w14:paraId="2215EEAB"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p>
    <w:p w14:paraId="3E71D8F5" w14:textId="1DF483FB" w:rsidR="005B7295" w:rsidRPr="00466BAB" w:rsidRDefault="00245AF8" w:rsidP="00466BAB">
      <w:pPr>
        <w:spacing w:line="360" w:lineRule="auto"/>
        <w:jc w:val="both"/>
        <w:rPr>
          <w:rFonts w:ascii="Book Antiqua" w:eastAsiaTheme="minorEastAsia" w:hAnsi="Book Antiqua" w:cs="Arial"/>
          <w:sz w:val="24"/>
          <w:szCs w:val="24"/>
          <w:lang w:val="en-US" w:eastAsia="zh-CN"/>
        </w:rPr>
      </w:pPr>
      <w:r w:rsidRPr="00466BAB">
        <w:rPr>
          <w:rFonts w:ascii="Book Antiqua" w:hAnsi="Book Antiqua"/>
          <w:b/>
          <w:color w:val="000000"/>
          <w:sz w:val="24"/>
          <w:szCs w:val="24"/>
        </w:rPr>
        <w:t>Corresponding author</w:t>
      </w:r>
      <w:r w:rsidR="005B7295" w:rsidRPr="00466BAB">
        <w:rPr>
          <w:rFonts w:ascii="Book Antiqua" w:hAnsi="Book Antiqua"/>
          <w:b/>
          <w:sz w:val="24"/>
          <w:szCs w:val="24"/>
        </w:rPr>
        <w:t xml:space="preserve">: </w:t>
      </w:r>
      <w:r w:rsidR="005B7295" w:rsidRPr="00466BAB">
        <w:rPr>
          <w:rFonts w:ascii="Book Antiqua" w:hAnsi="Book Antiqua" w:cs="Arial"/>
          <w:b/>
          <w:sz w:val="24"/>
          <w:szCs w:val="24"/>
        </w:rPr>
        <w:t>Radwan Kassir</w:t>
      </w:r>
      <w:r w:rsidR="005B7295" w:rsidRPr="00466BAB">
        <w:rPr>
          <w:rFonts w:ascii="Book Antiqua" w:eastAsiaTheme="minorEastAsia" w:hAnsi="Book Antiqua" w:cs="Arial"/>
          <w:b/>
          <w:sz w:val="24"/>
          <w:szCs w:val="24"/>
          <w:lang w:eastAsia="zh-CN"/>
        </w:rPr>
        <w:t>,</w:t>
      </w:r>
      <w:r w:rsidR="005B7295" w:rsidRPr="00466BAB">
        <w:rPr>
          <w:rFonts w:ascii="Book Antiqua" w:hAnsi="Book Antiqua"/>
          <w:b/>
          <w:sz w:val="24"/>
          <w:szCs w:val="24"/>
        </w:rPr>
        <w:t xml:space="preserve"> MD, Professor,</w:t>
      </w:r>
      <w:r w:rsidR="005B7295" w:rsidRPr="00466BAB">
        <w:rPr>
          <w:rFonts w:ascii="Book Antiqua" w:hAnsi="Book Antiqua" w:cs="Arial"/>
          <w:sz w:val="24"/>
          <w:szCs w:val="24"/>
          <w:lang w:val="en-US"/>
        </w:rPr>
        <w:t xml:space="preserve"> Department of Bariatric Surgery, CHU Félix </w:t>
      </w:r>
      <w:proofErr w:type="spellStart"/>
      <w:r w:rsidR="005B7295" w:rsidRPr="00466BAB">
        <w:rPr>
          <w:rFonts w:ascii="Book Antiqua" w:hAnsi="Book Antiqua" w:cs="Arial"/>
          <w:sz w:val="24"/>
          <w:szCs w:val="24"/>
          <w:lang w:val="en-US"/>
        </w:rPr>
        <w:t>Guyon</w:t>
      </w:r>
      <w:proofErr w:type="spellEnd"/>
      <w:r w:rsidR="005B7295" w:rsidRPr="00466BAB">
        <w:rPr>
          <w:rFonts w:ascii="Book Antiqua" w:hAnsi="Book Antiqua" w:cs="Arial"/>
          <w:sz w:val="24"/>
          <w:szCs w:val="24"/>
          <w:lang w:val="en-US"/>
        </w:rPr>
        <w:t xml:space="preserve">, La </w:t>
      </w:r>
      <w:proofErr w:type="spellStart"/>
      <w:r w:rsidR="005B7295" w:rsidRPr="00466BAB">
        <w:rPr>
          <w:rFonts w:ascii="Book Antiqua" w:hAnsi="Book Antiqua" w:cs="Arial"/>
          <w:sz w:val="24"/>
          <w:szCs w:val="24"/>
          <w:lang w:val="en-US"/>
        </w:rPr>
        <w:t>Réunion</w:t>
      </w:r>
      <w:proofErr w:type="spellEnd"/>
      <w:r w:rsidR="005B7295" w:rsidRPr="00466BAB">
        <w:rPr>
          <w:rFonts w:ascii="Book Antiqua" w:hAnsi="Book Antiqua" w:cs="Arial"/>
          <w:sz w:val="24"/>
          <w:szCs w:val="24"/>
          <w:lang w:val="en-US"/>
        </w:rPr>
        <w:t xml:space="preserve">, </w:t>
      </w:r>
      <w:proofErr w:type="spellStart"/>
      <w:r w:rsidR="005B7295" w:rsidRPr="00466BAB">
        <w:rPr>
          <w:rFonts w:ascii="Book Antiqua" w:hAnsi="Book Antiqua" w:cs="Arial"/>
          <w:sz w:val="24"/>
          <w:szCs w:val="24"/>
          <w:lang w:val="en-US"/>
        </w:rPr>
        <w:t>Allée</w:t>
      </w:r>
      <w:proofErr w:type="spellEnd"/>
      <w:r w:rsidR="005B7295" w:rsidRPr="00466BAB">
        <w:rPr>
          <w:rFonts w:ascii="Book Antiqua" w:hAnsi="Book Antiqua" w:cs="Arial"/>
          <w:sz w:val="24"/>
          <w:szCs w:val="24"/>
          <w:lang w:val="en-US"/>
        </w:rPr>
        <w:t xml:space="preserve"> des Topazes,</w:t>
      </w:r>
      <w:r w:rsidR="005B7295" w:rsidRPr="00466BAB">
        <w:rPr>
          <w:rFonts w:ascii="Book Antiqua" w:eastAsiaTheme="minorEastAsia" w:hAnsi="Book Antiqua" w:cs="Arial"/>
          <w:sz w:val="24"/>
          <w:szCs w:val="24"/>
          <w:lang w:val="en-US" w:eastAsia="zh-CN"/>
        </w:rPr>
        <w:t xml:space="preserve"> </w:t>
      </w:r>
      <w:r w:rsidR="005B7295" w:rsidRPr="00466BAB">
        <w:rPr>
          <w:rFonts w:ascii="Book Antiqua" w:hAnsi="Book Antiqua" w:cs="Arial"/>
          <w:sz w:val="24"/>
          <w:szCs w:val="24"/>
          <w:lang w:val="en-US"/>
        </w:rPr>
        <w:t>Saint Denis</w:t>
      </w:r>
      <w:r w:rsidR="005B7295" w:rsidRPr="00466BAB">
        <w:rPr>
          <w:rFonts w:ascii="Book Antiqua" w:eastAsiaTheme="minorEastAsia" w:hAnsi="Book Antiqua" w:cs="Arial"/>
          <w:sz w:val="24"/>
          <w:szCs w:val="24"/>
          <w:lang w:val="en-US" w:eastAsia="zh-CN"/>
        </w:rPr>
        <w:t xml:space="preserve"> </w:t>
      </w:r>
      <w:r w:rsidR="005B7295" w:rsidRPr="00466BAB">
        <w:rPr>
          <w:rFonts w:ascii="Book Antiqua" w:hAnsi="Book Antiqua" w:cs="Arial"/>
          <w:sz w:val="24"/>
          <w:szCs w:val="24"/>
          <w:lang w:val="en-US"/>
        </w:rPr>
        <w:t>97400, France</w:t>
      </w:r>
      <w:r w:rsidR="005B7295" w:rsidRPr="00466BAB">
        <w:rPr>
          <w:rFonts w:ascii="Book Antiqua" w:eastAsiaTheme="minorEastAsia" w:hAnsi="Book Antiqua" w:cs="Arial"/>
          <w:sz w:val="24"/>
          <w:szCs w:val="24"/>
          <w:lang w:val="en-US" w:eastAsia="zh-CN"/>
        </w:rPr>
        <w:t>.</w:t>
      </w:r>
      <w:r w:rsidR="005B7295" w:rsidRPr="00466BAB">
        <w:rPr>
          <w:rFonts w:ascii="Book Antiqua" w:hAnsi="Book Antiqua"/>
          <w:sz w:val="24"/>
          <w:szCs w:val="24"/>
        </w:rPr>
        <w:t xml:space="preserve"> </w:t>
      </w:r>
      <w:hyperlink r:id="rId9" w:history="1">
        <w:r w:rsidR="005B7295" w:rsidRPr="00466BAB">
          <w:rPr>
            <w:rStyle w:val="a3"/>
            <w:rFonts w:ascii="Book Antiqua" w:hAnsi="Book Antiqua" w:cs="Arial"/>
            <w:sz w:val="24"/>
            <w:szCs w:val="24"/>
            <w:lang w:val="en-US"/>
          </w:rPr>
          <w:t>radwankassir42@hotmail.fr</w:t>
        </w:r>
      </w:hyperlink>
    </w:p>
    <w:p w14:paraId="309D09BE" w14:textId="77777777"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 xml:space="preserve">Telephone: </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33</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613</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591971</w:t>
      </w:r>
    </w:p>
    <w:p w14:paraId="138B9697" w14:textId="77777777"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Fax:</w:t>
      </w:r>
      <w:r w:rsidRPr="00466BAB">
        <w:rPr>
          <w:rFonts w:ascii="Book Antiqua" w:eastAsiaTheme="minorEastAsia" w:hAnsi="Book Antiqua" w:cs="Arial"/>
          <w:sz w:val="24"/>
          <w:szCs w:val="24"/>
          <w:lang w:val="en-US" w:eastAsia="zh-CN"/>
        </w:rPr>
        <w:t xml:space="preserve"> +</w:t>
      </w:r>
      <w:r w:rsidRPr="00466BAB">
        <w:rPr>
          <w:rFonts w:ascii="Book Antiqua" w:hAnsi="Book Antiqua" w:cs="Arial"/>
          <w:sz w:val="24"/>
          <w:szCs w:val="24"/>
          <w:lang w:val="en-US"/>
        </w:rPr>
        <w:t>33</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477</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127050</w:t>
      </w:r>
    </w:p>
    <w:p w14:paraId="6D1CED27" w14:textId="77777777" w:rsidR="005B7295" w:rsidRPr="00466BAB" w:rsidRDefault="005B7295" w:rsidP="00466BAB">
      <w:pPr>
        <w:spacing w:line="360" w:lineRule="auto"/>
        <w:jc w:val="both"/>
        <w:rPr>
          <w:rFonts w:ascii="Book Antiqua" w:eastAsiaTheme="minorEastAsia" w:hAnsi="Book Antiqua" w:cs="Arial"/>
          <w:sz w:val="24"/>
          <w:szCs w:val="24"/>
          <w:lang w:eastAsia="zh-CN"/>
        </w:rPr>
      </w:pPr>
    </w:p>
    <w:p w14:paraId="09C2EA41" w14:textId="6F709C36"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 xml:space="preserve">Received: </w:t>
      </w:r>
      <w:r w:rsidRPr="00466BAB">
        <w:rPr>
          <w:rFonts w:ascii="Book Antiqua" w:eastAsiaTheme="minorEastAsia" w:hAnsi="Book Antiqua"/>
          <w:sz w:val="24"/>
          <w:szCs w:val="24"/>
          <w:lang w:eastAsia="zh-CN"/>
        </w:rPr>
        <w:t>June 4, 2018</w:t>
      </w:r>
      <w:r w:rsidR="00426213" w:rsidRPr="00466BAB">
        <w:rPr>
          <w:rFonts w:ascii="Book Antiqua" w:hAnsi="Book Antiqua"/>
          <w:sz w:val="24"/>
          <w:szCs w:val="24"/>
        </w:rPr>
        <w:t xml:space="preserve"> </w:t>
      </w:r>
    </w:p>
    <w:p w14:paraId="15A18779" w14:textId="190CEA17"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Peer-review started:</w:t>
      </w:r>
      <w:r w:rsidRPr="00466BAB">
        <w:rPr>
          <w:rFonts w:ascii="Book Antiqua" w:eastAsiaTheme="minorEastAsia" w:hAnsi="Book Antiqua"/>
          <w:sz w:val="24"/>
          <w:szCs w:val="24"/>
          <w:lang w:eastAsia="zh-CN"/>
        </w:rPr>
        <w:t xml:space="preserve"> June 4, 2018</w:t>
      </w:r>
      <w:r w:rsidR="00426213" w:rsidRPr="00466BAB">
        <w:rPr>
          <w:rFonts w:ascii="Book Antiqua" w:hAnsi="Book Antiqua"/>
          <w:sz w:val="24"/>
          <w:szCs w:val="24"/>
        </w:rPr>
        <w:t xml:space="preserve"> </w:t>
      </w:r>
    </w:p>
    <w:p w14:paraId="70D6E7D9" w14:textId="23649A67"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First decision:</w:t>
      </w:r>
      <w:r w:rsidRPr="00466BAB">
        <w:rPr>
          <w:rFonts w:ascii="Book Antiqua" w:eastAsiaTheme="minorEastAsia" w:hAnsi="Book Antiqua"/>
          <w:sz w:val="24"/>
          <w:szCs w:val="24"/>
          <w:lang w:eastAsia="zh-CN"/>
        </w:rPr>
        <w:t xml:space="preserve"> June 15, 2018</w:t>
      </w:r>
      <w:r w:rsidR="00426213" w:rsidRPr="00466BAB">
        <w:rPr>
          <w:rFonts w:ascii="Book Antiqua" w:hAnsi="Book Antiqua"/>
          <w:sz w:val="24"/>
          <w:szCs w:val="24"/>
        </w:rPr>
        <w:t xml:space="preserve"> </w:t>
      </w:r>
    </w:p>
    <w:p w14:paraId="7F896730" w14:textId="598A735A"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 xml:space="preserve">Revised: </w:t>
      </w:r>
      <w:r w:rsidRPr="00466BAB">
        <w:rPr>
          <w:rFonts w:ascii="Book Antiqua" w:eastAsiaTheme="minorEastAsia" w:hAnsi="Book Antiqua"/>
          <w:sz w:val="24"/>
          <w:szCs w:val="24"/>
          <w:lang w:eastAsia="zh-CN"/>
        </w:rPr>
        <w:t>November 22, 2018</w:t>
      </w:r>
      <w:r w:rsidRPr="00466BAB">
        <w:rPr>
          <w:rFonts w:ascii="Book Antiqua" w:hAnsi="Book Antiqua"/>
          <w:sz w:val="24"/>
          <w:szCs w:val="24"/>
        </w:rPr>
        <w:t xml:space="preserve"> </w:t>
      </w:r>
    </w:p>
    <w:p w14:paraId="5548AA47" w14:textId="0735CB15" w:rsidR="005B7295" w:rsidRPr="00466BAB" w:rsidRDefault="005B7295" w:rsidP="00466BAB">
      <w:pPr>
        <w:spacing w:line="360" w:lineRule="auto"/>
        <w:jc w:val="both"/>
        <w:rPr>
          <w:rFonts w:ascii="Book Antiqua" w:hAnsi="Book Antiqua"/>
          <w:b/>
          <w:sz w:val="24"/>
          <w:szCs w:val="24"/>
        </w:rPr>
      </w:pPr>
      <w:r w:rsidRPr="00466BAB">
        <w:rPr>
          <w:rFonts w:ascii="Book Antiqua" w:hAnsi="Book Antiqua"/>
          <w:b/>
          <w:sz w:val="24"/>
          <w:szCs w:val="24"/>
        </w:rPr>
        <w:t>Accepted:</w:t>
      </w:r>
      <w:r w:rsidR="00426213" w:rsidRPr="00466BAB">
        <w:rPr>
          <w:rFonts w:ascii="Book Antiqua" w:hAnsi="Book Antiqua"/>
          <w:b/>
          <w:sz w:val="24"/>
          <w:szCs w:val="24"/>
        </w:rPr>
        <w:t xml:space="preserve"> </w:t>
      </w:r>
      <w:r w:rsidR="00172A3A" w:rsidRPr="00466BAB">
        <w:rPr>
          <w:rFonts w:ascii="Book Antiqua" w:hAnsi="Book Antiqua"/>
          <w:sz w:val="24"/>
          <w:szCs w:val="24"/>
        </w:rPr>
        <w:t>December 29, 2018</w:t>
      </w:r>
    </w:p>
    <w:p w14:paraId="5FB939C9" w14:textId="528246D9" w:rsidR="005B7295" w:rsidRPr="00466BAB" w:rsidRDefault="005B7295" w:rsidP="00466BAB">
      <w:pPr>
        <w:spacing w:line="360" w:lineRule="auto"/>
        <w:jc w:val="both"/>
        <w:rPr>
          <w:rFonts w:ascii="Book Antiqua" w:hAnsi="Book Antiqua"/>
          <w:sz w:val="24"/>
          <w:szCs w:val="24"/>
        </w:rPr>
      </w:pPr>
      <w:r w:rsidRPr="00466BAB">
        <w:rPr>
          <w:rFonts w:ascii="Book Antiqua" w:hAnsi="Book Antiqua"/>
          <w:b/>
          <w:sz w:val="24"/>
          <w:szCs w:val="24"/>
        </w:rPr>
        <w:t>Article in press:</w:t>
      </w:r>
      <w:r w:rsidR="00466BAB" w:rsidRPr="00466BAB">
        <w:rPr>
          <w:rFonts w:ascii="Book Antiqua" w:hAnsi="Book Antiqua"/>
          <w:b/>
          <w:sz w:val="24"/>
          <w:szCs w:val="24"/>
        </w:rPr>
        <w:t xml:space="preserve"> </w:t>
      </w:r>
      <w:r w:rsidR="00466BAB" w:rsidRPr="00466BAB">
        <w:rPr>
          <w:rFonts w:ascii="Book Antiqua" w:hAnsi="Book Antiqua"/>
          <w:sz w:val="24"/>
          <w:szCs w:val="24"/>
        </w:rPr>
        <w:t xml:space="preserve">December </w:t>
      </w:r>
      <w:r w:rsidR="00466BAB" w:rsidRPr="00466BAB">
        <w:rPr>
          <w:rFonts w:ascii="Book Antiqua" w:eastAsiaTheme="minorEastAsia" w:hAnsi="Book Antiqua"/>
          <w:sz w:val="24"/>
          <w:szCs w:val="24"/>
          <w:lang w:eastAsia="zh-CN"/>
        </w:rPr>
        <w:t>30</w:t>
      </w:r>
      <w:r w:rsidR="00466BAB" w:rsidRPr="00466BAB">
        <w:rPr>
          <w:rFonts w:ascii="Book Antiqua" w:hAnsi="Book Antiqua"/>
          <w:sz w:val="24"/>
          <w:szCs w:val="24"/>
        </w:rPr>
        <w:t>, 2018</w:t>
      </w:r>
    </w:p>
    <w:p w14:paraId="5FEAC59C" w14:textId="637A85DE" w:rsidR="005B7295" w:rsidRPr="00466BAB" w:rsidRDefault="005B7295" w:rsidP="00466BAB">
      <w:pPr>
        <w:spacing w:line="360" w:lineRule="auto"/>
        <w:jc w:val="both"/>
        <w:rPr>
          <w:rFonts w:ascii="Book Antiqua" w:eastAsiaTheme="minorEastAsia" w:hAnsi="Book Antiqua"/>
          <w:b/>
          <w:sz w:val="24"/>
          <w:szCs w:val="24"/>
          <w:lang w:eastAsia="zh-CN"/>
        </w:rPr>
      </w:pPr>
      <w:r w:rsidRPr="00466BAB">
        <w:rPr>
          <w:rFonts w:ascii="Book Antiqua" w:hAnsi="Book Antiqua"/>
          <w:b/>
          <w:sz w:val="24"/>
          <w:szCs w:val="24"/>
        </w:rPr>
        <w:t xml:space="preserve">Published online: </w:t>
      </w:r>
      <w:r w:rsidR="00466BAB" w:rsidRPr="00466BAB">
        <w:rPr>
          <w:rFonts w:ascii="Book Antiqua" w:eastAsiaTheme="minorEastAsia" w:hAnsi="Book Antiqua"/>
          <w:sz w:val="24"/>
          <w:szCs w:val="24"/>
          <w:lang w:eastAsia="zh-CN"/>
        </w:rPr>
        <w:t>January</w:t>
      </w:r>
      <w:r w:rsidR="00466BAB" w:rsidRPr="00466BAB">
        <w:rPr>
          <w:rFonts w:ascii="Book Antiqua" w:hAnsi="Book Antiqua"/>
          <w:sz w:val="24"/>
          <w:szCs w:val="24"/>
        </w:rPr>
        <w:t xml:space="preserve"> </w:t>
      </w:r>
      <w:r w:rsidR="00466BAB" w:rsidRPr="00466BAB">
        <w:rPr>
          <w:rFonts w:ascii="Book Antiqua" w:eastAsiaTheme="minorEastAsia" w:hAnsi="Book Antiqua"/>
          <w:sz w:val="24"/>
          <w:szCs w:val="24"/>
          <w:lang w:eastAsia="zh-CN"/>
        </w:rPr>
        <w:t>16</w:t>
      </w:r>
      <w:r w:rsidR="00466BAB" w:rsidRPr="00466BAB">
        <w:rPr>
          <w:rFonts w:ascii="Book Antiqua" w:hAnsi="Book Antiqua"/>
          <w:sz w:val="24"/>
          <w:szCs w:val="24"/>
        </w:rPr>
        <w:t>, 201</w:t>
      </w:r>
      <w:r w:rsidR="00466BAB" w:rsidRPr="00466BAB">
        <w:rPr>
          <w:rFonts w:ascii="Book Antiqua" w:eastAsiaTheme="minorEastAsia" w:hAnsi="Book Antiqua"/>
          <w:sz w:val="24"/>
          <w:szCs w:val="24"/>
          <w:lang w:eastAsia="zh-CN"/>
        </w:rPr>
        <w:t>9</w:t>
      </w:r>
    </w:p>
    <w:p w14:paraId="464EAB1D" w14:textId="77777777" w:rsidR="00931CD5" w:rsidRPr="00466BAB" w:rsidRDefault="00931CD5" w:rsidP="00466BAB">
      <w:pPr>
        <w:spacing w:line="360" w:lineRule="auto"/>
        <w:jc w:val="both"/>
        <w:rPr>
          <w:rFonts w:ascii="Book Antiqua" w:eastAsiaTheme="minorEastAsia" w:hAnsi="Book Antiqua" w:cs="Arial"/>
          <w:sz w:val="24"/>
          <w:szCs w:val="24"/>
          <w:lang w:eastAsia="zh-CN"/>
        </w:rPr>
      </w:pPr>
    </w:p>
    <w:p w14:paraId="438CC548" w14:textId="77777777" w:rsidR="005B7295" w:rsidRPr="00466BAB" w:rsidRDefault="005B7295" w:rsidP="00466BAB">
      <w:pPr>
        <w:widowControl/>
        <w:suppressAutoHyphens w:val="0"/>
        <w:spacing w:line="360" w:lineRule="auto"/>
        <w:jc w:val="both"/>
        <w:rPr>
          <w:rFonts w:ascii="Book Antiqua" w:hAnsi="Book Antiqua" w:cs="Arial"/>
          <w:sz w:val="24"/>
          <w:szCs w:val="24"/>
        </w:rPr>
      </w:pPr>
      <w:r w:rsidRPr="00466BAB">
        <w:rPr>
          <w:rFonts w:ascii="Book Antiqua" w:hAnsi="Book Antiqua" w:cs="Arial"/>
          <w:sz w:val="24"/>
          <w:szCs w:val="24"/>
        </w:rPr>
        <w:br w:type="page"/>
      </w:r>
    </w:p>
    <w:p w14:paraId="106F6366" w14:textId="31451D96" w:rsidR="004E5475" w:rsidRPr="00466BAB" w:rsidRDefault="004E5475" w:rsidP="00466BAB">
      <w:pPr>
        <w:spacing w:line="360" w:lineRule="auto"/>
        <w:jc w:val="both"/>
        <w:rPr>
          <w:rFonts w:ascii="Book Antiqua" w:eastAsiaTheme="minorEastAsia" w:hAnsi="Book Antiqua" w:cs="Arial"/>
          <w:b/>
          <w:bCs/>
          <w:sz w:val="24"/>
          <w:szCs w:val="24"/>
          <w:lang w:eastAsia="zh-CN"/>
        </w:rPr>
      </w:pPr>
      <w:r w:rsidRPr="00466BAB">
        <w:rPr>
          <w:rFonts w:ascii="Book Antiqua" w:hAnsi="Book Antiqua" w:cs="Arial"/>
          <w:b/>
          <w:bCs/>
          <w:sz w:val="24"/>
          <w:szCs w:val="24"/>
        </w:rPr>
        <w:lastRenderedPageBreak/>
        <w:t>Abstract </w:t>
      </w:r>
    </w:p>
    <w:p w14:paraId="482D1C82" w14:textId="2EA62AE5" w:rsidR="004E5475" w:rsidRPr="00466BAB" w:rsidRDefault="004E5475" w:rsidP="00466BAB">
      <w:pPr>
        <w:spacing w:line="360" w:lineRule="auto"/>
        <w:jc w:val="both"/>
        <w:rPr>
          <w:rFonts w:ascii="Book Antiqua" w:hAnsi="Book Antiqua" w:cs="Arial"/>
          <w:sz w:val="24"/>
          <w:szCs w:val="24"/>
        </w:rPr>
      </w:pPr>
      <w:r w:rsidRPr="00466BAB">
        <w:rPr>
          <w:rFonts w:ascii="Book Antiqua" w:hAnsi="Book Antiqua" w:cs="Arial"/>
          <w:sz w:val="24"/>
          <w:szCs w:val="24"/>
        </w:rPr>
        <w:t xml:space="preserve">There is no consensus when it comes to the necessity of an oeso-gastroduodenal fibroscopy </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OGDF</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before</w:t>
      </w:r>
      <w:r w:rsidR="00ED7573" w:rsidRPr="00466BAB">
        <w:rPr>
          <w:rFonts w:ascii="Book Antiqua" w:hAnsi="Book Antiqua" w:cs="Arial"/>
          <w:sz w:val="24"/>
          <w:szCs w:val="24"/>
        </w:rPr>
        <w:t xml:space="preserve"> and after </w:t>
      </w:r>
      <w:r w:rsidRPr="00466BAB">
        <w:rPr>
          <w:rFonts w:ascii="Book Antiqua" w:hAnsi="Book Antiqua" w:cs="Arial"/>
          <w:sz w:val="24"/>
          <w:szCs w:val="24"/>
        </w:rPr>
        <w:t>bariatric surgery.</w:t>
      </w:r>
      <w:r w:rsidR="001A1A26" w:rsidRPr="00466BAB">
        <w:rPr>
          <w:rFonts w:ascii="Book Antiqua" w:hAnsi="Book Antiqua" w:cs="Arial"/>
          <w:sz w:val="24"/>
          <w:szCs w:val="24"/>
        </w:rPr>
        <w:t xml:space="preserve"> Many reports expressed the preoccupations about a gastroesophagal reflux disease (an acute risk of BARETT’s esophagus) and its consequences after a </w:t>
      </w:r>
      <w:r w:rsidR="005261E4" w:rsidRPr="00466BAB">
        <w:rPr>
          <w:rFonts w:ascii="Book Antiqua" w:hAnsi="Book Antiqua" w:cs="Arial"/>
          <w:sz w:val="24"/>
          <w:szCs w:val="24"/>
        </w:rPr>
        <w:t>s</w:t>
      </w:r>
      <w:r w:rsidR="001A1A26" w:rsidRPr="00466BAB">
        <w:rPr>
          <w:rFonts w:ascii="Book Antiqua" w:hAnsi="Book Antiqua" w:cs="Arial"/>
          <w:sz w:val="24"/>
          <w:szCs w:val="24"/>
        </w:rPr>
        <w:t xml:space="preserve">leeve gastrectomy </w:t>
      </w:r>
      <w:r w:rsidR="005261E4" w:rsidRPr="00466BAB">
        <w:rPr>
          <w:rFonts w:ascii="Book Antiqua" w:eastAsiaTheme="minorEastAsia" w:hAnsi="Book Antiqua" w:cs="Arial"/>
          <w:sz w:val="24"/>
          <w:szCs w:val="24"/>
          <w:lang w:eastAsia="zh-CN"/>
        </w:rPr>
        <w:t xml:space="preserve">(SG) </w:t>
      </w:r>
      <w:r w:rsidR="001A1A26" w:rsidRPr="00466BAB">
        <w:rPr>
          <w:rFonts w:ascii="Book Antiqua" w:hAnsi="Book Antiqua" w:cs="Arial"/>
          <w:sz w:val="24"/>
          <w:szCs w:val="24"/>
        </w:rPr>
        <w:t xml:space="preserve">and the risk of leaving a premalignant lesion in an excluded stomach after a Roux-en-Y gastric bypass. </w:t>
      </w:r>
      <w:r w:rsidR="00ED7573" w:rsidRPr="00466BAB">
        <w:rPr>
          <w:rFonts w:ascii="Book Antiqua" w:hAnsi="Book Antiqua" w:cs="Arial"/>
          <w:sz w:val="24"/>
          <w:szCs w:val="24"/>
        </w:rPr>
        <w:t xml:space="preserve">The International Federation for the Surgery of </w:t>
      </w:r>
      <w:r w:rsidR="00C17F5F" w:rsidRPr="00466BAB">
        <w:rPr>
          <w:rFonts w:ascii="Book Antiqua" w:hAnsi="Book Antiqua" w:cs="Arial"/>
          <w:sz w:val="24"/>
          <w:szCs w:val="24"/>
        </w:rPr>
        <w:t>Obesity and Metabolic Disorders</w:t>
      </w:r>
      <w:r w:rsidR="00ED7573" w:rsidRPr="00466BAB">
        <w:rPr>
          <w:rFonts w:ascii="Book Antiqua" w:hAnsi="Book Antiqua" w:cs="Arial"/>
          <w:sz w:val="24"/>
          <w:szCs w:val="24"/>
        </w:rPr>
        <w:t xml:space="preserve"> recommends a surveillance endoscopy, routinely after a </w:t>
      </w:r>
      <w:r w:rsidR="005261E4" w:rsidRPr="00466BAB">
        <w:rPr>
          <w:rFonts w:ascii="Book Antiqua" w:eastAsiaTheme="minorEastAsia" w:hAnsi="Book Antiqua" w:cs="Arial"/>
          <w:sz w:val="24"/>
          <w:szCs w:val="24"/>
          <w:lang w:eastAsia="zh-CN"/>
        </w:rPr>
        <w:t>SG</w:t>
      </w:r>
      <w:r w:rsidR="00AB037A" w:rsidRPr="00466BAB">
        <w:rPr>
          <w:rFonts w:ascii="Book Antiqua" w:hAnsi="Book Antiqua" w:cs="Arial"/>
          <w:sz w:val="24"/>
          <w:szCs w:val="24"/>
        </w:rPr>
        <w:t>.</w:t>
      </w:r>
      <w:r w:rsidR="005B7295" w:rsidRPr="00466BAB">
        <w:rPr>
          <w:rFonts w:ascii="Book Antiqua" w:eastAsiaTheme="minorEastAsia" w:hAnsi="Book Antiqua" w:cs="Arial"/>
          <w:sz w:val="24"/>
          <w:szCs w:val="24"/>
          <w:lang w:eastAsia="zh-CN"/>
        </w:rPr>
        <w:t xml:space="preserve"> </w:t>
      </w:r>
      <w:r w:rsidR="009B06C5" w:rsidRPr="00466BAB">
        <w:rPr>
          <w:rFonts w:ascii="Book Antiqua" w:hAnsi="Book Antiqua" w:cs="Arial"/>
          <w:sz w:val="24"/>
          <w:szCs w:val="24"/>
        </w:rPr>
        <w:t>A</w:t>
      </w:r>
      <w:r w:rsidR="00C4740D" w:rsidRPr="00466BAB">
        <w:rPr>
          <w:rFonts w:ascii="Book Antiqua" w:hAnsi="Book Antiqua" w:cs="Arial"/>
          <w:sz w:val="24"/>
          <w:szCs w:val="24"/>
        </w:rPr>
        <w:t xml:space="preserve">fter </w:t>
      </w:r>
      <w:r w:rsidR="001A43C0" w:rsidRPr="00466BAB">
        <w:rPr>
          <w:rFonts w:ascii="Book Antiqua" w:hAnsi="Book Antiqua" w:cs="Arial"/>
          <w:sz w:val="24"/>
          <w:szCs w:val="24"/>
        </w:rPr>
        <w:t>review of the literature, we set out the arguments in favor of performing a systematic preoperative</w:t>
      </w:r>
      <w:r w:rsidR="00C4740D" w:rsidRPr="00466BAB">
        <w:rPr>
          <w:rFonts w:ascii="Book Antiqua" w:hAnsi="Book Antiqua" w:cs="Arial"/>
          <w:sz w:val="24"/>
          <w:szCs w:val="24"/>
        </w:rPr>
        <w:t xml:space="preserve"> and post-operative</w:t>
      </w:r>
      <w:r w:rsidR="001A43C0" w:rsidRPr="00466BAB">
        <w:rPr>
          <w:rFonts w:ascii="Book Antiqua" w:hAnsi="Book Antiqua" w:cs="Arial"/>
          <w:sz w:val="24"/>
          <w:szCs w:val="24"/>
        </w:rPr>
        <w:t xml:space="preserve"> OGDF</w:t>
      </w:r>
      <w:r w:rsidR="009B06C5" w:rsidRPr="00466BAB">
        <w:rPr>
          <w:rFonts w:ascii="Book Antiqua" w:hAnsi="Book Antiqua" w:cs="Arial"/>
          <w:sz w:val="24"/>
          <w:szCs w:val="24"/>
        </w:rPr>
        <w:t>.</w:t>
      </w:r>
    </w:p>
    <w:p w14:paraId="05AB8604" w14:textId="77777777" w:rsidR="004E5475" w:rsidRPr="00466BAB" w:rsidRDefault="004E5475" w:rsidP="00466BAB">
      <w:pPr>
        <w:spacing w:line="360" w:lineRule="auto"/>
        <w:jc w:val="both"/>
        <w:rPr>
          <w:rFonts w:ascii="Book Antiqua" w:hAnsi="Book Antiqua" w:cs="Arial"/>
          <w:b/>
          <w:bCs/>
          <w:sz w:val="24"/>
          <w:szCs w:val="24"/>
        </w:rPr>
      </w:pPr>
    </w:p>
    <w:p w14:paraId="63B8F3AB" w14:textId="410F83C1" w:rsidR="005B7295" w:rsidRPr="00466BAB" w:rsidRDefault="005B7295" w:rsidP="00466BAB">
      <w:pPr>
        <w:spacing w:line="360" w:lineRule="auto"/>
        <w:jc w:val="both"/>
        <w:rPr>
          <w:rFonts w:ascii="Book Antiqua" w:hAnsi="Book Antiqua" w:cs="Arial"/>
          <w:sz w:val="24"/>
          <w:szCs w:val="24"/>
        </w:rPr>
      </w:pPr>
      <w:r w:rsidRPr="00466BAB">
        <w:rPr>
          <w:rFonts w:ascii="Book Antiqua" w:hAnsi="Book Antiqua" w:cs="Arial"/>
          <w:b/>
          <w:sz w:val="24"/>
          <w:szCs w:val="24"/>
        </w:rPr>
        <w:t>Key words</w:t>
      </w:r>
      <w:r w:rsidRPr="00466BAB">
        <w:rPr>
          <w:rFonts w:ascii="Book Antiqua" w:hAnsi="Book Antiqua" w:cs="Arial"/>
          <w:sz w:val="24"/>
          <w:szCs w:val="24"/>
        </w:rPr>
        <w:t>:</w:t>
      </w:r>
      <w:r w:rsidRPr="00466BAB">
        <w:rPr>
          <w:rFonts w:ascii="Book Antiqua" w:hAnsi="Book Antiqua" w:cs="Arial"/>
          <w:sz w:val="24"/>
          <w:szCs w:val="24"/>
          <w:lang w:val="en-US"/>
        </w:rPr>
        <w:t xml:space="preserve"> Bariatric Surgery</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 xml:space="preserve"> Endoscopy</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 xml:space="preserve"> Sleeve gastrectomy</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 xml:space="preserve"> Surveillance</w:t>
      </w:r>
      <w:r w:rsidRPr="00466BAB">
        <w:rPr>
          <w:rFonts w:ascii="Book Antiqua" w:eastAsiaTheme="minorEastAsia" w:hAnsi="Book Antiqua" w:cs="Arial"/>
          <w:sz w:val="24"/>
          <w:szCs w:val="24"/>
          <w:lang w:val="en-US" w:eastAsia="zh-CN"/>
        </w:rPr>
        <w:t>;</w:t>
      </w:r>
      <w:r w:rsidRPr="00466BAB">
        <w:rPr>
          <w:rFonts w:ascii="Book Antiqua" w:hAnsi="Book Antiqua" w:cs="Arial"/>
          <w:sz w:val="24"/>
          <w:szCs w:val="24"/>
          <w:lang w:val="en-US"/>
        </w:rPr>
        <w:t xml:space="preserve"> </w:t>
      </w:r>
      <w:r w:rsidRPr="00466BAB">
        <w:rPr>
          <w:rFonts w:ascii="Book Antiqua" w:hAnsi="Book Antiqua" w:cs="Arial"/>
          <w:sz w:val="24"/>
          <w:szCs w:val="24"/>
        </w:rPr>
        <w:t>Oeso-gastroduodenal fibroscopy</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Novo Barrett’s esophagus</w:t>
      </w:r>
      <w:r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Gastroesophagal reflux</w:t>
      </w:r>
    </w:p>
    <w:p w14:paraId="4968CAC7" w14:textId="77777777" w:rsidR="005B7295" w:rsidRPr="00466BAB" w:rsidRDefault="005B7295" w:rsidP="00466BAB">
      <w:pPr>
        <w:spacing w:line="360" w:lineRule="auto"/>
        <w:jc w:val="both"/>
        <w:rPr>
          <w:rFonts w:ascii="Book Antiqua" w:eastAsiaTheme="minorEastAsia" w:hAnsi="Book Antiqua" w:cs="Arial"/>
          <w:b/>
          <w:bCs/>
          <w:sz w:val="24"/>
          <w:szCs w:val="24"/>
          <w:lang w:eastAsia="zh-CN"/>
        </w:rPr>
      </w:pPr>
    </w:p>
    <w:p w14:paraId="5437FE19" w14:textId="27FEEED7" w:rsidR="005B7295" w:rsidRPr="00466BAB" w:rsidRDefault="005B7295" w:rsidP="00466BAB">
      <w:pPr>
        <w:spacing w:line="360" w:lineRule="auto"/>
        <w:jc w:val="both"/>
        <w:rPr>
          <w:rFonts w:ascii="Book Antiqua" w:hAnsi="Book Antiqua" w:cs="Arial"/>
          <w:sz w:val="24"/>
          <w:szCs w:val="24"/>
        </w:rPr>
      </w:pPr>
      <w:r w:rsidRPr="00466BAB">
        <w:rPr>
          <w:rFonts w:ascii="Book Antiqua" w:hAnsi="Book Antiqua"/>
          <w:b/>
          <w:sz w:val="24"/>
          <w:szCs w:val="24"/>
        </w:rPr>
        <w:t xml:space="preserve">© </w:t>
      </w:r>
      <w:r w:rsidRPr="00466BAB">
        <w:rPr>
          <w:rFonts w:ascii="Book Antiqua" w:hAnsi="Book Antiqua" w:cs="Arial"/>
          <w:b/>
          <w:sz w:val="24"/>
          <w:szCs w:val="24"/>
        </w:rPr>
        <w:t>The Author(s) 201</w:t>
      </w:r>
      <w:r w:rsidR="00630BBD" w:rsidRPr="00466BAB">
        <w:rPr>
          <w:rFonts w:ascii="Book Antiqua" w:hAnsi="Book Antiqua" w:cs="Arial"/>
          <w:b/>
          <w:sz w:val="24"/>
          <w:szCs w:val="24"/>
        </w:rPr>
        <w:t>9</w:t>
      </w:r>
      <w:r w:rsidRPr="00466BAB">
        <w:rPr>
          <w:rFonts w:ascii="Book Antiqua" w:hAnsi="Book Antiqua" w:cs="Arial"/>
          <w:b/>
          <w:sz w:val="24"/>
          <w:szCs w:val="24"/>
        </w:rPr>
        <w:t>.</w:t>
      </w:r>
      <w:r w:rsidRPr="00466BAB">
        <w:rPr>
          <w:rFonts w:ascii="Book Antiqua" w:hAnsi="Book Antiqua" w:cs="Arial"/>
          <w:sz w:val="24"/>
          <w:szCs w:val="24"/>
        </w:rPr>
        <w:t xml:space="preserve"> Published by Baishideng Publishing Group Inc. All rights reserved.</w:t>
      </w:r>
    </w:p>
    <w:p w14:paraId="474F74E6" w14:textId="77777777" w:rsidR="005B7295" w:rsidRPr="00466BAB" w:rsidRDefault="005B7295" w:rsidP="00466BAB">
      <w:pPr>
        <w:spacing w:line="360" w:lineRule="auto"/>
        <w:jc w:val="both"/>
        <w:rPr>
          <w:rFonts w:ascii="Book Antiqua" w:eastAsiaTheme="minorEastAsia" w:hAnsi="Book Antiqua" w:cs="Arial"/>
          <w:b/>
          <w:bCs/>
          <w:sz w:val="24"/>
          <w:szCs w:val="24"/>
          <w:lang w:eastAsia="zh-CN"/>
        </w:rPr>
      </w:pPr>
    </w:p>
    <w:p w14:paraId="78841074" w14:textId="7FAFAFCB" w:rsidR="005B7295" w:rsidRPr="00466BAB" w:rsidRDefault="005B7295" w:rsidP="00466BAB">
      <w:pPr>
        <w:spacing w:line="360" w:lineRule="auto"/>
        <w:jc w:val="both"/>
        <w:rPr>
          <w:rFonts w:ascii="Book Antiqua" w:hAnsi="Book Antiqua" w:cs="Arial"/>
          <w:sz w:val="24"/>
          <w:szCs w:val="24"/>
        </w:rPr>
      </w:pPr>
      <w:r w:rsidRPr="00466BAB">
        <w:rPr>
          <w:rFonts w:ascii="Book Antiqua" w:eastAsia="宋体" w:hAnsi="Book Antiqua" w:cs="宋体"/>
          <w:b/>
          <w:sz w:val="24"/>
          <w:szCs w:val="24"/>
          <w:lang w:eastAsia="zh-CN"/>
        </w:rPr>
        <w:t>Core tip:</w:t>
      </w:r>
      <w:r w:rsidRPr="00466BAB">
        <w:rPr>
          <w:rFonts w:ascii="Book Antiqua" w:eastAsia="宋体" w:hAnsi="Book Antiqua" w:cs="宋体"/>
          <w:sz w:val="24"/>
          <w:szCs w:val="24"/>
          <w:lang w:eastAsia="zh-CN"/>
        </w:rPr>
        <w:t xml:space="preserve"> </w:t>
      </w:r>
      <w:r w:rsidRPr="00466BAB">
        <w:rPr>
          <w:rFonts w:ascii="Book Antiqua" w:hAnsi="Book Antiqua" w:cs="Arial"/>
          <w:sz w:val="24"/>
          <w:szCs w:val="24"/>
        </w:rPr>
        <w:t xml:space="preserve">There is no consensus when it comes to the necessity of an oeso-gastroduodenal fibroscopy </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OGDF</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before and after bariatric surgery.</w:t>
      </w:r>
      <w:r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After review of the literature, we set out the arguments in favor of performing a systematic preoperative and post-operative OGDF.</w:t>
      </w:r>
    </w:p>
    <w:p w14:paraId="35BCB9D1" w14:textId="77777777" w:rsidR="005B7295" w:rsidRPr="00466BAB" w:rsidRDefault="005B7295" w:rsidP="00466BAB">
      <w:pPr>
        <w:spacing w:line="360" w:lineRule="auto"/>
        <w:jc w:val="both"/>
        <w:rPr>
          <w:rFonts w:ascii="Book Antiqua" w:eastAsiaTheme="minorEastAsia" w:hAnsi="Book Antiqua" w:cs="Arial"/>
          <w:i/>
          <w:sz w:val="24"/>
          <w:szCs w:val="24"/>
          <w:lang w:eastAsia="zh-CN"/>
        </w:rPr>
      </w:pPr>
    </w:p>
    <w:p w14:paraId="0013B3E7" w14:textId="77777777" w:rsidR="00466BAB" w:rsidRPr="00466BAB" w:rsidRDefault="00466BAB" w:rsidP="00466BAB">
      <w:pPr>
        <w:suppressAutoHyphens w:val="0"/>
        <w:autoSpaceDE w:val="0"/>
        <w:autoSpaceDN w:val="0"/>
        <w:adjustRightInd w:val="0"/>
        <w:spacing w:line="360" w:lineRule="auto"/>
        <w:rPr>
          <w:rFonts w:ascii="Book Antiqua" w:eastAsia="BookAntiqua-Italic" w:hAnsi="Book Antiqua" w:cs="BookAntiqua-Italic"/>
          <w:i/>
          <w:iCs/>
          <w:sz w:val="24"/>
          <w:szCs w:val="24"/>
          <w:lang w:val="en-US" w:eastAsia="en-US"/>
        </w:rPr>
      </w:pPr>
      <w:r w:rsidRPr="00425774">
        <w:rPr>
          <w:rFonts w:ascii="Book Antiqua" w:eastAsiaTheme="minorEastAsia" w:hAnsi="Book Antiqua" w:cs="Arial"/>
          <w:b/>
          <w:sz w:val="24"/>
          <w:szCs w:val="24"/>
          <w:lang w:eastAsia="zh-CN"/>
        </w:rPr>
        <w:t>Citation</w:t>
      </w:r>
      <w:r w:rsidRPr="00466BAB">
        <w:rPr>
          <w:rFonts w:ascii="Book Antiqua" w:eastAsiaTheme="minorEastAsia" w:hAnsi="Book Antiqua" w:cs="Arial"/>
          <w:sz w:val="24"/>
          <w:szCs w:val="24"/>
          <w:lang w:eastAsia="zh-CN"/>
        </w:rPr>
        <w:t xml:space="preserve">: </w:t>
      </w:r>
      <w:r w:rsidR="005B7295" w:rsidRPr="00466BAB">
        <w:rPr>
          <w:rFonts w:ascii="Book Antiqua" w:hAnsi="Book Antiqua" w:cs="Arial"/>
          <w:sz w:val="24"/>
          <w:szCs w:val="24"/>
        </w:rPr>
        <w:t>Kassir</w:t>
      </w:r>
      <w:r w:rsidR="005B7295" w:rsidRPr="00466BAB">
        <w:rPr>
          <w:rFonts w:ascii="Book Antiqua" w:eastAsiaTheme="minorEastAsia" w:hAnsi="Book Antiqua" w:cs="Arial"/>
          <w:sz w:val="24"/>
          <w:szCs w:val="24"/>
          <w:lang w:eastAsia="zh-CN"/>
        </w:rPr>
        <w:t xml:space="preserve"> R, </w:t>
      </w:r>
      <w:r w:rsidR="005B7295" w:rsidRPr="00466BAB">
        <w:rPr>
          <w:rFonts w:ascii="Book Antiqua" w:hAnsi="Book Antiqua" w:cs="Arial"/>
          <w:sz w:val="24"/>
          <w:szCs w:val="24"/>
        </w:rPr>
        <w:t>Kassir</w:t>
      </w:r>
      <w:r w:rsidR="005B7295" w:rsidRPr="00466BAB">
        <w:rPr>
          <w:rFonts w:ascii="Book Antiqua" w:eastAsiaTheme="minorEastAsia" w:hAnsi="Book Antiqua" w:cs="Arial"/>
          <w:sz w:val="24"/>
          <w:szCs w:val="24"/>
          <w:lang w:eastAsia="zh-CN"/>
        </w:rPr>
        <w:t xml:space="preserve"> R, </w:t>
      </w:r>
      <w:r w:rsidR="005B7295" w:rsidRPr="00466BAB">
        <w:rPr>
          <w:rFonts w:ascii="Book Antiqua" w:hAnsi="Book Antiqua" w:cs="Arial"/>
          <w:sz w:val="24"/>
          <w:szCs w:val="24"/>
        </w:rPr>
        <w:t>Deparseval</w:t>
      </w:r>
      <w:r w:rsidR="005B7295" w:rsidRPr="00466BAB">
        <w:rPr>
          <w:rFonts w:ascii="Book Antiqua" w:eastAsiaTheme="minorEastAsia" w:hAnsi="Book Antiqua" w:cs="Arial"/>
          <w:sz w:val="24"/>
          <w:szCs w:val="24"/>
          <w:lang w:eastAsia="zh-CN"/>
        </w:rPr>
        <w:t xml:space="preserve"> B,</w:t>
      </w:r>
      <w:r w:rsidR="005B7295" w:rsidRPr="00466BAB">
        <w:rPr>
          <w:rFonts w:ascii="Book Antiqua" w:hAnsi="Book Antiqua" w:cs="Arial"/>
          <w:sz w:val="24"/>
          <w:szCs w:val="24"/>
        </w:rPr>
        <w:t xml:space="preserve"> </w:t>
      </w:r>
      <w:bookmarkStart w:id="0" w:name="_GoBack"/>
      <w:bookmarkEnd w:id="0"/>
      <w:r w:rsidR="005B7295" w:rsidRPr="00466BAB">
        <w:rPr>
          <w:rFonts w:ascii="Book Antiqua" w:hAnsi="Book Antiqua" w:cs="Arial"/>
          <w:sz w:val="24"/>
          <w:szCs w:val="24"/>
        </w:rPr>
        <w:t>Bekkar</w:t>
      </w:r>
      <w:r w:rsidR="005B7295" w:rsidRPr="00466BAB">
        <w:rPr>
          <w:rFonts w:ascii="Book Antiqua" w:eastAsiaTheme="minorEastAsia" w:hAnsi="Book Antiqua" w:cs="Arial"/>
          <w:sz w:val="24"/>
          <w:szCs w:val="24"/>
          <w:lang w:eastAsia="zh-CN"/>
        </w:rPr>
        <w:t xml:space="preserve"> S,</w:t>
      </w:r>
      <w:r w:rsidR="005B7295" w:rsidRPr="00466BAB">
        <w:rPr>
          <w:rFonts w:ascii="Book Antiqua" w:hAnsi="Book Antiqua" w:cs="Arial"/>
          <w:sz w:val="24"/>
          <w:szCs w:val="24"/>
        </w:rPr>
        <w:t xml:space="preserve"> Serayssol</w:t>
      </w:r>
      <w:r w:rsidR="005B7295" w:rsidRPr="00466BAB">
        <w:rPr>
          <w:rFonts w:ascii="Book Antiqua" w:eastAsiaTheme="minorEastAsia" w:hAnsi="Book Antiqua" w:cs="Arial"/>
          <w:sz w:val="24"/>
          <w:szCs w:val="24"/>
          <w:lang w:eastAsia="zh-CN"/>
        </w:rPr>
        <w:t xml:space="preserve"> C,</w:t>
      </w:r>
      <w:r w:rsidR="005B7295" w:rsidRPr="00466BAB">
        <w:rPr>
          <w:rFonts w:ascii="Book Antiqua" w:hAnsi="Book Antiqua" w:cs="Arial"/>
          <w:sz w:val="24"/>
          <w:szCs w:val="24"/>
        </w:rPr>
        <w:t xml:space="preserve"> Favre</w:t>
      </w:r>
      <w:r w:rsidR="005B7295" w:rsidRPr="00466BAB">
        <w:rPr>
          <w:rFonts w:ascii="Book Antiqua" w:eastAsiaTheme="minorEastAsia" w:hAnsi="Book Antiqua" w:cs="Arial"/>
          <w:sz w:val="24"/>
          <w:szCs w:val="24"/>
          <w:lang w:eastAsia="zh-CN"/>
        </w:rPr>
        <w:t xml:space="preserve"> O,</w:t>
      </w:r>
      <w:r w:rsidR="005B7295" w:rsidRPr="00466BAB">
        <w:rPr>
          <w:rFonts w:ascii="Book Antiqua" w:hAnsi="Book Antiqua" w:cs="Arial"/>
          <w:sz w:val="24"/>
          <w:szCs w:val="24"/>
        </w:rPr>
        <w:t xml:space="preserve"> Garnier</w:t>
      </w:r>
      <w:r w:rsidR="005B7295" w:rsidRPr="00466BAB">
        <w:rPr>
          <w:rFonts w:ascii="Book Antiqua" w:eastAsiaTheme="minorEastAsia" w:hAnsi="Book Antiqua" w:cs="Arial"/>
          <w:sz w:val="24"/>
          <w:szCs w:val="24"/>
          <w:lang w:eastAsia="zh-CN"/>
        </w:rPr>
        <w:t xml:space="preserve"> PP.</w:t>
      </w:r>
      <w:r w:rsidR="005B7295" w:rsidRPr="00466BAB">
        <w:rPr>
          <w:rFonts w:ascii="Book Antiqua" w:hAnsi="Book Antiqua" w:cs="Arial"/>
          <w:sz w:val="24"/>
          <w:szCs w:val="24"/>
        </w:rPr>
        <w:t xml:space="preserve"> Routine surveillance endoscopy before and after sleeve gastrectomy?</w:t>
      </w:r>
      <w:r w:rsidR="005B7295" w:rsidRPr="00466BAB">
        <w:rPr>
          <w:rFonts w:ascii="Book Antiqua" w:hAnsi="Book Antiqua"/>
          <w:i/>
          <w:iCs/>
          <w:sz w:val="24"/>
          <w:szCs w:val="24"/>
        </w:rPr>
        <w:t xml:space="preserve"> </w:t>
      </w:r>
      <w:r w:rsidRPr="00466BAB">
        <w:rPr>
          <w:rFonts w:ascii="Book Antiqua" w:eastAsia="BookAntiqua-Italic" w:hAnsi="Book Antiqua" w:cs="BookAntiqua-Italic"/>
          <w:i/>
          <w:iCs/>
          <w:sz w:val="24"/>
          <w:szCs w:val="24"/>
          <w:lang w:val="en-US" w:eastAsia="en-US"/>
        </w:rPr>
        <w:t>World J</w:t>
      </w:r>
    </w:p>
    <w:p w14:paraId="243164E3" w14:textId="0EE95D44" w:rsidR="005B7295" w:rsidRPr="00466BAB" w:rsidRDefault="00466BAB" w:rsidP="00466BAB">
      <w:pPr>
        <w:spacing w:line="360" w:lineRule="auto"/>
        <w:jc w:val="both"/>
        <w:rPr>
          <w:rFonts w:ascii="Book Antiqua" w:eastAsiaTheme="minorEastAsia" w:hAnsi="Book Antiqua" w:cs="BookAntiqua"/>
          <w:sz w:val="24"/>
          <w:szCs w:val="24"/>
          <w:lang w:val="en-US" w:eastAsia="zh-CN"/>
        </w:rPr>
      </w:pPr>
      <w:proofErr w:type="spellStart"/>
      <w:r w:rsidRPr="00466BAB">
        <w:rPr>
          <w:rFonts w:ascii="Book Antiqua" w:eastAsia="BookAntiqua-Italic" w:hAnsi="Book Antiqua" w:cs="BookAntiqua-Italic"/>
          <w:i/>
          <w:iCs/>
          <w:sz w:val="24"/>
          <w:szCs w:val="24"/>
          <w:lang w:val="en-US" w:eastAsia="en-US"/>
        </w:rPr>
        <w:t>Gastrointest</w:t>
      </w:r>
      <w:proofErr w:type="spellEnd"/>
      <w:r w:rsidRPr="00466BAB">
        <w:rPr>
          <w:rFonts w:ascii="Book Antiqua" w:eastAsia="BookAntiqua-Italic" w:hAnsi="Book Antiqua" w:cs="BookAntiqua-Italic"/>
          <w:i/>
          <w:iCs/>
          <w:sz w:val="24"/>
          <w:szCs w:val="24"/>
          <w:lang w:val="en-US" w:eastAsia="en-US"/>
        </w:rPr>
        <w:t xml:space="preserve"> </w:t>
      </w:r>
      <w:proofErr w:type="spellStart"/>
      <w:r w:rsidRPr="00466BAB">
        <w:rPr>
          <w:rFonts w:ascii="Book Antiqua" w:eastAsia="BookAntiqua-Italic" w:hAnsi="Book Antiqua" w:cs="BookAntiqua-Italic"/>
          <w:i/>
          <w:iCs/>
          <w:sz w:val="24"/>
          <w:szCs w:val="24"/>
          <w:lang w:val="en-US" w:eastAsia="en-US"/>
        </w:rPr>
        <w:t>Endosc</w:t>
      </w:r>
      <w:proofErr w:type="spellEnd"/>
      <w:r w:rsidRPr="00466BAB">
        <w:rPr>
          <w:rFonts w:ascii="Book Antiqua" w:eastAsia="BookAntiqua-Italic" w:hAnsi="Book Antiqua" w:cs="BookAntiqua-Italic"/>
          <w:i/>
          <w:iCs/>
          <w:sz w:val="24"/>
          <w:szCs w:val="24"/>
          <w:lang w:val="en-US" w:eastAsia="en-US"/>
        </w:rPr>
        <w:t xml:space="preserve"> </w:t>
      </w:r>
      <w:r w:rsidRPr="00466BAB">
        <w:rPr>
          <w:rFonts w:ascii="Book Antiqua" w:eastAsia="BookAntiqua" w:hAnsi="Book Antiqua" w:cs="BookAntiqua"/>
          <w:sz w:val="24"/>
          <w:szCs w:val="24"/>
          <w:lang w:val="en-US" w:eastAsia="en-US"/>
        </w:rPr>
        <w:t>2019; 11(1): 1-4</w:t>
      </w:r>
    </w:p>
    <w:p w14:paraId="16FE65B9" w14:textId="77777777" w:rsidR="00466BAB" w:rsidRPr="00466BAB" w:rsidRDefault="00466BAB" w:rsidP="00466BAB">
      <w:pPr>
        <w:suppressAutoHyphens w:val="0"/>
        <w:autoSpaceDE w:val="0"/>
        <w:autoSpaceDN w:val="0"/>
        <w:adjustRightInd w:val="0"/>
        <w:spacing w:line="360" w:lineRule="auto"/>
        <w:rPr>
          <w:rFonts w:ascii="Book Antiqua" w:eastAsia="BookAntiqua" w:hAnsi="Book Antiqua" w:cs="BookAntiqua"/>
          <w:sz w:val="24"/>
          <w:szCs w:val="24"/>
          <w:lang w:val="en-US" w:eastAsia="en-US"/>
        </w:rPr>
      </w:pPr>
      <w:r w:rsidRPr="00466BAB">
        <w:rPr>
          <w:rFonts w:ascii="Book Antiqua" w:eastAsia="ArialNarrow-Bold" w:hAnsi="Book Antiqua" w:cs="ArialNarrow-Bold"/>
          <w:b/>
          <w:bCs/>
          <w:sz w:val="24"/>
          <w:szCs w:val="24"/>
          <w:lang w:val="en-US" w:eastAsia="en-US"/>
        </w:rPr>
        <w:t>URL</w:t>
      </w:r>
      <w:r w:rsidRPr="00466BAB">
        <w:rPr>
          <w:rFonts w:ascii="Book Antiqua" w:eastAsia="BookAntiqua" w:hAnsi="Book Antiqua" w:cs="BookAntiqua"/>
          <w:sz w:val="24"/>
          <w:szCs w:val="24"/>
          <w:lang w:val="en-US" w:eastAsia="en-US"/>
        </w:rPr>
        <w:t>: https://www.wjgnet.com/1948-5190/full/v11/i1/1.htm</w:t>
      </w:r>
    </w:p>
    <w:p w14:paraId="29ABC3F6" w14:textId="389116CA" w:rsidR="00466BAB" w:rsidRPr="00466BAB" w:rsidRDefault="00466BAB" w:rsidP="00466BAB">
      <w:pPr>
        <w:spacing w:line="360" w:lineRule="auto"/>
        <w:jc w:val="both"/>
        <w:rPr>
          <w:rFonts w:ascii="Book Antiqua" w:eastAsiaTheme="minorEastAsia" w:hAnsi="Book Antiqua" w:cs="Arial"/>
          <w:sz w:val="24"/>
          <w:szCs w:val="24"/>
          <w:lang w:eastAsia="zh-CN"/>
        </w:rPr>
      </w:pPr>
      <w:r w:rsidRPr="00466BAB">
        <w:rPr>
          <w:rFonts w:ascii="Book Antiqua" w:eastAsia="ArialNarrow-Bold" w:hAnsi="Book Antiqua" w:cs="ArialNarrow-Bold"/>
          <w:b/>
          <w:bCs/>
          <w:sz w:val="24"/>
          <w:szCs w:val="24"/>
          <w:lang w:val="en-US" w:eastAsia="en-US"/>
        </w:rPr>
        <w:t>DOI</w:t>
      </w:r>
      <w:r w:rsidRPr="00466BAB">
        <w:rPr>
          <w:rFonts w:ascii="Book Antiqua" w:eastAsia="BookAntiqua" w:hAnsi="Book Antiqua" w:cs="BookAntiqua"/>
          <w:sz w:val="24"/>
          <w:szCs w:val="24"/>
          <w:lang w:val="en-US" w:eastAsia="en-US"/>
        </w:rPr>
        <w:t>: https://dx.doi.org/10.4253/wjge.v11.i1.1</w:t>
      </w:r>
    </w:p>
    <w:p w14:paraId="2040F250" w14:textId="77777777" w:rsidR="004E5475" w:rsidRPr="00466BAB" w:rsidRDefault="004E5475" w:rsidP="00466BAB">
      <w:pPr>
        <w:spacing w:line="360" w:lineRule="auto"/>
        <w:jc w:val="both"/>
        <w:rPr>
          <w:rFonts w:ascii="Book Antiqua" w:hAnsi="Book Antiqua" w:cs="Arial"/>
          <w:b/>
          <w:bCs/>
          <w:sz w:val="24"/>
          <w:szCs w:val="24"/>
        </w:rPr>
      </w:pPr>
    </w:p>
    <w:p w14:paraId="33FE21ED" w14:textId="77777777" w:rsidR="00C17F5F" w:rsidRPr="00466BAB" w:rsidRDefault="00C17F5F" w:rsidP="00466BAB">
      <w:pPr>
        <w:widowControl/>
        <w:suppressAutoHyphens w:val="0"/>
        <w:spacing w:line="360" w:lineRule="auto"/>
        <w:jc w:val="both"/>
        <w:rPr>
          <w:rFonts w:ascii="Book Antiqua" w:hAnsi="Book Antiqua" w:cs="Arial"/>
          <w:b/>
          <w:bCs/>
          <w:sz w:val="24"/>
          <w:szCs w:val="24"/>
        </w:rPr>
      </w:pPr>
      <w:r w:rsidRPr="00466BAB">
        <w:rPr>
          <w:rFonts w:ascii="Book Antiqua" w:hAnsi="Book Antiqua" w:cs="Arial"/>
          <w:b/>
          <w:bCs/>
          <w:sz w:val="24"/>
          <w:szCs w:val="24"/>
        </w:rPr>
        <w:br w:type="page"/>
      </w:r>
    </w:p>
    <w:p w14:paraId="5C9BD7A3" w14:textId="1583EFA2" w:rsidR="006E22AA" w:rsidRPr="00466BAB" w:rsidRDefault="00426213" w:rsidP="00466BAB">
      <w:pPr>
        <w:spacing w:line="360" w:lineRule="auto"/>
        <w:jc w:val="both"/>
        <w:rPr>
          <w:rFonts w:ascii="Book Antiqua" w:hAnsi="Book Antiqua" w:cs="Arial"/>
          <w:b/>
          <w:bCs/>
          <w:sz w:val="24"/>
          <w:szCs w:val="24"/>
        </w:rPr>
      </w:pPr>
      <w:r w:rsidRPr="00466BAB">
        <w:rPr>
          <w:rFonts w:ascii="Book Antiqua" w:hAnsi="Book Antiqua" w:cs="Arial"/>
          <w:b/>
          <w:bCs/>
          <w:sz w:val="24"/>
          <w:szCs w:val="24"/>
        </w:rPr>
        <w:lastRenderedPageBreak/>
        <w:t xml:space="preserve">PRE-OPERATIVE </w:t>
      </w:r>
      <w:r w:rsidRPr="00466BAB">
        <w:rPr>
          <w:rFonts w:ascii="Book Antiqua" w:hAnsi="Book Antiqua" w:cs="Arial"/>
          <w:b/>
          <w:sz w:val="24"/>
          <w:szCs w:val="24"/>
        </w:rPr>
        <w:t>OESO-GASTRODUODENAL FIBROSCOPY</w:t>
      </w:r>
    </w:p>
    <w:p w14:paraId="61AC65E0" w14:textId="4E5C6EFC" w:rsidR="006E22AA" w:rsidRPr="00466BAB" w:rsidRDefault="006E22AA" w:rsidP="00466BAB">
      <w:pPr>
        <w:spacing w:line="360" w:lineRule="auto"/>
        <w:jc w:val="both"/>
        <w:rPr>
          <w:rFonts w:ascii="Book Antiqua" w:hAnsi="Book Antiqua" w:cs="Arial"/>
          <w:sz w:val="24"/>
          <w:szCs w:val="24"/>
        </w:rPr>
      </w:pPr>
      <w:r w:rsidRPr="00466BAB">
        <w:rPr>
          <w:rFonts w:ascii="Book Antiqua" w:hAnsi="Book Antiqua" w:cs="Arial"/>
          <w:sz w:val="24"/>
          <w:szCs w:val="24"/>
        </w:rPr>
        <w:t xml:space="preserve">There is no consensus when it comes to the necessity of an oeso-gastroduodenal fibroscopy </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OGDF</w:t>
      </w:r>
      <w:r w:rsidR="005261E4"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before a bariatric surgery. Recommendations and practices are different from country to country and from unit to another one. Many reports expressed the preoccupations about a gastroesophagal reflux disease GERD (an acute risk of BARETT’s esophagus) and its consequences after a </w:t>
      </w:r>
      <w:r w:rsidR="005261E4" w:rsidRPr="00466BAB">
        <w:rPr>
          <w:rFonts w:ascii="Book Antiqua" w:hAnsi="Book Antiqua" w:cs="Arial"/>
          <w:sz w:val="24"/>
          <w:szCs w:val="24"/>
        </w:rPr>
        <w:t>s</w:t>
      </w:r>
      <w:r w:rsidRPr="00466BAB">
        <w:rPr>
          <w:rFonts w:ascii="Book Antiqua" w:hAnsi="Book Antiqua" w:cs="Arial"/>
          <w:sz w:val="24"/>
          <w:szCs w:val="24"/>
        </w:rPr>
        <w:t>leeve gastrectomy (SG) and the risk of leaving a premalignant lesion in an excluded stomach after a Roux-en-Y gastric bypass (RYGB)</w:t>
      </w:r>
      <w:r w:rsidR="006F5E64" w:rsidRPr="00466BAB">
        <w:rPr>
          <w:rFonts w:ascii="Book Antiqua" w:hAnsi="Book Antiqua" w:cs="Arial"/>
          <w:sz w:val="24"/>
          <w:szCs w:val="24"/>
          <w:vertAlign w:val="superscript"/>
        </w:rPr>
        <w:t>[1,2]</w:t>
      </w:r>
      <w:r w:rsidR="006F5E64" w:rsidRPr="00466BAB">
        <w:rPr>
          <w:rFonts w:ascii="Book Antiqua" w:hAnsi="Book Antiqua" w:cs="Arial"/>
          <w:sz w:val="24"/>
          <w:szCs w:val="24"/>
        </w:rPr>
        <w:t xml:space="preserve">. </w:t>
      </w:r>
      <w:r w:rsidRPr="00466BAB">
        <w:rPr>
          <w:rFonts w:ascii="Book Antiqua" w:hAnsi="Book Antiqua" w:cs="Arial"/>
          <w:sz w:val="24"/>
          <w:szCs w:val="24"/>
        </w:rPr>
        <w:t>Many monocentric studies reported a high rate of observations on pre-operative OGDF systematically realized for patients that will have a bariatric surgery (symptomatic or not). This rate varies from 62</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to 67% with main diagnosis: hiatal hernia, gastritis and/or esophagitis</w:t>
      </w:r>
      <w:r w:rsidR="006F5E64" w:rsidRPr="00466BAB">
        <w:rPr>
          <w:rFonts w:ascii="Book Antiqua" w:hAnsi="Book Antiqua" w:cs="Arial"/>
          <w:sz w:val="24"/>
          <w:szCs w:val="24"/>
          <w:vertAlign w:val="superscript"/>
        </w:rPr>
        <w:t>[3]</w:t>
      </w:r>
      <w:r w:rsidR="006F5E64" w:rsidRPr="00466BAB">
        <w:rPr>
          <w:rFonts w:ascii="Book Antiqua" w:hAnsi="Book Antiqua" w:cs="Arial"/>
          <w:sz w:val="24"/>
          <w:szCs w:val="24"/>
        </w:rPr>
        <w:t>.</w:t>
      </w:r>
      <w:r w:rsidRPr="00466BAB">
        <w:rPr>
          <w:rFonts w:ascii="Book Antiqua" w:hAnsi="Book Antiqua" w:cs="Arial"/>
          <w:sz w:val="24"/>
          <w:szCs w:val="24"/>
        </w:rPr>
        <w:t xml:space="preserve"> These studies have concluded that a systematic OGDF is a crucial tool in the pre-operative evaluation of bariatric patients. However, reviewing the literature doesn’t clarify many things in that matter and it hence pave the way to a debate. This debate is not always based on a data as itself, but rather on the interpretation of the data. For instance, on one side, Mihmanli and al have found, in their review, that the initial surgery technique was changed for only 1 patient over 157</w:t>
      </w:r>
      <w:r w:rsidR="006F5E64" w:rsidRPr="00466BAB">
        <w:rPr>
          <w:rFonts w:ascii="Book Antiqua" w:hAnsi="Book Antiqua" w:cs="Arial"/>
          <w:sz w:val="24"/>
          <w:szCs w:val="24"/>
          <w:vertAlign w:val="superscript"/>
        </w:rPr>
        <w:t>[4]</w:t>
      </w:r>
      <w:r w:rsidR="006F5E64" w:rsidRPr="00466BAB">
        <w:rPr>
          <w:rFonts w:ascii="Book Antiqua" w:hAnsi="Book Antiqua" w:cs="Arial"/>
          <w:sz w:val="24"/>
          <w:szCs w:val="24"/>
        </w:rPr>
        <w:t xml:space="preserve">. </w:t>
      </w:r>
      <w:r w:rsidRPr="00466BAB">
        <w:rPr>
          <w:rFonts w:ascii="Book Antiqua" w:hAnsi="Book Antiqua" w:cs="Arial"/>
          <w:sz w:val="24"/>
          <w:szCs w:val="24"/>
        </w:rPr>
        <w:t>However the authors estimated that their results were important enough to recommend a systematic OGDF in the pre-operative phase. On the other side, Gomez and al noticed that a routinely pre-operative endoscopy has changed the surgical procedures in 1.7% of the cases</w:t>
      </w:r>
      <w:r w:rsidR="006F5E64" w:rsidRPr="00466BAB">
        <w:rPr>
          <w:rFonts w:ascii="Book Antiqua" w:hAnsi="Book Antiqua" w:cs="Arial"/>
          <w:sz w:val="24"/>
          <w:szCs w:val="24"/>
          <w:vertAlign w:val="superscript"/>
        </w:rPr>
        <w:t>[5]</w:t>
      </w:r>
      <w:r w:rsidRPr="00466BAB">
        <w:rPr>
          <w:rFonts w:ascii="Book Antiqua" w:hAnsi="Book Antiqua" w:cs="Arial"/>
          <w:sz w:val="24"/>
          <w:szCs w:val="24"/>
        </w:rPr>
        <w:t>. They concluded, contrarily to the Mihmanli’s team, that a routinely endoscopy doesn’t have an added value when it comes to treating and managing the case of bariatric surgery patients and that other screening methods should be explored. A recent meta-analysis on 48 quotes and 12261 patients presented similar information. The authors reported that the surgical care was changed for 0.4% of the patients, after eliminating controversial and benign results such as hiatal hernia, gastritis and peptic ulcer</w:t>
      </w:r>
      <w:r w:rsidR="006F5E64" w:rsidRPr="00466BAB">
        <w:rPr>
          <w:rFonts w:ascii="Book Antiqua" w:hAnsi="Book Antiqua" w:cs="Arial"/>
          <w:sz w:val="24"/>
          <w:szCs w:val="24"/>
          <w:vertAlign w:val="superscript"/>
        </w:rPr>
        <w:t>[6]</w:t>
      </w:r>
      <w:r w:rsidRPr="00466BAB">
        <w:rPr>
          <w:rFonts w:ascii="Book Antiqua" w:hAnsi="Book Antiqua" w:cs="Arial"/>
          <w:sz w:val="24"/>
          <w:szCs w:val="24"/>
        </w:rPr>
        <w:t xml:space="preserve">. When the authors didn’t take the eradication of </w:t>
      </w:r>
      <w:r w:rsidRPr="00466BAB">
        <w:rPr>
          <w:rFonts w:ascii="Book Antiqua" w:hAnsi="Book Antiqua" w:cs="Arial"/>
          <w:i/>
          <w:sz w:val="24"/>
          <w:szCs w:val="24"/>
        </w:rPr>
        <w:t>H. pylori</w:t>
      </w:r>
      <w:r w:rsidRPr="00466BAB">
        <w:rPr>
          <w:rFonts w:ascii="Book Antiqua" w:hAnsi="Book Antiqua" w:cs="Arial"/>
          <w:sz w:val="24"/>
          <w:szCs w:val="24"/>
        </w:rPr>
        <w:t xml:space="preserve"> as criteria, they’ve noticed that the medical care changed for only 2.5% of the patients. They have concluded that a pre-operative OGDF for asymptomatic and low risk patients should be optional rather</w:t>
      </w:r>
      <w:r w:rsidR="006F5E64" w:rsidRPr="00466BAB">
        <w:rPr>
          <w:rFonts w:ascii="Book Antiqua" w:hAnsi="Book Antiqua" w:cs="Arial"/>
          <w:sz w:val="24"/>
          <w:szCs w:val="24"/>
        </w:rPr>
        <w:t xml:space="preserve"> than mandatory. </w:t>
      </w:r>
    </w:p>
    <w:p w14:paraId="310AF84B" w14:textId="146CFAF6" w:rsidR="006E22AA" w:rsidRPr="00466BAB" w:rsidRDefault="006E22AA" w:rsidP="00466BAB">
      <w:pPr>
        <w:spacing w:line="360" w:lineRule="auto"/>
        <w:ind w:firstLineChars="100" w:firstLine="240"/>
        <w:jc w:val="both"/>
        <w:rPr>
          <w:rFonts w:ascii="Book Antiqua" w:hAnsi="Book Antiqua" w:cs="Arial"/>
          <w:sz w:val="24"/>
          <w:szCs w:val="24"/>
        </w:rPr>
      </w:pPr>
      <w:r w:rsidRPr="00466BAB">
        <w:rPr>
          <w:rFonts w:ascii="Book Antiqua" w:hAnsi="Book Antiqua" w:cs="Arial"/>
          <w:sz w:val="24"/>
          <w:szCs w:val="24"/>
        </w:rPr>
        <w:t xml:space="preserve">Saarinen </w:t>
      </w:r>
      <w:r w:rsidR="0046085B" w:rsidRPr="00466BAB">
        <w:rPr>
          <w:rFonts w:ascii="Book Antiqua" w:eastAsiaTheme="minorEastAsia" w:hAnsi="Book Antiqua" w:cs="Arial"/>
          <w:i/>
          <w:sz w:val="24"/>
          <w:szCs w:val="24"/>
          <w:lang w:eastAsia="zh-CN"/>
        </w:rPr>
        <w:t>et al</w:t>
      </w:r>
      <w:r w:rsidR="0046085B" w:rsidRPr="00466BAB">
        <w:rPr>
          <w:rFonts w:ascii="Book Antiqua" w:hAnsi="Book Antiqua" w:cs="Arial"/>
          <w:sz w:val="24"/>
          <w:szCs w:val="24"/>
          <w:vertAlign w:val="superscript"/>
        </w:rPr>
        <w:t>[7]</w:t>
      </w:r>
      <w:r w:rsidR="0046085B" w:rsidRPr="00466BAB">
        <w:rPr>
          <w:rFonts w:ascii="Book Antiqua" w:eastAsiaTheme="minorEastAsia" w:hAnsi="Book Antiqua" w:cs="Arial"/>
          <w:sz w:val="24"/>
          <w:szCs w:val="24"/>
          <w:vertAlign w:val="superscript"/>
          <w:lang w:eastAsia="zh-CN"/>
        </w:rPr>
        <w:t xml:space="preserve"> </w:t>
      </w:r>
      <w:r w:rsidRPr="00466BAB">
        <w:rPr>
          <w:rFonts w:ascii="Book Antiqua" w:hAnsi="Book Antiqua" w:cs="Arial"/>
          <w:sz w:val="24"/>
          <w:szCs w:val="24"/>
        </w:rPr>
        <w:t xml:space="preserve">concluded that a pre-operative OGDF is recommended before a SG, </w:t>
      </w:r>
      <w:r w:rsidRPr="00466BAB">
        <w:rPr>
          <w:rFonts w:ascii="Book Antiqua" w:hAnsi="Book Antiqua" w:cs="Arial"/>
          <w:sz w:val="24"/>
          <w:szCs w:val="24"/>
        </w:rPr>
        <w:lastRenderedPageBreak/>
        <w:t xml:space="preserve">but it is not mandatory before a RYGB for asymptomatic patients without any risk factor for gastric pathology (family history of gastric cancer, </w:t>
      </w:r>
      <w:r w:rsidRPr="00466BAB">
        <w:rPr>
          <w:rFonts w:ascii="Book Antiqua" w:hAnsi="Book Antiqua" w:cs="Arial"/>
          <w:i/>
          <w:sz w:val="24"/>
          <w:szCs w:val="24"/>
        </w:rPr>
        <w:t>H. pylori</w:t>
      </w:r>
      <w:r w:rsidRPr="00466BAB">
        <w:rPr>
          <w:rFonts w:ascii="Book Antiqua" w:hAnsi="Book Antiqua" w:cs="Arial"/>
          <w:sz w:val="24"/>
          <w:szCs w:val="24"/>
        </w:rPr>
        <w:t xml:space="preserve"> infection, NSAIDs usage, tabagism, age &gt; to 50 years, kidneys, heart or lungs chronic diseases).</w:t>
      </w:r>
      <w:r w:rsidR="00426213" w:rsidRPr="00466BAB">
        <w:rPr>
          <w:rFonts w:ascii="Book Antiqua" w:hAnsi="Book Antiqua" w:cs="Arial"/>
          <w:sz w:val="24"/>
          <w:szCs w:val="24"/>
        </w:rPr>
        <w:t xml:space="preserve"> </w:t>
      </w:r>
      <w:r w:rsidRPr="00466BAB">
        <w:rPr>
          <w:rFonts w:ascii="Book Antiqua" w:hAnsi="Book Antiqua" w:cs="Arial"/>
          <w:sz w:val="24"/>
          <w:szCs w:val="24"/>
        </w:rPr>
        <w:t>The American Society for Gastrointestinal Endoscopy ASGE and the American Society for Metabolic and Bariatric Surgery ASMBS defined some guidelines rooted from evidence-based medicine</w:t>
      </w:r>
      <w:r w:rsidR="00055232" w:rsidRPr="00466BAB">
        <w:rPr>
          <w:rFonts w:ascii="Book Antiqua" w:hAnsi="Book Antiqua" w:cs="Arial"/>
          <w:sz w:val="24"/>
          <w:szCs w:val="24"/>
          <w:vertAlign w:val="superscript"/>
        </w:rPr>
        <w:t>[8</w:t>
      </w:r>
      <w:r w:rsidR="00AE4C80" w:rsidRPr="00466BAB">
        <w:rPr>
          <w:rFonts w:ascii="Book Antiqua" w:hAnsi="Book Antiqua" w:cs="Arial"/>
          <w:sz w:val="24"/>
          <w:szCs w:val="24"/>
          <w:vertAlign w:val="superscript"/>
        </w:rPr>
        <w:t>]</w:t>
      </w:r>
      <w:r w:rsidRPr="00466BAB">
        <w:rPr>
          <w:rFonts w:ascii="Book Antiqua" w:hAnsi="Book Antiqua" w:cs="Arial"/>
          <w:sz w:val="24"/>
          <w:szCs w:val="24"/>
        </w:rPr>
        <w:t>. These guidelines stipulate that an OGDF should be realized for symptomatic patients and don’t go further to the recommendation of a systematic pre-operative OGDF. Searching for HP should not justify the realization of an OGDF.</w:t>
      </w:r>
      <w:r w:rsidR="00426213" w:rsidRPr="00466BAB">
        <w:rPr>
          <w:rFonts w:ascii="Book Antiqua" w:hAnsi="Book Antiqua" w:cs="Arial"/>
          <w:sz w:val="24"/>
          <w:szCs w:val="24"/>
        </w:rPr>
        <w:t xml:space="preserve"> </w:t>
      </w:r>
      <w:r w:rsidRPr="00466BAB">
        <w:rPr>
          <w:rFonts w:ascii="Book Antiqua" w:hAnsi="Book Antiqua" w:cs="Arial"/>
          <w:sz w:val="24"/>
          <w:szCs w:val="24"/>
        </w:rPr>
        <w:t xml:space="preserve">In fact, </w:t>
      </w:r>
      <w:r w:rsidRPr="00466BAB">
        <w:rPr>
          <w:rFonts w:ascii="Book Antiqua" w:hAnsi="Book Antiqua" w:cs="Arial"/>
          <w:i/>
          <w:sz w:val="24"/>
          <w:szCs w:val="24"/>
        </w:rPr>
        <w:t>H. pylori</w:t>
      </w:r>
      <w:r w:rsidRPr="00466BAB">
        <w:rPr>
          <w:rFonts w:ascii="Book Antiqua" w:hAnsi="Book Antiqua" w:cs="Arial"/>
          <w:sz w:val="24"/>
          <w:szCs w:val="24"/>
        </w:rPr>
        <w:t xml:space="preserve"> are often diagnosed during an OGDF, but it can also be detected in fecal samples or with a respiratory test (13C urease). However, it is worth mentioning that </w:t>
      </w:r>
      <w:r w:rsidRPr="00466BAB">
        <w:rPr>
          <w:rFonts w:ascii="Book Antiqua" w:hAnsi="Book Antiqua" w:cs="Arial"/>
          <w:i/>
          <w:sz w:val="24"/>
          <w:szCs w:val="24"/>
        </w:rPr>
        <w:t>H. pylori</w:t>
      </w:r>
      <w:r w:rsidRPr="00466BAB">
        <w:rPr>
          <w:rFonts w:ascii="Book Antiqua" w:hAnsi="Book Antiqua" w:cs="Arial"/>
          <w:sz w:val="24"/>
          <w:szCs w:val="24"/>
        </w:rPr>
        <w:t xml:space="preserve"> are considered as a major carcinogen, that’s why every patient with a positive </w:t>
      </w:r>
      <w:r w:rsidRPr="00466BAB">
        <w:rPr>
          <w:rFonts w:ascii="Book Antiqua" w:hAnsi="Book Antiqua" w:cs="Arial"/>
          <w:i/>
          <w:sz w:val="24"/>
          <w:szCs w:val="24"/>
        </w:rPr>
        <w:t>H. pylori</w:t>
      </w:r>
      <w:r w:rsidRPr="00466BAB">
        <w:rPr>
          <w:rFonts w:ascii="Book Antiqua" w:hAnsi="Book Antiqua" w:cs="Arial"/>
          <w:sz w:val="24"/>
          <w:szCs w:val="24"/>
        </w:rPr>
        <w:t xml:space="preserve"> test should have a surveillance post-operative OGDF. The coeliac disease can be detected with anti-transglutaminase antibodies. Hence, searching this disease should not justify the realization of an OGDF. </w:t>
      </w:r>
    </w:p>
    <w:p w14:paraId="244EE5F3" w14:textId="543388A3" w:rsidR="006E22AA" w:rsidRPr="00466BAB" w:rsidRDefault="006E22AA" w:rsidP="00466BAB">
      <w:pPr>
        <w:spacing w:line="360" w:lineRule="auto"/>
        <w:ind w:firstLineChars="100" w:firstLine="240"/>
        <w:jc w:val="both"/>
        <w:rPr>
          <w:rFonts w:ascii="Book Antiqua" w:hAnsi="Book Antiqua" w:cs="Arial"/>
          <w:sz w:val="24"/>
          <w:szCs w:val="24"/>
        </w:rPr>
      </w:pPr>
      <w:r w:rsidRPr="00466BAB">
        <w:rPr>
          <w:rFonts w:ascii="Book Antiqua" w:hAnsi="Book Antiqua" w:cs="Arial"/>
          <w:sz w:val="24"/>
          <w:szCs w:val="24"/>
        </w:rPr>
        <w:t>We recommend the realization of a systematic pre-operative OGDF. It is also interesting to have stomach cartography. An OGDF can detect disease such as HP, esophagi</w:t>
      </w:r>
      <w:r w:rsidR="0046085B" w:rsidRPr="00466BAB">
        <w:rPr>
          <w:rFonts w:ascii="Book Antiqua" w:hAnsi="Book Antiqua" w:cs="Arial"/>
          <w:sz w:val="24"/>
          <w:szCs w:val="24"/>
        </w:rPr>
        <w:t xml:space="preserve">tis, hiatal hernia, tumors, </w:t>
      </w:r>
      <w:r w:rsidR="0046085B" w:rsidRPr="00466BAB">
        <w:rPr>
          <w:rFonts w:ascii="Book Antiqua" w:hAnsi="Book Antiqua" w:cs="Arial"/>
          <w:i/>
          <w:sz w:val="24"/>
          <w:szCs w:val="24"/>
        </w:rPr>
        <w:t>etc</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and it can in addition to that examine the stomach before and after the surgery. In case of complaint, a patient can ask for the results of an OGDF, hence the OGDF has a medico-legal value. Patients with GERD should undergo a pre-sleeve pH and manometry test. </w:t>
      </w:r>
    </w:p>
    <w:p w14:paraId="63BC437D" w14:textId="77777777" w:rsidR="006E22AA" w:rsidRPr="00466BAB" w:rsidRDefault="006E22AA" w:rsidP="00466BAB">
      <w:pPr>
        <w:spacing w:line="360" w:lineRule="auto"/>
        <w:jc w:val="both"/>
        <w:rPr>
          <w:rFonts w:ascii="Book Antiqua" w:eastAsiaTheme="minorEastAsia" w:hAnsi="Book Antiqua" w:cs="Arial"/>
          <w:sz w:val="24"/>
          <w:szCs w:val="24"/>
          <w:lang w:eastAsia="zh-CN"/>
        </w:rPr>
      </w:pPr>
    </w:p>
    <w:p w14:paraId="4875FDA2" w14:textId="4DDFB65D" w:rsidR="006E22AA" w:rsidRPr="00466BAB" w:rsidRDefault="0046085B" w:rsidP="00466BAB">
      <w:pPr>
        <w:spacing w:line="360" w:lineRule="auto"/>
        <w:jc w:val="both"/>
        <w:rPr>
          <w:rFonts w:ascii="Book Antiqua" w:hAnsi="Book Antiqua" w:cs="Arial"/>
          <w:b/>
          <w:bCs/>
          <w:sz w:val="24"/>
          <w:szCs w:val="24"/>
        </w:rPr>
      </w:pPr>
      <w:r w:rsidRPr="00466BAB">
        <w:rPr>
          <w:rFonts w:ascii="Book Antiqua" w:hAnsi="Book Antiqua" w:cs="Arial"/>
          <w:b/>
          <w:bCs/>
          <w:sz w:val="24"/>
          <w:szCs w:val="24"/>
        </w:rPr>
        <w:t xml:space="preserve">POSTOPERATIVE ENDOSCOPIC SURVEILLANCE </w:t>
      </w:r>
    </w:p>
    <w:p w14:paraId="2F9B743C" w14:textId="31493C4B" w:rsidR="006E22AA" w:rsidRPr="00466BAB" w:rsidRDefault="00CE6541" w:rsidP="00466BAB">
      <w:pPr>
        <w:spacing w:line="360" w:lineRule="auto"/>
        <w:jc w:val="both"/>
        <w:rPr>
          <w:rFonts w:ascii="Book Antiqua" w:eastAsiaTheme="minorEastAsia" w:hAnsi="Book Antiqua" w:cs="Arial"/>
          <w:sz w:val="24"/>
          <w:szCs w:val="24"/>
          <w:lang w:eastAsia="zh-CN"/>
        </w:rPr>
      </w:pPr>
      <w:r w:rsidRPr="00466BAB">
        <w:rPr>
          <w:rFonts w:ascii="Book Antiqua" w:hAnsi="Book Antiqua" w:cs="Arial"/>
          <w:sz w:val="24"/>
          <w:szCs w:val="24"/>
        </w:rPr>
        <w:t xml:space="preserve">The International Federation for the Surgery of Obesity and Metabolic Disorders (IFSO) </w:t>
      </w:r>
      <w:r w:rsidR="006E22AA" w:rsidRPr="00466BAB">
        <w:rPr>
          <w:rFonts w:ascii="Book Antiqua" w:hAnsi="Book Antiqua" w:cs="Arial"/>
          <w:sz w:val="24"/>
          <w:szCs w:val="24"/>
        </w:rPr>
        <w:t xml:space="preserve">position is clear towards this matter. The IFSO recommends a surveillance endoscopy, routinely after a </w:t>
      </w:r>
      <w:r w:rsidR="005261E4" w:rsidRPr="00466BAB">
        <w:rPr>
          <w:rFonts w:ascii="Book Antiqua" w:eastAsiaTheme="minorEastAsia" w:hAnsi="Book Antiqua" w:cs="Arial"/>
          <w:sz w:val="24"/>
          <w:szCs w:val="24"/>
          <w:lang w:eastAsia="zh-CN"/>
        </w:rPr>
        <w:t>SG</w:t>
      </w:r>
      <w:r w:rsidR="006E22AA" w:rsidRPr="00466BAB">
        <w:rPr>
          <w:rFonts w:ascii="Book Antiqua" w:hAnsi="Book Antiqua" w:cs="Arial"/>
          <w:sz w:val="24"/>
          <w:szCs w:val="24"/>
        </w:rPr>
        <w:t>. The guidelines</w:t>
      </w:r>
      <w:r w:rsidR="006E22AA" w:rsidRPr="00466BAB">
        <w:rPr>
          <w:rFonts w:ascii="Book Antiqua" w:hAnsi="Book Antiqua" w:cs="Arial"/>
          <w:b/>
          <w:bCs/>
          <w:sz w:val="24"/>
          <w:szCs w:val="24"/>
        </w:rPr>
        <w:t xml:space="preserve"> </w:t>
      </w:r>
      <w:r w:rsidR="006E22AA" w:rsidRPr="00466BAB">
        <w:rPr>
          <w:rFonts w:ascii="Book Antiqua" w:hAnsi="Book Antiqua" w:cs="Arial"/>
          <w:sz w:val="24"/>
          <w:szCs w:val="24"/>
        </w:rPr>
        <w:t xml:space="preserve">of the IFSO are: </w:t>
      </w:r>
      <w:r w:rsidR="0046085B" w:rsidRPr="00466BAB">
        <w:rPr>
          <w:rFonts w:ascii="Book Antiqua" w:eastAsiaTheme="minorEastAsia" w:hAnsi="Book Antiqua" w:cs="Arial"/>
          <w:sz w:val="24"/>
          <w:szCs w:val="24"/>
          <w:lang w:eastAsia="zh-CN"/>
        </w:rPr>
        <w:t xml:space="preserve">(1) </w:t>
      </w:r>
      <w:r w:rsidR="005261E4" w:rsidRPr="00466BAB">
        <w:rPr>
          <w:rFonts w:ascii="Book Antiqua" w:eastAsiaTheme="minorEastAsia" w:hAnsi="Book Antiqua" w:cs="Arial"/>
          <w:sz w:val="24"/>
          <w:szCs w:val="24"/>
          <w:lang w:eastAsia="zh-CN"/>
        </w:rPr>
        <w:t>SG</w:t>
      </w:r>
      <w:r w:rsidR="006E22AA" w:rsidRPr="00466BAB">
        <w:rPr>
          <w:rFonts w:ascii="Book Antiqua" w:hAnsi="Book Antiqua" w:cs="Arial"/>
          <w:sz w:val="24"/>
          <w:szCs w:val="24"/>
        </w:rPr>
        <w:t xml:space="preserve"> is secure and efficient metabolic procedure</w:t>
      </w:r>
      <w:r w:rsidR="0046085B" w:rsidRPr="00466BAB">
        <w:rPr>
          <w:rFonts w:ascii="Book Antiqua" w:eastAsiaTheme="minorEastAsia" w:hAnsi="Book Antiqua" w:cs="Arial"/>
          <w:sz w:val="24"/>
          <w:szCs w:val="24"/>
          <w:lang w:eastAsia="zh-CN"/>
        </w:rPr>
        <w:t xml:space="preserve">; (2) </w:t>
      </w:r>
      <w:r w:rsidR="006E22AA" w:rsidRPr="00466BAB">
        <w:rPr>
          <w:rFonts w:ascii="Book Antiqua" w:hAnsi="Book Antiqua" w:cs="Arial"/>
          <w:sz w:val="24"/>
          <w:szCs w:val="24"/>
        </w:rPr>
        <w:t xml:space="preserve">The presence of Barrett’s esophagus is considered as a contra-indication for </w:t>
      </w:r>
      <w:r w:rsidR="005261E4" w:rsidRPr="00466BAB">
        <w:rPr>
          <w:rFonts w:ascii="Book Antiqua" w:eastAsiaTheme="minorEastAsia" w:hAnsi="Book Antiqua" w:cs="Arial"/>
          <w:sz w:val="24"/>
          <w:szCs w:val="24"/>
          <w:lang w:eastAsia="zh-CN"/>
        </w:rPr>
        <w:t>SG</w:t>
      </w:r>
      <w:r w:rsidR="0046085B" w:rsidRPr="00466BAB">
        <w:rPr>
          <w:rFonts w:ascii="Book Antiqua" w:eastAsiaTheme="minorEastAsia" w:hAnsi="Book Antiqua" w:cs="Arial"/>
          <w:sz w:val="24"/>
          <w:szCs w:val="24"/>
          <w:lang w:eastAsia="zh-CN"/>
        </w:rPr>
        <w:t xml:space="preserve">; (3) </w:t>
      </w:r>
      <w:r w:rsidR="006E22AA" w:rsidRPr="00466BAB">
        <w:rPr>
          <w:rFonts w:ascii="Book Antiqua" w:hAnsi="Book Antiqua" w:cs="Arial"/>
          <w:sz w:val="24"/>
          <w:szCs w:val="24"/>
        </w:rPr>
        <w:t>The presence of Barrett’s esophagus or the severity of an esophagitis doesn’t always correlate with the symptomatology degree</w:t>
      </w:r>
      <w:r w:rsidR="0046085B" w:rsidRPr="00466BAB">
        <w:rPr>
          <w:rFonts w:ascii="Book Antiqua" w:eastAsiaTheme="minorEastAsia" w:hAnsi="Book Antiqua" w:cs="Arial"/>
          <w:sz w:val="24"/>
          <w:szCs w:val="24"/>
          <w:lang w:eastAsia="zh-CN"/>
        </w:rPr>
        <w:t xml:space="preserve">; (4) </w:t>
      </w:r>
      <w:r w:rsidR="006E22AA" w:rsidRPr="00466BAB">
        <w:rPr>
          <w:rFonts w:ascii="Book Antiqua" w:hAnsi="Book Antiqua" w:cs="Arial"/>
          <w:sz w:val="24"/>
          <w:szCs w:val="24"/>
        </w:rPr>
        <w:t>In two different longitudinal studies, the novo Barrett’s esophagus was found in the case of 15</w:t>
      </w:r>
      <w:r w:rsidR="0046085B" w:rsidRPr="00466BAB">
        <w:rPr>
          <w:rFonts w:ascii="Book Antiqua" w:eastAsiaTheme="minorEastAsia" w:hAnsi="Book Antiqua" w:cs="Arial"/>
          <w:sz w:val="24"/>
          <w:szCs w:val="24"/>
          <w:lang w:eastAsia="zh-CN"/>
        </w:rPr>
        <w:t>%</w:t>
      </w:r>
      <w:r w:rsidR="006E22AA" w:rsidRPr="00466BAB">
        <w:rPr>
          <w:rFonts w:ascii="Book Antiqua" w:hAnsi="Book Antiqua" w:cs="Arial"/>
          <w:sz w:val="24"/>
          <w:szCs w:val="24"/>
        </w:rPr>
        <w:t xml:space="preserve"> to 17% of the patients without any correlation between the symptomatology and the endoscopy results</w:t>
      </w:r>
      <w:r w:rsidR="0046085B" w:rsidRPr="00466BAB">
        <w:rPr>
          <w:rFonts w:ascii="Book Antiqua" w:eastAsiaTheme="minorEastAsia" w:hAnsi="Book Antiqua" w:cs="Arial"/>
          <w:sz w:val="24"/>
          <w:szCs w:val="24"/>
          <w:lang w:eastAsia="zh-CN"/>
        </w:rPr>
        <w:t xml:space="preserve">; (5) </w:t>
      </w:r>
      <w:r w:rsidR="006E22AA" w:rsidRPr="00466BAB">
        <w:rPr>
          <w:rFonts w:ascii="Book Antiqua" w:hAnsi="Book Antiqua" w:cs="Arial"/>
          <w:sz w:val="24"/>
          <w:szCs w:val="24"/>
        </w:rPr>
        <w:t xml:space="preserve">Consequently, a pre-operative </w:t>
      </w:r>
      <w:r w:rsidR="006E22AA" w:rsidRPr="00466BAB">
        <w:rPr>
          <w:rFonts w:ascii="Book Antiqua" w:hAnsi="Book Antiqua" w:cs="Arial"/>
          <w:sz w:val="24"/>
          <w:szCs w:val="24"/>
        </w:rPr>
        <w:lastRenderedPageBreak/>
        <w:t xml:space="preserve">screening endoscopy and a surveillance post-operative one should be mandatory after one, three and five years after a </w:t>
      </w:r>
      <w:r w:rsidR="005261E4" w:rsidRPr="00466BAB">
        <w:rPr>
          <w:rFonts w:ascii="Book Antiqua" w:eastAsiaTheme="minorEastAsia" w:hAnsi="Book Antiqua" w:cs="Arial"/>
          <w:sz w:val="24"/>
          <w:szCs w:val="24"/>
          <w:lang w:eastAsia="zh-CN"/>
        </w:rPr>
        <w:t>SG</w:t>
      </w:r>
      <w:r w:rsidR="006E22AA" w:rsidRPr="00466BAB">
        <w:rPr>
          <w:rFonts w:ascii="Book Antiqua" w:hAnsi="Book Antiqua" w:cs="Arial"/>
          <w:sz w:val="24"/>
          <w:szCs w:val="24"/>
        </w:rPr>
        <w:t xml:space="preserve"> and later each 10 years</w:t>
      </w:r>
      <w:r w:rsidR="0046085B" w:rsidRPr="00466BAB">
        <w:rPr>
          <w:rFonts w:ascii="Book Antiqua" w:eastAsiaTheme="minorEastAsia" w:hAnsi="Book Antiqua" w:cs="Arial"/>
          <w:sz w:val="24"/>
          <w:szCs w:val="24"/>
          <w:lang w:eastAsia="zh-CN"/>
        </w:rPr>
        <w:t>; and (6)</w:t>
      </w:r>
      <w:r w:rsidR="006E22AA" w:rsidRPr="00466BAB">
        <w:rPr>
          <w:rFonts w:ascii="Book Antiqua" w:hAnsi="Book Antiqua" w:cs="Arial"/>
          <w:sz w:val="24"/>
          <w:szCs w:val="24"/>
        </w:rPr>
        <w:t xml:space="preserve"> The presence of a novo Barrett’s esophagus after a Sleeve should lead to a more frequent surveillance and the conversion to a gastric bypass or other therapies</w:t>
      </w:r>
      <w:r w:rsidR="0046085B" w:rsidRPr="00466BAB">
        <w:rPr>
          <w:rFonts w:ascii="Book Antiqua" w:hAnsi="Book Antiqua" w:cs="Arial"/>
          <w:sz w:val="24"/>
          <w:szCs w:val="24"/>
          <w:vertAlign w:val="superscript"/>
        </w:rPr>
        <w:t>[9-16]</w:t>
      </w:r>
      <w:r w:rsidR="006E22AA" w:rsidRPr="00466BAB">
        <w:rPr>
          <w:rFonts w:ascii="Book Antiqua" w:hAnsi="Book Antiqua" w:cs="Arial"/>
          <w:sz w:val="24"/>
          <w:szCs w:val="24"/>
        </w:rPr>
        <w:t xml:space="preserve">. </w:t>
      </w:r>
    </w:p>
    <w:p w14:paraId="59DAE50B" w14:textId="0BC4CEA9" w:rsidR="008B135A" w:rsidRPr="00466BAB" w:rsidRDefault="006E22AA" w:rsidP="00466BAB">
      <w:pPr>
        <w:spacing w:line="360" w:lineRule="auto"/>
        <w:ind w:firstLineChars="100" w:firstLine="240"/>
        <w:jc w:val="both"/>
        <w:rPr>
          <w:rFonts w:ascii="Book Antiqua" w:hAnsi="Book Antiqua" w:cs="Arial"/>
          <w:sz w:val="24"/>
          <w:szCs w:val="24"/>
        </w:rPr>
      </w:pPr>
      <w:r w:rsidRPr="00466BAB">
        <w:rPr>
          <w:rFonts w:ascii="Book Antiqua" w:hAnsi="Book Antiqua" w:cs="Arial"/>
          <w:sz w:val="24"/>
          <w:szCs w:val="24"/>
        </w:rPr>
        <w:t>It is alarming to notice that the presence of novo Barrett’s esophagus reached 15</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to 17% after a </w:t>
      </w:r>
      <w:r w:rsidR="005261E4" w:rsidRPr="00466BAB">
        <w:rPr>
          <w:rFonts w:ascii="Book Antiqua" w:eastAsiaTheme="minorEastAsia" w:hAnsi="Book Antiqua" w:cs="Arial"/>
          <w:sz w:val="24"/>
          <w:szCs w:val="24"/>
          <w:lang w:eastAsia="zh-CN"/>
        </w:rPr>
        <w:t>SG</w:t>
      </w:r>
      <w:r w:rsidRPr="00466BAB">
        <w:rPr>
          <w:rFonts w:ascii="Book Antiqua" w:hAnsi="Book Antiqua" w:cs="Arial"/>
          <w:sz w:val="24"/>
          <w:szCs w:val="24"/>
        </w:rPr>
        <w:t xml:space="preserve"> and it seems that there is no correlation with the severity of GERD symptoms. The real occurrence is probably higher, but many symptomatic patients had already been converted to gastric bypass. It is necessary for us to define the seriousness of this problem knowing that the popularity of this procedure is increasing and patients are informed about the necessity of a surveillance endoscopy after a </w:t>
      </w:r>
      <w:r w:rsidR="005261E4" w:rsidRPr="00466BAB">
        <w:rPr>
          <w:rFonts w:ascii="Book Antiqua" w:eastAsiaTheme="minorEastAsia" w:hAnsi="Book Antiqua" w:cs="Arial"/>
          <w:sz w:val="24"/>
          <w:szCs w:val="24"/>
          <w:lang w:eastAsia="zh-CN"/>
        </w:rPr>
        <w:t>SG</w:t>
      </w:r>
      <w:r w:rsidRPr="00466BAB">
        <w:rPr>
          <w:rFonts w:ascii="Book Antiqua" w:hAnsi="Book Antiqua" w:cs="Arial"/>
          <w:sz w:val="24"/>
          <w:szCs w:val="24"/>
        </w:rPr>
        <w:t>. We know that 3 cases of esophageal adenocarcinoma were reported after a SG</w:t>
      </w:r>
      <w:r w:rsidR="00E833FB" w:rsidRPr="00466BAB">
        <w:rPr>
          <w:rFonts w:ascii="Book Antiqua" w:hAnsi="Book Antiqua" w:cs="Arial"/>
          <w:sz w:val="24"/>
          <w:szCs w:val="24"/>
          <w:vertAlign w:val="superscript"/>
        </w:rPr>
        <w:t>[15</w:t>
      </w:r>
      <w:r w:rsidR="006F5E64" w:rsidRPr="00466BAB">
        <w:rPr>
          <w:rFonts w:ascii="Book Antiqua" w:hAnsi="Book Antiqua" w:cs="Arial"/>
          <w:sz w:val="24"/>
          <w:szCs w:val="24"/>
          <w:vertAlign w:val="superscript"/>
        </w:rPr>
        <w:t>]</w:t>
      </w:r>
      <w:r w:rsidRPr="00466BAB">
        <w:rPr>
          <w:rFonts w:ascii="Book Antiqua" w:hAnsi="Book Antiqua" w:cs="Arial"/>
          <w:sz w:val="24"/>
          <w:szCs w:val="24"/>
        </w:rPr>
        <w:t xml:space="preserve">. Thus, we recommend a systematic post-operative OGDF 1, 3 and 5 years after the surgery and then depending on the OGDF results, based on the recommendations of the SFED, the French Society for Digestive Endoscopy (2007, Seattle Classification). According to these recommendations, after confirming the diagnosis of Barrett’s esophagus, a systematic cartography of the Barrett’s esophagus should be realized according to the Seattle protocol. This biopsy protocol modalities depends of the Barrett’s esophagus height: </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1) in case of a short Barrett’s esophagus (&lt; 3</w:t>
      </w:r>
      <w:r w:rsidR="0046085B"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cm) or in strips: 2 to 4 biopsies each centimeter (1 tube per level)</w:t>
      </w:r>
      <w:r w:rsidR="0046085B" w:rsidRPr="00466BAB">
        <w:rPr>
          <w:rFonts w:ascii="Book Antiqua" w:hAnsi="Book Antiqua" w:cs="Arial"/>
          <w:sz w:val="24"/>
          <w:szCs w:val="24"/>
        </w:rPr>
        <w:t> </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 xml:space="preserve"> </w:t>
      </w:r>
      <w:r w:rsidR="0046085B" w:rsidRPr="00466BAB">
        <w:rPr>
          <w:rFonts w:ascii="Book Antiqua" w:eastAsiaTheme="minorEastAsia" w:hAnsi="Book Antiqua" w:cs="Arial"/>
          <w:sz w:val="24"/>
          <w:szCs w:val="24"/>
          <w:lang w:eastAsia="zh-CN"/>
        </w:rPr>
        <w:t>(</w:t>
      </w:r>
      <w:r w:rsidRPr="00466BAB">
        <w:rPr>
          <w:rFonts w:ascii="Book Antiqua" w:hAnsi="Book Antiqua" w:cs="Arial"/>
          <w:sz w:val="24"/>
          <w:szCs w:val="24"/>
        </w:rPr>
        <w:t>2) in case of a long Barrett’s esophagus (≥ 3</w:t>
      </w:r>
      <w:r w:rsidR="0046085B" w:rsidRPr="00466BAB">
        <w:rPr>
          <w:rFonts w:ascii="Book Antiqua" w:eastAsiaTheme="minorEastAsia" w:hAnsi="Book Antiqua" w:cs="Arial"/>
          <w:sz w:val="24"/>
          <w:szCs w:val="24"/>
          <w:lang w:eastAsia="zh-CN"/>
        </w:rPr>
        <w:t xml:space="preserve"> </w:t>
      </w:r>
      <w:r w:rsidRPr="00466BAB">
        <w:rPr>
          <w:rFonts w:ascii="Book Antiqua" w:hAnsi="Book Antiqua" w:cs="Arial"/>
          <w:sz w:val="24"/>
          <w:szCs w:val="24"/>
        </w:rPr>
        <w:t>cm): 4 quadratic biopsies each 2cm (1 tube per level). To these systematic biopsies, it is recommended to add biopsies for any anomaly in the shape or color of the esophageal mucosa. In all the cases, the patient should be informed about this endoscopic surveillance and about the eventual risk of conversion to a Roux-en-Y bypass.</w:t>
      </w:r>
      <w:r w:rsidR="0046085B" w:rsidRPr="00466BAB">
        <w:rPr>
          <w:rFonts w:ascii="Book Antiqua" w:eastAsiaTheme="minorEastAsia" w:hAnsi="Book Antiqua" w:cs="Arial"/>
          <w:sz w:val="24"/>
          <w:szCs w:val="24"/>
          <w:lang w:eastAsia="zh-CN"/>
        </w:rPr>
        <w:t xml:space="preserve"> </w:t>
      </w:r>
      <w:r w:rsidR="008B135A" w:rsidRPr="00466BAB">
        <w:rPr>
          <w:rFonts w:ascii="Book Antiqua" w:hAnsi="Book Antiqua" w:cs="Arial"/>
          <w:sz w:val="24"/>
          <w:szCs w:val="24"/>
        </w:rPr>
        <w:t>Finally, we wish to specify that it is not a general consensus.</w:t>
      </w:r>
    </w:p>
    <w:p w14:paraId="5BD3E246" w14:textId="77777777" w:rsidR="0046085B" w:rsidRPr="00466BAB" w:rsidRDefault="0046085B" w:rsidP="00466BAB">
      <w:pPr>
        <w:widowControl/>
        <w:suppressAutoHyphens w:val="0"/>
        <w:spacing w:line="360" w:lineRule="auto"/>
        <w:rPr>
          <w:rFonts w:ascii="Book Antiqua" w:eastAsia="宋体" w:hAnsi="Book Antiqua" w:cs="Arial"/>
          <w:b/>
          <w:sz w:val="24"/>
          <w:szCs w:val="24"/>
          <w:lang w:eastAsia="zh-CN"/>
        </w:rPr>
      </w:pPr>
      <w:r w:rsidRPr="00466BAB">
        <w:rPr>
          <w:rFonts w:ascii="Book Antiqua" w:eastAsia="宋体" w:hAnsi="Book Antiqua" w:cs="Arial"/>
          <w:b/>
          <w:sz w:val="24"/>
          <w:szCs w:val="24"/>
          <w:lang w:eastAsia="zh-CN"/>
        </w:rPr>
        <w:br w:type="page"/>
      </w:r>
    </w:p>
    <w:p w14:paraId="117F7330" w14:textId="7C721994" w:rsidR="006E22AA" w:rsidRPr="00466BAB" w:rsidRDefault="001539D1" w:rsidP="00466BAB">
      <w:pPr>
        <w:spacing w:line="360" w:lineRule="auto"/>
        <w:jc w:val="both"/>
        <w:rPr>
          <w:rFonts w:ascii="Book Antiqua" w:hAnsi="Book Antiqua" w:cs="Arial"/>
          <w:sz w:val="24"/>
          <w:szCs w:val="24"/>
        </w:rPr>
      </w:pPr>
      <w:r w:rsidRPr="00466BAB">
        <w:rPr>
          <w:rFonts w:ascii="Book Antiqua" w:hAnsi="Book Antiqua" w:cs="Arial"/>
          <w:b/>
          <w:sz w:val="24"/>
          <w:szCs w:val="24"/>
        </w:rPr>
        <w:lastRenderedPageBreak/>
        <w:t>REFERENCES</w:t>
      </w:r>
    </w:p>
    <w:p w14:paraId="3D50A92D"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 </w:t>
      </w:r>
      <w:r w:rsidRPr="00466BAB">
        <w:rPr>
          <w:rFonts w:ascii="Book Antiqua" w:hAnsi="Book Antiqua"/>
          <w:b/>
          <w:sz w:val="24"/>
          <w:szCs w:val="24"/>
        </w:rPr>
        <w:t>Genco A</w:t>
      </w:r>
      <w:r w:rsidRPr="00466BAB">
        <w:rPr>
          <w:rFonts w:ascii="Book Antiqua" w:hAnsi="Book Antiqua"/>
          <w:sz w:val="24"/>
          <w:szCs w:val="24"/>
        </w:rPr>
        <w:t xml:space="preserve">, Soricelli E, Casella G, Maselli R, Castagneto-Gissey L, Di Lorenzo N, Basso N. Gastroesophageal reflux disease and Barrett's esophagus after laparoscopic sleeve gastrectomy: a possible, underestimated long-term complication. </w:t>
      </w:r>
      <w:r w:rsidRPr="00466BAB">
        <w:rPr>
          <w:rFonts w:ascii="Book Antiqua" w:hAnsi="Book Antiqua"/>
          <w:i/>
          <w:sz w:val="24"/>
          <w:szCs w:val="24"/>
        </w:rPr>
        <w:t>Surg Obes Relat Dis</w:t>
      </w:r>
      <w:r w:rsidRPr="00466BAB">
        <w:rPr>
          <w:rFonts w:ascii="Book Antiqua" w:hAnsi="Book Antiqua"/>
          <w:sz w:val="24"/>
          <w:szCs w:val="24"/>
        </w:rPr>
        <w:t xml:space="preserve"> 2017; </w:t>
      </w:r>
      <w:r w:rsidRPr="00466BAB">
        <w:rPr>
          <w:rFonts w:ascii="Book Antiqua" w:hAnsi="Book Antiqua"/>
          <w:b/>
          <w:sz w:val="24"/>
          <w:szCs w:val="24"/>
        </w:rPr>
        <w:t>13</w:t>
      </w:r>
      <w:r w:rsidRPr="00466BAB">
        <w:rPr>
          <w:rFonts w:ascii="Book Antiqua" w:hAnsi="Book Antiqua"/>
          <w:sz w:val="24"/>
          <w:szCs w:val="24"/>
        </w:rPr>
        <w:t>: 568-574 [PMID: 28089434 DOI: 10.1016/j.soard.2016.11.029]</w:t>
      </w:r>
    </w:p>
    <w:p w14:paraId="5A76E6A2"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2 </w:t>
      </w:r>
      <w:r w:rsidRPr="00466BAB">
        <w:rPr>
          <w:rFonts w:ascii="Book Antiqua" w:hAnsi="Book Antiqua"/>
          <w:b/>
          <w:sz w:val="24"/>
          <w:szCs w:val="24"/>
        </w:rPr>
        <w:t>Mandeville Y</w:t>
      </w:r>
      <w:r w:rsidRPr="00466BAB">
        <w:rPr>
          <w:rFonts w:ascii="Book Antiqua" w:hAnsi="Book Antiqua"/>
          <w:sz w:val="24"/>
          <w:szCs w:val="24"/>
        </w:rPr>
        <w:t xml:space="preserve">, Van Looveren R, Vancoillie PJ, Verbeke X, Vandendriessche K, Vuylsteke P, Pattyn P, Smet B. Moderating the Enthusiasm of Sleeve Gastrectomy: Up to Fifty Percent of Reflux Symptoms After Ten Years in a Consecutive Series of One Hundred Laparoscopic Sleeve Gastrectomies. </w:t>
      </w:r>
      <w:r w:rsidRPr="00466BAB">
        <w:rPr>
          <w:rFonts w:ascii="Book Antiqua" w:hAnsi="Book Antiqua"/>
          <w:i/>
          <w:sz w:val="24"/>
          <w:szCs w:val="24"/>
        </w:rPr>
        <w:t>Obes Surg</w:t>
      </w:r>
      <w:r w:rsidRPr="00466BAB">
        <w:rPr>
          <w:rFonts w:ascii="Book Antiqua" w:hAnsi="Book Antiqua"/>
          <w:sz w:val="24"/>
          <w:szCs w:val="24"/>
        </w:rPr>
        <w:t xml:space="preserve"> 2017; </w:t>
      </w:r>
      <w:r w:rsidRPr="00466BAB">
        <w:rPr>
          <w:rFonts w:ascii="Book Antiqua" w:hAnsi="Book Antiqua"/>
          <w:b/>
          <w:sz w:val="24"/>
          <w:szCs w:val="24"/>
        </w:rPr>
        <w:t>27</w:t>
      </w:r>
      <w:r w:rsidRPr="00466BAB">
        <w:rPr>
          <w:rFonts w:ascii="Book Antiqua" w:hAnsi="Book Antiqua"/>
          <w:sz w:val="24"/>
          <w:szCs w:val="24"/>
        </w:rPr>
        <w:t>: 1797-1803 [PMID: 28190216 DOI: 10.1007/s11695-017-2567-z]</w:t>
      </w:r>
    </w:p>
    <w:p w14:paraId="1E7AB30A"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3 </w:t>
      </w:r>
      <w:r w:rsidRPr="00466BAB">
        <w:rPr>
          <w:rFonts w:ascii="Book Antiqua" w:hAnsi="Book Antiqua"/>
          <w:b/>
          <w:sz w:val="24"/>
          <w:szCs w:val="24"/>
        </w:rPr>
        <w:t>Wolter S</w:t>
      </w:r>
      <w:r w:rsidRPr="00466BAB">
        <w:rPr>
          <w:rFonts w:ascii="Book Antiqua" w:hAnsi="Book Antiqua"/>
          <w:sz w:val="24"/>
          <w:szCs w:val="24"/>
        </w:rPr>
        <w:t xml:space="preserve">, Duprée A, Miro J, Schroeder C, Jansen MI, Schulze-Zur-Wiesch C, Groth S, Izbicki J, Mann O, Busch P. Upper Gastrointestinal Endoscopy prior to Bariatric Surgery-Mandatory or Expendable? An Analysis of 801 Cases. </w:t>
      </w:r>
      <w:r w:rsidRPr="00466BAB">
        <w:rPr>
          <w:rFonts w:ascii="Book Antiqua" w:hAnsi="Book Antiqua"/>
          <w:i/>
          <w:sz w:val="24"/>
          <w:szCs w:val="24"/>
        </w:rPr>
        <w:t>Obes Surg</w:t>
      </w:r>
      <w:r w:rsidRPr="00466BAB">
        <w:rPr>
          <w:rFonts w:ascii="Book Antiqua" w:hAnsi="Book Antiqua"/>
          <w:sz w:val="24"/>
          <w:szCs w:val="24"/>
        </w:rPr>
        <w:t xml:space="preserve"> 2017; </w:t>
      </w:r>
      <w:r w:rsidRPr="00466BAB">
        <w:rPr>
          <w:rFonts w:ascii="Book Antiqua" w:hAnsi="Book Antiqua"/>
          <w:b/>
          <w:sz w:val="24"/>
          <w:szCs w:val="24"/>
        </w:rPr>
        <w:t>27</w:t>
      </w:r>
      <w:r w:rsidRPr="00466BAB">
        <w:rPr>
          <w:rFonts w:ascii="Book Antiqua" w:hAnsi="Book Antiqua"/>
          <w:sz w:val="24"/>
          <w:szCs w:val="24"/>
        </w:rPr>
        <w:t>: 1938-1943 [PMID: 28243860 DOI: 10.1007/s11695-017-2622-9]</w:t>
      </w:r>
    </w:p>
    <w:p w14:paraId="64334678" w14:textId="18845865"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4 </w:t>
      </w:r>
      <w:r w:rsidRPr="00466BAB">
        <w:rPr>
          <w:rFonts w:ascii="Book Antiqua" w:hAnsi="Book Antiqua"/>
          <w:b/>
          <w:sz w:val="24"/>
          <w:szCs w:val="24"/>
        </w:rPr>
        <w:t>Mehmet</w:t>
      </w:r>
      <w:r w:rsidRPr="00466BAB">
        <w:rPr>
          <w:rFonts w:ascii="Book Antiqua" w:eastAsiaTheme="minorEastAsia" w:hAnsi="Book Antiqua"/>
          <w:b/>
          <w:sz w:val="24"/>
          <w:szCs w:val="24"/>
          <w:lang w:eastAsia="zh-CN"/>
        </w:rPr>
        <w:t xml:space="preserve"> M</w:t>
      </w:r>
      <w:r w:rsidRPr="00466BAB">
        <w:rPr>
          <w:rFonts w:ascii="Book Antiqua" w:hAnsi="Book Antiqua"/>
          <w:sz w:val="24"/>
          <w:szCs w:val="24"/>
        </w:rPr>
        <w:t>, Pinar</w:t>
      </w:r>
      <w:r w:rsidRPr="00466BAB">
        <w:rPr>
          <w:rFonts w:ascii="Book Antiqua" w:eastAsiaTheme="minorEastAsia" w:hAnsi="Book Antiqua"/>
          <w:sz w:val="24"/>
          <w:szCs w:val="24"/>
          <w:lang w:eastAsia="zh-CN"/>
        </w:rPr>
        <w:t xml:space="preserve"> Y</w:t>
      </w:r>
      <w:r w:rsidRPr="00466BAB">
        <w:rPr>
          <w:rFonts w:ascii="Book Antiqua" w:hAnsi="Book Antiqua"/>
          <w:sz w:val="24"/>
          <w:szCs w:val="24"/>
        </w:rPr>
        <w:t>, Gurhan</w:t>
      </w:r>
      <w:r w:rsidRPr="00466BAB">
        <w:rPr>
          <w:rFonts w:ascii="Book Antiqua" w:eastAsiaTheme="minorEastAsia" w:hAnsi="Book Antiqua"/>
          <w:sz w:val="24"/>
          <w:szCs w:val="24"/>
          <w:lang w:eastAsia="zh-CN"/>
        </w:rPr>
        <w:t xml:space="preserve"> I</w:t>
      </w:r>
      <w:r w:rsidRPr="00466BAB">
        <w:rPr>
          <w:rFonts w:ascii="Book Antiqua" w:hAnsi="Book Antiqua"/>
          <w:sz w:val="24"/>
          <w:szCs w:val="24"/>
        </w:rPr>
        <w:t>, Canan</w:t>
      </w:r>
      <w:r w:rsidRPr="00466BAB">
        <w:rPr>
          <w:rFonts w:ascii="Book Antiqua" w:eastAsiaTheme="minorEastAsia" w:hAnsi="Book Antiqua"/>
          <w:sz w:val="24"/>
          <w:szCs w:val="24"/>
          <w:lang w:eastAsia="zh-CN"/>
        </w:rPr>
        <w:t xml:space="preserve"> T</w:t>
      </w:r>
      <w:r w:rsidRPr="00466BAB">
        <w:rPr>
          <w:rFonts w:ascii="Book Antiqua" w:hAnsi="Book Antiqua"/>
          <w:sz w:val="24"/>
          <w:szCs w:val="24"/>
        </w:rPr>
        <w:t xml:space="preserve">. Should We Perform Preoperative Endoscopy Routinely in Obese Patients Undergoing Bariatric Surgery? </w:t>
      </w:r>
      <w:r w:rsidRPr="00466BAB">
        <w:rPr>
          <w:rFonts w:ascii="Book Antiqua" w:hAnsi="Book Antiqua"/>
          <w:i/>
          <w:sz w:val="24"/>
          <w:szCs w:val="24"/>
        </w:rPr>
        <w:t>Bariatric Surgical Practice and Patient Care</w:t>
      </w:r>
      <w:r w:rsidRPr="00466BAB">
        <w:rPr>
          <w:rFonts w:ascii="Book Antiqua" w:hAnsi="Book Antiqua"/>
          <w:sz w:val="24"/>
          <w:szCs w:val="24"/>
        </w:rPr>
        <w:t xml:space="preserve"> 2016: </w:t>
      </w:r>
      <w:r w:rsidRPr="00466BAB">
        <w:rPr>
          <w:rFonts w:ascii="Book Antiqua" w:hAnsi="Book Antiqua"/>
          <w:b/>
          <w:sz w:val="24"/>
          <w:szCs w:val="24"/>
        </w:rPr>
        <w:t>11</w:t>
      </w:r>
      <w:r w:rsidRPr="00466BAB">
        <w:rPr>
          <w:rFonts w:ascii="Book Antiqua" w:hAnsi="Book Antiqua"/>
          <w:sz w:val="24"/>
          <w:szCs w:val="24"/>
        </w:rPr>
        <w:t>: 73-77 [DOI: 10.1089/bari.2015.0050]</w:t>
      </w:r>
    </w:p>
    <w:p w14:paraId="1E236082"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5 </w:t>
      </w:r>
      <w:r w:rsidRPr="00466BAB">
        <w:rPr>
          <w:rFonts w:ascii="Book Antiqua" w:hAnsi="Book Antiqua"/>
          <w:b/>
          <w:sz w:val="24"/>
          <w:szCs w:val="24"/>
        </w:rPr>
        <w:t>Gómez V</w:t>
      </w:r>
      <w:r w:rsidRPr="00466BAB">
        <w:rPr>
          <w:rFonts w:ascii="Book Antiqua" w:hAnsi="Book Antiqua"/>
          <w:sz w:val="24"/>
          <w:szCs w:val="24"/>
        </w:rPr>
        <w:t xml:space="preserve">, Bhalla R, Heckman MG, Florit PT, Diehl NN, Rawal B, Lynch SA, Loeb DS. Routine Screening Endoscopy before Bariatric Surgery: Is It Necessary? </w:t>
      </w:r>
      <w:r w:rsidRPr="00466BAB">
        <w:rPr>
          <w:rFonts w:ascii="Book Antiqua" w:hAnsi="Book Antiqua"/>
          <w:i/>
          <w:sz w:val="24"/>
          <w:szCs w:val="24"/>
        </w:rPr>
        <w:t>Bariatr Surg Pract Patient Care</w:t>
      </w:r>
      <w:r w:rsidRPr="00466BAB">
        <w:rPr>
          <w:rFonts w:ascii="Book Antiqua" w:hAnsi="Book Antiqua"/>
          <w:sz w:val="24"/>
          <w:szCs w:val="24"/>
        </w:rPr>
        <w:t xml:space="preserve"> 2014; </w:t>
      </w:r>
      <w:r w:rsidRPr="00466BAB">
        <w:rPr>
          <w:rFonts w:ascii="Book Antiqua" w:hAnsi="Book Antiqua"/>
          <w:b/>
          <w:sz w:val="24"/>
          <w:szCs w:val="24"/>
        </w:rPr>
        <w:t>9</w:t>
      </w:r>
      <w:r w:rsidRPr="00466BAB">
        <w:rPr>
          <w:rFonts w:ascii="Book Antiqua" w:hAnsi="Book Antiqua"/>
          <w:sz w:val="24"/>
          <w:szCs w:val="24"/>
        </w:rPr>
        <w:t>: 143-149 [PMID: 25516819 DOI: 10.1089/bari.2014.0024]</w:t>
      </w:r>
    </w:p>
    <w:p w14:paraId="4E3A18D1"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6 </w:t>
      </w:r>
      <w:r w:rsidRPr="00466BAB">
        <w:rPr>
          <w:rFonts w:ascii="Book Antiqua" w:hAnsi="Book Antiqua"/>
          <w:b/>
          <w:sz w:val="24"/>
          <w:szCs w:val="24"/>
        </w:rPr>
        <w:t>Bennett S</w:t>
      </w:r>
      <w:r w:rsidRPr="00466BAB">
        <w:rPr>
          <w:rFonts w:ascii="Book Antiqua" w:hAnsi="Book Antiqua"/>
          <w:sz w:val="24"/>
          <w:szCs w:val="24"/>
        </w:rPr>
        <w:t xml:space="preserve">, Gostimir M, Shorr R, Mallick R, Mamazza J, Neville A. The role of routine preoperative upper endoscopy in bariatric surgery: a systematic review and meta-analysis. </w:t>
      </w:r>
      <w:r w:rsidRPr="00466BAB">
        <w:rPr>
          <w:rFonts w:ascii="Book Antiqua" w:hAnsi="Book Antiqua"/>
          <w:i/>
          <w:sz w:val="24"/>
          <w:szCs w:val="24"/>
        </w:rPr>
        <w:t>Surg Obes Relat Dis</w:t>
      </w:r>
      <w:r w:rsidRPr="00466BAB">
        <w:rPr>
          <w:rFonts w:ascii="Book Antiqua" w:hAnsi="Book Antiqua"/>
          <w:sz w:val="24"/>
          <w:szCs w:val="24"/>
        </w:rPr>
        <w:t xml:space="preserve"> 2016; </w:t>
      </w:r>
      <w:r w:rsidRPr="00466BAB">
        <w:rPr>
          <w:rFonts w:ascii="Book Antiqua" w:hAnsi="Book Antiqua"/>
          <w:b/>
          <w:sz w:val="24"/>
          <w:szCs w:val="24"/>
        </w:rPr>
        <w:t>12</w:t>
      </w:r>
      <w:r w:rsidRPr="00466BAB">
        <w:rPr>
          <w:rFonts w:ascii="Book Antiqua" w:hAnsi="Book Antiqua"/>
          <w:sz w:val="24"/>
          <w:szCs w:val="24"/>
        </w:rPr>
        <w:t>: 1116-1125 [PMID: 27320221 DOI: 10.1016/j.soard.2016.04.012]</w:t>
      </w:r>
    </w:p>
    <w:p w14:paraId="25D6EF9B"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7 </w:t>
      </w:r>
      <w:r w:rsidRPr="00466BAB">
        <w:rPr>
          <w:rFonts w:ascii="Book Antiqua" w:hAnsi="Book Antiqua"/>
          <w:b/>
          <w:sz w:val="24"/>
          <w:szCs w:val="24"/>
        </w:rPr>
        <w:t>Saarinen T</w:t>
      </w:r>
      <w:r w:rsidRPr="00466BAB">
        <w:rPr>
          <w:rFonts w:ascii="Book Antiqua" w:hAnsi="Book Antiqua"/>
          <w:sz w:val="24"/>
          <w:szCs w:val="24"/>
        </w:rPr>
        <w:t xml:space="preserve">, Kettunen U, Pietiläinen KH, Juuti A. Is preoperative gastroscopy necessary before sleeve gastrectomy and Roux-en-Y gastric bypass? </w:t>
      </w:r>
      <w:r w:rsidRPr="00466BAB">
        <w:rPr>
          <w:rFonts w:ascii="Book Antiqua" w:hAnsi="Book Antiqua"/>
          <w:i/>
          <w:sz w:val="24"/>
          <w:szCs w:val="24"/>
        </w:rPr>
        <w:t>Surg Obes Relat Dis</w:t>
      </w:r>
      <w:r w:rsidRPr="00466BAB">
        <w:rPr>
          <w:rFonts w:ascii="Book Antiqua" w:hAnsi="Book Antiqua"/>
          <w:sz w:val="24"/>
          <w:szCs w:val="24"/>
        </w:rPr>
        <w:t xml:space="preserve"> 2018; </w:t>
      </w:r>
      <w:r w:rsidRPr="00466BAB">
        <w:rPr>
          <w:rFonts w:ascii="Book Antiqua" w:hAnsi="Book Antiqua"/>
          <w:b/>
          <w:sz w:val="24"/>
          <w:szCs w:val="24"/>
        </w:rPr>
        <w:t>14</w:t>
      </w:r>
      <w:r w:rsidRPr="00466BAB">
        <w:rPr>
          <w:rFonts w:ascii="Book Antiqua" w:hAnsi="Book Antiqua"/>
          <w:sz w:val="24"/>
          <w:szCs w:val="24"/>
        </w:rPr>
        <w:t>: 757-762 [PMID: 29477376 DOI: 10.1016/j.soard.2018.01.021]</w:t>
      </w:r>
    </w:p>
    <w:p w14:paraId="41B2D371" w14:textId="283FDD3B"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8 </w:t>
      </w:r>
      <w:r w:rsidRPr="00466BAB">
        <w:rPr>
          <w:rFonts w:ascii="Book Antiqua" w:hAnsi="Book Antiqua"/>
          <w:b/>
          <w:sz w:val="24"/>
          <w:szCs w:val="24"/>
        </w:rPr>
        <w:t>The Standards of Practice Committee of the American Society for Gastrointestinal Endoscopy (ASGE)</w:t>
      </w:r>
      <w:r w:rsidRPr="00466BAB">
        <w:rPr>
          <w:rFonts w:ascii="Book Antiqua" w:hAnsi="Book Antiqua"/>
          <w:sz w:val="24"/>
          <w:szCs w:val="24"/>
        </w:rPr>
        <w:t>. The Role of Endoscopy in the Bariatric Surgery Patient.</w:t>
      </w:r>
      <w:r w:rsidRPr="00466BAB">
        <w:rPr>
          <w:rFonts w:ascii="Book Antiqua" w:hAnsi="Book Antiqua"/>
          <w:i/>
          <w:sz w:val="24"/>
          <w:szCs w:val="24"/>
        </w:rPr>
        <w:t xml:space="preserve"> Gastrointest Endosc</w:t>
      </w:r>
      <w:r w:rsidRPr="00466BAB">
        <w:rPr>
          <w:rFonts w:ascii="Book Antiqua" w:hAnsi="Book Antiqua"/>
          <w:sz w:val="24"/>
          <w:szCs w:val="24"/>
        </w:rPr>
        <w:t xml:space="preserve"> 2015; </w:t>
      </w:r>
      <w:r w:rsidRPr="00466BAB">
        <w:rPr>
          <w:rFonts w:ascii="Book Antiqua" w:hAnsi="Book Antiqua"/>
          <w:b/>
          <w:sz w:val="24"/>
          <w:szCs w:val="24"/>
        </w:rPr>
        <w:t>81</w:t>
      </w:r>
      <w:r w:rsidRPr="00466BAB">
        <w:rPr>
          <w:rFonts w:ascii="Book Antiqua" w:hAnsi="Book Antiqua"/>
          <w:sz w:val="24"/>
          <w:szCs w:val="24"/>
        </w:rPr>
        <w:t>: 1063-1072</w:t>
      </w:r>
    </w:p>
    <w:p w14:paraId="0466707E"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9 </w:t>
      </w:r>
      <w:r w:rsidRPr="00466BAB">
        <w:rPr>
          <w:rFonts w:ascii="Book Antiqua" w:hAnsi="Book Antiqua"/>
          <w:b/>
          <w:sz w:val="24"/>
          <w:szCs w:val="24"/>
        </w:rPr>
        <w:t>Chiu S</w:t>
      </w:r>
      <w:r w:rsidRPr="00466BAB">
        <w:rPr>
          <w:rFonts w:ascii="Book Antiqua" w:hAnsi="Book Antiqua"/>
          <w:sz w:val="24"/>
          <w:szCs w:val="24"/>
        </w:rPr>
        <w:t xml:space="preserve">, Birch DW, Shi X, Sharma AM, Karmali S. Effect of sleeve gastrectomy on </w:t>
      </w:r>
      <w:r w:rsidRPr="00466BAB">
        <w:rPr>
          <w:rFonts w:ascii="Book Antiqua" w:hAnsi="Book Antiqua"/>
          <w:sz w:val="24"/>
          <w:szCs w:val="24"/>
        </w:rPr>
        <w:lastRenderedPageBreak/>
        <w:t xml:space="preserve">gastroesophageal reflux disease: a systematic review. </w:t>
      </w:r>
      <w:r w:rsidRPr="00466BAB">
        <w:rPr>
          <w:rFonts w:ascii="Book Antiqua" w:hAnsi="Book Antiqua"/>
          <w:i/>
          <w:sz w:val="24"/>
          <w:szCs w:val="24"/>
        </w:rPr>
        <w:t>Surg Obes Relat Dis</w:t>
      </w:r>
      <w:r w:rsidRPr="00466BAB">
        <w:rPr>
          <w:rFonts w:ascii="Book Antiqua" w:hAnsi="Book Antiqua"/>
          <w:sz w:val="24"/>
          <w:szCs w:val="24"/>
        </w:rPr>
        <w:t xml:space="preserve"> 2011; </w:t>
      </w:r>
      <w:r w:rsidRPr="00466BAB">
        <w:rPr>
          <w:rFonts w:ascii="Book Antiqua" w:hAnsi="Book Antiqua"/>
          <w:b/>
          <w:sz w:val="24"/>
          <w:szCs w:val="24"/>
        </w:rPr>
        <w:t>7</w:t>
      </w:r>
      <w:r w:rsidRPr="00466BAB">
        <w:rPr>
          <w:rFonts w:ascii="Book Antiqua" w:hAnsi="Book Antiqua"/>
          <w:sz w:val="24"/>
          <w:szCs w:val="24"/>
        </w:rPr>
        <w:t>: 510-515 [PMID: 21130052 DOI: 10.1016/j.soard.2010.09.011]</w:t>
      </w:r>
    </w:p>
    <w:p w14:paraId="68F64E77"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10 </w:t>
      </w:r>
      <w:r w:rsidRPr="00466BAB">
        <w:rPr>
          <w:rFonts w:ascii="Book Antiqua" w:hAnsi="Book Antiqua"/>
          <w:b/>
          <w:sz w:val="24"/>
          <w:szCs w:val="24"/>
        </w:rPr>
        <w:t>Braghetto I</w:t>
      </w:r>
      <w:r w:rsidRPr="00466BAB">
        <w:rPr>
          <w:rFonts w:ascii="Book Antiqua" w:hAnsi="Book Antiqua"/>
          <w:sz w:val="24"/>
          <w:szCs w:val="24"/>
        </w:rPr>
        <w:t xml:space="preserve">, Csendes A. Prevalence of Barrett's Esophagus in Bariatric Patients Undergoing Sleeve Gastrectomy. </w:t>
      </w:r>
      <w:r w:rsidRPr="00466BAB">
        <w:rPr>
          <w:rFonts w:ascii="Book Antiqua" w:hAnsi="Book Antiqua"/>
          <w:i/>
          <w:sz w:val="24"/>
          <w:szCs w:val="24"/>
        </w:rPr>
        <w:t>Obes Surg</w:t>
      </w:r>
      <w:r w:rsidRPr="00466BAB">
        <w:rPr>
          <w:rFonts w:ascii="Book Antiqua" w:hAnsi="Book Antiqua"/>
          <w:sz w:val="24"/>
          <w:szCs w:val="24"/>
        </w:rPr>
        <w:t xml:space="preserve"> 2016; </w:t>
      </w:r>
      <w:r w:rsidRPr="00466BAB">
        <w:rPr>
          <w:rFonts w:ascii="Book Antiqua" w:hAnsi="Book Antiqua"/>
          <w:b/>
          <w:sz w:val="24"/>
          <w:szCs w:val="24"/>
        </w:rPr>
        <w:t>26</w:t>
      </w:r>
      <w:r w:rsidRPr="00466BAB">
        <w:rPr>
          <w:rFonts w:ascii="Book Antiqua" w:hAnsi="Book Antiqua"/>
          <w:sz w:val="24"/>
          <w:szCs w:val="24"/>
        </w:rPr>
        <w:t>: 710-714 [PMID: 25855575 DOI: 10.1007/s11695-015-1574-1]</w:t>
      </w:r>
    </w:p>
    <w:p w14:paraId="4C2D0A04"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11 </w:t>
      </w:r>
      <w:r w:rsidRPr="00466BAB">
        <w:rPr>
          <w:rFonts w:ascii="Book Antiqua" w:hAnsi="Book Antiqua"/>
          <w:b/>
          <w:sz w:val="24"/>
          <w:szCs w:val="24"/>
        </w:rPr>
        <w:t>Himpens J</w:t>
      </w:r>
      <w:r w:rsidRPr="00466BAB">
        <w:rPr>
          <w:rFonts w:ascii="Book Antiqua" w:hAnsi="Book Antiqua"/>
          <w:sz w:val="24"/>
          <w:szCs w:val="24"/>
        </w:rPr>
        <w:t xml:space="preserve">, Dobbeleir J, Peeters G. Long-term results of laparoscopic sleeve gastrectomy for obesity. </w:t>
      </w:r>
      <w:r w:rsidRPr="00466BAB">
        <w:rPr>
          <w:rFonts w:ascii="Book Antiqua" w:hAnsi="Book Antiqua"/>
          <w:i/>
          <w:sz w:val="24"/>
          <w:szCs w:val="24"/>
        </w:rPr>
        <w:t>Ann Surg</w:t>
      </w:r>
      <w:r w:rsidRPr="00466BAB">
        <w:rPr>
          <w:rFonts w:ascii="Book Antiqua" w:hAnsi="Book Antiqua"/>
          <w:sz w:val="24"/>
          <w:szCs w:val="24"/>
        </w:rPr>
        <w:t xml:space="preserve"> 2010; </w:t>
      </w:r>
      <w:r w:rsidRPr="00466BAB">
        <w:rPr>
          <w:rFonts w:ascii="Book Antiqua" w:hAnsi="Book Antiqua"/>
          <w:b/>
          <w:sz w:val="24"/>
          <w:szCs w:val="24"/>
        </w:rPr>
        <w:t>252</w:t>
      </w:r>
      <w:r w:rsidRPr="00466BAB">
        <w:rPr>
          <w:rFonts w:ascii="Book Antiqua" w:hAnsi="Book Antiqua"/>
          <w:sz w:val="24"/>
          <w:szCs w:val="24"/>
        </w:rPr>
        <w:t>: 319-324 [PMID: 20622654 DOI: 10.1097/SLA.0b013e3181e90b31]</w:t>
      </w:r>
    </w:p>
    <w:p w14:paraId="76E60CAC"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12 </w:t>
      </w:r>
      <w:r w:rsidRPr="00466BAB">
        <w:rPr>
          <w:rFonts w:ascii="Book Antiqua" w:hAnsi="Book Antiqua"/>
          <w:b/>
          <w:sz w:val="24"/>
          <w:szCs w:val="24"/>
        </w:rPr>
        <w:t>Sharma A</w:t>
      </w:r>
      <w:r w:rsidRPr="00466BAB">
        <w:rPr>
          <w:rFonts w:ascii="Book Antiqua" w:hAnsi="Book Antiqua"/>
          <w:sz w:val="24"/>
          <w:szCs w:val="24"/>
        </w:rPr>
        <w:t xml:space="preserve">, Aggarwal S, Ahuja V, Bal C. Evaluation of gastroesophageal reflux before and after sleeve gastrectomy using symptom scoring, scintigraphy, and endoscopy. </w:t>
      </w:r>
      <w:r w:rsidRPr="00466BAB">
        <w:rPr>
          <w:rFonts w:ascii="Book Antiqua" w:hAnsi="Book Antiqua"/>
          <w:i/>
          <w:sz w:val="24"/>
          <w:szCs w:val="24"/>
        </w:rPr>
        <w:t>Surg Obes Relat Dis</w:t>
      </w:r>
      <w:r w:rsidRPr="00466BAB">
        <w:rPr>
          <w:rFonts w:ascii="Book Antiqua" w:hAnsi="Book Antiqua"/>
          <w:sz w:val="24"/>
          <w:szCs w:val="24"/>
        </w:rPr>
        <w:t xml:space="preserve"> 2014; </w:t>
      </w:r>
      <w:r w:rsidRPr="00466BAB">
        <w:rPr>
          <w:rFonts w:ascii="Book Antiqua" w:hAnsi="Book Antiqua"/>
          <w:b/>
          <w:sz w:val="24"/>
          <w:szCs w:val="24"/>
        </w:rPr>
        <w:t>10</w:t>
      </w:r>
      <w:r w:rsidRPr="00466BAB">
        <w:rPr>
          <w:rFonts w:ascii="Book Antiqua" w:hAnsi="Book Antiqua"/>
          <w:sz w:val="24"/>
          <w:szCs w:val="24"/>
        </w:rPr>
        <w:t>: 600-605 [PMID: 24837563 DOI: 10.1016/j.soard.2014.01.017]</w:t>
      </w:r>
    </w:p>
    <w:p w14:paraId="72811ECA"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13 </w:t>
      </w:r>
      <w:r w:rsidRPr="00466BAB">
        <w:rPr>
          <w:rFonts w:ascii="Book Antiqua" w:hAnsi="Book Antiqua"/>
          <w:b/>
          <w:sz w:val="24"/>
          <w:szCs w:val="24"/>
        </w:rPr>
        <w:t>Sucandy I</w:t>
      </w:r>
      <w:r w:rsidRPr="00466BAB">
        <w:rPr>
          <w:rFonts w:ascii="Book Antiqua" w:hAnsi="Book Antiqua"/>
          <w:sz w:val="24"/>
          <w:szCs w:val="24"/>
        </w:rPr>
        <w:t xml:space="preserve">, Chrestiana D, Bonanni F, Antanavicius G. Gastroesophageal Reflux Symptoms After Laparoscopic Sleeve Gastrectomy for Morbid Obesity. The Importance of Preoperative Evaluation and Selection. </w:t>
      </w:r>
      <w:r w:rsidRPr="00466BAB">
        <w:rPr>
          <w:rFonts w:ascii="Book Antiqua" w:hAnsi="Book Antiqua"/>
          <w:i/>
          <w:sz w:val="24"/>
          <w:szCs w:val="24"/>
        </w:rPr>
        <w:t>N Am J Med Sci</w:t>
      </w:r>
      <w:r w:rsidRPr="00466BAB">
        <w:rPr>
          <w:rFonts w:ascii="Book Antiqua" w:hAnsi="Book Antiqua"/>
          <w:sz w:val="24"/>
          <w:szCs w:val="24"/>
        </w:rPr>
        <w:t xml:space="preserve"> 2015; </w:t>
      </w:r>
      <w:r w:rsidRPr="00466BAB">
        <w:rPr>
          <w:rFonts w:ascii="Book Antiqua" w:hAnsi="Book Antiqua"/>
          <w:b/>
          <w:sz w:val="24"/>
          <w:szCs w:val="24"/>
        </w:rPr>
        <w:t>7</w:t>
      </w:r>
      <w:r w:rsidRPr="00466BAB">
        <w:rPr>
          <w:rFonts w:ascii="Book Antiqua" w:hAnsi="Book Antiqua"/>
          <w:sz w:val="24"/>
          <w:szCs w:val="24"/>
        </w:rPr>
        <w:t>: 189-193 [PMID: 26110129 DOI: 10.4103/1947-2714.157624]</w:t>
      </w:r>
    </w:p>
    <w:p w14:paraId="5E871268"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14 </w:t>
      </w:r>
      <w:r w:rsidRPr="00466BAB">
        <w:rPr>
          <w:rFonts w:ascii="Book Antiqua" w:hAnsi="Book Antiqua"/>
          <w:b/>
          <w:sz w:val="24"/>
          <w:szCs w:val="24"/>
        </w:rPr>
        <w:t>Felsenreich DM</w:t>
      </w:r>
      <w:r w:rsidRPr="00466BAB">
        <w:rPr>
          <w:rFonts w:ascii="Book Antiqua" w:hAnsi="Book Antiqua"/>
          <w:sz w:val="24"/>
          <w:szCs w:val="24"/>
        </w:rPr>
        <w:t xml:space="preserve">, Kefurt R, Schermann M, Beckerhinn P, Kristo I, Krebs M, Prager G, Langer FB. Reflux, Sleeve Dilation, and Barrett's Esophagus after Laparoscopic Sleeve Gastrectomy: Long-Term Follow-Up. </w:t>
      </w:r>
      <w:r w:rsidRPr="00466BAB">
        <w:rPr>
          <w:rFonts w:ascii="Book Antiqua" w:hAnsi="Book Antiqua"/>
          <w:i/>
          <w:sz w:val="24"/>
          <w:szCs w:val="24"/>
        </w:rPr>
        <w:t>Obes Surg</w:t>
      </w:r>
      <w:r w:rsidRPr="00466BAB">
        <w:rPr>
          <w:rFonts w:ascii="Book Antiqua" w:hAnsi="Book Antiqua"/>
          <w:sz w:val="24"/>
          <w:szCs w:val="24"/>
        </w:rPr>
        <w:t xml:space="preserve"> 2017; </w:t>
      </w:r>
      <w:r w:rsidRPr="00466BAB">
        <w:rPr>
          <w:rFonts w:ascii="Book Antiqua" w:hAnsi="Book Antiqua"/>
          <w:b/>
          <w:sz w:val="24"/>
          <w:szCs w:val="24"/>
        </w:rPr>
        <w:t>27</w:t>
      </w:r>
      <w:r w:rsidRPr="00466BAB">
        <w:rPr>
          <w:rFonts w:ascii="Book Antiqua" w:hAnsi="Book Antiqua"/>
          <w:sz w:val="24"/>
          <w:szCs w:val="24"/>
        </w:rPr>
        <w:t>: 3092-3101 [PMID: 28593484 DOI: 10.1007/s11695-017-2748-9]</w:t>
      </w:r>
    </w:p>
    <w:p w14:paraId="7EDA16B0"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15 </w:t>
      </w:r>
      <w:r w:rsidRPr="00466BAB">
        <w:rPr>
          <w:rFonts w:ascii="Book Antiqua" w:hAnsi="Book Antiqua"/>
          <w:b/>
          <w:sz w:val="24"/>
          <w:szCs w:val="24"/>
        </w:rPr>
        <w:t>Wright FG</w:t>
      </w:r>
      <w:r w:rsidRPr="00466BAB">
        <w:rPr>
          <w:rFonts w:ascii="Book Antiqua" w:hAnsi="Book Antiqua"/>
          <w:sz w:val="24"/>
          <w:szCs w:val="24"/>
        </w:rPr>
        <w:t xml:space="preserve">, Duro A, Medici JR, Lenzi S, Beskow AF, Cavadas D. Esophageal adenocarcinoma five years after laparoscopic sleeve gastrectomy. A case report. </w:t>
      </w:r>
      <w:r w:rsidRPr="00466BAB">
        <w:rPr>
          <w:rFonts w:ascii="Book Antiqua" w:hAnsi="Book Antiqua"/>
          <w:i/>
          <w:sz w:val="24"/>
          <w:szCs w:val="24"/>
        </w:rPr>
        <w:t>Int J Surg Case Rep</w:t>
      </w:r>
      <w:r w:rsidRPr="00466BAB">
        <w:rPr>
          <w:rFonts w:ascii="Book Antiqua" w:hAnsi="Book Antiqua"/>
          <w:sz w:val="24"/>
          <w:szCs w:val="24"/>
        </w:rPr>
        <w:t xml:space="preserve"> 2017; </w:t>
      </w:r>
      <w:r w:rsidRPr="00466BAB">
        <w:rPr>
          <w:rFonts w:ascii="Book Antiqua" w:hAnsi="Book Antiqua"/>
          <w:b/>
          <w:sz w:val="24"/>
          <w:szCs w:val="24"/>
        </w:rPr>
        <w:t>32</w:t>
      </w:r>
      <w:r w:rsidRPr="00466BAB">
        <w:rPr>
          <w:rFonts w:ascii="Book Antiqua" w:hAnsi="Book Antiqua"/>
          <w:sz w:val="24"/>
          <w:szCs w:val="24"/>
        </w:rPr>
        <w:t>: 47-50 [PMID: 28235650 DOI: 10.1016/j.ijscr.2017.01.054]</w:t>
      </w:r>
    </w:p>
    <w:p w14:paraId="0FA56842" w14:textId="77777777" w:rsidR="000C740B" w:rsidRPr="00466BAB" w:rsidRDefault="000C740B" w:rsidP="00466BAB">
      <w:pPr>
        <w:spacing w:line="360" w:lineRule="auto"/>
        <w:jc w:val="both"/>
        <w:rPr>
          <w:rFonts w:ascii="Book Antiqua" w:hAnsi="Book Antiqua"/>
          <w:sz w:val="24"/>
          <w:szCs w:val="24"/>
        </w:rPr>
      </w:pPr>
      <w:r w:rsidRPr="00466BAB">
        <w:rPr>
          <w:rFonts w:ascii="Book Antiqua" w:hAnsi="Book Antiqua"/>
          <w:sz w:val="24"/>
          <w:szCs w:val="24"/>
        </w:rPr>
        <w:t xml:space="preserve">16 </w:t>
      </w:r>
      <w:r w:rsidRPr="00466BAB">
        <w:rPr>
          <w:rFonts w:ascii="Book Antiqua" w:hAnsi="Book Antiqua"/>
          <w:b/>
          <w:sz w:val="24"/>
          <w:szCs w:val="24"/>
        </w:rPr>
        <w:t>Gagner M</w:t>
      </w:r>
      <w:r w:rsidRPr="00466BAB">
        <w:rPr>
          <w:rFonts w:ascii="Book Antiqua" w:hAnsi="Book Antiqua"/>
          <w:sz w:val="24"/>
          <w:szCs w:val="24"/>
        </w:rPr>
        <w:t xml:space="preserve">, Hutchinson C, Rosenthal R. Fifth International Consensus Conference: current status of sleeve gastrectomy. </w:t>
      </w:r>
      <w:r w:rsidRPr="00466BAB">
        <w:rPr>
          <w:rFonts w:ascii="Book Antiqua" w:hAnsi="Book Antiqua"/>
          <w:i/>
          <w:sz w:val="24"/>
          <w:szCs w:val="24"/>
        </w:rPr>
        <w:t>Surg Obes Relat Dis</w:t>
      </w:r>
      <w:r w:rsidRPr="00466BAB">
        <w:rPr>
          <w:rFonts w:ascii="Book Antiqua" w:hAnsi="Book Antiqua"/>
          <w:sz w:val="24"/>
          <w:szCs w:val="24"/>
        </w:rPr>
        <w:t xml:space="preserve"> 2016; </w:t>
      </w:r>
      <w:r w:rsidRPr="00466BAB">
        <w:rPr>
          <w:rFonts w:ascii="Book Antiqua" w:hAnsi="Book Antiqua"/>
          <w:b/>
          <w:sz w:val="24"/>
          <w:szCs w:val="24"/>
        </w:rPr>
        <w:t>12</w:t>
      </w:r>
      <w:r w:rsidRPr="00466BAB">
        <w:rPr>
          <w:rFonts w:ascii="Book Antiqua" w:hAnsi="Book Antiqua"/>
          <w:sz w:val="24"/>
          <w:szCs w:val="24"/>
        </w:rPr>
        <w:t>: 750-756 [PMID: 27178618 DOI: 10.1016/j.soard.2016.01.022]</w:t>
      </w:r>
    </w:p>
    <w:p w14:paraId="09CC4411" w14:textId="77777777" w:rsidR="006E22AA" w:rsidRPr="00466BAB" w:rsidRDefault="006E22AA" w:rsidP="00466BAB">
      <w:pPr>
        <w:spacing w:line="360" w:lineRule="auto"/>
        <w:jc w:val="both"/>
        <w:rPr>
          <w:rFonts w:ascii="Book Antiqua" w:hAnsi="Book Antiqua" w:cs="Arial"/>
          <w:sz w:val="24"/>
          <w:szCs w:val="24"/>
        </w:rPr>
      </w:pPr>
    </w:p>
    <w:p w14:paraId="5DB985D8" w14:textId="2B56E75F" w:rsidR="0046085B" w:rsidRPr="00466BAB" w:rsidRDefault="0046085B" w:rsidP="00466BAB">
      <w:pPr>
        <w:pStyle w:val="af"/>
        <w:spacing w:line="360" w:lineRule="auto"/>
        <w:jc w:val="right"/>
        <w:rPr>
          <w:rFonts w:ascii="Book Antiqua" w:hAnsi="Book Antiqua"/>
          <w:b/>
          <w:sz w:val="24"/>
          <w:szCs w:val="24"/>
        </w:rPr>
      </w:pPr>
      <w:r w:rsidRPr="00466BAB">
        <w:rPr>
          <w:rFonts w:ascii="Book Antiqua" w:hAnsi="Book Antiqua"/>
          <w:b/>
          <w:sz w:val="24"/>
          <w:szCs w:val="24"/>
        </w:rPr>
        <w:t xml:space="preserve">P-Reviewer: </w:t>
      </w:r>
      <w:r w:rsidR="000C740B" w:rsidRPr="00466BAB">
        <w:rPr>
          <w:rFonts w:ascii="Book Antiqua" w:hAnsi="Book Antiqua"/>
          <w:color w:val="000000"/>
          <w:sz w:val="24"/>
          <w:szCs w:val="24"/>
        </w:rPr>
        <w:t xml:space="preserve">Fiori E, Richardson WS, </w:t>
      </w:r>
      <w:proofErr w:type="spellStart"/>
      <w:r w:rsidR="000C740B" w:rsidRPr="00466BAB">
        <w:rPr>
          <w:rFonts w:ascii="Book Antiqua" w:hAnsi="Book Antiqua"/>
          <w:color w:val="000000"/>
          <w:sz w:val="24"/>
          <w:szCs w:val="24"/>
        </w:rPr>
        <w:t>Slomiany</w:t>
      </w:r>
      <w:proofErr w:type="spellEnd"/>
      <w:r w:rsidR="000C740B" w:rsidRPr="00466BAB">
        <w:rPr>
          <w:rFonts w:ascii="Book Antiqua" w:hAnsi="Book Antiqua"/>
          <w:color w:val="000000"/>
          <w:sz w:val="24"/>
          <w:szCs w:val="24"/>
        </w:rPr>
        <w:t xml:space="preserve"> BL </w:t>
      </w:r>
      <w:r w:rsidRPr="00466BAB">
        <w:rPr>
          <w:rFonts w:ascii="Book Antiqua" w:hAnsi="Book Antiqua"/>
          <w:b/>
          <w:sz w:val="24"/>
          <w:szCs w:val="24"/>
        </w:rPr>
        <w:t xml:space="preserve">S-Editor: </w:t>
      </w:r>
      <w:r w:rsidRPr="00466BAB">
        <w:rPr>
          <w:rFonts w:ascii="Book Antiqua" w:hAnsi="Book Antiqua"/>
          <w:sz w:val="24"/>
          <w:szCs w:val="24"/>
        </w:rPr>
        <w:t>Ji FF</w:t>
      </w:r>
      <w:r w:rsidRPr="00466BAB">
        <w:rPr>
          <w:rFonts w:ascii="Book Antiqua" w:hAnsi="Book Antiqua"/>
          <w:b/>
          <w:sz w:val="24"/>
          <w:szCs w:val="24"/>
        </w:rPr>
        <w:t xml:space="preserve"> L-Editor: </w:t>
      </w:r>
      <w:r w:rsidR="00466BAB" w:rsidRPr="00466BAB">
        <w:rPr>
          <w:rFonts w:ascii="Book Antiqua" w:hAnsi="Book Antiqua" w:hint="eastAsia"/>
          <w:sz w:val="24"/>
          <w:szCs w:val="24"/>
        </w:rPr>
        <w:t>A</w:t>
      </w:r>
      <w:r w:rsidR="00466BAB">
        <w:rPr>
          <w:rFonts w:ascii="Book Antiqua" w:hAnsi="Book Antiqua" w:hint="eastAsia"/>
          <w:b/>
          <w:sz w:val="24"/>
          <w:szCs w:val="24"/>
        </w:rPr>
        <w:t xml:space="preserve"> </w:t>
      </w:r>
      <w:r w:rsidRPr="00466BAB">
        <w:rPr>
          <w:rFonts w:ascii="Book Antiqua" w:hAnsi="Book Antiqua"/>
          <w:b/>
          <w:sz w:val="24"/>
          <w:szCs w:val="24"/>
        </w:rPr>
        <w:t xml:space="preserve">E-Editor: </w:t>
      </w:r>
      <w:r w:rsidR="00466BAB" w:rsidRPr="00466BAB">
        <w:rPr>
          <w:rFonts w:ascii="Book Antiqua" w:hAnsi="Book Antiqua" w:hint="eastAsia"/>
          <w:sz w:val="24"/>
          <w:szCs w:val="24"/>
        </w:rPr>
        <w:t>Song H</w:t>
      </w:r>
    </w:p>
    <w:p w14:paraId="31509A18" w14:textId="77777777" w:rsidR="0046085B" w:rsidRPr="00466BAB" w:rsidRDefault="0046085B" w:rsidP="00466BAB">
      <w:pPr>
        <w:pStyle w:val="af"/>
        <w:spacing w:line="360" w:lineRule="auto"/>
        <w:rPr>
          <w:rFonts w:ascii="Book Antiqua" w:hAnsi="Book Antiqua"/>
          <w:b/>
          <w:sz w:val="24"/>
          <w:szCs w:val="24"/>
        </w:rPr>
      </w:pPr>
      <w:r w:rsidRPr="00466BAB">
        <w:rPr>
          <w:rFonts w:ascii="Book Antiqua" w:hAnsi="Book Antiqua"/>
          <w:b/>
          <w:sz w:val="24"/>
          <w:szCs w:val="24"/>
        </w:rPr>
        <w:t xml:space="preserve"> </w:t>
      </w:r>
    </w:p>
    <w:p w14:paraId="7C345066" w14:textId="77777777" w:rsidR="0046085B" w:rsidRPr="00466BAB" w:rsidRDefault="0046085B" w:rsidP="00466BAB">
      <w:pPr>
        <w:widowControl/>
        <w:snapToGrid w:val="0"/>
        <w:spacing w:line="360" w:lineRule="auto"/>
        <w:jc w:val="both"/>
        <w:rPr>
          <w:rFonts w:ascii="Book Antiqua" w:eastAsia="宋体" w:hAnsi="Book Antiqua" w:cs="Helvetica"/>
          <w:b/>
          <w:sz w:val="24"/>
          <w:szCs w:val="24"/>
        </w:rPr>
      </w:pPr>
      <w:r w:rsidRPr="00466BAB">
        <w:rPr>
          <w:rFonts w:ascii="Book Antiqua" w:eastAsia="宋体" w:hAnsi="Book Antiqua" w:cs="Helvetica"/>
          <w:b/>
          <w:sz w:val="24"/>
          <w:szCs w:val="24"/>
        </w:rPr>
        <w:t xml:space="preserve">Specialty type: </w:t>
      </w:r>
      <w:r w:rsidRPr="00466BAB">
        <w:rPr>
          <w:rFonts w:ascii="Book Antiqua" w:eastAsia="宋体" w:hAnsi="Book Antiqua" w:cs="Helvetica"/>
          <w:sz w:val="24"/>
          <w:szCs w:val="24"/>
        </w:rPr>
        <w:t>Gastroenterology and hepatology</w:t>
      </w:r>
    </w:p>
    <w:p w14:paraId="7DFD5668" w14:textId="01FD1520" w:rsidR="0046085B" w:rsidRPr="00466BAB" w:rsidRDefault="0046085B" w:rsidP="00466BAB">
      <w:pPr>
        <w:widowControl/>
        <w:snapToGrid w:val="0"/>
        <w:spacing w:line="360" w:lineRule="auto"/>
        <w:jc w:val="both"/>
        <w:rPr>
          <w:rFonts w:ascii="Book Antiqua" w:eastAsia="宋体" w:hAnsi="Book Antiqua" w:cs="Helvetica"/>
          <w:b/>
          <w:sz w:val="24"/>
          <w:szCs w:val="24"/>
        </w:rPr>
      </w:pPr>
      <w:r w:rsidRPr="00466BAB">
        <w:rPr>
          <w:rFonts w:ascii="Book Antiqua" w:eastAsia="宋体" w:hAnsi="Book Antiqua" w:cs="Helvetica"/>
          <w:b/>
          <w:sz w:val="24"/>
          <w:szCs w:val="24"/>
        </w:rPr>
        <w:lastRenderedPageBreak/>
        <w:t xml:space="preserve">Country of origin: </w:t>
      </w:r>
      <w:r w:rsidR="000C740B" w:rsidRPr="00466BAB">
        <w:rPr>
          <w:rFonts w:ascii="Book Antiqua" w:eastAsia="宋体" w:hAnsi="Book Antiqua"/>
          <w:sz w:val="24"/>
          <w:szCs w:val="24"/>
        </w:rPr>
        <w:t>France</w:t>
      </w:r>
    </w:p>
    <w:p w14:paraId="7AE8CFA2" w14:textId="77777777" w:rsidR="0046085B" w:rsidRPr="00466BAB" w:rsidRDefault="0046085B" w:rsidP="00466BAB">
      <w:pPr>
        <w:widowControl/>
        <w:snapToGrid w:val="0"/>
        <w:spacing w:line="360" w:lineRule="auto"/>
        <w:jc w:val="both"/>
        <w:rPr>
          <w:rFonts w:ascii="Book Antiqua" w:eastAsia="宋体" w:hAnsi="Book Antiqua" w:cs="Helvetica"/>
          <w:b/>
          <w:sz w:val="24"/>
          <w:szCs w:val="24"/>
        </w:rPr>
      </w:pPr>
      <w:r w:rsidRPr="00466BAB">
        <w:rPr>
          <w:rFonts w:ascii="Book Antiqua" w:eastAsia="宋体" w:hAnsi="Book Antiqua" w:cs="Helvetica"/>
          <w:b/>
          <w:sz w:val="24"/>
          <w:szCs w:val="24"/>
        </w:rPr>
        <w:t>Peer-review report classification</w:t>
      </w:r>
    </w:p>
    <w:p w14:paraId="507283CB" w14:textId="1ED7FBF7" w:rsidR="0046085B" w:rsidRPr="00466BAB" w:rsidRDefault="0046085B" w:rsidP="00466BAB">
      <w:pPr>
        <w:widowControl/>
        <w:snapToGrid w:val="0"/>
        <w:spacing w:line="360" w:lineRule="auto"/>
        <w:jc w:val="both"/>
        <w:rPr>
          <w:rFonts w:ascii="Book Antiqua" w:eastAsia="宋体" w:hAnsi="Book Antiqua" w:cs="Helvetica"/>
          <w:sz w:val="24"/>
          <w:szCs w:val="24"/>
          <w:lang w:eastAsia="zh-CN"/>
        </w:rPr>
      </w:pPr>
      <w:r w:rsidRPr="00466BAB">
        <w:rPr>
          <w:rFonts w:ascii="Book Antiqua" w:eastAsia="宋体" w:hAnsi="Book Antiqua" w:cs="Helvetica"/>
          <w:sz w:val="24"/>
          <w:szCs w:val="24"/>
        </w:rPr>
        <w:t xml:space="preserve">Grade A (Excellent): </w:t>
      </w:r>
      <w:r w:rsidR="000C740B" w:rsidRPr="00466BAB">
        <w:rPr>
          <w:rFonts w:ascii="Book Antiqua" w:eastAsia="宋体" w:hAnsi="Book Antiqua" w:cs="Helvetica"/>
          <w:sz w:val="24"/>
          <w:szCs w:val="24"/>
          <w:lang w:eastAsia="zh-CN"/>
        </w:rPr>
        <w:t>0</w:t>
      </w:r>
    </w:p>
    <w:p w14:paraId="5436EC05" w14:textId="5EE9E754" w:rsidR="0046085B" w:rsidRPr="00466BAB" w:rsidRDefault="0046085B" w:rsidP="00466BAB">
      <w:pPr>
        <w:widowControl/>
        <w:snapToGrid w:val="0"/>
        <w:spacing w:line="360" w:lineRule="auto"/>
        <w:jc w:val="both"/>
        <w:rPr>
          <w:rFonts w:ascii="Book Antiqua" w:eastAsia="宋体" w:hAnsi="Book Antiqua" w:cs="Helvetica"/>
          <w:sz w:val="24"/>
          <w:szCs w:val="24"/>
          <w:lang w:eastAsia="zh-CN"/>
        </w:rPr>
      </w:pPr>
      <w:r w:rsidRPr="00466BAB">
        <w:rPr>
          <w:rFonts w:ascii="Book Antiqua" w:eastAsia="宋体" w:hAnsi="Book Antiqua" w:cs="Helvetica"/>
          <w:sz w:val="24"/>
          <w:szCs w:val="24"/>
        </w:rPr>
        <w:t>Grade B (Very good): B</w:t>
      </w:r>
      <w:r w:rsidR="000C740B" w:rsidRPr="00466BAB">
        <w:rPr>
          <w:rFonts w:ascii="Book Antiqua" w:eastAsia="宋体" w:hAnsi="Book Antiqua" w:cs="Helvetica"/>
          <w:sz w:val="24"/>
          <w:szCs w:val="24"/>
          <w:lang w:eastAsia="zh-CN"/>
        </w:rPr>
        <w:t>, B</w:t>
      </w:r>
    </w:p>
    <w:p w14:paraId="5A095D86" w14:textId="77777777" w:rsidR="0046085B" w:rsidRPr="00466BAB" w:rsidRDefault="0046085B" w:rsidP="00466BAB">
      <w:pPr>
        <w:widowControl/>
        <w:snapToGrid w:val="0"/>
        <w:spacing w:line="360" w:lineRule="auto"/>
        <w:jc w:val="both"/>
        <w:rPr>
          <w:rFonts w:ascii="Book Antiqua" w:eastAsia="宋体" w:hAnsi="Book Antiqua" w:cs="Helvetica"/>
          <w:sz w:val="24"/>
          <w:szCs w:val="24"/>
        </w:rPr>
      </w:pPr>
      <w:r w:rsidRPr="00466BAB">
        <w:rPr>
          <w:rFonts w:ascii="Book Antiqua" w:eastAsia="宋体" w:hAnsi="Book Antiqua" w:cs="Helvetica"/>
          <w:sz w:val="24"/>
          <w:szCs w:val="24"/>
        </w:rPr>
        <w:t>Grade C (Good): C</w:t>
      </w:r>
    </w:p>
    <w:p w14:paraId="3455B220" w14:textId="77777777" w:rsidR="0046085B" w:rsidRPr="00466BAB" w:rsidRDefault="0046085B" w:rsidP="00466BAB">
      <w:pPr>
        <w:widowControl/>
        <w:snapToGrid w:val="0"/>
        <w:spacing w:line="360" w:lineRule="auto"/>
        <w:jc w:val="both"/>
        <w:rPr>
          <w:rFonts w:ascii="Book Antiqua" w:eastAsia="宋体" w:hAnsi="Book Antiqua" w:cs="Helvetica"/>
          <w:sz w:val="24"/>
          <w:szCs w:val="24"/>
        </w:rPr>
      </w:pPr>
      <w:r w:rsidRPr="00466BAB">
        <w:rPr>
          <w:rFonts w:ascii="Book Antiqua" w:eastAsia="宋体" w:hAnsi="Book Antiqua" w:cs="Helvetica"/>
          <w:sz w:val="24"/>
          <w:szCs w:val="24"/>
        </w:rPr>
        <w:t xml:space="preserve">Grade D (Fair): 0 </w:t>
      </w:r>
    </w:p>
    <w:p w14:paraId="7C5C028F" w14:textId="569F444C" w:rsidR="006E22AA" w:rsidRPr="00466BAB" w:rsidRDefault="0046085B" w:rsidP="00466BAB">
      <w:pPr>
        <w:spacing w:line="360" w:lineRule="auto"/>
        <w:jc w:val="both"/>
        <w:rPr>
          <w:rFonts w:ascii="Book Antiqua" w:hAnsi="Book Antiqua" w:cs="Arial"/>
          <w:sz w:val="24"/>
          <w:szCs w:val="24"/>
        </w:rPr>
      </w:pPr>
      <w:r w:rsidRPr="00466BAB">
        <w:rPr>
          <w:rFonts w:ascii="Book Antiqua" w:eastAsia="宋体" w:hAnsi="Book Antiqua" w:cs="Helvetica"/>
          <w:sz w:val="24"/>
          <w:szCs w:val="24"/>
        </w:rPr>
        <w:t>Grade E (Poor): 0</w:t>
      </w:r>
    </w:p>
    <w:sectPr w:rsidR="006E22AA" w:rsidRPr="00466BAB" w:rsidSect="000C2E8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BE70" w14:textId="77777777" w:rsidR="00063F2B" w:rsidRDefault="00063F2B" w:rsidP="006E22AA">
      <w:r>
        <w:separator/>
      </w:r>
    </w:p>
  </w:endnote>
  <w:endnote w:type="continuationSeparator" w:id="0">
    <w:p w14:paraId="2E94221C" w14:textId="77777777" w:rsidR="00063F2B" w:rsidRDefault="00063F2B" w:rsidP="006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engXian">
    <w:panose1 w:val="00000000000000000000"/>
    <w:charset w:val="00"/>
    <w:family w:val="roman"/>
    <w:notTrueType/>
    <w:pitch w:val="default"/>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BookAntiqua-Italic">
    <w:altName w:val="FZDHT"/>
    <w:panose1 w:val="00000000000000000000"/>
    <w:charset w:val="86"/>
    <w:family w:val="auto"/>
    <w:notTrueType/>
    <w:pitch w:val="default"/>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 w:name="ArialNarrow-Bold">
    <w:altName w:val="FZD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725F" w14:textId="77777777" w:rsidR="006E22AA" w:rsidRDefault="006E22AA" w:rsidP="00D5387F">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F68718" w14:textId="77777777" w:rsidR="006E22AA" w:rsidRDefault="006E22AA" w:rsidP="006E22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FFB2" w14:textId="77777777" w:rsidR="006E22AA" w:rsidRDefault="006E22AA" w:rsidP="00D5387F">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25774">
      <w:rPr>
        <w:rStyle w:val="a7"/>
        <w:noProof/>
      </w:rPr>
      <w:t>3</w:t>
    </w:r>
    <w:r>
      <w:rPr>
        <w:rStyle w:val="a7"/>
      </w:rPr>
      <w:fldChar w:fldCharType="end"/>
    </w:r>
  </w:p>
  <w:p w14:paraId="5F463F9B" w14:textId="77777777" w:rsidR="006E22AA" w:rsidRDefault="006E22AA" w:rsidP="006E22A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1CDA" w14:textId="77777777" w:rsidR="00063F2B" w:rsidRDefault="00063F2B" w:rsidP="006E22AA">
      <w:r>
        <w:separator/>
      </w:r>
    </w:p>
  </w:footnote>
  <w:footnote w:type="continuationSeparator" w:id="0">
    <w:p w14:paraId="2D64DE8A" w14:textId="77777777" w:rsidR="00063F2B" w:rsidRDefault="00063F2B" w:rsidP="006E2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691"/>
    <w:multiLevelType w:val="hybridMultilevel"/>
    <w:tmpl w:val="CA20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61006F"/>
    <w:multiLevelType w:val="hybridMultilevel"/>
    <w:tmpl w:val="8018C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69A416EB"/>
    <w:multiLevelType w:val="hybridMultilevel"/>
    <w:tmpl w:val="ECA4F118"/>
    <w:lvl w:ilvl="0" w:tplc="5170BAF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FC1616"/>
    <w:multiLevelType w:val="hybridMultilevel"/>
    <w:tmpl w:val="CA20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AA"/>
    <w:rsid w:val="00012C01"/>
    <w:rsid w:val="00036B8C"/>
    <w:rsid w:val="00055232"/>
    <w:rsid w:val="00063F2B"/>
    <w:rsid w:val="0007763A"/>
    <w:rsid w:val="00080714"/>
    <w:rsid w:val="000C1B2C"/>
    <w:rsid w:val="000C2E89"/>
    <w:rsid w:val="000C740B"/>
    <w:rsid w:val="000D6ED5"/>
    <w:rsid w:val="00120B85"/>
    <w:rsid w:val="00121420"/>
    <w:rsid w:val="001539D1"/>
    <w:rsid w:val="00172A3A"/>
    <w:rsid w:val="001959D1"/>
    <w:rsid w:val="001A1A26"/>
    <w:rsid w:val="001A43C0"/>
    <w:rsid w:val="00245AF8"/>
    <w:rsid w:val="00280C84"/>
    <w:rsid w:val="002A73EF"/>
    <w:rsid w:val="002B6C18"/>
    <w:rsid w:val="002E5082"/>
    <w:rsid w:val="003510F8"/>
    <w:rsid w:val="00361EF2"/>
    <w:rsid w:val="00366DB8"/>
    <w:rsid w:val="0037297B"/>
    <w:rsid w:val="003A2797"/>
    <w:rsid w:val="003B69C1"/>
    <w:rsid w:val="00425774"/>
    <w:rsid w:val="00426213"/>
    <w:rsid w:val="0046085B"/>
    <w:rsid w:val="00466BAB"/>
    <w:rsid w:val="004B4199"/>
    <w:rsid w:val="004B5342"/>
    <w:rsid w:val="004E5475"/>
    <w:rsid w:val="005261E4"/>
    <w:rsid w:val="00553435"/>
    <w:rsid w:val="00562899"/>
    <w:rsid w:val="00565BFB"/>
    <w:rsid w:val="00571BEA"/>
    <w:rsid w:val="00572867"/>
    <w:rsid w:val="005904AA"/>
    <w:rsid w:val="00597532"/>
    <w:rsid w:val="005B7295"/>
    <w:rsid w:val="005E17F3"/>
    <w:rsid w:val="005E21DE"/>
    <w:rsid w:val="00612D00"/>
    <w:rsid w:val="00630BBD"/>
    <w:rsid w:val="00680CE9"/>
    <w:rsid w:val="006E22AA"/>
    <w:rsid w:val="006F5E64"/>
    <w:rsid w:val="00780939"/>
    <w:rsid w:val="00782D8C"/>
    <w:rsid w:val="0082616C"/>
    <w:rsid w:val="008B135A"/>
    <w:rsid w:val="00931CD5"/>
    <w:rsid w:val="009558B3"/>
    <w:rsid w:val="009B06C5"/>
    <w:rsid w:val="00A37672"/>
    <w:rsid w:val="00A848BF"/>
    <w:rsid w:val="00A87BA4"/>
    <w:rsid w:val="00AB037A"/>
    <w:rsid w:val="00AE4C80"/>
    <w:rsid w:val="00AF1783"/>
    <w:rsid w:val="00AF203F"/>
    <w:rsid w:val="00BC7AAD"/>
    <w:rsid w:val="00C17F5F"/>
    <w:rsid w:val="00C4740D"/>
    <w:rsid w:val="00CB2A29"/>
    <w:rsid w:val="00CB4056"/>
    <w:rsid w:val="00CE6541"/>
    <w:rsid w:val="00D063D8"/>
    <w:rsid w:val="00D50B2B"/>
    <w:rsid w:val="00D50F1A"/>
    <w:rsid w:val="00DE68BB"/>
    <w:rsid w:val="00DE7988"/>
    <w:rsid w:val="00E2127E"/>
    <w:rsid w:val="00E53509"/>
    <w:rsid w:val="00E833FB"/>
    <w:rsid w:val="00EB1BDA"/>
    <w:rsid w:val="00EC69CE"/>
    <w:rsid w:val="00ED7573"/>
    <w:rsid w:val="00EF53ED"/>
    <w:rsid w:val="00F42DCF"/>
    <w:rsid w:val="00FB5C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16B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AA"/>
    <w:pPr>
      <w:widowControl w:val="0"/>
      <w:suppressAutoHyphens/>
    </w:pPr>
    <w:rPr>
      <w:rFonts w:ascii="Times New Roman" w:eastAsia="Times New Roman" w:hAnsi="Times New Roman" w:cs="Times New Roman"/>
      <w:sz w:val="20"/>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22AA"/>
  </w:style>
  <w:style w:type="paragraph" w:customStyle="1" w:styleId="Sansinterligne1">
    <w:name w:val="Sans interligne1"/>
    <w:rsid w:val="006E22AA"/>
    <w:pPr>
      <w:suppressAutoHyphens/>
    </w:pPr>
    <w:rPr>
      <w:rFonts w:ascii="Times New Roman" w:eastAsia="Times New Roman" w:hAnsi="Times New Roman" w:cs="Times New Roman"/>
      <w:sz w:val="20"/>
      <w:szCs w:val="20"/>
      <w:lang w:eastAsia="fr-FR"/>
    </w:rPr>
  </w:style>
  <w:style w:type="paragraph" w:styleId="a4">
    <w:name w:val="List Paragraph"/>
    <w:basedOn w:val="a"/>
    <w:uiPriority w:val="34"/>
    <w:qFormat/>
    <w:rsid w:val="006E22AA"/>
    <w:pPr>
      <w:widowControl/>
      <w:suppressAutoHyphens w:val="0"/>
      <w:ind w:left="720"/>
      <w:contextualSpacing/>
    </w:pPr>
    <w:rPr>
      <w:rFonts w:asciiTheme="minorHAnsi" w:eastAsiaTheme="minorHAnsi" w:hAnsiTheme="minorHAnsi" w:cstheme="minorBidi"/>
      <w:sz w:val="24"/>
      <w:szCs w:val="24"/>
      <w:lang w:eastAsia="en-US"/>
    </w:rPr>
  </w:style>
  <w:style w:type="paragraph" w:styleId="a5">
    <w:name w:val="Normal (Web)"/>
    <w:basedOn w:val="a"/>
    <w:uiPriority w:val="99"/>
    <w:unhideWhenUsed/>
    <w:rsid w:val="006E22AA"/>
    <w:pPr>
      <w:widowControl/>
      <w:suppressAutoHyphens w:val="0"/>
      <w:spacing w:before="100" w:beforeAutospacing="1" w:after="100" w:afterAutospacing="1"/>
    </w:pPr>
    <w:rPr>
      <w:rFonts w:eastAsiaTheme="minorHAnsi"/>
      <w:sz w:val="24"/>
      <w:szCs w:val="24"/>
    </w:rPr>
  </w:style>
  <w:style w:type="paragraph" w:styleId="a6">
    <w:name w:val="footer"/>
    <w:basedOn w:val="a"/>
    <w:link w:val="Char"/>
    <w:uiPriority w:val="99"/>
    <w:unhideWhenUsed/>
    <w:rsid w:val="006E22AA"/>
    <w:pPr>
      <w:tabs>
        <w:tab w:val="center" w:pos="4536"/>
        <w:tab w:val="right" w:pos="9072"/>
      </w:tabs>
    </w:pPr>
  </w:style>
  <w:style w:type="character" w:customStyle="1" w:styleId="Char">
    <w:name w:val="页脚 Char"/>
    <w:basedOn w:val="a0"/>
    <w:link w:val="a6"/>
    <w:uiPriority w:val="99"/>
    <w:rsid w:val="006E22AA"/>
    <w:rPr>
      <w:rFonts w:ascii="Times New Roman" w:eastAsia="Times New Roman" w:hAnsi="Times New Roman" w:cs="Times New Roman"/>
      <w:sz w:val="20"/>
      <w:szCs w:val="20"/>
      <w:lang w:eastAsia="fr-FR"/>
    </w:rPr>
  </w:style>
  <w:style w:type="character" w:styleId="a7">
    <w:name w:val="page number"/>
    <w:basedOn w:val="a0"/>
    <w:uiPriority w:val="99"/>
    <w:semiHidden/>
    <w:unhideWhenUsed/>
    <w:rsid w:val="006E22AA"/>
  </w:style>
  <w:style w:type="paragraph" w:styleId="a8">
    <w:name w:val="header"/>
    <w:basedOn w:val="a"/>
    <w:link w:val="Char0"/>
    <w:uiPriority w:val="99"/>
    <w:unhideWhenUsed/>
    <w:rsid w:val="001539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539D1"/>
    <w:rPr>
      <w:rFonts w:ascii="Times New Roman" w:eastAsia="Times New Roman" w:hAnsi="Times New Roman" w:cs="Times New Roman"/>
      <w:sz w:val="18"/>
      <w:szCs w:val="18"/>
      <w:lang w:eastAsia="fr-FR"/>
    </w:rPr>
  </w:style>
  <w:style w:type="paragraph" w:styleId="a9">
    <w:name w:val="annotation text"/>
    <w:basedOn w:val="a"/>
    <w:link w:val="Char1"/>
    <w:uiPriority w:val="99"/>
    <w:semiHidden/>
    <w:unhideWhenUsed/>
    <w:rsid w:val="001539D1"/>
    <w:pPr>
      <w:widowControl/>
      <w:suppressAutoHyphens w:val="0"/>
      <w:spacing w:after="200" w:line="276" w:lineRule="auto"/>
    </w:pPr>
    <w:rPr>
      <w:rFonts w:asciiTheme="minorHAnsi" w:eastAsiaTheme="minorEastAsia" w:hAnsiTheme="minorHAnsi" w:cstheme="minorBidi"/>
      <w:sz w:val="22"/>
      <w:szCs w:val="22"/>
      <w:lang w:val="en-US" w:eastAsia="zh-CN"/>
    </w:rPr>
  </w:style>
  <w:style w:type="character" w:customStyle="1" w:styleId="Char1">
    <w:name w:val="批注文字 Char"/>
    <w:basedOn w:val="a0"/>
    <w:link w:val="a9"/>
    <w:uiPriority w:val="99"/>
    <w:semiHidden/>
    <w:rsid w:val="001539D1"/>
    <w:rPr>
      <w:rFonts w:eastAsiaTheme="minorEastAsia"/>
      <w:sz w:val="22"/>
      <w:szCs w:val="22"/>
      <w:lang w:val="en-US" w:eastAsia="zh-CN"/>
    </w:rPr>
  </w:style>
  <w:style w:type="character" w:styleId="aa">
    <w:name w:val="annotation reference"/>
    <w:basedOn w:val="a0"/>
    <w:uiPriority w:val="99"/>
    <w:semiHidden/>
    <w:unhideWhenUsed/>
    <w:rsid w:val="001539D1"/>
    <w:rPr>
      <w:sz w:val="21"/>
      <w:szCs w:val="21"/>
    </w:rPr>
  </w:style>
  <w:style w:type="paragraph" w:styleId="ab">
    <w:name w:val="Balloon Text"/>
    <w:basedOn w:val="a"/>
    <w:link w:val="Char2"/>
    <w:uiPriority w:val="99"/>
    <w:semiHidden/>
    <w:unhideWhenUsed/>
    <w:rsid w:val="001539D1"/>
    <w:rPr>
      <w:sz w:val="18"/>
      <w:szCs w:val="18"/>
    </w:rPr>
  </w:style>
  <w:style w:type="character" w:customStyle="1" w:styleId="Char2">
    <w:name w:val="批注框文本 Char"/>
    <w:basedOn w:val="a0"/>
    <w:link w:val="ab"/>
    <w:uiPriority w:val="99"/>
    <w:semiHidden/>
    <w:rsid w:val="001539D1"/>
    <w:rPr>
      <w:rFonts w:ascii="Times New Roman" w:eastAsia="Times New Roman" w:hAnsi="Times New Roman" w:cs="Times New Roman"/>
      <w:sz w:val="18"/>
      <w:szCs w:val="18"/>
      <w:lang w:eastAsia="fr-FR"/>
    </w:rPr>
  </w:style>
  <w:style w:type="paragraph" w:styleId="ac">
    <w:name w:val="annotation subject"/>
    <w:basedOn w:val="a9"/>
    <w:next w:val="a9"/>
    <w:link w:val="Char3"/>
    <w:uiPriority w:val="99"/>
    <w:semiHidden/>
    <w:unhideWhenUsed/>
    <w:rsid w:val="001539D1"/>
    <w:pPr>
      <w:widowControl w:val="0"/>
      <w:suppressAutoHyphens/>
      <w:spacing w:after="0" w:line="240" w:lineRule="auto"/>
    </w:pPr>
    <w:rPr>
      <w:rFonts w:ascii="Times New Roman" w:eastAsia="Times New Roman" w:hAnsi="Times New Roman" w:cs="Times New Roman"/>
      <w:b/>
      <w:bCs/>
      <w:sz w:val="20"/>
      <w:szCs w:val="20"/>
      <w:lang w:val="fr-FR" w:eastAsia="fr-FR"/>
    </w:rPr>
  </w:style>
  <w:style w:type="character" w:customStyle="1" w:styleId="Char3">
    <w:name w:val="批注主题 Char"/>
    <w:basedOn w:val="Char1"/>
    <w:link w:val="ac"/>
    <w:uiPriority w:val="99"/>
    <w:semiHidden/>
    <w:rsid w:val="001539D1"/>
    <w:rPr>
      <w:rFonts w:ascii="Times New Roman" w:eastAsia="Times New Roman" w:hAnsi="Times New Roman" w:cs="Times New Roman"/>
      <w:b/>
      <w:bCs/>
      <w:sz w:val="20"/>
      <w:szCs w:val="20"/>
      <w:lang w:val="en-US" w:eastAsia="fr-FR"/>
    </w:rPr>
  </w:style>
  <w:style w:type="paragraph" w:styleId="ad">
    <w:name w:val="Revision"/>
    <w:hidden/>
    <w:uiPriority w:val="99"/>
    <w:semiHidden/>
    <w:rsid w:val="000C1B2C"/>
    <w:rPr>
      <w:rFonts w:ascii="Times New Roman" w:eastAsia="Times New Roman" w:hAnsi="Times New Roman" w:cs="Times New Roman"/>
      <w:sz w:val="20"/>
      <w:szCs w:val="20"/>
      <w:lang w:eastAsia="fr-FR"/>
    </w:rPr>
  </w:style>
  <w:style w:type="character" w:styleId="ae">
    <w:name w:val="FollowedHyperlink"/>
    <w:basedOn w:val="a0"/>
    <w:uiPriority w:val="99"/>
    <w:semiHidden/>
    <w:unhideWhenUsed/>
    <w:rsid w:val="00A848BF"/>
    <w:rPr>
      <w:color w:val="954F72" w:themeColor="followedHyperlink"/>
      <w:u w:val="single"/>
    </w:rPr>
  </w:style>
  <w:style w:type="paragraph" w:styleId="HTML">
    <w:name w:val="HTML Preformatted"/>
    <w:basedOn w:val="a"/>
    <w:link w:val="HTMLChar"/>
    <w:uiPriority w:val="99"/>
    <w:unhideWhenUsed/>
    <w:rsid w:val="008B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宋体" w:hAnsi="Courier New" w:cs="Courier New"/>
    </w:rPr>
  </w:style>
  <w:style w:type="character" w:customStyle="1" w:styleId="HTMLChar">
    <w:name w:val="HTML 预设格式 Char"/>
    <w:basedOn w:val="a0"/>
    <w:link w:val="HTML"/>
    <w:uiPriority w:val="99"/>
    <w:rsid w:val="008B135A"/>
    <w:rPr>
      <w:rFonts w:ascii="Courier New" w:hAnsi="Courier New" w:cs="Courier New"/>
      <w:sz w:val="20"/>
      <w:szCs w:val="20"/>
      <w:lang w:eastAsia="fr-FR"/>
    </w:rPr>
  </w:style>
  <w:style w:type="paragraph" w:styleId="af">
    <w:name w:val="Plain Text"/>
    <w:basedOn w:val="a"/>
    <w:link w:val="Char4"/>
    <w:rsid w:val="0046085B"/>
    <w:pPr>
      <w:suppressAutoHyphens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
    <w:rsid w:val="0046085B"/>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AA"/>
    <w:pPr>
      <w:widowControl w:val="0"/>
      <w:suppressAutoHyphens/>
    </w:pPr>
    <w:rPr>
      <w:rFonts w:ascii="Times New Roman" w:eastAsia="Times New Roman" w:hAnsi="Times New Roman" w:cs="Times New Roman"/>
      <w:sz w:val="20"/>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22AA"/>
  </w:style>
  <w:style w:type="paragraph" w:customStyle="1" w:styleId="Sansinterligne1">
    <w:name w:val="Sans interligne1"/>
    <w:rsid w:val="006E22AA"/>
    <w:pPr>
      <w:suppressAutoHyphens/>
    </w:pPr>
    <w:rPr>
      <w:rFonts w:ascii="Times New Roman" w:eastAsia="Times New Roman" w:hAnsi="Times New Roman" w:cs="Times New Roman"/>
      <w:sz w:val="20"/>
      <w:szCs w:val="20"/>
      <w:lang w:eastAsia="fr-FR"/>
    </w:rPr>
  </w:style>
  <w:style w:type="paragraph" w:styleId="a4">
    <w:name w:val="List Paragraph"/>
    <w:basedOn w:val="a"/>
    <w:uiPriority w:val="34"/>
    <w:qFormat/>
    <w:rsid w:val="006E22AA"/>
    <w:pPr>
      <w:widowControl/>
      <w:suppressAutoHyphens w:val="0"/>
      <w:ind w:left="720"/>
      <w:contextualSpacing/>
    </w:pPr>
    <w:rPr>
      <w:rFonts w:asciiTheme="minorHAnsi" w:eastAsiaTheme="minorHAnsi" w:hAnsiTheme="minorHAnsi" w:cstheme="minorBidi"/>
      <w:sz w:val="24"/>
      <w:szCs w:val="24"/>
      <w:lang w:eastAsia="en-US"/>
    </w:rPr>
  </w:style>
  <w:style w:type="paragraph" w:styleId="a5">
    <w:name w:val="Normal (Web)"/>
    <w:basedOn w:val="a"/>
    <w:uiPriority w:val="99"/>
    <w:unhideWhenUsed/>
    <w:rsid w:val="006E22AA"/>
    <w:pPr>
      <w:widowControl/>
      <w:suppressAutoHyphens w:val="0"/>
      <w:spacing w:before="100" w:beforeAutospacing="1" w:after="100" w:afterAutospacing="1"/>
    </w:pPr>
    <w:rPr>
      <w:rFonts w:eastAsiaTheme="minorHAnsi"/>
      <w:sz w:val="24"/>
      <w:szCs w:val="24"/>
    </w:rPr>
  </w:style>
  <w:style w:type="paragraph" w:styleId="a6">
    <w:name w:val="footer"/>
    <w:basedOn w:val="a"/>
    <w:link w:val="Char"/>
    <w:uiPriority w:val="99"/>
    <w:unhideWhenUsed/>
    <w:rsid w:val="006E22AA"/>
    <w:pPr>
      <w:tabs>
        <w:tab w:val="center" w:pos="4536"/>
        <w:tab w:val="right" w:pos="9072"/>
      </w:tabs>
    </w:pPr>
  </w:style>
  <w:style w:type="character" w:customStyle="1" w:styleId="Char">
    <w:name w:val="页脚 Char"/>
    <w:basedOn w:val="a0"/>
    <w:link w:val="a6"/>
    <w:uiPriority w:val="99"/>
    <w:rsid w:val="006E22AA"/>
    <w:rPr>
      <w:rFonts w:ascii="Times New Roman" w:eastAsia="Times New Roman" w:hAnsi="Times New Roman" w:cs="Times New Roman"/>
      <w:sz w:val="20"/>
      <w:szCs w:val="20"/>
      <w:lang w:eastAsia="fr-FR"/>
    </w:rPr>
  </w:style>
  <w:style w:type="character" w:styleId="a7">
    <w:name w:val="page number"/>
    <w:basedOn w:val="a0"/>
    <w:uiPriority w:val="99"/>
    <w:semiHidden/>
    <w:unhideWhenUsed/>
    <w:rsid w:val="006E22AA"/>
  </w:style>
  <w:style w:type="paragraph" w:styleId="a8">
    <w:name w:val="header"/>
    <w:basedOn w:val="a"/>
    <w:link w:val="Char0"/>
    <w:uiPriority w:val="99"/>
    <w:unhideWhenUsed/>
    <w:rsid w:val="001539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539D1"/>
    <w:rPr>
      <w:rFonts w:ascii="Times New Roman" w:eastAsia="Times New Roman" w:hAnsi="Times New Roman" w:cs="Times New Roman"/>
      <w:sz w:val="18"/>
      <w:szCs w:val="18"/>
      <w:lang w:eastAsia="fr-FR"/>
    </w:rPr>
  </w:style>
  <w:style w:type="paragraph" w:styleId="a9">
    <w:name w:val="annotation text"/>
    <w:basedOn w:val="a"/>
    <w:link w:val="Char1"/>
    <w:uiPriority w:val="99"/>
    <w:semiHidden/>
    <w:unhideWhenUsed/>
    <w:rsid w:val="001539D1"/>
    <w:pPr>
      <w:widowControl/>
      <w:suppressAutoHyphens w:val="0"/>
      <w:spacing w:after="200" w:line="276" w:lineRule="auto"/>
    </w:pPr>
    <w:rPr>
      <w:rFonts w:asciiTheme="minorHAnsi" w:eastAsiaTheme="minorEastAsia" w:hAnsiTheme="minorHAnsi" w:cstheme="minorBidi"/>
      <w:sz w:val="22"/>
      <w:szCs w:val="22"/>
      <w:lang w:val="en-US" w:eastAsia="zh-CN"/>
    </w:rPr>
  </w:style>
  <w:style w:type="character" w:customStyle="1" w:styleId="Char1">
    <w:name w:val="批注文字 Char"/>
    <w:basedOn w:val="a0"/>
    <w:link w:val="a9"/>
    <w:uiPriority w:val="99"/>
    <w:semiHidden/>
    <w:rsid w:val="001539D1"/>
    <w:rPr>
      <w:rFonts w:eastAsiaTheme="minorEastAsia"/>
      <w:sz w:val="22"/>
      <w:szCs w:val="22"/>
      <w:lang w:val="en-US" w:eastAsia="zh-CN"/>
    </w:rPr>
  </w:style>
  <w:style w:type="character" w:styleId="aa">
    <w:name w:val="annotation reference"/>
    <w:basedOn w:val="a0"/>
    <w:uiPriority w:val="99"/>
    <w:semiHidden/>
    <w:unhideWhenUsed/>
    <w:rsid w:val="001539D1"/>
    <w:rPr>
      <w:sz w:val="21"/>
      <w:szCs w:val="21"/>
    </w:rPr>
  </w:style>
  <w:style w:type="paragraph" w:styleId="ab">
    <w:name w:val="Balloon Text"/>
    <w:basedOn w:val="a"/>
    <w:link w:val="Char2"/>
    <w:uiPriority w:val="99"/>
    <w:semiHidden/>
    <w:unhideWhenUsed/>
    <w:rsid w:val="001539D1"/>
    <w:rPr>
      <w:sz w:val="18"/>
      <w:szCs w:val="18"/>
    </w:rPr>
  </w:style>
  <w:style w:type="character" w:customStyle="1" w:styleId="Char2">
    <w:name w:val="批注框文本 Char"/>
    <w:basedOn w:val="a0"/>
    <w:link w:val="ab"/>
    <w:uiPriority w:val="99"/>
    <w:semiHidden/>
    <w:rsid w:val="001539D1"/>
    <w:rPr>
      <w:rFonts w:ascii="Times New Roman" w:eastAsia="Times New Roman" w:hAnsi="Times New Roman" w:cs="Times New Roman"/>
      <w:sz w:val="18"/>
      <w:szCs w:val="18"/>
      <w:lang w:eastAsia="fr-FR"/>
    </w:rPr>
  </w:style>
  <w:style w:type="paragraph" w:styleId="ac">
    <w:name w:val="annotation subject"/>
    <w:basedOn w:val="a9"/>
    <w:next w:val="a9"/>
    <w:link w:val="Char3"/>
    <w:uiPriority w:val="99"/>
    <w:semiHidden/>
    <w:unhideWhenUsed/>
    <w:rsid w:val="001539D1"/>
    <w:pPr>
      <w:widowControl w:val="0"/>
      <w:suppressAutoHyphens/>
      <w:spacing w:after="0" w:line="240" w:lineRule="auto"/>
    </w:pPr>
    <w:rPr>
      <w:rFonts w:ascii="Times New Roman" w:eastAsia="Times New Roman" w:hAnsi="Times New Roman" w:cs="Times New Roman"/>
      <w:b/>
      <w:bCs/>
      <w:sz w:val="20"/>
      <w:szCs w:val="20"/>
      <w:lang w:val="fr-FR" w:eastAsia="fr-FR"/>
    </w:rPr>
  </w:style>
  <w:style w:type="character" w:customStyle="1" w:styleId="Char3">
    <w:name w:val="批注主题 Char"/>
    <w:basedOn w:val="Char1"/>
    <w:link w:val="ac"/>
    <w:uiPriority w:val="99"/>
    <w:semiHidden/>
    <w:rsid w:val="001539D1"/>
    <w:rPr>
      <w:rFonts w:ascii="Times New Roman" w:eastAsia="Times New Roman" w:hAnsi="Times New Roman" w:cs="Times New Roman"/>
      <w:b/>
      <w:bCs/>
      <w:sz w:val="20"/>
      <w:szCs w:val="20"/>
      <w:lang w:val="en-US" w:eastAsia="fr-FR"/>
    </w:rPr>
  </w:style>
  <w:style w:type="paragraph" w:styleId="ad">
    <w:name w:val="Revision"/>
    <w:hidden/>
    <w:uiPriority w:val="99"/>
    <w:semiHidden/>
    <w:rsid w:val="000C1B2C"/>
    <w:rPr>
      <w:rFonts w:ascii="Times New Roman" w:eastAsia="Times New Roman" w:hAnsi="Times New Roman" w:cs="Times New Roman"/>
      <w:sz w:val="20"/>
      <w:szCs w:val="20"/>
      <w:lang w:eastAsia="fr-FR"/>
    </w:rPr>
  </w:style>
  <w:style w:type="character" w:styleId="ae">
    <w:name w:val="FollowedHyperlink"/>
    <w:basedOn w:val="a0"/>
    <w:uiPriority w:val="99"/>
    <w:semiHidden/>
    <w:unhideWhenUsed/>
    <w:rsid w:val="00A848BF"/>
    <w:rPr>
      <w:color w:val="954F72" w:themeColor="followedHyperlink"/>
      <w:u w:val="single"/>
    </w:rPr>
  </w:style>
  <w:style w:type="paragraph" w:styleId="HTML">
    <w:name w:val="HTML Preformatted"/>
    <w:basedOn w:val="a"/>
    <w:link w:val="HTMLChar"/>
    <w:uiPriority w:val="99"/>
    <w:unhideWhenUsed/>
    <w:rsid w:val="008B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宋体" w:hAnsi="Courier New" w:cs="Courier New"/>
    </w:rPr>
  </w:style>
  <w:style w:type="character" w:customStyle="1" w:styleId="HTMLChar">
    <w:name w:val="HTML 预设格式 Char"/>
    <w:basedOn w:val="a0"/>
    <w:link w:val="HTML"/>
    <w:uiPriority w:val="99"/>
    <w:rsid w:val="008B135A"/>
    <w:rPr>
      <w:rFonts w:ascii="Courier New" w:hAnsi="Courier New" w:cs="Courier New"/>
      <w:sz w:val="20"/>
      <w:szCs w:val="20"/>
      <w:lang w:eastAsia="fr-FR"/>
    </w:rPr>
  </w:style>
  <w:style w:type="paragraph" w:styleId="af">
    <w:name w:val="Plain Text"/>
    <w:basedOn w:val="a"/>
    <w:link w:val="Char4"/>
    <w:rsid w:val="0046085B"/>
    <w:pPr>
      <w:suppressAutoHyphens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
    <w:rsid w:val="0046085B"/>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83">
      <w:bodyDiv w:val="1"/>
      <w:marLeft w:val="0"/>
      <w:marRight w:val="0"/>
      <w:marTop w:val="0"/>
      <w:marBottom w:val="0"/>
      <w:divBdr>
        <w:top w:val="none" w:sz="0" w:space="0" w:color="auto"/>
        <w:left w:val="none" w:sz="0" w:space="0" w:color="auto"/>
        <w:bottom w:val="none" w:sz="0" w:space="0" w:color="auto"/>
        <w:right w:val="none" w:sz="0" w:space="0" w:color="auto"/>
      </w:divBdr>
    </w:div>
    <w:div w:id="161049904">
      <w:bodyDiv w:val="1"/>
      <w:marLeft w:val="0"/>
      <w:marRight w:val="0"/>
      <w:marTop w:val="0"/>
      <w:marBottom w:val="0"/>
      <w:divBdr>
        <w:top w:val="none" w:sz="0" w:space="0" w:color="auto"/>
        <w:left w:val="none" w:sz="0" w:space="0" w:color="auto"/>
        <w:bottom w:val="none" w:sz="0" w:space="0" w:color="auto"/>
        <w:right w:val="none" w:sz="0" w:space="0" w:color="auto"/>
      </w:divBdr>
    </w:div>
    <w:div w:id="232352165">
      <w:bodyDiv w:val="1"/>
      <w:marLeft w:val="0"/>
      <w:marRight w:val="0"/>
      <w:marTop w:val="0"/>
      <w:marBottom w:val="0"/>
      <w:divBdr>
        <w:top w:val="none" w:sz="0" w:space="0" w:color="auto"/>
        <w:left w:val="none" w:sz="0" w:space="0" w:color="auto"/>
        <w:bottom w:val="none" w:sz="0" w:space="0" w:color="auto"/>
        <w:right w:val="none" w:sz="0" w:space="0" w:color="auto"/>
      </w:divBdr>
    </w:div>
    <w:div w:id="447969589">
      <w:bodyDiv w:val="1"/>
      <w:marLeft w:val="0"/>
      <w:marRight w:val="0"/>
      <w:marTop w:val="0"/>
      <w:marBottom w:val="0"/>
      <w:divBdr>
        <w:top w:val="none" w:sz="0" w:space="0" w:color="auto"/>
        <w:left w:val="none" w:sz="0" w:space="0" w:color="auto"/>
        <w:bottom w:val="none" w:sz="0" w:space="0" w:color="auto"/>
        <w:right w:val="none" w:sz="0" w:space="0" w:color="auto"/>
      </w:divBdr>
    </w:div>
    <w:div w:id="493453287">
      <w:bodyDiv w:val="1"/>
      <w:marLeft w:val="0"/>
      <w:marRight w:val="0"/>
      <w:marTop w:val="0"/>
      <w:marBottom w:val="0"/>
      <w:divBdr>
        <w:top w:val="none" w:sz="0" w:space="0" w:color="auto"/>
        <w:left w:val="none" w:sz="0" w:space="0" w:color="auto"/>
        <w:bottom w:val="none" w:sz="0" w:space="0" w:color="auto"/>
        <w:right w:val="none" w:sz="0" w:space="0" w:color="auto"/>
      </w:divBdr>
    </w:div>
    <w:div w:id="575669698">
      <w:bodyDiv w:val="1"/>
      <w:marLeft w:val="0"/>
      <w:marRight w:val="0"/>
      <w:marTop w:val="0"/>
      <w:marBottom w:val="0"/>
      <w:divBdr>
        <w:top w:val="none" w:sz="0" w:space="0" w:color="auto"/>
        <w:left w:val="none" w:sz="0" w:space="0" w:color="auto"/>
        <w:bottom w:val="none" w:sz="0" w:space="0" w:color="auto"/>
        <w:right w:val="none" w:sz="0" w:space="0" w:color="auto"/>
      </w:divBdr>
    </w:div>
    <w:div w:id="583994933">
      <w:bodyDiv w:val="1"/>
      <w:marLeft w:val="0"/>
      <w:marRight w:val="0"/>
      <w:marTop w:val="0"/>
      <w:marBottom w:val="0"/>
      <w:divBdr>
        <w:top w:val="none" w:sz="0" w:space="0" w:color="auto"/>
        <w:left w:val="none" w:sz="0" w:space="0" w:color="auto"/>
        <w:bottom w:val="none" w:sz="0" w:space="0" w:color="auto"/>
        <w:right w:val="none" w:sz="0" w:space="0" w:color="auto"/>
      </w:divBdr>
    </w:div>
    <w:div w:id="987904887">
      <w:bodyDiv w:val="1"/>
      <w:marLeft w:val="0"/>
      <w:marRight w:val="0"/>
      <w:marTop w:val="0"/>
      <w:marBottom w:val="0"/>
      <w:divBdr>
        <w:top w:val="none" w:sz="0" w:space="0" w:color="auto"/>
        <w:left w:val="none" w:sz="0" w:space="0" w:color="auto"/>
        <w:bottom w:val="none" w:sz="0" w:space="0" w:color="auto"/>
        <w:right w:val="none" w:sz="0" w:space="0" w:color="auto"/>
      </w:divBdr>
    </w:div>
    <w:div w:id="1013343397">
      <w:bodyDiv w:val="1"/>
      <w:marLeft w:val="0"/>
      <w:marRight w:val="0"/>
      <w:marTop w:val="0"/>
      <w:marBottom w:val="0"/>
      <w:divBdr>
        <w:top w:val="none" w:sz="0" w:space="0" w:color="auto"/>
        <w:left w:val="none" w:sz="0" w:space="0" w:color="auto"/>
        <w:bottom w:val="none" w:sz="0" w:space="0" w:color="auto"/>
        <w:right w:val="none" w:sz="0" w:space="0" w:color="auto"/>
      </w:divBdr>
    </w:div>
    <w:div w:id="1062409140">
      <w:bodyDiv w:val="1"/>
      <w:marLeft w:val="0"/>
      <w:marRight w:val="0"/>
      <w:marTop w:val="0"/>
      <w:marBottom w:val="0"/>
      <w:divBdr>
        <w:top w:val="none" w:sz="0" w:space="0" w:color="auto"/>
        <w:left w:val="none" w:sz="0" w:space="0" w:color="auto"/>
        <w:bottom w:val="none" w:sz="0" w:space="0" w:color="auto"/>
        <w:right w:val="none" w:sz="0" w:space="0" w:color="auto"/>
      </w:divBdr>
    </w:div>
    <w:div w:id="1068380672">
      <w:bodyDiv w:val="1"/>
      <w:marLeft w:val="0"/>
      <w:marRight w:val="0"/>
      <w:marTop w:val="0"/>
      <w:marBottom w:val="0"/>
      <w:divBdr>
        <w:top w:val="none" w:sz="0" w:space="0" w:color="auto"/>
        <w:left w:val="none" w:sz="0" w:space="0" w:color="auto"/>
        <w:bottom w:val="none" w:sz="0" w:space="0" w:color="auto"/>
        <w:right w:val="none" w:sz="0" w:space="0" w:color="auto"/>
      </w:divBdr>
    </w:div>
    <w:div w:id="1197278497">
      <w:bodyDiv w:val="1"/>
      <w:marLeft w:val="0"/>
      <w:marRight w:val="0"/>
      <w:marTop w:val="0"/>
      <w:marBottom w:val="0"/>
      <w:divBdr>
        <w:top w:val="none" w:sz="0" w:space="0" w:color="auto"/>
        <w:left w:val="none" w:sz="0" w:space="0" w:color="auto"/>
        <w:bottom w:val="none" w:sz="0" w:space="0" w:color="auto"/>
        <w:right w:val="none" w:sz="0" w:space="0" w:color="auto"/>
      </w:divBdr>
    </w:div>
    <w:div w:id="1280337285">
      <w:bodyDiv w:val="1"/>
      <w:marLeft w:val="0"/>
      <w:marRight w:val="0"/>
      <w:marTop w:val="0"/>
      <w:marBottom w:val="0"/>
      <w:divBdr>
        <w:top w:val="none" w:sz="0" w:space="0" w:color="auto"/>
        <w:left w:val="none" w:sz="0" w:space="0" w:color="auto"/>
        <w:bottom w:val="none" w:sz="0" w:space="0" w:color="auto"/>
        <w:right w:val="none" w:sz="0" w:space="0" w:color="auto"/>
      </w:divBdr>
    </w:div>
    <w:div w:id="1360005481">
      <w:bodyDiv w:val="1"/>
      <w:marLeft w:val="0"/>
      <w:marRight w:val="0"/>
      <w:marTop w:val="0"/>
      <w:marBottom w:val="0"/>
      <w:divBdr>
        <w:top w:val="none" w:sz="0" w:space="0" w:color="auto"/>
        <w:left w:val="none" w:sz="0" w:space="0" w:color="auto"/>
        <w:bottom w:val="none" w:sz="0" w:space="0" w:color="auto"/>
        <w:right w:val="none" w:sz="0" w:space="0" w:color="auto"/>
      </w:divBdr>
    </w:div>
    <w:div w:id="1368943997">
      <w:bodyDiv w:val="1"/>
      <w:marLeft w:val="0"/>
      <w:marRight w:val="0"/>
      <w:marTop w:val="0"/>
      <w:marBottom w:val="0"/>
      <w:divBdr>
        <w:top w:val="none" w:sz="0" w:space="0" w:color="auto"/>
        <w:left w:val="none" w:sz="0" w:space="0" w:color="auto"/>
        <w:bottom w:val="none" w:sz="0" w:space="0" w:color="auto"/>
        <w:right w:val="none" w:sz="0" w:space="0" w:color="auto"/>
      </w:divBdr>
    </w:div>
    <w:div w:id="1393849104">
      <w:bodyDiv w:val="1"/>
      <w:marLeft w:val="0"/>
      <w:marRight w:val="0"/>
      <w:marTop w:val="0"/>
      <w:marBottom w:val="0"/>
      <w:divBdr>
        <w:top w:val="none" w:sz="0" w:space="0" w:color="auto"/>
        <w:left w:val="none" w:sz="0" w:space="0" w:color="auto"/>
        <w:bottom w:val="none" w:sz="0" w:space="0" w:color="auto"/>
        <w:right w:val="none" w:sz="0" w:space="0" w:color="auto"/>
      </w:divBdr>
    </w:div>
    <w:div w:id="1672367299">
      <w:bodyDiv w:val="1"/>
      <w:marLeft w:val="0"/>
      <w:marRight w:val="0"/>
      <w:marTop w:val="0"/>
      <w:marBottom w:val="0"/>
      <w:divBdr>
        <w:top w:val="none" w:sz="0" w:space="0" w:color="auto"/>
        <w:left w:val="none" w:sz="0" w:space="0" w:color="auto"/>
        <w:bottom w:val="none" w:sz="0" w:space="0" w:color="auto"/>
        <w:right w:val="none" w:sz="0" w:space="0" w:color="auto"/>
      </w:divBdr>
    </w:div>
    <w:div w:id="1777676866">
      <w:bodyDiv w:val="1"/>
      <w:marLeft w:val="0"/>
      <w:marRight w:val="0"/>
      <w:marTop w:val="0"/>
      <w:marBottom w:val="0"/>
      <w:divBdr>
        <w:top w:val="none" w:sz="0" w:space="0" w:color="auto"/>
        <w:left w:val="none" w:sz="0" w:space="0" w:color="auto"/>
        <w:bottom w:val="none" w:sz="0" w:space="0" w:color="auto"/>
        <w:right w:val="none" w:sz="0" w:space="0" w:color="auto"/>
      </w:divBdr>
    </w:div>
    <w:div w:id="1821074749">
      <w:bodyDiv w:val="1"/>
      <w:marLeft w:val="0"/>
      <w:marRight w:val="0"/>
      <w:marTop w:val="0"/>
      <w:marBottom w:val="0"/>
      <w:divBdr>
        <w:top w:val="none" w:sz="0" w:space="0" w:color="auto"/>
        <w:left w:val="none" w:sz="0" w:space="0" w:color="auto"/>
        <w:bottom w:val="none" w:sz="0" w:space="0" w:color="auto"/>
        <w:right w:val="none" w:sz="0" w:space="0" w:color="auto"/>
      </w:divBdr>
    </w:div>
    <w:div w:id="1834880323">
      <w:bodyDiv w:val="1"/>
      <w:marLeft w:val="0"/>
      <w:marRight w:val="0"/>
      <w:marTop w:val="0"/>
      <w:marBottom w:val="0"/>
      <w:divBdr>
        <w:top w:val="none" w:sz="0" w:space="0" w:color="auto"/>
        <w:left w:val="none" w:sz="0" w:space="0" w:color="auto"/>
        <w:bottom w:val="none" w:sz="0" w:space="0" w:color="auto"/>
        <w:right w:val="none" w:sz="0" w:space="0" w:color="auto"/>
      </w:divBdr>
    </w:div>
    <w:div w:id="2083210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wankassir42@hotmail.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2198</Words>
  <Characters>12534</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微软中国</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Administrator</cp:lastModifiedBy>
  <cp:revision>5</cp:revision>
  <dcterms:created xsi:type="dcterms:W3CDTF">2018-12-29T22:22:00Z</dcterms:created>
  <dcterms:modified xsi:type="dcterms:W3CDTF">2019-01-16T09:52:00Z</dcterms:modified>
</cp:coreProperties>
</file>