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1799B"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sz w:val="24"/>
          <w:szCs w:val="24"/>
          <w:lang w:val="en-US"/>
        </w:rPr>
      </w:pPr>
      <w:r w:rsidRPr="00D62D85">
        <w:rPr>
          <w:rFonts w:ascii="Book Antiqua" w:hAnsi="Book Antiqua" w:cs="Times New Roman"/>
          <w:b/>
          <w:bCs/>
          <w:sz w:val="24"/>
          <w:szCs w:val="24"/>
          <w:lang w:val="en-US"/>
        </w:rPr>
        <w:t xml:space="preserve">Name of Journal: </w:t>
      </w:r>
      <w:r w:rsidRPr="00D62D85">
        <w:rPr>
          <w:rFonts w:ascii="Book Antiqua" w:hAnsi="Book Antiqua" w:cs="Times New Roman"/>
          <w:b/>
          <w:i/>
          <w:sz w:val="24"/>
          <w:szCs w:val="24"/>
          <w:lang w:val="en-US"/>
        </w:rPr>
        <w:t>World Journal of Gastroenterology</w:t>
      </w:r>
    </w:p>
    <w:p w14:paraId="30D2F85D" w14:textId="64123579" w:rsidR="0069767B" w:rsidRPr="00D62D85" w:rsidRDefault="0069767B" w:rsidP="00D62D85">
      <w:pPr>
        <w:pStyle w:val="1"/>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0" w:name="OLE_LINK485"/>
      <w:bookmarkStart w:id="1" w:name="OLE_LINK486"/>
      <w:bookmarkStart w:id="2" w:name="OLE_LINK661"/>
      <w:bookmarkStart w:id="3" w:name="OLE_LINK768"/>
      <w:bookmarkStart w:id="4" w:name="OLE_LINK514"/>
      <w:bookmarkStart w:id="5" w:name="OLE_LINK515"/>
      <w:r w:rsidRPr="00D62D85">
        <w:rPr>
          <w:rFonts w:ascii="Book Antiqua" w:hAnsi="Book Antiqua" w:cs="Times New Roman"/>
          <w:b/>
          <w:color w:val="000000" w:themeColor="text1"/>
          <w:sz w:val="24"/>
          <w:szCs w:val="24"/>
          <w:highlight w:val="white"/>
          <w:lang w:val="en-US" w:eastAsia="zh-CN"/>
        </w:rPr>
        <w:t>Manuscript NO:</w:t>
      </w:r>
      <w:bookmarkEnd w:id="0"/>
      <w:bookmarkEnd w:id="1"/>
      <w:bookmarkEnd w:id="2"/>
      <w:bookmarkEnd w:id="3"/>
      <w:r w:rsidRPr="00D62D85">
        <w:rPr>
          <w:rFonts w:ascii="Book Antiqua" w:hAnsi="Book Antiqua" w:cs="Times New Roman"/>
          <w:b/>
          <w:color w:val="000000" w:themeColor="text1"/>
          <w:sz w:val="24"/>
          <w:szCs w:val="24"/>
          <w:highlight w:val="white"/>
          <w:lang w:val="en-US" w:eastAsia="zh-CN"/>
        </w:rPr>
        <w:t xml:space="preserve"> </w:t>
      </w:r>
      <w:bookmarkEnd w:id="4"/>
      <w:bookmarkEnd w:id="5"/>
      <w:r w:rsidR="00E55F51" w:rsidRPr="00D62D85">
        <w:rPr>
          <w:rFonts w:ascii="Book Antiqua" w:hAnsi="Book Antiqua" w:cs="Times New Roman"/>
          <w:b/>
          <w:color w:val="000000" w:themeColor="text1"/>
          <w:sz w:val="24"/>
          <w:szCs w:val="24"/>
          <w:highlight w:val="white"/>
          <w:lang w:val="en-US" w:eastAsia="zh-CN"/>
        </w:rPr>
        <w:t>40874</w:t>
      </w:r>
    </w:p>
    <w:p w14:paraId="288EE573" w14:textId="36F33B97" w:rsidR="007057E4" w:rsidRPr="00D62D85" w:rsidRDefault="007057E4" w:rsidP="00D62D85">
      <w:pPr>
        <w:adjustRightInd w:val="0"/>
        <w:snapToGrid w:val="0"/>
        <w:spacing w:line="360" w:lineRule="auto"/>
        <w:ind w:firstLineChars="0" w:firstLine="0"/>
        <w:jc w:val="both"/>
        <w:rPr>
          <w:rFonts w:ascii="Book Antiqua" w:hAnsi="Book Antiqua" w:cs="Times New Roman"/>
          <w:sz w:val="24"/>
          <w:szCs w:val="24"/>
          <w:lang w:val="en-US"/>
        </w:rPr>
      </w:pPr>
      <w:r w:rsidRPr="00D62D85">
        <w:rPr>
          <w:rFonts w:ascii="Book Antiqua" w:hAnsi="Book Antiqua" w:cs="Times New Roman"/>
          <w:b/>
          <w:bCs/>
          <w:sz w:val="24"/>
          <w:szCs w:val="24"/>
          <w:lang w:val="en-US"/>
        </w:rPr>
        <w:t xml:space="preserve">Manuscript Type: </w:t>
      </w:r>
      <w:bookmarkStart w:id="6" w:name="OLE_LINK11"/>
      <w:bookmarkStart w:id="7" w:name="OLE_LINK12"/>
      <w:r w:rsidR="005D0419" w:rsidRPr="00D62D85">
        <w:rPr>
          <w:rFonts w:ascii="Book Antiqua" w:hAnsi="Book Antiqua"/>
          <w:b/>
          <w:color w:val="000000"/>
          <w:sz w:val="24"/>
          <w:szCs w:val="24"/>
          <w:lang w:val="it-IT"/>
        </w:rPr>
        <w:t>ORIGINAL ARTICLE</w:t>
      </w:r>
      <w:bookmarkEnd w:id="6"/>
      <w:bookmarkEnd w:id="7"/>
    </w:p>
    <w:p w14:paraId="0D052234"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sz w:val="24"/>
          <w:szCs w:val="24"/>
          <w:lang w:val="en-US"/>
        </w:rPr>
      </w:pPr>
    </w:p>
    <w:p w14:paraId="189B9471" w14:textId="6FB7120A" w:rsidR="004678AE" w:rsidRPr="00D62D85" w:rsidRDefault="004678AE" w:rsidP="00D62D85">
      <w:pPr>
        <w:adjustRightInd w:val="0"/>
        <w:snapToGrid w:val="0"/>
        <w:spacing w:line="360" w:lineRule="auto"/>
        <w:ind w:firstLineChars="0" w:firstLine="0"/>
        <w:jc w:val="both"/>
        <w:rPr>
          <w:rFonts w:ascii="Book Antiqua" w:hAnsi="Book Antiqua" w:cs="Times New Roman"/>
          <w:b/>
          <w:i/>
          <w:sz w:val="24"/>
          <w:szCs w:val="24"/>
          <w:lang w:val="en-US"/>
        </w:rPr>
      </w:pPr>
      <w:r w:rsidRPr="00D62D85">
        <w:rPr>
          <w:rFonts w:ascii="Book Antiqua" w:hAnsi="Book Antiqua" w:cs="Times New Roman"/>
          <w:b/>
          <w:i/>
          <w:sz w:val="24"/>
          <w:szCs w:val="24"/>
          <w:lang w:val="en-US"/>
        </w:rPr>
        <w:t>Basic Study</w:t>
      </w:r>
    </w:p>
    <w:p w14:paraId="18FDEBED" w14:textId="22A98CFC" w:rsidR="007057E4" w:rsidRPr="00D62D85" w:rsidRDefault="00580045" w:rsidP="00D62D85">
      <w:pPr>
        <w:adjustRightInd w:val="0"/>
        <w:snapToGrid w:val="0"/>
        <w:spacing w:line="360" w:lineRule="auto"/>
        <w:ind w:firstLineChars="0" w:firstLine="0"/>
        <w:jc w:val="both"/>
        <w:rPr>
          <w:rFonts w:ascii="Book Antiqua" w:hAnsi="Book Antiqua" w:cs="Times New Roman"/>
          <w:b/>
          <w:bCs/>
          <w:sz w:val="24"/>
          <w:szCs w:val="24"/>
          <w:lang w:val="en-US"/>
        </w:rPr>
      </w:pPr>
      <w:r w:rsidRPr="00D62D85">
        <w:rPr>
          <w:rFonts w:ascii="Book Antiqua" w:hAnsi="Book Antiqua" w:cs="Times New Roman"/>
          <w:b/>
          <w:bCs/>
          <w:sz w:val="24"/>
          <w:szCs w:val="24"/>
          <w:lang w:val="en-US"/>
        </w:rPr>
        <w:t>Differen</w:t>
      </w:r>
      <w:r w:rsidR="00FC31C7" w:rsidRPr="00D62D85">
        <w:rPr>
          <w:rFonts w:ascii="Book Antiqua" w:hAnsi="Book Antiqua" w:cs="Times New Roman"/>
          <w:b/>
          <w:bCs/>
          <w:sz w:val="24"/>
          <w:szCs w:val="24"/>
          <w:lang w:val="en-US"/>
        </w:rPr>
        <w:t>tial</w:t>
      </w:r>
      <w:r w:rsidRPr="00D62D85">
        <w:rPr>
          <w:rFonts w:ascii="Book Antiqua" w:hAnsi="Book Antiqua" w:cs="Times New Roman"/>
          <w:b/>
          <w:bCs/>
          <w:sz w:val="24"/>
          <w:szCs w:val="24"/>
          <w:lang w:val="en-US"/>
        </w:rPr>
        <w:t xml:space="preserve"> </w:t>
      </w:r>
      <w:r w:rsidR="007057E4" w:rsidRPr="00D62D85">
        <w:rPr>
          <w:rFonts w:ascii="Book Antiqua" w:hAnsi="Book Antiqua" w:cs="Times New Roman"/>
          <w:b/>
          <w:bCs/>
          <w:sz w:val="24"/>
          <w:szCs w:val="24"/>
          <w:lang w:val="en-US"/>
        </w:rPr>
        <w:t xml:space="preserve">expression of </w:t>
      </w:r>
      <w:r w:rsidR="009000BE" w:rsidRPr="00D62D85">
        <w:rPr>
          <w:rFonts w:ascii="Book Antiqua" w:hAnsi="Book Antiqua" w:cs="Times New Roman"/>
          <w:b/>
          <w:bCs/>
          <w:sz w:val="24"/>
          <w:szCs w:val="24"/>
          <w:lang w:val="en-US"/>
        </w:rPr>
        <w:t xml:space="preserve">mucin 1 </w:t>
      </w:r>
      <w:r w:rsidR="007057E4" w:rsidRPr="00D62D85">
        <w:rPr>
          <w:rFonts w:ascii="Book Antiqua" w:hAnsi="Book Antiqua" w:cs="Times New Roman"/>
          <w:b/>
          <w:bCs/>
          <w:sz w:val="24"/>
          <w:szCs w:val="24"/>
          <w:lang w:val="en-US"/>
        </w:rPr>
        <w:t>and</w:t>
      </w:r>
      <w:r w:rsidR="009C072E" w:rsidRPr="00D62D85" w:rsidDel="009C072E">
        <w:rPr>
          <w:rFonts w:ascii="Book Antiqua" w:hAnsi="Book Antiqua" w:cs="Times New Roman"/>
          <w:b/>
          <w:bCs/>
          <w:sz w:val="24"/>
          <w:szCs w:val="24"/>
          <w:lang w:val="en-US"/>
        </w:rPr>
        <w:t xml:space="preserve"> </w:t>
      </w:r>
      <w:r w:rsidR="009000BE" w:rsidRPr="00D62D85">
        <w:rPr>
          <w:rFonts w:ascii="Book Antiqua" w:hAnsi="Book Antiqua" w:cs="Times New Roman"/>
          <w:b/>
          <w:bCs/>
          <w:sz w:val="24"/>
          <w:szCs w:val="24"/>
          <w:lang w:val="en-US"/>
        </w:rPr>
        <w:t xml:space="preserve">mucin 2 </w:t>
      </w:r>
      <w:r w:rsidR="007057E4" w:rsidRPr="00D62D85">
        <w:rPr>
          <w:rFonts w:ascii="Book Antiqua" w:hAnsi="Book Antiqua" w:cs="Times New Roman"/>
          <w:b/>
          <w:bCs/>
          <w:sz w:val="24"/>
          <w:szCs w:val="24"/>
          <w:lang w:val="en-US"/>
        </w:rPr>
        <w:t>in colorectal cancer</w:t>
      </w:r>
    </w:p>
    <w:p w14:paraId="60509E11"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b/>
          <w:bCs/>
          <w:sz w:val="24"/>
          <w:szCs w:val="24"/>
          <w:lang w:val="en-US"/>
        </w:rPr>
      </w:pPr>
    </w:p>
    <w:p w14:paraId="0FCCCA25" w14:textId="6B1EF4D2" w:rsidR="007057E4" w:rsidRPr="00D62D85" w:rsidRDefault="007057E4" w:rsidP="00D62D85">
      <w:pPr>
        <w:adjustRightInd w:val="0"/>
        <w:snapToGrid w:val="0"/>
        <w:spacing w:line="360" w:lineRule="auto"/>
        <w:ind w:firstLineChars="0" w:firstLine="0"/>
        <w:jc w:val="both"/>
        <w:rPr>
          <w:rFonts w:ascii="Book Antiqua" w:hAnsi="Book Antiqua" w:cs="Times New Roman"/>
          <w:sz w:val="24"/>
          <w:szCs w:val="24"/>
          <w:lang w:val="en-US"/>
        </w:rPr>
      </w:pPr>
      <w:r w:rsidRPr="00D62D85">
        <w:rPr>
          <w:rFonts w:ascii="Book Antiqua" w:hAnsi="Book Antiqua" w:cs="Times New Roman"/>
          <w:sz w:val="24"/>
          <w:szCs w:val="24"/>
          <w:lang w:val="en-US"/>
        </w:rPr>
        <w:t xml:space="preserve">Kasprzak A </w:t>
      </w:r>
      <w:r w:rsidRPr="00D62D85">
        <w:rPr>
          <w:rFonts w:ascii="Book Antiqua" w:hAnsi="Book Antiqua" w:cs="Times New Roman"/>
          <w:i/>
          <w:iCs/>
          <w:sz w:val="24"/>
          <w:szCs w:val="24"/>
          <w:lang w:val="en-US"/>
        </w:rPr>
        <w:t>et al</w:t>
      </w:r>
      <w:r w:rsidRPr="00D62D85">
        <w:rPr>
          <w:rFonts w:ascii="Book Antiqua" w:hAnsi="Book Antiqua" w:cs="Times New Roman"/>
          <w:sz w:val="24"/>
          <w:szCs w:val="24"/>
          <w:lang w:val="en-US"/>
        </w:rPr>
        <w:t xml:space="preserve">. </w:t>
      </w:r>
      <w:r w:rsidR="0081380B" w:rsidRPr="00D62D85">
        <w:rPr>
          <w:rFonts w:ascii="Book Antiqua" w:hAnsi="Book Antiqua" w:cs="Times New Roman"/>
          <w:sz w:val="24"/>
          <w:szCs w:val="24"/>
          <w:lang w:val="en-US"/>
        </w:rPr>
        <w:t>MUC</w:t>
      </w:r>
      <w:r w:rsidRPr="00D62D85">
        <w:rPr>
          <w:rFonts w:ascii="Book Antiqua" w:hAnsi="Book Antiqua" w:cs="Times New Roman"/>
          <w:sz w:val="24"/>
          <w:szCs w:val="24"/>
          <w:lang w:val="en-US"/>
        </w:rPr>
        <w:t xml:space="preserve">1 and </w:t>
      </w:r>
      <w:r w:rsidR="0081380B" w:rsidRPr="00D62D85">
        <w:rPr>
          <w:rFonts w:ascii="Book Antiqua" w:hAnsi="Book Antiqua" w:cs="Times New Roman"/>
          <w:sz w:val="24"/>
          <w:szCs w:val="24"/>
          <w:lang w:val="en-US"/>
        </w:rPr>
        <w:t>MUC</w:t>
      </w:r>
      <w:r w:rsidRPr="00D62D85">
        <w:rPr>
          <w:rFonts w:ascii="Book Antiqua" w:hAnsi="Book Antiqua" w:cs="Times New Roman"/>
          <w:sz w:val="24"/>
          <w:szCs w:val="24"/>
          <w:lang w:val="en-US"/>
        </w:rPr>
        <w:t xml:space="preserve">2 in </w:t>
      </w:r>
      <w:r w:rsidR="00FF11C1" w:rsidRPr="00B9604D">
        <w:rPr>
          <w:rFonts w:ascii="Book Antiqua" w:eastAsiaTheme="minorEastAsia" w:hAnsi="Book Antiqua" w:cs="Times New Roman"/>
          <w:sz w:val="24"/>
          <w:szCs w:val="24"/>
          <w:lang w:val="en-US" w:eastAsia="zh-CN"/>
        </w:rPr>
        <w:t>CRC</w:t>
      </w:r>
    </w:p>
    <w:p w14:paraId="3E73AA5C"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b/>
          <w:bCs/>
          <w:sz w:val="24"/>
          <w:szCs w:val="24"/>
          <w:lang w:val="en-US"/>
        </w:rPr>
      </w:pPr>
    </w:p>
    <w:p w14:paraId="765B58BF" w14:textId="77777777" w:rsidR="007057E4" w:rsidRPr="00D62D85" w:rsidRDefault="007057E4" w:rsidP="00D62D85">
      <w:pPr>
        <w:tabs>
          <w:tab w:val="left" w:pos="0"/>
        </w:tabs>
        <w:adjustRightInd w:val="0"/>
        <w:snapToGrid w:val="0"/>
        <w:spacing w:line="360" w:lineRule="auto"/>
        <w:ind w:firstLineChars="0" w:firstLine="0"/>
        <w:jc w:val="both"/>
        <w:rPr>
          <w:rFonts w:ascii="Book Antiqua" w:hAnsi="Book Antiqua" w:cs="Times New Roman"/>
          <w:bCs/>
          <w:sz w:val="24"/>
          <w:szCs w:val="24"/>
          <w:lang w:val="pl-PL"/>
        </w:rPr>
      </w:pPr>
      <w:bookmarkStart w:id="8" w:name="OLE_LINK177"/>
      <w:r w:rsidRPr="00D62D85">
        <w:rPr>
          <w:rFonts w:ascii="Book Antiqua" w:hAnsi="Book Antiqua" w:cs="Times New Roman"/>
          <w:bCs/>
          <w:sz w:val="24"/>
          <w:szCs w:val="24"/>
          <w:lang w:val="pl-PL"/>
        </w:rPr>
        <w:t>Aldona Kasprzak, Elżbieta Siodla, Małgorzata Andrzejewska, Jacek Szmeja, Agnieszka Seraszek-Jaros, Szczepan Cofta</w:t>
      </w:r>
      <w:r w:rsidR="00A41870" w:rsidRPr="00D62D85">
        <w:rPr>
          <w:rFonts w:ascii="Book Antiqua" w:hAnsi="Book Antiqua" w:cs="Times New Roman"/>
          <w:bCs/>
          <w:sz w:val="24"/>
          <w:szCs w:val="24"/>
          <w:lang w:val="pl-PL"/>
        </w:rPr>
        <w:t>, Witold Szaflarski</w:t>
      </w:r>
      <w:bookmarkEnd w:id="8"/>
    </w:p>
    <w:p w14:paraId="2968829C"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b/>
          <w:bCs/>
          <w:sz w:val="24"/>
          <w:szCs w:val="24"/>
          <w:lang w:val="pl-PL"/>
        </w:rPr>
      </w:pPr>
    </w:p>
    <w:p w14:paraId="296771D1" w14:textId="7C781BA2" w:rsidR="007057E4" w:rsidRPr="00D62D85" w:rsidRDefault="007057E4" w:rsidP="00D62D85">
      <w:pPr>
        <w:adjustRightInd w:val="0"/>
        <w:snapToGrid w:val="0"/>
        <w:spacing w:line="360" w:lineRule="auto"/>
        <w:ind w:firstLineChars="0" w:firstLine="0"/>
        <w:jc w:val="both"/>
        <w:rPr>
          <w:rFonts w:ascii="Book Antiqua" w:hAnsi="Book Antiqua" w:cs="Times New Roman"/>
          <w:sz w:val="24"/>
          <w:szCs w:val="24"/>
          <w:lang w:val="en-US" w:eastAsia="pl-PL"/>
        </w:rPr>
      </w:pPr>
      <w:r w:rsidRPr="00D62D85">
        <w:rPr>
          <w:rFonts w:ascii="Book Antiqua" w:hAnsi="Book Antiqua" w:cs="Times New Roman"/>
          <w:b/>
          <w:bCs/>
          <w:sz w:val="24"/>
          <w:szCs w:val="24"/>
          <w:lang w:val="en-US"/>
        </w:rPr>
        <w:t xml:space="preserve">Aldona Kasprzak, Elżbieta Siodla, Małgorzata Andrzejewska, Witold Szaflarski, </w:t>
      </w:r>
      <w:r w:rsidRPr="00D62D85">
        <w:rPr>
          <w:rFonts w:ascii="Book Antiqua" w:hAnsi="Book Antiqua" w:cs="Times New Roman"/>
          <w:sz w:val="24"/>
          <w:szCs w:val="24"/>
          <w:lang w:eastAsia="pl-PL"/>
        </w:rPr>
        <w:t>Department of Histology and Embryology, Poznan University of Medical Sciences,</w:t>
      </w:r>
      <w:r w:rsidR="0081380B" w:rsidRPr="00D62D85">
        <w:rPr>
          <w:rFonts w:ascii="Book Antiqua" w:hAnsi="Book Antiqua" w:cs="Times New Roman"/>
          <w:sz w:val="24"/>
          <w:szCs w:val="24"/>
          <w:lang w:eastAsia="pl-PL"/>
        </w:rPr>
        <w:t xml:space="preserve"> </w:t>
      </w:r>
      <w:r w:rsidRPr="00D62D85">
        <w:rPr>
          <w:rFonts w:ascii="Book Antiqua" w:hAnsi="Book Antiqua" w:cs="Times New Roman"/>
          <w:sz w:val="24"/>
          <w:szCs w:val="24"/>
          <w:lang w:val="en-US" w:eastAsia="pl-PL"/>
        </w:rPr>
        <w:t>Poznan</w:t>
      </w:r>
      <w:r w:rsidR="00C25C7F" w:rsidRPr="00D62D85">
        <w:rPr>
          <w:rFonts w:ascii="Book Antiqua" w:hAnsi="Book Antiqua" w:cs="Times New Roman"/>
          <w:sz w:val="24"/>
          <w:szCs w:val="24"/>
          <w:lang w:val="en-US" w:eastAsia="pl-PL"/>
        </w:rPr>
        <w:t xml:space="preserve"> 60-781</w:t>
      </w:r>
      <w:r w:rsidRPr="00D62D85">
        <w:rPr>
          <w:rFonts w:ascii="Book Antiqua" w:hAnsi="Book Antiqua" w:cs="Times New Roman"/>
          <w:sz w:val="24"/>
          <w:szCs w:val="24"/>
          <w:lang w:val="en-US" w:eastAsia="pl-PL"/>
        </w:rPr>
        <w:t>, Poland</w:t>
      </w:r>
    </w:p>
    <w:p w14:paraId="00861BEC"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sz w:val="24"/>
          <w:szCs w:val="24"/>
          <w:lang w:val="en-US" w:eastAsia="pl-PL"/>
        </w:rPr>
      </w:pPr>
    </w:p>
    <w:p w14:paraId="33E9DAAB" w14:textId="26C90A97" w:rsidR="007057E4" w:rsidRPr="00D62D85" w:rsidRDefault="007057E4" w:rsidP="00D62D85">
      <w:pPr>
        <w:adjustRightInd w:val="0"/>
        <w:snapToGrid w:val="0"/>
        <w:spacing w:line="360" w:lineRule="auto"/>
        <w:ind w:firstLineChars="0" w:firstLine="0"/>
        <w:jc w:val="both"/>
        <w:rPr>
          <w:rFonts w:ascii="Book Antiqua" w:hAnsi="Book Antiqua" w:cs="Times New Roman"/>
          <w:sz w:val="24"/>
          <w:szCs w:val="24"/>
          <w:lang w:eastAsia="pl-PL"/>
        </w:rPr>
      </w:pPr>
      <w:r w:rsidRPr="00D62D85">
        <w:rPr>
          <w:rFonts w:ascii="Book Antiqua" w:hAnsi="Book Antiqua" w:cs="Times New Roman"/>
          <w:b/>
          <w:bCs/>
          <w:sz w:val="24"/>
          <w:szCs w:val="24"/>
          <w:lang w:val="en-US"/>
        </w:rPr>
        <w:t xml:space="preserve">Jacek Szmeja, </w:t>
      </w:r>
      <w:r w:rsidRPr="00D62D85">
        <w:rPr>
          <w:rFonts w:ascii="Book Antiqua" w:hAnsi="Book Antiqua" w:cs="Times New Roman"/>
          <w:sz w:val="24"/>
          <w:szCs w:val="24"/>
          <w:lang w:val="en-US" w:eastAsia="pl-PL"/>
        </w:rPr>
        <w:t xml:space="preserve">Chair and Department of General Surgery, </w:t>
      </w:r>
      <w:r w:rsidRPr="00D62D85">
        <w:rPr>
          <w:rStyle w:val="spelle"/>
          <w:rFonts w:ascii="Book Antiqua" w:hAnsi="Book Antiqua" w:cs="Times New Roman"/>
          <w:sz w:val="24"/>
          <w:szCs w:val="24"/>
          <w:lang w:val="en-US" w:eastAsia="pl-PL"/>
        </w:rPr>
        <w:t>Endocrinological</w:t>
      </w:r>
      <w:r w:rsidRPr="00D62D85">
        <w:rPr>
          <w:rFonts w:ascii="Book Antiqua" w:hAnsi="Book Antiqua" w:cs="Times New Roman"/>
          <w:sz w:val="24"/>
          <w:szCs w:val="24"/>
          <w:lang w:val="en-US" w:eastAsia="pl-PL"/>
        </w:rPr>
        <w:t xml:space="preserve"> and Gastroenterological Oncology, </w:t>
      </w:r>
      <w:r w:rsidRPr="00D62D85">
        <w:rPr>
          <w:rFonts w:ascii="Book Antiqua" w:hAnsi="Book Antiqua" w:cs="Times New Roman"/>
          <w:sz w:val="24"/>
          <w:szCs w:val="24"/>
          <w:lang w:eastAsia="pl-PL"/>
        </w:rPr>
        <w:t>Poznan University of Medical Sciences, Poznan</w:t>
      </w:r>
      <w:r w:rsidR="00C25C7F" w:rsidRPr="00D62D85">
        <w:rPr>
          <w:rFonts w:ascii="Book Antiqua" w:hAnsi="Book Antiqua" w:cs="Times New Roman"/>
          <w:sz w:val="24"/>
          <w:szCs w:val="24"/>
          <w:lang w:eastAsia="pl-PL"/>
        </w:rPr>
        <w:t xml:space="preserve"> 60-355</w:t>
      </w:r>
      <w:r w:rsidRPr="00D62D85">
        <w:rPr>
          <w:rFonts w:ascii="Book Antiqua" w:hAnsi="Book Antiqua" w:cs="Times New Roman"/>
          <w:sz w:val="24"/>
          <w:szCs w:val="24"/>
          <w:lang w:eastAsia="pl-PL"/>
        </w:rPr>
        <w:t>, Poland</w:t>
      </w:r>
    </w:p>
    <w:p w14:paraId="2D7692DD"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sz w:val="24"/>
          <w:szCs w:val="24"/>
          <w:lang w:val="en-US" w:eastAsia="pl-PL"/>
        </w:rPr>
      </w:pPr>
    </w:p>
    <w:p w14:paraId="38ECE4DE" w14:textId="1161AA57" w:rsidR="007057E4" w:rsidRPr="00D62D85" w:rsidRDefault="007057E4" w:rsidP="00D62D85">
      <w:pPr>
        <w:adjustRightInd w:val="0"/>
        <w:snapToGrid w:val="0"/>
        <w:spacing w:line="360" w:lineRule="auto"/>
        <w:ind w:firstLineChars="0" w:firstLine="0"/>
        <w:jc w:val="both"/>
        <w:rPr>
          <w:rFonts w:ascii="Book Antiqua" w:hAnsi="Book Antiqua" w:cs="Times New Roman"/>
          <w:sz w:val="24"/>
          <w:szCs w:val="24"/>
          <w:lang w:eastAsia="pl-PL"/>
        </w:rPr>
      </w:pPr>
      <w:r w:rsidRPr="00D62D85">
        <w:rPr>
          <w:rFonts w:ascii="Book Antiqua" w:hAnsi="Book Antiqua" w:cs="Times New Roman"/>
          <w:b/>
          <w:bCs/>
          <w:sz w:val="24"/>
          <w:szCs w:val="24"/>
          <w:lang w:val="en-US"/>
        </w:rPr>
        <w:t xml:space="preserve">Agnieszka Seraszek-Jaros, </w:t>
      </w:r>
      <w:r w:rsidRPr="00D62D85">
        <w:rPr>
          <w:rFonts w:ascii="Book Antiqua" w:hAnsi="Book Antiqua" w:cs="Times New Roman"/>
          <w:sz w:val="24"/>
          <w:szCs w:val="24"/>
          <w:lang w:eastAsia="pl-PL"/>
        </w:rPr>
        <w:t>Department of Bioinformatics and Computational Biology, Chair of Clinical Pathomorphology, Poznan University of Medical Sciences,</w:t>
      </w:r>
      <w:r w:rsidR="0081380B" w:rsidRPr="00D62D85">
        <w:rPr>
          <w:rFonts w:ascii="Book Antiqua" w:hAnsi="Book Antiqua" w:cs="Times New Roman"/>
          <w:sz w:val="24"/>
          <w:szCs w:val="24"/>
          <w:lang w:eastAsia="pl-PL"/>
        </w:rPr>
        <w:t xml:space="preserve"> </w:t>
      </w:r>
      <w:r w:rsidRPr="00D62D85">
        <w:rPr>
          <w:rFonts w:ascii="Book Antiqua" w:hAnsi="Book Antiqua" w:cs="Times New Roman"/>
          <w:sz w:val="24"/>
          <w:szCs w:val="24"/>
          <w:lang w:eastAsia="pl-PL"/>
        </w:rPr>
        <w:t>Poznan</w:t>
      </w:r>
      <w:r w:rsidR="00071BAD" w:rsidRPr="00D62D85">
        <w:rPr>
          <w:rFonts w:ascii="Book Antiqua" w:hAnsi="Book Antiqua" w:cs="Times New Roman"/>
          <w:sz w:val="24"/>
          <w:szCs w:val="24"/>
          <w:lang w:eastAsia="pl-PL"/>
        </w:rPr>
        <w:t xml:space="preserve"> 60-529</w:t>
      </w:r>
      <w:r w:rsidRPr="00D62D85">
        <w:rPr>
          <w:rFonts w:ascii="Book Antiqua" w:hAnsi="Book Antiqua" w:cs="Times New Roman"/>
          <w:sz w:val="24"/>
          <w:szCs w:val="24"/>
          <w:lang w:eastAsia="pl-PL"/>
        </w:rPr>
        <w:t>, Poland</w:t>
      </w:r>
    </w:p>
    <w:p w14:paraId="7314D9CC"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b/>
          <w:bCs/>
          <w:sz w:val="24"/>
          <w:szCs w:val="24"/>
          <w:lang w:val="en-US"/>
        </w:rPr>
      </w:pPr>
    </w:p>
    <w:p w14:paraId="01F451A9" w14:textId="6AD07EA1" w:rsidR="007057E4" w:rsidRPr="00D62D85" w:rsidRDefault="007057E4" w:rsidP="00D62D85">
      <w:pPr>
        <w:tabs>
          <w:tab w:val="left" w:pos="0"/>
        </w:tabs>
        <w:adjustRightInd w:val="0"/>
        <w:snapToGrid w:val="0"/>
        <w:spacing w:line="360" w:lineRule="auto"/>
        <w:ind w:firstLineChars="0" w:firstLine="0"/>
        <w:jc w:val="both"/>
        <w:rPr>
          <w:rFonts w:ascii="Book Antiqua" w:hAnsi="Book Antiqua" w:cs="Times New Roman"/>
          <w:sz w:val="24"/>
          <w:szCs w:val="24"/>
          <w:lang w:eastAsia="pl-PL"/>
        </w:rPr>
      </w:pPr>
      <w:r w:rsidRPr="00D62D85">
        <w:rPr>
          <w:rFonts w:ascii="Book Antiqua" w:hAnsi="Book Antiqua" w:cs="Times New Roman"/>
          <w:b/>
          <w:bCs/>
          <w:sz w:val="24"/>
          <w:szCs w:val="24"/>
          <w:lang w:val="en-US"/>
        </w:rPr>
        <w:t xml:space="preserve">Szczepan Cofta, </w:t>
      </w:r>
      <w:r w:rsidRPr="00D62D85">
        <w:rPr>
          <w:rFonts w:ascii="Book Antiqua" w:hAnsi="Book Antiqua" w:cs="Times New Roman"/>
          <w:sz w:val="24"/>
          <w:szCs w:val="24"/>
        </w:rPr>
        <w:t xml:space="preserve">Department of Pulmonology, Allergology and Respiratory Oncology, </w:t>
      </w:r>
      <w:r w:rsidRPr="00D62D85">
        <w:rPr>
          <w:rFonts w:ascii="Book Antiqua" w:hAnsi="Book Antiqua" w:cs="Times New Roman"/>
          <w:sz w:val="24"/>
          <w:szCs w:val="24"/>
          <w:lang w:eastAsia="pl-PL"/>
        </w:rPr>
        <w:t>Poznan University of Medical Science, Poznan</w:t>
      </w:r>
      <w:r w:rsidR="00071BAD" w:rsidRPr="00D62D85">
        <w:rPr>
          <w:rFonts w:ascii="Book Antiqua" w:hAnsi="Book Antiqua" w:cs="Times New Roman"/>
          <w:sz w:val="24"/>
          <w:szCs w:val="24"/>
          <w:lang w:eastAsia="pl-PL"/>
        </w:rPr>
        <w:t xml:space="preserve"> 60-569</w:t>
      </w:r>
      <w:r w:rsidRPr="00D62D85">
        <w:rPr>
          <w:rFonts w:ascii="Book Antiqua" w:hAnsi="Book Antiqua" w:cs="Times New Roman"/>
          <w:sz w:val="24"/>
          <w:szCs w:val="24"/>
          <w:lang w:eastAsia="pl-PL"/>
        </w:rPr>
        <w:t>, Poland</w:t>
      </w:r>
    </w:p>
    <w:p w14:paraId="14ED7F43"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b/>
          <w:bCs/>
          <w:sz w:val="24"/>
          <w:szCs w:val="24"/>
        </w:rPr>
      </w:pPr>
    </w:p>
    <w:p w14:paraId="07729E27" w14:textId="2277CD63" w:rsidR="00071BAD" w:rsidRPr="00D62D85" w:rsidRDefault="00071BAD" w:rsidP="00D62D85">
      <w:pPr>
        <w:adjustRightInd w:val="0"/>
        <w:snapToGrid w:val="0"/>
        <w:spacing w:line="360" w:lineRule="auto"/>
        <w:ind w:firstLineChars="0" w:firstLine="0"/>
        <w:jc w:val="both"/>
        <w:rPr>
          <w:rFonts w:ascii="Book Antiqua" w:hAnsi="Book Antiqua" w:cs="Times New Roman"/>
          <w:b/>
          <w:bCs/>
          <w:sz w:val="24"/>
          <w:szCs w:val="24"/>
        </w:rPr>
      </w:pPr>
      <w:r w:rsidRPr="00D62D85">
        <w:rPr>
          <w:rFonts w:ascii="Book Antiqua" w:hAnsi="Book Antiqua" w:cs="Times New Roman"/>
          <w:b/>
          <w:bCs/>
          <w:sz w:val="24"/>
          <w:szCs w:val="24"/>
        </w:rPr>
        <w:t>ORCID number:</w:t>
      </w:r>
      <w:r w:rsidR="0081380B" w:rsidRPr="00D62D85">
        <w:rPr>
          <w:rFonts w:ascii="Book Antiqua" w:hAnsi="Book Antiqua" w:cs="Times New Roman"/>
          <w:b/>
          <w:bCs/>
          <w:sz w:val="24"/>
          <w:szCs w:val="24"/>
        </w:rPr>
        <w:t xml:space="preserve"> </w:t>
      </w:r>
      <w:r w:rsidR="0081380B" w:rsidRPr="00D62D85">
        <w:rPr>
          <w:rFonts w:ascii="Book Antiqua" w:hAnsi="Book Antiqua" w:cs="Times New Roman"/>
          <w:bCs/>
          <w:sz w:val="24"/>
          <w:szCs w:val="24"/>
          <w:lang w:val="pl-PL"/>
        </w:rPr>
        <w:t>Aldona Kasprzak</w:t>
      </w:r>
      <w:r w:rsidR="00A24F53" w:rsidRPr="00D62D85">
        <w:rPr>
          <w:rFonts w:ascii="Book Antiqua" w:hAnsi="Book Antiqua" w:cs="Times New Roman"/>
          <w:bCs/>
          <w:sz w:val="24"/>
          <w:szCs w:val="24"/>
          <w:lang w:val="pl-PL"/>
        </w:rPr>
        <w:t xml:space="preserve"> (0000-0002-1773-3038);</w:t>
      </w:r>
      <w:r w:rsidR="0081380B" w:rsidRPr="00D62D85">
        <w:rPr>
          <w:rFonts w:ascii="Book Antiqua" w:hAnsi="Book Antiqua" w:cs="Times New Roman"/>
          <w:bCs/>
          <w:sz w:val="24"/>
          <w:szCs w:val="24"/>
          <w:lang w:val="pl-PL"/>
        </w:rPr>
        <w:t xml:space="preserve"> Elżbieta Siodla</w:t>
      </w:r>
      <w:r w:rsidR="00A24F53" w:rsidRPr="00D62D85">
        <w:rPr>
          <w:rFonts w:ascii="Book Antiqua" w:hAnsi="Book Antiqua" w:cs="Times New Roman"/>
          <w:bCs/>
          <w:sz w:val="24"/>
          <w:szCs w:val="24"/>
          <w:lang w:val="pl-PL"/>
        </w:rPr>
        <w:t xml:space="preserve"> (0000-0003-2614-219X);</w:t>
      </w:r>
      <w:r w:rsidR="0081380B" w:rsidRPr="00D62D85">
        <w:rPr>
          <w:rFonts w:ascii="Book Antiqua" w:hAnsi="Book Antiqua" w:cs="Times New Roman"/>
          <w:bCs/>
          <w:sz w:val="24"/>
          <w:szCs w:val="24"/>
          <w:lang w:val="pl-PL"/>
        </w:rPr>
        <w:t xml:space="preserve"> Małgorzata Andrzejewska</w:t>
      </w:r>
      <w:r w:rsidR="00A24F53" w:rsidRPr="00D62D85">
        <w:rPr>
          <w:rFonts w:ascii="Book Antiqua" w:hAnsi="Book Antiqua" w:cs="Times New Roman"/>
          <w:bCs/>
          <w:sz w:val="24"/>
          <w:szCs w:val="24"/>
          <w:lang w:val="pl-PL"/>
        </w:rPr>
        <w:t xml:space="preserve"> (0000-0003-4980-1725);</w:t>
      </w:r>
      <w:r w:rsidR="0081380B" w:rsidRPr="00D62D85">
        <w:rPr>
          <w:rFonts w:ascii="Book Antiqua" w:hAnsi="Book Antiqua" w:cs="Times New Roman"/>
          <w:bCs/>
          <w:sz w:val="24"/>
          <w:szCs w:val="24"/>
          <w:lang w:val="pl-PL"/>
        </w:rPr>
        <w:t xml:space="preserve"> Jacek Szmeja</w:t>
      </w:r>
      <w:r w:rsidR="00A24F53" w:rsidRPr="00D62D85">
        <w:rPr>
          <w:rFonts w:ascii="Book Antiqua" w:hAnsi="Book Antiqua" w:cs="Times New Roman"/>
          <w:bCs/>
          <w:sz w:val="24"/>
          <w:szCs w:val="24"/>
          <w:lang w:val="pl-PL"/>
        </w:rPr>
        <w:t xml:space="preserve"> (0000-0003-0289-3511);</w:t>
      </w:r>
      <w:r w:rsidR="0081380B" w:rsidRPr="00D62D85">
        <w:rPr>
          <w:rFonts w:ascii="Book Antiqua" w:hAnsi="Book Antiqua" w:cs="Times New Roman"/>
          <w:bCs/>
          <w:sz w:val="24"/>
          <w:szCs w:val="24"/>
          <w:lang w:val="pl-PL"/>
        </w:rPr>
        <w:t xml:space="preserve"> Agnieszka Seraszek-Jaros</w:t>
      </w:r>
      <w:r w:rsidR="00A24F53" w:rsidRPr="00D62D85">
        <w:rPr>
          <w:rFonts w:ascii="Book Antiqua" w:hAnsi="Book Antiqua" w:cs="Times New Roman"/>
          <w:bCs/>
          <w:sz w:val="24"/>
          <w:szCs w:val="24"/>
          <w:lang w:val="pl-PL"/>
        </w:rPr>
        <w:t xml:space="preserve"> (0000-0003-4787-1033);</w:t>
      </w:r>
      <w:r w:rsidR="0081380B" w:rsidRPr="00D62D85">
        <w:rPr>
          <w:rFonts w:ascii="Book Antiqua" w:hAnsi="Book Antiqua" w:cs="Times New Roman"/>
          <w:bCs/>
          <w:sz w:val="24"/>
          <w:szCs w:val="24"/>
          <w:lang w:val="pl-PL"/>
        </w:rPr>
        <w:t xml:space="preserve"> Szczepan Cofta</w:t>
      </w:r>
      <w:r w:rsidR="00A24F53" w:rsidRPr="00D62D85">
        <w:rPr>
          <w:rFonts w:ascii="Book Antiqua" w:hAnsi="Book Antiqua" w:cs="Times New Roman"/>
          <w:bCs/>
          <w:sz w:val="24"/>
          <w:szCs w:val="24"/>
          <w:lang w:val="pl-PL"/>
        </w:rPr>
        <w:t xml:space="preserve"> (0000-0002-8849-5487);</w:t>
      </w:r>
      <w:r w:rsidR="0081380B" w:rsidRPr="00D62D85">
        <w:rPr>
          <w:rFonts w:ascii="Book Antiqua" w:hAnsi="Book Antiqua" w:cs="Times New Roman"/>
          <w:bCs/>
          <w:sz w:val="24"/>
          <w:szCs w:val="24"/>
          <w:lang w:val="pl-PL"/>
        </w:rPr>
        <w:t xml:space="preserve"> Witold Szaflarski</w:t>
      </w:r>
      <w:r w:rsidR="00A24F53" w:rsidRPr="00D62D85">
        <w:rPr>
          <w:rFonts w:ascii="Book Antiqua" w:hAnsi="Book Antiqua" w:cs="Times New Roman"/>
          <w:bCs/>
          <w:sz w:val="24"/>
          <w:szCs w:val="24"/>
          <w:lang w:val="pl-PL"/>
        </w:rPr>
        <w:t xml:space="preserve"> (0000-0001-5059-268X).</w:t>
      </w:r>
    </w:p>
    <w:p w14:paraId="5329E01C" w14:textId="77777777" w:rsidR="00071BAD" w:rsidRPr="00D62D85" w:rsidRDefault="00071BAD" w:rsidP="00D62D85">
      <w:pPr>
        <w:adjustRightInd w:val="0"/>
        <w:snapToGrid w:val="0"/>
        <w:spacing w:line="360" w:lineRule="auto"/>
        <w:ind w:firstLineChars="0" w:firstLine="0"/>
        <w:jc w:val="both"/>
        <w:rPr>
          <w:rFonts w:ascii="Book Antiqua" w:hAnsi="Book Antiqua" w:cs="Times New Roman"/>
          <w:b/>
          <w:bCs/>
          <w:sz w:val="24"/>
          <w:szCs w:val="24"/>
        </w:rPr>
      </w:pPr>
    </w:p>
    <w:p w14:paraId="7637F006" w14:textId="187CA07A" w:rsidR="007057E4" w:rsidRPr="00D62D85" w:rsidRDefault="007057E4" w:rsidP="00D62D85">
      <w:pPr>
        <w:adjustRightInd w:val="0"/>
        <w:snapToGrid w:val="0"/>
        <w:spacing w:line="360" w:lineRule="auto"/>
        <w:ind w:firstLineChars="0" w:firstLine="0"/>
        <w:jc w:val="both"/>
        <w:rPr>
          <w:rFonts w:ascii="Book Antiqua" w:hAnsi="Book Antiqua" w:cs="Times New Roman"/>
          <w:color w:val="000000"/>
          <w:sz w:val="24"/>
          <w:szCs w:val="24"/>
          <w:lang w:val="en-US"/>
        </w:rPr>
      </w:pPr>
      <w:r w:rsidRPr="00D62D85">
        <w:rPr>
          <w:rFonts w:ascii="Book Antiqua" w:hAnsi="Book Antiqua" w:cs="Times New Roman"/>
          <w:b/>
          <w:bCs/>
          <w:sz w:val="24"/>
          <w:szCs w:val="24"/>
          <w:lang w:val="en-US"/>
        </w:rPr>
        <w:t xml:space="preserve">Author contributions: </w:t>
      </w:r>
      <w:r w:rsidRPr="00D62D85">
        <w:rPr>
          <w:rFonts w:ascii="Book Antiqua" w:hAnsi="Book Antiqua" w:cs="Times New Roman"/>
          <w:sz w:val="24"/>
          <w:szCs w:val="24"/>
          <w:lang w:val="en-US"/>
        </w:rPr>
        <w:t>Kasprzak</w:t>
      </w:r>
      <w:r w:rsidRPr="00D62D85">
        <w:rPr>
          <w:rFonts w:ascii="Book Antiqua" w:hAnsi="Book Antiqua" w:cs="Times New Roman"/>
          <w:b/>
          <w:bCs/>
          <w:sz w:val="24"/>
          <w:szCs w:val="24"/>
          <w:lang w:val="en-US"/>
        </w:rPr>
        <w:t xml:space="preserve"> </w:t>
      </w:r>
      <w:r w:rsidRPr="00D62D85">
        <w:rPr>
          <w:rFonts w:ascii="Book Antiqua" w:hAnsi="Book Antiqua" w:cs="Times New Roman"/>
          <w:color w:val="000000"/>
          <w:sz w:val="24"/>
          <w:szCs w:val="24"/>
          <w:lang w:val="en-US"/>
        </w:rPr>
        <w:t xml:space="preserve">A </w:t>
      </w:r>
      <w:r w:rsidR="00071BAD" w:rsidRPr="00D62D85">
        <w:rPr>
          <w:rFonts w:ascii="Book Antiqua" w:hAnsi="Book Antiqua" w:cs="Times New Roman"/>
          <w:color w:val="000000"/>
          <w:sz w:val="24"/>
          <w:szCs w:val="24"/>
          <w:lang w:val="en-US"/>
        </w:rPr>
        <w:t xml:space="preserve">contributed </w:t>
      </w:r>
      <w:r w:rsidRPr="00D62D85">
        <w:rPr>
          <w:rFonts w:ascii="Book Antiqua" w:hAnsi="Book Antiqua" w:cs="Times New Roman"/>
          <w:color w:val="000000"/>
          <w:sz w:val="24"/>
          <w:szCs w:val="24"/>
          <w:lang w:val="en-US"/>
        </w:rPr>
        <w:t>to conception, design of the study, analyzed data and coordinated the research; Siodla E</w:t>
      </w:r>
      <w:r w:rsidR="00071BAD" w:rsidRPr="00D62D85">
        <w:rPr>
          <w:rFonts w:ascii="Book Antiqua" w:hAnsi="Book Antiqua" w:cs="Times New Roman"/>
          <w:color w:val="000000"/>
          <w:sz w:val="24"/>
          <w:szCs w:val="24"/>
          <w:lang w:val="en-US"/>
        </w:rPr>
        <w:t xml:space="preserve"> and </w:t>
      </w:r>
      <w:r w:rsidRPr="00D62D85">
        <w:rPr>
          <w:rFonts w:ascii="Book Antiqua" w:hAnsi="Book Antiqua" w:cs="Times New Roman"/>
          <w:color w:val="000000"/>
          <w:sz w:val="24"/>
          <w:szCs w:val="24"/>
          <w:lang w:val="en-US"/>
        </w:rPr>
        <w:t>Andrzejewska M performed the majority of immunohistochemical and molecular investigations; Szaflarski W, Cofta S and Szmeja J interpreted the data, analyzed the results, and performed a critical revision of the manuscript; Szmeja J provided samples of cancer patients and clinical data; Seraszek-Jaros A performed biostatistics and analyzed the data; Kasprzak A</w:t>
      </w:r>
      <w:r w:rsidR="00071BAD" w:rsidRPr="00D62D85">
        <w:rPr>
          <w:rFonts w:ascii="Book Antiqua" w:hAnsi="Book Antiqua" w:cs="Times New Roman"/>
          <w:color w:val="000000"/>
          <w:sz w:val="24"/>
          <w:szCs w:val="24"/>
          <w:lang w:val="en-US"/>
        </w:rPr>
        <w:t xml:space="preserve"> and </w:t>
      </w:r>
      <w:r w:rsidRPr="00D62D85">
        <w:rPr>
          <w:rFonts w:ascii="Book Antiqua" w:hAnsi="Book Antiqua" w:cs="Times New Roman"/>
          <w:color w:val="000000"/>
          <w:sz w:val="24"/>
          <w:szCs w:val="24"/>
          <w:lang w:val="en-US"/>
        </w:rPr>
        <w:t>Szaflarski W drafted the manuscript.</w:t>
      </w:r>
    </w:p>
    <w:p w14:paraId="5B002059"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b/>
          <w:bCs/>
          <w:color w:val="000000"/>
          <w:sz w:val="24"/>
          <w:szCs w:val="24"/>
          <w:lang w:val="en-US"/>
        </w:rPr>
      </w:pPr>
    </w:p>
    <w:p w14:paraId="2EE5CE13" w14:textId="297AC2BE" w:rsidR="00580045" w:rsidRPr="00D62D85" w:rsidRDefault="007057E4" w:rsidP="00D62D85">
      <w:pPr>
        <w:adjustRightInd w:val="0"/>
        <w:snapToGrid w:val="0"/>
        <w:spacing w:line="360" w:lineRule="auto"/>
        <w:ind w:firstLineChars="0" w:firstLine="0"/>
        <w:jc w:val="both"/>
        <w:rPr>
          <w:rFonts w:ascii="Book Antiqua" w:hAnsi="Book Antiqua" w:cs="Times New Roman"/>
          <w:sz w:val="24"/>
          <w:szCs w:val="24"/>
        </w:rPr>
      </w:pPr>
      <w:r w:rsidRPr="00D62D85">
        <w:rPr>
          <w:rFonts w:ascii="Book Antiqua" w:hAnsi="Book Antiqua" w:cs="Times New Roman"/>
          <w:b/>
          <w:bCs/>
          <w:color w:val="000000"/>
          <w:sz w:val="24"/>
          <w:szCs w:val="24"/>
          <w:lang w:val="en-US"/>
        </w:rPr>
        <w:t>Supported by</w:t>
      </w:r>
      <w:r w:rsidRPr="00D62D85">
        <w:rPr>
          <w:rFonts w:ascii="Book Antiqua" w:hAnsi="Book Antiqua" w:cs="Times New Roman"/>
          <w:color w:val="000000"/>
          <w:sz w:val="24"/>
          <w:szCs w:val="24"/>
          <w:lang w:val="en-US"/>
        </w:rPr>
        <w:t xml:space="preserve"> </w:t>
      </w:r>
      <w:r w:rsidR="00580045" w:rsidRPr="00D62D85">
        <w:rPr>
          <w:rFonts w:ascii="Book Antiqua" w:hAnsi="Book Antiqua" w:cs="Times New Roman"/>
          <w:sz w:val="24"/>
          <w:szCs w:val="24"/>
        </w:rPr>
        <w:t>National Science Center in Poland</w:t>
      </w:r>
      <w:r w:rsidR="00071BAD" w:rsidRPr="00D62D85">
        <w:rPr>
          <w:rFonts w:ascii="Book Antiqua" w:hAnsi="Book Antiqua" w:cs="Times New Roman"/>
          <w:sz w:val="24"/>
          <w:szCs w:val="24"/>
        </w:rPr>
        <w:t>,</w:t>
      </w:r>
      <w:r w:rsidR="00580045" w:rsidRPr="00D62D85">
        <w:rPr>
          <w:rFonts w:ascii="Book Antiqua" w:hAnsi="Book Antiqua" w:cs="Times New Roman"/>
          <w:sz w:val="24"/>
          <w:szCs w:val="24"/>
        </w:rPr>
        <w:t xml:space="preserve"> </w:t>
      </w:r>
      <w:r w:rsidR="00071BAD" w:rsidRPr="00D62D85">
        <w:rPr>
          <w:rFonts w:ascii="Book Antiqua" w:hAnsi="Book Antiqua" w:cs="Times New Roman"/>
          <w:sz w:val="24"/>
          <w:szCs w:val="24"/>
        </w:rPr>
        <w:t>N</w:t>
      </w:r>
      <w:r w:rsidR="00580045" w:rsidRPr="00D62D85">
        <w:rPr>
          <w:rFonts w:ascii="Book Antiqua" w:hAnsi="Book Antiqua" w:cs="Times New Roman"/>
          <w:sz w:val="24"/>
          <w:szCs w:val="24"/>
        </w:rPr>
        <w:t>o. 2015/17/B/NZ7/03043.</w:t>
      </w:r>
    </w:p>
    <w:p w14:paraId="411F7D47"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b/>
          <w:bCs/>
          <w:color w:val="000000"/>
          <w:sz w:val="24"/>
          <w:szCs w:val="24"/>
          <w:lang w:val="en-US"/>
        </w:rPr>
      </w:pPr>
    </w:p>
    <w:p w14:paraId="7015E67B" w14:textId="6F900F55" w:rsidR="007057E4" w:rsidRPr="00D62D85" w:rsidRDefault="0069767B" w:rsidP="00D62D85">
      <w:pPr>
        <w:pStyle w:val="1"/>
        <w:adjustRightInd w:val="0"/>
        <w:snapToGrid w:val="0"/>
        <w:spacing w:line="360" w:lineRule="auto"/>
        <w:jc w:val="both"/>
        <w:rPr>
          <w:rFonts w:ascii="Book Antiqua" w:hAnsi="Book Antiqua" w:cs="Times New Roman"/>
          <w:b/>
          <w:bCs/>
          <w:iCs/>
          <w:color w:val="FF0000"/>
          <w:sz w:val="24"/>
          <w:szCs w:val="24"/>
          <w:highlight w:val="white"/>
          <w:lang w:val="en-US" w:eastAsia="zh-CN"/>
        </w:rPr>
      </w:pPr>
      <w:bookmarkStart w:id="9" w:name="OLE_LINK815"/>
      <w:bookmarkStart w:id="10" w:name="OLE_LINK863"/>
      <w:bookmarkStart w:id="11" w:name="OLE_LINK960"/>
      <w:bookmarkStart w:id="12" w:name="OLE_LINK657"/>
      <w:bookmarkStart w:id="13" w:name="OLE_LINK1104"/>
      <w:r w:rsidRPr="00D62D85">
        <w:rPr>
          <w:rFonts w:ascii="Book Antiqua" w:hAnsi="Book Antiqua" w:cs="Times New Roman"/>
          <w:b/>
          <w:bCs/>
          <w:iCs/>
          <w:color w:val="000000" w:themeColor="text1"/>
          <w:sz w:val="24"/>
          <w:szCs w:val="24"/>
          <w:highlight w:val="white"/>
          <w:lang w:val="en-US" w:eastAsia="zh-CN"/>
        </w:rPr>
        <w:t>Institutional review board statement:</w:t>
      </w:r>
      <w:bookmarkEnd w:id="9"/>
      <w:bookmarkEnd w:id="10"/>
      <w:bookmarkEnd w:id="11"/>
      <w:r w:rsidRPr="00D62D85">
        <w:rPr>
          <w:rFonts w:ascii="Book Antiqua" w:hAnsi="Book Antiqua" w:cs="Times New Roman"/>
          <w:b/>
          <w:bCs/>
          <w:iCs/>
          <w:color w:val="FF0000"/>
          <w:sz w:val="24"/>
          <w:szCs w:val="24"/>
          <w:highlight w:val="white"/>
          <w:lang w:val="en-US" w:eastAsia="zh-CN"/>
        </w:rPr>
        <w:t xml:space="preserve"> </w:t>
      </w:r>
      <w:bookmarkEnd w:id="12"/>
      <w:bookmarkEnd w:id="13"/>
      <w:r w:rsidR="000B0393" w:rsidRPr="00D62D85">
        <w:rPr>
          <w:rFonts w:ascii="Book Antiqua" w:hAnsi="Book Antiqua"/>
          <w:sz w:val="24"/>
          <w:szCs w:val="24"/>
        </w:rPr>
        <w:t>This study was approved by</w:t>
      </w:r>
      <w:r w:rsidR="000B0393" w:rsidRPr="00D62D85">
        <w:rPr>
          <w:rFonts w:ascii="Book Antiqua" w:hAnsi="Book Antiqua" w:cs="Times New Roman"/>
          <w:sz w:val="24"/>
          <w:szCs w:val="24"/>
          <w:lang w:val="en-US"/>
        </w:rPr>
        <w:t xml:space="preserve"> </w:t>
      </w:r>
      <w:r w:rsidR="007057E4" w:rsidRPr="00D62D85">
        <w:rPr>
          <w:rFonts w:ascii="Book Antiqua" w:hAnsi="Book Antiqua" w:cs="Times New Roman"/>
          <w:sz w:val="24"/>
          <w:szCs w:val="24"/>
          <w:lang w:val="en-US"/>
        </w:rPr>
        <w:t xml:space="preserve">Committee on </w:t>
      </w:r>
      <w:r w:rsidR="007057E4" w:rsidRPr="00D62D85">
        <w:rPr>
          <w:rFonts w:ascii="Book Antiqua" w:hAnsi="Book Antiqua" w:cs="Times New Roman"/>
          <w:color w:val="000000" w:themeColor="text1"/>
          <w:sz w:val="24"/>
          <w:szCs w:val="24"/>
          <w:lang w:val="en-US"/>
        </w:rPr>
        <w:t>Bioet</w:t>
      </w:r>
      <w:r w:rsidR="00476EC8" w:rsidRPr="00D62D85">
        <w:rPr>
          <w:rFonts w:ascii="Book Antiqua" w:hAnsi="Book Antiqua" w:cs="Times New Roman"/>
          <w:color w:val="000000" w:themeColor="text1"/>
          <w:sz w:val="24"/>
          <w:szCs w:val="24"/>
          <w:lang w:val="en-US"/>
        </w:rPr>
        <w:t>h</w:t>
      </w:r>
      <w:r w:rsidR="007057E4" w:rsidRPr="00D62D85">
        <w:rPr>
          <w:rFonts w:ascii="Book Antiqua" w:hAnsi="Book Antiqua" w:cs="Times New Roman"/>
          <w:color w:val="000000" w:themeColor="text1"/>
          <w:sz w:val="24"/>
          <w:szCs w:val="24"/>
          <w:lang w:val="en-US"/>
        </w:rPr>
        <w:t>ics</w:t>
      </w:r>
      <w:r w:rsidR="000B0393" w:rsidRPr="00D62D85">
        <w:rPr>
          <w:rFonts w:ascii="Book Antiqua" w:hAnsi="Book Antiqua" w:cs="Times New Roman"/>
          <w:sz w:val="24"/>
          <w:szCs w:val="24"/>
          <w:lang w:val="en-US"/>
        </w:rPr>
        <w:t xml:space="preserve"> of </w:t>
      </w:r>
      <w:r w:rsidR="007057E4" w:rsidRPr="00D62D85">
        <w:rPr>
          <w:rFonts w:ascii="Book Antiqua" w:hAnsi="Book Antiqua" w:cs="Times New Roman"/>
          <w:sz w:val="24"/>
          <w:szCs w:val="24"/>
          <w:lang w:val="en-US"/>
        </w:rPr>
        <w:t>Poznan University</w:t>
      </w:r>
      <w:r w:rsidR="000B0393" w:rsidRPr="00D62D85">
        <w:rPr>
          <w:rFonts w:ascii="Book Antiqua" w:hAnsi="Book Antiqua" w:cs="Times New Roman"/>
          <w:sz w:val="24"/>
          <w:szCs w:val="24"/>
          <w:lang w:val="en-US"/>
        </w:rPr>
        <w:t xml:space="preserve"> </w:t>
      </w:r>
      <w:r w:rsidR="007057E4" w:rsidRPr="00D62D85">
        <w:rPr>
          <w:rFonts w:ascii="Book Antiqua" w:hAnsi="Book Antiqua" w:cs="Times New Roman"/>
          <w:sz w:val="24"/>
          <w:szCs w:val="24"/>
          <w:lang w:val="en-US"/>
        </w:rPr>
        <w:t>of Medical Sciences</w:t>
      </w:r>
      <w:r w:rsidR="000B0393" w:rsidRPr="00D62D85">
        <w:rPr>
          <w:rFonts w:ascii="Book Antiqua" w:hAnsi="Book Antiqua" w:cs="Times New Roman"/>
          <w:sz w:val="24"/>
          <w:szCs w:val="24"/>
          <w:lang w:val="en-US"/>
        </w:rPr>
        <w:t>,</w:t>
      </w:r>
      <w:r w:rsidR="007057E4" w:rsidRPr="00D62D85">
        <w:rPr>
          <w:rFonts w:ascii="Book Antiqua" w:hAnsi="Book Antiqua" w:cs="Times New Roman"/>
          <w:sz w:val="24"/>
          <w:szCs w:val="24"/>
          <w:lang w:val="en-US"/>
        </w:rPr>
        <w:t xml:space="preserve"> </w:t>
      </w:r>
      <w:r w:rsidR="000B0393" w:rsidRPr="00D62D85">
        <w:rPr>
          <w:rFonts w:ascii="Book Antiqua" w:hAnsi="Book Antiqua" w:cs="Times New Roman"/>
          <w:sz w:val="24"/>
          <w:szCs w:val="24"/>
          <w:lang w:val="en-US"/>
        </w:rPr>
        <w:t>N</w:t>
      </w:r>
      <w:r w:rsidR="007057E4" w:rsidRPr="00D62D85">
        <w:rPr>
          <w:rFonts w:ascii="Book Antiqua" w:hAnsi="Book Antiqua" w:cs="Times New Roman"/>
          <w:sz w:val="24"/>
          <w:szCs w:val="24"/>
          <w:lang w:val="en-US"/>
        </w:rPr>
        <w:t>o. 924/14.</w:t>
      </w:r>
    </w:p>
    <w:p w14:paraId="4BB6AC5C" w14:textId="77777777" w:rsidR="007057E4" w:rsidRPr="00D62D85" w:rsidRDefault="007057E4" w:rsidP="00D62D85">
      <w:pPr>
        <w:adjustRightInd w:val="0"/>
        <w:snapToGrid w:val="0"/>
        <w:spacing w:line="360" w:lineRule="auto"/>
        <w:ind w:firstLineChars="0" w:firstLine="0"/>
        <w:jc w:val="both"/>
        <w:rPr>
          <w:rFonts w:ascii="Book Antiqua" w:hAnsi="Book Antiqua" w:cs="Times New Roman"/>
          <w:color w:val="000000"/>
          <w:sz w:val="24"/>
          <w:szCs w:val="24"/>
          <w:lang w:val="en-US"/>
        </w:rPr>
      </w:pPr>
    </w:p>
    <w:p w14:paraId="0A50EB2C" w14:textId="4A299D53" w:rsidR="007057E4" w:rsidRPr="00D62D85" w:rsidRDefault="007057E4" w:rsidP="00D62D85">
      <w:pPr>
        <w:adjustRightInd w:val="0"/>
        <w:snapToGrid w:val="0"/>
        <w:spacing w:line="360" w:lineRule="auto"/>
        <w:ind w:firstLineChars="0" w:firstLine="0"/>
        <w:jc w:val="both"/>
        <w:rPr>
          <w:rFonts w:ascii="Book Antiqua" w:hAnsi="Book Antiqua" w:cs="Times New Roman"/>
          <w:color w:val="000000"/>
          <w:sz w:val="24"/>
          <w:szCs w:val="24"/>
          <w:lang w:val="en-US"/>
        </w:rPr>
      </w:pPr>
      <w:r w:rsidRPr="00D62D85">
        <w:rPr>
          <w:rFonts w:ascii="Book Antiqua" w:hAnsi="Book Antiqua" w:cs="Times New Roman"/>
          <w:b/>
          <w:bCs/>
          <w:color w:val="000000"/>
          <w:sz w:val="24"/>
          <w:szCs w:val="24"/>
          <w:lang w:val="en-US"/>
        </w:rPr>
        <w:t>Conflict</w:t>
      </w:r>
      <w:r w:rsidR="0069767B" w:rsidRPr="00D62D85">
        <w:rPr>
          <w:rFonts w:ascii="Book Antiqua" w:hAnsi="Book Antiqua" w:cs="Times New Roman"/>
          <w:b/>
          <w:bCs/>
          <w:color w:val="000000"/>
          <w:sz w:val="24"/>
          <w:szCs w:val="24"/>
          <w:lang w:val="en-US"/>
        </w:rPr>
        <w:t>-</w:t>
      </w:r>
      <w:r w:rsidRPr="00D62D85">
        <w:rPr>
          <w:rFonts w:ascii="Book Antiqua" w:hAnsi="Book Antiqua" w:cs="Times New Roman"/>
          <w:b/>
          <w:bCs/>
          <w:color w:val="000000"/>
          <w:sz w:val="24"/>
          <w:szCs w:val="24"/>
          <w:lang w:val="en-US"/>
        </w:rPr>
        <w:t>of</w:t>
      </w:r>
      <w:r w:rsidR="0069767B" w:rsidRPr="00D62D85">
        <w:rPr>
          <w:rFonts w:ascii="Book Antiqua" w:hAnsi="Book Antiqua" w:cs="Times New Roman"/>
          <w:b/>
          <w:bCs/>
          <w:color w:val="000000"/>
          <w:sz w:val="24"/>
          <w:szCs w:val="24"/>
          <w:lang w:val="en-US"/>
        </w:rPr>
        <w:t>-</w:t>
      </w:r>
      <w:r w:rsidRPr="00D62D85">
        <w:rPr>
          <w:rFonts w:ascii="Book Antiqua" w:hAnsi="Book Antiqua" w:cs="Times New Roman"/>
          <w:b/>
          <w:bCs/>
          <w:color w:val="000000"/>
          <w:sz w:val="24"/>
          <w:szCs w:val="24"/>
          <w:lang w:val="en-US"/>
        </w:rPr>
        <w:t>interest</w:t>
      </w:r>
      <w:r w:rsidR="0069767B" w:rsidRPr="00D62D85">
        <w:rPr>
          <w:rFonts w:ascii="Book Antiqua" w:hAnsi="Book Antiqua" w:cs="Times New Roman"/>
          <w:color w:val="000000"/>
          <w:sz w:val="24"/>
          <w:szCs w:val="24"/>
          <w:lang w:val="en-US"/>
        </w:rPr>
        <w:t xml:space="preserve"> </w:t>
      </w:r>
      <w:r w:rsidR="0069767B" w:rsidRPr="00D62D85">
        <w:rPr>
          <w:rFonts w:ascii="Book Antiqua" w:hAnsi="Book Antiqua" w:cs="Times New Roman"/>
          <w:b/>
          <w:color w:val="000000"/>
          <w:sz w:val="24"/>
          <w:szCs w:val="24"/>
          <w:lang w:val="en-US"/>
        </w:rPr>
        <w:t>statement:</w:t>
      </w:r>
      <w:r w:rsidR="0069767B" w:rsidRPr="00D62D85">
        <w:rPr>
          <w:rFonts w:ascii="Book Antiqua" w:hAnsi="Book Antiqua" w:cs="Times New Roman"/>
          <w:color w:val="000000"/>
          <w:sz w:val="24"/>
          <w:szCs w:val="24"/>
          <w:lang w:val="en-US"/>
        </w:rPr>
        <w:t xml:space="preserve"> </w:t>
      </w:r>
      <w:r w:rsidR="000B0393" w:rsidRPr="00D62D85">
        <w:rPr>
          <w:rFonts w:ascii="Book Antiqua" w:hAnsi="Book Antiqua" w:cs="Times New Roman"/>
          <w:color w:val="000000"/>
          <w:sz w:val="24"/>
          <w:szCs w:val="24"/>
          <w:lang w:val="en-US"/>
        </w:rPr>
        <w:t xml:space="preserve">The authors </w:t>
      </w:r>
      <w:r w:rsidRPr="00D62D85">
        <w:rPr>
          <w:rFonts w:ascii="Book Antiqua" w:hAnsi="Book Antiqua" w:cs="Times New Roman"/>
          <w:color w:val="000000"/>
          <w:sz w:val="24"/>
          <w:szCs w:val="24"/>
          <w:lang w:val="en-US"/>
        </w:rPr>
        <w:t>have no conflicts of interest, including no conflicts concerning employment, consultancies, stock ownership, honoraria, paid expert testimonies, patent applications/registrations, grants or other funding</w:t>
      </w:r>
      <w:r w:rsidR="00FF3413" w:rsidRPr="00D62D85">
        <w:rPr>
          <w:rFonts w:ascii="Book Antiqua" w:hAnsi="Book Antiqua" w:cs="Times New Roman"/>
          <w:color w:val="000000"/>
          <w:sz w:val="24"/>
          <w:szCs w:val="24"/>
          <w:lang w:val="en-US"/>
        </w:rPr>
        <w:t>.</w:t>
      </w:r>
    </w:p>
    <w:p w14:paraId="7ABB9354" w14:textId="77777777" w:rsidR="000B0393" w:rsidRPr="00D62D85" w:rsidRDefault="000B0393" w:rsidP="00D62D85">
      <w:pPr>
        <w:adjustRightInd w:val="0"/>
        <w:snapToGrid w:val="0"/>
        <w:spacing w:line="360" w:lineRule="auto"/>
        <w:ind w:firstLineChars="0" w:firstLine="0"/>
        <w:jc w:val="both"/>
        <w:rPr>
          <w:rFonts w:ascii="Book Antiqua" w:hAnsi="Book Antiqua" w:cs="Times New Roman"/>
          <w:color w:val="000000"/>
          <w:sz w:val="24"/>
          <w:szCs w:val="24"/>
          <w:lang w:val="en-US"/>
        </w:rPr>
      </w:pPr>
    </w:p>
    <w:p w14:paraId="0B36FD4F" w14:textId="77777777" w:rsidR="000B0393" w:rsidRPr="00D62D85" w:rsidRDefault="000B0393" w:rsidP="00D62D85">
      <w:pPr>
        <w:adjustRightInd w:val="0"/>
        <w:snapToGrid w:val="0"/>
        <w:spacing w:line="360" w:lineRule="auto"/>
        <w:ind w:firstLineChars="0" w:firstLine="0"/>
        <w:jc w:val="both"/>
        <w:rPr>
          <w:rFonts w:ascii="Book Antiqua" w:hAnsi="Book Antiqua"/>
          <w:sz w:val="24"/>
          <w:szCs w:val="24"/>
        </w:rPr>
      </w:pPr>
      <w:r w:rsidRPr="00D62D85">
        <w:rPr>
          <w:rFonts w:ascii="Book Antiqua" w:hAnsi="Book Antiqua"/>
          <w:b/>
          <w:color w:val="000000"/>
          <w:sz w:val="24"/>
          <w:szCs w:val="24"/>
        </w:rPr>
        <w:t xml:space="preserve">Open-Access: </w:t>
      </w:r>
      <w:r w:rsidRPr="00D62D85">
        <w:rPr>
          <w:rFonts w:ascii="Book Antiqua" w:hAnsi="Book Antiqua"/>
          <w:color w:val="000000"/>
          <w:sz w:val="24"/>
          <w:szCs w:val="24"/>
        </w:rPr>
        <w:t xml:space="preserve">This is an </w:t>
      </w:r>
      <w:r w:rsidRPr="00D62D85">
        <w:rPr>
          <w:rFonts w:ascii="Book Antiqua" w:hAnsi="Book Antiqua" w:cs="SimSun"/>
          <w:sz w:val="24"/>
          <w:szCs w:val="24"/>
        </w:rPr>
        <w:t xml:space="preserve">open-access article that was </w:t>
      </w:r>
      <w:r w:rsidRPr="00D62D85">
        <w:rPr>
          <w:rFonts w:ascii="Book Antiqua" w:hAnsi="Book Antiqua"/>
          <w:sz w:val="24"/>
          <w:szCs w:val="24"/>
        </w:rPr>
        <w:t xml:space="preserve">selected by an in-house editor and fully peer-reviewed by external reviewers. It is </w:t>
      </w:r>
      <w:r w:rsidRPr="00D62D85">
        <w:rPr>
          <w:rFonts w:ascii="Book Antiqua" w:hAnsi="Book Antiqua" w:cs="SimSun"/>
          <w:sz w:val="24"/>
          <w:szCs w:val="24"/>
        </w:rPr>
        <w:t xml:space="preserve">distributed in accordance with </w:t>
      </w:r>
      <w:r w:rsidRPr="00D62D85">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347522">
          <w:rPr>
            <w:rStyle w:val="Hyperlink"/>
            <w:rFonts w:ascii="Book Antiqua" w:hAnsi="Book Antiqua"/>
            <w:sz w:val="24"/>
            <w:szCs w:val="24"/>
          </w:rPr>
          <w:t>http://creativecommons.org/licenses/by-nc/4.0/</w:t>
        </w:r>
      </w:hyperlink>
    </w:p>
    <w:p w14:paraId="57A084DB" w14:textId="77777777" w:rsidR="000B0393" w:rsidRPr="00D62D85" w:rsidRDefault="000B0393" w:rsidP="0065165A">
      <w:pPr>
        <w:adjustRightInd w:val="0"/>
        <w:snapToGrid w:val="0"/>
        <w:spacing w:line="360" w:lineRule="auto"/>
        <w:ind w:firstLineChars="0" w:firstLine="0"/>
        <w:jc w:val="both"/>
        <w:rPr>
          <w:rFonts w:ascii="Book Antiqua" w:hAnsi="Book Antiqua"/>
          <w:sz w:val="24"/>
          <w:szCs w:val="24"/>
        </w:rPr>
      </w:pPr>
    </w:p>
    <w:p w14:paraId="5D0E5DF2" w14:textId="2E6B9C72" w:rsidR="000B0393" w:rsidRPr="00347522" w:rsidRDefault="000B0393" w:rsidP="0065165A">
      <w:pPr>
        <w:pStyle w:val="1"/>
        <w:adjustRightInd w:val="0"/>
        <w:snapToGrid w:val="0"/>
        <w:spacing w:line="360" w:lineRule="auto"/>
        <w:jc w:val="both"/>
        <w:rPr>
          <w:rFonts w:ascii="Book Antiqua" w:hAnsi="Book Antiqua" w:cs="Times New Roman"/>
          <w:b/>
          <w:bCs/>
          <w:color w:val="auto"/>
          <w:sz w:val="24"/>
          <w:szCs w:val="24"/>
          <w:highlight w:val="white"/>
          <w:lang w:val="en-US"/>
        </w:rPr>
      </w:pPr>
      <w:r w:rsidRPr="0065165A">
        <w:rPr>
          <w:rFonts w:ascii="Book Antiqua" w:hAnsi="Book Antiqua" w:cs="Times New Roman"/>
          <w:b/>
          <w:bCs/>
          <w:color w:val="auto"/>
          <w:sz w:val="24"/>
          <w:szCs w:val="24"/>
          <w:highlight w:val="white"/>
          <w:lang w:val="en-US"/>
        </w:rPr>
        <w:t>Manuscript source:</w:t>
      </w:r>
      <w:r w:rsidRPr="0065165A">
        <w:rPr>
          <w:rFonts w:ascii="Book Antiqua" w:hAnsi="Book Antiqua" w:cs="Times New Roman"/>
          <w:b/>
          <w:bCs/>
          <w:color w:val="auto"/>
          <w:sz w:val="24"/>
          <w:szCs w:val="24"/>
          <w:highlight w:val="white"/>
          <w:lang w:val="en-US" w:eastAsia="zh-CN"/>
        </w:rPr>
        <w:t xml:space="preserve"> </w:t>
      </w:r>
      <w:r w:rsidRPr="0065165A">
        <w:rPr>
          <w:rFonts w:ascii="Book Antiqua" w:hAnsi="Book Antiqua" w:cs="Times New Roman"/>
          <w:bCs/>
          <w:color w:val="auto"/>
          <w:sz w:val="24"/>
          <w:szCs w:val="24"/>
          <w:highlight w:val="white"/>
          <w:lang w:val="en-US"/>
        </w:rPr>
        <w:t xml:space="preserve">Unsolicited manuscript </w:t>
      </w:r>
    </w:p>
    <w:p w14:paraId="0201B4B7"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bCs/>
          <w:sz w:val="24"/>
          <w:szCs w:val="24"/>
          <w:lang w:val="en-US"/>
        </w:rPr>
      </w:pPr>
    </w:p>
    <w:p w14:paraId="167E88E8" w14:textId="01553249"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eastAsia="pl-PL"/>
        </w:rPr>
      </w:pPr>
      <w:r w:rsidRPr="00347522">
        <w:rPr>
          <w:rFonts w:ascii="Book Antiqua" w:hAnsi="Book Antiqua" w:cs="Times New Roman"/>
          <w:b/>
          <w:bCs/>
          <w:sz w:val="24"/>
          <w:szCs w:val="24"/>
          <w:lang w:eastAsia="pl-PL"/>
        </w:rPr>
        <w:t>Correspondence to</w:t>
      </w:r>
      <w:r w:rsidRPr="00347522">
        <w:rPr>
          <w:rFonts w:ascii="Book Antiqua" w:hAnsi="Book Antiqua" w:cs="Times New Roman"/>
          <w:sz w:val="24"/>
          <w:szCs w:val="24"/>
          <w:lang w:eastAsia="pl-PL"/>
        </w:rPr>
        <w:t xml:space="preserve">: </w:t>
      </w:r>
      <w:r w:rsidRPr="00347522">
        <w:rPr>
          <w:rFonts w:ascii="Book Antiqua" w:hAnsi="Book Antiqua" w:cs="Times New Roman"/>
          <w:b/>
          <w:sz w:val="24"/>
          <w:szCs w:val="24"/>
          <w:lang w:eastAsia="pl-PL"/>
        </w:rPr>
        <w:t>Aldona Kasprzak, MD, PhD, Professor,</w:t>
      </w:r>
      <w:r w:rsidRPr="00347522">
        <w:rPr>
          <w:rFonts w:ascii="Book Antiqua" w:hAnsi="Book Antiqua" w:cs="Times New Roman"/>
          <w:sz w:val="24"/>
          <w:szCs w:val="24"/>
          <w:lang w:eastAsia="pl-PL"/>
        </w:rPr>
        <w:t xml:space="preserve"> Department of Histology and Embryology, Poznan University of Medical Sciences, </w:t>
      </w:r>
      <w:r w:rsidRPr="00347522">
        <w:rPr>
          <w:rFonts w:ascii="Book Antiqua" w:hAnsi="Book Antiqua" w:cs="Times New Roman"/>
          <w:sz w:val="24"/>
          <w:szCs w:val="24"/>
          <w:lang w:val="en-US" w:eastAsia="pl-PL"/>
        </w:rPr>
        <w:t>Swiecicki Street</w:t>
      </w:r>
      <w:r w:rsidR="000B0393" w:rsidRPr="00347522">
        <w:rPr>
          <w:rFonts w:ascii="Book Antiqua" w:hAnsi="Book Antiqua" w:cs="Times New Roman"/>
          <w:sz w:val="24"/>
          <w:szCs w:val="24"/>
          <w:lang w:val="en-US" w:eastAsia="pl-PL"/>
        </w:rPr>
        <w:t xml:space="preserve"> 6</w:t>
      </w:r>
      <w:r w:rsidRPr="00347522">
        <w:rPr>
          <w:rFonts w:ascii="Book Antiqua" w:hAnsi="Book Antiqua" w:cs="Times New Roman"/>
          <w:sz w:val="24"/>
          <w:szCs w:val="24"/>
          <w:lang w:val="en-US" w:eastAsia="pl-PL"/>
        </w:rPr>
        <w:t>, Poznan</w:t>
      </w:r>
      <w:r w:rsidR="000B0393" w:rsidRPr="00347522">
        <w:rPr>
          <w:rFonts w:ascii="Book Antiqua" w:hAnsi="Book Antiqua" w:cs="Times New Roman"/>
          <w:sz w:val="24"/>
          <w:szCs w:val="24"/>
          <w:lang w:val="en-US" w:eastAsia="pl-PL"/>
        </w:rPr>
        <w:t xml:space="preserve"> 60-781</w:t>
      </w:r>
      <w:r w:rsidRPr="00347522">
        <w:rPr>
          <w:rFonts w:ascii="Book Antiqua" w:hAnsi="Book Antiqua" w:cs="Times New Roman"/>
          <w:sz w:val="24"/>
          <w:szCs w:val="24"/>
          <w:lang w:val="en-US" w:eastAsia="pl-PL"/>
        </w:rPr>
        <w:t>, Poland</w:t>
      </w:r>
      <w:r w:rsidR="000B0393" w:rsidRPr="00347522">
        <w:rPr>
          <w:rFonts w:ascii="Book Antiqua" w:hAnsi="Book Antiqua" w:cs="Times New Roman"/>
          <w:sz w:val="24"/>
          <w:szCs w:val="24"/>
          <w:lang w:val="en-US" w:eastAsia="pl-PL"/>
        </w:rPr>
        <w:t>.</w:t>
      </w:r>
      <w:r w:rsidRPr="00347522">
        <w:rPr>
          <w:rFonts w:ascii="Book Antiqua" w:hAnsi="Book Antiqua" w:cs="Times New Roman"/>
          <w:sz w:val="24"/>
          <w:szCs w:val="24"/>
          <w:lang w:val="en-US" w:eastAsia="pl-PL"/>
        </w:rPr>
        <w:t xml:space="preserve"> akasprza@ump.edu.pl</w:t>
      </w:r>
    </w:p>
    <w:p w14:paraId="0F56D725"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eastAsia="pl-PL"/>
        </w:rPr>
      </w:pPr>
      <w:r w:rsidRPr="00347522">
        <w:rPr>
          <w:rFonts w:ascii="Book Antiqua" w:hAnsi="Book Antiqua" w:cs="Times New Roman"/>
          <w:b/>
          <w:bCs/>
          <w:sz w:val="24"/>
          <w:szCs w:val="24"/>
          <w:lang w:val="en-US" w:eastAsia="pl-PL"/>
        </w:rPr>
        <w:lastRenderedPageBreak/>
        <w:t>Telephone</w:t>
      </w:r>
      <w:r w:rsidRPr="00347522">
        <w:rPr>
          <w:rFonts w:ascii="Book Antiqua" w:hAnsi="Book Antiqua" w:cs="Times New Roman"/>
          <w:sz w:val="24"/>
          <w:szCs w:val="24"/>
          <w:lang w:val="en-US" w:eastAsia="pl-PL"/>
        </w:rPr>
        <w:t>: +48-61-8546441</w:t>
      </w:r>
    </w:p>
    <w:p w14:paraId="11886D07"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eastAsia="pl-PL"/>
        </w:rPr>
      </w:pPr>
      <w:r w:rsidRPr="00347522">
        <w:rPr>
          <w:rFonts w:ascii="Book Antiqua" w:hAnsi="Book Antiqua" w:cs="Times New Roman"/>
          <w:b/>
          <w:bCs/>
          <w:sz w:val="24"/>
          <w:szCs w:val="24"/>
          <w:lang w:val="en-US" w:eastAsia="pl-PL"/>
        </w:rPr>
        <w:t>Fax</w:t>
      </w:r>
      <w:r w:rsidRPr="00347522">
        <w:rPr>
          <w:rFonts w:ascii="Book Antiqua" w:hAnsi="Book Antiqua" w:cs="Times New Roman"/>
          <w:sz w:val="24"/>
          <w:szCs w:val="24"/>
          <w:lang w:val="en-US" w:eastAsia="pl-PL"/>
        </w:rPr>
        <w:t>: +48-61-8546440</w:t>
      </w:r>
    </w:p>
    <w:p w14:paraId="6AD3264F" w14:textId="77777777" w:rsidR="00876C44" w:rsidRPr="00347522" w:rsidRDefault="00876C44" w:rsidP="00347522">
      <w:pPr>
        <w:adjustRightInd w:val="0"/>
        <w:snapToGrid w:val="0"/>
        <w:spacing w:line="360" w:lineRule="auto"/>
        <w:ind w:firstLineChars="0" w:firstLine="0"/>
        <w:jc w:val="both"/>
        <w:rPr>
          <w:rFonts w:ascii="Book Antiqua" w:hAnsi="Book Antiqua" w:cs="Times New Roman"/>
          <w:sz w:val="24"/>
          <w:szCs w:val="24"/>
          <w:lang w:val="en-US" w:eastAsia="pl-PL"/>
        </w:rPr>
      </w:pPr>
    </w:p>
    <w:p w14:paraId="1EB5C1A5" w14:textId="76D8F9CA" w:rsidR="00876C44" w:rsidRPr="00347522" w:rsidRDefault="00876C44" w:rsidP="00347522">
      <w:pPr>
        <w:adjustRightInd w:val="0"/>
        <w:snapToGrid w:val="0"/>
        <w:spacing w:line="360" w:lineRule="auto"/>
        <w:ind w:firstLineChars="0" w:firstLine="0"/>
        <w:jc w:val="both"/>
        <w:rPr>
          <w:rFonts w:ascii="Book Antiqua" w:hAnsi="Book Antiqua"/>
          <w:b/>
          <w:sz w:val="24"/>
          <w:szCs w:val="24"/>
        </w:rPr>
      </w:pPr>
      <w:bookmarkStart w:id="14" w:name="OLE_LINK51"/>
      <w:r w:rsidRPr="00347522">
        <w:rPr>
          <w:rFonts w:ascii="Book Antiqua" w:hAnsi="Book Antiqua"/>
          <w:b/>
          <w:sz w:val="24"/>
          <w:szCs w:val="24"/>
        </w:rPr>
        <w:t>Received:</w:t>
      </w:r>
      <w:r w:rsidR="00A66096" w:rsidRPr="00347522">
        <w:rPr>
          <w:rFonts w:ascii="Book Antiqua" w:hAnsi="Book Antiqua"/>
          <w:b/>
          <w:sz w:val="24"/>
          <w:szCs w:val="24"/>
        </w:rPr>
        <w:t xml:space="preserve"> </w:t>
      </w:r>
      <w:r w:rsidR="00A66096" w:rsidRPr="00347522">
        <w:rPr>
          <w:rFonts w:ascii="Book Antiqua" w:hAnsi="Book Antiqua"/>
          <w:sz w:val="24"/>
          <w:szCs w:val="24"/>
        </w:rPr>
        <w:t>July 16</w:t>
      </w:r>
      <w:r w:rsidRPr="00347522">
        <w:rPr>
          <w:rFonts w:ascii="Book Antiqua" w:eastAsia="DengXian" w:hAnsi="Book Antiqua"/>
          <w:sz w:val="24"/>
          <w:szCs w:val="24"/>
        </w:rPr>
        <w:t>, 2018</w:t>
      </w:r>
      <w:r w:rsidRPr="00347522">
        <w:rPr>
          <w:rFonts w:ascii="Book Antiqua" w:hAnsi="Book Antiqua"/>
          <w:b/>
          <w:sz w:val="24"/>
          <w:szCs w:val="24"/>
        </w:rPr>
        <w:t xml:space="preserve">  </w:t>
      </w:r>
    </w:p>
    <w:p w14:paraId="3DD28672" w14:textId="2C21CB7C" w:rsidR="00876C44" w:rsidRPr="00347522" w:rsidRDefault="00876C44" w:rsidP="00347522">
      <w:pPr>
        <w:adjustRightInd w:val="0"/>
        <w:snapToGrid w:val="0"/>
        <w:spacing w:line="360" w:lineRule="auto"/>
        <w:ind w:firstLineChars="0" w:firstLine="0"/>
        <w:jc w:val="both"/>
        <w:rPr>
          <w:rFonts w:ascii="Book Antiqua" w:eastAsia="DengXian" w:hAnsi="Book Antiqua"/>
          <w:b/>
          <w:sz w:val="24"/>
          <w:szCs w:val="24"/>
        </w:rPr>
      </w:pPr>
      <w:r w:rsidRPr="00347522">
        <w:rPr>
          <w:rFonts w:ascii="Book Antiqua" w:hAnsi="Book Antiqua"/>
          <w:b/>
          <w:sz w:val="24"/>
          <w:szCs w:val="24"/>
        </w:rPr>
        <w:t>Peer-review started:</w:t>
      </w:r>
      <w:r w:rsidR="00A66096" w:rsidRPr="00347522">
        <w:rPr>
          <w:rFonts w:ascii="Book Antiqua" w:hAnsi="Book Antiqua"/>
          <w:b/>
          <w:sz w:val="24"/>
          <w:szCs w:val="24"/>
        </w:rPr>
        <w:t xml:space="preserve"> </w:t>
      </w:r>
      <w:r w:rsidR="00A66096" w:rsidRPr="00347522">
        <w:rPr>
          <w:rFonts w:ascii="Book Antiqua" w:hAnsi="Book Antiqua"/>
          <w:sz w:val="24"/>
          <w:szCs w:val="24"/>
        </w:rPr>
        <w:t>July 16</w:t>
      </w:r>
      <w:r w:rsidRPr="00347522">
        <w:rPr>
          <w:rFonts w:ascii="Book Antiqua" w:eastAsia="DengXian" w:hAnsi="Book Antiqua"/>
          <w:sz w:val="24"/>
          <w:szCs w:val="24"/>
        </w:rPr>
        <w:t>, 2018</w:t>
      </w:r>
    </w:p>
    <w:p w14:paraId="507CA366" w14:textId="04347B5F" w:rsidR="00876C44" w:rsidRPr="00347522" w:rsidRDefault="00876C44" w:rsidP="00347522">
      <w:pPr>
        <w:adjustRightInd w:val="0"/>
        <w:snapToGrid w:val="0"/>
        <w:spacing w:line="360" w:lineRule="auto"/>
        <w:ind w:firstLineChars="0" w:firstLine="0"/>
        <w:jc w:val="both"/>
        <w:rPr>
          <w:rFonts w:ascii="Book Antiqua" w:eastAsia="DengXian" w:hAnsi="Book Antiqua"/>
          <w:b/>
          <w:sz w:val="24"/>
          <w:szCs w:val="24"/>
        </w:rPr>
      </w:pPr>
      <w:r w:rsidRPr="00347522">
        <w:rPr>
          <w:rFonts w:ascii="Book Antiqua" w:hAnsi="Book Antiqua"/>
          <w:b/>
          <w:sz w:val="24"/>
          <w:szCs w:val="24"/>
        </w:rPr>
        <w:t>First decision:</w:t>
      </w:r>
      <w:r w:rsidR="00A66096" w:rsidRPr="00347522">
        <w:rPr>
          <w:rFonts w:ascii="Book Antiqua" w:hAnsi="Book Antiqua"/>
          <w:b/>
          <w:sz w:val="24"/>
          <w:szCs w:val="24"/>
        </w:rPr>
        <w:t xml:space="preserve"> </w:t>
      </w:r>
      <w:r w:rsidR="009B61DC" w:rsidRPr="00347522">
        <w:rPr>
          <w:rFonts w:ascii="Book Antiqua" w:hAnsi="Book Antiqua"/>
          <w:sz w:val="24"/>
          <w:szCs w:val="24"/>
        </w:rPr>
        <w:t>July 24</w:t>
      </w:r>
      <w:r w:rsidRPr="00347522">
        <w:rPr>
          <w:rFonts w:ascii="Book Antiqua" w:eastAsia="DengXian" w:hAnsi="Book Antiqua"/>
          <w:sz w:val="24"/>
          <w:szCs w:val="24"/>
        </w:rPr>
        <w:t>, 2018</w:t>
      </w:r>
      <w:bookmarkStart w:id="15" w:name="_GoBack"/>
      <w:bookmarkEnd w:id="15"/>
    </w:p>
    <w:p w14:paraId="58954DAE" w14:textId="448A60CE" w:rsidR="00876C44" w:rsidRPr="00347522" w:rsidRDefault="00876C44" w:rsidP="00347522">
      <w:pPr>
        <w:adjustRightInd w:val="0"/>
        <w:snapToGrid w:val="0"/>
        <w:spacing w:line="360" w:lineRule="auto"/>
        <w:ind w:firstLineChars="0" w:firstLine="0"/>
        <w:jc w:val="both"/>
        <w:rPr>
          <w:rFonts w:ascii="Book Antiqua" w:hAnsi="Book Antiqua"/>
          <w:b/>
          <w:sz w:val="24"/>
          <w:szCs w:val="24"/>
        </w:rPr>
      </w:pPr>
      <w:r w:rsidRPr="00347522">
        <w:rPr>
          <w:rFonts w:ascii="Book Antiqua" w:hAnsi="Book Antiqua"/>
          <w:b/>
          <w:sz w:val="24"/>
          <w:szCs w:val="24"/>
        </w:rPr>
        <w:t>Revised:</w:t>
      </w:r>
      <w:r w:rsidR="009B61DC" w:rsidRPr="00347522">
        <w:rPr>
          <w:rFonts w:ascii="Book Antiqua" w:hAnsi="Book Antiqua"/>
          <w:b/>
          <w:sz w:val="24"/>
          <w:szCs w:val="24"/>
        </w:rPr>
        <w:t xml:space="preserve"> </w:t>
      </w:r>
      <w:r w:rsidR="009B61DC" w:rsidRPr="00347522">
        <w:rPr>
          <w:rFonts w:ascii="Book Antiqua" w:hAnsi="Book Antiqua"/>
          <w:sz w:val="24"/>
          <w:szCs w:val="24"/>
        </w:rPr>
        <w:t>August 15</w:t>
      </w:r>
      <w:r w:rsidRPr="00347522">
        <w:rPr>
          <w:rFonts w:ascii="Book Antiqua" w:hAnsi="Book Antiqua"/>
          <w:sz w:val="24"/>
          <w:szCs w:val="24"/>
        </w:rPr>
        <w:t xml:space="preserve">, 2018 </w:t>
      </w:r>
    </w:p>
    <w:p w14:paraId="72D1ECF1" w14:textId="6F9ABAD8" w:rsidR="00876C44" w:rsidRPr="00347522" w:rsidRDefault="00876C44" w:rsidP="00347522">
      <w:pPr>
        <w:adjustRightInd w:val="0"/>
        <w:snapToGrid w:val="0"/>
        <w:spacing w:line="360" w:lineRule="auto"/>
        <w:ind w:firstLineChars="0" w:firstLine="0"/>
        <w:jc w:val="both"/>
        <w:rPr>
          <w:rFonts w:ascii="Book Antiqua" w:hAnsi="Book Antiqua"/>
          <w:b/>
          <w:sz w:val="24"/>
          <w:szCs w:val="24"/>
        </w:rPr>
      </w:pPr>
      <w:r w:rsidRPr="00347522">
        <w:rPr>
          <w:rFonts w:ascii="Book Antiqua" w:hAnsi="Book Antiqua"/>
          <w:b/>
          <w:sz w:val="24"/>
          <w:szCs w:val="24"/>
        </w:rPr>
        <w:t>Accepted:</w:t>
      </w:r>
      <w:r w:rsidR="00520EB5" w:rsidRPr="00520EB5">
        <w:t xml:space="preserve"> </w:t>
      </w:r>
      <w:r w:rsidR="00520EB5" w:rsidRPr="00520EB5">
        <w:rPr>
          <w:rFonts w:ascii="Book Antiqua" w:hAnsi="Book Antiqua"/>
          <w:sz w:val="24"/>
          <w:szCs w:val="24"/>
        </w:rPr>
        <w:t>August 24, 2018</w:t>
      </w:r>
      <w:r w:rsidRPr="00347522">
        <w:rPr>
          <w:rFonts w:ascii="Book Antiqua" w:hAnsi="Book Antiqua"/>
          <w:b/>
          <w:sz w:val="24"/>
          <w:szCs w:val="24"/>
        </w:rPr>
        <w:t xml:space="preserve"> </w:t>
      </w:r>
    </w:p>
    <w:p w14:paraId="7A7BC67E" w14:textId="77777777" w:rsidR="00876C44" w:rsidRPr="00347522" w:rsidRDefault="00876C44" w:rsidP="00347522">
      <w:pPr>
        <w:adjustRightInd w:val="0"/>
        <w:snapToGrid w:val="0"/>
        <w:spacing w:line="360" w:lineRule="auto"/>
        <w:ind w:firstLineChars="0" w:firstLine="0"/>
        <w:jc w:val="both"/>
        <w:rPr>
          <w:rFonts w:ascii="Book Antiqua" w:hAnsi="Book Antiqua"/>
          <w:b/>
          <w:sz w:val="24"/>
          <w:szCs w:val="24"/>
        </w:rPr>
      </w:pPr>
      <w:r w:rsidRPr="00347522">
        <w:rPr>
          <w:rFonts w:ascii="Book Antiqua" w:hAnsi="Book Antiqua"/>
          <w:b/>
          <w:sz w:val="24"/>
          <w:szCs w:val="24"/>
        </w:rPr>
        <w:t>Article in press:</w:t>
      </w:r>
    </w:p>
    <w:p w14:paraId="797AD42B" w14:textId="77777777" w:rsidR="00876C44" w:rsidRPr="00347522" w:rsidRDefault="00876C44" w:rsidP="00347522">
      <w:pPr>
        <w:adjustRightInd w:val="0"/>
        <w:snapToGrid w:val="0"/>
        <w:spacing w:line="360" w:lineRule="auto"/>
        <w:ind w:firstLineChars="0" w:firstLine="0"/>
        <w:jc w:val="both"/>
        <w:rPr>
          <w:rFonts w:ascii="Book Antiqua" w:hAnsi="Book Antiqua"/>
          <w:color w:val="000000"/>
          <w:sz w:val="24"/>
          <w:szCs w:val="24"/>
        </w:rPr>
      </w:pPr>
      <w:r w:rsidRPr="00347522">
        <w:rPr>
          <w:rFonts w:ascii="Book Antiqua" w:hAnsi="Book Antiqua"/>
          <w:b/>
          <w:sz w:val="24"/>
          <w:szCs w:val="24"/>
        </w:rPr>
        <w:t>Published online:</w:t>
      </w:r>
      <w:bookmarkEnd w:id="14"/>
    </w:p>
    <w:p w14:paraId="4458633B" w14:textId="77777777" w:rsidR="00876C44" w:rsidRPr="00D62D85" w:rsidRDefault="00876C44" w:rsidP="00D62D85">
      <w:pPr>
        <w:adjustRightInd w:val="0"/>
        <w:snapToGrid w:val="0"/>
        <w:spacing w:line="360" w:lineRule="auto"/>
        <w:ind w:firstLineChars="0" w:firstLine="0"/>
        <w:jc w:val="both"/>
        <w:rPr>
          <w:rFonts w:ascii="Book Antiqua" w:hAnsi="Book Antiqua" w:cs="Times New Roman"/>
          <w:sz w:val="24"/>
          <w:szCs w:val="24"/>
          <w:lang w:eastAsia="pl-PL"/>
        </w:rPr>
      </w:pPr>
    </w:p>
    <w:p w14:paraId="49BE1F81" w14:textId="5771CB53" w:rsidR="0069767B" w:rsidRPr="00D62D85" w:rsidRDefault="007057E4" w:rsidP="00D62D85">
      <w:pPr>
        <w:adjustRightInd w:val="0"/>
        <w:snapToGrid w:val="0"/>
        <w:spacing w:line="360" w:lineRule="auto"/>
        <w:ind w:firstLineChars="0" w:firstLine="0"/>
        <w:jc w:val="both"/>
        <w:rPr>
          <w:rFonts w:ascii="Book Antiqua" w:hAnsi="Book Antiqua" w:cs="Times New Roman"/>
          <w:b/>
          <w:i/>
          <w:color w:val="000000"/>
          <w:sz w:val="24"/>
          <w:szCs w:val="24"/>
          <w:lang w:val="en-US"/>
        </w:rPr>
      </w:pPr>
      <w:r w:rsidRPr="00D62D85">
        <w:rPr>
          <w:rFonts w:ascii="Book Antiqua" w:hAnsi="Book Antiqua" w:cs="Times New Roman"/>
          <w:b/>
          <w:bCs/>
          <w:sz w:val="24"/>
          <w:szCs w:val="24"/>
          <w:lang w:val="en-US"/>
        </w:rPr>
        <w:br w:type="page"/>
      </w:r>
      <w:r w:rsidRPr="00D62D85">
        <w:rPr>
          <w:rFonts w:ascii="Book Antiqua" w:hAnsi="Book Antiqua" w:cs="Times New Roman"/>
          <w:b/>
          <w:color w:val="000000"/>
          <w:sz w:val="24"/>
          <w:szCs w:val="24"/>
          <w:lang w:val="en-US"/>
        </w:rPr>
        <w:lastRenderedPageBreak/>
        <w:t>Abstract</w:t>
      </w:r>
    </w:p>
    <w:p w14:paraId="1DCB78E6" w14:textId="77777777" w:rsidR="00580045" w:rsidRPr="0065165A" w:rsidRDefault="00580045" w:rsidP="0065165A">
      <w:pPr>
        <w:adjustRightInd w:val="0"/>
        <w:snapToGrid w:val="0"/>
        <w:spacing w:line="360" w:lineRule="auto"/>
        <w:ind w:firstLineChars="0" w:firstLine="0"/>
        <w:jc w:val="both"/>
        <w:rPr>
          <w:rFonts w:ascii="Book Antiqua" w:hAnsi="Book Antiqua" w:cs="Times New Roman"/>
          <w:b/>
          <w:i/>
          <w:color w:val="000000"/>
          <w:sz w:val="24"/>
          <w:szCs w:val="24"/>
          <w:lang w:val="en-US"/>
        </w:rPr>
      </w:pPr>
      <w:r w:rsidRPr="0065165A">
        <w:rPr>
          <w:rFonts w:ascii="Book Antiqua" w:hAnsi="Book Antiqua" w:cs="Times New Roman"/>
          <w:b/>
          <w:i/>
          <w:color w:val="000000"/>
          <w:sz w:val="24"/>
          <w:szCs w:val="24"/>
          <w:lang w:val="en-US"/>
        </w:rPr>
        <w:t>AIM</w:t>
      </w:r>
    </w:p>
    <w:p w14:paraId="6D05D5C2" w14:textId="595BE301" w:rsidR="00FC401B" w:rsidRPr="00347522" w:rsidRDefault="00FC401B"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 xml:space="preserve">To determine tissue expression (mRNA, protein) of two types of mucins </w:t>
      </w:r>
      <w:r w:rsidR="00E83014" w:rsidRPr="00347522">
        <w:rPr>
          <w:rFonts w:ascii="Book Antiqua" w:hAnsi="Book Antiqua" w:cs="Times New Roman"/>
          <w:color w:val="000000" w:themeColor="text1"/>
          <w:sz w:val="24"/>
          <w:szCs w:val="24"/>
          <w:lang w:val="en-US"/>
        </w:rPr>
        <w:t>[</w:t>
      </w:r>
      <w:r w:rsidR="0067681B" w:rsidRPr="00347522">
        <w:rPr>
          <w:rFonts w:ascii="Book Antiqua" w:hAnsi="Book Antiqua" w:cs="Times New Roman"/>
          <w:color w:val="000000" w:themeColor="text1"/>
          <w:sz w:val="24"/>
          <w:szCs w:val="24"/>
          <w:lang w:val="en-US"/>
        </w:rPr>
        <w:t>mucin 1 (</w:t>
      </w:r>
      <w:r w:rsidRPr="00347522">
        <w:rPr>
          <w:rFonts w:ascii="Book Antiqua" w:hAnsi="Book Antiqua" w:cs="Times New Roman"/>
          <w:color w:val="000000" w:themeColor="text1"/>
          <w:sz w:val="24"/>
          <w:szCs w:val="24"/>
          <w:lang w:val="en-US"/>
        </w:rPr>
        <w:t>MUC1</w:t>
      </w:r>
      <w:r w:rsidR="0067681B"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and </w:t>
      </w:r>
      <w:r w:rsidR="0067681B" w:rsidRPr="00347522">
        <w:rPr>
          <w:rFonts w:ascii="Book Antiqua" w:hAnsi="Book Antiqua" w:cs="Times New Roman"/>
          <w:color w:val="000000" w:themeColor="text1"/>
          <w:sz w:val="24"/>
          <w:szCs w:val="24"/>
          <w:lang w:val="en-US"/>
        </w:rPr>
        <w:t>mucin 2 (</w:t>
      </w:r>
      <w:r w:rsidRPr="00347522">
        <w:rPr>
          <w:rFonts w:ascii="Book Antiqua" w:hAnsi="Book Antiqua" w:cs="Times New Roman"/>
          <w:color w:val="000000" w:themeColor="text1"/>
          <w:sz w:val="24"/>
          <w:szCs w:val="24"/>
          <w:lang w:val="en-US"/>
        </w:rPr>
        <w:t>MUC2</w:t>
      </w:r>
      <w:r w:rsidR="0067681B"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in patients with </w:t>
      </w:r>
      <w:bookmarkStart w:id="16" w:name="OLE_LINK19"/>
      <w:r w:rsidRPr="00347522">
        <w:rPr>
          <w:rFonts w:ascii="Book Antiqua" w:hAnsi="Book Antiqua" w:cs="Times New Roman"/>
          <w:color w:val="000000" w:themeColor="text1"/>
          <w:sz w:val="24"/>
          <w:szCs w:val="24"/>
          <w:lang w:val="en-US"/>
        </w:rPr>
        <w:t>colorectal cancer</w:t>
      </w:r>
      <w:bookmarkEnd w:id="16"/>
      <w:r w:rsidRPr="00347522">
        <w:rPr>
          <w:rFonts w:ascii="Book Antiqua" w:hAnsi="Book Antiqua" w:cs="Times New Roman"/>
          <w:color w:val="000000" w:themeColor="text1"/>
          <w:sz w:val="24"/>
          <w:szCs w:val="24"/>
          <w:lang w:val="en-US"/>
        </w:rPr>
        <w:t xml:space="preserve"> (CRC).</w:t>
      </w:r>
    </w:p>
    <w:p w14:paraId="3FF52795" w14:textId="77777777" w:rsidR="00580045" w:rsidRPr="00347522" w:rsidRDefault="00580045" w:rsidP="00347522">
      <w:pPr>
        <w:adjustRightInd w:val="0"/>
        <w:snapToGrid w:val="0"/>
        <w:spacing w:line="360" w:lineRule="auto"/>
        <w:ind w:firstLineChars="0" w:firstLine="0"/>
        <w:jc w:val="both"/>
        <w:rPr>
          <w:rFonts w:ascii="Book Antiqua" w:hAnsi="Book Antiqua" w:cs="Times New Roman"/>
          <w:i/>
          <w:sz w:val="24"/>
          <w:szCs w:val="24"/>
          <w:lang w:val="en-US"/>
        </w:rPr>
      </w:pPr>
    </w:p>
    <w:p w14:paraId="3AFC5213" w14:textId="77777777" w:rsidR="00580045" w:rsidRPr="00347522" w:rsidRDefault="00580045" w:rsidP="00347522">
      <w:pPr>
        <w:adjustRightInd w:val="0"/>
        <w:snapToGrid w:val="0"/>
        <w:spacing w:line="360" w:lineRule="auto"/>
        <w:ind w:firstLineChars="0" w:firstLine="0"/>
        <w:jc w:val="both"/>
        <w:rPr>
          <w:rFonts w:ascii="Book Antiqua" w:hAnsi="Book Antiqua" w:cs="Times New Roman"/>
          <w:b/>
          <w:i/>
          <w:sz w:val="24"/>
          <w:szCs w:val="24"/>
          <w:lang w:val="en-US"/>
        </w:rPr>
      </w:pPr>
      <w:r w:rsidRPr="00347522">
        <w:rPr>
          <w:rFonts w:ascii="Book Antiqua" w:hAnsi="Book Antiqua" w:cs="Times New Roman"/>
          <w:b/>
          <w:i/>
          <w:sz w:val="24"/>
          <w:szCs w:val="24"/>
          <w:lang w:val="en-US"/>
        </w:rPr>
        <w:t>METHODS</w:t>
      </w:r>
    </w:p>
    <w:p w14:paraId="0B5F71A8" w14:textId="3C76D843" w:rsidR="00580045" w:rsidRPr="00347522" w:rsidRDefault="00FC401B"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Expression of membrane</w:t>
      </w:r>
      <w:r w:rsidRPr="00347522">
        <w:rPr>
          <w:rFonts w:ascii="Book Antiqua" w:hAnsi="Book Antiqua" w:cs="Times New Roman"/>
          <w:color w:val="000000" w:themeColor="text1"/>
          <w:sz w:val="24"/>
          <w:szCs w:val="24"/>
        </w:rPr>
        <w:t xml:space="preserve">-bound mucin </w:t>
      </w:r>
      <w:r w:rsidRPr="00347522">
        <w:rPr>
          <w:rFonts w:ascii="Book Antiqua" w:hAnsi="Book Antiqua" w:cs="Times New Roman"/>
          <w:color w:val="000000" w:themeColor="text1"/>
          <w:sz w:val="24"/>
          <w:szCs w:val="24"/>
          <w:lang w:val="en-US"/>
        </w:rPr>
        <w:t xml:space="preserve">(MUC1) and secretory mucin (MUC2) in CRC (mRNA, protein) </w:t>
      </w:r>
      <w:r w:rsidR="00580045" w:rsidRPr="00347522">
        <w:rPr>
          <w:rFonts w:ascii="Book Antiqua" w:hAnsi="Book Antiqua" w:cs="Times New Roman"/>
          <w:sz w:val="24"/>
          <w:szCs w:val="24"/>
          <w:lang w:val="en-US"/>
        </w:rPr>
        <w:t>were analyzed in tissue material including fragments of tumors obtained from CRC patients (</w:t>
      </w:r>
      <w:r w:rsidR="00580045" w:rsidRPr="00347522">
        <w:rPr>
          <w:rFonts w:ascii="Book Antiqua" w:hAnsi="Book Antiqua" w:cs="Times New Roman"/>
          <w:i/>
          <w:sz w:val="24"/>
          <w:szCs w:val="24"/>
          <w:lang w:val="en-US"/>
        </w:rPr>
        <w:t>n</w:t>
      </w:r>
      <w:r w:rsidR="00120099" w:rsidRPr="00347522">
        <w:rPr>
          <w:rFonts w:ascii="Book Antiqua" w:hAnsi="Book Antiqua" w:cs="Times New Roman"/>
          <w:sz w:val="24"/>
          <w:szCs w:val="24"/>
          <w:lang w:val="en-US"/>
        </w:rPr>
        <w:t xml:space="preserve"> </w:t>
      </w:r>
      <w:r w:rsidR="00580045" w:rsidRPr="00347522">
        <w:rPr>
          <w:rFonts w:ascii="Book Antiqua" w:hAnsi="Book Antiqua" w:cs="Times New Roman"/>
          <w:sz w:val="24"/>
          <w:szCs w:val="24"/>
          <w:lang w:val="en-US"/>
        </w:rPr>
        <w:t>=</w:t>
      </w:r>
      <w:r w:rsidR="00120099" w:rsidRPr="00347522">
        <w:rPr>
          <w:rFonts w:ascii="Book Antiqua" w:hAnsi="Book Antiqua" w:cs="Times New Roman"/>
          <w:sz w:val="24"/>
          <w:szCs w:val="24"/>
          <w:lang w:val="en-US"/>
        </w:rPr>
        <w:t xml:space="preserve"> </w:t>
      </w:r>
      <w:r w:rsidR="00580045" w:rsidRPr="00347522">
        <w:rPr>
          <w:rFonts w:ascii="Book Antiqua" w:hAnsi="Book Antiqua" w:cs="Times New Roman"/>
          <w:sz w:val="24"/>
          <w:szCs w:val="24"/>
          <w:lang w:val="en-US"/>
        </w:rPr>
        <w:t xml:space="preserve">34), and fragments of normal colorectal tissue from the same patients (control). The analysis was conducted using </w:t>
      </w:r>
      <w:bookmarkStart w:id="17" w:name="OLE_LINK178"/>
      <w:r w:rsidR="003B18CF" w:rsidRPr="00347522">
        <w:rPr>
          <w:rFonts w:ascii="Book Antiqua" w:hAnsi="Book Antiqua" w:cs="Times New Roman"/>
          <w:sz w:val="24"/>
          <w:szCs w:val="24"/>
          <w:lang w:val="en-US"/>
        </w:rPr>
        <w:t>real-time quantitative polymerase chain reaction (</w:t>
      </w:r>
      <w:r w:rsidR="00580045" w:rsidRPr="00347522">
        <w:rPr>
          <w:rFonts w:ascii="Book Antiqua" w:hAnsi="Book Antiqua" w:cs="Times New Roman"/>
          <w:sz w:val="24"/>
          <w:szCs w:val="24"/>
          <w:lang w:val="en-US"/>
        </w:rPr>
        <w:t>RT-qPCR</w:t>
      </w:r>
      <w:r w:rsidR="003B18CF" w:rsidRPr="00347522">
        <w:rPr>
          <w:rFonts w:ascii="Book Antiqua" w:hAnsi="Book Antiqua" w:cs="Times New Roman"/>
          <w:sz w:val="24"/>
          <w:szCs w:val="24"/>
          <w:lang w:val="en-US"/>
        </w:rPr>
        <w:t>)</w:t>
      </w:r>
      <w:bookmarkEnd w:id="17"/>
      <w:r w:rsidR="00580045" w:rsidRPr="00347522">
        <w:rPr>
          <w:rFonts w:ascii="Book Antiqua" w:hAnsi="Book Antiqua" w:cs="Times New Roman"/>
          <w:sz w:val="24"/>
          <w:szCs w:val="24"/>
          <w:lang w:val="en-US"/>
        </w:rPr>
        <w:t xml:space="preserve"> (transcripts), immunohistochemistry (IHC) (apomucins), and the modern approach for morphometric analysis of IHC reaction (HSV filter software).</w:t>
      </w:r>
      <w:r w:rsidRPr="00347522">
        <w:rPr>
          <w:rFonts w:ascii="Book Antiqua" w:hAnsi="Book Antiqua" w:cs="Times New Roman"/>
          <w:sz w:val="24"/>
          <w:szCs w:val="24"/>
          <w:lang w:val="en-US"/>
        </w:rPr>
        <w:t xml:space="preserve"> </w:t>
      </w:r>
      <w:r w:rsidR="008129F0" w:rsidRPr="00347522">
        <w:rPr>
          <w:rFonts w:ascii="Book Antiqua" w:hAnsi="Book Antiqua" w:cs="Book Antiqua"/>
          <w:color w:val="000000" w:themeColor="text1"/>
          <w:sz w:val="24"/>
          <w:szCs w:val="24"/>
          <w:lang w:val="en-US"/>
        </w:rPr>
        <w:t>Results on tissue expression of both mucins (mRNA, protein) were compared to histological alterations in colorectal cancer samples and correlated with selected clinical data in the patients.</w:t>
      </w:r>
      <w:r w:rsidR="002F2078" w:rsidRPr="00347522">
        <w:rPr>
          <w:rFonts w:ascii="Book Antiqua" w:hAnsi="Book Antiqua" w:cs="Book Antiqua"/>
          <w:color w:val="000000" w:themeColor="text1"/>
          <w:sz w:val="24"/>
          <w:szCs w:val="24"/>
          <w:lang w:val="en-US"/>
        </w:rPr>
        <w:t xml:space="preserve"> </w:t>
      </w:r>
      <w:r w:rsidR="003B18CF" w:rsidRPr="00347522">
        <w:rPr>
          <w:rFonts w:ascii="Book Antiqua" w:hAnsi="Book Antiqua" w:cs="Times New Roman"/>
          <w:color w:val="000000" w:themeColor="text1"/>
          <w:sz w:val="24"/>
          <w:szCs w:val="24"/>
          <w:lang w:val="en-US"/>
        </w:rPr>
        <w:t>The statistical analysis was conducted using Statistica PL v. 12.0 software</w:t>
      </w:r>
      <w:r w:rsidR="00CD5E56" w:rsidRPr="00347522">
        <w:rPr>
          <w:rFonts w:ascii="Book Antiqua" w:hAnsi="Book Antiqua" w:cs="Times New Roman"/>
          <w:color w:val="000000" w:themeColor="text1"/>
          <w:sz w:val="24"/>
          <w:szCs w:val="24"/>
          <w:lang w:val="en-US"/>
        </w:rPr>
        <w:t>.</w:t>
      </w:r>
    </w:p>
    <w:p w14:paraId="5B3C23A5" w14:textId="2BBEBF04" w:rsidR="00CD5E56" w:rsidRPr="00347522" w:rsidRDefault="00CD5E56" w:rsidP="00347522">
      <w:pPr>
        <w:adjustRightInd w:val="0"/>
        <w:snapToGrid w:val="0"/>
        <w:spacing w:line="360" w:lineRule="auto"/>
        <w:ind w:firstLineChars="0" w:firstLine="0"/>
        <w:jc w:val="both"/>
        <w:rPr>
          <w:rFonts w:ascii="Book Antiqua" w:hAnsi="Book Antiqua" w:cs="Times New Roman"/>
          <w:b/>
          <w:i/>
          <w:sz w:val="24"/>
          <w:szCs w:val="24"/>
          <w:lang w:val="en-US"/>
        </w:rPr>
      </w:pPr>
    </w:p>
    <w:p w14:paraId="6797E5DD" w14:textId="77777777" w:rsidR="00580045" w:rsidRPr="00347522" w:rsidRDefault="00580045" w:rsidP="00347522">
      <w:pPr>
        <w:adjustRightInd w:val="0"/>
        <w:snapToGrid w:val="0"/>
        <w:spacing w:line="360" w:lineRule="auto"/>
        <w:ind w:firstLineChars="0" w:firstLine="0"/>
        <w:jc w:val="both"/>
        <w:rPr>
          <w:rFonts w:ascii="Book Antiqua" w:hAnsi="Book Antiqua" w:cs="Times New Roman"/>
          <w:b/>
          <w:i/>
          <w:sz w:val="24"/>
          <w:szCs w:val="24"/>
          <w:lang w:val="en-US"/>
        </w:rPr>
      </w:pPr>
      <w:r w:rsidRPr="00347522">
        <w:rPr>
          <w:rFonts w:ascii="Book Antiqua" w:hAnsi="Book Antiqua" w:cs="Times New Roman"/>
          <w:b/>
          <w:i/>
          <w:sz w:val="24"/>
          <w:szCs w:val="24"/>
          <w:lang w:val="en-US"/>
        </w:rPr>
        <w:t>RESULTS</w:t>
      </w:r>
    </w:p>
    <w:p w14:paraId="495A3317" w14:textId="77777777" w:rsidR="00580045" w:rsidRPr="00347522" w:rsidRDefault="00580045" w:rsidP="00347522">
      <w:pPr>
        <w:tabs>
          <w:tab w:val="num" w:pos="284"/>
        </w:tabs>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Significantly higher expression of the MUC1 mRNA in the CRC, compared with the control and the borderline correlation of mRNA expression with MUC1 protein levels in colorectal samples was observed. The expression of apomucins concerned cell membranes (MUC1) and cytoplasm (MUC2) and occurred both in control tissues and in most cancerous samples. There were no significant relationships between MUC1 (mRNA, protein) and the clinicopathological data of patients. MUC2 protein expression was significantly lower as compared to the control, while MUC2 mRNA expression was comparable in both groups. The MUC1/MUC2 ratio was significantly higher in CRC tissues than in the control. The higher expression of MUC2 was a feature of mucinous CRC subtypes, and characterized higher histological stage of tumors. Negative correlations have been </w:t>
      </w:r>
      <w:r w:rsidRPr="00347522">
        <w:rPr>
          <w:rFonts w:ascii="Book Antiqua" w:hAnsi="Book Antiqua" w:cs="Times New Roman"/>
          <w:sz w:val="24"/>
          <w:szCs w:val="24"/>
          <w:lang w:val="en-US"/>
        </w:rPr>
        <w:lastRenderedPageBreak/>
        <w:t>obtained between MUC2 and the Ki-67 antigen, as well as between MUC2 and p53 protein expressions in CRC.</w:t>
      </w:r>
    </w:p>
    <w:p w14:paraId="2466D119" w14:textId="77777777" w:rsidR="00580045" w:rsidRPr="00347522" w:rsidRDefault="00580045" w:rsidP="00347522">
      <w:pPr>
        <w:tabs>
          <w:tab w:val="num" w:pos="284"/>
        </w:tabs>
        <w:adjustRightInd w:val="0"/>
        <w:snapToGrid w:val="0"/>
        <w:spacing w:line="360" w:lineRule="auto"/>
        <w:ind w:firstLineChars="0" w:firstLine="0"/>
        <w:jc w:val="both"/>
        <w:rPr>
          <w:rFonts w:ascii="Book Antiqua" w:hAnsi="Book Antiqua" w:cs="Times New Roman"/>
          <w:i/>
          <w:sz w:val="24"/>
          <w:szCs w:val="24"/>
          <w:lang w:val="en-US"/>
        </w:rPr>
      </w:pPr>
    </w:p>
    <w:p w14:paraId="17707A76" w14:textId="0D066D4B" w:rsidR="00580045" w:rsidRPr="00347522" w:rsidRDefault="00580045" w:rsidP="00347522">
      <w:pPr>
        <w:tabs>
          <w:tab w:val="num" w:pos="284"/>
        </w:tabs>
        <w:adjustRightInd w:val="0"/>
        <w:snapToGrid w:val="0"/>
        <w:spacing w:line="360" w:lineRule="auto"/>
        <w:ind w:firstLineChars="0" w:firstLine="0"/>
        <w:jc w:val="both"/>
        <w:rPr>
          <w:rFonts w:ascii="Book Antiqua" w:hAnsi="Book Antiqua" w:cs="Times New Roman"/>
          <w:b/>
          <w:i/>
          <w:sz w:val="24"/>
          <w:szCs w:val="24"/>
          <w:lang w:val="en-US"/>
        </w:rPr>
      </w:pPr>
      <w:r w:rsidRPr="00347522">
        <w:rPr>
          <w:rFonts w:ascii="Book Antiqua" w:hAnsi="Book Antiqua" w:cs="Times New Roman"/>
          <w:b/>
          <w:i/>
          <w:sz w:val="24"/>
          <w:szCs w:val="24"/>
          <w:lang w:val="en-US"/>
        </w:rPr>
        <w:t>CONCLUSION</w:t>
      </w:r>
    </w:p>
    <w:p w14:paraId="5116B431" w14:textId="77777777" w:rsidR="00580045" w:rsidRPr="00347522" w:rsidRDefault="00580045" w:rsidP="00347522">
      <w:pPr>
        <w:adjustRightInd w:val="0"/>
        <w:snapToGrid w:val="0"/>
        <w:spacing w:line="360" w:lineRule="auto"/>
        <w:ind w:firstLineChars="0" w:firstLine="0"/>
        <w:jc w:val="both"/>
        <w:rPr>
          <w:rFonts w:ascii="Book Antiqua" w:hAnsi="Book Antiqua" w:cs="Times New Roman"/>
          <w:b/>
          <w:bCs/>
          <w:sz w:val="24"/>
          <w:szCs w:val="24"/>
        </w:rPr>
      </w:pPr>
      <w:r w:rsidRPr="00347522">
        <w:rPr>
          <w:rFonts w:ascii="Book Antiqua" w:hAnsi="Book Antiqua" w:cs="Times New Roman"/>
          <w:sz w:val="24"/>
          <w:szCs w:val="24"/>
          <w:lang w:val="en-US"/>
        </w:rPr>
        <w:t>A combination of tissue overexpression of MUC1, reduced MUC2 expression, and high ratio of MUC1/MUC2 is a factor of poor prognosis in CRC patients. MUC2 tissue expression allows to differentiate mucinous and nonmucinous CRC subtypes.</w:t>
      </w:r>
    </w:p>
    <w:p w14:paraId="6F0BA5E6" w14:textId="77777777" w:rsidR="00580045" w:rsidRPr="00347522" w:rsidRDefault="00580045" w:rsidP="00347522">
      <w:pPr>
        <w:adjustRightInd w:val="0"/>
        <w:snapToGrid w:val="0"/>
        <w:spacing w:line="360" w:lineRule="auto"/>
        <w:ind w:firstLineChars="0" w:firstLine="0"/>
        <w:jc w:val="both"/>
        <w:rPr>
          <w:rFonts w:ascii="Book Antiqua" w:hAnsi="Book Antiqua" w:cs="Times New Roman"/>
          <w:b/>
          <w:color w:val="000000"/>
          <w:sz w:val="24"/>
          <w:szCs w:val="24"/>
          <w:lang w:val="en-US" w:eastAsia="pl-PL"/>
        </w:rPr>
      </w:pPr>
    </w:p>
    <w:p w14:paraId="2CE84A30" w14:textId="3DA4382E" w:rsidR="007057E4" w:rsidRPr="00347522" w:rsidRDefault="007057E4" w:rsidP="00347522">
      <w:pPr>
        <w:adjustRightInd w:val="0"/>
        <w:snapToGrid w:val="0"/>
        <w:spacing w:line="360" w:lineRule="auto"/>
        <w:ind w:firstLineChars="0" w:firstLine="0"/>
        <w:jc w:val="both"/>
        <w:rPr>
          <w:rFonts w:ascii="Book Antiqua" w:hAnsi="Book Antiqua" w:cs="Times New Roman"/>
          <w:color w:val="000000"/>
          <w:sz w:val="24"/>
          <w:szCs w:val="24"/>
          <w:lang w:val="en-US"/>
        </w:rPr>
      </w:pPr>
      <w:r w:rsidRPr="00347522">
        <w:rPr>
          <w:rFonts w:ascii="Book Antiqua" w:hAnsi="Book Antiqua" w:cs="Times New Roman"/>
          <w:b/>
          <w:bCs/>
          <w:color w:val="000000"/>
          <w:sz w:val="24"/>
          <w:szCs w:val="24"/>
          <w:lang w:val="en-US"/>
        </w:rPr>
        <w:t>Key words:</w:t>
      </w:r>
      <w:r w:rsidRPr="00347522">
        <w:rPr>
          <w:rFonts w:ascii="Book Antiqua" w:hAnsi="Book Antiqua" w:cs="Times New Roman"/>
          <w:color w:val="000000"/>
          <w:sz w:val="24"/>
          <w:szCs w:val="24"/>
          <w:lang w:val="en-US"/>
        </w:rPr>
        <w:t xml:space="preserve"> Colorectal cancer; Mucins; </w:t>
      </w:r>
      <w:r w:rsidR="00120099" w:rsidRPr="00347522">
        <w:rPr>
          <w:rFonts w:ascii="Book Antiqua" w:hAnsi="Book Antiqua" w:cs="Times New Roman"/>
          <w:sz w:val="24"/>
          <w:szCs w:val="24"/>
          <w:lang w:val="en-US"/>
        </w:rPr>
        <w:t xml:space="preserve">Real-time quantitative </w:t>
      </w:r>
      <w:r w:rsidR="00BA1ABA" w:rsidRPr="00347522">
        <w:rPr>
          <w:rFonts w:ascii="Book Antiqua" w:hAnsi="Book Antiqua" w:cs="Times New Roman"/>
          <w:sz w:val="24"/>
          <w:szCs w:val="24"/>
          <w:lang w:val="en-US"/>
        </w:rPr>
        <w:t>polymerase chain reaction</w:t>
      </w:r>
      <w:r w:rsidRPr="00347522">
        <w:rPr>
          <w:rFonts w:ascii="Book Antiqua" w:hAnsi="Book Antiqua" w:cs="Times New Roman"/>
          <w:color w:val="000000"/>
          <w:sz w:val="24"/>
          <w:szCs w:val="24"/>
          <w:lang w:val="en-US"/>
        </w:rPr>
        <w:t>; Immunohistochemistry; HSV filter program</w:t>
      </w:r>
    </w:p>
    <w:p w14:paraId="6672E0FC"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bCs/>
          <w:sz w:val="24"/>
          <w:szCs w:val="24"/>
        </w:rPr>
      </w:pPr>
    </w:p>
    <w:p w14:paraId="7F97C3B6" w14:textId="7C3C17FF" w:rsidR="00120099" w:rsidRPr="00347522" w:rsidRDefault="00120099" w:rsidP="00347522">
      <w:pPr>
        <w:adjustRightInd w:val="0"/>
        <w:snapToGrid w:val="0"/>
        <w:spacing w:line="360" w:lineRule="auto"/>
        <w:ind w:firstLineChars="0" w:firstLine="0"/>
        <w:jc w:val="both"/>
        <w:rPr>
          <w:rFonts w:ascii="Book Antiqua" w:hAnsi="Book Antiqua"/>
          <w:sz w:val="24"/>
          <w:szCs w:val="24"/>
        </w:rPr>
      </w:pPr>
      <w:r w:rsidRPr="00347522">
        <w:rPr>
          <w:rFonts w:ascii="Book Antiqua" w:hAnsi="Book Antiqua"/>
          <w:b/>
          <w:sz w:val="24"/>
          <w:szCs w:val="24"/>
        </w:rPr>
        <w:t xml:space="preserve">© The Author(s) 2018. </w:t>
      </w:r>
      <w:r w:rsidRPr="00347522">
        <w:rPr>
          <w:rFonts w:ascii="Book Antiqua" w:hAnsi="Book Antiqua"/>
          <w:sz w:val="24"/>
          <w:szCs w:val="24"/>
        </w:rPr>
        <w:t>Published by Baishideng Publishing Group Inc. All rights reserved.</w:t>
      </w:r>
    </w:p>
    <w:p w14:paraId="28718DA5" w14:textId="77777777" w:rsidR="00120099" w:rsidRPr="00347522" w:rsidRDefault="00120099" w:rsidP="00347522">
      <w:pPr>
        <w:adjustRightInd w:val="0"/>
        <w:snapToGrid w:val="0"/>
        <w:spacing w:line="360" w:lineRule="auto"/>
        <w:ind w:firstLineChars="0" w:firstLine="0"/>
        <w:jc w:val="both"/>
        <w:rPr>
          <w:rFonts w:ascii="Book Antiqua" w:hAnsi="Book Antiqua" w:cs="Times New Roman"/>
          <w:b/>
          <w:bCs/>
          <w:sz w:val="24"/>
          <w:szCs w:val="24"/>
        </w:rPr>
      </w:pPr>
    </w:p>
    <w:p w14:paraId="602E23AC" w14:textId="3FB1C76E" w:rsidR="00FC31C7" w:rsidRPr="00347522" w:rsidRDefault="007057E4" w:rsidP="00347522">
      <w:pPr>
        <w:adjustRightInd w:val="0"/>
        <w:snapToGrid w:val="0"/>
        <w:spacing w:line="360" w:lineRule="auto"/>
        <w:ind w:firstLineChars="0" w:firstLine="0"/>
        <w:jc w:val="both"/>
        <w:rPr>
          <w:rFonts w:ascii="Book Antiqua" w:hAnsi="Book Antiqua" w:cs="Times New Roman"/>
          <w:b/>
          <w:bCs/>
          <w:sz w:val="24"/>
          <w:szCs w:val="24"/>
        </w:rPr>
      </w:pPr>
      <w:r w:rsidRPr="00347522">
        <w:rPr>
          <w:rFonts w:ascii="Book Antiqua" w:hAnsi="Book Antiqua" w:cs="Times New Roman"/>
          <w:b/>
          <w:bCs/>
          <w:sz w:val="24"/>
          <w:szCs w:val="24"/>
        </w:rPr>
        <w:t>Core tip</w:t>
      </w:r>
      <w:r w:rsidRPr="00347522">
        <w:rPr>
          <w:rFonts w:ascii="Book Antiqua" w:hAnsi="Book Antiqua" w:cs="Times New Roman"/>
          <w:sz w:val="24"/>
          <w:szCs w:val="24"/>
        </w:rPr>
        <w:t xml:space="preserve">: </w:t>
      </w:r>
      <w:r w:rsidRPr="00347522">
        <w:rPr>
          <w:rFonts w:ascii="Book Antiqua" w:hAnsi="Book Antiqua" w:cs="Times New Roman"/>
          <w:color w:val="000000"/>
          <w:sz w:val="24"/>
          <w:szCs w:val="24"/>
          <w:lang w:val="en-US"/>
        </w:rPr>
        <w:t xml:space="preserve">Colorectal cancers (CRC) represent the second most widely manifested malignant tumor worldwide in women and third in men. The evident expression of two mucins </w:t>
      </w:r>
      <w:r w:rsidR="00540F36" w:rsidRPr="00347522">
        <w:rPr>
          <w:rFonts w:ascii="Book Antiqua" w:hAnsi="Book Antiqua" w:cs="Times New Roman"/>
          <w:color w:val="000000" w:themeColor="text1"/>
          <w:sz w:val="24"/>
          <w:szCs w:val="24"/>
          <w:lang w:val="en-US"/>
        </w:rPr>
        <w:t>[mucin 1 (MUC1) and mucin 2 (MUC2)]</w:t>
      </w:r>
      <w:r w:rsidRPr="00347522">
        <w:rPr>
          <w:rFonts w:ascii="Book Antiqua" w:hAnsi="Book Antiqua" w:cs="Times New Roman"/>
          <w:color w:val="000000"/>
          <w:sz w:val="24"/>
          <w:szCs w:val="24"/>
          <w:lang w:val="en-US"/>
        </w:rPr>
        <w:t xml:space="preserve"> occurs in a normal and cancerous large intestine. </w:t>
      </w:r>
      <w:r w:rsidRPr="00347522">
        <w:rPr>
          <w:rFonts w:ascii="Book Antiqua" w:hAnsi="Book Antiqua" w:cs="Times New Roman"/>
          <w:sz w:val="24"/>
          <w:szCs w:val="24"/>
          <w:lang w:val="en-US"/>
        </w:rPr>
        <w:t>Using</w:t>
      </w:r>
      <w:r w:rsidR="00DF4849">
        <w:rPr>
          <w:rFonts w:ascii="Book Antiqua" w:hAnsi="Book Antiqua" w:cs="Times New Roman"/>
          <w:sz w:val="24"/>
          <w:szCs w:val="24"/>
          <w:lang w:val="en-US"/>
        </w:rPr>
        <w:t xml:space="preserve"> </w:t>
      </w:r>
      <w:r w:rsidR="00FD6873" w:rsidRPr="00347522">
        <w:rPr>
          <w:rFonts w:ascii="Book Antiqua" w:hAnsi="Book Antiqua" w:cs="Times New Roman"/>
          <w:sz w:val="24"/>
          <w:szCs w:val="24"/>
          <w:lang w:val="en-US"/>
        </w:rPr>
        <w:t>RT-qPCR</w:t>
      </w:r>
      <w:r w:rsidR="00DF4849">
        <w:rPr>
          <w:rFonts w:ascii="Book Antiqua" w:eastAsiaTheme="minorEastAsia" w:hAnsi="Book Antiqua" w:cs="Times New Roman" w:hint="eastAsia"/>
          <w:sz w:val="24"/>
          <w:szCs w:val="24"/>
          <w:lang w:val="en-US" w:eastAsia="zh-CN"/>
        </w:rPr>
        <w:t xml:space="preserve"> </w:t>
      </w:r>
      <w:r w:rsidRPr="00347522">
        <w:rPr>
          <w:rFonts w:ascii="Book Antiqua" w:hAnsi="Book Antiqua" w:cs="Times New Roman"/>
          <w:sz w:val="24"/>
          <w:szCs w:val="24"/>
          <w:lang w:val="en-US"/>
        </w:rPr>
        <w:t xml:space="preserve">analysis and </w:t>
      </w:r>
      <w:r w:rsidR="00CD5E56" w:rsidRPr="00347522">
        <w:rPr>
          <w:rFonts w:ascii="Book Antiqua" w:hAnsi="Book Antiqua" w:cs="Times New Roman"/>
          <w:sz w:val="24"/>
          <w:szCs w:val="24"/>
          <w:lang w:val="en-US"/>
        </w:rPr>
        <w:t>immuno</w:t>
      </w:r>
      <w:r w:rsidRPr="00347522">
        <w:rPr>
          <w:rFonts w:ascii="Book Antiqua" w:hAnsi="Book Antiqua" w:cs="Times New Roman"/>
          <w:sz w:val="24"/>
          <w:szCs w:val="24"/>
          <w:lang w:val="en-US"/>
        </w:rPr>
        <w:t xml:space="preserve">histochemistry we confirmed higher expression of the MUC1 mRNA, lower MUC2 protein, and higher </w:t>
      </w:r>
      <w:r w:rsidRPr="00347522">
        <w:rPr>
          <w:rFonts w:ascii="Book Antiqua" w:hAnsi="Book Antiqua" w:cs="Times New Roman"/>
          <w:color w:val="000000"/>
          <w:sz w:val="24"/>
          <w:szCs w:val="24"/>
          <w:lang w:val="en-US"/>
        </w:rPr>
        <w:t>MUC1/MUC2 expression ratio</w:t>
      </w:r>
      <w:r w:rsidRPr="00347522">
        <w:rPr>
          <w:rFonts w:ascii="Book Antiqua" w:hAnsi="Book Antiqua" w:cs="Times New Roman"/>
          <w:sz w:val="24"/>
          <w:szCs w:val="24"/>
          <w:lang w:val="en-US"/>
        </w:rPr>
        <w:t xml:space="preserve"> in CRC samples as compared to the control. MUC2 protein expression correlates with increased cellular proliferation. A combination of tissue overexpression of MUC1, reduced MUC2 expression, and high ratio of MUC1/MUC2 may be a useful factor of poor prognosis in CRC patients.</w:t>
      </w:r>
      <w:r w:rsidR="00FC31C7" w:rsidRPr="00347522">
        <w:rPr>
          <w:rFonts w:ascii="Book Antiqua" w:hAnsi="Book Antiqua" w:cs="Times New Roman"/>
          <w:sz w:val="24"/>
          <w:szCs w:val="24"/>
          <w:lang w:val="en-US"/>
        </w:rPr>
        <w:t xml:space="preserve"> </w:t>
      </w:r>
    </w:p>
    <w:p w14:paraId="686CF4BB"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color w:val="000000"/>
          <w:sz w:val="24"/>
          <w:szCs w:val="24"/>
          <w:lang w:val="en-US"/>
        </w:rPr>
      </w:pPr>
    </w:p>
    <w:p w14:paraId="07C0E715" w14:textId="1F16BFF1" w:rsidR="007057E4" w:rsidRPr="00347522" w:rsidRDefault="007057E4" w:rsidP="00347522">
      <w:pPr>
        <w:tabs>
          <w:tab w:val="left" w:pos="0"/>
        </w:tabs>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Kasprzak A, Siodla E, Andrzejewska M, Szmeja J, Seraszek-Jaros A, Cofta S</w:t>
      </w:r>
      <w:r w:rsidR="00580045" w:rsidRPr="00347522">
        <w:rPr>
          <w:rFonts w:ascii="Book Antiqua" w:hAnsi="Book Antiqua" w:cs="Times New Roman"/>
          <w:sz w:val="24"/>
          <w:szCs w:val="24"/>
          <w:lang w:val="en-US"/>
        </w:rPr>
        <w:t>, Szaflarski W</w:t>
      </w:r>
      <w:r w:rsidRPr="00347522">
        <w:rPr>
          <w:rFonts w:ascii="Book Antiqua" w:hAnsi="Book Antiqua" w:cs="Times New Roman"/>
          <w:sz w:val="24"/>
          <w:szCs w:val="24"/>
          <w:lang w:val="en-US"/>
        </w:rPr>
        <w:t xml:space="preserve">. </w:t>
      </w:r>
      <w:r w:rsidR="00580045" w:rsidRPr="00347522">
        <w:rPr>
          <w:rFonts w:ascii="Book Antiqua" w:hAnsi="Book Antiqua" w:cs="Times New Roman"/>
          <w:sz w:val="24"/>
          <w:szCs w:val="24"/>
          <w:lang w:val="en-US"/>
        </w:rPr>
        <w:t>Differen</w:t>
      </w:r>
      <w:r w:rsidR="00FC31C7" w:rsidRPr="00347522">
        <w:rPr>
          <w:rFonts w:ascii="Book Antiqua" w:hAnsi="Book Antiqua" w:cs="Times New Roman"/>
          <w:sz w:val="24"/>
          <w:szCs w:val="24"/>
          <w:lang w:val="en-US"/>
        </w:rPr>
        <w:t xml:space="preserve">tial </w:t>
      </w:r>
      <w:r w:rsidRPr="00347522">
        <w:rPr>
          <w:rFonts w:ascii="Book Antiqua" w:hAnsi="Book Antiqua" w:cs="Times New Roman"/>
          <w:sz w:val="24"/>
          <w:szCs w:val="24"/>
          <w:lang w:val="en-US"/>
        </w:rPr>
        <w:t xml:space="preserve">expression of </w:t>
      </w:r>
      <w:r w:rsidR="00B924FE" w:rsidRPr="00347522">
        <w:rPr>
          <w:rFonts w:ascii="Book Antiqua" w:hAnsi="Book Antiqua" w:cs="Times New Roman"/>
          <w:sz w:val="24"/>
          <w:szCs w:val="24"/>
          <w:lang w:val="en-US"/>
        </w:rPr>
        <w:t xml:space="preserve">mucin 1 </w:t>
      </w:r>
      <w:r w:rsidRPr="00347522">
        <w:rPr>
          <w:rFonts w:ascii="Book Antiqua" w:hAnsi="Book Antiqua" w:cs="Times New Roman"/>
          <w:sz w:val="24"/>
          <w:szCs w:val="24"/>
          <w:lang w:val="en-US"/>
        </w:rPr>
        <w:t xml:space="preserve">and </w:t>
      </w:r>
      <w:r w:rsidR="00B924FE" w:rsidRPr="00347522">
        <w:rPr>
          <w:rFonts w:ascii="Book Antiqua" w:hAnsi="Book Antiqua" w:cs="Times New Roman"/>
          <w:sz w:val="24"/>
          <w:szCs w:val="24"/>
          <w:lang w:val="en-US"/>
        </w:rPr>
        <w:t xml:space="preserve">mucin 2 </w:t>
      </w:r>
      <w:r w:rsidRPr="00347522">
        <w:rPr>
          <w:rFonts w:ascii="Book Antiqua" w:hAnsi="Book Antiqua" w:cs="Times New Roman"/>
          <w:sz w:val="24"/>
          <w:szCs w:val="24"/>
          <w:lang w:val="en-US"/>
        </w:rPr>
        <w:t>in colorectal cancer</w:t>
      </w:r>
      <w:r w:rsidR="00120099" w:rsidRPr="00347522">
        <w:rPr>
          <w:rFonts w:ascii="Book Antiqua" w:hAnsi="Book Antiqua" w:cs="Times New Roman"/>
          <w:sz w:val="24"/>
          <w:szCs w:val="24"/>
          <w:lang w:val="en-US"/>
        </w:rPr>
        <w:t>.</w:t>
      </w:r>
      <w:r w:rsidR="00120099" w:rsidRPr="00347522">
        <w:rPr>
          <w:rFonts w:ascii="Book Antiqua" w:hAnsi="Book Antiqua"/>
          <w:i/>
          <w:color w:val="000000"/>
          <w:sz w:val="24"/>
          <w:szCs w:val="24"/>
        </w:rPr>
        <w:t xml:space="preserve"> </w:t>
      </w:r>
      <w:bookmarkStart w:id="18" w:name="OLE_LINK1105"/>
      <w:bookmarkStart w:id="19" w:name="OLE_LINK1107"/>
      <w:r w:rsidR="00120099" w:rsidRPr="00347522">
        <w:rPr>
          <w:rFonts w:ascii="Book Antiqua" w:hAnsi="Book Antiqua"/>
          <w:i/>
          <w:color w:val="000000"/>
          <w:sz w:val="24"/>
          <w:szCs w:val="24"/>
        </w:rPr>
        <w:t xml:space="preserve">World J Gastroenterol </w:t>
      </w:r>
      <w:r w:rsidR="00120099" w:rsidRPr="00347522">
        <w:rPr>
          <w:rFonts w:ascii="Book Antiqua" w:hAnsi="Book Antiqua"/>
          <w:color w:val="000000"/>
          <w:sz w:val="24"/>
          <w:szCs w:val="24"/>
        </w:rPr>
        <w:t>2018; In press</w:t>
      </w:r>
      <w:bookmarkEnd w:id="18"/>
      <w:bookmarkEnd w:id="19"/>
    </w:p>
    <w:p w14:paraId="0E6DCADA"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bCs/>
          <w:sz w:val="24"/>
          <w:szCs w:val="24"/>
          <w:lang w:val="en-US"/>
        </w:rPr>
      </w:pPr>
      <w:r w:rsidRPr="00347522">
        <w:rPr>
          <w:rFonts w:ascii="Book Antiqua" w:hAnsi="Book Antiqua" w:cs="Times New Roman"/>
          <w:b/>
          <w:bCs/>
          <w:color w:val="000000"/>
          <w:sz w:val="24"/>
          <w:szCs w:val="24"/>
          <w:lang w:val="en-US"/>
        </w:rPr>
        <w:br w:type="page"/>
      </w:r>
      <w:r w:rsidRPr="00347522">
        <w:rPr>
          <w:rFonts w:ascii="Book Antiqua" w:hAnsi="Book Antiqua" w:cs="Times New Roman"/>
          <w:b/>
          <w:bCs/>
          <w:sz w:val="24"/>
          <w:szCs w:val="24"/>
          <w:lang w:val="en-US"/>
        </w:rPr>
        <w:lastRenderedPageBreak/>
        <w:t xml:space="preserve">INTRODUCTION </w:t>
      </w:r>
    </w:p>
    <w:p w14:paraId="7F43FCF2" w14:textId="438DF5AE"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Colorectal cancer (CRC) is diagnosed in more than 1.3 million people worldwide, annually, with the number steadily increasing. Currently globally, this cancer is the third most common cancer in men and second most common in women</w:t>
      </w:r>
      <w:r w:rsidR="00FC31C7" w:rsidRPr="00347522">
        <w:rPr>
          <w:rFonts w:ascii="Book Antiqua" w:hAnsi="Book Antiqua" w:cs="Times New Roman"/>
          <w:sz w:val="24"/>
          <w:szCs w:val="24"/>
          <w:vertAlign w:val="superscript"/>
          <w:lang w:val="en-US"/>
        </w:rPr>
        <w:t>[1]</w:t>
      </w:r>
      <w:r w:rsidRPr="00347522">
        <w:rPr>
          <w:rFonts w:ascii="Book Antiqua" w:hAnsi="Book Antiqua" w:cs="Times New Roman"/>
          <w:sz w:val="24"/>
          <w:szCs w:val="24"/>
          <w:lang w:val="en-US"/>
        </w:rPr>
        <w:t xml:space="preserve">. In Poland </w:t>
      </w:r>
      <w:r w:rsidR="00FC31C7" w:rsidRPr="00347522">
        <w:rPr>
          <w:rFonts w:ascii="Book Antiqua" w:hAnsi="Book Antiqua" w:cs="Times New Roman"/>
          <w:sz w:val="24"/>
          <w:szCs w:val="24"/>
          <w:lang w:val="en-US"/>
        </w:rPr>
        <w:t>CRC is the second most common cancer in men and woman</w:t>
      </w:r>
      <w:r w:rsidR="00154EF8" w:rsidRPr="00347522">
        <w:rPr>
          <w:rFonts w:ascii="Book Antiqua" w:hAnsi="Book Antiqua" w:cs="Times New Roman"/>
          <w:sz w:val="24"/>
          <w:szCs w:val="24"/>
          <w:lang w:val="en-US"/>
        </w:rPr>
        <w:t>, with the third leading causes of cancer deaths in Greater Poland Region</w:t>
      </w:r>
      <w:r w:rsidRPr="00347522">
        <w:rPr>
          <w:rFonts w:ascii="Book Antiqua" w:hAnsi="Book Antiqua" w:cs="Times New Roman"/>
          <w:sz w:val="24"/>
          <w:szCs w:val="24"/>
          <w:vertAlign w:val="superscript"/>
          <w:lang w:val="en-US"/>
        </w:rPr>
        <w:t>[2]</w:t>
      </w:r>
      <w:r w:rsidRPr="00347522">
        <w:rPr>
          <w:rFonts w:ascii="Book Antiqua" w:hAnsi="Book Antiqua" w:cs="Times New Roman"/>
          <w:sz w:val="24"/>
          <w:szCs w:val="24"/>
          <w:lang w:val="en-US"/>
        </w:rPr>
        <w:t>.</w:t>
      </w:r>
      <w:r w:rsidR="00BA1ABA" w:rsidRPr="00347522">
        <w:rPr>
          <w:rFonts w:ascii="Book Antiqua" w:hAnsi="Book Antiqua" w:cs="Times New Roman"/>
          <w:sz w:val="24"/>
          <w:szCs w:val="24"/>
          <w:lang w:val="en-US"/>
        </w:rPr>
        <w:t xml:space="preserve"> </w:t>
      </w:r>
      <w:r w:rsidRPr="00347522">
        <w:rPr>
          <w:rFonts w:ascii="Book Antiqua" w:hAnsi="Book Antiqua" w:cs="Times New Roman"/>
          <w:sz w:val="24"/>
          <w:szCs w:val="24"/>
          <w:lang w:val="en-US"/>
        </w:rPr>
        <w:t>While genetic factors play a major role in etiopathogenesis of CRC, the basis of most the cases of that cancer is unclear. Considering mutation source, CRC is classified as sporadic (70%), hereditary (25%) and congenital (3</w:t>
      </w:r>
      <w:r w:rsidR="00D92161" w:rsidRPr="00347522">
        <w:rPr>
          <w:rFonts w:ascii="Book Antiqua" w:hAnsi="Book Antiqua" w:cs="Times New Roman"/>
          <w:sz w:val="24"/>
          <w:szCs w:val="24"/>
          <w:lang w:val="en-US"/>
        </w:rPr>
        <w:t>%</w:t>
      </w:r>
      <w:r w:rsidRPr="00347522">
        <w:rPr>
          <w:rFonts w:ascii="Book Antiqua" w:hAnsi="Book Antiqua" w:cs="Times New Roman"/>
          <w:sz w:val="24"/>
          <w:szCs w:val="24"/>
          <w:lang w:val="en-US"/>
        </w:rPr>
        <w:t>-5%)</w:t>
      </w:r>
      <w:r w:rsidRPr="00347522">
        <w:rPr>
          <w:rFonts w:ascii="Book Antiqua" w:hAnsi="Book Antiqua" w:cs="Times New Roman"/>
          <w:sz w:val="24"/>
          <w:szCs w:val="24"/>
          <w:vertAlign w:val="superscript"/>
          <w:lang w:val="en-US"/>
        </w:rPr>
        <w:t>[1,3]</w:t>
      </w:r>
      <w:r w:rsidRPr="00347522">
        <w:rPr>
          <w:rFonts w:ascii="Book Antiqua" w:hAnsi="Book Antiqua" w:cs="Times New Roman"/>
          <w:sz w:val="24"/>
          <w:szCs w:val="24"/>
          <w:lang w:val="en-US"/>
        </w:rPr>
        <w:t xml:space="preserve">. </w:t>
      </w:r>
      <w:r w:rsidR="00B428CE" w:rsidRPr="00347522">
        <w:rPr>
          <w:rFonts w:ascii="Book Antiqua" w:hAnsi="Book Antiqua" w:cs="Times New Roman"/>
          <w:sz w:val="24"/>
          <w:szCs w:val="24"/>
          <w:lang w:val="en-US"/>
        </w:rPr>
        <w:t xml:space="preserve">Among the main pathologic alterations in CRC </w:t>
      </w:r>
      <w:r w:rsidR="004E6274" w:rsidRPr="00347522">
        <w:rPr>
          <w:rFonts w:ascii="Book Antiqua" w:hAnsi="Book Antiqua" w:cs="Times New Roman"/>
          <w:sz w:val="24"/>
          <w:szCs w:val="24"/>
          <w:lang w:val="en-US"/>
        </w:rPr>
        <w:t>are q</w:t>
      </w:r>
      <w:r w:rsidR="002D31E1" w:rsidRPr="00347522">
        <w:rPr>
          <w:rFonts w:ascii="Book Antiqua" w:hAnsi="Book Antiqua" w:cs="Times New Roman"/>
          <w:sz w:val="24"/>
          <w:szCs w:val="24"/>
          <w:lang w:val="en-US"/>
        </w:rPr>
        <w:t>uantitative and qualitative change</w:t>
      </w:r>
      <w:r w:rsidR="004E6274" w:rsidRPr="00347522">
        <w:rPr>
          <w:rFonts w:ascii="Book Antiqua" w:hAnsi="Book Antiqua" w:cs="Times New Roman"/>
          <w:sz w:val="24"/>
          <w:szCs w:val="24"/>
          <w:lang w:val="en-US"/>
        </w:rPr>
        <w:t>s</w:t>
      </w:r>
      <w:r w:rsidR="002D31E1" w:rsidRPr="00347522">
        <w:rPr>
          <w:rFonts w:ascii="Book Antiqua" w:hAnsi="Book Antiqua" w:cs="Times New Roman"/>
          <w:sz w:val="24"/>
          <w:szCs w:val="24"/>
          <w:lang w:val="en-US"/>
        </w:rPr>
        <w:t xml:space="preserve"> in </w:t>
      </w:r>
      <w:r w:rsidR="004E6274" w:rsidRPr="00347522">
        <w:rPr>
          <w:rFonts w:ascii="Book Antiqua" w:hAnsi="Book Antiqua" w:cs="Times New Roman"/>
          <w:sz w:val="24"/>
          <w:szCs w:val="24"/>
          <w:lang w:val="en-US"/>
        </w:rPr>
        <w:t xml:space="preserve">glycoproteins called </w:t>
      </w:r>
      <w:r w:rsidR="002D31E1" w:rsidRPr="00347522">
        <w:rPr>
          <w:rFonts w:ascii="Book Antiqua" w:hAnsi="Book Antiqua" w:cs="Times New Roman"/>
          <w:sz w:val="24"/>
          <w:szCs w:val="24"/>
          <w:lang w:val="en-US"/>
        </w:rPr>
        <w:t>mucins</w:t>
      </w:r>
      <w:r w:rsidR="002D31E1" w:rsidRPr="00347522">
        <w:rPr>
          <w:rFonts w:ascii="Book Antiqua" w:hAnsi="Book Antiqua" w:cs="Times New Roman"/>
          <w:sz w:val="24"/>
          <w:szCs w:val="24"/>
          <w:vertAlign w:val="superscript"/>
          <w:lang w:val="en-US"/>
        </w:rPr>
        <w:t>[4-6]</w:t>
      </w:r>
      <w:r w:rsidR="002D31E1" w:rsidRPr="00347522">
        <w:rPr>
          <w:rFonts w:ascii="Book Antiqua" w:hAnsi="Book Antiqua" w:cs="Times New Roman"/>
          <w:sz w:val="24"/>
          <w:szCs w:val="24"/>
          <w:lang w:val="en-US"/>
        </w:rPr>
        <w:t>.</w:t>
      </w:r>
      <w:r w:rsidR="009363DD" w:rsidRPr="00347522">
        <w:rPr>
          <w:rFonts w:ascii="Book Antiqua" w:hAnsi="Book Antiqua" w:cs="Times New Roman"/>
          <w:sz w:val="24"/>
          <w:szCs w:val="24"/>
          <w:lang w:val="en-US"/>
        </w:rPr>
        <w:t xml:space="preserve"> </w:t>
      </w:r>
      <w:r w:rsidR="004065A6" w:rsidRPr="00347522">
        <w:rPr>
          <w:rFonts w:ascii="Book Antiqua" w:hAnsi="Book Antiqua" w:cs="Times New Roman"/>
          <w:sz w:val="24"/>
          <w:szCs w:val="24"/>
          <w:lang w:val="en-US"/>
        </w:rPr>
        <w:t>Qua</w:t>
      </w:r>
      <w:r w:rsidR="00293311" w:rsidRPr="00347522">
        <w:rPr>
          <w:rFonts w:ascii="Book Antiqua" w:hAnsi="Book Antiqua" w:cs="Times New Roman"/>
          <w:sz w:val="24"/>
          <w:szCs w:val="24"/>
          <w:lang w:val="en-US"/>
        </w:rPr>
        <w:t>l</w:t>
      </w:r>
      <w:r w:rsidR="004065A6" w:rsidRPr="00347522">
        <w:rPr>
          <w:rFonts w:ascii="Book Antiqua" w:hAnsi="Book Antiqua" w:cs="Times New Roman"/>
          <w:sz w:val="24"/>
          <w:szCs w:val="24"/>
          <w:lang w:val="en-US"/>
        </w:rPr>
        <w:t>itative alterations of mucins include carbohydrate groups, as well as apomucin molecules</w:t>
      </w:r>
      <w:r w:rsidR="004065A6" w:rsidRPr="00347522">
        <w:rPr>
          <w:rFonts w:ascii="Book Antiqua" w:hAnsi="Book Antiqua" w:cs="Times New Roman"/>
          <w:sz w:val="24"/>
          <w:szCs w:val="24"/>
          <w:vertAlign w:val="superscript"/>
          <w:lang w:val="en-US"/>
        </w:rPr>
        <w:t>[</w:t>
      </w:r>
      <w:r w:rsidR="00293311" w:rsidRPr="00347522">
        <w:rPr>
          <w:rFonts w:ascii="Book Antiqua" w:hAnsi="Book Antiqua" w:cs="Times New Roman"/>
          <w:sz w:val="24"/>
          <w:szCs w:val="24"/>
          <w:vertAlign w:val="superscript"/>
          <w:lang w:val="en-US"/>
        </w:rPr>
        <w:t>4,7-</w:t>
      </w:r>
      <w:r w:rsidR="004065A6" w:rsidRPr="00347522">
        <w:rPr>
          <w:rFonts w:ascii="Book Antiqua" w:hAnsi="Book Antiqua" w:cs="Times New Roman"/>
          <w:sz w:val="24"/>
          <w:szCs w:val="24"/>
          <w:vertAlign w:val="superscript"/>
          <w:lang w:val="en-US"/>
        </w:rPr>
        <w:t>9]</w:t>
      </w:r>
      <w:r w:rsidR="004065A6" w:rsidRPr="00347522">
        <w:rPr>
          <w:rFonts w:ascii="Book Antiqua" w:hAnsi="Book Antiqua" w:cs="Times New Roman"/>
          <w:sz w:val="24"/>
          <w:szCs w:val="24"/>
          <w:lang w:val="en-US"/>
        </w:rPr>
        <w:t>.</w:t>
      </w:r>
      <w:r w:rsidR="00293311" w:rsidRPr="00347522">
        <w:rPr>
          <w:rFonts w:ascii="Book Antiqua" w:hAnsi="Book Antiqua" w:cs="Times New Roman"/>
          <w:sz w:val="24"/>
          <w:szCs w:val="24"/>
          <w:lang w:val="en-US"/>
        </w:rPr>
        <w:t xml:space="preserve"> </w:t>
      </w:r>
      <w:r w:rsidRPr="00347522">
        <w:rPr>
          <w:rFonts w:ascii="Book Antiqua" w:hAnsi="Book Antiqua" w:cs="Times New Roman"/>
          <w:sz w:val="24"/>
          <w:szCs w:val="24"/>
          <w:lang w:val="en-US"/>
        </w:rPr>
        <w:t xml:space="preserve">The majority of CRC are </w:t>
      </w:r>
      <w:r w:rsidR="00501EE9" w:rsidRPr="00347522">
        <w:rPr>
          <w:rFonts w:ascii="Book Antiqua" w:hAnsi="Book Antiqua" w:cs="Times New Roman"/>
          <w:sz w:val="24"/>
          <w:szCs w:val="24"/>
          <w:lang w:val="en-US"/>
        </w:rPr>
        <w:t xml:space="preserve">nonmucinous </w:t>
      </w:r>
      <w:r w:rsidRPr="00347522">
        <w:rPr>
          <w:rFonts w:ascii="Book Antiqua" w:hAnsi="Book Antiqua" w:cs="Times New Roman"/>
          <w:sz w:val="24"/>
          <w:szCs w:val="24"/>
          <w:lang w:val="en-US"/>
        </w:rPr>
        <w:t>adenocarcinomas (</w:t>
      </w:r>
      <w:r w:rsidR="00BA1ABA" w:rsidRPr="00347522">
        <w:rPr>
          <w:rFonts w:ascii="Book Antiqua" w:hAnsi="Book Antiqua" w:cs="Times New Roman"/>
          <w:sz w:val="24"/>
          <w:szCs w:val="24"/>
          <w:lang w:val="en-US"/>
        </w:rPr>
        <w:t xml:space="preserve">approximately </w:t>
      </w:r>
      <w:r w:rsidRPr="00347522">
        <w:rPr>
          <w:rFonts w:ascii="Book Antiqua" w:hAnsi="Book Antiqua" w:cs="Times New Roman"/>
          <w:sz w:val="24"/>
          <w:szCs w:val="24"/>
          <w:lang w:val="en-US"/>
        </w:rPr>
        <w:t>80%)</w:t>
      </w:r>
      <w:r w:rsidR="004E6274" w:rsidRPr="00347522">
        <w:rPr>
          <w:rFonts w:ascii="Book Antiqua" w:hAnsi="Book Antiqua" w:cs="Times New Roman"/>
          <w:sz w:val="24"/>
          <w:szCs w:val="24"/>
          <w:lang w:val="en-US"/>
        </w:rPr>
        <w:t xml:space="preserve">. </w:t>
      </w:r>
      <w:r w:rsidR="004065A6" w:rsidRPr="00347522">
        <w:rPr>
          <w:rFonts w:ascii="Book Antiqua" w:hAnsi="Book Antiqua" w:cs="Times New Roman"/>
          <w:sz w:val="24"/>
          <w:szCs w:val="24"/>
          <w:lang w:val="en-US"/>
        </w:rPr>
        <w:t xml:space="preserve">A mucinous </w:t>
      </w:r>
      <w:r w:rsidR="007B13D9" w:rsidRPr="00347522">
        <w:rPr>
          <w:rFonts w:ascii="Book Antiqua" w:hAnsi="Book Antiqua" w:cs="Times New Roman"/>
          <w:sz w:val="24"/>
          <w:szCs w:val="24"/>
          <w:lang w:val="en-US"/>
        </w:rPr>
        <w:t>adeno</w:t>
      </w:r>
      <w:r w:rsidR="004065A6" w:rsidRPr="00347522">
        <w:rPr>
          <w:rFonts w:ascii="Book Antiqua" w:hAnsi="Book Antiqua" w:cs="Times New Roman"/>
          <w:sz w:val="24"/>
          <w:szCs w:val="24"/>
          <w:lang w:val="en-US"/>
        </w:rPr>
        <w:t xml:space="preserve">carcinoma is a histological subtype of CRC with poorer prognosis than </w:t>
      </w:r>
      <w:r w:rsidR="005479B9" w:rsidRPr="00347522">
        <w:rPr>
          <w:rFonts w:ascii="Book Antiqua" w:hAnsi="Book Antiqua" w:cs="Times New Roman"/>
          <w:sz w:val="24"/>
          <w:szCs w:val="24"/>
          <w:lang w:val="en-US"/>
        </w:rPr>
        <w:t>aforementioned</w:t>
      </w:r>
      <w:r w:rsidR="004065A6" w:rsidRPr="00347522">
        <w:rPr>
          <w:rFonts w:ascii="Book Antiqua" w:hAnsi="Book Antiqua" w:cs="Times New Roman"/>
          <w:sz w:val="24"/>
          <w:szCs w:val="24"/>
          <w:lang w:val="en-US"/>
        </w:rPr>
        <w:t xml:space="preserve">. </w:t>
      </w:r>
      <w:r w:rsidR="00293311" w:rsidRPr="00347522">
        <w:rPr>
          <w:rFonts w:ascii="Book Antiqua" w:hAnsi="Book Antiqua" w:cs="Times New Roman"/>
          <w:sz w:val="24"/>
          <w:szCs w:val="24"/>
          <w:lang w:val="en-US"/>
        </w:rPr>
        <w:t xml:space="preserve">Quantitative changes </w:t>
      </w:r>
      <w:r w:rsidRPr="00347522">
        <w:rPr>
          <w:rFonts w:ascii="Book Antiqua" w:hAnsi="Book Antiqua" w:cs="Times New Roman"/>
          <w:sz w:val="24"/>
          <w:szCs w:val="24"/>
          <w:lang w:val="en-US"/>
        </w:rPr>
        <w:t xml:space="preserve">identified in </w:t>
      </w:r>
      <w:r w:rsidR="005479B9" w:rsidRPr="00347522">
        <w:rPr>
          <w:rFonts w:ascii="Book Antiqua" w:hAnsi="Book Antiqua" w:cs="Times New Roman"/>
          <w:sz w:val="24"/>
          <w:szCs w:val="24"/>
          <w:lang w:val="en-US"/>
        </w:rPr>
        <w:t xml:space="preserve">nonmucinous </w:t>
      </w:r>
      <w:r w:rsidRPr="00347522">
        <w:rPr>
          <w:rFonts w:ascii="Book Antiqua" w:hAnsi="Book Antiqua" w:cs="Times New Roman"/>
          <w:sz w:val="24"/>
          <w:szCs w:val="24"/>
          <w:lang w:val="en-US"/>
        </w:rPr>
        <w:t>adenocarcinomas concern a reduction in total mucus output. In contrast, mucinous carcinomas are hypersecretory for mucus</w:t>
      </w:r>
      <w:r w:rsidRPr="00347522">
        <w:rPr>
          <w:rFonts w:ascii="Book Antiqua" w:hAnsi="Book Antiqua" w:cs="Times New Roman"/>
          <w:sz w:val="24"/>
          <w:szCs w:val="24"/>
          <w:vertAlign w:val="superscript"/>
          <w:lang w:val="en-US"/>
        </w:rPr>
        <w:t>[4]</w:t>
      </w:r>
      <w:r w:rsidRPr="00347522">
        <w:rPr>
          <w:rFonts w:ascii="Book Antiqua" w:hAnsi="Book Antiqua" w:cs="Times New Roman"/>
          <w:sz w:val="24"/>
          <w:szCs w:val="24"/>
          <w:lang w:val="en-US"/>
        </w:rPr>
        <w:t>.</w:t>
      </w:r>
    </w:p>
    <w:p w14:paraId="6E4BDBA7" w14:textId="111204D3" w:rsidR="007057E4" w:rsidRPr="00347522" w:rsidRDefault="002E6CB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According to modern proteomics, </w:t>
      </w:r>
      <w:r w:rsidR="005479B9" w:rsidRPr="00347522">
        <w:rPr>
          <w:rFonts w:ascii="Book Antiqua" w:hAnsi="Book Antiqua" w:cs="Times New Roman"/>
          <w:sz w:val="24"/>
          <w:szCs w:val="24"/>
          <w:lang w:val="en-US"/>
        </w:rPr>
        <w:t>the secreted mucin</w:t>
      </w:r>
      <w:r w:rsidR="00BA1ABA" w:rsidRPr="00347522">
        <w:rPr>
          <w:rFonts w:ascii="Book Antiqua" w:hAnsi="Book Antiqua" w:cs="Times New Roman"/>
          <w:sz w:val="24"/>
          <w:szCs w:val="24"/>
          <w:lang w:val="en-US"/>
        </w:rPr>
        <w:t xml:space="preserve">, </w:t>
      </w:r>
      <w:r w:rsidR="00BA1ABA" w:rsidRPr="00347522">
        <w:rPr>
          <w:rFonts w:ascii="Book Antiqua" w:hAnsi="Book Antiqua" w:cs="Times New Roman"/>
          <w:color w:val="000000" w:themeColor="text1"/>
          <w:sz w:val="24"/>
          <w:szCs w:val="24"/>
          <w:lang w:val="en-US"/>
        </w:rPr>
        <w:t>mucin 2 (MUC2)</w:t>
      </w:r>
      <w:r w:rsidR="007057E4" w:rsidRPr="00347522">
        <w:rPr>
          <w:rFonts w:ascii="Book Antiqua" w:hAnsi="Book Antiqua" w:cs="Times New Roman"/>
          <w:sz w:val="24"/>
          <w:szCs w:val="24"/>
          <w:lang w:val="en-US"/>
        </w:rPr>
        <w:t xml:space="preserve"> is the main constituent of intestinal mucus, produced </w:t>
      </w:r>
      <w:r w:rsidR="00501EE9" w:rsidRPr="00347522">
        <w:rPr>
          <w:rFonts w:ascii="Book Antiqua" w:hAnsi="Book Antiqua" w:cs="Times New Roman"/>
          <w:sz w:val="24"/>
          <w:szCs w:val="24"/>
          <w:lang w:val="en-US"/>
        </w:rPr>
        <w:t xml:space="preserve">mainly </w:t>
      </w:r>
      <w:r w:rsidR="007057E4" w:rsidRPr="00347522">
        <w:rPr>
          <w:rFonts w:ascii="Book Antiqua" w:hAnsi="Book Antiqua" w:cs="Times New Roman"/>
          <w:sz w:val="24"/>
          <w:szCs w:val="24"/>
          <w:lang w:val="en-US"/>
        </w:rPr>
        <w:t>by the goblet cells of the small and large intestine and playing a critical protective role</w:t>
      </w:r>
      <w:r w:rsidR="007057E4" w:rsidRPr="00347522">
        <w:rPr>
          <w:rFonts w:ascii="Book Antiqua" w:hAnsi="Book Antiqua" w:cs="Times New Roman"/>
          <w:sz w:val="24"/>
          <w:szCs w:val="24"/>
          <w:vertAlign w:val="superscript"/>
          <w:lang w:val="en-US"/>
        </w:rPr>
        <w:t>[4,10</w:t>
      </w:r>
      <w:r w:rsidR="002D31E1" w:rsidRPr="00347522">
        <w:rPr>
          <w:rFonts w:ascii="Book Antiqua" w:hAnsi="Book Antiqua" w:cs="Times New Roman"/>
          <w:sz w:val="24"/>
          <w:szCs w:val="24"/>
          <w:vertAlign w:val="superscript"/>
          <w:lang w:val="en-US"/>
        </w:rPr>
        <w:t>-12</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w:t>
      </w:r>
      <w:r w:rsidR="005479B9" w:rsidRPr="00347522">
        <w:rPr>
          <w:rFonts w:ascii="Book Antiqua" w:hAnsi="Book Antiqua" w:cs="Times New Roman"/>
          <w:sz w:val="24"/>
          <w:szCs w:val="24"/>
          <w:lang w:val="en-US"/>
        </w:rPr>
        <w:t xml:space="preserve">Membrane-associated </w:t>
      </w:r>
      <w:r w:rsidR="00BA1ABA" w:rsidRPr="00347522">
        <w:rPr>
          <w:rFonts w:ascii="Book Antiqua" w:hAnsi="Book Antiqua" w:cs="Times New Roman"/>
          <w:color w:val="000000" w:themeColor="text1"/>
          <w:sz w:val="24"/>
          <w:szCs w:val="24"/>
          <w:lang w:val="en-US"/>
        </w:rPr>
        <w:t>mucin 1 (MUC1)</w:t>
      </w:r>
      <w:r w:rsidR="007057E4" w:rsidRPr="00347522">
        <w:rPr>
          <w:rFonts w:ascii="Book Antiqua" w:hAnsi="Book Antiqua" w:cs="Times New Roman"/>
          <w:sz w:val="24"/>
          <w:szCs w:val="24"/>
          <w:lang w:val="en-US"/>
        </w:rPr>
        <w:t xml:space="preserve"> (episialin), in contrast, is widely expressed by normal glandular epithelial cells, with its </w:t>
      </w:r>
      <w:r w:rsidR="005479B9" w:rsidRPr="00347522">
        <w:rPr>
          <w:rFonts w:ascii="Book Antiqua" w:hAnsi="Book Antiqua" w:cs="Times New Roman"/>
          <w:sz w:val="24"/>
          <w:szCs w:val="24"/>
          <w:lang w:val="en-US"/>
        </w:rPr>
        <w:t xml:space="preserve">high </w:t>
      </w:r>
      <w:r w:rsidR="007057E4" w:rsidRPr="00347522">
        <w:rPr>
          <w:rFonts w:ascii="Book Antiqua" w:hAnsi="Book Antiqua" w:cs="Times New Roman"/>
          <w:sz w:val="24"/>
          <w:szCs w:val="24"/>
          <w:lang w:val="en-US"/>
        </w:rPr>
        <w:t xml:space="preserve">expression </w:t>
      </w:r>
      <w:r w:rsidR="005479B9" w:rsidRPr="00347522">
        <w:rPr>
          <w:rFonts w:ascii="Book Antiqua" w:hAnsi="Book Antiqua" w:cs="Times New Roman"/>
          <w:sz w:val="24"/>
          <w:szCs w:val="24"/>
          <w:lang w:val="en-US"/>
        </w:rPr>
        <w:t xml:space="preserve">in </w:t>
      </w:r>
      <w:r w:rsidR="007057E4" w:rsidRPr="00347522">
        <w:rPr>
          <w:rFonts w:ascii="Book Antiqua" w:hAnsi="Book Antiqua" w:cs="Times New Roman"/>
          <w:sz w:val="24"/>
          <w:szCs w:val="24"/>
          <w:lang w:val="en-US"/>
        </w:rPr>
        <w:t xml:space="preserve">malignant </w:t>
      </w:r>
      <w:r w:rsidR="005479B9" w:rsidRPr="00347522">
        <w:rPr>
          <w:rFonts w:ascii="Book Antiqua" w:hAnsi="Book Antiqua" w:cs="Times New Roman"/>
          <w:sz w:val="24"/>
          <w:szCs w:val="24"/>
          <w:lang w:val="en-US"/>
        </w:rPr>
        <w:t>cells</w:t>
      </w:r>
      <w:r w:rsidR="007057E4" w:rsidRPr="00347522">
        <w:rPr>
          <w:rFonts w:ascii="Book Antiqua" w:hAnsi="Book Antiqua" w:cs="Times New Roman"/>
          <w:sz w:val="24"/>
          <w:szCs w:val="24"/>
          <w:vertAlign w:val="superscript"/>
          <w:lang w:val="en-US"/>
        </w:rPr>
        <w:t>[4,6]</w:t>
      </w:r>
      <w:r w:rsidR="007057E4" w:rsidRPr="00347522">
        <w:rPr>
          <w:rFonts w:ascii="Book Antiqua" w:hAnsi="Book Antiqua" w:cs="Times New Roman"/>
          <w:sz w:val="24"/>
          <w:szCs w:val="24"/>
          <w:lang w:val="en-US"/>
        </w:rPr>
        <w:t>. Structural changes of the MUC1, observed in the course of carcinogenesis, lead to the activation of signaling pathways such as: MAPK, PI3K/Akt, and Wnt</w:t>
      </w:r>
      <w:r w:rsidR="007057E4" w:rsidRPr="00347522">
        <w:rPr>
          <w:rFonts w:ascii="Book Antiqua" w:hAnsi="Book Antiqua" w:cs="Times New Roman"/>
          <w:sz w:val="24"/>
          <w:szCs w:val="24"/>
          <w:vertAlign w:val="superscript"/>
          <w:lang w:val="en-US"/>
        </w:rPr>
        <w:t>[6,13]</w:t>
      </w:r>
      <w:r w:rsidR="007057E4" w:rsidRPr="00347522">
        <w:rPr>
          <w:rFonts w:ascii="Book Antiqua" w:hAnsi="Book Antiqua" w:cs="Times New Roman"/>
          <w:sz w:val="24"/>
          <w:szCs w:val="24"/>
          <w:lang w:val="en-US"/>
        </w:rPr>
        <w:t>. In the blood serum of cancer patients, the MUC1-N subunits, CA 15.3 and CA 19.9 antigens can be detected, while the MUC1 itself was second among the top 75 Tumor-Associated antigens</w:t>
      </w:r>
      <w:r w:rsidR="007057E4" w:rsidRPr="00347522">
        <w:rPr>
          <w:rFonts w:ascii="Book Antiqua" w:hAnsi="Book Antiqua" w:cs="Times New Roman"/>
          <w:sz w:val="24"/>
          <w:szCs w:val="24"/>
          <w:vertAlign w:val="superscript"/>
          <w:lang w:val="en-US"/>
        </w:rPr>
        <w:t>[6]</w:t>
      </w:r>
      <w:r w:rsidR="007057E4" w:rsidRPr="00347522">
        <w:rPr>
          <w:rFonts w:ascii="Book Antiqua" w:hAnsi="Book Antiqua" w:cs="Times New Roman"/>
          <w:sz w:val="24"/>
          <w:szCs w:val="24"/>
          <w:lang w:val="en-US"/>
        </w:rPr>
        <w:t xml:space="preserve">. </w:t>
      </w:r>
    </w:p>
    <w:p w14:paraId="132B4540" w14:textId="1AA80CDB" w:rsidR="007057E4" w:rsidRPr="00347522" w:rsidRDefault="00BA1ABA"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In the carcinogenesis initiation and CRC progression, overexpression of MUC1 and the decline in MUC2 expression is most commonly described</w:t>
      </w:r>
      <w:r w:rsidR="007057E4" w:rsidRPr="00347522">
        <w:rPr>
          <w:rFonts w:ascii="Book Antiqua" w:hAnsi="Book Antiqua" w:cs="Times New Roman"/>
          <w:sz w:val="24"/>
          <w:szCs w:val="24"/>
          <w:vertAlign w:val="superscript"/>
          <w:lang w:val="en-US"/>
        </w:rPr>
        <w:t>[14-20]</w:t>
      </w:r>
      <w:r w:rsidR="007057E4" w:rsidRPr="00347522">
        <w:rPr>
          <w:rFonts w:ascii="Book Antiqua" w:hAnsi="Book Antiqua" w:cs="Times New Roman"/>
          <w:sz w:val="24"/>
          <w:szCs w:val="24"/>
          <w:lang w:val="en-US"/>
        </w:rPr>
        <w:t>. These observations are also confirmed by meta-analysis</w:t>
      </w:r>
      <w:r w:rsidR="007057E4" w:rsidRPr="00347522">
        <w:rPr>
          <w:rFonts w:ascii="Book Antiqua" w:hAnsi="Book Antiqua" w:cs="Times New Roman"/>
          <w:sz w:val="24"/>
          <w:szCs w:val="24"/>
          <w:vertAlign w:val="superscript"/>
          <w:lang w:val="en-US"/>
        </w:rPr>
        <w:t>[21-23]</w:t>
      </w:r>
      <w:r w:rsidR="007057E4" w:rsidRPr="00347522">
        <w:rPr>
          <w:rFonts w:ascii="Book Antiqua" w:hAnsi="Book Antiqua" w:cs="Times New Roman"/>
          <w:sz w:val="24"/>
          <w:szCs w:val="24"/>
          <w:lang w:val="en-US"/>
        </w:rPr>
        <w:t>. However, knowledge of the role of tissue mucin</w:t>
      </w:r>
      <w:r w:rsidR="000D3C6A" w:rsidRPr="00347522">
        <w:rPr>
          <w:rFonts w:ascii="Book Antiqua" w:hAnsi="Book Antiqua" w:cs="Times New Roman"/>
          <w:sz w:val="24"/>
          <w:szCs w:val="24"/>
          <w:lang w:val="en-US"/>
        </w:rPr>
        <w:t>s</w:t>
      </w:r>
      <w:r w:rsidR="007057E4" w:rsidRPr="00347522">
        <w:rPr>
          <w:rFonts w:ascii="Book Antiqua" w:hAnsi="Book Antiqua" w:cs="Times New Roman"/>
          <w:sz w:val="24"/>
          <w:szCs w:val="24"/>
          <w:lang w:val="en-US"/>
        </w:rPr>
        <w:t xml:space="preserve"> expression, at various stages of the colon carcinogenesis is </w:t>
      </w:r>
      <w:r w:rsidR="007057E4" w:rsidRPr="00347522">
        <w:rPr>
          <w:rFonts w:ascii="Book Antiqua" w:hAnsi="Book Antiqua" w:cs="Times New Roman"/>
          <w:sz w:val="24"/>
          <w:szCs w:val="24"/>
          <w:lang w:val="en-US"/>
        </w:rPr>
        <w:lastRenderedPageBreak/>
        <w:t>incomplete. Poorly known is the prognostic role of mucins in the muc</w:t>
      </w:r>
      <w:r w:rsidR="007112E0" w:rsidRPr="00347522">
        <w:rPr>
          <w:rFonts w:ascii="Book Antiqua" w:hAnsi="Book Antiqua" w:cs="Times New Roman"/>
          <w:sz w:val="24"/>
          <w:szCs w:val="24"/>
          <w:lang w:val="en-US"/>
        </w:rPr>
        <w:t>in</w:t>
      </w:r>
      <w:r w:rsidR="007057E4" w:rsidRPr="00347522">
        <w:rPr>
          <w:rFonts w:ascii="Book Antiqua" w:hAnsi="Book Antiqua" w:cs="Times New Roman"/>
          <w:sz w:val="24"/>
          <w:szCs w:val="24"/>
          <w:lang w:val="en-US"/>
        </w:rPr>
        <w:t>ous subtypes</w:t>
      </w:r>
      <w:r w:rsidR="00A60EAA" w:rsidRPr="00347522">
        <w:rPr>
          <w:rFonts w:ascii="Book Antiqua" w:hAnsi="Book Antiqua" w:cs="Times New Roman"/>
          <w:sz w:val="24"/>
          <w:szCs w:val="24"/>
          <w:lang w:val="en-US"/>
        </w:rPr>
        <w:t xml:space="preserve"> of CRC</w:t>
      </w:r>
      <w:r w:rsidR="007057E4" w:rsidRPr="00347522">
        <w:rPr>
          <w:rFonts w:ascii="Book Antiqua" w:hAnsi="Book Antiqua" w:cs="Times New Roman"/>
          <w:sz w:val="24"/>
          <w:szCs w:val="24"/>
          <w:lang w:val="en-US"/>
        </w:rPr>
        <w:t>, which generally have a worse clinical course and a worse response to chemotherapy</w:t>
      </w:r>
      <w:r w:rsidR="007057E4" w:rsidRPr="00347522">
        <w:rPr>
          <w:rFonts w:ascii="Book Antiqua" w:hAnsi="Book Antiqua" w:cs="Times New Roman"/>
          <w:sz w:val="24"/>
          <w:szCs w:val="24"/>
          <w:vertAlign w:val="superscript"/>
          <w:lang w:val="en-US"/>
        </w:rPr>
        <w:t>[24,25]</w:t>
      </w:r>
      <w:r w:rsidR="007057E4" w:rsidRPr="00347522">
        <w:rPr>
          <w:rFonts w:ascii="Book Antiqua" w:hAnsi="Book Antiqua" w:cs="Times New Roman"/>
          <w:sz w:val="24"/>
          <w:szCs w:val="24"/>
          <w:lang w:val="en-US"/>
        </w:rPr>
        <w:t xml:space="preserve">. </w:t>
      </w:r>
      <w:r w:rsidR="000D3C6A" w:rsidRPr="00347522">
        <w:rPr>
          <w:rFonts w:ascii="Book Antiqua" w:hAnsi="Book Antiqua" w:cs="Times New Roman"/>
          <w:sz w:val="24"/>
          <w:szCs w:val="24"/>
          <w:lang w:val="en-US"/>
        </w:rPr>
        <w:t>Sporadic m</w:t>
      </w:r>
      <w:r w:rsidR="007057E4" w:rsidRPr="00347522">
        <w:rPr>
          <w:rFonts w:ascii="Book Antiqua" w:hAnsi="Book Antiqua" w:cs="Times New Roman"/>
          <w:sz w:val="24"/>
          <w:szCs w:val="24"/>
          <w:lang w:val="en-US"/>
        </w:rPr>
        <w:t>ucinous CRC had a worse survival rate than its nonmucinous counterpart</w:t>
      </w:r>
      <w:r w:rsidR="007057E4" w:rsidRPr="00347522">
        <w:rPr>
          <w:rFonts w:ascii="Book Antiqua" w:hAnsi="Book Antiqua" w:cs="Times New Roman"/>
          <w:sz w:val="24"/>
          <w:szCs w:val="24"/>
          <w:vertAlign w:val="superscript"/>
          <w:lang w:val="en-US"/>
        </w:rPr>
        <w:t>[26]</w:t>
      </w:r>
      <w:r w:rsidR="007057E4" w:rsidRPr="00347522">
        <w:rPr>
          <w:rFonts w:ascii="Book Antiqua" w:hAnsi="Book Antiqua" w:cs="Times New Roman"/>
          <w:sz w:val="24"/>
          <w:szCs w:val="24"/>
          <w:lang w:val="en-US"/>
        </w:rPr>
        <w:t>, and mucinous differentiation results in a 2</w:t>
      </w:r>
      <w:r w:rsidR="002E6CBE"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-8% increased hazard of death, which persists after correction for stage</w:t>
      </w:r>
      <w:r w:rsidR="007057E4" w:rsidRPr="00347522">
        <w:rPr>
          <w:rFonts w:ascii="Book Antiqua" w:hAnsi="Book Antiqua" w:cs="Times New Roman"/>
          <w:sz w:val="24"/>
          <w:szCs w:val="24"/>
          <w:vertAlign w:val="superscript"/>
          <w:lang w:val="en-US"/>
        </w:rPr>
        <w:t>[27]</w:t>
      </w:r>
      <w:r w:rsidR="007057E4" w:rsidRPr="00347522">
        <w:rPr>
          <w:rFonts w:ascii="Book Antiqua" w:hAnsi="Book Antiqua" w:cs="Times New Roman"/>
          <w:sz w:val="24"/>
          <w:szCs w:val="24"/>
          <w:lang w:val="en-US"/>
        </w:rPr>
        <w:t>. Unlike the nonmucinous CRC, the mucinous subtype is correlated with higher MUC2 and lower MUC1 expression</w:t>
      </w:r>
      <w:r w:rsidR="007057E4" w:rsidRPr="00347522">
        <w:rPr>
          <w:rFonts w:ascii="Book Antiqua" w:hAnsi="Book Antiqua" w:cs="Times New Roman"/>
          <w:sz w:val="24"/>
          <w:szCs w:val="24"/>
          <w:vertAlign w:val="superscript"/>
          <w:lang w:val="en-US"/>
        </w:rPr>
        <w:t>[4,21,24,28]</w:t>
      </w:r>
      <w:r w:rsidR="007057E4" w:rsidRPr="00347522">
        <w:rPr>
          <w:rFonts w:ascii="Book Antiqua" w:hAnsi="Book Antiqua" w:cs="Times New Roman"/>
          <w:sz w:val="24"/>
          <w:szCs w:val="24"/>
          <w:lang w:val="en-US"/>
        </w:rPr>
        <w:t>. Research into the role of mucins in pathogenesis and CRC clinical studies (especially in mucinous subtypes) are also current topics from a methodological point of view. The lack of standardized methods of quantitative evaluation of mucins expression (especially at tissue level) and/or frequent lack of control groups, are a great difficulty in comparative analysis</w:t>
      </w:r>
      <w:r w:rsidR="007057E4" w:rsidRPr="00347522">
        <w:rPr>
          <w:rFonts w:ascii="Book Antiqua" w:hAnsi="Book Antiqua" w:cs="Times New Roman"/>
          <w:sz w:val="24"/>
          <w:szCs w:val="24"/>
          <w:vertAlign w:val="superscript"/>
          <w:lang w:val="en-US"/>
        </w:rPr>
        <w:t>[15,29,30]</w:t>
      </w:r>
      <w:r w:rsidR="007057E4" w:rsidRPr="00347522">
        <w:rPr>
          <w:rFonts w:ascii="Book Antiqua" w:hAnsi="Book Antiqua" w:cs="Times New Roman"/>
          <w:sz w:val="24"/>
          <w:szCs w:val="24"/>
          <w:lang w:val="en-US"/>
        </w:rPr>
        <w:t>.</w:t>
      </w:r>
    </w:p>
    <w:p w14:paraId="3E7D79D5" w14:textId="19AE1065" w:rsidR="007057E4" w:rsidRPr="00347522" w:rsidRDefault="002E6CB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The goal of the present work was the verification of the hypothesis, that the examination of the tissue expression of selected mucins (mRNA, protein), using modern methods of quantitative assessment </w:t>
      </w:r>
      <w:r w:rsidR="00BA1ABA" w:rsidRPr="00347522">
        <w:rPr>
          <w:rFonts w:ascii="Book Antiqua" w:hAnsi="Book Antiqua" w:cs="Times New Roman"/>
          <w:sz w:val="24"/>
          <w:szCs w:val="24"/>
          <w:lang w:val="en-US"/>
        </w:rPr>
        <w:t>[</w:t>
      </w:r>
      <w:bookmarkStart w:id="20" w:name="OLE_LINK179"/>
      <w:bookmarkStart w:id="21" w:name="OLE_LINK180"/>
      <w:r w:rsidR="00BA1ABA" w:rsidRPr="00347522">
        <w:rPr>
          <w:rFonts w:ascii="Book Antiqua" w:hAnsi="Book Antiqua" w:cs="Times New Roman"/>
          <w:sz w:val="24"/>
          <w:szCs w:val="24"/>
          <w:lang w:val="en-US"/>
        </w:rPr>
        <w:t>real-time quantitative polymerase chain reaction (RT-qPCR)</w:t>
      </w:r>
      <w:bookmarkEnd w:id="20"/>
      <w:bookmarkEnd w:id="21"/>
      <w:r w:rsidR="007057E4" w:rsidRPr="00347522">
        <w:rPr>
          <w:rFonts w:ascii="Book Antiqua" w:hAnsi="Book Antiqua" w:cs="Times New Roman"/>
          <w:sz w:val="24"/>
          <w:szCs w:val="24"/>
          <w:lang w:val="en-US"/>
        </w:rPr>
        <w:t>, HSV filter software</w:t>
      </w:r>
      <w:r w:rsidR="00BA1ABA"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could improve the diagnostic/prognostic usefulness of these markers of CRC. The specific aim of the study was to evaluate tissue expression (mRNA, protein) of two mucins (MUC1 and MUC2) in patients with colorectal carcinoma</w:t>
      </w:r>
      <w:r w:rsidR="002F2078" w:rsidRPr="00347522">
        <w:rPr>
          <w:rFonts w:ascii="Book Antiqua" w:hAnsi="Book Antiqua" w:cs="Times New Roman"/>
          <w:sz w:val="24"/>
          <w:szCs w:val="24"/>
          <w:lang w:val="en-US"/>
        </w:rPr>
        <w:t xml:space="preserve">, </w:t>
      </w:r>
      <w:r w:rsidR="002F2078" w:rsidRPr="00347522">
        <w:rPr>
          <w:rFonts w:ascii="Book Antiqua" w:hAnsi="Book Antiqua" w:cs="Times New Roman"/>
          <w:color w:val="000000" w:themeColor="text1"/>
          <w:sz w:val="24"/>
          <w:szCs w:val="24"/>
          <w:lang w:val="en-US"/>
        </w:rPr>
        <w:t xml:space="preserve">and to assess the relationship between tissue expression of mucins and selected clinicopathological data. </w:t>
      </w:r>
    </w:p>
    <w:p w14:paraId="7A89356C" w14:textId="77777777" w:rsidR="00F36FC6" w:rsidRPr="00347522" w:rsidRDefault="00F36FC6" w:rsidP="00347522">
      <w:pPr>
        <w:adjustRightInd w:val="0"/>
        <w:snapToGrid w:val="0"/>
        <w:spacing w:line="360" w:lineRule="auto"/>
        <w:ind w:firstLineChars="0" w:firstLine="0"/>
        <w:jc w:val="both"/>
        <w:rPr>
          <w:rFonts w:ascii="Book Antiqua" w:hAnsi="Book Antiqua" w:cs="Times New Roman"/>
          <w:b/>
          <w:bCs/>
          <w:sz w:val="24"/>
          <w:szCs w:val="24"/>
          <w:lang w:val="en-US"/>
        </w:rPr>
      </w:pPr>
    </w:p>
    <w:p w14:paraId="6EB7BD83" w14:textId="6AC09E63" w:rsidR="007057E4" w:rsidRPr="00347522" w:rsidRDefault="007057E4" w:rsidP="00347522">
      <w:pPr>
        <w:adjustRightInd w:val="0"/>
        <w:snapToGrid w:val="0"/>
        <w:spacing w:line="360" w:lineRule="auto"/>
        <w:ind w:firstLineChars="0" w:firstLine="0"/>
        <w:jc w:val="both"/>
        <w:rPr>
          <w:rFonts w:ascii="Book Antiqua" w:hAnsi="Book Antiqua" w:cs="Times New Roman"/>
          <w:b/>
          <w:bCs/>
          <w:sz w:val="24"/>
          <w:szCs w:val="24"/>
          <w:lang w:val="en-US"/>
        </w:rPr>
      </w:pPr>
      <w:r w:rsidRPr="00347522">
        <w:rPr>
          <w:rFonts w:ascii="Book Antiqua" w:hAnsi="Book Antiqua" w:cs="Times New Roman"/>
          <w:b/>
          <w:bCs/>
          <w:sz w:val="24"/>
          <w:szCs w:val="24"/>
          <w:lang w:val="en-US"/>
        </w:rPr>
        <w:t>MATERIALS AND METHODS</w:t>
      </w:r>
    </w:p>
    <w:p w14:paraId="19EE4254"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i/>
          <w:iCs/>
          <w:sz w:val="24"/>
          <w:szCs w:val="24"/>
          <w:lang w:val="en-US"/>
        </w:rPr>
      </w:pPr>
      <w:r w:rsidRPr="00347522">
        <w:rPr>
          <w:rFonts w:ascii="Book Antiqua" w:hAnsi="Book Antiqua" w:cs="Times New Roman"/>
          <w:b/>
          <w:i/>
          <w:iCs/>
          <w:sz w:val="24"/>
          <w:szCs w:val="24"/>
          <w:lang w:val="en-US"/>
        </w:rPr>
        <w:t xml:space="preserve">Patients and tissue samples </w:t>
      </w:r>
    </w:p>
    <w:p w14:paraId="447AE440" w14:textId="5C817A49" w:rsidR="00B43C21" w:rsidRPr="00347522" w:rsidRDefault="007057E4"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sz w:val="24"/>
          <w:szCs w:val="24"/>
          <w:lang w:val="en-US"/>
        </w:rPr>
        <w:t xml:space="preserve">The examined CRC group included 34 patients (27 men, 7 women) from Greater Poland Region, 32 to 89 years of age from the Chair and Department of General Surgery, </w:t>
      </w:r>
      <w:r w:rsidRPr="00347522">
        <w:rPr>
          <w:rStyle w:val="spelle"/>
          <w:rFonts w:ascii="Book Antiqua" w:hAnsi="Book Antiqua" w:cs="Times New Roman"/>
          <w:sz w:val="24"/>
          <w:szCs w:val="24"/>
          <w:lang w:val="en-US"/>
        </w:rPr>
        <w:t>Endocrinological</w:t>
      </w:r>
      <w:r w:rsidRPr="00347522">
        <w:rPr>
          <w:rFonts w:ascii="Book Antiqua" w:hAnsi="Book Antiqua" w:cs="Times New Roman"/>
          <w:sz w:val="24"/>
          <w:szCs w:val="24"/>
          <w:lang w:val="en-US"/>
        </w:rPr>
        <w:t xml:space="preserve"> and Gastroenterological Oncology, Poznan University of Medical Sciences</w:t>
      </w:r>
      <w:r w:rsidRPr="00347522">
        <w:rPr>
          <w:rStyle w:val="spelle"/>
          <w:rFonts w:ascii="Book Antiqua" w:hAnsi="Book Antiqua" w:cs="Times New Roman"/>
          <w:sz w:val="24"/>
          <w:szCs w:val="24"/>
          <w:lang w:val="en-US"/>
        </w:rPr>
        <w:t>,</w:t>
      </w:r>
      <w:r w:rsidRPr="00347522">
        <w:rPr>
          <w:rFonts w:ascii="Book Antiqua" w:hAnsi="Book Antiqua" w:cs="Times New Roman"/>
          <w:sz w:val="24"/>
          <w:szCs w:val="24"/>
          <w:lang w:val="en-US"/>
        </w:rPr>
        <w:t xml:space="preserve"> who were diagnosed and subjected to surgery between 2010-2015. </w:t>
      </w:r>
      <w:r w:rsidR="00DC687F" w:rsidRPr="00347522">
        <w:rPr>
          <w:rFonts w:ascii="Book Antiqua" w:hAnsi="Book Antiqua" w:cs="Times New Roman"/>
          <w:color w:val="000000" w:themeColor="text1"/>
          <w:sz w:val="24"/>
          <w:szCs w:val="24"/>
          <w:lang w:val="en-US"/>
        </w:rPr>
        <w:t>W</w:t>
      </w:r>
      <w:r w:rsidR="002F2078" w:rsidRPr="00347522">
        <w:rPr>
          <w:rFonts w:ascii="Book Antiqua" w:hAnsi="Book Antiqua" w:cs="Times New Roman"/>
          <w:color w:val="000000" w:themeColor="text1"/>
          <w:sz w:val="24"/>
          <w:szCs w:val="24"/>
          <w:lang w:val="en-US"/>
        </w:rPr>
        <w:t xml:space="preserve">e arbitrarily selected </w:t>
      </w:r>
      <w:r w:rsidR="002F2078" w:rsidRPr="00347522">
        <w:rPr>
          <w:rFonts w:ascii="Book Antiqua" w:hAnsi="Book Antiqua" w:cs="Times New Roman"/>
          <w:color w:val="000000" w:themeColor="text1"/>
          <w:sz w:val="24"/>
          <w:szCs w:val="24"/>
          <w:lang w:val="en"/>
        </w:rPr>
        <w:t xml:space="preserve">patients with CRC only from the Greater Poland Region, not treated before </w:t>
      </w:r>
      <w:r w:rsidR="002F2078" w:rsidRPr="00347522">
        <w:rPr>
          <w:rFonts w:ascii="Book Antiqua" w:hAnsi="Book Antiqua" w:cs="Times New Roman"/>
          <w:color w:val="000000" w:themeColor="text1"/>
          <w:sz w:val="24"/>
          <w:szCs w:val="24"/>
          <w:lang w:val="en-US"/>
        </w:rPr>
        <w:t>(radio- or chemotherapy)</w:t>
      </w:r>
      <w:r w:rsidR="002F2078" w:rsidRPr="00347522">
        <w:rPr>
          <w:rFonts w:ascii="Book Antiqua" w:hAnsi="Book Antiqua" w:cs="Times New Roman"/>
          <w:color w:val="000000" w:themeColor="text1"/>
          <w:sz w:val="24"/>
          <w:szCs w:val="24"/>
          <w:lang w:val="en"/>
        </w:rPr>
        <w:t xml:space="preserve">, without significant additional systemic diseases, from whom consent was obtained, the perioperative tissue </w:t>
      </w:r>
      <w:r w:rsidR="002F2078" w:rsidRPr="00347522">
        <w:rPr>
          <w:rFonts w:ascii="Book Antiqua" w:hAnsi="Book Antiqua" w:cs="Times New Roman"/>
          <w:color w:val="000000" w:themeColor="text1"/>
          <w:sz w:val="24"/>
          <w:szCs w:val="24"/>
          <w:lang w:val="en"/>
        </w:rPr>
        <w:lastRenderedPageBreak/>
        <w:t xml:space="preserve">material met the requirements for scientific research </w:t>
      </w:r>
      <w:r w:rsidR="002F2078" w:rsidRPr="00347522">
        <w:rPr>
          <w:rFonts w:ascii="Book Antiqua" w:hAnsi="Book Antiqua" w:cs="Times New Roman"/>
          <w:color w:val="000000" w:themeColor="text1"/>
          <w:sz w:val="24"/>
          <w:szCs w:val="24"/>
          <w:lang w:val="en-US"/>
        </w:rPr>
        <w:t xml:space="preserve">and with available clinicopathological data. </w:t>
      </w:r>
    </w:p>
    <w:p w14:paraId="64734E2E" w14:textId="4385C353" w:rsidR="007057E4" w:rsidRPr="00347522" w:rsidRDefault="002E6CBE" w:rsidP="00347522">
      <w:pPr>
        <w:adjustRightInd w:val="0"/>
        <w:snapToGrid w:val="0"/>
        <w:spacing w:line="360" w:lineRule="auto"/>
        <w:ind w:firstLineChars="0" w:firstLine="0"/>
        <w:jc w:val="both"/>
        <w:rPr>
          <w:rFonts w:ascii="Book Antiqua" w:hAnsi="Book Antiqua" w:cs="Times New Roman"/>
          <w:b/>
          <w:bCs/>
          <w:sz w:val="24"/>
          <w:szCs w:val="24"/>
          <w:lang w:val="en-US"/>
        </w:rPr>
      </w:pPr>
      <w:r w:rsidRPr="00347522">
        <w:rPr>
          <w:rFonts w:ascii="Book Antiqua" w:hAnsi="Book Antiqua" w:cs="Times New Roman"/>
          <w:color w:val="FF0000"/>
          <w:sz w:val="24"/>
          <w:szCs w:val="24"/>
          <w:lang w:val="en-US"/>
        </w:rPr>
        <w:t xml:space="preserve">  </w:t>
      </w:r>
      <w:r w:rsidR="007057E4" w:rsidRPr="00347522">
        <w:rPr>
          <w:rFonts w:ascii="Book Antiqua" w:hAnsi="Book Antiqua" w:cs="Times New Roman"/>
          <w:sz w:val="24"/>
          <w:szCs w:val="24"/>
          <w:lang w:val="en-US"/>
        </w:rPr>
        <w:t xml:space="preserve">Patients affected by diabetes, active chronic organ diseases (heart, kidney, liver), including autoimmune diseases and other cancers, have been excluded from the study. In three patients, hyperglycemia was observed in fasting, four patients were in hypertension treatment. There have been mild premalignant lesions (mainly adenomatous colon), that have been surgically removed as a preventive measure in the past, in 14/34 (41%) of patients. </w:t>
      </w:r>
    </w:p>
    <w:p w14:paraId="368B275C" w14:textId="7DA321AA" w:rsidR="007057E4" w:rsidRPr="00347522" w:rsidRDefault="002E6CB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The available clinical data for the study group, than was taken into account, included: descriptive histopathological diagnosis, histologic grade and stage on Dukes, Astler and Coller’s modified Dukes'</w:t>
      </w:r>
      <w:r w:rsidR="00C131E4" w:rsidRPr="00347522">
        <w:rPr>
          <w:rFonts w:ascii="Book Antiqua" w:hAnsi="Book Antiqua" w:cs="Times New Roman"/>
          <w:sz w:val="24"/>
          <w:szCs w:val="24"/>
          <w:lang w:val="en-US"/>
        </w:rPr>
        <w:t xml:space="preserve"> scales</w:t>
      </w:r>
      <w:r w:rsidR="007057E4" w:rsidRPr="00347522">
        <w:rPr>
          <w:rFonts w:ascii="Book Antiqua" w:hAnsi="Book Antiqua" w:cs="Times New Roman"/>
          <w:sz w:val="24"/>
          <w:szCs w:val="24"/>
          <w:lang w:val="en-US"/>
        </w:rPr>
        <w:t xml:space="preserve">, and TNM system </w:t>
      </w:r>
      <w:r w:rsidR="00C131E4" w:rsidRPr="00347522">
        <w:rPr>
          <w:rFonts w:ascii="Book Antiqua" w:hAnsi="Book Antiqua" w:cs="Times New Roman"/>
          <w:sz w:val="24"/>
          <w:szCs w:val="24"/>
          <w:lang w:val="en-US"/>
        </w:rPr>
        <w:t>classification</w:t>
      </w:r>
      <w:r w:rsidR="007057E4" w:rsidRPr="00347522">
        <w:rPr>
          <w:rFonts w:ascii="Book Antiqua" w:hAnsi="Book Antiqua" w:cs="Times New Roman"/>
          <w:sz w:val="24"/>
          <w:szCs w:val="24"/>
          <w:vertAlign w:val="superscript"/>
          <w:lang w:val="en-US"/>
        </w:rPr>
        <w:t>[31,32]</w:t>
      </w:r>
      <w:r w:rsidR="007057E4" w:rsidRPr="00347522">
        <w:rPr>
          <w:rFonts w:ascii="Book Antiqua" w:hAnsi="Book Antiqua" w:cs="Times New Roman"/>
          <w:sz w:val="24"/>
          <w:szCs w:val="24"/>
          <w:lang w:val="en-US"/>
        </w:rPr>
        <w:t>, age, patient sex and basic laboratory studies (</w:t>
      </w:r>
      <w:r w:rsidR="000D3C6A" w:rsidRPr="00347522">
        <w:rPr>
          <w:rFonts w:ascii="Book Antiqua" w:hAnsi="Book Antiqua" w:cs="Times New Roman"/>
          <w:sz w:val="24"/>
          <w:szCs w:val="24"/>
          <w:lang w:val="en-US"/>
        </w:rPr>
        <w:t xml:space="preserve">complete </w:t>
      </w:r>
      <w:r w:rsidR="007057E4" w:rsidRPr="00347522">
        <w:rPr>
          <w:rFonts w:ascii="Book Antiqua" w:hAnsi="Book Antiqua" w:cs="Times New Roman"/>
          <w:sz w:val="24"/>
          <w:szCs w:val="24"/>
          <w:lang w:val="en-US"/>
        </w:rPr>
        <w:t xml:space="preserve">blood count, </w:t>
      </w:r>
      <w:r w:rsidR="000D3C6A" w:rsidRPr="00347522">
        <w:rPr>
          <w:rFonts w:ascii="Book Antiqua" w:hAnsi="Book Antiqua" w:cs="Times New Roman"/>
          <w:sz w:val="24"/>
          <w:szCs w:val="24"/>
          <w:lang w:val="en-US"/>
        </w:rPr>
        <w:t xml:space="preserve">number of </w:t>
      </w:r>
      <w:r w:rsidR="007057E4" w:rsidRPr="00347522">
        <w:rPr>
          <w:rFonts w:ascii="Book Antiqua" w:hAnsi="Book Antiqua" w:cs="Times New Roman"/>
          <w:sz w:val="24"/>
          <w:szCs w:val="24"/>
          <w:lang w:val="en-US"/>
        </w:rPr>
        <w:t xml:space="preserve">leukocytes </w:t>
      </w:r>
      <w:r w:rsidR="000D3C6A" w:rsidRPr="00347522">
        <w:rPr>
          <w:rFonts w:ascii="Book Antiqua" w:hAnsi="Book Antiqua" w:cs="Times New Roman"/>
          <w:sz w:val="24"/>
          <w:szCs w:val="24"/>
          <w:lang w:val="en-US"/>
        </w:rPr>
        <w:t xml:space="preserve">and </w:t>
      </w:r>
      <w:r w:rsidR="007057E4" w:rsidRPr="00347522">
        <w:rPr>
          <w:rFonts w:ascii="Book Antiqua" w:hAnsi="Book Antiqua" w:cs="Times New Roman"/>
          <w:sz w:val="24"/>
          <w:szCs w:val="24"/>
          <w:lang w:val="en-US"/>
        </w:rPr>
        <w:t>platelets</w:t>
      </w:r>
      <w:r w:rsidR="000D3C6A" w:rsidRPr="00347522">
        <w:rPr>
          <w:rFonts w:ascii="Book Antiqua" w:hAnsi="Book Antiqua" w:cs="Times New Roman"/>
          <w:sz w:val="24"/>
          <w:szCs w:val="24"/>
          <w:lang w:val="en-US"/>
        </w:rPr>
        <w:t>, as well as</w:t>
      </w:r>
      <w:r w:rsidR="007057E4" w:rsidRPr="00347522">
        <w:rPr>
          <w:rFonts w:ascii="Book Antiqua" w:hAnsi="Book Antiqua" w:cs="Times New Roman"/>
          <w:sz w:val="24"/>
          <w:szCs w:val="24"/>
          <w:lang w:val="en-US"/>
        </w:rPr>
        <w:t xml:space="preserve"> glucose levels). Seven patients (21%) of the entire study group died during the analysis period. Duration of patient’s survival reflected the time between the date of operation for colorectal cancer and the establishing diagnosis (October 1, 2010), and October 1, 2015.</w:t>
      </w:r>
    </w:p>
    <w:p w14:paraId="1371B670" w14:textId="1EFFB243" w:rsidR="007057E4" w:rsidRPr="00347522" w:rsidRDefault="002E6CB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Locations of the colorectal tumors were divided into proximal (right) colon (caecum, ascending, transverse colon) and distal (left) colon (descending, sigmoid colon and rectum). Macroscopic types were divided into protruded type (height of tumor ≥</w:t>
      </w: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3 mm) and flat type (height of tumor &lt;</w:t>
      </w: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3 mm). </w:t>
      </w:r>
    </w:p>
    <w:p w14:paraId="0C709B24" w14:textId="4ACCA683" w:rsidR="007057E4" w:rsidRPr="00347522" w:rsidRDefault="002E6CB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Thirty</w:t>
      </w:r>
      <w:r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four paired specimens of colorectal tumor and non-tumor tissues were obtained during surgical treatment. For the CRC, colon mucosa and, depending on the depth of tumor invasion, submucosal layers </w:t>
      </w:r>
      <w:r w:rsidR="000B48EF" w:rsidRPr="00347522">
        <w:rPr>
          <w:rFonts w:ascii="Book Antiqua" w:hAnsi="Book Antiqua" w:cs="Times New Roman"/>
          <w:sz w:val="24"/>
          <w:szCs w:val="24"/>
          <w:lang w:val="en-US"/>
        </w:rPr>
        <w:t xml:space="preserve">approximately </w:t>
      </w:r>
      <w:r w:rsidR="007057E4" w:rsidRPr="00347522">
        <w:rPr>
          <w:rFonts w:ascii="Book Antiqua" w:hAnsi="Book Antiqua" w:cs="Times New Roman"/>
          <w:sz w:val="24"/>
          <w:szCs w:val="24"/>
          <w:lang w:val="en-US"/>
        </w:rPr>
        <w:t xml:space="preserve">15 cm from the tumor site, served as control tissues. In no case was tissue additional to that which would be removed normally during a particular surgical procedure. </w:t>
      </w:r>
    </w:p>
    <w:p w14:paraId="56FC6D3F" w14:textId="3C21718F" w:rsidR="007057E4" w:rsidRPr="00347522" w:rsidRDefault="002E6CB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The tissue samples </w:t>
      </w:r>
      <w:r w:rsidR="007057E4" w:rsidRPr="00347522">
        <w:rPr>
          <w:rStyle w:val="grame"/>
          <w:rFonts w:ascii="Book Antiqua" w:hAnsi="Book Antiqua" w:cs="Times New Roman"/>
          <w:sz w:val="24"/>
          <w:szCs w:val="24"/>
          <w:lang w:val="en-US"/>
        </w:rPr>
        <w:t>were</w:t>
      </w:r>
      <w:r w:rsidR="007057E4" w:rsidRPr="00347522">
        <w:rPr>
          <w:rFonts w:ascii="Book Antiqua" w:hAnsi="Book Antiqua" w:cs="Times New Roman"/>
          <w:sz w:val="24"/>
          <w:szCs w:val="24"/>
          <w:lang w:val="en-US"/>
        </w:rPr>
        <w:t xml:space="preserve"> stored in RNA Stabilization Solution (</w:t>
      </w:r>
      <w:r w:rsidR="007057E4" w:rsidRPr="00347522">
        <w:rPr>
          <w:rStyle w:val="spelle"/>
          <w:rFonts w:ascii="Book Antiqua" w:hAnsi="Book Antiqua" w:cs="Times New Roman"/>
          <w:sz w:val="24"/>
          <w:szCs w:val="24"/>
          <w:lang w:val="en-US"/>
        </w:rPr>
        <w:t>RNA</w:t>
      </w:r>
      <w:r w:rsidR="007057E4" w:rsidRPr="00347522">
        <w:rPr>
          <w:rStyle w:val="spelle"/>
          <w:rFonts w:ascii="Book Antiqua" w:hAnsi="Book Antiqua" w:cs="Times New Roman"/>
          <w:i/>
          <w:iCs/>
          <w:sz w:val="24"/>
          <w:szCs w:val="24"/>
          <w:lang w:val="en-US"/>
        </w:rPr>
        <w:t>later</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w:t>
      </w:r>
      <w:r w:rsidR="007057E4" w:rsidRPr="00347522">
        <w:rPr>
          <w:rFonts w:ascii="Book Antiqua" w:hAnsi="Book Antiqua" w:cs="Times New Roman"/>
          <w:i/>
          <w:iCs/>
          <w:sz w:val="24"/>
          <w:szCs w:val="24"/>
          <w:lang w:val="en-US"/>
        </w:rPr>
        <w:t xml:space="preserve">Applied </w:t>
      </w:r>
      <w:r w:rsidR="007057E4" w:rsidRPr="00347522">
        <w:rPr>
          <w:rStyle w:val="spelle"/>
          <w:rFonts w:ascii="Book Antiqua" w:hAnsi="Book Antiqua" w:cs="Times New Roman"/>
          <w:i/>
          <w:iCs/>
          <w:sz w:val="24"/>
          <w:szCs w:val="24"/>
          <w:lang w:val="en-US"/>
        </w:rPr>
        <w:t>Biosystems</w:t>
      </w:r>
      <w:r w:rsidR="007057E4" w:rsidRPr="00347522">
        <w:rPr>
          <w:rFonts w:ascii="Book Antiqua" w:hAnsi="Book Antiqua" w:cs="Times New Roman"/>
          <w:sz w:val="24"/>
          <w:szCs w:val="24"/>
          <w:lang w:val="en-US"/>
        </w:rPr>
        <w:t>) at -80</w:t>
      </w: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°C until use. Additionally, formalin-fixed paraffin-embedded tumor specimens of 34 colorectal carcinomas and fragments of the confirmed control specimens were obtained from patients. </w:t>
      </w:r>
    </w:p>
    <w:p w14:paraId="2CF7FA6E" w14:textId="5E40B365" w:rsidR="007057E4" w:rsidRPr="00347522" w:rsidRDefault="002E6CB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Informed consent was obtained from every subject, and the institutional review committee approved this study (</w:t>
      </w:r>
      <w:r w:rsidRPr="00347522">
        <w:rPr>
          <w:rFonts w:ascii="Book Antiqua" w:hAnsi="Book Antiqua" w:cs="Times New Roman"/>
          <w:sz w:val="24"/>
          <w:szCs w:val="24"/>
          <w:lang w:val="en-US"/>
        </w:rPr>
        <w:t xml:space="preserve">No. </w:t>
      </w:r>
      <w:r w:rsidR="007057E4" w:rsidRPr="00347522">
        <w:rPr>
          <w:rFonts w:ascii="Book Antiqua" w:hAnsi="Book Antiqua" w:cs="Times New Roman"/>
          <w:sz w:val="24"/>
          <w:szCs w:val="24"/>
          <w:lang w:val="en-US"/>
        </w:rPr>
        <w:t xml:space="preserve">924/14). </w:t>
      </w:r>
    </w:p>
    <w:p w14:paraId="404F210F"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i/>
          <w:iCs/>
          <w:sz w:val="24"/>
          <w:szCs w:val="24"/>
          <w:lang w:val="en-US"/>
        </w:rPr>
      </w:pPr>
    </w:p>
    <w:p w14:paraId="36B400C9" w14:textId="08681B20" w:rsidR="007057E4" w:rsidRPr="008D373B" w:rsidRDefault="008D373B" w:rsidP="00347522">
      <w:pPr>
        <w:adjustRightInd w:val="0"/>
        <w:snapToGrid w:val="0"/>
        <w:spacing w:line="360" w:lineRule="auto"/>
        <w:ind w:firstLineChars="0" w:firstLine="0"/>
        <w:jc w:val="both"/>
        <w:rPr>
          <w:rFonts w:ascii="Book Antiqua" w:hAnsi="Book Antiqua" w:cs="Times New Roman"/>
          <w:b/>
          <w:i/>
          <w:iCs/>
          <w:sz w:val="24"/>
          <w:szCs w:val="24"/>
          <w:lang w:val="en-US"/>
        </w:rPr>
      </w:pPr>
      <w:r w:rsidRPr="008D373B">
        <w:rPr>
          <w:rFonts w:ascii="Book Antiqua" w:hAnsi="Book Antiqua" w:cs="Times New Roman"/>
          <w:b/>
          <w:i/>
          <w:sz w:val="24"/>
          <w:szCs w:val="24"/>
          <w:lang w:val="en-US"/>
        </w:rPr>
        <w:t>RT-qPCR</w:t>
      </w:r>
    </w:p>
    <w:p w14:paraId="328EEBAC" w14:textId="7BE0AB57"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CRC tumoral fragments and control tissues from 23 patients were qualified for the experiments that used the </w:t>
      </w:r>
      <w:bookmarkStart w:id="22" w:name="OLE_LINK193"/>
      <w:bookmarkStart w:id="23" w:name="OLE_LINK194"/>
      <w:r w:rsidRPr="00347522">
        <w:rPr>
          <w:rFonts w:ascii="Book Antiqua" w:hAnsi="Book Antiqua" w:cs="Times New Roman"/>
          <w:sz w:val="24"/>
          <w:szCs w:val="24"/>
          <w:lang w:val="en-US"/>
        </w:rPr>
        <w:t>RT-</w:t>
      </w:r>
      <w:r w:rsidR="002E6CBE" w:rsidRPr="00347522">
        <w:rPr>
          <w:rFonts w:ascii="Book Antiqua" w:hAnsi="Book Antiqua" w:cs="Times New Roman"/>
          <w:sz w:val="24"/>
          <w:szCs w:val="24"/>
          <w:lang w:val="en-US"/>
        </w:rPr>
        <w:t>qPCR</w:t>
      </w:r>
      <w:bookmarkEnd w:id="22"/>
      <w:bookmarkEnd w:id="23"/>
      <w:r w:rsidRPr="00347522">
        <w:rPr>
          <w:rFonts w:ascii="Book Antiqua" w:hAnsi="Book Antiqua" w:cs="Times New Roman"/>
          <w:sz w:val="24"/>
          <w:szCs w:val="24"/>
          <w:lang w:val="en-US"/>
        </w:rPr>
        <w:t xml:space="preserve"> technique as previously described</w:t>
      </w:r>
      <w:r w:rsidRPr="00347522">
        <w:rPr>
          <w:rFonts w:ascii="Book Antiqua" w:hAnsi="Book Antiqua" w:cs="Times New Roman"/>
          <w:sz w:val="24"/>
          <w:szCs w:val="24"/>
          <w:vertAlign w:val="superscript"/>
          <w:lang w:val="en-US"/>
        </w:rPr>
        <w:t>[33]</w:t>
      </w:r>
      <w:r w:rsidRPr="00347522">
        <w:rPr>
          <w:rFonts w:ascii="Book Antiqua" w:hAnsi="Book Antiqua" w:cs="Times New Roman"/>
          <w:sz w:val="24"/>
          <w:szCs w:val="24"/>
          <w:lang w:val="en-US"/>
        </w:rPr>
        <w:t>.</w:t>
      </w:r>
    </w:p>
    <w:p w14:paraId="2FF3F85B" w14:textId="3A30328B" w:rsidR="007057E4" w:rsidRPr="00347522" w:rsidRDefault="007C1F2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One microliter </w:t>
      </w:r>
      <w:r w:rsidR="007057E4" w:rsidRPr="00347522">
        <w:rPr>
          <w:rFonts w:ascii="Book Antiqua" w:hAnsi="Book Antiqua" w:cs="Times New Roman"/>
          <w:sz w:val="24"/>
          <w:szCs w:val="24"/>
          <w:lang w:val="en-US"/>
        </w:rPr>
        <w:t xml:space="preserve">of given </w:t>
      </w:r>
      <w:r w:rsidR="007057E4" w:rsidRPr="00347522">
        <w:rPr>
          <w:rStyle w:val="spelle"/>
          <w:rFonts w:ascii="Book Antiqua" w:hAnsi="Book Antiqua" w:cs="Times New Roman"/>
          <w:sz w:val="24"/>
          <w:szCs w:val="24"/>
          <w:lang w:val="en-US"/>
        </w:rPr>
        <w:t>cDNA</w:t>
      </w:r>
      <w:r w:rsidR="007057E4" w:rsidRPr="00347522">
        <w:rPr>
          <w:rFonts w:ascii="Book Antiqua" w:hAnsi="Book Antiqua" w:cs="Times New Roman"/>
          <w:sz w:val="24"/>
          <w:szCs w:val="24"/>
          <w:lang w:val="en-US"/>
        </w:rPr>
        <w:t xml:space="preserve"> or DNA was added to the reaction mixture, composed of 12.5 µ</w:t>
      </w:r>
      <w:r w:rsidRPr="00347522">
        <w:rPr>
          <w:rFonts w:ascii="Book Antiqua" w:hAnsi="Book Antiqua" w:cs="Times New Roman"/>
          <w:sz w:val="24"/>
          <w:szCs w:val="24"/>
          <w:lang w:val="en-US"/>
        </w:rPr>
        <w:t>L</w:t>
      </w:r>
      <w:r w:rsidR="007057E4" w:rsidRPr="00347522">
        <w:rPr>
          <w:rFonts w:ascii="Book Antiqua" w:hAnsi="Book Antiqua" w:cs="Times New Roman"/>
          <w:sz w:val="24"/>
          <w:szCs w:val="24"/>
          <w:lang w:val="en-US"/>
        </w:rPr>
        <w:t xml:space="preserve"> 2</w:t>
      </w: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 Maxima</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SYBR Green/ROX </w:t>
      </w:r>
      <w:r w:rsidR="007057E4" w:rsidRPr="00347522">
        <w:rPr>
          <w:rStyle w:val="spelle"/>
          <w:rFonts w:ascii="Book Antiqua" w:hAnsi="Book Antiqua" w:cs="Times New Roman"/>
          <w:sz w:val="24"/>
          <w:szCs w:val="24"/>
          <w:lang w:val="en-US"/>
        </w:rPr>
        <w:t>qPCR</w:t>
      </w:r>
      <w:r w:rsidR="007057E4" w:rsidRPr="00347522">
        <w:rPr>
          <w:rFonts w:ascii="Book Antiqua" w:hAnsi="Book Antiqua" w:cs="Times New Roman"/>
          <w:sz w:val="24"/>
          <w:szCs w:val="24"/>
          <w:lang w:val="en-US"/>
        </w:rPr>
        <w:t xml:space="preserve"> </w:t>
      </w:r>
      <w:r w:rsidR="007057E4" w:rsidRPr="00347522">
        <w:rPr>
          <w:rStyle w:val="spelle"/>
          <w:rFonts w:ascii="Book Antiqua" w:hAnsi="Book Antiqua" w:cs="Times New Roman"/>
          <w:sz w:val="24"/>
          <w:szCs w:val="24"/>
          <w:lang w:val="en-US"/>
        </w:rPr>
        <w:t>Master</w:t>
      </w:r>
      <w:r w:rsidR="007057E4" w:rsidRPr="00347522">
        <w:rPr>
          <w:rFonts w:ascii="Book Antiqua" w:hAnsi="Book Antiqua" w:cs="Times New Roman"/>
          <w:sz w:val="24"/>
          <w:szCs w:val="24"/>
          <w:lang w:val="en-US"/>
        </w:rPr>
        <w:t xml:space="preserve"> Mix (</w:t>
      </w:r>
      <w:r w:rsidR="007057E4" w:rsidRPr="00347522">
        <w:rPr>
          <w:rStyle w:val="spelle"/>
          <w:rFonts w:ascii="Book Antiqua" w:hAnsi="Book Antiqua" w:cs="Times New Roman"/>
          <w:sz w:val="24"/>
          <w:szCs w:val="24"/>
          <w:lang w:val="en-US"/>
        </w:rPr>
        <w:t>Fermentas</w:t>
      </w:r>
      <w:r w:rsidR="007057E4" w:rsidRPr="00347522">
        <w:rPr>
          <w:rFonts w:ascii="Book Antiqua" w:hAnsi="Book Antiqua" w:cs="Times New Roman"/>
          <w:sz w:val="24"/>
          <w:szCs w:val="24"/>
          <w:lang w:val="en-US"/>
        </w:rPr>
        <w:t>), 1 µ</w:t>
      </w:r>
      <w:r w:rsidRPr="00347522">
        <w:rPr>
          <w:rFonts w:ascii="Book Antiqua" w:hAnsi="Book Antiqua" w:cs="Times New Roman"/>
          <w:sz w:val="24"/>
          <w:szCs w:val="24"/>
          <w:lang w:val="en-US"/>
        </w:rPr>
        <w:t>L</w:t>
      </w:r>
      <w:r w:rsidR="007057E4" w:rsidRPr="00347522">
        <w:rPr>
          <w:rFonts w:ascii="Book Antiqua" w:hAnsi="Book Antiqua" w:cs="Times New Roman"/>
          <w:sz w:val="24"/>
          <w:szCs w:val="24"/>
          <w:lang w:val="en-US"/>
        </w:rPr>
        <w:t xml:space="preserve"> specific primer pair (</w:t>
      </w:r>
      <w:bookmarkStart w:id="24" w:name="OLE_LINK23"/>
      <w:bookmarkStart w:id="25" w:name="OLE_LINK24"/>
      <w:r w:rsidR="007057E4" w:rsidRPr="00347522">
        <w:rPr>
          <w:rStyle w:val="spelle"/>
          <w:rFonts w:ascii="Book Antiqua" w:hAnsi="Book Antiqua" w:cs="Times New Roman"/>
          <w:i/>
          <w:sz w:val="24"/>
          <w:szCs w:val="24"/>
          <w:lang w:val="en-US"/>
        </w:rPr>
        <w:t>f.c</w:t>
      </w:r>
      <w:r w:rsidR="007057E4" w:rsidRPr="00347522">
        <w:rPr>
          <w:rFonts w:ascii="Book Antiqua" w:hAnsi="Book Antiqua" w:cs="Times New Roman"/>
          <w:i/>
          <w:sz w:val="24"/>
          <w:szCs w:val="24"/>
          <w:lang w:val="en-US"/>
        </w:rPr>
        <w:t>.</w:t>
      </w:r>
      <w:bookmarkEnd w:id="24"/>
      <w:bookmarkEnd w:id="25"/>
      <w:r w:rsidR="007057E4" w:rsidRPr="00347522">
        <w:rPr>
          <w:rFonts w:ascii="Book Antiqua" w:hAnsi="Book Antiqua" w:cs="Times New Roman"/>
          <w:sz w:val="24"/>
          <w:szCs w:val="24"/>
          <w:lang w:val="en-US"/>
        </w:rPr>
        <w:t xml:space="preserve"> 0.3 </w:t>
      </w:r>
      <w:r w:rsidRPr="00347522">
        <w:rPr>
          <w:rFonts w:ascii="Book Antiqua" w:hAnsi="Book Antiqua" w:cs="Times New Roman"/>
          <w:sz w:val="24"/>
          <w:szCs w:val="24"/>
          <w:lang w:val="en-US"/>
        </w:rPr>
        <w:t>µmol/L</w:t>
      </w:r>
      <w:r w:rsidR="007057E4" w:rsidRPr="00347522">
        <w:rPr>
          <w:rFonts w:ascii="Book Antiqua" w:hAnsi="Book Antiqua" w:cs="Times New Roman"/>
          <w:sz w:val="24"/>
          <w:szCs w:val="24"/>
          <w:lang w:val="en-US"/>
        </w:rPr>
        <w:t xml:space="preserve">) and 10.5 </w:t>
      </w:r>
      <w:r w:rsidRPr="00347522">
        <w:rPr>
          <w:rFonts w:ascii="Book Antiqua" w:hAnsi="Book Antiqua" w:cs="Times New Roman"/>
          <w:sz w:val="24"/>
          <w:szCs w:val="24"/>
          <w:lang w:val="en-US"/>
        </w:rPr>
        <w:t xml:space="preserve">µL </w:t>
      </w:r>
      <w:r w:rsidR="007057E4" w:rsidRPr="00347522">
        <w:rPr>
          <w:rFonts w:ascii="Book Antiqua" w:hAnsi="Book Antiqua" w:cs="Times New Roman"/>
          <w:sz w:val="24"/>
          <w:szCs w:val="24"/>
          <w:lang w:val="en-US"/>
        </w:rPr>
        <w:t>H</w:t>
      </w:r>
      <w:r w:rsidR="007057E4" w:rsidRPr="00347522">
        <w:rPr>
          <w:rFonts w:ascii="Book Antiqua" w:hAnsi="Book Antiqua" w:cs="Times New Roman"/>
          <w:sz w:val="24"/>
          <w:szCs w:val="24"/>
          <w:vertAlign w:val="subscript"/>
          <w:lang w:val="en-US"/>
        </w:rPr>
        <w:t>2</w:t>
      </w:r>
      <w:r w:rsidR="007057E4" w:rsidRPr="00347522">
        <w:rPr>
          <w:rFonts w:ascii="Book Antiqua" w:hAnsi="Book Antiqua" w:cs="Times New Roman"/>
          <w:sz w:val="24"/>
          <w:szCs w:val="24"/>
          <w:lang w:val="en-US"/>
        </w:rPr>
        <w:t xml:space="preserve">O. Primers for studies on expression of </w:t>
      </w:r>
      <w:r w:rsidR="007057E4" w:rsidRPr="00347522">
        <w:rPr>
          <w:rFonts w:ascii="Book Antiqua" w:hAnsi="Book Antiqua" w:cs="Times New Roman"/>
          <w:i/>
          <w:iCs/>
          <w:sz w:val="24"/>
          <w:szCs w:val="24"/>
          <w:lang w:val="en-US"/>
        </w:rPr>
        <w:t>MUC1</w:t>
      </w:r>
      <w:r w:rsidR="007057E4" w:rsidRPr="00347522">
        <w:rPr>
          <w:rFonts w:ascii="Book Antiqua" w:hAnsi="Book Antiqua" w:cs="Times New Roman"/>
          <w:sz w:val="24"/>
          <w:szCs w:val="24"/>
          <w:lang w:val="en-US"/>
        </w:rPr>
        <w:t xml:space="preserve"> and </w:t>
      </w:r>
      <w:r w:rsidR="007057E4" w:rsidRPr="00347522">
        <w:rPr>
          <w:rFonts w:ascii="Book Antiqua" w:hAnsi="Book Antiqua" w:cs="Times New Roman"/>
          <w:i/>
          <w:iCs/>
          <w:sz w:val="24"/>
          <w:szCs w:val="24"/>
          <w:lang w:val="en-US"/>
        </w:rPr>
        <w:t>MUC2</w:t>
      </w:r>
      <w:r w:rsidR="007057E4" w:rsidRPr="00347522">
        <w:rPr>
          <w:rFonts w:ascii="Book Antiqua" w:hAnsi="Book Antiqua" w:cs="Times New Roman"/>
          <w:sz w:val="24"/>
          <w:szCs w:val="24"/>
          <w:lang w:val="en-US"/>
        </w:rPr>
        <w:t xml:space="preserve"> mRNA expression are indicated in Table 1. </w:t>
      </w:r>
      <w:r w:rsidR="007057E4" w:rsidRPr="00347522">
        <w:rPr>
          <w:rFonts w:ascii="Book Antiqua" w:hAnsi="Book Antiqua" w:cs="Times New Roman"/>
          <w:i/>
          <w:iCs/>
          <w:sz w:val="24"/>
          <w:szCs w:val="24"/>
          <w:lang w:val="en-US"/>
        </w:rPr>
        <w:t>β-actin</w:t>
      </w:r>
      <w:r w:rsidR="007057E4" w:rsidRPr="00347522">
        <w:rPr>
          <w:rFonts w:ascii="Book Antiqua" w:hAnsi="Book Antiqua" w:cs="Times New Roman"/>
          <w:sz w:val="24"/>
          <w:szCs w:val="24"/>
          <w:lang w:val="en-US"/>
        </w:rPr>
        <w:t xml:space="preserve">, </w:t>
      </w:r>
      <w:r w:rsidR="007057E4" w:rsidRPr="00B9604D">
        <w:rPr>
          <w:rFonts w:ascii="Book Antiqua" w:hAnsi="Book Antiqua" w:cs="Times New Roman"/>
          <w:iCs/>
          <w:sz w:val="24"/>
          <w:szCs w:val="24"/>
          <w:lang w:val="en-US"/>
        </w:rPr>
        <w:t>glycerylaldehyde-3-phosphate dehydrogenase</w:t>
      </w:r>
      <w:r w:rsidR="007057E4" w:rsidRPr="00347522">
        <w:rPr>
          <w:rFonts w:ascii="Book Antiqua" w:hAnsi="Book Antiqua" w:cs="Times New Roman"/>
          <w:sz w:val="24"/>
          <w:szCs w:val="24"/>
          <w:lang w:val="en-US"/>
        </w:rPr>
        <w:t xml:space="preserve"> (</w:t>
      </w:r>
      <w:r w:rsidR="007057E4" w:rsidRPr="00347522">
        <w:rPr>
          <w:rFonts w:ascii="Book Antiqua" w:hAnsi="Book Antiqua" w:cs="Times New Roman"/>
          <w:i/>
          <w:iCs/>
          <w:sz w:val="24"/>
          <w:szCs w:val="24"/>
          <w:lang w:val="en-US"/>
        </w:rPr>
        <w:t>GADPH</w:t>
      </w:r>
      <w:r w:rsidR="007057E4" w:rsidRPr="00347522">
        <w:rPr>
          <w:rFonts w:ascii="Book Antiqua" w:hAnsi="Book Antiqua" w:cs="Times New Roman"/>
          <w:sz w:val="24"/>
          <w:szCs w:val="24"/>
          <w:lang w:val="en-US"/>
        </w:rPr>
        <w:t xml:space="preserve">), and </w:t>
      </w:r>
      <w:r w:rsidR="007057E4" w:rsidRPr="00B9604D">
        <w:rPr>
          <w:rFonts w:ascii="Book Antiqua" w:hAnsi="Book Antiqua" w:cs="Times New Roman"/>
          <w:iCs/>
          <w:sz w:val="24"/>
          <w:szCs w:val="24"/>
          <w:lang w:val="en-US"/>
        </w:rPr>
        <w:t>hypoxanthine-guanine phosphoribosyltransferase 1</w:t>
      </w:r>
      <w:r w:rsidR="007057E4" w:rsidRPr="00347522">
        <w:rPr>
          <w:rFonts w:ascii="Book Antiqua" w:hAnsi="Book Antiqua" w:cs="Times New Roman"/>
          <w:i/>
          <w:iCs/>
          <w:sz w:val="24"/>
          <w:szCs w:val="24"/>
          <w:lang w:val="en-US"/>
        </w:rPr>
        <w:t xml:space="preserve"> </w:t>
      </w:r>
      <w:r w:rsidR="007057E4" w:rsidRPr="00347522">
        <w:rPr>
          <w:rFonts w:ascii="Book Antiqua" w:hAnsi="Book Antiqua" w:cs="Times New Roman"/>
          <w:sz w:val="24"/>
          <w:szCs w:val="24"/>
          <w:lang w:val="en-US"/>
        </w:rPr>
        <w:t>(</w:t>
      </w:r>
      <w:r w:rsidR="007057E4" w:rsidRPr="00347522">
        <w:rPr>
          <w:rFonts w:ascii="Book Antiqua" w:hAnsi="Book Antiqua" w:cs="Times New Roman"/>
          <w:i/>
          <w:iCs/>
          <w:sz w:val="24"/>
          <w:szCs w:val="24"/>
          <w:lang w:val="en-US"/>
        </w:rPr>
        <w:t>HPRT1</w:t>
      </w:r>
      <w:r w:rsidR="007057E4" w:rsidRPr="00347522">
        <w:rPr>
          <w:rFonts w:ascii="Book Antiqua" w:hAnsi="Book Antiqua" w:cs="Times New Roman"/>
          <w:sz w:val="24"/>
          <w:szCs w:val="24"/>
          <w:lang w:val="en-US"/>
        </w:rPr>
        <w:t xml:space="preserve">) served as the housekeeping genes (geometric mean) for the gene expression analysis. All the primers were purchased from the Laboratory of DNA Sequencing and Oligonucleotide Synthesis, Institute of Biochemistry and Biophysics, Polish Academy of Sciences, Warsaw (Table 1). </w:t>
      </w:r>
    </w:p>
    <w:p w14:paraId="3D8B90DA" w14:textId="080930B0" w:rsidR="007057E4" w:rsidRPr="00347522" w:rsidRDefault="007C1F2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The reactions were driven in </w:t>
      </w:r>
      <w:r w:rsidR="007057E4" w:rsidRPr="00347522">
        <w:rPr>
          <w:rStyle w:val="spelle"/>
          <w:rFonts w:ascii="Book Antiqua" w:hAnsi="Book Antiqua" w:cs="Times New Roman"/>
          <w:sz w:val="24"/>
          <w:szCs w:val="24"/>
          <w:lang w:val="en-US"/>
        </w:rPr>
        <w:t>twin.tec</w:t>
      </w:r>
      <w:r w:rsidR="007057E4" w:rsidRPr="00347522">
        <w:rPr>
          <w:rFonts w:ascii="Book Antiqua" w:hAnsi="Book Antiqua" w:cs="Times New Roman"/>
          <w:sz w:val="24"/>
          <w:szCs w:val="24"/>
          <w:lang w:val="en-US"/>
        </w:rPr>
        <w:t xml:space="preserve"> real-time PCR plates with PCR Film (</w:t>
      </w:r>
      <w:r w:rsidR="007057E4" w:rsidRPr="00347522">
        <w:rPr>
          <w:rStyle w:val="spelle"/>
          <w:rFonts w:ascii="Book Antiqua" w:hAnsi="Book Antiqua" w:cs="Times New Roman"/>
          <w:iCs/>
          <w:sz w:val="24"/>
          <w:szCs w:val="24"/>
          <w:lang w:val="en-US"/>
        </w:rPr>
        <w:t>Eppendorf</w:t>
      </w:r>
      <w:r w:rsidR="007057E4" w:rsidRPr="00347522">
        <w:rPr>
          <w:rFonts w:ascii="Book Antiqua" w:hAnsi="Book Antiqua" w:cs="Times New Roman"/>
          <w:iCs/>
          <w:sz w:val="24"/>
          <w:szCs w:val="24"/>
          <w:lang w:val="en-US"/>
        </w:rPr>
        <w:t>)</w:t>
      </w:r>
      <w:r w:rsidR="007057E4" w:rsidRPr="00347522">
        <w:rPr>
          <w:rFonts w:ascii="Book Antiqua" w:hAnsi="Book Antiqua" w:cs="Times New Roman"/>
          <w:sz w:val="24"/>
          <w:szCs w:val="24"/>
          <w:lang w:val="en-US"/>
        </w:rPr>
        <w:t xml:space="preserve"> using </w:t>
      </w:r>
      <w:r w:rsidR="007057E4" w:rsidRPr="00347522">
        <w:rPr>
          <w:rStyle w:val="spelle"/>
          <w:rFonts w:ascii="Book Antiqua" w:hAnsi="Book Antiqua" w:cs="Times New Roman"/>
          <w:sz w:val="24"/>
          <w:szCs w:val="24"/>
          <w:lang w:val="en-US"/>
        </w:rPr>
        <w:t>Mastercycler</w:t>
      </w:r>
      <w:r w:rsidR="007057E4" w:rsidRPr="00347522">
        <w:rPr>
          <w:rFonts w:ascii="Book Antiqua" w:hAnsi="Book Antiqua" w:cs="Times New Roman"/>
          <w:sz w:val="24"/>
          <w:szCs w:val="24"/>
          <w:lang w:val="en-US"/>
        </w:rPr>
        <w:t xml:space="preserve"> ep-realplex</w:t>
      </w:r>
      <w:r w:rsidR="007057E4" w:rsidRPr="00347522">
        <w:rPr>
          <w:rFonts w:ascii="Book Antiqua" w:hAnsi="Book Antiqua" w:cs="Times New Roman"/>
          <w:sz w:val="24"/>
          <w:szCs w:val="24"/>
          <w:vertAlign w:val="superscript"/>
          <w:lang w:val="en-US"/>
        </w:rPr>
        <w:t>2</w:t>
      </w:r>
      <w:r w:rsidR="007057E4" w:rsidRPr="00347522">
        <w:rPr>
          <w:rFonts w:ascii="Book Antiqua" w:hAnsi="Book Antiqua" w:cs="Times New Roman"/>
          <w:sz w:val="24"/>
          <w:szCs w:val="24"/>
          <w:lang w:val="en-US"/>
        </w:rPr>
        <w:t xml:space="preserve"> </w:t>
      </w:r>
      <w:bookmarkStart w:id="26" w:name="OLE_LINK25"/>
      <w:bookmarkStart w:id="27" w:name="OLE_LINK26"/>
      <w:r w:rsidR="007057E4" w:rsidRPr="00347522">
        <w:rPr>
          <w:rFonts w:ascii="Book Antiqua" w:hAnsi="Book Antiqua" w:cs="Times New Roman"/>
          <w:sz w:val="24"/>
          <w:szCs w:val="24"/>
          <w:lang w:val="en-US"/>
        </w:rPr>
        <w:t>(</w:t>
      </w:r>
      <w:r w:rsidR="007057E4" w:rsidRPr="00347522">
        <w:rPr>
          <w:rStyle w:val="spelle"/>
          <w:rFonts w:ascii="Book Antiqua" w:hAnsi="Book Antiqua" w:cs="Times New Roman"/>
          <w:iCs/>
          <w:sz w:val="24"/>
          <w:szCs w:val="24"/>
          <w:lang w:val="en-US"/>
        </w:rPr>
        <w:t>Eppendorf</w:t>
      </w:r>
      <w:r w:rsidR="007057E4" w:rsidRPr="00347522">
        <w:rPr>
          <w:rFonts w:ascii="Book Antiqua" w:hAnsi="Book Antiqua" w:cs="Times New Roman"/>
          <w:sz w:val="24"/>
          <w:szCs w:val="24"/>
          <w:lang w:val="en-US"/>
        </w:rPr>
        <w:t>)</w:t>
      </w:r>
      <w:bookmarkEnd w:id="26"/>
      <w:bookmarkEnd w:id="27"/>
      <w:r w:rsidR="007057E4" w:rsidRPr="00347522">
        <w:rPr>
          <w:rFonts w:ascii="Book Antiqua" w:hAnsi="Book Antiqua" w:cs="Times New Roman"/>
          <w:sz w:val="24"/>
          <w:szCs w:val="24"/>
          <w:lang w:val="en-US"/>
        </w:rPr>
        <w:t xml:space="preserve">. The PCR program was as followed: (1) Initial </w:t>
      </w:r>
      <w:r w:rsidR="007057E4" w:rsidRPr="00347522">
        <w:rPr>
          <w:rStyle w:val="spelle"/>
          <w:rFonts w:ascii="Book Antiqua" w:hAnsi="Book Antiqua" w:cs="Times New Roman"/>
          <w:sz w:val="24"/>
          <w:szCs w:val="24"/>
          <w:lang w:val="en-US"/>
        </w:rPr>
        <w:t>denaturation</w:t>
      </w:r>
      <w:r w:rsidR="007057E4" w:rsidRPr="00347522">
        <w:rPr>
          <w:rFonts w:ascii="Book Antiqua" w:hAnsi="Book Antiqua" w:cs="Times New Roman"/>
          <w:sz w:val="24"/>
          <w:szCs w:val="24"/>
          <w:lang w:val="en-US"/>
        </w:rPr>
        <w:t>, 95 °C, 10 min</w:t>
      </w:r>
      <w:r w:rsidR="00D16703"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(2) </w:t>
      </w:r>
      <w:r w:rsidR="007057E4" w:rsidRPr="00347522">
        <w:rPr>
          <w:rStyle w:val="spelle"/>
          <w:rFonts w:ascii="Book Antiqua" w:hAnsi="Book Antiqua" w:cs="Times New Roman"/>
          <w:sz w:val="24"/>
          <w:szCs w:val="24"/>
          <w:lang w:val="en-US"/>
        </w:rPr>
        <w:t>Denaturation</w:t>
      </w:r>
      <w:r w:rsidR="007057E4" w:rsidRPr="00347522">
        <w:rPr>
          <w:rFonts w:ascii="Book Antiqua" w:hAnsi="Book Antiqua" w:cs="Times New Roman"/>
          <w:sz w:val="24"/>
          <w:szCs w:val="24"/>
          <w:lang w:val="en-US"/>
        </w:rPr>
        <w:t>, 95 °C, 15 s</w:t>
      </w:r>
      <w:r w:rsidR="00D16703"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(3) Annealing</w:t>
      </w:r>
      <w:r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60 °C, 30 s</w:t>
      </w:r>
      <w:r w:rsidR="00F71214"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(4) Extension</w:t>
      </w:r>
      <w:r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72 °C, 30 s. The number of cycles was 40-50. Melting curves were made and 2% </w:t>
      </w:r>
      <w:r w:rsidR="007057E4" w:rsidRPr="00347522">
        <w:rPr>
          <w:rStyle w:val="spelle"/>
          <w:rFonts w:ascii="Book Antiqua" w:hAnsi="Book Antiqua" w:cs="Times New Roman"/>
          <w:sz w:val="24"/>
          <w:szCs w:val="24"/>
          <w:lang w:val="en-US"/>
        </w:rPr>
        <w:t>agarose</w:t>
      </w:r>
      <w:r w:rsidR="007057E4" w:rsidRPr="00347522">
        <w:rPr>
          <w:rFonts w:ascii="Book Antiqua" w:hAnsi="Book Antiqua" w:cs="Times New Roman"/>
          <w:sz w:val="24"/>
          <w:szCs w:val="24"/>
          <w:lang w:val="en-US"/>
        </w:rPr>
        <w:t xml:space="preserve"> gel electrophoresis was used to verify the amplification product specificity and size, respectively. All samples were amplified in duplicate or triplicate, and in case when</w:t>
      </w:r>
      <w:r w:rsidR="007057E4" w:rsidRPr="00347522">
        <w:rPr>
          <w:rStyle w:val="grame"/>
          <w:rFonts w:ascii="Book Antiqua" w:hAnsi="Book Antiqua" w:cs="Times New Roman"/>
          <w:sz w:val="24"/>
          <w:szCs w:val="24"/>
          <w:lang w:val="en-US"/>
        </w:rPr>
        <w:t xml:space="preserve"> results</w:t>
      </w:r>
      <w:r w:rsidR="007057E4" w:rsidRPr="00347522">
        <w:rPr>
          <w:rFonts w:ascii="Book Antiqua" w:hAnsi="Book Antiqua" w:cs="Times New Roman"/>
          <w:sz w:val="24"/>
          <w:szCs w:val="24"/>
          <w:lang w:val="en-US"/>
        </w:rPr>
        <w:t xml:space="preserve"> varied by more than 15%, the reactions were repeated. </w:t>
      </w:r>
    </w:p>
    <w:p w14:paraId="2E40D436" w14:textId="26C46D94" w:rsidR="007057E4" w:rsidRPr="00347522" w:rsidRDefault="007C1F2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Absolute </w:t>
      </w:r>
      <w:r w:rsidR="007057E4" w:rsidRPr="00347522">
        <w:rPr>
          <w:rStyle w:val="spelle"/>
          <w:rFonts w:ascii="Book Antiqua" w:hAnsi="Book Antiqua" w:cs="Times New Roman"/>
          <w:sz w:val="24"/>
          <w:szCs w:val="24"/>
          <w:lang w:val="en-US"/>
        </w:rPr>
        <w:t>quantitation</w:t>
      </w:r>
      <w:r w:rsidR="007057E4" w:rsidRPr="00347522">
        <w:rPr>
          <w:rFonts w:ascii="Book Antiqua" w:hAnsi="Book Antiqua" w:cs="Times New Roman"/>
          <w:sz w:val="24"/>
          <w:szCs w:val="24"/>
          <w:lang w:val="en-US"/>
        </w:rPr>
        <w:t xml:space="preserve"> method was used to </w:t>
      </w:r>
      <w:r w:rsidR="007057E4" w:rsidRPr="00347522">
        <w:rPr>
          <w:rStyle w:val="spelle"/>
          <w:rFonts w:ascii="Book Antiqua" w:hAnsi="Book Antiqua" w:cs="Times New Roman"/>
          <w:sz w:val="24"/>
          <w:szCs w:val="24"/>
          <w:lang w:val="en-US"/>
        </w:rPr>
        <w:t>quantify</w:t>
      </w:r>
      <w:r w:rsidR="007057E4" w:rsidRPr="00347522">
        <w:rPr>
          <w:rFonts w:ascii="Book Antiqua" w:hAnsi="Book Antiqua" w:cs="Times New Roman"/>
          <w:sz w:val="24"/>
          <w:szCs w:val="24"/>
          <w:lang w:val="en-US"/>
        </w:rPr>
        <w:t xml:space="preserve"> mRNA copy numbers of MUC1 and MUC2. Absolute </w:t>
      </w:r>
      <w:r w:rsidR="007057E4" w:rsidRPr="00347522">
        <w:rPr>
          <w:rStyle w:val="spelle"/>
          <w:rFonts w:ascii="Book Antiqua" w:hAnsi="Book Antiqua" w:cs="Times New Roman"/>
          <w:sz w:val="24"/>
          <w:szCs w:val="24"/>
          <w:lang w:val="en-US"/>
        </w:rPr>
        <w:t>quantification</w:t>
      </w:r>
      <w:r w:rsidR="007057E4" w:rsidRPr="00347522">
        <w:rPr>
          <w:rFonts w:ascii="Book Antiqua" w:hAnsi="Book Antiqua" w:cs="Times New Roman"/>
          <w:sz w:val="24"/>
          <w:szCs w:val="24"/>
          <w:lang w:val="en-US"/>
        </w:rPr>
        <w:t xml:space="preserve"> determines the exact copy concentration of a target gene by relating the </w:t>
      </w:r>
      <w:r w:rsidR="007057E4" w:rsidRPr="00347522">
        <w:rPr>
          <w:rFonts w:ascii="Book Antiqua" w:hAnsi="Book Antiqua" w:cs="Times New Roman"/>
          <w:i/>
          <w:iCs/>
          <w:sz w:val="24"/>
          <w:szCs w:val="24"/>
          <w:lang w:val="en-US"/>
        </w:rPr>
        <w:t>C</w:t>
      </w:r>
      <w:r w:rsidR="007057E4" w:rsidRPr="00347522">
        <w:rPr>
          <w:rFonts w:ascii="Book Antiqua" w:hAnsi="Book Antiqua" w:cs="Times New Roman"/>
          <w:sz w:val="24"/>
          <w:szCs w:val="24"/>
          <w:vertAlign w:val="subscript"/>
          <w:lang w:val="en-US"/>
        </w:rPr>
        <w:t>t</w:t>
      </w:r>
      <w:r w:rsidR="007057E4" w:rsidRPr="00347522">
        <w:rPr>
          <w:rFonts w:ascii="Book Antiqua" w:hAnsi="Book Antiqua" w:cs="Times New Roman"/>
          <w:sz w:val="24"/>
          <w:szCs w:val="24"/>
          <w:lang w:val="en-US"/>
        </w:rPr>
        <w:t xml:space="preserve"> value to a standard curve. Prior to absolute </w:t>
      </w:r>
      <w:r w:rsidR="007057E4" w:rsidRPr="00347522">
        <w:rPr>
          <w:rStyle w:val="spelle"/>
          <w:rFonts w:ascii="Book Antiqua" w:hAnsi="Book Antiqua" w:cs="Times New Roman"/>
          <w:sz w:val="24"/>
          <w:szCs w:val="24"/>
          <w:lang w:val="en-US"/>
        </w:rPr>
        <w:t>quantification</w:t>
      </w:r>
      <w:r w:rsidR="007057E4" w:rsidRPr="00347522">
        <w:rPr>
          <w:rFonts w:ascii="Book Antiqua" w:hAnsi="Book Antiqua" w:cs="Times New Roman"/>
          <w:sz w:val="24"/>
          <w:szCs w:val="24"/>
          <w:lang w:val="en-US"/>
        </w:rPr>
        <w:t xml:space="preserve">, the </w:t>
      </w:r>
      <w:r w:rsidR="007057E4" w:rsidRPr="00347522">
        <w:rPr>
          <w:rFonts w:ascii="Book Antiqua" w:hAnsi="Book Antiqua" w:cs="Times New Roman"/>
          <w:i/>
          <w:iCs/>
          <w:sz w:val="24"/>
          <w:szCs w:val="24"/>
          <w:lang w:val="en-US"/>
        </w:rPr>
        <w:t>C</w:t>
      </w:r>
      <w:r w:rsidR="007057E4" w:rsidRPr="00347522">
        <w:rPr>
          <w:rFonts w:ascii="Book Antiqua" w:hAnsi="Book Antiqua" w:cs="Times New Roman"/>
          <w:sz w:val="24"/>
          <w:szCs w:val="24"/>
          <w:vertAlign w:val="subscript"/>
          <w:lang w:val="en-US"/>
        </w:rPr>
        <w:t>t</w:t>
      </w:r>
      <w:r w:rsidR="007057E4" w:rsidRPr="00347522">
        <w:rPr>
          <w:rFonts w:ascii="Book Antiqua" w:hAnsi="Book Antiqua" w:cs="Times New Roman"/>
          <w:sz w:val="24"/>
          <w:szCs w:val="24"/>
          <w:lang w:val="en-US"/>
        </w:rPr>
        <w:t xml:space="preserve"> values were normalized by comparison to the average of </w:t>
      </w:r>
      <w:r w:rsidR="007057E4" w:rsidRPr="00347522">
        <w:rPr>
          <w:rFonts w:ascii="Book Antiqua" w:hAnsi="Book Antiqua" w:cs="Times New Roman"/>
          <w:i/>
          <w:iCs/>
          <w:sz w:val="24"/>
          <w:szCs w:val="24"/>
          <w:lang w:val="en-US"/>
        </w:rPr>
        <w:t>C</w:t>
      </w:r>
      <w:r w:rsidR="007057E4" w:rsidRPr="00347522">
        <w:rPr>
          <w:rFonts w:ascii="Book Antiqua" w:hAnsi="Book Antiqua" w:cs="Times New Roman"/>
          <w:sz w:val="24"/>
          <w:szCs w:val="24"/>
          <w:vertAlign w:val="subscript"/>
          <w:lang w:val="en-US"/>
        </w:rPr>
        <w:t>t</w:t>
      </w:r>
      <w:r w:rsidR="007057E4" w:rsidRPr="00347522">
        <w:rPr>
          <w:rFonts w:ascii="Book Antiqua" w:hAnsi="Book Antiqua" w:cs="Times New Roman"/>
          <w:sz w:val="24"/>
          <w:szCs w:val="24"/>
          <w:lang w:val="en-US"/>
        </w:rPr>
        <w:t>’s obtained for three housekeeping genes (</w:t>
      </w:r>
      <w:r w:rsidR="007057E4" w:rsidRPr="00347522">
        <w:rPr>
          <w:rFonts w:ascii="Book Antiqua" w:hAnsi="Book Antiqua" w:cs="Times New Roman"/>
          <w:i/>
          <w:iCs/>
          <w:sz w:val="24"/>
          <w:szCs w:val="24"/>
          <w:lang w:val="en-US"/>
        </w:rPr>
        <w:t>β-</w:t>
      </w:r>
      <w:r w:rsidR="007057E4" w:rsidRPr="00347522">
        <w:rPr>
          <w:rStyle w:val="spelle"/>
          <w:rFonts w:ascii="Book Antiqua" w:hAnsi="Book Antiqua" w:cs="Times New Roman"/>
          <w:i/>
          <w:iCs/>
          <w:sz w:val="24"/>
          <w:szCs w:val="24"/>
          <w:lang w:val="en-US"/>
        </w:rPr>
        <w:t xml:space="preserve">actin, GAPDH, </w:t>
      </w:r>
      <w:r w:rsidR="007057E4" w:rsidRPr="00347522">
        <w:rPr>
          <w:rStyle w:val="spelle"/>
          <w:rFonts w:ascii="Book Antiqua" w:hAnsi="Book Antiqua" w:cs="Times New Roman"/>
          <w:sz w:val="24"/>
          <w:szCs w:val="24"/>
          <w:lang w:val="en-US"/>
        </w:rPr>
        <w:t xml:space="preserve">and </w:t>
      </w:r>
      <w:r w:rsidR="007057E4" w:rsidRPr="00347522">
        <w:rPr>
          <w:rStyle w:val="spelle"/>
          <w:rFonts w:ascii="Book Antiqua" w:hAnsi="Book Antiqua" w:cs="Times New Roman"/>
          <w:i/>
          <w:iCs/>
          <w:sz w:val="24"/>
          <w:szCs w:val="24"/>
          <w:lang w:val="en-US"/>
        </w:rPr>
        <w:t>HPRT1</w:t>
      </w:r>
      <w:r w:rsidR="007057E4" w:rsidRPr="00347522">
        <w:rPr>
          <w:rFonts w:ascii="Book Antiqua" w:hAnsi="Book Antiqua" w:cs="Times New Roman"/>
          <w:sz w:val="24"/>
          <w:szCs w:val="24"/>
          <w:lang w:val="en-US"/>
        </w:rPr>
        <w:t xml:space="preserve">). </w:t>
      </w:r>
    </w:p>
    <w:p w14:paraId="6154E046" w14:textId="58AC7BAA" w:rsidR="00E56BC4" w:rsidRPr="00347522" w:rsidRDefault="007C1F2E"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Evaluation of alterations in expression of MUC1 and MUC2 mRNA, involved a comparison of mRNA copy numbers for those mucins per microgram of RNA, </w:t>
      </w:r>
    </w:p>
    <w:p w14:paraId="0819ED5E" w14:textId="46CE36A6"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between the tumor and control</w:t>
      </w:r>
      <w:r w:rsidR="000D3C6A" w:rsidRPr="00347522">
        <w:rPr>
          <w:rFonts w:ascii="Book Antiqua" w:hAnsi="Book Antiqua" w:cs="Times New Roman"/>
          <w:sz w:val="24"/>
          <w:szCs w:val="24"/>
          <w:lang w:val="en-US"/>
        </w:rPr>
        <w:t xml:space="preserve"> samples from the same patient</w:t>
      </w:r>
      <w:r w:rsidRPr="00347522">
        <w:rPr>
          <w:rFonts w:ascii="Book Antiqua" w:hAnsi="Book Antiqua" w:cs="Times New Roman"/>
          <w:sz w:val="24"/>
          <w:szCs w:val="24"/>
          <w:lang w:val="en-US"/>
        </w:rPr>
        <w:t xml:space="preserve">. </w:t>
      </w:r>
    </w:p>
    <w:p w14:paraId="65B3E924"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p>
    <w:p w14:paraId="4203FA8C" w14:textId="30D17BE3" w:rsidR="007057E4" w:rsidRPr="00347522" w:rsidRDefault="007057E4" w:rsidP="00347522">
      <w:pPr>
        <w:adjustRightInd w:val="0"/>
        <w:snapToGrid w:val="0"/>
        <w:spacing w:line="360" w:lineRule="auto"/>
        <w:ind w:firstLineChars="0" w:firstLine="0"/>
        <w:jc w:val="both"/>
        <w:rPr>
          <w:rStyle w:val="spelle"/>
          <w:rFonts w:ascii="Book Antiqua" w:hAnsi="Book Antiqua" w:cs="Times New Roman"/>
          <w:b/>
          <w:i/>
          <w:iCs/>
          <w:sz w:val="24"/>
          <w:szCs w:val="24"/>
          <w:lang w:val="en-US"/>
        </w:rPr>
      </w:pPr>
      <w:bookmarkStart w:id="28" w:name="OLE_LINK27"/>
      <w:r w:rsidRPr="00347522">
        <w:rPr>
          <w:rStyle w:val="spelle"/>
          <w:rFonts w:ascii="Book Antiqua" w:hAnsi="Book Antiqua" w:cs="Times New Roman"/>
          <w:b/>
          <w:i/>
          <w:iCs/>
          <w:sz w:val="24"/>
          <w:szCs w:val="24"/>
          <w:lang w:val="en-US"/>
        </w:rPr>
        <w:t>Immunocytochemistry</w:t>
      </w:r>
      <w:bookmarkEnd w:id="28"/>
    </w:p>
    <w:p w14:paraId="2DAF98FD" w14:textId="1DA2FBAD"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Tissue sections, 5 </w:t>
      </w:r>
      <w:r w:rsidRPr="00D62D85">
        <w:rPr>
          <w:rFonts w:ascii="Book Antiqua" w:hAnsi="Book Antiqua" w:cs="Times New Roman"/>
          <w:sz w:val="24"/>
          <w:szCs w:val="24"/>
          <w:lang w:val="en-US"/>
        </w:rPr>
        <w:sym w:font="Symbol" w:char="F06D"/>
      </w:r>
      <w:r w:rsidRPr="00D62D85">
        <w:rPr>
          <w:rFonts w:ascii="Book Antiqua" w:hAnsi="Book Antiqua" w:cs="Times New Roman"/>
          <w:sz w:val="24"/>
          <w:szCs w:val="24"/>
          <w:lang w:val="en-US"/>
        </w:rPr>
        <w:t xml:space="preserve">m thick, were deposited onto </w:t>
      </w:r>
      <w:r w:rsidRPr="00D62D85">
        <w:rPr>
          <w:rStyle w:val="spelle"/>
          <w:rFonts w:ascii="Book Antiqua" w:hAnsi="Book Antiqua" w:cs="Times New Roman"/>
          <w:sz w:val="24"/>
          <w:szCs w:val="24"/>
          <w:lang w:val="en-US"/>
        </w:rPr>
        <w:t>SuperFrost</w:t>
      </w:r>
      <w:r w:rsidRPr="00D62D85">
        <w:rPr>
          <w:rFonts w:ascii="Book Antiqua" w:hAnsi="Book Antiqua" w:cs="Times New Roman"/>
          <w:sz w:val="24"/>
          <w:szCs w:val="24"/>
          <w:lang w:val="en-US"/>
        </w:rPr>
        <w:t xml:space="preserve">/Plus microscope slides. In order to </w:t>
      </w:r>
      <w:r w:rsidRPr="0065165A">
        <w:rPr>
          <w:rFonts w:ascii="Book Antiqua" w:hAnsi="Book Antiqua" w:cs="Times New Roman"/>
          <w:sz w:val="24"/>
          <w:szCs w:val="24"/>
          <w:lang w:val="en-US"/>
        </w:rPr>
        <w:t>qualify the material for the study, routine staining of the sections with hematoxylin and eosin (HE) was performed. Anti-human mouse monoclonal antibodies (m</w:t>
      </w:r>
      <w:r w:rsidRPr="00347522">
        <w:rPr>
          <w:rStyle w:val="spelle"/>
          <w:rFonts w:ascii="Book Antiqua" w:hAnsi="Book Antiqua" w:cs="Times New Roman"/>
          <w:sz w:val="24"/>
          <w:szCs w:val="24"/>
          <w:lang w:val="en-US"/>
        </w:rPr>
        <w:t>Abs</w:t>
      </w:r>
      <w:r w:rsidRPr="00347522">
        <w:rPr>
          <w:rFonts w:ascii="Book Antiqua" w:hAnsi="Book Antiqua" w:cs="Times New Roman"/>
          <w:sz w:val="24"/>
          <w:szCs w:val="24"/>
          <w:lang w:val="en-US"/>
        </w:rPr>
        <w:t>) specific for human Ki-67 antigen (clone MIB-1) (Dako Denmark A/S, Glostrup, Denmark, ready to use), anti-p53 (clone DO-7) (Dako), as well as the anti-MUC1 (clone Ma552) and anti-MUC2 (clone Ccp58) (both from Novocastra</w:t>
      </w:r>
      <w:r w:rsidRPr="00347522">
        <w:rPr>
          <w:rFonts w:ascii="Book Antiqua" w:hAnsi="Book Antiqua" w:cs="Times New Roman"/>
          <w:sz w:val="24"/>
          <w:szCs w:val="24"/>
          <w:vertAlign w:val="superscript"/>
          <w:lang w:val="en-US"/>
        </w:rPr>
        <w:t>TM</w:t>
      </w:r>
      <w:r w:rsidRPr="00347522">
        <w:rPr>
          <w:rFonts w:ascii="Book Antiqua" w:hAnsi="Book Antiqua" w:cs="Times New Roman"/>
          <w:sz w:val="24"/>
          <w:szCs w:val="24"/>
          <w:lang w:val="en-US"/>
        </w:rPr>
        <w:t xml:space="preserve">, both in 1:100 dilution) antibodies were used. The sections were incubated with these primary mAbs through the night, at </w:t>
      </w:r>
      <w:r w:rsidR="000F7F01" w:rsidRPr="00347522">
        <w:rPr>
          <w:rFonts w:ascii="Book Antiqua" w:hAnsi="Book Antiqua" w:cs="Times New Roman"/>
          <w:sz w:val="24"/>
          <w:szCs w:val="24"/>
          <w:lang w:val="en-US"/>
        </w:rPr>
        <w:t xml:space="preserve">4 </w:t>
      </w:r>
      <w:r w:rsidR="000F7F01" w:rsidRPr="00347522">
        <w:rPr>
          <w:rFonts w:ascii="MS Mincho" w:eastAsia="MS Mincho" w:hAnsi="MS Mincho" w:cs="MS Mincho"/>
          <w:kern w:val="24"/>
          <w:sz w:val="24"/>
          <w:szCs w:val="24"/>
          <w:lang w:val="en-US"/>
        </w:rPr>
        <w:t>℃</w:t>
      </w:r>
      <w:r w:rsidRPr="00347522">
        <w:rPr>
          <w:rFonts w:ascii="Book Antiqua" w:hAnsi="Book Antiqua" w:cs="Times New Roman"/>
          <w:sz w:val="24"/>
          <w:szCs w:val="24"/>
          <w:lang w:val="en-US"/>
        </w:rPr>
        <w:t>, and afterwards with dextran backbone, to which horseradish peroxidase (HRP) was attached, and with secondary biotinylated link anti-rabbit and anti-mouse IgG (Dako REAL</w:t>
      </w:r>
      <w:r w:rsidRPr="00347522">
        <w:rPr>
          <w:rFonts w:ascii="Book Antiqua" w:hAnsi="Book Antiqua" w:cs="Times New Roman"/>
          <w:position w:val="6"/>
          <w:sz w:val="24"/>
          <w:szCs w:val="24"/>
          <w:vertAlign w:val="superscript"/>
          <w:lang w:val="en-US"/>
        </w:rPr>
        <w:t>TM</w:t>
      </w:r>
      <w:r w:rsidRPr="00347522">
        <w:rPr>
          <w:rFonts w:ascii="Book Antiqua" w:hAnsi="Book Antiqua" w:cs="Times New Roman"/>
          <w:sz w:val="24"/>
          <w:szCs w:val="24"/>
          <w:lang w:val="en-US"/>
        </w:rPr>
        <w:t>EnVision</w:t>
      </w:r>
      <w:r w:rsidRPr="00347522">
        <w:rPr>
          <w:rFonts w:ascii="Book Antiqua" w:hAnsi="Book Antiqua" w:cs="Times New Roman"/>
          <w:position w:val="6"/>
          <w:sz w:val="24"/>
          <w:szCs w:val="24"/>
          <w:vertAlign w:val="superscript"/>
          <w:lang w:val="en-US"/>
        </w:rPr>
        <w:t xml:space="preserve">TM </w:t>
      </w:r>
      <w:r w:rsidRPr="00347522">
        <w:rPr>
          <w:rFonts w:ascii="Book Antiqua" w:hAnsi="Book Antiqua" w:cs="Times New Roman"/>
          <w:sz w:val="24"/>
          <w:szCs w:val="24"/>
          <w:lang w:val="en-US"/>
        </w:rPr>
        <w:t xml:space="preserve">Detection System peroxidase/DAB+, Rabbit/Mouse, Dako), with microwave-oven pre-treatment for antigen retrieval. Positive reaction manifested, in at least three sequential sections, as a dark brown or black precipitate in the cell nucleus (Ki-67, p53) and cell membrane/cytoplasm (MUC1 and MUC2). The preparations were counterstained using </w:t>
      </w:r>
      <w:r w:rsidRPr="00347522">
        <w:rPr>
          <w:rStyle w:val="spelle"/>
          <w:rFonts w:ascii="Book Antiqua" w:hAnsi="Book Antiqua" w:cs="Times New Roman"/>
          <w:sz w:val="24"/>
          <w:szCs w:val="24"/>
          <w:lang w:val="en-US"/>
        </w:rPr>
        <w:t>hematoxylin</w:t>
      </w:r>
      <w:r w:rsidRPr="00347522">
        <w:rPr>
          <w:rFonts w:ascii="Book Antiqua" w:hAnsi="Book Antiqua" w:cs="Times New Roman"/>
          <w:sz w:val="24"/>
          <w:szCs w:val="24"/>
          <w:lang w:val="en-US"/>
        </w:rPr>
        <w:t>. Every test was accompanied by a negative control, in which specific antibodies were supplemented by a normal serum of a respective species in 0.</w:t>
      </w:r>
      <w:r w:rsidR="000F7F01" w:rsidRPr="00347522">
        <w:rPr>
          <w:rFonts w:ascii="Book Antiqua" w:hAnsi="Book Antiqua" w:cs="Times New Roman"/>
          <w:sz w:val="24"/>
          <w:szCs w:val="24"/>
          <w:lang w:val="en-US"/>
        </w:rPr>
        <w:t>05</w:t>
      </w:r>
      <w:r w:rsidR="009E1BD9" w:rsidRPr="00347522">
        <w:rPr>
          <w:rFonts w:ascii="Book Antiqua" w:hAnsi="Book Antiqua" w:cs="Times New Roman"/>
          <w:sz w:val="24"/>
          <w:szCs w:val="24"/>
          <w:lang w:val="en-US"/>
        </w:rPr>
        <w:t xml:space="preserve"> </w:t>
      </w:r>
      <w:r w:rsidR="000F7F01" w:rsidRPr="00347522">
        <w:rPr>
          <w:rFonts w:ascii="Book Antiqua" w:hAnsi="Book Antiqua" w:cs="Times New Roman"/>
          <w:sz w:val="24"/>
          <w:szCs w:val="24"/>
          <w:lang w:val="en-US"/>
        </w:rPr>
        <w:t xml:space="preserve">mol/L </w:t>
      </w:r>
      <w:r w:rsidRPr="00347522">
        <w:rPr>
          <w:rFonts w:ascii="Book Antiqua" w:hAnsi="Book Antiqua" w:cs="Times New Roman"/>
          <w:sz w:val="24"/>
          <w:szCs w:val="24"/>
          <w:lang w:val="en-US"/>
        </w:rPr>
        <w:t>Tris-HCl, pH</w:t>
      </w:r>
      <w:r w:rsidR="00C30BDD" w:rsidRPr="00347522">
        <w:rPr>
          <w:rFonts w:ascii="Book Antiqua" w:hAnsi="Book Antiqua" w:cs="Times New Roman"/>
          <w:sz w:val="24"/>
          <w:szCs w:val="24"/>
          <w:lang w:val="en-US"/>
        </w:rPr>
        <w:t xml:space="preserve"> approximately </w:t>
      </w:r>
      <w:r w:rsidRPr="00347522">
        <w:rPr>
          <w:rFonts w:ascii="Book Antiqua" w:hAnsi="Book Antiqua" w:cs="Times New Roman"/>
          <w:sz w:val="24"/>
          <w:szCs w:val="24"/>
          <w:lang w:val="en-US"/>
        </w:rPr>
        <w:t>7.6, supplemented with 0.1% bovine serum albumin (BSA) and 15</w:t>
      </w:r>
      <w:r w:rsidR="000F7F01" w:rsidRPr="00347522">
        <w:rPr>
          <w:rFonts w:ascii="Book Antiqua" w:hAnsi="Book Antiqua" w:cs="Times New Roman"/>
          <w:sz w:val="24"/>
          <w:szCs w:val="24"/>
          <w:lang w:val="en-US"/>
        </w:rPr>
        <w:t xml:space="preserve"> </w:t>
      </w:r>
      <w:r w:rsidRPr="00347522">
        <w:rPr>
          <w:rFonts w:ascii="Book Antiqua" w:hAnsi="Book Antiqua" w:cs="Times New Roman"/>
          <w:sz w:val="24"/>
          <w:szCs w:val="24"/>
          <w:lang w:val="en-US"/>
        </w:rPr>
        <w:t>m</w:t>
      </w:r>
      <w:r w:rsidR="000F7F01" w:rsidRPr="00347522">
        <w:rPr>
          <w:rFonts w:ascii="Book Antiqua" w:hAnsi="Book Antiqua" w:cs="Times New Roman"/>
          <w:sz w:val="24"/>
          <w:szCs w:val="24"/>
          <w:lang w:val="en-US"/>
        </w:rPr>
        <w:t>mol/L</w:t>
      </w:r>
      <w:r w:rsidRPr="00347522">
        <w:rPr>
          <w:rFonts w:ascii="Book Antiqua" w:hAnsi="Book Antiqua" w:cs="Times New Roman"/>
          <w:sz w:val="24"/>
          <w:szCs w:val="24"/>
          <w:lang w:val="en-US"/>
        </w:rPr>
        <w:t xml:space="preserve"> sodium azide (internal negative control). All the steps of </w:t>
      </w:r>
      <w:r w:rsidR="000F7F01" w:rsidRPr="00347522">
        <w:rPr>
          <w:rStyle w:val="spelle"/>
          <w:rFonts w:ascii="Book Antiqua" w:hAnsi="Book Antiqua" w:cs="Times New Roman"/>
          <w:iCs/>
          <w:sz w:val="24"/>
          <w:szCs w:val="24"/>
          <w:lang w:val="en-US"/>
        </w:rPr>
        <w:t>immunocytochemistry</w:t>
      </w:r>
      <w:r w:rsidR="000F7F01" w:rsidRPr="00347522">
        <w:rPr>
          <w:rFonts w:ascii="Book Antiqua" w:hAnsi="Book Antiqua" w:cs="Times New Roman"/>
          <w:sz w:val="24"/>
          <w:szCs w:val="24"/>
          <w:lang w:val="en-US"/>
        </w:rPr>
        <w:t xml:space="preserve"> (</w:t>
      </w:r>
      <w:r w:rsidRPr="00347522">
        <w:rPr>
          <w:rFonts w:ascii="Book Antiqua" w:hAnsi="Book Antiqua" w:cs="Times New Roman"/>
          <w:sz w:val="24"/>
          <w:szCs w:val="24"/>
          <w:lang w:val="en-US"/>
        </w:rPr>
        <w:t>IHC</w:t>
      </w:r>
      <w:r w:rsidR="000F7F01" w:rsidRPr="00347522">
        <w:rPr>
          <w:rFonts w:ascii="Book Antiqua" w:hAnsi="Book Antiqua" w:cs="Times New Roman"/>
          <w:sz w:val="24"/>
          <w:szCs w:val="24"/>
          <w:lang w:val="en-US"/>
        </w:rPr>
        <w:t>)</w:t>
      </w:r>
      <w:r w:rsidRPr="00347522">
        <w:rPr>
          <w:rFonts w:ascii="Book Antiqua" w:hAnsi="Book Antiqua" w:cs="Times New Roman"/>
          <w:sz w:val="24"/>
          <w:szCs w:val="24"/>
          <w:lang w:val="en-US"/>
        </w:rPr>
        <w:t xml:space="preserve"> technique were previously described</w:t>
      </w:r>
      <w:r w:rsidRPr="00347522">
        <w:rPr>
          <w:rFonts w:ascii="Book Antiqua" w:hAnsi="Book Antiqua" w:cs="Times New Roman"/>
          <w:sz w:val="24"/>
          <w:szCs w:val="24"/>
          <w:vertAlign w:val="superscript"/>
          <w:lang w:val="en-US"/>
        </w:rPr>
        <w:t>[3</w:t>
      </w:r>
      <w:r w:rsidR="006668C5" w:rsidRPr="00347522">
        <w:rPr>
          <w:rFonts w:ascii="Book Antiqua" w:hAnsi="Book Antiqua" w:cs="Times New Roman"/>
          <w:sz w:val="24"/>
          <w:szCs w:val="24"/>
          <w:vertAlign w:val="superscript"/>
          <w:lang w:val="en-US"/>
        </w:rPr>
        <w:t>4</w:t>
      </w:r>
      <w:r w:rsidRPr="00347522">
        <w:rPr>
          <w:rFonts w:ascii="Book Antiqua" w:hAnsi="Book Antiqua" w:cs="Times New Roman"/>
          <w:sz w:val="24"/>
          <w:szCs w:val="24"/>
          <w:vertAlign w:val="superscript"/>
          <w:lang w:val="en-US"/>
        </w:rPr>
        <w:t>]</w:t>
      </w:r>
      <w:r w:rsidRPr="00347522">
        <w:rPr>
          <w:rFonts w:ascii="Book Antiqua" w:hAnsi="Book Antiqua" w:cs="Times New Roman"/>
          <w:sz w:val="24"/>
          <w:szCs w:val="24"/>
          <w:lang w:val="en-US"/>
        </w:rPr>
        <w:t>. Histological slides with IHC expression were examined under the optical Olympus BH-2 microscope, coupled to a digital camera. Color microscope images were recorded and archived using a 40</w:t>
      </w:r>
      <w:r w:rsidR="000F7F01" w:rsidRPr="00347522">
        <w:rPr>
          <w:rFonts w:ascii="Book Antiqua" w:hAnsi="Book Antiqua" w:cs="Times New Roman"/>
          <w:sz w:val="24"/>
          <w:szCs w:val="24"/>
          <w:lang w:val="en-US"/>
        </w:rPr>
        <w:t xml:space="preserve"> ×</w:t>
      </w:r>
      <w:r w:rsidRPr="00347522">
        <w:rPr>
          <w:rFonts w:ascii="Book Antiqua" w:hAnsi="Book Antiqua" w:cs="Times New Roman"/>
          <w:sz w:val="24"/>
          <w:szCs w:val="24"/>
          <w:lang w:val="en-US"/>
        </w:rPr>
        <w:t xml:space="preserve"> objective (at least 10 fields in every microscope slide with an IHC positive reaction), with the use of LUCIA Image 5.0 computer software.</w:t>
      </w:r>
      <w:r w:rsidRPr="00347522">
        <w:rPr>
          <w:rFonts w:ascii="Book Antiqua" w:hAnsi="Book Antiqua" w:cs="Times New Roman"/>
          <w:i/>
          <w:iCs/>
          <w:sz w:val="24"/>
          <w:szCs w:val="24"/>
          <w:lang w:val="en-US"/>
        </w:rPr>
        <w:t xml:space="preserve"> </w:t>
      </w:r>
    </w:p>
    <w:p w14:paraId="448CEA5E" w14:textId="77777777" w:rsidR="007057E4" w:rsidRPr="00347522" w:rsidRDefault="007057E4" w:rsidP="00347522">
      <w:pPr>
        <w:pStyle w:val="Tekstpodstawowy31"/>
        <w:snapToGrid w:val="0"/>
        <w:rPr>
          <w:rStyle w:val="spelle"/>
          <w:rFonts w:ascii="Book Antiqua" w:hAnsi="Book Antiqua" w:cs="Times New Roman"/>
          <w:b w:val="0"/>
          <w:bCs w:val="0"/>
          <w:i/>
          <w:iCs/>
          <w:lang w:val="en-US"/>
        </w:rPr>
      </w:pPr>
    </w:p>
    <w:p w14:paraId="6D07E46C" w14:textId="77777777" w:rsidR="007057E4" w:rsidRPr="00347522" w:rsidRDefault="007057E4" w:rsidP="00347522">
      <w:pPr>
        <w:pStyle w:val="Tekstpodstawowy31"/>
        <w:snapToGrid w:val="0"/>
        <w:rPr>
          <w:rFonts w:ascii="Book Antiqua" w:hAnsi="Book Antiqua" w:cs="Times New Roman"/>
          <w:bCs w:val="0"/>
          <w:i/>
          <w:iCs/>
          <w:lang w:val="en-US"/>
        </w:rPr>
      </w:pPr>
      <w:r w:rsidRPr="00347522">
        <w:rPr>
          <w:rStyle w:val="spelle"/>
          <w:rFonts w:ascii="Book Antiqua" w:hAnsi="Book Antiqua" w:cs="Times New Roman"/>
          <w:bCs w:val="0"/>
          <w:i/>
          <w:iCs/>
          <w:lang w:val="en-US"/>
        </w:rPr>
        <w:t>Semiquantitative</w:t>
      </w:r>
      <w:r w:rsidRPr="00347522">
        <w:rPr>
          <w:rFonts w:ascii="Book Antiqua" w:hAnsi="Book Antiqua" w:cs="Times New Roman"/>
          <w:bCs w:val="0"/>
          <w:i/>
          <w:iCs/>
          <w:lang w:val="en-US"/>
        </w:rPr>
        <w:t xml:space="preserve"> evaluation of Ki-67 antigen and p53 expression </w:t>
      </w:r>
    </w:p>
    <w:p w14:paraId="62D2FFFD" w14:textId="4EF4EE40" w:rsidR="007057E4" w:rsidRPr="00347522" w:rsidRDefault="007057E4" w:rsidP="00347522">
      <w:pPr>
        <w:pStyle w:val="Tekstpodstawowy31"/>
        <w:snapToGrid w:val="0"/>
        <w:rPr>
          <w:rFonts w:ascii="Book Antiqua" w:hAnsi="Book Antiqua" w:cs="Times New Roman"/>
          <w:b w:val="0"/>
          <w:bCs w:val="0"/>
          <w:lang w:val="en-US"/>
        </w:rPr>
      </w:pPr>
      <w:r w:rsidRPr="00347522">
        <w:rPr>
          <w:rFonts w:ascii="Book Antiqua" w:hAnsi="Book Antiqua" w:cs="Times New Roman"/>
          <w:b w:val="0"/>
          <w:bCs w:val="0"/>
          <w:lang w:val="en-US"/>
        </w:rPr>
        <w:t xml:space="preserve">Expression of Ki-67 antigen and p53 (only clearly labelled cell nuclei were considered), was calculated, taking mean proportion of immunopositive cells in 10 </w:t>
      </w:r>
      <w:r w:rsidRPr="00347522">
        <w:rPr>
          <w:rFonts w:ascii="Book Antiqua" w:hAnsi="Book Antiqua" w:cs="Times New Roman"/>
          <w:b w:val="0"/>
          <w:bCs w:val="0"/>
          <w:lang w:val="en-US"/>
        </w:rPr>
        <w:lastRenderedPageBreak/>
        <w:t>light microscope fields into account. Expression was evaluated using the modified semi-quantitative scale</w:t>
      </w:r>
      <w:r w:rsidRPr="00347522">
        <w:rPr>
          <w:rFonts w:ascii="Book Antiqua" w:hAnsi="Book Antiqua" w:cs="Times New Roman"/>
          <w:b w:val="0"/>
          <w:bCs w:val="0"/>
          <w:vertAlign w:val="superscript"/>
          <w:lang w:val="en-US"/>
        </w:rPr>
        <w:t>[3</w:t>
      </w:r>
      <w:r w:rsidR="006668C5" w:rsidRPr="00347522">
        <w:rPr>
          <w:rFonts w:ascii="Book Antiqua" w:hAnsi="Book Antiqua" w:cs="Times New Roman"/>
          <w:b w:val="0"/>
          <w:bCs w:val="0"/>
          <w:vertAlign w:val="superscript"/>
          <w:lang w:val="en-US"/>
        </w:rPr>
        <w:t>5</w:t>
      </w:r>
      <w:r w:rsidRPr="00347522">
        <w:rPr>
          <w:rFonts w:ascii="Book Antiqua" w:hAnsi="Book Antiqua" w:cs="Times New Roman"/>
          <w:b w:val="0"/>
          <w:bCs w:val="0"/>
          <w:vertAlign w:val="superscript"/>
          <w:lang w:val="en-US"/>
        </w:rPr>
        <w:t>]</w:t>
      </w:r>
      <w:r w:rsidRPr="00347522">
        <w:rPr>
          <w:rFonts w:ascii="Book Antiqua" w:hAnsi="Book Antiqua" w:cs="Times New Roman"/>
          <w:b w:val="0"/>
          <w:bCs w:val="0"/>
          <w:lang w:val="en-US"/>
        </w:rPr>
        <w:t>, in which the score of 1 corresponded to up to 10% positive cells; the scores of 2, 3 and 4 corresponded to 11</w:t>
      </w:r>
      <w:r w:rsidR="004A7198" w:rsidRPr="00347522">
        <w:rPr>
          <w:rFonts w:ascii="Book Antiqua" w:hAnsi="Book Antiqua" w:cs="Times New Roman"/>
          <w:b w:val="0"/>
          <w:bCs w:val="0"/>
          <w:lang w:val="en-US"/>
        </w:rPr>
        <w:t>%</w:t>
      </w:r>
      <w:r w:rsidRPr="00347522">
        <w:rPr>
          <w:rFonts w:ascii="Book Antiqua" w:hAnsi="Book Antiqua" w:cs="Times New Roman"/>
          <w:b w:val="0"/>
          <w:bCs w:val="0"/>
          <w:lang w:val="en-US"/>
        </w:rPr>
        <w:t>-25%, 26</w:t>
      </w:r>
      <w:r w:rsidR="004A7198" w:rsidRPr="00347522">
        <w:rPr>
          <w:rFonts w:ascii="Book Antiqua" w:hAnsi="Book Antiqua" w:cs="Times New Roman"/>
          <w:b w:val="0"/>
          <w:bCs w:val="0"/>
          <w:lang w:val="en-US"/>
        </w:rPr>
        <w:t>%</w:t>
      </w:r>
      <w:r w:rsidRPr="00347522">
        <w:rPr>
          <w:rFonts w:ascii="Book Antiqua" w:hAnsi="Book Antiqua" w:cs="Times New Roman"/>
          <w:b w:val="0"/>
          <w:bCs w:val="0"/>
          <w:lang w:val="en-US"/>
        </w:rPr>
        <w:t>-50% and ≥</w:t>
      </w:r>
      <w:r w:rsidR="004A7198" w:rsidRPr="00347522">
        <w:rPr>
          <w:rFonts w:ascii="Book Antiqua" w:hAnsi="Book Antiqua" w:cs="Times New Roman"/>
          <w:b w:val="0"/>
          <w:bCs w:val="0"/>
          <w:lang w:val="en-US"/>
        </w:rPr>
        <w:t xml:space="preserve"> </w:t>
      </w:r>
      <w:r w:rsidRPr="00347522">
        <w:rPr>
          <w:rFonts w:ascii="Book Antiqua" w:hAnsi="Book Antiqua" w:cs="Times New Roman"/>
          <w:b w:val="0"/>
          <w:bCs w:val="0"/>
          <w:lang w:val="en-US"/>
        </w:rPr>
        <w:t>51% positive cells, respectively.</w:t>
      </w:r>
    </w:p>
    <w:p w14:paraId="53B37762" w14:textId="77777777" w:rsidR="007112E0" w:rsidRPr="00347522" w:rsidRDefault="007112E0" w:rsidP="00347522">
      <w:pPr>
        <w:pStyle w:val="Tekstpodstawowy31"/>
        <w:snapToGrid w:val="0"/>
        <w:rPr>
          <w:rFonts w:ascii="Book Antiqua" w:hAnsi="Book Antiqua" w:cs="Times New Roman"/>
          <w:b w:val="0"/>
          <w:bCs w:val="0"/>
          <w:lang w:val="en-US"/>
        </w:rPr>
      </w:pPr>
    </w:p>
    <w:p w14:paraId="26F7C8B7" w14:textId="1E0FF294" w:rsidR="007057E4" w:rsidRPr="00347522" w:rsidRDefault="007057E4" w:rsidP="00347522">
      <w:pPr>
        <w:pStyle w:val="Tekstpodstawowy31"/>
        <w:snapToGrid w:val="0"/>
        <w:rPr>
          <w:rFonts w:ascii="Book Antiqua" w:hAnsi="Book Antiqua" w:cs="Times New Roman"/>
          <w:bCs w:val="0"/>
          <w:i/>
          <w:iCs/>
          <w:lang w:val="en-US"/>
        </w:rPr>
      </w:pPr>
      <w:r w:rsidRPr="00347522">
        <w:rPr>
          <w:rFonts w:ascii="Book Antiqua" w:hAnsi="Book Antiqua" w:cs="Times New Roman"/>
          <w:bCs w:val="0"/>
          <w:i/>
          <w:iCs/>
          <w:lang w:val="en-US"/>
        </w:rPr>
        <w:t>Morphometric evaluation of MUC1 and MUC2 tissue expression</w:t>
      </w:r>
    </w:p>
    <w:p w14:paraId="2D61CA5E" w14:textId="0FB9DD00" w:rsidR="007057E4" w:rsidRPr="00347522" w:rsidRDefault="007057E4" w:rsidP="00347522">
      <w:pPr>
        <w:pStyle w:val="Tekstpodstawowy31"/>
        <w:snapToGrid w:val="0"/>
        <w:rPr>
          <w:rFonts w:ascii="Book Antiqua" w:hAnsi="Book Antiqua" w:cs="Times New Roman"/>
          <w:lang w:val="en-US"/>
        </w:rPr>
      </w:pPr>
      <w:r w:rsidRPr="00347522">
        <w:rPr>
          <w:rFonts w:ascii="Book Antiqua" w:hAnsi="Book Antiqua" w:cs="Times New Roman"/>
          <w:b w:val="0"/>
          <w:bCs w:val="0"/>
          <w:lang w:val="en-US"/>
        </w:rPr>
        <w:t>The images with positive IHC reaction, 2560</w:t>
      </w:r>
      <w:r w:rsidR="004A7198" w:rsidRPr="00347522">
        <w:rPr>
          <w:rFonts w:ascii="Book Antiqua" w:hAnsi="Book Antiqua" w:cs="Times New Roman"/>
          <w:b w:val="0"/>
          <w:bCs w:val="0"/>
          <w:lang w:val="en-US"/>
        </w:rPr>
        <w:t xml:space="preserve"> × </w:t>
      </w:r>
      <w:r w:rsidRPr="00347522">
        <w:rPr>
          <w:rFonts w:ascii="Book Antiqua" w:hAnsi="Book Antiqua" w:cs="Times New Roman"/>
          <w:b w:val="0"/>
          <w:bCs w:val="0"/>
          <w:lang w:val="en-US"/>
        </w:rPr>
        <w:t xml:space="preserve">1920 pixels in size, recorded in the LUCIA Image 5.0 software, were subjected to morphometric analysis, using the quantitative morphometric HSV Filter software, originally developed in the Department of Bioinformatics and Computational Biology, Poznan University of Medical Sciences, according to the following formula: (area of positive IHC reaction/area studied) </w:t>
      </w:r>
      <w:r w:rsidR="004A7198" w:rsidRPr="00347522">
        <w:rPr>
          <w:rFonts w:ascii="Book Antiqua" w:hAnsi="Book Antiqua" w:cs="Times New Roman"/>
          <w:b w:val="0"/>
          <w:bCs w:val="0"/>
          <w:lang w:val="en-US"/>
        </w:rPr>
        <w:t xml:space="preserve">× </w:t>
      </w:r>
      <w:r w:rsidRPr="00347522">
        <w:rPr>
          <w:rFonts w:ascii="Book Antiqua" w:hAnsi="Book Antiqua" w:cs="Times New Roman"/>
          <w:b w:val="0"/>
          <w:bCs w:val="0"/>
          <w:lang w:val="en-US"/>
        </w:rPr>
        <w:t xml:space="preserve">100%. </w:t>
      </w:r>
    </w:p>
    <w:p w14:paraId="1B9D355E" w14:textId="488702B2" w:rsidR="007057E4" w:rsidRPr="00347522" w:rsidRDefault="004A7198" w:rsidP="00347522">
      <w:pPr>
        <w:pStyle w:val="Domynie"/>
        <w:snapToGrid w:val="0"/>
        <w:spacing w:line="360" w:lineRule="auto"/>
        <w:ind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In the Results section, values of average IHC expression of both mucins were presented, expressed in percentages, manifested by the IHC reactions per field of colorectal cancer/control sample area. </w:t>
      </w:r>
    </w:p>
    <w:p w14:paraId="791519FB" w14:textId="77777777" w:rsidR="007112E0" w:rsidRPr="00347522" w:rsidRDefault="007112E0" w:rsidP="00347522">
      <w:pPr>
        <w:pStyle w:val="Domynie"/>
        <w:snapToGrid w:val="0"/>
        <w:spacing w:line="360" w:lineRule="auto"/>
        <w:ind w:firstLine="0"/>
        <w:jc w:val="both"/>
        <w:rPr>
          <w:rFonts w:ascii="Book Antiqua" w:hAnsi="Book Antiqua" w:cs="Times New Roman"/>
          <w:i/>
          <w:iCs/>
          <w:sz w:val="24"/>
          <w:szCs w:val="24"/>
          <w:lang w:val="en-US"/>
        </w:rPr>
      </w:pPr>
    </w:p>
    <w:p w14:paraId="3992B349" w14:textId="77777777" w:rsidR="007057E4" w:rsidRPr="00347522" w:rsidRDefault="007057E4" w:rsidP="00347522">
      <w:pPr>
        <w:pStyle w:val="Domynie"/>
        <w:snapToGrid w:val="0"/>
        <w:spacing w:line="360" w:lineRule="auto"/>
        <w:ind w:firstLine="0"/>
        <w:jc w:val="both"/>
        <w:rPr>
          <w:rFonts w:ascii="Book Antiqua" w:hAnsi="Book Antiqua" w:cs="Times New Roman"/>
          <w:b/>
          <w:i/>
          <w:iCs/>
          <w:sz w:val="24"/>
          <w:szCs w:val="24"/>
          <w:lang w:val="en-US"/>
        </w:rPr>
      </w:pPr>
      <w:r w:rsidRPr="00347522">
        <w:rPr>
          <w:rFonts w:ascii="Book Antiqua" w:hAnsi="Book Antiqua" w:cs="Times New Roman"/>
          <w:b/>
          <w:i/>
          <w:iCs/>
          <w:sz w:val="24"/>
          <w:szCs w:val="24"/>
          <w:lang w:val="en-US"/>
        </w:rPr>
        <w:t xml:space="preserve">Statistical analysis </w:t>
      </w:r>
    </w:p>
    <w:p w14:paraId="4BF4D029"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At the first stage of statistical analysis, consistency of all of the results with normal distribution of Gauss was verified using the Shapiro-Wilk test. Parameters of descriptive statistics (mean value, median value, SD, and minimum and maximum value) were calculated.</w:t>
      </w:r>
    </w:p>
    <w:p w14:paraId="4917EC27" w14:textId="66E9E737" w:rsidR="00E56BC4" w:rsidRPr="00347522" w:rsidRDefault="004A719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E56BC4" w:rsidRPr="00347522">
        <w:rPr>
          <w:rFonts w:ascii="Book Antiqua" w:hAnsi="Book Antiqua" w:cs="Times New Roman"/>
          <w:sz w:val="24"/>
          <w:szCs w:val="24"/>
          <w:lang w:val="en-US"/>
        </w:rPr>
        <w:t xml:space="preserve">Data related to quantitative mucin expression (mRNA, protein), in CRC group, were compared with the data obtained for the control samples of the same patients (linked variables) with the Wilcoxon test. In cases of unlinked variables in two groups, the non-parametric Mann-Whitney’s test was applied. The </w:t>
      </w:r>
      <w:r w:rsidR="00E56BC4" w:rsidRPr="00347522">
        <w:rPr>
          <w:rFonts w:ascii="Book Antiqua" w:hAnsi="Book Antiqua" w:cs="Times New Roman"/>
          <w:i/>
          <w:sz w:val="24"/>
          <w:szCs w:val="24"/>
          <w:lang w:val="en-US"/>
        </w:rPr>
        <w:t>t</w:t>
      </w:r>
      <w:r w:rsidR="00E56BC4" w:rsidRPr="00347522">
        <w:rPr>
          <w:rFonts w:ascii="Book Antiqua" w:hAnsi="Book Antiqua" w:cs="Times New Roman"/>
          <w:sz w:val="24"/>
          <w:szCs w:val="24"/>
          <w:lang w:val="en-US"/>
        </w:rPr>
        <w:t xml:space="preserve">-Student test was applied in case of consistency of the results with normal Gaussian distribution. </w:t>
      </w:r>
    </w:p>
    <w:p w14:paraId="19A5B9DA" w14:textId="7B77A23F" w:rsidR="00F65CBE" w:rsidRPr="00347522" w:rsidRDefault="00E56BC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The percentage shares of IHC positivity of both mucins were evaluated, using the </w:t>
      </w:r>
      <w:r w:rsidRPr="00347522">
        <w:rPr>
          <w:rFonts w:ascii="Book Antiqua" w:hAnsi="Book Antiqua" w:cs="Times New Roman"/>
          <w:color w:val="000000" w:themeColor="text1"/>
          <w:sz w:val="24"/>
          <w:szCs w:val="24"/>
          <w:lang w:val="en-US"/>
        </w:rPr>
        <w:t xml:space="preserve">difference test between two proportions. </w:t>
      </w:r>
    </w:p>
    <w:p w14:paraId="09E28A2B" w14:textId="42BEA268" w:rsidR="007057E4" w:rsidRPr="00347522" w:rsidRDefault="004A719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eastAsia="ar-SA"/>
        </w:rPr>
        <w:t xml:space="preserve">Correlations between data rows were determined employing Spearman’s rank correlation index. </w:t>
      </w:r>
      <w:r w:rsidR="007057E4" w:rsidRPr="00347522">
        <w:rPr>
          <w:rFonts w:ascii="Book Antiqua" w:hAnsi="Book Antiqua" w:cs="Times New Roman"/>
          <w:sz w:val="24"/>
          <w:szCs w:val="24"/>
          <w:lang w:val="en-US"/>
        </w:rPr>
        <w:t xml:space="preserve">The Kaplan-Meier survival curves and Log-rank test were used </w:t>
      </w:r>
      <w:r w:rsidR="007057E4" w:rsidRPr="00347522">
        <w:rPr>
          <w:rFonts w:ascii="Book Antiqua" w:hAnsi="Book Antiqua" w:cs="Times New Roman"/>
          <w:sz w:val="24"/>
          <w:szCs w:val="24"/>
          <w:lang w:val="en-US"/>
        </w:rPr>
        <w:lastRenderedPageBreak/>
        <w:t xml:space="preserve">to compare overall survival rates. The results were accepted to be significant at the level of </w:t>
      </w:r>
      <w:r w:rsidR="007057E4" w:rsidRPr="00347522">
        <w:rPr>
          <w:rFonts w:ascii="Book Antiqua" w:hAnsi="Book Antiqua" w:cs="Times New Roman"/>
          <w:i/>
          <w:iCs/>
          <w:sz w:val="24"/>
          <w:szCs w:val="24"/>
          <w:lang w:val="en-US"/>
        </w:rPr>
        <w:t xml:space="preserve">P </w:t>
      </w:r>
      <w:r w:rsidR="007057E4" w:rsidRPr="00347522">
        <w:rPr>
          <w:rFonts w:ascii="Book Antiqua" w:hAnsi="Book Antiqua" w:cs="Times New Roman"/>
          <w:sz w:val="24"/>
          <w:szCs w:val="24"/>
          <w:lang w:val="en-US"/>
        </w:rPr>
        <w:t xml:space="preserve">value less than 0.05. The statistical analysis was conducted using Statistica PL v. 12.0 software (StatSoft Inc., Tulsa, OK, </w:t>
      </w:r>
      <w:r w:rsidRPr="00347522">
        <w:rPr>
          <w:rFonts w:ascii="Book Antiqua" w:hAnsi="Book Antiqua" w:cs="Times New Roman"/>
          <w:sz w:val="24"/>
          <w:szCs w:val="24"/>
          <w:lang w:val="en-US"/>
        </w:rPr>
        <w:t>United States</w:t>
      </w:r>
      <w:r w:rsidR="007057E4" w:rsidRPr="00347522">
        <w:rPr>
          <w:rFonts w:ascii="Book Antiqua" w:hAnsi="Book Antiqua" w:cs="Times New Roman"/>
          <w:sz w:val="24"/>
          <w:szCs w:val="24"/>
          <w:lang w:val="en-US"/>
        </w:rPr>
        <w:t xml:space="preserve">). The statistical analysis of the study was performed by biomedical statistician (AS-J). The statistical method of the study </w:t>
      </w:r>
      <w:r w:rsidRPr="00347522">
        <w:rPr>
          <w:rFonts w:ascii="Book Antiqua" w:hAnsi="Book Antiqua" w:cs="Times New Roman"/>
          <w:sz w:val="24"/>
          <w:szCs w:val="24"/>
          <w:lang w:val="en-US"/>
        </w:rPr>
        <w:t xml:space="preserve">was </w:t>
      </w:r>
      <w:r w:rsidR="007057E4" w:rsidRPr="00347522">
        <w:rPr>
          <w:rFonts w:ascii="Book Antiqua" w:hAnsi="Book Antiqua" w:cs="Times New Roman"/>
          <w:sz w:val="24"/>
          <w:szCs w:val="24"/>
          <w:lang w:val="en-US"/>
        </w:rPr>
        <w:t xml:space="preserve">reviewed by </w:t>
      </w:r>
      <w:r w:rsidRPr="00347522">
        <w:rPr>
          <w:rFonts w:ascii="Book Antiqua" w:hAnsi="Book Antiqua" w:cs="Times New Roman"/>
          <w:sz w:val="24"/>
          <w:szCs w:val="24"/>
          <w:lang w:val="en-US"/>
        </w:rPr>
        <w:t>a</w:t>
      </w:r>
      <w:r w:rsidR="007057E4" w:rsidRPr="00347522">
        <w:rPr>
          <w:rFonts w:ascii="Book Antiqua" w:hAnsi="Book Antiqua" w:cs="Times New Roman"/>
          <w:sz w:val="24"/>
          <w:szCs w:val="24"/>
          <w:lang w:val="en-US"/>
        </w:rPr>
        <w:t xml:space="preserve"> statistician </w:t>
      </w:r>
      <w:r w:rsidRPr="00347522">
        <w:rPr>
          <w:rFonts w:ascii="Book Antiqua" w:hAnsi="Book Antiqua" w:cs="Times New Roman"/>
          <w:sz w:val="24"/>
          <w:szCs w:val="24"/>
          <w:lang w:val="en-US"/>
        </w:rPr>
        <w:t>(Kaczmarek E)</w:t>
      </w:r>
      <w:r w:rsidR="007057E4" w:rsidRPr="00347522">
        <w:rPr>
          <w:rFonts w:ascii="Book Antiqua" w:hAnsi="Book Antiqua" w:cs="Times New Roman"/>
          <w:sz w:val="24"/>
          <w:szCs w:val="24"/>
          <w:lang w:val="en-US"/>
        </w:rPr>
        <w:t xml:space="preserve"> from the </w:t>
      </w:r>
      <w:r w:rsidR="007057E4" w:rsidRPr="00347522">
        <w:rPr>
          <w:rFonts w:ascii="Book Antiqua" w:hAnsi="Book Antiqua" w:cs="Times New Roman"/>
          <w:sz w:val="24"/>
          <w:szCs w:val="24"/>
        </w:rPr>
        <w:t>Department of Bioinformatics and Computational Biology, Chair of Pathology, Poznan University of Medical Science.</w:t>
      </w:r>
    </w:p>
    <w:p w14:paraId="52DB3BDB" w14:textId="77777777" w:rsidR="00293311" w:rsidRPr="00347522" w:rsidRDefault="00293311" w:rsidP="00347522">
      <w:pPr>
        <w:adjustRightInd w:val="0"/>
        <w:snapToGrid w:val="0"/>
        <w:spacing w:line="360" w:lineRule="auto"/>
        <w:ind w:firstLineChars="0" w:firstLine="0"/>
        <w:jc w:val="both"/>
        <w:rPr>
          <w:rFonts w:ascii="Book Antiqua" w:hAnsi="Book Antiqua" w:cs="Times New Roman"/>
          <w:b/>
          <w:bCs/>
          <w:sz w:val="24"/>
          <w:szCs w:val="24"/>
          <w:lang w:val="en-US"/>
        </w:rPr>
      </w:pPr>
    </w:p>
    <w:p w14:paraId="3F942F27"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bCs/>
          <w:sz w:val="24"/>
          <w:szCs w:val="24"/>
          <w:lang w:val="en-US"/>
        </w:rPr>
      </w:pPr>
      <w:r w:rsidRPr="00347522">
        <w:rPr>
          <w:rFonts w:ascii="Book Antiqua" w:hAnsi="Book Antiqua" w:cs="Times New Roman"/>
          <w:b/>
          <w:bCs/>
          <w:sz w:val="24"/>
          <w:szCs w:val="24"/>
          <w:lang w:val="en-US"/>
        </w:rPr>
        <w:t>RESULTS</w:t>
      </w:r>
    </w:p>
    <w:p w14:paraId="32E1C8E8"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i/>
          <w:iCs/>
          <w:sz w:val="24"/>
          <w:szCs w:val="24"/>
          <w:lang w:val="en-US"/>
        </w:rPr>
      </w:pPr>
      <w:r w:rsidRPr="00347522">
        <w:rPr>
          <w:rFonts w:ascii="Book Antiqua" w:hAnsi="Book Antiqua" w:cs="Times New Roman"/>
          <w:b/>
          <w:i/>
          <w:iCs/>
          <w:sz w:val="24"/>
          <w:szCs w:val="24"/>
          <w:lang w:val="en-US"/>
        </w:rPr>
        <w:t>Clinicopathological data in CRC patients</w:t>
      </w:r>
    </w:p>
    <w:p w14:paraId="1AE528AD"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Patients over 50 years of age were predominant in the Study Group (94%). The cancer was primarily located in the distal part of the colon (left colon) (62%). In 3 patients, the tumor was localized in the rectum. In 21 patients (62%), protruded type of tumor was observed, while the flat type was seen in 13 patients (38%). </w:t>
      </w:r>
    </w:p>
    <w:p w14:paraId="645637C2" w14:textId="266953AA" w:rsidR="007057E4" w:rsidRPr="00347522" w:rsidRDefault="008E66E1"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The majority of patients were diagnosed with </w:t>
      </w:r>
      <w:r w:rsidR="00A96E75" w:rsidRPr="00347522">
        <w:rPr>
          <w:rFonts w:ascii="Book Antiqua" w:hAnsi="Book Antiqua" w:cs="Times New Roman"/>
          <w:sz w:val="24"/>
          <w:szCs w:val="24"/>
          <w:lang w:val="en-US"/>
        </w:rPr>
        <w:t xml:space="preserve">tubular </w:t>
      </w:r>
      <w:r w:rsidR="007057E4" w:rsidRPr="00347522">
        <w:rPr>
          <w:rFonts w:ascii="Book Antiqua" w:hAnsi="Book Antiqua" w:cs="Times New Roman"/>
          <w:sz w:val="24"/>
          <w:szCs w:val="24"/>
          <w:lang w:val="en-US"/>
        </w:rPr>
        <w:t xml:space="preserve">adenocarcinoma </w:t>
      </w:r>
      <w:r w:rsidR="00A96E75" w:rsidRPr="00347522">
        <w:rPr>
          <w:rFonts w:ascii="Book Antiqua" w:hAnsi="Book Antiqua" w:cs="Times New Roman"/>
          <w:sz w:val="24"/>
          <w:szCs w:val="24"/>
          <w:lang w:val="en-US"/>
        </w:rPr>
        <w:t>located in the colon or rectum</w:t>
      </w:r>
      <w:r w:rsidR="007057E4" w:rsidRPr="00347522">
        <w:rPr>
          <w:rFonts w:ascii="Book Antiqua" w:hAnsi="Book Antiqua" w:cs="Times New Roman"/>
          <w:sz w:val="24"/>
          <w:szCs w:val="24"/>
          <w:lang w:val="en-US"/>
        </w:rPr>
        <w:t>, and nonmucinous subtype of CRC (71%)</w:t>
      </w:r>
      <w:r w:rsidR="00FD6266" w:rsidRPr="00347522">
        <w:rPr>
          <w:rFonts w:ascii="Book Antiqua" w:hAnsi="Book Antiqua" w:cs="Times New Roman"/>
          <w:sz w:val="24"/>
          <w:szCs w:val="24"/>
          <w:lang w:val="en-US"/>
        </w:rPr>
        <w:t xml:space="preserve"> prevailed</w:t>
      </w:r>
      <w:r w:rsidR="007057E4" w:rsidRPr="00347522">
        <w:rPr>
          <w:rFonts w:ascii="Book Antiqua" w:hAnsi="Book Antiqua" w:cs="Times New Roman"/>
          <w:sz w:val="24"/>
          <w:szCs w:val="24"/>
          <w:lang w:val="en-US"/>
        </w:rPr>
        <w:t xml:space="preserve">. Among these patients one had a mixed-type tumor with the neuroendocrine component, the other was diagnosed as adenocarcinoma </w:t>
      </w:r>
      <w:r w:rsidR="007057E4" w:rsidRPr="00347522">
        <w:rPr>
          <w:rFonts w:ascii="Book Antiqua" w:hAnsi="Book Antiqua" w:cs="Times New Roman"/>
          <w:i/>
          <w:iCs/>
          <w:sz w:val="24"/>
          <w:szCs w:val="24"/>
          <w:lang w:val="en-US"/>
        </w:rPr>
        <w:t>in situ</w:t>
      </w:r>
      <w:r w:rsidR="007057E4" w:rsidRPr="00347522">
        <w:rPr>
          <w:rFonts w:ascii="Book Antiqua" w:hAnsi="Book Antiqua" w:cs="Times New Roman"/>
          <w:sz w:val="24"/>
          <w:szCs w:val="24"/>
          <w:lang w:val="en-US"/>
        </w:rPr>
        <w:t xml:space="preserve">. </w:t>
      </w:r>
      <w:r w:rsidR="002B1DD1" w:rsidRPr="00347522">
        <w:rPr>
          <w:rFonts w:ascii="Book Antiqua" w:hAnsi="Book Antiqua" w:cs="Times New Roman"/>
          <w:sz w:val="24"/>
          <w:szCs w:val="24"/>
          <w:lang w:val="en-US"/>
        </w:rPr>
        <w:t>Mucinous subtype of CRC w</w:t>
      </w:r>
      <w:r w:rsidRPr="00347522">
        <w:rPr>
          <w:rFonts w:ascii="Book Antiqua" w:hAnsi="Book Antiqua" w:cs="Times New Roman"/>
          <w:sz w:val="24"/>
          <w:szCs w:val="24"/>
          <w:lang w:val="en-US"/>
        </w:rPr>
        <w:t>as</w:t>
      </w:r>
      <w:r w:rsidR="002B1DD1" w:rsidRPr="00347522">
        <w:rPr>
          <w:rFonts w:ascii="Book Antiqua" w:hAnsi="Book Antiqua" w:cs="Times New Roman"/>
          <w:sz w:val="24"/>
          <w:szCs w:val="24"/>
          <w:lang w:val="en-US"/>
        </w:rPr>
        <w:t xml:space="preserve"> diagnosed in 10</w:t>
      </w:r>
      <w:r w:rsidR="00FD6266" w:rsidRPr="00347522">
        <w:rPr>
          <w:rFonts w:ascii="Book Antiqua" w:hAnsi="Book Antiqua" w:cs="Times New Roman"/>
          <w:sz w:val="24"/>
          <w:szCs w:val="24"/>
          <w:lang w:val="en-US"/>
        </w:rPr>
        <w:t>/34</w:t>
      </w:r>
      <w:r w:rsidR="002B1DD1" w:rsidRPr="00347522">
        <w:rPr>
          <w:rFonts w:ascii="Book Antiqua" w:hAnsi="Book Antiqua" w:cs="Times New Roman"/>
          <w:sz w:val="24"/>
          <w:szCs w:val="24"/>
          <w:lang w:val="en-US"/>
        </w:rPr>
        <w:t xml:space="preserve"> patients.</w:t>
      </w:r>
    </w:p>
    <w:p w14:paraId="5AA5EF2F" w14:textId="736968E8" w:rsidR="007057E4" w:rsidRPr="00347522" w:rsidRDefault="008E66E1"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The histopathological study showed a majority of moderately differentiated adenocarcinoma </w:t>
      </w:r>
      <w:r w:rsidR="00FD6266" w:rsidRPr="00347522">
        <w:rPr>
          <w:rFonts w:ascii="Book Antiqua" w:hAnsi="Book Antiqua" w:cs="Times New Roman"/>
          <w:color w:val="000000" w:themeColor="text1"/>
          <w:sz w:val="24"/>
          <w:szCs w:val="24"/>
          <w:lang w:val="en-US"/>
        </w:rPr>
        <w:t xml:space="preserve">of the colon or rectum </w:t>
      </w:r>
      <w:r w:rsidR="00C30BDD" w:rsidRPr="00347522">
        <w:rPr>
          <w:rFonts w:ascii="Book Antiqua" w:hAnsi="Book Antiqua" w:cs="Times New Roman"/>
          <w:sz w:val="24"/>
          <w:szCs w:val="24"/>
          <w:lang w:val="en-US"/>
        </w:rPr>
        <w:t>[</w:t>
      </w:r>
      <w:r w:rsidR="0036646E">
        <w:rPr>
          <w:rFonts w:ascii="Book Antiqua" w:hAnsi="Book Antiqua" w:cs="Times New Roman"/>
          <w:sz w:val="24"/>
          <w:szCs w:val="24"/>
          <w:lang w:val="en-US"/>
        </w:rPr>
        <w:t>g</w:t>
      </w:r>
      <w:r w:rsidR="007057E4" w:rsidRPr="00347522">
        <w:rPr>
          <w:rFonts w:ascii="Book Antiqua" w:hAnsi="Book Antiqua" w:cs="Times New Roman"/>
          <w:sz w:val="24"/>
          <w:szCs w:val="24"/>
          <w:lang w:val="en-US"/>
        </w:rPr>
        <w:t>rade 2</w:t>
      </w:r>
      <w:r w:rsidR="00C30BDD"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G2</w:t>
      </w:r>
      <w:r w:rsidR="00C30BDD"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(68%) compared to other grades. On a Dukes scale and in its modified form (Astler and Coller scale), most tumors were assessed at Stage C/C1-C3. In five patients from the whole Study Group (15%), there were distant metastases present (all to the liver). The vast majority of patients (85%) was classified stage III and IV on the TNM </w:t>
      </w:r>
      <w:r w:rsidR="0017100A" w:rsidRPr="00347522">
        <w:rPr>
          <w:rFonts w:ascii="Book Antiqua" w:hAnsi="Book Antiqua" w:cs="Times New Roman"/>
          <w:color w:val="000000" w:themeColor="text1"/>
          <w:sz w:val="24"/>
          <w:szCs w:val="24"/>
          <w:lang w:val="en-US"/>
        </w:rPr>
        <w:t>classification system.</w:t>
      </w:r>
      <w:r w:rsidR="0017100A"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 </w:t>
      </w:r>
    </w:p>
    <w:p w14:paraId="2AD5B285" w14:textId="43376AB8" w:rsidR="007057E4" w:rsidRPr="00347522" w:rsidRDefault="003139D1"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The clinicopathological characteristics of CRC patients were collected in Table 2.</w:t>
      </w:r>
    </w:p>
    <w:p w14:paraId="632E66FD"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i/>
          <w:iCs/>
          <w:sz w:val="24"/>
          <w:szCs w:val="24"/>
          <w:lang w:val="en-US"/>
        </w:rPr>
      </w:pPr>
    </w:p>
    <w:p w14:paraId="0631ED7A"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i/>
          <w:iCs/>
          <w:sz w:val="24"/>
          <w:szCs w:val="24"/>
          <w:lang w:val="en-US"/>
        </w:rPr>
      </w:pPr>
      <w:r w:rsidRPr="00347522">
        <w:rPr>
          <w:rFonts w:ascii="Book Antiqua" w:hAnsi="Book Antiqua" w:cs="Times New Roman"/>
          <w:b/>
          <w:i/>
          <w:iCs/>
          <w:sz w:val="24"/>
          <w:szCs w:val="24"/>
          <w:lang w:val="en-US"/>
        </w:rPr>
        <w:t>MUC1 and MUC2 expression analysis at mRNA level</w:t>
      </w:r>
    </w:p>
    <w:p w14:paraId="1E0388E4" w14:textId="31BB591B" w:rsidR="00F65CBE" w:rsidRPr="00347522" w:rsidRDefault="00BA5BFD"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color w:val="000000" w:themeColor="text1"/>
          <w:sz w:val="24"/>
          <w:szCs w:val="24"/>
          <w:lang w:val="en-US"/>
        </w:rPr>
        <w:t>The expression of the MUC1 and MUC2 transcripts</w:t>
      </w:r>
      <w:r w:rsidRPr="00347522">
        <w:rPr>
          <w:rFonts w:ascii="Book Antiqua" w:hAnsi="Book Antiqua" w:cs="Times New Roman"/>
          <w:color w:val="FF0000"/>
          <w:sz w:val="24"/>
          <w:szCs w:val="24"/>
          <w:lang w:val="en-US"/>
        </w:rPr>
        <w:t xml:space="preserve"> </w:t>
      </w:r>
      <w:r w:rsidR="007057E4" w:rsidRPr="00347522">
        <w:rPr>
          <w:rFonts w:ascii="Book Antiqua" w:hAnsi="Book Antiqua" w:cs="Times New Roman"/>
          <w:sz w:val="24"/>
          <w:szCs w:val="24"/>
          <w:lang w:val="en-US"/>
        </w:rPr>
        <w:t xml:space="preserve">was present in all control and cancerous </w:t>
      </w:r>
      <w:r w:rsidR="00C57DF2" w:rsidRPr="00347522">
        <w:rPr>
          <w:rFonts w:ascii="Book Antiqua" w:hAnsi="Book Antiqua" w:cs="Times New Roman"/>
          <w:sz w:val="24"/>
          <w:szCs w:val="24"/>
          <w:lang w:val="en-US"/>
        </w:rPr>
        <w:t xml:space="preserve">tissue </w:t>
      </w:r>
      <w:r w:rsidR="007057E4" w:rsidRPr="00347522">
        <w:rPr>
          <w:rFonts w:ascii="Book Antiqua" w:hAnsi="Book Antiqua" w:cs="Times New Roman"/>
          <w:sz w:val="24"/>
          <w:szCs w:val="24"/>
          <w:lang w:val="en-US"/>
        </w:rPr>
        <w:t>samples</w:t>
      </w:r>
      <w:r w:rsidR="00C57DF2"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w:t>
      </w:r>
      <w:r w:rsidR="00F65CBE" w:rsidRPr="00347522">
        <w:rPr>
          <w:rFonts w:ascii="Book Antiqua" w:hAnsi="Book Antiqua" w:cs="Times New Roman"/>
          <w:sz w:val="24"/>
          <w:szCs w:val="24"/>
          <w:lang w:val="en-US"/>
        </w:rPr>
        <w:t>Our study showed that t</w:t>
      </w:r>
      <w:r w:rsidR="007057E4" w:rsidRPr="00347522">
        <w:rPr>
          <w:rFonts w:ascii="Book Antiqua" w:hAnsi="Book Antiqua" w:cs="Times New Roman"/>
          <w:sz w:val="24"/>
          <w:szCs w:val="24"/>
          <w:lang w:val="en-US"/>
        </w:rPr>
        <w:t xml:space="preserve">he expression of the MUC1 </w:t>
      </w:r>
      <w:r w:rsidR="007057E4" w:rsidRPr="00347522">
        <w:rPr>
          <w:rFonts w:ascii="Book Antiqua" w:hAnsi="Book Antiqua" w:cs="Times New Roman"/>
          <w:sz w:val="24"/>
          <w:szCs w:val="24"/>
          <w:lang w:val="en-US"/>
        </w:rPr>
        <w:lastRenderedPageBreak/>
        <w:t>mRNA in the CRC tissue</w:t>
      </w:r>
      <w:r w:rsidR="007057E4" w:rsidRPr="00347522">
        <w:rPr>
          <w:rFonts w:ascii="Book Antiqua" w:hAnsi="Book Antiqua" w:cs="Times New Roman"/>
          <w:color w:val="000000" w:themeColor="text1"/>
          <w:sz w:val="24"/>
          <w:szCs w:val="24"/>
          <w:lang w:val="en-US"/>
        </w:rPr>
        <w:t xml:space="preserve">s </w:t>
      </w:r>
      <w:r w:rsidR="00C57DF2" w:rsidRPr="00347522">
        <w:rPr>
          <w:rFonts w:ascii="Book Antiqua" w:hAnsi="Book Antiqua" w:cs="Times New Roman"/>
          <w:color w:val="000000" w:themeColor="text1"/>
          <w:sz w:val="24"/>
          <w:szCs w:val="24"/>
          <w:lang w:val="en-US"/>
        </w:rPr>
        <w:t xml:space="preserve">(75095 ± 72149 </w:t>
      </w:r>
      <w:r w:rsidR="00C57DF2" w:rsidRPr="00347522">
        <w:rPr>
          <w:rFonts w:ascii="Book Antiqua" w:hAnsi="Book Antiqua" w:cs="Times New Roman"/>
          <w:color w:val="000000" w:themeColor="text1"/>
          <w:sz w:val="24"/>
          <w:szCs w:val="24"/>
        </w:rPr>
        <w:t>copies/μg RNA)</w:t>
      </w:r>
      <w:r w:rsidR="00C57DF2" w:rsidRPr="00347522">
        <w:rPr>
          <w:rFonts w:ascii="Book Antiqua" w:hAnsi="Book Antiqua" w:cs="Times New Roman"/>
          <w:color w:val="000000" w:themeColor="text1"/>
          <w:sz w:val="24"/>
          <w:szCs w:val="24"/>
          <w:lang w:val="en-US"/>
        </w:rPr>
        <w:t xml:space="preserve"> </w:t>
      </w:r>
      <w:r w:rsidR="007057E4" w:rsidRPr="00347522">
        <w:rPr>
          <w:rFonts w:ascii="Book Antiqua" w:hAnsi="Book Antiqua" w:cs="Times New Roman"/>
          <w:sz w:val="24"/>
          <w:szCs w:val="24"/>
          <w:lang w:val="en-US"/>
        </w:rPr>
        <w:t xml:space="preserve">was significantly higher when compared with the </w:t>
      </w:r>
      <w:r w:rsidR="00C57DF2" w:rsidRPr="00347522">
        <w:rPr>
          <w:rFonts w:ascii="Book Antiqua" w:hAnsi="Book Antiqua" w:cs="Times New Roman"/>
          <w:color w:val="000000" w:themeColor="text1"/>
          <w:sz w:val="24"/>
          <w:szCs w:val="24"/>
          <w:lang w:val="en-US"/>
        </w:rPr>
        <w:t>control tissue (32413 ± 44486</w:t>
      </w:r>
      <w:r w:rsidR="00C57DF2" w:rsidRPr="00347522">
        <w:rPr>
          <w:rFonts w:ascii="Book Antiqua" w:hAnsi="Book Antiqua" w:cs="Times New Roman"/>
          <w:color w:val="000000" w:themeColor="text1"/>
          <w:sz w:val="24"/>
          <w:szCs w:val="24"/>
        </w:rPr>
        <w:t xml:space="preserve"> </w:t>
      </w:r>
      <w:r w:rsidR="00C57DF2" w:rsidRPr="00347522">
        <w:rPr>
          <w:rFonts w:ascii="Book Antiqua" w:hAnsi="Book Antiqua" w:cs="Times New Roman"/>
          <w:sz w:val="24"/>
          <w:szCs w:val="24"/>
        </w:rPr>
        <w:t>copies/μg RNA)</w:t>
      </w:r>
      <w:r w:rsidR="00C57DF2"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w:t>
      </w:r>
      <w:r w:rsidR="007057E4" w:rsidRPr="00347522">
        <w:rPr>
          <w:rFonts w:ascii="Book Antiqua" w:hAnsi="Book Antiqua" w:cs="Times New Roman"/>
          <w:i/>
          <w:iCs/>
          <w:sz w:val="24"/>
          <w:szCs w:val="24"/>
          <w:lang w:val="en-US"/>
        </w:rPr>
        <w:t>P</w:t>
      </w:r>
      <w:r w:rsidR="007057E4" w:rsidRPr="00347522">
        <w:rPr>
          <w:rFonts w:ascii="Book Antiqua" w:hAnsi="Book Antiqua" w:cs="Times New Roman"/>
          <w:sz w:val="24"/>
          <w:szCs w:val="24"/>
          <w:lang w:val="en-US"/>
        </w:rPr>
        <w:t xml:space="preserve"> = 0.004), and the expression of MUC2 mRNA was comparable in the </w:t>
      </w:r>
      <w:r w:rsidR="00C57DF2" w:rsidRPr="00347522">
        <w:rPr>
          <w:rFonts w:ascii="Book Antiqua" w:hAnsi="Book Antiqua" w:cs="Times New Roman"/>
          <w:color w:val="000000" w:themeColor="text1"/>
          <w:sz w:val="24"/>
          <w:szCs w:val="24"/>
          <w:lang w:val="en-US"/>
        </w:rPr>
        <w:t xml:space="preserve">study and control group (350227 ± 529270 </w:t>
      </w:r>
      <w:r w:rsidR="00C57DF2" w:rsidRPr="00347522">
        <w:rPr>
          <w:rFonts w:ascii="Book Antiqua" w:hAnsi="Book Antiqua" w:cs="Times New Roman"/>
          <w:i/>
          <w:color w:val="000000" w:themeColor="text1"/>
          <w:sz w:val="24"/>
          <w:szCs w:val="24"/>
          <w:lang w:val="en-US"/>
        </w:rPr>
        <w:t>vs</w:t>
      </w:r>
      <w:r w:rsidR="00C57DF2" w:rsidRPr="00347522">
        <w:rPr>
          <w:rFonts w:ascii="Book Antiqua" w:hAnsi="Book Antiqua" w:cs="Times New Roman"/>
          <w:color w:val="000000" w:themeColor="text1"/>
          <w:sz w:val="24"/>
          <w:szCs w:val="24"/>
          <w:lang w:val="en-US"/>
        </w:rPr>
        <w:t xml:space="preserve"> 219744 ± 324252 </w:t>
      </w:r>
      <w:r w:rsidR="00C57DF2" w:rsidRPr="00347522">
        <w:rPr>
          <w:rFonts w:ascii="Book Antiqua" w:hAnsi="Book Antiqua" w:cs="Times New Roman"/>
          <w:color w:val="000000" w:themeColor="text1"/>
          <w:sz w:val="24"/>
          <w:szCs w:val="24"/>
        </w:rPr>
        <w:t>copies/μg RNA</w:t>
      </w:r>
      <w:r w:rsidR="00C57DF2" w:rsidRPr="00347522">
        <w:rPr>
          <w:rFonts w:ascii="Book Antiqua" w:hAnsi="Book Antiqua" w:cs="Times New Roman"/>
          <w:color w:val="000000" w:themeColor="text1"/>
          <w:sz w:val="24"/>
          <w:szCs w:val="24"/>
          <w:lang w:val="en-US"/>
        </w:rPr>
        <w:t>)</w:t>
      </w:r>
      <w:r w:rsidR="007057E4" w:rsidRPr="00347522">
        <w:rPr>
          <w:rFonts w:ascii="Book Antiqua" w:hAnsi="Book Antiqua" w:cs="Times New Roman"/>
          <w:sz w:val="24"/>
          <w:szCs w:val="24"/>
          <w:lang w:val="en-US"/>
        </w:rPr>
        <w:t xml:space="preserve"> (</w:t>
      </w:r>
      <w:r w:rsidR="007057E4" w:rsidRPr="00347522">
        <w:rPr>
          <w:rFonts w:ascii="Book Antiqua" w:hAnsi="Book Antiqua" w:cs="Times New Roman"/>
          <w:i/>
          <w:iCs/>
          <w:sz w:val="24"/>
          <w:szCs w:val="24"/>
          <w:lang w:val="en-US"/>
        </w:rPr>
        <w:t>P</w:t>
      </w:r>
      <w:r w:rsidR="007057E4" w:rsidRPr="00347522">
        <w:rPr>
          <w:rFonts w:ascii="Book Antiqua" w:hAnsi="Book Antiqua" w:cs="Times New Roman"/>
          <w:sz w:val="24"/>
          <w:szCs w:val="24"/>
          <w:lang w:val="en-US"/>
        </w:rPr>
        <w:t xml:space="preserve"> = 0.274). </w:t>
      </w:r>
    </w:p>
    <w:p w14:paraId="1AD2082C" w14:textId="2060BE9E" w:rsidR="007057E4" w:rsidRPr="00347522" w:rsidRDefault="00EE7B5C"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The MUC1/MUC2 </w:t>
      </w:r>
      <w:r w:rsidR="00C57DF2" w:rsidRPr="00347522">
        <w:rPr>
          <w:rFonts w:ascii="Book Antiqua" w:hAnsi="Book Antiqua" w:cs="Times New Roman"/>
          <w:sz w:val="24"/>
          <w:szCs w:val="24"/>
          <w:lang w:val="en-US"/>
        </w:rPr>
        <w:t xml:space="preserve">transcripts </w:t>
      </w:r>
      <w:r w:rsidR="007057E4" w:rsidRPr="00347522">
        <w:rPr>
          <w:rFonts w:ascii="Book Antiqua" w:hAnsi="Book Antiqua" w:cs="Times New Roman"/>
          <w:sz w:val="24"/>
          <w:szCs w:val="24"/>
          <w:lang w:val="en-US"/>
        </w:rPr>
        <w:t>ratio in the test group, although higher (1.56 ± 4.50), did not differ significantly from the one obtained in the control tissue (0.28 ± 0.40) (</w:t>
      </w:r>
      <w:r w:rsidR="007057E4" w:rsidRPr="00347522">
        <w:rPr>
          <w:rFonts w:ascii="Book Antiqua" w:hAnsi="Book Antiqua" w:cs="Times New Roman"/>
          <w:i/>
          <w:iCs/>
          <w:sz w:val="24"/>
          <w:szCs w:val="24"/>
          <w:lang w:val="en-US"/>
        </w:rPr>
        <w:t>P</w:t>
      </w:r>
      <w:r w:rsidR="007057E4" w:rsidRPr="00347522">
        <w:rPr>
          <w:rFonts w:ascii="Book Antiqua" w:hAnsi="Book Antiqua" w:cs="Times New Roman"/>
          <w:sz w:val="24"/>
          <w:szCs w:val="24"/>
          <w:lang w:val="en-US"/>
        </w:rPr>
        <w:t xml:space="preserve"> = 0.128) (Table 3).</w:t>
      </w:r>
    </w:p>
    <w:p w14:paraId="06903F61"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i/>
          <w:iCs/>
          <w:sz w:val="24"/>
          <w:szCs w:val="24"/>
          <w:lang w:val="en-US"/>
        </w:rPr>
      </w:pPr>
    </w:p>
    <w:p w14:paraId="66DC12F9"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i/>
          <w:iCs/>
          <w:sz w:val="24"/>
          <w:szCs w:val="24"/>
          <w:lang w:val="en-US"/>
        </w:rPr>
      </w:pPr>
      <w:r w:rsidRPr="00347522">
        <w:rPr>
          <w:rFonts w:ascii="Book Antiqua" w:hAnsi="Book Antiqua" w:cs="Times New Roman"/>
          <w:b/>
          <w:i/>
          <w:iCs/>
          <w:sz w:val="24"/>
          <w:szCs w:val="24"/>
          <w:lang w:val="en-US"/>
        </w:rPr>
        <w:t>MUC1 and MUC2 mRNA expression and pathological data</w:t>
      </w:r>
    </w:p>
    <w:p w14:paraId="77DFD7B1" w14:textId="639D7506" w:rsidR="00F65CBE" w:rsidRPr="00347522" w:rsidRDefault="00956F9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color w:val="000000" w:themeColor="text1"/>
          <w:sz w:val="24"/>
          <w:szCs w:val="24"/>
          <w:lang w:val="en-US"/>
        </w:rPr>
        <w:t>No significant differences could be disclosed in the amount of MUC1 and MUC2 transcripts on one hand and CRC subtype</w:t>
      </w:r>
      <w:r w:rsidRPr="00347522">
        <w:rPr>
          <w:rFonts w:ascii="Book Antiqua" w:hAnsi="Book Antiqua" w:cs="Times New Roman"/>
          <w:color w:val="FF0000"/>
          <w:sz w:val="24"/>
          <w:szCs w:val="24"/>
          <w:lang w:val="en-US"/>
        </w:rPr>
        <w:t xml:space="preserve"> </w:t>
      </w:r>
      <w:r w:rsidR="007057E4" w:rsidRPr="00347522">
        <w:rPr>
          <w:rFonts w:ascii="Book Antiqua" w:hAnsi="Book Antiqua" w:cs="Times New Roman"/>
          <w:sz w:val="24"/>
          <w:szCs w:val="24"/>
          <w:lang w:val="en-US"/>
        </w:rPr>
        <w:t xml:space="preserve">(mucinous </w:t>
      </w:r>
      <w:r w:rsidR="007057E4" w:rsidRPr="00347522">
        <w:rPr>
          <w:rFonts w:ascii="Book Antiqua" w:hAnsi="Book Antiqua" w:cs="Times New Roman"/>
          <w:i/>
          <w:iCs/>
          <w:sz w:val="24"/>
          <w:szCs w:val="24"/>
          <w:lang w:val="en-US"/>
        </w:rPr>
        <w:t>vs</w:t>
      </w:r>
      <w:r w:rsidR="007057E4" w:rsidRPr="00347522">
        <w:rPr>
          <w:rFonts w:ascii="Book Antiqua" w:hAnsi="Book Antiqua" w:cs="Times New Roman"/>
          <w:sz w:val="24"/>
          <w:szCs w:val="24"/>
          <w:lang w:val="en-US"/>
        </w:rPr>
        <w:t xml:space="preserve"> nonmucinous), colon tumor size, anatomical location of the CRC</w:t>
      </w:r>
      <w:r w:rsidRPr="00347522">
        <w:rPr>
          <w:rFonts w:ascii="Book Antiqua" w:hAnsi="Book Antiqua" w:cs="Times New Roman"/>
          <w:sz w:val="24"/>
          <w:szCs w:val="24"/>
          <w:lang w:val="en-US"/>
        </w:rPr>
        <w:t xml:space="preserve"> </w:t>
      </w:r>
      <w:r w:rsidRPr="00347522">
        <w:rPr>
          <w:rFonts w:ascii="Book Antiqua" w:hAnsi="Book Antiqua" w:cs="Times New Roman"/>
          <w:color w:val="000000" w:themeColor="text1"/>
          <w:sz w:val="24"/>
          <w:szCs w:val="24"/>
          <w:lang w:val="en-US"/>
        </w:rPr>
        <w:t xml:space="preserve">(proximal </w:t>
      </w:r>
      <w:r w:rsidRPr="00347522">
        <w:rPr>
          <w:rFonts w:ascii="Book Antiqua" w:hAnsi="Book Antiqua" w:cs="Times New Roman"/>
          <w:i/>
          <w:iCs/>
          <w:color w:val="000000" w:themeColor="text1"/>
          <w:sz w:val="24"/>
          <w:szCs w:val="24"/>
          <w:lang w:val="en-US"/>
        </w:rPr>
        <w:t>vs</w:t>
      </w:r>
      <w:r w:rsidRPr="00347522">
        <w:rPr>
          <w:rFonts w:ascii="Book Antiqua" w:hAnsi="Book Antiqua" w:cs="Times New Roman"/>
          <w:color w:val="000000" w:themeColor="text1"/>
          <w:sz w:val="24"/>
          <w:szCs w:val="24"/>
          <w:lang w:val="en-US"/>
        </w:rPr>
        <w:t xml:space="preserve"> distal section of the colon)</w:t>
      </w:r>
      <w:r w:rsidR="007057E4" w:rsidRPr="00347522">
        <w:rPr>
          <w:rFonts w:ascii="Book Antiqua" w:hAnsi="Book Antiqua" w:cs="Times New Roman"/>
          <w:sz w:val="24"/>
          <w:szCs w:val="24"/>
          <w:lang w:val="en-US"/>
        </w:rPr>
        <w:t xml:space="preserve">, histologic grade or stage in the Dukes, or Astler and Coller scale, </w:t>
      </w:r>
      <w:r w:rsidRPr="00347522">
        <w:rPr>
          <w:rFonts w:ascii="Book Antiqua" w:hAnsi="Book Antiqua" w:cs="Times New Roman"/>
          <w:sz w:val="24"/>
          <w:szCs w:val="24"/>
          <w:lang w:val="en-US"/>
        </w:rPr>
        <w:t>on the other</w:t>
      </w:r>
      <w:r w:rsidR="007057E4" w:rsidRPr="00347522">
        <w:rPr>
          <w:rFonts w:ascii="Book Antiqua" w:hAnsi="Book Antiqua" w:cs="Times New Roman"/>
          <w:sz w:val="24"/>
          <w:szCs w:val="24"/>
          <w:lang w:val="en-US"/>
        </w:rPr>
        <w:t xml:space="preserve"> (data not shown). </w:t>
      </w:r>
    </w:p>
    <w:p w14:paraId="23D0D724" w14:textId="3C791E1A" w:rsidR="007057E4" w:rsidRPr="00347522" w:rsidRDefault="00CA6CC9"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The comparison of the mRNA expression of both mucins, depending on the parameters in the TNM classification </w:t>
      </w:r>
      <w:r w:rsidR="00216ED3" w:rsidRPr="00347522">
        <w:rPr>
          <w:rFonts w:ascii="Book Antiqua" w:hAnsi="Book Antiqua" w:cs="Times New Roman"/>
          <w:sz w:val="24"/>
          <w:szCs w:val="24"/>
          <w:lang w:val="en-US"/>
        </w:rPr>
        <w:t xml:space="preserve">system </w:t>
      </w:r>
      <w:r w:rsidR="007057E4" w:rsidRPr="00347522">
        <w:rPr>
          <w:rFonts w:ascii="Book Antiqua" w:hAnsi="Book Antiqua" w:cs="Times New Roman"/>
          <w:sz w:val="24"/>
          <w:szCs w:val="24"/>
          <w:lang w:val="en-US"/>
        </w:rPr>
        <w:t>was possible only for patients with N0 and N1, with no significant differences observed in this case as well (data not shown).</w:t>
      </w:r>
    </w:p>
    <w:p w14:paraId="1DDA3D26"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i/>
          <w:sz w:val="24"/>
          <w:szCs w:val="24"/>
          <w:lang w:val="en-US"/>
        </w:rPr>
      </w:pPr>
    </w:p>
    <w:p w14:paraId="7F00B95D" w14:textId="77777777" w:rsidR="00956F94" w:rsidRPr="00347522" w:rsidRDefault="00956F94" w:rsidP="00347522">
      <w:pPr>
        <w:adjustRightInd w:val="0"/>
        <w:snapToGrid w:val="0"/>
        <w:spacing w:line="360" w:lineRule="auto"/>
        <w:ind w:firstLineChars="0" w:firstLine="0"/>
        <w:jc w:val="both"/>
        <w:rPr>
          <w:rFonts w:ascii="Book Antiqua" w:hAnsi="Book Antiqua" w:cs="Times New Roman"/>
          <w:b/>
          <w:i/>
          <w:iCs/>
          <w:sz w:val="24"/>
          <w:szCs w:val="24"/>
          <w:lang w:val="en-US"/>
        </w:rPr>
      </w:pPr>
      <w:r w:rsidRPr="00347522">
        <w:rPr>
          <w:rFonts w:ascii="Book Antiqua" w:hAnsi="Book Antiqua" w:cs="Times New Roman"/>
          <w:b/>
          <w:i/>
          <w:iCs/>
          <w:sz w:val="24"/>
          <w:szCs w:val="24"/>
          <w:lang w:val="en-US"/>
        </w:rPr>
        <w:t>MUC1 and MUC2 expression at protein level</w:t>
      </w:r>
    </w:p>
    <w:p w14:paraId="59D419E6" w14:textId="18658FB9" w:rsidR="00956F94" w:rsidRPr="00347522" w:rsidRDefault="00956F94"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Using immunohistochemistry, a positive MUC1 immunoexpression was detected in all CRC samples (100%) and in 29/32 control colorectal samples (91%), thus the detectability of the positive expression of both mucins was similar. The immunoexpression of MUC2 was present in all CRC samples and in all samples of the colorectal control.</w:t>
      </w:r>
    </w:p>
    <w:p w14:paraId="69DFD558" w14:textId="77777777" w:rsidR="00454FEB" w:rsidRPr="00347522" w:rsidRDefault="00454FEB"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p>
    <w:p w14:paraId="56C89C11" w14:textId="77777777" w:rsidR="00454FEB" w:rsidRPr="00347522" w:rsidRDefault="00454FEB" w:rsidP="00347522">
      <w:pPr>
        <w:adjustRightInd w:val="0"/>
        <w:snapToGrid w:val="0"/>
        <w:spacing w:line="360" w:lineRule="auto"/>
        <w:ind w:firstLineChars="0" w:firstLine="0"/>
        <w:jc w:val="both"/>
        <w:rPr>
          <w:rFonts w:ascii="Book Antiqua" w:hAnsi="Book Antiqua" w:cs="Times New Roman"/>
          <w:b/>
          <w:i/>
          <w:color w:val="000000" w:themeColor="text1"/>
          <w:sz w:val="24"/>
          <w:szCs w:val="24"/>
          <w:lang w:val="en-US"/>
        </w:rPr>
      </w:pPr>
      <w:r w:rsidRPr="00347522">
        <w:rPr>
          <w:rFonts w:ascii="Book Antiqua" w:hAnsi="Book Antiqua" w:cs="Times New Roman"/>
          <w:b/>
          <w:i/>
          <w:color w:val="000000" w:themeColor="text1"/>
          <w:sz w:val="24"/>
          <w:szCs w:val="24"/>
          <w:lang w:val="en-US"/>
        </w:rPr>
        <w:t>Tissue localization of MUC1 and MUC2 immunoexpression</w:t>
      </w:r>
    </w:p>
    <w:p w14:paraId="6918238C" w14:textId="77777777" w:rsidR="00454FEB" w:rsidRPr="00347522" w:rsidRDefault="00454FEB"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 xml:space="preserve">MUC1 tissue expression in CRC was pronounced and related mostly to cell membranes on the apical surface of the neoplastic cells lining the glandular structures and in the lumen of altered intestinal crypts (extracellular mucins fields) (Figure 1A and B). In the control tissue of large intestine, membranous expression </w:t>
      </w:r>
      <w:r w:rsidRPr="00347522">
        <w:rPr>
          <w:rFonts w:ascii="Book Antiqua" w:hAnsi="Book Antiqua" w:cs="Times New Roman"/>
          <w:color w:val="000000" w:themeColor="text1"/>
          <w:sz w:val="24"/>
          <w:szCs w:val="24"/>
          <w:lang w:val="en-US"/>
        </w:rPr>
        <w:lastRenderedPageBreak/>
        <w:t xml:space="preserve">of MUC1 prevailed and was observed mainly on the surface of normal intestinal crypts (Figure 1C). </w:t>
      </w:r>
    </w:p>
    <w:p w14:paraId="43697429" w14:textId="34F0D141" w:rsidR="00854E49" w:rsidRPr="00347522" w:rsidRDefault="008F7530"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 xml:space="preserve">  </w:t>
      </w:r>
      <w:r w:rsidR="00854E49" w:rsidRPr="00347522">
        <w:rPr>
          <w:rFonts w:ascii="Book Antiqua" w:hAnsi="Book Antiqua" w:cs="Times New Roman"/>
          <w:color w:val="000000" w:themeColor="text1"/>
          <w:sz w:val="24"/>
          <w:szCs w:val="24"/>
          <w:lang w:val="en-US"/>
        </w:rPr>
        <w:t xml:space="preserve">In contrast, MUC2 expression was mainly related to the cytoplasm of neoplastic cells with differentiated expression of this mucin, from single immunopositive cells (Figure 1D) to intense reaction in the cytoplasm of numerous cancer cells and/or localized extracellularly (Figure 1E). In the normal intestinal mucosa (control), cytoplasmic expression of MUC2 prevailed and was observed in normal intestinal crypts (Figure 1F). </w:t>
      </w:r>
    </w:p>
    <w:p w14:paraId="2F95B036" w14:textId="710682D4" w:rsidR="007057E4" w:rsidRPr="00347522" w:rsidRDefault="008F7530"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 xml:space="preserve">  </w:t>
      </w:r>
      <w:r w:rsidR="007057E4" w:rsidRPr="00347522">
        <w:rPr>
          <w:rFonts w:ascii="Book Antiqua" w:hAnsi="Book Antiqua" w:cs="Times New Roman"/>
          <w:color w:val="000000" w:themeColor="text1"/>
          <w:sz w:val="24"/>
          <w:szCs w:val="24"/>
          <w:lang w:val="en-US"/>
        </w:rPr>
        <w:t xml:space="preserve">No preferred detection sites were observed for both mucins (MUC1 and MUC2) within the </w:t>
      </w:r>
      <w:r w:rsidR="00854E49" w:rsidRPr="00347522">
        <w:rPr>
          <w:rFonts w:ascii="Book Antiqua" w:hAnsi="Book Antiqua" w:cs="Times New Roman"/>
          <w:color w:val="000000" w:themeColor="text1"/>
          <w:sz w:val="24"/>
          <w:szCs w:val="24"/>
          <w:lang w:val="en-US"/>
        </w:rPr>
        <w:t xml:space="preserve">evaluated area of the colorectal tumor </w:t>
      </w:r>
      <w:r w:rsidR="007057E4" w:rsidRPr="00347522">
        <w:rPr>
          <w:rFonts w:ascii="Book Antiqua" w:hAnsi="Book Antiqua" w:cs="Times New Roman"/>
          <w:color w:val="000000" w:themeColor="text1"/>
          <w:sz w:val="24"/>
          <w:szCs w:val="24"/>
          <w:lang w:val="en-US"/>
        </w:rPr>
        <w:t>(center, periphery).</w:t>
      </w:r>
    </w:p>
    <w:p w14:paraId="1C95E6DB"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i/>
          <w:iCs/>
          <w:color w:val="000000" w:themeColor="text1"/>
          <w:sz w:val="24"/>
          <w:szCs w:val="24"/>
          <w:lang w:val="en-US"/>
        </w:rPr>
      </w:pPr>
    </w:p>
    <w:p w14:paraId="31D4E108" w14:textId="77777777" w:rsidR="006074B0" w:rsidRPr="00347522" w:rsidRDefault="006074B0" w:rsidP="00347522">
      <w:pPr>
        <w:adjustRightInd w:val="0"/>
        <w:snapToGrid w:val="0"/>
        <w:spacing w:line="360" w:lineRule="auto"/>
        <w:ind w:firstLineChars="0" w:firstLine="0"/>
        <w:jc w:val="both"/>
        <w:rPr>
          <w:rFonts w:ascii="Book Antiqua" w:hAnsi="Book Antiqua" w:cs="Times New Roman"/>
          <w:b/>
          <w:color w:val="000000" w:themeColor="text1"/>
          <w:sz w:val="24"/>
          <w:szCs w:val="24"/>
          <w:lang w:val="en-US"/>
        </w:rPr>
      </w:pPr>
      <w:r w:rsidRPr="00347522">
        <w:rPr>
          <w:rFonts w:ascii="Book Antiqua" w:hAnsi="Book Antiqua" w:cs="Times New Roman"/>
          <w:b/>
          <w:i/>
          <w:color w:val="000000" w:themeColor="text1"/>
          <w:sz w:val="24"/>
          <w:szCs w:val="24"/>
        </w:rPr>
        <w:t xml:space="preserve">Quantitative </w:t>
      </w:r>
      <w:r w:rsidRPr="00347522">
        <w:rPr>
          <w:rFonts w:ascii="Book Antiqua" w:eastAsia="Calibri" w:hAnsi="Book Antiqua" w:cs="Times New Roman"/>
          <w:b/>
          <w:i/>
          <w:color w:val="000000" w:themeColor="text1"/>
          <w:sz w:val="24"/>
          <w:szCs w:val="24"/>
        </w:rPr>
        <w:t>analysis of MUC1 and MUC2 immunoexpression</w:t>
      </w:r>
    </w:p>
    <w:p w14:paraId="4EC9AE8C" w14:textId="73D25900" w:rsidR="006074B0" w:rsidRPr="00347522" w:rsidRDefault="006074B0"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The mean expression of MUC1 in colorectal tumors (2.57</w:t>
      </w:r>
      <w:r w:rsidR="00CD1423"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 2.24 % of IHC reaction) and in the normal large intestine (2.16</w:t>
      </w:r>
      <w:r w:rsidR="00CD1423"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 1.64%) was comparable (</w:t>
      </w:r>
      <w:r w:rsidRPr="00347522">
        <w:rPr>
          <w:rFonts w:ascii="Book Antiqua" w:hAnsi="Book Antiqua" w:cs="Times New Roman"/>
          <w:i/>
          <w:iCs/>
          <w:color w:val="000000" w:themeColor="text1"/>
          <w:sz w:val="24"/>
          <w:szCs w:val="24"/>
          <w:lang w:val="en-US"/>
        </w:rPr>
        <w:t>P</w:t>
      </w:r>
      <w:r w:rsidRPr="00347522">
        <w:rPr>
          <w:rFonts w:ascii="Book Antiqua" w:hAnsi="Book Antiqua" w:cs="Times New Roman"/>
          <w:color w:val="000000" w:themeColor="text1"/>
          <w:sz w:val="24"/>
          <w:szCs w:val="24"/>
          <w:lang w:val="en-US"/>
        </w:rPr>
        <w:t xml:space="preserve"> = 0.627). In the case of MUC2, significantly lower expression of this glycoprotein in CRC (4.94</w:t>
      </w:r>
      <w:r w:rsidR="00CD1423"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w:t>
      </w:r>
      <w:r w:rsidR="00CD1423" w:rsidRPr="00347522">
        <w:rPr>
          <w:rFonts w:ascii="Book Antiqua" w:hAnsi="Book Antiqua" w:cs="Times New Roman"/>
          <w:color w:val="000000" w:themeColor="text1"/>
          <w:sz w:val="24"/>
          <w:szCs w:val="24"/>
          <w:lang w:val="en-US"/>
        </w:rPr>
        <w:t xml:space="preserve"> </w:t>
      </w:r>
      <w:r w:rsidRPr="00347522">
        <w:rPr>
          <w:rFonts w:ascii="Book Antiqua" w:hAnsi="Book Antiqua" w:cs="Times New Roman"/>
          <w:color w:val="000000" w:themeColor="text1"/>
          <w:sz w:val="24"/>
          <w:szCs w:val="24"/>
          <w:lang w:val="en-US"/>
        </w:rPr>
        <w:t>7.24%) than in the control (7.40</w:t>
      </w:r>
      <w:r w:rsidR="00CD1423"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 6.77%) has been shown (</w:t>
      </w:r>
      <w:r w:rsidRPr="00347522">
        <w:rPr>
          <w:rFonts w:ascii="Book Antiqua" w:hAnsi="Book Antiqua" w:cs="Times New Roman"/>
          <w:i/>
          <w:iCs/>
          <w:color w:val="000000" w:themeColor="text1"/>
          <w:sz w:val="24"/>
          <w:szCs w:val="24"/>
          <w:lang w:val="en-US"/>
        </w:rPr>
        <w:t>P</w:t>
      </w:r>
      <w:r w:rsidRPr="00347522">
        <w:rPr>
          <w:rFonts w:ascii="Book Antiqua" w:hAnsi="Book Antiqua" w:cs="Times New Roman"/>
          <w:color w:val="000000" w:themeColor="text1"/>
          <w:sz w:val="24"/>
          <w:szCs w:val="24"/>
          <w:lang w:val="en-US"/>
        </w:rPr>
        <w:t xml:space="preserve"> = 0.035) (Table 3).</w:t>
      </w:r>
    </w:p>
    <w:p w14:paraId="2A3A0501" w14:textId="15986C8E" w:rsidR="006074B0" w:rsidRPr="00347522" w:rsidRDefault="00CD1423"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 xml:space="preserve">  </w:t>
      </w:r>
      <w:r w:rsidR="006074B0" w:rsidRPr="00347522">
        <w:rPr>
          <w:rFonts w:ascii="Book Antiqua" w:hAnsi="Book Antiqua" w:cs="Times New Roman"/>
          <w:color w:val="000000" w:themeColor="text1"/>
          <w:sz w:val="24"/>
          <w:szCs w:val="24"/>
          <w:lang w:val="en-US"/>
        </w:rPr>
        <w:t>The MUC1/MUC2 expression ratio was significantly higher in the CRC tissues (1.84 ± 2.54), than in the control (0.52 ± 0.51) (</w:t>
      </w:r>
      <w:r w:rsidR="006074B0" w:rsidRPr="00347522">
        <w:rPr>
          <w:rFonts w:ascii="Book Antiqua" w:hAnsi="Book Antiqua" w:cs="Times New Roman"/>
          <w:i/>
          <w:iCs/>
          <w:color w:val="000000" w:themeColor="text1"/>
          <w:sz w:val="24"/>
          <w:szCs w:val="24"/>
          <w:lang w:val="en-US"/>
        </w:rPr>
        <w:t>P</w:t>
      </w:r>
      <w:r w:rsidR="006074B0" w:rsidRPr="00347522">
        <w:rPr>
          <w:rFonts w:ascii="Book Antiqua" w:hAnsi="Book Antiqua" w:cs="Times New Roman"/>
          <w:color w:val="000000" w:themeColor="text1"/>
          <w:sz w:val="24"/>
          <w:szCs w:val="24"/>
          <w:lang w:val="en-US"/>
        </w:rPr>
        <w:t xml:space="preserve"> = 0.003) (Table 3).</w:t>
      </w:r>
    </w:p>
    <w:p w14:paraId="0EDED088" w14:textId="77777777" w:rsidR="006074B0" w:rsidRPr="00347522" w:rsidRDefault="006074B0" w:rsidP="00347522">
      <w:pPr>
        <w:adjustRightInd w:val="0"/>
        <w:snapToGrid w:val="0"/>
        <w:spacing w:line="360" w:lineRule="auto"/>
        <w:ind w:firstLineChars="0" w:firstLine="0"/>
        <w:jc w:val="both"/>
        <w:rPr>
          <w:rFonts w:ascii="Book Antiqua" w:hAnsi="Book Antiqua" w:cs="Times New Roman"/>
          <w:i/>
          <w:iCs/>
          <w:color w:val="000000" w:themeColor="text1"/>
          <w:sz w:val="24"/>
          <w:szCs w:val="24"/>
          <w:lang w:val="en-US"/>
        </w:rPr>
      </w:pPr>
    </w:p>
    <w:p w14:paraId="1D057824" w14:textId="77777777" w:rsidR="006074B0" w:rsidRPr="00347522" w:rsidRDefault="006074B0" w:rsidP="00347522">
      <w:pPr>
        <w:adjustRightInd w:val="0"/>
        <w:snapToGrid w:val="0"/>
        <w:spacing w:line="360" w:lineRule="auto"/>
        <w:ind w:firstLineChars="0" w:firstLine="0"/>
        <w:jc w:val="both"/>
        <w:rPr>
          <w:rFonts w:ascii="Book Antiqua" w:hAnsi="Book Antiqua" w:cs="Times New Roman"/>
          <w:b/>
          <w:i/>
          <w:iCs/>
          <w:color w:val="000000" w:themeColor="text1"/>
          <w:sz w:val="24"/>
          <w:szCs w:val="24"/>
          <w:lang w:val="en-US"/>
        </w:rPr>
      </w:pPr>
      <w:r w:rsidRPr="00347522">
        <w:rPr>
          <w:rFonts w:ascii="Book Antiqua" w:hAnsi="Book Antiqua" w:cs="Times New Roman"/>
          <w:b/>
          <w:i/>
          <w:iCs/>
          <w:color w:val="000000" w:themeColor="text1"/>
          <w:sz w:val="24"/>
          <w:szCs w:val="24"/>
          <w:lang w:val="en-US"/>
        </w:rPr>
        <w:t xml:space="preserve">MUC1 and MUC2 immunoexpression and pathological data </w:t>
      </w:r>
    </w:p>
    <w:p w14:paraId="75DEB4AC" w14:textId="13893112" w:rsidR="006074B0" w:rsidRPr="00347522" w:rsidRDefault="006074B0"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A significantly higher expression of MUC2 in mucinous CRC (10.97</w:t>
      </w:r>
      <w:r w:rsidR="00CD1423"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 11.17% of IHC reaction), compared to the rest of the CRC (2.40</w:t>
      </w:r>
      <w:r w:rsidR="00CD1423"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 2.00%), was shown (</w:t>
      </w:r>
      <w:r w:rsidRPr="00347522">
        <w:rPr>
          <w:rFonts w:ascii="Book Antiqua" w:hAnsi="Book Antiqua" w:cs="Times New Roman"/>
          <w:i/>
          <w:iCs/>
          <w:color w:val="000000" w:themeColor="text1"/>
          <w:sz w:val="24"/>
          <w:szCs w:val="24"/>
          <w:lang w:val="en-US"/>
        </w:rPr>
        <w:t>P</w:t>
      </w:r>
      <w:r w:rsidRPr="00347522">
        <w:rPr>
          <w:rFonts w:ascii="Book Antiqua" w:hAnsi="Book Antiqua" w:cs="Times New Roman"/>
          <w:color w:val="000000" w:themeColor="text1"/>
          <w:sz w:val="24"/>
          <w:szCs w:val="24"/>
          <w:lang w:val="en-US"/>
        </w:rPr>
        <w:t xml:space="preserve"> = 0.018). No such differences were observed with MUC1 expression (Figure 2). No significant differences could be disclosed in the expression of both mucins from one hand and tumor size, the anatomical location of the CRC, histologic grade (G2 </w:t>
      </w:r>
      <w:r w:rsidRPr="00347522">
        <w:rPr>
          <w:rFonts w:ascii="Book Antiqua" w:hAnsi="Book Antiqua" w:cs="Times New Roman"/>
          <w:i/>
          <w:iCs/>
          <w:color w:val="000000" w:themeColor="text1"/>
          <w:sz w:val="24"/>
          <w:szCs w:val="24"/>
          <w:lang w:val="en-US"/>
        </w:rPr>
        <w:t>vs</w:t>
      </w:r>
      <w:r w:rsidRPr="00347522">
        <w:rPr>
          <w:rFonts w:ascii="Book Antiqua" w:hAnsi="Book Antiqua" w:cs="Times New Roman"/>
          <w:color w:val="000000" w:themeColor="text1"/>
          <w:sz w:val="24"/>
          <w:szCs w:val="24"/>
          <w:lang w:val="en-US"/>
        </w:rPr>
        <w:t xml:space="preserve"> G3) and in patients with N0 and N1 in the TNM classification system (data not shown). </w:t>
      </w:r>
    </w:p>
    <w:p w14:paraId="7BC62224" w14:textId="0D3866E9" w:rsidR="006074B0" w:rsidRPr="00347522" w:rsidRDefault="00CD1423"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6074B0" w:rsidRPr="00347522">
        <w:rPr>
          <w:rFonts w:ascii="Book Antiqua" w:hAnsi="Book Antiqua" w:cs="Times New Roman"/>
          <w:sz w:val="24"/>
          <w:szCs w:val="24"/>
          <w:lang w:val="en-US"/>
        </w:rPr>
        <w:t>In the case of MUC2 expression, significantly higher expression of this mucins in colorectal tumors in Stage C was shown (5.54</w:t>
      </w:r>
      <w:r w:rsidR="004D329E" w:rsidRPr="00347522">
        <w:rPr>
          <w:rFonts w:ascii="Book Antiqua" w:hAnsi="Book Antiqua" w:cs="Times New Roman"/>
          <w:sz w:val="24"/>
          <w:szCs w:val="24"/>
          <w:lang w:val="en-US"/>
        </w:rPr>
        <w:t>%</w:t>
      </w:r>
      <w:r w:rsidR="006074B0" w:rsidRPr="00347522">
        <w:rPr>
          <w:rFonts w:ascii="Book Antiqua" w:hAnsi="Book Antiqua" w:cs="Times New Roman"/>
          <w:sz w:val="24"/>
          <w:szCs w:val="24"/>
          <w:lang w:val="en-US"/>
        </w:rPr>
        <w:t xml:space="preserve"> ± 7.57%), compared with </w:t>
      </w:r>
      <w:r w:rsidR="006074B0" w:rsidRPr="00347522">
        <w:rPr>
          <w:rFonts w:ascii="Book Antiqua" w:hAnsi="Book Antiqua" w:cs="Times New Roman"/>
          <w:color w:val="000000" w:themeColor="text1"/>
          <w:sz w:val="24"/>
          <w:szCs w:val="24"/>
          <w:lang w:val="en-US"/>
        </w:rPr>
        <w:t>Stage</w:t>
      </w:r>
      <w:r w:rsidR="006074B0" w:rsidRPr="00347522">
        <w:rPr>
          <w:rFonts w:ascii="Book Antiqua" w:hAnsi="Book Antiqua" w:cs="Times New Roman"/>
          <w:color w:val="FF0000"/>
          <w:sz w:val="24"/>
          <w:szCs w:val="24"/>
          <w:lang w:val="en-US"/>
        </w:rPr>
        <w:t xml:space="preserve"> </w:t>
      </w:r>
      <w:r w:rsidR="006074B0" w:rsidRPr="00347522">
        <w:rPr>
          <w:rFonts w:ascii="Book Antiqua" w:hAnsi="Book Antiqua" w:cs="Times New Roman"/>
          <w:sz w:val="24"/>
          <w:szCs w:val="24"/>
          <w:lang w:val="en-US"/>
        </w:rPr>
        <w:t>B (2.12</w:t>
      </w:r>
      <w:r w:rsidRPr="00347522">
        <w:rPr>
          <w:rFonts w:ascii="Book Antiqua" w:hAnsi="Book Antiqua" w:cs="Times New Roman"/>
          <w:sz w:val="24"/>
          <w:szCs w:val="24"/>
          <w:lang w:val="en-US"/>
        </w:rPr>
        <w:t>%</w:t>
      </w:r>
      <w:r w:rsidR="006074B0" w:rsidRPr="00347522">
        <w:rPr>
          <w:rFonts w:ascii="Book Antiqua" w:hAnsi="Book Antiqua" w:cs="Times New Roman"/>
          <w:sz w:val="24"/>
          <w:szCs w:val="24"/>
          <w:lang w:val="en-US"/>
        </w:rPr>
        <w:t xml:space="preserve"> ± 2.64%) (</w:t>
      </w:r>
      <w:r w:rsidR="006074B0" w:rsidRPr="00347522">
        <w:rPr>
          <w:rFonts w:ascii="Book Antiqua" w:hAnsi="Book Antiqua" w:cs="Times New Roman"/>
          <w:i/>
          <w:iCs/>
          <w:sz w:val="24"/>
          <w:szCs w:val="24"/>
          <w:lang w:val="en-US"/>
        </w:rPr>
        <w:t>P</w:t>
      </w:r>
      <w:r w:rsidR="006074B0" w:rsidRPr="00347522">
        <w:rPr>
          <w:rFonts w:ascii="Book Antiqua" w:hAnsi="Book Antiqua" w:cs="Times New Roman"/>
          <w:sz w:val="24"/>
          <w:szCs w:val="24"/>
          <w:lang w:val="en-US"/>
        </w:rPr>
        <w:t xml:space="preserve"> = 0.044) </w:t>
      </w:r>
      <w:r w:rsidR="006074B0" w:rsidRPr="00347522">
        <w:rPr>
          <w:rFonts w:ascii="Book Antiqua" w:hAnsi="Book Antiqua" w:cs="Times New Roman"/>
          <w:color w:val="000000" w:themeColor="text1"/>
          <w:sz w:val="24"/>
          <w:szCs w:val="24"/>
          <w:lang w:val="en-US"/>
        </w:rPr>
        <w:t>(Figure 3). Th</w:t>
      </w:r>
      <w:r w:rsidR="006074B0" w:rsidRPr="00347522">
        <w:rPr>
          <w:rFonts w:ascii="Book Antiqua" w:hAnsi="Book Antiqua" w:cs="Times New Roman"/>
          <w:sz w:val="24"/>
          <w:szCs w:val="24"/>
          <w:lang w:val="en-US"/>
        </w:rPr>
        <w:t xml:space="preserve">e analysis of mucins expression in tumors </w:t>
      </w:r>
      <w:r w:rsidR="006074B0" w:rsidRPr="00347522">
        <w:rPr>
          <w:rFonts w:ascii="Book Antiqua" w:hAnsi="Book Antiqua" w:cs="Times New Roman"/>
          <w:sz w:val="24"/>
          <w:szCs w:val="24"/>
          <w:lang w:val="en-US"/>
        </w:rPr>
        <w:lastRenderedPageBreak/>
        <w:t>of Stage B2 and C2 on Astler and Coller scale, confirmed these results, although only a borderline statistical significance (</w:t>
      </w:r>
      <w:r w:rsidR="006074B0" w:rsidRPr="00347522">
        <w:rPr>
          <w:rFonts w:ascii="Book Antiqua" w:hAnsi="Book Antiqua" w:cs="Times New Roman"/>
          <w:i/>
          <w:iCs/>
          <w:sz w:val="24"/>
          <w:szCs w:val="24"/>
          <w:lang w:val="en-US"/>
        </w:rPr>
        <w:t>P</w:t>
      </w:r>
      <w:r w:rsidR="006074B0" w:rsidRPr="00347522">
        <w:rPr>
          <w:rFonts w:ascii="Book Antiqua" w:hAnsi="Book Antiqua" w:cs="Times New Roman"/>
          <w:sz w:val="24"/>
          <w:szCs w:val="24"/>
          <w:lang w:val="en-US"/>
        </w:rPr>
        <w:t xml:space="preserve"> = 0.066) was obtained for MUC2 expression </w:t>
      </w:r>
      <w:r w:rsidR="006074B0" w:rsidRPr="00347522">
        <w:rPr>
          <w:rFonts w:ascii="Book Antiqua" w:hAnsi="Book Antiqua" w:cs="Times New Roman"/>
          <w:color w:val="000000" w:themeColor="text1"/>
          <w:sz w:val="24"/>
          <w:szCs w:val="24"/>
          <w:lang w:val="en-US"/>
        </w:rPr>
        <w:t>(data not shown).</w:t>
      </w:r>
    </w:p>
    <w:p w14:paraId="7B18C26D" w14:textId="77777777" w:rsidR="006074B0" w:rsidRPr="00347522" w:rsidRDefault="006074B0" w:rsidP="00347522">
      <w:pPr>
        <w:adjustRightInd w:val="0"/>
        <w:snapToGrid w:val="0"/>
        <w:spacing w:line="360" w:lineRule="auto"/>
        <w:ind w:firstLineChars="0" w:firstLine="0"/>
        <w:jc w:val="both"/>
        <w:rPr>
          <w:rFonts w:ascii="Book Antiqua" w:hAnsi="Book Antiqua" w:cs="Times New Roman"/>
          <w:i/>
          <w:iCs/>
          <w:sz w:val="24"/>
          <w:szCs w:val="24"/>
          <w:lang w:val="en-US"/>
        </w:rPr>
      </w:pPr>
    </w:p>
    <w:p w14:paraId="4B6957C5" w14:textId="0536BEB2" w:rsidR="000A121D" w:rsidRPr="00347522" w:rsidRDefault="000A121D" w:rsidP="00347522">
      <w:pPr>
        <w:tabs>
          <w:tab w:val="left" w:pos="0"/>
        </w:tabs>
        <w:adjustRightInd w:val="0"/>
        <w:snapToGrid w:val="0"/>
        <w:spacing w:line="360" w:lineRule="auto"/>
        <w:ind w:firstLineChars="0" w:firstLine="0"/>
        <w:jc w:val="both"/>
        <w:rPr>
          <w:rFonts w:ascii="Book Antiqua" w:hAnsi="Book Antiqua" w:cs="Times New Roman"/>
          <w:b/>
          <w:i/>
          <w:iCs/>
          <w:color w:val="000000" w:themeColor="text1"/>
          <w:sz w:val="24"/>
          <w:szCs w:val="24"/>
          <w:lang w:val="en-US"/>
        </w:rPr>
      </w:pPr>
      <w:r w:rsidRPr="00347522">
        <w:rPr>
          <w:rFonts w:ascii="Book Antiqua" w:hAnsi="Book Antiqua" w:cs="Times New Roman"/>
          <w:b/>
          <w:i/>
          <w:iCs/>
          <w:color w:val="000000" w:themeColor="text1"/>
          <w:sz w:val="24"/>
          <w:szCs w:val="24"/>
          <w:lang w:val="en-US"/>
        </w:rPr>
        <w:t>MUC1 and MUC2 transcript vs protein expression</w:t>
      </w:r>
    </w:p>
    <w:p w14:paraId="2358EAE6" w14:textId="2BE124B3" w:rsidR="000A121D" w:rsidRPr="00347522" w:rsidRDefault="000A121D" w:rsidP="00347522">
      <w:pPr>
        <w:tabs>
          <w:tab w:val="left" w:pos="0"/>
        </w:tabs>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High positive Spearman’s correlation was observed in patients affected by CRC, between mutual expression of both analyzed mucin transcripts (</w:t>
      </w:r>
      <w:r w:rsidRPr="00347522">
        <w:rPr>
          <w:rFonts w:ascii="Book Antiqua" w:hAnsi="Book Antiqua" w:cs="Times New Roman"/>
          <w:i/>
          <w:sz w:val="24"/>
          <w:szCs w:val="24"/>
          <w:lang w:val="en-US"/>
        </w:rPr>
        <w:t>r</w:t>
      </w:r>
      <w:r w:rsidRPr="00347522">
        <w:rPr>
          <w:rFonts w:ascii="Book Antiqua" w:hAnsi="Book Antiqua" w:cs="Times New Roman"/>
          <w:sz w:val="24"/>
          <w:szCs w:val="24"/>
          <w:lang w:val="en-US"/>
        </w:rPr>
        <w:t xml:space="preserve"> = 0.602; </w:t>
      </w:r>
      <w:r w:rsidRPr="00347522">
        <w:rPr>
          <w:rFonts w:ascii="Book Antiqua" w:hAnsi="Book Antiqua" w:cs="Times New Roman"/>
          <w:i/>
          <w:iCs/>
          <w:sz w:val="24"/>
          <w:szCs w:val="24"/>
          <w:lang w:val="en-US"/>
        </w:rPr>
        <w:t>P</w:t>
      </w:r>
      <w:r w:rsidRPr="00347522">
        <w:rPr>
          <w:rFonts w:ascii="Book Antiqua" w:hAnsi="Book Antiqua" w:cs="Times New Roman"/>
          <w:sz w:val="24"/>
          <w:szCs w:val="24"/>
          <w:lang w:val="en-US"/>
        </w:rPr>
        <w:t xml:space="preserve"> &lt; 0.05), but not between protein expression itself (</w:t>
      </w:r>
      <w:r w:rsidRPr="00347522">
        <w:rPr>
          <w:rFonts w:ascii="Book Antiqua" w:hAnsi="Book Antiqua" w:cs="Times New Roman"/>
          <w:i/>
          <w:sz w:val="24"/>
          <w:szCs w:val="24"/>
          <w:lang w:val="en-US"/>
        </w:rPr>
        <w:t>r</w:t>
      </w:r>
      <w:r w:rsidRPr="00347522">
        <w:rPr>
          <w:rFonts w:ascii="Book Antiqua" w:hAnsi="Book Antiqua" w:cs="Times New Roman"/>
          <w:sz w:val="24"/>
          <w:szCs w:val="24"/>
          <w:lang w:val="en-US"/>
        </w:rPr>
        <w:t xml:space="preserve"> = 0.046</w:t>
      </w:r>
      <w:r w:rsidR="00170B0D" w:rsidRPr="00347522">
        <w:rPr>
          <w:rFonts w:ascii="Book Antiqua" w:hAnsi="Book Antiqua" w:cs="Times New Roman"/>
          <w:sz w:val="24"/>
          <w:szCs w:val="24"/>
          <w:lang w:val="en-US"/>
        </w:rPr>
        <w:t>)</w:t>
      </w:r>
      <w:r w:rsidRPr="00347522">
        <w:rPr>
          <w:rFonts w:ascii="Book Antiqua" w:hAnsi="Book Antiqua" w:cs="Times New Roman"/>
          <w:sz w:val="24"/>
          <w:szCs w:val="24"/>
          <w:lang w:val="en-US"/>
        </w:rPr>
        <w:t xml:space="preserve"> (</w:t>
      </w:r>
      <w:r w:rsidRPr="00347522">
        <w:rPr>
          <w:rFonts w:ascii="Book Antiqua" w:hAnsi="Book Antiqua" w:cs="Times New Roman"/>
          <w:color w:val="000000" w:themeColor="text1"/>
          <w:sz w:val="24"/>
          <w:szCs w:val="24"/>
          <w:lang w:val="en-US"/>
        </w:rPr>
        <w:t>Table 4</w:t>
      </w:r>
      <w:r w:rsidRPr="00347522">
        <w:rPr>
          <w:rFonts w:ascii="Book Antiqua" w:hAnsi="Book Antiqua" w:cs="Times New Roman"/>
          <w:sz w:val="24"/>
          <w:szCs w:val="24"/>
          <w:lang w:val="en-US"/>
        </w:rPr>
        <w:t>). Additionally, in CRC tumor tissues, borderline positive Spearman’s correlation, between mRNA and protein expression of MUC1 (</w:t>
      </w:r>
      <w:r w:rsidRPr="00347522">
        <w:rPr>
          <w:rFonts w:ascii="Book Antiqua" w:hAnsi="Book Antiqua" w:cs="Times New Roman"/>
          <w:i/>
          <w:sz w:val="24"/>
          <w:szCs w:val="24"/>
          <w:lang w:val="en-US"/>
        </w:rPr>
        <w:t>r</w:t>
      </w:r>
      <w:r w:rsidRPr="00347522">
        <w:rPr>
          <w:rFonts w:ascii="Book Antiqua" w:hAnsi="Book Antiqua" w:cs="Times New Roman"/>
          <w:sz w:val="24"/>
          <w:szCs w:val="24"/>
          <w:lang w:val="en-US"/>
        </w:rPr>
        <w:t xml:space="preserve"> = 0.405; </w:t>
      </w:r>
      <w:r w:rsidRPr="00347522">
        <w:rPr>
          <w:rFonts w:ascii="Book Antiqua" w:hAnsi="Book Antiqua" w:cs="Times New Roman"/>
          <w:i/>
          <w:iCs/>
          <w:sz w:val="24"/>
          <w:szCs w:val="24"/>
          <w:lang w:val="en-US"/>
        </w:rPr>
        <w:t>P</w:t>
      </w:r>
      <w:r w:rsidRPr="00347522">
        <w:rPr>
          <w:rFonts w:ascii="Book Antiqua" w:hAnsi="Book Antiqua" w:cs="Times New Roman"/>
          <w:sz w:val="24"/>
          <w:szCs w:val="24"/>
          <w:lang w:val="en-US"/>
        </w:rPr>
        <w:t xml:space="preserve"> &gt; 0.05). MUC2 didn’t show a statistically significant correlation between mRNA and protein expression (</w:t>
      </w:r>
      <w:r w:rsidRPr="00347522">
        <w:rPr>
          <w:rFonts w:ascii="Book Antiqua" w:hAnsi="Book Antiqua" w:cs="Times New Roman"/>
          <w:color w:val="000000" w:themeColor="text1"/>
          <w:sz w:val="24"/>
          <w:szCs w:val="24"/>
          <w:lang w:val="en-US"/>
        </w:rPr>
        <w:t>Table 4</w:t>
      </w:r>
      <w:r w:rsidRPr="00347522">
        <w:rPr>
          <w:rFonts w:ascii="Book Antiqua" w:hAnsi="Book Antiqua" w:cs="Times New Roman"/>
          <w:sz w:val="24"/>
          <w:szCs w:val="24"/>
          <w:lang w:val="en-US"/>
        </w:rPr>
        <w:t>).</w:t>
      </w:r>
    </w:p>
    <w:p w14:paraId="2538343A" w14:textId="77777777" w:rsidR="000A121D" w:rsidRPr="00347522" w:rsidRDefault="000A121D" w:rsidP="00347522">
      <w:pPr>
        <w:tabs>
          <w:tab w:val="left" w:pos="0"/>
        </w:tabs>
        <w:adjustRightInd w:val="0"/>
        <w:snapToGrid w:val="0"/>
        <w:spacing w:line="360" w:lineRule="auto"/>
        <w:ind w:firstLineChars="0" w:firstLine="0"/>
        <w:jc w:val="both"/>
        <w:rPr>
          <w:rFonts w:ascii="Book Antiqua" w:hAnsi="Book Antiqua" w:cs="Times New Roman"/>
          <w:sz w:val="24"/>
          <w:szCs w:val="24"/>
          <w:lang w:val="en-US"/>
        </w:rPr>
      </w:pPr>
    </w:p>
    <w:p w14:paraId="78385129" w14:textId="77777777" w:rsidR="000A121D" w:rsidRPr="00347522" w:rsidRDefault="000A121D" w:rsidP="00347522">
      <w:pPr>
        <w:tabs>
          <w:tab w:val="left" w:pos="0"/>
        </w:tabs>
        <w:adjustRightInd w:val="0"/>
        <w:snapToGrid w:val="0"/>
        <w:spacing w:line="360" w:lineRule="auto"/>
        <w:ind w:firstLineChars="0" w:firstLine="0"/>
        <w:jc w:val="both"/>
        <w:rPr>
          <w:rFonts w:ascii="Book Antiqua" w:hAnsi="Book Antiqua" w:cs="Times New Roman"/>
          <w:b/>
          <w:i/>
          <w:iCs/>
          <w:color w:val="000000" w:themeColor="text1"/>
          <w:sz w:val="24"/>
          <w:szCs w:val="24"/>
          <w:lang w:val="en-US"/>
        </w:rPr>
      </w:pPr>
      <w:r w:rsidRPr="00347522">
        <w:rPr>
          <w:rFonts w:ascii="Book Antiqua" w:hAnsi="Book Antiqua" w:cs="Times New Roman"/>
          <w:b/>
          <w:i/>
          <w:iCs/>
          <w:color w:val="000000" w:themeColor="text1"/>
          <w:sz w:val="24"/>
          <w:szCs w:val="24"/>
          <w:lang w:val="en-US"/>
        </w:rPr>
        <w:t>MUC1 and MUC2 expression (mRNA and proteins) and clinical data</w:t>
      </w:r>
    </w:p>
    <w:p w14:paraId="238E85A9" w14:textId="77777777" w:rsidR="000A121D" w:rsidRPr="00347522" w:rsidRDefault="000A121D" w:rsidP="00347522">
      <w:pPr>
        <w:tabs>
          <w:tab w:val="left" w:pos="0"/>
        </w:tabs>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Negative correlation between MUC1 mRNA expression and the age of patients was observed (</w:t>
      </w:r>
      <w:r w:rsidRPr="00347522">
        <w:rPr>
          <w:rFonts w:ascii="Book Antiqua" w:hAnsi="Book Antiqua" w:cs="Times New Roman"/>
          <w:i/>
          <w:sz w:val="24"/>
          <w:szCs w:val="24"/>
          <w:lang w:val="en-US"/>
        </w:rPr>
        <w:t>r</w:t>
      </w:r>
      <w:r w:rsidRPr="00347522">
        <w:rPr>
          <w:rFonts w:ascii="Book Antiqua" w:hAnsi="Book Antiqua" w:cs="Times New Roman"/>
          <w:sz w:val="24"/>
          <w:szCs w:val="24"/>
          <w:lang w:val="en-US"/>
        </w:rPr>
        <w:t xml:space="preserve"> = -0.481; </w:t>
      </w:r>
      <w:r w:rsidRPr="00347522">
        <w:rPr>
          <w:rFonts w:ascii="Book Antiqua" w:hAnsi="Book Antiqua" w:cs="Times New Roman"/>
          <w:i/>
          <w:iCs/>
          <w:sz w:val="24"/>
          <w:szCs w:val="24"/>
          <w:lang w:val="en-US"/>
        </w:rPr>
        <w:t>P</w:t>
      </w:r>
      <w:r w:rsidRPr="00347522">
        <w:rPr>
          <w:rFonts w:ascii="Book Antiqua" w:hAnsi="Book Antiqua" w:cs="Times New Roman"/>
          <w:sz w:val="24"/>
          <w:szCs w:val="24"/>
          <w:lang w:val="en-US"/>
        </w:rPr>
        <w:t xml:space="preserve"> &lt; 0.05). Furthermore, positive correlations considered the expression of both mucins (MUC1 and MUC2) and the blood leukocyte count (</w:t>
      </w:r>
      <w:r w:rsidRPr="00347522">
        <w:rPr>
          <w:rFonts w:ascii="Book Antiqua" w:hAnsi="Book Antiqua" w:cs="Times New Roman"/>
          <w:i/>
          <w:sz w:val="24"/>
          <w:szCs w:val="24"/>
          <w:lang w:val="en-US"/>
        </w:rPr>
        <w:t>r</w:t>
      </w:r>
      <w:r w:rsidRPr="00347522">
        <w:rPr>
          <w:rFonts w:ascii="Book Antiqua" w:hAnsi="Book Antiqua" w:cs="Times New Roman"/>
          <w:sz w:val="24"/>
          <w:szCs w:val="24"/>
          <w:lang w:val="en-US"/>
        </w:rPr>
        <w:t xml:space="preserve"> = 0.465 and </w:t>
      </w:r>
      <w:r w:rsidRPr="00347522">
        <w:rPr>
          <w:rFonts w:ascii="Book Antiqua" w:hAnsi="Book Antiqua" w:cs="Times New Roman"/>
          <w:i/>
          <w:sz w:val="24"/>
          <w:szCs w:val="24"/>
          <w:lang w:val="en-US"/>
        </w:rPr>
        <w:t>r</w:t>
      </w:r>
      <w:r w:rsidRPr="00347522">
        <w:rPr>
          <w:rFonts w:ascii="Book Antiqua" w:hAnsi="Book Antiqua" w:cs="Times New Roman"/>
          <w:sz w:val="24"/>
          <w:szCs w:val="24"/>
          <w:lang w:val="en-US"/>
        </w:rPr>
        <w:t xml:space="preserve"> = 0.474 respectively; </w:t>
      </w:r>
      <w:r w:rsidRPr="00347522">
        <w:rPr>
          <w:rFonts w:ascii="Book Antiqua" w:hAnsi="Book Antiqua" w:cs="Times New Roman"/>
          <w:i/>
          <w:iCs/>
          <w:sz w:val="24"/>
          <w:szCs w:val="24"/>
          <w:lang w:val="en-US"/>
        </w:rPr>
        <w:t>P</w:t>
      </w:r>
      <w:r w:rsidRPr="00347522">
        <w:rPr>
          <w:rFonts w:ascii="Book Antiqua" w:hAnsi="Book Antiqua" w:cs="Times New Roman"/>
          <w:sz w:val="24"/>
          <w:szCs w:val="24"/>
          <w:lang w:val="en-US"/>
        </w:rPr>
        <w:t xml:space="preserve"> &lt; 0.05 in both cases). Additionally, the expression of MUC1 protein was positively correlated with thrombocyte numbers in patients affected by CRC (</w:t>
      </w:r>
      <w:r w:rsidRPr="00347522">
        <w:rPr>
          <w:rFonts w:ascii="Book Antiqua" w:hAnsi="Book Antiqua" w:cs="Times New Roman"/>
          <w:i/>
          <w:sz w:val="24"/>
          <w:szCs w:val="24"/>
          <w:lang w:val="en-US"/>
        </w:rPr>
        <w:t>r</w:t>
      </w:r>
      <w:r w:rsidRPr="00347522">
        <w:rPr>
          <w:rFonts w:ascii="Book Antiqua" w:hAnsi="Book Antiqua" w:cs="Times New Roman"/>
          <w:sz w:val="24"/>
          <w:szCs w:val="24"/>
          <w:lang w:val="en-US"/>
        </w:rPr>
        <w:t xml:space="preserve"> = 0.474; </w:t>
      </w:r>
      <w:r w:rsidRPr="00347522">
        <w:rPr>
          <w:rFonts w:ascii="Book Antiqua" w:hAnsi="Book Antiqua" w:cs="Times New Roman"/>
          <w:i/>
          <w:iCs/>
          <w:sz w:val="24"/>
          <w:szCs w:val="24"/>
          <w:lang w:val="en-US"/>
        </w:rPr>
        <w:t>P</w:t>
      </w:r>
      <w:r w:rsidRPr="00347522">
        <w:rPr>
          <w:rFonts w:ascii="Book Antiqua" w:hAnsi="Book Antiqua" w:cs="Times New Roman"/>
          <w:sz w:val="24"/>
          <w:szCs w:val="24"/>
          <w:lang w:val="en-US"/>
        </w:rPr>
        <w:t xml:space="preserve"> &lt; 0.05) (</w:t>
      </w:r>
      <w:r w:rsidRPr="00347522">
        <w:rPr>
          <w:rFonts w:ascii="Book Antiqua" w:hAnsi="Book Antiqua" w:cs="Times New Roman"/>
          <w:color w:val="000000" w:themeColor="text1"/>
          <w:sz w:val="24"/>
          <w:szCs w:val="24"/>
          <w:lang w:val="en-US"/>
        </w:rPr>
        <w:t>Table 5</w:t>
      </w:r>
      <w:r w:rsidRPr="00347522">
        <w:rPr>
          <w:rFonts w:ascii="Book Antiqua" w:hAnsi="Book Antiqua" w:cs="Times New Roman"/>
          <w:sz w:val="24"/>
          <w:szCs w:val="24"/>
          <w:lang w:val="en-US"/>
        </w:rPr>
        <w:t xml:space="preserve">). </w:t>
      </w:r>
    </w:p>
    <w:p w14:paraId="2DAA704C" w14:textId="203E653E" w:rsidR="000A121D" w:rsidRPr="00347522" w:rsidRDefault="009849A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0A121D" w:rsidRPr="00347522">
        <w:rPr>
          <w:rFonts w:ascii="Book Antiqua" w:hAnsi="Book Antiqua" w:cs="Times New Roman"/>
          <w:sz w:val="24"/>
          <w:szCs w:val="24"/>
          <w:lang w:val="en-US"/>
        </w:rPr>
        <w:t>Mean survival time of patients affected by CRC was 52</w:t>
      </w:r>
      <w:r w:rsidRPr="00347522">
        <w:rPr>
          <w:rFonts w:ascii="Book Antiqua" w:hAnsi="Book Antiqua" w:cs="Times New Roman"/>
          <w:sz w:val="24"/>
          <w:szCs w:val="24"/>
          <w:lang w:val="en-US"/>
        </w:rPr>
        <w:t xml:space="preserve"> </w:t>
      </w:r>
      <w:r w:rsidR="000A121D" w:rsidRPr="00347522">
        <w:rPr>
          <w:rFonts w:ascii="Book Antiqua" w:hAnsi="Book Antiqua" w:cs="Times New Roman"/>
          <w:sz w:val="24"/>
          <w:szCs w:val="24"/>
          <w:lang w:val="en-US"/>
        </w:rPr>
        <w:t>±</w:t>
      </w:r>
      <w:r w:rsidRPr="00347522">
        <w:rPr>
          <w:rFonts w:ascii="Book Antiqua" w:hAnsi="Book Antiqua" w:cs="Times New Roman"/>
          <w:sz w:val="24"/>
          <w:szCs w:val="24"/>
          <w:lang w:val="en-US"/>
        </w:rPr>
        <w:t xml:space="preserve"> </w:t>
      </w:r>
      <w:r w:rsidR="000A121D" w:rsidRPr="00347522">
        <w:rPr>
          <w:rFonts w:ascii="Book Antiqua" w:hAnsi="Book Antiqua" w:cs="Times New Roman"/>
          <w:sz w:val="24"/>
          <w:szCs w:val="24"/>
          <w:lang w:val="en-US"/>
        </w:rPr>
        <w:t xml:space="preserve">3 mo. The Kaplan-Meier analysis shows that neither MUC1, nor MUC2 apomucins expression were </w:t>
      </w:r>
      <w:r w:rsidR="000A121D" w:rsidRPr="00347522">
        <w:rPr>
          <w:rFonts w:ascii="Book Antiqua" w:hAnsi="Book Antiqua" w:cs="Times New Roman"/>
          <w:color w:val="000000" w:themeColor="text1"/>
          <w:sz w:val="24"/>
          <w:szCs w:val="24"/>
          <w:lang w:val="en-US"/>
        </w:rPr>
        <w:t>significantly</w:t>
      </w:r>
      <w:r w:rsidR="000A121D" w:rsidRPr="00347522">
        <w:rPr>
          <w:rFonts w:ascii="Book Antiqua" w:hAnsi="Book Antiqua" w:cs="Times New Roman"/>
          <w:sz w:val="24"/>
          <w:szCs w:val="24"/>
          <w:lang w:val="en-US"/>
        </w:rPr>
        <w:t xml:space="preserve"> associated with survival probability in patients with CRC </w:t>
      </w:r>
      <w:r w:rsidR="000A121D" w:rsidRPr="00347522">
        <w:rPr>
          <w:rFonts w:ascii="Book Antiqua" w:hAnsi="Book Antiqua" w:cs="Times New Roman"/>
          <w:color w:val="000000" w:themeColor="text1"/>
          <w:sz w:val="24"/>
          <w:szCs w:val="24"/>
          <w:lang w:val="en-US"/>
        </w:rPr>
        <w:t>(Figure 4A and B)</w:t>
      </w:r>
      <w:r w:rsidR="000A121D" w:rsidRPr="00347522">
        <w:rPr>
          <w:rFonts w:ascii="Book Antiqua" w:hAnsi="Book Antiqua" w:cs="Times New Roman"/>
          <w:sz w:val="24"/>
          <w:szCs w:val="24"/>
          <w:lang w:val="en-US"/>
        </w:rPr>
        <w:t xml:space="preserve">. Survival curves of 34 patients with CRC showed that also expression of mRNA for both mucins in tissue samples was not associated with the prognosis of CRC (data not shown). </w:t>
      </w:r>
    </w:p>
    <w:p w14:paraId="79B9838D" w14:textId="77777777" w:rsidR="006074B0" w:rsidRPr="00347522" w:rsidRDefault="006074B0" w:rsidP="00347522">
      <w:pPr>
        <w:adjustRightInd w:val="0"/>
        <w:snapToGrid w:val="0"/>
        <w:spacing w:line="360" w:lineRule="auto"/>
        <w:ind w:firstLineChars="0" w:firstLine="0"/>
        <w:jc w:val="both"/>
        <w:rPr>
          <w:rFonts w:ascii="Book Antiqua" w:hAnsi="Book Antiqua" w:cs="Times New Roman"/>
          <w:i/>
          <w:iCs/>
          <w:sz w:val="24"/>
          <w:szCs w:val="24"/>
          <w:lang w:val="en-US"/>
        </w:rPr>
      </w:pPr>
    </w:p>
    <w:p w14:paraId="3DC60DDD" w14:textId="255546C1" w:rsidR="007057E4" w:rsidRPr="00347522" w:rsidRDefault="007057E4" w:rsidP="00347522">
      <w:pPr>
        <w:adjustRightInd w:val="0"/>
        <w:snapToGrid w:val="0"/>
        <w:spacing w:line="360" w:lineRule="auto"/>
        <w:ind w:firstLineChars="0" w:firstLine="0"/>
        <w:jc w:val="both"/>
        <w:rPr>
          <w:rFonts w:ascii="Book Antiqua" w:hAnsi="Book Antiqua" w:cs="Times New Roman"/>
          <w:b/>
          <w:i/>
          <w:iCs/>
          <w:sz w:val="24"/>
          <w:szCs w:val="24"/>
          <w:lang w:val="en-US"/>
        </w:rPr>
      </w:pPr>
      <w:r w:rsidRPr="00347522">
        <w:rPr>
          <w:rFonts w:ascii="Book Antiqua" w:hAnsi="Book Antiqua" w:cs="Times New Roman"/>
          <w:b/>
          <w:i/>
          <w:iCs/>
          <w:sz w:val="24"/>
          <w:szCs w:val="24"/>
          <w:lang w:val="en-US"/>
        </w:rPr>
        <w:t xml:space="preserve">Ki-67 proliferating antigen and p53 </w:t>
      </w:r>
      <w:r w:rsidR="000A121D" w:rsidRPr="00347522">
        <w:rPr>
          <w:rFonts w:ascii="Book Antiqua" w:hAnsi="Book Antiqua" w:cs="Times New Roman"/>
          <w:b/>
          <w:i/>
          <w:iCs/>
          <w:sz w:val="24"/>
          <w:szCs w:val="24"/>
          <w:lang w:val="en-US"/>
        </w:rPr>
        <w:t>immuno</w:t>
      </w:r>
      <w:r w:rsidRPr="00347522">
        <w:rPr>
          <w:rFonts w:ascii="Book Antiqua" w:hAnsi="Book Antiqua" w:cs="Times New Roman"/>
          <w:b/>
          <w:i/>
          <w:iCs/>
          <w:sz w:val="24"/>
          <w:szCs w:val="24"/>
          <w:lang w:val="en-US"/>
        </w:rPr>
        <w:t xml:space="preserve">expression </w:t>
      </w:r>
    </w:p>
    <w:p w14:paraId="5EACD3A7" w14:textId="2A9F6403" w:rsidR="00170B0D"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The positive expression of Ki-67 proliferating antigen </w:t>
      </w:r>
      <w:r w:rsidR="00170B0D" w:rsidRPr="00347522">
        <w:rPr>
          <w:rFonts w:ascii="Book Antiqua" w:hAnsi="Book Antiqua" w:cs="Times New Roman"/>
          <w:sz w:val="24"/>
          <w:szCs w:val="24"/>
          <w:lang w:val="en-US"/>
        </w:rPr>
        <w:t xml:space="preserve">was detected </w:t>
      </w:r>
      <w:r w:rsidRPr="00347522">
        <w:rPr>
          <w:rFonts w:ascii="Book Antiqua" w:hAnsi="Book Antiqua" w:cs="Times New Roman"/>
          <w:sz w:val="24"/>
          <w:szCs w:val="24"/>
          <w:lang w:val="en-US"/>
        </w:rPr>
        <w:t xml:space="preserve">in 28/34 (82%) of CRC </w:t>
      </w:r>
      <w:r w:rsidR="00170B0D" w:rsidRPr="00347522">
        <w:rPr>
          <w:rFonts w:ascii="Book Antiqua" w:hAnsi="Book Antiqua" w:cs="Times New Roman"/>
          <w:sz w:val="24"/>
          <w:szCs w:val="24"/>
          <w:lang w:val="en-US"/>
        </w:rPr>
        <w:t>tissue samples</w:t>
      </w:r>
      <w:r w:rsidRPr="00347522">
        <w:rPr>
          <w:rFonts w:ascii="Book Antiqua" w:hAnsi="Book Antiqua" w:cs="Times New Roman"/>
          <w:sz w:val="24"/>
          <w:szCs w:val="24"/>
          <w:lang w:val="en-US"/>
        </w:rPr>
        <w:t xml:space="preserve">. </w:t>
      </w:r>
      <w:r w:rsidR="00170B0D" w:rsidRPr="00347522">
        <w:rPr>
          <w:rFonts w:ascii="Book Antiqua" w:hAnsi="Book Antiqua" w:cs="Times New Roman"/>
          <w:sz w:val="24"/>
          <w:szCs w:val="24"/>
          <w:lang w:val="en-US"/>
        </w:rPr>
        <w:t>Additionally, a</w:t>
      </w:r>
      <w:r w:rsidR="004B4B44" w:rsidRPr="00347522">
        <w:rPr>
          <w:rFonts w:ascii="Book Antiqua" w:hAnsi="Book Antiqua" w:cs="Times New Roman"/>
          <w:sz w:val="24"/>
          <w:szCs w:val="24"/>
          <w:lang w:val="en-US"/>
        </w:rPr>
        <w:t xml:space="preserve"> </w:t>
      </w:r>
      <w:r w:rsidR="00170B0D" w:rsidRPr="00347522">
        <w:rPr>
          <w:rFonts w:ascii="Book Antiqua" w:hAnsi="Book Antiqua" w:cs="Times New Roman"/>
          <w:sz w:val="24"/>
          <w:szCs w:val="24"/>
          <w:lang w:val="en-US"/>
        </w:rPr>
        <w:t>significant higher expression of Ki-67 in CRC as compared with control was demonstrated (</w:t>
      </w:r>
      <w:r w:rsidR="009849A8" w:rsidRPr="00347522">
        <w:rPr>
          <w:rFonts w:ascii="Book Antiqua" w:hAnsi="Book Antiqua" w:cs="Times New Roman"/>
          <w:i/>
          <w:sz w:val="24"/>
          <w:szCs w:val="24"/>
          <w:lang w:val="en-US"/>
        </w:rPr>
        <w:t>P</w:t>
      </w:r>
      <w:r w:rsidR="009849A8" w:rsidRPr="00347522">
        <w:rPr>
          <w:rFonts w:ascii="Book Antiqua" w:hAnsi="Book Antiqua" w:cs="Times New Roman"/>
          <w:sz w:val="24"/>
          <w:szCs w:val="24"/>
          <w:lang w:val="en-US"/>
        </w:rPr>
        <w:t xml:space="preserve"> </w:t>
      </w:r>
      <w:r w:rsidR="00170B0D" w:rsidRPr="00347522">
        <w:rPr>
          <w:rFonts w:ascii="Book Antiqua" w:hAnsi="Book Antiqua" w:cs="Times New Roman"/>
          <w:sz w:val="24"/>
          <w:szCs w:val="24"/>
          <w:lang w:val="en-US"/>
        </w:rPr>
        <w:t xml:space="preserve">&lt; 0.001) (data not shown). </w:t>
      </w:r>
    </w:p>
    <w:p w14:paraId="720EBADD" w14:textId="2D9156FC" w:rsidR="007057E4" w:rsidRPr="00347522" w:rsidRDefault="009849A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lastRenderedPageBreak/>
        <w:t xml:space="preserve">  </w:t>
      </w:r>
      <w:r w:rsidR="007057E4" w:rsidRPr="00347522">
        <w:rPr>
          <w:rFonts w:ascii="Book Antiqua" w:hAnsi="Book Antiqua" w:cs="Times New Roman"/>
          <w:sz w:val="24"/>
          <w:szCs w:val="24"/>
          <w:lang w:val="en-US"/>
        </w:rPr>
        <w:t xml:space="preserve">Only the nuclear location of Ki-67 within different percentages of immunopositive </w:t>
      </w:r>
      <w:r w:rsidR="00170B0D" w:rsidRPr="00347522">
        <w:rPr>
          <w:rFonts w:ascii="Book Antiqua" w:hAnsi="Book Antiqua" w:cs="Times New Roman"/>
          <w:sz w:val="24"/>
          <w:szCs w:val="24"/>
          <w:lang w:val="en-US"/>
        </w:rPr>
        <w:t xml:space="preserve">tumor </w:t>
      </w:r>
      <w:r w:rsidR="007057E4" w:rsidRPr="00347522">
        <w:rPr>
          <w:rFonts w:ascii="Book Antiqua" w:hAnsi="Book Antiqua" w:cs="Times New Roman"/>
          <w:sz w:val="24"/>
          <w:szCs w:val="24"/>
          <w:lang w:val="en-US"/>
        </w:rPr>
        <w:t xml:space="preserve">cells </w:t>
      </w:r>
      <w:r w:rsidR="00170B0D" w:rsidRPr="00347522">
        <w:rPr>
          <w:rFonts w:ascii="Book Antiqua" w:hAnsi="Book Antiqua" w:cs="Times New Roman"/>
          <w:sz w:val="24"/>
          <w:szCs w:val="24"/>
          <w:lang w:val="en-US"/>
        </w:rPr>
        <w:t xml:space="preserve">was observed </w:t>
      </w:r>
      <w:r w:rsidR="007057E4" w:rsidRPr="00347522">
        <w:rPr>
          <w:rFonts w:ascii="Book Antiqua" w:hAnsi="Book Antiqua" w:cs="Times New Roman"/>
          <w:sz w:val="24"/>
          <w:szCs w:val="24"/>
          <w:lang w:val="en-US"/>
        </w:rPr>
        <w:t>(</w:t>
      </w:r>
      <w:r w:rsidR="007057E4" w:rsidRPr="00347522">
        <w:rPr>
          <w:rFonts w:ascii="Book Antiqua" w:hAnsi="Book Antiqua" w:cs="Times New Roman"/>
          <w:color w:val="000000" w:themeColor="text1"/>
          <w:sz w:val="24"/>
          <w:szCs w:val="24"/>
          <w:lang w:val="en-US"/>
        </w:rPr>
        <w:t xml:space="preserve">Figure </w:t>
      </w:r>
      <w:r w:rsidR="00170B0D" w:rsidRPr="00347522">
        <w:rPr>
          <w:rFonts w:ascii="Book Antiqua" w:hAnsi="Book Antiqua" w:cs="Times New Roman"/>
          <w:color w:val="000000" w:themeColor="text1"/>
          <w:sz w:val="24"/>
          <w:szCs w:val="24"/>
          <w:lang w:val="en-US"/>
        </w:rPr>
        <w:t>5</w:t>
      </w:r>
      <w:r w:rsidR="007057E4" w:rsidRPr="00347522">
        <w:rPr>
          <w:rFonts w:ascii="Book Antiqua" w:hAnsi="Book Antiqua" w:cs="Times New Roman"/>
          <w:color w:val="000000" w:themeColor="text1"/>
          <w:sz w:val="24"/>
          <w:szCs w:val="24"/>
          <w:lang w:val="en-US"/>
        </w:rPr>
        <w:t>A and B</w:t>
      </w:r>
      <w:r w:rsidR="007057E4" w:rsidRPr="00347522">
        <w:rPr>
          <w:rFonts w:ascii="Book Antiqua" w:hAnsi="Book Antiqua" w:cs="Times New Roman"/>
          <w:sz w:val="24"/>
          <w:szCs w:val="24"/>
          <w:lang w:val="en-US"/>
        </w:rPr>
        <w:t xml:space="preserve">). </w:t>
      </w:r>
      <w:r w:rsidR="00F3419E" w:rsidRPr="00347522">
        <w:rPr>
          <w:rFonts w:ascii="Book Antiqua" w:hAnsi="Book Antiqua" w:cs="Times New Roman"/>
          <w:sz w:val="24"/>
          <w:szCs w:val="24"/>
          <w:lang w:val="en-US"/>
        </w:rPr>
        <w:t>The Ki-67 antigen expression in the control samples was evident mainly in the individual basally located nuclei of the goblet cells lining the unaltered intestinal crypts (</w:t>
      </w:r>
      <w:r w:rsidR="00F3419E" w:rsidRPr="00347522">
        <w:rPr>
          <w:rFonts w:ascii="Book Antiqua" w:hAnsi="Book Antiqua" w:cs="Times New Roman"/>
          <w:color w:val="000000" w:themeColor="text1"/>
          <w:sz w:val="24"/>
          <w:szCs w:val="24"/>
          <w:lang w:val="en-US"/>
        </w:rPr>
        <w:t>Figure 5C</w:t>
      </w:r>
      <w:r w:rsidR="00F3419E" w:rsidRPr="00347522">
        <w:rPr>
          <w:rFonts w:ascii="Book Antiqua" w:hAnsi="Book Antiqua" w:cs="Times New Roman"/>
          <w:sz w:val="24"/>
          <w:szCs w:val="24"/>
          <w:lang w:val="en-US"/>
        </w:rPr>
        <w:t xml:space="preserve">). </w:t>
      </w:r>
    </w:p>
    <w:p w14:paraId="38165109" w14:textId="217FEDEF" w:rsidR="003778DC" w:rsidRPr="00347522" w:rsidRDefault="009849A8"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Positive expression of p53 was demonstrated in 19/34 (56%) patients</w:t>
      </w:r>
      <w:r w:rsidR="00F3419E"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w:t>
      </w:r>
      <w:r w:rsidR="00F3419E" w:rsidRPr="00347522">
        <w:rPr>
          <w:rFonts w:ascii="Book Antiqua" w:hAnsi="Book Antiqua" w:cs="Times New Roman"/>
          <w:sz w:val="24"/>
          <w:szCs w:val="24"/>
          <w:lang w:val="en-US"/>
        </w:rPr>
        <w:t>Similar to Ki-67 antigen, o</w:t>
      </w:r>
      <w:r w:rsidR="007057E4" w:rsidRPr="00347522">
        <w:rPr>
          <w:rFonts w:ascii="Book Antiqua" w:hAnsi="Book Antiqua" w:cs="Times New Roman"/>
          <w:sz w:val="24"/>
          <w:szCs w:val="24"/>
          <w:lang w:val="en-US"/>
        </w:rPr>
        <w:t xml:space="preserve">nly the nuclear location was observed and, as a rule, a very intense IHC reaction concerning the majority of polymorphic cell nuclei </w:t>
      </w:r>
      <w:r w:rsidR="00F3419E" w:rsidRPr="00347522">
        <w:rPr>
          <w:rFonts w:ascii="Book Antiqua" w:hAnsi="Book Antiqua" w:cs="Times New Roman"/>
          <w:sz w:val="24"/>
          <w:szCs w:val="24"/>
          <w:lang w:val="en-US"/>
        </w:rPr>
        <w:t>in the evaluated samples</w:t>
      </w:r>
      <w:r w:rsidR="007057E4" w:rsidRPr="00347522">
        <w:rPr>
          <w:rFonts w:ascii="Book Antiqua" w:hAnsi="Book Antiqua" w:cs="Times New Roman"/>
          <w:color w:val="000000" w:themeColor="text1"/>
          <w:sz w:val="24"/>
          <w:szCs w:val="24"/>
          <w:lang w:val="en-US"/>
        </w:rPr>
        <w:t xml:space="preserve"> (Figure </w:t>
      </w:r>
      <w:r w:rsidR="00F3419E" w:rsidRPr="00347522">
        <w:rPr>
          <w:rFonts w:ascii="Book Antiqua" w:hAnsi="Book Antiqua" w:cs="Times New Roman"/>
          <w:color w:val="000000" w:themeColor="text1"/>
          <w:sz w:val="24"/>
          <w:szCs w:val="24"/>
          <w:lang w:val="en-US"/>
        </w:rPr>
        <w:t>5D</w:t>
      </w:r>
      <w:r w:rsidR="007057E4" w:rsidRPr="00347522">
        <w:rPr>
          <w:rFonts w:ascii="Book Antiqua" w:hAnsi="Book Antiqua" w:cs="Times New Roman"/>
          <w:color w:val="000000" w:themeColor="text1"/>
          <w:sz w:val="24"/>
          <w:szCs w:val="24"/>
          <w:lang w:val="en-US"/>
        </w:rPr>
        <w:t xml:space="preserve">). </w:t>
      </w:r>
      <w:r w:rsidR="003778DC" w:rsidRPr="00347522">
        <w:rPr>
          <w:rFonts w:ascii="Book Antiqua" w:hAnsi="Book Antiqua" w:cs="Times New Roman"/>
          <w:color w:val="000000" w:themeColor="text1"/>
          <w:sz w:val="24"/>
          <w:szCs w:val="24"/>
          <w:lang w:val="en-US"/>
        </w:rPr>
        <w:t xml:space="preserve">44% of CRC patients did not show the presence of the protein in tumor samples (Figure 5E). In the healthy colorectal samples (control), p53 expression was not detected in any specimen (Figure 5F). </w:t>
      </w:r>
    </w:p>
    <w:p w14:paraId="5C80C009" w14:textId="77777777" w:rsidR="007057E4" w:rsidRPr="00347522" w:rsidRDefault="007057E4" w:rsidP="00347522">
      <w:pPr>
        <w:tabs>
          <w:tab w:val="left" w:pos="0"/>
        </w:tabs>
        <w:adjustRightInd w:val="0"/>
        <w:snapToGrid w:val="0"/>
        <w:spacing w:line="360" w:lineRule="auto"/>
        <w:ind w:firstLineChars="0" w:firstLine="0"/>
        <w:jc w:val="both"/>
        <w:rPr>
          <w:rFonts w:ascii="Book Antiqua" w:hAnsi="Book Antiqua" w:cs="Times New Roman"/>
          <w:i/>
          <w:iCs/>
          <w:color w:val="000000" w:themeColor="text1"/>
          <w:sz w:val="24"/>
          <w:szCs w:val="24"/>
          <w:lang w:val="en-US"/>
        </w:rPr>
      </w:pPr>
    </w:p>
    <w:p w14:paraId="3F80B2C8" w14:textId="35CFD188" w:rsidR="007057E4" w:rsidRPr="00347522" w:rsidRDefault="007057E4" w:rsidP="00347522">
      <w:pPr>
        <w:tabs>
          <w:tab w:val="left" w:pos="0"/>
        </w:tabs>
        <w:adjustRightInd w:val="0"/>
        <w:snapToGrid w:val="0"/>
        <w:spacing w:line="360" w:lineRule="auto"/>
        <w:ind w:firstLineChars="0" w:firstLine="0"/>
        <w:jc w:val="both"/>
        <w:rPr>
          <w:rFonts w:ascii="Book Antiqua" w:hAnsi="Book Antiqua" w:cs="Times New Roman"/>
          <w:b/>
          <w:i/>
          <w:iCs/>
          <w:color w:val="000000" w:themeColor="text1"/>
          <w:sz w:val="24"/>
          <w:szCs w:val="24"/>
          <w:lang w:val="en-US"/>
        </w:rPr>
      </w:pPr>
      <w:r w:rsidRPr="00347522">
        <w:rPr>
          <w:rFonts w:ascii="Book Antiqua" w:hAnsi="Book Antiqua" w:cs="Times New Roman"/>
          <w:b/>
          <w:i/>
          <w:iCs/>
          <w:color w:val="000000" w:themeColor="text1"/>
          <w:sz w:val="24"/>
          <w:szCs w:val="24"/>
          <w:lang w:val="en-US"/>
        </w:rPr>
        <w:t xml:space="preserve">MUC1 and MUC2 expression (mRNA and proteins) </w:t>
      </w:r>
      <w:r w:rsidR="003778DC" w:rsidRPr="00347522">
        <w:rPr>
          <w:rFonts w:ascii="Book Antiqua" w:hAnsi="Book Antiqua" w:cs="Times New Roman"/>
          <w:b/>
          <w:i/>
          <w:iCs/>
          <w:color w:val="000000" w:themeColor="text1"/>
          <w:sz w:val="24"/>
          <w:szCs w:val="24"/>
          <w:lang w:val="en-US"/>
        </w:rPr>
        <w:t xml:space="preserve">vs </w:t>
      </w:r>
      <w:r w:rsidRPr="00347522">
        <w:rPr>
          <w:rFonts w:ascii="Book Antiqua" w:hAnsi="Book Antiqua" w:cs="Times New Roman"/>
          <w:b/>
          <w:i/>
          <w:iCs/>
          <w:color w:val="000000" w:themeColor="text1"/>
          <w:sz w:val="24"/>
          <w:szCs w:val="24"/>
          <w:lang w:val="en-US"/>
        </w:rPr>
        <w:t>Ki-67 and p53 expression</w:t>
      </w:r>
    </w:p>
    <w:p w14:paraId="47576F88" w14:textId="0020D90C" w:rsidR="007057E4" w:rsidRPr="00347522" w:rsidRDefault="007057E4" w:rsidP="00347522">
      <w:pPr>
        <w:tabs>
          <w:tab w:val="left" w:pos="0"/>
        </w:tabs>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color w:val="000000" w:themeColor="text1"/>
          <w:sz w:val="24"/>
          <w:szCs w:val="24"/>
          <w:lang w:val="en-US"/>
        </w:rPr>
        <w:t xml:space="preserve">A significant, relatively high, negative </w:t>
      </w:r>
      <w:r w:rsidR="003778DC" w:rsidRPr="00347522">
        <w:rPr>
          <w:rFonts w:ascii="Book Antiqua" w:hAnsi="Book Antiqua" w:cs="Times New Roman"/>
          <w:color w:val="000000" w:themeColor="text1"/>
          <w:sz w:val="24"/>
          <w:szCs w:val="24"/>
          <w:lang w:val="en-US"/>
        </w:rPr>
        <w:t xml:space="preserve">Spearman’s </w:t>
      </w:r>
      <w:r w:rsidRPr="00347522">
        <w:rPr>
          <w:rFonts w:ascii="Book Antiqua" w:hAnsi="Book Antiqua" w:cs="Times New Roman"/>
          <w:color w:val="000000" w:themeColor="text1"/>
          <w:sz w:val="24"/>
          <w:szCs w:val="24"/>
          <w:lang w:val="en-US"/>
        </w:rPr>
        <w:t>correlation, between the expression of MUC2 apomucin and Ki-67 (</w:t>
      </w:r>
      <w:r w:rsidRPr="00347522">
        <w:rPr>
          <w:rFonts w:ascii="Book Antiqua" w:hAnsi="Book Antiqua" w:cs="Times New Roman"/>
          <w:i/>
          <w:color w:val="000000" w:themeColor="text1"/>
          <w:sz w:val="24"/>
          <w:szCs w:val="24"/>
          <w:lang w:val="en-US"/>
        </w:rPr>
        <w:t>r</w:t>
      </w:r>
      <w:r w:rsidRPr="00347522">
        <w:rPr>
          <w:rFonts w:ascii="Book Antiqua" w:hAnsi="Book Antiqua" w:cs="Times New Roman"/>
          <w:color w:val="000000" w:themeColor="text1"/>
          <w:sz w:val="24"/>
          <w:szCs w:val="24"/>
          <w:lang w:val="en-US"/>
        </w:rPr>
        <w:t xml:space="preserve"> = -0.428; </w:t>
      </w:r>
      <w:r w:rsidRPr="00347522">
        <w:rPr>
          <w:rFonts w:ascii="Book Antiqua" w:hAnsi="Book Antiqua" w:cs="Times New Roman"/>
          <w:i/>
          <w:iCs/>
          <w:color w:val="000000" w:themeColor="text1"/>
          <w:sz w:val="24"/>
          <w:szCs w:val="24"/>
          <w:lang w:val="en-US"/>
        </w:rPr>
        <w:t>P</w:t>
      </w:r>
      <w:r w:rsidRPr="00347522">
        <w:rPr>
          <w:rFonts w:ascii="Book Antiqua" w:hAnsi="Book Antiqua" w:cs="Times New Roman"/>
          <w:color w:val="000000" w:themeColor="text1"/>
          <w:sz w:val="24"/>
          <w:szCs w:val="24"/>
          <w:lang w:val="en-US"/>
        </w:rPr>
        <w:t xml:space="preserve"> &lt; 0.05) </w:t>
      </w:r>
      <w:r w:rsidR="003778DC" w:rsidRPr="00347522">
        <w:rPr>
          <w:rFonts w:ascii="Book Antiqua" w:hAnsi="Book Antiqua" w:cs="Times New Roman"/>
          <w:color w:val="000000" w:themeColor="text1"/>
          <w:sz w:val="24"/>
          <w:szCs w:val="24"/>
          <w:lang w:val="en-US"/>
        </w:rPr>
        <w:t xml:space="preserve">was observed (Figure 6). In contrast, relatively </w:t>
      </w:r>
      <w:r w:rsidRPr="00347522">
        <w:rPr>
          <w:rFonts w:ascii="Book Antiqua" w:hAnsi="Book Antiqua" w:cs="Times New Roman"/>
          <w:color w:val="000000" w:themeColor="text1"/>
          <w:sz w:val="24"/>
          <w:szCs w:val="24"/>
          <w:lang w:val="en-US"/>
        </w:rPr>
        <w:t>weak</w:t>
      </w:r>
      <w:r w:rsidR="00E00606"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negative correlation between</w:t>
      </w:r>
      <w:r w:rsidRPr="00347522">
        <w:rPr>
          <w:rFonts w:ascii="Book Antiqua" w:hAnsi="Book Antiqua" w:cs="Times New Roman"/>
          <w:sz w:val="24"/>
          <w:szCs w:val="24"/>
          <w:lang w:val="en-US"/>
        </w:rPr>
        <w:t xml:space="preserve"> MUC2 protein and p53 expression (</w:t>
      </w:r>
      <w:r w:rsidRPr="00347522">
        <w:rPr>
          <w:rFonts w:ascii="Book Antiqua" w:hAnsi="Book Antiqua" w:cs="Times New Roman"/>
          <w:i/>
          <w:sz w:val="24"/>
          <w:szCs w:val="24"/>
          <w:lang w:val="en-US"/>
        </w:rPr>
        <w:t>r</w:t>
      </w:r>
      <w:r w:rsidRPr="00347522">
        <w:rPr>
          <w:rFonts w:ascii="Book Antiqua" w:hAnsi="Book Antiqua" w:cs="Times New Roman"/>
          <w:sz w:val="24"/>
          <w:szCs w:val="24"/>
          <w:lang w:val="en-US"/>
        </w:rPr>
        <w:t xml:space="preserve"> = -0.389; </w:t>
      </w:r>
      <w:r w:rsidRPr="00347522">
        <w:rPr>
          <w:rFonts w:ascii="Book Antiqua" w:hAnsi="Book Antiqua" w:cs="Times New Roman"/>
          <w:i/>
          <w:iCs/>
          <w:sz w:val="24"/>
          <w:szCs w:val="24"/>
          <w:lang w:val="en-US"/>
        </w:rPr>
        <w:t>P</w:t>
      </w:r>
      <w:r w:rsidRPr="00347522">
        <w:rPr>
          <w:rFonts w:ascii="Book Antiqua" w:hAnsi="Book Antiqua" w:cs="Times New Roman"/>
          <w:sz w:val="24"/>
          <w:szCs w:val="24"/>
          <w:lang w:val="en-US"/>
        </w:rPr>
        <w:t xml:space="preserve"> &lt; 0.05), was shown in CRC tissues (data not shown). Additionally, a high positive correlation was observed for Ki-67 antigen and p53 expression in </w:t>
      </w:r>
      <w:r w:rsidR="00E00606" w:rsidRPr="00347522">
        <w:rPr>
          <w:rFonts w:ascii="Book Antiqua" w:hAnsi="Book Antiqua" w:cs="Times New Roman"/>
          <w:sz w:val="24"/>
          <w:szCs w:val="24"/>
          <w:lang w:val="en-US"/>
        </w:rPr>
        <w:t xml:space="preserve">study </w:t>
      </w:r>
      <w:r w:rsidRPr="00347522">
        <w:rPr>
          <w:rFonts w:ascii="Book Antiqua" w:hAnsi="Book Antiqua" w:cs="Times New Roman"/>
          <w:sz w:val="24"/>
          <w:szCs w:val="24"/>
          <w:lang w:val="en-US"/>
        </w:rPr>
        <w:t>group (</w:t>
      </w:r>
      <w:r w:rsidRPr="00347522">
        <w:rPr>
          <w:rFonts w:ascii="Book Antiqua" w:hAnsi="Book Antiqua" w:cs="Times New Roman"/>
          <w:i/>
          <w:sz w:val="24"/>
          <w:szCs w:val="24"/>
          <w:lang w:val="en-US"/>
        </w:rPr>
        <w:t>r</w:t>
      </w:r>
      <w:r w:rsidRPr="00347522">
        <w:rPr>
          <w:rFonts w:ascii="Book Antiqua" w:hAnsi="Book Antiqua" w:cs="Times New Roman"/>
          <w:sz w:val="24"/>
          <w:szCs w:val="24"/>
          <w:lang w:val="en-US"/>
        </w:rPr>
        <w:t xml:space="preserve"> = 0.603; </w:t>
      </w:r>
      <w:r w:rsidRPr="00347522">
        <w:rPr>
          <w:rFonts w:ascii="Book Antiqua" w:hAnsi="Book Antiqua" w:cs="Times New Roman"/>
          <w:i/>
          <w:iCs/>
          <w:sz w:val="24"/>
          <w:szCs w:val="24"/>
          <w:lang w:val="en-US"/>
        </w:rPr>
        <w:t>P</w:t>
      </w:r>
      <w:r w:rsidRPr="00347522">
        <w:rPr>
          <w:rFonts w:ascii="Book Antiqua" w:hAnsi="Book Antiqua" w:cs="Times New Roman"/>
          <w:sz w:val="24"/>
          <w:szCs w:val="24"/>
          <w:lang w:val="en-US"/>
        </w:rPr>
        <w:t xml:space="preserve"> &lt; 0.05) (data not shown).</w:t>
      </w:r>
    </w:p>
    <w:p w14:paraId="1B262AF0"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p>
    <w:p w14:paraId="2249F0F0"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bCs/>
          <w:sz w:val="24"/>
          <w:szCs w:val="24"/>
          <w:lang w:val="en-US"/>
        </w:rPr>
      </w:pPr>
      <w:r w:rsidRPr="00347522">
        <w:rPr>
          <w:rFonts w:ascii="Book Antiqua" w:hAnsi="Book Antiqua" w:cs="Times New Roman"/>
          <w:b/>
          <w:bCs/>
          <w:sz w:val="24"/>
          <w:szCs w:val="24"/>
          <w:lang w:val="en-US"/>
        </w:rPr>
        <w:t>DISCUSSION</w:t>
      </w:r>
    </w:p>
    <w:p w14:paraId="09ACE010" w14:textId="5767319E" w:rsidR="007057E4" w:rsidRPr="00347522" w:rsidRDefault="007057E4"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Some discrepancies are present between the results of MUC1 expression detection, in healthy </w:t>
      </w:r>
      <w:r w:rsidR="00E00606" w:rsidRPr="00347522">
        <w:rPr>
          <w:rFonts w:ascii="Book Antiqua" w:hAnsi="Book Antiqua" w:cs="Times New Roman"/>
          <w:sz w:val="24"/>
          <w:szCs w:val="24"/>
          <w:lang w:val="en-US"/>
        </w:rPr>
        <w:t>colon and rectum</w:t>
      </w:r>
      <w:r w:rsidRPr="00347522">
        <w:rPr>
          <w:rFonts w:ascii="Book Antiqua" w:hAnsi="Book Antiqua" w:cs="Times New Roman"/>
          <w:sz w:val="24"/>
          <w:szCs w:val="24"/>
          <w:lang w:val="en-US"/>
        </w:rPr>
        <w:t xml:space="preserve">, with the use of </w:t>
      </w:r>
      <w:r w:rsidR="00E00606" w:rsidRPr="00347522">
        <w:rPr>
          <w:rFonts w:ascii="Book Antiqua" w:hAnsi="Book Antiqua" w:cs="Times New Roman"/>
          <w:sz w:val="24"/>
          <w:szCs w:val="24"/>
          <w:lang w:val="en-US"/>
        </w:rPr>
        <w:t>immunohistochemistry</w:t>
      </w:r>
      <w:r w:rsidRPr="00347522">
        <w:rPr>
          <w:rFonts w:ascii="Book Antiqua" w:hAnsi="Book Antiqua" w:cs="Times New Roman"/>
          <w:sz w:val="24"/>
          <w:szCs w:val="24"/>
          <w:lang w:val="en-US"/>
        </w:rPr>
        <w:t>. Some</w:t>
      </w:r>
      <w:r w:rsidR="00E00606" w:rsidRPr="00347522">
        <w:rPr>
          <w:rFonts w:ascii="Book Antiqua" w:hAnsi="Book Antiqua" w:cs="Times New Roman"/>
          <w:sz w:val="24"/>
          <w:szCs w:val="24"/>
          <w:lang w:val="en-US"/>
        </w:rPr>
        <w:t xml:space="preserve"> </w:t>
      </w:r>
      <w:r w:rsidR="00DC687F" w:rsidRPr="00347522">
        <w:rPr>
          <w:rFonts w:ascii="Book Antiqua" w:hAnsi="Book Antiqua" w:cs="Times New Roman"/>
          <w:sz w:val="24"/>
          <w:szCs w:val="24"/>
          <w:lang w:val="en-US"/>
        </w:rPr>
        <w:t>s</w:t>
      </w:r>
      <w:r w:rsidR="00E00606" w:rsidRPr="00347522">
        <w:rPr>
          <w:rFonts w:ascii="Book Antiqua" w:hAnsi="Book Antiqua" w:cs="Times New Roman"/>
          <w:sz w:val="24"/>
          <w:szCs w:val="24"/>
          <w:lang w:val="en-US"/>
        </w:rPr>
        <w:t>cientific publications</w:t>
      </w:r>
      <w:r w:rsidRPr="00347522">
        <w:rPr>
          <w:rFonts w:ascii="Book Antiqua" w:hAnsi="Book Antiqua" w:cs="Times New Roman"/>
          <w:sz w:val="24"/>
          <w:szCs w:val="24"/>
          <w:lang w:val="en-US"/>
        </w:rPr>
        <w:t>, notably the recent ones, document lack of MUC1 expression in control large intestine in adults</w:t>
      </w:r>
      <w:r w:rsidRPr="00347522">
        <w:rPr>
          <w:rFonts w:ascii="Book Antiqua" w:hAnsi="Book Antiqua" w:cs="Times New Roman"/>
          <w:sz w:val="24"/>
          <w:szCs w:val="24"/>
          <w:vertAlign w:val="superscript"/>
          <w:lang w:val="en-US"/>
        </w:rPr>
        <w:t>[18-20]</w:t>
      </w:r>
      <w:r w:rsidRPr="00347522">
        <w:rPr>
          <w:rFonts w:ascii="Book Antiqua" w:hAnsi="Book Antiqua" w:cs="Times New Roman"/>
          <w:sz w:val="24"/>
          <w:szCs w:val="24"/>
          <w:lang w:val="en-US"/>
        </w:rPr>
        <w:t>, or emphasize low detectability (10%) of this apomucin</w:t>
      </w:r>
      <w:r w:rsidRPr="00347522">
        <w:rPr>
          <w:rFonts w:ascii="Book Antiqua" w:hAnsi="Book Antiqua" w:cs="Times New Roman"/>
          <w:sz w:val="24"/>
          <w:szCs w:val="24"/>
          <w:vertAlign w:val="superscript"/>
          <w:lang w:val="en-US"/>
        </w:rPr>
        <w:t>[3</w:t>
      </w:r>
      <w:r w:rsidR="006668C5" w:rsidRPr="00347522">
        <w:rPr>
          <w:rFonts w:ascii="Book Antiqua" w:hAnsi="Book Antiqua" w:cs="Times New Roman"/>
          <w:sz w:val="24"/>
          <w:szCs w:val="24"/>
          <w:vertAlign w:val="superscript"/>
          <w:lang w:val="en-US"/>
        </w:rPr>
        <w:t>6</w:t>
      </w:r>
      <w:r w:rsidRPr="00347522">
        <w:rPr>
          <w:rFonts w:ascii="Book Antiqua" w:hAnsi="Book Antiqua" w:cs="Times New Roman"/>
          <w:sz w:val="24"/>
          <w:szCs w:val="24"/>
          <w:vertAlign w:val="superscript"/>
          <w:lang w:val="en-US"/>
        </w:rPr>
        <w:t>]</w:t>
      </w:r>
      <w:r w:rsidRPr="00347522">
        <w:rPr>
          <w:rFonts w:ascii="Book Antiqua" w:hAnsi="Book Antiqua" w:cs="Times New Roman"/>
          <w:sz w:val="24"/>
          <w:szCs w:val="24"/>
          <w:lang w:val="en-US"/>
        </w:rPr>
        <w:t xml:space="preserve">. </w:t>
      </w:r>
    </w:p>
    <w:p w14:paraId="481C741E" w14:textId="11CF1C95" w:rsidR="007057E4" w:rsidRPr="00347522" w:rsidRDefault="009849A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In this study, positive MUC1 expression (mRNA, protein) was observed in almost all of the control samples of large intestinal tissue. These results are coherent with the findings of other authors, conducted with the use of light and electron microscopy</w:t>
      </w:r>
      <w:r w:rsidR="007057E4" w:rsidRPr="00347522">
        <w:rPr>
          <w:rFonts w:ascii="Book Antiqua" w:hAnsi="Book Antiqua" w:cs="Times New Roman"/>
          <w:sz w:val="24"/>
          <w:szCs w:val="24"/>
          <w:vertAlign w:val="superscript"/>
          <w:lang w:val="en-US"/>
        </w:rPr>
        <w:t>[3</w:t>
      </w:r>
      <w:r w:rsidR="006668C5" w:rsidRPr="00347522">
        <w:rPr>
          <w:rFonts w:ascii="Book Antiqua" w:hAnsi="Book Antiqua" w:cs="Times New Roman"/>
          <w:sz w:val="24"/>
          <w:szCs w:val="24"/>
          <w:vertAlign w:val="superscript"/>
          <w:lang w:val="en-US"/>
        </w:rPr>
        <w:t>7</w:t>
      </w:r>
      <w:r w:rsidR="007057E4" w:rsidRPr="00347522">
        <w:rPr>
          <w:rFonts w:ascii="Book Antiqua" w:hAnsi="Book Antiqua" w:cs="Times New Roman"/>
          <w:sz w:val="24"/>
          <w:szCs w:val="24"/>
          <w:vertAlign w:val="superscript"/>
          <w:lang w:val="en-US"/>
        </w:rPr>
        <w:t>,3</w:t>
      </w:r>
      <w:r w:rsidR="006668C5" w:rsidRPr="00347522">
        <w:rPr>
          <w:rFonts w:ascii="Book Antiqua" w:hAnsi="Book Antiqua" w:cs="Times New Roman"/>
          <w:sz w:val="24"/>
          <w:szCs w:val="24"/>
          <w:vertAlign w:val="superscript"/>
          <w:lang w:val="en-US"/>
        </w:rPr>
        <w:t>8</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Descriptions of clear, </w:t>
      </w:r>
      <w:r w:rsidR="00E00606" w:rsidRPr="00347522">
        <w:rPr>
          <w:rFonts w:ascii="Book Antiqua" w:hAnsi="Book Antiqua" w:cs="Times New Roman"/>
          <w:sz w:val="24"/>
          <w:szCs w:val="24"/>
          <w:lang w:val="en-US"/>
        </w:rPr>
        <w:t xml:space="preserve">membranous </w:t>
      </w:r>
      <w:r w:rsidR="007057E4" w:rsidRPr="00347522">
        <w:rPr>
          <w:rFonts w:ascii="Book Antiqua" w:hAnsi="Book Antiqua" w:cs="Times New Roman"/>
          <w:sz w:val="24"/>
          <w:szCs w:val="24"/>
          <w:lang w:val="en-US"/>
        </w:rPr>
        <w:t>expression of MUC1, on the luminal surface of glandular cells of normal colon epithelium, are avail</w:t>
      </w:r>
      <w:r w:rsidR="006668C5" w:rsidRPr="00347522">
        <w:rPr>
          <w:rFonts w:ascii="Book Antiqua" w:hAnsi="Book Antiqua" w:cs="Times New Roman"/>
          <w:sz w:val="24"/>
          <w:szCs w:val="24"/>
          <w:lang w:val="en-US"/>
        </w:rPr>
        <w:t xml:space="preserve">able </w:t>
      </w:r>
      <w:r w:rsidR="00E00606" w:rsidRPr="00347522">
        <w:rPr>
          <w:rFonts w:ascii="Book Antiqua" w:hAnsi="Book Antiqua" w:cs="Times New Roman"/>
          <w:sz w:val="24"/>
          <w:szCs w:val="24"/>
          <w:lang w:val="en-US"/>
        </w:rPr>
        <w:t xml:space="preserve">also </w:t>
      </w:r>
      <w:r w:rsidR="006668C5" w:rsidRPr="00347522">
        <w:rPr>
          <w:rFonts w:ascii="Book Antiqua" w:hAnsi="Book Antiqua" w:cs="Times New Roman"/>
          <w:sz w:val="24"/>
          <w:szCs w:val="24"/>
          <w:lang w:val="en-US"/>
        </w:rPr>
        <w:t>in interactive databases</w:t>
      </w:r>
      <w:r w:rsidR="006668C5" w:rsidRPr="00347522">
        <w:rPr>
          <w:rFonts w:ascii="Book Antiqua" w:hAnsi="Book Antiqua" w:cs="Times New Roman"/>
          <w:sz w:val="24"/>
          <w:szCs w:val="24"/>
          <w:vertAlign w:val="superscript"/>
          <w:lang w:val="en-US"/>
        </w:rPr>
        <w:t>[39</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Therefore, our own research </w:t>
      </w:r>
      <w:r w:rsidR="00E00606" w:rsidRPr="00347522">
        <w:rPr>
          <w:rFonts w:ascii="Book Antiqua" w:hAnsi="Book Antiqua" w:cs="Times New Roman"/>
          <w:sz w:val="24"/>
          <w:szCs w:val="24"/>
          <w:lang w:val="en-US"/>
        </w:rPr>
        <w:t xml:space="preserve">using IHC technique </w:t>
      </w:r>
      <w:r w:rsidR="007057E4" w:rsidRPr="00347522">
        <w:rPr>
          <w:rFonts w:ascii="Book Antiqua" w:hAnsi="Book Antiqua" w:cs="Times New Roman"/>
          <w:sz w:val="24"/>
          <w:szCs w:val="24"/>
          <w:lang w:val="en-US"/>
        </w:rPr>
        <w:lastRenderedPageBreak/>
        <w:t xml:space="preserve">confirms both, detectability and </w:t>
      </w:r>
      <w:r w:rsidR="00E00606" w:rsidRPr="00347522">
        <w:rPr>
          <w:rFonts w:ascii="Book Antiqua" w:hAnsi="Book Antiqua" w:cs="Times New Roman"/>
          <w:sz w:val="24"/>
          <w:szCs w:val="24"/>
          <w:lang w:val="en-US"/>
        </w:rPr>
        <w:t xml:space="preserve">evident membranous </w:t>
      </w:r>
      <w:r w:rsidR="007057E4" w:rsidRPr="00347522">
        <w:rPr>
          <w:rFonts w:ascii="Book Antiqua" w:hAnsi="Book Antiqua" w:cs="Times New Roman"/>
          <w:sz w:val="24"/>
          <w:szCs w:val="24"/>
          <w:lang w:val="en-US"/>
        </w:rPr>
        <w:t>expression of this mucin, in tissues of healthy large intestine</w:t>
      </w:r>
      <w:r w:rsidR="00EA2313" w:rsidRPr="00347522">
        <w:rPr>
          <w:rFonts w:ascii="Book Antiqua" w:hAnsi="Book Antiqua" w:cs="Times New Roman"/>
          <w:sz w:val="24"/>
          <w:szCs w:val="24"/>
          <w:lang w:val="en-US"/>
        </w:rPr>
        <w:t>.</w:t>
      </w:r>
    </w:p>
    <w:p w14:paraId="71F6D323" w14:textId="674A6A55" w:rsidR="003F27C3" w:rsidRPr="00347522" w:rsidRDefault="009849A8"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In neoplastic CRC tissues collected in this study, detectability of MUC1 expression </w:t>
      </w:r>
      <w:r w:rsidR="007057E4" w:rsidRPr="00347522">
        <w:rPr>
          <w:rFonts w:ascii="Book Antiqua" w:hAnsi="Book Antiqua" w:cs="Times New Roman"/>
          <w:i/>
          <w:iCs/>
          <w:sz w:val="24"/>
          <w:szCs w:val="24"/>
          <w:lang w:val="en-US"/>
        </w:rPr>
        <w:t xml:space="preserve">via </w:t>
      </w:r>
      <w:r w:rsidR="007057E4" w:rsidRPr="00347522">
        <w:rPr>
          <w:rFonts w:ascii="Book Antiqua" w:hAnsi="Book Antiqua" w:cs="Times New Roman"/>
          <w:sz w:val="24"/>
          <w:szCs w:val="24"/>
          <w:lang w:val="en-US"/>
        </w:rPr>
        <w:t>IHC was 100%, being much higher than those achieved by other authors, which note it from below 20%</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0</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through 32</w:t>
      </w:r>
      <w:r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-40%</w:t>
      </w:r>
      <w:r w:rsidR="007057E4" w:rsidRPr="00347522">
        <w:rPr>
          <w:rFonts w:ascii="Book Antiqua" w:hAnsi="Book Antiqua" w:cs="Times New Roman"/>
          <w:sz w:val="24"/>
          <w:szCs w:val="24"/>
          <w:vertAlign w:val="superscript"/>
          <w:lang w:val="en-US"/>
        </w:rPr>
        <w:t>[14,18,4</w:t>
      </w:r>
      <w:r w:rsidR="006668C5" w:rsidRPr="00347522">
        <w:rPr>
          <w:rFonts w:ascii="Book Antiqua" w:hAnsi="Book Antiqua" w:cs="Times New Roman"/>
          <w:sz w:val="24"/>
          <w:szCs w:val="24"/>
          <w:vertAlign w:val="superscript"/>
          <w:lang w:val="en-US"/>
        </w:rPr>
        <w:t>1</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w:t>
      </w:r>
      <w:r w:rsidR="00CE46FC" w:rsidRPr="00347522">
        <w:rPr>
          <w:rFonts w:ascii="Book Antiqua" w:hAnsi="Book Antiqua" w:cs="Times New Roman"/>
          <w:sz w:val="24"/>
          <w:szCs w:val="24"/>
          <w:lang w:val="en-US"/>
        </w:rPr>
        <w:t xml:space="preserve">approximately </w:t>
      </w:r>
      <w:r w:rsidR="007057E4" w:rsidRPr="00347522">
        <w:rPr>
          <w:rFonts w:ascii="Book Antiqua" w:hAnsi="Book Antiqua" w:cs="Times New Roman"/>
          <w:sz w:val="24"/>
          <w:szCs w:val="24"/>
          <w:lang w:val="en-US"/>
        </w:rPr>
        <w:t>55%</w:t>
      </w:r>
      <w:r w:rsidR="007057E4" w:rsidRPr="00347522">
        <w:rPr>
          <w:rFonts w:ascii="Book Antiqua" w:hAnsi="Book Antiqua" w:cs="Times New Roman"/>
          <w:sz w:val="24"/>
          <w:szCs w:val="24"/>
          <w:vertAlign w:val="superscript"/>
          <w:lang w:val="en-US"/>
        </w:rPr>
        <w:t>[20]</w:t>
      </w:r>
      <w:r w:rsidR="007057E4" w:rsidRPr="00347522">
        <w:rPr>
          <w:rFonts w:ascii="Book Antiqua" w:hAnsi="Book Antiqua" w:cs="Times New Roman"/>
          <w:sz w:val="24"/>
          <w:szCs w:val="24"/>
          <w:lang w:val="en-US"/>
        </w:rPr>
        <w:t>, to 70%-80%</w:t>
      </w:r>
      <w:r w:rsidR="007057E4" w:rsidRPr="00347522">
        <w:rPr>
          <w:rFonts w:ascii="Book Antiqua" w:hAnsi="Book Antiqua" w:cs="Times New Roman"/>
          <w:sz w:val="24"/>
          <w:szCs w:val="24"/>
          <w:vertAlign w:val="superscript"/>
          <w:lang w:val="en-US"/>
        </w:rPr>
        <w:t>[29]</w:t>
      </w:r>
      <w:r w:rsidR="007057E4" w:rsidRPr="00347522">
        <w:rPr>
          <w:rFonts w:ascii="Book Antiqua" w:hAnsi="Book Antiqua" w:cs="Times New Roman"/>
          <w:sz w:val="24"/>
          <w:szCs w:val="24"/>
          <w:lang w:val="en-US"/>
        </w:rPr>
        <w:t xml:space="preserve">. </w:t>
      </w:r>
      <w:r w:rsidR="00EA2313" w:rsidRPr="00347522">
        <w:rPr>
          <w:rFonts w:ascii="Book Antiqua" w:hAnsi="Book Antiqua" w:cs="Times New Roman"/>
          <w:sz w:val="24"/>
          <w:szCs w:val="24"/>
          <w:lang w:val="en-US"/>
        </w:rPr>
        <w:t xml:space="preserve">According to some publications, </w:t>
      </w:r>
      <w:r w:rsidR="007057E4" w:rsidRPr="00347522">
        <w:rPr>
          <w:rFonts w:ascii="Book Antiqua" w:hAnsi="Book Antiqua" w:cs="Times New Roman"/>
          <w:sz w:val="24"/>
          <w:szCs w:val="24"/>
          <w:lang w:val="en-US"/>
        </w:rPr>
        <w:t>MUC1 expression was more commonly detected in CRC patients</w:t>
      </w:r>
      <w:r w:rsidR="00EA2313" w:rsidRPr="00347522">
        <w:rPr>
          <w:rFonts w:ascii="Book Antiqua" w:hAnsi="Book Antiqua" w:cs="Times New Roman"/>
          <w:sz w:val="24"/>
          <w:szCs w:val="24"/>
          <w:lang w:val="en-US"/>
        </w:rPr>
        <w:t xml:space="preserve"> with lymph node </w:t>
      </w:r>
      <w:r w:rsidR="007057E4" w:rsidRPr="00347522">
        <w:rPr>
          <w:rFonts w:ascii="Book Antiqua" w:hAnsi="Book Antiqua" w:cs="Times New Roman"/>
          <w:sz w:val="24"/>
          <w:szCs w:val="24"/>
          <w:lang w:val="en-US"/>
        </w:rPr>
        <w:t xml:space="preserve">metastases discovered during surgical procedures, than those without such metastases (84.2% </w:t>
      </w:r>
      <w:r w:rsidR="007057E4" w:rsidRPr="00347522">
        <w:rPr>
          <w:rFonts w:ascii="Book Antiqua" w:hAnsi="Book Antiqua" w:cs="Times New Roman"/>
          <w:i/>
          <w:iCs/>
          <w:sz w:val="24"/>
          <w:szCs w:val="24"/>
          <w:lang w:val="en-US"/>
        </w:rPr>
        <w:t>vs</w:t>
      </w:r>
      <w:r w:rsidR="007057E4" w:rsidRPr="00347522">
        <w:rPr>
          <w:rFonts w:ascii="Book Antiqua" w:hAnsi="Book Antiqua" w:cs="Times New Roman"/>
          <w:sz w:val="24"/>
          <w:szCs w:val="24"/>
          <w:lang w:val="en-US"/>
        </w:rPr>
        <w:t xml:space="preserve"> 34.6%)</w:t>
      </w:r>
      <w:r w:rsidR="007057E4" w:rsidRPr="00347522">
        <w:rPr>
          <w:rFonts w:ascii="Book Antiqua" w:hAnsi="Book Antiqua" w:cs="Times New Roman"/>
          <w:sz w:val="24"/>
          <w:szCs w:val="24"/>
          <w:vertAlign w:val="superscript"/>
          <w:lang w:val="en-US"/>
        </w:rPr>
        <w:t>[20]</w:t>
      </w:r>
      <w:r w:rsidR="007057E4" w:rsidRPr="00347522">
        <w:rPr>
          <w:rFonts w:ascii="Book Antiqua" w:hAnsi="Book Antiqua" w:cs="Times New Roman"/>
          <w:sz w:val="24"/>
          <w:szCs w:val="24"/>
          <w:lang w:val="en-US"/>
        </w:rPr>
        <w:t xml:space="preserve">, which is not </w:t>
      </w:r>
      <w:r w:rsidR="00EA2313" w:rsidRPr="00347522">
        <w:rPr>
          <w:rFonts w:ascii="Book Antiqua" w:hAnsi="Book Antiqua" w:cs="Times New Roman"/>
          <w:sz w:val="24"/>
          <w:szCs w:val="24"/>
          <w:lang w:val="en-US"/>
        </w:rPr>
        <w:t xml:space="preserve">confirmed </w:t>
      </w:r>
      <w:r w:rsidR="007057E4" w:rsidRPr="00347522">
        <w:rPr>
          <w:rFonts w:ascii="Book Antiqua" w:hAnsi="Book Antiqua" w:cs="Times New Roman"/>
          <w:sz w:val="24"/>
          <w:szCs w:val="24"/>
          <w:lang w:val="en-US"/>
        </w:rPr>
        <w:t xml:space="preserve">by </w:t>
      </w:r>
      <w:r w:rsidR="00EA2313" w:rsidRPr="00347522">
        <w:rPr>
          <w:rFonts w:ascii="Book Antiqua" w:hAnsi="Book Antiqua" w:cs="Times New Roman"/>
          <w:sz w:val="24"/>
          <w:szCs w:val="24"/>
          <w:lang w:val="en-US"/>
        </w:rPr>
        <w:t xml:space="preserve">the current </w:t>
      </w:r>
      <w:r w:rsidR="007057E4" w:rsidRPr="00347522">
        <w:rPr>
          <w:rFonts w:ascii="Book Antiqua" w:hAnsi="Book Antiqua" w:cs="Times New Roman"/>
          <w:sz w:val="24"/>
          <w:szCs w:val="24"/>
          <w:lang w:val="en-US"/>
        </w:rPr>
        <w:t>study. However, our results are similar to those obtained in CRC tissue microarrays, in which the author</w:t>
      </w:r>
      <w:r w:rsidR="00EA2313" w:rsidRPr="00347522">
        <w:rPr>
          <w:rFonts w:ascii="Book Antiqua" w:hAnsi="Book Antiqua" w:cs="Times New Roman"/>
          <w:sz w:val="24"/>
          <w:szCs w:val="24"/>
          <w:lang w:val="en-US"/>
        </w:rPr>
        <w:t>s</w:t>
      </w:r>
      <w:r w:rsidR="007057E4" w:rsidRPr="00347522">
        <w:rPr>
          <w:rFonts w:ascii="Book Antiqua" w:hAnsi="Book Antiqua" w:cs="Times New Roman"/>
          <w:sz w:val="24"/>
          <w:szCs w:val="24"/>
          <w:lang w:val="en-US"/>
        </w:rPr>
        <w:t xml:space="preserve"> also did not observe correlation between MUC1 expression and histologic grade, stage, vascular invasion, or cancer type</w:t>
      </w:r>
      <w:r w:rsidR="007057E4" w:rsidRPr="00347522">
        <w:rPr>
          <w:rFonts w:ascii="Book Antiqua" w:hAnsi="Book Antiqua" w:cs="Times New Roman"/>
          <w:sz w:val="24"/>
          <w:szCs w:val="24"/>
          <w:vertAlign w:val="superscript"/>
          <w:lang w:val="en-US"/>
        </w:rPr>
        <w:t>[14,30]</w:t>
      </w:r>
      <w:r w:rsidR="007057E4" w:rsidRPr="00347522">
        <w:rPr>
          <w:rFonts w:ascii="Book Antiqua" w:hAnsi="Book Antiqua" w:cs="Times New Roman"/>
          <w:sz w:val="24"/>
          <w:szCs w:val="24"/>
          <w:lang w:val="en-US"/>
        </w:rPr>
        <w:t xml:space="preserve">. The results of research by Matsuda </w:t>
      </w:r>
      <w:r w:rsidR="007057E4" w:rsidRPr="00347522">
        <w:rPr>
          <w:rFonts w:ascii="Book Antiqua" w:hAnsi="Book Antiqua" w:cs="Times New Roman"/>
          <w:i/>
          <w:sz w:val="24"/>
          <w:szCs w:val="24"/>
          <w:lang w:val="en-US"/>
        </w:rPr>
        <w:t>et al</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1</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concerning more common expression of MUC1 in CRC of more severe histologic stages, were not confirmed in our studies. However, similarly to the authors</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1</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we have also not found any correlation between MUC1 and p53 expression. As in our studies, Kesari </w:t>
      </w:r>
      <w:r w:rsidR="007057E4" w:rsidRPr="00347522">
        <w:rPr>
          <w:rFonts w:ascii="Book Antiqua" w:hAnsi="Book Antiqua" w:cs="Times New Roman"/>
          <w:i/>
          <w:iCs/>
          <w:sz w:val="24"/>
          <w:szCs w:val="24"/>
          <w:lang w:val="en-US"/>
        </w:rPr>
        <w:t>et al</w:t>
      </w:r>
      <w:r w:rsidR="007057E4" w:rsidRPr="00347522">
        <w:rPr>
          <w:rFonts w:ascii="Book Antiqua" w:hAnsi="Book Antiqua" w:cs="Times New Roman"/>
          <w:sz w:val="24"/>
          <w:szCs w:val="24"/>
          <w:vertAlign w:val="superscript"/>
          <w:lang w:val="en-US"/>
        </w:rPr>
        <w:t>[19]</w:t>
      </w:r>
      <w:r w:rsidR="007057E4" w:rsidRPr="00347522">
        <w:rPr>
          <w:rFonts w:ascii="Book Antiqua" w:hAnsi="Book Antiqua" w:cs="Times New Roman"/>
          <w:sz w:val="24"/>
          <w:szCs w:val="24"/>
          <w:lang w:val="en-US"/>
        </w:rPr>
        <w:t xml:space="preserve"> did not observe differences in MUC1 expression depending on the histologic stage, but a higher incidence of expression of this mucin was described in G2, than in G1 of this cancer (55% </w:t>
      </w:r>
      <w:r w:rsidR="007057E4" w:rsidRPr="00347522">
        <w:rPr>
          <w:rFonts w:ascii="Book Antiqua" w:hAnsi="Book Antiqua" w:cs="Times New Roman"/>
          <w:i/>
          <w:iCs/>
          <w:sz w:val="24"/>
          <w:szCs w:val="24"/>
          <w:lang w:val="en-US"/>
        </w:rPr>
        <w:t>vs</w:t>
      </w:r>
      <w:r w:rsidR="007057E4" w:rsidRPr="00347522">
        <w:rPr>
          <w:rFonts w:ascii="Book Antiqua" w:hAnsi="Book Antiqua" w:cs="Times New Roman"/>
          <w:sz w:val="24"/>
          <w:szCs w:val="24"/>
          <w:lang w:val="en-US"/>
        </w:rPr>
        <w:t xml:space="preserve"> 11%)</w:t>
      </w:r>
      <w:r w:rsidR="007057E4" w:rsidRPr="00347522">
        <w:rPr>
          <w:rFonts w:ascii="Book Antiqua" w:hAnsi="Book Antiqua" w:cs="Times New Roman"/>
          <w:sz w:val="24"/>
          <w:szCs w:val="24"/>
          <w:vertAlign w:val="superscript"/>
          <w:lang w:val="en-US"/>
        </w:rPr>
        <w:t>[19]</w:t>
      </w:r>
      <w:r w:rsidR="007057E4" w:rsidRPr="00347522">
        <w:rPr>
          <w:rFonts w:ascii="Book Antiqua" w:hAnsi="Book Antiqua" w:cs="Times New Roman"/>
          <w:sz w:val="24"/>
          <w:szCs w:val="24"/>
          <w:lang w:val="en-US"/>
        </w:rPr>
        <w:t xml:space="preserve">. The positive relationship between MUC1 expression and histologic grade and stage can also be found in other </w:t>
      </w:r>
      <w:r w:rsidR="00EA2313" w:rsidRPr="00347522">
        <w:rPr>
          <w:rFonts w:ascii="Book Antiqua" w:hAnsi="Book Antiqua" w:cs="Times New Roman"/>
          <w:sz w:val="24"/>
          <w:szCs w:val="24"/>
          <w:lang w:val="en-US"/>
        </w:rPr>
        <w:t>publications</w:t>
      </w:r>
      <w:r w:rsidR="007057E4" w:rsidRPr="00347522">
        <w:rPr>
          <w:rFonts w:ascii="Book Antiqua" w:hAnsi="Book Antiqua" w:cs="Times New Roman"/>
          <w:sz w:val="24"/>
          <w:szCs w:val="24"/>
          <w:lang w:val="en-US"/>
        </w:rPr>
        <w:t>, with the appreciation of this expression as a high risk factor of death in Caucasian population (HR</w:t>
      </w:r>
      <w:r w:rsidR="004B4B44"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2.03; </w:t>
      </w:r>
      <w:r w:rsidR="007057E4" w:rsidRPr="00347522">
        <w:rPr>
          <w:rFonts w:ascii="Book Antiqua" w:hAnsi="Book Antiqua" w:cs="Times New Roman"/>
          <w:i/>
          <w:iCs/>
          <w:sz w:val="24"/>
          <w:szCs w:val="24"/>
          <w:lang w:val="en-US"/>
        </w:rPr>
        <w:t>P</w:t>
      </w:r>
      <w:r w:rsidR="007057E4" w:rsidRPr="00347522">
        <w:rPr>
          <w:rFonts w:ascii="Book Antiqua" w:hAnsi="Book Antiqua" w:cs="Times New Roman"/>
          <w:sz w:val="24"/>
          <w:szCs w:val="24"/>
          <w:lang w:val="en-US"/>
        </w:rPr>
        <w:t xml:space="preserve"> = 0.038)</w:t>
      </w:r>
      <w:r w:rsidR="007057E4" w:rsidRPr="00347522">
        <w:rPr>
          <w:rFonts w:ascii="Book Antiqua" w:hAnsi="Book Antiqua" w:cs="Times New Roman"/>
          <w:sz w:val="24"/>
          <w:szCs w:val="24"/>
          <w:vertAlign w:val="superscript"/>
          <w:lang w:val="en-US"/>
        </w:rPr>
        <w:t>[29,37]</w:t>
      </w:r>
      <w:r w:rsidR="007057E4" w:rsidRPr="00347522">
        <w:rPr>
          <w:rFonts w:ascii="Book Antiqua" w:hAnsi="Book Antiqua" w:cs="Times New Roman"/>
          <w:sz w:val="24"/>
          <w:szCs w:val="24"/>
          <w:lang w:val="en-US"/>
        </w:rPr>
        <w:t xml:space="preserve">. The </w:t>
      </w:r>
      <w:r w:rsidR="00297D5B" w:rsidRPr="00347522">
        <w:rPr>
          <w:rFonts w:ascii="Book Antiqua" w:hAnsi="Book Antiqua" w:cs="Times New Roman"/>
          <w:sz w:val="24"/>
          <w:szCs w:val="24"/>
          <w:lang w:val="en-US"/>
        </w:rPr>
        <w:t>co</w:t>
      </w:r>
      <w:r w:rsidR="00F65CBE"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expression of MUC1 and p53 was a bad prognostic factor for the overall survival (OS) of these patients</w:t>
      </w:r>
      <w:r w:rsidR="007057E4" w:rsidRPr="00347522">
        <w:rPr>
          <w:rFonts w:ascii="Book Antiqua" w:hAnsi="Book Antiqua" w:cs="Times New Roman"/>
          <w:sz w:val="24"/>
          <w:szCs w:val="24"/>
          <w:vertAlign w:val="superscript"/>
          <w:lang w:val="en-US"/>
        </w:rPr>
        <w:t>[29]</w:t>
      </w:r>
      <w:r w:rsidR="007057E4" w:rsidRPr="00347522">
        <w:rPr>
          <w:rFonts w:ascii="Book Antiqua" w:hAnsi="Book Antiqua" w:cs="Times New Roman"/>
          <w:sz w:val="24"/>
          <w:szCs w:val="24"/>
          <w:lang w:val="en-US"/>
        </w:rPr>
        <w:t>. Our own research cannot confirm the above observations, as well as the results of other authors, where MUC1 expression was shown to be an independent marker of prognosis (HR</w:t>
      </w:r>
      <w:r w:rsidR="004B4B44"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1.339, 95%CI</w:t>
      </w:r>
      <w:r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 xml:space="preserve"> 1.002-1.790; </w:t>
      </w:r>
      <w:r w:rsidR="007057E4" w:rsidRPr="00347522">
        <w:rPr>
          <w:rFonts w:ascii="Book Antiqua" w:hAnsi="Book Antiqua" w:cs="Times New Roman"/>
          <w:i/>
          <w:iCs/>
          <w:sz w:val="24"/>
          <w:szCs w:val="24"/>
          <w:lang w:val="en-US"/>
        </w:rPr>
        <w:t>P</w:t>
      </w:r>
      <w:r w:rsidR="007057E4" w:rsidRPr="00347522">
        <w:rPr>
          <w:rFonts w:ascii="Book Antiqua" w:hAnsi="Book Antiqua" w:cs="Times New Roman"/>
          <w:sz w:val="24"/>
          <w:szCs w:val="24"/>
          <w:lang w:val="en-US"/>
        </w:rPr>
        <w:t xml:space="preserve"> = 0.048)</w:t>
      </w:r>
      <w:r w:rsidR="007057E4" w:rsidRPr="00347522">
        <w:rPr>
          <w:rFonts w:ascii="Book Antiqua" w:hAnsi="Book Antiqua" w:cs="Times New Roman"/>
          <w:sz w:val="24"/>
          <w:szCs w:val="24"/>
          <w:vertAlign w:val="superscript"/>
          <w:lang w:val="en-US"/>
        </w:rPr>
        <w:t>[14]</w:t>
      </w:r>
      <w:r w:rsidR="007057E4" w:rsidRPr="00347522">
        <w:rPr>
          <w:rFonts w:ascii="Book Antiqua" w:hAnsi="Book Antiqua" w:cs="Times New Roman"/>
          <w:sz w:val="24"/>
          <w:szCs w:val="24"/>
          <w:lang w:val="en-US"/>
        </w:rPr>
        <w:t xml:space="preserve">. The lack of </w:t>
      </w:r>
      <w:r w:rsidR="00297D5B" w:rsidRPr="00347522">
        <w:rPr>
          <w:rFonts w:ascii="Book Antiqua" w:hAnsi="Book Antiqua" w:cs="Times New Roman"/>
          <w:sz w:val="24"/>
          <w:szCs w:val="24"/>
          <w:lang w:val="en-US"/>
        </w:rPr>
        <w:t xml:space="preserve">dependence </w:t>
      </w:r>
      <w:r w:rsidR="007057E4" w:rsidRPr="00347522">
        <w:rPr>
          <w:rFonts w:ascii="Book Antiqua" w:hAnsi="Book Antiqua" w:cs="Times New Roman"/>
          <w:sz w:val="24"/>
          <w:szCs w:val="24"/>
          <w:lang w:val="en-US"/>
        </w:rPr>
        <w:t xml:space="preserve">between MUC1 expression and histologic grade or stage, in the current </w:t>
      </w:r>
      <w:r w:rsidR="00297D5B" w:rsidRPr="00347522">
        <w:rPr>
          <w:rFonts w:ascii="Book Antiqua" w:hAnsi="Book Antiqua" w:cs="Times New Roman"/>
          <w:sz w:val="24"/>
          <w:szCs w:val="24"/>
          <w:lang w:val="en-US"/>
        </w:rPr>
        <w:t xml:space="preserve">study </w:t>
      </w:r>
      <w:r w:rsidR="007057E4" w:rsidRPr="00347522">
        <w:rPr>
          <w:rFonts w:ascii="Book Antiqua" w:hAnsi="Book Antiqua" w:cs="Times New Roman"/>
          <w:sz w:val="24"/>
          <w:szCs w:val="24"/>
          <w:lang w:val="en-US"/>
        </w:rPr>
        <w:t>probably</w:t>
      </w:r>
      <w:r w:rsidR="007057E4" w:rsidRPr="00347522">
        <w:rPr>
          <w:rFonts w:ascii="Book Antiqua" w:hAnsi="Book Antiqua" w:cs="Times New Roman"/>
          <w:color w:val="000000" w:themeColor="text1"/>
          <w:sz w:val="24"/>
          <w:szCs w:val="24"/>
          <w:lang w:val="en-US"/>
        </w:rPr>
        <w:t xml:space="preserve"> </w:t>
      </w:r>
      <w:r w:rsidR="00297D5B" w:rsidRPr="00347522">
        <w:rPr>
          <w:rFonts w:ascii="Book Antiqua" w:hAnsi="Book Antiqua" w:cs="Times New Roman"/>
          <w:color w:val="000000" w:themeColor="text1"/>
          <w:sz w:val="24"/>
          <w:szCs w:val="24"/>
          <w:lang w:val="en-US"/>
        </w:rPr>
        <w:t xml:space="preserve">results from the very homogenous group of patients with CRC in the range of histologically assessed parameters </w:t>
      </w:r>
      <w:r w:rsidR="004B4B44" w:rsidRPr="00347522">
        <w:rPr>
          <w:rFonts w:ascii="Book Antiqua" w:hAnsi="Book Antiqua" w:cs="Times New Roman"/>
          <w:color w:val="000000" w:themeColor="text1"/>
          <w:sz w:val="24"/>
          <w:szCs w:val="24"/>
          <w:lang w:val="en-US"/>
        </w:rPr>
        <w:t>[</w:t>
      </w:r>
      <w:r w:rsidR="00297D5B" w:rsidRPr="00347522">
        <w:rPr>
          <w:rFonts w:ascii="Book Antiqua" w:hAnsi="Book Antiqua" w:cs="Times New Roman"/>
          <w:color w:val="000000" w:themeColor="text1"/>
          <w:sz w:val="24"/>
          <w:szCs w:val="24"/>
          <w:lang w:val="en-US"/>
        </w:rPr>
        <w:t>68% with grade 2; 56% with stage C (C1-C3)/D in Dukes/Astler and Coller scale; 85% with stage III and IV in TNM classification system</w:t>
      </w:r>
      <w:r w:rsidR="004B4B44" w:rsidRPr="00347522">
        <w:rPr>
          <w:rFonts w:ascii="Book Antiqua" w:hAnsi="Book Antiqua" w:cs="Times New Roman"/>
          <w:color w:val="000000" w:themeColor="text1"/>
          <w:sz w:val="24"/>
          <w:szCs w:val="24"/>
          <w:lang w:val="en-US"/>
        </w:rPr>
        <w:t>]</w:t>
      </w:r>
      <w:r w:rsidR="00297D5B" w:rsidRPr="00347522">
        <w:rPr>
          <w:rFonts w:ascii="Book Antiqua" w:hAnsi="Book Antiqua" w:cs="Times New Roman"/>
          <w:color w:val="000000" w:themeColor="text1"/>
          <w:sz w:val="24"/>
          <w:szCs w:val="24"/>
          <w:lang w:val="en-US"/>
        </w:rPr>
        <w:t>.</w:t>
      </w:r>
      <w:r w:rsidR="00297D5B" w:rsidRPr="00347522">
        <w:rPr>
          <w:rFonts w:ascii="Book Antiqua" w:hAnsi="Book Antiqua" w:cs="Times New Roman"/>
          <w:color w:val="FF0000"/>
          <w:sz w:val="24"/>
          <w:szCs w:val="24"/>
          <w:lang w:val="en-US"/>
        </w:rPr>
        <w:t xml:space="preserve"> </w:t>
      </w:r>
      <w:r w:rsidR="007057E4" w:rsidRPr="00347522">
        <w:rPr>
          <w:rFonts w:ascii="Book Antiqua" w:hAnsi="Book Antiqua" w:cs="Times New Roman"/>
          <w:sz w:val="24"/>
          <w:szCs w:val="24"/>
          <w:lang w:val="en-US"/>
        </w:rPr>
        <w:t xml:space="preserve">Furthermore, it should be stressed, that the results of multiple authors are mainly based on the analysis of the detection </w:t>
      </w:r>
      <w:r w:rsidR="007057E4" w:rsidRPr="00347522">
        <w:rPr>
          <w:rFonts w:ascii="Book Antiqua" w:hAnsi="Book Antiqua" w:cs="Times New Roman"/>
          <w:sz w:val="24"/>
          <w:szCs w:val="24"/>
          <w:lang w:val="en-US"/>
        </w:rPr>
        <w:lastRenderedPageBreak/>
        <w:t>(incidence) of MUC1 expression, rather than a reliable quantitative assessment</w:t>
      </w:r>
      <w:r w:rsidR="007057E4" w:rsidRPr="00347522">
        <w:rPr>
          <w:rFonts w:ascii="Book Antiqua" w:hAnsi="Book Antiqua" w:cs="Times New Roman"/>
          <w:sz w:val="24"/>
          <w:szCs w:val="24"/>
          <w:vertAlign w:val="superscript"/>
          <w:lang w:val="en-US"/>
        </w:rPr>
        <w:t>[19,29]</w:t>
      </w:r>
      <w:r w:rsidR="007057E4" w:rsidRPr="00347522">
        <w:rPr>
          <w:rFonts w:ascii="Book Antiqua" w:hAnsi="Book Antiqua" w:cs="Times New Roman"/>
          <w:sz w:val="24"/>
          <w:szCs w:val="24"/>
          <w:lang w:val="en-US"/>
        </w:rPr>
        <w:t>. In several works, MUC1 expression was admittedly evaluated, using semi-quantitative methods</w:t>
      </w:r>
      <w:r w:rsidR="007057E4" w:rsidRPr="00347522">
        <w:rPr>
          <w:rFonts w:ascii="Book Antiqua" w:hAnsi="Book Antiqua" w:cs="Times New Roman"/>
          <w:sz w:val="24"/>
          <w:szCs w:val="24"/>
          <w:vertAlign w:val="superscript"/>
          <w:lang w:val="en-US"/>
        </w:rPr>
        <w:t>[20,30,3</w:t>
      </w:r>
      <w:r w:rsidR="006668C5" w:rsidRPr="00347522">
        <w:rPr>
          <w:rFonts w:ascii="Book Antiqua" w:hAnsi="Book Antiqua" w:cs="Times New Roman"/>
          <w:sz w:val="24"/>
          <w:szCs w:val="24"/>
          <w:vertAlign w:val="superscript"/>
          <w:lang w:val="en-US"/>
        </w:rPr>
        <w:t>6</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but some of them did not have control groups</w:t>
      </w:r>
      <w:r w:rsidR="007057E4" w:rsidRPr="00347522">
        <w:rPr>
          <w:rFonts w:ascii="Book Antiqua" w:hAnsi="Book Antiqua" w:cs="Times New Roman"/>
          <w:sz w:val="24"/>
          <w:szCs w:val="24"/>
          <w:vertAlign w:val="superscript"/>
          <w:lang w:val="en-US"/>
        </w:rPr>
        <w:t>[14,19,30]</w:t>
      </w:r>
      <w:r w:rsidR="007057E4" w:rsidRPr="00347522">
        <w:rPr>
          <w:rFonts w:ascii="Book Antiqua" w:hAnsi="Book Antiqua" w:cs="Times New Roman"/>
          <w:sz w:val="24"/>
          <w:szCs w:val="24"/>
          <w:lang w:val="en-US"/>
        </w:rPr>
        <w:t>.</w:t>
      </w:r>
      <w:r w:rsidR="007057E4" w:rsidRPr="00347522">
        <w:rPr>
          <w:rFonts w:ascii="Book Antiqua" w:hAnsi="Book Antiqua" w:cs="Times New Roman"/>
          <w:color w:val="000000" w:themeColor="text1"/>
          <w:sz w:val="24"/>
          <w:szCs w:val="24"/>
          <w:lang w:val="en-US"/>
        </w:rPr>
        <w:t xml:space="preserve"> </w:t>
      </w:r>
      <w:r w:rsidR="00297D5B" w:rsidRPr="00347522">
        <w:rPr>
          <w:rFonts w:ascii="Book Antiqua" w:hAnsi="Book Antiqua" w:cs="Times New Roman"/>
          <w:color w:val="000000" w:themeColor="text1"/>
          <w:sz w:val="24"/>
          <w:szCs w:val="24"/>
          <w:lang w:val="en-US"/>
        </w:rPr>
        <w:t>There are publications that intensify the IHC reaction, and introduce the division into the so-called high, low and negative MUC1 expression, occurring in a different percentage of patients (12%, 52%, 36%, respectively)</w:t>
      </w:r>
      <w:r w:rsidR="00297D5B" w:rsidRPr="00347522">
        <w:rPr>
          <w:rFonts w:ascii="Book Antiqua" w:hAnsi="Book Antiqua" w:cs="Times New Roman"/>
          <w:color w:val="000000" w:themeColor="text1"/>
          <w:sz w:val="24"/>
          <w:szCs w:val="24"/>
          <w:vertAlign w:val="superscript"/>
          <w:lang w:val="en-US"/>
        </w:rPr>
        <w:t>[30]</w:t>
      </w:r>
      <w:r w:rsidR="00297D5B" w:rsidRPr="00347522">
        <w:rPr>
          <w:rFonts w:ascii="Book Antiqua" w:hAnsi="Book Antiqua" w:cs="Times New Roman"/>
          <w:color w:val="000000" w:themeColor="text1"/>
          <w:sz w:val="24"/>
          <w:szCs w:val="24"/>
          <w:lang w:val="en-US"/>
        </w:rPr>
        <w:t xml:space="preserve">. </w:t>
      </w:r>
      <w:r w:rsidR="003F27C3" w:rsidRPr="00347522">
        <w:rPr>
          <w:rFonts w:ascii="Book Antiqua" w:hAnsi="Book Antiqua" w:cs="Times New Roman"/>
          <w:color w:val="000000" w:themeColor="text1"/>
          <w:sz w:val="24"/>
          <w:szCs w:val="24"/>
          <w:lang w:val="en-US"/>
        </w:rPr>
        <w:t>Hence, the overexpression of the MUC1 protein was observed in varying percentages in different patients, from 12%</w:t>
      </w:r>
      <w:r w:rsidR="003F27C3" w:rsidRPr="00347522">
        <w:rPr>
          <w:rFonts w:ascii="Book Antiqua" w:hAnsi="Book Antiqua" w:cs="Times New Roman"/>
          <w:color w:val="000000" w:themeColor="text1"/>
          <w:sz w:val="24"/>
          <w:szCs w:val="24"/>
          <w:vertAlign w:val="superscript"/>
          <w:lang w:val="en-US"/>
        </w:rPr>
        <w:t>[30]</w:t>
      </w:r>
      <w:r w:rsidR="003F27C3" w:rsidRPr="00347522">
        <w:rPr>
          <w:rFonts w:ascii="Book Antiqua" w:hAnsi="Book Antiqua" w:cs="Times New Roman"/>
          <w:color w:val="000000" w:themeColor="text1"/>
          <w:sz w:val="24"/>
          <w:szCs w:val="24"/>
          <w:lang w:val="en-US"/>
        </w:rPr>
        <w:t xml:space="preserve"> to </w:t>
      </w:r>
      <w:r w:rsidR="00CE46FC" w:rsidRPr="00347522">
        <w:rPr>
          <w:rFonts w:ascii="Book Antiqua" w:hAnsi="Book Antiqua" w:cs="Times New Roman"/>
          <w:color w:val="000000" w:themeColor="text1"/>
          <w:sz w:val="24"/>
          <w:szCs w:val="24"/>
          <w:lang w:val="en-US"/>
        </w:rPr>
        <w:t xml:space="preserve">approximately </w:t>
      </w:r>
      <w:r w:rsidR="003F27C3" w:rsidRPr="00347522">
        <w:rPr>
          <w:rFonts w:ascii="Book Antiqua" w:hAnsi="Book Antiqua" w:cs="Times New Roman"/>
          <w:color w:val="000000" w:themeColor="text1"/>
          <w:sz w:val="24"/>
          <w:szCs w:val="24"/>
          <w:lang w:val="en-US"/>
        </w:rPr>
        <w:t>40%</w:t>
      </w:r>
      <w:r w:rsidR="003F27C3" w:rsidRPr="00347522">
        <w:rPr>
          <w:rFonts w:ascii="Book Antiqua" w:hAnsi="Book Antiqua" w:cs="Times New Roman"/>
          <w:color w:val="000000" w:themeColor="text1"/>
          <w:sz w:val="24"/>
          <w:szCs w:val="24"/>
          <w:vertAlign w:val="superscript"/>
          <w:lang w:val="en-US"/>
        </w:rPr>
        <w:t>[19]</w:t>
      </w:r>
      <w:r w:rsidR="003F27C3" w:rsidRPr="00347522">
        <w:rPr>
          <w:rFonts w:ascii="Book Antiqua" w:hAnsi="Book Antiqua" w:cs="Times New Roman"/>
          <w:color w:val="000000" w:themeColor="text1"/>
          <w:sz w:val="24"/>
          <w:szCs w:val="24"/>
          <w:lang w:val="en-US"/>
        </w:rPr>
        <w:t xml:space="preserve">. </w:t>
      </w:r>
    </w:p>
    <w:p w14:paraId="069F867B" w14:textId="73300D77" w:rsidR="007057E4" w:rsidRPr="00347522" w:rsidRDefault="009849A8"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 xml:space="preserve">  </w:t>
      </w:r>
      <w:r w:rsidR="007057E4" w:rsidRPr="00347522">
        <w:rPr>
          <w:rFonts w:ascii="Book Antiqua" w:hAnsi="Book Antiqua" w:cs="Times New Roman"/>
          <w:color w:val="000000" w:themeColor="text1"/>
          <w:sz w:val="24"/>
          <w:szCs w:val="24"/>
          <w:lang w:val="en-US"/>
        </w:rPr>
        <w:t>Most of the cited researchers, in their studies, used monoclonal, primary Ma695 antibody (Novocastra), in 1:100 dilution</w:t>
      </w:r>
      <w:r w:rsidR="007057E4" w:rsidRPr="00347522">
        <w:rPr>
          <w:rFonts w:ascii="Book Antiqua" w:hAnsi="Book Antiqua" w:cs="Times New Roman"/>
          <w:color w:val="000000" w:themeColor="text1"/>
          <w:sz w:val="24"/>
          <w:szCs w:val="24"/>
          <w:vertAlign w:val="superscript"/>
          <w:lang w:val="en-US"/>
        </w:rPr>
        <w:t>[18,19,30,4</w:t>
      </w:r>
      <w:r w:rsidR="006668C5" w:rsidRPr="00347522">
        <w:rPr>
          <w:rFonts w:ascii="Book Antiqua" w:hAnsi="Book Antiqua" w:cs="Times New Roman"/>
          <w:color w:val="000000" w:themeColor="text1"/>
          <w:sz w:val="24"/>
          <w:szCs w:val="24"/>
          <w:vertAlign w:val="superscript"/>
          <w:lang w:val="en-US"/>
        </w:rPr>
        <w:t>0</w:t>
      </w:r>
      <w:r w:rsidR="007057E4" w:rsidRPr="00347522">
        <w:rPr>
          <w:rFonts w:ascii="Book Antiqua" w:hAnsi="Book Antiqua" w:cs="Times New Roman"/>
          <w:color w:val="000000" w:themeColor="text1"/>
          <w:sz w:val="24"/>
          <w:szCs w:val="24"/>
          <w:vertAlign w:val="superscript"/>
          <w:lang w:val="en-US"/>
        </w:rPr>
        <w:t>]</w:t>
      </w:r>
      <w:r w:rsidR="007057E4" w:rsidRPr="00347522">
        <w:rPr>
          <w:rFonts w:ascii="Book Antiqua" w:hAnsi="Book Antiqua" w:cs="Times New Roman"/>
          <w:color w:val="000000" w:themeColor="text1"/>
          <w:sz w:val="24"/>
          <w:szCs w:val="24"/>
          <w:lang w:val="en-US"/>
        </w:rPr>
        <w:t xml:space="preserve">. In </w:t>
      </w:r>
      <w:r w:rsidR="003F27C3" w:rsidRPr="00347522">
        <w:rPr>
          <w:rFonts w:ascii="Book Antiqua" w:hAnsi="Book Antiqua" w:cs="Times New Roman"/>
          <w:color w:val="000000" w:themeColor="text1"/>
          <w:sz w:val="24"/>
          <w:szCs w:val="24"/>
          <w:lang w:val="en-US"/>
        </w:rPr>
        <w:t>the current study</w:t>
      </w:r>
      <w:r w:rsidR="007057E4" w:rsidRPr="00347522">
        <w:rPr>
          <w:rFonts w:ascii="Book Antiqua" w:hAnsi="Book Antiqua" w:cs="Times New Roman"/>
          <w:color w:val="000000" w:themeColor="text1"/>
          <w:sz w:val="24"/>
          <w:szCs w:val="24"/>
          <w:lang w:val="en-US"/>
        </w:rPr>
        <w:t xml:space="preserve">, antibodies from the same company have been used, also in 1:100 dilution. However, we have chosen another clone (Ma552). Furthermore, the use of a reliable, repeatable method of quantitative evaluation of IHC expression (HSV filter program), may explain the discrepancies obtained in the study results, at least partially, including the increased MUC1 expression in both control, and cancerous large intestine, presented in </w:t>
      </w:r>
      <w:r w:rsidR="003F27C3" w:rsidRPr="00347522">
        <w:rPr>
          <w:rFonts w:ascii="Book Antiqua" w:hAnsi="Book Antiqua" w:cs="Times New Roman"/>
          <w:color w:val="000000" w:themeColor="text1"/>
          <w:sz w:val="24"/>
          <w:szCs w:val="24"/>
          <w:lang w:val="en-US"/>
        </w:rPr>
        <w:t>our study</w:t>
      </w:r>
      <w:r w:rsidR="007057E4" w:rsidRPr="00347522">
        <w:rPr>
          <w:rFonts w:ascii="Book Antiqua" w:hAnsi="Book Antiqua" w:cs="Times New Roman"/>
          <w:color w:val="000000" w:themeColor="text1"/>
          <w:sz w:val="24"/>
          <w:szCs w:val="24"/>
          <w:lang w:val="en-US"/>
        </w:rPr>
        <w:t>.</w:t>
      </w:r>
    </w:p>
    <w:p w14:paraId="30F6DF85" w14:textId="0ED891DF" w:rsidR="007057E4" w:rsidRPr="00347522" w:rsidRDefault="009849A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Current studies, employing the RT-qPCR method, have been shown a significantly higher mean expression of MUC1 mRNA in CRC, compared to the healthy tissue. This expression showed borderline correlation (</w:t>
      </w:r>
      <w:r w:rsidR="007057E4" w:rsidRPr="00347522">
        <w:rPr>
          <w:rFonts w:ascii="Book Antiqua" w:hAnsi="Book Antiqua" w:cs="Times New Roman"/>
          <w:i/>
          <w:iCs/>
          <w:sz w:val="24"/>
          <w:szCs w:val="24"/>
          <w:lang w:val="en-US"/>
        </w:rPr>
        <w:t>P</w:t>
      </w:r>
      <w:r w:rsidR="007057E4" w:rsidRPr="00347522">
        <w:rPr>
          <w:rFonts w:ascii="Book Antiqua" w:hAnsi="Book Antiqua" w:cs="Times New Roman"/>
          <w:sz w:val="24"/>
          <w:szCs w:val="24"/>
          <w:lang w:val="en-US"/>
        </w:rPr>
        <w:t xml:space="preserve"> = 0.055) with MUC1 protein expression. It is difficult to relate this result to the literature data. </w:t>
      </w:r>
    </w:p>
    <w:p w14:paraId="09E9CC0F" w14:textId="15819149" w:rsidR="007057E4" w:rsidRPr="00347522" w:rsidRDefault="009849A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 xml:space="preserve">The results of correlation analysis, between the MUC1 expression (mRNA, protein) and the available patient clinical data, are not as spectacular as those obtained by other authors. In the case of MUC1, a negative correlation is shown between the mRNA (but not the protein itself) expression and the age of the CRC affected patients. The data on that specific relation was not found in literature. In addition, we have observed positive correlations between the MUC1 mRNA and the number of leukocytes, while the expression of the MUC1 apomucin itself, correlated with the number of platelets in the CRC. There are also no exact references to these results in literature. However, in mouse model, it was shown that carcinoma mucins (fragments from human colonic adenocarcinoma LS180 cells) initiate thrombosis through adhesion-dependent, reciprocal activation of </w:t>
      </w:r>
      <w:r w:rsidR="007057E4" w:rsidRPr="00347522">
        <w:rPr>
          <w:rFonts w:ascii="Book Antiqua" w:hAnsi="Book Antiqua" w:cs="Times New Roman"/>
          <w:sz w:val="24"/>
          <w:szCs w:val="24"/>
          <w:lang w:val="en-US"/>
        </w:rPr>
        <w:lastRenderedPageBreak/>
        <w:t>neutrophils and platelets. These studies provide insights into mucin-dependent, thrombin-independent thrombosis in patie</w:t>
      </w:r>
      <w:r w:rsidR="006668C5" w:rsidRPr="00347522">
        <w:rPr>
          <w:rFonts w:ascii="Book Antiqua" w:hAnsi="Book Antiqua" w:cs="Times New Roman"/>
          <w:sz w:val="24"/>
          <w:szCs w:val="24"/>
          <w:lang w:val="en-US"/>
        </w:rPr>
        <w:t>nts with Trousseau syndrome</w:t>
      </w:r>
      <w:r w:rsidR="006668C5" w:rsidRPr="00347522">
        <w:rPr>
          <w:rFonts w:ascii="Book Antiqua" w:hAnsi="Book Antiqua" w:cs="Times New Roman"/>
          <w:sz w:val="24"/>
          <w:szCs w:val="24"/>
          <w:vertAlign w:val="superscript"/>
          <w:lang w:val="en-US"/>
        </w:rPr>
        <w:t>[42</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w:t>
      </w:r>
    </w:p>
    <w:p w14:paraId="69460DA6" w14:textId="64498442" w:rsidR="007057E4" w:rsidRPr="00347522" w:rsidRDefault="009849A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Similar</w:t>
      </w: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to MUC1 expression, the detectability of MUC2 (mRNA, protein), obtained in the current,</w:t>
      </w:r>
      <w:r w:rsidRPr="00347522">
        <w:rPr>
          <w:rFonts w:ascii="Book Antiqua" w:hAnsi="Book Antiqua" w:cs="Times New Roman"/>
          <w:sz w:val="24"/>
          <w:szCs w:val="24"/>
          <w:lang w:val="en-US"/>
        </w:rPr>
        <w:t xml:space="preserve"> </w:t>
      </w:r>
      <w:r w:rsidR="003F27C3" w:rsidRPr="00347522">
        <w:rPr>
          <w:rFonts w:ascii="Book Antiqua" w:hAnsi="Book Antiqua" w:cs="Times New Roman"/>
          <w:sz w:val="24"/>
          <w:szCs w:val="24"/>
          <w:lang w:val="en-US"/>
        </w:rPr>
        <w:t>study</w:t>
      </w:r>
      <w:r w:rsidR="007057E4" w:rsidRPr="00347522">
        <w:rPr>
          <w:rFonts w:ascii="Book Antiqua" w:hAnsi="Book Antiqua" w:cs="Times New Roman"/>
          <w:sz w:val="24"/>
          <w:szCs w:val="24"/>
          <w:lang w:val="en-US"/>
        </w:rPr>
        <w:t xml:space="preserve"> was higher, than that presented in the literature data, which cite </w:t>
      </w:r>
      <w:r w:rsidR="00145092" w:rsidRPr="00347522">
        <w:rPr>
          <w:rFonts w:ascii="Book Antiqua" w:hAnsi="Book Antiqua" w:cs="Times New Roman"/>
          <w:sz w:val="24"/>
          <w:szCs w:val="24"/>
          <w:lang w:val="en-US"/>
        </w:rPr>
        <w:t xml:space="preserve">approximately </w:t>
      </w:r>
      <w:r w:rsidR="007057E4" w:rsidRPr="00347522">
        <w:rPr>
          <w:rFonts w:ascii="Book Antiqua" w:hAnsi="Book Antiqua" w:cs="Times New Roman"/>
          <w:sz w:val="24"/>
          <w:szCs w:val="24"/>
          <w:lang w:val="en-US"/>
        </w:rPr>
        <w:t>30%</w:t>
      </w:r>
      <w:r w:rsidR="007057E4" w:rsidRPr="00347522">
        <w:rPr>
          <w:rFonts w:ascii="Book Antiqua" w:hAnsi="Book Antiqua" w:cs="Times New Roman"/>
          <w:sz w:val="24"/>
          <w:szCs w:val="24"/>
          <w:vertAlign w:val="superscript"/>
          <w:lang w:val="en-US"/>
        </w:rPr>
        <w:t>[14]</w:t>
      </w:r>
      <w:r w:rsidR="007057E4" w:rsidRPr="00347522">
        <w:rPr>
          <w:rFonts w:ascii="Book Antiqua" w:hAnsi="Book Antiqua" w:cs="Times New Roman"/>
          <w:sz w:val="24"/>
          <w:szCs w:val="24"/>
          <w:lang w:val="en-US"/>
        </w:rPr>
        <w:t xml:space="preserve">, </w:t>
      </w:r>
      <w:r w:rsidR="00145092" w:rsidRPr="00347522">
        <w:rPr>
          <w:rFonts w:ascii="Book Antiqua" w:hAnsi="Book Antiqua" w:cs="Times New Roman"/>
          <w:sz w:val="24"/>
          <w:szCs w:val="24"/>
          <w:lang w:val="en-US"/>
        </w:rPr>
        <w:t xml:space="preserve">approximately </w:t>
      </w:r>
      <w:r w:rsidR="007057E4" w:rsidRPr="00347522">
        <w:rPr>
          <w:rFonts w:ascii="Book Antiqua" w:hAnsi="Book Antiqua" w:cs="Times New Roman"/>
          <w:sz w:val="24"/>
          <w:szCs w:val="24"/>
          <w:lang w:val="en-US"/>
        </w:rPr>
        <w:t>50</w:t>
      </w:r>
      <w:r w:rsidR="004A0AC8"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-64%</w:t>
      </w:r>
      <w:r w:rsidR="007057E4" w:rsidRPr="00347522">
        <w:rPr>
          <w:rFonts w:ascii="Book Antiqua" w:hAnsi="Book Antiqua" w:cs="Times New Roman"/>
          <w:sz w:val="24"/>
          <w:szCs w:val="24"/>
          <w:vertAlign w:val="superscript"/>
          <w:lang w:val="en-US"/>
        </w:rPr>
        <w:t>[20,30,4</w:t>
      </w:r>
      <w:r w:rsidR="006668C5" w:rsidRPr="00347522">
        <w:rPr>
          <w:rFonts w:ascii="Book Antiqua" w:hAnsi="Book Antiqua" w:cs="Times New Roman"/>
          <w:sz w:val="24"/>
          <w:szCs w:val="24"/>
          <w:vertAlign w:val="superscript"/>
          <w:lang w:val="en-US"/>
        </w:rPr>
        <w:t>3</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and 92% of positive CRC cases</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4</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Some sources document a higher incidence of MUC2 expression detection (72</w:t>
      </w:r>
      <w:r w:rsidR="004A0AC8" w:rsidRPr="00347522">
        <w:rPr>
          <w:rFonts w:ascii="Book Antiqua" w:hAnsi="Book Antiqua" w:cs="Times New Roman"/>
          <w:sz w:val="24"/>
          <w:szCs w:val="24"/>
          <w:lang w:val="en-US"/>
        </w:rPr>
        <w:t>%</w:t>
      </w:r>
      <w:r w:rsidR="007057E4" w:rsidRPr="00347522">
        <w:rPr>
          <w:rFonts w:ascii="Book Antiqua" w:hAnsi="Book Antiqua" w:cs="Times New Roman"/>
          <w:sz w:val="24"/>
          <w:szCs w:val="24"/>
          <w:lang w:val="en-US"/>
        </w:rPr>
        <w:t>-100%), only in the case of mucinous CRC subtypes</w:t>
      </w:r>
      <w:r w:rsidR="007057E4" w:rsidRPr="00347522">
        <w:rPr>
          <w:rFonts w:ascii="Book Antiqua" w:hAnsi="Book Antiqua" w:cs="Times New Roman"/>
          <w:sz w:val="24"/>
          <w:szCs w:val="24"/>
          <w:vertAlign w:val="superscript"/>
          <w:lang w:val="en-US"/>
        </w:rPr>
        <w:t>[29,4</w:t>
      </w:r>
      <w:r w:rsidR="006668C5" w:rsidRPr="00347522">
        <w:rPr>
          <w:rFonts w:ascii="Book Antiqua" w:hAnsi="Book Antiqua" w:cs="Times New Roman"/>
          <w:sz w:val="24"/>
          <w:szCs w:val="24"/>
          <w:vertAlign w:val="superscript"/>
          <w:lang w:val="en-US"/>
        </w:rPr>
        <w:t>0</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The production of MUC2 mRNA in the </w:t>
      </w:r>
      <w:r w:rsidR="003F27C3" w:rsidRPr="00347522">
        <w:rPr>
          <w:rFonts w:ascii="Book Antiqua" w:hAnsi="Book Antiqua" w:cs="Times New Roman"/>
          <w:sz w:val="24"/>
          <w:szCs w:val="24"/>
          <w:lang w:val="en-US"/>
        </w:rPr>
        <w:t xml:space="preserve">healthy colorectal </w:t>
      </w:r>
      <w:r w:rsidR="007057E4" w:rsidRPr="00347522">
        <w:rPr>
          <w:rFonts w:ascii="Book Antiqua" w:hAnsi="Book Antiqua" w:cs="Times New Roman"/>
          <w:sz w:val="24"/>
          <w:szCs w:val="24"/>
          <w:lang w:val="en-US"/>
        </w:rPr>
        <w:t>tissues is documented by numerous researchers</w:t>
      </w:r>
      <w:r w:rsidR="007057E4" w:rsidRPr="00347522">
        <w:rPr>
          <w:rFonts w:ascii="Book Antiqua" w:hAnsi="Book Antiqua" w:cs="Times New Roman"/>
          <w:sz w:val="24"/>
          <w:szCs w:val="24"/>
          <w:vertAlign w:val="superscript"/>
          <w:lang w:val="en-US"/>
        </w:rPr>
        <w:t>[18,4</w:t>
      </w:r>
      <w:r w:rsidR="006668C5" w:rsidRPr="00347522">
        <w:rPr>
          <w:rFonts w:ascii="Book Antiqua" w:hAnsi="Book Antiqua" w:cs="Times New Roman"/>
          <w:sz w:val="24"/>
          <w:szCs w:val="24"/>
          <w:vertAlign w:val="superscript"/>
          <w:lang w:val="en-US"/>
        </w:rPr>
        <w:t>5</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6</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although some of the authors describe it in just 20% of the control tissues</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4</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w:t>
      </w:r>
    </w:p>
    <w:p w14:paraId="3F868DF8" w14:textId="7CEFF333" w:rsidR="007057E4" w:rsidRPr="00347522" w:rsidRDefault="004A0AC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The cytoplasmic pattern of MUC2 expression, demonstrated in the present work, confirms previous observations in the healthy and cancer-altered large intestine</w:t>
      </w:r>
      <w:r w:rsidR="007057E4" w:rsidRPr="00347522">
        <w:rPr>
          <w:rFonts w:ascii="Book Antiqua" w:hAnsi="Book Antiqua" w:cs="Times New Roman"/>
          <w:sz w:val="24"/>
          <w:szCs w:val="24"/>
          <w:vertAlign w:val="superscript"/>
          <w:lang w:val="en-US"/>
        </w:rPr>
        <w:t>[39,4</w:t>
      </w:r>
      <w:r w:rsidR="006668C5" w:rsidRPr="00347522">
        <w:rPr>
          <w:rFonts w:ascii="Book Antiqua" w:hAnsi="Book Antiqua" w:cs="Times New Roman"/>
          <w:sz w:val="24"/>
          <w:szCs w:val="24"/>
          <w:vertAlign w:val="superscript"/>
          <w:lang w:val="en-US"/>
        </w:rPr>
        <w:t>6</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7</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We have described similar amounts of MUC2 mRNA in CRC and control, but a lower expression of the MUC2 protein in patients with CRC, compared to control. Confronting this with literature, the results of the IHC study are consistent with those obtained by many researchers</w:t>
      </w:r>
      <w:r w:rsidR="007057E4" w:rsidRPr="00347522">
        <w:rPr>
          <w:rFonts w:ascii="Book Antiqua" w:hAnsi="Book Antiqua" w:cs="Times New Roman"/>
          <w:sz w:val="24"/>
          <w:szCs w:val="24"/>
          <w:vertAlign w:val="superscript"/>
          <w:lang w:val="en-US"/>
        </w:rPr>
        <w:t>[14-20,</w:t>
      </w:r>
      <w:r w:rsidRPr="00347522">
        <w:rPr>
          <w:rFonts w:ascii="Book Antiqua" w:hAnsi="Book Antiqua" w:cs="Times New Roman"/>
          <w:sz w:val="24"/>
          <w:szCs w:val="24"/>
          <w:vertAlign w:val="superscript"/>
          <w:lang w:val="en-US"/>
        </w:rPr>
        <w:t>29,41,</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3</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8</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while in the case of MUC2 transcripts detection, few works record reduced expression of MUC2 mRNA in the CRC, compared to the normal tissue</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5</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In the current work, higher expression of MUC2 in the mucinous CRC, as compared with nonmucinous subtypes of cancer, has been shown, which also confirms the results of other authors' research</w:t>
      </w:r>
      <w:r w:rsidR="007057E4" w:rsidRPr="00347522">
        <w:rPr>
          <w:rFonts w:ascii="Book Antiqua" w:hAnsi="Book Antiqua" w:cs="Times New Roman"/>
          <w:sz w:val="24"/>
          <w:szCs w:val="24"/>
          <w:vertAlign w:val="superscript"/>
          <w:lang w:val="en-US"/>
        </w:rPr>
        <w:t>[24,4</w:t>
      </w:r>
      <w:r w:rsidR="006668C5" w:rsidRPr="00347522">
        <w:rPr>
          <w:rFonts w:ascii="Book Antiqua" w:hAnsi="Book Antiqua" w:cs="Times New Roman"/>
          <w:sz w:val="24"/>
          <w:szCs w:val="24"/>
          <w:vertAlign w:val="superscript"/>
          <w:lang w:val="en-US"/>
        </w:rPr>
        <w:t>7</w:t>
      </w:r>
      <w:r w:rsidR="007057E4" w:rsidRPr="00347522">
        <w:rPr>
          <w:rFonts w:ascii="Book Antiqua" w:hAnsi="Book Antiqua" w:cs="Times New Roman"/>
          <w:sz w:val="24"/>
          <w:szCs w:val="24"/>
          <w:vertAlign w:val="superscript"/>
          <w:lang w:val="en-US"/>
        </w:rPr>
        <w:t>,</w:t>
      </w:r>
      <w:r w:rsidR="006668C5" w:rsidRPr="00347522">
        <w:rPr>
          <w:rFonts w:ascii="Book Antiqua" w:hAnsi="Book Antiqua" w:cs="Times New Roman"/>
          <w:sz w:val="24"/>
          <w:szCs w:val="24"/>
          <w:vertAlign w:val="superscript"/>
          <w:lang w:val="en-US"/>
        </w:rPr>
        <w:t>49</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w:t>
      </w:r>
    </w:p>
    <w:p w14:paraId="280135D1" w14:textId="4585C352" w:rsidR="007057E4" w:rsidRPr="00347522" w:rsidRDefault="004A0AC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In CRC patients gathered in this work, a higher expression of MUC2 was also observed in the more advanced histologic stages of the tumor. In addition, there have been significant negative correlations between MUC2 with Ki-67 and p53 expression</w:t>
      </w:r>
      <w:r w:rsidR="00A55CC9" w:rsidRPr="00347522">
        <w:rPr>
          <w:rFonts w:ascii="Book Antiqua" w:hAnsi="Book Antiqua" w:cs="Times New Roman"/>
          <w:sz w:val="24"/>
          <w:szCs w:val="24"/>
          <w:lang w:val="en-US"/>
        </w:rPr>
        <w:t>s</w:t>
      </w:r>
      <w:r w:rsidR="007057E4" w:rsidRPr="00347522">
        <w:rPr>
          <w:rFonts w:ascii="Book Antiqua" w:hAnsi="Book Antiqua" w:cs="Times New Roman"/>
          <w:sz w:val="24"/>
          <w:szCs w:val="24"/>
          <w:lang w:val="en-US"/>
        </w:rPr>
        <w:t xml:space="preserve">. This could indicate a significant relation between the decrease in the expression of this glycoprotein in the course of colon carcinogenesis, and the pro-proliferative activity (Ki-67), or deregulation of the tumor suppressive </w:t>
      </w:r>
      <w:r w:rsidR="007057E4" w:rsidRPr="00347522">
        <w:rPr>
          <w:rFonts w:ascii="Book Antiqua" w:hAnsi="Book Antiqua" w:cs="Times New Roman"/>
          <w:i/>
          <w:iCs/>
          <w:sz w:val="24"/>
          <w:szCs w:val="24"/>
          <w:lang w:val="en-US"/>
        </w:rPr>
        <w:t>P53</w:t>
      </w:r>
      <w:r w:rsidR="007057E4" w:rsidRPr="00347522">
        <w:rPr>
          <w:rFonts w:ascii="Book Antiqua" w:hAnsi="Book Antiqua" w:cs="Times New Roman"/>
          <w:sz w:val="24"/>
          <w:szCs w:val="24"/>
          <w:lang w:val="en-US"/>
        </w:rPr>
        <w:t xml:space="preserve"> signaling. This result is confirmed by the </w:t>
      </w:r>
      <w:r w:rsidR="00A55CC9" w:rsidRPr="00347522">
        <w:rPr>
          <w:rFonts w:ascii="Book Antiqua" w:hAnsi="Book Antiqua" w:cs="Times New Roman"/>
          <w:sz w:val="24"/>
          <w:szCs w:val="24"/>
          <w:lang w:val="en-US"/>
        </w:rPr>
        <w:t xml:space="preserve">research </w:t>
      </w:r>
      <w:r w:rsidR="007057E4" w:rsidRPr="00347522">
        <w:rPr>
          <w:rFonts w:ascii="Book Antiqua" w:hAnsi="Book Antiqua" w:cs="Times New Roman"/>
          <w:sz w:val="24"/>
          <w:szCs w:val="24"/>
          <w:lang w:val="en-US"/>
        </w:rPr>
        <w:t>of other authors</w:t>
      </w:r>
      <w:r w:rsidR="007057E4" w:rsidRPr="00347522">
        <w:rPr>
          <w:rFonts w:ascii="Book Antiqua" w:hAnsi="Book Antiqua" w:cs="Times New Roman"/>
          <w:sz w:val="24"/>
          <w:szCs w:val="24"/>
          <w:vertAlign w:val="superscript"/>
          <w:lang w:val="en-US"/>
        </w:rPr>
        <w:t>[5</w:t>
      </w:r>
      <w:r w:rsidR="006668C5" w:rsidRPr="00347522">
        <w:rPr>
          <w:rFonts w:ascii="Book Antiqua" w:hAnsi="Book Antiqua" w:cs="Times New Roman"/>
          <w:sz w:val="24"/>
          <w:szCs w:val="24"/>
          <w:vertAlign w:val="superscript"/>
          <w:lang w:val="en-US"/>
        </w:rPr>
        <w:t>0</w:t>
      </w:r>
      <w:r w:rsidR="007057E4" w:rsidRPr="00347522">
        <w:rPr>
          <w:rFonts w:ascii="Book Antiqua" w:hAnsi="Book Antiqua" w:cs="Times New Roman"/>
          <w:sz w:val="24"/>
          <w:szCs w:val="24"/>
          <w:vertAlign w:val="superscript"/>
          <w:lang w:val="en-US"/>
        </w:rPr>
        <w:t>,5</w:t>
      </w:r>
      <w:r w:rsidR="006668C5" w:rsidRPr="00347522">
        <w:rPr>
          <w:rFonts w:ascii="Book Antiqua" w:hAnsi="Book Antiqua" w:cs="Times New Roman"/>
          <w:sz w:val="24"/>
          <w:szCs w:val="24"/>
          <w:vertAlign w:val="superscript"/>
          <w:lang w:val="en-US"/>
        </w:rPr>
        <w:t>1</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However, similarly to MUC1, there was no significant correlation between MUC2 expression and histologic grade, size, or location of the tumor, which is </w:t>
      </w:r>
      <w:r w:rsidR="00A55CC9" w:rsidRPr="00347522">
        <w:rPr>
          <w:rFonts w:ascii="Book Antiqua" w:hAnsi="Book Antiqua" w:cs="Times New Roman"/>
          <w:sz w:val="24"/>
          <w:szCs w:val="24"/>
          <w:lang w:val="en-US"/>
        </w:rPr>
        <w:t xml:space="preserve">also </w:t>
      </w:r>
      <w:r w:rsidR="007057E4" w:rsidRPr="00347522">
        <w:rPr>
          <w:rFonts w:ascii="Book Antiqua" w:hAnsi="Book Antiqua" w:cs="Times New Roman"/>
          <w:sz w:val="24"/>
          <w:szCs w:val="24"/>
          <w:lang w:val="en-US"/>
        </w:rPr>
        <w:t xml:space="preserve">consistent with the </w:t>
      </w:r>
      <w:r w:rsidR="00A55CC9" w:rsidRPr="00347522">
        <w:rPr>
          <w:rFonts w:ascii="Book Antiqua" w:hAnsi="Book Antiqua" w:cs="Times New Roman"/>
          <w:sz w:val="24"/>
          <w:szCs w:val="24"/>
          <w:lang w:val="en-US"/>
        </w:rPr>
        <w:t>literature data</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3</w:t>
      </w:r>
      <w:r w:rsidR="007057E4" w:rsidRPr="00347522">
        <w:rPr>
          <w:rFonts w:ascii="Book Antiqua" w:hAnsi="Book Antiqua" w:cs="Times New Roman"/>
          <w:sz w:val="24"/>
          <w:szCs w:val="24"/>
          <w:vertAlign w:val="superscript"/>
          <w:lang w:val="en-US"/>
        </w:rPr>
        <w:t>,5</w:t>
      </w:r>
      <w:r w:rsidR="006668C5" w:rsidRPr="00347522">
        <w:rPr>
          <w:rFonts w:ascii="Book Antiqua" w:hAnsi="Book Antiqua" w:cs="Times New Roman"/>
          <w:sz w:val="24"/>
          <w:szCs w:val="24"/>
          <w:vertAlign w:val="superscript"/>
          <w:lang w:val="en-US"/>
        </w:rPr>
        <w:t>2</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w:t>
      </w:r>
    </w:p>
    <w:p w14:paraId="517A5AC8" w14:textId="0088C15F" w:rsidR="007057E4" w:rsidRPr="00347522" w:rsidRDefault="004A0AC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lastRenderedPageBreak/>
        <w:t xml:space="preserve">  </w:t>
      </w:r>
      <w:r w:rsidR="007057E4" w:rsidRPr="00347522">
        <w:rPr>
          <w:rFonts w:ascii="Book Antiqua" w:hAnsi="Book Antiqua" w:cs="Times New Roman"/>
          <w:sz w:val="24"/>
          <w:szCs w:val="24"/>
          <w:lang w:val="en-US"/>
        </w:rPr>
        <w:t>In the current</w:t>
      </w:r>
      <w:r w:rsidRPr="00347522">
        <w:rPr>
          <w:rFonts w:ascii="Book Antiqua" w:hAnsi="Book Antiqua" w:cs="Times New Roman"/>
          <w:sz w:val="24"/>
          <w:szCs w:val="24"/>
          <w:lang w:val="en-US"/>
        </w:rPr>
        <w:t xml:space="preserve"> </w:t>
      </w:r>
      <w:r w:rsidR="00A55CC9" w:rsidRPr="00347522">
        <w:rPr>
          <w:rFonts w:ascii="Book Antiqua" w:hAnsi="Book Antiqua" w:cs="Times New Roman"/>
          <w:sz w:val="24"/>
          <w:szCs w:val="24"/>
          <w:lang w:val="en-US"/>
        </w:rPr>
        <w:t>study</w:t>
      </w: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it was also not possible to find statistically significant relationships between mucin expression (mRNA, protein) and survival of patients with CRC. In the 5-year period evaluated, seven people died of cancer (21%), the average survival was 52 mo from the time of surgery. The small number of patients analyzed, including the deceased, did not allow to draw binding conclusions on the predictive role of MUC1 and MUC2 tissue expression, in the CRC patients of the Greater Poland Region.</w:t>
      </w:r>
    </w:p>
    <w:p w14:paraId="5DF98BE9" w14:textId="6D6EBA8F" w:rsidR="007057E4" w:rsidRPr="00347522" w:rsidRDefault="004A0AC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007057E4" w:rsidRPr="00347522">
        <w:rPr>
          <w:rFonts w:ascii="Book Antiqua" w:hAnsi="Book Antiqua" w:cs="Times New Roman"/>
          <w:sz w:val="24"/>
          <w:szCs w:val="24"/>
          <w:lang w:val="en-US"/>
        </w:rPr>
        <w:t>Research by other authors points to a link between MUC1 overexpression and poorer survival, especially in mucinous tumors. These authors prove, that higher frequency of MUC1 immunoreactivity in the mucinous subtype of CRC was independently related to greater rate of cancer death in colorectal patients</w:t>
      </w:r>
      <w:r w:rsidR="007057E4" w:rsidRPr="00347522">
        <w:rPr>
          <w:rFonts w:ascii="Book Antiqua" w:hAnsi="Book Antiqua" w:cs="Times New Roman"/>
          <w:sz w:val="24"/>
          <w:szCs w:val="24"/>
          <w:vertAlign w:val="superscript"/>
          <w:lang w:val="en-US"/>
        </w:rPr>
        <w:t>[26]</w:t>
      </w:r>
      <w:r w:rsidR="007057E4" w:rsidRPr="00347522">
        <w:rPr>
          <w:rFonts w:ascii="Book Antiqua" w:hAnsi="Book Antiqua" w:cs="Times New Roman"/>
          <w:sz w:val="24"/>
          <w:szCs w:val="24"/>
          <w:lang w:val="en-US"/>
        </w:rPr>
        <w:t xml:space="preserve">. In the case of MUC2, however, other studies have also shown important correlations between MUC2 expression reduction/loss, shorter survival time (OS), shorter progression-free/disease-free (PFS) in patients </w:t>
      </w:r>
      <w:r w:rsidR="007057E4" w:rsidRPr="00347522">
        <w:rPr>
          <w:rFonts w:ascii="Book Antiqua" w:hAnsi="Book Antiqua" w:cs="Times New Roman"/>
          <w:sz w:val="24"/>
          <w:szCs w:val="24"/>
        </w:rPr>
        <w:t>with stage II and III colorectal carcinomas</w:t>
      </w:r>
      <w:r w:rsidR="007057E4" w:rsidRPr="00347522">
        <w:rPr>
          <w:rFonts w:ascii="Book Antiqua" w:hAnsi="Book Antiqua" w:cs="Times New Roman"/>
          <w:sz w:val="24"/>
          <w:szCs w:val="24"/>
          <w:vertAlign w:val="superscript"/>
          <w:lang w:val="en-US"/>
        </w:rPr>
        <w:t>[30,5</w:t>
      </w:r>
      <w:r w:rsidR="006668C5" w:rsidRPr="00347522">
        <w:rPr>
          <w:rFonts w:ascii="Book Antiqua" w:hAnsi="Book Antiqua" w:cs="Times New Roman"/>
          <w:sz w:val="24"/>
          <w:szCs w:val="24"/>
          <w:vertAlign w:val="superscript"/>
          <w:lang w:val="en-US"/>
        </w:rPr>
        <w:t>3</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and longer </w:t>
      </w:r>
      <w:r w:rsidR="007057E4" w:rsidRPr="00347522">
        <w:rPr>
          <w:rFonts w:ascii="Book Antiqua" w:hAnsi="Book Antiqua" w:cs="Times New Roman"/>
          <w:sz w:val="24"/>
          <w:szCs w:val="24"/>
        </w:rPr>
        <w:t>disease-free (DFS) and disease-specific survival (</w:t>
      </w:r>
      <w:r w:rsidR="007057E4" w:rsidRPr="00347522">
        <w:rPr>
          <w:rFonts w:ascii="Book Antiqua" w:hAnsi="Book Antiqua" w:cs="Times New Roman"/>
          <w:sz w:val="24"/>
          <w:szCs w:val="24"/>
          <w:lang w:val="en-US"/>
        </w:rPr>
        <w:t>DSS) in patients with positive MUC2 expression. The loss of expression of this mucin was correlated with the recurrence of cancer</w:t>
      </w:r>
      <w:r w:rsidR="007057E4" w:rsidRPr="00347522">
        <w:rPr>
          <w:rFonts w:ascii="Book Antiqua" w:hAnsi="Book Antiqua" w:cs="Times New Roman"/>
          <w:sz w:val="24"/>
          <w:szCs w:val="24"/>
          <w:vertAlign w:val="superscript"/>
          <w:lang w:val="en-US"/>
        </w:rPr>
        <w:t>[5</w:t>
      </w:r>
      <w:r w:rsidR="006668C5" w:rsidRPr="00347522">
        <w:rPr>
          <w:rFonts w:ascii="Book Antiqua" w:hAnsi="Book Antiqua" w:cs="Times New Roman"/>
          <w:sz w:val="24"/>
          <w:szCs w:val="24"/>
          <w:vertAlign w:val="superscript"/>
          <w:lang w:val="en-US"/>
        </w:rPr>
        <w:t>2</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In some studies, the relationship between MUC2 expression and survival was not spectacular, but only borderline, and more often concerned well-to-moderately differentiated adenocarcinomas </w:t>
      </w:r>
      <w:r w:rsidR="00CB2619">
        <w:rPr>
          <w:rFonts w:ascii="Book Antiqua" w:hAnsi="Book Antiqua" w:cs="Times New Roman"/>
          <w:sz w:val="24"/>
          <w:szCs w:val="24"/>
          <w:lang w:val="en-US"/>
        </w:rPr>
        <w:t>[</w:t>
      </w:r>
      <w:r w:rsidR="007057E4" w:rsidRPr="00347522">
        <w:rPr>
          <w:rFonts w:ascii="Book Antiqua" w:hAnsi="Book Antiqua" w:cs="Times New Roman"/>
          <w:i/>
          <w:iCs/>
          <w:sz w:val="24"/>
          <w:szCs w:val="24"/>
          <w:lang w:val="en-US"/>
        </w:rPr>
        <w:t>P</w:t>
      </w:r>
      <w:r w:rsidR="007057E4" w:rsidRPr="00347522">
        <w:rPr>
          <w:rFonts w:ascii="Book Antiqua" w:hAnsi="Book Antiqua" w:cs="Times New Roman"/>
          <w:sz w:val="24"/>
          <w:szCs w:val="24"/>
          <w:lang w:val="en-US"/>
        </w:rPr>
        <w:t xml:space="preserve"> = 0.064 for </w:t>
      </w:r>
      <w:r w:rsidR="00CB2619" w:rsidRPr="00CB2619">
        <w:rPr>
          <w:rFonts w:ascii="Book Antiqua" w:hAnsi="Book Antiqua" w:cs="Times New Roman"/>
          <w:sz w:val="24"/>
          <w:szCs w:val="24"/>
          <w:lang w:val="en-US"/>
        </w:rPr>
        <w:t>recurrence/metastasis-free survival (RFS)</w:t>
      </w:r>
      <w:r w:rsidR="007057E4" w:rsidRPr="00347522">
        <w:rPr>
          <w:rFonts w:ascii="Book Antiqua" w:hAnsi="Book Antiqua" w:cs="Times New Roman"/>
          <w:sz w:val="24"/>
          <w:szCs w:val="24"/>
          <w:lang w:val="en-US"/>
        </w:rPr>
        <w:t xml:space="preserve"> and </w:t>
      </w:r>
      <w:r w:rsidR="007057E4" w:rsidRPr="00347522">
        <w:rPr>
          <w:rFonts w:ascii="Book Antiqua" w:hAnsi="Book Antiqua" w:cs="Times New Roman"/>
          <w:i/>
          <w:iCs/>
          <w:sz w:val="24"/>
          <w:szCs w:val="24"/>
          <w:lang w:val="en-US"/>
        </w:rPr>
        <w:t>P</w:t>
      </w:r>
      <w:r w:rsidR="00CB2619">
        <w:rPr>
          <w:rFonts w:ascii="Book Antiqua" w:hAnsi="Book Antiqua" w:cs="Times New Roman"/>
          <w:sz w:val="24"/>
          <w:szCs w:val="24"/>
          <w:lang w:val="en-US"/>
        </w:rPr>
        <w:t xml:space="preserve"> = 0.172 for OS]</w:t>
      </w:r>
      <w:r w:rsidR="007057E4" w:rsidRPr="00347522">
        <w:rPr>
          <w:rFonts w:ascii="Book Antiqua" w:hAnsi="Book Antiqua" w:cs="Times New Roman"/>
          <w:sz w:val="24"/>
          <w:szCs w:val="24"/>
          <w:lang w:val="en-US"/>
        </w:rPr>
        <w:t xml:space="preserve"> but not for poorly differentiated adenocarcinomas</w:t>
      </w:r>
      <w:r w:rsidR="007057E4" w:rsidRPr="00347522">
        <w:rPr>
          <w:rFonts w:ascii="Book Antiqua" w:hAnsi="Book Antiqua" w:cs="Times New Roman"/>
          <w:sz w:val="24"/>
          <w:szCs w:val="24"/>
          <w:vertAlign w:val="superscript"/>
          <w:lang w:val="en-US"/>
        </w:rPr>
        <w:t>[4</w:t>
      </w:r>
      <w:r w:rsidR="006668C5" w:rsidRPr="00347522">
        <w:rPr>
          <w:rFonts w:ascii="Book Antiqua" w:hAnsi="Book Antiqua" w:cs="Times New Roman"/>
          <w:sz w:val="24"/>
          <w:szCs w:val="24"/>
          <w:vertAlign w:val="superscript"/>
          <w:lang w:val="en-US"/>
        </w:rPr>
        <w:t>3</w:t>
      </w:r>
      <w:r w:rsidR="007057E4" w:rsidRPr="00347522">
        <w:rPr>
          <w:rFonts w:ascii="Book Antiqua" w:hAnsi="Book Antiqua" w:cs="Times New Roman"/>
          <w:sz w:val="24"/>
          <w:szCs w:val="24"/>
          <w:vertAlign w:val="superscript"/>
          <w:lang w:val="en-US"/>
        </w:rPr>
        <w:t>]</w:t>
      </w:r>
      <w:r w:rsidR="007057E4" w:rsidRPr="00347522">
        <w:rPr>
          <w:rFonts w:ascii="Book Antiqua" w:hAnsi="Book Antiqua" w:cs="Times New Roman"/>
          <w:sz w:val="24"/>
          <w:szCs w:val="24"/>
          <w:lang w:val="en-US"/>
        </w:rPr>
        <w:t xml:space="preserve">. </w:t>
      </w:r>
    </w:p>
    <w:p w14:paraId="508B4AC3" w14:textId="27F83577" w:rsidR="007057E4" w:rsidRPr="00347522" w:rsidRDefault="004A0AC8"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 xml:space="preserve"> </w:t>
      </w:r>
      <w:r w:rsidRPr="00347522">
        <w:rPr>
          <w:rFonts w:ascii="Book Antiqua" w:hAnsi="Book Antiqua" w:cs="Times New Roman"/>
          <w:color w:val="000000" w:themeColor="text1"/>
          <w:sz w:val="24"/>
          <w:szCs w:val="24"/>
          <w:lang w:val="en-US"/>
        </w:rPr>
        <w:t xml:space="preserve"> </w:t>
      </w:r>
      <w:r w:rsidR="00A55CC9" w:rsidRPr="00347522">
        <w:rPr>
          <w:rFonts w:ascii="Book Antiqua" w:hAnsi="Book Antiqua" w:cs="Times New Roman"/>
          <w:color w:val="000000" w:themeColor="text1"/>
          <w:sz w:val="24"/>
          <w:szCs w:val="24"/>
          <w:lang w:val="en" w:eastAsia="pl-PL"/>
        </w:rPr>
        <w:t>Although the current study is based on a relatively small group of patients (</w:t>
      </w:r>
      <w:r w:rsidR="00A55CC9" w:rsidRPr="00347522">
        <w:rPr>
          <w:rFonts w:ascii="Book Antiqua" w:hAnsi="Book Antiqua" w:cs="Times New Roman"/>
          <w:i/>
          <w:color w:val="000000" w:themeColor="text1"/>
          <w:sz w:val="24"/>
          <w:szCs w:val="24"/>
          <w:lang w:val="en" w:eastAsia="pl-PL"/>
        </w:rPr>
        <w:t>n</w:t>
      </w:r>
      <w:r w:rsidRPr="00347522">
        <w:rPr>
          <w:rFonts w:ascii="Book Antiqua" w:hAnsi="Book Antiqua" w:cs="Times New Roman"/>
          <w:color w:val="000000" w:themeColor="text1"/>
          <w:sz w:val="24"/>
          <w:szCs w:val="24"/>
          <w:lang w:val="en" w:eastAsia="pl-PL"/>
        </w:rPr>
        <w:t xml:space="preserve"> </w:t>
      </w:r>
      <w:r w:rsidR="00A55CC9" w:rsidRPr="00347522">
        <w:rPr>
          <w:rFonts w:ascii="Book Antiqua" w:hAnsi="Book Antiqua" w:cs="Times New Roman"/>
          <w:color w:val="000000" w:themeColor="text1"/>
          <w:sz w:val="24"/>
          <w:szCs w:val="24"/>
          <w:lang w:val="en" w:eastAsia="pl-PL"/>
        </w:rPr>
        <w:t>=</w:t>
      </w:r>
      <w:r w:rsidRPr="00347522">
        <w:rPr>
          <w:rFonts w:ascii="Book Antiqua" w:hAnsi="Book Antiqua" w:cs="Times New Roman"/>
          <w:color w:val="000000" w:themeColor="text1"/>
          <w:sz w:val="24"/>
          <w:szCs w:val="24"/>
          <w:lang w:val="en" w:eastAsia="pl-PL"/>
        </w:rPr>
        <w:t xml:space="preserve"> </w:t>
      </w:r>
      <w:r w:rsidR="00A55CC9" w:rsidRPr="00347522">
        <w:rPr>
          <w:rFonts w:ascii="Book Antiqua" w:hAnsi="Book Antiqua" w:cs="Times New Roman"/>
          <w:color w:val="000000" w:themeColor="text1"/>
          <w:sz w:val="24"/>
          <w:szCs w:val="24"/>
          <w:lang w:val="en" w:eastAsia="pl-PL"/>
        </w:rPr>
        <w:t>34), with the predominance of nonmucinous subtype of CRC,</w:t>
      </w:r>
      <w:r w:rsidR="007057E4" w:rsidRPr="00347522">
        <w:rPr>
          <w:rFonts w:ascii="Book Antiqua" w:hAnsi="Book Antiqua" w:cs="Times New Roman"/>
          <w:color w:val="000000" w:themeColor="text1"/>
          <w:sz w:val="24"/>
          <w:szCs w:val="24"/>
          <w:lang w:val="en-US"/>
        </w:rPr>
        <w:t xml:space="preserve"> it can be assumed, that the expression of both mucins (MUC1 and MUC2), at the level of mRNA and protein, occurs in a normal and tumor-altered colon. Lower tissue expression of MUC2 in CRC, as compared with control, correlates with increased cellular proliferation an</w:t>
      </w:r>
      <w:r w:rsidR="007057E4" w:rsidRPr="00347522">
        <w:rPr>
          <w:rFonts w:ascii="Book Antiqua" w:hAnsi="Book Antiqua" w:cs="Times New Roman"/>
          <w:sz w:val="24"/>
          <w:szCs w:val="24"/>
          <w:lang w:val="en-US"/>
        </w:rPr>
        <w:t xml:space="preserve">d could become a marker of cancer progression. The intensity of MUC2 expression allows to differentiate mucinous and nonmucinous CRC subtypes. </w:t>
      </w:r>
    </w:p>
    <w:p w14:paraId="6ADA697E" w14:textId="5427BF65" w:rsidR="00CD5E56" w:rsidRPr="00347522" w:rsidRDefault="004A0AC8" w:rsidP="00347522">
      <w:pPr>
        <w:pStyle w:val="HTMLPreformatted"/>
        <w:adjustRightInd w:val="0"/>
        <w:snapToGrid w:val="0"/>
        <w:spacing w:line="360" w:lineRule="auto"/>
        <w:jc w:val="both"/>
        <w:rPr>
          <w:rFonts w:ascii="Book Antiqua" w:hAnsi="Book Antiqua"/>
        </w:rPr>
      </w:pPr>
      <w:r w:rsidRPr="00347522">
        <w:rPr>
          <w:rFonts w:ascii="Book Antiqua" w:hAnsi="Book Antiqua" w:cs="Times New Roman"/>
          <w:color w:val="FF0000"/>
          <w:lang w:val="en-US"/>
        </w:rPr>
        <w:t xml:space="preserve">  </w:t>
      </w:r>
      <w:r w:rsidR="00CD5E56" w:rsidRPr="00347522">
        <w:rPr>
          <w:rFonts w:ascii="Book Antiqua" w:hAnsi="Book Antiqua" w:cs="Times New Roman"/>
          <w:color w:val="000000" w:themeColor="text1"/>
          <w:lang w:val="en-US"/>
        </w:rPr>
        <w:t xml:space="preserve">The clinical limitations </w:t>
      </w:r>
      <w:r w:rsidR="00CD5E56" w:rsidRPr="00347522">
        <w:rPr>
          <w:rFonts w:ascii="Book Antiqua" w:hAnsi="Book Antiqua" w:cs="Times New Roman"/>
          <w:color w:val="000000" w:themeColor="text1"/>
          <w:lang w:val="en"/>
        </w:rPr>
        <w:t>of the current study can be summarized as follows:</w:t>
      </w:r>
      <w:r w:rsidRPr="00347522">
        <w:rPr>
          <w:rFonts w:ascii="Book Antiqua" w:hAnsi="Book Antiqua" w:cs="Times New Roman"/>
          <w:color w:val="000000" w:themeColor="text1"/>
          <w:lang w:val="en"/>
        </w:rPr>
        <w:t xml:space="preserve"> (1)</w:t>
      </w:r>
      <w:r w:rsidR="00D24F02" w:rsidRPr="00347522">
        <w:rPr>
          <w:rFonts w:ascii="Book Antiqua" w:hAnsi="Book Antiqua" w:cs="Times New Roman"/>
          <w:color w:val="000000" w:themeColor="text1"/>
          <w:lang w:val="en"/>
        </w:rPr>
        <w:t xml:space="preserve"> </w:t>
      </w:r>
      <w:r w:rsidR="00CD5E56" w:rsidRPr="00347522">
        <w:rPr>
          <w:rFonts w:ascii="Book Antiqua" w:hAnsi="Book Antiqua"/>
        </w:rPr>
        <w:t xml:space="preserve">Most likely due to the homogeneous study group </w:t>
      </w:r>
      <w:r w:rsidR="00CD5E56" w:rsidRPr="00347522">
        <w:rPr>
          <w:rFonts w:ascii="Book Antiqua" w:hAnsi="Book Antiqua"/>
          <w:lang w:val="en-US"/>
        </w:rPr>
        <w:t xml:space="preserve">in the range of histologically </w:t>
      </w:r>
      <w:r w:rsidR="00CD5E56" w:rsidRPr="00347522">
        <w:rPr>
          <w:rFonts w:ascii="Book Antiqua" w:hAnsi="Book Antiqua"/>
          <w:lang w:val="en-US"/>
        </w:rPr>
        <w:lastRenderedPageBreak/>
        <w:t xml:space="preserve">assessed parameters (68% patients with </w:t>
      </w:r>
      <w:r w:rsidR="00145092" w:rsidRPr="00347522">
        <w:rPr>
          <w:rFonts w:ascii="Book Antiqua" w:hAnsi="Book Antiqua"/>
          <w:lang w:val="en-US"/>
        </w:rPr>
        <w:t>G2</w:t>
      </w:r>
      <w:r w:rsidR="00CD5E56" w:rsidRPr="00347522">
        <w:rPr>
          <w:rFonts w:ascii="Book Antiqua" w:hAnsi="Book Antiqua"/>
          <w:lang w:val="en-US"/>
        </w:rPr>
        <w:t xml:space="preserve"> and 85% with stage III and IV in TNM classification)</w:t>
      </w:r>
      <w:r w:rsidR="00CD5E56" w:rsidRPr="00347522">
        <w:rPr>
          <w:rFonts w:ascii="Book Antiqua" w:hAnsi="Book Antiqua"/>
        </w:rPr>
        <w:t>, not all differences in MUC1 and MUC2 expression or correlations with clinical data have reached statistical significance.</w:t>
      </w:r>
      <w:r w:rsidR="00D24F02" w:rsidRPr="00347522">
        <w:rPr>
          <w:rFonts w:ascii="Book Antiqua" w:hAnsi="Book Antiqua"/>
        </w:rPr>
        <w:t xml:space="preserve"> And (2)</w:t>
      </w:r>
      <w:r w:rsidR="008F094C" w:rsidRPr="00347522">
        <w:rPr>
          <w:rFonts w:ascii="Book Antiqua" w:hAnsi="Book Antiqua"/>
        </w:rPr>
        <w:t xml:space="preserve"> </w:t>
      </w:r>
      <w:r w:rsidR="00CD5E56" w:rsidRPr="00347522">
        <w:rPr>
          <w:rFonts w:ascii="Book Antiqua" w:hAnsi="Book Antiqua"/>
        </w:rPr>
        <w:t>The small number of deceased patients (</w:t>
      </w:r>
      <w:r w:rsidR="00CD5E56" w:rsidRPr="00347522">
        <w:rPr>
          <w:rFonts w:ascii="Book Antiqua" w:hAnsi="Book Antiqua"/>
          <w:i/>
        </w:rPr>
        <w:t>n</w:t>
      </w:r>
      <w:r w:rsidR="0059592A" w:rsidRPr="00347522">
        <w:rPr>
          <w:rFonts w:ascii="Book Antiqua" w:hAnsi="Book Antiqua"/>
        </w:rPr>
        <w:t xml:space="preserve"> </w:t>
      </w:r>
      <w:r w:rsidR="00CD5E56" w:rsidRPr="00347522">
        <w:rPr>
          <w:rFonts w:ascii="Book Antiqua" w:hAnsi="Book Antiqua"/>
        </w:rPr>
        <w:t>=</w:t>
      </w:r>
      <w:r w:rsidR="0059592A" w:rsidRPr="00347522">
        <w:rPr>
          <w:rFonts w:ascii="Book Antiqua" w:hAnsi="Book Antiqua"/>
        </w:rPr>
        <w:t xml:space="preserve"> </w:t>
      </w:r>
      <w:r w:rsidR="00CD5E56" w:rsidRPr="00347522">
        <w:rPr>
          <w:rFonts w:ascii="Book Antiqua" w:hAnsi="Book Antiqua"/>
        </w:rPr>
        <w:t xml:space="preserve">7) analyzed in the current study, did not allow to draw binding conclusions on the predictive role of MUC1 and MUC2 tissue expression for the survival time of patients with CRC of the Greater Poland Region. </w:t>
      </w:r>
    </w:p>
    <w:p w14:paraId="40627C1B" w14:textId="0FCD5C8B" w:rsidR="0059592A" w:rsidRPr="00347522" w:rsidRDefault="0059592A" w:rsidP="00347522">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ind w:left="0"/>
        <w:contextualSpacing w:val="0"/>
        <w:jc w:val="both"/>
        <w:rPr>
          <w:rFonts w:ascii="Book Antiqua" w:hAnsi="Book Antiqua" w:cs="Times New Roman"/>
          <w:color w:val="000000" w:themeColor="text1"/>
          <w:sz w:val="24"/>
          <w:szCs w:val="24"/>
          <w:lang w:val="en-US" w:eastAsia="pl-PL"/>
        </w:rPr>
      </w:pPr>
      <w:r w:rsidRPr="00347522">
        <w:rPr>
          <w:rFonts w:ascii="Book Antiqua" w:hAnsi="Book Antiqua" w:cs="Times New Roman"/>
          <w:color w:val="000000" w:themeColor="text1"/>
          <w:sz w:val="24"/>
          <w:szCs w:val="24"/>
          <w:lang w:val="en-US" w:eastAsia="pl-PL"/>
        </w:rPr>
        <w:t xml:space="preserve">  </w:t>
      </w:r>
      <w:r w:rsidR="00CD5E56" w:rsidRPr="00347522">
        <w:rPr>
          <w:rFonts w:ascii="Book Antiqua" w:hAnsi="Book Antiqua" w:cs="Times New Roman"/>
          <w:color w:val="000000" w:themeColor="text1"/>
          <w:sz w:val="24"/>
          <w:szCs w:val="24"/>
          <w:lang w:val="en-US" w:eastAsia="pl-PL"/>
        </w:rPr>
        <w:t xml:space="preserve">Future study is required </w:t>
      </w:r>
      <w:r w:rsidR="00CD5E56" w:rsidRPr="00347522">
        <w:rPr>
          <w:rFonts w:ascii="Book Antiqua" w:hAnsi="Book Antiqua" w:cs="Times New Roman"/>
          <w:color w:val="000000" w:themeColor="text1"/>
          <w:sz w:val="24"/>
          <w:szCs w:val="24"/>
          <w:lang w:val="en-US"/>
        </w:rPr>
        <w:t xml:space="preserve">and a larger number of patients should be evaluated to confirm our findings. </w:t>
      </w:r>
      <w:r w:rsidR="009512F6" w:rsidRPr="00347522">
        <w:rPr>
          <w:rFonts w:ascii="Book Antiqua" w:hAnsi="Book Antiqua" w:cs="Times New Roman"/>
          <w:color w:val="000000" w:themeColor="text1"/>
          <w:sz w:val="24"/>
          <w:szCs w:val="24"/>
          <w:lang w:val="en-US"/>
        </w:rPr>
        <w:t xml:space="preserve">Better </w:t>
      </w:r>
      <w:r w:rsidR="009512F6" w:rsidRPr="00347522">
        <w:rPr>
          <w:rFonts w:ascii="Book Antiqua" w:hAnsi="Book Antiqua" w:cs="Times New Roman"/>
          <w:color w:val="000000" w:themeColor="text1"/>
          <w:sz w:val="24"/>
          <w:szCs w:val="24"/>
          <w:lang w:val="en" w:eastAsia="pl-PL"/>
        </w:rPr>
        <w:t xml:space="preserve">characterization of the role of mucins in </w:t>
      </w:r>
      <w:r w:rsidR="00CD5E56" w:rsidRPr="00347522">
        <w:rPr>
          <w:rFonts w:ascii="Book Antiqua" w:hAnsi="Book Antiqua" w:cs="Times New Roman"/>
          <w:color w:val="000000" w:themeColor="text1"/>
          <w:sz w:val="24"/>
          <w:szCs w:val="24"/>
          <w:lang w:val="en" w:eastAsia="pl-PL"/>
        </w:rPr>
        <w:t xml:space="preserve">molecular mechanisms </w:t>
      </w:r>
      <w:r w:rsidR="009512F6" w:rsidRPr="00347522">
        <w:rPr>
          <w:rFonts w:ascii="Book Antiqua" w:hAnsi="Book Antiqua" w:cs="Times New Roman"/>
          <w:color w:val="000000" w:themeColor="text1"/>
          <w:sz w:val="24"/>
          <w:szCs w:val="24"/>
          <w:lang w:val="en" w:eastAsia="pl-PL"/>
        </w:rPr>
        <w:t>in colorectal carcinogenesis r</w:t>
      </w:r>
      <w:r w:rsidR="00CD5E56" w:rsidRPr="00347522">
        <w:rPr>
          <w:rFonts w:ascii="Book Antiqua" w:hAnsi="Book Antiqua" w:cs="Times New Roman"/>
          <w:color w:val="000000" w:themeColor="text1"/>
          <w:sz w:val="24"/>
          <w:szCs w:val="24"/>
          <w:lang w:val="en" w:eastAsia="pl-PL"/>
        </w:rPr>
        <w:t xml:space="preserve">equires further testing, also on an </w:t>
      </w:r>
      <w:r w:rsidR="00CD5E56" w:rsidRPr="00347522">
        <w:rPr>
          <w:rFonts w:ascii="Book Antiqua" w:hAnsi="Book Antiqua" w:cs="Times New Roman"/>
          <w:i/>
          <w:color w:val="000000" w:themeColor="text1"/>
          <w:sz w:val="24"/>
          <w:szCs w:val="24"/>
          <w:lang w:val="en" w:eastAsia="pl-PL"/>
        </w:rPr>
        <w:t>in vitro</w:t>
      </w:r>
      <w:r w:rsidR="00CD5E56" w:rsidRPr="00347522">
        <w:rPr>
          <w:rFonts w:ascii="Book Antiqua" w:hAnsi="Book Antiqua" w:cs="Times New Roman"/>
          <w:color w:val="000000" w:themeColor="text1"/>
          <w:sz w:val="24"/>
          <w:szCs w:val="24"/>
          <w:lang w:val="en" w:eastAsia="pl-PL"/>
        </w:rPr>
        <w:t xml:space="preserve"> model.</w:t>
      </w:r>
    </w:p>
    <w:p w14:paraId="6786C250" w14:textId="14A42DC1" w:rsidR="00580045" w:rsidRPr="00347522" w:rsidRDefault="0059592A" w:rsidP="00347522">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ind w:left="0"/>
        <w:contextualSpacing w:val="0"/>
        <w:jc w:val="both"/>
        <w:rPr>
          <w:rFonts w:ascii="Book Antiqua" w:hAnsi="Book Antiqua"/>
          <w:sz w:val="24"/>
          <w:szCs w:val="24"/>
        </w:rPr>
      </w:pPr>
      <w:r w:rsidRPr="00347522">
        <w:rPr>
          <w:rFonts w:ascii="Book Antiqua" w:hAnsi="Book Antiqua" w:cs="Times New Roman"/>
          <w:bCs/>
          <w:color w:val="000000" w:themeColor="text1"/>
          <w:sz w:val="24"/>
          <w:szCs w:val="24"/>
          <w:lang w:val="en-US"/>
        </w:rPr>
        <w:t xml:space="preserve">  In conclusion,</w:t>
      </w:r>
      <w:r w:rsidR="009E0F99" w:rsidRPr="00347522">
        <w:rPr>
          <w:rFonts w:ascii="Book Antiqua" w:hAnsi="Book Antiqua" w:cs="Times New Roman"/>
          <w:bCs/>
          <w:color w:val="000000" w:themeColor="text1"/>
          <w:sz w:val="24"/>
          <w:szCs w:val="24"/>
          <w:lang w:val="en-US"/>
        </w:rPr>
        <w:t xml:space="preserve"> </w:t>
      </w:r>
      <w:r w:rsidR="009E0F99" w:rsidRPr="00347522">
        <w:rPr>
          <w:rFonts w:ascii="Book Antiqua" w:hAnsi="Book Antiqua"/>
          <w:sz w:val="24"/>
          <w:szCs w:val="24"/>
        </w:rPr>
        <w:t>a</w:t>
      </w:r>
      <w:r w:rsidR="00580045" w:rsidRPr="00347522">
        <w:rPr>
          <w:rFonts w:ascii="Book Antiqua" w:hAnsi="Book Antiqua"/>
          <w:sz w:val="24"/>
          <w:szCs w:val="24"/>
        </w:rPr>
        <w:t xml:space="preserve"> combination of tissue overexpression of MUC1, reduced MUC2 expression, and high ratio of MUC1/MUC2 is a factor of poor prognosis in CRC patients. MUC2 tissue expression allows to differentiate mucinous and nonmucinous CRC subtypes.</w:t>
      </w:r>
    </w:p>
    <w:p w14:paraId="61764EC5" w14:textId="77777777" w:rsidR="003647AA" w:rsidRPr="00347522" w:rsidRDefault="003647AA" w:rsidP="00347522">
      <w:pPr>
        <w:adjustRightInd w:val="0"/>
        <w:snapToGrid w:val="0"/>
        <w:spacing w:line="360" w:lineRule="auto"/>
        <w:ind w:firstLineChars="0" w:firstLine="0"/>
        <w:jc w:val="both"/>
        <w:rPr>
          <w:rFonts w:ascii="Book Antiqua" w:hAnsi="Book Antiqua" w:cs="Segoe UI"/>
          <w:b/>
          <w:caps/>
          <w:color w:val="000000" w:themeColor="text1"/>
          <w:sz w:val="24"/>
          <w:szCs w:val="24"/>
          <w:shd w:val="clear" w:color="auto" w:fill="FFFFFF"/>
        </w:rPr>
      </w:pPr>
      <w:bookmarkStart w:id="29" w:name="OLE_LINK158"/>
      <w:bookmarkStart w:id="30" w:name="OLE_LINK159"/>
      <w:bookmarkStart w:id="31" w:name="OLE_LINK205"/>
      <w:bookmarkStart w:id="32" w:name="OLE_LINK206"/>
      <w:bookmarkStart w:id="33" w:name="OLE_LINK244"/>
      <w:bookmarkStart w:id="34" w:name="OLE_LINK245"/>
    </w:p>
    <w:p w14:paraId="06D585B1" w14:textId="77777777" w:rsidR="003E7F93" w:rsidRPr="00347522" w:rsidRDefault="0069767B" w:rsidP="00347522">
      <w:pPr>
        <w:adjustRightInd w:val="0"/>
        <w:snapToGrid w:val="0"/>
        <w:spacing w:line="360" w:lineRule="auto"/>
        <w:ind w:firstLineChars="0" w:firstLine="0"/>
        <w:jc w:val="both"/>
        <w:rPr>
          <w:rFonts w:ascii="Book Antiqua" w:hAnsi="Book Antiqua" w:cs="Segoe UI"/>
          <w:b/>
          <w:caps/>
          <w:color w:val="000000" w:themeColor="text1"/>
          <w:sz w:val="24"/>
          <w:szCs w:val="24"/>
          <w:shd w:val="clear" w:color="auto" w:fill="FFFFFF"/>
        </w:rPr>
      </w:pPr>
      <w:r w:rsidRPr="00347522">
        <w:rPr>
          <w:rFonts w:ascii="Book Antiqua" w:hAnsi="Book Antiqua" w:cs="Segoe UI"/>
          <w:b/>
          <w:caps/>
          <w:color w:val="000000" w:themeColor="text1"/>
          <w:sz w:val="24"/>
          <w:szCs w:val="24"/>
          <w:shd w:val="clear" w:color="auto" w:fill="FFFFFF"/>
        </w:rPr>
        <w:t xml:space="preserve">Article Highlights </w:t>
      </w:r>
    </w:p>
    <w:p w14:paraId="5D36C490" w14:textId="77777777" w:rsidR="003E7F93" w:rsidRPr="00347522" w:rsidRDefault="003E7F93" w:rsidP="00347522">
      <w:pPr>
        <w:adjustRightInd w:val="0"/>
        <w:snapToGrid w:val="0"/>
        <w:spacing w:line="360" w:lineRule="auto"/>
        <w:ind w:firstLineChars="0" w:firstLine="0"/>
        <w:jc w:val="both"/>
        <w:rPr>
          <w:rFonts w:ascii="Book Antiqua" w:hAnsi="Book Antiqua"/>
          <w:b/>
          <w:i/>
          <w:color w:val="000000" w:themeColor="text1"/>
          <w:sz w:val="24"/>
          <w:szCs w:val="24"/>
        </w:rPr>
      </w:pPr>
      <w:r w:rsidRPr="00347522">
        <w:rPr>
          <w:rFonts w:ascii="Book Antiqua" w:hAnsi="Book Antiqua"/>
          <w:b/>
          <w:i/>
          <w:color w:val="000000" w:themeColor="text1"/>
          <w:sz w:val="24"/>
          <w:szCs w:val="24"/>
        </w:rPr>
        <w:t xml:space="preserve">Research background  </w:t>
      </w:r>
    </w:p>
    <w:p w14:paraId="191FAD3E" w14:textId="109DD82B" w:rsidR="003E7F93" w:rsidRPr="00347522" w:rsidRDefault="003E7F93"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In Poland</w:t>
      </w:r>
      <w:r w:rsidR="0059592A"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colorectal carcinoma (CRC) is the second most common cancer in men and woman, with the third leading causes of cancer deaths in Greater Poland Region. Altered mucin expression </w:t>
      </w:r>
      <w:r w:rsidR="004A5EA6" w:rsidRPr="00B9604D">
        <w:rPr>
          <w:rFonts w:ascii="Book Antiqua" w:eastAsiaTheme="minorEastAsia" w:hAnsi="Book Antiqua" w:cs="Times New Roman"/>
          <w:color w:val="000000" w:themeColor="text1"/>
          <w:sz w:val="24"/>
          <w:szCs w:val="24"/>
          <w:lang w:val="en-US" w:eastAsia="zh-CN"/>
        </w:rPr>
        <w:t>is</w:t>
      </w:r>
      <w:r w:rsidRPr="004A5EA6">
        <w:rPr>
          <w:rFonts w:ascii="Book Antiqua" w:hAnsi="Book Antiqua" w:cs="Times New Roman"/>
          <w:color w:val="000000" w:themeColor="text1"/>
          <w:sz w:val="24"/>
          <w:szCs w:val="24"/>
          <w:lang w:val="en-US"/>
        </w:rPr>
        <w:t xml:space="preserve"> </w:t>
      </w:r>
      <w:r w:rsidRPr="00347522">
        <w:rPr>
          <w:rFonts w:ascii="Book Antiqua" w:hAnsi="Book Antiqua" w:cs="Times New Roman"/>
          <w:color w:val="000000" w:themeColor="text1"/>
          <w:sz w:val="24"/>
          <w:szCs w:val="24"/>
          <w:lang w:val="en-US"/>
        </w:rPr>
        <w:t xml:space="preserve">correlated with the prognosis of this cancer. </w:t>
      </w:r>
      <w:r w:rsidRPr="00347522">
        <w:rPr>
          <w:rFonts w:ascii="Book Antiqua" w:hAnsi="Book Antiqua" w:cs="Times New Roman"/>
          <w:i/>
          <w:color w:val="000000" w:themeColor="text1"/>
          <w:sz w:val="24"/>
          <w:szCs w:val="24"/>
          <w:lang w:val="en-US"/>
        </w:rPr>
        <w:t>In vivo</w:t>
      </w:r>
      <w:r w:rsidRPr="00347522">
        <w:rPr>
          <w:rFonts w:ascii="Book Antiqua" w:hAnsi="Book Antiqua" w:cs="Times New Roman"/>
          <w:color w:val="000000" w:themeColor="text1"/>
          <w:sz w:val="24"/>
          <w:szCs w:val="24"/>
          <w:lang w:val="en-US"/>
        </w:rPr>
        <w:t xml:space="preserve"> as well as </w:t>
      </w:r>
      <w:r w:rsidRPr="00347522">
        <w:rPr>
          <w:rFonts w:ascii="Book Antiqua" w:hAnsi="Book Antiqua" w:cs="Times New Roman"/>
          <w:i/>
          <w:color w:val="000000" w:themeColor="text1"/>
          <w:sz w:val="24"/>
          <w:szCs w:val="24"/>
          <w:lang w:val="en-US"/>
        </w:rPr>
        <w:t>in vitro</w:t>
      </w:r>
      <w:r w:rsidRPr="00347522">
        <w:rPr>
          <w:rFonts w:ascii="Book Antiqua" w:hAnsi="Book Antiqua" w:cs="Times New Roman"/>
          <w:color w:val="000000" w:themeColor="text1"/>
          <w:sz w:val="24"/>
          <w:szCs w:val="24"/>
          <w:lang w:val="en-US"/>
        </w:rPr>
        <w:t xml:space="preserve"> studies on the expression of mucins may have also therapeutic implications.</w:t>
      </w:r>
    </w:p>
    <w:p w14:paraId="24577945" w14:textId="77777777" w:rsidR="0059592A" w:rsidRPr="00347522" w:rsidRDefault="0059592A" w:rsidP="00347522">
      <w:pPr>
        <w:adjustRightInd w:val="0"/>
        <w:snapToGrid w:val="0"/>
        <w:spacing w:line="360" w:lineRule="auto"/>
        <w:ind w:firstLineChars="0" w:firstLine="0"/>
        <w:jc w:val="both"/>
        <w:rPr>
          <w:rFonts w:ascii="Book Antiqua" w:hAnsi="Book Antiqua"/>
          <w:b/>
          <w:i/>
          <w:color w:val="000000" w:themeColor="text1"/>
          <w:sz w:val="24"/>
          <w:szCs w:val="24"/>
        </w:rPr>
      </w:pPr>
    </w:p>
    <w:p w14:paraId="6F45F0B2" w14:textId="77777777" w:rsidR="003E7F93" w:rsidRPr="00347522" w:rsidRDefault="003E7F93" w:rsidP="00347522">
      <w:pPr>
        <w:adjustRightInd w:val="0"/>
        <w:snapToGrid w:val="0"/>
        <w:spacing w:line="360" w:lineRule="auto"/>
        <w:ind w:firstLineChars="0" w:firstLine="0"/>
        <w:jc w:val="both"/>
        <w:rPr>
          <w:rFonts w:ascii="Book Antiqua" w:hAnsi="Book Antiqua"/>
          <w:b/>
          <w:i/>
          <w:color w:val="000000" w:themeColor="text1"/>
          <w:sz w:val="24"/>
          <w:szCs w:val="24"/>
        </w:rPr>
      </w:pPr>
      <w:r w:rsidRPr="00347522">
        <w:rPr>
          <w:rFonts w:ascii="Book Antiqua" w:hAnsi="Book Antiqua"/>
          <w:b/>
          <w:i/>
          <w:color w:val="000000" w:themeColor="text1"/>
          <w:sz w:val="24"/>
          <w:szCs w:val="24"/>
        </w:rPr>
        <w:t>Research motivation</w:t>
      </w:r>
    </w:p>
    <w:p w14:paraId="692FE050" w14:textId="77777777" w:rsidR="003E7F93" w:rsidRPr="00347522" w:rsidRDefault="003E7F93" w:rsidP="00347522">
      <w:pPr>
        <w:adjustRightInd w:val="0"/>
        <w:snapToGrid w:val="0"/>
        <w:spacing w:line="360" w:lineRule="auto"/>
        <w:ind w:firstLineChars="0" w:firstLine="0"/>
        <w:jc w:val="both"/>
        <w:rPr>
          <w:rFonts w:ascii="Book Antiqua" w:eastAsiaTheme="minorEastAsia" w:hAnsi="Book Antiqua"/>
          <w:b/>
          <w:color w:val="000000" w:themeColor="text1"/>
          <w:sz w:val="24"/>
          <w:szCs w:val="24"/>
        </w:rPr>
      </w:pPr>
      <w:r w:rsidRPr="00347522">
        <w:rPr>
          <w:rFonts w:ascii="Book Antiqua" w:hAnsi="Book Antiqua" w:cs="Times New Roman"/>
          <w:color w:val="000000" w:themeColor="text1"/>
          <w:sz w:val="24"/>
          <w:szCs w:val="24"/>
          <w:lang w:val="en-US"/>
        </w:rPr>
        <w:t>The role of mucin expression at various stages of the colon carcinogenesis is incomplete. The prognostic role of mucins in the mucinous subtypes of CRC is poorly known. Research into the role of mucins in pathogenesis and CRC clinical studies (especially in mucinous subtypes) are also current topics from a methodological point of view. The lack of standardized methods of quantitative evaluation of mucins expression (especially at tissue level) and/or frequent lack of control groups, are a great difficulty in comparative analysis.</w:t>
      </w:r>
    </w:p>
    <w:p w14:paraId="4AD4224F" w14:textId="77777777" w:rsidR="0059592A" w:rsidRPr="00347522" w:rsidRDefault="0059592A" w:rsidP="00347522">
      <w:pPr>
        <w:adjustRightInd w:val="0"/>
        <w:snapToGrid w:val="0"/>
        <w:spacing w:line="360" w:lineRule="auto"/>
        <w:ind w:firstLineChars="0" w:firstLine="0"/>
        <w:jc w:val="both"/>
        <w:rPr>
          <w:rFonts w:ascii="Book Antiqua" w:hAnsi="Book Antiqua"/>
          <w:b/>
          <w:i/>
          <w:color w:val="000000" w:themeColor="text1"/>
          <w:sz w:val="24"/>
          <w:szCs w:val="24"/>
        </w:rPr>
      </w:pPr>
    </w:p>
    <w:p w14:paraId="6CBD3C72" w14:textId="77777777" w:rsidR="003E7F93" w:rsidRPr="00347522" w:rsidRDefault="003E7F93" w:rsidP="00347522">
      <w:pPr>
        <w:adjustRightInd w:val="0"/>
        <w:snapToGrid w:val="0"/>
        <w:spacing w:line="360" w:lineRule="auto"/>
        <w:ind w:firstLineChars="0" w:firstLine="0"/>
        <w:jc w:val="both"/>
        <w:rPr>
          <w:rFonts w:ascii="Book Antiqua" w:hAnsi="Book Antiqua"/>
          <w:b/>
          <w:i/>
          <w:color w:val="000000" w:themeColor="text1"/>
          <w:sz w:val="24"/>
          <w:szCs w:val="24"/>
        </w:rPr>
      </w:pPr>
      <w:r w:rsidRPr="00347522">
        <w:rPr>
          <w:rFonts w:ascii="Book Antiqua" w:hAnsi="Book Antiqua"/>
          <w:b/>
          <w:i/>
          <w:color w:val="000000" w:themeColor="text1"/>
          <w:sz w:val="24"/>
          <w:szCs w:val="24"/>
        </w:rPr>
        <w:t>Research objectives</w:t>
      </w:r>
    </w:p>
    <w:p w14:paraId="32C4C405" w14:textId="578A93D0" w:rsidR="003E7F93" w:rsidRPr="00347522" w:rsidRDefault="003E7F93"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rPr>
        <w:t xml:space="preserve">Current research </w:t>
      </w:r>
      <w:r w:rsidRPr="00347522">
        <w:rPr>
          <w:rFonts w:ascii="Book Antiqua" w:hAnsi="Book Antiqua" w:cs="Times New Roman"/>
          <w:color w:val="000000" w:themeColor="text1"/>
          <w:sz w:val="24"/>
          <w:szCs w:val="24"/>
          <w:lang w:val="en-US"/>
        </w:rPr>
        <w:t>determines tissue expression (mRNA, protein) of membrane</w:t>
      </w:r>
      <w:r w:rsidRPr="00347522">
        <w:rPr>
          <w:rFonts w:ascii="Book Antiqua" w:hAnsi="Book Antiqua" w:cs="Times New Roman"/>
          <w:color w:val="000000" w:themeColor="text1"/>
          <w:sz w:val="24"/>
          <w:szCs w:val="24"/>
        </w:rPr>
        <w:t xml:space="preserve">-bound mucin </w:t>
      </w:r>
      <w:r w:rsidR="00145092" w:rsidRPr="00347522">
        <w:rPr>
          <w:rFonts w:ascii="Book Antiqua" w:hAnsi="Book Antiqua" w:cs="Times New Roman"/>
          <w:color w:val="000000" w:themeColor="text1"/>
          <w:sz w:val="24"/>
          <w:szCs w:val="24"/>
        </w:rPr>
        <w:t xml:space="preserve">[mucin 1 </w:t>
      </w:r>
      <w:r w:rsidRPr="00347522">
        <w:rPr>
          <w:rFonts w:ascii="Book Antiqua" w:hAnsi="Book Antiqua" w:cs="Times New Roman"/>
          <w:color w:val="000000" w:themeColor="text1"/>
          <w:sz w:val="24"/>
          <w:szCs w:val="24"/>
          <w:lang w:val="en-US"/>
        </w:rPr>
        <w:t>(MUC1)</w:t>
      </w:r>
      <w:r w:rsidR="00145092"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and secretory mucin </w:t>
      </w:r>
      <w:r w:rsidR="00145092" w:rsidRPr="00347522">
        <w:rPr>
          <w:rFonts w:ascii="Book Antiqua" w:hAnsi="Book Antiqua" w:cs="Times New Roman"/>
          <w:color w:val="000000" w:themeColor="text1"/>
          <w:sz w:val="24"/>
          <w:szCs w:val="24"/>
          <w:lang w:val="en-US"/>
        </w:rPr>
        <w:t xml:space="preserve">[mucin 2 </w:t>
      </w:r>
      <w:r w:rsidRPr="00347522">
        <w:rPr>
          <w:rFonts w:ascii="Book Antiqua" w:hAnsi="Book Antiqua" w:cs="Times New Roman"/>
          <w:color w:val="000000" w:themeColor="text1"/>
          <w:sz w:val="24"/>
          <w:szCs w:val="24"/>
          <w:lang w:val="en-US"/>
        </w:rPr>
        <w:t>(MUC2)</w:t>
      </w:r>
      <w:r w:rsidR="00145092" w:rsidRPr="00347522">
        <w:rPr>
          <w:rFonts w:ascii="Book Antiqua" w:hAnsi="Book Antiqua" w:cs="Times New Roman"/>
          <w:color w:val="000000" w:themeColor="text1"/>
          <w:sz w:val="24"/>
          <w:szCs w:val="24"/>
          <w:lang w:val="en-US"/>
        </w:rPr>
        <w:t>]</w:t>
      </w:r>
      <w:r w:rsidRPr="00347522">
        <w:rPr>
          <w:rFonts w:ascii="Book Antiqua" w:hAnsi="Book Antiqua" w:cs="Times New Roman"/>
          <w:color w:val="000000" w:themeColor="text1"/>
          <w:sz w:val="24"/>
          <w:szCs w:val="24"/>
          <w:lang w:val="en-US"/>
        </w:rPr>
        <w:t xml:space="preserve"> in healthy and colorectal cancer tissue samples and evaluates the relationship between tissue expression of both mucins and selected clinicopathological data of the patients with CRC. </w:t>
      </w:r>
    </w:p>
    <w:p w14:paraId="47350D29" w14:textId="77777777" w:rsidR="0059592A" w:rsidRPr="00347522" w:rsidRDefault="0059592A" w:rsidP="00347522">
      <w:pPr>
        <w:adjustRightInd w:val="0"/>
        <w:snapToGrid w:val="0"/>
        <w:spacing w:line="360" w:lineRule="auto"/>
        <w:ind w:firstLineChars="0" w:firstLine="0"/>
        <w:jc w:val="both"/>
        <w:rPr>
          <w:rFonts w:ascii="Book Antiqua" w:hAnsi="Book Antiqua"/>
          <w:b/>
          <w:i/>
          <w:color w:val="000000" w:themeColor="text1"/>
          <w:sz w:val="24"/>
          <w:szCs w:val="24"/>
        </w:rPr>
      </w:pPr>
    </w:p>
    <w:p w14:paraId="41A0CF27" w14:textId="77777777" w:rsidR="003E7F93" w:rsidRPr="00347522" w:rsidRDefault="003E7F93" w:rsidP="00347522">
      <w:pPr>
        <w:adjustRightInd w:val="0"/>
        <w:snapToGrid w:val="0"/>
        <w:spacing w:line="360" w:lineRule="auto"/>
        <w:ind w:firstLineChars="0" w:firstLine="0"/>
        <w:jc w:val="both"/>
        <w:rPr>
          <w:rFonts w:ascii="Book Antiqua" w:hAnsi="Book Antiqua"/>
          <w:b/>
          <w:i/>
          <w:color w:val="000000" w:themeColor="text1"/>
          <w:sz w:val="24"/>
          <w:szCs w:val="24"/>
        </w:rPr>
      </w:pPr>
      <w:r w:rsidRPr="00347522">
        <w:rPr>
          <w:rFonts w:ascii="Book Antiqua" w:hAnsi="Book Antiqua"/>
          <w:b/>
          <w:i/>
          <w:color w:val="000000" w:themeColor="text1"/>
          <w:sz w:val="24"/>
          <w:szCs w:val="24"/>
        </w:rPr>
        <w:t>Research methods</w:t>
      </w:r>
    </w:p>
    <w:p w14:paraId="5137F51E" w14:textId="754E80FE" w:rsidR="003E7F93" w:rsidRPr="00347522" w:rsidRDefault="003E7F93" w:rsidP="00347522">
      <w:pPr>
        <w:adjustRightInd w:val="0"/>
        <w:snapToGrid w:val="0"/>
        <w:spacing w:line="360" w:lineRule="auto"/>
        <w:ind w:firstLineChars="0" w:firstLine="0"/>
        <w:jc w:val="both"/>
        <w:rPr>
          <w:rFonts w:ascii="Book Antiqua" w:eastAsiaTheme="minorEastAsia" w:hAnsi="Book Antiqua"/>
          <w:b/>
          <w:color w:val="000000" w:themeColor="text1"/>
          <w:sz w:val="24"/>
          <w:szCs w:val="24"/>
        </w:rPr>
      </w:pPr>
      <w:r w:rsidRPr="00347522">
        <w:rPr>
          <w:rFonts w:ascii="Book Antiqua" w:hAnsi="Book Antiqua" w:cs="Times New Roman"/>
          <w:color w:val="000000" w:themeColor="text1"/>
          <w:sz w:val="24"/>
          <w:szCs w:val="24"/>
          <w:lang w:val="en-US"/>
        </w:rPr>
        <w:t xml:space="preserve">The research on tissue expression of two types of mucins (MUC1 and MUC2) in cancerous and normal colorectal tissue samples was performed using </w:t>
      </w:r>
      <w:r w:rsidR="00145092" w:rsidRPr="00347522">
        <w:rPr>
          <w:rFonts w:ascii="Book Antiqua" w:hAnsi="Book Antiqua" w:cs="Times New Roman"/>
          <w:sz w:val="24"/>
          <w:szCs w:val="24"/>
          <w:lang w:val="en-US"/>
        </w:rPr>
        <w:t>real-time quantitative polymerase chain reaction (RT-qPCR)</w:t>
      </w:r>
      <w:r w:rsidRPr="00347522">
        <w:rPr>
          <w:rFonts w:ascii="Book Antiqua" w:hAnsi="Book Antiqua" w:cs="Times New Roman"/>
          <w:color w:val="000000" w:themeColor="text1"/>
          <w:sz w:val="24"/>
          <w:szCs w:val="24"/>
          <w:lang w:val="en-US"/>
        </w:rPr>
        <w:t xml:space="preserve"> to evaluate expression of transcripts, immunohistochemistry (IHC) for demonstrating apomucins localization, and the morphometric analysis of intensity of IHC reaction using modern HSV filter software. </w:t>
      </w:r>
    </w:p>
    <w:p w14:paraId="5946BD47" w14:textId="77777777" w:rsidR="0059592A" w:rsidRPr="00347522" w:rsidRDefault="0059592A" w:rsidP="00347522">
      <w:pPr>
        <w:adjustRightInd w:val="0"/>
        <w:snapToGrid w:val="0"/>
        <w:spacing w:line="360" w:lineRule="auto"/>
        <w:ind w:firstLineChars="0" w:firstLine="0"/>
        <w:jc w:val="both"/>
        <w:rPr>
          <w:rFonts w:ascii="Book Antiqua" w:hAnsi="Book Antiqua"/>
          <w:b/>
          <w:i/>
          <w:color w:val="000000" w:themeColor="text1"/>
          <w:sz w:val="24"/>
          <w:szCs w:val="24"/>
        </w:rPr>
      </w:pPr>
    </w:p>
    <w:p w14:paraId="6AC35397" w14:textId="77777777" w:rsidR="003E7F93" w:rsidRPr="00347522" w:rsidRDefault="003E7F93" w:rsidP="00347522">
      <w:pPr>
        <w:adjustRightInd w:val="0"/>
        <w:snapToGrid w:val="0"/>
        <w:spacing w:line="360" w:lineRule="auto"/>
        <w:ind w:firstLineChars="0" w:firstLine="0"/>
        <w:jc w:val="both"/>
        <w:rPr>
          <w:rFonts w:ascii="Book Antiqua" w:hAnsi="Book Antiqua"/>
          <w:b/>
          <w:i/>
          <w:color w:val="000000" w:themeColor="text1"/>
          <w:sz w:val="24"/>
          <w:szCs w:val="24"/>
        </w:rPr>
      </w:pPr>
      <w:r w:rsidRPr="00347522">
        <w:rPr>
          <w:rFonts w:ascii="Book Antiqua" w:hAnsi="Book Antiqua"/>
          <w:b/>
          <w:i/>
          <w:color w:val="000000" w:themeColor="text1"/>
          <w:sz w:val="24"/>
          <w:szCs w:val="24"/>
        </w:rPr>
        <w:t xml:space="preserve">Research results </w:t>
      </w:r>
    </w:p>
    <w:p w14:paraId="626AC3EF" w14:textId="09D82F67" w:rsidR="003E7F93" w:rsidRPr="00347522" w:rsidRDefault="003E7F93" w:rsidP="00347522">
      <w:pPr>
        <w:adjustRightInd w:val="0"/>
        <w:snapToGrid w:val="0"/>
        <w:spacing w:line="360" w:lineRule="auto"/>
        <w:ind w:firstLineChars="0" w:firstLine="0"/>
        <w:jc w:val="both"/>
        <w:rPr>
          <w:rFonts w:ascii="Book Antiqua" w:eastAsiaTheme="minorEastAsia" w:hAnsi="Book Antiqua" w:cs="Segoe UI"/>
          <w:color w:val="000000" w:themeColor="text1"/>
          <w:sz w:val="24"/>
          <w:szCs w:val="24"/>
          <w:shd w:val="clear" w:color="auto" w:fill="FFFFFF"/>
          <w:lang w:val="en-US"/>
        </w:rPr>
      </w:pPr>
      <w:r w:rsidRPr="00347522">
        <w:rPr>
          <w:rFonts w:ascii="Book Antiqua" w:hAnsi="Book Antiqua" w:cs="Times New Roman"/>
          <w:color w:val="000000" w:themeColor="text1"/>
          <w:sz w:val="24"/>
          <w:szCs w:val="24"/>
          <w:lang w:val="en-US"/>
        </w:rPr>
        <w:t xml:space="preserve">Significantly higher expression of the MUC1 mRNA in the CRC, while MUC2 transcript expression was comparable with the control colorectal samples. </w:t>
      </w:r>
      <w:r w:rsidRPr="00347522">
        <w:rPr>
          <w:rFonts w:ascii="Book Antiqua" w:hAnsi="Book Antiqua"/>
          <w:color w:val="000000" w:themeColor="text1"/>
          <w:sz w:val="24"/>
          <w:szCs w:val="24"/>
          <w:lang w:val="en-US"/>
        </w:rPr>
        <w:t>Using immunohistochemistry</w:t>
      </w:r>
      <w:r w:rsidR="0059592A" w:rsidRPr="00347522">
        <w:rPr>
          <w:rFonts w:ascii="Book Antiqua" w:hAnsi="Book Antiqua"/>
          <w:color w:val="000000" w:themeColor="text1"/>
          <w:sz w:val="24"/>
          <w:szCs w:val="24"/>
          <w:lang w:val="en-US"/>
        </w:rPr>
        <w:t>,</w:t>
      </w:r>
      <w:r w:rsidRPr="00347522">
        <w:rPr>
          <w:rFonts w:ascii="Book Antiqua" w:hAnsi="Book Antiqua"/>
          <w:color w:val="000000" w:themeColor="text1"/>
          <w:sz w:val="24"/>
          <w:szCs w:val="24"/>
          <w:lang w:val="en-US"/>
        </w:rPr>
        <w:t xml:space="preserve"> we observed lower MUC2 protein as compared to control tissue. MUC2 protein expression correlated negatively with cellular proliferation (Ki-67 antigen expression) and expression of mutated form of p53. In neoplastic tissue of CRC it was dented also higher MUC1/MUC2 ratio as compared with healthy colorectal tissue. H</w:t>
      </w:r>
      <w:r w:rsidRPr="00347522">
        <w:rPr>
          <w:rFonts w:ascii="Book Antiqua" w:hAnsi="Book Antiqua" w:cs="Times New Roman"/>
          <w:color w:val="000000" w:themeColor="text1"/>
          <w:sz w:val="24"/>
          <w:szCs w:val="24"/>
          <w:lang w:val="en-US"/>
        </w:rPr>
        <w:t xml:space="preserve">igher expression of MUC2 was a feature of mucinous CRC subtypes, and characterized higher histological stage of tumors. </w:t>
      </w:r>
      <w:r w:rsidRPr="00347522">
        <w:rPr>
          <w:rFonts w:ascii="Book Antiqua" w:hAnsi="Book Antiqua" w:cs="Times New Roman"/>
          <w:color w:val="000000" w:themeColor="text1"/>
          <w:sz w:val="24"/>
          <w:szCs w:val="24"/>
          <w:lang w:val="en-US" w:eastAsia="pl-PL"/>
        </w:rPr>
        <w:t xml:space="preserve">Future study is required </w:t>
      </w:r>
      <w:r w:rsidRPr="00347522">
        <w:rPr>
          <w:rFonts w:ascii="Book Antiqua" w:eastAsiaTheme="minorEastAsia" w:hAnsi="Book Antiqua" w:cs="Segoe UI"/>
          <w:color w:val="000000" w:themeColor="text1"/>
          <w:sz w:val="24"/>
          <w:szCs w:val="24"/>
          <w:shd w:val="clear" w:color="auto" w:fill="FFFFFF"/>
          <w:lang w:val="en-US"/>
        </w:rPr>
        <w:t xml:space="preserve">to explain molecular mechanisms of CRC carcinogenesis including mucins and </w:t>
      </w:r>
      <w:r w:rsidRPr="00347522">
        <w:rPr>
          <w:rFonts w:ascii="Book Antiqua" w:eastAsiaTheme="minorEastAsia" w:hAnsi="Book Antiqua" w:cs="Segoe UI"/>
          <w:i/>
          <w:color w:val="000000" w:themeColor="text1"/>
          <w:sz w:val="24"/>
          <w:szCs w:val="24"/>
          <w:shd w:val="clear" w:color="auto" w:fill="FFFFFF"/>
          <w:lang w:val="en-US"/>
        </w:rPr>
        <w:t>TP53</w:t>
      </w:r>
      <w:r w:rsidRPr="00347522">
        <w:rPr>
          <w:rFonts w:ascii="Book Antiqua" w:eastAsiaTheme="minorEastAsia" w:hAnsi="Book Antiqua" w:cs="Segoe UI"/>
          <w:color w:val="000000" w:themeColor="text1"/>
          <w:sz w:val="24"/>
          <w:szCs w:val="24"/>
          <w:shd w:val="clear" w:color="auto" w:fill="FFFFFF"/>
          <w:lang w:val="en-US"/>
        </w:rPr>
        <w:t xml:space="preserve"> pathway.</w:t>
      </w:r>
    </w:p>
    <w:p w14:paraId="459F3764" w14:textId="77777777" w:rsidR="0059592A" w:rsidRPr="00347522" w:rsidRDefault="0059592A" w:rsidP="00347522">
      <w:pPr>
        <w:adjustRightInd w:val="0"/>
        <w:snapToGrid w:val="0"/>
        <w:spacing w:line="360" w:lineRule="auto"/>
        <w:ind w:firstLineChars="0" w:firstLine="0"/>
        <w:jc w:val="both"/>
        <w:rPr>
          <w:rFonts w:ascii="Book Antiqua" w:hAnsi="Book Antiqua"/>
          <w:b/>
          <w:i/>
          <w:color w:val="000000" w:themeColor="text1"/>
          <w:sz w:val="24"/>
          <w:szCs w:val="24"/>
        </w:rPr>
      </w:pPr>
    </w:p>
    <w:p w14:paraId="34EBA03C" w14:textId="77777777" w:rsidR="003E7F93" w:rsidRPr="00347522" w:rsidRDefault="003E7F93" w:rsidP="00347522">
      <w:pPr>
        <w:adjustRightInd w:val="0"/>
        <w:snapToGrid w:val="0"/>
        <w:spacing w:line="360" w:lineRule="auto"/>
        <w:ind w:firstLineChars="0" w:firstLine="0"/>
        <w:jc w:val="both"/>
        <w:rPr>
          <w:rFonts w:ascii="Book Antiqua" w:hAnsi="Book Antiqua"/>
          <w:b/>
          <w:i/>
          <w:color w:val="000000" w:themeColor="text1"/>
          <w:sz w:val="24"/>
          <w:szCs w:val="24"/>
        </w:rPr>
      </w:pPr>
      <w:r w:rsidRPr="00347522">
        <w:rPr>
          <w:rFonts w:ascii="Book Antiqua" w:hAnsi="Book Antiqua"/>
          <w:b/>
          <w:i/>
          <w:color w:val="000000" w:themeColor="text1"/>
          <w:sz w:val="24"/>
          <w:szCs w:val="24"/>
        </w:rPr>
        <w:t>Research conclusions</w:t>
      </w:r>
    </w:p>
    <w:p w14:paraId="4E6EF3AA" w14:textId="1B2BB51A" w:rsidR="003E7F93" w:rsidRPr="00347522" w:rsidRDefault="003E7F93" w:rsidP="00347522">
      <w:pPr>
        <w:adjustRightInd w:val="0"/>
        <w:snapToGrid w:val="0"/>
        <w:spacing w:line="360" w:lineRule="auto"/>
        <w:ind w:firstLineChars="0" w:firstLine="0"/>
        <w:jc w:val="both"/>
        <w:rPr>
          <w:rFonts w:ascii="Book Antiqua" w:hAnsi="Book Antiqua"/>
          <w:color w:val="000000" w:themeColor="text1"/>
          <w:sz w:val="24"/>
          <w:szCs w:val="24"/>
        </w:rPr>
      </w:pPr>
      <w:r w:rsidRPr="00347522">
        <w:rPr>
          <w:rFonts w:ascii="Book Antiqua" w:hAnsi="Book Antiqua" w:cs="Times New Roman"/>
          <w:color w:val="000000" w:themeColor="text1"/>
          <w:sz w:val="24"/>
          <w:szCs w:val="24"/>
          <w:lang w:val="en-US"/>
        </w:rPr>
        <w:t xml:space="preserve">Our study confirmed that the colorectal carcinogenesis is closely related to overexpression of MUC1 and the decline in MUC2 expression. </w:t>
      </w:r>
      <w:r w:rsidRPr="00347522">
        <w:rPr>
          <w:rFonts w:ascii="Book Antiqua" w:hAnsi="Book Antiqua" w:cs="Segoe UI"/>
          <w:color w:val="000000" w:themeColor="text1"/>
          <w:sz w:val="24"/>
          <w:szCs w:val="24"/>
          <w:shd w:val="clear" w:color="auto" w:fill="FFFFFF"/>
        </w:rPr>
        <w:t xml:space="preserve">The use of </w:t>
      </w:r>
      <w:r w:rsidRPr="00347522">
        <w:rPr>
          <w:rFonts w:ascii="Book Antiqua" w:hAnsi="Book Antiqua" w:cs="Segoe UI"/>
          <w:color w:val="000000" w:themeColor="text1"/>
          <w:sz w:val="24"/>
          <w:szCs w:val="24"/>
          <w:shd w:val="clear" w:color="auto" w:fill="FFFFFF"/>
        </w:rPr>
        <w:lastRenderedPageBreak/>
        <w:t xml:space="preserve">increasingly repetitive and reliable method for the quantitative evaluation of mucins expression may prove useful to evaluate different patterns of IHC reaction (membranous, cytoplasmic, </w:t>
      </w:r>
      <w:r w:rsidRPr="00347522">
        <w:rPr>
          <w:rFonts w:ascii="Book Antiqua" w:hAnsi="Book Antiqua" w:cs="Segoe UI"/>
          <w:i/>
          <w:color w:val="000000" w:themeColor="text1"/>
          <w:sz w:val="24"/>
          <w:szCs w:val="24"/>
          <w:shd w:val="clear" w:color="auto" w:fill="FFFFFF"/>
        </w:rPr>
        <w:t>etc</w:t>
      </w:r>
      <w:r w:rsidRPr="00347522">
        <w:rPr>
          <w:rFonts w:ascii="Book Antiqua" w:hAnsi="Book Antiqua" w:cs="Segoe UI"/>
          <w:color w:val="000000" w:themeColor="text1"/>
          <w:sz w:val="24"/>
          <w:szCs w:val="24"/>
          <w:shd w:val="clear" w:color="auto" w:fill="FFFFFF"/>
        </w:rPr>
        <w:t xml:space="preserve">.) and can be useful in various subtype of colorectal cancer, as our research shows (mucinous </w:t>
      </w:r>
      <w:r w:rsidRPr="00347522">
        <w:rPr>
          <w:rFonts w:ascii="Book Antiqua" w:hAnsi="Book Antiqua" w:cs="Segoe UI"/>
          <w:i/>
          <w:color w:val="000000" w:themeColor="text1"/>
          <w:sz w:val="24"/>
          <w:szCs w:val="24"/>
          <w:shd w:val="clear" w:color="auto" w:fill="FFFFFF"/>
        </w:rPr>
        <w:t>vs</w:t>
      </w:r>
      <w:r w:rsidRPr="00347522">
        <w:rPr>
          <w:rFonts w:ascii="Book Antiqua" w:hAnsi="Book Antiqua" w:cs="Segoe UI"/>
          <w:color w:val="000000" w:themeColor="text1"/>
          <w:sz w:val="24"/>
          <w:szCs w:val="24"/>
          <w:shd w:val="clear" w:color="auto" w:fill="FFFFFF"/>
        </w:rPr>
        <w:t xml:space="preserve"> nonmucinous CRC). Both the microscopic demonstration of evident MUC1 expression, especially in healthy colorectal tissue (control), and morphometric quantitative evaluation (Filter HSV program) of membranous (MUC1) and secreted (MUC2) expression is the novelty of the present work. The quantitative method used in the current study, can be used for further comparative research and to evaluate tissue expression of other types of mucins in CRC. </w:t>
      </w:r>
      <w:r w:rsidRPr="00347522">
        <w:rPr>
          <w:rFonts w:ascii="Book Antiqua" w:hAnsi="Book Antiqua"/>
          <w:color w:val="000000" w:themeColor="text1"/>
          <w:sz w:val="24"/>
          <w:szCs w:val="24"/>
          <w:lang w:val="en"/>
        </w:rPr>
        <w:t>The use of quantitative methods in immunocytochemistry can improve the detection of tissue markers in CRC and assess their true value in daily medical practice.</w:t>
      </w:r>
    </w:p>
    <w:p w14:paraId="6DC43E91" w14:textId="77777777" w:rsidR="0059592A" w:rsidRPr="00347522" w:rsidRDefault="0059592A" w:rsidP="00347522">
      <w:pPr>
        <w:adjustRightInd w:val="0"/>
        <w:snapToGrid w:val="0"/>
        <w:spacing w:line="360" w:lineRule="auto"/>
        <w:ind w:firstLineChars="0" w:firstLine="0"/>
        <w:jc w:val="both"/>
        <w:rPr>
          <w:rFonts w:ascii="Book Antiqua" w:hAnsi="Book Antiqua" w:cs="Segoe UI"/>
          <w:b/>
          <w:i/>
          <w:color w:val="000000" w:themeColor="text1"/>
          <w:sz w:val="24"/>
          <w:szCs w:val="24"/>
          <w:shd w:val="clear" w:color="auto" w:fill="FFFFFF"/>
        </w:rPr>
      </w:pPr>
    </w:p>
    <w:p w14:paraId="1186A0BE" w14:textId="77777777" w:rsidR="003E7F93" w:rsidRPr="00347522" w:rsidRDefault="003E7F93" w:rsidP="00347522">
      <w:pPr>
        <w:adjustRightInd w:val="0"/>
        <w:snapToGrid w:val="0"/>
        <w:spacing w:line="360" w:lineRule="auto"/>
        <w:ind w:firstLineChars="0" w:firstLine="0"/>
        <w:jc w:val="both"/>
        <w:rPr>
          <w:rFonts w:ascii="Book Antiqua" w:hAnsi="Book Antiqua" w:cs="Segoe UI"/>
          <w:b/>
          <w:i/>
          <w:color w:val="000000" w:themeColor="text1"/>
          <w:sz w:val="24"/>
          <w:szCs w:val="24"/>
          <w:shd w:val="clear" w:color="auto" w:fill="FFFFFF"/>
        </w:rPr>
      </w:pPr>
      <w:r w:rsidRPr="00347522">
        <w:rPr>
          <w:rFonts w:ascii="Book Antiqua" w:hAnsi="Book Antiqua" w:cs="Segoe UI"/>
          <w:b/>
          <w:i/>
          <w:color w:val="000000" w:themeColor="text1"/>
          <w:sz w:val="24"/>
          <w:szCs w:val="24"/>
          <w:shd w:val="clear" w:color="auto" w:fill="FFFFFF"/>
        </w:rPr>
        <w:t>Research perspectives</w:t>
      </w:r>
    </w:p>
    <w:p w14:paraId="283A42F2" w14:textId="5FB788C2" w:rsidR="007057E4" w:rsidRPr="00347522" w:rsidRDefault="003E7F93" w:rsidP="00347522">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347522">
        <w:rPr>
          <w:rFonts w:ascii="Book Antiqua" w:hAnsi="Book Antiqua" w:cs="Times New Roman"/>
          <w:color w:val="000000" w:themeColor="text1"/>
          <w:sz w:val="24"/>
          <w:szCs w:val="24"/>
          <w:lang w:val="en-US"/>
        </w:rPr>
        <w:t>This study proposed, that the examination of the tissue expression of MUC1 and MUC2 (mRNA, protein), should use modern methods of quantitative assessment of transcripts (</w:t>
      </w:r>
      <w:r w:rsidRPr="00347522">
        <w:rPr>
          <w:rFonts w:ascii="Book Antiqua" w:hAnsi="Book Antiqua" w:cs="Times New Roman"/>
          <w:i/>
          <w:color w:val="000000" w:themeColor="text1"/>
          <w:sz w:val="24"/>
          <w:szCs w:val="24"/>
          <w:lang w:val="en-US"/>
        </w:rPr>
        <w:t>e.g.</w:t>
      </w:r>
      <w:r w:rsidRPr="00347522">
        <w:rPr>
          <w:rFonts w:ascii="Book Antiqua" w:hAnsi="Book Antiqua" w:cs="Times New Roman"/>
          <w:color w:val="000000" w:themeColor="text1"/>
          <w:sz w:val="24"/>
          <w:szCs w:val="24"/>
          <w:lang w:val="en-US"/>
        </w:rPr>
        <w:t xml:space="preserve"> RT-qPCR), and more reliable morphometric methods (</w:t>
      </w:r>
      <w:r w:rsidRPr="00347522">
        <w:rPr>
          <w:rFonts w:ascii="Book Antiqua" w:hAnsi="Book Antiqua" w:cs="Times New Roman"/>
          <w:i/>
          <w:color w:val="000000" w:themeColor="text1"/>
          <w:sz w:val="24"/>
          <w:szCs w:val="24"/>
          <w:lang w:val="en-US"/>
        </w:rPr>
        <w:t>e.g.</w:t>
      </w:r>
      <w:r w:rsidRPr="00347522">
        <w:rPr>
          <w:rFonts w:ascii="Book Antiqua" w:hAnsi="Book Antiqua" w:cs="Times New Roman"/>
          <w:color w:val="000000" w:themeColor="text1"/>
          <w:sz w:val="24"/>
          <w:szCs w:val="24"/>
          <w:lang w:val="en-US"/>
        </w:rPr>
        <w:t xml:space="preserve"> HSV filter software). Only these methods could improve the diagnostic/prognostic usefulness of mucins as tissue biomarkers in CRC patients. A b</w:t>
      </w:r>
      <w:r w:rsidRPr="00347522">
        <w:rPr>
          <w:rFonts w:ascii="Book Antiqua" w:hAnsi="Book Antiqua" w:cs="Times New Roman"/>
          <w:color w:val="000000" w:themeColor="text1"/>
          <w:sz w:val="24"/>
          <w:szCs w:val="24"/>
          <w:lang w:val="en" w:eastAsia="pl-PL"/>
        </w:rPr>
        <w:t xml:space="preserve">etter explanation of molecular mechanisms in the colorectal carcinogenesis with mucin involvement requires further testing, also on an </w:t>
      </w:r>
      <w:r w:rsidRPr="00347522">
        <w:rPr>
          <w:rFonts w:ascii="Book Antiqua" w:hAnsi="Book Antiqua" w:cs="Times New Roman"/>
          <w:i/>
          <w:color w:val="000000" w:themeColor="text1"/>
          <w:sz w:val="24"/>
          <w:szCs w:val="24"/>
          <w:lang w:val="en" w:eastAsia="pl-PL"/>
        </w:rPr>
        <w:t>in vitro</w:t>
      </w:r>
      <w:r w:rsidRPr="00347522">
        <w:rPr>
          <w:rFonts w:ascii="Book Antiqua" w:hAnsi="Book Antiqua" w:cs="Times New Roman"/>
          <w:color w:val="000000" w:themeColor="text1"/>
          <w:sz w:val="24"/>
          <w:szCs w:val="24"/>
          <w:lang w:val="en" w:eastAsia="pl-PL"/>
        </w:rPr>
        <w:t xml:space="preserve"> model. </w:t>
      </w:r>
      <w:r w:rsidRPr="00347522">
        <w:rPr>
          <w:rFonts w:ascii="Book Antiqua" w:hAnsi="Book Antiqua" w:cs="Times New Roman"/>
          <w:color w:val="000000" w:themeColor="text1"/>
          <w:sz w:val="24"/>
          <w:szCs w:val="24"/>
          <w:lang w:val="en-US"/>
        </w:rPr>
        <w:t>These results could be the basis for further studies to understand the carcinogenesis of colorectal cancer.</w:t>
      </w:r>
      <w:bookmarkEnd w:id="29"/>
      <w:bookmarkEnd w:id="30"/>
      <w:bookmarkEnd w:id="31"/>
      <w:bookmarkEnd w:id="32"/>
      <w:bookmarkEnd w:id="33"/>
      <w:bookmarkEnd w:id="34"/>
    </w:p>
    <w:p w14:paraId="5E26FEA7" w14:textId="77777777" w:rsidR="007057E4" w:rsidRPr="00347522" w:rsidRDefault="007057E4" w:rsidP="00347522">
      <w:pPr>
        <w:adjustRightInd w:val="0"/>
        <w:snapToGrid w:val="0"/>
        <w:spacing w:line="360" w:lineRule="auto"/>
        <w:ind w:firstLineChars="0" w:firstLine="0"/>
        <w:jc w:val="both"/>
        <w:rPr>
          <w:rFonts w:ascii="Book Antiqua" w:hAnsi="Book Antiqua" w:cs="Times New Roman"/>
          <w:b/>
          <w:bCs/>
          <w:sz w:val="24"/>
          <w:szCs w:val="24"/>
          <w:lang w:val="en-US"/>
        </w:rPr>
      </w:pPr>
      <w:r w:rsidRPr="00347522">
        <w:rPr>
          <w:rFonts w:ascii="Book Antiqua" w:hAnsi="Book Antiqua" w:cs="Times New Roman"/>
          <w:sz w:val="24"/>
          <w:szCs w:val="24"/>
          <w:lang w:val="en-US"/>
        </w:rPr>
        <w:br w:type="page"/>
      </w:r>
      <w:r w:rsidRPr="00347522">
        <w:rPr>
          <w:rFonts w:ascii="Book Antiqua" w:hAnsi="Book Antiqua" w:cs="Times New Roman"/>
          <w:b/>
          <w:bCs/>
          <w:sz w:val="24"/>
          <w:szCs w:val="24"/>
          <w:lang w:val="en-US"/>
        </w:rPr>
        <w:lastRenderedPageBreak/>
        <w:t>REFERENCES</w:t>
      </w:r>
    </w:p>
    <w:p w14:paraId="2BF4A7F3"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bookmarkStart w:id="35" w:name="OLE_LINK13"/>
      <w:bookmarkStart w:id="36" w:name="OLE_LINK14"/>
      <w:r w:rsidRPr="00347522">
        <w:rPr>
          <w:rFonts w:ascii="Book Antiqua" w:hAnsi="Book Antiqua" w:cs="Times New Roman"/>
          <w:sz w:val="24"/>
          <w:szCs w:val="24"/>
          <w:lang w:val="en-US"/>
        </w:rPr>
        <w:t>1 </w:t>
      </w:r>
      <w:r w:rsidRPr="00347522">
        <w:rPr>
          <w:rFonts w:ascii="Book Antiqua" w:hAnsi="Book Antiqua" w:cs="Times New Roman"/>
          <w:b/>
          <w:bCs/>
          <w:sz w:val="24"/>
          <w:szCs w:val="24"/>
          <w:lang w:val="en-US"/>
        </w:rPr>
        <w:t>Brenner H</w:t>
      </w:r>
      <w:r w:rsidRPr="00347522">
        <w:rPr>
          <w:rFonts w:ascii="Book Antiqua" w:hAnsi="Book Antiqua" w:cs="Times New Roman"/>
          <w:sz w:val="24"/>
          <w:szCs w:val="24"/>
          <w:lang w:val="en-US"/>
        </w:rPr>
        <w:t>, Kloor M, Pox CP. Colorectal cancer. </w:t>
      </w:r>
      <w:r w:rsidRPr="00347522">
        <w:rPr>
          <w:rFonts w:ascii="Book Antiqua" w:hAnsi="Book Antiqua" w:cs="Times New Roman"/>
          <w:i/>
          <w:iCs/>
          <w:sz w:val="24"/>
          <w:szCs w:val="24"/>
          <w:lang w:val="en-US"/>
        </w:rPr>
        <w:t>Lancet</w:t>
      </w:r>
      <w:r w:rsidRPr="00347522">
        <w:rPr>
          <w:rFonts w:ascii="Book Antiqua" w:hAnsi="Book Antiqua" w:cs="Times New Roman"/>
          <w:sz w:val="24"/>
          <w:szCs w:val="24"/>
          <w:lang w:val="en-US"/>
        </w:rPr>
        <w:t> 2014; </w:t>
      </w:r>
      <w:r w:rsidRPr="00347522">
        <w:rPr>
          <w:rFonts w:ascii="Book Antiqua" w:hAnsi="Book Antiqua" w:cs="Times New Roman"/>
          <w:b/>
          <w:bCs/>
          <w:sz w:val="24"/>
          <w:szCs w:val="24"/>
          <w:lang w:val="en-US"/>
        </w:rPr>
        <w:t>383</w:t>
      </w:r>
      <w:r w:rsidRPr="00347522">
        <w:rPr>
          <w:rFonts w:ascii="Book Antiqua" w:hAnsi="Book Antiqua" w:cs="Times New Roman"/>
          <w:sz w:val="24"/>
          <w:szCs w:val="24"/>
          <w:lang w:val="en-US"/>
        </w:rPr>
        <w:t>: 1490-1502 [PMID: 24225001 DOI: 10.1016/S0140-6736(13)61649-9]</w:t>
      </w:r>
    </w:p>
    <w:p w14:paraId="63DBE154"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2 </w:t>
      </w:r>
      <w:r w:rsidRPr="00347522">
        <w:rPr>
          <w:rFonts w:ascii="Book Antiqua" w:hAnsi="Book Antiqua" w:cs="Times New Roman"/>
          <w:b/>
          <w:bCs/>
          <w:sz w:val="24"/>
          <w:szCs w:val="24"/>
          <w:lang w:val="en-US"/>
        </w:rPr>
        <w:t>Dyzmann-Sroka A</w:t>
      </w:r>
      <w:r w:rsidRPr="00347522">
        <w:rPr>
          <w:rFonts w:ascii="Book Antiqua" w:hAnsi="Book Antiqua" w:cs="Times New Roman"/>
          <w:sz w:val="24"/>
          <w:szCs w:val="24"/>
          <w:lang w:val="en-US"/>
        </w:rPr>
        <w:t>, Malicki J. Cancer incidence and mortality in the Greater Poland Region-Analysis of the year 2010 and future trends. </w:t>
      </w:r>
      <w:r w:rsidRPr="00347522">
        <w:rPr>
          <w:rFonts w:ascii="Book Antiqua" w:hAnsi="Book Antiqua" w:cs="Times New Roman"/>
          <w:i/>
          <w:iCs/>
          <w:sz w:val="24"/>
          <w:szCs w:val="24"/>
          <w:lang w:val="en-US"/>
        </w:rPr>
        <w:t>Rep Pract Oncol Radiother</w:t>
      </w:r>
      <w:r w:rsidRPr="00347522">
        <w:rPr>
          <w:rFonts w:ascii="Book Antiqua" w:hAnsi="Book Antiqua" w:cs="Times New Roman"/>
          <w:sz w:val="24"/>
          <w:szCs w:val="24"/>
          <w:lang w:val="en-US"/>
        </w:rPr>
        <w:t> 2014; </w:t>
      </w:r>
      <w:r w:rsidRPr="00347522">
        <w:rPr>
          <w:rFonts w:ascii="Book Antiqua" w:hAnsi="Book Antiqua" w:cs="Times New Roman"/>
          <w:b/>
          <w:bCs/>
          <w:sz w:val="24"/>
          <w:szCs w:val="24"/>
          <w:lang w:val="en-US"/>
        </w:rPr>
        <w:t>19</w:t>
      </w:r>
      <w:r w:rsidRPr="00347522">
        <w:rPr>
          <w:rFonts w:ascii="Book Antiqua" w:hAnsi="Book Antiqua" w:cs="Times New Roman"/>
          <w:sz w:val="24"/>
          <w:szCs w:val="24"/>
          <w:lang w:val="en-US"/>
        </w:rPr>
        <w:t>: 296-300 [PMID: 25184053 DOI: 10.1016/j.rpor.2014.04.001]</w:t>
      </w:r>
    </w:p>
    <w:p w14:paraId="05603B5F"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3 </w:t>
      </w:r>
      <w:r w:rsidRPr="00347522">
        <w:rPr>
          <w:rFonts w:ascii="Book Antiqua" w:hAnsi="Book Antiqua" w:cs="Times New Roman"/>
          <w:b/>
          <w:bCs/>
          <w:sz w:val="24"/>
          <w:szCs w:val="24"/>
          <w:lang w:val="en-US"/>
        </w:rPr>
        <w:t>Mármol I</w:t>
      </w:r>
      <w:r w:rsidRPr="00347522">
        <w:rPr>
          <w:rFonts w:ascii="Book Antiqua" w:hAnsi="Book Antiqua" w:cs="Times New Roman"/>
          <w:sz w:val="24"/>
          <w:szCs w:val="24"/>
          <w:lang w:val="en-US"/>
        </w:rPr>
        <w:t>, Sánchez-de-Diego C, Pradilla Dieste A, Cerrada E, Rodriguez Yoldi MJ. Colorectal Carcinoma: A General Overview and Future Perspectives in Colorectal Cancer. </w:t>
      </w:r>
      <w:r w:rsidRPr="00347522">
        <w:rPr>
          <w:rFonts w:ascii="Book Antiqua" w:hAnsi="Book Antiqua" w:cs="Times New Roman"/>
          <w:i/>
          <w:iCs/>
          <w:sz w:val="24"/>
          <w:szCs w:val="24"/>
          <w:lang w:val="en-US"/>
        </w:rPr>
        <w:t>Int J Mol Sci</w:t>
      </w:r>
      <w:r w:rsidRPr="00347522">
        <w:rPr>
          <w:rFonts w:ascii="Book Antiqua" w:hAnsi="Book Antiqua" w:cs="Times New Roman"/>
          <w:sz w:val="24"/>
          <w:szCs w:val="24"/>
          <w:lang w:val="en-US"/>
        </w:rPr>
        <w:t> 2017; </w:t>
      </w:r>
      <w:r w:rsidRPr="00347522">
        <w:rPr>
          <w:rFonts w:ascii="Book Antiqua" w:hAnsi="Book Antiqua" w:cs="Times New Roman"/>
          <w:b/>
          <w:bCs/>
          <w:sz w:val="24"/>
          <w:szCs w:val="24"/>
          <w:lang w:val="en-US"/>
        </w:rPr>
        <w:t>18</w:t>
      </w:r>
      <w:r w:rsidRPr="00347522">
        <w:rPr>
          <w:rFonts w:ascii="Book Antiqua" w:hAnsi="Book Antiqua" w:cs="Times New Roman"/>
          <w:sz w:val="24"/>
          <w:szCs w:val="24"/>
          <w:lang w:val="en-US"/>
        </w:rPr>
        <w:t>: [PMID: 28106826 DOI: 10.3390/ijms18010197]</w:t>
      </w:r>
    </w:p>
    <w:p w14:paraId="57D2558C"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4 </w:t>
      </w:r>
      <w:r w:rsidRPr="00347522">
        <w:rPr>
          <w:rFonts w:ascii="Book Antiqua" w:hAnsi="Book Antiqua" w:cs="Times New Roman"/>
          <w:b/>
          <w:bCs/>
          <w:sz w:val="24"/>
          <w:szCs w:val="24"/>
          <w:lang w:val="en-US"/>
        </w:rPr>
        <w:t>Corfield AP</w:t>
      </w:r>
      <w:r w:rsidRPr="00347522">
        <w:rPr>
          <w:rFonts w:ascii="Book Antiqua" w:hAnsi="Book Antiqua" w:cs="Times New Roman"/>
          <w:sz w:val="24"/>
          <w:szCs w:val="24"/>
          <w:lang w:val="en-US"/>
        </w:rPr>
        <w:t>, Carroll D, Myerscough N, Probert CS. Mucins in the gastrointestinal tract in health and disease. </w:t>
      </w:r>
      <w:r w:rsidRPr="00347522">
        <w:rPr>
          <w:rFonts w:ascii="Book Antiqua" w:hAnsi="Book Antiqua" w:cs="Times New Roman"/>
          <w:i/>
          <w:iCs/>
          <w:sz w:val="24"/>
          <w:szCs w:val="24"/>
          <w:lang w:val="en-US"/>
        </w:rPr>
        <w:t>Front Biosci</w:t>
      </w:r>
      <w:r w:rsidRPr="00347522">
        <w:rPr>
          <w:rFonts w:ascii="Book Antiqua" w:hAnsi="Book Antiqua" w:cs="Times New Roman"/>
          <w:sz w:val="24"/>
          <w:szCs w:val="24"/>
          <w:lang w:val="en-US"/>
        </w:rPr>
        <w:t> 2001; </w:t>
      </w:r>
      <w:r w:rsidRPr="00347522">
        <w:rPr>
          <w:rFonts w:ascii="Book Antiqua" w:hAnsi="Book Antiqua" w:cs="Times New Roman"/>
          <w:b/>
          <w:bCs/>
          <w:sz w:val="24"/>
          <w:szCs w:val="24"/>
          <w:lang w:val="en-US"/>
        </w:rPr>
        <w:t>6</w:t>
      </w:r>
      <w:r w:rsidRPr="00347522">
        <w:rPr>
          <w:rFonts w:ascii="Book Antiqua" w:hAnsi="Book Antiqua" w:cs="Times New Roman"/>
          <w:sz w:val="24"/>
          <w:szCs w:val="24"/>
          <w:lang w:val="en-US"/>
        </w:rPr>
        <w:t>: D1321-D1357 [PMID: 11578958]</w:t>
      </w:r>
    </w:p>
    <w:p w14:paraId="3B28B1E1"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5 </w:t>
      </w:r>
      <w:r w:rsidRPr="00347522">
        <w:rPr>
          <w:rFonts w:ascii="Book Antiqua" w:hAnsi="Book Antiqua" w:cs="Times New Roman"/>
          <w:b/>
          <w:bCs/>
          <w:sz w:val="24"/>
          <w:szCs w:val="24"/>
          <w:lang w:val="en-US"/>
        </w:rPr>
        <w:t>Sheng YH</w:t>
      </w:r>
      <w:r w:rsidRPr="00347522">
        <w:rPr>
          <w:rFonts w:ascii="Book Antiqua" w:hAnsi="Book Antiqua" w:cs="Times New Roman"/>
          <w:sz w:val="24"/>
          <w:szCs w:val="24"/>
          <w:lang w:val="en-US"/>
        </w:rPr>
        <w:t>, Hasnain SZ, Florin TH, McGuckin MA. Mucins in inflammatory bowel diseases and colorectal cancer. </w:t>
      </w:r>
      <w:r w:rsidRPr="00347522">
        <w:rPr>
          <w:rFonts w:ascii="Book Antiqua" w:hAnsi="Book Antiqua" w:cs="Times New Roman"/>
          <w:i/>
          <w:iCs/>
          <w:sz w:val="24"/>
          <w:szCs w:val="24"/>
          <w:lang w:val="en-US"/>
        </w:rPr>
        <w:t>J Gastroenterol Hepatol</w:t>
      </w:r>
      <w:r w:rsidRPr="00347522">
        <w:rPr>
          <w:rFonts w:ascii="Book Antiqua" w:hAnsi="Book Antiqua" w:cs="Times New Roman"/>
          <w:sz w:val="24"/>
          <w:szCs w:val="24"/>
          <w:lang w:val="en-US"/>
        </w:rPr>
        <w:t> 2012; </w:t>
      </w:r>
      <w:r w:rsidRPr="00347522">
        <w:rPr>
          <w:rFonts w:ascii="Book Antiqua" w:hAnsi="Book Antiqua" w:cs="Times New Roman"/>
          <w:b/>
          <w:bCs/>
          <w:sz w:val="24"/>
          <w:szCs w:val="24"/>
          <w:lang w:val="en-US"/>
        </w:rPr>
        <w:t>27</w:t>
      </w:r>
      <w:r w:rsidRPr="00347522">
        <w:rPr>
          <w:rFonts w:ascii="Book Antiqua" w:hAnsi="Book Antiqua" w:cs="Times New Roman"/>
          <w:sz w:val="24"/>
          <w:szCs w:val="24"/>
          <w:lang w:val="en-US"/>
        </w:rPr>
        <w:t>: 28-38 [PMID: 21913981 DOI: 10.1111/j.1440-1746.2011.06909.x]</w:t>
      </w:r>
    </w:p>
    <w:p w14:paraId="233CCC4C"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6 </w:t>
      </w:r>
      <w:r w:rsidRPr="00347522">
        <w:rPr>
          <w:rFonts w:ascii="Book Antiqua" w:hAnsi="Book Antiqua" w:cs="Times New Roman"/>
          <w:b/>
          <w:bCs/>
          <w:sz w:val="24"/>
          <w:szCs w:val="24"/>
          <w:lang w:val="en-US"/>
        </w:rPr>
        <w:t>Nath S</w:t>
      </w:r>
      <w:r w:rsidRPr="00347522">
        <w:rPr>
          <w:rFonts w:ascii="Book Antiqua" w:hAnsi="Book Antiqua" w:cs="Times New Roman"/>
          <w:sz w:val="24"/>
          <w:szCs w:val="24"/>
          <w:lang w:val="en-US"/>
        </w:rPr>
        <w:t>, Mukherjee P. MUC1: a multifaceted oncoprotein with a key role in cancer progression. </w:t>
      </w:r>
      <w:r w:rsidRPr="00347522">
        <w:rPr>
          <w:rFonts w:ascii="Book Antiqua" w:hAnsi="Book Antiqua" w:cs="Times New Roman"/>
          <w:i/>
          <w:iCs/>
          <w:sz w:val="24"/>
          <w:szCs w:val="24"/>
          <w:lang w:val="en-US"/>
        </w:rPr>
        <w:t>Trends Mol Med</w:t>
      </w:r>
      <w:r w:rsidRPr="00347522">
        <w:rPr>
          <w:rFonts w:ascii="Book Antiqua" w:hAnsi="Book Antiqua" w:cs="Times New Roman"/>
          <w:sz w:val="24"/>
          <w:szCs w:val="24"/>
          <w:lang w:val="en-US"/>
        </w:rPr>
        <w:t> 2014; </w:t>
      </w:r>
      <w:r w:rsidRPr="00347522">
        <w:rPr>
          <w:rFonts w:ascii="Book Antiqua" w:hAnsi="Book Antiqua" w:cs="Times New Roman"/>
          <w:b/>
          <w:bCs/>
          <w:sz w:val="24"/>
          <w:szCs w:val="24"/>
          <w:lang w:val="en-US"/>
        </w:rPr>
        <w:t>20</w:t>
      </w:r>
      <w:r w:rsidRPr="00347522">
        <w:rPr>
          <w:rFonts w:ascii="Book Antiqua" w:hAnsi="Book Antiqua" w:cs="Times New Roman"/>
          <w:sz w:val="24"/>
          <w:szCs w:val="24"/>
          <w:lang w:val="en-US"/>
        </w:rPr>
        <w:t>: 332-342 [PMID: 24667139 DOI: 10.1016/j.molmed.2014.02.007]</w:t>
      </w:r>
    </w:p>
    <w:p w14:paraId="6E7644FE"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7 </w:t>
      </w:r>
      <w:r w:rsidRPr="00347522">
        <w:rPr>
          <w:rFonts w:ascii="Book Antiqua" w:hAnsi="Book Antiqua" w:cs="Times New Roman"/>
          <w:b/>
          <w:bCs/>
          <w:sz w:val="24"/>
          <w:szCs w:val="24"/>
          <w:lang w:val="en-US"/>
        </w:rPr>
        <w:t>Mastrodonato M</w:t>
      </w:r>
      <w:r w:rsidRPr="00347522">
        <w:rPr>
          <w:rFonts w:ascii="Book Antiqua" w:hAnsi="Book Antiqua" w:cs="Times New Roman"/>
          <w:sz w:val="24"/>
          <w:szCs w:val="24"/>
          <w:lang w:val="en-US"/>
        </w:rPr>
        <w:t>, Mentino D, Liquori GE, Ferri D. Histochemical characterization of the sialic acid residues in mouse colon mucins. </w:t>
      </w:r>
      <w:r w:rsidRPr="00347522">
        <w:rPr>
          <w:rFonts w:ascii="Book Antiqua" w:hAnsi="Book Antiqua" w:cs="Times New Roman"/>
          <w:i/>
          <w:iCs/>
          <w:sz w:val="24"/>
          <w:szCs w:val="24"/>
          <w:lang w:val="en-US"/>
        </w:rPr>
        <w:t>Microsc Res Tech</w:t>
      </w:r>
      <w:r w:rsidRPr="00347522">
        <w:rPr>
          <w:rFonts w:ascii="Book Antiqua" w:hAnsi="Book Antiqua" w:cs="Times New Roman"/>
          <w:sz w:val="24"/>
          <w:szCs w:val="24"/>
          <w:lang w:val="en-US"/>
        </w:rPr>
        <w:t> 2013; </w:t>
      </w:r>
      <w:r w:rsidRPr="00347522">
        <w:rPr>
          <w:rFonts w:ascii="Book Antiqua" w:hAnsi="Book Antiqua" w:cs="Times New Roman"/>
          <w:b/>
          <w:bCs/>
          <w:sz w:val="24"/>
          <w:szCs w:val="24"/>
          <w:lang w:val="en-US"/>
        </w:rPr>
        <w:t>76</w:t>
      </w:r>
      <w:r w:rsidRPr="00347522">
        <w:rPr>
          <w:rFonts w:ascii="Book Antiqua" w:hAnsi="Book Antiqua" w:cs="Times New Roman"/>
          <w:sz w:val="24"/>
          <w:szCs w:val="24"/>
          <w:lang w:val="en-US"/>
        </w:rPr>
        <w:t>: 156-162 [PMID: 23109168 DOI: 10.1002/jemt.22146]</w:t>
      </w:r>
    </w:p>
    <w:p w14:paraId="4A41A5C1"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8 </w:t>
      </w:r>
      <w:r w:rsidRPr="00347522">
        <w:rPr>
          <w:rFonts w:ascii="Book Antiqua" w:hAnsi="Book Antiqua" w:cs="Times New Roman"/>
          <w:b/>
          <w:bCs/>
          <w:sz w:val="24"/>
          <w:szCs w:val="24"/>
          <w:lang w:val="en-US"/>
        </w:rPr>
        <w:t>Jain P</w:t>
      </w:r>
      <w:r w:rsidRPr="00347522">
        <w:rPr>
          <w:rFonts w:ascii="Book Antiqua" w:hAnsi="Book Antiqua" w:cs="Times New Roman"/>
          <w:sz w:val="24"/>
          <w:szCs w:val="24"/>
          <w:lang w:val="en-US"/>
        </w:rPr>
        <w:t>, Mondal SK, Sinha SK, Mukhopadhyay M, Chakraborty I. Diagnostic and prognostic significance of different mucin expression, preoperative CEA, and CA-125 in colorectal carcinoma: A clinicopathological study. </w:t>
      </w:r>
      <w:r w:rsidRPr="00347522">
        <w:rPr>
          <w:rFonts w:ascii="Book Antiqua" w:hAnsi="Book Antiqua" w:cs="Times New Roman"/>
          <w:i/>
          <w:iCs/>
          <w:sz w:val="24"/>
          <w:szCs w:val="24"/>
          <w:lang w:val="en-US"/>
        </w:rPr>
        <w:t>J Nat Sci Biol Med</w:t>
      </w:r>
      <w:r w:rsidRPr="00347522">
        <w:rPr>
          <w:rFonts w:ascii="Book Antiqua" w:hAnsi="Book Antiqua" w:cs="Times New Roman"/>
          <w:sz w:val="24"/>
          <w:szCs w:val="24"/>
          <w:lang w:val="en-US"/>
        </w:rPr>
        <w:t> 2014; </w:t>
      </w:r>
      <w:r w:rsidRPr="00347522">
        <w:rPr>
          <w:rFonts w:ascii="Book Antiqua" w:hAnsi="Book Antiqua" w:cs="Times New Roman"/>
          <w:b/>
          <w:bCs/>
          <w:sz w:val="24"/>
          <w:szCs w:val="24"/>
          <w:lang w:val="en-US"/>
        </w:rPr>
        <w:t>5</w:t>
      </w:r>
      <w:r w:rsidRPr="00347522">
        <w:rPr>
          <w:rFonts w:ascii="Book Antiqua" w:hAnsi="Book Antiqua" w:cs="Times New Roman"/>
          <w:sz w:val="24"/>
          <w:szCs w:val="24"/>
          <w:lang w:val="en-US"/>
        </w:rPr>
        <w:t>: 404-408 [PMID: 25097424 DOI: 10.4103/0976-9668.136207]</w:t>
      </w:r>
    </w:p>
    <w:p w14:paraId="5380C317"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9 </w:t>
      </w:r>
      <w:r w:rsidRPr="00347522">
        <w:rPr>
          <w:rFonts w:ascii="Book Antiqua" w:hAnsi="Book Antiqua" w:cs="Times New Roman"/>
          <w:b/>
          <w:bCs/>
          <w:sz w:val="24"/>
          <w:szCs w:val="24"/>
          <w:lang w:val="en-US"/>
        </w:rPr>
        <w:t>Mastrodonato M</w:t>
      </w:r>
      <w:r w:rsidRPr="00347522">
        <w:rPr>
          <w:rFonts w:ascii="Book Antiqua" w:hAnsi="Book Antiqua" w:cs="Times New Roman"/>
          <w:sz w:val="24"/>
          <w:szCs w:val="24"/>
          <w:lang w:val="en-US"/>
        </w:rPr>
        <w:t>, Mentino D, Portincasa P, Calamita G, Liquori GE, Ferri D. High-fat diet alters the oligosaccharide chains of colon mucins in mice. </w:t>
      </w:r>
      <w:r w:rsidRPr="00347522">
        <w:rPr>
          <w:rFonts w:ascii="Book Antiqua" w:hAnsi="Book Antiqua" w:cs="Times New Roman"/>
          <w:i/>
          <w:iCs/>
          <w:sz w:val="24"/>
          <w:szCs w:val="24"/>
          <w:lang w:val="en-US"/>
        </w:rPr>
        <w:t>Histochem Cell Biol</w:t>
      </w:r>
      <w:r w:rsidRPr="00347522">
        <w:rPr>
          <w:rFonts w:ascii="Book Antiqua" w:hAnsi="Book Antiqua" w:cs="Times New Roman"/>
          <w:sz w:val="24"/>
          <w:szCs w:val="24"/>
          <w:lang w:val="en-US"/>
        </w:rPr>
        <w:t> 2014; </w:t>
      </w:r>
      <w:r w:rsidRPr="00347522">
        <w:rPr>
          <w:rFonts w:ascii="Book Antiqua" w:hAnsi="Book Antiqua" w:cs="Times New Roman"/>
          <w:b/>
          <w:bCs/>
          <w:sz w:val="24"/>
          <w:szCs w:val="24"/>
          <w:lang w:val="en-US"/>
        </w:rPr>
        <w:t>142</w:t>
      </w:r>
      <w:r w:rsidRPr="00347522">
        <w:rPr>
          <w:rFonts w:ascii="Book Antiqua" w:hAnsi="Book Antiqua" w:cs="Times New Roman"/>
          <w:sz w:val="24"/>
          <w:szCs w:val="24"/>
          <w:lang w:val="en-US"/>
        </w:rPr>
        <w:t>: 449-459 [PMID: 24770665 DOI: 10.1007/s00418-014-1221-2]</w:t>
      </w:r>
    </w:p>
    <w:p w14:paraId="0DC92B5D"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10 </w:t>
      </w:r>
      <w:r w:rsidRPr="00347522">
        <w:rPr>
          <w:rFonts w:ascii="Book Antiqua" w:hAnsi="Book Antiqua" w:cs="Times New Roman"/>
          <w:b/>
          <w:bCs/>
          <w:sz w:val="24"/>
          <w:szCs w:val="24"/>
          <w:lang w:val="en-US"/>
        </w:rPr>
        <w:t>Van der Sluis M</w:t>
      </w:r>
      <w:r w:rsidRPr="00347522">
        <w:rPr>
          <w:rFonts w:ascii="Book Antiqua" w:hAnsi="Book Antiqua" w:cs="Times New Roman"/>
          <w:sz w:val="24"/>
          <w:szCs w:val="24"/>
          <w:lang w:val="en-US"/>
        </w:rPr>
        <w:t xml:space="preserve">, De Koning BA, De Bruijn AC, Velcich A, Meijerink JP, Van Goudoever JB, Büller HA, Dekker J, Van Seuningen I, Renes IB, Einerhand AW. </w:t>
      </w:r>
      <w:r w:rsidRPr="00347522">
        <w:rPr>
          <w:rFonts w:ascii="Book Antiqua" w:hAnsi="Book Antiqua" w:cs="Times New Roman"/>
          <w:sz w:val="24"/>
          <w:szCs w:val="24"/>
          <w:lang w:val="en-US"/>
        </w:rPr>
        <w:lastRenderedPageBreak/>
        <w:t>Muc2-deficient mice spontaneously develop colitis, indicating that MUC2 is critical for colonic protection. </w:t>
      </w:r>
      <w:r w:rsidRPr="00347522">
        <w:rPr>
          <w:rFonts w:ascii="Book Antiqua" w:hAnsi="Book Antiqua" w:cs="Times New Roman"/>
          <w:i/>
          <w:iCs/>
          <w:sz w:val="24"/>
          <w:szCs w:val="24"/>
          <w:lang w:val="en-US"/>
        </w:rPr>
        <w:t>Gastroenterology</w:t>
      </w:r>
      <w:r w:rsidRPr="00347522">
        <w:rPr>
          <w:rFonts w:ascii="Book Antiqua" w:hAnsi="Book Antiqua" w:cs="Times New Roman"/>
          <w:sz w:val="24"/>
          <w:szCs w:val="24"/>
          <w:lang w:val="en-US"/>
        </w:rPr>
        <w:t> 2006; </w:t>
      </w:r>
      <w:r w:rsidRPr="00347522">
        <w:rPr>
          <w:rFonts w:ascii="Book Antiqua" w:hAnsi="Book Antiqua" w:cs="Times New Roman"/>
          <w:b/>
          <w:bCs/>
          <w:sz w:val="24"/>
          <w:szCs w:val="24"/>
          <w:lang w:val="en-US"/>
        </w:rPr>
        <w:t>131</w:t>
      </w:r>
      <w:r w:rsidRPr="00347522">
        <w:rPr>
          <w:rFonts w:ascii="Book Antiqua" w:hAnsi="Book Antiqua" w:cs="Times New Roman"/>
          <w:sz w:val="24"/>
          <w:szCs w:val="24"/>
          <w:lang w:val="en-US"/>
        </w:rPr>
        <w:t>: 117-129 [PMID: 16831596 DOI: 10.1053/j.gastro.2006.04.020]</w:t>
      </w:r>
    </w:p>
    <w:p w14:paraId="799158BC"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11 </w:t>
      </w:r>
      <w:r w:rsidRPr="00347522">
        <w:rPr>
          <w:rFonts w:ascii="Book Antiqua" w:hAnsi="Book Antiqua" w:cs="Times New Roman"/>
          <w:b/>
          <w:bCs/>
          <w:sz w:val="24"/>
          <w:szCs w:val="24"/>
          <w:lang w:val="en-US"/>
        </w:rPr>
        <w:t>Kim YS</w:t>
      </w:r>
      <w:r w:rsidRPr="00347522">
        <w:rPr>
          <w:rFonts w:ascii="Book Antiqua" w:hAnsi="Book Antiqua" w:cs="Times New Roman"/>
          <w:sz w:val="24"/>
          <w:szCs w:val="24"/>
          <w:lang w:val="en-US"/>
        </w:rPr>
        <w:t>, Ho SB. Intestinal goblet cells and mucins in health and disease: recent insights and progress. </w:t>
      </w:r>
      <w:r w:rsidRPr="00347522">
        <w:rPr>
          <w:rFonts w:ascii="Book Antiqua" w:hAnsi="Book Antiqua" w:cs="Times New Roman"/>
          <w:i/>
          <w:iCs/>
          <w:sz w:val="24"/>
          <w:szCs w:val="24"/>
          <w:lang w:val="en-US"/>
        </w:rPr>
        <w:t>Curr Gastroenterol Rep</w:t>
      </w:r>
      <w:r w:rsidRPr="00347522">
        <w:rPr>
          <w:rFonts w:ascii="Book Antiqua" w:hAnsi="Book Antiqua" w:cs="Times New Roman"/>
          <w:sz w:val="24"/>
          <w:szCs w:val="24"/>
          <w:lang w:val="en-US"/>
        </w:rPr>
        <w:t> 2010; </w:t>
      </w:r>
      <w:r w:rsidRPr="00347522">
        <w:rPr>
          <w:rFonts w:ascii="Book Antiqua" w:hAnsi="Book Antiqua" w:cs="Times New Roman"/>
          <w:b/>
          <w:bCs/>
          <w:sz w:val="24"/>
          <w:szCs w:val="24"/>
          <w:lang w:val="en-US"/>
        </w:rPr>
        <w:t>12</w:t>
      </w:r>
      <w:r w:rsidRPr="00347522">
        <w:rPr>
          <w:rFonts w:ascii="Book Antiqua" w:hAnsi="Book Antiqua" w:cs="Times New Roman"/>
          <w:sz w:val="24"/>
          <w:szCs w:val="24"/>
          <w:lang w:val="en-US"/>
        </w:rPr>
        <w:t>: 319-330 [PMID: 20703838 DOI: 10.1007/s11894-010-0131-2]</w:t>
      </w:r>
    </w:p>
    <w:p w14:paraId="58062F36"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12 </w:t>
      </w:r>
      <w:r w:rsidRPr="00347522">
        <w:rPr>
          <w:rFonts w:ascii="Book Antiqua" w:hAnsi="Book Antiqua" w:cs="Times New Roman"/>
          <w:b/>
          <w:bCs/>
          <w:sz w:val="24"/>
          <w:szCs w:val="24"/>
          <w:lang w:val="en-US"/>
        </w:rPr>
        <w:t>Pelaseyed T</w:t>
      </w:r>
      <w:r w:rsidRPr="00347522">
        <w:rPr>
          <w:rFonts w:ascii="Book Antiqua" w:hAnsi="Book Antiqua" w:cs="Times New Roman"/>
          <w:sz w:val="24"/>
          <w:szCs w:val="24"/>
          <w:lang w:val="en-US"/>
        </w:rPr>
        <w:t>, Bergström JH, Gustafsson JK, Ermund A, Birchenough GM, Schütte A, van der Post S, Svensson F, Rodríguez-Piñeiro AM, Nyström EE, Wising C, Johansson ME, Hansson GC. The mucus and mucins of the goblet cells and enterocytes provide the first defense line of the gastrointestinal tract and interact with the immune system. </w:t>
      </w:r>
      <w:r w:rsidRPr="00347522">
        <w:rPr>
          <w:rFonts w:ascii="Book Antiqua" w:hAnsi="Book Antiqua" w:cs="Times New Roman"/>
          <w:i/>
          <w:iCs/>
          <w:sz w:val="24"/>
          <w:szCs w:val="24"/>
          <w:lang w:val="en-US"/>
        </w:rPr>
        <w:t>Immunol Rev</w:t>
      </w:r>
      <w:r w:rsidRPr="00347522">
        <w:rPr>
          <w:rFonts w:ascii="Book Antiqua" w:hAnsi="Book Antiqua" w:cs="Times New Roman"/>
          <w:sz w:val="24"/>
          <w:szCs w:val="24"/>
          <w:lang w:val="en-US"/>
        </w:rPr>
        <w:t> 2014; </w:t>
      </w:r>
      <w:r w:rsidRPr="00347522">
        <w:rPr>
          <w:rFonts w:ascii="Book Antiqua" w:hAnsi="Book Antiqua" w:cs="Times New Roman"/>
          <w:b/>
          <w:bCs/>
          <w:sz w:val="24"/>
          <w:szCs w:val="24"/>
          <w:lang w:val="en-US"/>
        </w:rPr>
        <w:t>260</w:t>
      </w:r>
      <w:r w:rsidRPr="00347522">
        <w:rPr>
          <w:rFonts w:ascii="Book Antiqua" w:hAnsi="Book Antiqua" w:cs="Times New Roman"/>
          <w:sz w:val="24"/>
          <w:szCs w:val="24"/>
          <w:lang w:val="en-US"/>
        </w:rPr>
        <w:t>: 8-20 [PMID: 24942678 DOI: 10.1111/imr.12182]</w:t>
      </w:r>
    </w:p>
    <w:p w14:paraId="004E21D5"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13 </w:t>
      </w:r>
      <w:r w:rsidRPr="00347522">
        <w:rPr>
          <w:rFonts w:ascii="Book Antiqua" w:hAnsi="Book Antiqua" w:cs="Times New Roman"/>
          <w:b/>
          <w:bCs/>
          <w:sz w:val="24"/>
          <w:szCs w:val="24"/>
          <w:lang w:val="en-US"/>
        </w:rPr>
        <w:t>Niv Y</w:t>
      </w:r>
      <w:r w:rsidRPr="00347522">
        <w:rPr>
          <w:rFonts w:ascii="Book Antiqua" w:hAnsi="Book Antiqua" w:cs="Times New Roman"/>
          <w:sz w:val="24"/>
          <w:szCs w:val="24"/>
          <w:lang w:val="en-US"/>
        </w:rPr>
        <w:t>. MUC1 and colorectal cancer pathophysiology considerations. </w:t>
      </w:r>
      <w:r w:rsidRPr="00347522">
        <w:rPr>
          <w:rFonts w:ascii="Book Antiqua" w:hAnsi="Book Antiqua" w:cs="Times New Roman"/>
          <w:i/>
          <w:iCs/>
          <w:sz w:val="24"/>
          <w:szCs w:val="24"/>
          <w:lang w:val="en-US"/>
        </w:rPr>
        <w:t>World J Gastroenterol</w:t>
      </w:r>
      <w:r w:rsidRPr="00347522">
        <w:rPr>
          <w:rFonts w:ascii="Book Antiqua" w:hAnsi="Book Antiqua" w:cs="Times New Roman"/>
          <w:sz w:val="24"/>
          <w:szCs w:val="24"/>
          <w:lang w:val="en-US"/>
        </w:rPr>
        <w:t> 2008; </w:t>
      </w:r>
      <w:r w:rsidRPr="00347522">
        <w:rPr>
          <w:rFonts w:ascii="Book Antiqua" w:hAnsi="Book Antiqua" w:cs="Times New Roman"/>
          <w:b/>
          <w:bCs/>
          <w:sz w:val="24"/>
          <w:szCs w:val="24"/>
          <w:lang w:val="en-US"/>
        </w:rPr>
        <w:t>14</w:t>
      </w:r>
      <w:r w:rsidRPr="00347522">
        <w:rPr>
          <w:rFonts w:ascii="Book Antiqua" w:hAnsi="Book Antiqua" w:cs="Times New Roman"/>
          <w:sz w:val="24"/>
          <w:szCs w:val="24"/>
          <w:lang w:val="en-US"/>
        </w:rPr>
        <w:t>: 2139-2141 [PMID: 18407586]</w:t>
      </w:r>
    </w:p>
    <w:p w14:paraId="50749B7B"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14 </w:t>
      </w:r>
      <w:r w:rsidRPr="00347522">
        <w:rPr>
          <w:rFonts w:ascii="Book Antiqua" w:hAnsi="Book Antiqua" w:cs="Times New Roman"/>
          <w:b/>
          <w:bCs/>
          <w:sz w:val="24"/>
          <w:szCs w:val="24"/>
          <w:lang w:val="en-US"/>
        </w:rPr>
        <w:t>Duncan TJ</w:t>
      </w:r>
      <w:r w:rsidRPr="00347522">
        <w:rPr>
          <w:rFonts w:ascii="Book Antiqua" w:hAnsi="Book Antiqua" w:cs="Times New Roman"/>
          <w:sz w:val="24"/>
          <w:szCs w:val="24"/>
          <w:lang w:val="en-US"/>
        </w:rPr>
        <w:t>, Watson NF, Al-Attar AH, Scholefield JH, Durrant LG. The role of MUC1 and MUC3 in the biology and prognosis of colorectal cancer. </w:t>
      </w:r>
      <w:r w:rsidRPr="00347522">
        <w:rPr>
          <w:rFonts w:ascii="Book Antiqua" w:hAnsi="Book Antiqua" w:cs="Times New Roman"/>
          <w:i/>
          <w:iCs/>
          <w:sz w:val="24"/>
          <w:szCs w:val="24"/>
          <w:lang w:val="en-US"/>
        </w:rPr>
        <w:t>World J Surg Oncol</w:t>
      </w:r>
      <w:r w:rsidRPr="00347522">
        <w:rPr>
          <w:rFonts w:ascii="Book Antiqua" w:hAnsi="Book Antiqua" w:cs="Times New Roman"/>
          <w:sz w:val="24"/>
          <w:szCs w:val="24"/>
          <w:lang w:val="en-US"/>
        </w:rPr>
        <w:t> 2007; </w:t>
      </w:r>
      <w:r w:rsidRPr="00347522">
        <w:rPr>
          <w:rFonts w:ascii="Book Antiqua" w:hAnsi="Book Antiqua" w:cs="Times New Roman"/>
          <w:b/>
          <w:bCs/>
          <w:sz w:val="24"/>
          <w:szCs w:val="24"/>
          <w:lang w:val="en-US"/>
        </w:rPr>
        <w:t>5</w:t>
      </w:r>
      <w:r w:rsidRPr="00347522">
        <w:rPr>
          <w:rFonts w:ascii="Book Antiqua" w:hAnsi="Book Antiqua" w:cs="Times New Roman"/>
          <w:sz w:val="24"/>
          <w:szCs w:val="24"/>
          <w:lang w:val="en-US"/>
        </w:rPr>
        <w:t>: 31 [PMID: 17349047 DOI: 10.1186/1477-7819-5-31]</w:t>
      </w:r>
    </w:p>
    <w:p w14:paraId="247D92E1"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15 </w:t>
      </w:r>
      <w:r w:rsidRPr="00347522">
        <w:rPr>
          <w:rFonts w:ascii="Book Antiqua" w:hAnsi="Book Antiqua" w:cs="Times New Roman"/>
          <w:b/>
          <w:bCs/>
          <w:sz w:val="24"/>
          <w:szCs w:val="24"/>
          <w:lang w:val="en-US"/>
        </w:rPr>
        <w:t>Perçinel S</w:t>
      </w:r>
      <w:r w:rsidRPr="00347522">
        <w:rPr>
          <w:rFonts w:ascii="Book Antiqua" w:hAnsi="Book Antiqua" w:cs="Times New Roman"/>
          <w:sz w:val="24"/>
          <w:szCs w:val="24"/>
          <w:lang w:val="en-US"/>
        </w:rPr>
        <w:t>, Savaş B, Ensari A, Kuzu I, Kuzu MA, Bektaş M, Cetinkaya H, Kurşun N. Mucins in the colorectal neoplastic spectrum with reference to conventional and serrated adenomas. </w:t>
      </w:r>
      <w:r w:rsidRPr="00347522">
        <w:rPr>
          <w:rFonts w:ascii="Book Antiqua" w:hAnsi="Book Antiqua" w:cs="Times New Roman"/>
          <w:i/>
          <w:iCs/>
          <w:sz w:val="24"/>
          <w:szCs w:val="24"/>
          <w:lang w:val="en-US"/>
        </w:rPr>
        <w:t>Turk J Gastroenterol</w:t>
      </w:r>
      <w:r w:rsidRPr="00347522">
        <w:rPr>
          <w:rFonts w:ascii="Book Antiqua" w:hAnsi="Book Antiqua" w:cs="Times New Roman"/>
          <w:sz w:val="24"/>
          <w:szCs w:val="24"/>
          <w:lang w:val="en-US"/>
        </w:rPr>
        <w:t> 2007; </w:t>
      </w:r>
      <w:r w:rsidRPr="00347522">
        <w:rPr>
          <w:rFonts w:ascii="Book Antiqua" w:hAnsi="Book Antiqua" w:cs="Times New Roman"/>
          <w:b/>
          <w:bCs/>
          <w:sz w:val="24"/>
          <w:szCs w:val="24"/>
          <w:lang w:val="en-US"/>
        </w:rPr>
        <w:t>18</w:t>
      </w:r>
      <w:r w:rsidRPr="00347522">
        <w:rPr>
          <w:rFonts w:ascii="Book Antiqua" w:hAnsi="Book Antiqua" w:cs="Times New Roman"/>
          <w:sz w:val="24"/>
          <w:szCs w:val="24"/>
          <w:lang w:val="en-US"/>
        </w:rPr>
        <w:t>: 230-238 [PMID: 18080919]</w:t>
      </w:r>
    </w:p>
    <w:p w14:paraId="007897C3"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16 </w:t>
      </w:r>
      <w:r w:rsidRPr="00347522">
        <w:rPr>
          <w:rFonts w:ascii="Book Antiqua" w:hAnsi="Book Antiqua" w:cs="Times New Roman"/>
          <w:b/>
          <w:bCs/>
          <w:sz w:val="24"/>
          <w:szCs w:val="24"/>
          <w:lang w:val="en-US"/>
        </w:rPr>
        <w:t>Perez RO</w:t>
      </w:r>
      <w:r w:rsidRPr="00347522">
        <w:rPr>
          <w:rFonts w:ascii="Book Antiqua" w:hAnsi="Book Antiqua" w:cs="Times New Roman"/>
          <w:sz w:val="24"/>
          <w:szCs w:val="24"/>
          <w:lang w:val="en-US"/>
        </w:rPr>
        <w:t>, Bresciani BH, Bresciani C, Proscurshim I, Kiss D, Gama-Rodrigues J, Pereira DD, Rawet V, Cecconnello I, Habr-Gama A. Mucinous colorectal adenocarcinoma: influence of mucin expression (Muc1, 2 and 5) on clinico-pathological features and prognosis. </w:t>
      </w:r>
      <w:r w:rsidRPr="00347522">
        <w:rPr>
          <w:rFonts w:ascii="Book Antiqua" w:hAnsi="Book Antiqua" w:cs="Times New Roman"/>
          <w:i/>
          <w:iCs/>
          <w:sz w:val="24"/>
          <w:szCs w:val="24"/>
          <w:lang w:val="en-US"/>
        </w:rPr>
        <w:t>Int J Colorectal Dis</w:t>
      </w:r>
      <w:r w:rsidRPr="00347522">
        <w:rPr>
          <w:rFonts w:ascii="Book Antiqua" w:hAnsi="Book Antiqua" w:cs="Times New Roman"/>
          <w:sz w:val="24"/>
          <w:szCs w:val="24"/>
          <w:lang w:val="en-US"/>
        </w:rPr>
        <w:t> 2008; </w:t>
      </w:r>
      <w:r w:rsidRPr="00347522">
        <w:rPr>
          <w:rFonts w:ascii="Book Antiqua" w:hAnsi="Book Antiqua" w:cs="Times New Roman"/>
          <w:b/>
          <w:bCs/>
          <w:sz w:val="24"/>
          <w:szCs w:val="24"/>
          <w:lang w:val="en-US"/>
        </w:rPr>
        <w:t>23</w:t>
      </w:r>
      <w:r w:rsidRPr="00347522">
        <w:rPr>
          <w:rFonts w:ascii="Book Antiqua" w:hAnsi="Book Antiqua" w:cs="Times New Roman"/>
          <w:sz w:val="24"/>
          <w:szCs w:val="24"/>
          <w:lang w:val="en-US"/>
        </w:rPr>
        <w:t>: 757-765 [PMID: 18458918 DOI: 10.1007/s00384-008-0486-0]</w:t>
      </w:r>
    </w:p>
    <w:p w14:paraId="2D62B509"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17 </w:t>
      </w:r>
      <w:r w:rsidRPr="00347522">
        <w:rPr>
          <w:rFonts w:ascii="Book Antiqua" w:hAnsi="Book Antiqua" w:cs="Times New Roman"/>
          <w:b/>
          <w:bCs/>
          <w:sz w:val="24"/>
          <w:szCs w:val="24"/>
          <w:lang w:val="en-US"/>
        </w:rPr>
        <w:t>Saeland E</w:t>
      </w:r>
      <w:r w:rsidRPr="00347522">
        <w:rPr>
          <w:rFonts w:ascii="Book Antiqua" w:hAnsi="Book Antiqua" w:cs="Times New Roman"/>
          <w:sz w:val="24"/>
          <w:szCs w:val="24"/>
          <w:lang w:val="en-US"/>
        </w:rPr>
        <w:t>, Belo AI, Mongera S, van Die I, Meijer GA, van Kooyk Y. Differential glycosylation of MUC1 and CEACAM5 between normal mucosa and tumour tissue of colon cancer patients. </w:t>
      </w:r>
      <w:r w:rsidRPr="00347522">
        <w:rPr>
          <w:rFonts w:ascii="Book Antiqua" w:hAnsi="Book Antiqua" w:cs="Times New Roman"/>
          <w:i/>
          <w:iCs/>
          <w:sz w:val="24"/>
          <w:szCs w:val="24"/>
          <w:lang w:val="en-US"/>
        </w:rPr>
        <w:t>Int J Cancer</w:t>
      </w:r>
      <w:r w:rsidRPr="00347522">
        <w:rPr>
          <w:rFonts w:ascii="Book Antiqua" w:hAnsi="Book Antiqua" w:cs="Times New Roman"/>
          <w:sz w:val="24"/>
          <w:szCs w:val="24"/>
          <w:lang w:val="en-US"/>
        </w:rPr>
        <w:t> 2012; </w:t>
      </w:r>
      <w:r w:rsidRPr="00347522">
        <w:rPr>
          <w:rFonts w:ascii="Book Antiqua" w:hAnsi="Book Antiqua" w:cs="Times New Roman"/>
          <w:b/>
          <w:bCs/>
          <w:sz w:val="24"/>
          <w:szCs w:val="24"/>
          <w:lang w:val="en-US"/>
        </w:rPr>
        <w:t>131</w:t>
      </w:r>
      <w:r w:rsidRPr="00347522">
        <w:rPr>
          <w:rFonts w:ascii="Book Antiqua" w:hAnsi="Book Antiqua" w:cs="Times New Roman"/>
          <w:sz w:val="24"/>
          <w:szCs w:val="24"/>
          <w:lang w:val="en-US"/>
        </w:rPr>
        <w:t>: 117-128 [PMID: 21823122 DOI: 10.1002/ijc.26354]</w:t>
      </w:r>
    </w:p>
    <w:p w14:paraId="3EC7DFA8"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lastRenderedPageBreak/>
        <w:t>18 </w:t>
      </w:r>
      <w:r w:rsidRPr="00347522">
        <w:rPr>
          <w:rFonts w:ascii="Book Antiqua" w:hAnsi="Book Antiqua" w:cs="Times New Roman"/>
          <w:b/>
          <w:bCs/>
          <w:sz w:val="24"/>
          <w:szCs w:val="24"/>
          <w:lang w:val="en-US"/>
        </w:rPr>
        <w:t>Terada T</w:t>
      </w:r>
      <w:r w:rsidRPr="00347522">
        <w:rPr>
          <w:rFonts w:ascii="Book Antiqua" w:hAnsi="Book Antiqua" w:cs="Times New Roman"/>
          <w:sz w:val="24"/>
          <w:szCs w:val="24"/>
          <w:lang w:val="en-US"/>
        </w:rPr>
        <w:t>. An immunohistochemical study of primary signet-ring cell carcinoma of the stomach and colorectum: II. Expression of MUC1, MUC2, MUC5AC, and MUC6 in normal mucosa and in 42 cases. </w:t>
      </w:r>
      <w:r w:rsidRPr="00347522">
        <w:rPr>
          <w:rFonts w:ascii="Book Antiqua" w:hAnsi="Book Antiqua" w:cs="Times New Roman"/>
          <w:i/>
          <w:iCs/>
          <w:sz w:val="24"/>
          <w:szCs w:val="24"/>
          <w:lang w:val="en-US"/>
        </w:rPr>
        <w:t>Int J Clin Exp Pathol</w:t>
      </w:r>
      <w:r w:rsidRPr="00347522">
        <w:rPr>
          <w:rFonts w:ascii="Book Antiqua" w:hAnsi="Book Antiqua" w:cs="Times New Roman"/>
          <w:sz w:val="24"/>
          <w:szCs w:val="24"/>
          <w:lang w:val="en-US"/>
        </w:rPr>
        <w:t> 2013; </w:t>
      </w:r>
      <w:r w:rsidRPr="00347522">
        <w:rPr>
          <w:rFonts w:ascii="Book Antiqua" w:hAnsi="Book Antiqua" w:cs="Times New Roman"/>
          <w:b/>
          <w:bCs/>
          <w:sz w:val="24"/>
          <w:szCs w:val="24"/>
          <w:lang w:val="en-US"/>
        </w:rPr>
        <w:t>6</w:t>
      </w:r>
      <w:r w:rsidRPr="00347522">
        <w:rPr>
          <w:rFonts w:ascii="Book Antiqua" w:hAnsi="Book Antiqua" w:cs="Times New Roman"/>
          <w:sz w:val="24"/>
          <w:szCs w:val="24"/>
          <w:lang w:val="en-US"/>
        </w:rPr>
        <w:t>: 613-621 [PMID: 23573307]</w:t>
      </w:r>
    </w:p>
    <w:p w14:paraId="14DBF6A7"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19 </w:t>
      </w:r>
      <w:r w:rsidRPr="00347522">
        <w:rPr>
          <w:rFonts w:ascii="Book Antiqua" w:hAnsi="Book Antiqua" w:cs="Times New Roman"/>
          <w:b/>
          <w:bCs/>
          <w:sz w:val="24"/>
          <w:szCs w:val="24"/>
          <w:lang w:val="en-US"/>
        </w:rPr>
        <w:t>Kesari MV</w:t>
      </w:r>
      <w:r w:rsidRPr="00347522">
        <w:rPr>
          <w:rFonts w:ascii="Book Antiqua" w:hAnsi="Book Antiqua" w:cs="Times New Roman"/>
          <w:sz w:val="24"/>
          <w:szCs w:val="24"/>
          <w:lang w:val="en-US"/>
        </w:rPr>
        <w:t>, Gaopande VL, Joshi AR, Babanagare SV, Gogate BP, Khadilkar AV. Immunohistochemical study of MUC1, MUC2 and MUC5AC in colorectal carcinoma and review of literature. </w:t>
      </w:r>
      <w:r w:rsidRPr="00347522">
        <w:rPr>
          <w:rFonts w:ascii="Book Antiqua" w:hAnsi="Book Antiqua" w:cs="Times New Roman"/>
          <w:i/>
          <w:iCs/>
          <w:sz w:val="24"/>
          <w:szCs w:val="24"/>
          <w:lang w:val="en-US"/>
        </w:rPr>
        <w:t>Indian J Gastroenterol</w:t>
      </w:r>
      <w:r w:rsidRPr="00347522">
        <w:rPr>
          <w:rFonts w:ascii="Book Antiqua" w:hAnsi="Book Antiqua" w:cs="Times New Roman"/>
          <w:sz w:val="24"/>
          <w:szCs w:val="24"/>
          <w:lang w:val="en-US"/>
        </w:rPr>
        <w:t> 2015; </w:t>
      </w:r>
      <w:r w:rsidRPr="00347522">
        <w:rPr>
          <w:rFonts w:ascii="Book Antiqua" w:hAnsi="Book Antiqua" w:cs="Times New Roman"/>
          <w:b/>
          <w:bCs/>
          <w:sz w:val="24"/>
          <w:szCs w:val="24"/>
          <w:lang w:val="en-US"/>
        </w:rPr>
        <w:t>34</w:t>
      </w:r>
      <w:r w:rsidRPr="00347522">
        <w:rPr>
          <w:rFonts w:ascii="Book Antiqua" w:hAnsi="Book Antiqua" w:cs="Times New Roman"/>
          <w:sz w:val="24"/>
          <w:szCs w:val="24"/>
          <w:lang w:val="en-US"/>
        </w:rPr>
        <w:t>: 63-67 [PMID: 25731647 DOI: 10.1007/s12664-015-0534-y]</w:t>
      </w:r>
    </w:p>
    <w:p w14:paraId="559232E4"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20 </w:t>
      </w:r>
      <w:r w:rsidRPr="00347522">
        <w:rPr>
          <w:rFonts w:ascii="Book Antiqua" w:hAnsi="Book Antiqua" w:cs="Times New Roman"/>
          <w:b/>
          <w:bCs/>
          <w:sz w:val="24"/>
          <w:szCs w:val="24"/>
          <w:lang w:val="en-US"/>
        </w:rPr>
        <w:t>Wang HS</w:t>
      </w:r>
      <w:r w:rsidRPr="00347522">
        <w:rPr>
          <w:rFonts w:ascii="Book Antiqua" w:hAnsi="Book Antiqua" w:cs="Times New Roman"/>
          <w:sz w:val="24"/>
          <w:szCs w:val="24"/>
          <w:lang w:val="en-US"/>
        </w:rPr>
        <w:t>, Wang LH. The expression and significance of Gal-3 and MUC1 in colorectal cancer and colon cancer. </w:t>
      </w:r>
      <w:r w:rsidRPr="00347522">
        <w:rPr>
          <w:rFonts w:ascii="Book Antiqua" w:hAnsi="Book Antiqua" w:cs="Times New Roman"/>
          <w:i/>
          <w:iCs/>
          <w:sz w:val="24"/>
          <w:szCs w:val="24"/>
          <w:lang w:val="en-US"/>
        </w:rPr>
        <w:t>Onco Targets Ther</w:t>
      </w:r>
      <w:r w:rsidRPr="00347522">
        <w:rPr>
          <w:rFonts w:ascii="Book Antiqua" w:hAnsi="Book Antiqua" w:cs="Times New Roman"/>
          <w:sz w:val="24"/>
          <w:szCs w:val="24"/>
          <w:lang w:val="en-US"/>
        </w:rPr>
        <w:t> 2015; </w:t>
      </w:r>
      <w:r w:rsidRPr="00347522">
        <w:rPr>
          <w:rFonts w:ascii="Book Antiqua" w:hAnsi="Book Antiqua" w:cs="Times New Roman"/>
          <w:b/>
          <w:bCs/>
          <w:sz w:val="24"/>
          <w:szCs w:val="24"/>
          <w:lang w:val="en-US"/>
        </w:rPr>
        <w:t>8</w:t>
      </w:r>
      <w:r w:rsidRPr="00347522">
        <w:rPr>
          <w:rFonts w:ascii="Book Antiqua" w:hAnsi="Book Antiqua" w:cs="Times New Roman"/>
          <w:sz w:val="24"/>
          <w:szCs w:val="24"/>
          <w:lang w:val="en-US"/>
        </w:rPr>
        <w:t>: 1893-1898 [PMID: 26251612 DOI: 10.2147/OTT.S83502]</w:t>
      </w:r>
    </w:p>
    <w:p w14:paraId="64B746F1"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21 </w:t>
      </w:r>
      <w:r w:rsidRPr="00347522">
        <w:rPr>
          <w:rFonts w:ascii="Book Antiqua" w:hAnsi="Book Antiqua" w:cs="Times New Roman"/>
          <w:b/>
          <w:bCs/>
          <w:sz w:val="24"/>
          <w:szCs w:val="24"/>
          <w:lang w:val="en-US"/>
        </w:rPr>
        <w:t>Debunne H</w:t>
      </w:r>
      <w:r w:rsidRPr="00347522">
        <w:rPr>
          <w:rFonts w:ascii="Book Antiqua" w:hAnsi="Book Antiqua" w:cs="Times New Roman"/>
          <w:sz w:val="24"/>
          <w:szCs w:val="24"/>
          <w:lang w:val="en-US"/>
        </w:rPr>
        <w:t>, Ceelen W. Mucinous differentiation in colorectal cancer: molecular, histological and clinical aspects. </w:t>
      </w:r>
      <w:r w:rsidRPr="00347522">
        <w:rPr>
          <w:rFonts w:ascii="Book Antiqua" w:hAnsi="Book Antiqua" w:cs="Times New Roman"/>
          <w:i/>
          <w:iCs/>
          <w:sz w:val="24"/>
          <w:szCs w:val="24"/>
          <w:lang w:val="en-US"/>
        </w:rPr>
        <w:t>Acta Chir Belg</w:t>
      </w:r>
      <w:r w:rsidRPr="00347522">
        <w:rPr>
          <w:rFonts w:ascii="Book Antiqua" w:hAnsi="Book Antiqua" w:cs="Times New Roman"/>
          <w:sz w:val="24"/>
          <w:szCs w:val="24"/>
          <w:lang w:val="en-US"/>
        </w:rPr>
        <w:t> 2013; </w:t>
      </w:r>
      <w:r w:rsidRPr="00347522">
        <w:rPr>
          <w:rFonts w:ascii="Book Antiqua" w:hAnsi="Book Antiqua" w:cs="Times New Roman"/>
          <w:b/>
          <w:bCs/>
          <w:sz w:val="24"/>
          <w:szCs w:val="24"/>
          <w:lang w:val="en-US"/>
        </w:rPr>
        <w:t>113</w:t>
      </w:r>
      <w:r w:rsidRPr="00347522">
        <w:rPr>
          <w:rFonts w:ascii="Book Antiqua" w:hAnsi="Book Antiqua" w:cs="Times New Roman"/>
          <w:sz w:val="24"/>
          <w:szCs w:val="24"/>
          <w:lang w:val="en-US"/>
        </w:rPr>
        <w:t>: 385-390 [PMID: 24494463]</w:t>
      </w:r>
    </w:p>
    <w:p w14:paraId="66297DE4"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22 </w:t>
      </w:r>
      <w:r w:rsidRPr="00347522">
        <w:rPr>
          <w:rFonts w:ascii="Book Antiqua" w:hAnsi="Book Antiqua" w:cs="Times New Roman"/>
          <w:b/>
          <w:bCs/>
          <w:sz w:val="24"/>
          <w:szCs w:val="24"/>
          <w:lang w:val="en-US"/>
        </w:rPr>
        <w:t>Xu F</w:t>
      </w:r>
      <w:r w:rsidRPr="00347522">
        <w:rPr>
          <w:rFonts w:ascii="Book Antiqua" w:hAnsi="Book Antiqua" w:cs="Times New Roman"/>
          <w:sz w:val="24"/>
          <w:szCs w:val="24"/>
          <w:lang w:val="en-US"/>
        </w:rPr>
        <w:t>, Liu F, Zhao H, An G, Feng G. Prognostic Significance of Mucin Antigen MUC1 in Various Human Epithelial Cancers: A Meta-Analysis. </w:t>
      </w:r>
      <w:r w:rsidRPr="00347522">
        <w:rPr>
          <w:rFonts w:ascii="Book Antiqua" w:hAnsi="Book Antiqua" w:cs="Times New Roman"/>
          <w:i/>
          <w:iCs/>
          <w:sz w:val="24"/>
          <w:szCs w:val="24"/>
          <w:lang w:val="en-US"/>
        </w:rPr>
        <w:t>Medicine (Baltimore)</w:t>
      </w:r>
      <w:r w:rsidRPr="00347522">
        <w:rPr>
          <w:rFonts w:ascii="Book Antiqua" w:hAnsi="Book Antiqua" w:cs="Times New Roman"/>
          <w:sz w:val="24"/>
          <w:szCs w:val="24"/>
          <w:lang w:val="en-US"/>
        </w:rPr>
        <w:t> 2015; </w:t>
      </w:r>
      <w:r w:rsidRPr="00347522">
        <w:rPr>
          <w:rFonts w:ascii="Book Antiqua" w:hAnsi="Book Antiqua" w:cs="Times New Roman"/>
          <w:b/>
          <w:bCs/>
          <w:sz w:val="24"/>
          <w:szCs w:val="24"/>
          <w:lang w:val="en-US"/>
        </w:rPr>
        <w:t>94</w:t>
      </w:r>
      <w:r w:rsidRPr="00347522">
        <w:rPr>
          <w:rFonts w:ascii="Book Antiqua" w:hAnsi="Book Antiqua" w:cs="Times New Roman"/>
          <w:sz w:val="24"/>
          <w:szCs w:val="24"/>
          <w:lang w:val="en-US"/>
        </w:rPr>
        <w:t>: e2286 [PMID: 26683959 DOI: 10.1097/MD.0000000000002286]</w:t>
      </w:r>
    </w:p>
    <w:p w14:paraId="60CF74B5"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23 </w:t>
      </w:r>
      <w:r w:rsidRPr="00347522">
        <w:rPr>
          <w:rFonts w:ascii="Book Antiqua" w:hAnsi="Book Antiqua" w:cs="Times New Roman"/>
          <w:b/>
          <w:bCs/>
          <w:sz w:val="24"/>
          <w:szCs w:val="24"/>
          <w:lang w:val="en-US"/>
        </w:rPr>
        <w:t>Zeng Y</w:t>
      </w:r>
      <w:r w:rsidRPr="00347522">
        <w:rPr>
          <w:rFonts w:ascii="Book Antiqua" w:hAnsi="Book Antiqua" w:cs="Times New Roman"/>
          <w:sz w:val="24"/>
          <w:szCs w:val="24"/>
          <w:lang w:val="en-US"/>
        </w:rPr>
        <w:t>, Zhang Q, Zhang Y, Lu M, Liu Y, Zheng T, Feng S, Hao M, Shi H. MUC1 Predicts Colorectal Cancer Metastasis: A Systematic Review and Meta-Analysis of Case Controlled Studies. </w:t>
      </w:r>
      <w:r w:rsidRPr="00347522">
        <w:rPr>
          <w:rFonts w:ascii="Book Antiqua" w:hAnsi="Book Antiqua" w:cs="Times New Roman"/>
          <w:i/>
          <w:iCs/>
          <w:sz w:val="24"/>
          <w:szCs w:val="24"/>
          <w:lang w:val="en-US"/>
        </w:rPr>
        <w:t>PLoS One</w:t>
      </w:r>
      <w:r w:rsidRPr="00347522">
        <w:rPr>
          <w:rFonts w:ascii="Book Antiqua" w:hAnsi="Book Antiqua" w:cs="Times New Roman"/>
          <w:sz w:val="24"/>
          <w:szCs w:val="24"/>
          <w:lang w:val="en-US"/>
        </w:rPr>
        <w:t> 2015; </w:t>
      </w:r>
      <w:r w:rsidRPr="00347522">
        <w:rPr>
          <w:rFonts w:ascii="Book Antiqua" w:hAnsi="Book Antiqua" w:cs="Times New Roman"/>
          <w:b/>
          <w:bCs/>
          <w:sz w:val="24"/>
          <w:szCs w:val="24"/>
          <w:lang w:val="en-US"/>
        </w:rPr>
        <w:t>10</w:t>
      </w:r>
      <w:r w:rsidRPr="00347522">
        <w:rPr>
          <w:rFonts w:ascii="Book Antiqua" w:hAnsi="Book Antiqua" w:cs="Times New Roman"/>
          <w:sz w:val="24"/>
          <w:szCs w:val="24"/>
          <w:lang w:val="en-US"/>
        </w:rPr>
        <w:t>: e0138049 [PMID: 26367866 DOI: 10.1371/journal.pone.0138049]</w:t>
      </w:r>
    </w:p>
    <w:p w14:paraId="11BD3EA4"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24 </w:t>
      </w:r>
      <w:r w:rsidRPr="00347522">
        <w:rPr>
          <w:rFonts w:ascii="Book Antiqua" w:hAnsi="Book Antiqua" w:cs="Times New Roman"/>
          <w:b/>
          <w:bCs/>
          <w:sz w:val="24"/>
          <w:szCs w:val="24"/>
          <w:lang w:val="en-US"/>
        </w:rPr>
        <w:t>Chiang JM</w:t>
      </w:r>
      <w:r w:rsidRPr="00347522">
        <w:rPr>
          <w:rFonts w:ascii="Book Antiqua" w:hAnsi="Book Antiqua" w:cs="Times New Roman"/>
          <w:sz w:val="24"/>
          <w:szCs w:val="24"/>
          <w:lang w:val="en-US"/>
        </w:rPr>
        <w:t>, Yeh CY, Changchien CR, Chen JS, Tang R, Chen JR. Mucinous adenocarcinoma showing different clinicopathological and molecular characteristics in relation to different colorectal cancer subgroups. </w:t>
      </w:r>
      <w:r w:rsidRPr="00347522">
        <w:rPr>
          <w:rFonts w:ascii="Book Antiqua" w:hAnsi="Book Antiqua" w:cs="Times New Roman"/>
          <w:i/>
          <w:iCs/>
          <w:sz w:val="24"/>
          <w:szCs w:val="24"/>
          <w:lang w:val="en-US"/>
        </w:rPr>
        <w:t>Int J Colorectal Dis</w:t>
      </w:r>
      <w:r w:rsidRPr="00347522">
        <w:rPr>
          <w:rFonts w:ascii="Book Antiqua" w:hAnsi="Book Antiqua" w:cs="Times New Roman"/>
          <w:sz w:val="24"/>
          <w:szCs w:val="24"/>
          <w:lang w:val="en-US"/>
        </w:rPr>
        <w:t>2010; </w:t>
      </w:r>
      <w:r w:rsidRPr="00347522">
        <w:rPr>
          <w:rFonts w:ascii="Book Antiqua" w:hAnsi="Book Antiqua" w:cs="Times New Roman"/>
          <w:b/>
          <w:bCs/>
          <w:sz w:val="24"/>
          <w:szCs w:val="24"/>
          <w:lang w:val="en-US"/>
        </w:rPr>
        <w:t>25</w:t>
      </w:r>
      <w:r w:rsidRPr="00347522">
        <w:rPr>
          <w:rFonts w:ascii="Book Antiqua" w:hAnsi="Book Antiqua" w:cs="Times New Roman"/>
          <w:sz w:val="24"/>
          <w:szCs w:val="24"/>
          <w:lang w:val="en-US"/>
        </w:rPr>
        <w:t>: 941-947 [PMID: 20532535 DOI: 10.1007/s00384-010-0958-x]</w:t>
      </w:r>
    </w:p>
    <w:p w14:paraId="2418C8DC"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25 </w:t>
      </w:r>
      <w:r w:rsidRPr="00347522">
        <w:rPr>
          <w:rFonts w:ascii="Book Antiqua" w:hAnsi="Book Antiqua" w:cs="Times New Roman"/>
          <w:b/>
          <w:bCs/>
          <w:sz w:val="24"/>
          <w:szCs w:val="24"/>
          <w:lang w:val="en-US"/>
        </w:rPr>
        <w:t>Winder T</w:t>
      </w:r>
      <w:r w:rsidRPr="00347522">
        <w:rPr>
          <w:rFonts w:ascii="Book Antiqua" w:hAnsi="Book Antiqua" w:cs="Times New Roman"/>
          <w:sz w:val="24"/>
          <w:szCs w:val="24"/>
          <w:lang w:val="en-US"/>
        </w:rPr>
        <w:t>, Lenz HJ. Mucinous adenocarcinomas with intra-abdominal dissemination: a review of current therapy. </w:t>
      </w:r>
      <w:r w:rsidRPr="00347522">
        <w:rPr>
          <w:rFonts w:ascii="Book Antiqua" w:hAnsi="Book Antiqua" w:cs="Times New Roman"/>
          <w:i/>
          <w:iCs/>
          <w:sz w:val="24"/>
          <w:szCs w:val="24"/>
          <w:lang w:val="en-US"/>
        </w:rPr>
        <w:t>Oncologist</w:t>
      </w:r>
      <w:r w:rsidRPr="00347522">
        <w:rPr>
          <w:rFonts w:ascii="Book Antiqua" w:hAnsi="Book Antiqua" w:cs="Times New Roman"/>
          <w:sz w:val="24"/>
          <w:szCs w:val="24"/>
          <w:lang w:val="en-US"/>
        </w:rPr>
        <w:t> 2010; </w:t>
      </w:r>
      <w:r w:rsidRPr="00347522">
        <w:rPr>
          <w:rFonts w:ascii="Book Antiqua" w:hAnsi="Book Antiqua" w:cs="Times New Roman"/>
          <w:b/>
          <w:bCs/>
          <w:sz w:val="24"/>
          <w:szCs w:val="24"/>
          <w:lang w:val="en-US"/>
        </w:rPr>
        <w:t>15</w:t>
      </w:r>
      <w:r w:rsidRPr="00347522">
        <w:rPr>
          <w:rFonts w:ascii="Book Antiqua" w:hAnsi="Book Antiqua" w:cs="Times New Roman"/>
          <w:sz w:val="24"/>
          <w:szCs w:val="24"/>
          <w:lang w:val="en-US"/>
        </w:rPr>
        <w:t>: 836-844 [PMID: 20656916 DOI: 10.1634/theoncologist.2010-0052]</w:t>
      </w:r>
    </w:p>
    <w:p w14:paraId="65DE6AFF"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26 </w:t>
      </w:r>
      <w:r w:rsidRPr="00347522">
        <w:rPr>
          <w:rFonts w:ascii="Book Antiqua" w:hAnsi="Book Antiqua" w:cs="Times New Roman"/>
          <w:b/>
          <w:bCs/>
          <w:sz w:val="24"/>
          <w:szCs w:val="24"/>
          <w:lang w:val="en-US"/>
        </w:rPr>
        <w:t>You JF</w:t>
      </w:r>
      <w:r w:rsidRPr="00347522">
        <w:rPr>
          <w:rFonts w:ascii="Book Antiqua" w:hAnsi="Book Antiqua" w:cs="Times New Roman"/>
          <w:sz w:val="24"/>
          <w:szCs w:val="24"/>
          <w:lang w:val="en-US"/>
        </w:rPr>
        <w:t xml:space="preserve">, Hsieh LL, Changchien CR, Chen JS, Chen JR, Chiang JM, Yeh CY, Hsieh PS, Fan CW, Liu CT, Tang R. Inverse effects of mucin on survival of matched hereditary nonpolyposis colorectal cancer and sporadic colorectal cancer </w:t>
      </w:r>
      <w:r w:rsidRPr="00347522">
        <w:rPr>
          <w:rFonts w:ascii="Book Antiqua" w:hAnsi="Book Antiqua" w:cs="Times New Roman"/>
          <w:sz w:val="24"/>
          <w:szCs w:val="24"/>
          <w:lang w:val="en-US"/>
        </w:rPr>
        <w:lastRenderedPageBreak/>
        <w:t>patients. </w:t>
      </w:r>
      <w:r w:rsidRPr="00347522">
        <w:rPr>
          <w:rFonts w:ascii="Book Antiqua" w:hAnsi="Book Antiqua" w:cs="Times New Roman"/>
          <w:i/>
          <w:iCs/>
          <w:sz w:val="24"/>
          <w:szCs w:val="24"/>
          <w:lang w:val="en-US"/>
        </w:rPr>
        <w:t>Clin Cancer Res</w:t>
      </w:r>
      <w:r w:rsidRPr="00347522">
        <w:rPr>
          <w:rFonts w:ascii="Book Antiqua" w:hAnsi="Book Antiqua" w:cs="Times New Roman"/>
          <w:sz w:val="24"/>
          <w:szCs w:val="24"/>
          <w:lang w:val="en-US"/>
        </w:rPr>
        <w:t> 2006; </w:t>
      </w:r>
      <w:r w:rsidRPr="00347522">
        <w:rPr>
          <w:rFonts w:ascii="Book Antiqua" w:hAnsi="Book Antiqua" w:cs="Times New Roman"/>
          <w:b/>
          <w:bCs/>
          <w:sz w:val="24"/>
          <w:szCs w:val="24"/>
          <w:lang w:val="en-US"/>
        </w:rPr>
        <w:t>12</w:t>
      </w:r>
      <w:r w:rsidRPr="00347522">
        <w:rPr>
          <w:rFonts w:ascii="Book Antiqua" w:hAnsi="Book Antiqua" w:cs="Times New Roman"/>
          <w:sz w:val="24"/>
          <w:szCs w:val="24"/>
          <w:lang w:val="en-US"/>
        </w:rPr>
        <w:t>: 4244-4250 [PMID: 16857798 DOI: 10.1158/1078-0432.CCR-06-0202]</w:t>
      </w:r>
    </w:p>
    <w:p w14:paraId="20BBB8FE"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27 </w:t>
      </w:r>
      <w:r w:rsidRPr="00347522">
        <w:rPr>
          <w:rFonts w:ascii="Book Antiqua" w:hAnsi="Book Antiqua" w:cs="Times New Roman"/>
          <w:b/>
          <w:bCs/>
          <w:sz w:val="24"/>
          <w:szCs w:val="24"/>
          <w:lang w:val="en-US"/>
        </w:rPr>
        <w:t>Verhulst J</w:t>
      </w:r>
      <w:r w:rsidRPr="00347522">
        <w:rPr>
          <w:rFonts w:ascii="Book Antiqua" w:hAnsi="Book Antiqua" w:cs="Times New Roman"/>
          <w:sz w:val="24"/>
          <w:szCs w:val="24"/>
          <w:lang w:val="en-US"/>
        </w:rPr>
        <w:t>, Ferdinande L, Demetter P, Ceelen W. Mucinous subtype as prognostic factor in colorectal cancer: a systematic review and meta-analysis. </w:t>
      </w:r>
      <w:r w:rsidRPr="00347522">
        <w:rPr>
          <w:rFonts w:ascii="Book Antiqua" w:hAnsi="Book Antiqua" w:cs="Times New Roman"/>
          <w:i/>
          <w:iCs/>
          <w:sz w:val="24"/>
          <w:szCs w:val="24"/>
          <w:lang w:val="en-US"/>
        </w:rPr>
        <w:t>J Clin Pathol</w:t>
      </w:r>
      <w:r w:rsidRPr="00347522">
        <w:rPr>
          <w:rFonts w:ascii="Book Antiqua" w:hAnsi="Book Antiqua" w:cs="Times New Roman"/>
          <w:sz w:val="24"/>
          <w:szCs w:val="24"/>
          <w:lang w:val="en-US"/>
        </w:rPr>
        <w:t> 2012; </w:t>
      </w:r>
      <w:r w:rsidRPr="00347522">
        <w:rPr>
          <w:rFonts w:ascii="Book Antiqua" w:hAnsi="Book Antiqua" w:cs="Times New Roman"/>
          <w:b/>
          <w:bCs/>
          <w:sz w:val="24"/>
          <w:szCs w:val="24"/>
          <w:lang w:val="en-US"/>
        </w:rPr>
        <w:t>65</w:t>
      </w:r>
      <w:r w:rsidRPr="00347522">
        <w:rPr>
          <w:rFonts w:ascii="Book Antiqua" w:hAnsi="Book Antiqua" w:cs="Times New Roman"/>
          <w:sz w:val="24"/>
          <w:szCs w:val="24"/>
          <w:lang w:val="en-US"/>
        </w:rPr>
        <w:t>: 381-388 [PMID: 22259177 DOI: 10.1136/jclinpath-2011-200340]</w:t>
      </w:r>
    </w:p>
    <w:p w14:paraId="5CB4A184"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28 </w:t>
      </w:r>
      <w:r w:rsidRPr="00347522">
        <w:rPr>
          <w:rFonts w:ascii="Book Antiqua" w:hAnsi="Book Antiqua" w:cs="Times New Roman"/>
          <w:b/>
          <w:bCs/>
          <w:sz w:val="24"/>
          <w:szCs w:val="24"/>
          <w:lang w:val="en-US"/>
        </w:rPr>
        <w:t>Benedix F</w:t>
      </w:r>
      <w:r w:rsidRPr="00347522">
        <w:rPr>
          <w:rFonts w:ascii="Book Antiqua" w:hAnsi="Book Antiqua" w:cs="Times New Roman"/>
          <w:sz w:val="24"/>
          <w:szCs w:val="24"/>
          <w:lang w:val="en-US"/>
        </w:rPr>
        <w:t>, Kuester D, Meyer F, Lippert H. [Influence of mucinous and signet-ring cell differentiation on epidemiological, histological, molecular biological features, and outcome in patients with colorectal carcinoma]. </w:t>
      </w:r>
      <w:r w:rsidRPr="00347522">
        <w:rPr>
          <w:rFonts w:ascii="Book Antiqua" w:hAnsi="Book Antiqua" w:cs="Times New Roman"/>
          <w:i/>
          <w:iCs/>
          <w:sz w:val="24"/>
          <w:szCs w:val="24"/>
          <w:lang w:val="en-US"/>
        </w:rPr>
        <w:t>Zentralbl Chir</w:t>
      </w:r>
      <w:r w:rsidRPr="00347522">
        <w:rPr>
          <w:rFonts w:ascii="Book Antiqua" w:hAnsi="Book Antiqua" w:cs="Times New Roman"/>
          <w:sz w:val="24"/>
          <w:szCs w:val="24"/>
          <w:lang w:val="en-US"/>
        </w:rPr>
        <w:t>2013; </w:t>
      </w:r>
      <w:r w:rsidRPr="00347522">
        <w:rPr>
          <w:rFonts w:ascii="Book Antiqua" w:hAnsi="Book Antiqua" w:cs="Times New Roman"/>
          <w:b/>
          <w:bCs/>
          <w:sz w:val="24"/>
          <w:szCs w:val="24"/>
          <w:lang w:val="en-US"/>
        </w:rPr>
        <w:t>138</w:t>
      </w:r>
      <w:r w:rsidRPr="00347522">
        <w:rPr>
          <w:rFonts w:ascii="Book Antiqua" w:hAnsi="Book Antiqua" w:cs="Times New Roman"/>
          <w:sz w:val="24"/>
          <w:szCs w:val="24"/>
          <w:lang w:val="en-US"/>
        </w:rPr>
        <w:t>: 427-433 [PMID: 22274919 DOI: 10.1055/s-0031-1283870]</w:t>
      </w:r>
    </w:p>
    <w:p w14:paraId="18A53C77"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29 </w:t>
      </w:r>
      <w:r w:rsidRPr="00347522">
        <w:rPr>
          <w:rFonts w:ascii="Book Antiqua" w:hAnsi="Book Antiqua" w:cs="Times New Roman"/>
          <w:b/>
          <w:bCs/>
          <w:sz w:val="24"/>
          <w:szCs w:val="24"/>
          <w:lang w:val="en-US"/>
        </w:rPr>
        <w:t>Manne U</w:t>
      </w:r>
      <w:r w:rsidRPr="00347522">
        <w:rPr>
          <w:rFonts w:ascii="Book Antiqua" w:hAnsi="Book Antiqua" w:cs="Times New Roman"/>
          <w:sz w:val="24"/>
          <w:szCs w:val="24"/>
          <w:lang w:val="en-US"/>
        </w:rPr>
        <w:t>, Weiss HL, Grizzle WE. Racial differences in the prognostic usefulness of MUC1 and MUC2 in colorectal adenocarcinomas. </w:t>
      </w:r>
      <w:r w:rsidRPr="00347522">
        <w:rPr>
          <w:rFonts w:ascii="Book Antiqua" w:hAnsi="Book Antiqua" w:cs="Times New Roman"/>
          <w:i/>
          <w:iCs/>
          <w:sz w:val="24"/>
          <w:szCs w:val="24"/>
          <w:lang w:val="en-US"/>
        </w:rPr>
        <w:t>Clin Cancer Res</w:t>
      </w:r>
      <w:r w:rsidRPr="00347522">
        <w:rPr>
          <w:rFonts w:ascii="Book Antiqua" w:hAnsi="Book Antiqua" w:cs="Times New Roman"/>
          <w:sz w:val="24"/>
          <w:szCs w:val="24"/>
          <w:lang w:val="en-US"/>
        </w:rPr>
        <w:t> 2000; </w:t>
      </w:r>
      <w:r w:rsidRPr="00347522">
        <w:rPr>
          <w:rFonts w:ascii="Book Antiqua" w:hAnsi="Book Antiqua" w:cs="Times New Roman"/>
          <w:b/>
          <w:bCs/>
          <w:sz w:val="24"/>
          <w:szCs w:val="24"/>
          <w:lang w:val="en-US"/>
        </w:rPr>
        <w:t>6</w:t>
      </w:r>
      <w:r w:rsidRPr="00347522">
        <w:rPr>
          <w:rFonts w:ascii="Book Antiqua" w:hAnsi="Book Antiqua" w:cs="Times New Roman"/>
          <w:sz w:val="24"/>
          <w:szCs w:val="24"/>
          <w:lang w:val="en-US"/>
        </w:rPr>
        <w:t>: 4017-4025 [PMID: 11051251]</w:t>
      </w:r>
    </w:p>
    <w:p w14:paraId="160D7035"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30 </w:t>
      </w:r>
      <w:r w:rsidRPr="00347522">
        <w:rPr>
          <w:rFonts w:ascii="Book Antiqua" w:hAnsi="Book Antiqua" w:cs="Times New Roman"/>
          <w:b/>
          <w:bCs/>
          <w:sz w:val="24"/>
          <w:szCs w:val="24"/>
          <w:lang w:val="en-US"/>
        </w:rPr>
        <w:t>Betge J</w:t>
      </w:r>
      <w:r w:rsidRPr="00347522">
        <w:rPr>
          <w:rFonts w:ascii="Book Antiqua" w:hAnsi="Book Antiqua" w:cs="Times New Roman"/>
          <w:sz w:val="24"/>
          <w:szCs w:val="24"/>
          <w:lang w:val="en-US"/>
        </w:rPr>
        <w:t>, Schneider NI, Harbaum L, Pollheimer MJ, Lindtner RA, Kornprat P, Ebert MP, Langner C. MUC1, MUC2, MUC5AC, and MUC6 in colorectal cancer: expression profiles and clinical significance. </w:t>
      </w:r>
      <w:r w:rsidRPr="00347522">
        <w:rPr>
          <w:rFonts w:ascii="Book Antiqua" w:hAnsi="Book Antiqua" w:cs="Times New Roman"/>
          <w:i/>
          <w:iCs/>
          <w:sz w:val="24"/>
          <w:szCs w:val="24"/>
          <w:lang w:val="en-US"/>
        </w:rPr>
        <w:t>Virchows Arch</w:t>
      </w:r>
      <w:r w:rsidRPr="00347522">
        <w:rPr>
          <w:rFonts w:ascii="Book Antiqua" w:hAnsi="Book Antiqua" w:cs="Times New Roman"/>
          <w:sz w:val="24"/>
          <w:szCs w:val="24"/>
          <w:lang w:val="en-US"/>
        </w:rPr>
        <w:t> 2016; </w:t>
      </w:r>
      <w:r w:rsidRPr="00347522">
        <w:rPr>
          <w:rFonts w:ascii="Book Antiqua" w:hAnsi="Book Antiqua" w:cs="Times New Roman"/>
          <w:b/>
          <w:bCs/>
          <w:sz w:val="24"/>
          <w:szCs w:val="24"/>
          <w:lang w:val="en-US"/>
        </w:rPr>
        <w:t>469</w:t>
      </w:r>
      <w:r w:rsidRPr="00347522">
        <w:rPr>
          <w:rFonts w:ascii="Book Antiqua" w:hAnsi="Book Antiqua" w:cs="Times New Roman"/>
          <w:sz w:val="24"/>
          <w:szCs w:val="24"/>
          <w:lang w:val="en-US"/>
        </w:rPr>
        <w:t>: 255-265 [PMID: 27298226 DOI: 10.1007/s00428-016-1970-5]</w:t>
      </w:r>
    </w:p>
    <w:p w14:paraId="1C9665F7"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31 </w:t>
      </w:r>
      <w:r w:rsidRPr="00347522">
        <w:rPr>
          <w:rFonts w:ascii="Book Antiqua" w:hAnsi="Book Antiqua" w:cs="Times New Roman"/>
          <w:b/>
          <w:bCs/>
          <w:sz w:val="24"/>
          <w:szCs w:val="24"/>
          <w:lang w:val="en-US"/>
        </w:rPr>
        <w:t>ASTLER VB</w:t>
      </w:r>
      <w:r w:rsidRPr="00347522">
        <w:rPr>
          <w:rFonts w:ascii="Book Antiqua" w:hAnsi="Book Antiqua" w:cs="Times New Roman"/>
          <w:sz w:val="24"/>
          <w:szCs w:val="24"/>
          <w:lang w:val="en-US"/>
        </w:rPr>
        <w:t>, COLLER FA. The prognostic significance of direct extension of carcinoma of the colon and rectum. </w:t>
      </w:r>
      <w:r w:rsidRPr="00347522">
        <w:rPr>
          <w:rFonts w:ascii="Book Antiqua" w:hAnsi="Book Antiqua" w:cs="Times New Roman"/>
          <w:i/>
          <w:iCs/>
          <w:sz w:val="24"/>
          <w:szCs w:val="24"/>
          <w:lang w:val="en-US"/>
        </w:rPr>
        <w:t>Ann Surg</w:t>
      </w:r>
      <w:r w:rsidRPr="00347522">
        <w:rPr>
          <w:rFonts w:ascii="Book Antiqua" w:hAnsi="Book Antiqua" w:cs="Times New Roman"/>
          <w:sz w:val="24"/>
          <w:szCs w:val="24"/>
          <w:lang w:val="en-US"/>
        </w:rPr>
        <w:t> 1954; </w:t>
      </w:r>
      <w:r w:rsidRPr="00347522">
        <w:rPr>
          <w:rFonts w:ascii="Book Antiqua" w:hAnsi="Book Antiqua" w:cs="Times New Roman"/>
          <w:b/>
          <w:bCs/>
          <w:sz w:val="24"/>
          <w:szCs w:val="24"/>
          <w:lang w:val="en-US"/>
        </w:rPr>
        <w:t>139</w:t>
      </w:r>
      <w:r w:rsidRPr="00347522">
        <w:rPr>
          <w:rFonts w:ascii="Book Antiqua" w:hAnsi="Book Antiqua" w:cs="Times New Roman"/>
          <w:sz w:val="24"/>
          <w:szCs w:val="24"/>
          <w:lang w:val="en-US"/>
        </w:rPr>
        <w:t>: 846-852 [PMID: 13159135]</w:t>
      </w:r>
    </w:p>
    <w:p w14:paraId="50D27DDC" w14:textId="4F7CE01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32 </w:t>
      </w:r>
      <w:r w:rsidRPr="00347522">
        <w:rPr>
          <w:rFonts w:ascii="Book Antiqua" w:hAnsi="Book Antiqua" w:cs="Times New Roman"/>
          <w:b/>
          <w:bCs/>
          <w:sz w:val="24"/>
          <w:szCs w:val="24"/>
          <w:lang w:val="en-US"/>
        </w:rPr>
        <w:t>Puppa G</w:t>
      </w:r>
      <w:r w:rsidRPr="00347522">
        <w:rPr>
          <w:rFonts w:ascii="Book Antiqua" w:hAnsi="Book Antiqua" w:cs="Times New Roman"/>
          <w:sz w:val="24"/>
          <w:szCs w:val="24"/>
          <w:lang w:val="en-US"/>
        </w:rPr>
        <w:t>, Sonzogni A, Colombari R, Pelosi G. TNM staging system of colorectal carcinoma: a critical appraisal of challenging issues. </w:t>
      </w:r>
      <w:r w:rsidRPr="00347522">
        <w:rPr>
          <w:rFonts w:ascii="Book Antiqua" w:hAnsi="Book Antiqua" w:cs="Times New Roman"/>
          <w:i/>
          <w:iCs/>
          <w:sz w:val="24"/>
          <w:szCs w:val="24"/>
          <w:lang w:val="en-US"/>
        </w:rPr>
        <w:t>Arch Pathol Lab Med</w:t>
      </w:r>
      <w:r w:rsidRPr="00347522">
        <w:rPr>
          <w:rFonts w:ascii="Book Antiqua" w:hAnsi="Book Antiqua" w:cs="Times New Roman"/>
          <w:sz w:val="24"/>
          <w:szCs w:val="24"/>
          <w:lang w:val="en-US"/>
        </w:rPr>
        <w:t> 2010; </w:t>
      </w:r>
      <w:r w:rsidRPr="00347522">
        <w:rPr>
          <w:rFonts w:ascii="Book Antiqua" w:hAnsi="Book Antiqua" w:cs="Times New Roman"/>
          <w:b/>
          <w:bCs/>
          <w:sz w:val="24"/>
          <w:szCs w:val="24"/>
          <w:lang w:val="en-US"/>
        </w:rPr>
        <w:t>134</w:t>
      </w:r>
      <w:r w:rsidRPr="00347522">
        <w:rPr>
          <w:rFonts w:ascii="Book Antiqua" w:hAnsi="Book Antiqua" w:cs="Times New Roman"/>
          <w:sz w:val="24"/>
          <w:szCs w:val="24"/>
          <w:lang w:val="en-US"/>
        </w:rPr>
        <w:t xml:space="preserve">: 837-852 [PMID: 20524862 DOI: </w:t>
      </w:r>
      <w:r w:rsidR="00254C61" w:rsidRPr="00347522">
        <w:rPr>
          <w:rFonts w:ascii="Book Antiqua" w:hAnsi="Book Antiqua" w:cs="Times New Roman"/>
          <w:sz w:val="24"/>
          <w:szCs w:val="24"/>
          <w:lang w:val="en-US"/>
        </w:rPr>
        <w:t>10.1043/1543-2165-134.6.837</w:t>
      </w:r>
      <w:r w:rsidRPr="00347522">
        <w:rPr>
          <w:rFonts w:ascii="Book Antiqua" w:hAnsi="Book Antiqua" w:cs="Times New Roman"/>
          <w:sz w:val="24"/>
          <w:szCs w:val="24"/>
          <w:lang w:val="en-US"/>
        </w:rPr>
        <w:t>]</w:t>
      </w:r>
    </w:p>
    <w:p w14:paraId="3633458D"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33 </w:t>
      </w:r>
      <w:r w:rsidRPr="00347522">
        <w:rPr>
          <w:rFonts w:ascii="Book Antiqua" w:hAnsi="Book Antiqua" w:cs="Times New Roman"/>
          <w:b/>
          <w:bCs/>
          <w:sz w:val="24"/>
          <w:szCs w:val="24"/>
          <w:lang w:val="en-US"/>
        </w:rPr>
        <w:t>Kasprzak A</w:t>
      </w:r>
      <w:r w:rsidRPr="00347522">
        <w:rPr>
          <w:rFonts w:ascii="Book Antiqua" w:hAnsi="Book Antiqua" w:cs="Times New Roman"/>
          <w:sz w:val="24"/>
          <w:szCs w:val="24"/>
          <w:lang w:val="en-US"/>
        </w:rPr>
        <w:t>, Szaflarski W, Szmeja J, Andrzejewska M, Przybyszewska W, Kaczmarek E, Koczorowska M, Kościński T, Zabel M, Drews M. Differential expression of IGF-1 mRNA isoforms in colorectal carcinoma and normal colon tissue. </w:t>
      </w:r>
      <w:r w:rsidRPr="00347522">
        <w:rPr>
          <w:rFonts w:ascii="Book Antiqua" w:hAnsi="Book Antiqua" w:cs="Times New Roman"/>
          <w:i/>
          <w:iCs/>
          <w:sz w:val="24"/>
          <w:szCs w:val="24"/>
          <w:lang w:val="en-US"/>
        </w:rPr>
        <w:t>Int J Oncol</w:t>
      </w:r>
      <w:r w:rsidRPr="00347522">
        <w:rPr>
          <w:rFonts w:ascii="Book Antiqua" w:hAnsi="Book Antiqua" w:cs="Times New Roman"/>
          <w:sz w:val="24"/>
          <w:szCs w:val="24"/>
          <w:lang w:val="en-US"/>
        </w:rPr>
        <w:t> 2013; </w:t>
      </w:r>
      <w:r w:rsidRPr="00347522">
        <w:rPr>
          <w:rFonts w:ascii="Book Antiqua" w:hAnsi="Book Antiqua" w:cs="Times New Roman"/>
          <w:b/>
          <w:bCs/>
          <w:sz w:val="24"/>
          <w:szCs w:val="24"/>
          <w:lang w:val="en-US"/>
        </w:rPr>
        <w:t>42</w:t>
      </w:r>
      <w:r w:rsidRPr="00347522">
        <w:rPr>
          <w:rFonts w:ascii="Book Antiqua" w:hAnsi="Book Antiqua" w:cs="Times New Roman"/>
          <w:sz w:val="24"/>
          <w:szCs w:val="24"/>
          <w:lang w:val="en-US"/>
        </w:rPr>
        <w:t>: 305-316 [PMID: 23165777 DOI: 10.3892/ijo.2012.1706]</w:t>
      </w:r>
    </w:p>
    <w:p w14:paraId="680009E3"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34 </w:t>
      </w:r>
      <w:r w:rsidRPr="00347522">
        <w:rPr>
          <w:rFonts w:ascii="Book Antiqua" w:hAnsi="Book Antiqua" w:cs="Times New Roman"/>
          <w:b/>
          <w:bCs/>
          <w:sz w:val="24"/>
          <w:szCs w:val="24"/>
          <w:lang w:val="en-US"/>
        </w:rPr>
        <w:t>Gurgul E</w:t>
      </w:r>
      <w:r w:rsidRPr="00347522">
        <w:rPr>
          <w:rFonts w:ascii="Book Antiqua" w:hAnsi="Book Antiqua" w:cs="Times New Roman"/>
          <w:sz w:val="24"/>
          <w:szCs w:val="24"/>
          <w:lang w:val="en-US"/>
        </w:rPr>
        <w:t>, Kasprzak A, Blaszczyk A, Biczysko M, Surdyk-Zasada J, Seraszek-Jaros A, Ruchala M. Ghrelin and obestatin in thyroid gland - immunohistochemical expression in nodular goiter, papillary and medullary cancer. </w:t>
      </w:r>
      <w:r w:rsidRPr="00347522">
        <w:rPr>
          <w:rFonts w:ascii="Book Antiqua" w:hAnsi="Book Antiqua" w:cs="Times New Roman"/>
          <w:i/>
          <w:iCs/>
          <w:sz w:val="24"/>
          <w:szCs w:val="24"/>
          <w:lang w:val="en-US"/>
        </w:rPr>
        <w:t>Folia Histochem Cytobiol</w:t>
      </w:r>
      <w:r w:rsidRPr="00347522">
        <w:rPr>
          <w:rFonts w:ascii="Book Antiqua" w:hAnsi="Book Antiqua" w:cs="Times New Roman"/>
          <w:sz w:val="24"/>
          <w:szCs w:val="24"/>
          <w:lang w:val="en-US"/>
        </w:rPr>
        <w:t> 2015; </w:t>
      </w:r>
      <w:r w:rsidRPr="00347522">
        <w:rPr>
          <w:rFonts w:ascii="Book Antiqua" w:hAnsi="Book Antiqua" w:cs="Times New Roman"/>
          <w:b/>
          <w:bCs/>
          <w:sz w:val="24"/>
          <w:szCs w:val="24"/>
          <w:lang w:val="en-US"/>
        </w:rPr>
        <w:t>53</w:t>
      </w:r>
      <w:r w:rsidRPr="00347522">
        <w:rPr>
          <w:rFonts w:ascii="Book Antiqua" w:hAnsi="Book Antiqua" w:cs="Times New Roman"/>
          <w:sz w:val="24"/>
          <w:szCs w:val="24"/>
          <w:lang w:val="en-US"/>
        </w:rPr>
        <w:t>: 19-25 [PMID: 25765090 DOI: 10.5603/FHC.a2015.0004]</w:t>
      </w:r>
    </w:p>
    <w:p w14:paraId="6488373C"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lastRenderedPageBreak/>
        <w:t>35 </w:t>
      </w:r>
      <w:r w:rsidRPr="00347522">
        <w:rPr>
          <w:rFonts w:ascii="Book Antiqua" w:hAnsi="Book Antiqua" w:cs="Times New Roman"/>
          <w:b/>
          <w:bCs/>
          <w:sz w:val="24"/>
          <w:szCs w:val="24"/>
          <w:lang w:val="en-US"/>
        </w:rPr>
        <w:t>Gatter KC</w:t>
      </w:r>
      <w:r w:rsidRPr="00347522">
        <w:rPr>
          <w:rFonts w:ascii="Book Antiqua" w:hAnsi="Book Antiqua" w:cs="Times New Roman"/>
          <w:sz w:val="24"/>
          <w:szCs w:val="24"/>
          <w:lang w:val="en-US"/>
        </w:rPr>
        <w:t>, Dunnill MS, Gerdes J, Stein H, Mason DY. New approach to assessing lung tumours in man. </w:t>
      </w:r>
      <w:r w:rsidRPr="00347522">
        <w:rPr>
          <w:rFonts w:ascii="Book Antiqua" w:hAnsi="Book Antiqua" w:cs="Times New Roman"/>
          <w:i/>
          <w:iCs/>
          <w:sz w:val="24"/>
          <w:szCs w:val="24"/>
          <w:lang w:val="en-US"/>
        </w:rPr>
        <w:t>J Clin Pathol</w:t>
      </w:r>
      <w:r w:rsidRPr="00347522">
        <w:rPr>
          <w:rFonts w:ascii="Book Antiqua" w:hAnsi="Book Antiqua" w:cs="Times New Roman"/>
          <w:sz w:val="24"/>
          <w:szCs w:val="24"/>
          <w:lang w:val="en-US"/>
        </w:rPr>
        <w:t> 1986; </w:t>
      </w:r>
      <w:r w:rsidRPr="00347522">
        <w:rPr>
          <w:rFonts w:ascii="Book Antiqua" w:hAnsi="Book Antiqua" w:cs="Times New Roman"/>
          <w:b/>
          <w:bCs/>
          <w:sz w:val="24"/>
          <w:szCs w:val="24"/>
          <w:lang w:val="en-US"/>
        </w:rPr>
        <w:t>39</w:t>
      </w:r>
      <w:r w:rsidRPr="00347522">
        <w:rPr>
          <w:rFonts w:ascii="Book Antiqua" w:hAnsi="Book Antiqua" w:cs="Times New Roman"/>
          <w:sz w:val="24"/>
          <w:szCs w:val="24"/>
          <w:lang w:val="en-US"/>
        </w:rPr>
        <w:t>: 590-593 [PMID: 3013945]</w:t>
      </w:r>
    </w:p>
    <w:p w14:paraId="58BBD69B"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36 </w:t>
      </w:r>
      <w:r w:rsidRPr="00347522">
        <w:rPr>
          <w:rFonts w:ascii="Book Antiqua" w:hAnsi="Book Antiqua" w:cs="Times New Roman"/>
          <w:b/>
          <w:bCs/>
          <w:sz w:val="24"/>
          <w:szCs w:val="24"/>
          <w:lang w:val="en-US"/>
        </w:rPr>
        <w:t>Lugli A</w:t>
      </w:r>
      <w:r w:rsidRPr="00347522">
        <w:rPr>
          <w:rFonts w:ascii="Book Antiqua" w:hAnsi="Book Antiqua" w:cs="Times New Roman"/>
          <w:sz w:val="24"/>
          <w:szCs w:val="24"/>
          <w:lang w:val="en-US"/>
        </w:rPr>
        <w:t>, Zlobec I, Baker K, Minoo P, Tornillo L, Terracciano L, Jass JR. Prognostic significance of mucins in colorectal cancer with different DNA mismatch-repair status. </w:t>
      </w:r>
      <w:r w:rsidRPr="00347522">
        <w:rPr>
          <w:rFonts w:ascii="Book Antiqua" w:hAnsi="Book Antiqua" w:cs="Times New Roman"/>
          <w:i/>
          <w:iCs/>
          <w:sz w:val="24"/>
          <w:szCs w:val="24"/>
          <w:lang w:val="en-US"/>
        </w:rPr>
        <w:t>J Clin Pathol</w:t>
      </w:r>
      <w:r w:rsidRPr="00347522">
        <w:rPr>
          <w:rFonts w:ascii="Book Antiqua" w:hAnsi="Book Antiqua" w:cs="Times New Roman"/>
          <w:sz w:val="24"/>
          <w:szCs w:val="24"/>
          <w:lang w:val="en-US"/>
        </w:rPr>
        <w:t> 2007; </w:t>
      </w:r>
      <w:r w:rsidRPr="00347522">
        <w:rPr>
          <w:rFonts w:ascii="Book Antiqua" w:hAnsi="Book Antiqua" w:cs="Times New Roman"/>
          <w:b/>
          <w:bCs/>
          <w:sz w:val="24"/>
          <w:szCs w:val="24"/>
          <w:lang w:val="en-US"/>
        </w:rPr>
        <w:t>60</w:t>
      </w:r>
      <w:r w:rsidRPr="00347522">
        <w:rPr>
          <w:rFonts w:ascii="Book Antiqua" w:hAnsi="Book Antiqua" w:cs="Times New Roman"/>
          <w:sz w:val="24"/>
          <w:szCs w:val="24"/>
          <w:lang w:val="en-US"/>
        </w:rPr>
        <w:t>: 534-539 [PMID: 16816167 DOI: 10.1136/jcp.2006.039552]</w:t>
      </w:r>
    </w:p>
    <w:p w14:paraId="3924E208"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37 </w:t>
      </w:r>
      <w:r w:rsidRPr="00347522">
        <w:rPr>
          <w:rFonts w:ascii="Book Antiqua" w:hAnsi="Book Antiqua" w:cs="Times New Roman"/>
          <w:b/>
          <w:bCs/>
          <w:sz w:val="24"/>
          <w:szCs w:val="24"/>
          <w:lang w:val="en-US"/>
        </w:rPr>
        <w:t>Biemer-Hüttmann AE</w:t>
      </w:r>
      <w:r w:rsidRPr="00347522">
        <w:rPr>
          <w:rFonts w:ascii="Book Antiqua" w:hAnsi="Book Antiqua" w:cs="Times New Roman"/>
          <w:sz w:val="24"/>
          <w:szCs w:val="24"/>
          <w:lang w:val="en-US"/>
        </w:rPr>
        <w:t>, Walsh MD, McGuckin MA, Ajioka Y, Watanabe H, Leggett BA, Jass JR. Immunohistochemical staining patterns of MUC1, MUC2, MUC4, and MUC5AC mucins in hyperplastic polyps, serrated adenomas, and traditional adenomas of the colorectum. </w:t>
      </w:r>
      <w:r w:rsidRPr="00347522">
        <w:rPr>
          <w:rFonts w:ascii="Book Antiqua" w:hAnsi="Book Antiqua" w:cs="Times New Roman"/>
          <w:i/>
          <w:iCs/>
          <w:sz w:val="24"/>
          <w:szCs w:val="24"/>
          <w:lang w:val="en-US"/>
        </w:rPr>
        <w:t>J Histochem Cytochem</w:t>
      </w:r>
      <w:r w:rsidRPr="00347522">
        <w:rPr>
          <w:rFonts w:ascii="Book Antiqua" w:hAnsi="Book Antiqua" w:cs="Times New Roman"/>
          <w:sz w:val="24"/>
          <w:szCs w:val="24"/>
          <w:lang w:val="en-US"/>
        </w:rPr>
        <w:t> 1999; </w:t>
      </w:r>
      <w:r w:rsidRPr="00347522">
        <w:rPr>
          <w:rFonts w:ascii="Book Antiqua" w:hAnsi="Book Antiqua" w:cs="Times New Roman"/>
          <w:b/>
          <w:bCs/>
          <w:sz w:val="24"/>
          <w:szCs w:val="24"/>
          <w:lang w:val="en-US"/>
        </w:rPr>
        <w:t>47</w:t>
      </w:r>
      <w:r w:rsidRPr="00347522">
        <w:rPr>
          <w:rFonts w:ascii="Book Antiqua" w:hAnsi="Book Antiqua" w:cs="Times New Roman"/>
          <w:sz w:val="24"/>
          <w:szCs w:val="24"/>
          <w:lang w:val="en-US"/>
        </w:rPr>
        <w:t>: 1039-1048 [PMID: 10424888 DOI: 10.1177/002215549904700808]</w:t>
      </w:r>
    </w:p>
    <w:p w14:paraId="5700320F"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38 </w:t>
      </w:r>
      <w:r w:rsidRPr="00347522">
        <w:rPr>
          <w:rFonts w:ascii="Book Antiqua" w:hAnsi="Book Antiqua" w:cs="Times New Roman"/>
          <w:b/>
          <w:bCs/>
          <w:sz w:val="24"/>
          <w:szCs w:val="24"/>
          <w:lang w:val="en-US"/>
        </w:rPr>
        <w:t>Winterford CM</w:t>
      </w:r>
      <w:r w:rsidRPr="00347522">
        <w:rPr>
          <w:rFonts w:ascii="Book Antiqua" w:hAnsi="Book Antiqua" w:cs="Times New Roman"/>
          <w:sz w:val="24"/>
          <w:szCs w:val="24"/>
          <w:lang w:val="en-US"/>
        </w:rPr>
        <w:t>, Walsh MD, Leggett BA, Jass JR. Ultrastructural localization of epithelial mucin core proteins in colorectal tissues. </w:t>
      </w:r>
      <w:r w:rsidRPr="00347522">
        <w:rPr>
          <w:rFonts w:ascii="Book Antiqua" w:hAnsi="Book Antiqua" w:cs="Times New Roman"/>
          <w:i/>
          <w:iCs/>
          <w:sz w:val="24"/>
          <w:szCs w:val="24"/>
          <w:lang w:val="en-US"/>
        </w:rPr>
        <w:t>J Histochem Cytochem</w:t>
      </w:r>
      <w:r w:rsidRPr="00347522">
        <w:rPr>
          <w:rFonts w:ascii="Book Antiqua" w:hAnsi="Book Antiqua" w:cs="Times New Roman"/>
          <w:sz w:val="24"/>
          <w:szCs w:val="24"/>
          <w:lang w:val="en-US"/>
        </w:rPr>
        <w:t> 1999; </w:t>
      </w:r>
      <w:r w:rsidRPr="00347522">
        <w:rPr>
          <w:rFonts w:ascii="Book Antiqua" w:hAnsi="Book Antiqua" w:cs="Times New Roman"/>
          <w:b/>
          <w:bCs/>
          <w:sz w:val="24"/>
          <w:szCs w:val="24"/>
          <w:lang w:val="en-US"/>
        </w:rPr>
        <w:t>47</w:t>
      </w:r>
      <w:r w:rsidRPr="00347522">
        <w:rPr>
          <w:rFonts w:ascii="Book Antiqua" w:hAnsi="Book Antiqua" w:cs="Times New Roman"/>
          <w:sz w:val="24"/>
          <w:szCs w:val="24"/>
          <w:lang w:val="en-US"/>
        </w:rPr>
        <w:t>: 1063-1074 [PMID: 10424891 DOI: 10.1177/002215549904700811]</w:t>
      </w:r>
    </w:p>
    <w:p w14:paraId="3D8D4B88" w14:textId="441C9892" w:rsidR="00CC2FD5" w:rsidRPr="00D62D85"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39 MUC1.</w:t>
      </w:r>
      <w:r w:rsidRPr="00D62D85">
        <w:rPr>
          <w:rFonts w:ascii="Book Antiqua" w:hAnsi="Book Antiqua" w:cs="Times New Roman"/>
          <w:sz w:val="24"/>
          <w:szCs w:val="24"/>
          <w:lang w:val="en-US"/>
        </w:rPr>
        <w:t xml:space="preserve"> </w:t>
      </w:r>
      <w:r w:rsidR="005B6157" w:rsidRPr="00D62D85">
        <w:rPr>
          <w:rFonts w:ascii="Book Antiqua" w:hAnsi="Book Antiqua" w:cs="Times New Roman"/>
          <w:sz w:val="24"/>
          <w:szCs w:val="24"/>
          <w:lang w:val="en-US"/>
        </w:rPr>
        <w:t xml:space="preserve">Accessed March 20, 2018 Available from: URL: </w:t>
      </w:r>
      <w:r w:rsidR="00570056" w:rsidRPr="00D62D85">
        <w:rPr>
          <w:rFonts w:ascii="Book Antiqua" w:hAnsi="Book Antiqua" w:cs="Times New Roman"/>
          <w:sz w:val="24"/>
          <w:szCs w:val="24"/>
          <w:lang w:val="en-US"/>
        </w:rPr>
        <w:t>http://www.humanproteinatlas.org</w:t>
      </w:r>
    </w:p>
    <w:p w14:paraId="70977153" w14:textId="77777777" w:rsidR="00CC2FD5" w:rsidRPr="0065165A"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65165A">
        <w:rPr>
          <w:rFonts w:ascii="Book Antiqua" w:hAnsi="Book Antiqua" w:cs="Times New Roman"/>
          <w:sz w:val="24"/>
          <w:szCs w:val="24"/>
          <w:lang w:val="en-US"/>
        </w:rPr>
        <w:t>40 </w:t>
      </w:r>
      <w:r w:rsidRPr="0065165A">
        <w:rPr>
          <w:rFonts w:ascii="Book Antiqua" w:hAnsi="Book Antiqua" w:cs="Times New Roman"/>
          <w:b/>
          <w:bCs/>
          <w:sz w:val="24"/>
          <w:szCs w:val="24"/>
          <w:lang w:val="en-US"/>
        </w:rPr>
        <w:t>Ishizu H</w:t>
      </w:r>
      <w:r w:rsidRPr="0065165A">
        <w:rPr>
          <w:rFonts w:ascii="Book Antiqua" w:hAnsi="Book Antiqua" w:cs="Times New Roman"/>
          <w:sz w:val="24"/>
          <w:szCs w:val="24"/>
          <w:lang w:val="en-US"/>
        </w:rPr>
        <w:t>, Kumagai J, Eishi Y, Takizawa T, Koike M. Mucin core protein expression by colorectal mucinous carcinomas with or without mucus hyperplasia. </w:t>
      </w:r>
      <w:r w:rsidRPr="0065165A">
        <w:rPr>
          <w:rFonts w:ascii="Book Antiqua" w:hAnsi="Book Antiqua" w:cs="Times New Roman"/>
          <w:i/>
          <w:iCs/>
          <w:sz w:val="24"/>
          <w:szCs w:val="24"/>
          <w:lang w:val="en-US"/>
        </w:rPr>
        <w:t>J Gastroenterol</w:t>
      </w:r>
      <w:r w:rsidRPr="0065165A">
        <w:rPr>
          <w:rFonts w:ascii="Book Antiqua" w:hAnsi="Book Antiqua" w:cs="Times New Roman"/>
          <w:sz w:val="24"/>
          <w:szCs w:val="24"/>
          <w:lang w:val="en-US"/>
        </w:rPr>
        <w:t> 2004; </w:t>
      </w:r>
      <w:r w:rsidRPr="0065165A">
        <w:rPr>
          <w:rFonts w:ascii="Book Antiqua" w:hAnsi="Book Antiqua" w:cs="Times New Roman"/>
          <w:b/>
          <w:bCs/>
          <w:sz w:val="24"/>
          <w:szCs w:val="24"/>
          <w:lang w:val="en-US"/>
        </w:rPr>
        <w:t>39</w:t>
      </w:r>
      <w:r w:rsidRPr="0065165A">
        <w:rPr>
          <w:rFonts w:ascii="Book Antiqua" w:hAnsi="Book Antiqua" w:cs="Times New Roman"/>
          <w:sz w:val="24"/>
          <w:szCs w:val="24"/>
          <w:lang w:val="en-US"/>
        </w:rPr>
        <w:t>: 125-132 [PMID: 15069618 DOI: 10.1007/s00535-003-1263-z]</w:t>
      </w:r>
    </w:p>
    <w:p w14:paraId="7CE383F2"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65165A">
        <w:rPr>
          <w:rFonts w:ascii="Book Antiqua" w:hAnsi="Book Antiqua" w:cs="Times New Roman"/>
          <w:sz w:val="24"/>
          <w:szCs w:val="24"/>
          <w:lang w:val="en-US"/>
        </w:rPr>
        <w:t>41 </w:t>
      </w:r>
      <w:r w:rsidRPr="0065165A">
        <w:rPr>
          <w:rFonts w:ascii="Book Antiqua" w:hAnsi="Book Antiqua" w:cs="Times New Roman"/>
          <w:b/>
          <w:bCs/>
          <w:sz w:val="24"/>
          <w:szCs w:val="24"/>
          <w:lang w:val="en-US"/>
        </w:rPr>
        <w:t>Matsuda K</w:t>
      </w:r>
      <w:r w:rsidRPr="0065165A">
        <w:rPr>
          <w:rFonts w:ascii="Book Antiqua" w:hAnsi="Book Antiqua" w:cs="Times New Roman"/>
          <w:sz w:val="24"/>
          <w:szCs w:val="24"/>
          <w:lang w:val="en-US"/>
        </w:rPr>
        <w:t xml:space="preserve">, Masaki T, Watanabe T, Kitayama J, Nagawa H, Muto </w:t>
      </w:r>
      <w:r w:rsidRPr="00347522">
        <w:rPr>
          <w:rFonts w:ascii="Book Antiqua" w:hAnsi="Book Antiqua" w:cs="Times New Roman"/>
          <w:sz w:val="24"/>
          <w:szCs w:val="24"/>
          <w:lang w:val="en-US"/>
        </w:rPr>
        <w:t>T, Ajioka Y. Clinical significance of MUC1 and MUC2 mucin and p53 protein expression in colorectal carcinoma. </w:t>
      </w:r>
      <w:r w:rsidRPr="00347522">
        <w:rPr>
          <w:rFonts w:ascii="Book Antiqua" w:hAnsi="Book Antiqua" w:cs="Times New Roman"/>
          <w:i/>
          <w:iCs/>
          <w:sz w:val="24"/>
          <w:szCs w:val="24"/>
          <w:lang w:val="en-US"/>
        </w:rPr>
        <w:t>Jpn J Clin Oncol</w:t>
      </w:r>
      <w:r w:rsidRPr="00347522">
        <w:rPr>
          <w:rFonts w:ascii="Book Antiqua" w:hAnsi="Book Antiqua" w:cs="Times New Roman"/>
          <w:sz w:val="24"/>
          <w:szCs w:val="24"/>
          <w:lang w:val="en-US"/>
        </w:rPr>
        <w:t> 2000; </w:t>
      </w:r>
      <w:r w:rsidRPr="00347522">
        <w:rPr>
          <w:rFonts w:ascii="Book Antiqua" w:hAnsi="Book Antiqua" w:cs="Times New Roman"/>
          <w:b/>
          <w:bCs/>
          <w:sz w:val="24"/>
          <w:szCs w:val="24"/>
          <w:lang w:val="en-US"/>
        </w:rPr>
        <w:t>30</w:t>
      </w:r>
      <w:r w:rsidRPr="00347522">
        <w:rPr>
          <w:rFonts w:ascii="Book Antiqua" w:hAnsi="Book Antiqua" w:cs="Times New Roman"/>
          <w:sz w:val="24"/>
          <w:szCs w:val="24"/>
          <w:lang w:val="en-US"/>
        </w:rPr>
        <w:t>: 89-94 [PMID: 10768872]</w:t>
      </w:r>
    </w:p>
    <w:p w14:paraId="3F49D26D"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42 </w:t>
      </w:r>
      <w:r w:rsidRPr="00347522">
        <w:rPr>
          <w:rFonts w:ascii="Book Antiqua" w:hAnsi="Book Antiqua" w:cs="Times New Roman"/>
          <w:b/>
          <w:bCs/>
          <w:sz w:val="24"/>
          <w:szCs w:val="24"/>
          <w:lang w:val="en-US"/>
        </w:rPr>
        <w:t>Shao B</w:t>
      </w:r>
      <w:r w:rsidRPr="00347522">
        <w:rPr>
          <w:rFonts w:ascii="Book Antiqua" w:hAnsi="Book Antiqua" w:cs="Times New Roman"/>
          <w:sz w:val="24"/>
          <w:szCs w:val="24"/>
          <w:lang w:val="en-US"/>
        </w:rPr>
        <w:t>, Wahrenbrock MG, Yao L, David T, Coughlin SR, Xia L, Varki A, McEver RP. Carcinoma mucins trigger reciprocal activation of platelets and neutrophils in a murine model of Trousseau syndrome. </w:t>
      </w:r>
      <w:r w:rsidRPr="00347522">
        <w:rPr>
          <w:rFonts w:ascii="Book Antiqua" w:hAnsi="Book Antiqua" w:cs="Times New Roman"/>
          <w:i/>
          <w:iCs/>
          <w:sz w:val="24"/>
          <w:szCs w:val="24"/>
          <w:lang w:val="en-US"/>
        </w:rPr>
        <w:t>Blood</w:t>
      </w:r>
      <w:r w:rsidRPr="00347522">
        <w:rPr>
          <w:rFonts w:ascii="Book Antiqua" w:hAnsi="Book Antiqua" w:cs="Times New Roman"/>
          <w:sz w:val="24"/>
          <w:szCs w:val="24"/>
          <w:lang w:val="en-US"/>
        </w:rPr>
        <w:t> 2011; </w:t>
      </w:r>
      <w:r w:rsidRPr="00347522">
        <w:rPr>
          <w:rFonts w:ascii="Book Antiqua" w:hAnsi="Book Antiqua" w:cs="Times New Roman"/>
          <w:b/>
          <w:bCs/>
          <w:sz w:val="24"/>
          <w:szCs w:val="24"/>
          <w:lang w:val="en-US"/>
        </w:rPr>
        <w:t>118</w:t>
      </w:r>
      <w:r w:rsidRPr="00347522">
        <w:rPr>
          <w:rFonts w:ascii="Book Antiqua" w:hAnsi="Book Antiqua" w:cs="Times New Roman"/>
          <w:sz w:val="24"/>
          <w:szCs w:val="24"/>
          <w:lang w:val="en-US"/>
        </w:rPr>
        <w:t>: 4015-4023 [PMID: 21860019 DOI: 10.1182/blood-2011-07-368514]</w:t>
      </w:r>
    </w:p>
    <w:p w14:paraId="0E1A6EA6"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43 </w:t>
      </w:r>
      <w:r w:rsidRPr="00347522">
        <w:rPr>
          <w:rFonts w:ascii="Book Antiqua" w:hAnsi="Book Antiqua" w:cs="Times New Roman"/>
          <w:b/>
          <w:bCs/>
          <w:sz w:val="24"/>
          <w:szCs w:val="24"/>
          <w:lang w:val="en-US"/>
        </w:rPr>
        <w:t>Imai Y</w:t>
      </w:r>
      <w:r w:rsidRPr="00347522">
        <w:rPr>
          <w:rFonts w:ascii="Book Antiqua" w:hAnsi="Book Antiqua" w:cs="Times New Roman"/>
          <w:sz w:val="24"/>
          <w:szCs w:val="24"/>
          <w:lang w:val="en-US"/>
        </w:rPr>
        <w:t xml:space="preserve">, Yamagishi H, Fukuda K, Ono Y, Inoue T, Ueda Y. </w:t>
      </w:r>
      <w:bookmarkStart w:id="37" w:name="OLE_LINK195"/>
      <w:bookmarkStart w:id="38" w:name="OLE_LINK196"/>
      <w:r w:rsidRPr="00347522">
        <w:rPr>
          <w:rFonts w:ascii="Book Antiqua" w:hAnsi="Book Antiqua" w:cs="Times New Roman"/>
          <w:sz w:val="24"/>
          <w:szCs w:val="24"/>
          <w:lang w:val="en-US"/>
        </w:rPr>
        <w:t>Differential mucin phenotypes and their significance in a variation of colorectal carcinoma</w:t>
      </w:r>
      <w:bookmarkEnd w:id="37"/>
      <w:bookmarkEnd w:id="38"/>
      <w:r w:rsidRPr="00347522">
        <w:rPr>
          <w:rFonts w:ascii="Book Antiqua" w:hAnsi="Book Antiqua" w:cs="Times New Roman"/>
          <w:sz w:val="24"/>
          <w:szCs w:val="24"/>
          <w:lang w:val="en-US"/>
        </w:rPr>
        <w:t>. </w:t>
      </w:r>
      <w:r w:rsidRPr="00347522">
        <w:rPr>
          <w:rFonts w:ascii="Book Antiqua" w:hAnsi="Book Antiqua" w:cs="Times New Roman"/>
          <w:i/>
          <w:iCs/>
          <w:sz w:val="24"/>
          <w:szCs w:val="24"/>
          <w:lang w:val="en-US"/>
        </w:rPr>
        <w:t>World J Gastroenterol</w:t>
      </w:r>
      <w:r w:rsidRPr="00347522">
        <w:rPr>
          <w:rFonts w:ascii="Book Antiqua" w:hAnsi="Book Antiqua" w:cs="Times New Roman"/>
          <w:sz w:val="24"/>
          <w:szCs w:val="24"/>
          <w:lang w:val="en-US"/>
        </w:rPr>
        <w:t> 2013; </w:t>
      </w:r>
      <w:r w:rsidRPr="00347522">
        <w:rPr>
          <w:rFonts w:ascii="Book Antiqua" w:hAnsi="Book Antiqua" w:cs="Times New Roman"/>
          <w:b/>
          <w:bCs/>
          <w:sz w:val="24"/>
          <w:szCs w:val="24"/>
          <w:lang w:val="en-US"/>
        </w:rPr>
        <w:t>19</w:t>
      </w:r>
      <w:r w:rsidRPr="00347522">
        <w:rPr>
          <w:rFonts w:ascii="Book Antiqua" w:hAnsi="Book Antiqua" w:cs="Times New Roman"/>
          <w:sz w:val="24"/>
          <w:szCs w:val="24"/>
          <w:lang w:val="en-US"/>
        </w:rPr>
        <w:t>: 3957-3968 [PMID: 23840140 DOI: 10.3748/wjg.v19.i25.3957]</w:t>
      </w:r>
    </w:p>
    <w:p w14:paraId="2713A1FC"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lastRenderedPageBreak/>
        <w:t>44 </w:t>
      </w:r>
      <w:r w:rsidRPr="00347522">
        <w:rPr>
          <w:rFonts w:ascii="Book Antiqua" w:hAnsi="Book Antiqua" w:cs="Times New Roman"/>
          <w:b/>
          <w:bCs/>
          <w:sz w:val="24"/>
          <w:szCs w:val="24"/>
          <w:lang w:val="en-US"/>
        </w:rPr>
        <w:t>El-Sayed IH</w:t>
      </w:r>
      <w:r w:rsidRPr="00347522">
        <w:rPr>
          <w:rFonts w:ascii="Book Antiqua" w:hAnsi="Book Antiqua" w:cs="Times New Roman"/>
          <w:sz w:val="24"/>
          <w:szCs w:val="24"/>
          <w:lang w:val="en-US"/>
        </w:rPr>
        <w:t>, Lotfy M, Moawad M. Immunodiagnostic potential of mucin (MUC2) and Thomsen-Friedenreich (TF) antigens in Egyptian patients with colorectal cancer. </w:t>
      </w:r>
      <w:r w:rsidRPr="00347522">
        <w:rPr>
          <w:rFonts w:ascii="Book Antiqua" w:hAnsi="Book Antiqua" w:cs="Times New Roman"/>
          <w:i/>
          <w:iCs/>
          <w:sz w:val="24"/>
          <w:szCs w:val="24"/>
          <w:lang w:val="en-US"/>
        </w:rPr>
        <w:t>Eur Rev Med Pharmacol Sci</w:t>
      </w:r>
      <w:r w:rsidRPr="00347522">
        <w:rPr>
          <w:rFonts w:ascii="Book Antiqua" w:hAnsi="Book Antiqua" w:cs="Times New Roman"/>
          <w:sz w:val="24"/>
          <w:szCs w:val="24"/>
          <w:lang w:val="en-US"/>
        </w:rPr>
        <w:t> 2011; </w:t>
      </w:r>
      <w:r w:rsidRPr="00347522">
        <w:rPr>
          <w:rFonts w:ascii="Book Antiqua" w:hAnsi="Book Antiqua" w:cs="Times New Roman"/>
          <w:b/>
          <w:bCs/>
          <w:sz w:val="24"/>
          <w:szCs w:val="24"/>
          <w:lang w:val="en-US"/>
        </w:rPr>
        <w:t>15</w:t>
      </w:r>
      <w:r w:rsidRPr="00347522">
        <w:rPr>
          <w:rFonts w:ascii="Book Antiqua" w:hAnsi="Book Antiqua" w:cs="Times New Roman"/>
          <w:sz w:val="24"/>
          <w:szCs w:val="24"/>
          <w:lang w:val="en-US"/>
        </w:rPr>
        <w:t>: 91-97 [PMID: 21381504]</w:t>
      </w:r>
    </w:p>
    <w:p w14:paraId="373A058F"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45 </w:t>
      </w:r>
      <w:r w:rsidRPr="00347522">
        <w:rPr>
          <w:rFonts w:ascii="Book Antiqua" w:hAnsi="Book Antiqua" w:cs="Times New Roman"/>
          <w:b/>
          <w:bCs/>
          <w:sz w:val="24"/>
          <w:szCs w:val="24"/>
          <w:lang w:val="en-US"/>
        </w:rPr>
        <w:t>Ogata S</w:t>
      </w:r>
      <w:r w:rsidRPr="00347522">
        <w:rPr>
          <w:rFonts w:ascii="Book Antiqua" w:hAnsi="Book Antiqua" w:cs="Times New Roman"/>
          <w:sz w:val="24"/>
          <w:szCs w:val="24"/>
          <w:lang w:val="en-US"/>
        </w:rPr>
        <w:t>, Uehara H, Chen A, Itzkowitz SH. Mucin gene expression in colonic tissues and cell lines. </w:t>
      </w:r>
      <w:r w:rsidRPr="00347522">
        <w:rPr>
          <w:rFonts w:ascii="Book Antiqua" w:hAnsi="Book Antiqua" w:cs="Times New Roman"/>
          <w:i/>
          <w:iCs/>
          <w:sz w:val="24"/>
          <w:szCs w:val="24"/>
          <w:lang w:val="en-US"/>
        </w:rPr>
        <w:t>Cancer Res</w:t>
      </w:r>
      <w:r w:rsidRPr="00347522">
        <w:rPr>
          <w:rFonts w:ascii="Book Antiqua" w:hAnsi="Book Antiqua" w:cs="Times New Roman"/>
          <w:sz w:val="24"/>
          <w:szCs w:val="24"/>
          <w:lang w:val="en-US"/>
        </w:rPr>
        <w:t> 1992; </w:t>
      </w:r>
      <w:r w:rsidRPr="00347522">
        <w:rPr>
          <w:rFonts w:ascii="Book Antiqua" w:hAnsi="Book Antiqua" w:cs="Times New Roman"/>
          <w:b/>
          <w:bCs/>
          <w:sz w:val="24"/>
          <w:szCs w:val="24"/>
          <w:lang w:val="en-US"/>
        </w:rPr>
        <w:t>52</w:t>
      </w:r>
      <w:r w:rsidRPr="00347522">
        <w:rPr>
          <w:rFonts w:ascii="Book Antiqua" w:hAnsi="Book Antiqua" w:cs="Times New Roman"/>
          <w:sz w:val="24"/>
          <w:szCs w:val="24"/>
          <w:lang w:val="en-US"/>
        </w:rPr>
        <w:t>: 5971-5978 [PMID: 1394223]</w:t>
      </w:r>
    </w:p>
    <w:p w14:paraId="47F3FD97"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46 </w:t>
      </w:r>
      <w:r w:rsidRPr="00347522">
        <w:rPr>
          <w:rFonts w:ascii="Book Antiqua" w:hAnsi="Book Antiqua" w:cs="Times New Roman"/>
          <w:b/>
          <w:bCs/>
          <w:sz w:val="24"/>
          <w:szCs w:val="24"/>
          <w:lang w:val="en-US"/>
        </w:rPr>
        <w:t>Sylvester PA</w:t>
      </w:r>
      <w:r w:rsidRPr="00347522">
        <w:rPr>
          <w:rFonts w:ascii="Book Antiqua" w:hAnsi="Book Antiqua" w:cs="Times New Roman"/>
          <w:sz w:val="24"/>
          <w:szCs w:val="24"/>
          <w:lang w:val="en-US"/>
        </w:rPr>
        <w:t>, Myerscough N, Warren BF, Carlstedt I, Corfield AP, Durdey P, Thomas MG. Differential expression of the chromosome 11 mucin genes in colorectal cancer. </w:t>
      </w:r>
      <w:r w:rsidRPr="00347522">
        <w:rPr>
          <w:rFonts w:ascii="Book Antiqua" w:hAnsi="Book Antiqua" w:cs="Times New Roman"/>
          <w:i/>
          <w:iCs/>
          <w:sz w:val="24"/>
          <w:szCs w:val="24"/>
          <w:lang w:val="en-US"/>
        </w:rPr>
        <w:t>J Pathol</w:t>
      </w:r>
      <w:r w:rsidRPr="00347522">
        <w:rPr>
          <w:rFonts w:ascii="Book Antiqua" w:hAnsi="Book Antiqua" w:cs="Times New Roman"/>
          <w:sz w:val="24"/>
          <w:szCs w:val="24"/>
          <w:lang w:val="en-US"/>
        </w:rPr>
        <w:t> 2001; </w:t>
      </w:r>
      <w:r w:rsidRPr="00347522">
        <w:rPr>
          <w:rFonts w:ascii="Book Antiqua" w:hAnsi="Book Antiqua" w:cs="Times New Roman"/>
          <w:b/>
          <w:bCs/>
          <w:sz w:val="24"/>
          <w:szCs w:val="24"/>
          <w:lang w:val="en-US"/>
        </w:rPr>
        <w:t>195</w:t>
      </w:r>
      <w:r w:rsidRPr="00347522">
        <w:rPr>
          <w:rFonts w:ascii="Book Antiqua" w:hAnsi="Book Antiqua" w:cs="Times New Roman"/>
          <w:sz w:val="24"/>
          <w:szCs w:val="24"/>
          <w:lang w:val="en-US"/>
        </w:rPr>
        <w:t>: 327-335 [PMID: 11673830 DOI: 10.1002/path.951]</w:t>
      </w:r>
    </w:p>
    <w:p w14:paraId="76545DFF"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47 </w:t>
      </w:r>
      <w:r w:rsidRPr="00347522">
        <w:rPr>
          <w:rFonts w:ascii="Book Antiqua" w:hAnsi="Book Antiqua" w:cs="Times New Roman"/>
          <w:b/>
          <w:bCs/>
          <w:sz w:val="24"/>
          <w:szCs w:val="24"/>
          <w:lang w:val="en-US"/>
        </w:rPr>
        <w:t>Hanski C</w:t>
      </w:r>
      <w:r w:rsidRPr="00347522">
        <w:rPr>
          <w:rFonts w:ascii="Book Antiqua" w:hAnsi="Book Antiqua" w:cs="Times New Roman"/>
          <w:sz w:val="24"/>
          <w:szCs w:val="24"/>
          <w:lang w:val="en-US"/>
        </w:rPr>
        <w:t>, Hofmeier M, Schmitt-Gräff A, Riede E, Hanski ML, Borchard F, Sieber E, Niedobitek F, Foss HD, Stein H, Riecken EO. Overexpression or ectopic expression of MUC2 is the common property of mucinous carcinomas of the colon, pancreas, breast, and ovary. </w:t>
      </w:r>
      <w:r w:rsidRPr="00347522">
        <w:rPr>
          <w:rFonts w:ascii="Book Antiqua" w:hAnsi="Book Antiqua" w:cs="Times New Roman"/>
          <w:i/>
          <w:iCs/>
          <w:sz w:val="24"/>
          <w:szCs w:val="24"/>
          <w:lang w:val="en-US"/>
        </w:rPr>
        <w:t>J Pathol</w:t>
      </w:r>
      <w:r w:rsidRPr="00347522">
        <w:rPr>
          <w:rFonts w:ascii="Book Antiqua" w:hAnsi="Book Antiqua" w:cs="Times New Roman"/>
          <w:sz w:val="24"/>
          <w:szCs w:val="24"/>
          <w:lang w:val="en-US"/>
        </w:rPr>
        <w:t> 1997; </w:t>
      </w:r>
      <w:r w:rsidRPr="00347522">
        <w:rPr>
          <w:rFonts w:ascii="Book Antiqua" w:hAnsi="Book Antiqua" w:cs="Times New Roman"/>
          <w:b/>
          <w:bCs/>
          <w:sz w:val="24"/>
          <w:szCs w:val="24"/>
          <w:lang w:val="en-US"/>
        </w:rPr>
        <w:t>182</w:t>
      </w:r>
      <w:r w:rsidRPr="00347522">
        <w:rPr>
          <w:rFonts w:ascii="Book Antiqua" w:hAnsi="Book Antiqua" w:cs="Times New Roman"/>
          <w:sz w:val="24"/>
          <w:szCs w:val="24"/>
          <w:lang w:val="en-US"/>
        </w:rPr>
        <w:t>: 385-391 [PMID: 9306958 DOI: 10.1002/(SICI)1096-9896(199708)182:4&lt;385::AID-PATH861&gt;3.0.CO;2-Q]</w:t>
      </w:r>
    </w:p>
    <w:p w14:paraId="1DA6FF2B"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48 </w:t>
      </w:r>
      <w:r w:rsidRPr="00347522">
        <w:rPr>
          <w:rFonts w:ascii="Book Antiqua" w:hAnsi="Book Antiqua" w:cs="Times New Roman"/>
          <w:b/>
          <w:bCs/>
          <w:sz w:val="24"/>
          <w:szCs w:val="24"/>
          <w:lang w:val="en-US"/>
        </w:rPr>
        <w:t>Al-Khayal K</w:t>
      </w:r>
      <w:r w:rsidRPr="00347522">
        <w:rPr>
          <w:rFonts w:ascii="Book Antiqua" w:hAnsi="Book Antiqua" w:cs="Times New Roman"/>
          <w:sz w:val="24"/>
          <w:szCs w:val="24"/>
          <w:lang w:val="en-US"/>
        </w:rPr>
        <w:t>, Abdulla M, Al-Obaid O, Zubaidi A, Vaali-Mohammed MA, Alsheikh A, Ahmad R. Differential expression of mucins in Middle Eastern patients with colorectal cancer. </w:t>
      </w:r>
      <w:r w:rsidRPr="00347522">
        <w:rPr>
          <w:rFonts w:ascii="Book Antiqua" w:hAnsi="Book Antiqua" w:cs="Times New Roman"/>
          <w:i/>
          <w:iCs/>
          <w:sz w:val="24"/>
          <w:szCs w:val="24"/>
          <w:lang w:val="en-US"/>
        </w:rPr>
        <w:t>Oncol Lett</w:t>
      </w:r>
      <w:r w:rsidRPr="00347522">
        <w:rPr>
          <w:rFonts w:ascii="Book Antiqua" w:hAnsi="Book Antiqua" w:cs="Times New Roman"/>
          <w:sz w:val="24"/>
          <w:szCs w:val="24"/>
          <w:lang w:val="en-US"/>
        </w:rPr>
        <w:t> 2016; </w:t>
      </w:r>
      <w:r w:rsidRPr="00347522">
        <w:rPr>
          <w:rFonts w:ascii="Book Antiqua" w:hAnsi="Book Antiqua" w:cs="Times New Roman"/>
          <w:b/>
          <w:bCs/>
          <w:sz w:val="24"/>
          <w:szCs w:val="24"/>
          <w:lang w:val="en-US"/>
        </w:rPr>
        <w:t>12</w:t>
      </w:r>
      <w:r w:rsidRPr="00347522">
        <w:rPr>
          <w:rFonts w:ascii="Book Antiqua" w:hAnsi="Book Antiqua" w:cs="Times New Roman"/>
          <w:sz w:val="24"/>
          <w:szCs w:val="24"/>
          <w:lang w:val="en-US"/>
        </w:rPr>
        <w:t>: 393-400 [PMID: 27347157 DOI: 10.3892/ol.2016.4672]</w:t>
      </w:r>
    </w:p>
    <w:p w14:paraId="2A97CE18"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49 </w:t>
      </w:r>
      <w:r w:rsidRPr="00347522">
        <w:rPr>
          <w:rFonts w:ascii="Book Antiqua" w:hAnsi="Book Antiqua" w:cs="Times New Roman"/>
          <w:b/>
          <w:bCs/>
          <w:sz w:val="24"/>
          <w:szCs w:val="24"/>
          <w:lang w:val="en-US"/>
        </w:rPr>
        <w:t>Blank M</w:t>
      </w:r>
      <w:r w:rsidRPr="00347522">
        <w:rPr>
          <w:rFonts w:ascii="Book Antiqua" w:hAnsi="Book Antiqua" w:cs="Times New Roman"/>
          <w:sz w:val="24"/>
          <w:szCs w:val="24"/>
          <w:lang w:val="en-US"/>
        </w:rPr>
        <w:t>, Klussmann E, Krüger-Krasagakes S, Schmitt-Gräff A, Stolte M, Bornhoeft G, Stein H, Xing PX, McKenzie IF, Verstijnen CP. Expression of MUC2-mucin in colorectal adenomas and carcinomas of different histological types. </w:t>
      </w:r>
      <w:r w:rsidRPr="00347522">
        <w:rPr>
          <w:rFonts w:ascii="Book Antiqua" w:hAnsi="Book Antiqua" w:cs="Times New Roman"/>
          <w:i/>
          <w:iCs/>
          <w:sz w:val="24"/>
          <w:szCs w:val="24"/>
          <w:lang w:val="en-US"/>
        </w:rPr>
        <w:t>Int J Cancer</w:t>
      </w:r>
      <w:r w:rsidRPr="00347522">
        <w:rPr>
          <w:rFonts w:ascii="Book Antiqua" w:hAnsi="Book Antiqua" w:cs="Times New Roman"/>
          <w:sz w:val="24"/>
          <w:szCs w:val="24"/>
          <w:lang w:val="en-US"/>
        </w:rPr>
        <w:t> 1994; </w:t>
      </w:r>
      <w:r w:rsidRPr="00347522">
        <w:rPr>
          <w:rFonts w:ascii="Book Antiqua" w:hAnsi="Book Antiqua" w:cs="Times New Roman"/>
          <w:b/>
          <w:bCs/>
          <w:sz w:val="24"/>
          <w:szCs w:val="24"/>
          <w:lang w:val="en-US"/>
        </w:rPr>
        <w:t>59</w:t>
      </w:r>
      <w:r w:rsidRPr="00347522">
        <w:rPr>
          <w:rFonts w:ascii="Book Antiqua" w:hAnsi="Book Antiqua" w:cs="Times New Roman"/>
          <w:sz w:val="24"/>
          <w:szCs w:val="24"/>
          <w:lang w:val="en-US"/>
        </w:rPr>
        <w:t>: 301-306 [PMID: 7927933]</w:t>
      </w:r>
    </w:p>
    <w:p w14:paraId="1CCA2E69"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50 </w:t>
      </w:r>
      <w:r w:rsidRPr="00347522">
        <w:rPr>
          <w:rFonts w:ascii="Book Antiqua" w:hAnsi="Book Antiqua" w:cs="Times New Roman"/>
          <w:b/>
          <w:bCs/>
          <w:sz w:val="24"/>
          <w:szCs w:val="24"/>
          <w:lang w:val="en-US"/>
        </w:rPr>
        <w:t>Li A</w:t>
      </w:r>
      <w:r w:rsidRPr="00347522">
        <w:rPr>
          <w:rFonts w:ascii="Book Antiqua" w:hAnsi="Book Antiqua" w:cs="Times New Roman"/>
          <w:sz w:val="24"/>
          <w:szCs w:val="24"/>
          <w:lang w:val="en-US"/>
        </w:rPr>
        <w:t>, Goto M, Horinouchi M, Tanaka S, Imai K, Kim YS, Sato E, Yonezawa S. Expression of MUC1 and MUC2 mucins and relationship with cell proliferative activity in human colorectal neoplasia. </w:t>
      </w:r>
      <w:r w:rsidRPr="00347522">
        <w:rPr>
          <w:rFonts w:ascii="Book Antiqua" w:hAnsi="Book Antiqua" w:cs="Times New Roman"/>
          <w:i/>
          <w:iCs/>
          <w:sz w:val="24"/>
          <w:szCs w:val="24"/>
          <w:lang w:val="en-US"/>
        </w:rPr>
        <w:t>Pathol Int</w:t>
      </w:r>
      <w:r w:rsidRPr="00347522">
        <w:rPr>
          <w:rFonts w:ascii="Book Antiqua" w:hAnsi="Book Antiqua" w:cs="Times New Roman"/>
          <w:sz w:val="24"/>
          <w:szCs w:val="24"/>
          <w:lang w:val="en-US"/>
        </w:rPr>
        <w:t> 2001; </w:t>
      </w:r>
      <w:r w:rsidRPr="00347522">
        <w:rPr>
          <w:rFonts w:ascii="Book Antiqua" w:hAnsi="Book Antiqua" w:cs="Times New Roman"/>
          <w:b/>
          <w:bCs/>
          <w:sz w:val="24"/>
          <w:szCs w:val="24"/>
          <w:lang w:val="en-US"/>
        </w:rPr>
        <w:t>51</w:t>
      </w:r>
      <w:r w:rsidRPr="00347522">
        <w:rPr>
          <w:rFonts w:ascii="Book Antiqua" w:hAnsi="Book Antiqua" w:cs="Times New Roman"/>
          <w:sz w:val="24"/>
          <w:szCs w:val="24"/>
          <w:lang w:val="en-US"/>
        </w:rPr>
        <w:t>: 853-860 [PMID: 11844051]</w:t>
      </w:r>
    </w:p>
    <w:p w14:paraId="136334C2"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51 </w:t>
      </w:r>
      <w:r w:rsidRPr="00347522">
        <w:rPr>
          <w:rFonts w:ascii="Book Antiqua" w:hAnsi="Book Antiqua" w:cs="Times New Roman"/>
          <w:b/>
          <w:bCs/>
          <w:sz w:val="24"/>
          <w:szCs w:val="24"/>
          <w:lang w:val="en-US"/>
        </w:rPr>
        <w:t>Walsh MD</w:t>
      </w:r>
      <w:r w:rsidRPr="00347522">
        <w:rPr>
          <w:rFonts w:ascii="Book Antiqua" w:hAnsi="Book Antiqua" w:cs="Times New Roman"/>
          <w:sz w:val="24"/>
          <w:szCs w:val="24"/>
          <w:lang w:val="en-US"/>
        </w:rPr>
        <w:t xml:space="preserve">, Clendenning M, Williamson E, Pearson SA, Walters RJ, Nagler B, Packenas D, Win AK, Hopper JL, Jenkins MA, Haydon AM, Rosty C, English DR, Giles GG, McGuckin MA, Young JP, Buchanan DD. Expression of MUC2, MUC5AC, MUC5B, and MUC6 mucins in colorectal cancers and their association </w:t>
      </w:r>
      <w:r w:rsidRPr="00347522">
        <w:rPr>
          <w:rFonts w:ascii="Book Antiqua" w:hAnsi="Book Antiqua" w:cs="Times New Roman"/>
          <w:sz w:val="24"/>
          <w:szCs w:val="24"/>
          <w:lang w:val="en-US"/>
        </w:rPr>
        <w:lastRenderedPageBreak/>
        <w:t>with the CpG island methylator phenotype. </w:t>
      </w:r>
      <w:r w:rsidRPr="00347522">
        <w:rPr>
          <w:rFonts w:ascii="Book Antiqua" w:hAnsi="Book Antiqua" w:cs="Times New Roman"/>
          <w:i/>
          <w:iCs/>
          <w:sz w:val="24"/>
          <w:szCs w:val="24"/>
          <w:lang w:val="en-US"/>
        </w:rPr>
        <w:t>Mod Pathol</w:t>
      </w:r>
      <w:r w:rsidRPr="00347522">
        <w:rPr>
          <w:rFonts w:ascii="Book Antiqua" w:hAnsi="Book Antiqua" w:cs="Times New Roman"/>
          <w:sz w:val="24"/>
          <w:szCs w:val="24"/>
          <w:lang w:val="en-US"/>
        </w:rPr>
        <w:t> 2013; </w:t>
      </w:r>
      <w:r w:rsidRPr="00347522">
        <w:rPr>
          <w:rFonts w:ascii="Book Antiqua" w:hAnsi="Book Antiqua" w:cs="Times New Roman"/>
          <w:b/>
          <w:bCs/>
          <w:sz w:val="24"/>
          <w:szCs w:val="24"/>
          <w:lang w:val="en-US"/>
        </w:rPr>
        <w:t>26</w:t>
      </w:r>
      <w:r w:rsidRPr="00347522">
        <w:rPr>
          <w:rFonts w:ascii="Book Antiqua" w:hAnsi="Book Antiqua" w:cs="Times New Roman"/>
          <w:sz w:val="24"/>
          <w:szCs w:val="24"/>
          <w:lang w:val="en-US"/>
        </w:rPr>
        <w:t>: 1642-1656 [PMID: 23807779 DOI: 10.1038/modpathol.2013.101]</w:t>
      </w:r>
    </w:p>
    <w:p w14:paraId="5FEBBC4F"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52 </w:t>
      </w:r>
      <w:r w:rsidRPr="00347522">
        <w:rPr>
          <w:rFonts w:ascii="Book Antiqua" w:hAnsi="Book Antiqua" w:cs="Times New Roman"/>
          <w:b/>
          <w:bCs/>
          <w:sz w:val="24"/>
          <w:szCs w:val="24"/>
          <w:lang w:val="en-US"/>
        </w:rPr>
        <w:t>Elzagheid A</w:t>
      </w:r>
      <w:r w:rsidRPr="00347522">
        <w:rPr>
          <w:rFonts w:ascii="Book Antiqua" w:hAnsi="Book Antiqua" w:cs="Times New Roman"/>
          <w:sz w:val="24"/>
          <w:szCs w:val="24"/>
          <w:lang w:val="en-US"/>
        </w:rPr>
        <w:t>, Emaetig F, Buhmeida A, Laato M, El-Faitori O, Syrjänen K, Collan Y, Pyrhönen S. Loss of MUC2 expression predicts disease recurrence and poor outcome in colorectal carcinoma. </w:t>
      </w:r>
      <w:r w:rsidRPr="00347522">
        <w:rPr>
          <w:rFonts w:ascii="Book Antiqua" w:hAnsi="Book Antiqua" w:cs="Times New Roman"/>
          <w:i/>
          <w:iCs/>
          <w:sz w:val="24"/>
          <w:szCs w:val="24"/>
          <w:lang w:val="en-US"/>
        </w:rPr>
        <w:t>Tumour Biol</w:t>
      </w:r>
      <w:r w:rsidRPr="00347522">
        <w:rPr>
          <w:rFonts w:ascii="Book Antiqua" w:hAnsi="Book Antiqua" w:cs="Times New Roman"/>
          <w:sz w:val="24"/>
          <w:szCs w:val="24"/>
          <w:lang w:val="en-US"/>
        </w:rPr>
        <w:t> 2013; </w:t>
      </w:r>
      <w:r w:rsidRPr="00347522">
        <w:rPr>
          <w:rFonts w:ascii="Book Antiqua" w:hAnsi="Book Antiqua" w:cs="Times New Roman"/>
          <w:b/>
          <w:bCs/>
          <w:sz w:val="24"/>
          <w:szCs w:val="24"/>
          <w:lang w:val="en-US"/>
        </w:rPr>
        <w:t>34</w:t>
      </w:r>
      <w:r w:rsidRPr="00347522">
        <w:rPr>
          <w:rFonts w:ascii="Book Antiqua" w:hAnsi="Book Antiqua" w:cs="Times New Roman"/>
          <w:sz w:val="24"/>
          <w:szCs w:val="24"/>
          <w:lang w:val="en-US"/>
        </w:rPr>
        <w:t>: 621-628 [PMID: 23179399 DOI: 10.1007/s13277-012-0588-8]</w:t>
      </w:r>
    </w:p>
    <w:p w14:paraId="71A407A0" w14:textId="77777777" w:rsidR="00CC2FD5" w:rsidRPr="00347522" w:rsidRDefault="00CC2FD5" w:rsidP="00347522">
      <w:pPr>
        <w:adjustRightInd w:val="0"/>
        <w:snapToGrid w:val="0"/>
        <w:spacing w:line="360" w:lineRule="auto"/>
        <w:ind w:firstLineChars="0" w:firstLine="0"/>
        <w:jc w:val="both"/>
        <w:rPr>
          <w:rFonts w:ascii="Book Antiqua" w:hAnsi="Book Antiqua" w:cs="Times New Roman"/>
          <w:sz w:val="24"/>
          <w:szCs w:val="24"/>
          <w:lang w:val="en-US"/>
        </w:rPr>
      </w:pPr>
      <w:r w:rsidRPr="00347522">
        <w:rPr>
          <w:rFonts w:ascii="Book Antiqua" w:hAnsi="Book Antiqua" w:cs="Times New Roman"/>
          <w:sz w:val="24"/>
          <w:szCs w:val="24"/>
          <w:lang w:val="en-US"/>
        </w:rPr>
        <w:t>53 </w:t>
      </w:r>
      <w:r w:rsidRPr="00347522">
        <w:rPr>
          <w:rFonts w:ascii="Book Antiqua" w:hAnsi="Book Antiqua" w:cs="Times New Roman"/>
          <w:b/>
          <w:bCs/>
          <w:sz w:val="24"/>
          <w:szCs w:val="24"/>
          <w:lang w:val="en-US"/>
        </w:rPr>
        <w:t>Kang H</w:t>
      </w:r>
      <w:r w:rsidRPr="00347522">
        <w:rPr>
          <w:rFonts w:ascii="Book Antiqua" w:hAnsi="Book Antiqua" w:cs="Times New Roman"/>
          <w:sz w:val="24"/>
          <w:szCs w:val="24"/>
          <w:lang w:val="en-US"/>
        </w:rPr>
        <w:t>, Min BS, Lee KY, Kim NK, Kim SN, Choi J, Kim H. Loss of E-cadherin and MUC2 expressions correlated with poor survival in patients with stages II and III colorectal carcinoma. </w:t>
      </w:r>
      <w:r w:rsidRPr="00347522">
        <w:rPr>
          <w:rFonts w:ascii="Book Antiqua" w:hAnsi="Book Antiqua" w:cs="Times New Roman"/>
          <w:i/>
          <w:iCs/>
          <w:sz w:val="24"/>
          <w:szCs w:val="24"/>
          <w:lang w:val="en-US"/>
        </w:rPr>
        <w:t>Ann Surg Oncol</w:t>
      </w:r>
      <w:r w:rsidRPr="00347522">
        <w:rPr>
          <w:rFonts w:ascii="Book Antiqua" w:hAnsi="Book Antiqua" w:cs="Times New Roman"/>
          <w:sz w:val="24"/>
          <w:szCs w:val="24"/>
          <w:lang w:val="en-US"/>
        </w:rPr>
        <w:t> 2011; </w:t>
      </w:r>
      <w:r w:rsidRPr="00347522">
        <w:rPr>
          <w:rFonts w:ascii="Book Antiqua" w:hAnsi="Book Antiqua" w:cs="Times New Roman"/>
          <w:b/>
          <w:bCs/>
          <w:sz w:val="24"/>
          <w:szCs w:val="24"/>
          <w:lang w:val="en-US"/>
        </w:rPr>
        <w:t>18</w:t>
      </w:r>
      <w:r w:rsidRPr="00347522">
        <w:rPr>
          <w:rFonts w:ascii="Book Antiqua" w:hAnsi="Book Antiqua" w:cs="Times New Roman"/>
          <w:sz w:val="24"/>
          <w:szCs w:val="24"/>
          <w:lang w:val="en-US"/>
        </w:rPr>
        <w:t>: 711-719 [PMID: 20865330 DOI: 10.1245/s10434-010-1338-z]</w:t>
      </w:r>
      <w:bookmarkEnd w:id="35"/>
      <w:bookmarkEnd w:id="36"/>
    </w:p>
    <w:p w14:paraId="20C72F4F" w14:textId="057D0D58" w:rsidR="006109E4" w:rsidRPr="00983ED6" w:rsidRDefault="006109E4" w:rsidP="00347522">
      <w:pPr>
        <w:adjustRightInd w:val="0"/>
        <w:snapToGrid w:val="0"/>
        <w:spacing w:line="360" w:lineRule="auto"/>
        <w:ind w:firstLineChars="0" w:firstLine="0"/>
        <w:jc w:val="right"/>
        <w:rPr>
          <w:rFonts w:ascii="Book Antiqua" w:hAnsi="Book Antiqua"/>
          <w:b/>
          <w:bCs/>
          <w:sz w:val="24"/>
          <w:szCs w:val="24"/>
        </w:rPr>
      </w:pPr>
      <w:bookmarkStart w:id="39" w:name="OLE_LINK148"/>
      <w:bookmarkStart w:id="40" w:name="OLE_LINK320"/>
      <w:bookmarkStart w:id="41" w:name="OLE_LINK387"/>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281"/>
      <w:bookmarkStart w:id="50" w:name="OLE_LINK282"/>
      <w:bookmarkStart w:id="51" w:name="OLE_LINK313"/>
      <w:bookmarkStart w:id="52" w:name="OLE_LINK304"/>
      <w:bookmarkStart w:id="53" w:name="OLE_LINK321"/>
      <w:bookmarkStart w:id="54" w:name="OLE_LINK385"/>
      <w:bookmarkStart w:id="55" w:name="OLE_LINK400"/>
      <w:bookmarkStart w:id="56" w:name="OLE_LINK346"/>
      <w:bookmarkStart w:id="57" w:name="OLE_LINK371"/>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bookmarkStart w:id="138" w:name="OLE_LINK52"/>
      <w:bookmarkStart w:id="139" w:name="OLE_LINK57"/>
      <w:r w:rsidRPr="00983ED6">
        <w:rPr>
          <w:rFonts w:ascii="Book Antiqua" w:hAnsi="Book Antiqua"/>
          <w:b/>
          <w:bCs/>
          <w:sz w:val="24"/>
          <w:szCs w:val="24"/>
        </w:rPr>
        <w:t>P-Reviewer:</w:t>
      </w:r>
      <w:r w:rsidRPr="00983ED6">
        <w:rPr>
          <w:rFonts w:ascii="Book Antiqua" w:hAnsi="Book Antiqua"/>
          <w:bCs/>
          <w:sz w:val="24"/>
          <w:szCs w:val="24"/>
        </w:rPr>
        <w:t xml:space="preserve"> </w:t>
      </w:r>
      <w:r w:rsidR="00D62D85" w:rsidRPr="00983ED6">
        <w:rPr>
          <w:rFonts w:ascii="Book Antiqua" w:hAnsi="Book Antiqua"/>
          <w:bCs/>
          <w:sz w:val="24"/>
          <w:szCs w:val="24"/>
        </w:rPr>
        <w:t>Boscá L, Lim SC, Wang SK</w:t>
      </w:r>
    </w:p>
    <w:p w14:paraId="146E9BAE" w14:textId="47D83AB5" w:rsidR="006109E4" w:rsidRPr="00983ED6" w:rsidRDefault="006109E4" w:rsidP="00347522">
      <w:pPr>
        <w:adjustRightInd w:val="0"/>
        <w:snapToGrid w:val="0"/>
        <w:spacing w:line="360" w:lineRule="auto"/>
        <w:ind w:firstLineChars="0" w:firstLine="0"/>
        <w:jc w:val="right"/>
        <w:rPr>
          <w:rFonts w:ascii="Book Antiqua" w:hAnsi="Book Antiqua"/>
          <w:sz w:val="24"/>
          <w:szCs w:val="24"/>
        </w:rPr>
      </w:pPr>
      <w:r w:rsidRPr="00983ED6">
        <w:rPr>
          <w:rFonts w:ascii="Book Antiqua" w:hAnsi="Book Antiqua"/>
          <w:b/>
          <w:bCs/>
          <w:sz w:val="24"/>
          <w:szCs w:val="24"/>
        </w:rPr>
        <w:t>S-Editor:</w:t>
      </w:r>
      <w:r w:rsidRPr="00983ED6">
        <w:rPr>
          <w:rFonts w:ascii="Book Antiqua" w:hAnsi="Book Antiqua" w:hint="eastAsia"/>
          <w:sz w:val="24"/>
          <w:szCs w:val="24"/>
        </w:rPr>
        <w:t xml:space="preserve"> </w:t>
      </w:r>
      <w:r w:rsidR="00D62D85" w:rsidRPr="00983ED6">
        <w:rPr>
          <w:rFonts w:ascii="Book Antiqua" w:hAnsi="Book Antiqua"/>
          <w:sz w:val="24"/>
          <w:szCs w:val="24"/>
        </w:rPr>
        <w:t>Gong ZM</w:t>
      </w:r>
      <w:r w:rsidRPr="00983ED6">
        <w:rPr>
          <w:rFonts w:ascii="Book Antiqua" w:hAnsi="Book Antiqua" w:hint="eastAsia"/>
          <w:sz w:val="24"/>
          <w:szCs w:val="24"/>
        </w:rPr>
        <w:t xml:space="preserve"> </w:t>
      </w:r>
      <w:r w:rsidRPr="00983ED6">
        <w:rPr>
          <w:rFonts w:ascii="Book Antiqua" w:hAnsi="Book Antiqua"/>
          <w:b/>
          <w:bCs/>
          <w:sz w:val="24"/>
          <w:szCs w:val="24"/>
        </w:rPr>
        <w:t>L-Editor:</w:t>
      </w:r>
      <w:r w:rsidRPr="00983ED6">
        <w:rPr>
          <w:rFonts w:ascii="Book Antiqua" w:hAnsi="Book Antiqua"/>
          <w:sz w:val="24"/>
          <w:szCs w:val="24"/>
        </w:rPr>
        <w:t xml:space="preserve"> </w:t>
      </w:r>
      <w:r w:rsidRPr="00983ED6">
        <w:rPr>
          <w:rFonts w:ascii="Book Antiqua" w:hAnsi="Book Antiqua"/>
          <w:b/>
          <w:bCs/>
          <w:sz w:val="24"/>
          <w:szCs w:val="24"/>
        </w:rPr>
        <w:t>E-Editor:</w:t>
      </w:r>
    </w:p>
    <w:p w14:paraId="72571B9A" w14:textId="77777777" w:rsidR="006109E4" w:rsidRPr="00983ED6" w:rsidRDefault="006109E4" w:rsidP="00347522">
      <w:pPr>
        <w:shd w:val="clear" w:color="auto" w:fill="FFFFFF"/>
        <w:adjustRightInd w:val="0"/>
        <w:snapToGrid w:val="0"/>
        <w:spacing w:line="360" w:lineRule="auto"/>
        <w:ind w:firstLineChars="0" w:firstLine="0"/>
        <w:jc w:val="both"/>
        <w:rPr>
          <w:rFonts w:ascii="Book Antiqua" w:hAnsi="Book Antiqua" w:cs="Helvetica"/>
          <w:b/>
          <w:sz w:val="24"/>
          <w:szCs w:val="24"/>
        </w:rPr>
      </w:pPr>
      <w:bookmarkStart w:id="140" w:name="OLE_LINK880"/>
      <w:bookmarkStart w:id="141" w:name="OLE_LINK88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983ED6">
        <w:rPr>
          <w:rFonts w:ascii="Book Antiqua" w:hAnsi="Book Antiqua" w:cs="Helvetica"/>
          <w:b/>
          <w:sz w:val="24"/>
          <w:szCs w:val="24"/>
        </w:rPr>
        <w:t xml:space="preserve">Specialty type: </w:t>
      </w:r>
      <w:r w:rsidRPr="00983ED6">
        <w:rPr>
          <w:rFonts w:ascii="Book Antiqua" w:hAnsi="Book Antiqua" w:cs="Helvetica"/>
          <w:sz w:val="24"/>
          <w:szCs w:val="24"/>
        </w:rPr>
        <w:t>Gastroenterology and</w:t>
      </w:r>
      <w:r w:rsidRPr="00983ED6">
        <w:rPr>
          <w:rFonts w:ascii="Book Antiqua" w:hAnsi="Book Antiqua" w:cs="Helvetica" w:hint="eastAsia"/>
          <w:sz w:val="24"/>
          <w:szCs w:val="24"/>
        </w:rPr>
        <w:t xml:space="preserve"> </w:t>
      </w:r>
      <w:r w:rsidRPr="00983ED6">
        <w:rPr>
          <w:rFonts w:ascii="Book Antiqua" w:hAnsi="Book Antiqua" w:cs="Helvetica"/>
          <w:sz w:val="24"/>
          <w:szCs w:val="24"/>
        </w:rPr>
        <w:t>hepatology</w:t>
      </w:r>
    </w:p>
    <w:p w14:paraId="12CAE865" w14:textId="6D786598" w:rsidR="006109E4" w:rsidRPr="00983ED6" w:rsidRDefault="006109E4" w:rsidP="00347522">
      <w:pPr>
        <w:shd w:val="clear" w:color="auto" w:fill="FFFFFF"/>
        <w:adjustRightInd w:val="0"/>
        <w:snapToGrid w:val="0"/>
        <w:spacing w:line="360" w:lineRule="auto"/>
        <w:ind w:firstLineChars="0" w:firstLine="0"/>
        <w:jc w:val="both"/>
        <w:rPr>
          <w:rFonts w:ascii="Book Antiqua" w:hAnsi="Book Antiqua" w:cs="Helvetica"/>
          <w:b/>
          <w:sz w:val="24"/>
          <w:szCs w:val="24"/>
        </w:rPr>
      </w:pPr>
      <w:r w:rsidRPr="00983ED6">
        <w:rPr>
          <w:rFonts w:ascii="Book Antiqua" w:hAnsi="Book Antiqua" w:cs="Helvetica"/>
          <w:b/>
          <w:sz w:val="24"/>
          <w:szCs w:val="24"/>
        </w:rPr>
        <w:t xml:space="preserve">Country of origin: </w:t>
      </w:r>
      <w:r w:rsidRPr="00983ED6">
        <w:rPr>
          <w:rFonts w:ascii="Book Antiqua" w:hAnsi="Book Antiqua" w:cs="Helvetica"/>
          <w:sz w:val="24"/>
          <w:szCs w:val="24"/>
          <w:lang w:val="en-CA"/>
        </w:rPr>
        <w:t>Poland</w:t>
      </w:r>
    </w:p>
    <w:p w14:paraId="0D423181" w14:textId="77777777" w:rsidR="006109E4" w:rsidRPr="00983ED6" w:rsidRDefault="006109E4" w:rsidP="00347522">
      <w:pPr>
        <w:shd w:val="clear" w:color="auto" w:fill="FFFFFF"/>
        <w:adjustRightInd w:val="0"/>
        <w:snapToGrid w:val="0"/>
        <w:spacing w:line="360" w:lineRule="auto"/>
        <w:ind w:firstLineChars="0" w:firstLine="0"/>
        <w:jc w:val="both"/>
        <w:rPr>
          <w:rFonts w:ascii="Book Antiqua" w:hAnsi="Book Antiqua" w:cs="Helvetica"/>
          <w:b/>
          <w:sz w:val="24"/>
          <w:szCs w:val="24"/>
        </w:rPr>
      </w:pPr>
      <w:r w:rsidRPr="00983ED6">
        <w:rPr>
          <w:rFonts w:ascii="Book Antiqua" w:hAnsi="Book Antiqua" w:cs="Helvetica"/>
          <w:b/>
          <w:sz w:val="24"/>
          <w:szCs w:val="24"/>
        </w:rPr>
        <w:t>Peer-review report classification</w:t>
      </w:r>
    </w:p>
    <w:p w14:paraId="3F71C7ED" w14:textId="77777777" w:rsidR="006109E4" w:rsidRPr="00983ED6" w:rsidRDefault="006109E4" w:rsidP="00347522">
      <w:pPr>
        <w:shd w:val="clear" w:color="auto" w:fill="FFFFFF"/>
        <w:adjustRightInd w:val="0"/>
        <w:snapToGrid w:val="0"/>
        <w:spacing w:line="360" w:lineRule="auto"/>
        <w:ind w:firstLineChars="0" w:firstLine="0"/>
        <w:jc w:val="both"/>
        <w:rPr>
          <w:rFonts w:ascii="Book Antiqua" w:hAnsi="Book Antiqua" w:cs="Helvetica"/>
          <w:sz w:val="24"/>
          <w:szCs w:val="24"/>
        </w:rPr>
      </w:pPr>
      <w:r w:rsidRPr="00983ED6">
        <w:rPr>
          <w:rFonts w:ascii="Book Antiqua" w:hAnsi="Book Antiqua" w:cs="Helvetica"/>
          <w:sz w:val="24"/>
          <w:szCs w:val="24"/>
        </w:rPr>
        <w:t xml:space="preserve">Grade A (Excellent): </w:t>
      </w:r>
      <w:r w:rsidRPr="00983ED6">
        <w:rPr>
          <w:rFonts w:ascii="Book Antiqua" w:hAnsi="Book Antiqua" w:cs="Helvetica" w:hint="eastAsia"/>
          <w:sz w:val="24"/>
          <w:szCs w:val="24"/>
        </w:rPr>
        <w:t>0</w:t>
      </w:r>
    </w:p>
    <w:p w14:paraId="0B0FB36E" w14:textId="4D5109DE" w:rsidR="006109E4" w:rsidRPr="00983ED6" w:rsidRDefault="006109E4" w:rsidP="00347522">
      <w:pPr>
        <w:shd w:val="clear" w:color="auto" w:fill="FFFFFF"/>
        <w:adjustRightInd w:val="0"/>
        <w:snapToGrid w:val="0"/>
        <w:spacing w:line="360" w:lineRule="auto"/>
        <w:ind w:firstLineChars="0" w:firstLine="0"/>
        <w:jc w:val="both"/>
        <w:rPr>
          <w:rFonts w:ascii="Book Antiqua" w:hAnsi="Book Antiqua" w:cs="Helvetica"/>
          <w:sz w:val="24"/>
          <w:szCs w:val="24"/>
        </w:rPr>
      </w:pPr>
      <w:r w:rsidRPr="00983ED6">
        <w:rPr>
          <w:rFonts w:ascii="Book Antiqua" w:hAnsi="Book Antiqua" w:cs="Helvetica"/>
          <w:sz w:val="24"/>
          <w:szCs w:val="24"/>
        </w:rPr>
        <w:t xml:space="preserve">Grade B (Very good): </w:t>
      </w:r>
      <w:r w:rsidR="00D62D85" w:rsidRPr="00983ED6">
        <w:rPr>
          <w:rFonts w:ascii="Book Antiqua" w:hAnsi="Book Antiqua" w:cs="Helvetica"/>
          <w:sz w:val="24"/>
          <w:szCs w:val="24"/>
        </w:rPr>
        <w:t>B</w:t>
      </w:r>
    </w:p>
    <w:p w14:paraId="74633EC0" w14:textId="38F47ADE" w:rsidR="006109E4" w:rsidRPr="00983ED6" w:rsidRDefault="006109E4" w:rsidP="00347522">
      <w:pPr>
        <w:shd w:val="clear" w:color="auto" w:fill="FFFFFF"/>
        <w:adjustRightInd w:val="0"/>
        <w:snapToGrid w:val="0"/>
        <w:spacing w:line="360" w:lineRule="auto"/>
        <w:ind w:firstLineChars="0" w:firstLine="0"/>
        <w:jc w:val="both"/>
        <w:rPr>
          <w:rFonts w:ascii="Book Antiqua" w:hAnsi="Book Antiqua" w:cs="Helvetica"/>
          <w:sz w:val="24"/>
          <w:szCs w:val="24"/>
        </w:rPr>
      </w:pPr>
      <w:r w:rsidRPr="00983ED6">
        <w:rPr>
          <w:rFonts w:ascii="Book Antiqua" w:hAnsi="Book Antiqua" w:cs="Helvetica"/>
          <w:sz w:val="24"/>
          <w:szCs w:val="24"/>
        </w:rPr>
        <w:t xml:space="preserve">Grade C (Good): </w:t>
      </w:r>
      <w:r w:rsidR="00D62D85" w:rsidRPr="00983ED6">
        <w:rPr>
          <w:rFonts w:ascii="Book Antiqua" w:hAnsi="Book Antiqua" w:cs="Helvetica"/>
          <w:sz w:val="24"/>
          <w:szCs w:val="24"/>
        </w:rPr>
        <w:t>C, C</w:t>
      </w:r>
    </w:p>
    <w:p w14:paraId="1E6B4A02" w14:textId="77777777" w:rsidR="006109E4" w:rsidRPr="00983ED6" w:rsidRDefault="006109E4" w:rsidP="00347522">
      <w:pPr>
        <w:shd w:val="clear" w:color="auto" w:fill="FFFFFF"/>
        <w:adjustRightInd w:val="0"/>
        <w:snapToGrid w:val="0"/>
        <w:spacing w:line="360" w:lineRule="auto"/>
        <w:ind w:firstLineChars="0" w:firstLine="0"/>
        <w:jc w:val="both"/>
        <w:rPr>
          <w:rFonts w:ascii="Book Antiqua" w:hAnsi="Book Antiqua" w:cs="Helvetica"/>
          <w:sz w:val="24"/>
          <w:szCs w:val="24"/>
        </w:rPr>
      </w:pPr>
      <w:r w:rsidRPr="00983ED6">
        <w:rPr>
          <w:rFonts w:ascii="Book Antiqua" w:hAnsi="Book Antiqua" w:cs="Helvetica"/>
          <w:sz w:val="24"/>
          <w:szCs w:val="24"/>
        </w:rPr>
        <w:t xml:space="preserve">Grade D (Fair): </w:t>
      </w:r>
      <w:r w:rsidRPr="00983ED6">
        <w:rPr>
          <w:rFonts w:ascii="Book Antiqua" w:hAnsi="Book Antiqua" w:cs="Helvetica" w:hint="eastAsia"/>
          <w:sz w:val="24"/>
          <w:szCs w:val="24"/>
        </w:rPr>
        <w:t>0</w:t>
      </w:r>
    </w:p>
    <w:p w14:paraId="1502E4C1" w14:textId="232C3FC8" w:rsidR="0065165A" w:rsidRDefault="006109E4" w:rsidP="00983ED6">
      <w:pPr>
        <w:adjustRightInd w:val="0"/>
        <w:snapToGrid w:val="0"/>
        <w:spacing w:line="360" w:lineRule="auto"/>
        <w:ind w:firstLineChars="0" w:firstLine="0"/>
        <w:jc w:val="both"/>
        <w:rPr>
          <w:rFonts w:ascii="Book Antiqua" w:hAnsi="Book Antiqua" w:cs="Helvetica"/>
          <w:sz w:val="24"/>
          <w:szCs w:val="24"/>
        </w:rPr>
      </w:pPr>
      <w:r w:rsidRPr="00983ED6">
        <w:rPr>
          <w:rFonts w:ascii="Book Antiqua" w:hAnsi="Book Antiqua" w:cs="Helvetica"/>
          <w:sz w:val="24"/>
          <w:szCs w:val="24"/>
        </w:rPr>
        <w:t xml:space="preserve">Grade E (Poor): </w:t>
      </w:r>
      <w:r w:rsidRPr="00983ED6">
        <w:rPr>
          <w:rFonts w:ascii="Book Antiqua" w:hAnsi="Book Antiqua" w:cs="Helvetica" w:hint="eastAsia"/>
          <w:sz w:val="24"/>
          <w:szCs w:val="24"/>
        </w:rPr>
        <w:t>0</w:t>
      </w:r>
      <w:bookmarkEnd w:id="140"/>
      <w:bookmarkEnd w:id="141"/>
    </w:p>
    <w:p w14:paraId="7397A0AA" w14:textId="77777777" w:rsidR="0065165A" w:rsidRDefault="0065165A">
      <w:pPr>
        <w:spacing w:line="240" w:lineRule="auto"/>
        <w:ind w:firstLineChars="0" w:firstLine="0"/>
        <w:rPr>
          <w:rFonts w:ascii="Book Antiqua" w:hAnsi="Book Antiqua" w:cs="Helvetica"/>
          <w:sz w:val="24"/>
          <w:szCs w:val="24"/>
        </w:rPr>
      </w:pPr>
      <w:r>
        <w:rPr>
          <w:rFonts w:ascii="Book Antiqua" w:hAnsi="Book Antiqua" w:cs="Helvetica"/>
          <w:sz w:val="24"/>
          <w:szCs w:val="24"/>
        </w:rPr>
        <w:br w:type="page"/>
      </w:r>
    </w:p>
    <w:bookmarkEnd w:id="138"/>
    <w:bookmarkEnd w:id="139"/>
    <w:p w14:paraId="392FD01F" w14:textId="7A4FFE9D" w:rsidR="0060495C" w:rsidRPr="00D27550" w:rsidRDefault="0060495C" w:rsidP="004A7A2A">
      <w:pPr>
        <w:pStyle w:val="Domynie"/>
        <w:tabs>
          <w:tab w:val="left" w:pos="0"/>
          <w:tab w:val="left" w:pos="360"/>
        </w:tabs>
        <w:snapToGrid w:val="0"/>
        <w:spacing w:line="360" w:lineRule="auto"/>
        <w:ind w:firstLine="0"/>
        <w:jc w:val="both"/>
        <w:rPr>
          <w:rFonts w:ascii="Book Antiqua" w:hAnsi="Book Antiqua" w:cs="Times New Roman"/>
          <w:sz w:val="24"/>
          <w:szCs w:val="24"/>
          <w:lang w:val="en-US" w:eastAsia="pl-PL"/>
        </w:rPr>
      </w:pPr>
      <w:r w:rsidRPr="00D27550">
        <w:rPr>
          <w:rFonts w:ascii="Book Antiqua" w:hAnsi="Book Antiqua" w:cs="Times New Roman"/>
          <w:b/>
          <w:noProof/>
          <w:sz w:val="24"/>
          <w:szCs w:val="24"/>
          <w:lang w:val="en-US" w:eastAsia="zh-CN"/>
        </w:rPr>
        <w:lastRenderedPageBreak/>
        <w:drawing>
          <wp:inline distT="0" distB="0" distL="0" distR="0" wp14:anchorId="69E7C691" wp14:editId="10F9E8CF">
            <wp:extent cx="5579110" cy="6399530"/>
            <wp:effectExtent l="0" t="0" r="2540" b="1270"/>
            <wp:docPr id="6" name="Obraz 6" descr="C:\Users\user\Desktop\WJG after revision, july, 2018\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JG after revision, july, 2018\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110" cy="6399530"/>
                    </a:xfrm>
                    <a:prstGeom prst="rect">
                      <a:avLst/>
                    </a:prstGeom>
                    <a:noFill/>
                    <a:ln>
                      <a:noFill/>
                    </a:ln>
                  </pic:spPr>
                </pic:pic>
              </a:graphicData>
            </a:graphic>
          </wp:inline>
        </w:drawing>
      </w:r>
    </w:p>
    <w:p w14:paraId="2D06594D" w14:textId="75764CF8" w:rsidR="00D559A1" w:rsidRPr="004A7A2A" w:rsidRDefault="00D559A1" w:rsidP="004A7A2A">
      <w:pPr>
        <w:adjustRightInd w:val="0"/>
        <w:snapToGrid w:val="0"/>
        <w:spacing w:line="360" w:lineRule="auto"/>
        <w:ind w:firstLineChars="0" w:firstLine="0"/>
        <w:jc w:val="both"/>
        <w:rPr>
          <w:rFonts w:ascii="Book Antiqua" w:hAnsi="Book Antiqua" w:cs="Times New Roman"/>
          <w:sz w:val="24"/>
          <w:szCs w:val="24"/>
          <w:lang w:val="en-US" w:eastAsia="pl-PL"/>
        </w:rPr>
      </w:pPr>
      <w:r w:rsidRPr="00D27550">
        <w:rPr>
          <w:rFonts w:ascii="Book Antiqua" w:hAnsi="Book Antiqua" w:cs="Times New Roman"/>
          <w:b/>
          <w:bCs/>
          <w:sz w:val="24"/>
          <w:szCs w:val="24"/>
          <w:lang w:val="en-US" w:eastAsia="pl-PL"/>
        </w:rPr>
        <w:t>Figu</w:t>
      </w:r>
      <w:r w:rsidRPr="007E40DB">
        <w:rPr>
          <w:rFonts w:ascii="Book Antiqua" w:hAnsi="Book Antiqua" w:cs="Times New Roman"/>
          <w:b/>
          <w:bCs/>
          <w:sz w:val="24"/>
          <w:szCs w:val="24"/>
          <w:lang w:val="en-US" w:eastAsia="pl-PL"/>
        </w:rPr>
        <w:t xml:space="preserve">re </w:t>
      </w:r>
      <w:r w:rsidRPr="007E40DB">
        <w:rPr>
          <w:rFonts w:ascii="Book Antiqua" w:hAnsi="Book Antiqua" w:cs="Times New Roman"/>
          <w:b/>
          <w:sz w:val="24"/>
          <w:szCs w:val="24"/>
          <w:lang w:val="en-US" w:eastAsia="pl-PL"/>
        </w:rPr>
        <w:t>1</w:t>
      </w:r>
      <w:bookmarkStart w:id="142" w:name="OLE_LINK17"/>
      <w:bookmarkStart w:id="143" w:name="OLE_LINK18"/>
      <w:r w:rsidRPr="004A7A2A">
        <w:rPr>
          <w:rFonts w:ascii="Book Antiqua" w:hAnsi="Book Antiqua" w:cs="Times New Roman"/>
          <w:sz w:val="24"/>
          <w:szCs w:val="24"/>
          <w:lang w:val="en-US" w:eastAsia="pl-PL"/>
        </w:rPr>
        <w:t xml:space="preserve"> </w:t>
      </w:r>
      <w:r w:rsidRPr="004A7A2A">
        <w:rPr>
          <w:rFonts w:ascii="Book Antiqua" w:hAnsi="Book Antiqua" w:cs="Times New Roman"/>
          <w:b/>
          <w:bCs/>
          <w:sz w:val="24"/>
          <w:szCs w:val="24"/>
          <w:lang w:val="en-US" w:eastAsia="pl-PL"/>
        </w:rPr>
        <w:t>Immunohistochemical</w:t>
      </w:r>
      <w:bookmarkEnd w:id="142"/>
      <w:bookmarkEnd w:id="143"/>
      <w:r w:rsidR="007C647B" w:rsidRPr="004A7A2A">
        <w:rPr>
          <w:rFonts w:ascii="Book Antiqua" w:hAnsi="Book Antiqua" w:cs="Times New Roman"/>
          <w:b/>
          <w:bCs/>
          <w:sz w:val="24"/>
          <w:szCs w:val="24"/>
          <w:lang w:val="en-US" w:eastAsia="pl-PL"/>
        </w:rPr>
        <w:t xml:space="preserve"> </w:t>
      </w:r>
      <w:r w:rsidRPr="004A7A2A">
        <w:rPr>
          <w:rFonts w:ascii="Book Antiqua" w:hAnsi="Book Antiqua" w:cs="Times New Roman"/>
          <w:b/>
          <w:bCs/>
          <w:sz w:val="24"/>
          <w:szCs w:val="24"/>
          <w:lang w:val="en-US" w:eastAsia="pl-PL"/>
        </w:rPr>
        <w:t>illustrations of colorectal carcinoma</w:t>
      </w:r>
      <w:r w:rsidR="00314A39" w:rsidRPr="004A7A2A">
        <w:rPr>
          <w:rFonts w:ascii="Book Antiqua" w:hAnsi="Book Antiqua" w:cs="Times New Roman"/>
          <w:b/>
          <w:bCs/>
          <w:sz w:val="24"/>
          <w:szCs w:val="24"/>
          <w:lang w:val="en-US" w:eastAsia="pl-PL"/>
        </w:rPr>
        <w:t xml:space="preserve"> </w:t>
      </w:r>
      <w:r w:rsidRPr="004A7A2A">
        <w:rPr>
          <w:rFonts w:ascii="Book Antiqua" w:hAnsi="Book Antiqua" w:cs="Times New Roman"/>
          <w:b/>
          <w:bCs/>
          <w:sz w:val="24"/>
          <w:szCs w:val="24"/>
          <w:lang w:val="en-US" w:eastAsia="pl-PL"/>
        </w:rPr>
        <w:t xml:space="preserve">and control colon with </w:t>
      </w:r>
      <w:r w:rsidR="0065165A">
        <w:rPr>
          <w:rFonts w:ascii="Book Antiqua" w:hAnsi="Book Antiqua" w:cs="Times New Roman"/>
          <w:b/>
          <w:bCs/>
          <w:sz w:val="24"/>
          <w:szCs w:val="24"/>
          <w:lang w:val="en-US" w:eastAsia="pl-PL"/>
        </w:rPr>
        <w:t>mucin 1</w:t>
      </w:r>
      <w:r w:rsidR="0065165A" w:rsidRPr="004A7A2A">
        <w:rPr>
          <w:rFonts w:ascii="Book Antiqua" w:hAnsi="Book Antiqua" w:cs="Times New Roman"/>
          <w:b/>
          <w:bCs/>
          <w:sz w:val="24"/>
          <w:szCs w:val="24"/>
          <w:lang w:val="en-US" w:eastAsia="pl-PL"/>
        </w:rPr>
        <w:t xml:space="preserve"> </w:t>
      </w:r>
      <w:r w:rsidRPr="004A7A2A">
        <w:rPr>
          <w:rFonts w:ascii="Book Antiqua" w:hAnsi="Book Antiqua" w:cs="Times New Roman"/>
          <w:b/>
          <w:bCs/>
          <w:sz w:val="24"/>
          <w:szCs w:val="24"/>
          <w:lang w:val="en-US" w:eastAsia="pl-PL"/>
        </w:rPr>
        <w:t xml:space="preserve">and </w:t>
      </w:r>
      <w:r w:rsidR="0065165A">
        <w:rPr>
          <w:rFonts w:ascii="Book Antiqua" w:hAnsi="Book Antiqua" w:cs="Times New Roman"/>
          <w:b/>
          <w:bCs/>
          <w:sz w:val="24"/>
          <w:szCs w:val="24"/>
          <w:lang w:val="en-US" w:eastAsia="pl-PL"/>
        </w:rPr>
        <w:t>mucin 2</w:t>
      </w:r>
      <w:r w:rsidR="0065165A" w:rsidRPr="004A7A2A">
        <w:rPr>
          <w:rFonts w:ascii="Book Antiqua" w:hAnsi="Book Antiqua" w:cs="Times New Roman"/>
          <w:b/>
          <w:bCs/>
          <w:sz w:val="24"/>
          <w:szCs w:val="24"/>
          <w:lang w:val="en-US" w:eastAsia="pl-PL"/>
        </w:rPr>
        <w:t xml:space="preserve"> </w:t>
      </w:r>
      <w:r w:rsidRPr="004A7A2A">
        <w:rPr>
          <w:rFonts w:ascii="Book Antiqua" w:hAnsi="Book Antiqua" w:cs="Times New Roman"/>
          <w:b/>
          <w:bCs/>
          <w:sz w:val="24"/>
          <w:szCs w:val="24"/>
          <w:lang w:val="en-US" w:eastAsia="pl-PL"/>
        </w:rPr>
        <w:t xml:space="preserve">positive expression. </w:t>
      </w:r>
      <w:r w:rsidRPr="004A7A2A">
        <w:rPr>
          <w:rFonts w:ascii="Book Antiqua" w:hAnsi="Book Antiqua" w:cs="Times New Roman"/>
          <w:sz w:val="24"/>
          <w:szCs w:val="24"/>
          <w:lang w:val="en-US" w:eastAsia="pl-PL"/>
        </w:rPr>
        <w:t xml:space="preserve">A: </w:t>
      </w:r>
      <w:r w:rsidR="007C647B" w:rsidRPr="004A7A2A">
        <w:rPr>
          <w:rFonts w:ascii="Book Antiqua" w:hAnsi="Book Antiqua" w:cs="Times New Roman"/>
          <w:sz w:val="24"/>
          <w:szCs w:val="24"/>
          <w:lang w:val="en-US" w:eastAsia="pl-PL"/>
        </w:rPr>
        <w:t>R</w:t>
      </w:r>
      <w:r w:rsidRPr="004A7A2A">
        <w:rPr>
          <w:rFonts w:ascii="Book Antiqua" w:hAnsi="Book Antiqua" w:cs="Times New Roman"/>
          <w:sz w:val="24"/>
          <w:szCs w:val="24"/>
          <w:lang w:val="en-US" w:eastAsia="pl-PL"/>
        </w:rPr>
        <w:t xml:space="preserve">epresentative IHC expression of MUC1 in luminal surface epithelium (arrow) of tumor-changed colon crypt; </w:t>
      </w:r>
      <w:r w:rsidRPr="004A7A2A">
        <w:rPr>
          <w:rFonts w:ascii="Book Antiqua" w:hAnsi="Book Antiqua" w:cs="Times New Roman"/>
          <w:color w:val="000000" w:themeColor="text1"/>
          <w:sz w:val="24"/>
          <w:szCs w:val="24"/>
          <w:lang w:val="en-US" w:eastAsia="pl-PL"/>
        </w:rPr>
        <w:t xml:space="preserve">B: </w:t>
      </w:r>
      <w:r w:rsidR="007C647B" w:rsidRPr="004A7A2A">
        <w:rPr>
          <w:rFonts w:ascii="Book Antiqua" w:hAnsi="Book Antiqua" w:cs="Times New Roman"/>
          <w:color w:val="000000" w:themeColor="text1"/>
          <w:sz w:val="24"/>
          <w:szCs w:val="24"/>
          <w:lang w:val="en-US" w:eastAsia="pl-PL"/>
        </w:rPr>
        <w:t>M</w:t>
      </w:r>
      <w:r w:rsidRPr="004A7A2A">
        <w:rPr>
          <w:rFonts w:ascii="Book Antiqua" w:hAnsi="Book Antiqua" w:cs="Times New Roman"/>
          <w:color w:val="000000" w:themeColor="text1"/>
          <w:sz w:val="24"/>
          <w:szCs w:val="24"/>
          <w:lang w:val="en-US" w:eastAsia="pl-PL"/>
        </w:rPr>
        <w:t xml:space="preserve">embranous and extracellular pattern (arrow) of MUC1 expression in </w:t>
      </w:r>
      <w:r w:rsidRPr="004A7A2A">
        <w:rPr>
          <w:rFonts w:ascii="Book Antiqua" w:hAnsi="Book Antiqua" w:cs="Times New Roman"/>
          <w:color w:val="000000" w:themeColor="text1"/>
          <w:sz w:val="24"/>
          <w:szCs w:val="24"/>
          <w:lang w:val="en-US"/>
        </w:rPr>
        <w:t>neoplastic cells lining the glandular structures of CRC</w:t>
      </w:r>
      <w:r w:rsidRPr="004A7A2A">
        <w:rPr>
          <w:rFonts w:ascii="Book Antiqua" w:hAnsi="Book Antiqua" w:cs="Times New Roman"/>
          <w:color w:val="000000" w:themeColor="text1"/>
          <w:sz w:val="24"/>
          <w:szCs w:val="24"/>
          <w:lang w:val="en-US" w:eastAsia="pl-PL"/>
        </w:rPr>
        <w:t xml:space="preserve">; C: </w:t>
      </w:r>
      <w:r w:rsidR="007C647B" w:rsidRPr="004A7A2A">
        <w:rPr>
          <w:rFonts w:ascii="Book Antiqua" w:hAnsi="Book Antiqua" w:cs="Times New Roman"/>
          <w:color w:val="000000" w:themeColor="text1"/>
          <w:sz w:val="24"/>
          <w:szCs w:val="24"/>
          <w:lang w:val="en-US" w:eastAsia="pl-PL"/>
        </w:rPr>
        <w:t>R</w:t>
      </w:r>
      <w:r w:rsidRPr="004A7A2A">
        <w:rPr>
          <w:rFonts w:ascii="Book Antiqua" w:hAnsi="Book Antiqua" w:cs="Times New Roman"/>
          <w:color w:val="000000" w:themeColor="text1"/>
          <w:sz w:val="24"/>
          <w:szCs w:val="24"/>
          <w:lang w:val="en-US" w:eastAsia="pl-PL"/>
        </w:rPr>
        <w:t xml:space="preserve">epresentative image of MUC1 membranous localization in normal colon crypts; D: </w:t>
      </w:r>
      <w:r w:rsidR="007C647B" w:rsidRPr="004A7A2A">
        <w:rPr>
          <w:rFonts w:ascii="Book Antiqua" w:hAnsi="Book Antiqua" w:cs="Times New Roman"/>
          <w:color w:val="000000" w:themeColor="text1"/>
          <w:sz w:val="24"/>
          <w:szCs w:val="24"/>
          <w:lang w:val="en-US" w:eastAsia="pl-PL"/>
        </w:rPr>
        <w:t>C</w:t>
      </w:r>
      <w:r w:rsidRPr="004A7A2A">
        <w:rPr>
          <w:rFonts w:ascii="Book Antiqua" w:hAnsi="Book Antiqua" w:cs="Times New Roman"/>
          <w:color w:val="000000" w:themeColor="text1"/>
          <w:sz w:val="24"/>
          <w:szCs w:val="24"/>
          <w:lang w:val="en-US" w:eastAsia="pl-PL"/>
        </w:rPr>
        <w:t xml:space="preserve">ytoplasmic expression of MUC2 in scattered epithelial cells of the tumor-changed colon crypt (arrow); E: IHC </w:t>
      </w:r>
      <w:r w:rsidRPr="004A7A2A">
        <w:rPr>
          <w:rFonts w:ascii="Book Antiqua" w:hAnsi="Book Antiqua" w:cs="Times New Roman"/>
          <w:color w:val="000000" w:themeColor="text1"/>
          <w:sz w:val="24"/>
          <w:szCs w:val="24"/>
          <w:lang w:val="en-US"/>
        </w:rPr>
        <w:t xml:space="preserve">intense reaction of </w:t>
      </w:r>
      <w:r w:rsidRPr="004A7A2A">
        <w:rPr>
          <w:rFonts w:ascii="Book Antiqua" w:hAnsi="Book Antiqua" w:cs="Times New Roman"/>
          <w:color w:val="000000" w:themeColor="text1"/>
          <w:sz w:val="24"/>
          <w:szCs w:val="24"/>
          <w:lang w:val="en-US" w:eastAsia="pl-PL"/>
        </w:rPr>
        <w:t xml:space="preserve">MUC2 expression </w:t>
      </w:r>
      <w:r w:rsidRPr="004A7A2A">
        <w:rPr>
          <w:rFonts w:ascii="Book Antiqua" w:hAnsi="Book Antiqua" w:cs="Times New Roman"/>
          <w:color w:val="000000" w:themeColor="text1"/>
          <w:sz w:val="24"/>
          <w:szCs w:val="24"/>
          <w:lang w:val="en-US"/>
        </w:rPr>
        <w:t xml:space="preserve">in the cytoplasm of </w:t>
      </w:r>
      <w:r w:rsidRPr="004A7A2A">
        <w:rPr>
          <w:rFonts w:ascii="Book Antiqua" w:hAnsi="Book Antiqua" w:cs="Times New Roman"/>
          <w:color w:val="000000" w:themeColor="text1"/>
          <w:sz w:val="24"/>
          <w:szCs w:val="24"/>
          <w:lang w:val="en-US"/>
        </w:rPr>
        <w:lastRenderedPageBreak/>
        <w:t xml:space="preserve">numerous cancer cells and/or localized </w:t>
      </w:r>
      <w:r w:rsidRPr="004A7A2A">
        <w:rPr>
          <w:rFonts w:ascii="Book Antiqua" w:hAnsi="Book Antiqua" w:cs="Times New Roman"/>
          <w:color w:val="000000" w:themeColor="text1"/>
          <w:sz w:val="24"/>
          <w:szCs w:val="24"/>
          <w:lang w:val="en-US" w:eastAsia="pl-PL"/>
        </w:rPr>
        <w:t xml:space="preserve">in the lumen of the colon crypts (arrow); F: </w:t>
      </w:r>
      <w:r w:rsidR="007C647B" w:rsidRPr="004A7A2A">
        <w:rPr>
          <w:rFonts w:ascii="Book Antiqua" w:hAnsi="Book Antiqua" w:cs="Times New Roman"/>
          <w:color w:val="000000" w:themeColor="text1"/>
          <w:sz w:val="24"/>
          <w:szCs w:val="24"/>
          <w:lang w:val="en-US" w:eastAsia="pl-PL"/>
        </w:rPr>
        <w:t>C</w:t>
      </w:r>
      <w:r w:rsidRPr="004A7A2A">
        <w:rPr>
          <w:rFonts w:ascii="Book Antiqua" w:hAnsi="Book Antiqua" w:cs="Times New Roman"/>
          <w:color w:val="000000" w:themeColor="text1"/>
          <w:sz w:val="24"/>
          <w:szCs w:val="24"/>
          <w:lang w:val="en-US" w:eastAsia="pl-PL"/>
        </w:rPr>
        <w:t xml:space="preserve">ytoplasmic expression of MUC2 in majority of goblet cells in normal colon epithelium. Sections were counterstained with hematoxylin. Objective </w:t>
      </w:r>
      <w:r w:rsidR="007C647B" w:rsidRPr="004A7A2A">
        <w:rPr>
          <w:rFonts w:ascii="Book Antiqua" w:hAnsi="Book Antiqua" w:cs="Times New Roman"/>
          <w:color w:val="000000" w:themeColor="text1"/>
          <w:sz w:val="24"/>
          <w:szCs w:val="24"/>
          <w:lang w:val="en-US" w:eastAsia="pl-PL"/>
        </w:rPr>
        <w:t>× 40</w:t>
      </w:r>
      <w:r w:rsidRPr="004A7A2A">
        <w:rPr>
          <w:rFonts w:ascii="Book Antiqua" w:hAnsi="Book Antiqua" w:cs="Times New Roman"/>
          <w:color w:val="000000" w:themeColor="text1"/>
          <w:sz w:val="24"/>
          <w:szCs w:val="24"/>
          <w:lang w:val="en-US" w:eastAsia="pl-PL"/>
        </w:rPr>
        <w:t>.</w:t>
      </w:r>
      <w:r w:rsidR="007C647B" w:rsidRPr="004A7A2A">
        <w:rPr>
          <w:rFonts w:ascii="Book Antiqua" w:hAnsi="Book Antiqua" w:cs="Times New Roman"/>
          <w:color w:val="000000" w:themeColor="text1"/>
          <w:sz w:val="24"/>
          <w:szCs w:val="24"/>
          <w:lang w:val="en-US" w:eastAsia="pl-PL"/>
        </w:rPr>
        <w:t xml:space="preserve"> </w:t>
      </w:r>
      <w:bookmarkStart w:id="144" w:name="OLE_LINK30"/>
      <w:bookmarkStart w:id="145" w:name="OLE_LINK31"/>
      <w:r w:rsidR="0065165A">
        <w:rPr>
          <w:rFonts w:ascii="Book Antiqua" w:hAnsi="Book Antiqua" w:cs="Times New Roman"/>
          <w:color w:val="000000" w:themeColor="text1"/>
          <w:sz w:val="24"/>
          <w:szCs w:val="24"/>
          <w:lang w:val="en-US" w:eastAsia="pl-PL"/>
        </w:rPr>
        <w:t xml:space="preserve">MUC1: Mucin 1; MUC2: Mucin 2; </w:t>
      </w:r>
      <w:r w:rsidR="007C647B" w:rsidRPr="004A7A2A">
        <w:rPr>
          <w:rFonts w:ascii="Book Antiqua" w:hAnsi="Book Antiqua" w:cs="Times New Roman"/>
          <w:color w:val="000000" w:themeColor="text1"/>
          <w:sz w:val="24"/>
          <w:szCs w:val="24"/>
          <w:lang w:val="en-US" w:eastAsia="pl-PL"/>
        </w:rPr>
        <w:t>IHC: Immunoh</w:t>
      </w:r>
      <w:r w:rsidR="007C647B" w:rsidRPr="004A7A2A">
        <w:rPr>
          <w:rFonts w:ascii="Book Antiqua" w:hAnsi="Book Antiqua" w:cs="Times New Roman"/>
          <w:sz w:val="24"/>
          <w:szCs w:val="24"/>
          <w:lang w:val="en-US" w:eastAsia="pl-PL"/>
        </w:rPr>
        <w:t xml:space="preserve">istochemical; CRC: </w:t>
      </w:r>
      <w:r w:rsidR="007C647B" w:rsidRPr="004A7A2A">
        <w:rPr>
          <w:rFonts w:ascii="Book Antiqua" w:hAnsi="Book Antiqua" w:cs="Times New Roman"/>
          <w:color w:val="000000" w:themeColor="text1"/>
          <w:sz w:val="24"/>
          <w:szCs w:val="24"/>
          <w:lang w:val="en-US"/>
        </w:rPr>
        <w:t>Colorectal cancer.</w:t>
      </w:r>
    </w:p>
    <w:bookmarkEnd w:id="144"/>
    <w:bookmarkEnd w:id="145"/>
    <w:p w14:paraId="026395E1" w14:textId="77777777" w:rsidR="005A0C3B" w:rsidRPr="004A7A2A" w:rsidRDefault="005A0C3B" w:rsidP="004A7A2A">
      <w:pPr>
        <w:adjustRightInd w:val="0"/>
        <w:snapToGrid w:val="0"/>
        <w:spacing w:line="360" w:lineRule="auto"/>
        <w:ind w:firstLineChars="0" w:firstLine="0"/>
        <w:jc w:val="both"/>
        <w:rPr>
          <w:rFonts w:ascii="Book Antiqua" w:hAnsi="Book Antiqua" w:cs="Times New Roman"/>
          <w:sz w:val="24"/>
          <w:szCs w:val="24"/>
          <w:lang w:val="en-US" w:eastAsia="pl-PL"/>
        </w:rPr>
      </w:pPr>
    </w:p>
    <w:p w14:paraId="70AA81C5" w14:textId="77777777" w:rsidR="00E654E7" w:rsidRPr="004A7A2A" w:rsidRDefault="00E654E7" w:rsidP="004A7A2A">
      <w:pPr>
        <w:adjustRightInd w:val="0"/>
        <w:snapToGrid w:val="0"/>
        <w:spacing w:line="360" w:lineRule="auto"/>
        <w:ind w:firstLineChars="0" w:firstLine="0"/>
        <w:jc w:val="both"/>
        <w:rPr>
          <w:rFonts w:ascii="Book Antiqua" w:hAnsi="Book Antiqua" w:cs="Times New Roman"/>
          <w:sz w:val="24"/>
          <w:szCs w:val="24"/>
          <w:lang w:val="en-US"/>
        </w:rPr>
      </w:pPr>
    </w:p>
    <w:p w14:paraId="35F0EDA1" w14:textId="37B01B80" w:rsidR="005A0C3B" w:rsidRPr="004A7A2A" w:rsidRDefault="005A0C3B" w:rsidP="004A7A2A">
      <w:pPr>
        <w:adjustRightInd w:val="0"/>
        <w:snapToGrid w:val="0"/>
        <w:spacing w:line="360" w:lineRule="auto"/>
        <w:ind w:firstLineChars="0" w:firstLine="0"/>
        <w:jc w:val="both"/>
        <w:rPr>
          <w:rFonts w:ascii="Book Antiqua" w:hAnsi="Book Antiqua" w:cs="Times New Roman"/>
          <w:sz w:val="24"/>
          <w:szCs w:val="24"/>
          <w:lang w:val="en-US"/>
        </w:rPr>
      </w:pPr>
      <w:r w:rsidRPr="004A7A2A">
        <w:rPr>
          <w:rFonts w:ascii="Book Antiqua" w:hAnsi="Book Antiqua" w:cs="Times New Roman"/>
          <w:sz w:val="24"/>
          <w:szCs w:val="24"/>
          <w:lang w:val="en-US"/>
        </w:rPr>
        <w:br w:type="page"/>
      </w:r>
    </w:p>
    <w:p w14:paraId="3B3F0159" w14:textId="797A4C7A" w:rsidR="005A0C3B" w:rsidRPr="00D27550" w:rsidRDefault="00257A5B"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noProof/>
          <w:sz w:val="24"/>
          <w:szCs w:val="24"/>
          <w:lang w:val="en-US" w:eastAsia="zh-CN"/>
        </w:rPr>
        <w:lastRenderedPageBreak/>
        <w:drawing>
          <wp:inline distT="0" distB="0" distL="0" distR="0" wp14:anchorId="75EC9EC5" wp14:editId="20CCC935">
            <wp:extent cx="5579110" cy="2920040"/>
            <wp:effectExtent l="0" t="0" r="2540" b="0"/>
            <wp:docPr id="7" name="Obraz 7" descr="C:\Users\user\Desktop\WJG after revision, july, 2018\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JG after revision, july, 2018\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110" cy="2920040"/>
                    </a:xfrm>
                    <a:prstGeom prst="rect">
                      <a:avLst/>
                    </a:prstGeom>
                    <a:noFill/>
                    <a:ln>
                      <a:noFill/>
                    </a:ln>
                  </pic:spPr>
                </pic:pic>
              </a:graphicData>
            </a:graphic>
          </wp:inline>
        </w:drawing>
      </w:r>
    </w:p>
    <w:p w14:paraId="4D8511FA" w14:textId="5C2AA640" w:rsidR="005A0C3B" w:rsidRPr="004A7A2A" w:rsidRDefault="005A0C3B" w:rsidP="004A7A2A">
      <w:pPr>
        <w:adjustRightInd w:val="0"/>
        <w:snapToGrid w:val="0"/>
        <w:spacing w:line="360" w:lineRule="auto"/>
        <w:ind w:firstLineChars="0" w:firstLine="0"/>
        <w:jc w:val="both"/>
        <w:rPr>
          <w:rFonts w:ascii="Book Antiqua" w:hAnsi="Book Antiqua" w:cs="Times New Roman"/>
          <w:color w:val="000000" w:themeColor="text1"/>
          <w:sz w:val="24"/>
          <w:szCs w:val="24"/>
          <w:lang w:val="en-US" w:eastAsia="pl-PL"/>
        </w:rPr>
      </w:pPr>
      <w:r w:rsidRPr="00D27550">
        <w:rPr>
          <w:rFonts w:ascii="Book Antiqua" w:hAnsi="Book Antiqua" w:cs="Times New Roman"/>
          <w:b/>
          <w:bCs/>
          <w:color w:val="000000" w:themeColor="text1"/>
          <w:sz w:val="24"/>
          <w:szCs w:val="24"/>
          <w:lang w:val="en-US" w:eastAsia="pl-PL"/>
        </w:rPr>
        <w:t>Figure 2</w:t>
      </w:r>
      <w:r w:rsidRPr="00D27550">
        <w:rPr>
          <w:rFonts w:ascii="Book Antiqua" w:hAnsi="Book Antiqua" w:cs="Times New Roman"/>
          <w:color w:val="000000" w:themeColor="text1"/>
          <w:sz w:val="24"/>
          <w:szCs w:val="24"/>
          <w:lang w:val="en-US" w:eastAsia="pl-PL"/>
        </w:rPr>
        <w:t xml:space="preserve"> </w:t>
      </w:r>
      <w:r w:rsidRPr="007E40DB">
        <w:rPr>
          <w:rFonts w:ascii="Book Antiqua" w:hAnsi="Book Antiqua" w:cs="Times New Roman"/>
          <w:b/>
          <w:bCs/>
          <w:color w:val="000000" w:themeColor="text1"/>
          <w:sz w:val="24"/>
          <w:szCs w:val="24"/>
          <w:lang w:val="en-US" w:eastAsia="pl-PL"/>
        </w:rPr>
        <w:t xml:space="preserve">Comparative immunoexpression of </w:t>
      </w:r>
      <w:r w:rsidR="0065165A">
        <w:rPr>
          <w:rFonts w:ascii="Book Antiqua" w:hAnsi="Book Antiqua" w:cs="Times New Roman"/>
          <w:b/>
          <w:bCs/>
          <w:color w:val="000000" w:themeColor="text1"/>
          <w:sz w:val="24"/>
          <w:szCs w:val="24"/>
          <w:lang w:val="en-US" w:eastAsia="pl-PL"/>
        </w:rPr>
        <w:t>mucin 1</w:t>
      </w:r>
      <w:r w:rsidR="0065165A" w:rsidRPr="007E40DB">
        <w:rPr>
          <w:rFonts w:ascii="Book Antiqua" w:hAnsi="Book Antiqua" w:cs="Times New Roman"/>
          <w:b/>
          <w:bCs/>
          <w:color w:val="000000" w:themeColor="text1"/>
          <w:sz w:val="24"/>
          <w:szCs w:val="24"/>
          <w:lang w:val="en-US" w:eastAsia="pl-PL"/>
        </w:rPr>
        <w:t xml:space="preserve"> </w:t>
      </w:r>
      <w:r w:rsidRPr="007E40DB">
        <w:rPr>
          <w:rFonts w:ascii="Book Antiqua" w:hAnsi="Book Antiqua" w:cs="Times New Roman"/>
          <w:b/>
          <w:bCs/>
          <w:color w:val="000000" w:themeColor="text1"/>
          <w:sz w:val="24"/>
          <w:szCs w:val="24"/>
          <w:lang w:val="en-US" w:eastAsia="pl-PL"/>
        </w:rPr>
        <w:t xml:space="preserve">and </w:t>
      </w:r>
      <w:r w:rsidR="0065165A">
        <w:rPr>
          <w:rFonts w:ascii="Book Antiqua" w:hAnsi="Book Antiqua" w:cs="Times New Roman"/>
          <w:b/>
          <w:bCs/>
          <w:color w:val="000000" w:themeColor="text1"/>
          <w:sz w:val="24"/>
          <w:szCs w:val="24"/>
          <w:lang w:val="en-US" w:eastAsia="pl-PL"/>
        </w:rPr>
        <w:t>mucin 2</w:t>
      </w:r>
      <w:r w:rsidR="0065165A" w:rsidRPr="007E40DB">
        <w:rPr>
          <w:rFonts w:ascii="Book Antiqua" w:hAnsi="Book Antiqua" w:cs="Times New Roman"/>
          <w:b/>
          <w:bCs/>
          <w:color w:val="000000" w:themeColor="text1"/>
          <w:sz w:val="24"/>
          <w:szCs w:val="24"/>
          <w:lang w:val="en-US" w:eastAsia="pl-PL"/>
        </w:rPr>
        <w:t xml:space="preserve"> </w:t>
      </w:r>
      <w:r w:rsidRPr="007E40DB">
        <w:rPr>
          <w:rFonts w:ascii="Book Antiqua" w:hAnsi="Book Antiqua" w:cs="Times New Roman"/>
          <w:b/>
          <w:bCs/>
          <w:color w:val="000000" w:themeColor="text1"/>
          <w:sz w:val="24"/>
          <w:szCs w:val="24"/>
          <w:lang w:val="en-US" w:eastAsia="pl-PL"/>
        </w:rPr>
        <w:t xml:space="preserve">in nonmucinous and mucinous subtypes of </w:t>
      </w:r>
      <w:bookmarkStart w:id="146" w:name="OLE_LINK28"/>
      <w:bookmarkStart w:id="147" w:name="OLE_LINK29"/>
      <w:r w:rsidRPr="007E40DB">
        <w:rPr>
          <w:rFonts w:ascii="Book Antiqua" w:hAnsi="Book Antiqua" w:cs="Times New Roman"/>
          <w:b/>
          <w:bCs/>
          <w:color w:val="000000" w:themeColor="text1"/>
          <w:sz w:val="24"/>
          <w:szCs w:val="24"/>
          <w:lang w:val="en-US" w:eastAsia="pl-PL"/>
        </w:rPr>
        <w:t>colorectal carcinoma</w:t>
      </w:r>
      <w:bookmarkEnd w:id="146"/>
      <w:bookmarkEnd w:id="147"/>
      <w:r w:rsidRPr="007E40DB">
        <w:rPr>
          <w:rFonts w:ascii="Book Antiqua" w:hAnsi="Book Antiqua" w:cs="Times New Roman"/>
          <w:b/>
          <w:bCs/>
          <w:color w:val="000000" w:themeColor="text1"/>
          <w:sz w:val="24"/>
          <w:szCs w:val="24"/>
          <w:lang w:val="en-US" w:eastAsia="pl-PL"/>
        </w:rPr>
        <w:t>.</w:t>
      </w:r>
      <w:r w:rsidRPr="007E40DB">
        <w:rPr>
          <w:rFonts w:ascii="Book Antiqua" w:hAnsi="Book Antiqua" w:cs="Times New Roman"/>
          <w:color w:val="000000" w:themeColor="text1"/>
          <w:sz w:val="24"/>
          <w:szCs w:val="24"/>
          <w:lang w:val="en-US" w:eastAsia="pl-PL"/>
        </w:rPr>
        <w:t xml:space="preserve"> </w:t>
      </w:r>
      <w:r w:rsidR="00AA1BBD" w:rsidRPr="004A7A2A">
        <w:rPr>
          <w:rFonts w:ascii="Book Antiqua" w:hAnsi="Book Antiqua" w:cs="Times New Roman"/>
          <w:color w:val="000000" w:themeColor="text1"/>
          <w:sz w:val="24"/>
          <w:szCs w:val="24"/>
          <w:lang w:val="en-US"/>
        </w:rPr>
        <w:t>M</w:t>
      </w:r>
      <w:r w:rsidR="007C647B" w:rsidRPr="004A7A2A">
        <w:rPr>
          <w:rFonts w:ascii="Book Antiqua" w:hAnsi="Book Antiqua" w:cs="Times New Roman"/>
          <w:color w:val="000000" w:themeColor="text1"/>
          <w:sz w:val="24"/>
          <w:szCs w:val="24"/>
          <w:lang w:val="en-US"/>
        </w:rPr>
        <w:t>ean ± SD.</w:t>
      </w:r>
      <w:r w:rsidR="007C647B" w:rsidRPr="004A7A2A">
        <w:rPr>
          <w:rFonts w:ascii="Book Antiqua" w:hAnsi="Book Antiqua" w:cs="Times New Roman"/>
          <w:color w:val="000000" w:themeColor="text1"/>
          <w:sz w:val="24"/>
          <w:szCs w:val="24"/>
          <w:vertAlign w:val="superscript"/>
          <w:lang w:val="en-US" w:eastAsia="pl-PL"/>
        </w:rPr>
        <w:t xml:space="preserve"> </w:t>
      </w:r>
      <w:r w:rsidR="00257A5B" w:rsidRPr="004A7A2A">
        <w:rPr>
          <w:rFonts w:ascii="Book Antiqua" w:hAnsi="Book Antiqua" w:cs="Times New Roman"/>
          <w:color w:val="000000" w:themeColor="text1"/>
          <w:sz w:val="24"/>
          <w:szCs w:val="24"/>
          <w:vertAlign w:val="superscript"/>
          <w:lang w:val="en-US" w:eastAsia="pl-PL"/>
        </w:rPr>
        <w:t>a</w:t>
      </w:r>
      <w:r w:rsidRPr="004A7A2A">
        <w:rPr>
          <w:rFonts w:ascii="Book Antiqua" w:hAnsi="Book Antiqua" w:cs="Times New Roman"/>
          <w:i/>
          <w:iCs/>
          <w:color w:val="000000" w:themeColor="text1"/>
          <w:sz w:val="24"/>
          <w:szCs w:val="24"/>
          <w:lang w:val="en-US" w:eastAsia="pl-PL"/>
        </w:rPr>
        <w:t>P</w:t>
      </w:r>
      <w:r w:rsidRPr="004A7A2A">
        <w:rPr>
          <w:rFonts w:ascii="Book Antiqua" w:hAnsi="Book Antiqua" w:cs="Times New Roman"/>
          <w:color w:val="000000" w:themeColor="text1"/>
          <w:sz w:val="24"/>
          <w:szCs w:val="24"/>
          <w:lang w:val="en-US" w:eastAsia="pl-PL"/>
        </w:rPr>
        <w:t xml:space="preserve"> (level of significance) value &lt; 0.05.</w:t>
      </w:r>
      <w:r w:rsidR="0065165A">
        <w:rPr>
          <w:rFonts w:ascii="Book Antiqua" w:hAnsi="Book Antiqua" w:cs="Times New Roman"/>
          <w:color w:val="000000" w:themeColor="text1"/>
          <w:sz w:val="24"/>
          <w:szCs w:val="24"/>
          <w:lang w:val="en-US" w:eastAsia="pl-PL"/>
        </w:rPr>
        <w:t xml:space="preserve"> </w:t>
      </w:r>
      <w:bookmarkStart w:id="148" w:name="OLE_LINK181"/>
      <w:bookmarkStart w:id="149" w:name="OLE_LINK182"/>
      <w:r w:rsidR="0065165A">
        <w:rPr>
          <w:rFonts w:ascii="Book Antiqua" w:hAnsi="Book Antiqua" w:cs="Times New Roman"/>
          <w:color w:val="000000" w:themeColor="text1"/>
          <w:sz w:val="24"/>
          <w:szCs w:val="24"/>
          <w:lang w:val="en-US" w:eastAsia="pl-PL"/>
        </w:rPr>
        <w:t>MUC1: Mucin 1; MUC2: Mucin 2.</w:t>
      </w:r>
      <w:bookmarkEnd w:id="148"/>
      <w:bookmarkEnd w:id="149"/>
    </w:p>
    <w:p w14:paraId="050F7F89" w14:textId="20CD841F" w:rsidR="00171F69" w:rsidRPr="004A7A2A" w:rsidRDefault="00171F69" w:rsidP="004A7A2A">
      <w:pPr>
        <w:adjustRightInd w:val="0"/>
        <w:snapToGrid w:val="0"/>
        <w:spacing w:line="360" w:lineRule="auto"/>
        <w:ind w:firstLineChars="0" w:firstLine="0"/>
        <w:jc w:val="both"/>
        <w:rPr>
          <w:rFonts w:ascii="Book Antiqua" w:hAnsi="Book Antiqua" w:cs="Times New Roman"/>
          <w:sz w:val="24"/>
          <w:szCs w:val="24"/>
          <w:lang w:val="en-US" w:eastAsia="pl-PL"/>
        </w:rPr>
      </w:pPr>
    </w:p>
    <w:p w14:paraId="2073B18A" w14:textId="6044104A" w:rsidR="00171F69" w:rsidRPr="004A7A2A" w:rsidRDefault="00171F69" w:rsidP="004A7A2A">
      <w:pPr>
        <w:adjustRightInd w:val="0"/>
        <w:snapToGrid w:val="0"/>
        <w:spacing w:line="360" w:lineRule="auto"/>
        <w:ind w:firstLineChars="0" w:firstLine="0"/>
        <w:jc w:val="both"/>
        <w:rPr>
          <w:rFonts w:ascii="Book Antiqua" w:hAnsi="Book Antiqua" w:cs="Times New Roman"/>
          <w:sz w:val="24"/>
          <w:szCs w:val="24"/>
          <w:lang w:val="en-US"/>
        </w:rPr>
      </w:pPr>
      <w:r w:rsidRPr="004A7A2A">
        <w:rPr>
          <w:rFonts w:ascii="Book Antiqua" w:hAnsi="Book Antiqua" w:cs="Times New Roman"/>
          <w:sz w:val="24"/>
          <w:szCs w:val="24"/>
          <w:lang w:val="en-US"/>
        </w:rPr>
        <w:br w:type="page"/>
      </w:r>
    </w:p>
    <w:p w14:paraId="64995695" w14:textId="2F17E020" w:rsidR="00257A5B" w:rsidRPr="00D27550" w:rsidRDefault="00257A5B"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noProof/>
          <w:sz w:val="24"/>
          <w:szCs w:val="24"/>
          <w:lang w:val="en-US" w:eastAsia="zh-CN"/>
        </w:rPr>
        <w:lastRenderedPageBreak/>
        <w:drawing>
          <wp:inline distT="0" distB="0" distL="0" distR="0" wp14:anchorId="4E0E7367" wp14:editId="7CB6146E">
            <wp:extent cx="6067425" cy="2711784"/>
            <wp:effectExtent l="0" t="0" r="0" b="0"/>
            <wp:docPr id="9" name="Obraz 9" descr="C:\Users\user\Desktop\WJG after revision, july, 2018\Figure 3.after corre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JG after revision, july, 2018\Figure 3.after correction.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4322" cy="2714866"/>
                    </a:xfrm>
                    <a:prstGeom prst="rect">
                      <a:avLst/>
                    </a:prstGeom>
                    <a:noFill/>
                    <a:ln>
                      <a:noFill/>
                    </a:ln>
                  </pic:spPr>
                </pic:pic>
              </a:graphicData>
            </a:graphic>
          </wp:inline>
        </w:drawing>
      </w:r>
    </w:p>
    <w:p w14:paraId="2E276E62" w14:textId="486BAE22" w:rsidR="00171F69" w:rsidRPr="004A7A2A" w:rsidRDefault="00171F69" w:rsidP="004A7A2A">
      <w:pPr>
        <w:adjustRightInd w:val="0"/>
        <w:snapToGrid w:val="0"/>
        <w:spacing w:line="360" w:lineRule="auto"/>
        <w:ind w:firstLineChars="0" w:firstLine="0"/>
        <w:jc w:val="both"/>
        <w:rPr>
          <w:rFonts w:ascii="Book Antiqua" w:hAnsi="Book Antiqua" w:cs="Times New Roman"/>
          <w:b/>
          <w:color w:val="000000" w:themeColor="text1"/>
          <w:sz w:val="24"/>
          <w:szCs w:val="24"/>
          <w:lang w:val="en-US"/>
        </w:rPr>
      </w:pPr>
      <w:r w:rsidRPr="00D27550">
        <w:rPr>
          <w:rFonts w:ascii="Book Antiqua" w:hAnsi="Book Antiqua" w:cs="Times New Roman"/>
          <w:b/>
          <w:color w:val="000000" w:themeColor="text1"/>
          <w:sz w:val="24"/>
          <w:szCs w:val="24"/>
          <w:lang w:val="en-US"/>
        </w:rPr>
        <w:t xml:space="preserve">Figure 3 Tissue </w:t>
      </w:r>
      <w:r w:rsidRPr="007E40DB">
        <w:rPr>
          <w:rStyle w:val="grame"/>
          <w:rFonts w:ascii="Book Antiqua" w:hAnsi="Book Antiqua" w:cs="Times New Roman"/>
          <w:b/>
          <w:color w:val="000000" w:themeColor="text1"/>
          <w:sz w:val="24"/>
          <w:szCs w:val="24"/>
          <w:lang w:val="en-US"/>
        </w:rPr>
        <w:t xml:space="preserve">expression of </w:t>
      </w:r>
      <w:r w:rsidR="0065165A">
        <w:rPr>
          <w:rStyle w:val="grame"/>
          <w:rFonts w:ascii="Book Antiqua" w:hAnsi="Book Antiqua" w:cs="Times New Roman"/>
          <w:b/>
          <w:color w:val="000000" w:themeColor="text1"/>
          <w:sz w:val="24"/>
          <w:szCs w:val="24"/>
          <w:lang w:val="en-US"/>
        </w:rPr>
        <w:t>mucin 1</w:t>
      </w:r>
      <w:r w:rsidR="0065165A" w:rsidRPr="007E40DB">
        <w:rPr>
          <w:rStyle w:val="grame"/>
          <w:rFonts w:ascii="Book Antiqua" w:hAnsi="Book Antiqua" w:cs="Times New Roman"/>
          <w:b/>
          <w:color w:val="000000" w:themeColor="text1"/>
          <w:sz w:val="24"/>
          <w:szCs w:val="24"/>
          <w:lang w:val="en-US"/>
        </w:rPr>
        <w:t xml:space="preserve"> </w:t>
      </w:r>
      <w:r w:rsidRPr="007E40DB">
        <w:rPr>
          <w:rStyle w:val="grame"/>
          <w:rFonts w:ascii="Book Antiqua" w:hAnsi="Book Antiqua" w:cs="Times New Roman"/>
          <w:b/>
          <w:color w:val="000000" w:themeColor="text1"/>
          <w:sz w:val="24"/>
          <w:szCs w:val="24"/>
          <w:lang w:val="en-US"/>
        </w:rPr>
        <w:t xml:space="preserve">and </w:t>
      </w:r>
      <w:r w:rsidR="0065165A">
        <w:rPr>
          <w:rStyle w:val="grame"/>
          <w:rFonts w:ascii="Book Antiqua" w:hAnsi="Book Antiqua" w:cs="Times New Roman"/>
          <w:b/>
          <w:color w:val="000000" w:themeColor="text1"/>
          <w:sz w:val="24"/>
          <w:szCs w:val="24"/>
          <w:lang w:val="en-US"/>
        </w:rPr>
        <w:t>mucin 2</w:t>
      </w:r>
      <w:r w:rsidR="0065165A" w:rsidRPr="007E40DB">
        <w:rPr>
          <w:rStyle w:val="grame"/>
          <w:rFonts w:ascii="Book Antiqua" w:hAnsi="Book Antiqua" w:cs="Times New Roman"/>
          <w:b/>
          <w:color w:val="000000" w:themeColor="text1"/>
          <w:sz w:val="24"/>
          <w:szCs w:val="24"/>
          <w:lang w:val="en-US"/>
        </w:rPr>
        <w:t xml:space="preserve"> </w:t>
      </w:r>
      <w:r w:rsidRPr="004A7A2A">
        <w:rPr>
          <w:rStyle w:val="grame"/>
          <w:rFonts w:ascii="Book Antiqua" w:hAnsi="Book Antiqua" w:cs="Times New Roman"/>
          <w:b/>
          <w:color w:val="000000" w:themeColor="text1"/>
          <w:sz w:val="24"/>
          <w:szCs w:val="24"/>
          <w:lang w:val="en-US"/>
        </w:rPr>
        <w:t xml:space="preserve">in </w:t>
      </w:r>
      <w:r w:rsidR="00AA1BBD" w:rsidRPr="004A7A2A">
        <w:rPr>
          <w:rFonts w:ascii="Book Antiqua" w:hAnsi="Book Antiqua" w:cs="Times New Roman"/>
          <w:b/>
          <w:bCs/>
          <w:color w:val="000000" w:themeColor="text1"/>
          <w:sz w:val="24"/>
          <w:szCs w:val="24"/>
          <w:lang w:val="en-US" w:eastAsia="pl-PL"/>
        </w:rPr>
        <w:t>colorectal carcinoma</w:t>
      </w:r>
      <w:r w:rsidRPr="004A7A2A">
        <w:rPr>
          <w:rStyle w:val="grame"/>
          <w:rFonts w:ascii="Book Antiqua" w:hAnsi="Book Antiqua" w:cs="Times New Roman"/>
          <w:b/>
          <w:color w:val="000000" w:themeColor="text1"/>
          <w:sz w:val="24"/>
          <w:szCs w:val="24"/>
          <w:lang w:val="en-US"/>
        </w:rPr>
        <w:t xml:space="preserve"> as related to </w:t>
      </w:r>
      <w:r w:rsidRPr="004A7A2A">
        <w:rPr>
          <w:rFonts w:ascii="Book Antiqua" w:hAnsi="Book Antiqua" w:cs="Times New Roman"/>
          <w:b/>
          <w:color w:val="000000" w:themeColor="text1"/>
          <w:sz w:val="24"/>
          <w:szCs w:val="24"/>
          <w:lang w:val="en-US"/>
        </w:rPr>
        <w:t xml:space="preserve">Dukes </w:t>
      </w:r>
      <w:r w:rsidRPr="004A7A2A">
        <w:rPr>
          <w:rStyle w:val="grame"/>
          <w:rFonts w:ascii="Book Antiqua" w:hAnsi="Book Antiqua" w:cs="Times New Roman"/>
          <w:b/>
          <w:color w:val="000000" w:themeColor="text1"/>
          <w:sz w:val="24"/>
          <w:szCs w:val="24"/>
          <w:lang w:val="en-US"/>
        </w:rPr>
        <w:t xml:space="preserve">and </w:t>
      </w:r>
      <w:r w:rsidRPr="004A7A2A">
        <w:rPr>
          <w:rFonts w:ascii="Book Antiqua" w:hAnsi="Book Antiqua" w:cs="Times New Roman"/>
          <w:b/>
          <w:color w:val="000000" w:themeColor="text1"/>
          <w:sz w:val="24"/>
          <w:szCs w:val="24"/>
          <w:lang w:val="en-US"/>
        </w:rPr>
        <w:t>Astler and Coller</w:t>
      </w:r>
      <w:r w:rsidR="00AA1BBD" w:rsidRPr="004A7A2A">
        <w:rPr>
          <w:rFonts w:ascii="Book Antiqua" w:hAnsi="Book Antiqua" w:cs="Times New Roman"/>
          <w:b/>
          <w:color w:val="000000" w:themeColor="text1"/>
          <w:sz w:val="24"/>
          <w:szCs w:val="24"/>
          <w:lang w:val="en-US"/>
        </w:rPr>
        <w:t xml:space="preserve"> </w:t>
      </w:r>
      <w:r w:rsidRPr="004A7A2A">
        <w:rPr>
          <w:rFonts w:ascii="Book Antiqua" w:hAnsi="Book Antiqua" w:cs="Times New Roman"/>
          <w:b/>
          <w:color w:val="000000" w:themeColor="text1"/>
          <w:sz w:val="24"/>
          <w:szCs w:val="24"/>
          <w:lang w:val="en-US"/>
        </w:rPr>
        <w:t xml:space="preserve">staging system. </w:t>
      </w:r>
      <w:r w:rsidR="00AA1BBD" w:rsidRPr="004A7A2A">
        <w:rPr>
          <w:rFonts w:ascii="Book Antiqua" w:hAnsi="Book Antiqua" w:cs="Times New Roman"/>
          <w:color w:val="000000" w:themeColor="text1"/>
          <w:sz w:val="24"/>
          <w:szCs w:val="24"/>
          <w:lang w:val="en-US"/>
        </w:rPr>
        <w:t>M</w:t>
      </w:r>
      <w:r w:rsidR="0039295C" w:rsidRPr="004A7A2A">
        <w:rPr>
          <w:rFonts w:ascii="Book Antiqua" w:hAnsi="Book Antiqua" w:cs="Times New Roman"/>
          <w:color w:val="000000" w:themeColor="text1"/>
          <w:sz w:val="24"/>
          <w:szCs w:val="24"/>
          <w:lang w:val="en-US"/>
        </w:rPr>
        <w:t>ean ± SD. B, C: Dukes staging system; B2, C2: Astler and Coller staging system.</w:t>
      </w:r>
      <w:r w:rsidR="0039295C" w:rsidRPr="004A7A2A">
        <w:rPr>
          <w:rFonts w:ascii="Book Antiqua" w:hAnsi="Book Antiqua" w:cs="Times New Roman"/>
          <w:color w:val="000000" w:themeColor="text1"/>
          <w:sz w:val="24"/>
          <w:szCs w:val="24"/>
          <w:vertAlign w:val="superscript"/>
          <w:lang w:val="en-US" w:eastAsia="pl-PL"/>
        </w:rPr>
        <w:t xml:space="preserve"> </w:t>
      </w:r>
      <w:r w:rsidR="00257A5B" w:rsidRPr="004A7A2A">
        <w:rPr>
          <w:rFonts w:ascii="Book Antiqua" w:hAnsi="Book Antiqua" w:cs="Times New Roman"/>
          <w:color w:val="000000" w:themeColor="text1"/>
          <w:sz w:val="24"/>
          <w:szCs w:val="24"/>
          <w:vertAlign w:val="superscript"/>
          <w:lang w:val="en-US" w:eastAsia="pl-PL"/>
        </w:rPr>
        <w:t>a</w:t>
      </w:r>
      <w:r w:rsidRPr="004A7A2A">
        <w:rPr>
          <w:rFonts w:ascii="Book Antiqua" w:hAnsi="Book Antiqua" w:cs="Times New Roman"/>
          <w:i/>
          <w:iCs/>
          <w:color w:val="000000" w:themeColor="text1"/>
          <w:sz w:val="24"/>
          <w:szCs w:val="24"/>
          <w:lang w:val="en-US" w:eastAsia="pl-PL"/>
        </w:rPr>
        <w:t>P</w:t>
      </w:r>
      <w:r w:rsidRPr="004A7A2A">
        <w:rPr>
          <w:rFonts w:ascii="Book Antiqua" w:hAnsi="Book Antiqua" w:cs="Times New Roman"/>
          <w:color w:val="000000" w:themeColor="text1"/>
          <w:sz w:val="24"/>
          <w:szCs w:val="24"/>
          <w:lang w:val="en-US" w:eastAsia="pl-PL"/>
        </w:rPr>
        <w:t xml:space="preserve"> (level of significance) value &lt; 0.05.</w:t>
      </w:r>
      <w:r w:rsidR="0065165A">
        <w:rPr>
          <w:rFonts w:ascii="Book Antiqua" w:hAnsi="Book Antiqua" w:cs="Times New Roman"/>
          <w:color w:val="000000" w:themeColor="text1"/>
          <w:sz w:val="24"/>
          <w:szCs w:val="24"/>
          <w:lang w:val="en-US" w:eastAsia="pl-PL"/>
        </w:rPr>
        <w:t xml:space="preserve"> </w:t>
      </w:r>
      <w:bookmarkStart w:id="150" w:name="OLE_LINK183"/>
      <w:bookmarkStart w:id="151" w:name="OLE_LINK184"/>
      <w:r w:rsidR="0065165A">
        <w:rPr>
          <w:rFonts w:ascii="Book Antiqua" w:hAnsi="Book Antiqua" w:cs="Times New Roman"/>
          <w:color w:val="000000" w:themeColor="text1"/>
          <w:sz w:val="24"/>
          <w:szCs w:val="24"/>
          <w:lang w:val="en-US" w:eastAsia="pl-PL"/>
        </w:rPr>
        <w:t>MUC1: Mucin 1; MUC2: Mucin 2.</w:t>
      </w:r>
      <w:bookmarkEnd w:id="150"/>
      <w:bookmarkEnd w:id="151"/>
    </w:p>
    <w:p w14:paraId="09ED139C" w14:textId="39C27C12" w:rsidR="00171F69" w:rsidRPr="004A7A2A" w:rsidRDefault="00171F69" w:rsidP="004A7A2A">
      <w:pPr>
        <w:adjustRightInd w:val="0"/>
        <w:snapToGrid w:val="0"/>
        <w:spacing w:line="360" w:lineRule="auto"/>
        <w:ind w:firstLineChars="0" w:firstLine="0"/>
        <w:jc w:val="both"/>
        <w:rPr>
          <w:rFonts w:ascii="Book Antiqua" w:hAnsi="Book Antiqua" w:cs="Times New Roman"/>
          <w:sz w:val="24"/>
          <w:szCs w:val="24"/>
          <w:lang w:val="en-US"/>
        </w:rPr>
      </w:pPr>
      <w:r w:rsidRPr="004A7A2A">
        <w:rPr>
          <w:rFonts w:ascii="Book Antiqua" w:hAnsi="Book Antiqua" w:cs="Times New Roman"/>
          <w:sz w:val="24"/>
          <w:szCs w:val="24"/>
          <w:lang w:val="en-US"/>
        </w:rPr>
        <w:br w:type="page"/>
      </w:r>
    </w:p>
    <w:p w14:paraId="6715F3BA" w14:textId="77777777" w:rsidR="007057E4" w:rsidRPr="00D27550" w:rsidRDefault="00A41870"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noProof/>
          <w:sz w:val="24"/>
          <w:szCs w:val="24"/>
          <w:lang w:val="en-US" w:eastAsia="zh-CN"/>
        </w:rPr>
        <w:lastRenderedPageBreak/>
        <w:drawing>
          <wp:inline distT="0" distB="0" distL="0" distR="0" wp14:anchorId="7E5D8B7F" wp14:editId="65BD896F">
            <wp:extent cx="6429375" cy="27813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9375" cy="2781300"/>
                    </a:xfrm>
                    <a:prstGeom prst="rect">
                      <a:avLst/>
                    </a:prstGeom>
                    <a:noFill/>
                    <a:ln>
                      <a:noFill/>
                    </a:ln>
                  </pic:spPr>
                </pic:pic>
              </a:graphicData>
            </a:graphic>
          </wp:inline>
        </w:drawing>
      </w:r>
    </w:p>
    <w:p w14:paraId="67E01577" w14:textId="268F0759" w:rsidR="00795090" w:rsidRPr="004A7A2A" w:rsidRDefault="00795090" w:rsidP="004A7A2A">
      <w:pPr>
        <w:adjustRightInd w:val="0"/>
        <w:snapToGrid w:val="0"/>
        <w:spacing w:line="360" w:lineRule="auto"/>
        <w:ind w:firstLineChars="0" w:firstLine="0"/>
        <w:jc w:val="both"/>
        <w:rPr>
          <w:rFonts w:ascii="Book Antiqua" w:hAnsi="Book Antiqua" w:cs="Times New Roman"/>
          <w:b/>
          <w:color w:val="000000" w:themeColor="text1"/>
          <w:sz w:val="24"/>
          <w:szCs w:val="24"/>
          <w:lang w:val="en-US"/>
        </w:rPr>
      </w:pPr>
      <w:r w:rsidRPr="00D27550">
        <w:rPr>
          <w:rFonts w:ascii="Book Antiqua" w:hAnsi="Book Antiqua" w:cs="Times New Roman"/>
          <w:b/>
          <w:bCs/>
          <w:color w:val="000000" w:themeColor="text1"/>
          <w:sz w:val="24"/>
          <w:szCs w:val="24"/>
          <w:lang w:val="en-US" w:eastAsia="pl-PL"/>
        </w:rPr>
        <w:t>Figure 4</w:t>
      </w:r>
      <w:r w:rsidRPr="00D27550">
        <w:rPr>
          <w:rFonts w:ascii="Book Antiqua" w:hAnsi="Book Antiqua" w:cs="Times New Roman"/>
          <w:color w:val="000000" w:themeColor="text1"/>
          <w:sz w:val="24"/>
          <w:szCs w:val="24"/>
          <w:lang w:val="en-US"/>
        </w:rPr>
        <w:t xml:space="preserve"> </w:t>
      </w:r>
      <w:r w:rsidRPr="007E40DB">
        <w:rPr>
          <w:rFonts w:ascii="Book Antiqua" w:hAnsi="Book Antiqua" w:cs="Times New Roman"/>
          <w:b/>
          <w:bCs/>
          <w:color w:val="000000" w:themeColor="text1"/>
          <w:sz w:val="24"/>
          <w:szCs w:val="24"/>
          <w:lang w:val="en-US"/>
        </w:rPr>
        <w:t xml:space="preserve">Kaplan-Meier survival curves for </w:t>
      </w:r>
      <w:r w:rsidR="003A7989" w:rsidRPr="007E40DB">
        <w:rPr>
          <w:rFonts w:ascii="Book Antiqua" w:hAnsi="Book Antiqua" w:cs="Times New Roman"/>
          <w:b/>
          <w:bCs/>
          <w:color w:val="000000" w:themeColor="text1"/>
          <w:sz w:val="24"/>
          <w:szCs w:val="24"/>
          <w:lang w:val="en-US" w:eastAsia="pl-PL"/>
        </w:rPr>
        <w:t>colorectal carcinoma</w:t>
      </w:r>
      <w:r w:rsidRPr="004A7A2A">
        <w:rPr>
          <w:rFonts w:ascii="Book Antiqua" w:hAnsi="Book Antiqua" w:cs="Times New Roman"/>
          <w:b/>
          <w:bCs/>
          <w:color w:val="000000" w:themeColor="text1"/>
          <w:sz w:val="24"/>
          <w:szCs w:val="24"/>
          <w:lang w:val="en-US"/>
        </w:rPr>
        <w:t xml:space="preserve"> patients, as related to tissue expression of </w:t>
      </w:r>
      <w:r w:rsidR="0065165A">
        <w:rPr>
          <w:rFonts w:ascii="Book Antiqua" w:hAnsi="Book Antiqua" w:cs="Times New Roman"/>
          <w:b/>
          <w:bCs/>
          <w:color w:val="000000" w:themeColor="text1"/>
          <w:sz w:val="24"/>
          <w:szCs w:val="24"/>
          <w:lang w:val="en-US"/>
        </w:rPr>
        <w:t>mucin 1</w:t>
      </w:r>
      <w:r w:rsidR="0065165A" w:rsidRPr="004A7A2A">
        <w:rPr>
          <w:rFonts w:ascii="Book Antiqua" w:hAnsi="Book Antiqua" w:cs="Times New Roman"/>
          <w:b/>
          <w:bCs/>
          <w:color w:val="000000" w:themeColor="text1"/>
          <w:sz w:val="24"/>
          <w:szCs w:val="24"/>
          <w:lang w:val="en-US"/>
        </w:rPr>
        <w:t xml:space="preserve"> </w:t>
      </w:r>
      <w:r w:rsidRPr="004A7A2A">
        <w:rPr>
          <w:rFonts w:ascii="Book Antiqua" w:hAnsi="Book Antiqua" w:cs="Times New Roman"/>
          <w:b/>
          <w:bCs/>
          <w:color w:val="000000" w:themeColor="text1"/>
          <w:sz w:val="24"/>
          <w:szCs w:val="24"/>
          <w:lang w:val="en-US"/>
        </w:rPr>
        <w:t xml:space="preserve">and </w:t>
      </w:r>
      <w:r w:rsidR="0065165A">
        <w:rPr>
          <w:rFonts w:ascii="Book Antiqua" w:hAnsi="Book Antiqua" w:cs="Times New Roman"/>
          <w:b/>
          <w:bCs/>
          <w:color w:val="000000" w:themeColor="text1"/>
          <w:sz w:val="24"/>
          <w:szCs w:val="24"/>
          <w:lang w:val="en-US"/>
        </w:rPr>
        <w:t>mucin 2</w:t>
      </w:r>
      <w:r w:rsidR="0065165A" w:rsidRPr="004A7A2A">
        <w:rPr>
          <w:rFonts w:ascii="Book Antiqua" w:hAnsi="Book Antiqua" w:cs="Times New Roman"/>
          <w:b/>
          <w:bCs/>
          <w:color w:val="000000" w:themeColor="text1"/>
          <w:sz w:val="24"/>
          <w:szCs w:val="24"/>
          <w:lang w:val="en-US"/>
        </w:rPr>
        <w:t xml:space="preserve"> </w:t>
      </w:r>
      <w:r w:rsidRPr="004A7A2A">
        <w:rPr>
          <w:rFonts w:ascii="Book Antiqua" w:hAnsi="Book Antiqua" w:cs="Times New Roman"/>
          <w:b/>
          <w:bCs/>
          <w:color w:val="000000" w:themeColor="text1"/>
          <w:sz w:val="24"/>
          <w:szCs w:val="24"/>
          <w:lang w:val="en-US"/>
        </w:rPr>
        <w:t>showing that expression of both mucins in tissue samples are not associated with survival time.</w:t>
      </w:r>
      <w:r w:rsidRPr="004A7A2A">
        <w:rPr>
          <w:rFonts w:ascii="Book Antiqua" w:hAnsi="Book Antiqua" w:cs="Times New Roman"/>
          <w:color w:val="000000" w:themeColor="text1"/>
          <w:sz w:val="24"/>
          <w:szCs w:val="24"/>
          <w:lang w:val="en-US"/>
        </w:rPr>
        <w:t xml:space="preserve"> </w:t>
      </w:r>
      <w:r w:rsidR="003A7989" w:rsidRPr="004A7A2A">
        <w:rPr>
          <w:rFonts w:ascii="Book Antiqua" w:hAnsi="Book Antiqua" w:cs="Times New Roman"/>
          <w:color w:val="000000" w:themeColor="text1"/>
          <w:sz w:val="24"/>
          <w:szCs w:val="24"/>
          <w:lang w:val="en-US"/>
        </w:rPr>
        <w:t xml:space="preserve">A: Kaplan Meier survival curve related to tissue expression of MUC1; B: Kaplan Meier survival curve related to tissue expression of MUC2. </w:t>
      </w:r>
      <w:r w:rsidRPr="004A7A2A">
        <w:rPr>
          <w:rFonts w:ascii="Book Antiqua" w:hAnsi="Book Antiqua" w:cs="Times New Roman"/>
          <w:color w:val="000000" w:themeColor="text1"/>
          <w:sz w:val="24"/>
          <w:szCs w:val="24"/>
          <w:lang w:val="en-US"/>
        </w:rPr>
        <w:t>1</w:t>
      </w:r>
      <w:r w:rsidR="00167D79" w:rsidRPr="004A7A2A">
        <w:rPr>
          <w:rFonts w:ascii="Book Antiqua" w:hAnsi="Book Antiqua" w:cs="Times New Roman"/>
          <w:color w:val="000000" w:themeColor="text1"/>
          <w:sz w:val="24"/>
          <w:szCs w:val="24"/>
          <w:lang w:val="en-US"/>
        </w:rPr>
        <w:t>:</w:t>
      </w:r>
      <w:r w:rsidRPr="004A7A2A">
        <w:rPr>
          <w:rFonts w:ascii="Book Antiqua" w:hAnsi="Book Antiqua" w:cs="Times New Roman"/>
          <w:color w:val="000000" w:themeColor="text1"/>
          <w:sz w:val="24"/>
          <w:szCs w:val="24"/>
          <w:lang w:val="en-US"/>
        </w:rPr>
        <w:t xml:space="preserve"> </w:t>
      </w:r>
      <w:r w:rsidR="00167D79" w:rsidRPr="004A7A2A">
        <w:rPr>
          <w:rFonts w:ascii="Book Antiqua" w:hAnsi="Book Antiqua" w:cs="Times New Roman"/>
          <w:color w:val="000000" w:themeColor="text1"/>
          <w:sz w:val="24"/>
          <w:szCs w:val="24"/>
          <w:lang w:val="en-US"/>
        </w:rPr>
        <w:t>U</w:t>
      </w:r>
      <w:r w:rsidRPr="004A7A2A">
        <w:rPr>
          <w:rFonts w:ascii="Book Antiqua" w:hAnsi="Book Antiqua" w:cs="Times New Roman"/>
          <w:color w:val="000000" w:themeColor="text1"/>
          <w:sz w:val="24"/>
          <w:szCs w:val="24"/>
          <w:lang w:val="en-US"/>
        </w:rPr>
        <w:t>nder mean tissue expression; 2</w:t>
      </w:r>
      <w:r w:rsidR="00167D79" w:rsidRPr="004A7A2A">
        <w:rPr>
          <w:rFonts w:ascii="Book Antiqua" w:hAnsi="Book Antiqua" w:cs="Times New Roman"/>
          <w:color w:val="000000" w:themeColor="text1"/>
          <w:sz w:val="24"/>
          <w:szCs w:val="24"/>
          <w:lang w:val="en-US"/>
        </w:rPr>
        <w:t>:</w:t>
      </w:r>
      <w:r w:rsidRPr="004A7A2A">
        <w:rPr>
          <w:rFonts w:ascii="Book Antiqua" w:hAnsi="Book Antiqua" w:cs="Times New Roman"/>
          <w:color w:val="000000" w:themeColor="text1"/>
          <w:sz w:val="24"/>
          <w:szCs w:val="24"/>
          <w:lang w:val="en-US"/>
        </w:rPr>
        <w:t xml:space="preserve"> </w:t>
      </w:r>
      <w:r w:rsidR="00167D79" w:rsidRPr="004A7A2A">
        <w:rPr>
          <w:rFonts w:ascii="Book Antiqua" w:hAnsi="Book Antiqua" w:cs="Times New Roman"/>
          <w:color w:val="000000" w:themeColor="text1"/>
          <w:sz w:val="24"/>
          <w:szCs w:val="24"/>
          <w:lang w:val="en-US"/>
        </w:rPr>
        <w:t>A</w:t>
      </w:r>
      <w:r w:rsidRPr="004A7A2A">
        <w:rPr>
          <w:rFonts w:ascii="Book Antiqua" w:hAnsi="Book Antiqua" w:cs="Times New Roman"/>
          <w:color w:val="000000" w:themeColor="text1"/>
          <w:sz w:val="24"/>
          <w:szCs w:val="24"/>
          <w:lang w:val="en-US"/>
        </w:rPr>
        <w:t xml:space="preserve">bove mean tissue expression. </w:t>
      </w:r>
      <w:bookmarkStart w:id="152" w:name="OLE_LINK185"/>
      <w:r w:rsidR="0065165A">
        <w:rPr>
          <w:rFonts w:ascii="Book Antiqua" w:hAnsi="Book Antiqua" w:cs="Times New Roman"/>
          <w:color w:val="000000" w:themeColor="text1"/>
          <w:sz w:val="24"/>
          <w:szCs w:val="24"/>
          <w:lang w:val="en-US" w:eastAsia="pl-PL"/>
        </w:rPr>
        <w:t>MUC1: Mucin 1; MUC2: Mucin 2</w:t>
      </w:r>
      <w:bookmarkEnd w:id="152"/>
      <w:r w:rsidR="0065165A">
        <w:rPr>
          <w:rFonts w:ascii="Book Antiqua" w:hAnsi="Book Antiqua" w:cs="Times New Roman"/>
          <w:color w:val="000000" w:themeColor="text1"/>
          <w:sz w:val="24"/>
          <w:szCs w:val="24"/>
          <w:lang w:val="en-US" w:eastAsia="pl-PL"/>
        </w:rPr>
        <w:t>.</w:t>
      </w:r>
    </w:p>
    <w:p w14:paraId="1AA46BB8" w14:textId="77777777" w:rsidR="00795090" w:rsidRPr="004A7A2A" w:rsidRDefault="00795090" w:rsidP="004A7A2A">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4A7A2A">
        <w:rPr>
          <w:rFonts w:ascii="Book Antiqua" w:hAnsi="Book Antiqua" w:cs="Times New Roman"/>
          <w:color w:val="000000" w:themeColor="text1"/>
          <w:sz w:val="24"/>
          <w:szCs w:val="24"/>
          <w:lang w:val="en-US"/>
        </w:rPr>
        <w:br w:type="page"/>
      </w:r>
    </w:p>
    <w:p w14:paraId="346A7056" w14:textId="72645ED8" w:rsidR="0060495C" w:rsidRPr="00D27550" w:rsidRDefault="0060495C" w:rsidP="004A7A2A">
      <w:pPr>
        <w:pStyle w:val="Domynie"/>
        <w:tabs>
          <w:tab w:val="left" w:pos="720"/>
          <w:tab w:val="left" w:pos="900"/>
        </w:tabs>
        <w:snapToGrid w:val="0"/>
        <w:spacing w:line="360" w:lineRule="auto"/>
        <w:ind w:firstLine="0"/>
        <w:jc w:val="both"/>
        <w:rPr>
          <w:rFonts w:ascii="Book Antiqua" w:hAnsi="Book Antiqua" w:cs="Times New Roman"/>
          <w:sz w:val="24"/>
          <w:szCs w:val="24"/>
          <w:lang w:val="en-US"/>
        </w:rPr>
      </w:pPr>
      <w:r w:rsidRPr="00D27550">
        <w:rPr>
          <w:rFonts w:ascii="Book Antiqua" w:hAnsi="Book Antiqua" w:cs="Times New Roman"/>
          <w:b/>
          <w:noProof/>
          <w:sz w:val="24"/>
          <w:szCs w:val="24"/>
          <w:lang w:val="en-US" w:eastAsia="zh-CN"/>
        </w:rPr>
        <w:lastRenderedPageBreak/>
        <w:drawing>
          <wp:inline distT="0" distB="0" distL="0" distR="0" wp14:anchorId="0F9768E0" wp14:editId="41D0B54C">
            <wp:extent cx="5579110" cy="6399530"/>
            <wp:effectExtent l="0" t="0" r="2540" b="1270"/>
            <wp:docPr id="10" name="Obraz 10" descr="C:\Users\user\Desktop\WJG after revision, july, 2018\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JG after revision, july, 2018\Figure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110" cy="6399530"/>
                    </a:xfrm>
                    <a:prstGeom prst="rect">
                      <a:avLst/>
                    </a:prstGeom>
                    <a:noFill/>
                    <a:ln>
                      <a:noFill/>
                    </a:ln>
                  </pic:spPr>
                </pic:pic>
              </a:graphicData>
            </a:graphic>
          </wp:inline>
        </w:drawing>
      </w:r>
    </w:p>
    <w:p w14:paraId="1B66F476" w14:textId="00A0782A" w:rsidR="009336B1" w:rsidRPr="004A7A2A" w:rsidRDefault="0060495C" w:rsidP="004A7A2A">
      <w:pPr>
        <w:adjustRightInd w:val="0"/>
        <w:snapToGrid w:val="0"/>
        <w:spacing w:line="360" w:lineRule="auto"/>
        <w:ind w:firstLineChars="0" w:firstLine="0"/>
        <w:jc w:val="both"/>
        <w:rPr>
          <w:rFonts w:ascii="Book Antiqua" w:hAnsi="Book Antiqua" w:cs="Times New Roman"/>
          <w:sz w:val="24"/>
          <w:szCs w:val="24"/>
          <w:lang w:val="en-US" w:eastAsia="pl-PL"/>
        </w:rPr>
      </w:pPr>
      <w:r w:rsidRPr="00D27550">
        <w:rPr>
          <w:rFonts w:ascii="Book Antiqua" w:hAnsi="Book Antiqua" w:cs="Times New Roman"/>
          <w:b/>
          <w:bCs/>
          <w:color w:val="000000" w:themeColor="text1"/>
          <w:sz w:val="24"/>
          <w:szCs w:val="24"/>
          <w:lang w:val="en-US" w:eastAsia="pl-PL"/>
        </w:rPr>
        <w:t>Figure 5</w:t>
      </w:r>
      <w:r w:rsidRPr="007E40DB">
        <w:rPr>
          <w:rFonts w:ascii="Book Antiqua" w:hAnsi="Book Antiqua" w:cs="Times New Roman"/>
          <w:b/>
          <w:bCs/>
          <w:color w:val="000000" w:themeColor="text1"/>
          <w:sz w:val="24"/>
          <w:szCs w:val="24"/>
          <w:lang w:val="en-US" w:eastAsia="pl-PL"/>
        </w:rPr>
        <w:t xml:space="preserve"> Immunohistochemical illustrations of colorectal carcinoma and control colon</w:t>
      </w:r>
      <w:r w:rsidR="009336B1" w:rsidRPr="004A7A2A">
        <w:rPr>
          <w:rFonts w:ascii="Book Antiqua" w:hAnsi="Book Antiqua" w:cs="Times New Roman"/>
          <w:b/>
          <w:bCs/>
          <w:color w:val="000000" w:themeColor="text1"/>
          <w:sz w:val="24"/>
          <w:szCs w:val="24"/>
          <w:lang w:val="en-US" w:eastAsia="pl-PL"/>
        </w:rPr>
        <w:t xml:space="preserve"> </w:t>
      </w:r>
      <w:r w:rsidRPr="004A7A2A">
        <w:rPr>
          <w:rFonts w:ascii="Book Antiqua" w:hAnsi="Book Antiqua" w:cs="Times New Roman"/>
          <w:b/>
          <w:bCs/>
          <w:color w:val="000000" w:themeColor="text1"/>
          <w:sz w:val="24"/>
          <w:szCs w:val="24"/>
          <w:lang w:val="en-US" w:eastAsia="pl-PL"/>
        </w:rPr>
        <w:t xml:space="preserve">with Ki-67 antigen and p53 expression. </w:t>
      </w:r>
      <w:r w:rsidRPr="004A7A2A">
        <w:rPr>
          <w:rFonts w:ascii="Book Antiqua" w:hAnsi="Book Antiqua" w:cs="Times New Roman"/>
          <w:color w:val="000000" w:themeColor="text1"/>
          <w:sz w:val="24"/>
          <w:szCs w:val="24"/>
          <w:lang w:val="en-US" w:eastAsia="pl-PL"/>
        </w:rPr>
        <w:t xml:space="preserve">A: </w:t>
      </w:r>
      <w:r w:rsidR="009336B1" w:rsidRPr="004A7A2A">
        <w:rPr>
          <w:rFonts w:ascii="Book Antiqua" w:hAnsi="Book Antiqua" w:cs="Times New Roman"/>
          <w:color w:val="000000" w:themeColor="text1"/>
          <w:sz w:val="24"/>
          <w:szCs w:val="24"/>
          <w:lang w:val="en-US" w:eastAsia="pl-PL"/>
        </w:rPr>
        <w:t>R</w:t>
      </w:r>
      <w:r w:rsidRPr="004A7A2A">
        <w:rPr>
          <w:rFonts w:ascii="Book Antiqua" w:hAnsi="Book Antiqua" w:cs="Times New Roman"/>
          <w:color w:val="000000" w:themeColor="text1"/>
          <w:sz w:val="24"/>
          <w:szCs w:val="24"/>
          <w:lang w:val="en-US" w:eastAsia="pl-PL"/>
        </w:rPr>
        <w:t xml:space="preserve">epresentative IHC expression of Ki-67 proliferating antigen in the majority of tumor cell nuclei; B: </w:t>
      </w:r>
      <w:r w:rsidR="009336B1" w:rsidRPr="004A7A2A">
        <w:rPr>
          <w:rFonts w:ascii="Book Antiqua" w:hAnsi="Book Antiqua" w:cs="Times New Roman"/>
          <w:color w:val="000000" w:themeColor="text1"/>
          <w:sz w:val="24"/>
          <w:szCs w:val="24"/>
          <w:lang w:val="en-US" w:eastAsia="pl-PL"/>
        </w:rPr>
        <w:t>A</w:t>
      </w:r>
      <w:r w:rsidRPr="004A7A2A">
        <w:rPr>
          <w:rFonts w:ascii="Book Antiqua" w:hAnsi="Book Antiqua" w:cs="Times New Roman"/>
          <w:color w:val="000000" w:themeColor="text1"/>
          <w:sz w:val="24"/>
          <w:szCs w:val="24"/>
          <w:lang w:val="en-US" w:eastAsia="pl-PL"/>
        </w:rPr>
        <w:t xml:space="preserve">n intense nuclear pattern of Ki-67 expression in focally located tumor cells; C: </w:t>
      </w:r>
      <w:r w:rsidR="009336B1" w:rsidRPr="004A7A2A">
        <w:rPr>
          <w:rFonts w:ascii="Book Antiqua" w:hAnsi="Book Antiqua" w:cs="Times New Roman"/>
          <w:color w:val="000000" w:themeColor="text1"/>
          <w:sz w:val="24"/>
          <w:szCs w:val="24"/>
          <w:lang w:val="en-US" w:eastAsia="pl-PL"/>
        </w:rPr>
        <w:t>R</w:t>
      </w:r>
      <w:r w:rsidRPr="004A7A2A">
        <w:rPr>
          <w:rFonts w:ascii="Book Antiqua" w:hAnsi="Book Antiqua" w:cs="Times New Roman"/>
          <w:color w:val="000000" w:themeColor="text1"/>
          <w:sz w:val="24"/>
          <w:szCs w:val="24"/>
          <w:lang w:val="en-US" w:eastAsia="pl-PL"/>
        </w:rPr>
        <w:t xml:space="preserve">epresentative image of Ki-67 proliferating antigen immunoexpression </w:t>
      </w:r>
      <w:r w:rsidRPr="004A7A2A">
        <w:rPr>
          <w:rFonts w:ascii="Book Antiqua" w:hAnsi="Book Antiqua" w:cs="Times New Roman"/>
          <w:color w:val="000000" w:themeColor="text1"/>
          <w:sz w:val="24"/>
          <w:szCs w:val="24"/>
          <w:lang w:val="en-US"/>
        </w:rPr>
        <w:t>in the individual basally located nuclei of the goblet cells lining the unaltered intestinal crypts</w:t>
      </w:r>
      <w:r w:rsidRPr="004A7A2A">
        <w:rPr>
          <w:rFonts w:ascii="Book Antiqua" w:hAnsi="Book Antiqua" w:cs="Times New Roman"/>
          <w:color w:val="000000" w:themeColor="text1"/>
          <w:sz w:val="24"/>
          <w:szCs w:val="24"/>
          <w:lang w:val="en-US" w:eastAsia="pl-PL"/>
        </w:rPr>
        <w:t xml:space="preserve">; D: </w:t>
      </w:r>
      <w:r w:rsidR="009336B1" w:rsidRPr="004A7A2A">
        <w:rPr>
          <w:rFonts w:ascii="Book Antiqua" w:hAnsi="Book Antiqua" w:cs="Times New Roman"/>
          <w:color w:val="000000" w:themeColor="text1"/>
          <w:sz w:val="24"/>
          <w:szCs w:val="24"/>
          <w:lang w:val="en-US" w:eastAsia="pl-PL"/>
        </w:rPr>
        <w:t>A</w:t>
      </w:r>
      <w:r w:rsidRPr="004A7A2A">
        <w:rPr>
          <w:rFonts w:ascii="Book Antiqua" w:hAnsi="Book Antiqua" w:cs="Times New Roman"/>
          <w:color w:val="000000" w:themeColor="text1"/>
          <w:sz w:val="24"/>
          <w:szCs w:val="24"/>
          <w:lang w:val="en-US" w:eastAsia="pl-PL"/>
        </w:rPr>
        <w:t xml:space="preserve"> pronounced p53 nuclear pattern of IHC reaction in </w:t>
      </w:r>
      <w:r w:rsidRPr="004A7A2A">
        <w:rPr>
          <w:rFonts w:ascii="Book Antiqua" w:hAnsi="Book Antiqua" w:cs="Times New Roman"/>
          <w:color w:val="000000" w:themeColor="text1"/>
          <w:sz w:val="24"/>
          <w:szCs w:val="24"/>
          <w:lang w:val="en-US"/>
        </w:rPr>
        <w:t>glandular structures of CRC</w:t>
      </w:r>
      <w:r w:rsidRPr="004A7A2A">
        <w:rPr>
          <w:rFonts w:ascii="Book Antiqua" w:hAnsi="Book Antiqua" w:cs="Times New Roman"/>
          <w:color w:val="000000" w:themeColor="text1"/>
          <w:sz w:val="24"/>
          <w:szCs w:val="24"/>
          <w:lang w:val="en-US" w:eastAsia="pl-PL"/>
        </w:rPr>
        <w:t xml:space="preserve">; E: </w:t>
      </w:r>
      <w:r w:rsidR="009336B1" w:rsidRPr="004A7A2A">
        <w:rPr>
          <w:rFonts w:ascii="Book Antiqua" w:hAnsi="Book Antiqua" w:cs="Times New Roman"/>
          <w:color w:val="000000" w:themeColor="text1"/>
          <w:sz w:val="24"/>
          <w:szCs w:val="24"/>
          <w:lang w:val="en-US" w:eastAsia="pl-PL"/>
        </w:rPr>
        <w:t>N</w:t>
      </w:r>
      <w:r w:rsidRPr="004A7A2A">
        <w:rPr>
          <w:rFonts w:ascii="Book Antiqua" w:hAnsi="Book Antiqua" w:cs="Times New Roman"/>
          <w:color w:val="000000" w:themeColor="text1"/>
          <w:sz w:val="24"/>
          <w:szCs w:val="24"/>
          <w:lang w:val="en-US" w:eastAsia="pl-PL"/>
        </w:rPr>
        <w:t xml:space="preserve">egative IHC reaction for p53 in tumor of other CRC </w:t>
      </w:r>
      <w:r w:rsidRPr="004A7A2A">
        <w:rPr>
          <w:rFonts w:ascii="Book Antiqua" w:hAnsi="Book Antiqua" w:cs="Times New Roman"/>
          <w:color w:val="000000" w:themeColor="text1"/>
          <w:sz w:val="24"/>
          <w:szCs w:val="24"/>
          <w:lang w:val="en-US" w:eastAsia="pl-PL"/>
        </w:rPr>
        <w:lastRenderedPageBreak/>
        <w:t xml:space="preserve">patient; F: </w:t>
      </w:r>
      <w:r w:rsidR="009336B1" w:rsidRPr="004A7A2A">
        <w:rPr>
          <w:rFonts w:ascii="Book Antiqua" w:hAnsi="Book Antiqua" w:cs="Times New Roman"/>
          <w:color w:val="000000" w:themeColor="text1"/>
          <w:sz w:val="24"/>
          <w:szCs w:val="24"/>
          <w:lang w:val="en-US" w:eastAsia="pl-PL"/>
        </w:rPr>
        <w:t>N</w:t>
      </w:r>
      <w:r w:rsidRPr="004A7A2A">
        <w:rPr>
          <w:rFonts w:ascii="Book Antiqua" w:hAnsi="Book Antiqua" w:cs="Times New Roman"/>
          <w:color w:val="000000" w:themeColor="text1"/>
          <w:sz w:val="24"/>
          <w:szCs w:val="24"/>
          <w:lang w:val="en-US" w:eastAsia="pl-PL"/>
        </w:rPr>
        <w:t xml:space="preserve">egative IHC reaction for p53 in normal colon. Sections were counterstained with hematoxylin. Objective </w:t>
      </w:r>
      <w:r w:rsidR="00217709" w:rsidRPr="004A7A2A">
        <w:rPr>
          <w:rFonts w:ascii="Book Antiqua" w:hAnsi="Book Antiqua" w:cs="Times New Roman"/>
          <w:color w:val="000000" w:themeColor="text1"/>
          <w:sz w:val="24"/>
          <w:szCs w:val="24"/>
          <w:lang w:val="en-US" w:eastAsia="pl-PL"/>
        </w:rPr>
        <w:t xml:space="preserve">× </w:t>
      </w:r>
      <w:r w:rsidRPr="004A7A2A">
        <w:rPr>
          <w:rFonts w:ascii="Book Antiqua" w:hAnsi="Book Antiqua" w:cs="Times New Roman"/>
          <w:color w:val="000000" w:themeColor="text1"/>
          <w:sz w:val="24"/>
          <w:szCs w:val="24"/>
          <w:lang w:val="en-US" w:eastAsia="pl-PL"/>
        </w:rPr>
        <w:t>40.</w:t>
      </w:r>
      <w:r w:rsidR="009336B1" w:rsidRPr="004A7A2A">
        <w:rPr>
          <w:rFonts w:ascii="Book Antiqua" w:hAnsi="Book Antiqua" w:cs="Times New Roman"/>
          <w:color w:val="000000" w:themeColor="text1"/>
          <w:sz w:val="24"/>
          <w:szCs w:val="24"/>
          <w:lang w:val="en-US" w:eastAsia="pl-PL"/>
        </w:rPr>
        <w:t xml:space="preserve"> IHC: Immunoh</w:t>
      </w:r>
      <w:r w:rsidR="009336B1" w:rsidRPr="004A7A2A">
        <w:rPr>
          <w:rFonts w:ascii="Book Antiqua" w:hAnsi="Book Antiqua" w:cs="Times New Roman"/>
          <w:sz w:val="24"/>
          <w:szCs w:val="24"/>
          <w:lang w:val="en-US" w:eastAsia="pl-PL"/>
        </w:rPr>
        <w:t xml:space="preserve">istochemical; CRC: </w:t>
      </w:r>
      <w:r w:rsidR="009336B1" w:rsidRPr="004A7A2A">
        <w:rPr>
          <w:rFonts w:ascii="Book Antiqua" w:hAnsi="Book Antiqua" w:cs="Times New Roman"/>
          <w:color w:val="000000" w:themeColor="text1"/>
          <w:sz w:val="24"/>
          <w:szCs w:val="24"/>
          <w:lang w:val="en-US"/>
        </w:rPr>
        <w:t>Colorectal cancer.</w:t>
      </w:r>
    </w:p>
    <w:p w14:paraId="69D21225" w14:textId="0F2862E7" w:rsidR="0060495C" w:rsidRPr="004A7A2A" w:rsidRDefault="0060495C" w:rsidP="004A7A2A">
      <w:pPr>
        <w:adjustRightInd w:val="0"/>
        <w:snapToGrid w:val="0"/>
        <w:spacing w:line="360" w:lineRule="auto"/>
        <w:ind w:firstLineChars="0" w:firstLine="0"/>
        <w:jc w:val="both"/>
        <w:rPr>
          <w:rFonts w:ascii="Book Antiqua" w:hAnsi="Book Antiqua" w:cs="Times New Roman"/>
          <w:color w:val="000000" w:themeColor="text1"/>
          <w:sz w:val="24"/>
          <w:szCs w:val="24"/>
          <w:lang w:val="en-US" w:eastAsia="pl-PL"/>
        </w:rPr>
      </w:pPr>
      <w:r w:rsidRPr="004A7A2A">
        <w:rPr>
          <w:rFonts w:ascii="Book Antiqua" w:hAnsi="Book Antiqua" w:cs="Times New Roman"/>
          <w:color w:val="000000" w:themeColor="text1"/>
          <w:sz w:val="24"/>
          <w:szCs w:val="24"/>
          <w:lang w:val="en-US" w:eastAsia="pl-PL"/>
        </w:rPr>
        <w:t xml:space="preserve"> </w:t>
      </w:r>
    </w:p>
    <w:p w14:paraId="3B0F0FA6" w14:textId="77777777" w:rsidR="0060495C" w:rsidRPr="004A7A2A" w:rsidRDefault="0060495C" w:rsidP="004A7A2A">
      <w:pPr>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4A7A2A">
        <w:rPr>
          <w:rFonts w:ascii="Book Antiqua" w:hAnsi="Book Antiqua" w:cs="Times New Roman"/>
          <w:color w:val="000000" w:themeColor="text1"/>
          <w:sz w:val="24"/>
          <w:szCs w:val="24"/>
          <w:lang w:val="en-US"/>
        </w:rPr>
        <w:br w:type="page"/>
      </w:r>
    </w:p>
    <w:p w14:paraId="1969423F" w14:textId="761F2900" w:rsidR="0060495C" w:rsidRPr="00D27550" w:rsidRDefault="0060495C"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b/>
          <w:noProof/>
          <w:sz w:val="24"/>
          <w:szCs w:val="24"/>
          <w:lang w:val="en-US" w:eastAsia="zh-CN"/>
        </w:rPr>
        <w:lastRenderedPageBreak/>
        <w:drawing>
          <wp:inline distT="0" distB="0" distL="0" distR="0" wp14:anchorId="2474D518" wp14:editId="311FC95E">
            <wp:extent cx="4483311" cy="3362484"/>
            <wp:effectExtent l="0" t="0" r="0" b="9525"/>
            <wp:docPr id="11" name="Obraz 11" descr="C:\Users\user\Desktop\WJG after revision, july, 2018\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JG after revision, july, 2018\Figure 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011" cy="3364509"/>
                    </a:xfrm>
                    <a:prstGeom prst="rect">
                      <a:avLst/>
                    </a:prstGeom>
                    <a:noFill/>
                    <a:ln>
                      <a:noFill/>
                    </a:ln>
                  </pic:spPr>
                </pic:pic>
              </a:graphicData>
            </a:graphic>
          </wp:inline>
        </w:drawing>
      </w:r>
    </w:p>
    <w:p w14:paraId="2F808600" w14:textId="5819BA45" w:rsidR="00C060AE" w:rsidRPr="00347522" w:rsidRDefault="00C060AE" w:rsidP="004A7A2A">
      <w:pPr>
        <w:adjustRightInd w:val="0"/>
        <w:snapToGrid w:val="0"/>
        <w:spacing w:line="360" w:lineRule="auto"/>
        <w:ind w:firstLineChars="0" w:firstLine="0"/>
        <w:jc w:val="both"/>
        <w:rPr>
          <w:rFonts w:ascii="Book Antiqua" w:hAnsi="Book Antiqua" w:cs="Times New Roman"/>
          <w:bCs/>
          <w:color w:val="000000" w:themeColor="text1"/>
          <w:sz w:val="24"/>
          <w:szCs w:val="24"/>
          <w:lang w:val="en-US"/>
        </w:rPr>
      </w:pPr>
      <w:r w:rsidRPr="00D27550">
        <w:rPr>
          <w:rFonts w:ascii="Book Antiqua" w:hAnsi="Book Antiqua" w:cs="Times New Roman"/>
          <w:b/>
          <w:bCs/>
          <w:color w:val="000000" w:themeColor="text1"/>
          <w:sz w:val="24"/>
          <w:szCs w:val="24"/>
          <w:lang w:val="en-US" w:eastAsia="pl-PL"/>
        </w:rPr>
        <w:t>Figure 6</w:t>
      </w:r>
      <w:r w:rsidRPr="00D27550">
        <w:rPr>
          <w:rFonts w:ascii="Book Antiqua" w:hAnsi="Book Antiqua" w:cs="Times New Roman"/>
          <w:color w:val="000000" w:themeColor="text1"/>
          <w:sz w:val="24"/>
          <w:szCs w:val="24"/>
          <w:lang w:val="en-US"/>
        </w:rPr>
        <w:t xml:space="preserve"> </w:t>
      </w:r>
      <w:r w:rsidRPr="007E40DB">
        <w:rPr>
          <w:rFonts w:ascii="Book Antiqua" w:hAnsi="Book Antiqua" w:cs="Times New Roman"/>
          <w:b/>
          <w:bCs/>
          <w:color w:val="000000" w:themeColor="text1"/>
          <w:sz w:val="24"/>
          <w:szCs w:val="24"/>
          <w:lang w:val="en-US"/>
        </w:rPr>
        <w:t xml:space="preserve">Spearman’s correlation between the expression of </w:t>
      </w:r>
      <w:r w:rsidR="0065165A">
        <w:rPr>
          <w:rFonts w:ascii="Book Antiqua" w:hAnsi="Book Antiqua" w:cs="Times New Roman"/>
          <w:b/>
          <w:bCs/>
          <w:color w:val="000000" w:themeColor="text1"/>
          <w:sz w:val="24"/>
          <w:szCs w:val="24"/>
          <w:lang w:val="en-US"/>
        </w:rPr>
        <w:t>mucin 2</w:t>
      </w:r>
      <w:r w:rsidR="0065165A" w:rsidRPr="007E40DB">
        <w:rPr>
          <w:rFonts w:ascii="Book Antiqua" w:hAnsi="Book Antiqua" w:cs="Times New Roman"/>
          <w:b/>
          <w:bCs/>
          <w:color w:val="000000" w:themeColor="text1"/>
          <w:sz w:val="24"/>
          <w:szCs w:val="24"/>
          <w:lang w:val="en-US"/>
        </w:rPr>
        <w:t xml:space="preserve"> </w:t>
      </w:r>
      <w:r w:rsidRPr="007E40DB">
        <w:rPr>
          <w:rFonts w:ascii="Book Antiqua" w:hAnsi="Book Antiqua" w:cs="Times New Roman"/>
          <w:b/>
          <w:bCs/>
          <w:color w:val="000000" w:themeColor="text1"/>
          <w:sz w:val="24"/>
          <w:szCs w:val="24"/>
          <w:lang w:val="en-US"/>
        </w:rPr>
        <w:t>protein and of Ki-67 proliferating antigen in colorectal carcinoma.</w:t>
      </w:r>
      <w:r w:rsidR="0065165A">
        <w:rPr>
          <w:rFonts w:ascii="Book Antiqua" w:hAnsi="Book Antiqua" w:cs="Times New Roman"/>
          <w:b/>
          <w:bCs/>
          <w:color w:val="000000" w:themeColor="text1"/>
          <w:sz w:val="24"/>
          <w:szCs w:val="24"/>
          <w:lang w:val="en-US"/>
        </w:rPr>
        <w:t xml:space="preserve"> </w:t>
      </w:r>
      <w:r w:rsidR="0065165A" w:rsidRPr="00347522">
        <w:rPr>
          <w:rFonts w:ascii="Book Antiqua" w:hAnsi="Book Antiqua" w:cs="Times New Roman"/>
          <w:bCs/>
          <w:color w:val="000000" w:themeColor="text1"/>
          <w:sz w:val="24"/>
          <w:szCs w:val="24"/>
          <w:lang w:val="en-US"/>
        </w:rPr>
        <w:t>MUC2: Mucin 2.</w:t>
      </w:r>
    </w:p>
    <w:p w14:paraId="1A43E38E" w14:textId="77777777" w:rsidR="007C36D5" w:rsidRPr="004A7A2A" w:rsidRDefault="007C36D5" w:rsidP="004A7A2A">
      <w:pPr>
        <w:adjustRightInd w:val="0"/>
        <w:snapToGrid w:val="0"/>
        <w:spacing w:line="360" w:lineRule="auto"/>
        <w:ind w:firstLineChars="0" w:firstLine="0"/>
        <w:jc w:val="both"/>
        <w:rPr>
          <w:rFonts w:ascii="Book Antiqua" w:hAnsi="Book Antiqua" w:cs="Times New Roman"/>
          <w:b/>
          <w:bCs/>
          <w:sz w:val="24"/>
          <w:szCs w:val="24"/>
          <w:lang w:val="en-US"/>
        </w:rPr>
        <w:sectPr w:rsidR="007C36D5" w:rsidRPr="004A7A2A" w:rsidSect="00DC687F">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284"/>
          <w:cols w:space="708"/>
          <w:titlePg/>
          <w:docGrid w:linePitch="360"/>
        </w:sectPr>
      </w:pPr>
      <w:r w:rsidRPr="004A7A2A">
        <w:rPr>
          <w:rFonts w:ascii="Book Antiqua" w:hAnsi="Book Antiqua" w:cs="Times New Roman"/>
          <w:b/>
          <w:bCs/>
          <w:sz w:val="24"/>
          <w:szCs w:val="24"/>
          <w:lang w:val="en-US"/>
        </w:rPr>
        <w:br w:type="page"/>
      </w:r>
    </w:p>
    <w:p w14:paraId="7AA0D888" w14:textId="6E0BDA35"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4A7A2A">
        <w:rPr>
          <w:rFonts w:ascii="Book Antiqua" w:hAnsi="Book Antiqua" w:cs="Times New Roman"/>
          <w:b/>
          <w:bCs/>
          <w:sz w:val="24"/>
          <w:szCs w:val="24"/>
          <w:lang w:val="en-US"/>
        </w:rPr>
        <w:lastRenderedPageBreak/>
        <w:t>Table 1</w:t>
      </w:r>
      <w:r w:rsidR="007D053A" w:rsidRPr="004A7A2A">
        <w:rPr>
          <w:rFonts w:ascii="Book Antiqua" w:hAnsi="Book Antiqua" w:cs="Times New Roman"/>
          <w:b/>
          <w:bCs/>
          <w:sz w:val="24"/>
          <w:szCs w:val="24"/>
          <w:lang w:val="en-US"/>
        </w:rPr>
        <w:t xml:space="preserve"> </w:t>
      </w:r>
      <w:r w:rsidRPr="004A7A2A">
        <w:rPr>
          <w:rFonts w:ascii="Book Antiqua" w:hAnsi="Book Antiqua" w:cs="Times New Roman"/>
          <w:b/>
          <w:color w:val="000000" w:themeColor="text1"/>
          <w:sz w:val="24"/>
          <w:szCs w:val="24"/>
          <w:lang w:val="en-US"/>
        </w:rPr>
        <w:t xml:space="preserve">Primer sequences used for </w:t>
      </w:r>
      <w:r w:rsidR="007D053A" w:rsidRPr="004A7A2A">
        <w:rPr>
          <w:rFonts w:ascii="Book Antiqua" w:hAnsi="Book Antiqua" w:cs="Times New Roman"/>
          <w:b/>
          <w:color w:val="000000" w:themeColor="text1"/>
          <w:sz w:val="24"/>
          <w:szCs w:val="24"/>
          <w:lang w:val="en-US"/>
        </w:rPr>
        <w:t xml:space="preserve">real-time quantitative </w:t>
      </w:r>
      <w:r w:rsidR="0065165A">
        <w:rPr>
          <w:rFonts w:ascii="Book Antiqua" w:hAnsi="Book Antiqua" w:cs="Times New Roman"/>
          <w:b/>
          <w:color w:val="000000" w:themeColor="text1"/>
          <w:sz w:val="24"/>
          <w:szCs w:val="24"/>
          <w:lang w:val="en-US"/>
        </w:rPr>
        <w:t>p</w:t>
      </w:r>
      <w:r w:rsidR="0065165A" w:rsidRPr="0065165A">
        <w:rPr>
          <w:rFonts w:ascii="Book Antiqua" w:hAnsi="Book Antiqua" w:cs="Times New Roman"/>
          <w:b/>
          <w:color w:val="000000" w:themeColor="text1"/>
          <w:sz w:val="24"/>
          <w:szCs w:val="24"/>
          <w:lang w:val="en-US"/>
        </w:rPr>
        <w:t>olymerase chain reaction</w:t>
      </w:r>
      <w:r w:rsidRPr="004A7A2A">
        <w:rPr>
          <w:rFonts w:ascii="Book Antiqua" w:hAnsi="Book Antiqua" w:cs="Times New Roman"/>
          <w:b/>
          <w:color w:val="000000" w:themeColor="text1"/>
          <w:sz w:val="24"/>
          <w:szCs w:val="24"/>
          <w:lang w:val="en-US"/>
        </w:rPr>
        <w:t xml:space="preserve"> analysis</w:t>
      </w:r>
    </w:p>
    <w:tbl>
      <w:tblPr>
        <w:tblpPr w:leftFromText="141" w:rightFromText="141" w:vertAnchor="page" w:horzAnchor="margin" w:tblpY="2319"/>
        <w:tblW w:w="0" w:type="auto"/>
        <w:tblBorders>
          <w:top w:val="single" w:sz="4" w:space="0" w:color="auto"/>
          <w:bottom w:val="single" w:sz="4" w:space="0" w:color="auto"/>
        </w:tblBorders>
        <w:tblLook w:val="01E0" w:firstRow="1" w:lastRow="1" w:firstColumn="1" w:lastColumn="1" w:noHBand="0" w:noVBand="0"/>
      </w:tblPr>
      <w:tblGrid>
        <w:gridCol w:w="3205"/>
        <w:gridCol w:w="4359"/>
        <w:gridCol w:w="3505"/>
        <w:gridCol w:w="3149"/>
      </w:tblGrid>
      <w:tr w:rsidR="007057E4" w:rsidRPr="004A7A2A" w14:paraId="1880B613" w14:textId="77777777">
        <w:trPr>
          <w:trHeight w:val="316"/>
        </w:trPr>
        <w:tc>
          <w:tcPr>
            <w:tcW w:w="3521" w:type="dxa"/>
            <w:tcBorders>
              <w:top w:val="single" w:sz="4" w:space="0" w:color="auto"/>
              <w:bottom w:val="single" w:sz="4" w:space="0" w:color="auto"/>
            </w:tcBorders>
          </w:tcPr>
          <w:p w14:paraId="079FCF46"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4A7A2A">
              <w:rPr>
                <w:rFonts w:ascii="Book Antiqua" w:hAnsi="Book Antiqua" w:cs="Times New Roman"/>
                <w:b/>
                <w:bCs/>
                <w:sz w:val="24"/>
                <w:szCs w:val="24"/>
                <w:lang w:val="en-US"/>
              </w:rPr>
              <w:t>Transcript</w:t>
            </w:r>
          </w:p>
        </w:tc>
        <w:tc>
          <w:tcPr>
            <w:tcW w:w="4150" w:type="dxa"/>
            <w:tcBorders>
              <w:top w:val="single" w:sz="4" w:space="0" w:color="auto"/>
              <w:bottom w:val="single" w:sz="4" w:space="0" w:color="auto"/>
            </w:tcBorders>
          </w:tcPr>
          <w:p w14:paraId="18DF5945"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b/>
                <w:bCs/>
                <w:sz w:val="24"/>
                <w:szCs w:val="24"/>
                <w:lang w:val="en-US"/>
              </w:rPr>
              <w:t>Sequence (5’-3’ direction)</w:t>
            </w:r>
          </w:p>
        </w:tc>
        <w:tc>
          <w:tcPr>
            <w:tcW w:w="3611" w:type="dxa"/>
            <w:tcBorders>
              <w:top w:val="single" w:sz="4" w:space="0" w:color="auto"/>
              <w:bottom w:val="single" w:sz="4" w:space="0" w:color="auto"/>
            </w:tcBorders>
          </w:tcPr>
          <w:p w14:paraId="3105898F" w14:textId="3A2F8624"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b/>
                <w:bCs/>
                <w:sz w:val="24"/>
                <w:szCs w:val="24"/>
                <w:lang w:val="en-US"/>
              </w:rPr>
              <w:t>ENST number http://www.ensembl.org</w:t>
            </w:r>
          </w:p>
        </w:tc>
        <w:tc>
          <w:tcPr>
            <w:tcW w:w="3503" w:type="dxa"/>
            <w:tcBorders>
              <w:top w:val="single" w:sz="4" w:space="0" w:color="auto"/>
              <w:bottom w:val="single" w:sz="4" w:space="0" w:color="auto"/>
            </w:tcBorders>
          </w:tcPr>
          <w:p w14:paraId="3C7AF257"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Product size</w:t>
            </w:r>
          </w:p>
          <w:p w14:paraId="53AFC0B5"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1A5960E8" w14:textId="77777777">
        <w:tc>
          <w:tcPr>
            <w:tcW w:w="3521" w:type="dxa"/>
            <w:vMerge w:val="restart"/>
            <w:tcBorders>
              <w:top w:val="single" w:sz="4" w:space="0" w:color="auto"/>
            </w:tcBorders>
          </w:tcPr>
          <w:p w14:paraId="1CD5B3F9" w14:textId="77777777" w:rsidR="007057E4" w:rsidRPr="00BF70DC" w:rsidRDefault="007057E4" w:rsidP="004A7A2A">
            <w:pPr>
              <w:adjustRightInd w:val="0"/>
              <w:snapToGrid w:val="0"/>
              <w:spacing w:line="360" w:lineRule="auto"/>
              <w:ind w:firstLineChars="0" w:firstLine="0"/>
              <w:jc w:val="both"/>
              <w:rPr>
                <w:rFonts w:ascii="Book Antiqua" w:hAnsi="Book Antiqua" w:cs="Times New Roman"/>
                <w:i/>
                <w:iCs/>
                <w:sz w:val="24"/>
                <w:szCs w:val="24"/>
                <w:lang w:val="en-US"/>
              </w:rPr>
            </w:pPr>
            <w:r w:rsidRPr="00BF70DC">
              <w:rPr>
                <w:rFonts w:ascii="Book Antiqua" w:hAnsi="Book Antiqua" w:cs="Times New Roman"/>
                <w:bCs/>
                <w:i/>
                <w:iCs/>
                <w:sz w:val="24"/>
                <w:szCs w:val="24"/>
                <w:lang w:val="en-US"/>
              </w:rPr>
              <w:t>MUC1</w:t>
            </w:r>
            <w:r w:rsidRPr="00BF70DC">
              <w:rPr>
                <w:rFonts w:ascii="Book Antiqua" w:hAnsi="Book Antiqua" w:cs="Times New Roman"/>
                <w:bCs/>
                <w:i/>
                <w:iCs/>
                <w:sz w:val="24"/>
                <w:szCs w:val="24"/>
                <w:lang w:val="en-US"/>
              </w:rPr>
              <w:tab/>
            </w:r>
          </w:p>
        </w:tc>
        <w:tc>
          <w:tcPr>
            <w:tcW w:w="4150" w:type="dxa"/>
            <w:tcBorders>
              <w:top w:val="single" w:sz="4" w:space="0" w:color="auto"/>
            </w:tcBorders>
          </w:tcPr>
          <w:p w14:paraId="4D660C5B" w14:textId="77777777" w:rsidR="007057E4" w:rsidRPr="00D27550"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D27550">
              <w:rPr>
                <w:rFonts w:ascii="Book Antiqua" w:hAnsi="Book Antiqua" w:cs="Times New Roman"/>
                <w:sz w:val="24"/>
                <w:szCs w:val="24"/>
                <w:lang w:val="en-US"/>
              </w:rPr>
              <w:t>TCCAATATTAAGTTCAGGCCAGGA</w:t>
            </w:r>
          </w:p>
        </w:tc>
        <w:tc>
          <w:tcPr>
            <w:tcW w:w="3611" w:type="dxa"/>
            <w:vMerge w:val="restart"/>
            <w:tcBorders>
              <w:top w:val="single" w:sz="4" w:space="0" w:color="auto"/>
            </w:tcBorders>
          </w:tcPr>
          <w:p w14:paraId="5EF4E20A"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00000185499.16</w:t>
            </w:r>
          </w:p>
        </w:tc>
        <w:tc>
          <w:tcPr>
            <w:tcW w:w="3503" w:type="dxa"/>
            <w:vMerge w:val="restart"/>
            <w:tcBorders>
              <w:top w:val="single" w:sz="4" w:space="0" w:color="auto"/>
            </w:tcBorders>
          </w:tcPr>
          <w:p w14:paraId="73907172"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768 bp</w:t>
            </w:r>
          </w:p>
          <w:p w14:paraId="075D1E20"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51F16D34" w14:textId="77777777">
        <w:tc>
          <w:tcPr>
            <w:tcW w:w="3521" w:type="dxa"/>
            <w:vMerge/>
          </w:tcPr>
          <w:p w14:paraId="71E76F5B" w14:textId="77777777" w:rsidR="007057E4" w:rsidRPr="00BF70DC" w:rsidRDefault="007057E4" w:rsidP="004A7A2A">
            <w:pPr>
              <w:adjustRightInd w:val="0"/>
              <w:snapToGrid w:val="0"/>
              <w:spacing w:line="360" w:lineRule="auto"/>
              <w:ind w:firstLineChars="0" w:firstLine="0"/>
              <w:jc w:val="both"/>
              <w:rPr>
                <w:rFonts w:ascii="Book Antiqua" w:hAnsi="Book Antiqua" w:cs="Times New Roman"/>
                <w:i/>
                <w:iCs/>
                <w:sz w:val="24"/>
                <w:szCs w:val="24"/>
                <w:lang w:val="en-US"/>
              </w:rPr>
            </w:pPr>
          </w:p>
        </w:tc>
        <w:tc>
          <w:tcPr>
            <w:tcW w:w="4150" w:type="dxa"/>
          </w:tcPr>
          <w:p w14:paraId="56A7F669"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CACATCACTCACGCTGACGT</w:t>
            </w:r>
          </w:p>
        </w:tc>
        <w:tc>
          <w:tcPr>
            <w:tcW w:w="3611" w:type="dxa"/>
            <w:vMerge/>
          </w:tcPr>
          <w:p w14:paraId="04A4F9D5"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c>
          <w:tcPr>
            <w:tcW w:w="3503" w:type="dxa"/>
            <w:vMerge/>
          </w:tcPr>
          <w:p w14:paraId="48111222"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4A8EDA24" w14:textId="77777777">
        <w:tc>
          <w:tcPr>
            <w:tcW w:w="3521" w:type="dxa"/>
            <w:vMerge w:val="restart"/>
          </w:tcPr>
          <w:p w14:paraId="35F74F57" w14:textId="77777777" w:rsidR="007057E4" w:rsidRPr="00BF70DC" w:rsidRDefault="007057E4" w:rsidP="004A7A2A">
            <w:pPr>
              <w:adjustRightInd w:val="0"/>
              <w:snapToGrid w:val="0"/>
              <w:spacing w:line="360" w:lineRule="auto"/>
              <w:ind w:firstLineChars="0" w:firstLine="0"/>
              <w:jc w:val="both"/>
              <w:rPr>
                <w:rFonts w:ascii="Book Antiqua" w:hAnsi="Book Antiqua" w:cs="Times New Roman"/>
                <w:i/>
                <w:iCs/>
                <w:sz w:val="24"/>
                <w:szCs w:val="24"/>
                <w:lang w:val="en-US"/>
              </w:rPr>
            </w:pPr>
            <w:r w:rsidRPr="00BF70DC">
              <w:rPr>
                <w:rFonts w:ascii="Book Antiqua" w:hAnsi="Book Antiqua" w:cs="Times New Roman"/>
                <w:bCs/>
                <w:i/>
                <w:iCs/>
                <w:sz w:val="24"/>
                <w:szCs w:val="24"/>
                <w:lang w:val="en-US"/>
              </w:rPr>
              <w:t>MUC2</w:t>
            </w:r>
            <w:r w:rsidRPr="00BF70DC">
              <w:rPr>
                <w:rFonts w:ascii="Book Antiqua" w:hAnsi="Book Antiqua" w:cs="Times New Roman"/>
                <w:bCs/>
                <w:i/>
                <w:iCs/>
                <w:sz w:val="24"/>
                <w:szCs w:val="24"/>
                <w:lang w:val="en-US"/>
              </w:rPr>
              <w:tab/>
            </w:r>
          </w:p>
        </w:tc>
        <w:tc>
          <w:tcPr>
            <w:tcW w:w="4150" w:type="dxa"/>
          </w:tcPr>
          <w:p w14:paraId="6BAB8236" w14:textId="77777777" w:rsidR="007057E4" w:rsidRPr="00D27550"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D27550">
              <w:rPr>
                <w:rFonts w:ascii="Book Antiqua" w:hAnsi="Book Antiqua" w:cs="Times New Roman"/>
                <w:sz w:val="24"/>
                <w:szCs w:val="24"/>
                <w:lang w:val="en-US"/>
              </w:rPr>
              <w:t>TGAAGACCTGCGGCTGTGT</w:t>
            </w:r>
          </w:p>
        </w:tc>
        <w:tc>
          <w:tcPr>
            <w:tcW w:w="3611" w:type="dxa"/>
            <w:vMerge w:val="restart"/>
          </w:tcPr>
          <w:p w14:paraId="2DAF4801"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00000198788.8</w:t>
            </w:r>
          </w:p>
        </w:tc>
        <w:tc>
          <w:tcPr>
            <w:tcW w:w="3503" w:type="dxa"/>
            <w:vMerge w:val="restart"/>
          </w:tcPr>
          <w:p w14:paraId="386A27E7"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7E40DB">
              <w:rPr>
                <w:rFonts w:ascii="Book Antiqua" w:hAnsi="Book Antiqua" w:cs="Times New Roman"/>
                <w:sz w:val="24"/>
                <w:szCs w:val="24"/>
                <w:lang w:val="en-US"/>
              </w:rPr>
              <w:t>3108 bp</w:t>
            </w:r>
          </w:p>
          <w:p w14:paraId="5B89A514"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7ECED20D" w14:textId="77777777">
        <w:tc>
          <w:tcPr>
            <w:tcW w:w="3521" w:type="dxa"/>
            <w:vMerge/>
          </w:tcPr>
          <w:p w14:paraId="655363CE" w14:textId="77777777" w:rsidR="007057E4" w:rsidRPr="00BF70DC"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4150" w:type="dxa"/>
          </w:tcPr>
          <w:p w14:paraId="4B28AFAD"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CAGTCGAACTCGAAGTGCTCC</w:t>
            </w:r>
          </w:p>
        </w:tc>
        <w:tc>
          <w:tcPr>
            <w:tcW w:w="3611" w:type="dxa"/>
            <w:vMerge/>
          </w:tcPr>
          <w:p w14:paraId="72E85184"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c>
          <w:tcPr>
            <w:tcW w:w="3503" w:type="dxa"/>
            <w:vMerge/>
          </w:tcPr>
          <w:p w14:paraId="558C34B4"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578E944D" w14:textId="77777777">
        <w:tc>
          <w:tcPr>
            <w:tcW w:w="3521" w:type="dxa"/>
            <w:vMerge w:val="restart"/>
          </w:tcPr>
          <w:p w14:paraId="5F5D35CE" w14:textId="77777777" w:rsidR="007057E4" w:rsidRPr="00BF70DC"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BF70DC">
              <w:rPr>
                <w:rFonts w:ascii="Book Antiqua" w:hAnsi="Book Antiqua" w:cs="Times New Roman"/>
                <w:bCs/>
                <w:i/>
                <w:iCs/>
                <w:sz w:val="24"/>
                <w:szCs w:val="24"/>
                <w:lang w:val="en-US"/>
              </w:rPr>
              <w:t>β-actin</w:t>
            </w:r>
          </w:p>
        </w:tc>
        <w:tc>
          <w:tcPr>
            <w:tcW w:w="4150" w:type="dxa"/>
          </w:tcPr>
          <w:p w14:paraId="15E60E0F" w14:textId="77777777" w:rsidR="007057E4" w:rsidRPr="00D27550"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D27550">
              <w:rPr>
                <w:rFonts w:ascii="Book Antiqua" w:hAnsi="Book Antiqua" w:cs="Times New Roman"/>
                <w:sz w:val="24"/>
                <w:szCs w:val="24"/>
                <w:lang w:val="cs-CZ"/>
              </w:rPr>
              <w:t>TCTGGCACCACACCTTCTAC</w:t>
            </w:r>
          </w:p>
        </w:tc>
        <w:tc>
          <w:tcPr>
            <w:tcW w:w="3611" w:type="dxa"/>
            <w:vMerge w:val="restart"/>
          </w:tcPr>
          <w:p w14:paraId="35B61058"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00000298556</w:t>
            </w:r>
          </w:p>
        </w:tc>
        <w:tc>
          <w:tcPr>
            <w:tcW w:w="3503" w:type="dxa"/>
            <w:vMerge w:val="restart"/>
          </w:tcPr>
          <w:p w14:paraId="249DD0F8"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cs-CZ"/>
              </w:rPr>
            </w:pPr>
            <w:r w:rsidRPr="007E40DB">
              <w:rPr>
                <w:rFonts w:ascii="Book Antiqua" w:hAnsi="Book Antiqua" w:cs="Times New Roman"/>
                <w:sz w:val="24"/>
                <w:szCs w:val="24"/>
                <w:lang w:val="cs-CZ"/>
              </w:rPr>
              <w:t>169 bp</w:t>
            </w:r>
          </w:p>
          <w:p w14:paraId="55667B21"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06604E78" w14:textId="77777777">
        <w:tc>
          <w:tcPr>
            <w:tcW w:w="3521" w:type="dxa"/>
            <w:vMerge/>
          </w:tcPr>
          <w:p w14:paraId="13DC3CB8" w14:textId="77777777" w:rsidR="007057E4" w:rsidRPr="00BF70DC"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4150" w:type="dxa"/>
          </w:tcPr>
          <w:p w14:paraId="03122428"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cs-CZ"/>
              </w:rPr>
              <w:t>GATAGCACAGCCTGGATAGC</w:t>
            </w:r>
          </w:p>
        </w:tc>
        <w:tc>
          <w:tcPr>
            <w:tcW w:w="3611" w:type="dxa"/>
            <w:vMerge/>
          </w:tcPr>
          <w:p w14:paraId="6A01C6AE"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c>
          <w:tcPr>
            <w:tcW w:w="3503" w:type="dxa"/>
            <w:vMerge/>
          </w:tcPr>
          <w:p w14:paraId="612FEB3C"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22127F48" w14:textId="77777777">
        <w:tc>
          <w:tcPr>
            <w:tcW w:w="3521" w:type="dxa"/>
            <w:vMerge w:val="restart"/>
          </w:tcPr>
          <w:p w14:paraId="37AEF3C3" w14:textId="77777777" w:rsidR="007057E4" w:rsidRPr="00BF70DC"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BF70DC">
              <w:rPr>
                <w:rFonts w:ascii="Book Antiqua" w:hAnsi="Book Antiqua" w:cs="Times New Roman"/>
                <w:bCs/>
                <w:i/>
                <w:iCs/>
                <w:sz w:val="24"/>
                <w:szCs w:val="24"/>
                <w:lang w:val="en-US"/>
              </w:rPr>
              <w:t>GADPH</w:t>
            </w:r>
          </w:p>
        </w:tc>
        <w:tc>
          <w:tcPr>
            <w:tcW w:w="4150" w:type="dxa"/>
          </w:tcPr>
          <w:p w14:paraId="4DCA5316" w14:textId="77777777" w:rsidR="007057E4" w:rsidRPr="00D27550"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D27550">
              <w:rPr>
                <w:rFonts w:ascii="Book Antiqua" w:hAnsi="Book Antiqua" w:cs="Times New Roman"/>
                <w:sz w:val="24"/>
                <w:szCs w:val="24"/>
                <w:lang w:val="en-US"/>
              </w:rPr>
              <w:t>GAAGGTGAAGGTCGGAGTCA</w:t>
            </w:r>
          </w:p>
        </w:tc>
        <w:tc>
          <w:tcPr>
            <w:tcW w:w="3611" w:type="dxa"/>
            <w:vMerge w:val="restart"/>
          </w:tcPr>
          <w:p w14:paraId="65E24543"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00000229239</w:t>
            </w:r>
          </w:p>
        </w:tc>
        <w:tc>
          <w:tcPr>
            <w:tcW w:w="3503" w:type="dxa"/>
            <w:vMerge w:val="restart"/>
          </w:tcPr>
          <w:p w14:paraId="3488061D"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199 bp</w:t>
            </w:r>
          </w:p>
          <w:p w14:paraId="615F5A27"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569724CD" w14:textId="77777777">
        <w:tc>
          <w:tcPr>
            <w:tcW w:w="3521" w:type="dxa"/>
            <w:vMerge/>
          </w:tcPr>
          <w:p w14:paraId="3AA9C353" w14:textId="77777777" w:rsidR="007057E4" w:rsidRPr="00BF70DC"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4150" w:type="dxa"/>
          </w:tcPr>
          <w:p w14:paraId="1DB71CA6"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rPr>
              <w:t>GACAAGCTTCCCGTTCTCAG</w:t>
            </w:r>
          </w:p>
        </w:tc>
        <w:tc>
          <w:tcPr>
            <w:tcW w:w="3611" w:type="dxa"/>
            <w:vMerge/>
          </w:tcPr>
          <w:p w14:paraId="14D2C973"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c>
          <w:tcPr>
            <w:tcW w:w="3503" w:type="dxa"/>
            <w:vMerge/>
          </w:tcPr>
          <w:p w14:paraId="7586FCA4"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1B23136C" w14:textId="77777777">
        <w:tc>
          <w:tcPr>
            <w:tcW w:w="3521" w:type="dxa"/>
            <w:vMerge w:val="restart"/>
          </w:tcPr>
          <w:p w14:paraId="7F6BA4CF" w14:textId="77777777" w:rsidR="007057E4" w:rsidRPr="00BF70DC"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BF70DC">
              <w:rPr>
                <w:rFonts w:ascii="Book Antiqua" w:hAnsi="Book Antiqua" w:cs="Times New Roman"/>
                <w:bCs/>
                <w:i/>
                <w:iCs/>
                <w:sz w:val="24"/>
                <w:szCs w:val="24"/>
                <w:lang w:val="en-US"/>
              </w:rPr>
              <w:t>HRPT1</w:t>
            </w:r>
          </w:p>
        </w:tc>
        <w:tc>
          <w:tcPr>
            <w:tcW w:w="4150" w:type="dxa"/>
          </w:tcPr>
          <w:p w14:paraId="5F9E9F52" w14:textId="77777777" w:rsidR="007057E4" w:rsidRPr="00D27550" w:rsidRDefault="007057E4" w:rsidP="00876C44">
            <w:pPr>
              <w:adjustRightInd w:val="0"/>
              <w:snapToGrid w:val="0"/>
              <w:spacing w:line="360" w:lineRule="auto"/>
              <w:ind w:firstLineChars="0" w:firstLine="0"/>
              <w:jc w:val="center"/>
              <w:rPr>
                <w:rFonts w:ascii="Book Antiqua" w:hAnsi="Book Antiqua" w:cs="Times New Roman"/>
                <w:sz w:val="24"/>
                <w:szCs w:val="24"/>
              </w:rPr>
            </w:pPr>
            <w:r w:rsidRPr="00D27550">
              <w:rPr>
                <w:rFonts w:ascii="Book Antiqua" w:hAnsi="Book Antiqua" w:cs="Times New Roman"/>
                <w:sz w:val="24"/>
                <w:szCs w:val="24"/>
                <w:lang w:val="en-US"/>
              </w:rPr>
              <w:t>CTGAGGATTTGGAAAGGGTG</w:t>
            </w:r>
          </w:p>
        </w:tc>
        <w:tc>
          <w:tcPr>
            <w:tcW w:w="3611" w:type="dxa"/>
            <w:vMerge w:val="restart"/>
          </w:tcPr>
          <w:p w14:paraId="6352EC05" w14:textId="021DFA30"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00000298556</w:t>
            </w:r>
          </w:p>
        </w:tc>
        <w:tc>
          <w:tcPr>
            <w:tcW w:w="3503" w:type="dxa"/>
            <w:vMerge w:val="restart"/>
          </w:tcPr>
          <w:p w14:paraId="7F3576D8"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156 bp</w:t>
            </w:r>
          </w:p>
          <w:p w14:paraId="411D4669"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r w:rsidR="007057E4" w:rsidRPr="004A7A2A" w14:paraId="27458C1B" w14:textId="77777777" w:rsidTr="00876C44">
        <w:trPr>
          <w:trHeight w:val="351"/>
        </w:trPr>
        <w:tc>
          <w:tcPr>
            <w:tcW w:w="3521" w:type="dxa"/>
            <w:vMerge/>
            <w:tcBorders>
              <w:bottom w:val="single" w:sz="4" w:space="0" w:color="auto"/>
            </w:tcBorders>
          </w:tcPr>
          <w:p w14:paraId="2BACD194"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4150" w:type="dxa"/>
            <w:tcBorders>
              <w:bottom w:val="single" w:sz="4" w:space="0" w:color="auto"/>
            </w:tcBorders>
          </w:tcPr>
          <w:p w14:paraId="1FF0EF36"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rPr>
            </w:pPr>
            <w:r w:rsidRPr="004A7A2A">
              <w:rPr>
                <w:rFonts w:ascii="Book Antiqua" w:hAnsi="Book Antiqua" w:cs="Times New Roman"/>
                <w:sz w:val="24"/>
                <w:szCs w:val="24"/>
                <w:lang w:val="en-US"/>
              </w:rPr>
              <w:t>AATCCAGCAGGTCAGCAAAC</w:t>
            </w:r>
          </w:p>
        </w:tc>
        <w:tc>
          <w:tcPr>
            <w:tcW w:w="3611" w:type="dxa"/>
            <w:vMerge/>
            <w:tcBorders>
              <w:bottom w:val="single" w:sz="4" w:space="0" w:color="auto"/>
            </w:tcBorders>
          </w:tcPr>
          <w:p w14:paraId="7915B94A"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c>
          <w:tcPr>
            <w:tcW w:w="3503" w:type="dxa"/>
            <w:vMerge/>
            <w:tcBorders>
              <w:bottom w:val="single" w:sz="4" w:space="0" w:color="auto"/>
            </w:tcBorders>
          </w:tcPr>
          <w:p w14:paraId="51724172"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p>
        </w:tc>
      </w:tr>
    </w:tbl>
    <w:p w14:paraId="535D724B" w14:textId="74B8A65D" w:rsidR="007C36D5" w:rsidRPr="00D27550" w:rsidRDefault="007C36D5" w:rsidP="004A7A2A">
      <w:pPr>
        <w:adjustRightInd w:val="0"/>
        <w:snapToGrid w:val="0"/>
        <w:spacing w:line="360" w:lineRule="auto"/>
        <w:ind w:firstLineChars="0" w:firstLine="0"/>
        <w:jc w:val="both"/>
        <w:rPr>
          <w:rFonts w:ascii="Book Antiqua" w:hAnsi="Book Antiqua" w:cs="Times New Roman"/>
          <w:b/>
          <w:bCs/>
          <w:sz w:val="24"/>
          <w:szCs w:val="24"/>
          <w:lang w:val="en-US"/>
        </w:rPr>
        <w:sectPr w:rsidR="007C36D5" w:rsidRPr="00D27550" w:rsidSect="007C36D5">
          <w:pgSz w:w="16838" w:h="11906" w:orient="landscape"/>
          <w:pgMar w:top="1418" w:right="1418" w:bottom="1418" w:left="1418" w:header="709" w:footer="709" w:gutter="284"/>
          <w:cols w:space="708"/>
          <w:titlePg/>
          <w:docGrid w:linePitch="360"/>
        </w:sectPr>
      </w:pPr>
    </w:p>
    <w:p w14:paraId="5EE84806" w14:textId="748843F8"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b/>
          <w:bCs/>
          <w:sz w:val="24"/>
          <w:szCs w:val="24"/>
          <w:lang w:val="en-US"/>
        </w:rPr>
        <w:lastRenderedPageBreak/>
        <w:t>Table 2</w:t>
      </w:r>
      <w:r w:rsidRPr="00D27550">
        <w:rPr>
          <w:rFonts w:ascii="Book Antiqua" w:hAnsi="Book Antiqua" w:cs="Times New Roman"/>
          <w:sz w:val="24"/>
          <w:szCs w:val="24"/>
          <w:lang w:val="en-US"/>
        </w:rPr>
        <w:t xml:space="preserve"> </w:t>
      </w:r>
      <w:r w:rsidRPr="007E40DB">
        <w:rPr>
          <w:rFonts w:ascii="Book Antiqua" w:hAnsi="Book Antiqua" w:cs="Times New Roman"/>
          <w:b/>
          <w:sz w:val="24"/>
          <w:szCs w:val="24"/>
          <w:lang w:val="en-US"/>
        </w:rPr>
        <w:t xml:space="preserve">Clinicopathologic features of </w:t>
      </w:r>
      <w:bookmarkStart w:id="153" w:name="OLE_LINK32"/>
      <w:r w:rsidRPr="007E40DB">
        <w:rPr>
          <w:rFonts w:ascii="Book Antiqua" w:hAnsi="Book Antiqua" w:cs="Times New Roman"/>
          <w:b/>
          <w:sz w:val="24"/>
          <w:szCs w:val="24"/>
          <w:lang w:val="en-US"/>
        </w:rPr>
        <w:t>colorectal carcinoma</w:t>
      </w:r>
      <w:bookmarkEnd w:id="153"/>
      <w:r w:rsidR="00B23E1F" w:rsidRPr="004A7A2A">
        <w:rPr>
          <w:rFonts w:ascii="Book Antiqua" w:hAnsi="Book Antiqua" w:cs="Times New Roman"/>
          <w:b/>
          <w:sz w:val="24"/>
          <w:szCs w:val="24"/>
          <w:lang w:val="en-US"/>
        </w:rPr>
        <w:t xml:space="preserve"> </w:t>
      </w:r>
      <w:r w:rsidRPr="004A7A2A">
        <w:rPr>
          <w:rFonts w:ascii="Book Antiqua" w:hAnsi="Book Antiqua" w:cs="Times New Roman"/>
          <w:b/>
          <w:sz w:val="24"/>
          <w:szCs w:val="24"/>
          <w:lang w:val="en-US"/>
        </w:rPr>
        <w:t>patients</w:t>
      </w:r>
      <w:r w:rsidR="00B23E1F" w:rsidRPr="004A7A2A">
        <w:rPr>
          <w:rFonts w:ascii="Book Antiqua" w:hAnsi="Book Antiqua" w:cs="Times New Roman"/>
          <w:b/>
          <w:sz w:val="24"/>
          <w:szCs w:val="24"/>
          <w:lang w:val="en-US"/>
        </w:rPr>
        <w:t xml:space="preserve"> </w:t>
      </w:r>
      <w:r w:rsidR="00B23E1F" w:rsidRPr="004A7A2A">
        <w:rPr>
          <w:rFonts w:ascii="Book Antiqua" w:hAnsi="Book Antiqua" w:cs="Times New Roman"/>
          <w:b/>
          <w:i/>
          <w:sz w:val="24"/>
          <w:szCs w:val="24"/>
          <w:lang w:val="en-US"/>
        </w:rPr>
        <w:t>n</w:t>
      </w:r>
      <w:r w:rsidR="00B23E1F" w:rsidRPr="004A7A2A">
        <w:rPr>
          <w:rFonts w:ascii="Book Antiqua" w:hAnsi="Book Antiqua" w:cs="Times New Roman"/>
          <w:b/>
          <w:sz w:val="24"/>
          <w:szCs w:val="24"/>
          <w:lang w:val="en-US"/>
        </w:rPr>
        <w:t xml:space="preserve"> (%)</w:t>
      </w:r>
    </w:p>
    <w:tbl>
      <w:tblPr>
        <w:tblW w:w="0" w:type="auto"/>
        <w:tblBorders>
          <w:top w:val="single" w:sz="4" w:space="0" w:color="auto"/>
          <w:bottom w:val="single" w:sz="4" w:space="0" w:color="auto"/>
        </w:tblBorders>
        <w:tblLook w:val="01E0" w:firstRow="1" w:lastRow="1" w:firstColumn="1" w:lastColumn="1" w:noHBand="0" w:noVBand="0"/>
      </w:tblPr>
      <w:tblGrid>
        <w:gridCol w:w="2589"/>
        <w:gridCol w:w="3439"/>
        <w:gridCol w:w="2974"/>
      </w:tblGrid>
      <w:tr w:rsidR="007057E4" w:rsidRPr="004A7A2A" w14:paraId="3FFE05B5" w14:textId="77777777">
        <w:tc>
          <w:tcPr>
            <w:tcW w:w="6141" w:type="dxa"/>
            <w:gridSpan w:val="2"/>
            <w:tcBorders>
              <w:top w:val="single" w:sz="4" w:space="0" w:color="auto"/>
              <w:bottom w:val="single" w:sz="4" w:space="0" w:color="auto"/>
            </w:tcBorders>
          </w:tcPr>
          <w:p w14:paraId="372E0A49"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u w:val="single"/>
                <w:lang w:val="en-US"/>
              </w:rPr>
            </w:pPr>
            <w:r w:rsidRPr="004A7A2A">
              <w:rPr>
                <w:rFonts w:ascii="Book Antiqua" w:hAnsi="Book Antiqua" w:cs="Times New Roman"/>
                <w:b/>
                <w:bCs/>
                <w:sz w:val="24"/>
                <w:szCs w:val="24"/>
                <w:lang w:val="en-US"/>
              </w:rPr>
              <w:t>Variable</w:t>
            </w:r>
          </w:p>
        </w:tc>
        <w:tc>
          <w:tcPr>
            <w:tcW w:w="3071" w:type="dxa"/>
            <w:tcBorders>
              <w:top w:val="single" w:sz="4" w:space="0" w:color="auto"/>
              <w:bottom w:val="single" w:sz="4" w:space="0" w:color="auto"/>
            </w:tcBorders>
          </w:tcPr>
          <w:p w14:paraId="7C4D63E3" w14:textId="2AA46905"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u w:val="single"/>
                <w:lang w:val="en-US"/>
              </w:rPr>
            </w:pPr>
            <w:r w:rsidRPr="004A7A2A">
              <w:rPr>
                <w:rFonts w:ascii="Book Antiqua" w:hAnsi="Book Antiqua" w:cs="Times New Roman"/>
                <w:b/>
                <w:bCs/>
                <w:sz w:val="24"/>
                <w:szCs w:val="24"/>
                <w:lang w:val="en-US"/>
              </w:rPr>
              <w:t>CRC (</w:t>
            </w:r>
            <w:r w:rsidR="00B23E1F" w:rsidRPr="004A7A2A">
              <w:rPr>
                <w:rFonts w:ascii="Book Antiqua" w:hAnsi="Book Antiqua" w:cs="Times New Roman"/>
                <w:b/>
                <w:bCs/>
                <w:i/>
                <w:sz w:val="24"/>
                <w:szCs w:val="24"/>
                <w:lang w:val="en-US"/>
              </w:rPr>
              <w:t>n</w:t>
            </w:r>
            <w:r w:rsidR="00B23E1F" w:rsidRPr="004A7A2A">
              <w:rPr>
                <w:rFonts w:ascii="Book Antiqua" w:hAnsi="Book Antiqua" w:cs="Times New Roman"/>
                <w:b/>
                <w:bCs/>
                <w:sz w:val="24"/>
                <w:szCs w:val="24"/>
                <w:lang w:val="en-US"/>
              </w:rPr>
              <w:t xml:space="preserve"> </w:t>
            </w:r>
            <w:r w:rsidRPr="004A7A2A">
              <w:rPr>
                <w:rFonts w:ascii="Book Antiqua" w:hAnsi="Book Antiqua" w:cs="Times New Roman"/>
                <w:b/>
                <w:bCs/>
                <w:sz w:val="24"/>
                <w:szCs w:val="24"/>
                <w:lang w:val="en-US"/>
              </w:rPr>
              <w:t>=</w:t>
            </w:r>
            <w:r w:rsidR="00B23E1F" w:rsidRPr="004A7A2A">
              <w:rPr>
                <w:rFonts w:ascii="Book Antiqua" w:hAnsi="Book Antiqua" w:cs="Times New Roman"/>
                <w:b/>
                <w:bCs/>
                <w:sz w:val="24"/>
                <w:szCs w:val="24"/>
                <w:lang w:val="en-US"/>
              </w:rPr>
              <w:t xml:space="preserve"> </w:t>
            </w:r>
            <w:r w:rsidRPr="004A7A2A">
              <w:rPr>
                <w:rFonts w:ascii="Book Antiqua" w:hAnsi="Book Antiqua" w:cs="Times New Roman"/>
                <w:b/>
                <w:bCs/>
                <w:sz w:val="24"/>
                <w:szCs w:val="24"/>
                <w:lang w:val="en-US"/>
              </w:rPr>
              <w:t>34)</w:t>
            </w:r>
          </w:p>
        </w:tc>
      </w:tr>
      <w:tr w:rsidR="007057E4" w:rsidRPr="004A7A2A" w14:paraId="05B44305" w14:textId="77777777">
        <w:tc>
          <w:tcPr>
            <w:tcW w:w="2628" w:type="dxa"/>
            <w:vMerge w:val="restart"/>
            <w:tcBorders>
              <w:top w:val="single" w:sz="4" w:space="0" w:color="auto"/>
            </w:tcBorders>
          </w:tcPr>
          <w:p w14:paraId="0F2DCF8B" w14:textId="496A8DE5"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sz w:val="24"/>
                <w:szCs w:val="24"/>
                <w:lang w:val="en-US"/>
              </w:rPr>
              <w:t>Age (y</w:t>
            </w:r>
            <w:r w:rsidR="00B23E1F" w:rsidRPr="00D27550">
              <w:rPr>
                <w:rFonts w:ascii="Book Antiqua" w:hAnsi="Book Antiqua" w:cs="Times New Roman"/>
                <w:sz w:val="24"/>
                <w:szCs w:val="24"/>
                <w:lang w:val="en-US"/>
              </w:rPr>
              <w:t>r</w:t>
            </w:r>
            <w:r w:rsidRPr="00D27550">
              <w:rPr>
                <w:rFonts w:ascii="Book Antiqua" w:hAnsi="Book Antiqua" w:cs="Times New Roman"/>
                <w:sz w:val="24"/>
                <w:szCs w:val="24"/>
                <w:lang w:val="en-US"/>
              </w:rPr>
              <w:t>)</w:t>
            </w:r>
          </w:p>
          <w:p w14:paraId="6B7FB25A"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u w:val="single"/>
                <w:lang w:val="en-US"/>
              </w:rPr>
            </w:pPr>
          </w:p>
        </w:tc>
        <w:tc>
          <w:tcPr>
            <w:tcW w:w="3513" w:type="dxa"/>
            <w:tcBorders>
              <w:top w:val="single" w:sz="4" w:space="0" w:color="auto"/>
            </w:tcBorders>
          </w:tcPr>
          <w:p w14:paraId="1CEA2301" w14:textId="17D25A4B"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u w:val="single"/>
                <w:lang w:val="en-US"/>
              </w:rPr>
            </w:pPr>
            <w:r w:rsidRPr="007E40DB">
              <w:rPr>
                <w:rFonts w:ascii="Book Antiqua" w:hAnsi="Book Antiqua" w:cs="Times New Roman"/>
                <w:sz w:val="24"/>
                <w:szCs w:val="24"/>
                <w:lang w:val="en-US"/>
              </w:rPr>
              <w:t>&lt;</w:t>
            </w:r>
            <w:r w:rsidR="00B23E1F" w:rsidRPr="007E40DB">
              <w:rPr>
                <w:rFonts w:ascii="Book Antiqua" w:hAnsi="Book Antiqua" w:cs="Times New Roman"/>
                <w:sz w:val="24"/>
                <w:szCs w:val="24"/>
                <w:lang w:val="en-US"/>
              </w:rPr>
              <w:t xml:space="preserve"> </w:t>
            </w:r>
            <w:r w:rsidRPr="004A7A2A">
              <w:rPr>
                <w:rFonts w:ascii="Book Antiqua" w:hAnsi="Book Antiqua" w:cs="Times New Roman"/>
                <w:sz w:val="24"/>
                <w:szCs w:val="24"/>
                <w:lang w:val="en-US"/>
              </w:rPr>
              <w:t>50</w:t>
            </w:r>
          </w:p>
        </w:tc>
        <w:tc>
          <w:tcPr>
            <w:tcW w:w="3071" w:type="dxa"/>
            <w:tcBorders>
              <w:top w:val="single" w:sz="4" w:space="0" w:color="auto"/>
            </w:tcBorders>
          </w:tcPr>
          <w:p w14:paraId="5D4D9E06" w14:textId="005DBC43"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u w:val="single"/>
                <w:lang w:val="en-US"/>
              </w:rPr>
            </w:pPr>
            <w:r w:rsidRPr="004A7A2A">
              <w:rPr>
                <w:rFonts w:ascii="Book Antiqua" w:hAnsi="Book Antiqua" w:cs="Times New Roman"/>
                <w:sz w:val="24"/>
                <w:szCs w:val="24"/>
                <w:lang w:val="en-US"/>
              </w:rPr>
              <w:t>2 (6)</w:t>
            </w:r>
          </w:p>
        </w:tc>
      </w:tr>
      <w:tr w:rsidR="007057E4" w:rsidRPr="004A7A2A" w14:paraId="03F8EFA9" w14:textId="77777777">
        <w:tc>
          <w:tcPr>
            <w:tcW w:w="2628" w:type="dxa"/>
            <w:vMerge/>
          </w:tcPr>
          <w:p w14:paraId="6F7BCD70"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u w:val="single"/>
                <w:lang w:val="en-US"/>
              </w:rPr>
            </w:pPr>
          </w:p>
        </w:tc>
        <w:tc>
          <w:tcPr>
            <w:tcW w:w="3513" w:type="dxa"/>
          </w:tcPr>
          <w:p w14:paraId="7B852B7C" w14:textId="7BDEA963"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u w:val="single"/>
                <w:lang w:val="en-US"/>
              </w:rPr>
            </w:pPr>
            <w:r w:rsidRPr="004A7A2A">
              <w:rPr>
                <w:rFonts w:ascii="Book Antiqua" w:hAnsi="Book Antiqua" w:cs="Times New Roman"/>
                <w:sz w:val="24"/>
                <w:szCs w:val="24"/>
                <w:lang w:val="en-US"/>
              </w:rPr>
              <w:t>≥</w:t>
            </w:r>
            <w:r w:rsidR="00B23E1F" w:rsidRPr="004A7A2A">
              <w:rPr>
                <w:rFonts w:ascii="Book Antiqua" w:hAnsi="Book Antiqua" w:cs="Times New Roman"/>
                <w:sz w:val="24"/>
                <w:szCs w:val="24"/>
                <w:lang w:val="en-US"/>
              </w:rPr>
              <w:t xml:space="preserve"> </w:t>
            </w:r>
            <w:r w:rsidRPr="004A7A2A">
              <w:rPr>
                <w:rFonts w:ascii="Book Antiqua" w:hAnsi="Book Antiqua" w:cs="Times New Roman"/>
                <w:sz w:val="24"/>
                <w:szCs w:val="24"/>
                <w:lang w:val="en-US"/>
              </w:rPr>
              <w:t>50</w:t>
            </w:r>
          </w:p>
        </w:tc>
        <w:tc>
          <w:tcPr>
            <w:tcW w:w="3071" w:type="dxa"/>
          </w:tcPr>
          <w:p w14:paraId="3EE2202B" w14:textId="270C08D8"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u w:val="single"/>
                <w:lang w:val="en-US"/>
              </w:rPr>
            </w:pPr>
            <w:r w:rsidRPr="004A7A2A">
              <w:rPr>
                <w:rFonts w:ascii="Book Antiqua" w:hAnsi="Book Antiqua" w:cs="Times New Roman"/>
                <w:sz w:val="24"/>
                <w:szCs w:val="24"/>
                <w:lang w:val="en-US"/>
              </w:rPr>
              <w:t>32 (94)</w:t>
            </w:r>
          </w:p>
        </w:tc>
      </w:tr>
      <w:tr w:rsidR="007057E4" w:rsidRPr="004A7A2A" w14:paraId="32382E56" w14:textId="77777777">
        <w:tc>
          <w:tcPr>
            <w:tcW w:w="2628" w:type="dxa"/>
            <w:vMerge w:val="restart"/>
          </w:tcPr>
          <w:p w14:paraId="000ED84D"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sz w:val="24"/>
                <w:szCs w:val="24"/>
                <w:lang w:val="en-US"/>
              </w:rPr>
              <w:t>Sex</w:t>
            </w:r>
          </w:p>
        </w:tc>
        <w:tc>
          <w:tcPr>
            <w:tcW w:w="3513" w:type="dxa"/>
          </w:tcPr>
          <w:p w14:paraId="548CB466" w14:textId="77777777" w:rsidR="007057E4" w:rsidRPr="00D27550"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D02B06">
              <w:rPr>
                <w:rFonts w:ascii="Book Antiqua" w:hAnsi="Book Antiqua" w:cs="Times New Roman"/>
                <w:caps/>
                <w:sz w:val="24"/>
                <w:szCs w:val="24"/>
                <w:lang w:val="en-US"/>
              </w:rPr>
              <w:t>m</w:t>
            </w:r>
            <w:r w:rsidRPr="00D27550">
              <w:rPr>
                <w:rFonts w:ascii="Book Antiqua" w:hAnsi="Book Antiqua" w:cs="Times New Roman"/>
                <w:sz w:val="24"/>
                <w:szCs w:val="24"/>
                <w:lang w:val="en-US"/>
              </w:rPr>
              <w:t>ale</w:t>
            </w:r>
          </w:p>
        </w:tc>
        <w:tc>
          <w:tcPr>
            <w:tcW w:w="3071" w:type="dxa"/>
          </w:tcPr>
          <w:p w14:paraId="34F19043" w14:textId="13BC0A49"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27 (79)</w:t>
            </w:r>
          </w:p>
        </w:tc>
      </w:tr>
      <w:tr w:rsidR="007057E4" w:rsidRPr="004A7A2A" w14:paraId="24F3CB9F" w14:textId="77777777">
        <w:tc>
          <w:tcPr>
            <w:tcW w:w="2628" w:type="dxa"/>
            <w:vMerge/>
          </w:tcPr>
          <w:p w14:paraId="30566479"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7D593784"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D02B06">
              <w:rPr>
                <w:rFonts w:ascii="Book Antiqua" w:hAnsi="Book Antiqua" w:cs="Times New Roman"/>
                <w:caps/>
                <w:sz w:val="24"/>
                <w:szCs w:val="24"/>
                <w:lang w:val="en-US"/>
              </w:rPr>
              <w:t>f</w:t>
            </w:r>
            <w:r w:rsidRPr="004A7A2A">
              <w:rPr>
                <w:rFonts w:ascii="Book Antiqua" w:hAnsi="Book Antiqua" w:cs="Times New Roman"/>
                <w:sz w:val="24"/>
                <w:szCs w:val="24"/>
                <w:lang w:val="en-US"/>
              </w:rPr>
              <w:t>emale</w:t>
            </w:r>
          </w:p>
        </w:tc>
        <w:tc>
          <w:tcPr>
            <w:tcW w:w="3071" w:type="dxa"/>
          </w:tcPr>
          <w:p w14:paraId="62B3C0AE" w14:textId="2FE33CC8"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7 (21)</w:t>
            </w:r>
          </w:p>
        </w:tc>
      </w:tr>
      <w:tr w:rsidR="007057E4" w:rsidRPr="004A7A2A" w14:paraId="54D957F1" w14:textId="77777777">
        <w:tc>
          <w:tcPr>
            <w:tcW w:w="2628" w:type="dxa"/>
            <w:vMerge w:val="restart"/>
          </w:tcPr>
          <w:p w14:paraId="37D768A1"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sz w:val="24"/>
                <w:szCs w:val="24"/>
                <w:lang w:val="en-US"/>
              </w:rPr>
              <w:t>Tumor location</w:t>
            </w:r>
          </w:p>
          <w:p w14:paraId="5DD5C878"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6D789795"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Right colon</w:t>
            </w:r>
          </w:p>
        </w:tc>
        <w:tc>
          <w:tcPr>
            <w:tcW w:w="3071" w:type="dxa"/>
          </w:tcPr>
          <w:p w14:paraId="465C0FDC" w14:textId="3B9F893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10 (29)</w:t>
            </w:r>
          </w:p>
        </w:tc>
      </w:tr>
      <w:tr w:rsidR="007057E4" w:rsidRPr="004A7A2A" w14:paraId="3317455C" w14:textId="77777777">
        <w:tc>
          <w:tcPr>
            <w:tcW w:w="2628" w:type="dxa"/>
            <w:vMerge/>
          </w:tcPr>
          <w:p w14:paraId="310F9D68"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3F1664FD"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Left colon</w:t>
            </w:r>
          </w:p>
        </w:tc>
        <w:tc>
          <w:tcPr>
            <w:tcW w:w="3071" w:type="dxa"/>
          </w:tcPr>
          <w:p w14:paraId="592D1F51" w14:textId="725FE489"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21 (62)</w:t>
            </w:r>
          </w:p>
        </w:tc>
      </w:tr>
      <w:tr w:rsidR="007057E4" w:rsidRPr="004A7A2A" w14:paraId="7E64574D" w14:textId="77777777">
        <w:tc>
          <w:tcPr>
            <w:tcW w:w="2628" w:type="dxa"/>
            <w:vMerge/>
          </w:tcPr>
          <w:p w14:paraId="1ECCB995"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2EF856D5"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Rectum</w:t>
            </w:r>
          </w:p>
        </w:tc>
        <w:tc>
          <w:tcPr>
            <w:tcW w:w="3071" w:type="dxa"/>
          </w:tcPr>
          <w:p w14:paraId="0827EAB8" w14:textId="63CF48A3"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3 (9)</w:t>
            </w:r>
          </w:p>
        </w:tc>
      </w:tr>
      <w:tr w:rsidR="007057E4" w:rsidRPr="004A7A2A" w14:paraId="1588069E" w14:textId="77777777">
        <w:tc>
          <w:tcPr>
            <w:tcW w:w="2628" w:type="dxa"/>
            <w:vMerge w:val="restart"/>
          </w:tcPr>
          <w:p w14:paraId="6A762998"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sz w:val="24"/>
                <w:szCs w:val="24"/>
                <w:lang w:val="en-US"/>
              </w:rPr>
              <w:t>Mucin content</w:t>
            </w:r>
          </w:p>
          <w:p w14:paraId="5226998A"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2DDD1D7F"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Nonmucinous</w:t>
            </w:r>
          </w:p>
        </w:tc>
        <w:tc>
          <w:tcPr>
            <w:tcW w:w="3071" w:type="dxa"/>
          </w:tcPr>
          <w:p w14:paraId="16C16D3A" w14:textId="22229292"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24 (71)</w:t>
            </w:r>
          </w:p>
        </w:tc>
      </w:tr>
      <w:tr w:rsidR="007057E4" w:rsidRPr="004A7A2A" w14:paraId="24E36DA5" w14:textId="77777777">
        <w:tc>
          <w:tcPr>
            <w:tcW w:w="2628" w:type="dxa"/>
            <w:vMerge/>
          </w:tcPr>
          <w:p w14:paraId="1E7285E3"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2A870891"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Mucinous</w:t>
            </w:r>
          </w:p>
        </w:tc>
        <w:tc>
          <w:tcPr>
            <w:tcW w:w="3071" w:type="dxa"/>
          </w:tcPr>
          <w:p w14:paraId="196077DF" w14:textId="235DC076"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10 (29)</w:t>
            </w:r>
          </w:p>
        </w:tc>
      </w:tr>
      <w:tr w:rsidR="007057E4" w:rsidRPr="004A7A2A" w14:paraId="1CF7E790" w14:textId="77777777">
        <w:tc>
          <w:tcPr>
            <w:tcW w:w="2628" w:type="dxa"/>
            <w:vMerge w:val="restart"/>
          </w:tcPr>
          <w:p w14:paraId="43F21F4B"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sz w:val="24"/>
                <w:szCs w:val="24"/>
                <w:lang w:val="en-US"/>
              </w:rPr>
              <w:t>Histologic grade (G)</w:t>
            </w:r>
          </w:p>
          <w:p w14:paraId="3AA75D9B"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41BEE996"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 xml:space="preserve">Carcinoma </w:t>
            </w:r>
            <w:r w:rsidRPr="007E40DB">
              <w:rPr>
                <w:rFonts w:ascii="Book Antiqua" w:hAnsi="Book Antiqua" w:cs="Times New Roman"/>
                <w:i/>
                <w:iCs/>
                <w:sz w:val="24"/>
                <w:szCs w:val="24"/>
                <w:lang w:val="en-US"/>
              </w:rPr>
              <w:t>in situ</w:t>
            </w:r>
          </w:p>
        </w:tc>
        <w:tc>
          <w:tcPr>
            <w:tcW w:w="3071" w:type="dxa"/>
          </w:tcPr>
          <w:p w14:paraId="5413F702" w14:textId="5EAD250A"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1 (3)</w:t>
            </w:r>
          </w:p>
        </w:tc>
      </w:tr>
      <w:tr w:rsidR="007057E4" w:rsidRPr="004A7A2A" w14:paraId="275AFA78" w14:textId="77777777">
        <w:tc>
          <w:tcPr>
            <w:tcW w:w="2628" w:type="dxa"/>
            <w:vMerge/>
          </w:tcPr>
          <w:p w14:paraId="6D7B3F00"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2C2CCBFA"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Well differentiated (G1)</w:t>
            </w:r>
          </w:p>
        </w:tc>
        <w:tc>
          <w:tcPr>
            <w:tcW w:w="3071" w:type="dxa"/>
          </w:tcPr>
          <w:p w14:paraId="4D99FBBA" w14:textId="3372D6FC"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1 (3)</w:t>
            </w:r>
          </w:p>
        </w:tc>
      </w:tr>
      <w:tr w:rsidR="007057E4" w:rsidRPr="004A7A2A" w14:paraId="2C190B5A" w14:textId="77777777">
        <w:tc>
          <w:tcPr>
            <w:tcW w:w="2628" w:type="dxa"/>
            <w:vMerge/>
          </w:tcPr>
          <w:p w14:paraId="684796A6"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1D6B3BF8"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Moderately differentiated (G2)</w:t>
            </w:r>
          </w:p>
        </w:tc>
        <w:tc>
          <w:tcPr>
            <w:tcW w:w="3071" w:type="dxa"/>
          </w:tcPr>
          <w:p w14:paraId="35E84E85" w14:textId="57AE6008"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23 (68)</w:t>
            </w:r>
          </w:p>
        </w:tc>
      </w:tr>
      <w:tr w:rsidR="007057E4" w:rsidRPr="004A7A2A" w14:paraId="5544DBBC" w14:textId="77777777">
        <w:tc>
          <w:tcPr>
            <w:tcW w:w="2628" w:type="dxa"/>
            <w:vMerge/>
          </w:tcPr>
          <w:p w14:paraId="57D536AA"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299EEFBA"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Poorly differentiated (G3)</w:t>
            </w:r>
          </w:p>
        </w:tc>
        <w:tc>
          <w:tcPr>
            <w:tcW w:w="3071" w:type="dxa"/>
          </w:tcPr>
          <w:p w14:paraId="515F6F7C" w14:textId="57A6EE9E"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9 (26)</w:t>
            </w:r>
          </w:p>
        </w:tc>
      </w:tr>
      <w:tr w:rsidR="007057E4" w:rsidRPr="004A7A2A" w14:paraId="4C1B2C53" w14:textId="77777777">
        <w:tc>
          <w:tcPr>
            <w:tcW w:w="2628" w:type="dxa"/>
            <w:vMerge w:val="restart"/>
          </w:tcPr>
          <w:p w14:paraId="4DAEA685"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sz w:val="24"/>
                <w:szCs w:val="24"/>
                <w:lang w:val="en-US"/>
              </w:rPr>
              <w:t>Gross morphology</w:t>
            </w:r>
          </w:p>
        </w:tc>
        <w:tc>
          <w:tcPr>
            <w:tcW w:w="3513" w:type="dxa"/>
          </w:tcPr>
          <w:p w14:paraId="40371362" w14:textId="77777777" w:rsidR="007057E4" w:rsidRPr="00D27550"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D27550">
              <w:rPr>
                <w:rFonts w:ascii="Book Antiqua" w:hAnsi="Book Antiqua" w:cs="Times New Roman"/>
                <w:sz w:val="24"/>
                <w:szCs w:val="24"/>
                <w:lang w:val="en-US"/>
              </w:rPr>
              <w:t>Protruded</w:t>
            </w:r>
          </w:p>
        </w:tc>
        <w:tc>
          <w:tcPr>
            <w:tcW w:w="3071" w:type="dxa"/>
          </w:tcPr>
          <w:p w14:paraId="1BEF72FE" w14:textId="3A1D09D3"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21 (62)</w:t>
            </w:r>
          </w:p>
        </w:tc>
      </w:tr>
      <w:tr w:rsidR="007057E4" w:rsidRPr="004A7A2A" w14:paraId="4BFCEC70" w14:textId="77777777">
        <w:tc>
          <w:tcPr>
            <w:tcW w:w="2628" w:type="dxa"/>
            <w:vMerge/>
          </w:tcPr>
          <w:p w14:paraId="498052E1"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5AF85CB3"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Flat</w:t>
            </w:r>
          </w:p>
        </w:tc>
        <w:tc>
          <w:tcPr>
            <w:tcW w:w="3071" w:type="dxa"/>
          </w:tcPr>
          <w:p w14:paraId="05092C80" w14:textId="070EC91C"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13 (38)</w:t>
            </w:r>
          </w:p>
        </w:tc>
      </w:tr>
      <w:tr w:rsidR="007057E4" w:rsidRPr="004A7A2A" w14:paraId="587D7E64" w14:textId="77777777">
        <w:tc>
          <w:tcPr>
            <w:tcW w:w="2628" w:type="dxa"/>
            <w:vMerge w:val="restart"/>
          </w:tcPr>
          <w:p w14:paraId="41075888"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sz w:val="24"/>
                <w:szCs w:val="24"/>
                <w:lang w:val="en-US"/>
              </w:rPr>
              <w:t>Dukes/Astler and Coller stage</w:t>
            </w:r>
          </w:p>
          <w:p w14:paraId="51DC3D0F"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091F589F" w14:textId="77777777"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D27550">
              <w:rPr>
                <w:rFonts w:ascii="Book Antiqua" w:hAnsi="Book Antiqua" w:cs="Times New Roman"/>
                <w:sz w:val="24"/>
                <w:szCs w:val="24"/>
                <w:lang w:val="it-IT"/>
              </w:rPr>
              <w:t xml:space="preserve">Carcinoma </w:t>
            </w:r>
            <w:r w:rsidRPr="007E40DB">
              <w:rPr>
                <w:rFonts w:ascii="Book Antiqua" w:hAnsi="Book Antiqua" w:cs="Times New Roman"/>
                <w:i/>
                <w:iCs/>
                <w:sz w:val="24"/>
                <w:szCs w:val="24"/>
                <w:lang w:val="it-IT"/>
              </w:rPr>
              <w:t>in situ</w:t>
            </w:r>
          </w:p>
        </w:tc>
        <w:tc>
          <w:tcPr>
            <w:tcW w:w="3071" w:type="dxa"/>
          </w:tcPr>
          <w:p w14:paraId="12977C05" w14:textId="5D45E866"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it-IT"/>
              </w:rPr>
              <w:t>1 (3)</w:t>
            </w:r>
          </w:p>
        </w:tc>
      </w:tr>
      <w:tr w:rsidR="007057E4" w:rsidRPr="004A7A2A" w14:paraId="24564F81" w14:textId="77777777">
        <w:tc>
          <w:tcPr>
            <w:tcW w:w="2628" w:type="dxa"/>
            <w:vMerge/>
          </w:tcPr>
          <w:p w14:paraId="6166B378"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3BFFE713"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it-IT"/>
              </w:rPr>
              <w:t>A/B1</w:t>
            </w:r>
          </w:p>
        </w:tc>
        <w:tc>
          <w:tcPr>
            <w:tcW w:w="3071" w:type="dxa"/>
          </w:tcPr>
          <w:p w14:paraId="63508DA1" w14:textId="5DF177DB"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it-IT"/>
              </w:rPr>
              <w:t>4 (12)</w:t>
            </w:r>
          </w:p>
        </w:tc>
      </w:tr>
      <w:tr w:rsidR="007057E4" w:rsidRPr="004A7A2A" w14:paraId="2A175505" w14:textId="77777777">
        <w:tc>
          <w:tcPr>
            <w:tcW w:w="2628" w:type="dxa"/>
            <w:vMerge/>
          </w:tcPr>
          <w:p w14:paraId="1E34BE90"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687F64B7"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B/B2, B3</w:t>
            </w:r>
          </w:p>
        </w:tc>
        <w:tc>
          <w:tcPr>
            <w:tcW w:w="3071" w:type="dxa"/>
          </w:tcPr>
          <w:p w14:paraId="7A47A87A" w14:textId="138FEE7E"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10 (29)</w:t>
            </w:r>
          </w:p>
        </w:tc>
      </w:tr>
      <w:tr w:rsidR="007057E4" w:rsidRPr="004A7A2A" w14:paraId="5381C070" w14:textId="77777777">
        <w:tc>
          <w:tcPr>
            <w:tcW w:w="2628" w:type="dxa"/>
            <w:vMerge/>
          </w:tcPr>
          <w:p w14:paraId="5C256EAA"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23136566"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C/C1, C2, C3</w:t>
            </w:r>
          </w:p>
        </w:tc>
        <w:tc>
          <w:tcPr>
            <w:tcW w:w="3071" w:type="dxa"/>
          </w:tcPr>
          <w:p w14:paraId="3A25B446" w14:textId="13BD1AC3"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14 (41)</w:t>
            </w:r>
          </w:p>
        </w:tc>
      </w:tr>
      <w:tr w:rsidR="007057E4" w:rsidRPr="004A7A2A" w14:paraId="4C110191" w14:textId="77777777">
        <w:tc>
          <w:tcPr>
            <w:tcW w:w="2628" w:type="dxa"/>
            <w:vMerge/>
          </w:tcPr>
          <w:p w14:paraId="33C06ED1"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78681181"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D</w:t>
            </w:r>
          </w:p>
        </w:tc>
        <w:tc>
          <w:tcPr>
            <w:tcW w:w="3071" w:type="dxa"/>
          </w:tcPr>
          <w:p w14:paraId="4B7469F0" w14:textId="58B86D26"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5 (15)</w:t>
            </w:r>
          </w:p>
        </w:tc>
      </w:tr>
      <w:tr w:rsidR="007057E4" w:rsidRPr="004A7A2A" w14:paraId="4B031D14" w14:textId="77777777">
        <w:tc>
          <w:tcPr>
            <w:tcW w:w="2628" w:type="dxa"/>
            <w:vMerge w:val="restart"/>
          </w:tcPr>
          <w:p w14:paraId="4375E84C" w14:textId="3640417E"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sz w:val="24"/>
                <w:szCs w:val="24"/>
                <w:lang w:val="en-US"/>
              </w:rPr>
              <w:t xml:space="preserve">TNM </w:t>
            </w:r>
            <w:r w:rsidR="0021268F" w:rsidRPr="00D27550">
              <w:rPr>
                <w:rFonts w:ascii="Book Antiqua" w:hAnsi="Book Antiqua" w:cs="Times New Roman"/>
                <w:sz w:val="24"/>
                <w:szCs w:val="24"/>
                <w:lang w:val="en-US"/>
              </w:rPr>
              <w:t>classification system</w:t>
            </w:r>
          </w:p>
          <w:p w14:paraId="1D5D9689" w14:textId="77777777" w:rsidR="007057E4" w:rsidRPr="007E40DB"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2A64C0F7"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it-IT"/>
              </w:rPr>
              <w:t xml:space="preserve">Carcinoma </w:t>
            </w:r>
            <w:r w:rsidRPr="004A7A2A">
              <w:rPr>
                <w:rFonts w:ascii="Book Antiqua" w:hAnsi="Book Antiqua" w:cs="Times New Roman"/>
                <w:i/>
                <w:iCs/>
                <w:sz w:val="24"/>
                <w:szCs w:val="24"/>
                <w:lang w:val="it-IT"/>
              </w:rPr>
              <w:t>in situ</w:t>
            </w:r>
          </w:p>
        </w:tc>
        <w:tc>
          <w:tcPr>
            <w:tcW w:w="3071" w:type="dxa"/>
          </w:tcPr>
          <w:p w14:paraId="764B8A3C" w14:textId="5A1D4DD2"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it-IT"/>
              </w:rPr>
              <w:t>1 (3)</w:t>
            </w:r>
          </w:p>
        </w:tc>
      </w:tr>
      <w:tr w:rsidR="007057E4" w:rsidRPr="004A7A2A" w14:paraId="1D409F4F" w14:textId="77777777">
        <w:tc>
          <w:tcPr>
            <w:tcW w:w="2628" w:type="dxa"/>
            <w:vMerge/>
          </w:tcPr>
          <w:p w14:paraId="517F56B7"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1D2E8B24"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it-IT"/>
              </w:rPr>
              <w:t>I and II</w:t>
            </w:r>
          </w:p>
        </w:tc>
        <w:tc>
          <w:tcPr>
            <w:tcW w:w="3071" w:type="dxa"/>
          </w:tcPr>
          <w:p w14:paraId="1D9CA3B2" w14:textId="313F6355"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it-IT"/>
              </w:rPr>
              <w:t>4 (12)</w:t>
            </w:r>
          </w:p>
        </w:tc>
      </w:tr>
      <w:tr w:rsidR="007057E4" w:rsidRPr="004A7A2A" w14:paraId="27DAE250" w14:textId="77777777">
        <w:tc>
          <w:tcPr>
            <w:tcW w:w="2628" w:type="dxa"/>
            <w:vMerge/>
          </w:tcPr>
          <w:p w14:paraId="532C63A7"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68F7E238"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III and IV</w:t>
            </w:r>
          </w:p>
        </w:tc>
        <w:tc>
          <w:tcPr>
            <w:tcW w:w="3071" w:type="dxa"/>
          </w:tcPr>
          <w:p w14:paraId="08AE7569" w14:textId="67D278E3"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29 (85)</w:t>
            </w:r>
          </w:p>
        </w:tc>
      </w:tr>
      <w:tr w:rsidR="007057E4" w:rsidRPr="004A7A2A" w14:paraId="72879112" w14:textId="77777777">
        <w:tc>
          <w:tcPr>
            <w:tcW w:w="2628" w:type="dxa"/>
            <w:vMerge w:val="restart"/>
          </w:tcPr>
          <w:p w14:paraId="1328CE23"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sz w:val="24"/>
                <w:szCs w:val="24"/>
                <w:lang w:val="en-US"/>
              </w:rPr>
              <w:t>Status</w:t>
            </w:r>
          </w:p>
          <w:p w14:paraId="1F78DB99" w14:textId="77777777" w:rsidR="007057E4" w:rsidRPr="00D27550"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Pr>
          <w:p w14:paraId="7A8D4FF9" w14:textId="77777777" w:rsidR="007057E4" w:rsidRPr="00D27550"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D27550">
              <w:rPr>
                <w:rFonts w:ascii="Book Antiqua" w:hAnsi="Book Antiqua" w:cs="Times New Roman"/>
                <w:sz w:val="24"/>
                <w:szCs w:val="24"/>
                <w:lang w:val="en-US"/>
              </w:rPr>
              <w:t>Survival</w:t>
            </w:r>
          </w:p>
        </w:tc>
        <w:tc>
          <w:tcPr>
            <w:tcW w:w="3071" w:type="dxa"/>
          </w:tcPr>
          <w:p w14:paraId="1A420A08" w14:textId="10748179" w:rsidR="007057E4" w:rsidRPr="007E40DB"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7E40DB">
              <w:rPr>
                <w:rFonts w:ascii="Book Antiqua" w:hAnsi="Book Antiqua" w:cs="Times New Roman"/>
                <w:sz w:val="24"/>
                <w:szCs w:val="24"/>
                <w:lang w:val="en-US"/>
              </w:rPr>
              <w:t>27 (79)</w:t>
            </w:r>
          </w:p>
        </w:tc>
      </w:tr>
      <w:tr w:rsidR="007057E4" w:rsidRPr="004A7A2A" w14:paraId="73887F70" w14:textId="77777777">
        <w:tc>
          <w:tcPr>
            <w:tcW w:w="2628" w:type="dxa"/>
            <w:vMerge/>
            <w:tcBorders>
              <w:bottom w:val="single" w:sz="4" w:space="0" w:color="auto"/>
            </w:tcBorders>
          </w:tcPr>
          <w:p w14:paraId="55D55A45"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p>
        </w:tc>
        <w:tc>
          <w:tcPr>
            <w:tcW w:w="3513" w:type="dxa"/>
            <w:tcBorders>
              <w:bottom w:val="single" w:sz="4" w:space="0" w:color="auto"/>
            </w:tcBorders>
          </w:tcPr>
          <w:p w14:paraId="74F4F748"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Death</w:t>
            </w:r>
          </w:p>
        </w:tc>
        <w:tc>
          <w:tcPr>
            <w:tcW w:w="3071" w:type="dxa"/>
            <w:tcBorders>
              <w:bottom w:val="single" w:sz="4" w:space="0" w:color="auto"/>
            </w:tcBorders>
          </w:tcPr>
          <w:p w14:paraId="74BF8CC6" w14:textId="42EA3F0E" w:rsidR="007057E4" w:rsidRPr="004A7A2A"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4A7A2A">
              <w:rPr>
                <w:rFonts w:ascii="Book Antiqua" w:hAnsi="Book Antiqua" w:cs="Times New Roman"/>
                <w:sz w:val="24"/>
                <w:szCs w:val="24"/>
                <w:lang w:val="en-US"/>
              </w:rPr>
              <w:t>7 (21)</w:t>
            </w:r>
          </w:p>
        </w:tc>
      </w:tr>
    </w:tbl>
    <w:p w14:paraId="517133A5" w14:textId="029D7BB8" w:rsidR="007C36D5" w:rsidRDefault="00B23E1F" w:rsidP="004A7A2A">
      <w:pPr>
        <w:adjustRightInd w:val="0"/>
        <w:snapToGrid w:val="0"/>
        <w:spacing w:line="360" w:lineRule="auto"/>
        <w:ind w:firstLineChars="0" w:firstLine="0"/>
        <w:jc w:val="both"/>
        <w:rPr>
          <w:rFonts w:ascii="Book Antiqua" w:eastAsiaTheme="minorEastAsia" w:hAnsi="Book Antiqua" w:cs="Times New Roman"/>
          <w:sz w:val="24"/>
          <w:szCs w:val="24"/>
          <w:lang w:val="en-US" w:eastAsia="zh-CN"/>
        </w:rPr>
      </w:pPr>
      <w:bookmarkStart w:id="154" w:name="OLE_LINK33"/>
      <w:r w:rsidRPr="00D27550">
        <w:rPr>
          <w:rFonts w:ascii="Book Antiqua" w:hAnsi="Book Antiqua" w:cs="Times New Roman"/>
          <w:sz w:val="24"/>
          <w:szCs w:val="24"/>
          <w:lang w:val="en-US"/>
        </w:rPr>
        <w:t>CRC: C</w:t>
      </w:r>
      <w:r w:rsidRPr="007E40DB">
        <w:rPr>
          <w:rFonts w:ascii="Book Antiqua" w:hAnsi="Book Antiqua" w:cs="Times New Roman"/>
          <w:sz w:val="24"/>
          <w:szCs w:val="24"/>
          <w:lang w:val="en-US"/>
        </w:rPr>
        <w:t>olorectal carcinoma</w:t>
      </w:r>
      <w:bookmarkEnd w:id="154"/>
      <w:r w:rsidRPr="007E40DB">
        <w:rPr>
          <w:rFonts w:ascii="Book Antiqua" w:hAnsi="Book Antiqua" w:cs="Times New Roman"/>
          <w:sz w:val="24"/>
          <w:szCs w:val="24"/>
          <w:lang w:val="en-US"/>
        </w:rPr>
        <w:t>.</w:t>
      </w:r>
    </w:p>
    <w:p w14:paraId="6D9D3885" w14:textId="77777777" w:rsidR="002A517D" w:rsidRPr="002A517D" w:rsidRDefault="002A517D" w:rsidP="004A7A2A">
      <w:pPr>
        <w:adjustRightInd w:val="0"/>
        <w:snapToGrid w:val="0"/>
        <w:spacing w:line="360" w:lineRule="auto"/>
        <w:ind w:firstLineChars="0" w:firstLine="0"/>
        <w:jc w:val="both"/>
        <w:rPr>
          <w:rFonts w:ascii="Book Antiqua" w:eastAsiaTheme="minorEastAsia" w:hAnsi="Book Antiqua" w:cs="Times New Roman"/>
          <w:sz w:val="24"/>
          <w:szCs w:val="24"/>
          <w:u w:val="single"/>
          <w:lang w:val="en-US" w:eastAsia="zh-CN"/>
        </w:rPr>
        <w:sectPr w:rsidR="002A517D" w:rsidRPr="002A517D" w:rsidSect="007C36D5">
          <w:pgSz w:w="11906" w:h="16838"/>
          <w:pgMar w:top="1418" w:right="1418" w:bottom="1418" w:left="1418" w:header="709" w:footer="709" w:gutter="284"/>
          <w:cols w:space="708"/>
          <w:titlePg/>
          <w:docGrid w:linePitch="360"/>
        </w:sectPr>
      </w:pPr>
    </w:p>
    <w:p w14:paraId="178243C0" w14:textId="5698811A"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color w:val="000000" w:themeColor="text1"/>
          <w:sz w:val="24"/>
          <w:szCs w:val="24"/>
          <w:lang w:val="en-US"/>
        </w:rPr>
      </w:pPr>
      <w:r w:rsidRPr="007E40DB">
        <w:rPr>
          <w:rFonts w:ascii="Book Antiqua" w:hAnsi="Book Antiqua" w:cs="Times New Roman"/>
          <w:b/>
          <w:bCs/>
          <w:color w:val="000000" w:themeColor="text1"/>
          <w:sz w:val="24"/>
          <w:szCs w:val="24"/>
          <w:lang w:val="en-US"/>
        </w:rPr>
        <w:lastRenderedPageBreak/>
        <w:t>Table 3</w:t>
      </w:r>
      <w:r w:rsidR="00E21173" w:rsidRPr="004A7A2A">
        <w:rPr>
          <w:rStyle w:val="grame"/>
          <w:rFonts w:ascii="Book Antiqua" w:hAnsi="Book Antiqua" w:cs="Times New Roman"/>
          <w:color w:val="000000" w:themeColor="text1"/>
          <w:sz w:val="24"/>
          <w:szCs w:val="24"/>
          <w:lang w:val="en-US"/>
        </w:rPr>
        <w:t xml:space="preserve"> </w:t>
      </w:r>
      <w:r w:rsidR="00E21173" w:rsidRPr="004A7A2A">
        <w:rPr>
          <w:rFonts w:ascii="Book Antiqua" w:hAnsi="Book Antiqua" w:cs="Times New Roman"/>
          <w:b/>
          <w:color w:val="000000" w:themeColor="text1"/>
          <w:sz w:val="24"/>
          <w:szCs w:val="24"/>
          <w:lang w:val="en-US"/>
        </w:rPr>
        <w:t xml:space="preserve">Tissue </w:t>
      </w:r>
      <w:r w:rsidR="00E21173" w:rsidRPr="004A7A2A">
        <w:rPr>
          <w:rStyle w:val="grame"/>
          <w:rFonts w:ascii="Book Antiqua" w:hAnsi="Book Antiqua" w:cs="Times New Roman"/>
          <w:b/>
          <w:color w:val="000000" w:themeColor="text1"/>
          <w:sz w:val="24"/>
          <w:szCs w:val="24"/>
          <w:lang w:val="en-US"/>
        </w:rPr>
        <w:t xml:space="preserve">expression of </w:t>
      </w:r>
      <w:r w:rsidR="00F323AA" w:rsidRPr="004A7A2A">
        <w:rPr>
          <w:rStyle w:val="grame"/>
          <w:rFonts w:ascii="Book Antiqua" w:hAnsi="Book Antiqua" w:cs="Times New Roman"/>
          <w:b/>
          <w:color w:val="000000" w:themeColor="text1"/>
          <w:sz w:val="24"/>
          <w:szCs w:val="24"/>
          <w:lang w:val="en-US"/>
        </w:rPr>
        <w:t xml:space="preserve">mRNA </w:t>
      </w:r>
      <w:r w:rsidR="00E21173" w:rsidRPr="004A7A2A">
        <w:rPr>
          <w:rStyle w:val="grame"/>
          <w:rFonts w:ascii="Book Antiqua" w:hAnsi="Book Antiqua" w:cs="Times New Roman"/>
          <w:b/>
          <w:color w:val="000000" w:themeColor="text1"/>
          <w:sz w:val="24"/>
          <w:szCs w:val="24"/>
          <w:lang w:val="en-US"/>
        </w:rPr>
        <w:t>and proteins</w:t>
      </w:r>
      <w:r w:rsidR="00E363E6" w:rsidRPr="004A7A2A">
        <w:rPr>
          <w:rStyle w:val="grame"/>
          <w:rFonts w:ascii="Book Antiqua" w:hAnsi="Book Antiqua" w:cs="Times New Roman"/>
          <w:b/>
          <w:color w:val="000000" w:themeColor="text1"/>
          <w:sz w:val="24"/>
          <w:szCs w:val="24"/>
          <w:lang w:val="en-US"/>
        </w:rPr>
        <w:t xml:space="preserve"> </w:t>
      </w:r>
      <w:r w:rsidR="00E21173" w:rsidRPr="004A7A2A">
        <w:rPr>
          <w:rStyle w:val="grame"/>
          <w:rFonts w:ascii="Book Antiqua" w:hAnsi="Book Antiqua" w:cs="Times New Roman"/>
          <w:b/>
          <w:color w:val="000000" w:themeColor="text1"/>
          <w:sz w:val="24"/>
          <w:szCs w:val="24"/>
          <w:lang w:val="en-US"/>
        </w:rPr>
        <w:t xml:space="preserve">of both mucins, </w:t>
      </w:r>
      <w:r w:rsidR="00347522">
        <w:rPr>
          <w:rStyle w:val="grame"/>
          <w:rFonts w:ascii="Book Antiqua" w:hAnsi="Book Antiqua" w:cs="Times New Roman"/>
          <w:b/>
          <w:color w:val="000000" w:themeColor="text1"/>
          <w:sz w:val="24"/>
          <w:szCs w:val="24"/>
          <w:lang w:val="en-US"/>
        </w:rPr>
        <w:t>mucin 1</w:t>
      </w:r>
      <w:r w:rsidR="00E21173" w:rsidRPr="004A7A2A">
        <w:rPr>
          <w:rStyle w:val="grame"/>
          <w:rFonts w:ascii="Book Antiqua" w:hAnsi="Book Antiqua" w:cs="Times New Roman"/>
          <w:b/>
          <w:color w:val="000000" w:themeColor="text1"/>
          <w:sz w:val="24"/>
          <w:szCs w:val="24"/>
          <w:lang w:val="en-US"/>
        </w:rPr>
        <w:t>/</w:t>
      </w:r>
      <w:r w:rsidR="00347522">
        <w:rPr>
          <w:rStyle w:val="grame"/>
          <w:rFonts w:ascii="Book Antiqua" w:hAnsi="Book Antiqua" w:cs="Times New Roman"/>
          <w:b/>
          <w:color w:val="000000" w:themeColor="text1"/>
          <w:sz w:val="24"/>
          <w:szCs w:val="24"/>
          <w:lang w:val="en-US"/>
        </w:rPr>
        <w:t xml:space="preserve">mucin 2 </w:t>
      </w:r>
      <w:r w:rsidR="00E21173" w:rsidRPr="004A7A2A">
        <w:rPr>
          <w:rStyle w:val="grame"/>
          <w:rFonts w:ascii="Book Antiqua" w:hAnsi="Book Antiqua" w:cs="Times New Roman"/>
          <w:b/>
          <w:color w:val="000000" w:themeColor="text1"/>
          <w:sz w:val="24"/>
          <w:szCs w:val="24"/>
          <w:lang w:val="en-US"/>
        </w:rPr>
        <w:t>ratio in colorectal carcinoma</w:t>
      </w:r>
      <w:r w:rsidR="00E363E6" w:rsidRPr="004A7A2A">
        <w:rPr>
          <w:rStyle w:val="grame"/>
          <w:rFonts w:ascii="Book Antiqua" w:hAnsi="Book Antiqua" w:cs="Times New Roman"/>
          <w:b/>
          <w:color w:val="000000" w:themeColor="text1"/>
          <w:sz w:val="24"/>
          <w:szCs w:val="24"/>
          <w:lang w:val="en-US"/>
        </w:rPr>
        <w:t xml:space="preserve"> </w:t>
      </w:r>
      <w:r w:rsidR="00E21173" w:rsidRPr="004A7A2A">
        <w:rPr>
          <w:rStyle w:val="grame"/>
          <w:rFonts w:ascii="Book Antiqua" w:hAnsi="Book Antiqua" w:cs="Times New Roman"/>
          <w:b/>
          <w:color w:val="000000" w:themeColor="text1"/>
          <w:sz w:val="24"/>
          <w:szCs w:val="24"/>
          <w:lang w:val="en-US"/>
        </w:rPr>
        <w:t xml:space="preserve">and in </w:t>
      </w:r>
      <w:bookmarkStart w:id="155" w:name="OLE_LINK34"/>
      <w:bookmarkStart w:id="156" w:name="OLE_LINK35"/>
      <w:r w:rsidR="00E21173" w:rsidRPr="004A7A2A">
        <w:rPr>
          <w:rStyle w:val="grame"/>
          <w:rFonts w:ascii="Book Antiqua" w:hAnsi="Book Antiqua" w:cs="Times New Roman"/>
          <w:b/>
          <w:color w:val="000000" w:themeColor="text1"/>
          <w:sz w:val="24"/>
          <w:szCs w:val="24"/>
          <w:lang w:val="en-US"/>
        </w:rPr>
        <w:t>unaltered colorectal tissue</w:t>
      </w:r>
      <w:bookmarkEnd w:id="155"/>
      <w:bookmarkEnd w:id="156"/>
      <w:r w:rsidR="0021268F" w:rsidRPr="004A7A2A">
        <w:rPr>
          <w:rStyle w:val="grame"/>
          <w:rFonts w:ascii="Book Antiqua" w:hAnsi="Book Antiqua" w:cs="Times New Roman"/>
          <w:b/>
          <w:color w:val="000000" w:themeColor="text1"/>
          <w:sz w:val="24"/>
          <w:szCs w:val="24"/>
          <w:lang w:val="en-US"/>
        </w:rPr>
        <w:t xml:space="preserve"> </w:t>
      </w:r>
    </w:p>
    <w:tbl>
      <w:tblPr>
        <w:tblW w:w="5764" w:type="pct"/>
        <w:tblInd w:w="-6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770"/>
        <w:gridCol w:w="990"/>
        <w:gridCol w:w="1031"/>
        <w:gridCol w:w="1136"/>
        <w:gridCol w:w="936"/>
        <w:gridCol w:w="1071"/>
        <w:gridCol w:w="696"/>
        <w:gridCol w:w="1056"/>
        <w:gridCol w:w="936"/>
        <w:gridCol w:w="756"/>
      </w:tblGrid>
      <w:tr w:rsidR="007C36D5" w:rsidRPr="004A7A2A" w14:paraId="6220AD2D" w14:textId="77777777" w:rsidTr="00A16F2F">
        <w:trPr>
          <w:trHeight w:hRule="exact" w:val="851"/>
        </w:trPr>
        <w:tc>
          <w:tcPr>
            <w:tcW w:w="853" w:type="pct"/>
            <w:tcBorders>
              <w:top w:val="single" w:sz="4" w:space="0" w:color="auto"/>
              <w:bottom w:val="single" w:sz="4" w:space="0" w:color="auto"/>
            </w:tcBorders>
            <w:vAlign w:val="center"/>
          </w:tcPr>
          <w:p w14:paraId="7B6DCAFA"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
                <w:bCs/>
                <w:sz w:val="24"/>
                <w:szCs w:val="24"/>
              </w:rPr>
            </w:pPr>
          </w:p>
        </w:tc>
        <w:tc>
          <w:tcPr>
            <w:tcW w:w="477" w:type="pct"/>
            <w:tcBorders>
              <w:top w:val="single" w:sz="4" w:space="0" w:color="auto"/>
              <w:bottom w:val="single" w:sz="4" w:space="0" w:color="auto"/>
            </w:tcBorders>
          </w:tcPr>
          <w:p w14:paraId="3E10DBCC"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
                <w:bCs/>
                <w:sz w:val="24"/>
                <w:szCs w:val="24"/>
              </w:rPr>
            </w:pPr>
          </w:p>
        </w:tc>
        <w:tc>
          <w:tcPr>
            <w:tcW w:w="497" w:type="pct"/>
            <w:tcBorders>
              <w:top w:val="single" w:sz="4" w:space="0" w:color="auto"/>
              <w:bottom w:val="single" w:sz="4" w:space="0" w:color="auto"/>
            </w:tcBorders>
            <w:vAlign w:val="center"/>
          </w:tcPr>
          <w:p w14:paraId="27CCE811"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
                <w:bCs/>
                <w:sz w:val="24"/>
                <w:szCs w:val="24"/>
              </w:rPr>
            </w:pPr>
            <w:r w:rsidRPr="004A7A2A">
              <w:rPr>
                <w:rFonts w:ascii="Book Antiqua" w:hAnsi="Book Antiqua" w:cs="Times New Roman"/>
                <w:b/>
                <w:bCs/>
                <w:sz w:val="24"/>
                <w:szCs w:val="24"/>
              </w:rPr>
              <w:t>Group</w:t>
            </w:r>
          </w:p>
        </w:tc>
        <w:tc>
          <w:tcPr>
            <w:tcW w:w="547" w:type="pct"/>
            <w:tcBorders>
              <w:top w:val="single" w:sz="4" w:space="0" w:color="auto"/>
              <w:bottom w:val="single" w:sz="4" w:space="0" w:color="auto"/>
            </w:tcBorders>
            <w:vAlign w:val="center"/>
          </w:tcPr>
          <w:p w14:paraId="7AEFAE89" w14:textId="4005D3C1"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
                <w:bCs/>
                <w:sz w:val="24"/>
                <w:szCs w:val="24"/>
              </w:rPr>
            </w:pPr>
            <w:r w:rsidRPr="004A7A2A">
              <w:rPr>
                <w:rFonts w:ascii="Book Antiqua" w:hAnsi="Book Antiqua" w:cs="Times New Roman"/>
                <w:b/>
                <w:bCs/>
                <w:sz w:val="24"/>
                <w:szCs w:val="24"/>
              </w:rPr>
              <w:t>N</w:t>
            </w:r>
            <w:r w:rsidR="00347522">
              <w:rPr>
                <w:rFonts w:ascii="Book Antiqua" w:hAnsi="Book Antiqua" w:cs="Times New Roman"/>
                <w:b/>
                <w:bCs/>
                <w:sz w:val="24"/>
                <w:szCs w:val="24"/>
              </w:rPr>
              <w:t>umber</w:t>
            </w:r>
          </w:p>
        </w:tc>
        <w:tc>
          <w:tcPr>
            <w:tcW w:w="451" w:type="pct"/>
            <w:tcBorders>
              <w:top w:val="single" w:sz="4" w:space="0" w:color="auto"/>
              <w:bottom w:val="single" w:sz="4" w:space="0" w:color="auto"/>
            </w:tcBorders>
            <w:vAlign w:val="center"/>
          </w:tcPr>
          <w:p w14:paraId="5807C038"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
                <w:bCs/>
                <w:sz w:val="24"/>
                <w:szCs w:val="24"/>
              </w:rPr>
            </w:pPr>
            <w:r w:rsidRPr="004A7A2A">
              <w:rPr>
                <w:rFonts w:ascii="Book Antiqua" w:hAnsi="Book Antiqua" w:cs="Times New Roman"/>
                <w:b/>
                <w:bCs/>
                <w:sz w:val="24"/>
                <w:szCs w:val="24"/>
              </w:rPr>
              <w:t>Mean</w:t>
            </w:r>
          </w:p>
        </w:tc>
        <w:tc>
          <w:tcPr>
            <w:tcW w:w="516" w:type="pct"/>
            <w:tcBorders>
              <w:top w:val="single" w:sz="4" w:space="0" w:color="auto"/>
              <w:bottom w:val="single" w:sz="4" w:space="0" w:color="auto"/>
            </w:tcBorders>
            <w:vAlign w:val="center"/>
          </w:tcPr>
          <w:p w14:paraId="3C660753"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
                <w:bCs/>
                <w:sz w:val="24"/>
                <w:szCs w:val="24"/>
              </w:rPr>
            </w:pPr>
            <w:r w:rsidRPr="004A7A2A">
              <w:rPr>
                <w:rFonts w:ascii="Book Antiqua" w:hAnsi="Book Antiqua" w:cs="Times New Roman"/>
                <w:b/>
                <w:bCs/>
                <w:sz w:val="24"/>
                <w:szCs w:val="24"/>
              </w:rPr>
              <w:t>Median</w:t>
            </w:r>
          </w:p>
        </w:tc>
        <w:tc>
          <w:tcPr>
            <w:tcW w:w="335" w:type="pct"/>
            <w:tcBorders>
              <w:top w:val="single" w:sz="4" w:space="0" w:color="auto"/>
              <w:bottom w:val="single" w:sz="4" w:space="0" w:color="auto"/>
            </w:tcBorders>
            <w:vAlign w:val="center"/>
          </w:tcPr>
          <w:p w14:paraId="3133D2F8"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
                <w:bCs/>
                <w:sz w:val="24"/>
                <w:szCs w:val="24"/>
              </w:rPr>
            </w:pPr>
            <w:r w:rsidRPr="004A7A2A">
              <w:rPr>
                <w:rFonts w:ascii="Book Antiqua" w:hAnsi="Book Antiqua" w:cs="Times New Roman"/>
                <w:b/>
                <w:bCs/>
                <w:sz w:val="24"/>
                <w:szCs w:val="24"/>
              </w:rPr>
              <w:t>Min</w:t>
            </w:r>
          </w:p>
        </w:tc>
        <w:tc>
          <w:tcPr>
            <w:tcW w:w="509" w:type="pct"/>
            <w:tcBorders>
              <w:top w:val="single" w:sz="4" w:space="0" w:color="auto"/>
              <w:bottom w:val="single" w:sz="4" w:space="0" w:color="auto"/>
            </w:tcBorders>
            <w:vAlign w:val="center"/>
          </w:tcPr>
          <w:p w14:paraId="2C314970"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
                <w:bCs/>
                <w:sz w:val="24"/>
                <w:szCs w:val="24"/>
              </w:rPr>
            </w:pPr>
            <w:r w:rsidRPr="004A7A2A">
              <w:rPr>
                <w:rFonts w:ascii="Book Antiqua" w:hAnsi="Book Antiqua" w:cs="Times New Roman"/>
                <w:b/>
                <w:bCs/>
                <w:sz w:val="24"/>
                <w:szCs w:val="24"/>
              </w:rPr>
              <w:t>Max</w:t>
            </w:r>
          </w:p>
        </w:tc>
        <w:tc>
          <w:tcPr>
            <w:tcW w:w="451" w:type="pct"/>
            <w:tcBorders>
              <w:top w:val="single" w:sz="4" w:space="0" w:color="auto"/>
              <w:bottom w:val="single" w:sz="4" w:space="0" w:color="auto"/>
            </w:tcBorders>
            <w:vAlign w:val="center"/>
          </w:tcPr>
          <w:p w14:paraId="79DB2341"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
                <w:bCs/>
                <w:sz w:val="24"/>
                <w:szCs w:val="24"/>
              </w:rPr>
            </w:pPr>
            <w:r w:rsidRPr="004A7A2A">
              <w:rPr>
                <w:rFonts w:ascii="Book Antiqua" w:hAnsi="Book Antiqua" w:cs="Times New Roman"/>
                <w:b/>
                <w:bCs/>
                <w:sz w:val="24"/>
                <w:szCs w:val="24"/>
              </w:rPr>
              <w:t>SD</w:t>
            </w:r>
          </w:p>
        </w:tc>
        <w:tc>
          <w:tcPr>
            <w:tcW w:w="364" w:type="pct"/>
            <w:tcBorders>
              <w:top w:val="single" w:sz="4" w:space="0" w:color="auto"/>
              <w:bottom w:val="single" w:sz="4" w:space="0" w:color="auto"/>
            </w:tcBorders>
            <w:vAlign w:val="center"/>
          </w:tcPr>
          <w:p w14:paraId="66E45F16" w14:textId="44C41D6E" w:rsidR="007057E4" w:rsidRPr="004A7A2A" w:rsidRDefault="003A4E33" w:rsidP="00347522">
            <w:pPr>
              <w:tabs>
                <w:tab w:val="left" w:pos="0"/>
              </w:tabs>
              <w:adjustRightInd w:val="0"/>
              <w:snapToGrid w:val="0"/>
              <w:spacing w:line="360" w:lineRule="auto"/>
              <w:ind w:firstLineChars="0" w:firstLine="0"/>
              <w:jc w:val="center"/>
              <w:rPr>
                <w:rFonts w:ascii="Book Antiqua" w:hAnsi="Book Antiqua" w:cs="Times New Roman"/>
                <w:b/>
                <w:bCs/>
                <w:sz w:val="24"/>
                <w:szCs w:val="24"/>
              </w:rPr>
            </w:pPr>
            <w:r w:rsidRPr="004A7A2A">
              <w:rPr>
                <w:rFonts w:ascii="Book Antiqua" w:hAnsi="Book Antiqua" w:cs="Times New Roman"/>
                <w:b/>
                <w:bCs/>
                <w:iCs/>
                <w:sz w:val="24"/>
                <w:szCs w:val="24"/>
                <w:vertAlign w:val="superscript"/>
              </w:rPr>
              <w:t>a</w:t>
            </w:r>
            <w:r w:rsidR="007057E4" w:rsidRPr="004A7A2A">
              <w:rPr>
                <w:rFonts w:ascii="Book Antiqua" w:hAnsi="Book Antiqua" w:cs="Times New Roman"/>
                <w:b/>
                <w:bCs/>
                <w:i/>
                <w:iCs/>
                <w:sz w:val="24"/>
                <w:szCs w:val="24"/>
              </w:rPr>
              <w:t>P</w:t>
            </w:r>
          </w:p>
        </w:tc>
      </w:tr>
      <w:tr w:rsidR="007C36D5" w:rsidRPr="004A7A2A" w14:paraId="4E9FB67E" w14:textId="77777777" w:rsidTr="00A16F2F">
        <w:trPr>
          <w:trHeight w:hRule="exact" w:val="567"/>
        </w:trPr>
        <w:tc>
          <w:tcPr>
            <w:tcW w:w="853" w:type="pct"/>
            <w:vMerge w:val="restart"/>
            <w:tcBorders>
              <w:top w:val="single" w:sz="4" w:space="0" w:color="auto"/>
            </w:tcBorders>
          </w:tcPr>
          <w:p w14:paraId="1AA07D8D" w14:textId="77777777" w:rsidR="007057E4" w:rsidRPr="00D27550"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p w14:paraId="19FD5AC6" w14:textId="77777777" w:rsidR="007057E4" w:rsidRPr="00D27550"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p w14:paraId="27901B86" w14:textId="77777777" w:rsidR="007057E4" w:rsidRPr="007E40DB"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r w:rsidRPr="007E40DB">
              <w:rPr>
                <w:rFonts w:ascii="Book Antiqua" w:hAnsi="Book Antiqua" w:cs="Times New Roman"/>
                <w:bCs/>
                <w:sz w:val="24"/>
                <w:szCs w:val="24"/>
              </w:rPr>
              <w:t>MUC1</w:t>
            </w:r>
          </w:p>
        </w:tc>
        <w:tc>
          <w:tcPr>
            <w:tcW w:w="477" w:type="pct"/>
            <w:vMerge w:val="restart"/>
            <w:tcBorders>
              <w:top w:val="single" w:sz="4" w:space="0" w:color="auto"/>
            </w:tcBorders>
          </w:tcPr>
          <w:p w14:paraId="5E7CA2FE"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p w14:paraId="6E85D6C4"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mRNA</w:t>
            </w:r>
          </w:p>
        </w:tc>
        <w:tc>
          <w:tcPr>
            <w:tcW w:w="497" w:type="pct"/>
            <w:tcBorders>
              <w:top w:val="single" w:sz="4" w:space="0" w:color="auto"/>
            </w:tcBorders>
          </w:tcPr>
          <w:p w14:paraId="1F8D1E02"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CRC</w:t>
            </w:r>
          </w:p>
        </w:tc>
        <w:tc>
          <w:tcPr>
            <w:tcW w:w="547" w:type="pct"/>
            <w:tcBorders>
              <w:top w:val="single" w:sz="4" w:space="0" w:color="auto"/>
            </w:tcBorders>
            <w:vAlign w:val="center"/>
          </w:tcPr>
          <w:p w14:paraId="03C4EF7F"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23</w:t>
            </w:r>
          </w:p>
        </w:tc>
        <w:tc>
          <w:tcPr>
            <w:tcW w:w="451" w:type="pct"/>
            <w:tcBorders>
              <w:top w:val="single" w:sz="4" w:space="0" w:color="auto"/>
            </w:tcBorders>
            <w:vAlign w:val="center"/>
          </w:tcPr>
          <w:p w14:paraId="35249A87"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75095</w:t>
            </w:r>
          </w:p>
        </w:tc>
        <w:tc>
          <w:tcPr>
            <w:tcW w:w="516" w:type="pct"/>
            <w:tcBorders>
              <w:top w:val="single" w:sz="4" w:space="0" w:color="auto"/>
            </w:tcBorders>
            <w:vAlign w:val="center"/>
          </w:tcPr>
          <w:p w14:paraId="5848FA25"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49309</w:t>
            </w:r>
          </w:p>
        </w:tc>
        <w:tc>
          <w:tcPr>
            <w:tcW w:w="335" w:type="pct"/>
            <w:tcBorders>
              <w:top w:val="single" w:sz="4" w:space="0" w:color="auto"/>
            </w:tcBorders>
            <w:vAlign w:val="center"/>
          </w:tcPr>
          <w:p w14:paraId="02B133C3"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5648</w:t>
            </w:r>
          </w:p>
        </w:tc>
        <w:tc>
          <w:tcPr>
            <w:tcW w:w="509" w:type="pct"/>
            <w:tcBorders>
              <w:top w:val="single" w:sz="4" w:space="0" w:color="auto"/>
            </w:tcBorders>
            <w:vAlign w:val="center"/>
          </w:tcPr>
          <w:p w14:paraId="631B7CE8"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267473</w:t>
            </w:r>
          </w:p>
        </w:tc>
        <w:tc>
          <w:tcPr>
            <w:tcW w:w="451" w:type="pct"/>
            <w:tcBorders>
              <w:top w:val="single" w:sz="4" w:space="0" w:color="auto"/>
            </w:tcBorders>
            <w:vAlign w:val="center"/>
          </w:tcPr>
          <w:p w14:paraId="3093AB8C"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72149</w:t>
            </w:r>
          </w:p>
        </w:tc>
        <w:tc>
          <w:tcPr>
            <w:tcW w:w="364" w:type="pct"/>
            <w:vMerge w:val="restart"/>
            <w:tcBorders>
              <w:top w:val="single" w:sz="4" w:space="0" w:color="auto"/>
            </w:tcBorders>
          </w:tcPr>
          <w:p w14:paraId="2C28ED7B"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rPr>
            </w:pPr>
          </w:p>
          <w:p w14:paraId="392B566F"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0.004</w:t>
            </w:r>
          </w:p>
        </w:tc>
      </w:tr>
      <w:tr w:rsidR="007C36D5" w:rsidRPr="004A7A2A" w14:paraId="18B3E930" w14:textId="77777777" w:rsidTr="00A16F2F">
        <w:trPr>
          <w:trHeight w:hRule="exact" w:val="567"/>
        </w:trPr>
        <w:tc>
          <w:tcPr>
            <w:tcW w:w="853" w:type="pct"/>
            <w:vMerge/>
            <w:shd w:val="clear" w:color="auto" w:fill="F2F2F2"/>
          </w:tcPr>
          <w:p w14:paraId="6028D544"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tc>
        <w:tc>
          <w:tcPr>
            <w:tcW w:w="477" w:type="pct"/>
            <w:vMerge/>
            <w:shd w:val="clear" w:color="auto" w:fill="F2F2F2"/>
          </w:tcPr>
          <w:p w14:paraId="198A753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tc>
        <w:tc>
          <w:tcPr>
            <w:tcW w:w="497" w:type="pct"/>
          </w:tcPr>
          <w:p w14:paraId="6FBF547B" w14:textId="32A9F0DC" w:rsidR="007057E4" w:rsidRPr="004A7A2A" w:rsidRDefault="00E363E6"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w:t>
            </w:r>
            <w:r w:rsidR="007057E4" w:rsidRPr="004A7A2A">
              <w:rPr>
                <w:rFonts w:ascii="Book Antiqua" w:hAnsi="Book Antiqua" w:cs="Times New Roman"/>
                <w:bCs/>
                <w:sz w:val="24"/>
                <w:szCs w:val="24"/>
              </w:rPr>
              <w:t>ontrol</w:t>
            </w:r>
          </w:p>
        </w:tc>
        <w:tc>
          <w:tcPr>
            <w:tcW w:w="547" w:type="pct"/>
            <w:vAlign w:val="center"/>
          </w:tcPr>
          <w:p w14:paraId="1A18F7E9"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23</w:t>
            </w:r>
          </w:p>
        </w:tc>
        <w:tc>
          <w:tcPr>
            <w:tcW w:w="451" w:type="pct"/>
            <w:vAlign w:val="center"/>
          </w:tcPr>
          <w:p w14:paraId="4AEB579F"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32413</w:t>
            </w:r>
          </w:p>
        </w:tc>
        <w:tc>
          <w:tcPr>
            <w:tcW w:w="516" w:type="pct"/>
            <w:vAlign w:val="center"/>
          </w:tcPr>
          <w:p w14:paraId="418D4E85"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20075</w:t>
            </w:r>
          </w:p>
        </w:tc>
        <w:tc>
          <w:tcPr>
            <w:tcW w:w="335" w:type="pct"/>
            <w:vAlign w:val="center"/>
          </w:tcPr>
          <w:p w14:paraId="650A236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w:t>
            </w:r>
          </w:p>
        </w:tc>
        <w:tc>
          <w:tcPr>
            <w:tcW w:w="509" w:type="pct"/>
            <w:vAlign w:val="center"/>
          </w:tcPr>
          <w:p w14:paraId="50FCED2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199681</w:t>
            </w:r>
          </w:p>
        </w:tc>
        <w:tc>
          <w:tcPr>
            <w:tcW w:w="451" w:type="pct"/>
            <w:vAlign w:val="center"/>
          </w:tcPr>
          <w:p w14:paraId="1222B6A1"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44486</w:t>
            </w:r>
          </w:p>
        </w:tc>
        <w:tc>
          <w:tcPr>
            <w:tcW w:w="364" w:type="pct"/>
            <w:vMerge/>
            <w:shd w:val="clear" w:color="auto" w:fill="F2F2F2"/>
          </w:tcPr>
          <w:p w14:paraId="58C50093"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rPr>
            </w:pPr>
          </w:p>
        </w:tc>
      </w:tr>
      <w:tr w:rsidR="007C36D5" w:rsidRPr="004A7A2A" w14:paraId="5A6B6A7C" w14:textId="77777777" w:rsidTr="00A16F2F">
        <w:trPr>
          <w:trHeight w:hRule="exact" w:val="567"/>
        </w:trPr>
        <w:tc>
          <w:tcPr>
            <w:tcW w:w="853" w:type="pct"/>
            <w:vMerge/>
          </w:tcPr>
          <w:p w14:paraId="49058B7D"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tc>
        <w:tc>
          <w:tcPr>
            <w:tcW w:w="477" w:type="pct"/>
            <w:vMerge w:val="restart"/>
          </w:tcPr>
          <w:p w14:paraId="74C504F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p w14:paraId="455C474E" w14:textId="0ABDA51E" w:rsidR="007057E4" w:rsidRPr="004A7A2A" w:rsidRDefault="00E363E6"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P</w:t>
            </w:r>
            <w:r w:rsidR="007057E4" w:rsidRPr="004A7A2A">
              <w:rPr>
                <w:rFonts w:ascii="Book Antiqua" w:hAnsi="Book Antiqua" w:cs="Times New Roman"/>
                <w:bCs/>
                <w:sz w:val="24"/>
                <w:szCs w:val="24"/>
              </w:rPr>
              <w:t>rotein</w:t>
            </w:r>
          </w:p>
        </w:tc>
        <w:tc>
          <w:tcPr>
            <w:tcW w:w="497" w:type="pct"/>
          </w:tcPr>
          <w:p w14:paraId="00285195"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CRC</w:t>
            </w:r>
          </w:p>
        </w:tc>
        <w:tc>
          <w:tcPr>
            <w:tcW w:w="547" w:type="pct"/>
            <w:vAlign w:val="center"/>
          </w:tcPr>
          <w:p w14:paraId="25CE773B"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34</w:t>
            </w:r>
          </w:p>
        </w:tc>
        <w:tc>
          <w:tcPr>
            <w:tcW w:w="451" w:type="pct"/>
            <w:vAlign w:val="center"/>
          </w:tcPr>
          <w:p w14:paraId="7CC0CB74"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2.57</w:t>
            </w:r>
          </w:p>
        </w:tc>
        <w:tc>
          <w:tcPr>
            <w:tcW w:w="516" w:type="pct"/>
            <w:vAlign w:val="center"/>
          </w:tcPr>
          <w:p w14:paraId="0B4A1223"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1.64</w:t>
            </w:r>
          </w:p>
        </w:tc>
        <w:tc>
          <w:tcPr>
            <w:tcW w:w="335" w:type="pct"/>
            <w:vAlign w:val="center"/>
          </w:tcPr>
          <w:p w14:paraId="33A678E5"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0.33</w:t>
            </w:r>
          </w:p>
        </w:tc>
        <w:tc>
          <w:tcPr>
            <w:tcW w:w="509" w:type="pct"/>
            <w:vAlign w:val="center"/>
          </w:tcPr>
          <w:p w14:paraId="1478BB2A"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9.80</w:t>
            </w:r>
          </w:p>
        </w:tc>
        <w:tc>
          <w:tcPr>
            <w:tcW w:w="451" w:type="pct"/>
            <w:vAlign w:val="center"/>
          </w:tcPr>
          <w:p w14:paraId="76B10927"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2.24</w:t>
            </w:r>
          </w:p>
        </w:tc>
        <w:tc>
          <w:tcPr>
            <w:tcW w:w="364" w:type="pct"/>
            <w:vMerge w:val="restart"/>
          </w:tcPr>
          <w:p w14:paraId="00B927A4"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rPr>
            </w:pPr>
          </w:p>
          <w:p w14:paraId="5A326577"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rPr>
            </w:pPr>
            <w:r w:rsidRPr="004A7A2A">
              <w:rPr>
                <w:rFonts w:ascii="Book Antiqua" w:hAnsi="Book Antiqua" w:cs="Times New Roman"/>
                <w:sz w:val="24"/>
                <w:szCs w:val="24"/>
                <w:lang w:val="pl-PL" w:eastAsia="pl-PL"/>
              </w:rPr>
              <w:t>0.627</w:t>
            </w:r>
          </w:p>
        </w:tc>
      </w:tr>
      <w:tr w:rsidR="007C36D5" w:rsidRPr="004A7A2A" w14:paraId="366E8ACE" w14:textId="77777777" w:rsidTr="00A16F2F">
        <w:trPr>
          <w:trHeight w:hRule="exact" w:val="567"/>
        </w:trPr>
        <w:tc>
          <w:tcPr>
            <w:tcW w:w="853" w:type="pct"/>
            <w:vMerge/>
          </w:tcPr>
          <w:p w14:paraId="65E0FDB2"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tc>
        <w:tc>
          <w:tcPr>
            <w:tcW w:w="477" w:type="pct"/>
            <w:vMerge/>
          </w:tcPr>
          <w:p w14:paraId="03719007"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tc>
        <w:tc>
          <w:tcPr>
            <w:tcW w:w="497" w:type="pct"/>
          </w:tcPr>
          <w:p w14:paraId="36AF0169" w14:textId="3C89F0FA" w:rsidR="007057E4" w:rsidRPr="004A7A2A" w:rsidRDefault="00E363E6"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w:t>
            </w:r>
            <w:r w:rsidR="007057E4" w:rsidRPr="004A7A2A">
              <w:rPr>
                <w:rFonts w:ascii="Book Antiqua" w:hAnsi="Book Antiqua" w:cs="Times New Roman"/>
                <w:bCs/>
                <w:sz w:val="24"/>
                <w:szCs w:val="24"/>
              </w:rPr>
              <w:t>ontrol</w:t>
            </w:r>
          </w:p>
        </w:tc>
        <w:tc>
          <w:tcPr>
            <w:tcW w:w="547" w:type="pct"/>
            <w:vAlign w:val="center"/>
          </w:tcPr>
          <w:p w14:paraId="72D5DAB4"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32</w:t>
            </w:r>
          </w:p>
        </w:tc>
        <w:tc>
          <w:tcPr>
            <w:tcW w:w="451" w:type="pct"/>
            <w:vAlign w:val="center"/>
          </w:tcPr>
          <w:p w14:paraId="11342920"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2.16</w:t>
            </w:r>
          </w:p>
        </w:tc>
        <w:tc>
          <w:tcPr>
            <w:tcW w:w="516" w:type="pct"/>
            <w:vAlign w:val="center"/>
          </w:tcPr>
          <w:p w14:paraId="191A5C50"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1.72</w:t>
            </w:r>
          </w:p>
        </w:tc>
        <w:tc>
          <w:tcPr>
            <w:tcW w:w="335" w:type="pct"/>
            <w:vAlign w:val="center"/>
          </w:tcPr>
          <w:p w14:paraId="23541892"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0.00</w:t>
            </w:r>
          </w:p>
        </w:tc>
        <w:tc>
          <w:tcPr>
            <w:tcW w:w="509" w:type="pct"/>
            <w:vAlign w:val="center"/>
          </w:tcPr>
          <w:p w14:paraId="6C3F52A8"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6.54</w:t>
            </w:r>
          </w:p>
        </w:tc>
        <w:tc>
          <w:tcPr>
            <w:tcW w:w="451" w:type="pct"/>
            <w:vAlign w:val="center"/>
          </w:tcPr>
          <w:p w14:paraId="5452EB05"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1.64</w:t>
            </w:r>
          </w:p>
        </w:tc>
        <w:tc>
          <w:tcPr>
            <w:tcW w:w="364" w:type="pct"/>
            <w:vMerge/>
          </w:tcPr>
          <w:p w14:paraId="0C0EFF8D"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rPr>
            </w:pPr>
          </w:p>
        </w:tc>
      </w:tr>
      <w:tr w:rsidR="007C36D5" w:rsidRPr="004A7A2A" w14:paraId="61BEC809" w14:textId="77777777" w:rsidTr="00A16F2F">
        <w:trPr>
          <w:trHeight w:hRule="exact" w:val="567"/>
        </w:trPr>
        <w:tc>
          <w:tcPr>
            <w:tcW w:w="853" w:type="pct"/>
            <w:vMerge w:val="restart"/>
          </w:tcPr>
          <w:p w14:paraId="49CFDEB9" w14:textId="77777777" w:rsidR="007057E4" w:rsidRPr="00D27550"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p w14:paraId="46A02989" w14:textId="77777777" w:rsidR="007057E4" w:rsidRPr="00D27550"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p w14:paraId="09664DCE" w14:textId="77777777" w:rsidR="007057E4" w:rsidRPr="007E40DB"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r w:rsidRPr="007E40DB">
              <w:rPr>
                <w:rFonts w:ascii="Book Antiqua" w:hAnsi="Book Antiqua" w:cs="Times New Roman"/>
                <w:bCs/>
                <w:sz w:val="24"/>
                <w:szCs w:val="24"/>
              </w:rPr>
              <w:t>MUC2</w:t>
            </w:r>
          </w:p>
          <w:p w14:paraId="34C393EE"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p w14:paraId="4E0EDEDD"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p w14:paraId="2B88901D"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tc>
        <w:tc>
          <w:tcPr>
            <w:tcW w:w="477" w:type="pct"/>
            <w:vMerge w:val="restart"/>
          </w:tcPr>
          <w:p w14:paraId="310D7B7B"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p w14:paraId="6D46FA71"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mRNA</w:t>
            </w:r>
          </w:p>
        </w:tc>
        <w:tc>
          <w:tcPr>
            <w:tcW w:w="497" w:type="pct"/>
          </w:tcPr>
          <w:p w14:paraId="5702BC4F"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CRC</w:t>
            </w:r>
          </w:p>
        </w:tc>
        <w:tc>
          <w:tcPr>
            <w:tcW w:w="547" w:type="pct"/>
            <w:vAlign w:val="center"/>
          </w:tcPr>
          <w:p w14:paraId="1EFEF4E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23</w:t>
            </w:r>
          </w:p>
        </w:tc>
        <w:tc>
          <w:tcPr>
            <w:tcW w:w="451" w:type="pct"/>
            <w:vAlign w:val="center"/>
          </w:tcPr>
          <w:p w14:paraId="3605D8FF"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350227</w:t>
            </w:r>
          </w:p>
        </w:tc>
        <w:tc>
          <w:tcPr>
            <w:tcW w:w="516" w:type="pct"/>
            <w:vAlign w:val="center"/>
          </w:tcPr>
          <w:p w14:paraId="19628661"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191457</w:t>
            </w:r>
          </w:p>
        </w:tc>
        <w:tc>
          <w:tcPr>
            <w:tcW w:w="335" w:type="pct"/>
            <w:vAlign w:val="center"/>
          </w:tcPr>
          <w:p w14:paraId="73CA059C"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2806</w:t>
            </w:r>
          </w:p>
        </w:tc>
        <w:tc>
          <w:tcPr>
            <w:tcW w:w="509" w:type="pct"/>
            <w:vAlign w:val="center"/>
          </w:tcPr>
          <w:p w14:paraId="284631BA"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2399156</w:t>
            </w:r>
          </w:p>
        </w:tc>
        <w:tc>
          <w:tcPr>
            <w:tcW w:w="451" w:type="pct"/>
            <w:vAlign w:val="center"/>
          </w:tcPr>
          <w:p w14:paraId="27EE7062"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529270</w:t>
            </w:r>
          </w:p>
        </w:tc>
        <w:tc>
          <w:tcPr>
            <w:tcW w:w="364" w:type="pct"/>
            <w:vMerge w:val="restart"/>
          </w:tcPr>
          <w:p w14:paraId="015A21D8"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rPr>
            </w:pPr>
          </w:p>
          <w:p w14:paraId="79D0FE75"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rPr>
            </w:pPr>
            <w:r w:rsidRPr="004A7A2A">
              <w:rPr>
                <w:rFonts w:ascii="Book Antiqua" w:hAnsi="Book Antiqua" w:cs="Times New Roman"/>
                <w:sz w:val="24"/>
                <w:szCs w:val="24"/>
              </w:rPr>
              <w:t>0.274</w:t>
            </w:r>
          </w:p>
        </w:tc>
      </w:tr>
      <w:tr w:rsidR="007C36D5" w:rsidRPr="004A7A2A" w14:paraId="30ED83B0" w14:textId="77777777" w:rsidTr="00A16F2F">
        <w:trPr>
          <w:trHeight w:hRule="exact" w:val="567"/>
        </w:trPr>
        <w:tc>
          <w:tcPr>
            <w:tcW w:w="853" w:type="pct"/>
            <w:vMerge/>
            <w:shd w:val="clear" w:color="auto" w:fill="F2F2F2"/>
          </w:tcPr>
          <w:p w14:paraId="6F0CFE79"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tc>
        <w:tc>
          <w:tcPr>
            <w:tcW w:w="477" w:type="pct"/>
            <w:vMerge/>
            <w:shd w:val="clear" w:color="auto" w:fill="F2F2F2"/>
          </w:tcPr>
          <w:p w14:paraId="608B55CD"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tc>
        <w:tc>
          <w:tcPr>
            <w:tcW w:w="497" w:type="pct"/>
          </w:tcPr>
          <w:p w14:paraId="5C677E66" w14:textId="12EE847C" w:rsidR="007057E4" w:rsidRPr="004A7A2A" w:rsidRDefault="00E363E6"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w:t>
            </w:r>
            <w:r w:rsidR="007057E4" w:rsidRPr="004A7A2A">
              <w:rPr>
                <w:rFonts w:ascii="Book Antiqua" w:hAnsi="Book Antiqua" w:cs="Times New Roman"/>
                <w:bCs/>
                <w:sz w:val="24"/>
                <w:szCs w:val="24"/>
              </w:rPr>
              <w:t>ontrol</w:t>
            </w:r>
          </w:p>
        </w:tc>
        <w:tc>
          <w:tcPr>
            <w:tcW w:w="547" w:type="pct"/>
            <w:vAlign w:val="center"/>
          </w:tcPr>
          <w:p w14:paraId="09690299"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23</w:t>
            </w:r>
          </w:p>
        </w:tc>
        <w:tc>
          <w:tcPr>
            <w:tcW w:w="451" w:type="pct"/>
            <w:vAlign w:val="center"/>
          </w:tcPr>
          <w:p w14:paraId="1C955E82"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219744</w:t>
            </w:r>
          </w:p>
        </w:tc>
        <w:tc>
          <w:tcPr>
            <w:tcW w:w="516" w:type="pct"/>
            <w:vAlign w:val="center"/>
          </w:tcPr>
          <w:p w14:paraId="29575A2C"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130691</w:t>
            </w:r>
          </w:p>
        </w:tc>
        <w:tc>
          <w:tcPr>
            <w:tcW w:w="335" w:type="pct"/>
            <w:vAlign w:val="center"/>
          </w:tcPr>
          <w:p w14:paraId="172B25A0"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1</w:t>
            </w:r>
          </w:p>
        </w:tc>
        <w:tc>
          <w:tcPr>
            <w:tcW w:w="509" w:type="pct"/>
            <w:vAlign w:val="center"/>
          </w:tcPr>
          <w:p w14:paraId="6D4F2438"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1509936</w:t>
            </w:r>
          </w:p>
        </w:tc>
        <w:tc>
          <w:tcPr>
            <w:tcW w:w="451" w:type="pct"/>
            <w:vAlign w:val="center"/>
          </w:tcPr>
          <w:p w14:paraId="102D61EC"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324252</w:t>
            </w:r>
          </w:p>
        </w:tc>
        <w:tc>
          <w:tcPr>
            <w:tcW w:w="364" w:type="pct"/>
            <w:vMerge/>
            <w:shd w:val="clear" w:color="auto" w:fill="F2F2F2"/>
          </w:tcPr>
          <w:p w14:paraId="38124BAA"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rPr>
            </w:pPr>
          </w:p>
        </w:tc>
      </w:tr>
      <w:tr w:rsidR="007C36D5" w:rsidRPr="004A7A2A" w14:paraId="48EFD35A" w14:textId="77777777" w:rsidTr="00A16F2F">
        <w:trPr>
          <w:trHeight w:hRule="exact" w:val="567"/>
        </w:trPr>
        <w:tc>
          <w:tcPr>
            <w:tcW w:w="853" w:type="pct"/>
            <w:vMerge/>
          </w:tcPr>
          <w:p w14:paraId="22E1C2FE"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tc>
        <w:tc>
          <w:tcPr>
            <w:tcW w:w="477" w:type="pct"/>
            <w:vMerge w:val="restart"/>
          </w:tcPr>
          <w:p w14:paraId="4A024BC3"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p w14:paraId="5521483D" w14:textId="287420D4" w:rsidR="007057E4" w:rsidRPr="004A7A2A" w:rsidRDefault="00E363E6"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P</w:t>
            </w:r>
            <w:r w:rsidR="007057E4" w:rsidRPr="004A7A2A">
              <w:rPr>
                <w:rFonts w:ascii="Book Antiqua" w:hAnsi="Book Antiqua" w:cs="Times New Roman"/>
                <w:bCs/>
                <w:sz w:val="24"/>
                <w:szCs w:val="24"/>
              </w:rPr>
              <w:t>rotein</w:t>
            </w:r>
          </w:p>
        </w:tc>
        <w:tc>
          <w:tcPr>
            <w:tcW w:w="497" w:type="pct"/>
          </w:tcPr>
          <w:p w14:paraId="78DD222D"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CRC</w:t>
            </w:r>
          </w:p>
        </w:tc>
        <w:tc>
          <w:tcPr>
            <w:tcW w:w="547" w:type="pct"/>
            <w:vAlign w:val="center"/>
          </w:tcPr>
          <w:p w14:paraId="56750644"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34</w:t>
            </w:r>
          </w:p>
        </w:tc>
        <w:tc>
          <w:tcPr>
            <w:tcW w:w="451" w:type="pct"/>
            <w:vAlign w:val="center"/>
          </w:tcPr>
          <w:p w14:paraId="627E4A8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4.94</w:t>
            </w:r>
          </w:p>
        </w:tc>
        <w:tc>
          <w:tcPr>
            <w:tcW w:w="516" w:type="pct"/>
            <w:vAlign w:val="center"/>
          </w:tcPr>
          <w:p w14:paraId="21FDDF22"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2.15</w:t>
            </w:r>
          </w:p>
        </w:tc>
        <w:tc>
          <w:tcPr>
            <w:tcW w:w="335" w:type="pct"/>
            <w:vAlign w:val="center"/>
          </w:tcPr>
          <w:p w14:paraId="2365D6C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0.20</w:t>
            </w:r>
          </w:p>
        </w:tc>
        <w:tc>
          <w:tcPr>
            <w:tcW w:w="509" w:type="pct"/>
            <w:vAlign w:val="center"/>
          </w:tcPr>
          <w:p w14:paraId="14ED1EFB"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eastAsia="pl-PL"/>
              </w:rPr>
              <w:t>32.</w:t>
            </w:r>
            <w:r w:rsidRPr="004A7A2A">
              <w:rPr>
                <w:rFonts w:ascii="Book Antiqua" w:hAnsi="Book Antiqua" w:cs="Times New Roman"/>
                <w:sz w:val="24"/>
                <w:szCs w:val="24"/>
                <w:lang w:val="pl-PL" w:eastAsia="pl-PL"/>
              </w:rPr>
              <w:t>30</w:t>
            </w:r>
          </w:p>
        </w:tc>
        <w:tc>
          <w:tcPr>
            <w:tcW w:w="451" w:type="pct"/>
            <w:vAlign w:val="center"/>
          </w:tcPr>
          <w:p w14:paraId="67CA4DBC"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7.24</w:t>
            </w:r>
          </w:p>
        </w:tc>
        <w:tc>
          <w:tcPr>
            <w:tcW w:w="364" w:type="pct"/>
            <w:vMerge w:val="restart"/>
          </w:tcPr>
          <w:p w14:paraId="57151B3C"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rPr>
            </w:pPr>
          </w:p>
          <w:p w14:paraId="5FC2A2E3"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lang w:val="pl-PL"/>
              </w:rPr>
              <w:t>0.035</w:t>
            </w:r>
          </w:p>
        </w:tc>
      </w:tr>
      <w:tr w:rsidR="007C36D5" w:rsidRPr="004A7A2A" w14:paraId="505D8F10" w14:textId="77777777" w:rsidTr="00A16F2F">
        <w:trPr>
          <w:trHeight w:hRule="exact" w:val="567"/>
        </w:trPr>
        <w:tc>
          <w:tcPr>
            <w:tcW w:w="853" w:type="pct"/>
            <w:vMerge/>
          </w:tcPr>
          <w:p w14:paraId="338C0B52"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tc>
        <w:tc>
          <w:tcPr>
            <w:tcW w:w="477" w:type="pct"/>
            <w:vMerge/>
          </w:tcPr>
          <w:p w14:paraId="1E9B2AA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tc>
        <w:tc>
          <w:tcPr>
            <w:tcW w:w="497" w:type="pct"/>
          </w:tcPr>
          <w:p w14:paraId="41BFDE53" w14:textId="635D3E78" w:rsidR="007057E4" w:rsidRPr="004A7A2A" w:rsidRDefault="00E363E6"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w:t>
            </w:r>
            <w:r w:rsidR="007057E4" w:rsidRPr="004A7A2A">
              <w:rPr>
                <w:rFonts w:ascii="Book Antiqua" w:hAnsi="Book Antiqua" w:cs="Times New Roman"/>
                <w:bCs/>
                <w:sz w:val="24"/>
                <w:szCs w:val="24"/>
              </w:rPr>
              <w:t>ontrol</w:t>
            </w:r>
          </w:p>
        </w:tc>
        <w:tc>
          <w:tcPr>
            <w:tcW w:w="547" w:type="pct"/>
            <w:vAlign w:val="center"/>
          </w:tcPr>
          <w:p w14:paraId="78C0DC95"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32</w:t>
            </w:r>
          </w:p>
        </w:tc>
        <w:tc>
          <w:tcPr>
            <w:tcW w:w="451" w:type="pct"/>
            <w:vAlign w:val="center"/>
          </w:tcPr>
          <w:p w14:paraId="19DB3671"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7.40</w:t>
            </w:r>
          </w:p>
        </w:tc>
        <w:tc>
          <w:tcPr>
            <w:tcW w:w="516" w:type="pct"/>
            <w:vAlign w:val="center"/>
          </w:tcPr>
          <w:p w14:paraId="09C45FB3"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5.15</w:t>
            </w:r>
          </w:p>
        </w:tc>
        <w:tc>
          <w:tcPr>
            <w:tcW w:w="335" w:type="pct"/>
            <w:vAlign w:val="center"/>
          </w:tcPr>
          <w:p w14:paraId="4D9816EA"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0.73</w:t>
            </w:r>
          </w:p>
        </w:tc>
        <w:tc>
          <w:tcPr>
            <w:tcW w:w="509" w:type="pct"/>
            <w:vAlign w:val="center"/>
          </w:tcPr>
          <w:p w14:paraId="5EB3F462"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31.60</w:t>
            </w:r>
          </w:p>
        </w:tc>
        <w:tc>
          <w:tcPr>
            <w:tcW w:w="451" w:type="pct"/>
            <w:vAlign w:val="center"/>
          </w:tcPr>
          <w:p w14:paraId="38B34A97"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6.77</w:t>
            </w:r>
          </w:p>
        </w:tc>
        <w:tc>
          <w:tcPr>
            <w:tcW w:w="364" w:type="pct"/>
            <w:vMerge/>
          </w:tcPr>
          <w:p w14:paraId="5141476A"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rPr>
            </w:pPr>
          </w:p>
        </w:tc>
      </w:tr>
      <w:tr w:rsidR="007C36D5" w:rsidRPr="004A7A2A" w14:paraId="14F596F6" w14:textId="77777777" w:rsidTr="00A16F2F">
        <w:trPr>
          <w:trHeight w:hRule="exact" w:val="567"/>
        </w:trPr>
        <w:tc>
          <w:tcPr>
            <w:tcW w:w="853" w:type="pct"/>
            <w:vMerge w:val="restart"/>
          </w:tcPr>
          <w:p w14:paraId="304645AF" w14:textId="77777777" w:rsidR="007057E4" w:rsidRPr="00D27550"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p w14:paraId="12EC217E" w14:textId="77777777" w:rsidR="007057E4" w:rsidRPr="00D27550"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p w14:paraId="07CDAD3A" w14:textId="77777777" w:rsidR="007057E4" w:rsidRPr="007E40DB"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r w:rsidRPr="007E40DB">
              <w:rPr>
                <w:rFonts w:ascii="Book Antiqua" w:hAnsi="Book Antiqua" w:cs="Times New Roman"/>
                <w:bCs/>
                <w:sz w:val="24"/>
                <w:szCs w:val="24"/>
              </w:rPr>
              <w:t>MUC1/MUC2</w:t>
            </w:r>
          </w:p>
          <w:p w14:paraId="787B445D"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r w:rsidRPr="004A7A2A">
              <w:rPr>
                <w:rFonts w:ascii="Book Antiqua" w:hAnsi="Book Antiqua" w:cs="Times New Roman"/>
                <w:bCs/>
                <w:sz w:val="24"/>
                <w:szCs w:val="24"/>
              </w:rPr>
              <w:t>ratio</w:t>
            </w:r>
          </w:p>
        </w:tc>
        <w:tc>
          <w:tcPr>
            <w:tcW w:w="477" w:type="pct"/>
            <w:vMerge w:val="restart"/>
          </w:tcPr>
          <w:p w14:paraId="2BFA89C4"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p w14:paraId="4583DFEC"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mRNA</w:t>
            </w:r>
          </w:p>
        </w:tc>
        <w:tc>
          <w:tcPr>
            <w:tcW w:w="497" w:type="pct"/>
          </w:tcPr>
          <w:p w14:paraId="6F3231A8"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CRC</w:t>
            </w:r>
          </w:p>
        </w:tc>
        <w:tc>
          <w:tcPr>
            <w:tcW w:w="547" w:type="pct"/>
            <w:vAlign w:val="center"/>
          </w:tcPr>
          <w:p w14:paraId="73A7DA76"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23</w:t>
            </w:r>
          </w:p>
        </w:tc>
        <w:tc>
          <w:tcPr>
            <w:tcW w:w="451" w:type="pct"/>
            <w:vAlign w:val="center"/>
          </w:tcPr>
          <w:p w14:paraId="0974D862"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1.56</w:t>
            </w:r>
          </w:p>
        </w:tc>
        <w:tc>
          <w:tcPr>
            <w:tcW w:w="516" w:type="pct"/>
            <w:vAlign w:val="center"/>
          </w:tcPr>
          <w:p w14:paraId="629DD049"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0.25</w:t>
            </w:r>
          </w:p>
        </w:tc>
        <w:tc>
          <w:tcPr>
            <w:tcW w:w="335" w:type="pct"/>
            <w:vAlign w:val="center"/>
          </w:tcPr>
          <w:p w14:paraId="5B4C728F"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0.06</w:t>
            </w:r>
          </w:p>
        </w:tc>
        <w:tc>
          <w:tcPr>
            <w:tcW w:w="509" w:type="pct"/>
            <w:vAlign w:val="center"/>
          </w:tcPr>
          <w:p w14:paraId="1ED3C353"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21.30</w:t>
            </w:r>
          </w:p>
        </w:tc>
        <w:tc>
          <w:tcPr>
            <w:tcW w:w="451" w:type="pct"/>
            <w:vAlign w:val="center"/>
          </w:tcPr>
          <w:p w14:paraId="3CF905CB"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4.50</w:t>
            </w:r>
          </w:p>
        </w:tc>
        <w:tc>
          <w:tcPr>
            <w:tcW w:w="364" w:type="pct"/>
            <w:vMerge w:val="restart"/>
          </w:tcPr>
          <w:p w14:paraId="386010E4"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rPr>
            </w:pPr>
          </w:p>
          <w:p w14:paraId="5874D3FE"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rPr>
            </w:pPr>
            <w:r w:rsidRPr="004A7A2A">
              <w:rPr>
                <w:rFonts w:ascii="Book Antiqua" w:hAnsi="Book Antiqua" w:cs="Times New Roman"/>
                <w:sz w:val="24"/>
                <w:szCs w:val="24"/>
                <w:lang w:val="pl-PL"/>
              </w:rPr>
              <w:t>0.128</w:t>
            </w:r>
          </w:p>
        </w:tc>
      </w:tr>
      <w:tr w:rsidR="007C36D5" w:rsidRPr="004A7A2A" w14:paraId="159ED42F" w14:textId="77777777" w:rsidTr="00A16F2F">
        <w:trPr>
          <w:trHeight w:hRule="exact" w:val="567"/>
        </w:trPr>
        <w:tc>
          <w:tcPr>
            <w:tcW w:w="853" w:type="pct"/>
            <w:vMerge/>
          </w:tcPr>
          <w:p w14:paraId="2CAD0D1F"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rPr>
            </w:pPr>
          </w:p>
        </w:tc>
        <w:tc>
          <w:tcPr>
            <w:tcW w:w="477" w:type="pct"/>
            <w:vMerge/>
          </w:tcPr>
          <w:p w14:paraId="05DD291E"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tc>
        <w:tc>
          <w:tcPr>
            <w:tcW w:w="497" w:type="pct"/>
          </w:tcPr>
          <w:p w14:paraId="107F28FC" w14:textId="0B326EFE" w:rsidR="007057E4" w:rsidRPr="004A7A2A" w:rsidRDefault="00E363E6"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w:t>
            </w:r>
            <w:r w:rsidR="007057E4" w:rsidRPr="004A7A2A">
              <w:rPr>
                <w:rFonts w:ascii="Book Antiqua" w:hAnsi="Book Antiqua" w:cs="Times New Roman"/>
                <w:bCs/>
                <w:sz w:val="24"/>
                <w:szCs w:val="24"/>
              </w:rPr>
              <w:t>ontrol</w:t>
            </w:r>
          </w:p>
        </w:tc>
        <w:tc>
          <w:tcPr>
            <w:tcW w:w="547" w:type="pct"/>
            <w:vAlign w:val="center"/>
          </w:tcPr>
          <w:p w14:paraId="79541127"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23</w:t>
            </w:r>
          </w:p>
        </w:tc>
        <w:tc>
          <w:tcPr>
            <w:tcW w:w="451" w:type="pct"/>
            <w:vAlign w:val="center"/>
          </w:tcPr>
          <w:p w14:paraId="2922FB8E"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0.28</w:t>
            </w:r>
          </w:p>
        </w:tc>
        <w:tc>
          <w:tcPr>
            <w:tcW w:w="516" w:type="pct"/>
            <w:vAlign w:val="center"/>
          </w:tcPr>
          <w:p w14:paraId="3E195020"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0.18</w:t>
            </w:r>
          </w:p>
        </w:tc>
        <w:tc>
          <w:tcPr>
            <w:tcW w:w="335" w:type="pct"/>
            <w:vAlign w:val="center"/>
          </w:tcPr>
          <w:p w14:paraId="6C23B7C9"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0.04</w:t>
            </w:r>
          </w:p>
        </w:tc>
        <w:tc>
          <w:tcPr>
            <w:tcW w:w="509" w:type="pct"/>
            <w:vAlign w:val="center"/>
          </w:tcPr>
          <w:p w14:paraId="314E83E5"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2.00</w:t>
            </w:r>
          </w:p>
        </w:tc>
        <w:tc>
          <w:tcPr>
            <w:tcW w:w="451" w:type="pct"/>
            <w:vAlign w:val="center"/>
          </w:tcPr>
          <w:p w14:paraId="2C26B4FF"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0.40</w:t>
            </w:r>
          </w:p>
        </w:tc>
        <w:tc>
          <w:tcPr>
            <w:tcW w:w="364" w:type="pct"/>
            <w:vMerge/>
          </w:tcPr>
          <w:p w14:paraId="63FA5514"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rPr>
            </w:pPr>
          </w:p>
        </w:tc>
      </w:tr>
      <w:tr w:rsidR="007C36D5" w:rsidRPr="004A7A2A" w14:paraId="3DA5901C" w14:textId="77777777" w:rsidTr="00A16F2F">
        <w:trPr>
          <w:trHeight w:hRule="exact" w:val="567"/>
        </w:trPr>
        <w:tc>
          <w:tcPr>
            <w:tcW w:w="853" w:type="pct"/>
            <w:vMerge/>
          </w:tcPr>
          <w:p w14:paraId="093EC27B"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Cs/>
                <w:sz w:val="24"/>
                <w:szCs w:val="24"/>
                <w:lang w:val="pl-PL"/>
              </w:rPr>
            </w:pPr>
          </w:p>
        </w:tc>
        <w:tc>
          <w:tcPr>
            <w:tcW w:w="477" w:type="pct"/>
            <w:vMerge w:val="restart"/>
          </w:tcPr>
          <w:p w14:paraId="47B78D0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p>
          <w:p w14:paraId="67A9FCB0" w14:textId="0A1C2FF3" w:rsidR="007057E4" w:rsidRPr="004A7A2A" w:rsidRDefault="00E363E6"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P</w:t>
            </w:r>
            <w:r w:rsidR="007057E4" w:rsidRPr="004A7A2A">
              <w:rPr>
                <w:rFonts w:ascii="Book Antiqua" w:hAnsi="Book Antiqua" w:cs="Times New Roman"/>
                <w:bCs/>
                <w:sz w:val="24"/>
                <w:szCs w:val="24"/>
              </w:rPr>
              <w:t>rotein</w:t>
            </w:r>
          </w:p>
        </w:tc>
        <w:tc>
          <w:tcPr>
            <w:tcW w:w="497" w:type="pct"/>
          </w:tcPr>
          <w:p w14:paraId="7F4FE026"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CRC</w:t>
            </w:r>
          </w:p>
        </w:tc>
        <w:tc>
          <w:tcPr>
            <w:tcW w:w="547" w:type="pct"/>
            <w:vAlign w:val="center"/>
          </w:tcPr>
          <w:p w14:paraId="36570771"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34</w:t>
            </w:r>
          </w:p>
        </w:tc>
        <w:tc>
          <w:tcPr>
            <w:tcW w:w="451" w:type="pct"/>
            <w:vAlign w:val="center"/>
          </w:tcPr>
          <w:p w14:paraId="43C55AC9"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1.84</w:t>
            </w:r>
          </w:p>
        </w:tc>
        <w:tc>
          <w:tcPr>
            <w:tcW w:w="516" w:type="pct"/>
            <w:vAlign w:val="center"/>
          </w:tcPr>
          <w:p w14:paraId="0538979B"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0.80</w:t>
            </w:r>
          </w:p>
        </w:tc>
        <w:tc>
          <w:tcPr>
            <w:tcW w:w="335" w:type="pct"/>
            <w:vAlign w:val="center"/>
          </w:tcPr>
          <w:p w14:paraId="671CCCD4"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0.04</w:t>
            </w:r>
          </w:p>
        </w:tc>
        <w:tc>
          <w:tcPr>
            <w:tcW w:w="509" w:type="pct"/>
            <w:vAlign w:val="center"/>
          </w:tcPr>
          <w:p w14:paraId="56EAD1B5"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10.35</w:t>
            </w:r>
          </w:p>
        </w:tc>
        <w:tc>
          <w:tcPr>
            <w:tcW w:w="451" w:type="pct"/>
            <w:vAlign w:val="center"/>
          </w:tcPr>
          <w:p w14:paraId="097BEDCA"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2.54</w:t>
            </w:r>
          </w:p>
        </w:tc>
        <w:tc>
          <w:tcPr>
            <w:tcW w:w="364" w:type="pct"/>
            <w:vMerge w:val="restart"/>
          </w:tcPr>
          <w:p w14:paraId="725E1A79"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sz w:val="24"/>
                <w:szCs w:val="24"/>
                <w:lang w:val="pl-PL"/>
              </w:rPr>
            </w:pPr>
          </w:p>
          <w:p w14:paraId="1F2A87B9" w14:textId="77777777" w:rsidR="007057E4" w:rsidRPr="004A7A2A" w:rsidRDefault="007057E4" w:rsidP="00347522">
            <w:pPr>
              <w:tabs>
                <w:tab w:val="left" w:pos="0"/>
              </w:tabs>
              <w:adjustRightInd w:val="0"/>
              <w:snapToGrid w:val="0"/>
              <w:spacing w:line="360" w:lineRule="auto"/>
              <w:ind w:firstLineChars="0" w:firstLine="0"/>
              <w:jc w:val="center"/>
              <w:rPr>
                <w:rFonts w:ascii="Book Antiqua" w:hAnsi="Book Antiqua" w:cs="Times New Roman"/>
                <w:bCs/>
                <w:sz w:val="24"/>
                <w:szCs w:val="24"/>
                <w:lang w:val="pl-PL"/>
              </w:rPr>
            </w:pPr>
            <w:r w:rsidRPr="004A7A2A">
              <w:rPr>
                <w:rFonts w:ascii="Book Antiqua" w:hAnsi="Book Antiqua" w:cs="Times New Roman"/>
                <w:bCs/>
                <w:sz w:val="24"/>
                <w:szCs w:val="24"/>
                <w:lang w:val="pl-PL"/>
              </w:rPr>
              <w:t>0.003</w:t>
            </w:r>
          </w:p>
        </w:tc>
      </w:tr>
      <w:tr w:rsidR="007C36D5" w:rsidRPr="004A7A2A" w14:paraId="699DC4C0" w14:textId="77777777" w:rsidTr="00A16F2F">
        <w:trPr>
          <w:trHeight w:hRule="exact" w:val="567"/>
        </w:trPr>
        <w:tc>
          <w:tcPr>
            <w:tcW w:w="853" w:type="pct"/>
            <w:vMerge/>
            <w:tcBorders>
              <w:bottom w:val="single" w:sz="4" w:space="0" w:color="auto"/>
            </w:tcBorders>
          </w:tcPr>
          <w:p w14:paraId="13965C17" w14:textId="77777777" w:rsidR="007057E4" w:rsidRPr="004A7A2A" w:rsidRDefault="007057E4" w:rsidP="004A7A2A">
            <w:pPr>
              <w:tabs>
                <w:tab w:val="left" w:pos="0"/>
              </w:tabs>
              <w:adjustRightInd w:val="0"/>
              <w:snapToGrid w:val="0"/>
              <w:spacing w:line="360" w:lineRule="auto"/>
              <w:ind w:firstLineChars="0" w:firstLine="0"/>
              <w:jc w:val="both"/>
              <w:rPr>
                <w:rFonts w:ascii="Book Antiqua" w:hAnsi="Book Antiqua" w:cs="Times New Roman"/>
                <w:b/>
                <w:bCs/>
                <w:sz w:val="24"/>
                <w:szCs w:val="24"/>
                <w:lang w:val="pl-PL"/>
              </w:rPr>
            </w:pPr>
          </w:p>
        </w:tc>
        <w:tc>
          <w:tcPr>
            <w:tcW w:w="477" w:type="pct"/>
            <w:vMerge/>
            <w:tcBorders>
              <w:bottom w:val="single" w:sz="4" w:space="0" w:color="auto"/>
            </w:tcBorders>
          </w:tcPr>
          <w:p w14:paraId="0A5790A3" w14:textId="77777777" w:rsidR="007057E4" w:rsidRPr="004A7A2A" w:rsidRDefault="007057E4" w:rsidP="00876C44">
            <w:pPr>
              <w:tabs>
                <w:tab w:val="left" w:pos="0"/>
              </w:tabs>
              <w:adjustRightInd w:val="0"/>
              <w:snapToGrid w:val="0"/>
              <w:spacing w:line="360" w:lineRule="auto"/>
              <w:ind w:firstLineChars="0" w:firstLine="0"/>
              <w:jc w:val="center"/>
              <w:rPr>
                <w:rFonts w:ascii="Book Antiqua" w:hAnsi="Book Antiqua" w:cs="Times New Roman"/>
                <w:b/>
                <w:bCs/>
                <w:sz w:val="24"/>
                <w:szCs w:val="24"/>
              </w:rPr>
            </w:pPr>
          </w:p>
        </w:tc>
        <w:tc>
          <w:tcPr>
            <w:tcW w:w="497" w:type="pct"/>
            <w:tcBorders>
              <w:bottom w:val="single" w:sz="4" w:space="0" w:color="auto"/>
            </w:tcBorders>
          </w:tcPr>
          <w:p w14:paraId="5C546C1E" w14:textId="28D8C13E" w:rsidR="007057E4" w:rsidRPr="004A7A2A" w:rsidRDefault="00E363E6" w:rsidP="00347522">
            <w:pPr>
              <w:tabs>
                <w:tab w:val="left" w:pos="0"/>
              </w:tabs>
              <w:adjustRightInd w:val="0"/>
              <w:snapToGrid w:val="0"/>
              <w:spacing w:line="360" w:lineRule="auto"/>
              <w:ind w:firstLineChars="0" w:firstLine="0"/>
              <w:jc w:val="center"/>
              <w:rPr>
                <w:rFonts w:ascii="Book Antiqua" w:hAnsi="Book Antiqua" w:cs="Times New Roman"/>
                <w:bCs/>
                <w:sz w:val="24"/>
                <w:szCs w:val="24"/>
              </w:rPr>
            </w:pPr>
            <w:r w:rsidRPr="004A7A2A">
              <w:rPr>
                <w:rFonts w:ascii="Book Antiqua" w:hAnsi="Book Antiqua" w:cs="Times New Roman"/>
                <w:bCs/>
                <w:sz w:val="24"/>
                <w:szCs w:val="24"/>
              </w:rPr>
              <w:t>C</w:t>
            </w:r>
            <w:r w:rsidR="007057E4" w:rsidRPr="004A7A2A">
              <w:rPr>
                <w:rFonts w:ascii="Book Antiqua" w:hAnsi="Book Antiqua" w:cs="Times New Roman"/>
                <w:bCs/>
                <w:sz w:val="24"/>
                <w:szCs w:val="24"/>
              </w:rPr>
              <w:t>ontrol</w:t>
            </w:r>
          </w:p>
        </w:tc>
        <w:tc>
          <w:tcPr>
            <w:tcW w:w="547" w:type="pct"/>
            <w:tcBorders>
              <w:bottom w:val="single" w:sz="4" w:space="0" w:color="auto"/>
            </w:tcBorders>
            <w:vAlign w:val="center"/>
          </w:tcPr>
          <w:p w14:paraId="2DC4AFDD"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eastAsia="pl-PL"/>
              </w:rPr>
            </w:pPr>
            <w:r w:rsidRPr="004A7A2A">
              <w:rPr>
                <w:rFonts w:ascii="Book Antiqua" w:hAnsi="Book Antiqua" w:cs="Times New Roman"/>
                <w:sz w:val="24"/>
                <w:szCs w:val="24"/>
                <w:lang w:eastAsia="pl-PL"/>
              </w:rPr>
              <w:t>32</w:t>
            </w:r>
          </w:p>
        </w:tc>
        <w:tc>
          <w:tcPr>
            <w:tcW w:w="451" w:type="pct"/>
            <w:tcBorders>
              <w:bottom w:val="single" w:sz="4" w:space="0" w:color="auto"/>
            </w:tcBorders>
            <w:vAlign w:val="center"/>
          </w:tcPr>
          <w:p w14:paraId="6D9B7983"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0.52</w:t>
            </w:r>
          </w:p>
        </w:tc>
        <w:tc>
          <w:tcPr>
            <w:tcW w:w="516" w:type="pct"/>
            <w:tcBorders>
              <w:bottom w:val="single" w:sz="4" w:space="0" w:color="auto"/>
            </w:tcBorders>
            <w:vAlign w:val="center"/>
          </w:tcPr>
          <w:p w14:paraId="00919AB1"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0.37</w:t>
            </w:r>
          </w:p>
        </w:tc>
        <w:tc>
          <w:tcPr>
            <w:tcW w:w="335" w:type="pct"/>
            <w:tcBorders>
              <w:bottom w:val="single" w:sz="4" w:space="0" w:color="auto"/>
            </w:tcBorders>
            <w:vAlign w:val="center"/>
          </w:tcPr>
          <w:p w14:paraId="6CE834C4"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0.00</w:t>
            </w:r>
          </w:p>
        </w:tc>
        <w:tc>
          <w:tcPr>
            <w:tcW w:w="509" w:type="pct"/>
            <w:tcBorders>
              <w:bottom w:val="single" w:sz="4" w:space="0" w:color="auto"/>
            </w:tcBorders>
            <w:vAlign w:val="center"/>
          </w:tcPr>
          <w:p w14:paraId="233D3373"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1.95</w:t>
            </w:r>
          </w:p>
        </w:tc>
        <w:tc>
          <w:tcPr>
            <w:tcW w:w="451" w:type="pct"/>
            <w:tcBorders>
              <w:bottom w:val="single" w:sz="4" w:space="0" w:color="auto"/>
            </w:tcBorders>
            <w:vAlign w:val="center"/>
          </w:tcPr>
          <w:p w14:paraId="7DEB8589" w14:textId="77777777" w:rsidR="007057E4" w:rsidRPr="004A7A2A" w:rsidRDefault="007057E4" w:rsidP="00347522">
            <w:pPr>
              <w:adjustRightInd w:val="0"/>
              <w:snapToGrid w:val="0"/>
              <w:spacing w:line="360" w:lineRule="auto"/>
              <w:ind w:firstLineChars="0" w:firstLine="0"/>
              <w:jc w:val="center"/>
              <w:rPr>
                <w:rFonts w:ascii="Book Antiqua" w:hAnsi="Book Antiqua" w:cs="Times New Roman"/>
                <w:sz w:val="24"/>
                <w:szCs w:val="24"/>
                <w:lang w:val="pl-PL" w:eastAsia="pl-PL"/>
              </w:rPr>
            </w:pPr>
            <w:r w:rsidRPr="004A7A2A">
              <w:rPr>
                <w:rFonts w:ascii="Book Antiqua" w:hAnsi="Book Antiqua" w:cs="Times New Roman"/>
                <w:sz w:val="24"/>
                <w:szCs w:val="24"/>
                <w:lang w:val="pl-PL" w:eastAsia="pl-PL"/>
              </w:rPr>
              <w:t>0.51</w:t>
            </w:r>
          </w:p>
        </w:tc>
        <w:tc>
          <w:tcPr>
            <w:tcW w:w="364" w:type="pct"/>
            <w:vMerge/>
            <w:tcBorders>
              <w:bottom w:val="single" w:sz="4" w:space="0" w:color="auto"/>
            </w:tcBorders>
          </w:tcPr>
          <w:p w14:paraId="4F6ED2E7" w14:textId="77777777" w:rsidR="007057E4" w:rsidRPr="004A7A2A" w:rsidRDefault="007057E4" w:rsidP="006E15BC">
            <w:pPr>
              <w:tabs>
                <w:tab w:val="left" w:pos="0"/>
              </w:tabs>
              <w:adjustRightInd w:val="0"/>
              <w:snapToGrid w:val="0"/>
              <w:spacing w:line="360" w:lineRule="auto"/>
              <w:ind w:firstLineChars="0" w:firstLine="0"/>
              <w:jc w:val="center"/>
              <w:rPr>
                <w:rFonts w:ascii="Book Antiqua" w:hAnsi="Book Antiqua" w:cs="Times New Roman"/>
                <w:sz w:val="24"/>
                <w:szCs w:val="24"/>
                <w:lang w:val="pl-PL"/>
              </w:rPr>
            </w:pPr>
          </w:p>
        </w:tc>
      </w:tr>
    </w:tbl>
    <w:p w14:paraId="4F7C73D2" w14:textId="12DBBD1D" w:rsidR="007057E4" w:rsidRPr="004A7A2A" w:rsidRDefault="003A4E33" w:rsidP="004A7A2A">
      <w:pPr>
        <w:tabs>
          <w:tab w:val="left" w:pos="0"/>
        </w:tabs>
        <w:adjustRightInd w:val="0"/>
        <w:snapToGrid w:val="0"/>
        <w:spacing w:line="360" w:lineRule="auto"/>
        <w:ind w:firstLineChars="0" w:firstLine="0"/>
        <w:jc w:val="both"/>
        <w:rPr>
          <w:rFonts w:ascii="Book Antiqua" w:hAnsi="Book Antiqua" w:cs="Times New Roman"/>
          <w:sz w:val="24"/>
          <w:szCs w:val="24"/>
          <w:lang w:val="en-US"/>
        </w:rPr>
      </w:pPr>
      <w:r w:rsidRPr="00D27550">
        <w:rPr>
          <w:rFonts w:ascii="Book Antiqua" w:hAnsi="Book Antiqua" w:cs="Times New Roman"/>
          <w:iCs/>
          <w:sz w:val="24"/>
          <w:szCs w:val="24"/>
          <w:lang w:val="en-US"/>
        </w:rPr>
        <w:t>Control:</w:t>
      </w:r>
      <w:r w:rsidRPr="004A7A2A">
        <w:rPr>
          <w:rFonts w:ascii="Book Antiqua" w:hAnsi="Book Antiqua"/>
          <w:sz w:val="24"/>
          <w:szCs w:val="24"/>
        </w:rPr>
        <w:t xml:space="preserve"> </w:t>
      </w:r>
      <w:r w:rsidRPr="00D27550">
        <w:rPr>
          <w:rFonts w:ascii="Book Antiqua" w:hAnsi="Book Antiqua" w:cs="Times New Roman"/>
          <w:iCs/>
          <w:sz w:val="24"/>
          <w:szCs w:val="24"/>
          <w:lang w:val="en-US"/>
        </w:rPr>
        <w:t>Unaltered colorectal tissue</w:t>
      </w:r>
      <w:r w:rsidR="00066672" w:rsidRPr="00D27550">
        <w:rPr>
          <w:rFonts w:ascii="Book Antiqua" w:hAnsi="Book Antiqua" w:cs="Times New Roman"/>
          <w:iCs/>
          <w:sz w:val="24"/>
          <w:szCs w:val="24"/>
          <w:lang w:val="en-US"/>
        </w:rPr>
        <w:t>;</w:t>
      </w:r>
      <w:r w:rsidRPr="00D27550">
        <w:rPr>
          <w:rFonts w:ascii="Book Antiqua" w:hAnsi="Book Antiqua" w:cs="Times New Roman"/>
          <w:iCs/>
          <w:sz w:val="24"/>
          <w:szCs w:val="24"/>
          <w:lang w:val="en-US"/>
        </w:rPr>
        <w:t xml:space="preserve"> </w:t>
      </w:r>
      <w:r w:rsidRPr="007E40DB">
        <w:rPr>
          <w:rFonts w:ascii="Book Antiqua" w:hAnsi="Book Antiqua" w:cs="Times New Roman"/>
          <w:sz w:val="24"/>
          <w:szCs w:val="24"/>
          <w:vertAlign w:val="superscript"/>
          <w:lang w:val="en-US"/>
        </w:rPr>
        <w:t>a</w:t>
      </w:r>
      <w:r w:rsidR="007057E4" w:rsidRPr="007E40DB">
        <w:rPr>
          <w:rFonts w:ascii="Book Antiqua" w:hAnsi="Book Antiqua" w:cs="Times New Roman"/>
          <w:i/>
          <w:iCs/>
          <w:sz w:val="24"/>
          <w:szCs w:val="24"/>
          <w:lang w:val="en-US"/>
        </w:rPr>
        <w:t>P</w:t>
      </w:r>
      <w:r w:rsidRPr="004A7A2A">
        <w:rPr>
          <w:rFonts w:ascii="Book Antiqua" w:hAnsi="Book Antiqua" w:cs="Times New Roman"/>
          <w:iCs/>
          <w:sz w:val="24"/>
          <w:szCs w:val="24"/>
          <w:lang w:val="en-US"/>
        </w:rPr>
        <w:t>: C</w:t>
      </w:r>
      <w:r w:rsidR="007057E4" w:rsidRPr="004A7A2A">
        <w:rPr>
          <w:rFonts w:ascii="Book Antiqua" w:hAnsi="Book Antiqua" w:cs="Times New Roman"/>
          <w:sz w:val="24"/>
          <w:szCs w:val="24"/>
          <w:lang w:val="en-US"/>
        </w:rPr>
        <w:t>omparing colorectal carcinoma and control</w:t>
      </w:r>
      <w:r w:rsidR="006E15BC">
        <w:rPr>
          <w:rFonts w:ascii="Book Antiqua" w:hAnsi="Book Antiqua" w:cs="Times New Roman"/>
          <w:sz w:val="24"/>
          <w:szCs w:val="24"/>
          <w:lang w:val="en-US"/>
        </w:rPr>
        <w:t>.</w:t>
      </w:r>
      <w:r w:rsidR="007057E4" w:rsidRPr="004A7A2A">
        <w:rPr>
          <w:rFonts w:ascii="Book Antiqua" w:hAnsi="Book Antiqua" w:cs="Times New Roman"/>
          <w:sz w:val="24"/>
          <w:szCs w:val="24"/>
          <w:lang w:val="en-US"/>
        </w:rPr>
        <w:t xml:space="preserve"> </w:t>
      </w:r>
      <w:bookmarkStart w:id="157" w:name="OLE_LINK186"/>
      <w:bookmarkStart w:id="158" w:name="OLE_LINK187"/>
      <w:r w:rsidR="00347522">
        <w:rPr>
          <w:rFonts w:ascii="Book Antiqua" w:hAnsi="Book Antiqua" w:cs="Times New Roman"/>
          <w:color w:val="000000" w:themeColor="text1"/>
          <w:sz w:val="24"/>
          <w:szCs w:val="24"/>
          <w:lang w:val="en-US" w:eastAsia="pl-PL"/>
        </w:rPr>
        <w:t>MUC1: Mucin 1; MUC2: Mucin 2</w:t>
      </w:r>
      <w:bookmarkEnd w:id="157"/>
      <w:bookmarkEnd w:id="158"/>
      <w:r w:rsidR="00347522">
        <w:rPr>
          <w:rFonts w:ascii="Book Antiqua" w:hAnsi="Book Antiqua" w:cs="Times New Roman"/>
          <w:color w:val="000000" w:themeColor="text1"/>
          <w:sz w:val="24"/>
          <w:szCs w:val="24"/>
          <w:lang w:val="en-US" w:eastAsia="pl-PL"/>
        </w:rPr>
        <w:t xml:space="preserve">; </w:t>
      </w:r>
      <w:r w:rsidR="007057E4" w:rsidRPr="004A7A2A">
        <w:rPr>
          <w:rFonts w:ascii="Book Antiqua" w:hAnsi="Book Antiqua" w:cs="Times New Roman"/>
          <w:sz w:val="24"/>
          <w:szCs w:val="24"/>
          <w:lang w:val="en-US"/>
        </w:rPr>
        <w:t>SD</w:t>
      </w:r>
      <w:r w:rsidR="004918AE" w:rsidRPr="004A7A2A">
        <w:rPr>
          <w:rFonts w:ascii="Book Antiqua" w:hAnsi="Book Antiqua" w:cs="Times New Roman"/>
          <w:sz w:val="24"/>
          <w:szCs w:val="24"/>
          <w:lang w:val="en-US"/>
        </w:rPr>
        <w:t>: S</w:t>
      </w:r>
      <w:r w:rsidR="007057E4" w:rsidRPr="004A7A2A">
        <w:rPr>
          <w:rFonts w:ascii="Book Antiqua" w:hAnsi="Book Antiqua" w:cs="Times New Roman"/>
          <w:sz w:val="24"/>
          <w:szCs w:val="24"/>
          <w:lang w:val="en-US"/>
        </w:rPr>
        <w:t>tandard deviation</w:t>
      </w:r>
      <w:r w:rsidR="00066672" w:rsidRPr="004A7A2A">
        <w:rPr>
          <w:rFonts w:ascii="Book Antiqua" w:hAnsi="Book Antiqua" w:cs="Times New Roman"/>
          <w:sz w:val="24"/>
          <w:szCs w:val="24"/>
          <w:lang w:val="en-US"/>
        </w:rPr>
        <w:t>;</w:t>
      </w:r>
      <w:r w:rsidR="004918AE" w:rsidRPr="004A7A2A">
        <w:rPr>
          <w:rFonts w:ascii="Book Antiqua" w:hAnsi="Book Antiqua" w:cs="Times New Roman"/>
          <w:sz w:val="24"/>
          <w:szCs w:val="24"/>
          <w:lang w:val="en-US"/>
        </w:rPr>
        <w:t xml:space="preserve"> CRC: Colorectal carcinoma</w:t>
      </w:r>
      <w:r w:rsidR="00066672" w:rsidRPr="004A7A2A">
        <w:rPr>
          <w:rFonts w:ascii="Book Antiqua" w:hAnsi="Book Antiqua" w:cs="Times New Roman"/>
          <w:sz w:val="24"/>
          <w:szCs w:val="24"/>
          <w:lang w:val="en-US"/>
        </w:rPr>
        <w:t>.</w:t>
      </w:r>
    </w:p>
    <w:p w14:paraId="3C1795C7" w14:textId="66786CD3" w:rsidR="007057E4" w:rsidRPr="004A7A2A" w:rsidRDefault="007057E4" w:rsidP="004A7A2A">
      <w:pPr>
        <w:adjustRightInd w:val="0"/>
        <w:snapToGrid w:val="0"/>
        <w:spacing w:line="360" w:lineRule="auto"/>
        <w:ind w:firstLineChars="0" w:firstLine="0"/>
        <w:jc w:val="both"/>
        <w:rPr>
          <w:rFonts w:ascii="Book Antiqua" w:hAnsi="Book Antiqua" w:cs="Times New Roman"/>
          <w:sz w:val="24"/>
          <w:szCs w:val="24"/>
          <w:lang w:val="en-US"/>
        </w:rPr>
      </w:pPr>
      <w:r w:rsidRPr="004A7A2A">
        <w:rPr>
          <w:rFonts w:ascii="Book Antiqua" w:hAnsi="Book Antiqua" w:cs="Times New Roman"/>
          <w:b/>
          <w:bCs/>
          <w:sz w:val="24"/>
          <w:szCs w:val="24"/>
          <w:lang w:val="en-US"/>
        </w:rPr>
        <w:br w:type="page"/>
      </w:r>
    </w:p>
    <w:p w14:paraId="338B8B3D" w14:textId="3F840F17" w:rsidR="007057E4" w:rsidRPr="004A7A2A" w:rsidRDefault="007057E4" w:rsidP="004A7A2A">
      <w:pPr>
        <w:adjustRightInd w:val="0"/>
        <w:snapToGrid w:val="0"/>
        <w:spacing w:line="360" w:lineRule="auto"/>
        <w:ind w:firstLineChars="0" w:firstLine="0"/>
        <w:jc w:val="both"/>
        <w:rPr>
          <w:rFonts w:ascii="Book Antiqua" w:hAnsi="Book Antiqua" w:cs="Times New Roman"/>
          <w:color w:val="000000" w:themeColor="text1"/>
          <w:sz w:val="24"/>
          <w:szCs w:val="24"/>
          <w:u w:val="single"/>
          <w:lang w:val="en-US"/>
        </w:rPr>
      </w:pPr>
      <w:r w:rsidRPr="004A7A2A">
        <w:rPr>
          <w:rFonts w:ascii="Book Antiqua" w:hAnsi="Book Antiqua" w:cs="Times New Roman"/>
          <w:b/>
          <w:bCs/>
          <w:sz w:val="24"/>
          <w:szCs w:val="24"/>
          <w:lang w:val="en-US"/>
        </w:rPr>
        <w:lastRenderedPageBreak/>
        <w:t>Table</w:t>
      </w:r>
      <w:r w:rsidR="0021268F" w:rsidRPr="004A7A2A">
        <w:rPr>
          <w:rFonts w:ascii="Book Antiqua" w:hAnsi="Book Antiqua" w:cs="Times New Roman"/>
          <w:b/>
          <w:bCs/>
          <w:sz w:val="24"/>
          <w:szCs w:val="24"/>
          <w:lang w:val="en-US"/>
        </w:rPr>
        <w:t xml:space="preserve"> 4</w:t>
      </w:r>
      <w:r w:rsidRPr="004A7A2A">
        <w:rPr>
          <w:rFonts w:ascii="Book Antiqua" w:hAnsi="Book Antiqua" w:cs="Times New Roman"/>
          <w:b/>
          <w:sz w:val="24"/>
          <w:szCs w:val="24"/>
          <w:lang w:val="en-US"/>
        </w:rPr>
        <w:t xml:space="preserve"> Values of Spearman’s coefficient for correlation </w:t>
      </w:r>
      <w:r w:rsidRPr="004A7A2A">
        <w:rPr>
          <w:rFonts w:ascii="Book Antiqua" w:hAnsi="Book Antiqua" w:cs="Times New Roman"/>
          <w:b/>
          <w:sz w:val="24"/>
          <w:szCs w:val="24"/>
        </w:rPr>
        <w:t>between both mucins (mRNA, protein) and Ki-67 and/or p53 protein expressions in</w:t>
      </w:r>
      <w:r w:rsidRPr="004A7A2A">
        <w:rPr>
          <w:rFonts w:ascii="Book Antiqua" w:hAnsi="Book Antiqua" w:cs="Times New Roman"/>
          <w:b/>
          <w:color w:val="000000" w:themeColor="text1"/>
          <w:sz w:val="24"/>
          <w:szCs w:val="24"/>
        </w:rPr>
        <w:t xml:space="preserve"> </w:t>
      </w:r>
      <w:bookmarkStart w:id="159" w:name="OLE_LINK36"/>
      <w:bookmarkStart w:id="160" w:name="OLE_LINK37"/>
      <w:r w:rsidR="00E21173" w:rsidRPr="004A7A2A">
        <w:rPr>
          <w:rFonts w:ascii="Book Antiqua" w:hAnsi="Book Antiqua" w:cs="Times New Roman"/>
          <w:b/>
          <w:color w:val="000000" w:themeColor="text1"/>
          <w:sz w:val="24"/>
          <w:szCs w:val="24"/>
        </w:rPr>
        <w:t>colorectal carcinoma</w:t>
      </w:r>
      <w:bookmarkEnd w:id="159"/>
      <w:bookmarkEnd w:id="160"/>
      <w:r w:rsidR="00DD179A" w:rsidRPr="004A7A2A">
        <w:rPr>
          <w:rFonts w:ascii="Book Antiqua" w:hAnsi="Book Antiqua" w:cs="Times New Roman"/>
          <w:b/>
          <w:color w:val="000000" w:themeColor="text1"/>
          <w:sz w:val="24"/>
          <w:szCs w:val="24"/>
        </w:rPr>
        <w:t xml:space="preserve"> </w:t>
      </w:r>
      <w:r w:rsidR="00E21173" w:rsidRPr="004A7A2A">
        <w:rPr>
          <w:rFonts w:ascii="Book Antiqua" w:hAnsi="Book Antiqua" w:cs="Times New Roman"/>
          <w:b/>
          <w:color w:val="000000" w:themeColor="text1"/>
          <w:sz w:val="24"/>
          <w:szCs w:val="24"/>
        </w:rPr>
        <w:t>samples</w:t>
      </w:r>
    </w:p>
    <w:tbl>
      <w:tblPr>
        <w:tblW w:w="5000" w:type="pct"/>
        <w:tblBorders>
          <w:top w:val="single" w:sz="4" w:space="0" w:color="auto"/>
          <w:bottom w:val="single" w:sz="4" w:space="0" w:color="auto"/>
        </w:tblBorders>
        <w:tblLook w:val="00A0" w:firstRow="1" w:lastRow="0" w:firstColumn="1" w:lastColumn="0" w:noHBand="0" w:noVBand="0"/>
      </w:tblPr>
      <w:tblGrid>
        <w:gridCol w:w="1949"/>
        <w:gridCol w:w="1224"/>
        <w:gridCol w:w="1224"/>
        <w:gridCol w:w="1224"/>
        <w:gridCol w:w="1224"/>
        <w:gridCol w:w="1224"/>
        <w:gridCol w:w="933"/>
      </w:tblGrid>
      <w:tr w:rsidR="00C25895" w:rsidRPr="004A7A2A" w14:paraId="1EBBA3E0" w14:textId="77777777">
        <w:trPr>
          <w:trHeight w:val="851"/>
        </w:trPr>
        <w:tc>
          <w:tcPr>
            <w:tcW w:w="1082" w:type="pct"/>
            <w:tcBorders>
              <w:top w:val="single" w:sz="4" w:space="0" w:color="auto"/>
              <w:bottom w:val="single" w:sz="4" w:space="0" w:color="auto"/>
            </w:tcBorders>
            <w:noWrap/>
          </w:tcPr>
          <w:p w14:paraId="0B6960FB"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b/>
                <w:bCs/>
                <w:sz w:val="24"/>
                <w:szCs w:val="24"/>
                <w:lang w:val="en-US"/>
              </w:rPr>
            </w:pPr>
          </w:p>
        </w:tc>
        <w:tc>
          <w:tcPr>
            <w:tcW w:w="680" w:type="pct"/>
            <w:tcBorders>
              <w:top w:val="single" w:sz="4" w:space="0" w:color="auto"/>
              <w:bottom w:val="single" w:sz="4" w:space="0" w:color="auto"/>
            </w:tcBorders>
          </w:tcPr>
          <w:p w14:paraId="64BA2B0A"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MUC1</w:t>
            </w:r>
          </w:p>
        </w:tc>
        <w:tc>
          <w:tcPr>
            <w:tcW w:w="680" w:type="pct"/>
            <w:tcBorders>
              <w:top w:val="single" w:sz="4" w:space="0" w:color="auto"/>
              <w:bottom w:val="single" w:sz="4" w:space="0" w:color="auto"/>
            </w:tcBorders>
          </w:tcPr>
          <w:p w14:paraId="5511FEC4"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MUC2</w:t>
            </w:r>
          </w:p>
        </w:tc>
        <w:tc>
          <w:tcPr>
            <w:tcW w:w="680" w:type="pct"/>
            <w:tcBorders>
              <w:top w:val="single" w:sz="4" w:space="0" w:color="auto"/>
              <w:bottom w:val="single" w:sz="4" w:space="0" w:color="auto"/>
            </w:tcBorders>
          </w:tcPr>
          <w:p w14:paraId="2E6780C4"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mRNA</w:t>
            </w:r>
          </w:p>
          <w:p w14:paraId="53C3B7B1"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MUC1</w:t>
            </w:r>
          </w:p>
        </w:tc>
        <w:tc>
          <w:tcPr>
            <w:tcW w:w="680" w:type="pct"/>
            <w:tcBorders>
              <w:top w:val="single" w:sz="4" w:space="0" w:color="auto"/>
              <w:bottom w:val="single" w:sz="4" w:space="0" w:color="auto"/>
            </w:tcBorders>
          </w:tcPr>
          <w:p w14:paraId="166AEF00"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mRNA</w:t>
            </w:r>
          </w:p>
          <w:p w14:paraId="1F5F837B"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MUC2</w:t>
            </w:r>
          </w:p>
        </w:tc>
        <w:tc>
          <w:tcPr>
            <w:tcW w:w="680" w:type="pct"/>
            <w:tcBorders>
              <w:top w:val="single" w:sz="4" w:space="0" w:color="auto"/>
              <w:bottom w:val="single" w:sz="4" w:space="0" w:color="auto"/>
            </w:tcBorders>
          </w:tcPr>
          <w:p w14:paraId="2E43CD2B"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Ki-67</w:t>
            </w:r>
          </w:p>
        </w:tc>
        <w:tc>
          <w:tcPr>
            <w:tcW w:w="518" w:type="pct"/>
            <w:tcBorders>
              <w:top w:val="single" w:sz="4" w:space="0" w:color="auto"/>
              <w:bottom w:val="single" w:sz="4" w:space="0" w:color="auto"/>
            </w:tcBorders>
          </w:tcPr>
          <w:p w14:paraId="7A22A908" w14:textId="77777777"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p53</w:t>
            </w:r>
          </w:p>
        </w:tc>
      </w:tr>
      <w:tr w:rsidR="00C25895" w:rsidRPr="004A7A2A" w14:paraId="2F5B460E" w14:textId="77777777">
        <w:trPr>
          <w:trHeight w:val="552"/>
        </w:trPr>
        <w:tc>
          <w:tcPr>
            <w:tcW w:w="1082" w:type="pct"/>
            <w:tcBorders>
              <w:top w:val="single" w:sz="4" w:space="0" w:color="auto"/>
              <w:bottom w:val="nil"/>
            </w:tcBorders>
            <w:noWrap/>
          </w:tcPr>
          <w:p w14:paraId="1F8A878B"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lang w:val="en-US"/>
              </w:rPr>
            </w:pPr>
            <w:r w:rsidRPr="006E15BC">
              <w:rPr>
                <w:rFonts w:ascii="Book Antiqua" w:hAnsi="Book Antiqua" w:cs="Times New Roman"/>
                <w:bCs/>
                <w:sz w:val="24"/>
                <w:szCs w:val="24"/>
                <w:lang w:val="en-US"/>
              </w:rPr>
              <w:t>MUC1</w:t>
            </w:r>
          </w:p>
        </w:tc>
        <w:tc>
          <w:tcPr>
            <w:tcW w:w="680" w:type="pct"/>
            <w:tcBorders>
              <w:top w:val="single" w:sz="4" w:space="0" w:color="auto"/>
              <w:bottom w:val="nil"/>
            </w:tcBorders>
            <w:vAlign w:val="center"/>
          </w:tcPr>
          <w:p w14:paraId="207E97B2"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w:t>
            </w:r>
          </w:p>
        </w:tc>
        <w:tc>
          <w:tcPr>
            <w:tcW w:w="680" w:type="pct"/>
            <w:tcBorders>
              <w:top w:val="single" w:sz="4" w:space="0" w:color="auto"/>
              <w:bottom w:val="nil"/>
            </w:tcBorders>
            <w:vAlign w:val="center"/>
          </w:tcPr>
          <w:p w14:paraId="338E43FC"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0.046</w:t>
            </w:r>
          </w:p>
        </w:tc>
        <w:tc>
          <w:tcPr>
            <w:tcW w:w="680" w:type="pct"/>
            <w:tcBorders>
              <w:top w:val="single" w:sz="4" w:space="0" w:color="auto"/>
              <w:bottom w:val="nil"/>
            </w:tcBorders>
            <w:vAlign w:val="center"/>
          </w:tcPr>
          <w:p w14:paraId="73D2D67D" w14:textId="12F2B11E" w:rsidR="007057E4" w:rsidRPr="006E15BC" w:rsidRDefault="007057E4" w:rsidP="006E15BC">
            <w:pPr>
              <w:adjustRightInd w:val="0"/>
              <w:snapToGrid w:val="0"/>
              <w:spacing w:line="360" w:lineRule="auto"/>
              <w:ind w:firstLineChars="0" w:firstLine="0"/>
              <w:jc w:val="center"/>
              <w:rPr>
                <w:rFonts w:ascii="Book Antiqua" w:hAnsi="Book Antiqua" w:cs="Times New Roman"/>
                <w:bCs/>
                <w:sz w:val="24"/>
                <w:szCs w:val="24"/>
                <w:lang w:val="en-US" w:eastAsia="pl-PL"/>
              </w:rPr>
            </w:pPr>
            <w:r w:rsidRPr="006E15BC">
              <w:rPr>
                <w:rFonts w:ascii="Book Antiqua" w:hAnsi="Book Antiqua" w:cs="Times New Roman"/>
                <w:bCs/>
                <w:sz w:val="24"/>
                <w:szCs w:val="24"/>
                <w:lang w:val="en-US" w:eastAsia="pl-PL"/>
              </w:rPr>
              <w:t>0.405</w:t>
            </w:r>
            <w:r w:rsidR="006E15BC" w:rsidRPr="006E15BC">
              <w:rPr>
                <w:rFonts w:ascii="Book Antiqua" w:hAnsi="Book Antiqua" w:cs="Times New Roman"/>
                <w:bCs/>
                <w:sz w:val="24"/>
                <w:szCs w:val="24"/>
                <w:vertAlign w:val="superscript"/>
                <w:lang w:val="en-US" w:eastAsia="pl-PL"/>
              </w:rPr>
              <w:t>a1</w:t>
            </w:r>
          </w:p>
        </w:tc>
        <w:tc>
          <w:tcPr>
            <w:tcW w:w="680" w:type="pct"/>
            <w:tcBorders>
              <w:top w:val="single" w:sz="4" w:space="0" w:color="auto"/>
              <w:bottom w:val="nil"/>
            </w:tcBorders>
            <w:vAlign w:val="center"/>
          </w:tcPr>
          <w:p w14:paraId="7A7B5F3C"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0.199</w:t>
            </w:r>
          </w:p>
        </w:tc>
        <w:tc>
          <w:tcPr>
            <w:tcW w:w="680" w:type="pct"/>
            <w:tcBorders>
              <w:top w:val="single" w:sz="4" w:space="0" w:color="auto"/>
              <w:bottom w:val="nil"/>
            </w:tcBorders>
            <w:vAlign w:val="center"/>
          </w:tcPr>
          <w:p w14:paraId="6A017B4D"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0.015</w:t>
            </w:r>
          </w:p>
        </w:tc>
        <w:tc>
          <w:tcPr>
            <w:tcW w:w="518" w:type="pct"/>
            <w:tcBorders>
              <w:top w:val="single" w:sz="4" w:space="0" w:color="auto"/>
              <w:bottom w:val="nil"/>
            </w:tcBorders>
            <w:vAlign w:val="center"/>
          </w:tcPr>
          <w:p w14:paraId="55E43893"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-0.106</w:t>
            </w:r>
          </w:p>
        </w:tc>
      </w:tr>
      <w:tr w:rsidR="00C25895" w:rsidRPr="004A7A2A" w14:paraId="6764E382" w14:textId="77777777">
        <w:trPr>
          <w:trHeight w:val="552"/>
        </w:trPr>
        <w:tc>
          <w:tcPr>
            <w:tcW w:w="1082" w:type="pct"/>
            <w:tcBorders>
              <w:top w:val="nil"/>
              <w:bottom w:val="nil"/>
            </w:tcBorders>
            <w:noWrap/>
          </w:tcPr>
          <w:p w14:paraId="5B9B5B14"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lang w:val="en-US"/>
              </w:rPr>
            </w:pPr>
            <w:r w:rsidRPr="006E15BC">
              <w:rPr>
                <w:rFonts w:ascii="Book Antiqua" w:hAnsi="Book Antiqua" w:cs="Times New Roman"/>
                <w:bCs/>
                <w:sz w:val="24"/>
                <w:szCs w:val="24"/>
                <w:lang w:val="en-US"/>
              </w:rPr>
              <w:t>MUC2</w:t>
            </w:r>
          </w:p>
        </w:tc>
        <w:tc>
          <w:tcPr>
            <w:tcW w:w="680" w:type="pct"/>
            <w:tcBorders>
              <w:top w:val="nil"/>
              <w:bottom w:val="nil"/>
            </w:tcBorders>
            <w:vAlign w:val="center"/>
          </w:tcPr>
          <w:p w14:paraId="7201FFDB"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0.046</w:t>
            </w:r>
          </w:p>
        </w:tc>
        <w:tc>
          <w:tcPr>
            <w:tcW w:w="680" w:type="pct"/>
            <w:tcBorders>
              <w:top w:val="nil"/>
              <w:bottom w:val="nil"/>
            </w:tcBorders>
            <w:vAlign w:val="center"/>
          </w:tcPr>
          <w:p w14:paraId="51C15C7C"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w:t>
            </w:r>
          </w:p>
        </w:tc>
        <w:tc>
          <w:tcPr>
            <w:tcW w:w="680" w:type="pct"/>
            <w:tcBorders>
              <w:top w:val="nil"/>
              <w:bottom w:val="nil"/>
            </w:tcBorders>
            <w:vAlign w:val="center"/>
          </w:tcPr>
          <w:p w14:paraId="0205D87E"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0.457</w:t>
            </w:r>
          </w:p>
        </w:tc>
        <w:tc>
          <w:tcPr>
            <w:tcW w:w="680" w:type="pct"/>
            <w:tcBorders>
              <w:top w:val="nil"/>
              <w:bottom w:val="nil"/>
            </w:tcBorders>
            <w:vAlign w:val="center"/>
          </w:tcPr>
          <w:p w14:paraId="354F0C47"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0.126</w:t>
            </w:r>
          </w:p>
        </w:tc>
        <w:tc>
          <w:tcPr>
            <w:tcW w:w="680" w:type="pct"/>
            <w:tcBorders>
              <w:top w:val="nil"/>
              <w:bottom w:val="nil"/>
            </w:tcBorders>
            <w:vAlign w:val="center"/>
          </w:tcPr>
          <w:p w14:paraId="3496C39B" w14:textId="3E99351E"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val="en-US" w:eastAsia="pl-PL"/>
              </w:rPr>
            </w:pPr>
            <w:r w:rsidRPr="006E15BC">
              <w:rPr>
                <w:rFonts w:ascii="Book Antiqua" w:hAnsi="Book Antiqua" w:cs="Times New Roman"/>
                <w:bCs/>
                <w:sz w:val="24"/>
                <w:szCs w:val="24"/>
                <w:lang w:val="en-US" w:eastAsia="pl-PL"/>
              </w:rPr>
              <w:t>-0.428</w:t>
            </w:r>
            <w:r w:rsidR="006E15BC" w:rsidRPr="006E15BC">
              <w:rPr>
                <w:rFonts w:ascii="Book Antiqua" w:hAnsi="Book Antiqua" w:cs="Times New Roman"/>
                <w:bCs/>
                <w:sz w:val="24"/>
                <w:szCs w:val="24"/>
                <w:vertAlign w:val="superscript"/>
                <w:lang w:val="en-US" w:eastAsia="pl-PL"/>
              </w:rPr>
              <w:t>1</w:t>
            </w:r>
          </w:p>
        </w:tc>
        <w:tc>
          <w:tcPr>
            <w:tcW w:w="518" w:type="pct"/>
            <w:tcBorders>
              <w:top w:val="nil"/>
              <w:bottom w:val="nil"/>
            </w:tcBorders>
            <w:vAlign w:val="center"/>
          </w:tcPr>
          <w:p w14:paraId="16DAEA8D" w14:textId="2C9B0146"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val="en-US" w:eastAsia="pl-PL"/>
              </w:rPr>
            </w:pPr>
            <w:r w:rsidRPr="006E15BC">
              <w:rPr>
                <w:rFonts w:ascii="Book Antiqua" w:hAnsi="Book Antiqua" w:cs="Times New Roman"/>
                <w:bCs/>
                <w:sz w:val="24"/>
                <w:szCs w:val="24"/>
                <w:lang w:val="en-US" w:eastAsia="pl-PL"/>
              </w:rPr>
              <w:t>-0.389</w:t>
            </w:r>
            <w:r w:rsidR="006E15BC" w:rsidRPr="006E15BC">
              <w:rPr>
                <w:rFonts w:ascii="Book Antiqua" w:hAnsi="Book Antiqua" w:cs="Times New Roman"/>
                <w:bCs/>
                <w:sz w:val="24"/>
                <w:szCs w:val="24"/>
                <w:vertAlign w:val="superscript"/>
                <w:lang w:val="en-US" w:eastAsia="pl-PL"/>
              </w:rPr>
              <w:t>1</w:t>
            </w:r>
          </w:p>
        </w:tc>
      </w:tr>
      <w:tr w:rsidR="00C25895" w:rsidRPr="004A7A2A" w14:paraId="229D1EA4" w14:textId="77777777">
        <w:trPr>
          <w:trHeight w:val="552"/>
        </w:trPr>
        <w:tc>
          <w:tcPr>
            <w:tcW w:w="1082" w:type="pct"/>
            <w:tcBorders>
              <w:top w:val="nil"/>
              <w:bottom w:val="nil"/>
            </w:tcBorders>
            <w:noWrap/>
          </w:tcPr>
          <w:p w14:paraId="2478EC96"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lang w:val="en-US"/>
              </w:rPr>
            </w:pPr>
            <w:r w:rsidRPr="006E15BC">
              <w:rPr>
                <w:rFonts w:ascii="Book Antiqua" w:hAnsi="Book Antiqua" w:cs="Times New Roman"/>
                <w:bCs/>
                <w:sz w:val="24"/>
                <w:szCs w:val="24"/>
                <w:lang w:val="en-US"/>
              </w:rPr>
              <w:t>mRNA MUC1</w:t>
            </w:r>
          </w:p>
        </w:tc>
        <w:tc>
          <w:tcPr>
            <w:tcW w:w="680" w:type="pct"/>
            <w:tcBorders>
              <w:top w:val="nil"/>
              <w:bottom w:val="nil"/>
            </w:tcBorders>
            <w:vAlign w:val="center"/>
          </w:tcPr>
          <w:p w14:paraId="4E1901B8" w14:textId="09DFD12D"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lang w:val="pl-PL" w:eastAsia="pl-PL"/>
              </w:rPr>
            </w:pPr>
            <w:r w:rsidRPr="006E15BC">
              <w:rPr>
                <w:rFonts w:ascii="Book Antiqua" w:hAnsi="Book Antiqua" w:cs="Times New Roman"/>
                <w:bCs/>
                <w:sz w:val="24"/>
                <w:szCs w:val="24"/>
                <w:lang w:val="pl-PL" w:eastAsia="pl-PL"/>
              </w:rPr>
              <w:t>0.405</w:t>
            </w:r>
            <w:r w:rsidR="00DD179A" w:rsidRPr="006E15BC">
              <w:rPr>
                <w:rFonts w:ascii="Book Antiqua" w:hAnsi="Book Antiqua" w:cs="Times New Roman"/>
                <w:bCs/>
                <w:sz w:val="24"/>
                <w:szCs w:val="24"/>
                <w:vertAlign w:val="superscript"/>
                <w:lang w:val="pl-PL" w:eastAsia="pl-PL"/>
              </w:rPr>
              <w:t>a</w:t>
            </w:r>
            <w:r w:rsidR="006E15BC" w:rsidRPr="006E15BC">
              <w:rPr>
                <w:rFonts w:ascii="Book Antiqua" w:hAnsi="Book Antiqua" w:cs="Times New Roman"/>
                <w:bCs/>
                <w:sz w:val="24"/>
                <w:szCs w:val="24"/>
                <w:vertAlign w:val="superscript"/>
                <w:lang w:val="pl-PL" w:eastAsia="pl-PL"/>
              </w:rPr>
              <w:t>1</w:t>
            </w:r>
          </w:p>
        </w:tc>
        <w:tc>
          <w:tcPr>
            <w:tcW w:w="680" w:type="pct"/>
            <w:tcBorders>
              <w:top w:val="nil"/>
              <w:bottom w:val="nil"/>
            </w:tcBorders>
            <w:vAlign w:val="center"/>
          </w:tcPr>
          <w:p w14:paraId="3063D7C5"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0.457</w:t>
            </w:r>
          </w:p>
        </w:tc>
        <w:tc>
          <w:tcPr>
            <w:tcW w:w="680" w:type="pct"/>
            <w:tcBorders>
              <w:top w:val="nil"/>
              <w:bottom w:val="nil"/>
            </w:tcBorders>
            <w:vAlign w:val="center"/>
          </w:tcPr>
          <w:p w14:paraId="015977F0"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w:t>
            </w:r>
          </w:p>
        </w:tc>
        <w:tc>
          <w:tcPr>
            <w:tcW w:w="680" w:type="pct"/>
            <w:tcBorders>
              <w:top w:val="nil"/>
              <w:bottom w:val="nil"/>
            </w:tcBorders>
            <w:vAlign w:val="center"/>
          </w:tcPr>
          <w:p w14:paraId="605ADDB8" w14:textId="3396E342"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val="pl-PL" w:eastAsia="pl-PL"/>
              </w:rPr>
            </w:pPr>
            <w:r w:rsidRPr="006E15BC">
              <w:rPr>
                <w:rFonts w:ascii="Book Antiqua" w:hAnsi="Book Antiqua" w:cs="Times New Roman"/>
                <w:bCs/>
                <w:sz w:val="24"/>
                <w:szCs w:val="24"/>
                <w:lang w:val="pl-PL" w:eastAsia="pl-PL"/>
              </w:rPr>
              <w:t>0.602</w:t>
            </w:r>
            <w:r w:rsidR="006E15BC" w:rsidRPr="006E15BC">
              <w:rPr>
                <w:rFonts w:ascii="Book Antiqua" w:hAnsi="Book Antiqua" w:cs="Times New Roman"/>
                <w:bCs/>
                <w:sz w:val="24"/>
                <w:szCs w:val="24"/>
                <w:vertAlign w:val="superscript"/>
                <w:lang w:val="pl-PL" w:eastAsia="pl-PL"/>
              </w:rPr>
              <w:t>1</w:t>
            </w:r>
          </w:p>
        </w:tc>
        <w:tc>
          <w:tcPr>
            <w:tcW w:w="680" w:type="pct"/>
            <w:tcBorders>
              <w:top w:val="nil"/>
              <w:bottom w:val="nil"/>
            </w:tcBorders>
            <w:vAlign w:val="center"/>
          </w:tcPr>
          <w:p w14:paraId="18F8CA24"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-0.121</w:t>
            </w:r>
          </w:p>
        </w:tc>
        <w:tc>
          <w:tcPr>
            <w:tcW w:w="518" w:type="pct"/>
            <w:tcBorders>
              <w:top w:val="nil"/>
              <w:bottom w:val="nil"/>
            </w:tcBorders>
            <w:vAlign w:val="center"/>
          </w:tcPr>
          <w:p w14:paraId="1B6F9468"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-0.215</w:t>
            </w:r>
          </w:p>
        </w:tc>
      </w:tr>
      <w:tr w:rsidR="00C25895" w:rsidRPr="004A7A2A" w14:paraId="1F395746" w14:textId="77777777">
        <w:trPr>
          <w:trHeight w:val="552"/>
        </w:trPr>
        <w:tc>
          <w:tcPr>
            <w:tcW w:w="1082" w:type="pct"/>
            <w:tcBorders>
              <w:top w:val="nil"/>
              <w:bottom w:val="nil"/>
            </w:tcBorders>
            <w:noWrap/>
          </w:tcPr>
          <w:p w14:paraId="00AD50A6"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lang w:val="en-US"/>
              </w:rPr>
            </w:pPr>
            <w:r w:rsidRPr="006E15BC">
              <w:rPr>
                <w:rFonts w:ascii="Book Antiqua" w:hAnsi="Book Antiqua" w:cs="Times New Roman"/>
                <w:bCs/>
                <w:sz w:val="24"/>
                <w:szCs w:val="24"/>
                <w:lang w:val="en-US"/>
              </w:rPr>
              <w:t>mRNA MUC2</w:t>
            </w:r>
          </w:p>
        </w:tc>
        <w:tc>
          <w:tcPr>
            <w:tcW w:w="680" w:type="pct"/>
            <w:tcBorders>
              <w:top w:val="nil"/>
              <w:bottom w:val="nil"/>
            </w:tcBorders>
            <w:vAlign w:val="center"/>
          </w:tcPr>
          <w:p w14:paraId="13FBA655"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0.199</w:t>
            </w:r>
          </w:p>
        </w:tc>
        <w:tc>
          <w:tcPr>
            <w:tcW w:w="680" w:type="pct"/>
            <w:tcBorders>
              <w:top w:val="nil"/>
              <w:bottom w:val="nil"/>
            </w:tcBorders>
            <w:vAlign w:val="center"/>
          </w:tcPr>
          <w:p w14:paraId="3828BCEF"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0.126</w:t>
            </w:r>
          </w:p>
        </w:tc>
        <w:tc>
          <w:tcPr>
            <w:tcW w:w="680" w:type="pct"/>
            <w:tcBorders>
              <w:top w:val="nil"/>
              <w:bottom w:val="nil"/>
            </w:tcBorders>
            <w:vAlign w:val="center"/>
          </w:tcPr>
          <w:p w14:paraId="0DE4E8B1" w14:textId="739ACD45"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val="pl-PL" w:eastAsia="pl-PL"/>
              </w:rPr>
            </w:pPr>
            <w:r w:rsidRPr="006E15BC">
              <w:rPr>
                <w:rFonts w:ascii="Book Antiqua" w:hAnsi="Book Antiqua" w:cs="Times New Roman"/>
                <w:bCs/>
                <w:sz w:val="24"/>
                <w:szCs w:val="24"/>
                <w:lang w:val="pl-PL" w:eastAsia="pl-PL"/>
              </w:rPr>
              <w:t>0.602</w:t>
            </w:r>
            <w:r w:rsidR="006E15BC" w:rsidRPr="006E15BC">
              <w:rPr>
                <w:rFonts w:ascii="Book Antiqua" w:hAnsi="Book Antiqua" w:cs="Times New Roman"/>
                <w:bCs/>
                <w:sz w:val="24"/>
                <w:szCs w:val="24"/>
                <w:vertAlign w:val="superscript"/>
                <w:lang w:val="pl-PL" w:eastAsia="pl-PL"/>
              </w:rPr>
              <w:t>1</w:t>
            </w:r>
          </w:p>
        </w:tc>
        <w:tc>
          <w:tcPr>
            <w:tcW w:w="680" w:type="pct"/>
            <w:tcBorders>
              <w:top w:val="nil"/>
              <w:bottom w:val="nil"/>
            </w:tcBorders>
            <w:vAlign w:val="center"/>
          </w:tcPr>
          <w:p w14:paraId="21BF9197"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w:t>
            </w:r>
          </w:p>
        </w:tc>
        <w:tc>
          <w:tcPr>
            <w:tcW w:w="680" w:type="pct"/>
            <w:tcBorders>
              <w:top w:val="nil"/>
              <w:bottom w:val="nil"/>
            </w:tcBorders>
            <w:vAlign w:val="center"/>
          </w:tcPr>
          <w:p w14:paraId="4D4105AD"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0.033</w:t>
            </w:r>
          </w:p>
        </w:tc>
        <w:tc>
          <w:tcPr>
            <w:tcW w:w="518" w:type="pct"/>
            <w:tcBorders>
              <w:top w:val="nil"/>
              <w:bottom w:val="nil"/>
            </w:tcBorders>
            <w:vAlign w:val="center"/>
          </w:tcPr>
          <w:p w14:paraId="5283A40D"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-0.145</w:t>
            </w:r>
          </w:p>
        </w:tc>
      </w:tr>
      <w:tr w:rsidR="00C25895" w:rsidRPr="004A7A2A" w14:paraId="7816B2B3" w14:textId="77777777">
        <w:trPr>
          <w:trHeight w:val="552"/>
        </w:trPr>
        <w:tc>
          <w:tcPr>
            <w:tcW w:w="1082" w:type="pct"/>
            <w:tcBorders>
              <w:top w:val="nil"/>
              <w:bottom w:val="nil"/>
            </w:tcBorders>
            <w:noWrap/>
          </w:tcPr>
          <w:p w14:paraId="75D5D605"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lang w:val="pl-PL"/>
              </w:rPr>
            </w:pPr>
            <w:r w:rsidRPr="006E15BC">
              <w:rPr>
                <w:rFonts w:ascii="Book Antiqua" w:hAnsi="Book Antiqua" w:cs="Times New Roman"/>
                <w:bCs/>
                <w:sz w:val="24"/>
                <w:szCs w:val="24"/>
                <w:lang w:val="pl-PL"/>
              </w:rPr>
              <w:t>Ki-67</w:t>
            </w:r>
          </w:p>
        </w:tc>
        <w:tc>
          <w:tcPr>
            <w:tcW w:w="680" w:type="pct"/>
            <w:tcBorders>
              <w:top w:val="nil"/>
              <w:bottom w:val="nil"/>
            </w:tcBorders>
            <w:vAlign w:val="center"/>
          </w:tcPr>
          <w:p w14:paraId="2780637F"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0.015</w:t>
            </w:r>
          </w:p>
        </w:tc>
        <w:tc>
          <w:tcPr>
            <w:tcW w:w="680" w:type="pct"/>
            <w:tcBorders>
              <w:top w:val="nil"/>
              <w:bottom w:val="nil"/>
            </w:tcBorders>
            <w:vAlign w:val="center"/>
          </w:tcPr>
          <w:p w14:paraId="0375C559" w14:textId="4AF41B3D"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val="pl-PL" w:eastAsia="pl-PL"/>
              </w:rPr>
            </w:pPr>
            <w:r w:rsidRPr="006E15BC">
              <w:rPr>
                <w:rFonts w:ascii="Book Antiqua" w:hAnsi="Book Antiqua" w:cs="Times New Roman"/>
                <w:bCs/>
                <w:sz w:val="24"/>
                <w:szCs w:val="24"/>
                <w:lang w:val="pl-PL" w:eastAsia="pl-PL"/>
              </w:rPr>
              <w:t>-0.428</w:t>
            </w:r>
            <w:r w:rsidR="006E15BC" w:rsidRPr="006E15BC">
              <w:rPr>
                <w:rFonts w:ascii="Book Antiqua" w:hAnsi="Book Antiqua" w:cs="Times New Roman"/>
                <w:bCs/>
                <w:sz w:val="24"/>
                <w:szCs w:val="24"/>
                <w:vertAlign w:val="superscript"/>
                <w:lang w:val="pl-PL" w:eastAsia="pl-PL"/>
              </w:rPr>
              <w:t>1</w:t>
            </w:r>
          </w:p>
        </w:tc>
        <w:tc>
          <w:tcPr>
            <w:tcW w:w="680" w:type="pct"/>
            <w:tcBorders>
              <w:top w:val="nil"/>
              <w:bottom w:val="nil"/>
            </w:tcBorders>
            <w:vAlign w:val="center"/>
          </w:tcPr>
          <w:p w14:paraId="5820A260"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-0.121</w:t>
            </w:r>
          </w:p>
        </w:tc>
        <w:tc>
          <w:tcPr>
            <w:tcW w:w="680" w:type="pct"/>
            <w:tcBorders>
              <w:top w:val="nil"/>
              <w:bottom w:val="nil"/>
            </w:tcBorders>
            <w:vAlign w:val="center"/>
          </w:tcPr>
          <w:p w14:paraId="77021BCE"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0.033</w:t>
            </w:r>
          </w:p>
        </w:tc>
        <w:tc>
          <w:tcPr>
            <w:tcW w:w="680" w:type="pct"/>
            <w:tcBorders>
              <w:top w:val="nil"/>
              <w:bottom w:val="nil"/>
            </w:tcBorders>
            <w:vAlign w:val="center"/>
          </w:tcPr>
          <w:p w14:paraId="26F1B35C"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w:t>
            </w:r>
          </w:p>
        </w:tc>
        <w:tc>
          <w:tcPr>
            <w:tcW w:w="518" w:type="pct"/>
            <w:tcBorders>
              <w:top w:val="nil"/>
              <w:bottom w:val="nil"/>
            </w:tcBorders>
            <w:vAlign w:val="center"/>
          </w:tcPr>
          <w:p w14:paraId="217A9E46" w14:textId="518CB551"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val="pl-PL" w:eastAsia="pl-PL"/>
              </w:rPr>
            </w:pPr>
            <w:r w:rsidRPr="006E15BC">
              <w:rPr>
                <w:rFonts w:ascii="Book Antiqua" w:hAnsi="Book Antiqua" w:cs="Times New Roman"/>
                <w:bCs/>
                <w:sz w:val="24"/>
                <w:szCs w:val="24"/>
                <w:lang w:val="pl-PL" w:eastAsia="pl-PL"/>
              </w:rPr>
              <w:t>0.602</w:t>
            </w:r>
            <w:r w:rsidR="006E15BC" w:rsidRPr="006E15BC">
              <w:rPr>
                <w:rFonts w:ascii="Book Antiqua" w:hAnsi="Book Antiqua" w:cs="Times New Roman"/>
                <w:bCs/>
                <w:sz w:val="24"/>
                <w:szCs w:val="24"/>
                <w:vertAlign w:val="superscript"/>
                <w:lang w:val="pl-PL" w:eastAsia="pl-PL"/>
              </w:rPr>
              <w:t>1</w:t>
            </w:r>
          </w:p>
        </w:tc>
      </w:tr>
      <w:tr w:rsidR="00C25895" w:rsidRPr="004A7A2A" w14:paraId="5BF1337A" w14:textId="77777777">
        <w:trPr>
          <w:trHeight w:val="552"/>
        </w:trPr>
        <w:tc>
          <w:tcPr>
            <w:tcW w:w="1082" w:type="pct"/>
            <w:tcBorders>
              <w:top w:val="nil"/>
              <w:bottom w:val="single" w:sz="4" w:space="0" w:color="auto"/>
            </w:tcBorders>
            <w:noWrap/>
          </w:tcPr>
          <w:p w14:paraId="19D283FA"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lang w:val="pl-PL"/>
              </w:rPr>
            </w:pPr>
            <w:r w:rsidRPr="006E15BC">
              <w:rPr>
                <w:rFonts w:ascii="Book Antiqua" w:hAnsi="Book Antiqua" w:cs="Times New Roman"/>
                <w:bCs/>
                <w:sz w:val="24"/>
                <w:szCs w:val="24"/>
                <w:lang w:val="pl-PL"/>
              </w:rPr>
              <w:t>p53</w:t>
            </w:r>
          </w:p>
        </w:tc>
        <w:tc>
          <w:tcPr>
            <w:tcW w:w="680" w:type="pct"/>
            <w:tcBorders>
              <w:top w:val="nil"/>
              <w:bottom w:val="single" w:sz="4" w:space="0" w:color="auto"/>
            </w:tcBorders>
            <w:vAlign w:val="center"/>
          </w:tcPr>
          <w:p w14:paraId="3C1DC68B"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-0.106</w:t>
            </w:r>
          </w:p>
        </w:tc>
        <w:tc>
          <w:tcPr>
            <w:tcW w:w="680" w:type="pct"/>
            <w:tcBorders>
              <w:top w:val="nil"/>
              <w:bottom w:val="single" w:sz="4" w:space="0" w:color="auto"/>
            </w:tcBorders>
            <w:vAlign w:val="center"/>
          </w:tcPr>
          <w:p w14:paraId="5D56893A" w14:textId="11C5CD4D"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val="pl-PL" w:eastAsia="pl-PL"/>
              </w:rPr>
            </w:pPr>
            <w:r w:rsidRPr="006E15BC">
              <w:rPr>
                <w:rFonts w:ascii="Book Antiqua" w:hAnsi="Book Antiqua" w:cs="Times New Roman"/>
                <w:bCs/>
                <w:sz w:val="24"/>
                <w:szCs w:val="24"/>
                <w:lang w:val="pl-PL" w:eastAsia="pl-PL"/>
              </w:rPr>
              <w:t>-0.389</w:t>
            </w:r>
            <w:r w:rsidR="006E15BC" w:rsidRPr="006E15BC">
              <w:rPr>
                <w:rFonts w:ascii="Book Antiqua" w:hAnsi="Book Antiqua" w:cs="Times New Roman"/>
                <w:bCs/>
                <w:sz w:val="24"/>
                <w:szCs w:val="24"/>
                <w:vertAlign w:val="superscript"/>
                <w:lang w:val="pl-PL" w:eastAsia="pl-PL"/>
              </w:rPr>
              <w:t>1</w:t>
            </w:r>
          </w:p>
        </w:tc>
        <w:tc>
          <w:tcPr>
            <w:tcW w:w="680" w:type="pct"/>
            <w:tcBorders>
              <w:top w:val="nil"/>
              <w:bottom w:val="single" w:sz="4" w:space="0" w:color="auto"/>
            </w:tcBorders>
            <w:vAlign w:val="center"/>
          </w:tcPr>
          <w:p w14:paraId="5BDB61E4"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-0.215</w:t>
            </w:r>
          </w:p>
        </w:tc>
        <w:tc>
          <w:tcPr>
            <w:tcW w:w="680" w:type="pct"/>
            <w:tcBorders>
              <w:top w:val="nil"/>
              <w:bottom w:val="single" w:sz="4" w:space="0" w:color="auto"/>
            </w:tcBorders>
            <w:vAlign w:val="center"/>
          </w:tcPr>
          <w:p w14:paraId="0A475048"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-0.145</w:t>
            </w:r>
          </w:p>
        </w:tc>
        <w:tc>
          <w:tcPr>
            <w:tcW w:w="680" w:type="pct"/>
            <w:tcBorders>
              <w:top w:val="nil"/>
              <w:bottom w:val="single" w:sz="4" w:space="0" w:color="auto"/>
            </w:tcBorders>
            <w:vAlign w:val="center"/>
          </w:tcPr>
          <w:p w14:paraId="6CDF9592" w14:textId="1E14CAEE"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val="pl-PL" w:eastAsia="pl-PL"/>
              </w:rPr>
            </w:pPr>
            <w:r w:rsidRPr="006E15BC">
              <w:rPr>
                <w:rFonts w:ascii="Book Antiqua" w:hAnsi="Book Antiqua" w:cs="Times New Roman"/>
                <w:bCs/>
                <w:sz w:val="24"/>
                <w:szCs w:val="24"/>
                <w:lang w:val="pl-PL" w:eastAsia="pl-PL"/>
              </w:rPr>
              <w:t>0.602</w:t>
            </w:r>
            <w:r w:rsidR="006E15BC" w:rsidRPr="006E15BC">
              <w:rPr>
                <w:rFonts w:ascii="Book Antiqua" w:hAnsi="Book Antiqua" w:cs="Times New Roman"/>
                <w:bCs/>
                <w:sz w:val="24"/>
                <w:szCs w:val="24"/>
                <w:vertAlign w:val="superscript"/>
                <w:lang w:val="pl-PL" w:eastAsia="pl-PL"/>
              </w:rPr>
              <w:t>1</w:t>
            </w:r>
          </w:p>
        </w:tc>
        <w:tc>
          <w:tcPr>
            <w:tcW w:w="518" w:type="pct"/>
            <w:tcBorders>
              <w:top w:val="nil"/>
              <w:bottom w:val="single" w:sz="4" w:space="0" w:color="auto"/>
            </w:tcBorders>
            <w:vAlign w:val="center"/>
          </w:tcPr>
          <w:p w14:paraId="587A03D0"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pl-PL" w:eastAsia="pl-PL"/>
              </w:rPr>
              <w:t>-</w:t>
            </w:r>
          </w:p>
        </w:tc>
      </w:tr>
    </w:tbl>
    <w:p w14:paraId="68AC4B11" w14:textId="40DA2163" w:rsidR="007057E4" w:rsidRPr="004A7A2A" w:rsidRDefault="006E15BC" w:rsidP="004A7A2A">
      <w:pPr>
        <w:adjustRightInd w:val="0"/>
        <w:snapToGrid w:val="0"/>
        <w:spacing w:line="360" w:lineRule="auto"/>
        <w:ind w:firstLineChars="0" w:firstLine="0"/>
        <w:jc w:val="both"/>
        <w:rPr>
          <w:rFonts w:ascii="Book Antiqua" w:hAnsi="Book Antiqua" w:cs="Times New Roman"/>
          <w:sz w:val="24"/>
          <w:szCs w:val="24"/>
          <w:lang w:val="en-US"/>
        </w:rPr>
      </w:pPr>
      <w:r>
        <w:rPr>
          <w:rFonts w:ascii="Book Antiqua" w:hAnsi="Book Antiqua" w:cs="Times New Roman"/>
          <w:sz w:val="24"/>
          <w:szCs w:val="24"/>
          <w:vertAlign w:val="superscript"/>
          <w:lang w:val="en-US"/>
        </w:rPr>
        <w:t>1</w:t>
      </w:r>
      <w:r>
        <w:rPr>
          <w:rFonts w:ascii="Book Antiqua" w:hAnsi="Book Antiqua" w:cs="Times New Roman"/>
          <w:sz w:val="24"/>
          <w:szCs w:val="24"/>
          <w:lang w:val="en-US"/>
        </w:rPr>
        <w:t>I</w:t>
      </w:r>
      <w:r w:rsidR="007057E4" w:rsidRPr="007E40DB">
        <w:rPr>
          <w:rFonts w:ascii="Book Antiqua" w:hAnsi="Book Antiqua" w:cs="Times New Roman"/>
          <w:sz w:val="24"/>
          <w:szCs w:val="24"/>
          <w:lang w:val="en-US"/>
        </w:rPr>
        <w:t xml:space="preserve">ndicate values of </w:t>
      </w:r>
      <w:r w:rsidR="007057E4" w:rsidRPr="007E40DB">
        <w:rPr>
          <w:rFonts w:ascii="Book Antiqua" w:hAnsi="Book Antiqua" w:cs="Times New Roman"/>
          <w:i/>
          <w:sz w:val="24"/>
          <w:szCs w:val="24"/>
          <w:lang w:val="en-US"/>
        </w:rPr>
        <w:t>r</w:t>
      </w:r>
      <w:r w:rsidR="007057E4" w:rsidRPr="004A7A2A">
        <w:rPr>
          <w:rFonts w:ascii="Book Antiqua" w:hAnsi="Book Antiqua" w:cs="Times New Roman"/>
          <w:sz w:val="24"/>
          <w:szCs w:val="24"/>
          <w:lang w:val="en-US"/>
        </w:rPr>
        <w:t xml:space="preserve"> coefficient for which </w:t>
      </w:r>
      <w:r w:rsidR="007057E4" w:rsidRPr="004A7A2A">
        <w:rPr>
          <w:rFonts w:ascii="Book Antiqua" w:hAnsi="Book Antiqua" w:cs="Times New Roman"/>
          <w:i/>
          <w:iCs/>
          <w:sz w:val="24"/>
          <w:szCs w:val="24"/>
          <w:lang w:val="en-US"/>
        </w:rPr>
        <w:t xml:space="preserve">P </w:t>
      </w:r>
      <w:r w:rsidR="007057E4" w:rsidRPr="004A7A2A">
        <w:rPr>
          <w:rFonts w:ascii="Book Antiqua" w:hAnsi="Book Antiqua" w:cs="Times New Roman"/>
          <w:sz w:val="24"/>
          <w:szCs w:val="24"/>
          <w:lang w:val="en-US"/>
        </w:rPr>
        <w:t>&lt; 0.05</w:t>
      </w:r>
      <w:r>
        <w:rPr>
          <w:rFonts w:ascii="Book Antiqua" w:hAnsi="Book Antiqua" w:cs="Times New Roman"/>
          <w:sz w:val="24"/>
          <w:szCs w:val="24"/>
          <w:lang w:val="en-US"/>
        </w:rPr>
        <w:t xml:space="preserve">; </w:t>
      </w:r>
      <w:r w:rsidRPr="00D27550">
        <w:rPr>
          <w:rFonts w:ascii="Book Antiqua" w:hAnsi="Book Antiqua" w:cs="Times New Roman"/>
          <w:sz w:val="24"/>
          <w:szCs w:val="24"/>
          <w:vertAlign w:val="superscript"/>
          <w:lang w:val="en-US"/>
        </w:rPr>
        <w:t>a</w:t>
      </w:r>
      <w:r w:rsidRPr="00D27550">
        <w:rPr>
          <w:rFonts w:ascii="Book Antiqua" w:hAnsi="Book Antiqua" w:cs="Times New Roman"/>
          <w:i/>
          <w:iCs/>
          <w:sz w:val="24"/>
          <w:szCs w:val="24"/>
          <w:lang w:val="en-US"/>
        </w:rPr>
        <w:t xml:space="preserve">P </w:t>
      </w:r>
      <w:r>
        <w:rPr>
          <w:rFonts w:ascii="Book Antiqua" w:hAnsi="Book Antiqua" w:cs="Times New Roman"/>
          <w:sz w:val="24"/>
          <w:szCs w:val="24"/>
          <w:lang w:val="en-US"/>
        </w:rPr>
        <w:t xml:space="preserve">= 0.055. </w:t>
      </w:r>
      <w:r>
        <w:rPr>
          <w:rFonts w:ascii="Book Antiqua" w:hAnsi="Book Antiqua" w:cs="Times New Roman"/>
          <w:color w:val="000000" w:themeColor="text1"/>
          <w:sz w:val="24"/>
          <w:szCs w:val="24"/>
          <w:lang w:val="en-US" w:eastAsia="pl-PL"/>
        </w:rPr>
        <w:t>MUC1: Mucin 1; MUC2: Mucin 2.</w:t>
      </w:r>
    </w:p>
    <w:p w14:paraId="34C8C011" w14:textId="77777777" w:rsidR="00C25895" w:rsidRPr="004A7A2A" w:rsidRDefault="00C25895" w:rsidP="004A7A2A">
      <w:pPr>
        <w:adjustRightInd w:val="0"/>
        <w:snapToGrid w:val="0"/>
        <w:spacing w:line="360" w:lineRule="auto"/>
        <w:ind w:firstLineChars="0" w:firstLine="0"/>
        <w:jc w:val="both"/>
        <w:rPr>
          <w:rFonts w:ascii="Book Antiqua" w:hAnsi="Book Antiqua" w:cs="Times New Roman"/>
          <w:sz w:val="24"/>
          <w:szCs w:val="24"/>
          <w:lang w:val="en-US"/>
        </w:rPr>
      </w:pPr>
      <w:r w:rsidRPr="004A7A2A">
        <w:rPr>
          <w:rFonts w:ascii="Book Antiqua" w:hAnsi="Book Antiqua" w:cs="Times New Roman"/>
          <w:sz w:val="24"/>
          <w:szCs w:val="24"/>
          <w:lang w:val="en-US"/>
        </w:rPr>
        <w:br w:type="page"/>
      </w:r>
    </w:p>
    <w:p w14:paraId="1C79638C" w14:textId="36C4B1D7" w:rsidR="007057E4" w:rsidRPr="004A7A2A" w:rsidRDefault="007057E4" w:rsidP="004A7A2A">
      <w:pPr>
        <w:adjustRightInd w:val="0"/>
        <w:snapToGrid w:val="0"/>
        <w:spacing w:line="360" w:lineRule="auto"/>
        <w:ind w:firstLineChars="0" w:firstLine="0"/>
        <w:jc w:val="both"/>
        <w:rPr>
          <w:rFonts w:ascii="Book Antiqua" w:hAnsi="Book Antiqua" w:cs="Times New Roman"/>
          <w:b/>
          <w:bCs/>
          <w:sz w:val="24"/>
          <w:szCs w:val="24"/>
          <w:lang w:val="en-US"/>
        </w:rPr>
      </w:pPr>
      <w:bookmarkStart w:id="161" w:name="OLE_LINK38"/>
      <w:bookmarkStart w:id="162" w:name="OLE_LINK39"/>
      <w:bookmarkStart w:id="163" w:name="OLE_LINK40"/>
      <w:r w:rsidRPr="004A7A2A">
        <w:rPr>
          <w:rFonts w:ascii="Book Antiqua" w:hAnsi="Book Antiqua" w:cs="Times New Roman"/>
          <w:b/>
          <w:bCs/>
          <w:sz w:val="24"/>
          <w:szCs w:val="24"/>
          <w:lang w:val="en-US"/>
        </w:rPr>
        <w:lastRenderedPageBreak/>
        <w:t>Table</w:t>
      </w:r>
      <w:r w:rsidR="0021268F" w:rsidRPr="004A7A2A">
        <w:rPr>
          <w:rFonts w:ascii="Book Antiqua" w:hAnsi="Book Antiqua" w:cs="Times New Roman"/>
          <w:b/>
          <w:bCs/>
          <w:sz w:val="24"/>
          <w:szCs w:val="24"/>
          <w:lang w:val="en-US"/>
        </w:rPr>
        <w:t xml:space="preserve"> 5</w:t>
      </w:r>
      <w:r w:rsidRPr="004A7A2A">
        <w:rPr>
          <w:rFonts w:ascii="Book Antiqua" w:hAnsi="Book Antiqua" w:cs="Times New Roman"/>
          <w:b/>
          <w:bCs/>
          <w:sz w:val="24"/>
          <w:szCs w:val="24"/>
          <w:lang w:val="en-US"/>
        </w:rPr>
        <w:t xml:space="preserve"> </w:t>
      </w:r>
      <w:r w:rsidRPr="004A7A2A">
        <w:rPr>
          <w:rFonts w:ascii="Book Antiqua" w:hAnsi="Book Antiqua" w:cs="Times New Roman"/>
          <w:b/>
          <w:sz w:val="24"/>
          <w:szCs w:val="24"/>
          <w:lang w:val="en-US"/>
        </w:rPr>
        <w:t xml:space="preserve">Values of Spearman’s coefficient for correlation </w:t>
      </w:r>
      <w:r w:rsidRPr="004A7A2A">
        <w:rPr>
          <w:rFonts w:ascii="Book Antiqua" w:hAnsi="Book Antiqua" w:cs="Times New Roman"/>
          <w:b/>
          <w:sz w:val="24"/>
          <w:szCs w:val="24"/>
        </w:rPr>
        <w:t>between mucins expression (mRNA/protein) in</w:t>
      </w:r>
      <w:r w:rsidR="00DD179A" w:rsidRPr="004A7A2A">
        <w:rPr>
          <w:rFonts w:ascii="Book Antiqua" w:hAnsi="Book Antiqua" w:cs="Times New Roman"/>
          <w:b/>
          <w:color w:val="000000" w:themeColor="text1"/>
          <w:sz w:val="24"/>
          <w:szCs w:val="24"/>
        </w:rPr>
        <w:t xml:space="preserve"> colorectal carcinoma</w:t>
      </w:r>
      <w:r w:rsidRPr="004A7A2A">
        <w:rPr>
          <w:rFonts w:ascii="Book Antiqua" w:hAnsi="Book Antiqua" w:cs="Times New Roman"/>
          <w:b/>
          <w:sz w:val="24"/>
          <w:szCs w:val="24"/>
        </w:rPr>
        <w:t xml:space="preserve"> and selected clinical data</w:t>
      </w:r>
      <w:bookmarkEnd w:id="161"/>
      <w:bookmarkEnd w:id="162"/>
      <w:bookmarkEnd w:id="163"/>
    </w:p>
    <w:tbl>
      <w:tblPr>
        <w:tblW w:w="5000" w:type="pct"/>
        <w:tblBorders>
          <w:top w:val="single" w:sz="4" w:space="0" w:color="auto"/>
          <w:bottom w:val="single" w:sz="4" w:space="0" w:color="auto"/>
        </w:tblBorders>
        <w:tblLook w:val="00A0" w:firstRow="1" w:lastRow="0" w:firstColumn="1" w:lastColumn="0" w:noHBand="0" w:noVBand="0"/>
      </w:tblPr>
      <w:tblGrid>
        <w:gridCol w:w="1781"/>
        <w:gridCol w:w="1012"/>
        <w:gridCol w:w="1603"/>
        <w:gridCol w:w="1361"/>
        <w:gridCol w:w="1790"/>
        <w:gridCol w:w="1455"/>
      </w:tblGrid>
      <w:tr w:rsidR="007C36D5" w:rsidRPr="004A7A2A" w14:paraId="65309F40" w14:textId="77777777">
        <w:trPr>
          <w:trHeight w:val="851"/>
        </w:trPr>
        <w:tc>
          <w:tcPr>
            <w:tcW w:w="1008" w:type="pct"/>
            <w:tcBorders>
              <w:top w:val="single" w:sz="4" w:space="0" w:color="auto"/>
              <w:bottom w:val="single" w:sz="4" w:space="0" w:color="auto"/>
            </w:tcBorders>
            <w:noWrap/>
            <w:vAlign w:val="center"/>
          </w:tcPr>
          <w:p w14:paraId="77ECADE0" w14:textId="77777777" w:rsidR="007057E4" w:rsidRPr="004A7A2A" w:rsidRDefault="007057E4" w:rsidP="004A7A2A">
            <w:pPr>
              <w:adjustRightInd w:val="0"/>
              <w:snapToGrid w:val="0"/>
              <w:spacing w:line="360" w:lineRule="auto"/>
              <w:ind w:firstLineChars="0" w:firstLine="0"/>
              <w:jc w:val="both"/>
              <w:rPr>
                <w:rFonts w:ascii="Book Antiqua" w:hAnsi="Book Antiqua" w:cs="Times New Roman"/>
                <w:b/>
                <w:bCs/>
                <w:sz w:val="24"/>
                <w:szCs w:val="24"/>
                <w:lang w:val="en-US"/>
              </w:rPr>
            </w:pPr>
          </w:p>
        </w:tc>
        <w:tc>
          <w:tcPr>
            <w:tcW w:w="581" w:type="pct"/>
            <w:tcBorders>
              <w:top w:val="single" w:sz="4" w:space="0" w:color="auto"/>
              <w:bottom w:val="single" w:sz="4" w:space="0" w:color="auto"/>
            </w:tcBorders>
            <w:vAlign w:val="center"/>
          </w:tcPr>
          <w:p w14:paraId="4DD7572C" w14:textId="43C452B8"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Age (y</w:t>
            </w:r>
            <w:r w:rsidR="00DD179A" w:rsidRPr="004A7A2A">
              <w:rPr>
                <w:rFonts w:ascii="Book Antiqua" w:hAnsi="Book Antiqua" w:cs="Times New Roman"/>
                <w:b/>
                <w:bCs/>
                <w:sz w:val="24"/>
                <w:szCs w:val="24"/>
                <w:lang w:val="en-US"/>
              </w:rPr>
              <w:t>r</w:t>
            </w:r>
            <w:r w:rsidRPr="004A7A2A">
              <w:rPr>
                <w:rFonts w:ascii="Book Antiqua" w:hAnsi="Book Antiqua" w:cs="Times New Roman"/>
                <w:b/>
                <w:bCs/>
                <w:sz w:val="24"/>
                <w:szCs w:val="24"/>
                <w:lang w:val="en-US"/>
              </w:rPr>
              <w:t>)</w:t>
            </w:r>
          </w:p>
        </w:tc>
        <w:tc>
          <w:tcPr>
            <w:tcW w:w="840" w:type="pct"/>
            <w:tcBorders>
              <w:top w:val="single" w:sz="4" w:space="0" w:color="auto"/>
              <w:bottom w:val="single" w:sz="4" w:space="0" w:color="auto"/>
            </w:tcBorders>
            <w:vAlign w:val="center"/>
          </w:tcPr>
          <w:p w14:paraId="593802EF" w14:textId="1411FCFC"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Hemoglobin (g/d</w:t>
            </w:r>
            <w:r w:rsidR="00DD179A" w:rsidRPr="004A7A2A">
              <w:rPr>
                <w:rFonts w:ascii="Book Antiqua" w:hAnsi="Book Antiqua" w:cs="Times New Roman"/>
                <w:b/>
                <w:bCs/>
                <w:sz w:val="24"/>
                <w:szCs w:val="24"/>
                <w:lang w:val="en-US"/>
              </w:rPr>
              <w:t>L</w:t>
            </w:r>
            <w:r w:rsidRPr="004A7A2A">
              <w:rPr>
                <w:rFonts w:ascii="Book Antiqua" w:hAnsi="Book Antiqua" w:cs="Times New Roman"/>
                <w:b/>
                <w:bCs/>
                <w:sz w:val="24"/>
                <w:szCs w:val="24"/>
                <w:lang w:val="en-US"/>
              </w:rPr>
              <w:t>)</w:t>
            </w:r>
          </w:p>
        </w:tc>
        <w:tc>
          <w:tcPr>
            <w:tcW w:w="775" w:type="pct"/>
            <w:tcBorders>
              <w:top w:val="single" w:sz="4" w:space="0" w:color="auto"/>
              <w:bottom w:val="single" w:sz="4" w:space="0" w:color="auto"/>
            </w:tcBorders>
            <w:vAlign w:val="center"/>
          </w:tcPr>
          <w:p w14:paraId="54D55D65" w14:textId="138E865F"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 xml:space="preserve">WBC </w:t>
            </w:r>
            <w:r w:rsidR="00EE5994" w:rsidRPr="004A7A2A">
              <w:rPr>
                <w:rFonts w:ascii="Book Antiqua" w:hAnsi="Book Antiqua" w:cs="Times New Roman"/>
                <w:b/>
                <w:bCs/>
                <w:sz w:val="24"/>
                <w:szCs w:val="24"/>
                <w:lang w:val="en-US"/>
              </w:rPr>
              <w:t xml:space="preserve">(× </w:t>
            </w:r>
            <w:r w:rsidRPr="004A7A2A">
              <w:rPr>
                <w:rFonts w:ascii="Book Antiqua" w:hAnsi="Book Antiqua" w:cs="Times New Roman"/>
                <w:b/>
                <w:bCs/>
                <w:sz w:val="24"/>
                <w:szCs w:val="24"/>
                <w:lang w:val="en-US"/>
              </w:rPr>
              <w:t>10</w:t>
            </w:r>
            <w:r w:rsidRPr="004A7A2A">
              <w:rPr>
                <w:rFonts w:ascii="Book Antiqua" w:hAnsi="Book Antiqua" w:cs="Times New Roman"/>
                <w:b/>
                <w:bCs/>
                <w:sz w:val="24"/>
                <w:szCs w:val="24"/>
                <w:vertAlign w:val="superscript"/>
                <w:lang w:val="en-US"/>
              </w:rPr>
              <w:t>9</w:t>
            </w:r>
            <w:r w:rsidRPr="004A7A2A">
              <w:rPr>
                <w:rFonts w:ascii="Book Antiqua" w:hAnsi="Book Antiqua" w:cs="Times New Roman"/>
                <w:b/>
                <w:bCs/>
                <w:sz w:val="24"/>
                <w:szCs w:val="24"/>
                <w:lang w:val="en-US"/>
              </w:rPr>
              <w:t>/</w:t>
            </w:r>
            <w:r w:rsidR="00DD179A" w:rsidRPr="004A7A2A">
              <w:rPr>
                <w:rFonts w:ascii="Book Antiqua" w:hAnsi="Book Antiqua" w:cs="Times New Roman"/>
                <w:b/>
                <w:bCs/>
                <w:sz w:val="24"/>
                <w:szCs w:val="24"/>
                <w:lang w:val="en-US"/>
              </w:rPr>
              <w:t>L</w:t>
            </w:r>
            <w:r w:rsidR="00EE5994" w:rsidRPr="004A7A2A">
              <w:rPr>
                <w:rFonts w:ascii="Book Antiqua" w:hAnsi="Book Antiqua" w:cs="Times New Roman"/>
                <w:b/>
                <w:bCs/>
                <w:sz w:val="24"/>
                <w:szCs w:val="24"/>
                <w:lang w:val="en-US"/>
              </w:rPr>
              <w:t>)</w:t>
            </w:r>
          </w:p>
        </w:tc>
        <w:tc>
          <w:tcPr>
            <w:tcW w:w="968" w:type="pct"/>
            <w:tcBorders>
              <w:top w:val="single" w:sz="4" w:space="0" w:color="auto"/>
              <w:bottom w:val="single" w:sz="4" w:space="0" w:color="auto"/>
            </w:tcBorders>
            <w:vAlign w:val="center"/>
          </w:tcPr>
          <w:p w14:paraId="186CCBFA" w14:textId="34281A93"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Thrombocytes (</w:t>
            </w:r>
            <w:r w:rsidR="00DD179A" w:rsidRPr="004A7A2A">
              <w:rPr>
                <w:rFonts w:ascii="Book Antiqua" w:hAnsi="Book Antiqua" w:cs="Times New Roman"/>
                <w:b/>
                <w:bCs/>
                <w:sz w:val="24"/>
                <w:szCs w:val="24"/>
                <w:lang w:val="en-US"/>
              </w:rPr>
              <w:t>g</w:t>
            </w:r>
            <w:r w:rsidRPr="004A7A2A">
              <w:rPr>
                <w:rFonts w:ascii="Book Antiqua" w:hAnsi="Book Antiqua" w:cs="Times New Roman"/>
                <w:b/>
                <w:bCs/>
                <w:sz w:val="24"/>
                <w:szCs w:val="24"/>
                <w:lang w:val="en-US"/>
              </w:rPr>
              <w:t>/</w:t>
            </w:r>
            <w:r w:rsidR="00DD179A" w:rsidRPr="004A7A2A">
              <w:rPr>
                <w:rFonts w:ascii="Book Antiqua" w:hAnsi="Book Antiqua" w:cs="Times New Roman"/>
                <w:b/>
                <w:bCs/>
                <w:sz w:val="24"/>
                <w:szCs w:val="24"/>
                <w:lang w:val="en-US"/>
              </w:rPr>
              <w:t>L</w:t>
            </w:r>
            <w:r w:rsidRPr="004A7A2A">
              <w:rPr>
                <w:rFonts w:ascii="Book Antiqua" w:hAnsi="Book Antiqua" w:cs="Times New Roman"/>
                <w:b/>
                <w:bCs/>
                <w:sz w:val="24"/>
                <w:szCs w:val="24"/>
                <w:lang w:val="en-US"/>
              </w:rPr>
              <w:t>)</w:t>
            </w:r>
          </w:p>
        </w:tc>
        <w:tc>
          <w:tcPr>
            <w:tcW w:w="827" w:type="pct"/>
            <w:tcBorders>
              <w:top w:val="single" w:sz="4" w:space="0" w:color="auto"/>
              <w:bottom w:val="single" w:sz="4" w:space="0" w:color="auto"/>
            </w:tcBorders>
            <w:vAlign w:val="center"/>
          </w:tcPr>
          <w:p w14:paraId="20D9F8F5" w14:textId="019035E0" w:rsidR="007057E4" w:rsidRPr="004A7A2A" w:rsidRDefault="007057E4" w:rsidP="00876C44">
            <w:pPr>
              <w:adjustRightInd w:val="0"/>
              <w:snapToGrid w:val="0"/>
              <w:spacing w:line="360" w:lineRule="auto"/>
              <w:ind w:firstLineChars="0" w:firstLine="0"/>
              <w:jc w:val="center"/>
              <w:rPr>
                <w:rFonts w:ascii="Book Antiqua" w:hAnsi="Book Antiqua" w:cs="Times New Roman"/>
                <w:b/>
                <w:bCs/>
                <w:sz w:val="24"/>
                <w:szCs w:val="24"/>
                <w:lang w:val="en-US"/>
              </w:rPr>
            </w:pPr>
            <w:r w:rsidRPr="004A7A2A">
              <w:rPr>
                <w:rFonts w:ascii="Book Antiqua" w:hAnsi="Book Antiqua" w:cs="Times New Roman"/>
                <w:b/>
                <w:bCs/>
                <w:sz w:val="24"/>
                <w:szCs w:val="24"/>
                <w:lang w:val="en-US"/>
              </w:rPr>
              <w:t>Glucose (mg/d</w:t>
            </w:r>
            <w:r w:rsidR="00DD179A" w:rsidRPr="004A7A2A">
              <w:rPr>
                <w:rFonts w:ascii="Book Antiqua" w:hAnsi="Book Antiqua" w:cs="Times New Roman"/>
                <w:b/>
                <w:bCs/>
                <w:sz w:val="24"/>
                <w:szCs w:val="24"/>
                <w:lang w:val="en-US"/>
              </w:rPr>
              <w:t>L</w:t>
            </w:r>
            <w:r w:rsidRPr="004A7A2A">
              <w:rPr>
                <w:rFonts w:ascii="Book Antiqua" w:hAnsi="Book Antiqua" w:cs="Times New Roman"/>
                <w:b/>
                <w:bCs/>
                <w:sz w:val="24"/>
                <w:szCs w:val="24"/>
                <w:lang w:val="en-US"/>
              </w:rPr>
              <w:t>)</w:t>
            </w:r>
          </w:p>
        </w:tc>
      </w:tr>
      <w:tr w:rsidR="007C36D5" w:rsidRPr="006E15BC" w14:paraId="1578A2DC" w14:textId="77777777">
        <w:trPr>
          <w:trHeight w:val="567"/>
        </w:trPr>
        <w:tc>
          <w:tcPr>
            <w:tcW w:w="1008" w:type="pct"/>
            <w:tcBorders>
              <w:top w:val="single" w:sz="4" w:space="0" w:color="auto"/>
            </w:tcBorders>
            <w:noWrap/>
          </w:tcPr>
          <w:p w14:paraId="155A48B2"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lang w:val="en-US"/>
              </w:rPr>
            </w:pPr>
            <w:bookmarkStart w:id="164" w:name="OLE_LINK190"/>
            <w:r w:rsidRPr="006E15BC">
              <w:rPr>
                <w:rFonts w:ascii="Book Antiqua" w:hAnsi="Book Antiqua" w:cs="Times New Roman"/>
                <w:bCs/>
                <w:sz w:val="24"/>
                <w:szCs w:val="24"/>
                <w:lang w:val="en-US"/>
              </w:rPr>
              <w:t>MUC1</w:t>
            </w:r>
          </w:p>
        </w:tc>
        <w:tc>
          <w:tcPr>
            <w:tcW w:w="581" w:type="pct"/>
            <w:tcBorders>
              <w:top w:val="single" w:sz="4" w:space="0" w:color="auto"/>
            </w:tcBorders>
            <w:noWrap/>
            <w:vAlign w:val="center"/>
          </w:tcPr>
          <w:p w14:paraId="43A3A476"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-0.322</w:t>
            </w:r>
          </w:p>
        </w:tc>
        <w:tc>
          <w:tcPr>
            <w:tcW w:w="840" w:type="pct"/>
            <w:tcBorders>
              <w:top w:val="single" w:sz="4" w:space="0" w:color="auto"/>
            </w:tcBorders>
          </w:tcPr>
          <w:p w14:paraId="77E92DDD"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rPr>
            </w:pPr>
            <w:r w:rsidRPr="006E15BC">
              <w:rPr>
                <w:rFonts w:ascii="Book Antiqua" w:hAnsi="Book Antiqua" w:cs="Times New Roman"/>
                <w:sz w:val="24"/>
                <w:szCs w:val="24"/>
                <w:lang w:val="en-US" w:eastAsia="pl-PL"/>
              </w:rPr>
              <w:t>-0.175</w:t>
            </w:r>
          </w:p>
        </w:tc>
        <w:tc>
          <w:tcPr>
            <w:tcW w:w="775" w:type="pct"/>
            <w:tcBorders>
              <w:top w:val="single" w:sz="4" w:space="0" w:color="auto"/>
            </w:tcBorders>
            <w:noWrap/>
            <w:vAlign w:val="center"/>
          </w:tcPr>
          <w:p w14:paraId="47915FCF"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0.067</w:t>
            </w:r>
          </w:p>
        </w:tc>
        <w:tc>
          <w:tcPr>
            <w:tcW w:w="968" w:type="pct"/>
            <w:tcBorders>
              <w:top w:val="single" w:sz="4" w:space="0" w:color="auto"/>
            </w:tcBorders>
            <w:noWrap/>
            <w:vAlign w:val="center"/>
          </w:tcPr>
          <w:p w14:paraId="2F157106" w14:textId="39F035AF"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val="en-US" w:eastAsia="pl-PL"/>
              </w:rPr>
            </w:pPr>
            <w:r w:rsidRPr="006E15BC">
              <w:rPr>
                <w:rFonts w:ascii="Book Antiqua" w:hAnsi="Book Antiqua" w:cs="Times New Roman"/>
                <w:bCs/>
                <w:sz w:val="24"/>
                <w:szCs w:val="24"/>
                <w:lang w:val="en-US" w:eastAsia="pl-PL"/>
              </w:rPr>
              <w:t>0.474</w:t>
            </w:r>
            <w:r w:rsidR="006E15BC" w:rsidRPr="006E15BC">
              <w:rPr>
                <w:rFonts w:ascii="Book Antiqua" w:hAnsi="Book Antiqua" w:cs="Times New Roman"/>
                <w:bCs/>
                <w:sz w:val="24"/>
                <w:szCs w:val="24"/>
                <w:vertAlign w:val="superscript"/>
                <w:lang w:val="en-US" w:eastAsia="pl-PL"/>
              </w:rPr>
              <w:t>1</w:t>
            </w:r>
          </w:p>
        </w:tc>
        <w:tc>
          <w:tcPr>
            <w:tcW w:w="827" w:type="pct"/>
            <w:tcBorders>
              <w:top w:val="single" w:sz="4" w:space="0" w:color="auto"/>
            </w:tcBorders>
            <w:noWrap/>
            <w:vAlign w:val="center"/>
          </w:tcPr>
          <w:p w14:paraId="649DD170"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en-US" w:eastAsia="pl-PL"/>
              </w:rPr>
            </w:pPr>
            <w:r w:rsidRPr="006E15BC">
              <w:rPr>
                <w:rFonts w:ascii="Book Antiqua" w:hAnsi="Book Antiqua" w:cs="Times New Roman"/>
                <w:sz w:val="24"/>
                <w:szCs w:val="24"/>
                <w:lang w:val="en-US" w:eastAsia="pl-PL"/>
              </w:rPr>
              <w:t>-0.277</w:t>
            </w:r>
          </w:p>
        </w:tc>
      </w:tr>
      <w:tr w:rsidR="007C36D5" w:rsidRPr="006E15BC" w14:paraId="596AE2A4" w14:textId="77777777">
        <w:trPr>
          <w:trHeight w:val="567"/>
        </w:trPr>
        <w:tc>
          <w:tcPr>
            <w:tcW w:w="1008" w:type="pct"/>
            <w:noWrap/>
          </w:tcPr>
          <w:p w14:paraId="500C9E59"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lang w:val="en-US"/>
              </w:rPr>
            </w:pPr>
            <w:r w:rsidRPr="006E15BC">
              <w:rPr>
                <w:rFonts w:ascii="Book Antiqua" w:hAnsi="Book Antiqua" w:cs="Times New Roman"/>
                <w:bCs/>
                <w:sz w:val="24"/>
                <w:szCs w:val="24"/>
                <w:lang w:val="en-US"/>
              </w:rPr>
              <w:t>MUC2</w:t>
            </w:r>
          </w:p>
        </w:tc>
        <w:tc>
          <w:tcPr>
            <w:tcW w:w="581" w:type="pct"/>
            <w:noWrap/>
            <w:vAlign w:val="center"/>
          </w:tcPr>
          <w:p w14:paraId="0F23A0AA"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val="pl-PL" w:eastAsia="pl-PL"/>
              </w:rPr>
            </w:pPr>
            <w:r w:rsidRPr="006E15BC">
              <w:rPr>
                <w:rFonts w:ascii="Book Antiqua" w:hAnsi="Book Antiqua" w:cs="Times New Roman"/>
                <w:sz w:val="24"/>
                <w:szCs w:val="24"/>
                <w:lang w:val="en-US" w:eastAsia="pl-PL"/>
              </w:rPr>
              <w:t>0.0</w:t>
            </w:r>
            <w:r w:rsidRPr="006E15BC">
              <w:rPr>
                <w:rFonts w:ascii="Book Antiqua" w:hAnsi="Book Antiqua" w:cs="Times New Roman"/>
                <w:sz w:val="24"/>
                <w:szCs w:val="24"/>
                <w:lang w:val="pl-PL" w:eastAsia="pl-PL"/>
              </w:rPr>
              <w:t>53</w:t>
            </w:r>
          </w:p>
        </w:tc>
        <w:tc>
          <w:tcPr>
            <w:tcW w:w="840" w:type="pct"/>
          </w:tcPr>
          <w:p w14:paraId="64D7558C"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rPr>
            </w:pPr>
            <w:r w:rsidRPr="006E15BC">
              <w:rPr>
                <w:rFonts w:ascii="Book Antiqua" w:hAnsi="Book Antiqua" w:cs="Times New Roman"/>
                <w:sz w:val="24"/>
                <w:szCs w:val="24"/>
                <w:lang w:val="pl-PL" w:eastAsia="pl-PL"/>
              </w:rPr>
              <w:t>-0.123</w:t>
            </w:r>
          </w:p>
        </w:tc>
        <w:tc>
          <w:tcPr>
            <w:tcW w:w="775" w:type="pct"/>
            <w:noWrap/>
            <w:vAlign w:val="center"/>
          </w:tcPr>
          <w:p w14:paraId="33F9DA1D"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eastAsia="pl-PL"/>
              </w:rPr>
            </w:pPr>
            <w:r w:rsidRPr="006E15BC">
              <w:rPr>
                <w:rFonts w:ascii="Book Antiqua" w:hAnsi="Book Antiqua" w:cs="Times New Roman"/>
                <w:sz w:val="24"/>
                <w:szCs w:val="24"/>
                <w:lang w:eastAsia="pl-PL"/>
              </w:rPr>
              <w:t>-0.097</w:t>
            </w:r>
          </w:p>
        </w:tc>
        <w:tc>
          <w:tcPr>
            <w:tcW w:w="968" w:type="pct"/>
            <w:noWrap/>
            <w:vAlign w:val="center"/>
          </w:tcPr>
          <w:p w14:paraId="133166DA"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eastAsia="pl-PL"/>
              </w:rPr>
            </w:pPr>
            <w:r w:rsidRPr="006E15BC">
              <w:rPr>
                <w:rFonts w:ascii="Book Antiqua" w:hAnsi="Book Antiqua" w:cs="Times New Roman"/>
                <w:sz w:val="24"/>
                <w:szCs w:val="24"/>
                <w:lang w:eastAsia="pl-PL"/>
              </w:rPr>
              <w:t>-0.085</w:t>
            </w:r>
          </w:p>
        </w:tc>
        <w:tc>
          <w:tcPr>
            <w:tcW w:w="827" w:type="pct"/>
            <w:noWrap/>
            <w:vAlign w:val="center"/>
          </w:tcPr>
          <w:p w14:paraId="69436447"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eastAsia="pl-PL"/>
              </w:rPr>
            </w:pPr>
            <w:r w:rsidRPr="006E15BC">
              <w:rPr>
                <w:rFonts w:ascii="Book Antiqua" w:hAnsi="Book Antiqua" w:cs="Times New Roman"/>
                <w:sz w:val="24"/>
                <w:szCs w:val="24"/>
                <w:lang w:eastAsia="pl-PL"/>
              </w:rPr>
              <w:t>-0.346</w:t>
            </w:r>
          </w:p>
        </w:tc>
      </w:tr>
      <w:tr w:rsidR="007C36D5" w:rsidRPr="006E15BC" w14:paraId="784AB33C" w14:textId="77777777">
        <w:trPr>
          <w:trHeight w:val="567"/>
        </w:trPr>
        <w:tc>
          <w:tcPr>
            <w:tcW w:w="1008" w:type="pct"/>
            <w:noWrap/>
          </w:tcPr>
          <w:p w14:paraId="7485882A"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rPr>
            </w:pPr>
            <w:r w:rsidRPr="006E15BC">
              <w:rPr>
                <w:rFonts w:ascii="Book Antiqua" w:hAnsi="Book Antiqua" w:cs="Times New Roman"/>
                <w:bCs/>
                <w:sz w:val="24"/>
                <w:szCs w:val="24"/>
              </w:rPr>
              <w:t>mRNA MUC1</w:t>
            </w:r>
          </w:p>
        </w:tc>
        <w:tc>
          <w:tcPr>
            <w:tcW w:w="581" w:type="pct"/>
            <w:noWrap/>
            <w:vAlign w:val="center"/>
          </w:tcPr>
          <w:p w14:paraId="41C5A440" w14:textId="163B31BF"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eastAsia="pl-PL"/>
              </w:rPr>
            </w:pPr>
            <w:r w:rsidRPr="006E15BC">
              <w:rPr>
                <w:rFonts w:ascii="Book Antiqua" w:hAnsi="Book Antiqua" w:cs="Times New Roman"/>
                <w:bCs/>
                <w:sz w:val="24"/>
                <w:szCs w:val="24"/>
                <w:lang w:eastAsia="pl-PL"/>
              </w:rPr>
              <w:t>-0.481</w:t>
            </w:r>
            <w:r w:rsidR="006E15BC" w:rsidRPr="006E15BC">
              <w:rPr>
                <w:rFonts w:ascii="Book Antiqua" w:hAnsi="Book Antiqua" w:cs="Times New Roman"/>
                <w:bCs/>
                <w:sz w:val="24"/>
                <w:szCs w:val="24"/>
                <w:vertAlign w:val="superscript"/>
                <w:lang w:eastAsia="pl-PL"/>
              </w:rPr>
              <w:t>1</w:t>
            </w:r>
          </w:p>
        </w:tc>
        <w:tc>
          <w:tcPr>
            <w:tcW w:w="840" w:type="pct"/>
          </w:tcPr>
          <w:p w14:paraId="563B01CB"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rPr>
            </w:pPr>
            <w:r w:rsidRPr="006E15BC">
              <w:rPr>
                <w:rFonts w:ascii="Book Antiqua" w:hAnsi="Book Antiqua" w:cs="Times New Roman"/>
                <w:sz w:val="24"/>
                <w:szCs w:val="24"/>
                <w:lang w:val="pl-PL" w:eastAsia="pl-PL"/>
              </w:rPr>
              <w:t>0.189</w:t>
            </w:r>
          </w:p>
        </w:tc>
        <w:tc>
          <w:tcPr>
            <w:tcW w:w="775" w:type="pct"/>
            <w:noWrap/>
            <w:vAlign w:val="center"/>
          </w:tcPr>
          <w:p w14:paraId="30C09AB8" w14:textId="77F030CB"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eastAsia="pl-PL"/>
              </w:rPr>
            </w:pPr>
            <w:r w:rsidRPr="006E15BC">
              <w:rPr>
                <w:rFonts w:ascii="Book Antiqua" w:hAnsi="Book Antiqua" w:cs="Times New Roman"/>
                <w:bCs/>
                <w:sz w:val="24"/>
                <w:szCs w:val="24"/>
                <w:lang w:eastAsia="pl-PL"/>
              </w:rPr>
              <w:t>0.465</w:t>
            </w:r>
            <w:r w:rsidR="006E15BC" w:rsidRPr="006E15BC">
              <w:rPr>
                <w:rFonts w:ascii="Book Antiqua" w:hAnsi="Book Antiqua" w:cs="Times New Roman"/>
                <w:bCs/>
                <w:sz w:val="24"/>
                <w:szCs w:val="24"/>
                <w:vertAlign w:val="superscript"/>
                <w:lang w:eastAsia="pl-PL"/>
              </w:rPr>
              <w:t>1</w:t>
            </w:r>
          </w:p>
        </w:tc>
        <w:tc>
          <w:tcPr>
            <w:tcW w:w="968" w:type="pct"/>
            <w:noWrap/>
            <w:vAlign w:val="center"/>
          </w:tcPr>
          <w:p w14:paraId="67FC53BE"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eastAsia="pl-PL"/>
              </w:rPr>
            </w:pPr>
            <w:r w:rsidRPr="006E15BC">
              <w:rPr>
                <w:rFonts w:ascii="Book Antiqua" w:hAnsi="Book Antiqua" w:cs="Times New Roman"/>
                <w:sz w:val="24"/>
                <w:szCs w:val="24"/>
                <w:lang w:eastAsia="pl-PL"/>
              </w:rPr>
              <w:t>0.203</w:t>
            </w:r>
          </w:p>
        </w:tc>
        <w:tc>
          <w:tcPr>
            <w:tcW w:w="827" w:type="pct"/>
            <w:noWrap/>
            <w:vAlign w:val="center"/>
          </w:tcPr>
          <w:p w14:paraId="56258420"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eastAsia="pl-PL"/>
              </w:rPr>
            </w:pPr>
            <w:r w:rsidRPr="006E15BC">
              <w:rPr>
                <w:rFonts w:ascii="Book Antiqua" w:hAnsi="Book Antiqua" w:cs="Times New Roman"/>
                <w:sz w:val="24"/>
                <w:szCs w:val="24"/>
                <w:lang w:eastAsia="pl-PL"/>
              </w:rPr>
              <w:t>-0.325</w:t>
            </w:r>
          </w:p>
        </w:tc>
      </w:tr>
      <w:tr w:rsidR="007C36D5" w:rsidRPr="006E15BC" w14:paraId="640DCA6B" w14:textId="77777777">
        <w:trPr>
          <w:trHeight w:val="567"/>
        </w:trPr>
        <w:tc>
          <w:tcPr>
            <w:tcW w:w="1008" w:type="pct"/>
            <w:tcBorders>
              <w:bottom w:val="single" w:sz="4" w:space="0" w:color="auto"/>
            </w:tcBorders>
            <w:noWrap/>
          </w:tcPr>
          <w:p w14:paraId="64CB0F6A" w14:textId="77777777" w:rsidR="007057E4" w:rsidRPr="006E15BC" w:rsidRDefault="007057E4" w:rsidP="004A7A2A">
            <w:pPr>
              <w:adjustRightInd w:val="0"/>
              <w:snapToGrid w:val="0"/>
              <w:spacing w:line="360" w:lineRule="auto"/>
              <w:ind w:firstLineChars="0" w:firstLine="0"/>
              <w:jc w:val="both"/>
              <w:rPr>
                <w:rFonts w:ascii="Book Antiqua" w:hAnsi="Book Antiqua" w:cs="Times New Roman"/>
                <w:bCs/>
                <w:sz w:val="24"/>
                <w:szCs w:val="24"/>
              </w:rPr>
            </w:pPr>
            <w:r w:rsidRPr="006E15BC">
              <w:rPr>
                <w:rFonts w:ascii="Book Antiqua" w:hAnsi="Book Antiqua" w:cs="Times New Roman"/>
                <w:bCs/>
                <w:sz w:val="24"/>
                <w:szCs w:val="24"/>
              </w:rPr>
              <w:t>mRNA MUC2</w:t>
            </w:r>
          </w:p>
        </w:tc>
        <w:tc>
          <w:tcPr>
            <w:tcW w:w="581" w:type="pct"/>
            <w:tcBorders>
              <w:bottom w:val="single" w:sz="4" w:space="0" w:color="auto"/>
            </w:tcBorders>
            <w:noWrap/>
            <w:vAlign w:val="center"/>
          </w:tcPr>
          <w:p w14:paraId="5D1B30D8"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eastAsia="pl-PL"/>
              </w:rPr>
            </w:pPr>
            <w:r w:rsidRPr="006E15BC">
              <w:rPr>
                <w:rFonts w:ascii="Book Antiqua" w:hAnsi="Book Antiqua" w:cs="Times New Roman"/>
                <w:sz w:val="24"/>
                <w:szCs w:val="24"/>
                <w:lang w:eastAsia="pl-PL"/>
              </w:rPr>
              <w:t>-0.412</w:t>
            </w:r>
          </w:p>
        </w:tc>
        <w:tc>
          <w:tcPr>
            <w:tcW w:w="840" w:type="pct"/>
            <w:tcBorders>
              <w:bottom w:val="single" w:sz="4" w:space="0" w:color="auto"/>
            </w:tcBorders>
          </w:tcPr>
          <w:p w14:paraId="772DB86A"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rPr>
            </w:pPr>
            <w:r w:rsidRPr="006E15BC">
              <w:rPr>
                <w:rFonts w:ascii="Book Antiqua" w:hAnsi="Book Antiqua" w:cs="Times New Roman"/>
                <w:sz w:val="24"/>
                <w:szCs w:val="24"/>
                <w:lang w:val="pl-PL" w:eastAsia="pl-PL"/>
              </w:rPr>
              <w:t>-0.098</w:t>
            </w:r>
          </w:p>
        </w:tc>
        <w:tc>
          <w:tcPr>
            <w:tcW w:w="775" w:type="pct"/>
            <w:tcBorders>
              <w:bottom w:val="single" w:sz="4" w:space="0" w:color="auto"/>
            </w:tcBorders>
            <w:noWrap/>
            <w:vAlign w:val="center"/>
          </w:tcPr>
          <w:p w14:paraId="3008B491" w14:textId="548CD5BA" w:rsidR="007057E4" w:rsidRPr="006E15BC" w:rsidRDefault="007057E4" w:rsidP="00876C44">
            <w:pPr>
              <w:adjustRightInd w:val="0"/>
              <w:snapToGrid w:val="0"/>
              <w:spacing w:line="360" w:lineRule="auto"/>
              <w:ind w:firstLineChars="0" w:firstLine="0"/>
              <w:jc w:val="center"/>
              <w:rPr>
                <w:rFonts w:ascii="Book Antiqua" w:hAnsi="Book Antiqua" w:cs="Times New Roman"/>
                <w:bCs/>
                <w:sz w:val="24"/>
                <w:szCs w:val="24"/>
                <w:vertAlign w:val="superscript"/>
                <w:lang w:eastAsia="pl-PL"/>
              </w:rPr>
            </w:pPr>
            <w:r w:rsidRPr="006E15BC">
              <w:rPr>
                <w:rFonts w:ascii="Book Antiqua" w:hAnsi="Book Antiqua" w:cs="Times New Roman"/>
                <w:bCs/>
                <w:sz w:val="24"/>
                <w:szCs w:val="24"/>
                <w:lang w:eastAsia="pl-PL"/>
              </w:rPr>
              <w:t>0.474</w:t>
            </w:r>
            <w:r w:rsidR="006E15BC" w:rsidRPr="006E15BC">
              <w:rPr>
                <w:rFonts w:ascii="Book Antiqua" w:hAnsi="Book Antiqua" w:cs="Times New Roman"/>
                <w:bCs/>
                <w:sz w:val="24"/>
                <w:szCs w:val="24"/>
                <w:vertAlign w:val="superscript"/>
                <w:lang w:eastAsia="pl-PL"/>
              </w:rPr>
              <w:t>1</w:t>
            </w:r>
          </w:p>
        </w:tc>
        <w:tc>
          <w:tcPr>
            <w:tcW w:w="968" w:type="pct"/>
            <w:tcBorders>
              <w:bottom w:val="single" w:sz="4" w:space="0" w:color="auto"/>
            </w:tcBorders>
            <w:noWrap/>
            <w:vAlign w:val="center"/>
          </w:tcPr>
          <w:p w14:paraId="5903F478"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eastAsia="pl-PL"/>
              </w:rPr>
            </w:pPr>
            <w:r w:rsidRPr="006E15BC">
              <w:rPr>
                <w:rFonts w:ascii="Book Antiqua" w:hAnsi="Book Antiqua" w:cs="Times New Roman"/>
                <w:sz w:val="24"/>
                <w:szCs w:val="24"/>
                <w:lang w:eastAsia="pl-PL"/>
              </w:rPr>
              <w:t>-0.145</w:t>
            </w:r>
          </w:p>
        </w:tc>
        <w:tc>
          <w:tcPr>
            <w:tcW w:w="827" w:type="pct"/>
            <w:tcBorders>
              <w:bottom w:val="single" w:sz="4" w:space="0" w:color="auto"/>
            </w:tcBorders>
            <w:noWrap/>
            <w:vAlign w:val="center"/>
          </w:tcPr>
          <w:p w14:paraId="07C6789D" w14:textId="77777777" w:rsidR="007057E4" w:rsidRPr="006E15BC" w:rsidRDefault="007057E4" w:rsidP="00876C44">
            <w:pPr>
              <w:adjustRightInd w:val="0"/>
              <w:snapToGrid w:val="0"/>
              <w:spacing w:line="360" w:lineRule="auto"/>
              <w:ind w:firstLineChars="0" w:firstLine="0"/>
              <w:jc w:val="center"/>
              <w:rPr>
                <w:rFonts w:ascii="Book Antiqua" w:hAnsi="Book Antiqua" w:cs="Times New Roman"/>
                <w:sz w:val="24"/>
                <w:szCs w:val="24"/>
                <w:lang w:eastAsia="pl-PL"/>
              </w:rPr>
            </w:pPr>
            <w:r w:rsidRPr="006E15BC">
              <w:rPr>
                <w:rFonts w:ascii="Book Antiqua" w:hAnsi="Book Antiqua" w:cs="Times New Roman"/>
                <w:sz w:val="24"/>
                <w:szCs w:val="24"/>
                <w:lang w:eastAsia="pl-PL"/>
              </w:rPr>
              <w:t>-0.306</w:t>
            </w:r>
          </w:p>
        </w:tc>
      </w:tr>
    </w:tbl>
    <w:bookmarkEnd w:id="164"/>
    <w:p w14:paraId="001B4B3C" w14:textId="5AA6B7D5" w:rsidR="007057E4" w:rsidRPr="007E40DB" w:rsidRDefault="006E15BC" w:rsidP="004A7A2A">
      <w:pPr>
        <w:adjustRightInd w:val="0"/>
        <w:snapToGrid w:val="0"/>
        <w:spacing w:line="360" w:lineRule="auto"/>
        <w:ind w:firstLineChars="0" w:firstLine="0"/>
        <w:jc w:val="both"/>
        <w:rPr>
          <w:rFonts w:ascii="Book Antiqua" w:hAnsi="Book Antiqua" w:cs="Times New Roman"/>
          <w:sz w:val="24"/>
          <w:szCs w:val="24"/>
          <w:lang w:val="en-US"/>
        </w:rPr>
      </w:pPr>
      <w:r>
        <w:rPr>
          <w:rFonts w:ascii="Book Antiqua" w:hAnsi="Book Antiqua" w:cs="Times New Roman"/>
          <w:sz w:val="24"/>
          <w:szCs w:val="24"/>
          <w:vertAlign w:val="superscript"/>
        </w:rPr>
        <w:t>1</w:t>
      </w:r>
      <w:r>
        <w:rPr>
          <w:rFonts w:ascii="Book Antiqua" w:hAnsi="Book Antiqua" w:cs="Times New Roman"/>
          <w:sz w:val="24"/>
          <w:szCs w:val="24"/>
          <w:lang w:val="en-US"/>
        </w:rPr>
        <w:t>I</w:t>
      </w:r>
      <w:r w:rsidR="007057E4" w:rsidRPr="00D27550">
        <w:rPr>
          <w:rFonts w:ascii="Book Antiqua" w:hAnsi="Book Antiqua" w:cs="Times New Roman"/>
          <w:sz w:val="24"/>
          <w:szCs w:val="24"/>
          <w:lang w:val="en-US"/>
        </w:rPr>
        <w:t xml:space="preserve">ndicate values of r coefficient for which </w:t>
      </w:r>
      <w:r w:rsidR="007057E4" w:rsidRPr="00D27550">
        <w:rPr>
          <w:rFonts w:ascii="Book Antiqua" w:hAnsi="Book Antiqua" w:cs="Times New Roman"/>
          <w:i/>
          <w:iCs/>
          <w:sz w:val="24"/>
          <w:szCs w:val="24"/>
          <w:lang w:val="en-US"/>
        </w:rPr>
        <w:t xml:space="preserve">P </w:t>
      </w:r>
      <w:r w:rsidR="007057E4" w:rsidRPr="00D27550">
        <w:rPr>
          <w:rFonts w:ascii="Book Antiqua" w:hAnsi="Book Antiqua" w:cs="Times New Roman"/>
          <w:sz w:val="24"/>
          <w:szCs w:val="24"/>
          <w:lang w:val="en-US"/>
        </w:rPr>
        <w:t>&lt; 0.05</w:t>
      </w:r>
      <w:r w:rsidR="00DD179A" w:rsidRPr="00D27550">
        <w:rPr>
          <w:rFonts w:ascii="Book Antiqua" w:hAnsi="Book Antiqua" w:cs="Times New Roman"/>
          <w:sz w:val="24"/>
          <w:szCs w:val="24"/>
          <w:lang w:val="en-US"/>
        </w:rPr>
        <w:t>.</w:t>
      </w:r>
      <w:r w:rsidR="00DD179A" w:rsidRPr="007E40DB">
        <w:rPr>
          <w:rFonts w:ascii="Book Antiqua" w:hAnsi="Book Antiqua" w:cs="Times New Roman"/>
          <w:sz w:val="24"/>
          <w:szCs w:val="24"/>
          <w:lang w:val="en-US"/>
        </w:rPr>
        <w:t xml:space="preserve"> WBC: White blood cell</w:t>
      </w:r>
      <w:r>
        <w:rPr>
          <w:rFonts w:ascii="Book Antiqua" w:hAnsi="Book Antiqua" w:cs="Times New Roman"/>
          <w:sz w:val="24"/>
          <w:szCs w:val="24"/>
          <w:lang w:val="en-US"/>
        </w:rPr>
        <w:t xml:space="preserve">; </w:t>
      </w:r>
      <w:r>
        <w:rPr>
          <w:rFonts w:ascii="Book Antiqua" w:hAnsi="Book Antiqua" w:cs="Times New Roman"/>
          <w:color w:val="000000" w:themeColor="text1"/>
          <w:sz w:val="24"/>
          <w:szCs w:val="24"/>
          <w:lang w:val="en-US" w:eastAsia="pl-PL"/>
        </w:rPr>
        <w:t>MUC1: Mucin 1; MUC2: Mucin 2.</w:t>
      </w:r>
    </w:p>
    <w:p w14:paraId="3F63C099" w14:textId="77777777" w:rsidR="00A26D71" w:rsidRPr="004A7A2A" w:rsidRDefault="00A26D71" w:rsidP="004A7A2A">
      <w:pPr>
        <w:adjustRightInd w:val="0"/>
        <w:snapToGrid w:val="0"/>
        <w:spacing w:line="360" w:lineRule="auto"/>
        <w:ind w:firstLineChars="0" w:firstLine="0"/>
        <w:jc w:val="both"/>
        <w:rPr>
          <w:rFonts w:ascii="Book Antiqua" w:hAnsi="Book Antiqua" w:cs="Times New Roman"/>
          <w:sz w:val="24"/>
          <w:szCs w:val="24"/>
          <w:lang w:val="en-US"/>
        </w:rPr>
      </w:pPr>
    </w:p>
    <w:sectPr w:rsidR="00A26D71" w:rsidRPr="004A7A2A" w:rsidSect="005D0419">
      <w:pgSz w:w="11906" w:h="16838"/>
      <w:pgMar w:top="1418" w:right="1418" w:bottom="1418" w:left="1418" w:header="709" w:footer="709"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6A633" w14:textId="77777777" w:rsidR="00B55756" w:rsidRDefault="00B55756">
      <w:pPr>
        <w:spacing w:line="240" w:lineRule="auto"/>
        <w:ind w:left="284"/>
        <w:rPr>
          <w:rFonts w:cs="Times New Roman"/>
        </w:rPr>
      </w:pPr>
      <w:r>
        <w:rPr>
          <w:rFonts w:cs="Times New Roman"/>
        </w:rPr>
        <w:separator/>
      </w:r>
    </w:p>
  </w:endnote>
  <w:endnote w:type="continuationSeparator" w:id="0">
    <w:p w14:paraId="6840D680" w14:textId="77777777" w:rsidR="00B55756" w:rsidRDefault="00B55756">
      <w:pPr>
        <w:spacing w:line="240" w:lineRule="auto"/>
        <w:ind w:left="284"/>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374CB" w14:textId="77777777" w:rsidR="00EA235C" w:rsidRDefault="00EA235C" w:rsidP="00167916">
    <w:pPr>
      <w:pStyle w:val="Footer"/>
      <w:framePr w:wrap="around" w:vAnchor="text" w:hAnchor="margin" w:xAlign="right" w:y="1"/>
      <w:ind w:left="284"/>
      <w:rPr>
        <w:rStyle w:val="PageNumber"/>
        <w:rFonts w:cs="Times New Roman"/>
      </w:rPr>
    </w:pPr>
    <w:r>
      <w:rPr>
        <w:rStyle w:val="PageNumber"/>
      </w:rPr>
      <w:fldChar w:fldCharType="begin"/>
    </w:r>
    <w:r>
      <w:rPr>
        <w:rStyle w:val="PageNumber"/>
      </w:rPr>
      <w:instrText xml:space="preserve">PAGE  </w:instrText>
    </w:r>
    <w:r>
      <w:rPr>
        <w:rStyle w:val="PageNumber"/>
      </w:rPr>
      <w:fldChar w:fldCharType="end"/>
    </w:r>
  </w:p>
  <w:p w14:paraId="496454C1" w14:textId="77777777" w:rsidR="00EA235C" w:rsidRDefault="00EA235C" w:rsidP="008A40A0">
    <w:pPr>
      <w:pStyle w:val="Footer"/>
      <w:ind w:left="284"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2340C" w14:textId="506C3972" w:rsidR="00EA235C" w:rsidRDefault="00EA235C" w:rsidP="00167916">
    <w:pPr>
      <w:pStyle w:val="Footer"/>
      <w:framePr w:wrap="around" w:vAnchor="text" w:hAnchor="margin" w:xAlign="right" w:y="1"/>
      <w:ind w:left="284"/>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sidR="007A3A3F">
      <w:rPr>
        <w:rStyle w:val="PageNumber"/>
        <w:noProof/>
      </w:rPr>
      <w:t>43</w:t>
    </w:r>
    <w:r>
      <w:rPr>
        <w:rStyle w:val="PageNumber"/>
      </w:rPr>
      <w:fldChar w:fldCharType="end"/>
    </w:r>
  </w:p>
  <w:p w14:paraId="31636329" w14:textId="77777777" w:rsidR="00EA235C" w:rsidRDefault="00EA235C" w:rsidP="008A40A0">
    <w:pPr>
      <w:pStyle w:val="Footer"/>
      <w:ind w:left="284" w:right="360"/>
      <w:jc w:val="center"/>
      <w:rPr>
        <w:rFonts w:cs="Times New Roman"/>
      </w:rPr>
    </w:pPr>
  </w:p>
  <w:p w14:paraId="4CDFFB94" w14:textId="77777777" w:rsidR="00EA235C" w:rsidRDefault="00EA235C" w:rsidP="00533423">
    <w:pPr>
      <w:pStyle w:val="Footer"/>
      <w:ind w:left="284"/>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2FF7" w14:textId="77777777" w:rsidR="00EA235C" w:rsidRDefault="00EA235C" w:rsidP="006F37E3">
    <w:pPr>
      <w:pStyle w:val="Footer"/>
      <w:ind w:left="284"/>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3120E" w14:textId="77777777" w:rsidR="00B55756" w:rsidRDefault="00B55756">
      <w:pPr>
        <w:spacing w:line="240" w:lineRule="auto"/>
        <w:ind w:left="284"/>
        <w:rPr>
          <w:rFonts w:cs="Times New Roman"/>
        </w:rPr>
      </w:pPr>
      <w:r>
        <w:rPr>
          <w:rFonts w:cs="Times New Roman"/>
        </w:rPr>
        <w:separator/>
      </w:r>
    </w:p>
  </w:footnote>
  <w:footnote w:type="continuationSeparator" w:id="0">
    <w:p w14:paraId="6CD7409A" w14:textId="77777777" w:rsidR="00B55756" w:rsidRDefault="00B55756">
      <w:pPr>
        <w:spacing w:line="240" w:lineRule="auto"/>
        <w:ind w:left="284"/>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F49F2" w14:textId="77777777" w:rsidR="00EA235C" w:rsidRDefault="00EA235C" w:rsidP="006F37E3">
    <w:pPr>
      <w:pStyle w:val="Header"/>
      <w:ind w:left="284"/>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14A44" w14:textId="77777777" w:rsidR="00EA235C" w:rsidRDefault="00EA235C" w:rsidP="00533423">
    <w:pPr>
      <w:pStyle w:val="Header"/>
      <w:ind w:left="284"/>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08CF5" w14:textId="77777777" w:rsidR="00EA235C" w:rsidRDefault="00EA235C" w:rsidP="006F37E3">
    <w:pPr>
      <w:pStyle w:val="Header"/>
      <w:ind w:left="284"/>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F62ED"/>
    <w:multiLevelType w:val="hybridMultilevel"/>
    <w:tmpl w:val="6FAA6D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D270FD"/>
    <w:multiLevelType w:val="hybridMultilevel"/>
    <w:tmpl w:val="843A0B3A"/>
    <w:lvl w:ilvl="0" w:tplc="0D364D0E">
      <w:start w:val="1"/>
      <w:numFmt w:val="decimal"/>
      <w:lvlText w:val="(%1)"/>
      <w:lvlJc w:val="left"/>
      <w:pPr>
        <w:tabs>
          <w:tab w:val="num" w:pos="362"/>
        </w:tabs>
        <w:ind w:left="362" w:hanging="360"/>
      </w:pPr>
      <w:rPr>
        <w:rFonts w:hint="default"/>
      </w:rPr>
    </w:lvl>
    <w:lvl w:ilvl="1" w:tplc="04150019" w:tentative="1">
      <w:start w:val="1"/>
      <w:numFmt w:val="lowerLetter"/>
      <w:lvlText w:val="%2."/>
      <w:lvlJc w:val="left"/>
      <w:pPr>
        <w:tabs>
          <w:tab w:val="num" w:pos="1082"/>
        </w:tabs>
        <w:ind w:left="1082" w:hanging="360"/>
      </w:pPr>
    </w:lvl>
    <w:lvl w:ilvl="2" w:tplc="0415001B" w:tentative="1">
      <w:start w:val="1"/>
      <w:numFmt w:val="lowerRoman"/>
      <w:lvlText w:val="%3."/>
      <w:lvlJc w:val="right"/>
      <w:pPr>
        <w:tabs>
          <w:tab w:val="num" w:pos="1802"/>
        </w:tabs>
        <w:ind w:left="1802" w:hanging="180"/>
      </w:pPr>
    </w:lvl>
    <w:lvl w:ilvl="3" w:tplc="0415000F" w:tentative="1">
      <w:start w:val="1"/>
      <w:numFmt w:val="decimal"/>
      <w:lvlText w:val="%4."/>
      <w:lvlJc w:val="left"/>
      <w:pPr>
        <w:tabs>
          <w:tab w:val="num" w:pos="2522"/>
        </w:tabs>
        <w:ind w:left="2522" w:hanging="360"/>
      </w:pPr>
    </w:lvl>
    <w:lvl w:ilvl="4" w:tplc="04150019" w:tentative="1">
      <w:start w:val="1"/>
      <w:numFmt w:val="lowerLetter"/>
      <w:lvlText w:val="%5."/>
      <w:lvlJc w:val="left"/>
      <w:pPr>
        <w:tabs>
          <w:tab w:val="num" w:pos="3242"/>
        </w:tabs>
        <w:ind w:left="3242" w:hanging="360"/>
      </w:pPr>
    </w:lvl>
    <w:lvl w:ilvl="5" w:tplc="0415001B" w:tentative="1">
      <w:start w:val="1"/>
      <w:numFmt w:val="lowerRoman"/>
      <w:lvlText w:val="%6."/>
      <w:lvlJc w:val="right"/>
      <w:pPr>
        <w:tabs>
          <w:tab w:val="num" w:pos="3962"/>
        </w:tabs>
        <w:ind w:left="3962" w:hanging="180"/>
      </w:pPr>
    </w:lvl>
    <w:lvl w:ilvl="6" w:tplc="0415000F" w:tentative="1">
      <w:start w:val="1"/>
      <w:numFmt w:val="decimal"/>
      <w:lvlText w:val="%7."/>
      <w:lvlJc w:val="left"/>
      <w:pPr>
        <w:tabs>
          <w:tab w:val="num" w:pos="4682"/>
        </w:tabs>
        <w:ind w:left="4682" w:hanging="360"/>
      </w:pPr>
    </w:lvl>
    <w:lvl w:ilvl="7" w:tplc="04150019" w:tentative="1">
      <w:start w:val="1"/>
      <w:numFmt w:val="lowerLetter"/>
      <w:lvlText w:val="%8."/>
      <w:lvlJc w:val="left"/>
      <w:pPr>
        <w:tabs>
          <w:tab w:val="num" w:pos="5402"/>
        </w:tabs>
        <w:ind w:left="5402" w:hanging="360"/>
      </w:pPr>
    </w:lvl>
    <w:lvl w:ilvl="8" w:tplc="0415001B" w:tentative="1">
      <w:start w:val="1"/>
      <w:numFmt w:val="lowerRoman"/>
      <w:lvlText w:val="%9."/>
      <w:lvlJc w:val="right"/>
      <w:pPr>
        <w:tabs>
          <w:tab w:val="num" w:pos="6122"/>
        </w:tabs>
        <w:ind w:left="6122" w:hanging="180"/>
      </w:pPr>
    </w:lvl>
  </w:abstractNum>
  <w:abstractNum w:abstractNumId="2" w15:restartNumberingAfterBreak="0">
    <w:nsid w:val="17B35842"/>
    <w:multiLevelType w:val="hybridMultilevel"/>
    <w:tmpl w:val="A78659CA"/>
    <w:lvl w:ilvl="0" w:tplc="2B165F7C">
      <w:start w:val="1"/>
      <w:numFmt w:val="decimal"/>
      <w:lvlText w:val="(%1)"/>
      <w:lvlJc w:val="left"/>
      <w:pPr>
        <w:tabs>
          <w:tab w:val="num" w:pos="407"/>
        </w:tabs>
        <w:ind w:left="407" w:hanging="405"/>
      </w:pPr>
      <w:rPr>
        <w:rFonts w:hint="default"/>
      </w:rPr>
    </w:lvl>
    <w:lvl w:ilvl="1" w:tplc="04150019" w:tentative="1">
      <w:start w:val="1"/>
      <w:numFmt w:val="lowerLetter"/>
      <w:lvlText w:val="%2."/>
      <w:lvlJc w:val="left"/>
      <w:pPr>
        <w:tabs>
          <w:tab w:val="num" w:pos="1082"/>
        </w:tabs>
        <w:ind w:left="1082" w:hanging="360"/>
      </w:pPr>
    </w:lvl>
    <w:lvl w:ilvl="2" w:tplc="0415001B" w:tentative="1">
      <w:start w:val="1"/>
      <w:numFmt w:val="lowerRoman"/>
      <w:lvlText w:val="%3."/>
      <w:lvlJc w:val="right"/>
      <w:pPr>
        <w:tabs>
          <w:tab w:val="num" w:pos="1802"/>
        </w:tabs>
        <w:ind w:left="1802" w:hanging="180"/>
      </w:pPr>
    </w:lvl>
    <w:lvl w:ilvl="3" w:tplc="0415000F" w:tentative="1">
      <w:start w:val="1"/>
      <w:numFmt w:val="decimal"/>
      <w:lvlText w:val="%4."/>
      <w:lvlJc w:val="left"/>
      <w:pPr>
        <w:tabs>
          <w:tab w:val="num" w:pos="2522"/>
        </w:tabs>
        <w:ind w:left="2522" w:hanging="360"/>
      </w:pPr>
    </w:lvl>
    <w:lvl w:ilvl="4" w:tplc="04150019" w:tentative="1">
      <w:start w:val="1"/>
      <w:numFmt w:val="lowerLetter"/>
      <w:lvlText w:val="%5."/>
      <w:lvlJc w:val="left"/>
      <w:pPr>
        <w:tabs>
          <w:tab w:val="num" w:pos="3242"/>
        </w:tabs>
        <w:ind w:left="3242" w:hanging="360"/>
      </w:pPr>
    </w:lvl>
    <w:lvl w:ilvl="5" w:tplc="0415001B" w:tentative="1">
      <w:start w:val="1"/>
      <w:numFmt w:val="lowerRoman"/>
      <w:lvlText w:val="%6."/>
      <w:lvlJc w:val="right"/>
      <w:pPr>
        <w:tabs>
          <w:tab w:val="num" w:pos="3962"/>
        </w:tabs>
        <w:ind w:left="3962" w:hanging="180"/>
      </w:pPr>
    </w:lvl>
    <w:lvl w:ilvl="6" w:tplc="0415000F" w:tentative="1">
      <w:start w:val="1"/>
      <w:numFmt w:val="decimal"/>
      <w:lvlText w:val="%7."/>
      <w:lvlJc w:val="left"/>
      <w:pPr>
        <w:tabs>
          <w:tab w:val="num" w:pos="4682"/>
        </w:tabs>
        <w:ind w:left="4682" w:hanging="360"/>
      </w:pPr>
    </w:lvl>
    <w:lvl w:ilvl="7" w:tplc="04150019" w:tentative="1">
      <w:start w:val="1"/>
      <w:numFmt w:val="lowerLetter"/>
      <w:lvlText w:val="%8."/>
      <w:lvlJc w:val="left"/>
      <w:pPr>
        <w:tabs>
          <w:tab w:val="num" w:pos="5402"/>
        </w:tabs>
        <w:ind w:left="5402" w:hanging="360"/>
      </w:pPr>
    </w:lvl>
    <w:lvl w:ilvl="8" w:tplc="0415001B" w:tentative="1">
      <w:start w:val="1"/>
      <w:numFmt w:val="lowerRoman"/>
      <w:lvlText w:val="%9."/>
      <w:lvlJc w:val="right"/>
      <w:pPr>
        <w:tabs>
          <w:tab w:val="num" w:pos="6122"/>
        </w:tabs>
        <w:ind w:left="6122" w:hanging="180"/>
      </w:pPr>
    </w:lvl>
  </w:abstractNum>
  <w:abstractNum w:abstractNumId="3" w15:restartNumberingAfterBreak="0">
    <w:nsid w:val="1FD27AE5"/>
    <w:multiLevelType w:val="multilevel"/>
    <w:tmpl w:val="0742C7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B62682"/>
    <w:multiLevelType w:val="multilevel"/>
    <w:tmpl w:val="9A4CDD5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2621775F"/>
    <w:multiLevelType w:val="hybridMultilevel"/>
    <w:tmpl w:val="4FB2F7C2"/>
    <w:lvl w:ilvl="0" w:tplc="8A4E3276">
      <w:start w:val="1"/>
      <w:numFmt w:val="decimal"/>
      <w:lvlText w:val="(%1)"/>
      <w:lvlJc w:val="left"/>
      <w:pPr>
        <w:ind w:left="720" w:hanging="360"/>
      </w:pPr>
      <w:rPr>
        <w:rFonts w:ascii="Times New Roman" w:eastAsia="Times New Roman" w:hAnsi="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28196EE9"/>
    <w:multiLevelType w:val="hybridMultilevel"/>
    <w:tmpl w:val="515C870A"/>
    <w:lvl w:ilvl="0" w:tplc="0F3E15A8">
      <w:start w:val="1"/>
      <w:numFmt w:val="decimal"/>
      <w:lvlText w:val="%1."/>
      <w:lvlJc w:val="left"/>
      <w:pPr>
        <w:tabs>
          <w:tab w:val="num" w:pos="720"/>
        </w:tabs>
        <w:ind w:left="720" w:hanging="360"/>
      </w:pPr>
      <w:rPr>
        <w:rFonts w:ascii="Calibri" w:eastAsia="Times New Roman" w:hAnsi="Calibri"/>
        <w:color w:val="auto"/>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335F73B9"/>
    <w:multiLevelType w:val="hybridMultilevel"/>
    <w:tmpl w:val="AACE12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6F47FB2"/>
    <w:multiLevelType w:val="hybridMultilevel"/>
    <w:tmpl w:val="F2F675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EFC0573"/>
    <w:multiLevelType w:val="hybridMultilevel"/>
    <w:tmpl w:val="024EE26E"/>
    <w:lvl w:ilvl="0" w:tplc="48321182">
      <w:start w:val="1"/>
      <w:numFmt w:val="decimal"/>
      <w:lvlText w:val="(%1)"/>
      <w:lvlJc w:val="left"/>
      <w:pPr>
        <w:tabs>
          <w:tab w:val="num" w:pos="407"/>
        </w:tabs>
        <w:ind w:left="407" w:hanging="405"/>
      </w:pPr>
      <w:rPr>
        <w:rFonts w:hint="default"/>
      </w:rPr>
    </w:lvl>
    <w:lvl w:ilvl="1" w:tplc="04150019" w:tentative="1">
      <w:start w:val="1"/>
      <w:numFmt w:val="lowerLetter"/>
      <w:lvlText w:val="%2."/>
      <w:lvlJc w:val="left"/>
      <w:pPr>
        <w:tabs>
          <w:tab w:val="num" w:pos="1082"/>
        </w:tabs>
        <w:ind w:left="1082" w:hanging="360"/>
      </w:pPr>
    </w:lvl>
    <w:lvl w:ilvl="2" w:tplc="0415001B" w:tentative="1">
      <w:start w:val="1"/>
      <w:numFmt w:val="lowerRoman"/>
      <w:lvlText w:val="%3."/>
      <w:lvlJc w:val="right"/>
      <w:pPr>
        <w:tabs>
          <w:tab w:val="num" w:pos="1802"/>
        </w:tabs>
        <w:ind w:left="1802" w:hanging="180"/>
      </w:pPr>
    </w:lvl>
    <w:lvl w:ilvl="3" w:tplc="0415000F" w:tentative="1">
      <w:start w:val="1"/>
      <w:numFmt w:val="decimal"/>
      <w:lvlText w:val="%4."/>
      <w:lvlJc w:val="left"/>
      <w:pPr>
        <w:tabs>
          <w:tab w:val="num" w:pos="2522"/>
        </w:tabs>
        <w:ind w:left="2522" w:hanging="360"/>
      </w:pPr>
    </w:lvl>
    <w:lvl w:ilvl="4" w:tplc="04150019" w:tentative="1">
      <w:start w:val="1"/>
      <w:numFmt w:val="lowerLetter"/>
      <w:lvlText w:val="%5."/>
      <w:lvlJc w:val="left"/>
      <w:pPr>
        <w:tabs>
          <w:tab w:val="num" w:pos="3242"/>
        </w:tabs>
        <w:ind w:left="3242" w:hanging="360"/>
      </w:pPr>
    </w:lvl>
    <w:lvl w:ilvl="5" w:tplc="0415001B" w:tentative="1">
      <w:start w:val="1"/>
      <w:numFmt w:val="lowerRoman"/>
      <w:lvlText w:val="%6."/>
      <w:lvlJc w:val="right"/>
      <w:pPr>
        <w:tabs>
          <w:tab w:val="num" w:pos="3962"/>
        </w:tabs>
        <w:ind w:left="3962" w:hanging="180"/>
      </w:pPr>
    </w:lvl>
    <w:lvl w:ilvl="6" w:tplc="0415000F" w:tentative="1">
      <w:start w:val="1"/>
      <w:numFmt w:val="decimal"/>
      <w:lvlText w:val="%7."/>
      <w:lvlJc w:val="left"/>
      <w:pPr>
        <w:tabs>
          <w:tab w:val="num" w:pos="4682"/>
        </w:tabs>
        <w:ind w:left="4682" w:hanging="360"/>
      </w:pPr>
    </w:lvl>
    <w:lvl w:ilvl="7" w:tplc="04150019" w:tentative="1">
      <w:start w:val="1"/>
      <w:numFmt w:val="lowerLetter"/>
      <w:lvlText w:val="%8."/>
      <w:lvlJc w:val="left"/>
      <w:pPr>
        <w:tabs>
          <w:tab w:val="num" w:pos="5402"/>
        </w:tabs>
        <w:ind w:left="5402" w:hanging="360"/>
      </w:pPr>
    </w:lvl>
    <w:lvl w:ilvl="8" w:tplc="0415001B" w:tentative="1">
      <w:start w:val="1"/>
      <w:numFmt w:val="lowerRoman"/>
      <w:lvlText w:val="%9."/>
      <w:lvlJc w:val="right"/>
      <w:pPr>
        <w:tabs>
          <w:tab w:val="num" w:pos="6122"/>
        </w:tabs>
        <w:ind w:left="6122" w:hanging="180"/>
      </w:pPr>
    </w:lvl>
  </w:abstractNum>
  <w:abstractNum w:abstractNumId="10" w15:restartNumberingAfterBreak="0">
    <w:nsid w:val="43473F2B"/>
    <w:multiLevelType w:val="hybridMultilevel"/>
    <w:tmpl w:val="E6980E6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4EE60CA5"/>
    <w:multiLevelType w:val="hybridMultilevel"/>
    <w:tmpl w:val="A4A276A2"/>
    <w:lvl w:ilvl="0" w:tplc="41745AB8">
      <w:start w:val="1"/>
      <w:numFmt w:val="decimal"/>
      <w:lvlText w:val="%1."/>
      <w:lvlJc w:val="left"/>
      <w:pPr>
        <w:ind w:left="362" w:hanging="360"/>
      </w:pPr>
      <w:rPr>
        <w:rFonts w:hint="default"/>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12" w15:restartNumberingAfterBreak="0">
    <w:nsid w:val="51BB3BC8"/>
    <w:multiLevelType w:val="hybridMultilevel"/>
    <w:tmpl w:val="73227B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F215071"/>
    <w:multiLevelType w:val="hybridMultilevel"/>
    <w:tmpl w:val="784098EA"/>
    <w:lvl w:ilvl="0" w:tplc="B3983CF0">
      <w:start w:val="1"/>
      <w:numFmt w:val="decimal"/>
      <w:lvlText w:val="%1."/>
      <w:lvlJc w:val="left"/>
      <w:pPr>
        <w:tabs>
          <w:tab w:val="num" w:pos="720"/>
        </w:tabs>
        <w:ind w:left="720" w:hanging="360"/>
      </w:pPr>
      <w:rPr>
        <w:rFonts w:ascii="Times New Roman" w:eastAsia="Times New Roman" w:hAnsi="Times New Roman"/>
        <w:b w:val="0"/>
        <w:bCs w:val="0"/>
        <w:color w:val="0000FF"/>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69A66590"/>
    <w:multiLevelType w:val="hybridMultilevel"/>
    <w:tmpl w:val="8DC2DC10"/>
    <w:lvl w:ilvl="0" w:tplc="717E8F5E">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6D801CD9"/>
    <w:multiLevelType w:val="hybridMultilevel"/>
    <w:tmpl w:val="07BCF5A2"/>
    <w:lvl w:ilvl="0" w:tplc="CA0CCA42">
      <w:start w:val="1"/>
      <w:numFmt w:val="decimal"/>
      <w:lvlText w:val="%1."/>
      <w:lvlJc w:val="left"/>
      <w:pPr>
        <w:tabs>
          <w:tab w:val="num" w:pos="720"/>
        </w:tabs>
        <w:ind w:left="720" w:hanging="360"/>
      </w:pPr>
      <w:rPr>
        <w:rFonts w:ascii="Calibri" w:hAnsi="Calibri" w:cs="Calibri" w:hint="default"/>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15:restartNumberingAfterBreak="0">
    <w:nsid w:val="7716484F"/>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8AB7F23"/>
    <w:multiLevelType w:val="hybridMultilevel"/>
    <w:tmpl w:val="6D805F62"/>
    <w:lvl w:ilvl="0" w:tplc="838E7874">
      <w:start w:val="6"/>
      <w:numFmt w:val="decimal"/>
      <w:lvlText w:val="%1"/>
      <w:lvlJc w:val="left"/>
      <w:pPr>
        <w:tabs>
          <w:tab w:val="num" w:pos="720"/>
        </w:tabs>
        <w:ind w:left="720" w:hanging="360"/>
      </w:pPr>
      <w:rPr>
        <w:rFonts w:ascii="Calibri" w:hAnsi="Calibri" w:cs="Calibri" w:hint="default"/>
        <w:b/>
        <w:bCs/>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7DE21255"/>
    <w:multiLevelType w:val="hybridMultilevel"/>
    <w:tmpl w:val="07BCF5A2"/>
    <w:lvl w:ilvl="0" w:tplc="CA0CCA42">
      <w:start w:val="1"/>
      <w:numFmt w:val="decimal"/>
      <w:lvlText w:val="%1."/>
      <w:lvlJc w:val="left"/>
      <w:pPr>
        <w:tabs>
          <w:tab w:val="num" w:pos="720"/>
        </w:tabs>
        <w:ind w:left="720" w:hanging="360"/>
      </w:pPr>
      <w:rPr>
        <w:rFonts w:ascii="Calibri" w:hAnsi="Calibri" w:cs="Calibri" w:hint="default"/>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13"/>
  </w:num>
  <w:num w:numId="2">
    <w:abstractNumId w:val="10"/>
  </w:num>
  <w:num w:numId="3">
    <w:abstractNumId w:val="7"/>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4"/>
  </w:num>
  <w:num w:numId="10">
    <w:abstractNumId w:val="3"/>
  </w:num>
  <w:num w:numId="11">
    <w:abstractNumId w:val="9"/>
  </w:num>
  <w:num w:numId="12">
    <w:abstractNumId w:val="2"/>
  </w:num>
  <w:num w:numId="13">
    <w:abstractNumId w:val="1"/>
  </w:num>
  <w:num w:numId="14">
    <w:abstractNumId w:val="11"/>
  </w:num>
  <w:num w:numId="15">
    <w:abstractNumId w:val="8"/>
  </w:num>
  <w:num w:numId="16">
    <w:abstractNumId w:val="18"/>
  </w:num>
  <w:num w:numId="17">
    <w:abstractNumId w:val="6"/>
  </w:num>
  <w:num w:numId="18">
    <w:abstractNumId w:val="16"/>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9">
    <w:abstractNumId w:val="16"/>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0">
    <w:abstractNumId w:val="16"/>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21">
    <w:abstractNumId w:val="5"/>
  </w:num>
  <w:num w:numId="22">
    <w:abstractNumId w:val="1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bordersDoNotSurroundHeader/>
  <w:bordersDoNotSurroundFooter/>
  <w:defaultTabStop w:val="708"/>
  <w:hyphenationZone w:val="425"/>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85A"/>
    <w:rsid w:val="00004BC5"/>
    <w:rsid w:val="00013EEB"/>
    <w:rsid w:val="00015C8A"/>
    <w:rsid w:val="000160A0"/>
    <w:rsid w:val="00022705"/>
    <w:rsid w:val="00027221"/>
    <w:rsid w:val="00033692"/>
    <w:rsid w:val="00043BEE"/>
    <w:rsid w:val="00046CB8"/>
    <w:rsid w:val="00060802"/>
    <w:rsid w:val="00061252"/>
    <w:rsid w:val="00065B88"/>
    <w:rsid w:val="00066672"/>
    <w:rsid w:val="00071BAD"/>
    <w:rsid w:val="00076948"/>
    <w:rsid w:val="00081C5D"/>
    <w:rsid w:val="00084E9C"/>
    <w:rsid w:val="00087723"/>
    <w:rsid w:val="0009654F"/>
    <w:rsid w:val="000A121D"/>
    <w:rsid w:val="000B01F6"/>
    <w:rsid w:val="000B0393"/>
    <w:rsid w:val="000B3E38"/>
    <w:rsid w:val="000B48EF"/>
    <w:rsid w:val="000D174C"/>
    <w:rsid w:val="000D3C6A"/>
    <w:rsid w:val="000D554B"/>
    <w:rsid w:val="000D6B6A"/>
    <w:rsid w:val="000E29EA"/>
    <w:rsid w:val="000F0617"/>
    <w:rsid w:val="000F57D7"/>
    <w:rsid w:val="000F7F01"/>
    <w:rsid w:val="00107075"/>
    <w:rsid w:val="001135D6"/>
    <w:rsid w:val="00120099"/>
    <w:rsid w:val="00133904"/>
    <w:rsid w:val="00145092"/>
    <w:rsid w:val="00152EC8"/>
    <w:rsid w:val="001541DC"/>
    <w:rsid w:val="00154EF8"/>
    <w:rsid w:val="0015735B"/>
    <w:rsid w:val="0016612E"/>
    <w:rsid w:val="001663A1"/>
    <w:rsid w:val="00167916"/>
    <w:rsid w:val="00167D79"/>
    <w:rsid w:val="001702BB"/>
    <w:rsid w:val="00170B0D"/>
    <w:rsid w:val="0017100A"/>
    <w:rsid w:val="00171F69"/>
    <w:rsid w:val="001858CD"/>
    <w:rsid w:val="0019016E"/>
    <w:rsid w:val="00190E2C"/>
    <w:rsid w:val="001A0309"/>
    <w:rsid w:val="001A0ABF"/>
    <w:rsid w:val="001A0BE9"/>
    <w:rsid w:val="001A1E6D"/>
    <w:rsid w:val="001A3E36"/>
    <w:rsid w:val="001A7EE6"/>
    <w:rsid w:val="001B1733"/>
    <w:rsid w:val="001B5986"/>
    <w:rsid w:val="001C01EE"/>
    <w:rsid w:val="001D3240"/>
    <w:rsid w:val="001E2B28"/>
    <w:rsid w:val="00203F8E"/>
    <w:rsid w:val="00207833"/>
    <w:rsid w:val="0021268F"/>
    <w:rsid w:val="0021275B"/>
    <w:rsid w:val="002129ED"/>
    <w:rsid w:val="00214539"/>
    <w:rsid w:val="00216340"/>
    <w:rsid w:val="00216ED3"/>
    <w:rsid w:val="00217709"/>
    <w:rsid w:val="0023492B"/>
    <w:rsid w:val="0023685A"/>
    <w:rsid w:val="0024512C"/>
    <w:rsid w:val="00246706"/>
    <w:rsid w:val="00247997"/>
    <w:rsid w:val="00254ADC"/>
    <w:rsid w:val="00254C61"/>
    <w:rsid w:val="00257A5B"/>
    <w:rsid w:val="002703F7"/>
    <w:rsid w:val="00275E18"/>
    <w:rsid w:val="00277A04"/>
    <w:rsid w:val="00280176"/>
    <w:rsid w:val="002804B5"/>
    <w:rsid w:val="00281625"/>
    <w:rsid w:val="00285230"/>
    <w:rsid w:val="00285D28"/>
    <w:rsid w:val="00293311"/>
    <w:rsid w:val="00297D5B"/>
    <w:rsid w:val="002A517D"/>
    <w:rsid w:val="002B1DD1"/>
    <w:rsid w:val="002C06C4"/>
    <w:rsid w:val="002C2CDB"/>
    <w:rsid w:val="002D1E25"/>
    <w:rsid w:val="002D31E1"/>
    <w:rsid w:val="002E5429"/>
    <w:rsid w:val="002E6CBE"/>
    <w:rsid w:val="002F2078"/>
    <w:rsid w:val="002F462B"/>
    <w:rsid w:val="002F4EED"/>
    <w:rsid w:val="003010E3"/>
    <w:rsid w:val="00301684"/>
    <w:rsid w:val="003123FD"/>
    <w:rsid w:val="003139D1"/>
    <w:rsid w:val="00314A39"/>
    <w:rsid w:val="00316803"/>
    <w:rsid w:val="0032751A"/>
    <w:rsid w:val="0033067F"/>
    <w:rsid w:val="0033077C"/>
    <w:rsid w:val="0033395F"/>
    <w:rsid w:val="003372FC"/>
    <w:rsid w:val="003437EA"/>
    <w:rsid w:val="00345D8B"/>
    <w:rsid w:val="003465D3"/>
    <w:rsid w:val="00347522"/>
    <w:rsid w:val="00356506"/>
    <w:rsid w:val="00357149"/>
    <w:rsid w:val="003574DD"/>
    <w:rsid w:val="0036168D"/>
    <w:rsid w:val="003647AA"/>
    <w:rsid w:val="00364A2C"/>
    <w:rsid w:val="0036646E"/>
    <w:rsid w:val="003729DE"/>
    <w:rsid w:val="003778DC"/>
    <w:rsid w:val="0039295C"/>
    <w:rsid w:val="003A13C7"/>
    <w:rsid w:val="003A35F5"/>
    <w:rsid w:val="003A4437"/>
    <w:rsid w:val="003A49AC"/>
    <w:rsid w:val="003A4E33"/>
    <w:rsid w:val="003A7989"/>
    <w:rsid w:val="003B18CF"/>
    <w:rsid w:val="003B696C"/>
    <w:rsid w:val="003E20C3"/>
    <w:rsid w:val="003E2FC8"/>
    <w:rsid w:val="003E36AE"/>
    <w:rsid w:val="003E60EE"/>
    <w:rsid w:val="003E7F93"/>
    <w:rsid w:val="003F048C"/>
    <w:rsid w:val="003F0AEE"/>
    <w:rsid w:val="003F0FA2"/>
    <w:rsid w:val="003F27C3"/>
    <w:rsid w:val="003F2E0F"/>
    <w:rsid w:val="003F3CFC"/>
    <w:rsid w:val="003F5BB6"/>
    <w:rsid w:val="003F79BB"/>
    <w:rsid w:val="004037F0"/>
    <w:rsid w:val="004065A6"/>
    <w:rsid w:val="00411B45"/>
    <w:rsid w:val="0041275F"/>
    <w:rsid w:val="0042195F"/>
    <w:rsid w:val="004368CC"/>
    <w:rsid w:val="00440077"/>
    <w:rsid w:val="00454FEB"/>
    <w:rsid w:val="00456C3B"/>
    <w:rsid w:val="00457281"/>
    <w:rsid w:val="00457A64"/>
    <w:rsid w:val="004678AE"/>
    <w:rsid w:val="00467B51"/>
    <w:rsid w:val="00473D2D"/>
    <w:rsid w:val="00476EC8"/>
    <w:rsid w:val="0047722D"/>
    <w:rsid w:val="00477D03"/>
    <w:rsid w:val="00480321"/>
    <w:rsid w:val="004834E6"/>
    <w:rsid w:val="004905D5"/>
    <w:rsid w:val="00490FEB"/>
    <w:rsid w:val="004918AE"/>
    <w:rsid w:val="00491DF8"/>
    <w:rsid w:val="004A0AC8"/>
    <w:rsid w:val="004A3DD4"/>
    <w:rsid w:val="004A4DC2"/>
    <w:rsid w:val="004A5EA6"/>
    <w:rsid w:val="004A7198"/>
    <w:rsid w:val="004A7A2A"/>
    <w:rsid w:val="004B0B1F"/>
    <w:rsid w:val="004B3FB7"/>
    <w:rsid w:val="004B4836"/>
    <w:rsid w:val="004B4B44"/>
    <w:rsid w:val="004C7F6D"/>
    <w:rsid w:val="004D15CC"/>
    <w:rsid w:val="004D329E"/>
    <w:rsid w:val="004D5992"/>
    <w:rsid w:val="004E1049"/>
    <w:rsid w:val="004E1517"/>
    <w:rsid w:val="004E3242"/>
    <w:rsid w:val="004E6274"/>
    <w:rsid w:val="004E76FA"/>
    <w:rsid w:val="00501EE9"/>
    <w:rsid w:val="00515D61"/>
    <w:rsid w:val="00520EB5"/>
    <w:rsid w:val="005227C8"/>
    <w:rsid w:val="00533423"/>
    <w:rsid w:val="00540F36"/>
    <w:rsid w:val="00543B0E"/>
    <w:rsid w:val="0054573D"/>
    <w:rsid w:val="0054792A"/>
    <w:rsid w:val="005479B9"/>
    <w:rsid w:val="00554B34"/>
    <w:rsid w:val="00560337"/>
    <w:rsid w:val="0056033B"/>
    <w:rsid w:val="00560E3F"/>
    <w:rsid w:val="00563A97"/>
    <w:rsid w:val="00570056"/>
    <w:rsid w:val="00570615"/>
    <w:rsid w:val="00570831"/>
    <w:rsid w:val="00580045"/>
    <w:rsid w:val="005804BD"/>
    <w:rsid w:val="00583018"/>
    <w:rsid w:val="00583310"/>
    <w:rsid w:val="0058385C"/>
    <w:rsid w:val="005920FE"/>
    <w:rsid w:val="0059592A"/>
    <w:rsid w:val="00596C57"/>
    <w:rsid w:val="00596FC6"/>
    <w:rsid w:val="005A0C3B"/>
    <w:rsid w:val="005A5D83"/>
    <w:rsid w:val="005B11D4"/>
    <w:rsid w:val="005B288C"/>
    <w:rsid w:val="005B3FD5"/>
    <w:rsid w:val="005B6157"/>
    <w:rsid w:val="005C1538"/>
    <w:rsid w:val="005C4AF4"/>
    <w:rsid w:val="005D0419"/>
    <w:rsid w:val="005E5227"/>
    <w:rsid w:val="005E567B"/>
    <w:rsid w:val="005F1DEE"/>
    <w:rsid w:val="005F434B"/>
    <w:rsid w:val="0060495C"/>
    <w:rsid w:val="0060692E"/>
    <w:rsid w:val="006074B0"/>
    <w:rsid w:val="006109E4"/>
    <w:rsid w:val="00613AF9"/>
    <w:rsid w:val="00620593"/>
    <w:rsid w:val="00621A57"/>
    <w:rsid w:val="00621B51"/>
    <w:rsid w:val="0062643F"/>
    <w:rsid w:val="00626553"/>
    <w:rsid w:val="0062736B"/>
    <w:rsid w:val="00627FD1"/>
    <w:rsid w:val="00635884"/>
    <w:rsid w:val="00646746"/>
    <w:rsid w:val="006474AA"/>
    <w:rsid w:val="00650555"/>
    <w:rsid w:val="0065165A"/>
    <w:rsid w:val="006519C4"/>
    <w:rsid w:val="00656C6A"/>
    <w:rsid w:val="006631DC"/>
    <w:rsid w:val="00664FA3"/>
    <w:rsid w:val="006668C5"/>
    <w:rsid w:val="00670BC7"/>
    <w:rsid w:val="006719F2"/>
    <w:rsid w:val="0067681B"/>
    <w:rsid w:val="006801C3"/>
    <w:rsid w:val="00680811"/>
    <w:rsid w:val="00680972"/>
    <w:rsid w:val="00692FE7"/>
    <w:rsid w:val="00693FB1"/>
    <w:rsid w:val="0069767B"/>
    <w:rsid w:val="006A20D0"/>
    <w:rsid w:val="006A694D"/>
    <w:rsid w:val="006B24BA"/>
    <w:rsid w:val="006B3058"/>
    <w:rsid w:val="006C2998"/>
    <w:rsid w:val="006D062E"/>
    <w:rsid w:val="006D3104"/>
    <w:rsid w:val="006D36A4"/>
    <w:rsid w:val="006E15BC"/>
    <w:rsid w:val="006E3F81"/>
    <w:rsid w:val="006F2ABC"/>
    <w:rsid w:val="006F37E3"/>
    <w:rsid w:val="007057E4"/>
    <w:rsid w:val="0070655B"/>
    <w:rsid w:val="007112E0"/>
    <w:rsid w:val="007223EF"/>
    <w:rsid w:val="007445E1"/>
    <w:rsid w:val="0074564C"/>
    <w:rsid w:val="0074626D"/>
    <w:rsid w:val="00746B3F"/>
    <w:rsid w:val="00752861"/>
    <w:rsid w:val="007641D1"/>
    <w:rsid w:val="00772BBE"/>
    <w:rsid w:val="00774A41"/>
    <w:rsid w:val="00790F28"/>
    <w:rsid w:val="00794162"/>
    <w:rsid w:val="00795090"/>
    <w:rsid w:val="007A35AF"/>
    <w:rsid w:val="007A3A3F"/>
    <w:rsid w:val="007B13D9"/>
    <w:rsid w:val="007B20F5"/>
    <w:rsid w:val="007C1161"/>
    <w:rsid w:val="007C1F2E"/>
    <w:rsid w:val="007C2E96"/>
    <w:rsid w:val="007C36D5"/>
    <w:rsid w:val="007C495F"/>
    <w:rsid w:val="007C647B"/>
    <w:rsid w:val="007D053A"/>
    <w:rsid w:val="007E1BBA"/>
    <w:rsid w:val="007E40DB"/>
    <w:rsid w:val="00800B11"/>
    <w:rsid w:val="0080688A"/>
    <w:rsid w:val="00810501"/>
    <w:rsid w:val="008129F0"/>
    <w:rsid w:val="0081380B"/>
    <w:rsid w:val="0083316F"/>
    <w:rsid w:val="00834B52"/>
    <w:rsid w:val="00842728"/>
    <w:rsid w:val="0084523B"/>
    <w:rsid w:val="00852F48"/>
    <w:rsid w:val="00854E49"/>
    <w:rsid w:val="00855090"/>
    <w:rsid w:val="008603C3"/>
    <w:rsid w:val="0086093C"/>
    <w:rsid w:val="00860968"/>
    <w:rsid w:val="00861C8C"/>
    <w:rsid w:val="008641BF"/>
    <w:rsid w:val="00866A0F"/>
    <w:rsid w:val="00866AF0"/>
    <w:rsid w:val="00876C44"/>
    <w:rsid w:val="00886C15"/>
    <w:rsid w:val="00886DBB"/>
    <w:rsid w:val="0089590D"/>
    <w:rsid w:val="008A389C"/>
    <w:rsid w:val="008A40A0"/>
    <w:rsid w:val="008A47C8"/>
    <w:rsid w:val="008A5FE2"/>
    <w:rsid w:val="008D2260"/>
    <w:rsid w:val="008D373B"/>
    <w:rsid w:val="008E5DFD"/>
    <w:rsid w:val="008E66E1"/>
    <w:rsid w:val="008F094C"/>
    <w:rsid w:val="008F32BA"/>
    <w:rsid w:val="008F44E6"/>
    <w:rsid w:val="008F5757"/>
    <w:rsid w:val="008F66B6"/>
    <w:rsid w:val="008F7530"/>
    <w:rsid w:val="009000BE"/>
    <w:rsid w:val="00903507"/>
    <w:rsid w:val="00904A8B"/>
    <w:rsid w:val="00904E82"/>
    <w:rsid w:val="00913BA1"/>
    <w:rsid w:val="00914736"/>
    <w:rsid w:val="00922006"/>
    <w:rsid w:val="00923672"/>
    <w:rsid w:val="00925BAB"/>
    <w:rsid w:val="00927F87"/>
    <w:rsid w:val="00930540"/>
    <w:rsid w:val="00931DF3"/>
    <w:rsid w:val="009322C2"/>
    <w:rsid w:val="009336B1"/>
    <w:rsid w:val="009337DF"/>
    <w:rsid w:val="009363DD"/>
    <w:rsid w:val="00937759"/>
    <w:rsid w:val="00942091"/>
    <w:rsid w:val="00945E7F"/>
    <w:rsid w:val="009512F6"/>
    <w:rsid w:val="00951C2C"/>
    <w:rsid w:val="00953342"/>
    <w:rsid w:val="00956F94"/>
    <w:rsid w:val="00960077"/>
    <w:rsid w:val="0097312A"/>
    <w:rsid w:val="00975895"/>
    <w:rsid w:val="00976231"/>
    <w:rsid w:val="00982692"/>
    <w:rsid w:val="00983ED6"/>
    <w:rsid w:val="009849A8"/>
    <w:rsid w:val="00990542"/>
    <w:rsid w:val="009918D0"/>
    <w:rsid w:val="00993A1C"/>
    <w:rsid w:val="00993A22"/>
    <w:rsid w:val="009A01C4"/>
    <w:rsid w:val="009A1109"/>
    <w:rsid w:val="009B513C"/>
    <w:rsid w:val="009B61DC"/>
    <w:rsid w:val="009B6D02"/>
    <w:rsid w:val="009C072E"/>
    <w:rsid w:val="009C3103"/>
    <w:rsid w:val="009E0F99"/>
    <w:rsid w:val="009E123C"/>
    <w:rsid w:val="009E1BD9"/>
    <w:rsid w:val="009E3B2F"/>
    <w:rsid w:val="009E5199"/>
    <w:rsid w:val="009E78CB"/>
    <w:rsid w:val="009F12C7"/>
    <w:rsid w:val="009F2FD6"/>
    <w:rsid w:val="00A06177"/>
    <w:rsid w:val="00A10507"/>
    <w:rsid w:val="00A11303"/>
    <w:rsid w:val="00A131AB"/>
    <w:rsid w:val="00A16F2F"/>
    <w:rsid w:val="00A219B5"/>
    <w:rsid w:val="00A21E8A"/>
    <w:rsid w:val="00A23EB4"/>
    <w:rsid w:val="00A24F53"/>
    <w:rsid w:val="00A266B4"/>
    <w:rsid w:val="00A26D71"/>
    <w:rsid w:val="00A31FA8"/>
    <w:rsid w:val="00A3242D"/>
    <w:rsid w:val="00A36A98"/>
    <w:rsid w:val="00A37E52"/>
    <w:rsid w:val="00A41870"/>
    <w:rsid w:val="00A511F6"/>
    <w:rsid w:val="00A55CC9"/>
    <w:rsid w:val="00A60EAA"/>
    <w:rsid w:val="00A61A2A"/>
    <w:rsid w:val="00A62DE5"/>
    <w:rsid w:val="00A66096"/>
    <w:rsid w:val="00A70BA0"/>
    <w:rsid w:val="00A7628F"/>
    <w:rsid w:val="00A81F2A"/>
    <w:rsid w:val="00A8239F"/>
    <w:rsid w:val="00A905F8"/>
    <w:rsid w:val="00A90C1F"/>
    <w:rsid w:val="00A90F97"/>
    <w:rsid w:val="00A9166B"/>
    <w:rsid w:val="00A916D1"/>
    <w:rsid w:val="00A95749"/>
    <w:rsid w:val="00A96E75"/>
    <w:rsid w:val="00AA00BE"/>
    <w:rsid w:val="00AA1BBD"/>
    <w:rsid w:val="00AA1D1A"/>
    <w:rsid w:val="00AA29BB"/>
    <w:rsid w:val="00AB14CA"/>
    <w:rsid w:val="00AB1C36"/>
    <w:rsid w:val="00AB5178"/>
    <w:rsid w:val="00AD188D"/>
    <w:rsid w:val="00AD212E"/>
    <w:rsid w:val="00AE0029"/>
    <w:rsid w:val="00AE02C0"/>
    <w:rsid w:val="00AE308A"/>
    <w:rsid w:val="00AF7069"/>
    <w:rsid w:val="00B0011F"/>
    <w:rsid w:val="00B12ABC"/>
    <w:rsid w:val="00B162E8"/>
    <w:rsid w:val="00B23E1F"/>
    <w:rsid w:val="00B23F7A"/>
    <w:rsid w:val="00B27029"/>
    <w:rsid w:val="00B349C0"/>
    <w:rsid w:val="00B36303"/>
    <w:rsid w:val="00B366E1"/>
    <w:rsid w:val="00B36940"/>
    <w:rsid w:val="00B40C98"/>
    <w:rsid w:val="00B40E61"/>
    <w:rsid w:val="00B428CE"/>
    <w:rsid w:val="00B43C21"/>
    <w:rsid w:val="00B44324"/>
    <w:rsid w:val="00B45108"/>
    <w:rsid w:val="00B46224"/>
    <w:rsid w:val="00B51380"/>
    <w:rsid w:val="00B52324"/>
    <w:rsid w:val="00B533D2"/>
    <w:rsid w:val="00B550DA"/>
    <w:rsid w:val="00B55756"/>
    <w:rsid w:val="00B6193A"/>
    <w:rsid w:val="00B62079"/>
    <w:rsid w:val="00B924FE"/>
    <w:rsid w:val="00B945BE"/>
    <w:rsid w:val="00B9604D"/>
    <w:rsid w:val="00BA0B05"/>
    <w:rsid w:val="00BA1ABA"/>
    <w:rsid w:val="00BA3524"/>
    <w:rsid w:val="00BA5BFD"/>
    <w:rsid w:val="00BB0781"/>
    <w:rsid w:val="00BB64ED"/>
    <w:rsid w:val="00BC1E02"/>
    <w:rsid w:val="00BC7EEA"/>
    <w:rsid w:val="00BD1F32"/>
    <w:rsid w:val="00BD27D8"/>
    <w:rsid w:val="00BD4AB9"/>
    <w:rsid w:val="00BD4FD2"/>
    <w:rsid w:val="00BD7BEB"/>
    <w:rsid w:val="00BE1246"/>
    <w:rsid w:val="00BE3201"/>
    <w:rsid w:val="00BF2BE2"/>
    <w:rsid w:val="00BF30B6"/>
    <w:rsid w:val="00BF70DC"/>
    <w:rsid w:val="00C04182"/>
    <w:rsid w:val="00C04AAF"/>
    <w:rsid w:val="00C055A0"/>
    <w:rsid w:val="00C060AE"/>
    <w:rsid w:val="00C12715"/>
    <w:rsid w:val="00C131E4"/>
    <w:rsid w:val="00C1575E"/>
    <w:rsid w:val="00C15A0B"/>
    <w:rsid w:val="00C17B14"/>
    <w:rsid w:val="00C22452"/>
    <w:rsid w:val="00C25895"/>
    <w:rsid w:val="00C25C7F"/>
    <w:rsid w:val="00C272BC"/>
    <w:rsid w:val="00C27460"/>
    <w:rsid w:val="00C30BDD"/>
    <w:rsid w:val="00C32B7D"/>
    <w:rsid w:val="00C57DF2"/>
    <w:rsid w:val="00C61994"/>
    <w:rsid w:val="00C6359F"/>
    <w:rsid w:val="00C63F03"/>
    <w:rsid w:val="00C70A2F"/>
    <w:rsid w:val="00C7399A"/>
    <w:rsid w:val="00C77D4E"/>
    <w:rsid w:val="00C81A49"/>
    <w:rsid w:val="00C85CB5"/>
    <w:rsid w:val="00C921E5"/>
    <w:rsid w:val="00C979D9"/>
    <w:rsid w:val="00CA0E99"/>
    <w:rsid w:val="00CA4FF7"/>
    <w:rsid w:val="00CA6CC9"/>
    <w:rsid w:val="00CB0C98"/>
    <w:rsid w:val="00CB2619"/>
    <w:rsid w:val="00CC2FD5"/>
    <w:rsid w:val="00CC6C40"/>
    <w:rsid w:val="00CD1423"/>
    <w:rsid w:val="00CD5D98"/>
    <w:rsid w:val="00CD5E56"/>
    <w:rsid w:val="00CE46FC"/>
    <w:rsid w:val="00CE6A1B"/>
    <w:rsid w:val="00CF55AB"/>
    <w:rsid w:val="00CF6C99"/>
    <w:rsid w:val="00D02B06"/>
    <w:rsid w:val="00D043DA"/>
    <w:rsid w:val="00D06CEB"/>
    <w:rsid w:val="00D13230"/>
    <w:rsid w:val="00D16703"/>
    <w:rsid w:val="00D225F2"/>
    <w:rsid w:val="00D22BF4"/>
    <w:rsid w:val="00D24AAC"/>
    <w:rsid w:val="00D24F02"/>
    <w:rsid w:val="00D25618"/>
    <w:rsid w:val="00D267E4"/>
    <w:rsid w:val="00D27550"/>
    <w:rsid w:val="00D3163C"/>
    <w:rsid w:val="00D335D8"/>
    <w:rsid w:val="00D37065"/>
    <w:rsid w:val="00D41A60"/>
    <w:rsid w:val="00D45869"/>
    <w:rsid w:val="00D46C35"/>
    <w:rsid w:val="00D559A1"/>
    <w:rsid w:val="00D56240"/>
    <w:rsid w:val="00D5664B"/>
    <w:rsid w:val="00D62D85"/>
    <w:rsid w:val="00D63D62"/>
    <w:rsid w:val="00D818B9"/>
    <w:rsid w:val="00D865AB"/>
    <w:rsid w:val="00D92161"/>
    <w:rsid w:val="00D925E9"/>
    <w:rsid w:val="00D96EEA"/>
    <w:rsid w:val="00D97026"/>
    <w:rsid w:val="00DA57BE"/>
    <w:rsid w:val="00DB3CAE"/>
    <w:rsid w:val="00DC0BA7"/>
    <w:rsid w:val="00DC687F"/>
    <w:rsid w:val="00DD126B"/>
    <w:rsid w:val="00DD179A"/>
    <w:rsid w:val="00DD200E"/>
    <w:rsid w:val="00DD2D5D"/>
    <w:rsid w:val="00DD4E0A"/>
    <w:rsid w:val="00DD5E97"/>
    <w:rsid w:val="00DE1297"/>
    <w:rsid w:val="00DE3FC9"/>
    <w:rsid w:val="00DF4849"/>
    <w:rsid w:val="00DF7302"/>
    <w:rsid w:val="00E00606"/>
    <w:rsid w:val="00E1057E"/>
    <w:rsid w:val="00E15F0E"/>
    <w:rsid w:val="00E21173"/>
    <w:rsid w:val="00E3163A"/>
    <w:rsid w:val="00E351A8"/>
    <w:rsid w:val="00E363E6"/>
    <w:rsid w:val="00E40B1A"/>
    <w:rsid w:val="00E51F2F"/>
    <w:rsid w:val="00E55F51"/>
    <w:rsid w:val="00E56BC4"/>
    <w:rsid w:val="00E654E7"/>
    <w:rsid w:val="00E71A39"/>
    <w:rsid w:val="00E83014"/>
    <w:rsid w:val="00E8316A"/>
    <w:rsid w:val="00E83323"/>
    <w:rsid w:val="00E970FE"/>
    <w:rsid w:val="00E97FD7"/>
    <w:rsid w:val="00EA2313"/>
    <w:rsid w:val="00EA235C"/>
    <w:rsid w:val="00EA2741"/>
    <w:rsid w:val="00EA6F95"/>
    <w:rsid w:val="00EB5AA6"/>
    <w:rsid w:val="00EC4246"/>
    <w:rsid w:val="00EC55DC"/>
    <w:rsid w:val="00EC6B76"/>
    <w:rsid w:val="00ED1462"/>
    <w:rsid w:val="00ED669D"/>
    <w:rsid w:val="00EE0DE1"/>
    <w:rsid w:val="00EE5994"/>
    <w:rsid w:val="00EE76B4"/>
    <w:rsid w:val="00EE7B5C"/>
    <w:rsid w:val="00EF0C0B"/>
    <w:rsid w:val="00EF1E59"/>
    <w:rsid w:val="00EF5323"/>
    <w:rsid w:val="00EF56AF"/>
    <w:rsid w:val="00F0237E"/>
    <w:rsid w:val="00F1459E"/>
    <w:rsid w:val="00F16320"/>
    <w:rsid w:val="00F179EB"/>
    <w:rsid w:val="00F17CF2"/>
    <w:rsid w:val="00F222B7"/>
    <w:rsid w:val="00F323AA"/>
    <w:rsid w:val="00F3419E"/>
    <w:rsid w:val="00F36FC6"/>
    <w:rsid w:val="00F40F67"/>
    <w:rsid w:val="00F4163A"/>
    <w:rsid w:val="00F41DA4"/>
    <w:rsid w:val="00F447EB"/>
    <w:rsid w:val="00F50751"/>
    <w:rsid w:val="00F52787"/>
    <w:rsid w:val="00F52EF5"/>
    <w:rsid w:val="00F62D36"/>
    <w:rsid w:val="00F653AF"/>
    <w:rsid w:val="00F65CBE"/>
    <w:rsid w:val="00F6741C"/>
    <w:rsid w:val="00F70A62"/>
    <w:rsid w:val="00F71214"/>
    <w:rsid w:val="00F72AA5"/>
    <w:rsid w:val="00F812A4"/>
    <w:rsid w:val="00F818B6"/>
    <w:rsid w:val="00F96B67"/>
    <w:rsid w:val="00F96E55"/>
    <w:rsid w:val="00FA63A0"/>
    <w:rsid w:val="00FB7C40"/>
    <w:rsid w:val="00FC2A72"/>
    <w:rsid w:val="00FC2E0C"/>
    <w:rsid w:val="00FC31C7"/>
    <w:rsid w:val="00FC3290"/>
    <w:rsid w:val="00FC401B"/>
    <w:rsid w:val="00FC4291"/>
    <w:rsid w:val="00FD1DE9"/>
    <w:rsid w:val="00FD4A84"/>
    <w:rsid w:val="00FD6266"/>
    <w:rsid w:val="00FD6873"/>
    <w:rsid w:val="00FE2975"/>
    <w:rsid w:val="00FF11C1"/>
    <w:rsid w:val="00FF1988"/>
    <w:rsid w:val="00FF1D29"/>
    <w:rsid w:val="00FF3413"/>
    <w:rsid w:val="00FF4279"/>
    <w:rsid w:val="00FF4DF8"/>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A087D1"/>
  <w15:docId w15:val="{C74CF188-871E-4FA1-AAED-1AF24A1F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811"/>
    <w:pPr>
      <w:spacing w:line="480" w:lineRule="auto"/>
      <w:ind w:hangingChars="129" w:hanging="284"/>
    </w:pPr>
    <w:rPr>
      <w:rFonts w:eastAsia="Times New Roman" w:cs="Calibri"/>
      <w:sz w:val="22"/>
      <w:szCs w:val="22"/>
      <w:lang w:val="en-GB" w:eastAsia="en-US"/>
    </w:rPr>
  </w:style>
  <w:style w:type="paragraph" w:styleId="Heading1">
    <w:name w:val="heading 1"/>
    <w:basedOn w:val="Normal"/>
    <w:next w:val="Normal"/>
    <w:link w:val="Heading1Char"/>
    <w:uiPriority w:val="99"/>
    <w:qFormat/>
    <w:rsid w:val="00680811"/>
    <w:pPr>
      <w:keepNext/>
      <w:spacing w:before="240" w:after="60"/>
      <w:outlineLvl w:val="0"/>
    </w:pPr>
    <w:rPr>
      <w:rFonts w:ascii="Cambria" w:hAnsi="Cambria" w:cs="Cambria"/>
      <w:b/>
      <w:bCs/>
      <w:kern w:val="32"/>
      <w:sz w:val="32"/>
      <w:szCs w:val="32"/>
    </w:rPr>
  </w:style>
  <w:style w:type="paragraph" w:styleId="Heading4">
    <w:name w:val="heading 4"/>
    <w:basedOn w:val="Normal"/>
    <w:next w:val="Normal"/>
    <w:link w:val="Heading4Char"/>
    <w:uiPriority w:val="99"/>
    <w:qFormat/>
    <w:rsid w:val="00680811"/>
    <w:pPr>
      <w:keepNext/>
      <w:spacing w:line="360" w:lineRule="auto"/>
      <w:jc w:val="both"/>
      <w:outlineLvl w:val="3"/>
    </w:pPr>
    <w:rPr>
      <w:sz w:val="24"/>
      <w:szCs w:val="24"/>
      <w:u w:val="single"/>
      <w:lang w:eastAsia="pl-PL"/>
    </w:rPr>
  </w:style>
  <w:style w:type="paragraph" w:styleId="Heading5">
    <w:name w:val="heading 5"/>
    <w:basedOn w:val="Normal"/>
    <w:next w:val="Normal"/>
    <w:link w:val="Heading5Char"/>
    <w:uiPriority w:val="99"/>
    <w:qFormat/>
    <w:rsid w:val="00680811"/>
    <w:pPr>
      <w:autoSpaceDE w:val="0"/>
      <w:autoSpaceDN w:val="0"/>
      <w:spacing w:before="240" w:after="60" w:line="240" w:lineRule="auto"/>
      <w:ind w:firstLineChars="0" w:firstLine="0"/>
      <w:outlineLvl w:val="4"/>
    </w:pPr>
    <w:rPr>
      <w:b/>
      <w:bCs/>
      <w:i/>
      <w:iCs/>
      <w:sz w:val="26"/>
      <w:szCs w:val="26"/>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80811"/>
    <w:rPr>
      <w:rFonts w:ascii="Cambria" w:hAnsi="Cambria" w:cs="Cambria"/>
      <w:b/>
      <w:bCs/>
      <w:kern w:val="32"/>
      <w:sz w:val="32"/>
      <w:szCs w:val="32"/>
      <w:lang w:val="en-GB"/>
    </w:rPr>
  </w:style>
  <w:style w:type="character" w:customStyle="1" w:styleId="Heading4Char">
    <w:name w:val="Heading 4 Char"/>
    <w:link w:val="Heading4"/>
    <w:uiPriority w:val="99"/>
    <w:rsid w:val="00680811"/>
    <w:rPr>
      <w:rFonts w:ascii="Calibri" w:hAnsi="Calibri" w:cs="Calibri"/>
      <w:sz w:val="24"/>
      <w:szCs w:val="24"/>
      <w:u w:val="single"/>
      <w:lang w:val="en-GB" w:eastAsia="pl-PL"/>
    </w:rPr>
  </w:style>
  <w:style w:type="character" w:customStyle="1" w:styleId="Heading5Char">
    <w:name w:val="Heading 5 Char"/>
    <w:link w:val="Heading5"/>
    <w:uiPriority w:val="99"/>
    <w:rsid w:val="00680811"/>
    <w:rPr>
      <w:rFonts w:ascii="Calibri" w:hAnsi="Calibri" w:cs="Calibri"/>
      <w:b/>
      <w:bCs/>
      <w:i/>
      <w:iCs/>
      <w:sz w:val="26"/>
      <w:szCs w:val="26"/>
      <w:lang w:eastAsia="pl-PL"/>
    </w:rPr>
  </w:style>
  <w:style w:type="paragraph" w:customStyle="1" w:styleId="Akapitzlist1">
    <w:name w:val="Akapit z listą1"/>
    <w:basedOn w:val="Normal"/>
    <w:uiPriority w:val="99"/>
    <w:rsid w:val="00680811"/>
    <w:pPr>
      <w:ind w:left="708"/>
    </w:pPr>
  </w:style>
  <w:style w:type="paragraph" w:styleId="Header">
    <w:name w:val="header"/>
    <w:basedOn w:val="Normal"/>
    <w:link w:val="HeaderChar"/>
    <w:uiPriority w:val="99"/>
    <w:rsid w:val="00680811"/>
    <w:pPr>
      <w:tabs>
        <w:tab w:val="center" w:pos="4536"/>
        <w:tab w:val="right" w:pos="9072"/>
      </w:tabs>
      <w:spacing w:line="240" w:lineRule="auto"/>
    </w:pPr>
  </w:style>
  <w:style w:type="character" w:customStyle="1" w:styleId="HeaderChar">
    <w:name w:val="Header Char"/>
    <w:link w:val="Header"/>
    <w:uiPriority w:val="99"/>
    <w:rsid w:val="00680811"/>
    <w:rPr>
      <w:rFonts w:ascii="Calibri" w:hAnsi="Calibri" w:cs="Calibri"/>
      <w:lang w:val="en-GB"/>
    </w:rPr>
  </w:style>
  <w:style w:type="paragraph" w:styleId="Footer">
    <w:name w:val="footer"/>
    <w:basedOn w:val="Normal"/>
    <w:link w:val="FooterChar"/>
    <w:uiPriority w:val="99"/>
    <w:rsid w:val="00680811"/>
    <w:pPr>
      <w:tabs>
        <w:tab w:val="center" w:pos="4536"/>
        <w:tab w:val="right" w:pos="9072"/>
      </w:tabs>
      <w:spacing w:line="240" w:lineRule="auto"/>
    </w:pPr>
  </w:style>
  <w:style w:type="character" w:customStyle="1" w:styleId="FooterChar">
    <w:name w:val="Footer Char"/>
    <w:link w:val="Footer"/>
    <w:uiPriority w:val="99"/>
    <w:rsid w:val="00680811"/>
    <w:rPr>
      <w:rFonts w:ascii="Calibri" w:hAnsi="Calibri" w:cs="Calibri"/>
      <w:lang w:val="en-GB"/>
    </w:rPr>
  </w:style>
  <w:style w:type="paragraph" w:styleId="BalloonText">
    <w:name w:val="Balloon Text"/>
    <w:basedOn w:val="Normal"/>
    <w:link w:val="BalloonTextChar"/>
    <w:uiPriority w:val="99"/>
    <w:semiHidden/>
    <w:rsid w:val="0068081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80811"/>
    <w:rPr>
      <w:rFonts w:ascii="Tahoma" w:hAnsi="Tahoma" w:cs="Tahoma"/>
      <w:sz w:val="16"/>
      <w:szCs w:val="16"/>
      <w:lang w:val="en-GB"/>
    </w:rPr>
  </w:style>
  <w:style w:type="paragraph" w:styleId="EndnoteText">
    <w:name w:val="endnote text"/>
    <w:basedOn w:val="Normal"/>
    <w:link w:val="EndnoteTextChar"/>
    <w:uiPriority w:val="99"/>
    <w:semiHidden/>
    <w:rsid w:val="00680811"/>
    <w:rPr>
      <w:sz w:val="20"/>
      <w:szCs w:val="20"/>
    </w:rPr>
  </w:style>
  <w:style w:type="character" w:customStyle="1" w:styleId="EndnoteTextChar">
    <w:name w:val="Endnote Text Char"/>
    <w:link w:val="EndnoteText"/>
    <w:uiPriority w:val="99"/>
    <w:semiHidden/>
    <w:rsid w:val="00680811"/>
    <w:rPr>
      <w:rFonts w:ascii="Calibri" w:hAnsi="Calibri" w:cs="Calibri"/>
      <w:sz w:val="20"/>
      <w:szCs w:val="20"/>
      <w:lang w:val="en-GB"/>
    </w:rPr>
  </w:style>
  <w:style w:type="character" w:styleId="EndnoteReference">
    <w:name w:val="endnote reference"/>
    <w:uiPriority w:val="99"/>
    <w:semiHidden/>
    <w:rsid w:val="00680811"/>
    <w:rPr>
      <w:vertAlign w:val="superscript"/>
    </w:rPr>
  </w:style>
  <w:style w:type="character" w:styleId="Hyperlink">
    <w:name w:val="Hyperlink"/>
    <w:rsid w:val="00680811"/>
    <w:rPr>
      <w:color w:val="0000FF"/>
      <w:u w:val="single"/>
    </w:rPr>
  </w:style>
  <w:style w:type="character" w:customStyle="1" w:styleId="highlight">
    <w:name w:val="highlight"/>
    <w:uiPriority w:val="99"/>
    <w:rsid w:val="00680811"/>
  </w:style>
  <w:style w:type="character" w:customStyle="1" w:styleId="st">
    <w:name w:val="st"/>
    <w:uiPriority w:val="99"/>
    <w:rsid w:val="00680811"/>
  </w:style>
  <w:style w:type="character" w:styleId="Emphasis">
    <w:name w:val="Emphasis"/>
    <w:uiPriority w:val="99"/>
    <w:qFormat/>
    <w:rsid w:val="00680811"/>
    <w:rPr>
      <w:i/>
      <w:iCs/>
    </w:rPr>
  </w:style>
  <w:style w:type="character" w:styleId="HTMLCite">
    <w:name w:val="HTML Cite"/>
    <w:uiPriority w:val="99"/>
    <w:rsid w:val="00680811"/>
    <w:rPr>
      <w:i/>
      <w:iCs/>
    </w:rPr>
  </w:style>
  <w:style w:type="paragraph" w:styleId="NormalWeb">
    <w:name w:val="Normal (Web)"/>
    <w:basedOn w:val="Normal"/>
    <w:uiPriority w:val="99"/>
    <w:rsid w:val="00680811"/>
    <w:pPr>
      <w:spacing w:before="100" w:beforeAutospacing="1" w:after="100" w:afterAutospacing="1" w:line="240" w:lineRule="auto"/>
      <w:ind w:firstLineChars="0" w:firstLine="0"/>
    </w:pPr>
    <w:rPr>
      <w:sz w:val="24"/>
      <w:szCs w:val="24"/>
      <w:lang w:val="pl-PL" w:eastAsia="pl-PL"/>
    </w:rPr>
  </w:style>
  <w:style w:type="character" w:styleId="Strong">
    <w:name w:val="Strong"/>
    <w:uiPriority w:val="99"/>
    <w:qFormat/>
    <w:rsid w:val="00680811"/>
    <w:rPr>
      <w:b/>
      <w:bCs/>
    </w:rPr>
  </w:style>
  <w:style w:type="paragraph" w:styleId="ListContinue2">
    <w:name w:val="List Continue 2"/>
    <w:basedOn w:val="Normal"/>
    <w:uiPriority w:val="99"/>
    <w:rsid w:val="00680811"/>
    <w:pPr>
      <w:spacing w:after="120"/>
      <w:ind w:left="566"/>
    </w:pPr>
  </w:style>
  <w:style w:type="paragraph" w:customStyle="1" w:styleId="Bezodstpw1">
    <w:name w:val="Bez odstępów1"/>
    <w:uiPriority w:val="99"/>
    <w:rsid w:val="00680811"/>
    <w:pPr>
      <w:ind w:hangingChars="129" w:hanging="284"/>
    </w:pPr>
    <w:rPr>
      <w:rFonts w:eastAsia="Times New Roman" w:cs="Calibri"/>
      <w:sz w:val="22"/>
      <w:szCs w:val="22"/>
      <w:lang w:val="en-GB" w:eastAsia="en-US"/>
    </w:rPr>
  </w:style>
  <w:style w:type="character" w:customStyle="1" w:styleId="EndnoteTextChar1">
    <w:name w:val="Endnote Text Char1"/>
    <w:basedOn w:val="DefaultParagraphFont"/>
    <w:uiPriority w:val="99"/>
    <w:rsid w:val="00680811"/>
  </w:style>
  <w:style w:type="table" w:customStyle="1" w:styleId="Zwykatabela11">
    <w:name w:val="Zwykła tabela 11"/>
    <w:uiPriority w:val="99"/>
    <w:rsid w:val="00680811"/>
    <w:rPr>
      <w:rFonts w:eastAsia="Times New Roman" w:cs="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eGrid">
    <w:name w:val="Table Grid"/>
    <w:basedOn w:val="TableNormal"/>
    <w:uiPriority w:val="99"/>
    <w:rsid w:val="00680811"/>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rsid w:val="00680811"/>
    <w:pPr>
      <w:spacing w:line="240" w:lineRule="auto"/>
      <w:ind w:firstLineChars="0" w:firstLine="0"/>
      <w:jc w:val="both"/>
    </w:pPr>
    <w:rPr>
      <w:sz w:val="24"/>
      <w:szCs w:val="24"/>
      <w:lang w:val="en-US" w:eastAsia="pl-PL"/>
    </w:rPr>
  </w:style>
  <w:style w:type="character" w:customStyle="1" w:styleId="BodyText3Char">
    <w:name w:val="Body Text 3 Char"/>
    <w:link w:val="BodyText3"/>
    <w:uiPriority w:val="99"/>
    <w:semiHidden/>
    <w:rsid w:val="00680811"/>
    <w:rPr>
      <w:rFonts w:ascii="Calibri" w:hAnsi="Calibri" w:cs="Calibri"/>
      <w:sz w:val="24"/>
      <w:szCs w:val="24"/>
      <w:lang w:val="en-US" w:eastAsia="pl-PL"/>
    </w:rPr>
  </w:style>
  <w:style w:type="character" w:customStyle="1" w:styleId="element-citation">
    <w:name w:val="element-citation"/>
    <w:basedOn w:val="DefaultParagraphFont"/>
    <w:uiPriority w:val="99"/>
    <w:rsid w:val="00680811"/>
  </w:style>
  <w:style w:type="character" w:styleId="CommentReference">
    <w:name w:val="annotation reference"/>
    <w:uiPriority w:val="99"/>
    <w:semiHidden/>
    <w:rsid w:val="00680811"/>
    <w:rPr>
      <w:sz w:val="16"/>
      <w:szCs w:val="16"/>
    </w:rPr>
  </w:style>
  <w:style w:type="paragraph" w:styleId="CommentText">
    <w:name w:val="annotation text"/>
    <w:basedOn w:val="Normal"/>
    <w:link w:val="CommentTextChar"/>
    <w:uiPriority w:val="99"/>
    <w:rsid w:val="00680811"/>
    <w:rPr>
      <w:sz w:val="20"/>
      <w:szCs w:val="20"/>
    </w:rPr>
  </w:style>
  <w:style w:type="character" w:customStyle="1" w:styleId="CommentTextChar">
    <w:name w:val="Comment Text Char"/>
    <w:link w:val="CommentText"/>
    <w:uiPriority w:val="99"/>
    <w:rsid w:val="00680811"/>
    <w:rPr>
      <w:rFonts w:ascii="Calibri" w:hAnsi="Calibri" w:cs="Calibri"/>
      <w:sz w:val="20"/>
      <w:szCs w:val="20"/>
      <w:lang w:val="en-GB"/>
    </w:rPr>
  </w:style>
  <w:style w:type="paragraph" w:styleId="CommentSubject">
    <w:name w:val="annotation subject"/>
    <w:basedOn w:val="CommentText"/>
    <w:next w:val="CommentText"/>
    <w:link w:val="CommentSubjectChar"/>
    <w:uiPriority w:val="99"/>
    <w:semiHidden/>
    <w:rsid w:val="00680811"/>
    <w:rPr>
      <w:b/>
      <w:bCs/>
    </w:rPr>
  </w:style>
  <w:style w:type="character" w:customStyle="1" w:styleId="CommentSubjectChar">
    <w:name w:val="Comment Subject Char"/>
    <w:link w:val="CommentSubject"/>
    <w:uiPriority w:val="99"/>
    <w:semiHidden/>
    <w:rsid w:val="00680811"/>
    <w:rPr>
      <w:rFonts w:ascii="Calibri" w:hAnsi="Calibri" w:cs="Calibri"/>
      <w:b/>
      <w:bCs/>
      <w:sz w:val="20"/>
      <w:szCs w:val="20"/>
      <w:lang w:val="en-GB"/>
    </w:rPr>
  </w:style>
  <w:style w:type="paragraph" w:styleId="FootnoteText">
    <w:name w:val="footnote text"/>
    <w:basedOn w:val="Normal"/>
    <w:link w:val="FootnoteTextChar"/>
    <w:uiPriority w:val="99"/>
    <w:semiHidden/>
    <w:rsid w:val="00680811"/>
    <w:rPr>
      <w:sz w:val="20"/>
      <w:szCs w:val="20"/>
    </w:rPr>
  </w:style>
  <w:style w:type="character" w:customStyle="1" w:styleId="FootnoteTextChar">
    <w:name w:val="Footnote Text Char"/>
    <w:link w:val="FootnoteText"/>
    <w:uiPriority w:val="99"/>
    <w:semiHidden/>
    <w:rsid w:val="00680811"/>
    <w:rPr>
      <w:rFonts w:ascii="Calibri" w:hAnsi="Calibri" w:cs="Calibri"/>
      <w:sz w:val="20"/>
      <w:szCs w:val="20"/>
      <w:lang w:val="en-GB"/>
    </w:rPr>
  </w:style>
  <w:style w:type="character" w:styleId="FootnoteReference">
    <w:name w:val="footnote reference"/>
    <w:uiPriority w:val="99"/>
    <w:semiHidden/>
    <w:rsid w:val="00680811"/>
    <w:rPr>
      <w:vertAlign w:val="superscript"/>
    </w:rPr>
  </w:style>
  <w:style w:type="paragraph" w:styleId="ListParagraph">
    <w:name w:val="List Paragraph"/>
    <w:basedOn w:val="Normal"/>
    <w:uiPriority w:val="99"/>
    <w:qFormat/>
    <w:rsid w:val="00680811"/>
    <w:pPr>
      <w:spacing w:after="200" w:line="276" w:lineRule="auto"/>
      <w:ind w:left="720" w:firstLineChars="0" w:firstLine="0"/>
      <w:contextualSpacing/>
    </w:pPr>
    <w:rPr>
      <w:rFonts w:eastAsia="Calibri"/>
      <w:lang w:val="pl-PL"/>
    </w:rPr>
  </w:style>
  <w:style w:type="character" w:customStyle="1" w:styleId="grame">
    <w:name w:val="grame"/>
    <w:uiPriority w:val="99"/>
    <w:rsid w:val="00680811"/>
  </w:style>
  <w:style w:type="paragraph" w:styleId="BodyText">
    <w:name w:val="Body Text"/>
    <w:basedOn w:val="Normal"/>
    <w:link w:val="BodyTextChar"/>
    <w:uiPriority w:val="99"/>
    <w:rsid w:val="00680811"/>
    <w:pPr>
      <w:spacing w:after="120"/>
    </w:pPr>
  </w:style>
  <w:style w:type="character" w:customStyle="1" w:styleId="BodyTextChar">
    <w:name w:val="Body Text Char"/>
    <w:link w:val="BodyText"/>
    <w:uiPriority w:val="99"/>
    <w:rsid w:val="00680811"/>
    <w:rPr>
      <w:rFonts w:ascii="Calibri" w:hAnsi="Calibri" w:cs="Calibri"/>
      <w:lang w:val="en-GB"/>
    </w:rPr>
  </w:style>
  <w:style w:type="paragraph" w:styleId="Title">
    <w:name w:val="Title"/>
    <w:basedOn w:val="Normal"/>
    <w:link w:val="TitleChar"/>
    <w:uiPriority w:val="99"/>
    <w:qFormat/>
    <w:rsid w:val="00680811"/>
    <w:pPr>
      <w:spacing w:line="240" w:lineRule="auto"/>
      <w:ind w:firstLineChars="0" w:firstLine="0"/>
      <w:jc w:val="center"/>
    </w:pPr>
    <w:rPr>
      <w:rFonts w:ascii="Times New Roman" w:hAnsi="Times New Roman" w:cs="Times New Roman"/>
      <w:caps/>
      <w:w w:val="200"/>
      <w:sz w:val="20"/>
      <w:szCs w:val="20"/>
      <w:lang w:val="pl-PL" w:eastAsia="pl-PL"/>
    </w:rPr>
  </w:style>
  <w:style w:type="character" w:customStyle="1" w:styleId="TitleChar">
    <w:name w:val="Title Char"/>
    <w:link w:val="Title"/>
    <w:uiPriority w:val="99"/>
    <w:rsid w:val="00680811"/>
    <w:rPr>
      <w:rFonts w:ascii="Times New Roman" w:hAnsi="Times New Roman" w:cs="Times New Roman"/>
      <w:caps/>
      <w:w w:val="200"/>
      <w:sz w:val="20"/>
      <w:szCs w:val="20"/>
      <w:lang w:eastAsia="pl-PL"/>
    </w:rPr>
  </w:style>
  <w:style w:type="character" w:customStyle="1" w:styleId="TekstpodstawowywcityZnak">
    <w:name w:val="Tekst podstawowy wcięty Znak"/>
    <w:link w:val="Tekstpodstawowywcity1"/>
    <w:uiPriority w:val="99"/>
    <w:rsid w:val="00680811"/>
    <w:rPr>
      <w:rFonts w:ascii="Cambria" w:hAnsi="Cambria" w:cs="Cambria"/>
      <w:sz w:val="24"/>
      <w:szCs w:val="24"/>
      <w:lang w:val="cs-CZ"/>
    </w:rPr>
  </w:style>
  <w:style w:type="paragraph" w:customStyle="1" w:styleId="Tekstpodstawowywcity1">
    <w:name w:val="Tekst podstawowy wcięty1"/>
    <w:basedOn w:val="Normal"/>
    <w:link w:val="TekstpodstawowywcityZnak"/>
    <w:uiPriority w:val="99"/>
    <w:rsid w:val="00680811"/>
    <w:pPr>
      <w:spacing w:after="120" w:line="240" w:lineRule="auto"/>
      <w:ind w:left="283" w:firstLineChars="0" w:firstLine="0"/>
    </w:pPr>
    <w:rPr>
      <w:rFonts w:ascii="Cambria" w:eastAsia="Calibri" w:hAnsi="Cambria" w:cs="Cambria"/>
      <w:sz w:val="24"/>
      <w:szCs w:val="24"/>
      <w:lang w:val="cs-CZ" w:eastAsia="pl-PL"/>
    </w:rPr>
  </w:style>
  <w:style w:type="character" w:customStyle="1" w:styleId="spelle">
    <w:name w:val="spelle"/>
    <w:basedOn w:val="DefaultParagraphFont"/>
    <w:uiPriority w:val="99"/>
    <w:rsid w:val="00680811"/>
  </w:style>
  <w:style w:type="paragraph" w:styleId="HTMLPreformatted">
    <w:name w:val="HTML Preformatted"/>
    <w:basedOn w:val="Normal"/>
    <w:link w:val="HTMLPreformattedChar"/>
    <w:uiPriority w:val="99"/>
    <w:semiHidden/>
    <w:rsid w:val="0068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pPr>
    <w:rPr>
      <w:rFonts w:ascii="Courier New" w:hAnsi="Courier New" w:cs="Courier New"/>
      <w:sz w:val="24"/>
      <w:szCs w:val="24"/>
      <w:lang w:val="pl-PL" w:eastAsia="pl-PL"/>
    </w:rPr>
  </w:style>
  <w:style w:type="character" w:customStyle="1" w:styleId="HTMLPreformattedChar">
    <w:name w:val="HTML Preformatted Char"/>
    <w:link w:val="HTMLPreformatted"/>
    <w:uiPriority w:val="99"/>
    <w:semiHidden/>
    <w:rsid w:val="00680811"/>
    <w:rPr>
      <w:rFonts w:ascii="Courier New" w:hAnsi="Courier New" w:cs="Courier New"/>
      <w:sz w:val="24"/>
      <w:szCs w:val="24"/>
      <w:lang w:eastAsia="pl-PL"/>
    </w:rPr>
  </w:style>
  <w:style w:type="character" w:styleId="PageNumber">
    <w:name w:val="page number"/>
    <w:basedOn w:val="DefaultParagraphFont"/>
    <w:uiPriority w:val="99"/>
    <w:rsid w:val="00680811"/>
  </w:style>
  <w:style w:type="paragraph" w:customStyle="1" w:styleId="Domynie">
    <w:name w:val="Domy徑nie"/>
    <w:uiPriority w:val="99"/>
    <w:rsid w:val="00680811"/>
    <w:pPr>
      <w:widowControl w:val="0"/>
      <w:autoSpaceDN w:val="0"/>
      <w:adjustRightInd w:val="0"/>
      <w:spacing w:line="480" w:lineRule="auto"/>
      <w:ind w:hanging="284"/>
    </w:pPr>
    <w:rPr>
      <w:rFonts w:eastAsia="Times New Roman" w:cs="Calibri"/>
      <w:kern w:val="1"/>
      <w:sz w:val="22"/>
      <w:szCs w:val="22"/>
      <w:lang w:eastAsia="en-US"/>
    </w:rPr>
  </w:style>
  <w:style w:type="paragraph" w:customStyle="1" w:styleId="Tekstpodstawowy31">
    <w:name w:val="Tekst podstawowy 31"/>
    <w:basedOn w:val="Domynie"/>
    <w:uiPriority w:val="99"/>
    <w:rsid w:val="00680811"/>
    <w:pPr>
      <w:spacing w:line="360" w:lineRule="auto"/>
      <w:ind w:firstLine="0"/>
      <w:jc w:val="both"/>
    </w:pPr>
    <w:rPr>
      <w:b/>
      <w:bCs/>
      <w:kern w:val="0"/>
      <w:sz w:val="24"/>
      <w:szCs w:val="24"/>
      <w:lang w:eastAsia="pl-PL"/>
    </w:rPr>
  </w:style>
  <w:style w:type="paragraph" w:customStyle="1" w:styleId="normaltable">
    <w:name w:val="normaltable"/>
    <w:basedOn w:val="Normal"/>
    <w:uiPriority w:val="99"/>
    <w:rsid w:val="00680811"/>
    <w:pPr>
      <w:spacing w:before="100" w:beforeAutospacing="1" w:after="100" w:afterAutospacing="1" w:line="240" w:lineRule="auto"/>
      <w:ind w:firstLineChars="0" w:firstLine="0"/>
    </w:pPr>
    <w:rPr>
      <w:rFonts w:ascii="Times New Roman" w:hAnsi="Times New Roman" w:cs="Times New Roman"/>
      <w:sz w:val="24"/>
      <w:szCs w:val="24"/>
      <w:lang w:val="pl-PL" w:eastAsia="pl-PL"/>
    </w:rPr>
  </w:style>
  <w:style w:type="paragraph" w:customStyle="1" w:styleId="Standardowy1">
    <w:name w:val="Standardowy1"/>
    <w:uiPriority w:val="99"/>
    <w:rsid w:val="00680811"/>
    <w:rPr>
      <w:rFonts w:ascii="Times New Roman" w:eastAsia="Times New Roman" w:hAnsi="Times New Roman"/>
      <w:sz w:val="24"/>
      <w:szCs w:val="24"/>
    </w:rPr>
  </w:style>
  <w:style w:type="character" w:styleId="FollowedHyperlink">
    <w:name w:val="FollowedHyperlink"/>
    <w:uiPriority w:val="99"/>
    <w:semiHidden/>
    <w:rsid w:val="00680811"/>
    <w:rPr>
      <w:color w:val="954F72"/>
      <w:u w:val="single"/>
    </w:rPr>
  </w:style>
  <w:style w:type="character" w:customStyle="1" w:styleId="Znak11">
    <w:name w:val="Znak11"/>
    <w:uiPriority w:val="99"/>
    <w:rsid w:val="00A10507"/>
    <w:rPr>
      <w:rFonts w:ascii="Cambria" w:hAnsi="Cambria" w:cs="Cambria"/>
      <w:b/>
      <w:bCs/>
      <w:kern w:val="32"/>
      <w:sz w:val="32"/>
      <w:szCs w:val="32"/>
      <w:lang w:val="en-GB" w:eastAsia="en-US"/>
    </w:rPr>
  </w:style>
  <w:style w:type="character" w:customStyle="1" w:styleId="Znak10">
    <w:name w:val="Znak10"/>
    <w:uiPriority w:val="99"/>
    <w:rsid w:val="00A10507"/>
    <w:rPr>
      <w:sz w:val="24"/>
      <w:szCs w:val="24"/>
      <w:u w:val="single"/>
      <w:lang w:eastAsia="pl-PL"/>
    </w:rPr>
  </w:style>
  <w:style w:type="character" w:customStyle="1" w:styleId="Znak9">
    <w:name w:val="Znak9"/>
    <w:uiPriority w:val="99"/>
    <w:rsid w:val="00A10507"/>
    <w:rPr>
      <w:rFonts w:ascii="Calibri" w:hAnsi="Calibri" w:cs="Calibri"/>
      <w:b/>
      <w:bCs/>
      <w:i/>
      <w:iCs/>
      <w:sz w:val="26"/>
      <w:szCs w:val="26"/>
      <w:lang w:val="en-GB" w:eastAsia="en-US"/>
    </w:rPr>
  </w:style>
  <w:style w:type="character" w:customStyle="1" w:styleId="Znak8">
    <w:name w:val="Znak8"/>
    <w:uiPriority w:val="99"/>
    <w:rsid w:val="00A10507"/>
    <w:rPr>
      <w:rFonts w:ascii="Calibri" w:hAnsi="Calibri" w:cs="Calibri"/>
      <w:sz w:val="22"/>
      <w:szCs w:val="22"/>
      <w:lang w:val="en-GB"/>
    </w:rPr>
  </w:style>
  <w:style w:type="character" w:customStyle="1" w:styleId="Znak7">
    <w:name w:val="Znak7"/>
    <w:uiPriority w:val="99"/>
    <w:rsid w:val="00A10507"/>
    <w:rPr>
      <w:rFonts w:ascii="Calibri" w:hAnsi="Calibri" w:cs="Calibri"/>
      <w:sz w:val="22"/>
      <w:szCs w:val="22"/>
      <w:lang w:val="en-GB"/>
    </w:rPr>
  </w:style>
  <w:style w:type="character" w:customStyle="1" w:styleId="Znak6">
    <w:name w:val="Znak6"/>
    <w:uiPriority w:val="99"/>
    <w:semiHidden/>
    <w:rsid w:val="00A10507"/>
    <w:rPr>
      <w:rFonts w:ascii="Tahoma" w:hAnsi="Tahoma" w:cs="Tahoma"/>
      <w:sz w:val="16"/>
      <w:szCs w:val="16"/>
      <w:lang w:val="en-GB"/>
    </w:rPr>
  </w:style>
  <w:style w:type="character" w:customStyle="1" w:styleId="Znak5">
    <w:name w:val="Znak5"/>
    <w:uiPriority w:val="99"/>
    <w:semiHidden/>
    <w:rsid w:val="00A10507"/>
    <w:rPr>
      <w:rFonts w:ascii="Calibri" w:hAnsi="Calibri" w:cs="Calibri"/>
      <w:lang w:val="en-GB" w:eastAsia="en-US"/>
    </w:rPr>
  </w:style>
  <w:style w:type="paragraph" w:styleId="NoSpacing">
    <w:name w:val="No Spacing"/>
    <w:uiPriority w:val="99"/>
    <w:qFormat/>
    <w:rsid w:val="00A10507"/>
    <w:pPr>
      <w:ind w:hangingChars="129" w:hanging="284"/>
    </w:pPr>
    <w:rPr>
      <w:rFonts w:cs="Calibri"/>
      <w:sz w:val="22"/>
      <w:szCs w:val="22"/>
      <w:lang w:val="en-GB" w:eastAsia="en-US"/>
    </w:rPr>
  </w:style>
  <w:style w:type="table" w:customStyle="1" w:styleId="Zwykatabela12">
    <w:name w:val="Zwykła tabela 12"/>
    <w:uiPriority w:val="99"/>
    <w:rsid w:val="00A10507"/>
    <w:rPr>
      <w:rFonts w:cs="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Znak4">
    <w:name w:val="Znak4"/>
    <w:uiPriority w:val="99"/>
    <w:semiHidden/>
    <w:rsid w:val="00A10507"/>
    <w:rPr>
      <w:sz w:val="24"/>
      <w:szCs w:val="24"/>
      <w:lang w:val="en-US"/>
    </w:rPr>
  </w:style>
  <w:style w:type="character" w:customStyle="1" w:styleId="Znak3">
    <w:name w:val="Znak3"/>
    <w:uiPriority w:val="99"/>
    <w:semiHidden/>
    <w:rsid w:val="00A10507"/>
    <w:rPr>
      <w:rFonts w:ascii="Calibri" w:hAnsi="Calibri" w:cs="Calibri"/>
      <w:sz w:val="22"/>
      <w:szCs w:val="22"/>
      <w:lang w:val="en-GB" w:eastAsia="en-US"/>
    </w:rPr>
  </w:style>
  <w:style w:type="character" w:customStyle="1" w:styleId="Znak2">
    <w:name w:val="Znak2"/>
    <w:uiPriority w:val="99"/>
    <w:semiHidden/>
    <w:rsid w:val="00A10507"/>
    <w:rPr>
      <w:rFonts w:ascii="Calibri" w:hAnsi="Calibri" w:cs="Calibri"/>
      <w:b/>
      <w:bCs/>
      <w:sz w:val="22"/>
      <w:szCs w:val="22"/>
      <w:lang w:val="en-GB" w:eastAsia="en-US"/>
    </w:rPr>
  </w:style>
  <w:style w:type="character" w:customStyle="1" w:styleId="Znak1">
    <w:name w:val="Znak1"/>
    <w:uiPriority w:val="99"/>
    <w:semiHidden/>
    <w:rsid w:val="00A10507"/>
    <w:rPr>
      <w:rFonts w:ascii="Calibri" w:hAnsi="Calibri" w:cs="Calibri"/>
      <w:sz w:val="22"/>
      <w:szCs w:val="22"/>
      <w:lang w:val="en-GB" w:eastAsia="en-US"/>
    </w:rPr>
  </w:style>
  <w:style w:type="paragraph" w:customStyle="1" w:styleId="Akapitzlist2">
    <w:name w:val="Akapit z listą2"/>
    <w:basedOn w:val="Normal"/>
    <w:uiPriority w:val="99"/>
    <w:rsid w:val="00A10507"/>
    <w:pPr>
      <w:spacing w:after="200" w:line="276" w:lineRule="auto"/>
      <w:ind w:left="720" w:firstLineChars="0" w:firstLine="0"/>
      <w:contextualSpacing/>
    </w:pPr>
    <w:rPr>
      <w:lang w:val="pl-PL"/>
    </w:rPr>
  </w:style>
  <w:style w:type="character" w:customStyle="1" w:styleId="Znak">
    <w:name w:val="Znak"/>
    <w:uiPriority w:val="99"/>
    <w:rsid w:val="00A10507"/>
    <w:rPr>
      <w:rFonts w:ascii="Calibri" w:hAnsi="Calibri" w:cs="Calibri"/>
      <w:caps/>
      <w:w w:val="200"/>
      <w:sz w:val="22"/>
      <w:szCs w:val="22"/>
      <w:lang w:eastAsia="pl-PL"/>
    </w:rPr>
  </w:style>
  <w:style w:type="paragraph" w:styleId="BodyTextIndent">
    <w:name w:val="Body Text Indent"/>
    <w:basedOn w:val="Normal"/>
    <w:link w:val="BodyTextIndentChar"/>
    <w:uiPriority w:val="99"/>
    <w:rsid w:val="00A10507"/>
    <w:pPr>
      <w:spacing w:after="120" w:line="240" w:lineRule="auto"/>
      <w:ind w:left="283" w:firstLineChars="0" w:firstLine="0"/>
    </w:pPr>
    <w:rPr>
      <w:rFonts w:ascii="Cambria" w:eastAsia="Calibri" w:hAnsi="Cambria" w:cs="Cambria"/>
      <w:sz w:val="24"/>
      <w:szCs w:val="24"/>
      <w:lang w:val="cs-CZ"/>
    </w:rPr>
  </w:style>
  <w:style w:type="character" w:customStyle="1" w:styleId="BodyTextIndentChar">
    <w:name w:val="Body Text Indent Char"/>
    <w:link w:val="BodyTextIndent"/>
    <w:uiPriority w:val="99"/>
    <w:semiHidden/>
    <w:rsid w:val="003A35F5"/>
    <w:rPr>
      <w:rFonts w:eastAsia="Times New Roman"/>
      <w:lang w:val="en-GB" w:eastAsia="en-US"/>
    </w:rPr>
  </w:style>
  <w:style w:type="paragraph" w:customStyle="1" w:styleId="details">
    <w:name w:val="details"/>
    <w:basedOn w:val="Normal"/>
    <w:uiPriority w:val="99"/>
    <w:rsid w:val="00CA0E99"/>
    <w:pPr>
      <w:spacing w:before="100" w:beforeAutospacing="1" w:after="100" w:afterAutospacing="1" w:line="240" w:lineRule="auto"/>
      <w:ind w:firstLineChars="0" w:firstLine="0"/>
    </w:pPr>
    <w:rPr>
      <w:rFonts w:eastAsia="Calibri"/>
      <w:sz w:val="24"/>
      <w:szCs w:val="24"/>
      <w:lang w:val="pl-PL" w:eastAsia="pl-PL"/>
    </w:rPr>
  </w:style>
  <w:style w:type="paragraph" w:customStyle="1" w:styleId="1">
    <w:name w:val="正文1"/>
    <w:uiPriority w:val="99"/>
    <w:rsid w:val="0069767B"/>
    <w:pPr>
      <w:spacing w:line="276" w:lineRule="auto"/>
    </w:pPr>
    <w:rPr>
      <w:rFonts w:ascii="Arial" w:eastAsia="SimSun" w:hAnsi="Arial" w:cs="Arial"/>
      <w:color w:val="000000"/>
      <w:sz w:val="22"/>
    </w:rPr>
  </w:style>
  <w:style w:type="paragraph" w:styleId="Revision">
    <w:name w:val="Revision"/>
    <w:hidden/>
    <w:uiPriority w:val="99"/>
    <w:semiHidden/>
    <w:rsid w:val="00EF5323"/>
    <w:rPr>
      <w:rFonts w:eastAsia="Times New Roman" w:cs="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4698">
      <w:bodyDiv w:val="1"/>
      <w:marLeft w:val="0"/>
      <w:marRight w:val="0"/>
      <w:marTop w:val="0"/>
      <w:marBottom w:val="0"/>
      <w:divBdr>
        <w:top w:val="none" w:sz="0" w:space="0" w:color="auto"/>
        <w:left w:val="none" w:sz="0" w:space="0" w:color="auto"/>
        <w:bottom w:val="none" w:sz="0" w:space="0" w:color="auto"/>
        <w:right w:val="none" w:sz="0" w:space="0" w:color="auto"/>
      </w:divBdr>
    </w:div>
    <w:div w:id="150678018">
      <w:bodyDiv w:val="1"/>
      <w:marLeft w:val="0"/>
      <w:marRight w:val="0"/>
      <w:marTop w:val="0"/>
      <w:marBottom w:val="0"/>
      <w:divBdr>
        <w:top w:val="none" w:sz="0" w:space="0" w:color="auto"/>
        <w:left w:val="none" w:sz="0" w:space="0" w:color="auto"/>
        <w:bottom w:val="none" w:sz="0" w:space="0" w:color="auto"/>
        <w:right w:val="none" w:sz="0" w:space="0" w:color="auto"/>
      </w:divBdr>
    </w:div>
    <w:div w:id="161165691">
      <w:bodyDiv w:val="1"/>
      <w:marLeft w:val="0"/>
      <w:marRight w:val="0"/>
      <w:marTop w:val="0"/>
      <w:marBottom w:val="0"/>
      <w:divBdr>
        <w:top w:val="none" w:sz="0" w:space="0" w:color="auto"/>
        <w:left w:val="none" w:sz="0" w:space="0" w:color="auto"/>
        <w:bottom w:val="none" w:sz="0" w:space="0" w:color="auto"/>
        <w:right w:val="none" w:sz="0" w:space="0" w:color="auto"/>
      </w:divBdr>
    </w:div>
    <w:div w:id="248932878">
      <w:bodyDiv w:val="1"/>
      <w:marLeft w:val="0"/>
      <w:marRight w:val="0"/>
      <w:marTop w:val="0"/>
      <w:marBottom w:val="0"/>
      <w:divBdr>
        <w:top w:val="none" w:sz="0" w:space="0" w:color="auto"/>
        <w:left w:val="none" w:sz="0" w:space="0" w:color="auto"/>
        <w:bottom w:val="none" w:sz="0" w:space="0" w:color="auto"/>
        <w:right w:val="none" w:sz="0" w:space="0" w:color="auto"/>
      </w:divBdr>
    </w:div>
    <w:div w:id="454448359">
      <w:bodyDiv w:val="1"/>
      <w:marLeft w:val="0"/>
      <w:marRight w:val="0"/>
      <w:marTop w:val="0"/>
      <w:marBottom w:val="0"/>
      <w:divBdr>
        <w:top w:val="none" w:sz="0" w:space="0" w:color="auto"/>
        <w:left w:val="none" w:sz="0" w:space="0" w:color="auto"/>
        <w:bottom w:val="none" w:sz="0" w:space="0" w:color="auto"/>
        <w:right w:val="none" w:sz="0" w:space="0" w:color="auto"/>
      </w:divBdr>
    </w:div>
    <w:div w:id="501744083">
      <w:bodyDiv w:val="1"/>
      <w:marLeft w:val="0"/>
      <w:marRight w:val="0"/>
      <w:marTop w:val="0"/>
      <w:marBottom w:val="0"/>
      <w:divBdr>
        <w:top w:val="none" w:sz="0" w:space="0" w:color="auto"/>
        <w:left w:val="none" w:sz="0" w:space="0" w:color="auto"/>
        <w:bottom w:val="none" w:sz="0" w:space="0" w:color="auto"/>
        <w:right w:val="none" w:sz="0" w:space="0" w:color="auto"/>
      </w:divBdr>
    </w:div>
    <w:div w:id="667829265">
      <w:bodyDiv w:val="1"/>
      <w:marLeft w:val="0"/>
      <w:marRight w:val="0"/>
      <w:marTop w:val="0"/>
      <w:marBottom w:val="0"/>
      <w:divBdr>
        <w:top w:val="none" w:sz="0" w:space="0" w:color="auto"/>
        <w:left w:val="none" w:sz="0" w:space="0" w:color="auto"/>
        <w:bottom w:val="none" w:sz="0" w:space="0" w:color="auto"/>
        <w:right w:val="none" w:sz="0" w:space="0" w:color="auto"/>
      </w:divBdr>
    </w:div>
    <w:div w:id="827405453">
      <w:bodyDiv w:val="1"/>
      <w:marLeft w:val="0"/>
      <w:marRight w:val="0"/>
      <w:marTop w:val="0"/>
      <w:marBottom w:val="0"/>
      <w:divBdr>
        <w:top w:val="none" w:sz="0" w:space="0" w:color="auto"/>
        <w:left w:val="none" w:sz="0" w:space="0" w:color="auto"/>
        <w:bottom w:val="none" w:sz="0" w:space="0" w:color="auto"/>
        <w:right w:val="none" w:sz="0" w:space="0" w:color="auto"/>
      </w:divBdr>
    </w:div>
    <w:div w:id="1054741071">
      <w:bodyDiv w:val="1"/>
      <w:marLeft w:val="0"/>
      <w:marRight w:val="0"/>
      <w:marTop w:val="0"/>
      <w:marBottom w:val="0"/>
      <w:divBdr>
        <w:top w:val="none" w:sz="0" w:space="0" w:color="auto"/>
        <w:left w:val="none" w:sz="0" w:space="0" w:color="auto"/>
        <w:bottom w:val="none" w:sz="0" w:space="0" w:color="auto"/>
        <w:right w:val="none" w:sz="0" w:space="0" w:color="auto"/>
      </w:divBdr>
    </w:div>
    <w:div w:id="1082068456">
      <w:bodyDiv w:val="1"/>
      <w:marLeft w:val="0"/>
      <w:marRight w:val="0"/>
      <w:marTop w:val="0"/>
      <w:marBottom w:val="0"/>
      <w:divBdr>
        <w:top w:val="none" w:sz="0" w:space="0" w:color="auto"/>
        <w:left w:val="none" w:sz="0" w:space="0" w:color="auto"/>
        <w:bottom w:val="none" w:sz="0" w:space="0" w:color="auto"/>
        <w:right w:val="none" w:sz="0" w:space="0" w:color="auto"/>
      </w:divBdr>
    </w:div>
    <w:div w:id="1105266656">
      <w:bodyDiv w:val="1"/>
      <w:marLeft w:val="0"/>
      <w:marRight w:val="0"/>
      <w:marTop w:val="0"/>
      <w:marBottom w:val="0"/>
      <w:divBdr>
        <w:top w:val="none" w:sz="0" w:space="0" w:color="auto"/>
        <w:left w:val="none" w:sz="0" w:space="0" w:color="auto"/>
        <w:bottom w:val="none" w:sz="0" w:space="0" w:color="auto"/>
        <w:right w:val="none" w:sz="0" w:space="0" w:color="auto"/>
      </w:divBdr>
    </w:div>
    <w:div w:id="1684162561">
      <w:bodyDiv w:val="1"/>
      <w:marLeft w:val="0"/>
      <w:marRight w:val="0"/>
      <w:marTop w:val="0"/>
      <w:marBottom w:val="0"/>
      <w:divBdr>
        <w:top w:val="none" w:sz="0" w:space="0" w:color="auto"/>
        <w:left w:val="none" w:sz="0" w:space="0" w:color="auto"/>
        <w:bottom w:val="none" w:sz="0" w:space="0" w:color="auto"/>
        <w:right w:val="none" w:sz="0" w:space="0" w:color="auto"/>
      </w:divBdr>
    </w:div>
    <w:div w:id="1714188898">
      <w:bodyDiv w:val="1"/>
      <w:marLeft w:val="0"/>
      <w:marRight w:val="0"/>
      <w:marTop w:val="0"/>
      <w:marBottom w:val="0"/>
      <w:divBdr>
        <w:top w:val="none" w:sz="0" w:space="0" w:color="auto"/>
        <w:left w:val="none" w:sz="0" w:space="0" w:color="auto"/>
        <w:bottom w:val="none" w:sz="0" w:space="0" w:color="auto"/>
        <w:right w:val="none" w:sz="0" w:space="0" w:color="auto"/>
      </w:divBdr>
    </w:div>
    <w:div w:id="1729454407">
      <w:bodyDiv w:val="1"/>
      <w:marLeft w:val="0"/>
      <w:marRight w:val="0"/>
      <w:marTop w:val="0"/>
      <w:marBottom w:val="0"/>
      <w:divBdr>
        <w:top w:val="none" w:sz="0" w:space="0" w:color="auto"/>
        <w:left w:val="none" w:sz="0" w:space="0" w:color="auto"/>
        <w:bottom w:val="none" w:sz="0" w:space="0" w:color="auto"/>
        <w:right w:val="none" w:sz="0" w:space="0" w:color="auto"/>
      </w:divBdr>
      <w:divsChild>
        <w:div w:id="985478000">
          <w:marLeft w:val="0"/>
          <w:marRight w:val="0"/>
          <w:marTop w:val="0"/>
          <w:marBottom w:val="0"/>
          <w:divBdr>
            <w:top w:val="none" w:sz="0" w:space="0" w:color="auto"/>
            <w:left w:val="none" w:sz="0" w:space="0" w:color="auto"/>
            <w:bottom w:val="none" w:sz="0" w:space="0" w:color="auto"/>
            <w:right w:val="none" w:sz="0" w:space="0" w:color="auto"/>
          </w:divBdr>
          <w:divsChild>
            <w:div w:id="220867358">
              <w:marLeft w:val="0"/>
              <w:marRight w:val="0"/>
              <w:marTop w:val="0"/>
              <w:marBottom w:val="0"/>
              <w:divBdr>
                <w:top w:val="none" w:sz="0" w:space="0" w:color="auto"/>
                <w:left w:val="none" w:sz="0" w:space="0" w:color="auto"/>
                <w:bottom w:val="none" w:sz="0" w:space="0" w:color="auto"/>
                <w:right w:val="none" w:sz="0" w:space="0" w:color="auto"/>
              </w:divBdr>
              <w:divsChild>
                <w:div w:id="10864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6265">
      <w:bodyDiv w:val="1"/>
      <w:marLeft w:val="0"/>
      <w:marRight w:val="0"/>
      <w:marTop w:val="0"/>
      <w:marBottom w:val="0"/>
      <w:divBdr>
        <w:top w:val="none" w:sz="0" w:space="0" w:color="auto"/>
        <w:left w:val="none" w:sz="0" w:space="0" w:color="auto"/>
        <w:bottom w:val="none" w:sz="0" w:space="0" w:color="auto"/>
        <w:right w:val="none" w:sz="0" w:space="0" w:color="auto"/>
      </w:divBdr>
    </w:div>
    <w:div w:id="1755054613">
      <w:bodyDiv w:val="1"/>
      <w:marLeft w:val="0"/>
      <w:marRight w:val="0"/>
      <w:marTop w:val="0"/>
      <w:marBottom w:val="0"/>
      <w:divBdr>
        <w:top w:val="none" w:sz="0" w:space="0" w:color="auto"/>
        <w:left w:val="none" w:sz="0" w:space="0" w:color="auto"/>
        <w:bottom w:val="none" w:sz="0" w:space="0" w:color="auto"/>
        <w:right w:val="none" w:sz="0" w:space="0" w:color="auto"/>
      </w:divBdr>
    </w:div>
    <w:div w:id="1766149147">
      <w:bodyDiv w:val="1"/>
      <w:marLeft w:val="0"/>
      <w:marRight w:val="0"/>
      <w:marTop w:val="0"/>
      <w:marBottom w:val="0"/>
      <w:divBdr>
        <w:top w:val="none" w:sz="0" w:space="0" w:color="auto"/>
        <w:left w:val="none" w:sz="0" w:space="0" w:color="auto"/>
        <w:bottom w:val="none" w:sz="0" w:space="0" w:color="auto"/>
        <w:right w:val="none" w:sz="0" w:space="0" w:color="auto"/>
      </w:divBdr>
    </w:div>
    <w:div w:id="1862547550">
      <w:bodyDiv w:val="1"/>
      <w:marLeft w:val="0"/>
      <w:marRight w:val="0"/>
      <w:marTop w:val="0"/>
      <w:marBottom w:val="0"/>
      <w:divBdr>
        <w:top w:val="none" w:sz="0" w:space="0" w:color="auto"/>
        <w:left w:val="none" w:sz="0" w:space="0" w:color="auto"/>
        <w:bottom w:val="none" w:sz="0" w:space="0" w:color="auto"/>
        <w:right w:val="none" w:sz="0" w:space="0" w:color="auto"/>
      </w:divBdr>
    </w:div>
    <w:div w:id="2015185276">
      <w:bodyDiv w:val="1"/>
      <w:marLeft w:val="0"/>
      <w:marRight w:val="0"/>
      <w:marTop w:val="0"/>
      <w:marBottom w:val="0"/>
      <w:divBdr>
        <w:top w:val="none" w:sz="0" w:space="0" w:color="auto"/>
        <w:left w:val="none" w:sz="0" w:space="0" w:color="auto"/>
        <w:bottom w:val="none" w:sz="0" w:space="0" w:color="auto"/>
        <w:right w:val="none" w:sz="0" w:space="0" w:color="auto"/>
      </w:divBdr>
    </w:div>
    <w:div w:id="2023507083">
      <w:marLeft w:val="0"/>
      <w:marRight w:val="0"/>
      <w:marTop w:val="0"/>
      <w:marBottom w:val="0"/>
      <w:divBdr>
        <w:top w:val="none" w:sz="0" w:space="0" w:color="auto"/>
        <w:left w:val="none" w:sz="0" w:space="0" w:color="auto"/>
        <w:bottom w:val="none" w:sz="0" w:space="0" w:color="auto"/>
        <w:right w:val="none" w:sz="0" w:space="0" w:color="auto"/>
      </w:divBdr>
      <w:divsChild>
        <w:div w:id="2023507281">
          <w:marLeft w:val="0"/>
          <w:marRight w:val="0"/>
          <w:marTop w:val="0"/>
          <w:marBottom w:val="0"/>
          <w:divBdr>
            <w:top w:val="none" w:sz="0" w:space="0" w:color="auto"/>
            <w:left w:val="none" w:sz="0" w:space="0" w:color="auto"/>
            <w:bottom w:val="none" w:sz="0" w:space="0" w:color="auto"/>
            <w:right w:val="none" w:sz="0" w:space="0" w:color="auto"/>
          </w:divBdr>
        </w:div>
      </w:divsChild>
    </w:div>
    <w:div w:id="2023507085">
      <w:marLeft w:val="0"/>
      <w:marRight w:val="0"/>
      <w:marTop w:val="0"/>
      <w:marBottom w:val="0"/>
      <w:divBdr>
        <w:top w:val="none" w:sz="0" w:space="0" w:color="auto"/>
        <w:left w:val="none" w:sz="0" w:space="0" w:color="auto"/>
        <w:bottom w:val="none" w:sz="0" w:space="0" w:color="auto"/>
        <w:right w:val="none" w:sz="0" w:space="0" w:color="auto"/>
      </w:divBdr>
      <w:divsChild>
        <w:div w:id="2023507099">
          <w:marLeft w:val="0"/>
          <w:marRight w:val="0"/>
          <w:marTop w:val="0"/>
          <w:marBottom w:val="0"/>
          <w:divBdr>
            <w:top w:val="none" w:sz="0" w:space="0" w:color="auto"/>
            <w:left w:val="none" w:sz="0" w:space="0" w:color="auto"/>
            <w:bottom w:val="none" w:sz="0" w:space="0" w:color="auto"/>
            <w:right w:val="none" w:sz="0" w:space="0" w:color="auto"/>
          </w:divBdr>
        </w:div>
      </w:divsChild>
    </w:div>
    <w:div w:id="2023507086">
      <w:marLeft w:val="0"/>
      <w:marRight w:val="0"/>
      <w:marTop w:val="0"/>
      <w:marBottom w:val="0"/>
      <w:divBdr>
        <w:top w:val="none" w:sz="0" w:space="0" w:color="auto"/>
        <w:left w:val="none" w:sz="0" w:space="0" w:color="auto"/>
        <w:bottom w:val="none" w:sz="0" w:space="0" w:color="auto"/>
        <w:right w:val="none" w:sz="0" w:space="0" w:color="auto"/>
      </w:divBdr>
      <w:divsChild>
        <w:div w:id="2023507084">
          <w:marLeft w:val="0"/>
          <w:marRight w:val="0"/>
          <w:marTop w:val="0"/>
          <w:marBottom w:val="0"/>
          <w:divBdr>
            <w:top w:val="none" w:sz="0" w:space="0" w:color="auto"/>
            <w:left w:val="none" w:sz="0" w:space="0" w:color="auto"/>
            <w:bottom w:val="none" w:sz="0" w:space="0" w:color="auto"/>
            <w:right w:val="none" w:sz="0" w:space="0" w:color="auto"/>
          </w:divBdr>
        </w:div>
      </w:divsChild>
    </w:div>
    <w:div w:id="2023507087">
      <w:marLeft w:val="0"/>
      <w:marRight w:val="0"/>
      <w:marTop w:val="0"/>
      <w:marBottom w:val="0"/>
      <w:divBdr>
        <w:top w:val="none" w:sz="0" w:space="0" w:color="auto"/>
        <w:left w:val="none" w:sz="0" w:space="0" w:color="auto"/>
        <w:bottom w:val="none" w:sz="0" w:space="0" w:color="auto"/>
        <w:right w:val="none" w:sz="0" w:space="0" w:color="auto"/>
      </w:divBdr>
      <w:divsChild>
        <w:div w:id="2023507286">
          <w:marLeft w:val="0"/>
          <w:marRight w:val="0"/>
          <w:marTop w:val="0"/>
          <w:marBottom w:val="0"/>
          <w:divBdr>
            <w:top w:val="none" w:sz="0" w:space="0" w:color="auto"/>
            <w:left w:val="none" w:sz="0" w:space="0" w:color="auto"/>
            <w:bottom w:val="none" w:sz="0" w:space="0" w:color="auto"/>
            <w:right w:val="none" w:sz="0" w:space="0" w:color="auto"/>
          </w:divBdr>
        </w:div>
      </w:divsChild>
    </w:div>
    <w:div w:id="2023507089">
      <w:marLeft w:val="0"/>
      <w:marRight w:val="0"/>
      <w:marTop w:val="0"/>
      <w:marBottom w:val="0"/>
      <w:divBdr>
        <w:top w:val="none" w:sz="0" w:space="0" w:color="auto"/>
        <w:left w:val="none" w:sz="0" w:space="0" w:color="auto"/>
        <w:bottom w:val="none" w:sz="0" w:space="0" w:color="auto"/>
        <w:right w:val="none" w:sz="0" w:space="0" w:color="auto"/>
      </w:divBdr>
      <w:divsChild>
        <w:div w:id="2023507296">
          <w:marLeft w:val="0"/>
          <w:marRight w:val="0"/>
          <w:marTop w:val="0"/>
          <w:marBottom w:val="0"/>
          <w:divBdr>
            <w:top w:val="none" w:sz="0" w:space="0" w:color="auto"/>
            <w:left w:val="none" w:sz="0" w:space="0" w:color="auto"/>
            <w:bottom w:val="none" w:sz="0" w:space="0" w:color="auto"/>
            <w:right w:val="none" w:sz="0" w:space="0" w:color="auto"/>
          </w:divBdr>
        </w:div>
      </w:divsChild>
    </w:div>
    <w:div w:id="2023507090">
      <w:marLeft w:val="0"/>
      <w:marRight w:val="0"/>
      <w:marTop w:val="0"/>
      <w:marBottom w:val="0"/>
      <w:divBdr>
        <w:top w:val="none" w:sz="0" w:space="0" w:color="auto"/>
        <w:left w:val="none" w:sz="0" w:space="0" w:color="auto"/>
        <w:bottom w:val="none" w:sz="0" w:space="0" w:color="auto"/>
        <w:right w:val="none" w:sz="0" w:space="0" w:color="auto"/>
      </w:divBdr>
      <w:divsChild>
        <w:div w:id="2023507294">
          <w:marLeft w:val="0"/>
          <w:marRight w:val="0"/>
          <w:marTop w:val="0"/>
          <w:marBottom w:val="0"/>
          <w:divBdr>
            <w:top w:val="none" w:sz="0" w:space="0" w:color="auto"/>
            <w:left w:val="none" w:sz="0" w:space="0" w:color="auto"/>
            <w:bottom w:val="none" w:sz="0" w:space="0" w:color="auto"/>
            <w:right w:val="none" w:sz="0" w:space="0" w:color="auto"/>
          </w:divBdr>
        </w:div>
      </w:divsChild>
    </w:div>
    <w:div w:id="2023507092">
      <w:marLeft w:val="0"/>
      <w:marRight w:val="0"/>
      <w:marTop w:val="0"/>
      <w:marBottom w:val="0"/>
      <w:divBdr>
        <w:top w:val="none" w:sz="0" w:space="0" w:color="auto"/>
        <w:left w:val="none" w:sz="0" w:space="0" w:color="auto"/>
        <w:bottom w:val="none" w:sz="0" w:space="0" w:color="auto"/>
        <w:right w:val="none" w:sz="0" w:space="0" w:color="auto"/>
      </w:divBdr>
      <w:divsChild>
        <w:div w:id="2023507297">
          <w:marLeft w:val="0"/>
          <w:marRight w:val="0"/>
          <w:marTop w:val="0"/>
          <w:marBottom w:val="0"/>
          <w:divBdr>
            <w:top w:val="none" w:sz="0" w:space="0" w:color="auto"/>
            <w:left w:val="none" w:sz="0" w:space="0" w:color="auto"/>
            <w:bottom w:val="none" w:sz="0" w:space="0" w:color="auto"/>
            <w:right w:val="none" w:sz="0" w:space="0" w:color="auto"/>
          </w:divBdr>
        </w:div>
      </w:divsChild>
    </w:div>
    <w:div w:id="2023507093">
      <w:marLeft w:val="0"/>
      <w:marRight w:val="0"/>
      <w:marTop w:val="0"/>
      <w:marBottom w:val="0"/>
      <w:divBdr>
        <w:top w:val="none" w:sz="0" w:space="0" w:color="auto"/>
        <w:left w:val="none" w:sz="0" w:space="0" w:color="auto"/>
        <w:bottom w:val="none" w:sz="0" w:space="0" w:color="auto"/>
        <w:right w:val="none" w:sz="0" w:space="0" w:color="auto"/>
      </w:divBdr>
      <w:divsChild>
        <w:div w:id="2023507095">
          <w:marLeft w:val="0"/>
          <w:marRight w:val="0"/>
          <w:marTop w:val="0"/>
          <w:marBottom w:val="0"/>
          <w:divBdr>
            <w:top w:val="none" w:sz="0" w:space="0" w:color="auto"/>
            <w:left w:val="none" w:sz="0" w:space="0" w:color="auto"/>
            <w:bottom w:val="none" w:sz="0" w:space="0" w:color="auto"/>
            <w:right w:val="none" w:sz="0" w:space="0" w:color="auto"/>
          </w:divBdr>
        </w:div>
      </w:divsChild>
    </w:div>
    <w:div w:id="2023507094">
      <w:marLeft w:val="0"/>
      <w:marRight w:val="0"/>
      <w:marTop w:val="0"/>
      <w:marBottom w:val="0"/>
      <w:divBdr>
        <w:top w:val="none" w:sz="0" w:space="0" w:color="auto"/>
        <w:left w:val="none" w:sz="0" w:space="0" w:color="auto"/>
        <w:bottom w:val="none" w:sz="0" w:space="0" w:color="auto"/>
        <w:right w:val="none" w:sz="0" w:space="0" w:color="auto"/>
      </w:divBdr>
      <w:divsChild>
        <w:div w:id="2023507282">
          <w:marLeft w:val="0"/>
          <w:marRight w:val="0"/>
          <w:marTop w:val="0"/>
          <w:marBottom w:val="0"/>
          <w:divBdr>
            <w:top w:val="none" w:sz="0" w:space="0" w:color="auto"/>
            <w:left w:val="none" w:sz="0" w:space="0" w:color="auto"/>
            <w:bottom w:val="none" w:sz="0" w:space="0" w:color="auto"/>
            <w:right w:val="none" w:sz="0" w:space="0" w:color="auto"/>
          </w:divBdr>
        </w:div>
      </w:divsChild>
    </w:div>
    <w:div w:id="2023507096">
      <w:marLeft w:val="0"/>
      <w:marRight w:val="0"/>
      <w:marTop w:val="0"/>
      <w:marBottom w:val="0"/>
      <w:divBdr>
        <w:top w:val="none" w:sz="0" w:space="0" w:color="auto"/>
        <w:left w:val="none" w:sz="0" w:space="0" w:color="auto"/>
        <w:bottom w:val="none" w:sz="0" w:space="0" w:color="auto"/>
        <w:right w:val="none" w:sz="0" w:space="0" w:color="auto"/>
      </w:divBdr>
      <w:divsChild>
        <w:div w:id="2023507088">
          <w:marLeft w:val="0"/>
          <w:marRight w:val="0"/>
          <w:marTop w:val="0"/>
          <w:marBottom w:val="0"/>
          <w:divBdr>
            <w:top w:val="none" w:sz="0" w:space="0" w:color="auto"/>
            <w:left w:val="none" w:sz="0" w:space="0" w:color="auto"/>
            <w:bottom w:val="none" w:sz="0" w:space="0" w:color="auto"/>
            <w:right w:val="none" w:sz="0" w:space="0" w:color="auto"/>
          </w:divBdr>
        </w:div>
      </w:divsChild>
    </w:div>
    <w:div w:id="2023507097">
      <w:marLeft w:val="0"/>
      <w:marRight w:val="0"/>
      <w:marTop w:val="0"/>
      <w:marBottom w:val="0"/>
      <w:divBdr>
        <w:top w:val="none" w:sz="0" w:space="0" w:color="auto"/>
        <w:left w:val="none" w:sz="0" w:space="0" w:color="auto"/>
        <w:bottom w:val="none" w:sz="0" w:space="0" w:color="auto"/>
        <w:right w:val="none" w:sz="0" w:space="0" w:color="auto"/>
      </w:divBdr>
      <w:divsChild>
        <w:div w:id="2023507298">
          <w:marLeft w:val="0"/>
          <w:marRight w:val="0"/>
          <w:marTop w:val="0"/>
          <w:marBottom w:val="0"/>
          <w:divBdr>
            <w:top w:val="none" w:sz="0" w:space="0" w:color="auto"/>
            <w:left w:val="none" w:sz="0" w:space="0" w:color="auto"/>
            <w:bottom w:val="none" w:sz="0" w:space="0" w:color="auto"/>
            <w:right w:val="none" w:sz="0" w:space="0" w:color="auto"/>
          </w:divBdr>
        </w:div>
      </w:divsChild>
    </w:div>
    <w:div w:id="2023507100">
      <w:marLeft w:val="0"/>
      <w:marRight w:val="0"/>
      <w:marTop w:val="0"/>
      <w:marBottom w:val="0"/>
      <w:divBdr>
        <w:top w:val="none" w:sz="0" w:space="0" w:color="auto"/>
        <w:left w:val="none" w:sz="0" w:space="0" w:color="auto"/>
        <w:bottom w:val="none" w:sz="0" w:space="0" w:color="auto"/>
        <w:right w:val="none" w:sz="0" w:space="0" w:color="auto"/>
      </w:divBdr>
      <w:divsChild>
        <w:div w:id="2023507098">
          <w:marLeft w:val="0"/>
          <w:marRight w:val="0"/>
          <w:marTop w:val="0"/>
          <w:marBottom w:val="0"/>
          <w:divBdr>
            <w:top w:val="none" w:sz="0" w:space="0" w:color="auto"/>
            <w:left w:val="none" w:sz="0" w:space="0" w:color="auto"/>
            <w:bottom w:val="none" w:sz="0" w:space="0" w:color="auto"/>
            <w:right w:val="none" w:sz="0" w:space="0" w:color="auto"/>
          </w:divBdr>
        </w:div>
      </w:divsChild>
    </w:div>
    <w:div w:id="2023507109">
      <w:marLeft w:val="0"/>
      <w:marRight w:val="0"/>
      <w:marTop w:val="0"/>
      <w:marBottom w:val="0"/>
      <w:divBdr>
        <w:top w:val="none" w:sz="0" w:space="0" w:color="auto"/>
        <w:left w:val="none" w:sz="0" w:space="0" w:color="auto"/>
        <w:bottom w:val="none" w:sz="0" w:space="0" w:color="auto"/>
        <w:right w:val="none" w:sz="0" w:space="0" w:color="auto"/>
      </w:divBdr>
      <w:divsChild>
        <w:div w:id="2023507147">
          <w:marLeft w:val="0"/>
          <w:marRight w:val="0"/>
          <w:marTop w:val="0"/>
          <w:marBottom w:val="0"/>
          <w:divBdr>
            <w:top w:val="none" w:sz="0" w:space="0" w:color="auto"/>
            <w:left w:val="none" w:sz="0" w:space="0" w:color="auto"/>
            <w:bottom w:val="none" w:sz="0" w:space="0" w:color="auto"/>
            <w:right w:val="none" w:sz="0" w:space="0" w:color="auto"/>
          </w:divBdr>
          <w:divsChild>
            <w:div w:id="2023507151">
              <w:marLeft w:val="0"/>
              <w:marRight w:val="0"/>
              <w:marTop w:val="0"/>
              <w:marBottom w:val="0"/>
              <w:divBdr>
                <w:top w:val="none" w:sz="0" w:space="0" w:color="auto"/>
                <w:left w:val="none" w:sz="0" w:space="0" w:color="auto"/>
                <w:bottom w:val="none" w:sz="0" w:space="0" w:color="auto"/>
                <w:right w:val="none" w:sz="0" w:space="0" w:color="auto"/>
              </w:divBdr>
              <w:divsChild>
                <w:div w:id="2023507198">
                  <w:marLeft w:val="0"/>
                  <w:marRight w:val="0"/>
                  <w:marTop w:val="0"/>
                  <w:marBottom w:val="0"/>
                  <w:divBdr>
                    <w:top w:val="none" w:sz="0" w:space="0" w:color="auto"/>
                    <w:left w:val="none" w:sz="0" w:space="0" w:color="auto"/>
                    <w:bottom w:val="none" w:sz="0" w:space="0" w:color="auto"/>
                    <w:right w:val="none" w:sz="0" w:space="0" w:color="auto"/>
                  </w:divBdr>
                  <w:divsChild>
                    <w:div w:id="2023507139">
                      <w:marLeft w:val="0"/>
                      <w:marRight w:val="0"/>
                      <w:marTop w:val="0"/>
                      <w:marBottom w:val="0"/>
                      <w:divBdr>
                        <w:top w:val="none" w:sz="0" w:space="0" w:color="auto"/>
                        <w:left w:val="none" w:sz="0" w:space="0" w:color="auto"/>
                        <w:bottom w:val="none" w:sz="0" w:space="0" w:color="auto"/>
                        <w:right w:val="none" w:sz="0" w:space="0" w:color="auto"/>
                      </w:divBdr>
                      <w:divsChild>
                        <w:div w:id="2023507180">
                          <w:marLeft w:val="0"/>
                          <w:marRight w:val="0"/>
                          <w:marTop w:val="0"/>
                          <w:marBottom w:val="0"/>
                          <w:divBdr>
                            <w:top w:val="none" w:sz="0" w:space="0" w:color="auto"/>
                            <w:left w:val="none" w:sz="0" w:space="0" w:color="auto"/>
                            <w:bottom w:val="none" w:sz="0" w:space="0" w:color="auto"/>
                            <w:right w:val="none" w:sz="0" w:space="0" w:color="auto"/>
                          </w:divBdr>
                          <w:divsChild>
                            <w:div w:id="2023507127">
                              <w:marLeft w:val="0"/>
                              <w:marRight w:val="0"/>
                              <w:marTop w:val="0"/>
                              <w:marBottom w:val="0"/>
                              <w:divBdr>
                                <w:top w:val="none" w:sz="0" w:space="0" w:color="auto"/>
                                <w:left w:val="none" w:sz="0" w:space="0" w:color="auto"/>
                                <w:bottom w:val="none" w:sz="0" w:space="0" w:color="auto"/>
                                <w:right w:val="none" w:sz="0" w:space="0" w:color="auto"/>
                              </w:divBdr>
                              <w:divsChild>
                                <w:div w:id="2023507128">
                                  <w:marLeft w:val="0"/>
                                  <w:marRight w:val="0"/>
                                  <w:marTop w:val="0"/>
                                  <w:marBottom w:val="0"/>
                                  <w:divBdr>
                                    <w:top w:val="none" w:sz="0" w:space="0" w:color="auto"/>
                                    <w:left w:val="none" w:sz="0" w:space="0" w:color="auto"/>
                                    <w:bottom w:val="none" w:sz="0" w:space="0" w:color="auto"/>
                                    <w:right w:val="none" w:sz="0" w:space="0" w:color="auto"/>
                                  </w:divBdr>
                                  <w:divsChild>
                                    <w:div w:id="2023507177">
                                      <w:marLeft w:val="0"/>
                                      <w:marRight w:val="0"/>
                                      <w:marTop w:val="0"/>
                                      <w:marBottom w:val="0"/>
                                      <w:divBdr>
                                        <w:top w:val="none" w:sz="0" w:space="0" w:color="auto"/>
                                        <w:left w:val="none" w:sz="0" w:space="0" w:color="auto"/>
                                        <w:bottom w:val="none" w:sz="0" w:space="0" w:color="auto"/>
                                        <w:right w:val="none" w:sz="0" w:space="0" w:color="auto"/>
                                      </w:divBdr>
                                      <w:divsChild>
                                        <w:div w:id="2023507136">
                                          <w:marLeft w:val="0"/>
                                          <w:marRight w:val="0"/>
                                          <w:marTop w:val="0"/>
                                          <w:marBottom w:val="0"/>
                                          <w:divBdr>
                                            <w:top w:val="none" w:sz="0" w:space="0" w:color="auto"/>
                                            <w:left w:val="none" w:sz="0" w:space="0" w:color="auto"/>
                                            <w:bottom w:val="none" w:sz="0" w:space="0" w:color="auto"/>
                                            <w:right w:val="none" w:sz="0" w:space="0" w:color="auto"/>
                                          </w:divBdr>
                                          <w:divsChild>
                                            <w:div w:id="2023507129">
                                              <w:marLeft w:val="0"/>
                                              <w:marRight w:val="0"/>
                                              <w:marTop w:val="0"/>
                                              <w:marBottom w:val="0"/>
                                              <w:divBdr>
                                                <w:top w:val="none" w:sz="0" w:space="0" w:color="auto"/>
                                                <w:left w:val="none" w:sz="0" w:space="0" w:color="auto"/>
                                                <w:bottom w:val="none" w:sz="0" w:space="0" w:color="auto"/>
                                                <w:right w:val="none" w:sz="0" w:space="0" w:color="auto"/>
                                              </w:divBdr>
                                              <w:divsChild>
                                                <w:div w:id="2023507110">
                                                  <w:marLeft w:val="0"/>
                                                  <w:marRight w:val="0"/>
                                                  <w:marTop w:val="0"/>
                                                  <w:marBottom w:val="0"/>
                                                  <w:divBdr>
                                                    <w:top w:val="none" w:sz="0" w:space="0" w:color="auto"/>
                                                    <w:left w:val="none" w:sz="0" w:space="0" w:color="auto"/>
                                                    <w:bottom w:val="none" w:sz="0" w:space="0" w:color="auto"/>
                                                    <w:right w:val="none" w:sz="0" w:space="0" w:color="auto"/>
                                                  </w:divBdr>
                                                  <w:divsChild>
                                                    <w:div w:id="2023507173">
                                                      <w:marLeft w:val="0"/>
                                                      <w:marRight w:val="0"/>
                                                      <w:marTop w:val="0"/>
                                                      <w:marBottom w:val="0"/>
                                                      <w:divBdr>
                                                        <w:top w:val="none" w:sz="0" w:space="0" w:color="auto"/>
                                                        <w:left w:val="none" w:sz="0" w:space="0" w:color="auto"/>
                                                        <w:bottom w:val="none" w:sz="0" w:space="0" w:color="auto"/>
                                                        <w:right w:val="none" w:sz="0" w:space="0" w:color="auto"/>
                                                      </w:divBdr>
                                                      <w:divsChild>
                                                        <w:div w:id="20235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507113">
      <w:marLeft w:val="0"/>
      <w:marRight w:val="0"/>
      <w:marTop w:val="0"/>
      <w:marBottom w:val="0"/>
      <w:divBdr>
        <w:top w:val="none" w:sz="0" w:space="0" w:color="auto"/>
        <w:left w:val="none" w:sz="0" w:space="0" w:color="auto"/>
        <w:bottom w:val="none" w:sz="0" w:space="0" w:color="auto"/>
        <w:right w:val="none" w:sz="0" w:space="0" w:color="auto"/>
      </w:divBdr>
      <w:divsChild>
        <w:div w:id="2023507161">
          <w:marLeft w:val="0"/>
          <w:marRight w:val="0"/>
          <w:marTop w:val="0"/>
          <w:marBottom w:val="0"/>
          <w:divBdr>
            <w:top w:val="none" w:sz="0" w:space="0" w:color="auto"/>
            <w:left w:val="none" w:sz="0" w:space="0" w:color="auto"/>
            <w:bottom w:val="none" w:sz="0" w:space="0" w:color="auto"/>
            <w:right w:val="none" w:sz="0" w:space="0" w:color="auto"/>
          </w:divBdr>
          <w:divsChild>
            <w:div w:id="2023507123">
              <w:marLeft w:val="0"/>
              <w:marRight w:val="0"/>
              <w:marTop w:val="0"/>
              <w:marBottom w:val="0"/>
              <w:divBdr>
                <w:top w:val="none" w:sz="0" w:space="0" w:color="auto"/>
                <w:left w:val="none" w:sz="0" w:space="0" w:color="auto"/>
                <w:bottom w:val="none" w:sz="0" w:space="0" w:color="auto"/>
                <w:right w:val="none" w:sz="0" w:space="0" w:color="auto"/>
              </w:divBdr>
              <w:divsChild>
                <w:div w:id="2023507172">
                  <w:marLeft w:val="0"/>
                  <w:marRight w:val="0"/>
                  <w:marTop w:val="0"/>
                  <w:marBottom w:val="0"/>
                  <w:divBdr>
                    <w:top w:val="none" w:sz="0" w:space="0" w:color="auto"/>
                    <w:left w:val="none" w:sz="0" w:space="0" w:color="auto"/>
                    <w:bottom w:val="none" w:sz="0" w:space="0" w:color="auto"/>
                    <w:right w:val="none" w:sz="0" w:space="0" w:color="auto"/>
                  </w:divBdr>
                  <w:divsChild>
                    <w:div w:id="2023507108">
                      <w:marLeft w:val="0"/>
                      <w:marRight w:val="0"/>
                      <w:marTop w:val="0"/>
                      <w:marBottom w:val="0"/>
                      <w:divBdr>
                        <w:top w:val="none" w:sz="0" w:space="0" w:color="auto"/>
                        <w:left w:val="none" w:sz="0" w:space="0" w:color="auto"/>
                        <w:bottom w:val="none" w:sz="0" w:space="0" w:color="auto"/>
                        <w:right w:val="none" w:sz="0" w:space="0" w:color="auto"/>
                      </w:divBdr>
                      <w:divsChild>
                        <w:div w:id="2023507183">
                          <w:marLeft w:val="0"/>
                          <w:marRight w:val="0"/>
                          <w:marTop w:val="0"/>
                          <w:marBottom w:val="0"/>
                          <w:divBdr>
                            <w:top w:val="none" w:sz="0" w:space="0" w:color="auto"/>
                            <w:left w:val="none" w:sz="0" w:space="0" w:color="auto"/>
                            <w:bottom w:val="none" w:sz="0" w:space="0" w:color="auto"/>
                            <w:right w:val="none" w:sz="0" w:space="0" w:color="auto"/>
                          </w:divBdr>
                          <w:divsChild>
                            <w:div w:id="2023507188">
                              <w:marLeft w:val="0"/>
                              <w:marRight w:val="0"/>
                              <w:marTop w:val="0"/>
                              <w:marBottom w:val="0"/>
                              <w:divBdr>
                                <w:top w:val="none" w:sz="0" w:space="0" w:color="auto"/>
                                <w:left w:val="none" w:sz="0" w:space="0" w:color="auto"/>
                                <w:bottom w:val="none" w:sz="0" w:space="0" w:color="auto"/>
                                <w:right w:val="none" w:sz="0" w:space="0" w:color="auto"/>
                              </w:divBdr>
                              <w:divsChild>
                                <w:div w:id="2023507101">
                                  <w:marLeft w:val="0"/>
                                  <w:marRight w:val="0"/>
                                  <w:marTop w:val="0"/>
                                  <w:marBottom w:val="0"/>
                                  <w:divBdr>
                                    <w:top w:val="none" w:sz="0" w:space="0" w:color="auto"/>
                                    <w:left w:val="none" w:sz="0" w:space="0" w:color="auto"/>
                                    <w:bottom w:val="none" w:sz="0" w:space="0" w:color="auto"/>
                                    <w:right w:val="none" w:sz="0" w:space="0" w:color="auto"/>
                                  </w:divBdr>
                                  <w:divsChild>
                                    <w:div w:id="2023507130">
                                      <w:marLeft w:val="0"/>
                                      <w:marRight w:val="0"/>
                                      <w:marTop w:val="0"/>
                                      <w:marBottom w:val="0"/>
                                      <w:divBdr>
                                        <w:top w:val="none" w:sz="0" w:space="0" w:color="auto"/>
                                        <w:left w:val="none" w:sz="0" w:space="0" w:color="auto"/>
                                        <w:bottom w:val="none" w:sz="0" w:space="0" w:color="auto"/>
                                        <w:right w:val="none" w:sz="0" w:space="0" w:color="auto"/>
                                      </w:divBdr>
                                      <w:divsChild>
                                        <w:div w:id="2023507209">
                                          <w:marLeft w:val="0"/>
                                          <w:marRight w:val="0"/>
                                          <w:marTop w:val="0"/>
                                          <w:marBottom w:val="0"/>
                                          <w:divBdr>
                                            <w:top w:val="none" w:sz="0" w:space="0" w:color="auto"/>
                                            <w:left w:val="none" w:sz="0" w:space="0" w:color="auto"/>
                                            <w:bottom w:val="none" w:sz="0" w:space="0" w:color="auto"/>
                                            <w:right w:val="none" w:sz="0" w:space="0" w:color="auto"/>
                                          </w:divBdr>
                                          <w:divsChild>
                                            <w:div w:id="2023507122">
                                              <w:marLeft w:val="0"/>
                                              <w:marRight w:val="0"/>
                                              <w:marTop w:val="0"/>
                                              <w:marBottom w:val="0"/>
                                              <w:divBdr>
                                                <w:top w:val="none" w:sz="0" w:space="0" w:color="auto"/>
                                                <w:left w:val="none" w:sz="0" w:space="0" w:color="auto"/>
                                                <w:bottom w:val="none" w:sz="0" w:space="0" w:color="auto"/>
                                                <w:right w:val="none" w:sz="0" w:space="0" w:color="auto"/>
                                              </w:divBdr>
                                              <w:divsChild>
                                                <w:div w:id="2023507160">
                                                  <w:marLeft w:val="0"/>
                                                  <w:marRight w:val="0"/>
                                                  <w:marTop w:val="0"/>
                                                  <w:marBottom w:val="0"/>
                                                  <w:divBdr>
                                                    <w:top w:val="none" w:sz="0" w:space="0" w:color="auto"/>
                                                    <w:left w:val="none" w:sz="0" w:space="0" w:color="auto"/>
                                                    <w:bottom w:val="none" w:sz="0" w:space="0" w:color="auto"/>
                                                    <w:right w:val="none" w:sz="0" w:space="0" w:color="auto"/>
                                                  </w:divBdr>
                                                  <w:divsChild>
                                                    <w:div w:id="2023507131">
                                                      <w:marLeft w:val="0"/>
                                                      <w:marRight w:val="0"/>
                                                      <w:marTop w:val="0"/>
                                                      <w:marBottom w:val="0"/>
                                                      <w:divBdr>
                                                        <w:top w:val="none" w:sz="0" w:space="0" w:color="auto"/>
                                                        <w:left w:val="none" w:sz="0" w:space="0" w:color="auto"/>
                                                        <w:bottom w:val="none" w:sz="0" w:space="0" w:color="auto"/>
                                                        <w:right w:val="none" w:sz="0" w:space="0" w:color="auto"/>
                                                      </w:divBdr>
                                                      <w:divsChild>
                                                        <w:div w:id="20235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507134">
      <w:marLeft w:val="0"/>
      <w:marRight w:val="0"/>
      <w:marTop w:val="0"/>
      <w:marBottom w:val="0"/>
      <w:divBdr>
        <w:top w:val="none" w:sz="0" w:space="0" w:color="auto"/>
        <w:left w:val="none" w:sz="0" w:space="0" w:color="auto"/>
        <w:bottom w:val="none" w:sz="0" w:space="0" w:color="auto"/>
        <w:right w:val="none" w:sz="0" w:space="0" w:color="auto"/>
      </w:divBdr>
      <w:divsChild>
        <w:div w:id="2023507170">
          <w:marLeft w:val="0"/>
          <w:marRight w:val="0"/>
          <w:marTop w:val="0"/>
          <w:marBottom w:val="0"/>
          <w:divBdr>
            <w:top w:val="none" w:sz="0" w:space="0" w:color="auto"/>
            <w:left w:val="none" w:sz="0" w:space="0" w:color="auto"/>
            <w:bottom w:val="none" w:sz="0" w:space="0" w:color="auto"/>
            <w:right w:val="none" w:sz="0" w:space="0" w:color="auto"/>
          </w:divBdr>
          <w:divsChild>
            <w:div w:id="2023507145">
              <w:marLeft w:val="0"/>
              <w:marRight w:val="0"/>
              <w:marTop w:val="0"/>
              <w:marBottom w:val="0"/>
              <w:divBdr>
                <w:top w:val="none" w:sz="0" w:space="0" w:color="auto"/>
                <w:left w:val="none" w:sz="0" w:space="0" w:color="auto"/>
                <w:bottom w:val="none" w:sz="0" w:space="0" w:color="auto"/>
                <w:right w:val="none" w:sz="0" w:space="0" w:color="auto"/>
              </w:divBdr>
              <w:divsChild>
                <w:div w:id="2023507157">
                  <w:marLeft w:val="0"/>
                  <w:marRight w:val="0"/>
                  <w:marTop w:val="0"/>
                  <w:marBottom w:val="0"/>
                  <w:divBdr>
                    <w:top w:val="none" w:sz="0" w:space="0" w:color="auto"/>
                    <w:left w:val="none" w:sz="0" w:space="0" w:color="auto"/>
                    <w:bottom w:val="none" w:sz="0" w:space="0" w:color="auto"/>
                    <w:right w:val="none" w:sz="0" w:space="0" w:color="auto"/>
                  </w:divBdr>
                  <w:divsChild>
                    <w:div w:id="2023507155">
                      <w:marLeft w:val="0"/>
                      <w:marRight w:val="0"/>
                      <w:marTop w:val="0"/>
                      <w:marBottom w:val="0"/>
                      <w:divBdr>
                        <w:top w:val="none" w:sz="0" w:space="0" w:color="auto"/>
                        <w:left w:val="none" w:sz="0" w:space="0" w:color="auto"/>
                        <w:bottom w:val="none" w:sz="0" w:space="0" w:color="auto"/>
                        <w:right w:val="none" w:sz="0" w:space="0" w:color="auto"/>
                      </w:divBdr>
                      <w:divsChild>
                        <w:div w:id="2023507158">
                          <w:marLeft w:val="0"/>
                          <w:marRight w:val="0"/>
                          <w:marTop w:val="0"/>
                          <w:marBottom w:val="0"/>
                          <w:divBdr>
                            <w:top w:val="none" w:sz="0" w:space="0" w:color="auto"/>
                            <w:left w:val="none" w:sz="0" w:space="0" w:color="auto"/>
                            <w:bottom w:val="none" w:sz="0" w:space="0" w:color="auto"/>
                            <w:right w:val="none" w:sz="0" w:space="0" w:color="auto"/>
                          </w:divBdr>
                          <w:divsChild>
                            <w:div w:id="2023507197">
                              <w:marLeft w:val="0"/>
                              <w:marRight w:val="0"/>
                              <w:marTop w:val="0"/>
                              <w:marBottom w:val="0"/>
                              <w:divBdr>
                                <w:top w:val="none" w:sz="0" w:space="0" w:color="auto"/>
                                <w:left w:val="none" w:sz="0" w:space="0" w:color="auto"/>
                                <w:bottom w:val="none" w:sz="0" w:space="0" w:color="auto"/>
                                <w:right w:val="none" w:sz="0" w:space="0" w:color="auto"/>
                              </w:divBdr>
                              <w:divsChild>
                                <w:div w:id="2023507112">
                                  <w:marLeft w:val="0"/>
                                  <w:marRight w:val="0"/>
                                  <w:marTop w:val="0"/>
                                  <w:marBottom w:val="0"/>
                                  <w:divBdr>
                                    <w:top w:val="none" w:sz="0" w:space="0" w:color="auto"/>
                                    <w:left w:val="none" w:sz="0" w:space="0" w:color="auto"/>
                                    <w:bottom w:val="none" w:sz="0" w:space="0" w:color="auto"/>
                                    <w:right w:val="none" w:sz="0" w:space="0" w:color="auto"/>
                                  </w:divBdr>
                                  <w:divsChild>
                                    <w:div w:id="2023507117">
                                      <w:marLeft w:val="0"/>
                                      <w:marRight w:val="0"/>
                                      <w:marTop w:val="0"/>
                                      <w:marBottom w:val="0"/>
                                      <w:divBdr>
                                        <w:top w:val="none" w:sz="0" w:space="0" w:color="auto"/>
                                        <w:left w:val="none" w:sz="0" w:space="0" w:color="auto"/>
                                        <w:bottom w:val="none" w:sz="0" w:space="0" w:color="auto"/>
                                        <w:right w:val="none" w:sz="0" w:space="0" w:color="auto"/>
                                      </w:divBdr>
                                      <w:divsChild>
                                        <w:div w:id="2023507149">
                                          <w:marLeft w:val="0"/>
                                          <w:marRight w:val="0"/>
                                          <w:marTop w:val="0"/>
                                          <w:marBottom w:val="0"/>
                                          <w:divBdr>
                                            <w:top w:val="none" w:sz="0" w:space="0" w:color="auto"/>
                                            <w:left w:val="none" w:sz="0" w:space="0" w:color="auto"/>
                                            <w:bottom w:val="none" w:sz="0" w:space="0" w:color="auto"/>
                                            <w:right w:val="none" w:sz="0" w:space="0" w:color="auto"/>
                                          </w:divBdr>
                                          <w:divsChild>
                                            <w:div w:id="2023507204">
                                              <w:marLeft w:val="0"/>
                                              <w:marRight w:val="0"/>
                                              <w:marTop w:val="0"/>
                                              <w:marBottom w:val="0"/>
                                              <w:divBdr>
                                                <w:top w:val="none" w:sz="0" w:space="0" w:color="auto"/>
                                                <w:left w:val="none" w:sz="0" w:space="0" w:color="auto"/>
                                                <w:bottom w:val="none" w:sz="0" w:space="0" w:color="auto"/>
                                                <w:right w:val="none" w:sz="0" w:space="0" w:color="auto"/>
                                              </w:divBdr>
                                              <w:divsChild>
                                                <w:div w:id="2023507166">
                                                  <w:marLeft w:val="0"/>
                                                  <w:marRight w:val="0"/>
                                                  <w:marTop w:val="0"/>
                                                  <w:marBottom w:val="0"/>
                                                  <w:divBdr>
                                                    <w:top w:val="none" w:sz="0" w:space="0" w:color="auto"/>
                                                    <w:left w:val="none" w:sz="0" w:space="0" w:color="auto"/>
                                                    <w:bottom w:val="none" w:sz="0" w:space="0" w:color="auto"/>
                                                    <w:right w:val="none" w:sz="0" w:space="0" w:color="auto"/>
                                                  </w:divBdr>
                                                  <w:divsChild>
                                                    <w:div w:id="2023507124">
                                                      <w:marLeft w:val="0"/>
                                                      <w:marRight w:val="0"/>
                                                      <w:marTop w:val="0"/>
                                                      <w:marBottom w:val="0"/>
                                                      <w:divBdr>
                                                        <w:top w:val="none" w:sz="0" w:space="0" w:color="auto"/>
                                                        <w:left w:val="none" w:sz="0" w:space="0" w:color="auto"/>
                                                        <w:bottom w:val="none" w:sz="0" w:space="0" w:color="auto"/>
                                                        <w:right w:val="none" w:sz="0" w:space="0" w:color="auto"/>
                                                      </w:divBdr>
                                                      <w:divsChild>
                                                        <w:div w:id="20235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507144">
      <w:marLeft w:val="0"/>
      <w:marRight w:val="0"/>
      <w:marTop w:val="0"/>
      <w:marBottom w:val="0"/>
      <w:divBdr>
        <w:top w:val="none" w:sz="0" w:space="0" w:color="auto"/>
        <w:left w:val="none" w:sz="0" w:space="0" w:color="auto"/>
        <w:bottom w:val="none" w:sz="0" w:space="0" w:color="auto"/>
        <w:right w:val="none" w:sz="0" w:space="0" w:color="auto"/>
      </w:divBdr>
      <w:divsChild>
        <w:div w:id="2023507174">
          <w:marLeft w:val="0"/>
          <w:marRight w:val="0"/>
          <w:marTop w:val="0"/>
          <w:marBottom w:val="0"/>
          <w:divBdr>
            <w:top w:val="none" w:sz="0" w:space="0" w:color="auto"/>
            <w:left w:val="none" w:sz="0" w:space="0" w:color="auto"/>
            <w:bottom w:val="none" w:sz="0" w:space="0" w:color="auto"/>
            <w:right w:val="none" w:sz="0" w:space="0" w:color="auto"/>
          </w:divBdr>
          <w:divsChild>
            <w:div w:id="2023507202">
              <w:marLeft w:val="0"/>
              <w:marRight w:val="0"/>
              <w:marTop w:val="0"/>
              <w:marBottom w:val="0"/>
              <w:divBdr>
                <w:top w:val="none" w:sz="0" w:space="0" w:color="auto"/>
                <w:left w:val="none" w:sz="0" w:space="0" w:color="auto"/>
                <w:bottom w:val="none" w:sz="0" w:space="0" w:color="auto"/>
                <w:right w:val="none" w:sz="0" w:space="0" w:color="auto"/>
              </w:divBdr>
              <w:divsChild>
                <w:div w:id="2023507167">
                  <w:marLeft w:val="0"/>
                  <w:marRight w:val="0"/>
                  <w:marTop w:val="0"/>
                  <w:marBottom w:val="0"/>
                  <w:divBdr>
                    <w:top w:val="none" w:sz="0" w:space="0" w:color="auto"/>
                    <w:left w:val="none" w:sz="0" w:space="0" w:color="auto"/>
                    <w:bottom w:val="none" w:sz="0" w:space="0" w:color="auto"/>
                    <w:right w:val="none" w:sz="0" w:space="0" w:color="auto"/>
                  </w:divBdr>
                  <w:divsChild>
                    <w:div w:id="2023507159">
                      <w:marLeft w:val="0"/>
                      <w:marRight w:val="0"/>
                      <w:marTop w:val="0"/>
                      <w:marBottom w:val="0"/>
                      <w:divBdr>
                        <w:top w:val="none" w:sz="0" w:space="0" w:color="auto"/>
                        <w:left w:val="none" w:sz="0" w:space="0" w:color="auto"/>
                        <w:bottom w:val="none" w:sz="0" w:space="0" w:color="auto"/>
                        <w:right w:val="none" w:sz="0" w:space="0" w:color="auto"/>
                      </w:divBdr>
                      <w:divsChild>
                        <w:div w:id="2023507171">
                          <w:marLeft w:val="0"/>
                          <w:marRight w:val="0"/>
                          <w:marTop w:val="0"/>
                          <w:marBottom w:val="0"/>
                          <w:divBdr>
                            <w:top w:val="none" w:sz="0" w:space="0" w:color="auto"/>
                            <w:left w:val="none" w:sz="0" w:space="0" w:color="auto"/>
                            <w:bottom w:val="none" w:sz="0" w:space="0" w:color="auto"/>
                            <w:right w:val="none" w:sz="0" w:space="0" w:color="auto"/>
                          </w:divBdr>
                          <w:divsChild>
                            <w:div w:id="2023507142">
                              <w:marLeft w:val="0"/>
                              <w:marRight w:val="0"/>
                              <w:marTop w:val="0"/>
                              <w:marBottom w:val="0"/>
                              <w:divBdr>
                                <w:top w:val="none" w:sz="0" w:space="0" w:color="auto"/>
                                <w:left w:val="none" w:sz="0" w:space="0" w:color="auto"/>
                                <w:bottom w:val="none" w:sz="0" w:space="0" w:color="auto"/>
                                <w:right w:val="none" w:sz="0" w:space="0" w:color="auto"/>
                              </w:divBdr>
                              <w:divsChild>
                                <w:div w:id="2023507186">
                                  <w:marLeft w:val="0"/>
                                  <w:marRight w:val="0"/>
                                  <w:marTop w:val="0"/>
                                  <w:marBottom w:val="0"/>
                                  <w:divBdr>
                                    <w:top w:val="none" w:sz="0" w:space="0" w:color="auto"/>
                                    <w:left w:val="none" w:sz="0" w:space="0" w:color="auto"/>
                                    <w:bottom w:val="none" w:sz="0" w:space="0" w:color="auto"/>
                                    <w:right w:val="none" w:sz="0" w:space="0" w:color="auto"/>
                                  </w:divBdr>
                                  <w:divsChild>
                                    <w:div w:id="2023507206">
                                      <w:marLeft w:val="0"/>
                                      <w:marRight w:val="0"/>
                                      <w:marTop w:val="0"/>
                                      <w:marBottom w:val="0"/>
                                      <w:divBdr>
                                        <w:top w:val="none" w:sz="0" w:space="0" w:color="auto"/>
                                        <w:left w:val="none" w:sz="0" w:space="0" w:color="auto"/>
                                        <w:bottom w:val="none" w:sz="0" w:space="0" w:color="auto"/>
                                        <w:right w:val="none" w:sz="0" w:space="0" w:color="auto"/>
                                      </w:divBdr>
                                      <w:divsChild>
                                        <w:div w:id="2023507184">
                                          <w:marLeft w:val="0"/>
                                          <w:marRight w:val="0"/>
                                          <w:marTop w:val="0"/>
                                          <w:marBottom w:val="0"/>
                                          <w:divBdr>
                                            <w:top w:val="none" w:sz="0" w:space="0" w:color="auto"/>
                                            <w:left w:val="none" w:sz="0" w:space="0" w:color="auto"/>
                                            <w:bottom w:val="none" w:sz="0" w:space="0" w:color="auto"/>
                                            <w:right w:val="none" w:sz="0" w:space="0" w:color="auto"/>
                                          </w:divBdr>
                                          <w:divsChild>
                                            <w:div w:id="2023507138">
                                              <w:marLeft w:val="0"/>
                                              <w:marRight w:val="0"/>
                                              <w:marTop w:val="0"/>
                                              <w:marBottom w:val="0"/>
                                              <w:divBdr>
                                                <w:top w:val="none" w:sz="0" w:space="0" w:color="auto"/>
                                                <w:left w:val="none" w:sz="0" w:space="0" w:color="auto"/>
                                                <w:bottom w:val="none" w:sz="0" w:space="0" w:color="auto"/>
                                                <w:right w:val="none" w:sz="0" w:space="0" w:color="auto"/>
                                              </w:divBdr>
                                              <w:divsChild>
                                                <w:div w:id="2023507176">
                                                  <w:marLeft w:val="0"/>
                                                  <w:marRight w:val="0"/>
                                                  <w:marTop w:val="0"/>
                                                  <w:marBottom w:val="0"/>
                                                  <w:divBdr>
                                                    <w:top w:val="none" w:sz="0" w:space="0" w:color="auto"/>
                                                    <w:left w:val="none" w:sz="0" w:space="0" w:color="auto"/>
                                                    <w:bottom w:val="none" w:sz="0" w:space="0" w:color="auto"/>
                                                    <w:right w:val="none" w:sz="0" w:space="0" w:color="auto"/>
                                                  </w:divBdr>
                                                  <w:divsChild>
                                                    <w:div w:id="2023507146">
                                                      <w:marLeft w:val="0"/>
                                                      <w:marRight w:val="0"/>
                                                      <w:marTop w:val="0"/>
                                                      <w:marBottom w:val="0"/>
                                                      <w:divBdr>
                                                        <w:top w:val="none" w:sz="0" w:space="0" w:color="auto"/>
                                                        <w:left w:val="none" w:sz="0" w:space="0" w:color="auto"/>
                                                        <w:bottom w:val="none" w:sz="0" w:space="0" w:color="auto"/>
                                                        <w:right w:val="none" w:sz="0" w:space="0" w:color="auto"/>
                                                      </w:divBdr>
                                                      <w:divsChild>
                                                        <w:div w:id="20235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507162">
      <w:marLeft w:val="0"/>
      <w:marRight w:val="0"/>
      <w:marTop w:val="0"/>
      <w:marBottom w:val="0"/>
      <w:divBdr>
        <w:top w:val="none" w:sz="0" w:space="0" w:color="auto"/>
        <w:left w:val="none" w:sz="0" w:space="0" w:color="auto"/>
        <w:bottom w:val="none" w:sz="0" w:space="0" w:color="auto"/>
        <w:right w:val="none" w:sz="0" w:space="0" w:color="auto"/>
      </w:divBdr>
      <w:divsChild>
        <w:div w:id="2023507179">
          <w:marLeft w:val="0"/>
          <w:marRight w:val="0"/>
          <w:marTop w:val="0"/>
          <w:marBottom w:val="0"/>
          <w:divBdr>
            <w:top w:val="none" w:sz="0" w:space="0" w:color="auto"/>
            <w:left w:val="none" w:sz="0" w:space="0" w:color="auto"/>
            <w:bottom w:val="none" w:sz="0" w:space="0" w:color="auto"/>
            <w:right w:val="none" w:sz="0" w:space="0" w:color="auto"/>
          </w:divBdr>
          <w:divsChild>
            <w:div w:id="2023507125">
              <w:marLeft w:val="0"/>
              <w:marRight w:val="0"/>
              <w:marTop w:val="0"/>
              <w:marBottom w:val="0"/>
              <w:divBdr>
                <w:top w:val="none" w:sz="0" w:space="0" w:color="auto"/>
                <w:left w:val="none" w:sz="0" w:space="0" w:color="auto"/>
                <w:bottom w:val="none" w:sz="0" w:space="0" w:color="auto"/>
                <w:right w:val="none" w:sz="0" w:space="0" w:color="auto"/>
              </w:divBdr>
              <w:divsChild>
                <w:div w:id="2023507150">
                  <w:marLeft w:val="0"/>
                  <w:marRight w:val="0"/>
                  <w:marTop w:val="0"/>
                  <w:marBottom w:val="0"/>
                  <w:divBdr>
                    <w:top w:val="none" w:sz="0" w:space="0" w:color="auto"/>
                    <w:left w:val="none" w:sz="0" w:space="0" w:color="auto"/>
                    <w:bottom w:val="none" w:sz="0" w:space="0" w:color="auto"/>
                    <w:right w:val="none" w:sz="0" w:space="0" w:color="auto"/>
                  </w:divBdr>
                  <w:divsChild>
                    <w:div w:id="2023507135">
                      <w:marLeft w:val="0"/>
                      <w:marRight w:val="0"/>
                      <w:marTop w:val="0"/>
                      <w:marBottom w:val="0"/>
                      <w:divBdr>
                        <w:top w:val="none" w:sz="0" w:space="0" w:color="auto"/>
                        <w:left w:val="none" w:sz="0" w:space="0" w:color="auto"/>
                        <w:bottom w:val="none" w:sz="0" w:space="0" w:color="auto"/>
                        <w:right w:val="none" w:sz="0" w:space="0" w:color="auto"/>
                      </w:divBdr>
                      <w:divsChild>
                        <w:div w:id="2023507115">
                          <w:marLeft w:val="0"/>
                          <w:marRight w:val="0"/>
                          <w:marTop w:val="0"/>
                          <w:marBottom w:val="0"/>
                          <w:divBdr>
                            <w:top w:val="none" w:sz="0" w:space="0" w:color="auto"/>
                            <w:left w:val="none" w:sz="0" w:space="0" w:color="auto"/>
                            <w:bottom w:val="none" w:sz="0" w:space="0" w:color="auto"/>
                            <w:right w:val="none" w:sz="0" w:space="0" w:color="auto"/>
                          </w:divBdr>
                          <w:divsChild>
                            <w:div w:id="2023507121">
                              <w:marLeft w:val="0"/>
                              <w:marRight w:val="0"/>
                              <w:marTop w:val="0"/>
                              <w:marBottom w:val="0"/>
                              <w:divBdr>
                                <w:top w:val="none" w:sz="0" w:space="0" w:color="auto"/>
                                <w:left w:val="none" w:sz="0" w:space="0" w:color="auto"/>
                                <w:bottom w:val="none" w:sz="0" w:space="0" w:color="auto"/>
                                <w:right w:val="none" w:sz="0" w:space="0" w:color="auto"/>
                              </w:divBdr>
                              <w:divsChild>
                                <w:div w:id="2023507132">
                                  <w:marLeft w:val="0"/>
                                  <w:marRight w:val="0"/>
                                  <w:marTop w:val="0"/>
                                  <w:marBottom w:val="0"/>
                                  <w:divBdr>
                                    <w:top w:val="none" w:sz="0" w:space="0" w:color="auto"/>
                                    <w:left w:val="none" w:sz="0" w:space="0" w:color="auto"/>
                                    <w:bottom w:val="none" w:sz="0" w:space="0" w:color="auto"/>
                                    <w:right w:val="none" w:sz="0" w:space="0" w:color="auto"/>
                                  </w:divBdr>
                                  <w:divsChild>
                                    <w:div w:id="2023507153">
                                      <w:marLeft w:val="0"/>
                                      <w:marRight w:val="0"/>
                                      <w:marTop w:val="0"/>
                                      <w:marBottom w:val="0"/>
                                      <w:divBdr>
                                        <w:top w:val="none" w:sz="0" w:space="0" w:color="auto"/>
                                        <w:left w:val="none" w:sz="0" w:space="0" w:color="auto"/>
                                        <w:bottom w:val="none" w:sz="0" w:space="0" w:color="auto"/>
                                        <w:right w:val="none" w:sz="0" w:space="0" w:color="auto"/>
                                      </w:divBdr>
                                      <w:divsChild>
                                        <w:div w:id="2023507118">
                                          <w:marLeft w:val="0"/>
                                          <w:marRight w:val="0"/>
                                          <w:marTop w:val="0"/>
                                          <w:marBottom w:val="0"/>
                                          <w:divBdr>
                                            <w:top w:val="none" w:sz="0" w:space="0" w:color="auto"/>
                                            <w:left w:val="none" w:sz="0" w:space="0" w:color="auto"/>
                                            <w:bottom w:val="none" w:sz="0" w:space="0" w:color="auto"/>
                                            <w:right w:val="none" w:sz="0" w:space="0" w:color="auto"/>
                                          </w:divBdr>
                                          <w:divsChild>
                                            <w:div w:id="2023507120">
                                              <w:marLeft w:val="0"/>
                                              <w:marRight w:val="0"/>
                                              <w:marTop w:val="0"/>
                                              <w:marBottom w:val="0"/>
                                              <w:divBdr>
                                                <w:top w:val="none" w:sz="0" w:space="0" w:color="auto"/>
                                                <w:left w:val="none" w:sz="0" w:space="0" w:color="auto"/>
                                                <w:bottom w:val="none" w:sz="0" w:space="0" w:color="auto"/>
                                                <w:right w:val="none" w:sz="0" w:space="0" w:color="auto"/>
                                              </w:divBdr>
                                              <w:divsChild>
                                                <w:div w:id="2023507163">
                                                  <w:marLeft w:val="0"/>
                                                  <w:marRight w:val="0"/>
                                                  <w:marTop w:val="0"/>
                                                  <w:marBottom w:val="0"/>
                                                  <w:divBdr>
                                                    <w:top w:val="none" w:sz="0" w:space="0" w:color="auto"/>
                                                    <w:left w:val="none" w:sz="0" w:space="0" w:color="auto"/>
                                                    <w:bottom w:val="none" w:sz="0" w:space="0" w:color="auto"/>
                                                    <w:right w:val="none" w:sz="0" w:space="0" w:color="auto"/>
                                                  </w:divBdr>
                                                  <w:divsChild>
                                                    <w:div w:id="2023507195">
                                                      <w:marLeft w:val="0"/>
                                                      <w:marRight w:val="0"/>
                                                      <w:marTop w:val="0"/>
                                                      <w:marBottom w:val="0"/>
                                                      <w:divBdr>
                                                        <w:top w:val="none" w:sz="0" w:space="0" w:color="auto"/>
                                                        <w:left w:val="none" w:sz="0" w:space="0" w:color="auto"/>
                                                        <w:bottom w:val="none" w:sz="0" w:space="0" w:color="auto"/>
                                                        <w:right w:val="none" w:sz="0" w:space="0" w:color="auto"/>
                                                      </w:divBdr>
                                                      <w:divsChild>
                                                        <w:div w:id="20235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507192">
      <w:marLeft w:val="0"/>
      <w:marRight w:val="0"/>
      <w:marTop w:val="0"/>
      <w:marBottom w:val="0"/>
      <w:divBdr>
        <w:top w:val="none" w:sz="0" w:space="0" w:color="auto"/>
        <w:left w:val="none" w:sz="0" w:space="0" w:color="auto"/>
        <w:bottom w:val="none" w:sz="0" w:space="0" w:color="auto"/>
        <w:right w:val="none" w:sz="0" w:space="0" w:color="auto"/>
      </w:divBdr>
      <w:divsChild>
        <w:div w:id="2023507107">
          <w:marLeft w:val="0"/>
          <w:marRight w:val="0"/>
          <w:marTop w:val="0"/>
          <w:marBottom w:val="0"/>
          <w:divBdr>
            <w:top w:val="none" w:sz="0" w:space="0" w:color="auto"/>
            <w:left w:val="none" w:sz="0" w:space="0" w:color="auto"/>
            <w:bottom w:val="none" w:sz="0" w:space="0" w:color="auto"/>
            <w:right w:val="none" w:sz="0" w:space="0" w:color="auto"/>
          </w:divBdr>
          <w:divsChild>
            <w:div w:id="2023507102">
              <w:marLeft w:val="0"/>
              <w:marRight w:val="0"/>
              <w:marTop w:val="0"/>
              <w:marBottom w:val="0"/>
              <w:divBdr>
                <w:top w:val="none" w:sz="0" w:space="0" w:color="auto"/>
                <w:left w:val="none" w:sz="0" w:space="0" w:color="auto"/>
                <w:bottom w:val="none" w:sz="0" w:space="0" w:color="auto"/>
                <w:right w:val="none" w:sz="0" w:space="0" w:color="auto"/>
              </w:divBdr>
              <w:divsChild>
                <w:div w:id="2023507103">
                  <w:marLeft w:val="0"/>
                  <w:marRight w:val="0"/>
                  <w:marTop w:val="0"/>
                  <w:marBottom w:val="0"/>
                  <w:divBdr>
                    <w:top w:val="none" w:sz="0" w:space="0" w:color="auto"/>
                    <w:left w:val="none" w:sz="0" w:space="0" w:color="auto"/>
                    <w:bottom w:val="none" w:sz="0" w:space="0" w:color="auto"/>
                    <w:right w:val="none" w:sz="0" w:space="0" w:color="auto"/>
                  </w:divBdr>
                  <w:divsChild>
                    <w:div w:id="2023507140">
                      <w:marLeft w:val="0"/>
                      <w:marRight w:val="0"/>
                      <w:marTop w:val="0"/>
                      <w:marBottom w:val="0"/>
                      <w:divBdr>
                        <w:top w:val="none" w:sz="0" w:space="0" w:color="auto"/>
                        <w:left w:val="none" w:sz="0" w:space="0" w:color="auto"/>
                        <w:bottom w:val="none" w:sz="0" w:space="0" w:color="auto"/>
                        <w:right w:val="none" w:sz="0" w:space="0" w:color="auto"/>
                      </w:divBdr>
                      <w:divsChild>
                        <w:div w:id="2023507154">
                          <w:marLeft w:val="0"/>
                          <w:marRight w:val="0"/>
                          <w:marTop w:val="0"/>
                          <w:marBottom w:val="0"/>
                          <w:divBdr>
                            <w:top w:val="none" w:sz="0" w:space="0" w:color="auto"/>
                            <w:left w:val="none" w:sz="0" w:space="0" w:color="auto"/>
                            <w:bottom w:val="none" w:sz="0" w:space="0" w:color="auto"/>
                            <w:right w:val="none" w:sz="0" w:space="0" w:color="auto"/>
                          </w:divBdr>
                          <w:divsChild>
                            <w:div w:id="2023507212">
                              <w:marLeft w:val="0"/>
                              <w:marRight w:val="0"/>
                              <w:marTop w:val="0"/>
                              <w:marBottom w:val="0"/>
                              <w:divBdr>
                                <w:top w:val="none" w:sz="0" w:space="0" w:color="auto"/>
                                <w:left w:val="none" w:sz="0" w:space="0" w:color="auto"/>
                                <w:bottom w:val="none" w:sz="0" w:space="0" w:color="auto"/>
                                <w:right w:val="none" w:sz="0" w:space="0" w:color="auto"/>
                              </w:divBdr>
                              <w:divsChild>
                                <w:div w:id="2023507164">
                                  <w:marLeft w:val="0"/>
                                  <w:marRight w:val="0"/>
                                  <w:marTop w:val="0"/>
                                  <w:marBottom w:val="0"/>
                                  <w:divBdr>
                                    <w:top w:val="none" w:sz="0" w:space="0" w:color="auto"/>
                                    <w:left w:val="none" w:sz="0" w:space="0" w:color="auto"/>
                                    <w:bottom w:val="none" w:sz="0" w:space="0" w:color="auto"/>
                                    <w:right w:val="none" w:sz="0" w:space="0" w:color="auto"/>
                                  </w:divBdr>
                                  <w:divsChild>
                                    <w:div w:id="2023507194">
                                      <w:marLeft w:val="0"/>
                                      <w:marRight w:val="0"/>
                                      <w:marTop w:val="0"/>
                                      <w:marBottom w:val="0"/>
                                      <w:divBdr>
                                        <w:top w:val="none" w:sz="0" w:space="0" w:color="auto"/>
                                        <w:left w:val="none" w:sz="0" w:space="0" w:color="auto"/>
                                        <w:bottom w:val="none" w:sz="0" w:space="0" w:color="auto"/>
                                        <w:right w:val="none" w:sz="0" w:space="0" w:color="auto"/>
                                      </w:divBdr>
                                      <w:divsChild>
                                        <w:div w:id="2023507211">
                                          <w:marLeft w:val="0"/>
                                          <w:marRight w:val="0"/>
                                          <w:marTop w:val="0"/>
                                          <w:marBottom w:val="0"/>
                                          <w:divBdr>
                                            <w:top w:val="none" w:sz="0" w:space="0" w:color="auto"/>
                                            <w:left w:val="none" w:sz="0" w:space="0" w:color="auto"/>
                                            <w:bottom w:val="none" w:sz="0" w:space="0" w:color="auto"/>
                                            <w:right w:val="none" w:sz="0" w:space="0" w:color="auto"/>
                                          </w:divBdr>
                                          <w:divsChild>
                                            <w:div w:id="2023507185">
                                              <w:marLeft w:val="0"/>
                                              <w:marRight w:val="0"/>
                                              <w:marTop w:val="0"/>
                                              <w:marBottom w:val="0"/>
                                              <w:divBdr>
                                                <w:top w:val="none" w:sz="0" w:space="0" w:color="auto"/>
                                                <w:left w:val="none" w:sz="0" w:space="0" w:color="auto"/>
                                                <w:bottom w:val="none" w:sz="0" w:space="0" w:color="auto"/>
                                                <w:right w:val="none" w:sz="0" w:space="0" w:color="auto"/>
                                              </w:divBdr>
                                              <w:divsChild>
                                                <w:div w:id="2023507189">
                                                  <w:marLeft w:val="0"/>
                                                  <w:marRight w:val="0"/>
                                                  <w:marTop w:val="0"/>
                                                  <w:marBottom w:val="0"/>
                                                  <w:divBdr>
                                                    <w:top w:val="none" w:sz="0" w:space="0" w:color="auto"/>
                                                    <w:left w:val="none" w:sz="0" w:space="0" w:color="auto"/>
                                                    <w:bottom w:val="none" w:sz="0" w:space="0" w:color="auto"/>
                                                    <w:right w:val="none" w:sz="0" w:space="0" w:color="auto"/>
                                                  </w:divBdr>
                                                  <w:divsChild>
                                                    <w:div w:id="2023507191">
                                                      <w:marLeft w:val="0"/>
                                                      <w:marRight w:val="0"/>
                                                      <w:marTop w:val="0"/>
                                                      <w:marBottom w:val="0"/>
                                                      <w:divBdr>
                                                        <w:top w:val="none" w:sz="0" w:space="0" w:color="auto"/>
                                                        <w:left w:val="none" w:sz="0" w:space="0" w:color="auto"/>
                                                        <w:bottom w:val="none" w:sz="0" w:space="0" w:color="auto"/>
                                                        <w:right w:val="none" w:sz="0" w:space="0" w:color="auto"/>
                                                      </w:divBdr>
                                                      <w:divsChild>
                                                        <w:div w:id="20235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507196">
      <w:marLeft w:val="0"/>
      <w:marRight w:val="0"/>
      <w:marTop w:val="0"/>
      <w:marBottom w:val="0"/>
      <w:divBdr>
        <w:top w:val="none" w:sz="0" w:space="0" w:color="auto"/>
        <w:left w:val="none" w:sz="0" w:space="0" w:color="auto"/>
        <w:bottom w:val="none" w:sz="0" w:space="0" w:color="auto"/>
        <w:right w:val="none" w:sz="0" w:space="0" w:color="auto"/>
      </w:divBdr>
      <w:divsChild>
        <w:div w:id="2023507193">
          <w:marLeft w:val="0"/>
          <w:marRight w:val="0"/>
          <w:marTop w:val="0"/>
          <w:marBottom w:val="0"/>
          <w:divBdr>
            <w:top w:val="none" w:sz="0" w:space="0" w:color="auto"/>
            <w:left w:val="none" w:sz="0" w:space="0" w:color="auto"/>
            <w:bottom w:val="none" w:sz="0" w:space="0" w:color="auto"/>
            <w:right w:val="none" w:sz="0" w:space="0" w:color="auto"/>
          </w:divBdr>
          <w:divsChild>
            <w:div w:id="2023507168">
              <w:marLeft w:val="0"/>
              <w:marRight w:val="0"/>
              <w:marTop w:val="0"/>
              <w:marBottom w:val="0"/>
              <w:divBdr>
                <w:top w:val="none" w:sz="0" w:space="0" w:color="auto"/>
                <w:left w:val="none" w:sz="0" w:space="0" w:color="auto"/>
                <w:bottom w:val="none" w:sz="0" w:space="0" w:color="auto"/>
                <w:right w:val="none" w:sz="0" w:space="0" w:color="auto"/>
              </w:divBdr>
              <w:divsChild>
                <w:div w:id="2023507210">
                  <w:marLeft w:val="0"/>
                  <w:marRight w:val="0"/>
                  <w:marTop w:val="0"/>
                  <w:marBottom w:val="0"/>
                  <w:divBdr>
                    <w:top w:val="none" w:sz="0" w:space="0" w:color="auto"/>
                    <w:left w:val="none" w:sz="0" w:space="0" w:color="auto"/>
                    <w:bottom w:val="none" w:sz="0" w:space="0" w:color="auto"/>
                    <w:right w:val="none" w:sz="0" w:space="0" w:color="auto"/>
                  </w:divBdr>
                  <w:divsChild>
                    <w:div w:id="2023507200">
                      <w:marLeft w:val="0"/>
                      <w:marRight w:val="0"/>
                      <w:marTop w:val="0"/>
                      <w:marBottom w:val="0"/>
                      <w:divBdr>
                        <w:top w:val="none" w:sz="0" w:space="0" w:color="auto"/>
                        <w:left w:val="none" w:sz="0" w:space="0" w:color="auto"/>
                        <w:bottom w:val="none" w:sz="0" w:space="0" w:color="auto"/>
                        <w:right w:val="none" w:sz="0" w:space="0" w:color="auto"/>
                      </w:divBdr>
                      <w:divsChild>
                        <w:div w:id="2023507133">
                          <w:marLeft w:val="0"/>
                          <w:marRight w:val="0"/>
                          <w:marTop w:val="0"/>
                          <w:marBottom w:val="0"/>
                          <w:divBdr>
                            <w:top w:val="none" w:sz="0" w:space="0" w:color="auto"/>
                            <w:left w:val="none" w:sz="0" w:space="0" w:color="auto"/>
                            <w:bottom w:val="none" w:sz="0" w:space="0" w:color="auto"/>
                            <w:right w:val="none" w:sz="0" w:space="0" w:color="auto"/>
                          </w:divBdr>
                          <w:divsChild>
                            <w:div w:id="2023507156">
                              <w:marLeft w:val="0"/>
                              <w:marRight w:val="0"/>
                              <w:marTop w:val="0"/>
                              <w:marBottom w:val="0"/>
                              <w:divBdr>
                                <w:top w:val="none" w:sz="0" w:space="0" w:color="auto"/>
                                <w:left w:val="none" w:sz="0" w:space="0" w:color="auto"/>
                                <w:bottom w:val="none" w:sz="0" w:space="0" w:color="auto"/>
                                <w:right w:val="none" w:sz="0" w:space="0" w:color="auto"/>
                              </w:divBdr>
                              <w:divsChild>
                                <w:div w:id="2023507178">
                                  <w:marLeft w:val="0"/>
                                  <w:marRight w:val="0"/>
                                  <w:marTop w:val="0"/>
                                  <w:marBottom w:val="0"/>
                                  <w:divBdr>
                                    <w:top w:val="none" w:sz="0" w:space="0" w:color="auto"/>
                                    <w:left w:val="none" w:sz="0" w:space="0" w:color="auto"/>
                                    <w:bottom w:val="none" w:sz="0" w:space="0" w:color="auto"/>
                                    <w:right w:val="none" w:sz="0" w:space="0" w:color="auto"/>
                                  </w:divBdr>
                                  <w:divsChild>
                                    <w:div w:id="2023507114">
                                      <w:marLeft w:val="0"/>
                                      <w:marRight w:val="0"/>
                                      <w:marTop w:val="0"/>
                                      <w:marBottom w:val="0"/>
                                      <w:divBdr>
                                        <w:top w:val="none" w:sz="0" w:space="0" w:color="auto"/>
                                        <w:left w:val="none" w:sz="0" w:space="0" w:color="auto"/>
                                        <w:bottom w:val="none" w:sz="0" w:space="0" w:color="auto"/>
                                        <w:right w:val="none" w:sz="0" w:space="0" w:color="auto"/>
                                      </w:divBdr>
                                      <w:divsChild>
                                        <w:div w:id="2023507182">
                                          <w:marLeft w:val="0"/>
                                          <w:marRight w:val="0"/>
                                          <w:marTop w:val="0"/>
                                          <w:marBottom w:val="0"/>
                                          <w:divBdr>
                                            <w:top w:val="none" w:sz="0" w:space="0" w:color="auto"/>
                                            <w:left w:val="none" w:sz="0" w:space="0" w:color="auto"/>
                                            <w:bottom w:val="none" w:sz="0" w:space="0" w:color="auto"/>
                                            <w:right w:val="none" w:sz="0" w:space="0" w:color="auto"/>
                                          </w:divBdr>
                                          <w:divsChild>
                                            <w:div w:id="2023507137">
                                              <w:marLeft w:val="0"/>
                                              <w:marRight w:val="0"/>
                                              <w:marTop w:val="0"/>
                                              <w:marBottom w:val="0"/>
                                              <w:divBdr>
                                                <w:top w:val="none" w:sz="0" w:space="0" w:color="auto"/>
                                                <w:left w:val="none" w:sz="0" w:space="0" w:color="auto"/>
                                                <w:bottom w:val="none" w:sz="0" w:space="0" w:color="auto"/>
                                                <w:right w:val="none" w:sz="0" w:space="0" w:color="auto"/>
                                              </w:divBdr>
                                              <w:divsChild>
                                                <w:div w:id="2023507181">
                                                  <w:marLeft w:val="0"/>
                                                  <w:marRight w:val="0"/>
                                                  <w:marTop w:val="0"/>
                                                  <w:marBottom w:val="0"/>
                                                  <w:divBdr>
                                                    <w:top w:val="none" w:sz="0" w:space="0" w:color="auto"/>
                                                    <w:left w:val="none" w:sz="0" w:space="0" w:color="auto"/>
                                                    <w:bottom w:val="none" w:sz="0" w:space="0" w:color="auto"/>
                                                    <w:right w:val="none" w:sz="0" w:space="0" w:color="auto"/>
                                                  </w:divBdr>
                                                  <w:divsChild>
                                                    <w:div w:id="2023507111">
                                                      <w:marLeft w:val="0"/>
                                                      <w:marRight w:val="0"/>
                                                      <w:marTop w:val="0"/>
                                                      <w:marBottom w:val="0"/>
                                                      <w:divBdr>
                                                        <w:top w:val="none" w:sz="0" w:space="0" w:color="auto"/>
                                                        <w:left w:val="none" w:sz="0" w:space="0" w:color="auto"/>
                                                        <w:bottom w:val="none" w:sz="0" w:space="0" w:color="auto"/>
                                                        <w:right w:val="none" w:sz="0" w:space="0" w:color="auto"/>
                                                      </w:divBdr>
                                                      <w:divsChild>
                                                        <w:div w:id="20235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507199">
      <w:marLeft w:val="0"/>
      <w:marRight w:val="0"/>
      <w:marTop w:val="0"/>
      <w:marBottom w:val="0"/>
      <w:divBdr>
        <w:top w:val="none" w:sz="0" w:space="0" w:color="auto"/>
        <w:left w:val="none" w:sz="0" w:space="0" w:color="auto"/>
        <w:bottom w:val="none" w:sz="0" w:space="0" w:color="auto"/>
        <w:right w:val="none" w:sz="0" w:space="0" w:color="auto"/>
      </w:divBdr>
      <w:divsChild>
        <w:div w:id="2023507190">
          <w:marLeft w:val="0"/>
          <w:marRight w:val="0"/>
          <w:marTop w:val="0"/>
          <w:marBottom w:val="0"/>
          <w:divBdr>
            <w:top w:val="none" w:sz="0" w:space="0" w:color="auto"/>
            <w:left w:val="none" w:sz="0" w:space="0" w:color="auto"/>
            <w:bottom w:val="none" w:sz="0" w:space="0" w:color="auto"/>
            <w:right w:val="none" w:sz="0" w:space="0" w:color="auto"/>
          </w:divBdr>
          <w:divsChild>
            <w:div w:id="2023507104">
              <w:marLeft w:val="0"/>
              <w:marRight w:val="0"/>
              <w:marTop w:val="0"/>
              <w:marBottom w:val="0"/>
              <w:divBdr>
                <w:top w:val="none" w:sz="0" w:space="0" w:color="auto"/>
                <w:left w:val="none" w:sz="0" w:space="0" w:color="auto"/>
                <w:bottom w:val="none" w:sz="0" w:space="0" w:color="auto"/>
                <w:right w:val="none" w:sz="0" w:space="0" w:color="auto"/>
              </w:divBdr>
              <w:divsChild>
                <w:div w:id="2023507141">
                  <w:marLeft w:val="0"/>
                  <w:marRight w:val="0"/>
                  <w:marTop w:val="0"/>
                  <w:marBottom w:val="0"/>
                  <w:divBdr>
                    <w:top w:val="none" w:sz="0" w:space="0" w:color="auto"/>
                    <w:left w:val="none" w:sz="0" w:space="0" w:color="auto"/>
                    <w:bottom w:val="none" w:sz="0" w:space="0" w:color="auto"/>
                    <w:right w:val="none" w:sz="0" w:space="0" w:color="auto"/>
                  </w:divBdr>
                  <w:divsChild>
                    <w:div w:id="2023507148">
                      <w:marLeft w:val="0"/>
                      <w:marRight w:val="0"/>
                      <w:marTop w:val="0"/>
                      <w:marBottom w:val="0"/>
                      <w:divBdr>
                        <w:top w:val="none" w:sz="0" w:space="0" w:color="auto"/>
                        <w:left w:val="none" w:sz="0" w:space="0" w:color="auto"/>
                        <w:bottom w:val="none" w:sz="0" w:space="0" w:color="auto"/>
                        <w:right w:val="none" w:sz="0" w:space="0" w:color="auto"/>
                      </w:divBdr>
                      <w:divsChild>
                        <w:div w:id="2023507207">
                          <w:marLeft w:val="0"/>
                          <w:marRight w:val="0"/>
                          <w:marTop w:val="0"/>
                          <w:marBottom w:val="0"/>
                          <w:divBdr>
                            <w:top w:val="none" w:sz="0" w:space="0" w:color="auto"/>
                            <w:left w:val="none" w:sz="0" w:space="0" w:color="auto"/>
                            <w:bottom w:val="none" w:sz="0" w:space="0" w:color="auto"/>
                            <w:right w:val="none" w:sz="0" w:space="0" w:color="auto"/>
                          </w:divBdr>
                          <w:divsChild>
                            <w:div w:id="2023507143">
                              <w:marLeft w:val="0"/>
                              <w:marRight w:val="0"/>
                              <w:marTop w:val="0"/>
                              <w:marBottom w:val="0"/>
                              <w:divBdr>
                                <w:top w:val="none" w:sz="0" w:space="0" w:color="auto"/>
                                <w:left w:val="none" w:sz="0" w:space="0" w:color="auto"/>
                                <w:bottom w:val="none" w:sz="0" w:space="0" w:color="auto"/>
                                <w:right w:val="none" w:sz="0" w:space="0" w:color="auto"/>
                              </w:divBdr>
                              <w:divsChild>
                                <w:div w:id="2023507169">
                                  <w:marLeft w:val="0"/>
                                  <w:marRight w:val="0"/>
                                  <w:marTop w:val="0"/>
                                  <w:marBottom w:val="0"/>
                                  <w:divBdr>
                                    <w:top w:val="none" w:sz="0" w:space="0" w:color="auto"/>
                                    <w:left w:val="none" w:sz="0" w:space="0" w:color="auto"/>
                                    <w:bottom w:val="none" w:sz="0" w:space="0" w:color="auto"/>
                                    <w:right w:val="none" w:sz="0" w:space="0" w:color="auto"/>
                                  </w:divBdr>
                                  <w:divsChild>
                                    <w:div w:id="2023507106">
                                      <w:marLeft w:val="0"/>
                                      <w:marRight w:val="0"/>
                                      <w:marTop w:val="0"/>
                                      <w:marBottom w:val="0"/>
                                      <w:divBdr>
                                        <w:top w:val="none" w:sz="0" w:space="0" w:color="auto"/>
                                        <w:left w:val="none" w:sz="0" w:space="0" w:color="auto"/>
                                        <w:bottom w:val="none" w:sz="0" w:space="0" w:color="auto"/>
                                        <w:right w:val="none" w:sz="0" w:space="0" w:color="auto"/>
                                      </w:divBdr>
                                      <w:divsChild>
                                        <w:div w:id="2023507116">
                                          <w:marLeft w:val="0"/>
                                          <w:marRight w:val="0"/>
                                          <w:marTop w:val="0"/>
                                          <w:marBottom w:val="0"/>
                                          <w:divBdr>
                                            <w:top w:val="none" w:sz="0" w:space="0" w:color="auto"/>
                                            <w:left w:val="none" w:sz="0" w:space="0" w:color="auto"/>
                                            <w:bottom w:val="none" w:sz="0" w:space="0" w:color="auto"/>
                                            <w:right w:val="none" w:sz="0" w:space="0" w:color="auto"/>
                                          </w:divBdr>
                                          <w:divsChild>
                                            <w:div w:id="2023507165">
                                              <w:marLeft w:val="0"/>
                                              <w:marRight w:val="0"/>
                                              <w:marTop w:val="0"/>
                                              <w:marBottom w:val="0"/>
                                              <w:divBdr>
                                                <w:top w:val="none" w:sz="0" w:space="0" w:color="auto"/>
                                                <w:left w:val="none" w:sz="0" w:space="0" w:color="auto"/>
                                                <w:bottom w:val="none" w:sz="0" w:space="0" w:color="auto"/>
                                                <w:right w:val="none" w:sz="0" w:space="0" w:color="auto"/>
                                              </w:divBdr>
                                              <w:divsChild>
                                                <w:div w:id="2023507205">
                                                  <w:marLeft w:val="0"/>
                                                  <w:marRight w:val="0"/>
                                                  <w:marTop w:val="0"/>
                                                  <w:marBottom w:val="0"/>
                                                  <w:divBdr>
                                                    <w:top w:val="none" w:sz="0" w:space="0" w:color="auto"/>
                                                    <w:left w:val="none" w:sz="0" w:space="0" w:color="auto"/>
                                                    <w:bottom w:val="none" w:sz="0" w:space="0" w:color="auto"/>
                                                    <w:right w:val="none" w:sz="0" w:space="0" w:color="auto"/>
                                                  </w:divBdr>
                                                  <w:divsChild>
                                                    <w:div w:id="2023507119">
                                                      <w:marLeft w:val="0"/>
                                                      <w:marRight w:val="0"/>
                                                      <w:marTop w:val="0"/>
                                                      <w:marBottom w:val="0"/>
                                                      <w:divBdr>
                                                        <w:top w:val="none" w:sz="0" w:space="0" w:color="auto"/>
                                                        <w:left w:val="none" w:sz="0" w:space="0" w:color="auto"/>
                                                        <w:bottom w:val="none" w:sz="0" w:space="0" w:color="auto"/>
                                                        <w:right w:val="none" w:sz="0" w:space="0" w:color="auto"/>
                                                      </w:divBdr>
                                                      <w:divsChild>
                                                        <w:div w:id="20235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507213">
      <w:marLeft w:val="0"/>
      <w:marRight w:val="0"/>
      <w:marTop w:val="0"/>
      <w:marBottom w:val="0"/>
      <w:divBdr>
        <w:top w:val="none" w:sz="0" w:space="0" w:color="auto"/>
        <w:left w:val="none" w:sz="0" w:space="0" w:color="auto"/>
        <w:bottom w:val="none" w:sz="0" w:space="0" w:color="auto"/>
        <w:right w:val="none" w:sz="0" w:space="0" w:color="auto"/>
      </w:divBdr>
      <w:divsChild>
        <w:div w:id="2023507219">
          <w:marLeft w:val="0"/>
          <w:marRight w:val="0"/>
          <w:marTop w:val="0"/>
          <w:marBottom w:val="0"/>
          <w:divBdr>
            <w:top w:val="none" w:sz="0" w:space="0" w:color="auto"/>
            <w:left w:val="none" w:sz="0" w:space="0" w:color="auto"/>
            <w:bottom w:val="none" w:sz="0" w:space="0" w:color="auto"/>
            <w:right w:val="none" w:sz="0" w:space="0" w:color="auto"/>
          </w:divBdr>
        </w:div>
      </w:divsChild>
    </w:div>
    <w:div w:id="2023507215">
      <w:marLeft w:val="0"/>
      <w:marRight w:val="0"/>
      <w:marTop w:val="0"/>
      <w:marBottom w:val="0"/>
      <w:divBdr>
        <w:top w:val="none" w:sz="0" w:space="0" w:color="auto"/>
        <w:left w:val="none" w:sz="0" w:space="0" w:color="auto"/>
        <w:bottom w:val="none" w:sz="0" w:space="0" w:color="auto"/>
        <w:right w:val="none" w:sz="0" w:space="0" w:color="auto"/>
      </w:divBdr>
      <w:divsChild>
        <w:div w:id="2023507247">
          <w:marLeft w:val="0"/>
          <w:marRight w:val="0"/>
          <w:marTop w:val="0"/>
          <w:marBottom w:val="0"/>
          <w:divBdr>
            <w:top w:val="none" w:sz="0" w:space="0" w:color="auto"/>
            <w:left w:val="none" w:sz="0" w:space="0" w:color="auto"/>
            <w:bottom w:val="none" w:sz="0" w:space="0" w:color="auto"/>
            <w:right w:val="none" w:sz="0" w:space="0" w:color="auto"/>
          </w:divBdr>
        </w:div>
      </w:divsChild>
    </w:div>
    <w:div w:id="2023507216">
      <w:marLeft w:val="0"/>
      <w:marRight w:val="0"/>
      <w:marTop w:val="0"/>
      <w:marBottom w:val="0"/>
      <w:divBdr>
        <w:top w:val="none" w:sz="0" w:space="0" w:color="auto"/>
        <w:left w:val="none" w:sz="0" w:space="0" w:color="auto"/>
        <w:bottom w:val="none" w:sz="0" w:space="0" w:color="auto"/>
        <w:right w:val="none" w:sz="0" w:space="0" w:color="auto"/>
      </w:divBdr>
      <w:divsChild>
        <w:div w:id="2023507229">
          <w:marLeft w:val="0"/>
          <w:marRight w:val="0"/>
          <w:marTop w:val="0"/>
          <w:marBottom w:val="0"/>
          <w:divBdr>
            <w:top w:val="none" w:sz="0" w:space="0" w:color="auto"/>
            <w:left w:val="none" w:sz="0" w:space="0" w:color="auto"/>
            <w:bottom w:val="none" w:sz="0" w:space="0" w:color="auto"/>
            <w:right w:val="none" w:sz="0" w:space="0" w:color="auto"/>
          </w:divBdr>
        </w:div>
        <w:div w:id="2023507258">
          <w:marLeft w:val="0"/>
          <w:marRight w:val="0"/>
          <w:marTop w:val="0"/>
          <w:marBottom w:val="0"/>
          <w:divBdr>
            <w:top w:val="none" w:sz="0" w:space="0" w:color="auto"/>
            <w:left w:val="none" w:sz="0" w:space="0" w:color="auto"/>
            <w:bottom w:val="none" w:sz="0" w:space="0" w:color="auto"/>
            <w:right w:val="none" w:sz="0" w:space="0" w:color="auto"/>
          </w:divBdr>
          <w:divsChild>
            <w:div w:id="20235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7217">
      <w:marLeft w:val="0"/>
      <w:marRight w:val="0"/>
      <w:marTop w:val="0"/>
      <w:marBottom w:val="0"/>
      <w:divBdr>
        <w:top w:val="none" w:sz="0" w:space="0" w:color="auto"/>
        <w:left w:val="none" w:sz="0" w:space="0" w:color="auto"/>
        <w:bottom w:val="none" w:sz="0" w:space="0" w:color="auto"/>
        <w:right w:val="none" w:sz="0" w:space="0" w:color="auto"/>
      </w:divBdr>
    </w:div>
    <w:div w:id="2023507218">
      <w:marLeft w:val="0"/>
      <w:marRight w:val="0"/>
      <w:marTop w:val="0"/>
      <w:marBottom w:val="0"/>
      <w:divBdr>
        <w:top w:val="none" w:sz="0" w:space="0" w:color="auto"/>
        <w:left w:val="none" w:sz="0" w:space="0" w:color="auto"/>
        <w:bottom w:val="none" w:sz="0" w:space="0" w:color="auto"/>
        <w:right w:val="none" w:sz="0" w:space="0" w:color="auto"/>
      </w:divBdr>
      <w:divsChild>
        <w:div w:id="2023507248">
          <w:marLeft w:val="0"/>
          <w:marRight w:val="0"/>
          <w:marTop w:val="0"/>
          <w:marBottom w:val="0"/>
          <w:divBdr>
            <w:top w:val="none" w:sz="0" w:space="0" w:color="auto"/>
            <w:left w:val="none" w:sz="0" w:space="0" w:color="auto"/>
            <w:bottom w:val="none" w:sz="0" w:space="0" w:color="auto"/>
            <w:right w:val="none" w:sz="0" w:space="0" w:color="auto"/>
          </w:divBdr>
        </w:div>
      </w:divsChild>
    </w:div>
    <w:div w:id="2023507220">
      <w:marLeft w:val="0"/>
      <w:marRight w:val="0"/>
      <w:marTop w:val="0"/>
      <w:marBottom w:val="0"/>
      <w:divBdr>
        <w:top w:val="none" w:sz="0" w:space="0" w:color="auto"/>
        <w:left w:val="none" w:sz="0" w:space="0" w:color="auto"/>
        <w:bottom w:val="none" w:sz="0" w:space="0" w:color="auto"/>
        <w:right w:val="none" w:sz="0" w:space="0" w:color="auto"/>
      </w:divBdr>
      <w:divsChild>
        <w:div w:id="2023507232">
          <w:marLeft w:val="0"/>
          <w:marRight w:val="0"/>
          <w:marTop w:val="0"/>
          <w:marBottom w:val="0"/>
          <w:divBdr>
            <w:top w:val="none" w:sz="0" w:space="0" w:color="auto"/>
            <w:left w:val="none" w:sz="0" w:space="0" w:color="auto"/>
            <w:bottom w:val="none" w:sz="0" w:space="0" w:color="auto"/>
            <w:right w:val="none" w:sz="0" w:space="0" w:color="auto"/>
          </w:divBdr>
        </w:div>
      </w:divsChild>
    </w:div>
    <w:div w:id="2023507221">
      <w:marLeft w:val="0"/>
      <w:marRight w:val="0"/>
      <w:marTop w:val="0"/>
      <w:marBottom w:val="0"/>
      <w:divBdr>
        <w:top w:val="none" w:sz="0" w:space="0" w:color="auto"/>
        <w:left w:val="none" w:sz="0" w:space="0" w:color="auto"/>
        <w:bottom w:val="none" w:sz="0" w:space="0" w:color="auto"/>
        <w:right w:val="none" w:sz="0" w:space="0" w:color="auto"/>
      </w:divBdr>
      <w:divsChild>
        <w:div w:id="2023507260">
          <w:marLeft w:val="0"/>
          <w:marRight w:val="0"/>
          <w:marTop w:val="0"/>
          <w:marBottom w:val="0"/>
          <w:divBdr>
            <w:top w:val="none" w:sz="0" w:space="0" w:color="auto"/>
            <w:left w:val="none" w:sz="0" w:space="0" w:color="auto"/>
            <w:bottom w:val="none" w:sz="0" w:space="0" w:color="auto"/>
            <w:right w:val="none" w:sz="0" w:space="0" w:color="auto"/>
          </w:divBdr>
        </w:div>
      </w:divsChild>
    </w:div>
    <w:div w:id="2023507223">
      <w:marLeft w:val="0"/>
      <w:marRight w:val="0"/>
      <w:marTop w:val="0"/>
      <w:marBottom w:val="0"/>
      <w:divBdr>
        <w:top w:val="none" w:sz="0" w:space="0" w:color="auto"/>
        <w:left w:val="none" w:sz="0" w:space="0" w:color="auto"/>
        <w:bottom w:val="none" w:sz="0" w:space="0" w:color="auto"/>
        <w:right w:val="none" w:sz="0" w:space="0" w:color="auto"/>
      </w:divBdr>
      <w:divsChild>
        <w:div w:id="2023507230">
          <w:marLeft w:val="0"/>
          <w:marRight w:val="0"/>
          <w:marTop w:val="0"/>
          <w:marBottom w:val="0"/>
          <w:divBdr>
            <w:top w:val="none" w:sz="0" w:space="0" w:color="auto"/>
            <w:left w:val="none" w:sz="0" w:space="0" w:color="auto"/>
            <w:bottom w:val="none" w:sz="0" w:space="0" w:color="auto"/>
            <w:right w:val="none" w:sz="0" w:space="0" w:color="auto"/>
          </w:divBdr>
        </w:div>
      </w:divsChild>
    </w:div>
    <w:div w:id="2023507224">
      <w:marLeft w:val="0"/>
      <w:marRight w:val="0"/>
      <w:marTop w:val="0"/>
      <w:marBottom w:val="0"/>
      <w:divBdr>
        <w:top w:val="none" w:sz="0" w:space="0" w:color="auto"/>
        <w:left w:val="none" w:sz="0" w:space="0" w:color="auto"/>
        <w:bottom w:val="none" w:sz="0" w:space="0" w:color="auto"/>
        <w:right w:val="none" w:sz="0" w:space="0" w:color="auto"/>
      </w:divBdr>
      <w:divsChild>
        <w:div w:id="2023507243">
          <w:marLeft w:val="0"/>
          <w:marRight w:val="0"/>
          <w:marTop w:val="0"/>
          <w:marBottom w:val="0"/>
          <w:divBdr>
            <w:top w:val="none" w:sz="0" w:space="0" w:color="auto"/>
            <w:left w:val="none" w:sz="0" w:space="0" w:color="auto"/>
            <w:bottom w:val="none" w:sz="0" w:space="0" w:color="auto"/>
            <w:right w:val="none" w:sz="0" w:space="0" w:color="auto"/>
          </w:divBdr>
        </w:div>
      </w:divsChild>
    </w:div>
    <w:div w:id="2023507225">
      <w:marLeft w:val="0"/>
      <w:marRight w:val="0"/>
      <w:marTop w:val="0"/>
      <w:marBottom w:val="0"/>
      <w:divBdr>
        <w:top w:val="none" w:sz="0" w:space="0" w:color="auto"/>
        <w:left w:val="none" w:sz="0" w:space="0" w:color="auto"/>
        <w:bottom w:val="none" w:sz="0" w:space="0" w:color="auto"/>
        <w:right w:val="none" w:sz="0" w:space="0" w:color="auto"/>
      </w:divBdr>
      <w:divsChild>
        <w:div w:id="2023507241">
          <w:marLeft w:val="0"/>
          <w:marRight w:val="0"/>
          <w:marTop w:val="0"/>
          <w:marBottom w:val="0"/>
          <w:divBdr>
            <w:top w:val="none" w:sz="0" w:space="0" w:color="auto"/>
            <w:left w:val="none" w:sz="0" w:space="0" w:color="auto"/>
            <w:bottom w:val="none" w:sz="0" w:space="0" w:color="auto"/>
            <w:right w:val="none" w:sz="0" w:space="0" w:color="auto"/>
          </w:divBdr>
        </w:div>
      </w:divsChild>
    </w:div>
    <w:div w:id="2023507226">
      <w:marLeft w:val="0"/>
      <w:marRight w:val="0"/>
      <w:marTop w:val="0"/>
      <w:marBottom w:val="0"/>
      <w:divBdr>
        <w:top w:val="none" w:sz="0" w:space="0" w:color="auto"/>
        <w:left w:val="none" w:sz="0" w:space="0" w:color="auto"/>
        <w:bottom w:val="none" w:sz="0" w:space="0" w:color="auto"/>
        <w:right w:val="none" w:sz="0" w:space="0" w:color="auto"/>
      </w:divBdr>
      <w:divsChild>
        <w:div w:id="2023507250">
          <w:marLeft w:val="0"/>
          <w:marRight w:val="0"/>
          <w:marTop w:val="0"/>
          <w:marBottom w:val="0"/>
          <w:divBdr>
            <w:top w:val="none" w:sz="0" w:space="0" w:color="auto"/>
            <w:left w:val="none" w:sz="0" w:space="0" w:color="auto"/>
            <w:bottom w:val="none" w:sz="0" w:space="0" w:color="auto"/>
            <w:right w:val="none" w:sz="0" w:space="0" w:color="auto"/>
          </w:divBdr>
        </w:div>
      </w:divsChild>
    </w:div>
    <w:div w:id="2023507227">
      <w:marLeft w:val="0"/>
      <w:marRight w:val="0"/>
      <w:marTop w:val="0"/>
      <w:marBottom w:val="0"/>
      <w:divBdr>
        <w:top w:val="none" w:sz="0" w:space="0" w:color="auto"/>
        <w:left w:val="none" w:sz="0" w:space="0" w:color="auto"/>
        <w:bottom w:val="none" w:sz="0" w:space="0" w:color="auto"/>
        <w:right w:val="none" w:sz="0" w:space="0" w:color="auto"/>
      </w:divBdr>
      <w:divsChild>
        <w:div w:id="2023507238">
          <w:marLeft w:val="0"/>
          <w:marRight w:val="0"/>
          <w:marTop w:val="0"/>
          <w:marBottom w:val="0"/>
          <w:divBdr>
            <w:top w:val="none" w:sz="0" w:space="0" w:color="auto"/>
            <w:left w:val="none" w:sz="0" w:space="0" w:color="auto"/>
            <w:bottom w:val="none" w:sz="0" w:space="0" w:color="auto"/>
            <w:right w:val="none" w:sz="0" w:space="0" w:color="auto"/>
          </w:divBdr>
        </w:div>
      </w:divsChild>
    </w:div>
    <w:div w:id="2023507228">
      <w:marLeft w:val="0"/>
      <w:marRight w:val="0"/>
      <w:marTop w:val="0"/>
      <w:marBottom w:val="0"/>
      <w:divBdr>
        <w:top w:val="none" w:sz="0" w:space="0" w:color="auto"/>
        <w:left w:val="none" w:sz="0" w:space="0" w:color="auto"/>
        <w:bottom w:val="none" w:sz="0" w:space="0" w:color="auto"/>
        <w:right w:val="none" w:sz="0" w:space="0" w:color="auto"/>
      </w:divBdr>
    </w:div>
    <w:div w:id="2023507233">
      <w:marLeft w:val="0"/>
      <w:marRight w:val="0"/>
      <w:marTop w:val="0"/>
      <w:marBottom w:val="0"/>
      <w:divBdr>
        <w:top w:val="none" w:sz="0" w:space="0" w:color="auto"/>
        <w:left w:val="none" w:sz="0" w:space="0" w:color="auto"/>
        <w:bottom w:val="none" w:sz="0" w:space="0" w:color="auto"/>
        <w:right w:val="none" w:sz="0" w:space="0" w:color="auto"/>
      </w:divBdr>
      <w:divsChild>
        <w:div w:id="2023507239">
          <w:marLeft w:val="0"/>
          <w:marRight w:val="0"/>
          <w:marTop w:val="0"/>
          <w:marBottom w:val="0"/>
          <w:divBdr>
            <w:top w:val="none" w:sz="0" w:space="0" w:color="auto"/>
            <w:left w:val="none" w:sz="0" w:space="0" w:color="auto"/>
            <w:bottom w:val="none" w:sz="0" w:space="0" w:color="auto"/>
            <w:right w:val="none" w:sz="0" w:space="0" w:color="auto"/>
          </w:divBdr>
        </w:div>
      </w:divsChild>
    </w:div>
    <w:div w:id="2023507235">
      <w:marLeft w:val="0"/>
      <w:marRight w:val="0"/>
      <w:marTop w:val="0"/>
      <w:marBottom w:val="0"/>
      <w:divBdr>
        <w:top w:val="none" w:sz="0" w:space="0" w:color="auto"/>
        <w:left w:val="none" w:sz="0" w:space="0" w:color="auto"/>
        <w:bottom w:val="none" w:sz="0" w:space="0" w:color="auto"/>
        <w:right w:val="none" w:sz="0" w:space="0" w:color="auto"/>
      </w:divBdr>
      <w:divsChild>
        <w:div w:id="2023507254">
          <w:marLeft w:val="0"/>
          <w:marRight w:val="0"/>
          <w:marTop w:val="0"/>
          <w:marBottom w:val="0"/>
          <w:divBdr>
            <w:top w:val="none" w:sz="0" w:space="0" w:color="auto"/>
            <w:left w:val="none" w:sz="0" w:space="0" w:color="auto"/>
            <w:bottom w:val="none" w:sz="0" w:space="0" w:color="auto"/>
            <w:right w:val="none" w:sz="0" w:space="0" w:color="auto"/>
          </w:divBdr>
        </w:div>
      </w:divsChild>
    </w:div>
    <w:div w:id="2023507236">
      <w:marLeft w:val="0"/>
      <w:marRight w:val="0"/>
      <w:marTop w:val="0"/>
      <w:marBottom w:val="0"/>
      <w:divBdr>
        <w:top w:val="none" w:sz="0" w:space="0" w:color="auto"/>
        <w:left w:val="none" w:sz="0" w:space="0" w:color="auto"/>
        <w:bottom w:val="none" w:sz="0" w:space="0" w:color="auto"/>
        <w:right w:val="none" w:sz="0" w:space="0" w:color="auto"/>
      </w:divBdr>
      <w:divsChild>
        <w:div w:id="2023507245">
          <w:marLeft w:val="0"/>
          <w:marRight w:val="0"/>
          <w:marTop w:val="0"/>
          <w:marBottom w:val="0"/>
          <w:divBdr>
            <w:top w:val="none" w:sz="0" w:space="0" w:color="auto"/>
            <w:left w:val="none" w:sz="0" w:space="0" w:color="auto"/>
            <w:bottom w:val="none" w:sz="0" w:space="0" w:color="auto"/>
            <w:right w:val="none" w:sz="0" w:space="0" w:color="auto"/>
          </w:divBdr>
        </w:div>
      </w:divsChild>
    </w:div>
    <w:div w:id="2023507237">
      <w:marLeft w:val="0"/>
      <w:marRight w:val="0"/>
      <w:marTop w:val="0"/>
      <w:marBottom w:val="0"/>
      <w:divBdr>
        <w:top w:val="none" w:sz="0" w:space="0" w:color="auto"/>
        <w:left w:val="none" w:sz="0" w:space="0" w:color="auto"/>
        <w:bottom w:val="none" w:sz="0" w:space="0" w:color="auto"/>
        <w:right w:val="none" w:sz="0" w:space="0" w:color="auto"/>
      </w:divBdr>
      <w:divsChild>
        <w:div w:id="2023507231">
          <w:marLeft w:val="0"/>
          <w:marRight w:val="0"/>
          <w:marTop w:val="0"/>
          <w:marBottom w:val="0"/>
          <w:divBdr>
            <w:top w:val="none" w:sz="0" w:space="0" w:color="auto"/>
            <w:left w:val="none" w:sz="0" w:space="0" w:color="auto"/>
            <w:bottom w:val="none" w:sz="0" w:space="0" w:color="auto"/>
            <w:right w:val="none" w:sz="0" w:space="0" w:color="auto"/>
          </w:divBdr>
        </w:div>
      </w:divsChild>
    </w:div>
    <w:div w:id="2023507244">
      <w:marLeft w:val="0"/>
      <w:marRight w:val="0"/>
      <w:marTop w:val="0"/>
      <w:marBottom w:val="0"/>
      <w:divBdr>
        <w:top w:val="none" w:sz="0" w:space="0" w:color="auto"/>
        <w:left w:val="none" w:sz="0" w:space="0" w:color="auto"/>
        <w:bottom w:val="none" w:sz="0" w:space="0" w:color="auto"/>
        <w:right w:val="none" w:sz="0" w:space="0" w:color="auto"/>
      </w:divBdr>
      <w:divsChild>
        <w:div w:id="2023507259">
          <w:marLeft w:val="0"/>
          <w:marRight w:val="0"/>
          <w:marTop w:val="0"/>
          <w:marBottom w:val="0"/>
          <w:divBdr>
            <w:top w:val="none" w:sz="0" w:space="0" w:color="auto"/>
            <w:left w:val="none" w:sz="0" w:space="0" w:color="auto"/>
            <w:bottom w:val="none" w:sz="0" w:space="0" w:color="auto"/>
            <w:right w:val="none" w:sz="0" w:space="0" w:color="auto"/>
          </w:divBdr>
        </w:div>
      </w:divsChild>
    </w:div>
    <w:div w:id="2023507249">
      <w:marLeft w:val="0"/>
      <w:marRight w:val="0"/>
      <w:marTop w:val="0"/>
      <w:marBottom w:val="0"/>
      <w:divBdr>
        <w:top w:val="none" w:sz="0" w:space="0" w:color="auto"/>
        <w:left w:val="none" w:sz="0" w:space="0" w:color="auto"/>
        <w:bottom w:val="none" w:sz="0" w:space="0" w:color="auto"/>
        <w:right w:val="none" w:sz="0" w:space="0" w:color="auto"/>
      </w:divBdr>
      <w:divsChild>
        <w:div w:id="2023507242">
          <w:marLeft w:val="0"/>
          <w:marRight w:val="0"/>
          <w:marTop w:val="0"/>
          <w:marBottom w:val="0"/>
          <w:divBdr>
            <w:top w:val="none" w:sz="0" w:space="0" w:color="auto"/>
            <w:left w:val="none" w:sz="0" w:space="0" w:color="auto"/>
            <w:bottom w:val="none" w:sz="0" w:space="0" w:color="auto"/>
            <w:right w:val="none" w:sz="0" w:space="0" w:color="auto"/>
          </w:divBdr>
        </w:div>
      </w:divsChild>
    </w:div>
    <w:div w:id="2023507251">
      <w:marLeft w:val="0"/>
      <w:marRight w:val="0"/>
      <w:marTop w:val="0"/>
      <w:marBottom w:val="0"/>
      <w:divBdr>
        <w:top w:val="none" w:sz="0" w:space="0" w:color="auto"/>
        <w:left w:val="none" w:sz="0" w:space="0" w:color="auto"/>
        <w:bottom w:val="none" w:sz="0" w:space="0" w:color="auto"/>
        <w:right w:val="none" w:sz="0" w:space="0" w:color="auto"/>
      </w:divBdr>
      <w:divsChild>
        <w:div w:id="2023507246">
          <w:marLeft w:val="0"/>
          <w:marRight w:val="0"/>
          <w:marTop w:val="0"/>
          <w:marBottom w:val="0"/>
          <w:divBdr>
            <w:top w:val="none" w:sz="0" w:space="0" w:color="auto"/>
            <w:left w:val="none" w:sz="0" w:space="0" w:color="auto"/>
            <w:bottom w:val="none" w:sz="0" w:space="0" w:color="auto"/>
            <w:right w:val="none" w:sz="0" w:space="0" w:color="auto"/>
          </w:divBdr>
        </w:div>
      </w:divsChild>
    </w:div>
    <w:div w:id="2023507252">
      <w:marLeft w:val="0"/>
      <w:marRight w:val="0"/>
      <w:marTop w:val="0"/>
      <w:marBottom w:val="0"/>
      <w:divBdr>
        <w:top w:val="none" w:sz="0" w:space="0" w:color="auto"/>
        <w:left w:val="none" w:sz="0" w:space="0" w:color="auto"/>
        <w:bottom w:val="none" w:sz="0" w:space="0" w:color="auto"/>
        <w:right w:val="none" w:sz="0" w:space="0" w:color="auto"/>
      </w:divBdr>
      <w:divsChild>
        <w:div w:id="2023507222">
          <w:marLeft w:val="0"/>
          <w:marRight w:val="0"/>
          <w:marTop w:val="0"/>
          <w:marBottom w:val="0"/>
          <w:divBdr>
            <w:top w:val="none" w:sz="0" w:space="0" w:color="auto"/>
            <w:left w:val="none" w:sz="0" w:space="0" w:color="auto"/>
            <w:bottom w:val="none" w:sz="0" w:space="0" w:color="auto"/>
            <w:right w:val="none" w:sz="0" w:space="0" w:color="auto"/>
          </w:divBdr>
        </w:div>
      </w:divsChild>
    </w:div>
    <w:div w:id="2023507253">
      <w:marLeft w:val="0"/>
      <w:marRight w:val="0"/>
      <w:marTop w:val="0"/>
      <w:marBottom w:val="0"/>
      <w:divBdr>
        <w:top w:val="none" w:sz="0" w:space="0" w:color="auto"/>
        <w:left w:val="none" w:sz="0" w:space="0" w:color="auto"/>
        <w:bottom w:val="none" w:sz="0" w:space="0" w:color="auto"/>
        <w:right w:val="none" w:sz="0" w:space="0" w:color="auto"/>
      </w:divBdr>
      <w:divsChild>
        <w:div w:id="2023507234">
          <w:marLeft w:val="0"/>
          <w:marRight w:val="0"/>
          <w:marTop w:val="0"/>
          <w:marBottom w:val="0"/>
          <w:divBdr>
            <w:top w:val="none" w:sz="0" w:space="0" w:color="auto"/>
            <w:left w:val="none" w:sz="0" w:space="0" w:color="auto"/>
            <w:bottom w:val="none" w:sz="0" w:space="0" w:color="auto"/>
            <w:right w:val="none" w:sz="0" w:space="0" w:color="auto"/>
          </w:divBdr>
        </w:div>
      </w:divsChild>
    </w:div>
    <w:div w:id="2023507256">
      <w:marLeft w:val="0"/>
      <w:marRight w:val="0"/>
      <w:marTop w:val="0"/>
      <w:marBottom w:val="0"/>
      <w:divBdr>
        <w:top w:val="none" w:sz="0" w:space="0" w:color="auto"/>
        <w:left w:val="none" w:sz="0" w:space="0" w:color="auto"/>
        <w:bottom w:val="none" w:sz="0" w:space="0" w:color="auto"/>
        <w:right w:val="none" w:sz="0" w:space="0" w:color="auto"/>
      </w:divBdr>
      <w:divsChild>
        <w:div w:id="2023507255">
          <w:marLeft w:val="0"/>
          <w:marRight w:val="0"/>
          <w:marTop w:val="0"/>
          <w:marBottom w:val="0"/>
          <w:divBdr>
            <w:top w:val="none" w:sz="0" w:space="0" w:color="auto"/>
            <w:left w:val="none" w:sz="0" w:space="0" w:color="auto"/>
            <w:bottom w:val="none" w:sz="0" w:space="0" w:color="auto"/>
            <w:right w:val="none" w:sz="0" w:space="0" w:color="auto"/>
          </w:divBdr>
        </w:div>
      </w:divsChild>
    </w:div>
    <w:div w:id="2023507257">
      <w:marLeft w:val="0"/>
      <w:marRight w:val="0"/>
      <w:marTop w:val="0"/>
      <w:marBottom w:val="0"/>
      <w:divBdr>
        <w:top w:val="none" w:sz="0" w:space="0" w:color="auto"/>
        <w:left w:val="none" w:sz="0" w:space="0" w:color="auto"/>
        <w:bottom w:val="none" w:sz="0" w:space="0" w:color="auto"/>
        <w:right w:val="none" w:sz="0" w:space="0" w:color="auto"/>
      </w:divBdr>
      <w:divsChild>
        <w:div w:id="2023507240">
          <w:marLeft w:val="0"/>
          <w:marRight w:val="0"/>
          <w:marTop w:val="0"/>
          <w:marBottom w:val="0"/>
          <w:divBdr>
            <w:top w:val="none" w:sz="0" w:space="0" w:color="auto"/>
            <w:left w:val="none" w:sz="0" w:space="0" w:color="auto"/>
            <w:bottom w:val="none" w:sz="0" w:space="0" w:color="auto"/>
            <w:right w:val="none" w:sz="0" w:space="0" w:color="auto"/>
          </w:divBdr>
        </w:div>
      </w:divsChild>
    </w:div>
    <w:div w:id="2023507261">
      <w:marLeft w:val="0"/>
      <w:marRight w:val="0"/>
      <w:marTop w:val="0"/>
      <w:marBottom w:val="0"/>
      <w:divBdr>
        <w:top w:val="none" w:sz="0" w:space="0" w:color="auto"/>
        <w:left w:val="none" w:sz="0" w:space="0" w:color="auto"/>
        <w:bottom w:val="none" w:sz="0" w:space="0" w:color="auto"/>
        <w:right w:val="none" w:sz="0" w:space="0" w:color="auto"/>
      </w:divBdr>
      <w:divsChild>
        <w:div w:id="2023507263">
          <w:marLeft w:val="0"/>
          <w:marRight w:val="0"/>
          <w:marTop w:val="0"/>
          <w:marBottom w:val="0"/>
          <w:divBdr>
            <w:top w:val="none" w:sz="0" w:space="0" w:color="auto"/>
            <w:left w:val="none" w:sz="0" w:space="0" w:color="auto"/>
            <w:bottom w:val="none" w:sz="0" w:space="0" w:color="auto"/>
            <w:right w:val="none" w:sz="0" w:space="0" w:color="auto"/>
          </w:divBdr>
        </w:div>
      </w:divsChild>
    </w:div>
    <w:div w:id="2023507264">
      <w:marLeft w:val="0"/>
      <w:marRight w:val="0"/>
      <w:marTop w:val="0"/>
      <w:marBottom w:val="0"/>
      <w:divBdr>
        <w:top w:val="none" w:sz="0" w:space="0" w:color="auto"/>
        <w:left w:val="none" w:sz="0" w:space="0" w:color="auto"/>
        <w:bottom w:val="none" w:sz="0" w:space="0" w:color="auto"/>
        <w:right w:val="none" w:sz="0" w:space="0" w:color="auto"/>
      </w:divBdr>
      <w:divsChild>
        <w:div w:id="2023507267">
          <w:marLeft w:val="0"/>
          <w:marRight w:val="0"/>
          <w:marTop w:val="0"/>
          <w:marBottom w:val="0"/>
          <w:divBdr>
            <w:top w:val="none" w:sz="0" w:space="0" w:color="auto"/>
            <w:left w:val="none" w:sz="0" w:space="0" w:color="auto"/>
            <w:bottom w:val="none" w:sz="0" w:space="0" w:color="auto"/>
            <w:right w:val="none" w:sz="0" w:space="0" w:color="auto"/>
          </w:divBdr>
        </w:div>
      </w:divsChild>
    </w:div>
    <w:div w:id="2023507266">
      <w:marLeft w:val="0"/>
      <w:marRight w:val="0"/>
      <w:marTop w:val="0"/>
      <w:marBottom w:val="0"/>
      <w:divBdr>
        <w:top w:val="none" w:sz="0" w:space="0" w:color="auto"/>
        <w:left w:val="none" w:sz="0" w:space="0" w:color="auto"/>
        <w:bottom w:val="none" w:sz="0" w:space="0" w:color="auto"/>
        <w:right w:val="none" w:sz="0" w:space="0" w:color="auto"/>
      </w:divBdr>
      <w:divsChild>
        <w:div w:id="2023507274">
          <w:marLeft w:val="0"/>
          <w:marRight w:val="0"/>
          <w:marTop w:val="0"/>
          <w:marBottom w:val="0"/>
          <w:divBdr>
            <w:top w:val="none" w:sz="0" w:space="0" w:color="auto"/>
            <w:left w:val="none" w:sz="0" w:space="0" w:color="auto"/>
            <w:bottom w:val="none" w:sz="0" w:space="0" w:color="auto"/>
            <w:right w:val="none" w:sz="0" w:space="0" w:color="auto"/>
          </w:divBdr>
        </w:div>
      </w:divsChild>
    </w:div>
    <w:div w:id="2023507268">
      <w:marLeft w:val="0"/>
      <w:marRight w:val="0"/>
      <w:marTop w:val="0"/>
      <w:marBottom w:val="0"/>
      <w:divBdr>
        <w:top w:val="none" w:sz="0" w:space="0" w:color="auto"/>
        <w:left w:val="none" w:sz="0" w:space="0" w:color="auto"/>
        <w:bottom w:val="none" w:sz="0" w:space="0" w:color="auto"/>
        <w:right w:val="none" w:sz="0" w:space="0" w:color="auto"/>
      </w:divBdr>
      <w:divsChild>
        <w:div w:id="2023507262">
          <w:marLeft w:val="0"/>
          <w:marRight w:val="0"/>
          <w:marTop w:val="0"/>
          <w:marBottom w:val="0"/>
          <w:divBdr>
            <w:top w:val="none" w:sz="0" w:space="0" w:color="auto"/>
            <w:left w:val="none" w:sz="0" w:space="0" w:color="auto"/>
            <w:bottom w:val="none" w:sz="0" w:space="0" w:color="auto"/>
            <w:right w:val="none" w:sz="0" w:space="0" w:color="auto"/>
          </w:divBdr>
        </w:div>
      </w:divsChild>
    </w:div>
    <w:div w:id="2023507269">
      <w:marLeft w:val="0"/>
      <w:marRight w:val="0"/>
      <w:marTop w:val="0"/>
      <w:marBottom w:val="0"/>
      <w:divBdr>
        <w:top w:val="none" w:sz="0" w:space="0" w:color="auto"/>
        <w:left w:val="none" w:sz="0" w:space="0" w:color="auto"/>
        <w:bottom w:val="none" w:sz="0" w:space="0" w:color="auto"/>
        <w:right w:val="none" w:sz="0" w:space="0" w:color="auto"/>
      </w:divBdr>
      <w:divsChild>
        <w:div w:id="2023507272">
          <w:marLeft w:val="0"/>
          <w:marRight w:val="0"/>
          <w:marTop w:val="0"/>
          <w:marBottom w:val="0"/>
          <w:divBdr>
            <w:top w:val="none" w:sz="0" w:space="0" w:color="auto"/>
            <w:left w:val="none" w:sz="0" w:space="0" w:color="auto"/>
            <w:bottom w:val="none" w:sz="0" w:space="0" w:color="auto"/>
            <w:right w:val="none" w:sz="0" w:space="0" w:color="auto"/>
          </w:divBdr>
        </w:div>
      </w:divsChild>
    </w:div>
    <w:div w:id="2023507270">
      <w:marLeft w:val="0"/>
      <w:marRight w:val="0"/>
      <w:marTop w:val="0"/>
      <w:marBottom w:val="0"/>
      <w:divBdr>
        <w:top w:val="none" w:sz="0" w:space="0" w:color="auto"/>
        <w:left w:val="none" w:sz="0" w:space="0" w:color="auto"/>
        <w:bottom w:val="none" w:sz="0" w:space="0" w:color="auto"/>
        <w:right w:val="none" w:sz="0" w:space="0" w:color="auto"/>
      </w:divBdr>
      <w:divsChild>
        <w:div w:id="2023507265">
          <w:marLeft w:val="0"/>
          <w:marRight w:val="0"/>
          <w:marTop w:val="0"/>
          <w:marBottom w:val="0"/>
          <w:divBdr>
            <w:top w:val="none" w:sz="0" w:space="0" w:color="auto"/>
            <w:left w:val="none" w:sz="0" w:space="0" w:color="auto"/>
            <w:bottom w:val="none" w:sz="0" w:space="0" w:color="auto"/>
            <w:right w:val="none" w:sz="0" w:space="0" w:color="auto"/>
          </w:divBdr>
        </w:div>
      </w:divsChild>
    </w:div>
    <w:div w:id="2023507271">
      <w:marLeft w:val="0"/>
      <w:marRight w:val="0"/>
      <w:marTop w:val="0"/>
      <w:marBottom w:val="0"/>
      <w:divBdr>
        <w:top w:val="none" w:sz="0" w:space="0" w:color="auto"/>
        <w:left w:val="none" w:sz="0" w:space="0" w:color="auto"/>
        <w:bottom w:val="none" w:sz="0" w:space="0" w:color="auto"/>
        <w:right w:val="none" w:sz="0" w:space="0" w:color="auto"/>
      </w:divBdr>
      <w:divsChild>
        <w:div w:id="2023507273">
          <w:marLeft w:val="0"/>
          <w:marRight w:val="0"/>
          <w:marTop w:val="0"/>
          <w:marBottom w:val="0"/>
          <w:divBdr>
            <w:top w:val="none" w:sz="0" w:space="0" w:color="auto"/>
            <w:left w:val="none" w:sz="0" w:space="0" w:color="auto"/>
            <w:bottom w:val="none" w:sz="0" w:space="0" w:color="auto"/>
            <w:right w:val="none" w:sz="0" w:space="0" w:color="auto"/>
          </w:divBdr>
        </w:div>
      </w:divsChild>
    </w:div>
    <w:div w:id="2023507279">
      <w:marLeft w:val="0"/>
      <w:marRight w:val="0"/>
      <w:marTop w:val="0"/>
      <w:marBottom w:val="0"/>
      <w:divBdr>
        <w:top w:val="none" w:sz="0" w:space="0" w:color="auto"/>
        <w:left w:val="none" w:sz="0" w:space="0" w:color="auto"/>
        <w:bottom w:val="none" w:sz="0" w:space="0" w:color="auto"/>
        <w:right w:val="none" w:sz="0" w:space="0" w:color="auto"/>
      </w:divBdr>
      <w:divsChild>
        <w:div w:id="2023507277">
          <w:marLeft w:val="0"/>
          <w:marRight w:val="0"/>
          <w:marTop w:val="0"/>
          <w:marBottom w:val="0"/>
          <w:divBdr>
            <w:top w:val="none" w:sz="0" w:space="0" w:color="auto"/>
            <w:left w:val="none" w:sz="0" w:space="0" w:color="auto"/>
            <w:bottom w:val="none" w:sz="0" w:space="0" w:color="auto"/>
            <w:right w:val="none" w:sz="0" w:space="0" w:color="auto"/>
          </w:divBdr>
        </w:div>
      </w:divsChild>
    </w:div>
    <w:div w:id="2023507280">
      <w:marLeft w:val="0"/>
      <w:marRight w:val="0"/>
      <w:marTop w:val="0"/>
      <w:marBottom w:val="0"/>
      <w:divBdr>
        <w:top w:val="none" w:sz="0" w:space="0" w:color="auto"/>
        <w:left w:val="none" w:sz="0" w:space="0" w:color="auto"/>
        <w:bottom w:val="none" w:sz="0" w:space="0" w:color="auto"/>
        <w:right w:val="none" w:sz="0" w:space="0" w:color="auto"/>
      </w:divBdr>
      <w:divsChild>
        <w:div w:id="2023507091">
          <w:marLeft w:val="0"/>
          <w:marRight w:val="0"/>
          <w:marTop w:val="0"/>
          <w:marBottom w:val="0"/>
          <w:divBdr>
            <w:top w:val="none" w:sz="0" w:space="0" w:color="auto"/>
            <w:left w:val="none" w:sz="0" w:space="0" w:color="auto"/>
            <w:bottom w:val="none" w:sz="0" w:space="0" w:color="auto"/>
            <w:right w:val="none" w:sz="0" w:space="0" w:color="auto"/>
          </w:divBdr>
        </w:div>
      </w:divsChild>
    </w:div>
    <w:div w:id="2023507283">
      <w:marLeft w:val="0"/>
      <w:marRight w:val="0"/>
      <w:marTop w:val="0"/>
      <w:marBottom w:val="0"/>
      <w:divBdr>
        <w:top w:val="none" w:sz="0" w:space="0" w:color="auto"/>
        <w:left w:val="none" w:sz="0" w:space="0" w:color="auto"/>
        <w:bottom w:val="none" w:sz="0" w:space="0" w:color="auto"/>
        <w:right w:val="none" w:sz="0" w:space="0" w:color="auto"/>
      </w:divBdr>
      <w:divsChild>
        <w:div w:id="2023507295">
          <w:marLeft w:val="0"/>
          <w:marRight w:val="0"/>
          <w:marTop w:val="0"/>
          <w:marBottom w:val="0"/>
          <w:divBdr>
            <w:top w:val="none" w:sz="0" w:space="0" w:color="auto"/>
            <w:left w:val="none" w:sz="0" w:space="0" w:color="auto"/>
            <w:bottom w:val="none" w:sz="0" w:space="0" w:color="auto"/>
            <w:right w:val="none" w:sz="0" w:space="0" w:color="auto"/>
          </w:divBdr>
        </w:div>
      </w:divsChild>
    </w:div>
    <w:div w:id="2023507285">
      <w:marLeft w:val="0"/>
      <w:marRight w:val="0"/>
      <w:marTop w:val="0"/>
      <w:marBottom w:val="0"/>
      <w:divBdr>
        <w:top w:val="none" w:sz="0" w:space="0" w:color="auto"/>
        <w:left w:val="none" w:sz="0" w:space="0" w:color="auto"/>
        <w:bottom w:val="none" w:sz="0" w:space="0" w:color="auto"/>
        <w:right w:val="none" w:sz="0" w:space="0" w:color="auto"/>
      </w:divBdr>
      <w:divsChild>
        <w:div w:id="2023507291">
          <w:marLeft w:val="0"/>
          <w:marRight w:val="0"/>
          <w:marTop w:val="0"/>
          <w:marBottom w:val="0"/>
          <w:divBdr>
            <w:top w:val="none" w:sz="0" w:space="0" w:color="auto"/>
            <w:left w:val="none" w:sz="0" w:space="0" w:color="auto"/>
            <w:bottom w:val="none" w:sz="0" w:space="0" w:color="auto"/>
            <w:right w:val="none" w:sz="0" w:space="0" w:color="auto"/>
          </w:divBdr>
        </w:div>
      </w:divsChild>
    </w:div>
    <w:div w:id="2023507287">
      <w:marLeft w:val="0"/>
      <w:marRight w:val="0"/>
      <w:marTop w:val="0"/>
      <w:marBottom w:val="0"/>
      <w:divBdr>
        <w:top w:val="none" w:sz="0" w:space="0" w:color="auto"/>
        <w:left w:val="none" w:sz="0" w:space="0" w:color="auto"/>
        <w:bottom w:val="none" w:sz="0" w:space="0" w:color="auto"/>
        <w:right w:val="none" w:sz="0" w:space="0" w:color="auto"/>
      </w:divBdr>
      <w:divsChild>
        <w:div w:id="2023507290">
          <w:marLeft w:val="0"/>
          <w:marRight w:val="0"/>
          <w:marTop w:val="0"/>
          <w:marBottom w:val="0"/>
          <w:divBdr>
            <w:top w:val="none" w:sz="0" w:space="0" w:color="auto"/>
            <w:left w:val="none" w:sz="0" w:space="0" w:color="auto"/>
            <w:bottom w:val="none" w:sz="0" w:space="0" w:color="auto"/>
            <w:right w:val="none" w:sz="0" w:space="0" w:color="auto"/>
          </w:divBdr>
        </w:div>
      </w:divsChild>
    </w:div>
    <w:div w:id="2023507288">
      <w:marLeft w:val="0"/>
      <w:marRight w:val="0"/>
      <w:marTop w:val="0"/>
      <w:marBottom w:val="0"/>
      <w:divBdr>
        <w:top w:val="none" w:sz="0" w:space="0" w:color="auto"/>
        <w:left w:val="none" w:sz="0" w:space="0" w:color="auto"/>
        <w:bottom w:val="none" w:sz="0" w:space="0" w:color="auto"/>
        <w:right w:val="none" w:sz="0" w:space="0" w:color="auto"/>
      </w:divBdr>
      <w:divsChild>
        <w:div w:id="2023507289">
          <w:marLeft w:val="0"/>
          <w:marRight w:val="0"/>
          <w:marTop w:val="0"/>
          <w:marBottom w:val="0"/>
          <w:divBdr>
            <w:top w:val="none" w:sz="0" w:space="0" w:color="auto"/>
            <w:left w:val="none" w:sz="0" w:space="0" w:color="auto"/>
            <w:bottom w:val="none" w:sz="0" w:space="0" w:color="auto"/>
            <w:right w:val="none" w:sz="0" w:space="0" w:color="auto"/>
          </w:divBdr>
        </w:div>
      </w:divsChild>
    </w:div>
    <w:div w:id="2023507292">
      <w:marLeft w:val="0"/>
      <w:marRight w:val="0"/>
      <w:marTop w:val="0"/>
      <w:marBottom w:val="0"/>
      <w:divBdr>
        <w:top w:val="none" w:sz="0" w:space="0" w:color="auto"/>
        <w:left w:val="none" w:sz="0" w:space="0" w:color="auto"/>
        <w:bottom w:val="none" w:sz="0" w:space="0" w:color="auto"/>
        <w:right w:val="none" w:sz="0" w:space="0" w:color="auto"/>
      </w:divBdr>
      <w:divsChild>
        <w:div w:id="2023507284">
          <w:marLeft w:val="0"/>
          <w:marRight w:val="0"/>
          <w:marTop w:val="0"/>
          <w:marBottom w:val="0"/>
          <w:divBdr>
            <w:top w:val="none" w:sz="0" w:space="0" w:color="auto"/>
            <w:left w:val="none" w:sz="0" w:space="0" w:color="auto"/>
            <w:bottom w:val="none" w:sz="0" w:space="0" w:color="auto"/>
            <w:right w:val="none" w:sz="0" w:space="0" w:color="auto"/>
          </w:divBdr>
        </w:div>
      </w:divsChild>
    </w:div>
    <w:div w:id="2023507299">
      <w:marLeft w:val="0"/>
      <w:marRight w:val="0"/>
      <w:marTop w:val="0"/>
      <w:marBottom w:val="0"/>
      <w:divBdr>
        <w:top w:val="none" w:sz="0" w:space="0" w:color="auto"/>
        <w:left w:val="none" w:sz="0" w:space="0" w:color="auto"/>
        <w:bottom w:val="none" w:sz="0" w:space="0" w:color="auto"/>
        <w:right w:val="none" w:sz="0" w:space="0" w:color="auto"/>
      </w:divBdr>
      <w:divsChild>
        <w:div w:id="2023507275">
          <w:marLeft w:val="0"/>
          <w:marRight w:val="0"/>
          <w:marTop w:val="0"/>
          <w:marBottom w:val="0"/>
          <w:divBdr>
            <w:top w:val="none" w:sz="0" w:space="0" w:color="auto"/>
            <w:left w:val="none" w:sz="0" w:space="0" w:color="auto"/>
            <w:bottom w:val="none" w:sz="0" w:space="0" w:color="auto"/>
            <w:right w:val="none" w:sz="0" w:space="0" w:color="auto"/>
          </w:divBdr>
        </w:div>
      </w:divsChild>
    </w:div>
    <w:div w:id="2023507300">
      <w:marLeft w:val="0"/>
      <w:marRight w:val="0"/>
      <w:marTop w:val="0"/>
      <w:marBottom w:val="0"/>
      <w:divBdr>
        <w:top w:val="none" w:sz="0" w:space="0" w:color="auto"/>
        <w:left w:val="none" w:sz="0" w:space="0" w:color="auto"/>
        <w:bottom w:val="none" w:sz="0" w:space="0" w:color="auto"/>
        <w:right w:val="none" w:sz="0" w:space="0" w:color="auto"/>
      </w:divBdr>
      <w:divsChild>
        <w:div w:id="2023507276">
          <w:marLeft w:val="0"/>
          <w:marRight w:val="0"/>
          <w:marTop w:val="0"/>
          <w:marBottom w:val="0"/>
          <w:divBdr>
            <w:top w:val="none" w:sz="0" w:space="0" w:color="auto"/>
            <w:left w:val="none" w:sz="0" w:space="0" w:color="auto"/>
            <w:bottom w:val="none" w:sz="0" w:space="0" w:color="auto"/>
            <w:right w:val="none" w:sz="0" w:space="0" w:color="auto"/>
          </w:divBdr>
        </w:div>
      </w:divsChild>
    </w:div>
    <w:div w:id="2023507301">
      <w:marLeft w:val="0"/>
      <w:marRight w:val="0"/>
      <w:marTop w:val="0"/>
      <w:marBottom w:val="0"/>
      <w:divBdr>
        <w:top w:val="none" w:sz="0" w:space="0" w:color="auto"/>
        <w:left w:val="none" w:sz="0" w:space="0" w:color="auto"/>
        <w:bottom w:val="none" w:sz="0" w:space="0" w:color="auto"/>
        <w:right w:val="none" w:sz="0" w:space="0" w:color="auto"/>
      </w:divBdr>
      <w:divsChild>
        <w:div w:id="2023507278">
          <w:marLeft w:val="0"/>
          <w:marRight w:val="0"/>
          <w:marTop w:val="0"/>
          <w:marBottom w:val="0"/>
          <w:divBdr>
            <w:top w:val="none" w:sz="0" w:space="0" w:color="auto"/>
            <w:left w:val="none" w:sz="0" w:space="0" w:color="auto"/>
            <w:bottom w:val="none" w:sz="0" w:space="0" w:color="auto"/>
            <w:right w:val="none" w:sz="0" w:space="0" w:color="auto"/>
          </w:divBdr>
        </w:div>
      </w:divsChild>
    </w:div>
    <w:div w:id="2023507302">
      <w:marLeft w:val="0"/>
      <w:marRight w:val="0"/>
      <w:marTop w:val="0"/>
      <w:marBottom w:val="0"/>
      <w:divBdr>
        <w:top w:val="none" w:sz="0" w:space="0" w:color="auto"/>
        <w:left w:val="none" w:sz="0" w:space="0" w:color="auto"/>
        <w:bottom w:val="none" w:sz="0" w:space="0" w:color="auto"/>
        <w:right w:val="none" w:sz="0" w:space="0" w:color="auto"/>
      </w:divBdr>
      <w:divsChild>
        <w:div w:id="2023507293">
          <w:marLeft w:val="0"/>
          <w:marRight w:val="0"/>
          <w:marTop w:val="0"/>
          <w:marBottom w:val="0"/>
          <w:divBdr>
            <w:top w:val="none" w:sz="0" w:space="0" w:color="auto"/>
            <w:left w:val="none" w:sz="0" w:space="0" w:color="auto"/>
            <w:bottom w:val="none" w:sz="0" w:space="0" w:color="auto"/>
            <w:right w:val="none" w:sz="0" w:space="0" w:color="auto"/>
          </w:divBdr>
        </w:div>
      </w:divsChild>
    </w:div>
    <w:div w:id="2023507303">
      <w:marLeft w:val="0"/>
      <w:marRight w:val="0"/>
      <w:marTop w:val="0"/>
      <w:marBottom w:val="0"/>
      <w:divBdr>
        <w:top w:val="none" w:sz="0" w:space="0" w:color="auto"/>
        <w:left w:val="none" w:sz="0" w:space="0" w:color="auto"/>
        <w:bottom w:val="none" w:sz="0" w:space="0" w:color="auto"/>
        <w:right w:val="none" w:sz="0" w:space="0" w:color="auto"/>
      </w:divBdr>
    </w:div>
    <w:div w:id="209211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9452</Words>
  <Characters>53879</Characters>
  <Application>Microsoft Office Word</Application>
  <DocSecurity>0</DocSecurity>
  <Lines>448</Lines>
  <Paragraphs>126</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Expression of mucin 1 and 2 (MUC1 and MUC2) in colorectal cancer of the patients from Greater Poland Region</vt:lpstr>
      <vt:lpstr>Expression of mucin 1 and 2 (MUC1 and MUC2) in colorectal cancer of the patients from Greater Poland Region</vt:lpstr>
    </vt:vector>
  </TitlesOfParts>
  <Company/>
  <LinksUpToDate>false</LinksUpToDate>
  <CharactersWithSpaces>63205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of mucin 1 and 2 (MUC1 and MUC2) in colorectal cancer of the patients from Greater Poland Region</dc:title>
  <dc:creator>Maurycy Jankowski</dc:creator>
  <cp:lastModifiedBy>Na Ma</cp:lastModifiedBy>
  <cp:revision>2</cp:revision>
  <cp:lastPrinted>2018-07-03T08:38:00Z</cp:lastPrinted>
  <dcterms:created xsi:type="dcterms:W3CDTF">2018-08-24T04:15:00Z</dcterms:created>
  <dcterms:modified xsi:type="dcterms:W3CDTF">2018-08-24T04:15:00Z</dcterms:modified>
</cp:coreProperties>
</file>