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CEABD" w14:textId="77777777" w:rsidR="00B964CC" w:rsidRPr="00341E2D" w:rsidRDefault="00D87EC7" w:rsidP="00341E2D">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0" w:name="OLE_LINK246"/>
      <w:bookmarkStart w:id="1" w:name="OLE_LINK1024"/>
      <w:bookmarkStart w:id="2" w:name="OLE_LINK987"/>
      <w:bookmarkStart w:id="3" w:name="OLE_LINK970"/>
      <w:bookmarkStart w:id="4" w:name="OLE_LINK923"/>
      <w:bookmarkStart w:id="5" w:name="OLE_LINK887"/>
      <w:bookmarkStart w:id="6" w:name="OLE_LINK866"/>
      <w:bookmarkStart w:id="7" w:name="OLE_LINK840"/>
      <w:bookmarkStart w:id="8" w:name="OLE_LINK737"/>
      <w:bookmarkStart w:id="9" w:name="OLE_LINK709"/>
      <w:bookmarkStart w:id="10" w:name="OLE_LINK708"/>
      <w:bookmarkStart w:id="11" w:name="OLE_LINK707"/>
      <w:bookmarkStart w:id="12" w:name="OLE_LINK636"/>
      <w:bookmarkStart w:id="13" w:name="OLE_LINK255"/>
      <w:bookmarkStart w:id="14" w:name="OLE_LINK1071"/>
      <w:bookmarkStart w:id="15" w:name="OLE_LINK1050"/>
      <w:bookmarkStart w:id="16" w:name="OLE_LINK1039"/>
      <w:bookmarkStart w:id="17" w:name="OLE_LINK1000"/>
      <w:bookmarkStart w:id="18" w:name="OLE_LINK939"/>
      <w:bookmarkStart w:id="19" w:name="OLE_LINK849"/>
      <w:bookmarkStart w:id="20" w:name="OLE_LINK654"/>
      <w:bookmarkStart w:id="21" w:name="OLE_LINK1"/>
      <w:bookmarkStart w:id="22" w:name="OLE_LINK2"/>
      <w:r w:rsidRPr="00341E2D">
        <w:rPr>
          <w:rFonts w:ascii="Book Antiqua" w:hAnsi="Book Antiqua" w:cs="Times New Roman"/>
          <w:b/>
          <w:color w:val="000000" w:themeColor="text1"/>
          <w:sz w:val="24"/>
          <w:szCs w:val="24"/>
          <w:lang w:val="en-US" w:eastAsia="zh-CN"/>
        </w:rPr>
        <w:t xml:space="preserve">Name of </w:t>
      </w:r>
      <w:r w:rsidRPr="00341E2D">
        <w:rPr>
          <w:rFonts w:ascii="Book Antiqua" w:hAnsi="Book Antiqua" w:cs="Times New Roman"/>
          <w:b/>
          <w:caps/>
          <w:color w:val="000000" w:themeColor="text1"/>
          <w:sz w:val="24"/>
          <w:szCs w:val="24"/>
          <w:lang w:val="en-US" w:eastAsia="zh-CN"/>
        </w:rPr>
        <w:t>j</w:t>
      </w:r>
      <w:r w:rsidRPr="00341E2D">
        <w:rPr>
          <w:rFonts w:ascii="Book Antiqua" w:hAnsi="Book Antiqua" w:cs="Times New Roman"/>
          <w:b/>
          <w:color w:val="000000" w:themeColor="text1"/>
          <w:sz w:val="24"/>
          <w:szCs w:val="24"/>
          <w:lang w:val="en-US" w:eastAsia="zh-CN"/>
        </w:rPr>
        <w:t xml:space="preserve">ournal: </w:t>
      </w:r>
      <w:bookmarkStart w:id="23" w:name="OLE_LINK718"/>
      <w:bookmarkStart w:id="24" w:name="OLE_LINK719"/>
      <w:r w:rsidRPr="00341E2D">
        <w:rPr>
          <w:rFonts w:ascii="Book Antiqua" w:hAnsi="Book Antiqua" w:cs="Times New Roman"/>
          <w:b/>
          <w:i/>
          <w:color w:val="000000" w:themeColor="text1"/>
          <w:sz w:val="24"/>
          <w:szCs w:val="24"/>
          <w:lang w:val="en-US" w:eastAsia="zh-CN"/>
        </w:rPr>
        <w:t>World Journal of Gastroenterology</w:t>
      </w:r>
      <w:bookmarkEnd w:id="23"/>
      <w:bookmarkEnd w:id="24"/>
    </w:p>
    <w:p w14:paraId="31F6164C" w14:textId="77777777" w:rsidR="00B964CC" w:rsidRPr="00341E2D" w:rsidRDefault="00D87EC7" w:rsidP="00341E2D">
      <w:pPr>
        <w:pStyle w:val="1"/>
        <w:adjustRightInd w:val="0"/>
        <w:snapToGrid w:val="0"/>
        <w:spacing w:line="360" w:lineRule="auto"/>
        <w:jc w:val="both"/>
        <w:rPr>
          <w:rFonts w:ascii="Book Antiqua" w:hAnsi="Book Antiqua" w:cs="Times New Roman"/>
          <w:b/>
          <w:i/>
          <w:color w:val="000000" w:themeColor="text1"/>
          <w:sz w:val="24"/>
          <w:szCs w:val="24"/>
          <w:lang w:val="en-US" w:eastAsia="zh-CN"/>
        </w:rPr>
      </w:pPr>
      <w:bookmarkStart w:id="25" w:name="OLE_LINK78"/>
      <w:bookmarkStart w:id="26" w:name="OLE_LINK768"/>
      <w:bookmarkStart w:id="27" w:name="OLE_LINK661"/>
      <w:bookmarkStart w:id="28" w:name="OLE_LINK486"/>
      <w:bookmarkStart w:id="29" w:name="OLE_LINK485"/>
      <w:bookmarkStart w:id="30" w:name="OLE_LINK13"/>
      <w:bookmarkStart w:id="31" w:name="OLE_LINK515"/>
      <w:bookmarkStart w:id="32" w:name="OLE_LINK514"/>
      <w:r w:rsidRPr="00341E2D">
        <w:rPr>
          <w:rFonts w:ascii="Book Antiqua" w:hAnsi="Book Antiqua" w:cs="Times New Roman"/>
          <w:b/>
          <w:color w:val="000000" w:themeColor="text1"/>
          <w:sz w:val="24"/>
          <w:szCs w:val="24"/>
          <w:lang w:eastAsia="zh-CN"/>
        </w:rPr>
        <w:t>Manuscript NO:</w:t>
      </w:r>
      <w:bookmarkEnd w:id="25"/>
      <w:bookmarkEnd w:id="26"/>
      <w:bookmarkEnd w:id="27"/>
      <w:bookmarkEnd w:id="28"/>
      <w:bookmarkEnd w:id="29"/>
      <w:r w:rsidRPr="00341E2D">
        <w:rPr>
          <w:rFonts w:ascii="Book Antiqua" w:hAnsi="Book Antiqua" w:cs="Times New Roman"/>
          <w:b/>
          <w:color w:val="000000" w:themeColor="text1"/>
          <w:sz w:val="24"/>
          <w:szCs w:val="24"/>
          <w:lang w:eastAsia="zh-CN"/>
        </w:rPr>
        <w:t xml:space="preserve"> </w:t>
      </w:r>
      <w:r w:rsidRPr="00341E2D">
        <w:rPr>
          <w:rFonts w:ascii="Book Antiqua" w:hAnsi="Book Antiqua" w:cs="Times New Roman"/>
          <w:b/>
          <w:color w:val="000000" w:themeColor="text1"/>
          <w:sz w:val="24"/>
          <w:szCs w:val="24"/>
          <w:lang w:val="en-US" w:eastAsia="zh-CN"/>
        </w:rPr>
        <w:t>40929</w:t>
      </w:r>
    </w:p>
    <w:p w14:paraId="209701B6" w14:textId="77777777" w:rsidR="001C0754" w:rsidRPr="001C0754" w:rsidRDefault="001C0754" w:rsidP="001C0754">
      <w:pPr>
        <w:adjustRightInd w:val="0"/>
        <w:snapToGrid w:val="0"/>
        <w:spacing w:line="360" w:lineRule="auto"/>
        <w:rPr>
          <w:rFonts w:ascii="Book Antiqua" w:hAnsi="Book Antiqua"/>
          <w:b/>
          <w:color w:val="000000"/>
          <w:sz w:val="24"/>
          <w:szCs w:val="24"/>
          <w:lang w:val="it-IT"/>
        </w:rPr>
      </w:pPr>
      <w:bookmarkStart w:id="33" w:name="OLE_LINK511"/>
      <w:bookmarkStart w:id="34" w:name="OLE_LINK51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30"/>
      <w:bookmarkEnd w:id="31"/>
      <w:bookmarkEnd w:id="32"/>
      <w:r w:rsidRPr="001C0754">
        <w:rPr>
          <w:rFonts w:ascii="Book Antiqua" w:hAnsi="Book Antiqua"/>
          <w:b/>
          <w:color w:val="000000"/>
          <w:sz w:val="24"/>
          <w:szCs w:val="24"/>
          <w:highlight w:val="white"/>
          <w:lang w:val="it-IT"/>
        </w:rPr>
        <w:t xml:space="preserve">Manuscript </w:t>
      </w:r>
      <w:r w:rsidRPr="001C0754">
        <w:rPr>
          <w:rFonts w:ascii="Book Antiqua" w:hAnsi="Book Antiqua"/>
          <w:b/>
          <w:caps/>
          <w:color w:val="000000"/>
          <w:sz w:val="24"/>
          <w:szCs w:val="24"/>
          <w:highlight w:val="white"/>
        </w:rPr>
        <w:t>t</w:t>
      </w:r>
      <w:r w:rsidRPr="001C0754">
        <w:rPr>
          <w:rFonts w:ascii="Book Antiqua" w:hAnsi="Book Antiqua"/>
          <w:b/>
          <w:color w:val="000000"/>
          <w:sz w:val="24"/>
          <w:szCs w:val="24"/>
          <w:highlight w:val="white"/>
          <w:lang w:val="it-IT"/>
        </w:rPr>
        <w:t>ype</w:t>
      </w:r>
      <w:r w:rsidRPr="001C0754">
        <w:rPr>
          <w:rFonts w:ascii="Book Antiqua" w:hAnsi="Book Antiqua"/>
          <w:b/>
          <w:color w:val="000000"/>
          <w:sz w:val="24"/>
          <w:szCs w:val="24"/>
          <w:lang w:val="it-IT"/>
        </w:rPr>
        <w:t>: ORIGINAL ARTICLE</w:t>
      </w:r>
    </w:p>
    <w:p w14:paraId="5C296AE6" w14:textId="77777777" w:rsidR="001C0754" w:rsidRPr="001C0754" w:rsidRDefault="001C0754" w:rsidP="001C0754">
      <w:pPr>
        <w:adjustRightInd w:val="0"/>
        <w:snapToGrid w:val="0"/>
        <w:spacing w:line="360" w:lineRule="auto"/>
        <w:rPr>
          <w:rFonts w:ascii="Book Antiqua" w:hAnsi="Book Antiqua"/>
          <w:b/>
          <w:color w:val="000000"/>
          <w:sz w:val="24"/>
          <w:szCs w:val="24"/>
        </w:rPr>
      </w:pPr>
      <w:bookmarkStart w:id="35" w:name="OLE_LINK45"/>
    </w:p>
    <w:bookmarkEnd w:id="35"/>
    <w:p w14:paraId="629F2352" w14:textId="77777777" w:rsidR="002D20F5" w:rsidRPr="002D20F5" w:rsidRDefault="001C0754" w:rsidP="002D20F5">
      <w:pPr>
        <w:adjustRightInd w:val="0"/>
        <w:snapToGrid w:val="0"/>
        <w:spacing w:line="360" w:lineRule="auto"/>
        <w:rPr>
          <w:rFonts w:ascii="Book Antiqua" w:eastAsia="YouYuan" w:hAnsi="Book Antiqua"/>
          <w:b/>
          <w:i/>
          <w:sz w:val="24"/>
          <w:szCs w:val="24"/>
        </w:rPr>
      </w:pPr>
      <w:r w:rsidRPr="002D20F5">
        <w:rPr>
          <w:rFonts w:ascii="Book Antiqua" w:eastAsia="YouYuan" w:hAnsi="Book Antiqua"/>
          <w:b/>
          <w:i/>
          <w:sz w:val="24"/>
          <w:szCs w:val="24"/>
        </w:rPr>
        <w:t>Retrospective Study</w:t>
      </w:r>
      <w:bookmarkEnd w:id="33"/>
      <w:bookmarkEnd w:id="34"/>
    </w:p>
    <w:p w14:paraId="4E86F29B" w14:textId="0E1AE63F" w:rsidR="00B964CC" w:rsidRPr="002D20F5" w:rsidRDefault="00D87EC7" w:rsidP="002D20F5">
      <w:pPr>
        <w:adjustRightInd w:val="0"/>
        <w:snapToGrid w:val="0"/>
        <w:spacing w:line="360" w:lineRule="auto"/>
        <w:rPr>
          <w:rFonts w:ascii="Book Antiqua" w:hAnsi="Book Antiqua"/>
          <w:b/>
          <w:i/>
          <w:color w:val="000000"/>
          <w:sz w:val="24"/>
          <w:szCs w:val="24"/>
          <w:lang w:val="it-IT"/>
        </w:rPr>
      </w:pPr>
      <w:bookmarkStart w:id="36" w:name="OLE_LINK20"/>
      <w:bookmarkStart w:id="37" w:name="OLE_LINK21"/>
      <w:r w:rsidRPr="002D20F5">
        <w:rPr>
          <w:rFonts w:ascii="Book Antiqua" w:hAnsi="Book Antiqua"/>
          <w:b/>
          <w:color w:val="000000" w:themeColor="text1"/>
          <w:sz w:val="24"/>
          <w:szCs w:val="24"/>
        </w:rPr>
        <w:t>Agitation thrombolysis combined with catheter-directed thrombolysis for the treatment of non-cirrhotic acute portal vein thrombosis</w:t>
      </w:r>
    </w:p>
    <w:p w14:paraId="13D9D49C" w14:textId="77777777" w:rsidR="002D20F5" w:rsidRDefault="002D20F5" w:rsidP="00341E2D">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38" w:name="OLE_LINK217"/>
      <w:bookmarkEnd w:id="36"/>
      <w:bookmarkEnd w:id="37"/>
    </w:p>
    <w:p w14:paraId="2A160904" w14:textId="26BE2796" w:rsidR="00B964CC" w:rsidRPr="002D20F5" w:rsidRDefault="002D20F5" w:rsidP="00341E2D">
      <w:pPr>
        <w:pStyle w:val="1"/>
        <w:adjustRightInd w:val="0"/>
        <w:snapToGrid w:val="0"/>
        <w:spacing w:line="360" w:lineRule="auto"/>
        <w:jc w:val="both"/>
        <w:rPr>
          <w:rFonts w:ascii="Book Antiqua" w:hAnsi="Book Antiqua" w:cs="Times New Roman"/>
          <w:color w:val="000000" w:themeColor="text1"/>
          <w:sz w:val="24"/>
          <w:szCs w:val="24"/>
          <w:lang w:val="en-US" w:eastAsia="zh-CN"/>
        </w:rPr>
      </w:pPr>
      <w:r w:rsidRPr="002D20F5">
        <w:rPr>
          <w:rFonts w:ascii="Book Antiqua" w:hAnsi="Book Antiqua" w:cs="Times New Roman"/>
          <w:color w:val="000000" w:themeColor="text1"/>
          <w:sz w:val="24"/>
          <w:szCs w:val="24"/>
          <w:lang w:val="en-US" w:eastAsia="zh-CN"/>
        </w:rPr>
        <w:t xml:space="preserve">Wang CY </w:t>
      </w:r>
      <w:r w:rsidRPr="002D20F5">
        <w:rPr>
          <w:rFonts w:ascii="Book Antiqua" w:hAnsi="Book Antiqua" w:cs="Times New Roman"/>
          <w:i/>
          <w:color w:val="000000" w:themeColor="text1"/>
          <w:sz w:val="24"/>
          <w:szCs w:val="24"/>
          <w:lang w:val="en-US" w:eastAsia="zh-CN"/>
        </w:rPr>
        <w:t>et al</w:t>
      </w:r>
      <w:r w:rsidRPr="002D20F5">
        <w:rPr>
          <w:rFonts w:ascii="Book Antiqua" w:hAnsi="Book Antiqua" w:cs="Times New Roman"/>
          <w:color w:val="000000" w:themeColor="text1"/>
          <w:sz w:val="24"/>
          <w:szCs w:val="24"/>
          <w:lang w:val="en-US" w:eastAsia="zh-CN"/>
        </w:rPr>
        <w:t xml:space="preserve">. </w:t>
      </w:r>
      <w:r w:rsidR="00D87EC7" w:rsidRPr="002D20F5">
        <w:rPr>
          <w:rFonts w:ascii="Book Antiqua" w:hAnsi="Book Antiqua" w:cs="Times New Roman"/>
          <w:color w:val="000000" w:themeColor="text1"/>
          <w:sz w:val="24"/>
          <w:szCs w:val="24"/>
          <w:lang w:val="en-US" w:eastAsia="zh-CN"/>
        </w:rPr>
        <w:t>AT and CDT for non-cirrhotic PVT</w:t>
      </w:r>
    </w:p>
    <w:bookmarkEnd w:id="38"/>
    <w:p w14:paraId="2A6496BA"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6FF720DA"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Chao-Yang Wang, Le-Qun Wei, Huan-Zhang Niu, Wan-Qin Gao, Tong Wang, Shun-Jun Chen</w:t>
      </w:r>
    </w:p>
    <w:p w14:paraId="76B44FBE"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7E64124C" w14:textId="4F50954B"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Chao-Yang Wang, Le-Qun Wei, Huan-Zhang Niu, Wan-Qin Gao, Tong Wang, Shun-Jun Chen,</w:t>
      </w:r>
      <w:r w:rsidRPr="00341E2D">
        <w:rPr>
          <w:rFonts w:ascii="Book Antiqua" w:hAnsi="Book Antiqua"/>
          <w:color w:val="000000" w:themeColor="text1"/>
          <w:sz w:val="24"/>
          <w:szCs w:val="24"/>
        </w:rPr>
        <w:t xml:space="preserve"> Department of </w:t>
      </w:r>
      <w:r w:rsidR="003C7E11" w:rsidRPr="00341E2D">
        <w:rPr>
          <w:rFonts w:ascii="Book Antiqua" w:hAnsi="Book Antiqua"/>
          <w:color w:val="000000" w:themeColor="text1"/>
          <w:sz w:val="24"/>
          <w:szCs w:val="24"/>
        </w:rPr>
        <w:t>I</w:t>
      </w:r>
      <w:r w:rsidRPr="00341E2D">
        <w:rPr>
          <w:rFonts w:ascii="Book Antiqua" w:hAnsi="Book Antiqua"/>
          <w:color w:val="000000" w:themeColor="text1"/>
          <w:sz w:val="24"/>
          <w:szCs w:val="24"/>
        </w:rPr>
        <w:t>nterventional Radiology, The</w:t>
      </w:r>
      <w:r w:rsidR="002D20F5">
        <w:rPr>
          <w:rFonts w:ascii="Book Antiqua" w:hAnsi="Book Antiqua"/>
          <w:color w:val="000000" w:themeColor="text1"/>
          <w:sz w:val="24"/>
          <w:szCs w:val="24"/>
        </w:rPr>
        <w:t xml:space="preserve"> First Affiliated Hospital, </w:t>
      </w:r>
      <w:r w:rsidRPr="00341E2D">
        <w:rPr>
          <w:rFonts w:ascii="Book Antiqua" w:hAnsi="Book Antiqua"/>
          <w:color w:val="000000" w:themeColor="text1"/>
          <w:sz w:val="24"/>
          <w:szCs w:val="24"/>
        </w:rPr>
        <w:t>College of Clinical Medicine</w:t>
      </w:r>
      <w:r w:rsidR="002D20F5">
        <w:rPr>
          <w:rFonts w:ascii="Book Antiqua" w:hAnsi="Book Antiqua"/>
          <w:color w:val="000000" w:themeColor="text1"/>
          <w:sz w:val="24"/>
          <w:szCs w:val="24"/>
        </w:rPr>
        <w:t>,</w:t>
      </w:r>
      <w:r w:rsidRPr="00341E2D">
        <w:rPr>
          <w:rFonts w:ascii="Book Antiqua" w:hAnsi="Book Antiqua"/>
          <w:color w:val="000000" w:themeColor="text1"/>
          <w:sz w:val="24"/>
          <w:szCs w:val="24"/>
        </w:rPr>
        <w:t xml:space="preserve"> Henan University of Science and Technology, Luoyang 471000, Henan Province, China</w:t>
      </w:r>
    </w:p>
    <w:p w14:paraId="601EEB90"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1D3FDA31"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ORCID number:</w:t>
      </w:r>
      <w:r w:rsidRPr="00341E2D">
        <w:rPr>
          <w:rFonts w:ascii="Book Antiqua" w:hAnsi="Book Antiqua"/>
          <w:color w:val="000000" w:themeColor="text1"/>
          <w:sz w:val="24"/>
          <w:szCs w:val="24"/>
        </w:rPr>
        <w:t xml:space="preserve"> Chao-Yang Wang (0000-0002-9740-2158); Le-Qun Wei (0000-0002-0213-3216); Huan-Zhang Niu (0000-0001-9844-9778); Wan-Qin Gao (0000-0002-7450-2914); Tong Wang (0000-0003-3573-1148); Shun-Jun Chen (0000-0002-4597-9131).</w:t>
      </w:r>
    </w:p>
    <w:p w14:paraId="35A24C57"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2E576479" w14:textId="69D50498"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Author contributions:</w:t>
      </w:r>
      <w:r w:rsidRPr="00341E2D">
        <w:rPr>
          <w:rFonts w:ascii="Book Antiqua" w:hAnsi="Book Antiqua"/>
          <w:color w:val="000000" w:themeColor="text1"/>
          <w:sz w:val="24"/>
          <w:szCs w:val="24"/>
        </w:rPr>
        <w:t xml:space="preserve"> All authors helped to performed the research; Wang</w:t>
      </w:r>
      <w:r w:rsidR="002D20F5">
        <w:rPr>
          <w:rFonts w:ascii="Book Antiqua" w:hAnsi="Book Antiqua"/>
          <w:color w:val="000000" w:themeColor="text1"/>
          <w:sz w:val="24"/>
          <w:szCs w:val="24"/>
        </w:rPr>
        <w:t xml:space="preserve"> CY</w:t>
      </w:r>
      <w:r w:rsidRPr="00341E2D">
        <w:rPr>
          <w:rFonts w:ascii="Book Antiqua" w:hAnsi="Book Antiqua"/>
          <w:color w:val="000000" w:themeColor="text1"/>
          <w:sz w:val="24"/>
          <w:szCs w:val="24"/>
        </w:rPr>
        <w:t xml:space="preserve"> </w:t>
      </w:r>
      <w:r w:rsidR="002D20F5">
        <w:rPr>
          <w:rFonts w:ascii="Book Antiqua" w:hAnsi="Book Antiqua"/>
          <w:color w:val="000000" w:themeColor="text1"/>
          <w:sz w:val="24"/>
          <w:szCs w:val="24"/>
        </w:rPr>
        <w:t xml:space="preserve">contributed to </w:t>
      </w:r>
      <w:r w:rsidRPr="00341E2D">
        <w:rPr>
          <w:rFonts w:ascii="Book Antiqua" w:hAnsi="Book Antiqua"/>
          <w:color w:val="000000" w:themeColor="text1"/>
          <w:sz w:val="24"/>
          <w:szCs w:val="24"/>
        </w:rPr>
        <w:t>manuscript writing, performing procedures and data analysis; Wei</w:t>
      </w:r>
      <w:r w:rsidR="002D20F5">
        <w:rPr>
          <w:rFonts w:ascii="Book Antiqua" w:hAnsi="Book Antiqua"/>
          <w:color w:val="000000" w:themeColor="text1"/>
          <w:sz w:val="24"/>
          <w:szCs w:val="24"/>
        </w:rPr>
        <w:t xml:space="preserve"> LQ contributed to</w:t>
      </w:r>
      <w:r w:rsidRPr="00341E2D">
        <w:rPr>
          <w:rFonts w:ascii="Book Antiqua" w:hAnsi="Book Antiqua"/>
          <w:color w:val="000000" w:themeColor="text1"/>
          <w:sz w:val="24"/>
          <w:szCs w:val="24"/>
        </w:rPr>
        <w:t xml:space="preserve"> drafting conception and design, data analysis; Niu</w:t>
      </w:r>
      <w:r w:rsidR="00A05BE2">
        <w:rPr>
          <w:rFonts w:ascii="Book Antiqua" w:hAnsi="Book Antiqua"/>
          <w:color w:val="000000" w:themeColor="text1"/>
          <w:sz w:val="24"/>
          <w:szCs w:val="24"/>
        </w:rPr>
        <w:t xml:space="preserve"> HZ contributed to</w:t>
      </w:r>
      <w:r w:rsidRPr="00341E2D">
        <w:rPr>
          <w:rFonts w:ascii="Book Antiqua" w:hAnsi="Book Antiqua"/>
          <w:color w:val="000000" w:themeColor="text1"/>
          <w:sz w:val="24"/>
          <w:szCs w:val="24"/>
        </w:rPr>
        <w:t xml:space="preserve"> writing the manuscript, drafting conception and design; Gao</w:t>
      </w:r>
      <w:r w:rsidR="00A05BE2">
        <w:rPr>
          <w:rFonts w:ascii="Book Antiqua" w:hAnsi="Book Antiqua"/>
          <w:color w:val="000000" w:themeColor="text1"/>
          <w:sz w:val="24"/>
          <w:szCs w:val="24"/>
        </w:rPr>
        <w:t xml:space="preserve"> WQ</w:t>
      </w:r>
      <w:r w:rsidRPr="00341E2D">
        <w:rPr>
          <w:rFonts w:ascii="Book Antiqua" w:hAnsi="Book Antiqua"/>
          <w:color w:val="000000" w:themeColor="text1"/>
          <w:sz w:val="24"/>
          <w:szCs w:val="24"/>
        </w:rPr>
        <w:t>, Wang</w:t>
      </w:r>
      <w:r w:rsidR="00A05BE2">
        <w:rPr>
          <w:rFonts w:ascii="Book Antiqua" w:hAnsi="Book Antiqua"/>
          <w:color w:val="000000" w:themeColor="text1"/>
          <w:sz w:val="24"/>
          <w:szCs w:val="24"/>
        </w:rPr>
        <w:t xml:space="preserve"> T</w:t>
      </w:r>
      <w:r w:rsidRPr="00341E2D">
        <w:rPr>
          <w:rFonts w:ascii="Book Antiqua" w:hAnsi="Book Antiqua"/>
          <w:color w:val="000000" w:themeColor="text1"/>
          <w:sz w:val="24"/>
          <w:szCs w:val="24"/>
        </w:rPr>
        <w:t xml:space="preserve"> and Chen</w:t>
      </w:r>
      <w:r w:rsidR="00A05BE2">
        <w:rPr>
          <w:rFonts w:ascii="Book Antiqua" w:hAnsi="Book Antiqua"/>
          <w:color w:val="000000" w:themeColor="text1"/>
          <w:sz w:val="24"/>
          <w:szCs w:val="24"/>
        </w:rPr>
        <w:t xml:space="preserve"> SJ</w:t>
      </w:r>
      <w:r w:rsidRPr="00341E2D">
        <w:rPr>
          <w:rFonts w:ascii="Book Antiqua" w:hAnsi="Book Antiqua"/>
          <w:color w:val="000000" w:themeColor="text1"/>
          <w:sz w:val="24"/>
          <w:szCs w:val="24"/>
        </w:rPr>
        <w:t xml:space="preserve"> contribut</w:t>
      </w:r>
      <w:r w:rsidR="00A05BE2">
        <w:rPr>
          <w:rFonts w:ascii="Book Antiqua" w:hAnsi="Book Antiqua"/>
          <w:color w:val="000000" w:themeColor="text1"/>
          <w:sz w:val="24"/>
          <w:szCs w:val="24"/>
        </w:rPr>
        <w:t>ed</w:t>
      </w:r>
      <w:r w:rsidRPr="00341E2D">
        <w:rPr>
          <w:rFonts w:ascii="Book Antiqua" w:hAnsi="Book Antiqua"/>
          <w:color w:val="000000" w:themeColor="text1"/>
          <w:sz w:val="24"/>
          <w:szCs w:val="24"/>
        </w:rPr>
        <w:t xml:space="preserve"> to drafting conception and design.</w:t>
      </w:r>
    </w:p>
    <w:p w14:paraId="69B638A4"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0EA7DEBF" w14:textId="2C1E1C0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Institutional review board statement:</w:t>
      </w:r>
      <w:r w:rsidRPr="00341E2D">
        <w:rPr>
          <w:rFonts w:ascii="Book Antiqua" w:hAnsi="Book Antiqua"/>
          <w:color w:val="000000" w:themeColor="text1"/>
          <w:sz w:val="24"/>
          <w:szCs w:val="24"/>
        </w:rPr>
        <w:t xml:space="preserve"> This study was reviewed and </w:t>
      </w:r>
      <w:r w:rsidRPr="00341E2D">
        <w:rPr>
          <w:rFonts w:ascii="Book Antiqua" w:hAnsi="Book Antiqua"/>
          <w:color w:val="000000" w:themeColor="text1"/>
          <w:sz w:val="24"/>
          <w:szCs w:val="24"/>
        </w:rPr>
        <w:lastRenderedPageBreak/>
        <w:t>approved by the Ethics Committee of the The First Affiliated Hospital, College of Clinical Medicine of Henan University of Science and Technology.</w:t>
      </w:r>
    </w:p>
    <w:p w14:paraId="5918FFD4"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2F1B5BEE"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 xml:space="preserve">Informed consent statement: </w:t>
      </w:r>
      <w:r w:rsidRPr="00341E2D">
        <w:rPr>
          <w:rFonts w:ascii="Book Antiqua" w:hAnsi="Book Antiqua"/>
          <w:color w:val="000000" w:themeColor="text1"/>
          <w:sz w:val="24"/>
          <w:szCs w:val="24"/>
        </w:rPr>
        <w:t xml:space="preserve">Patients were not required to give informed consent to the study because the analysis used anonymous clinical data that were obtained after each patient agreed to treatment by written consent. </w:t>
      </w:r>
    </w:p>
    <w:p w14:paraId="47A2933A"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42F6E2C6" w14:textId="3FC4A07C"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 xml:space="preserve">Conflict-of-interest statement: </w:t>
      </w:r>
      <w:r w:rsidR="00A05BE2">
        <w:rPr>
          <w:rFonts w:ascii="Book Antiqua" w:hAnsi="Book Antiqua"/>
          <w:color w:val="000000" w:themeColor="text1"/>
          <w:sz w:val="24"/>
          <w:szCs w:val="24"/>
        </w:rPr>
        <w:t>All authors declare no conflict</w:t>
      </w:r>
      <w:r w:rsidRPr="00341E2D">
        <w:rPr>
          <w:rFonts w:ascii="Book Antiqua" w:hAnsi="Book Antiqua"/>
          <w:color w:val="000000" w:themeColor="text1"/>
          <w:sz w:val="24"/>
          <w:szCs w:val="24"/>
        </w:rPr>
        <w:t>-of interest related to this article.</w:t>
      </w:r>
    </w:p>
    <w:p w14:paraId="1466A371"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4098F3E7"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 xml:space="preserve">Data sharing statement: </w:t>
      </w:r>
      <w:r w:rsidRPr="00341E2D">
        <w:rPr>
          <w:rFonts w:ascii="Book Antiqua" w:hAnsi="Book Antiqua"/>
          <w:color w:val="000000" w:themeColor="text1"/>
          <w:sz w:val="24"/>
          <w:szCs w:val="24"/>
        </w:rPr>
        <w:t>No additional data are available.</w:t>
      </w:r>
    </w:p>
    <w:p w14:paraId="46D1B431" w14:textId="77777777" w:rsidR="00B964CC" w:rsidRPr="00A05BE2" w:rsidRDefault="00B964CC" w:rsidP="00A05BE2">
      <w:pPr>
        <w:adjustRightInd w:val="0"/>
        <w:snapToGrid w:val="0"/>
        <w:spacing w:line="360" w:lineRule="auto"/>
        <w:rPr>
          <w:rFonts w:ascii="Book Antiqua" w:hAnsi="Book Antiqua"/>
          <w:color w:val="000000" w:themeColor="text1"/>
          <w:sz w:val="24"/>
          <w:szCs w:val="24"/>
        </w:rPr>
      </w:pPr>
    </w:p>
    <w:p w14:paraId="74195A7B" w14:textId="77777777" w:rsidR="00A05BE2" w:rsidRPr="00A05BE2" w:rsidRDefault="00A05BE2" w:rsidP="00A05BE2">
      <w:pPr>
        <w:adjustRightInd w:val="0"/>
        <w:snapToGrid w:val="0"/>
        <w:spacing w:line="360" w:lineRule="auto"/>
        <w:rPr>
          <w:rFonts w:ascii="Book Antiqua" w:hAnsi="Book Antiqua"/>
          <w:sz w:val="24"/>
          <w:szCs w:val="24"/>
        </w:rPr>
      </w:pPr>
      <w:r w:rsidRPr="00A05BE2">
        <w:rPr>
          <w:rFonts w:ascii="Book Antiqua" w:hAnsi="Book Antiqua"/>
          <w:b/>
          <w:color w:val="000000"/>
          <w:sz w:val="24"/>
          <w:szCs w:val="24"/>
        </w:rPr>
        <w:t xml:space="preserve">Open-Access: </w:t>
      </w:r>
      <w:bookmarkStart w:id="39" w:name="OLE_LINK25"/>
      <w:r w:rsidRPr="00A05BE2">
        <w:rPr>
          <w:rFonts w:ascii="Book Antiqua" w:hAnsi="Book Antiqua"/>
          <w:color w:val="000000"/>
          <w:sz w:val="24"/>
          <w:szCs w:val="24"/>
        </w:rPr>
        <w:t xml:space="preserve">This is an </w:t>
      </w:r>
      <w:r w:rsidRPr="00A05BE2">
        <w:rPr>
          <w:rFonts w:ascii="Book Antiqua" w:hAnsi="Book Antiqua" w:cs="SimSun"/>
          <w:sz w:val="24"/>
          <w:szCs w:val="24"/>
        </w:rPr>
        <w:t xml:space="preserve">open-access article that was </w:t>
      </w:r>
      <w:r w:rsidRPr="00A05BE2">
        <w:rPr>
          <w:rFonts w:ascii="Book Antiqua" w:hAnsi="Book Antiqua"/>
          <w:sz w:val="24"/>
          <w:szCs w:val="24"/>
        </w:rPr>
        <w:t xml:space="preserve">selected by an in-house editor and fully peer-reviewed by external reviewers. It is </w:t>
      </w:r>
      <w:r w:rsidRPr="00A05BE2">
        <w:rPr>
          <w:rFonts w:ascii="Book Antiqua" w:hAnsi="Book Antiqua" w:cs="SimSun"/>
          <w:sz w:val="24"/>
          <w:szCs w:val="24"/>
        </w:rPr>
        <w:t xml:space="preserve">distributed in accordance with </w:t>
      </w:r>
      <w:r w:rsidRPr="00A05BE2">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05BE2">
          <w:rPr>
            <w:rStyle w:val="Hyperlink"/>
            <w:rFonts w:ascii="Book Antiqua" w:hAnsi="Book Antiqua"/>
            <w:sz w:val="24"/>
            <w:szCs w:val="24"/>
          </w:rPr>
          <w:t>http://creativecommons.org/licenses/by-nc/4.0/</w:t>
        </w:r>
      </w:hyperlink>
      <w:bookmarkEnd w:id="39"/>
    </w:p>
    <w:p w14:paraId="0BB1260F" w14:textId="77777777" w:rsidR="00A05BE2" w:rsidRPr="00A05BE2" w:rsidRDefault="00A05BE2" w:rsidP="00A05BE2">
      <w:pPr>
        <w:adjustRightInd w:val="0"/>
        <w:snapToGrid w:val="0"/>
        <w:spacing w:line="360" w:lineRule="auto"/>
        <w:rPr>
          <w:rFonts w:ascii="Book Antiqua" w:hAnsi="Book Antiqua"/>
          <w:sz w:val="24"/>
          <w:szCs w:val="24"/>
        </w:rPr>
      </w:pPr>
    </w:p>
    <w:p w14:paraId="260DCD37" w14:textId="77777777" w:rsidR="00A05BE2" w:rsidRPr="00A05BE2" w:rsidRDefault="00A05BE2" w:rsidP="00A05BE2">
      <w:pPr>
        <w:pStyle w:val="1"/>
        <w:adjustRightInd w:val="0"/>
        <w:snapToGrid w:val="0"/>
        <w:spacing w:line="360" w:lineRule="auto"/>
        <w:jc w:val="both"/>
        <w:rPr>
          <w:rFonts w:ascii="Book Antiqua" w:hAnsi="Book Antiqua" w:cs="Times New Roman"/>
          <w:b/>
          <w:bCs/>
          <w:color w:val="auto"/>
          <w:sz w:val="24"/>
          <w:szCs w:val="24"/>
          <w:highlight w:val="white"/>
          <w:lang w:val="en-US"/>
        </w:rPr>
      </w:pPr>
      <w:r w:rsidRPr="00A05BE2">
        <w:rPr>
          <w:rFonts w:ascii="Book Antiqua" w:hAnsi="Book Antiqua" w:cs="Times New Roman"/>
          <w:b/>
          <w:bCs/>
          <w:color w:val="auto"/>
          <w:sz w:val="24"/>
          <w:szCs w:val="24"/>
          <w:highlight w:val="white"/>
          <w:lang w:val="en-US"/>
        </w:rPr>
        <w:t>Manuscript source:</w:t>
      </w:r>
      <w:r w:rsidRPr="00A05BE2">
        <w:rPr>
          <w:rFonts w:ascii="Book Antiqua" w:hAnsi="Book Antiqua" w:cs="Times New Roman" w:hint="eastAsia"/>
          <w:b/>
          <w:bCs/>
          <w:color w:val="auto"/>
          <w:sz w:val="24"/>
          <w:szCs w:val="24"/>
          <w:highlight w:val="white"/>
          <w:lang w:val="en-US" w:eastAsia="zh-CN"/>
        </w:rPr>
        <w:t xml:space="preserve"> </w:t>
      </w:r>
      <w:r w:rsidRPr="00A05BE2">
        <w:rPr>
          <w:rFonts w:ascii="Book Antiqua" w:hAnsi="Book Antiqua" w:cs="Times New Roman"/>
          <w:bCs/>
          <w:color w:val="auto"/>
          <w:sz w:val="24"/>
          <w:szCs w:val="24"/>
          <w:highlight w:val="white"/>
          <w:lang w:val="en-US"/>
        </w:rPr>
        <w:t xml:space="preserve">Unsolicited manuscript </w:t>
      </w:r>
    </w:p>
    <w:p w14:paraId="754D7FBF" w14:textId="77777777" w:rsidR="00A05BE2" w:rsidRPr="00A05BE2" w:rsidRDefault="00A05BE2" w:rsidP="00A05BE2">
      <w:pPr>
        <w:adjustRightInd w:val="0"/>
        <w:snapToGrid w:val="0"/>
        <w:spacing w:line="360" w:lineRule="auto"/>
        <w:rPr>
          <w:rFonts w:ascii="Book Antiqua" w:hAnsi="Book Antiqua"/>
          <w:color w:val="000000" w:themeColor="text1"/>
          <w:sz w:val="24"/>
          <w:szCs w:val="24"/>
        </w:rPr>
      </w:pPr>
    </w:p>
    <w:p w14:paraId="75FA9C61" w14:textId="773841E0" w:rsidR="00B964CC" w:rsidRPr="00341E2D" w:rsidRDefault="00D87EC7" w:rsidP="00A05BE2">
      <w:pPr>
        <w:adjustRightInd w:val="0"/>
        <w:snapToGrid w:val="0"/>
        <w:spacing w:line="360" w:lineRule="auto"/>
        <w:rPr>
          <w:rFonts w:ascii="Book Antiqua" w:hAnsi="Book Antiqua"/>
          <w:color w:val="000000" w:themeColor="text1"/>
          <w:sz w:val="24"/>
          <w:szCs w:val="24"/>
        </w:rPr>
      </w:pPr>
      <w:r w:rsidRPr="00A05BE2">
        <w:rPr>
          <w:rFonts w:ascii="Book Antiqua" w:hAnsi="Book Antiqua"/>
          <w:b/>
          <w:color w:val="000000" w:themeColor="text1"/>
          <w:sz w:val="24"/>
          <w:szCs w:val="24"/>
        </w:rPr>
        <w:t>Correspondence to: Huan-Zhang Niu, MD,</w:t>
      </w:r>
      <w:r w:rsidRPr="00A05BE2">
        <w:rPr>
          <w:rFonts w:ascii="Book Antiqua" w:hAnsi="Book Antiqua"/>
          <w:color w:val="000000" w:themeColor="text1"/>
          <w:sz w:val="24"/>
          <w:szCs w:val="24"/>
        </w:rPr>
        <w:t xml:space="preserve"> </w:t>
      </w:r>
      <w:r w:rsidR="00A05BE2" w:rsidRPr="00A05BE2">
        <w:rPr>
          <w:rFonts w:ascii="Book Antiqua" w:hAnsi="Book Antiqua"/>
          <w:b/>
          <w:color w:val="000000" w:themeColor="text1"/>
          <w:sz w:val="24"/>
          <w:szCs w:val="24"/>
        </w:rPr>
        <w:t>Chief Doctor,</w:t>
      </w:r>
      <w:r w:rsidR="00A05BE2">
        <w:rPr>
          <w:rFonts w:ascii="Book Antiqua" w:hAnsi="Book Antiqua"/>
          <w:color w:val="000000" w:themeColor="text1"/>
          <w:sz w:val="24"/>
          <w:szCs w:val="24"/>
        </w:rPr>
        <w:t xml:space="preserve"> </w:t>
      </w:r>
      <w:r w:rsidRPr="00A05BE2">
        <w:rPr>
          <w:rFonts w:ascii="Book Antiqua" w:hAnsi="Book Antiqua"/>
          <w:color w:val="000000" w:themeColor="text1"/>
          <w:sz w:val="24"/>
          <w:szCs w:val="24"/>
        </w:rPr>
        <w:t xml:space="preserve">Department of </w:t>
      </w:r>
      <w:r w:rsidR="003C7E11" w:rsidRPr="00A05BE2">
        <w:rPr>
          <w:rFonts w:ascii="Book Antiqua" w:hAnsi="Book Antiqua"/>
          <w:color w:val="000000" w:themeColor="text1"/>
          <w:sz w:val="24"/>
          <w:szCs w:val="24"/>
        </w:rPr>
        <w:t>I</w:t>
      </w:r>
      <w:r w:rsidRPr="00A05BE2">
        <w:rPr>
          <w:rFonts w:ascii="Book Antiqua" w:hAnsi="Book Antiqua"/>
          <w:color w:val="000000" w:themeColor="text1"/>
          <w:sz w:val="24"/>
          <w:szCs w:val="24"/>
        </w:rPr>
        <w:t>nterventional Radiology, Th</w:t>
      </w:r>
      <w:r w:rsidR="00A05BE2">
        <w:rPr>
          <w:rFonts w:ascii="Book Antiqua" w:hAnsi="Book Antiqua"/>
          <w:color w:val="000000" w:themeColor="text1"/>
          <w:sz w:val="24"/>
          <w:szCs w:val="24"/>
        </w:rPr>
        <w:t>e First Affiliated Hospital,</w:t>
      </w:r>
      <w:r w:rsidRPr="00A05BE2">
        <w:rPr>
          <w:rFonts w:ascii="Book Antiqua" w:hAnsi="Book Antiqua"/>
          <w:color w:val="000000" w:themeColor="text1"/>
          <w:sz w:val="24"/>
          <w:szCs w:val="24"/>
        </w:rPr>
        <w:t xml:space="preserve"> College of Clinical Medicine</w:t>
      </w:r>
      <w:r w:rsidR="00A05BE2">
        <w:rPr>
          <w:rFonts w:ascii="Book Antiqua" w:hAnsi="Book Antiqua"/>
          <w:color w:val="000000" w:themeColor="text1"/>
          <w:sz w:val="24"/>
          <w:szCs w:val="24"/>
        </w:rPr>
        <w:t>,</w:t>
      </w:r>
      <w:r w:rsidRPr="00A05BE2">
        <w:rPr>
          <w:rFonts w:ascii="Book Antiqua" w:hAnsi="Book Antiqua"/>
          <w:color w:val="000000" w:themeColor="text1"/>
          <w:sz w:val="24"/>
          <w:szCs w:val="24"/>
        </w:rPr>
        <w:t xml:space="preserve"> Henan University of Science and Technology, </w:t>
      </w:r>
      <w:r w:rsidR="006D523B">
        <w:rPr>
          <w:rFonts w:ascii="Book Antiqua" w:hAnsi="Book Antiqua"/>
          <w:color w:val="000000" w:themeColor="text1"/>
          <w:sz w:val="24"/>
          <w:szCs w:val="24"/>
        </w:rPr>
        <w:t>No. 24</w:t>
      </w:r>
      <w:r w:rsidR="006D523B" w:rsidRPr="006D523B">
        <w:rPr>
          <w:rFonts w:ascii="Book Antiqua" w:hAnsi="Book Antiqua"/>
          <w:color w:val="000000" w:themeColor="text1"/>
          <w:sz w:val="24"/>
          <w:szCs w:val="24"/>
        </w:rPr>
        <w:t xml:space="preserve"> Jing Hua Road</w:t>
      </w:r>
      <w:r w:rsidR="006D523B">
        <w:rPr>
          <w:rFonts w:ascii="Book Antiqua" w:hAnsi="Book Antiqua"/>
          <w:color w:val="000000" w:themeColor="text1"/>
          <w:sz w:val="24"/>
          <w:szCs w:val="24"/>
        </w:rPr>
        <w:t>,</w:t>
      </w:r>
      <w:r w:rsidR="006D523B" w:rsidRPr="006D523B">
        <w:rPr>
          <w:rFonts w:ascii="Book Antiqua" w:hAnsi="Book Antiqua"/>
          <w:color w:val="000000" w:themeColor="text1"/>
          <w:sz w:val="24"/>
          <w:szCs w:val="24"/>
        </w:rPr>
        <w:t xml:space="preserve"> </w:t>
      </w:r>
      <w:r w:rsidRPr="00A05BE2">
        <w:rPr>
          <w:rFonts w:ascii="Book Antiqua" w:hAnsi="Book Antiqua"/>
          <w:color w:val="000000" w:themeColor="text1"/>
          <w:sz w:val="24"/>
          <w:szCs w:val="24"/>
        </w:rPr>
        <w:t>Luoyang 471000, Henan</w:t>
      </w:r>
      <w:r w:rsidRPr="00341E2D">
        <w:rPr>
          <w:rFonts w:ascii="Book Antiqua" w:hAnsi="Book Antiqua"/>
          <w:color w:val="000000" w:themeColor="text1"/>
          <w:sz w:val="24"/>
          <w:szCs w:val="24"/>
        </w:rPr>
        <w:t xml:space="preserve"> Province, China. </w:t>
      </w:r>
      <w:hyperlink r:id="rId10" w:history="1">
        <w:r w:rsidRPr="00341E2D">
          <w:rPr>
            <w:rStyle w:val="Hyperlink"/>
            <w:rFonts w:ascii="Book Antiqua" w:hAnsi="Book Antiqua"/>
            <w:color w:val="000000" w:themeColor="text1"/>
            <w:sz w:val="24"/>
            <w:szCs w:val="24"/>
            <w:u w:val="none"/>
          </w:rPr>
          <w:t>niuhuanzhangsci@sina.com</w:t>
        </w:r>
      </w:hyperlink>
    </w:p>
    <w:p w14:paraId="2A4E3A9D" w14:textId="7200F00C"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Telephone:</w:t>
      </w:r>
      <w:r w:rsidR="00A05BE2">
        <w:rPr>
          <w:rFonts w:ascii="Book Antiqua" w:hAnsi="Book Antiqua"/>
          <w:b/>
          <w:color w:val="000000" w:themeColor="text1"/>
          <w:sz w:val="24"/>
          <w:szCs w:val="24"/>
        </w:rPr>
        <w:t xml:space="preserve"> </w:t>
      </w:r>
      <w:bookmarkStart w:id="40" w:name="OLE_LINK22"/>
      <w:r w:rsidR="00A05BE2">
        <w:rPr>
          <w:rFonts w:ascii="Book Antiqua" w:hAnsi="Book Antiqua"/>
          <w:color w:val="000000" w:themeColor="text1"/>
          <w:sz w:val="24"/>
          <w:szCs w:val="24"/>
        </w:rPr>
        <w:t>+86-</w:t>
      </w:r>
      <w:r w:rsidRPr="00341E2D">
        <w:rPr>
          <w:rFonts w:ascii="Book Antiqua" w:hAnsi="Book Antiqua"/>
          <w:color w:val="000000" w:themeColor="text1"/>
          <w:sz w:val="24"/>
          <w:szCs w:val="24"/>
        </w:rPr>
        <w:t>379-64830771</w:t>
      </w:r>
    </w:p>
    <w:bookmarkEnd w:id="40"/>
    <w:p w14:paraId="162B58CD" w14:textId="77777777" w:rsidR="00B964CC" w:rsidRPr="00BA4196" w:rsidRDefault="00B964CC" w:rsidP="00341E2D">
      <w:pPr>
        <w:adjustRightInd w:val="0"/>
        <w:snapToGrid w:val="0"/>
        <w:spacing w:line="360" w:lineRule="auto"/>
        <w:rPr>
          <w:rFonts w:ascii="Book Antiqua" w:hAnsi="Book Antiqua"/>
          <w:color w:val="000000" w:themeColor="text1"/>
          <w:sz w:val="24"/>
          <w:szCs w:val="24"/>
        </w:rPr>
      </w:pPr>
    </w:p>
    <w:p w14:paraId="472E8DD8" w14:textId="34609134" w:rsidR="00BA4196" w:rsidRPr="00BA4196" w:rsidRDefault="00BA4196" w:rsidP="00BA4196">
      <w:pPr>
        <w:adjustRightInd w:val="0"/>
        <w:snapToGrid w:val="0"/>
        <w:spacing w:line="360" w:lineRule="auto"/>
        <w:rPr>
          <w:rFonts w:ascii="Book Antiqua" w:hAnsi="Book Antiqua"/>
          <w:b/>
          <w:sz w:val="24"/>
          <w:szCs w:val="24"/>
        </w:rPr>
      </w:pPr>
      <w:bookmarkStart w:id="41" w:name="OLE_LINK14"/>
      <w:bookmarkStart w:id="42" w:name="OLE_LINK16"/>
      <w:bookmarkStart w:id="43" w:name="OLE_LINK51"/>
      <w:r w:rsidRPr="00BA4196">
        <w:rPr>
          <w:rFonts w:ascii="Book Antiqua" w:hAnsi="Book Antiqua"/>
          <w:b/>
          <w:sz w:val="24"/>
          <w:szCs w:val="24"/>
        </w:rPr>
        <w:t xml:space="preserve">Received: </w:t>
      </w:r>
      <w:r w:rsidR="00533044">
        <w:rPr>
          <w:rFonts w:ascii="Book Antiqua" w:hAnsi="Book Antiqua"/>
          <w:sz w:val="24"/>
          <w:szCs w:val="24"/>
        </w:rPr>
        <w:t>July</w:t>
      </w:r>
      <w:r w:rsidR="00533044">
        <w:rPr>
          <w:rFonts w:ascii="Book Antiqua" w:eastAsia="DengXian" w:hAnsi="Book Antiqua"/>
          <w:sz w:val="24"/>
          <w:szCs w:val="24"/>
        </w:rPr>
        <w:t xml:space="preserve"> 23</w:t>
      </w:r>
      <w:r w:rsidRPr="00BA4196">
        <w:rPr>
          <w:rFonts w:ascii="Book Antiqua" w:eastAsia="DengXian" w:hAnsi="Book Antiqua"/>
          <w:sz w:val="24"/>
          <w:szCs w:val="24"/>
        </w:rPr>
        <w:t>, 2018</w:t>
      </w:r>
      <w:r w:rsidRPr="00BA4196">
        <w:rPr>
          <w:rFonts w:ascii="Book Antiqua" w:hAnsi="Book Antiqua"/>
          <w:b/>
          <w:sz w:val="24"/>
          <w:szCs w:val="24"/>
        </w:rPr>
        <w:t xml:space="preserve">  </w:t>
      </w:r>
    </w:p>
    <w:p w14:paraId="6004792C" w14:textId="0CB0FB37" w:rsidR="00BA4196" w:rsidRPr="00BA4196" w:rsidRDefault="00BA4196" w:rsidP="00BA4196">
      <w:pPr>
        <w:adjustRightInd w:val="0"/>
        <w:snapToGrid w:val="0"/>
        <w:spacing w:line="360" w:lineRule="auto"/>
        <w:rPr>
          <w:rFonts w:ascii="Book Antiqua" w:eastAsia="DengXian" w:hAnsi="Book Antiqua"/>
          <w:b/>
          <w:sz w:val="24"/>
          <w:szCs w:val="24"/>
        </w:rPr>
      </w:pPr>
      <w:r w:rsidRPr="00BA4196">
        <w:rPr>
          <w:rFonts w:ascii="Book Antiqua" w:hAnsi="Book Antiqua"/>
          <w:b/>
          <w:sz w:val="24"/>
          <w:szCs w:val="24"/>
        </w:rPr>
        <w:t>Peer-review started:</w:t>
      </w:r>
      <w:r w:rsidRPr="00BA4196">
        <w:rPr>
          <w:rFonts w:ascii="Book Antiqua" w:eastAsia="DengXian" w:hAnsi="Book Antiqua"/>
          <w:b/>
          <w:sz w:val="24"/>
          <w:szCs w:val="24"/>
        </w:rPr>
        <w:t xml:space="preserve"> </w:t>
      </w:r>
      <w:r w:rsidR="00533044">
        <w:rPr>
          <w:rFonts w:ascii="Book Antiqua" w:hAnsi="Book Antiqua"/>
          <w:sz w:val="24"/>
          <w:szCs w:val="24"/>
        </w:rPr>
        <w:t>July</w:t>
      </w:r>
      <w:r w:rsidR="00533044">
        <w:rPr>
          <w:rFonts w:ascii="Book Antiqua" w:eastAsia="DengXian" w:hAnsi="Book Antiqua"/>
          <w:sz w:val="24"/>
          <w:szCs w:val="24"/>
        </w:rPr>
        <w:t xml:space="preserve"> 23</w:t>
      </w:r>
      <w:r w:rsidRPr="00BA4196">
        <w:rPr>
          <w:rFonts w:ascii="Book Antiqua" w:eastAsia="DengXian" w:hAnsi="Book Antiqua"/>
          <w:sz w:val="24"/>
          <w:szCs w:val="24"/>
        </w:rPr>
        <w:t>, 2018</w:t>
      </w:r>
    </w:p>
    <w:p w14:paraId="26A987CB" w14:textId="414445A8" w:rsidR="00BA4196" w:rsidRPr="00BA4196" w:rsidRDefault="00BA4196" w:rsidP="00BA4196">
      <w:pPr>
        <w:adjustRightInd w:val="0"/>
        <w:snapToGrid w:val="0"/>
        <w:spacing w:line="360" w:lineRule="auto"/>
        <w:rPr>
          <w:rFonts w:ascii="Book Antiqua" w:eastAsia="DengXian" w:hAnsi="Book Antiqua"/>
          <w:b/>
          <w:sz w:val="24"/>
          <w:szCs w:val="24"/>
        </w:rPr>
      </w:pPr>
      <w:r w:rsidRPr="00BA4196">
        <w:rPr>
          <w:rFonts w:ascii="Book Antiqua" w:hAnsi="Book Antiqua"/>
          <w:b/>
          <w:sz w:val="24"/>
          <w:szCs w:val="24"/>
        </w:rPr>
        <w:t>First decision:</w:t>
      </w:r>
      <w:r w:rsidRPr="00BA4196">
        <w:rPr>
          <w:rFonts w:ascii="Book Antiqua" w:eastAsia="DengXian" w:hAnsi="Book Antiqua"/>
          <w:b/>
          <w:sz w:val="24"/>
          <w:szCs w:val="24"/>
        </w:rPr>
        <w:t xml:space="preserve"> </w:t>
      </w:r>
      <w:r w:rsidR="00533044">
        <w:rPr>
          <w:rFonts w:ascii="Book Antiqua" w:hAnsi="Book Antiqua"/>
          <w:sz w:val="24"/>
          <w:szCs w:val="24"/>
        </w:rPr>
        <w:t>August</w:t>
      </w:r>
      <w:r w:rsidR="00533044">
        <w:rPr>
          <w:rFonts w:ascii="Book Antiqua" w:eastAsia="DengXian" w:hAnsi="Book Antiqua"/>
          <w:sz w:val="24"/>
          <w:szCs w:val="24"/>
        </w:rPr>
        <w:t xml:space="preserve"> 30</w:t>
      </w:r>
      <w:r w:rsidRPr="00BA4196">
        <w:rPr>
          <w:rFonts w:ascii="Book Antiqua" w:eastAsia="DengXian" w:hAnsi="Book Antiqua"/>
          <w:sz w:val="24"/>
          <w:szCs w:val="24"/>
        </w:rPr>
        <w:t>, 2018</w:t>
      </w:r>
    </w:p>
    <w:p w14:paraId="50CB456C" w14:textId="640C9FE5" w:rsidR="00BA4196" w:rsidRPr="00BA4196" w:rsidRDefault="00BA4196" w:rsidP="00BA4196">
      <w:pPr>
        <w:adjustRightInd w:val="0"/>
        <w:snapToGrid w:val="0"/>
        <w:spacing w:line="360" w:lineRule="auto"/>
        <w:rPr>
          <w:rFonts w:ascii="Book Antiqua" w:hAnsi="Book Antiqua"/>
          <w:b/>
          <w:sz w:val="24"/>
          <w:szCs w:val="24"/>
        </w:rPr>
      </w:pPr>
      <w:r w:rsidRPr="00BA4196">
        <w:rPr>
          <w:rFonts w:ascii="Book Antiqua" w:hAnsi="Book Antiqua"/>
          <w:b/>
          <w:sz w:val="24"/>
          <w:szCs w:val="24"/>
        </w:rPr>
        <w:lastRenderedPageBreak/>
        <w:t xml:space="preserve">Revised: </w:t>
      </w:r>
      <w:r w:rsidR="00533044">
        <w:rPr>
          <w:rFonts w:ascii="Book Antiqua" w:hAnsi="Book Antiqua"/>
          <w:sz w:val="24"/>
          <w:szCs w:val="24"/>
        </w:rPr>
        <w:t>September 13</w:t>
      </w:r>
      <w:r w:rsidRPr="00BA4196">
        <w:rPr>
          <w:rFonts w:ascii="Book Antiqua" w:hAnsi="Book Antiqua"/>
          <w:sz w:val="24"/>
          <w:szCs w:val="24"/>
        </w:rPr>
        <w:t xml:space="preserve">, 2018 </w:t>
      </w:r>
    </w:p>
    <w:p w14:paraId="21330F70" w14:textId="5FF3DA6E" w:rsidR="00BA4196" w:rsidRPr="00BA4196" w:rsidRDefault="00BA4196" w:rsidP="00BA4196">
      <w:pPr>
        <w:adjustRightInd w:val="0"/>
        <w:snapToGrid w:val="0"/>
        <w:spacing w:line="360" w:lineRule="auto"/>
        <w:rPr>
          <w:rFonts w:ascii="Book Antiqua" w:hAnsi="Book Antiqua"/>
          <w:b/>
          <w:sz w:val="24"/>
          <w:szCs w:val="24"/>
        </w:rPr>
      </w:pPr>
      <w:r w:rsidRPr="00BA4196">
        <w:rPr>
          <w:rFonts w:ascii="Book Antiqua" w:hAnsi="Book Antiqua"/>
          <w:b/>
          <w:sz w:val="24"/>
          <w:szCs w:val="24"/>
        </w:rPr>
        <w:t>Accepted:</w:t>
      </w:r>
      <w:r w:rsidR="003C7E11" w:rsidRPr="003C7E11">
        <w:t xml:space="preserve"> </w:t>
      </w:r>
      <w:r w:rsidR="003C7E11" w:rsidRPr="003C7E11">
        <w:rPr>
          <w:rFonts w:ascii="Book Antiqua" w:hAnsi="Book Antiqua"/>
          <w:sz w:val="24"/>
          <w:szCs w:val="24"/>
        </w:rPr>
        <w:t>October 5, 2018</w:t>
      </w:r>
      <w:r w:rsidRPr="00BA4196">
        <w:rPr>
          <w:rFonts w:ascii="Book Antiqua" w:hAnsi="Book Antiqua"/>
          <w:b/>
          <w:sz w:val="24"/>
          <w:szCs w:val="24"/>
        </w:rPr>
        <w:t xml:space="preserve"> </w:t>
      </w:r>
    </w:p>
    <w:p w14:paraId="3EE3EEF0" w14:textId="77777777" w:rsidR="00BA4196" w:rsidRPr="00BA4196" w:rsidRDefault="00BA4196" w:rsidP="00BA4196">
      <w:pPr>
        <w:adjustRightInd w:val="0"/>
        <w:snapToGrid w:val="0"/>
        <w:spacing w:line="360" w:lineRule="auto"/>
        <w:rPr>
          <w:rFonts w:ascii="Book Antiqua" w:hAnsi="Book Antiqua"/>
          <w:b/>
          <w:sz w:val="24"/>
          <w:szCs w:val="24"/>
        </w:rPr>
      </w:pPr>
      <w:r w:rsidRPr="00BA4196">
        <w:rPr>
          <w:rFonts w:ascii="Book Antiqua" w:hAnsi="Book Antiqua"/>
          <w:b/>
          <w:sz w:val="24"/>
          <w:szCs w:val="24"/>
        </w:rPr>
        <w:t>Article in press:</w:t>
      </w:r>
    </w:p>
    <w:p w14:paraId="7F292CCB" w14:textId="75E0192D" w:rsidR="00B964CC" w:rsidRPr="00BA4196" w:rsidRDefault="00BA4196" w:rsidP="00BA4196">
      <w:pPr>
        <w:snapToGrid w:val="0"/>
        <w:spacing w:line="360" w:lineRule="auto"/>
        <w:rPr>
          <w:rFonts w:ascii="Book Antiqua" w:hAnsi="Book Antiqua"/>
          <w:color w:val="000000"/>
          <w:sz w:val="24"/>
          <w:szCs w:val="24"/>
        </w:rPr>
      </w:pPr>
      <w:r w:rsidRPr="00BA4196">
        <w:rPr>
          <w:rFonts w:ascii="Book Antiqua" w:hAnsi="Book Antiqua"/>
          <w:b/>
          <w:sz w:val="24"/>
          <w:szCs w:val="24"/>
        </w:rPr>
        <w:t>Published online:</w:t>
      </w:r>
      <w:bookmarkEnd w:id="21"/>
      <w:bookmarkEnd w:id="22"/>
      <w:bookmarkEnd w:id="41"/>
      <w:bookmarkEnd w:id="42"/>
      <w:bookmarkEnd w:id="43"/>
      <w:r w:rsidR="00D87EC7" w:rsidRPr="00BA4196">
        <w:rPr>
          <w:rFonts w:ascii="Book Antiqua" w:hAnsi="Book Antiqua"/>
          <w:b/>
          <w:color w:val="000000" w:themeColor="text1"/>
          <w:sz w:val="24"/>
          <w:szCs w:val="24"/>
        </w:rPr>
        <w:br w:type="page"/>
      </w:r>
    </w:p>
    <w:p w14:paraId="69A87369" w14:textId="77777777" w:rsidR="00B964CC" w:rsidRPr="00341E2D" w:rsidRDefault="00D87EC7" w:rsidP="00341E2D">
      <w:pPr>
        <w:adjustRightInd w:val="0"/>
        <w:snapToGrid w:val="0"/>
        <w:spacing w:line="360" w:lineRule="auto"/>
        <w:rPr>
          <w:rFonts w:ascii="Book Antiqua" w:hAnsi="Book Antiqua"/>
          <w:b/>
          <w:color w:val="000000" w:themeColor="text1"/>
          <w:sz w:val="24"/>
          <w:szCs w:val="24"/>
        </w:rPr>
      </w:pPr>
      <w:r w:rsidRPr="00341E2D">
        <w:rPr>
          <w:rFonts w:ascii="Book Antiqua" w:hAnsi="Book Antiqua"/>
          <w:b/>
          <w:color w:val="000000" w:themeColor="text1"/>
          <w:sz w:val="24"/>
          <w:szCs w:val="24"/>
        </w:rPr>
        <w:lastRenderedPageBreak/>
        <w:t>Abstract</w:t>
      </w:r>
    </w:p>
    <w:p w14:paraId="7E607329"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AIM</w:t>
      </w:r>
    </w:p>
    <w:p w14:paraId="552EDAF0" w14:textId="0F347BE8" w:rsidR="00B964CC" w:rsidRPr="00341E2D" w:rsidRDefault="00D87EC7" w:rsidP="00341E2D">
      <w:pPr>
        <w:adjustRightInd w:val="0"/>
        <w:snapToGrid w:val="0"/>
        <w:spacing w:line="360" w:lineRule="auto"/>
        <w:rPr>
          <w:rFonts w:ascii="Book Antiqua" w:hAnsi="Book Antiqua"/>
          <w:b/>
          <w:color w:val="000000" w:themeColor="text1"/>
          <w:sz w:val="24"/>
          <w:szCs w:val="24"/>
        </w:rPr>
      </w:pPr>
      <w:r w:rsidRPr="00341E2D">
        <w:rPr>
          <w:rFonts w:ascii="Book Antiqua" w:hAnsi="Book Antiqua"/>
          <w:color w:val="000000" w:themeColor="text1"/>
          <w:sz w:val="24"/>
          <w:szCs w:val="24"/>
        </w:rPr>
        <w:t xml:space="preserve">To evaluate the safety and efficacy of agitation thrombolysis (AT) combined with catheter-directed thrombolysis (CDT) for the treatment of non-cirrhotic acute </w:t>
      </w:r>
      <w:bookmarkStart w:id="44" w:name="OLE_LINK15"/>
      <w:bookmarkStart w:id="45" w:name="OLE_LINK17"/>
      <w:r w:rsidRPr="00341E2D">
        <w:rPr>
          <w:rFonts w:ascii="Book Antiqua" w:hAnsi="Book Antiqua"/>
          <w:color w:val="000000" w:themeColor="text1"/>
          <w:sz w:val="24"/>
          <w:szCs w:val="24"/>
        </w:rPr>
        <w:t>portal vein thrombosis (PVT)</w:t>
      </w:r>
      <w:bookmarkEnd w:id="44"/>
      <w:bookmarkEnd w:id="45"/>
      <w:r w:rsidRPr="00341E2D">
        <w:rPr>
          <w:rFonts w:ascii="Book Antiqua" w:hAnsi="Book Antiqua"/>
          <w:color w:val="000000" w:themeColor="text1"/>
          <w:sz w:val="24"/>
          <w:szCs w:val="24"/>
        </w:rPr>
        <w:t>.</w:t>
      </w:r>
      <w:r w:rsidR="008357DA">
        <w:rPr>
          <w:rFonts w:ascii="Book Antiqua" w:hAnsi="Book Antiqua" w:hint="eastAsia"/>
          <w:color w:val="000000" w:themeColor="text1"/>
          <w:sz w:val="24"/>
          <w:szCs w:val="24"/>
        </w:rPr>
        <w:t xml:space="preserve"> </w:t>
      </w:r>
    </w:p>
    <w:p w14:paraId="620E575B" w14:textId="77777777" w:rsidR="002E2BE0" w:rsidRDefault="002E2BE0" w:rsidP="00341E2D">
      <w:pPr>
        <w:adjustRightInd w:val="0"/>
        <w:snapToGrid w:val="0"/>
        <w:spacing w:line="360" w:lineRule="auto"/>
        <w:rPr>
          <w:rFonts w:ascii="Book Antiqua" w:hAnsi="Book Antiqua"/>
          <w:b/>
          <w:i/>
          <w:color w:val="000000" w:themeColor="text1"/>
          <w:sz w:val="24"/>
          <w:szCs w:val="24"/>
        </w:rPr>
      </w:pPr>
    </w:p>
    <w:p w14:paraId="01920A86"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METHODS</w:t>
      </w:r>
    </w:p>
    <w:p w14:paraId="5AAA6848" w14:textId="41207F6C"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 xml:space="preserve">Nine patients with non-cirrhotic acute PVT who underwent AT combined with CDT were analyzed retrospectively. Portography was carried out </w:t>
      </w:r>
      <w:r w:rsidRPr="00341E2D">
        <w:rPr>
          <w:rFonts w:ascii="Book Antiqua" w:hAnsi="Book Antiqua"/>
          <w:i/>
          <w:color w:val="000000" w:themeColor="text1"/>
          <w:sz w:val="24"/>
          <w:szCs w:val="24"/>
        </w:rPr>
        <w:t xml:space="preserve">via </w:t>
      </w:r>
      <w:r w:rsidRPr="00341E2D">
        <w:rPr>
          <w:rFonts w:ascii="Book Antiqua" w:hAnsi="Book Antiqua"/>
          <w:color w:val="000000" w:themeColor="text1"/>
          <w:sz w:val="24"/>
          <w:szCs w:val="24"/>
        </w:rPr>
        <w:t>the transjugular intrahepatic portosystemic (TIP) or percutaneous transhepatic (PT) route, followed by AT combined with CDT. Complications of the procedure, and the changes in clinical symptoms, hemodynamics of the portal vein and liver function were recorded. Follow-up was scheduled at 1, 3 and 6 mo after treatment, and every 6 mo thereafter, or when the patients developed clinical symptoms related to PVT. Color Doppler ultrasound and contrast-enhanced</w:t>
      </w:r>
      <w:r w:rsidR="002E2BE0">
        <w:rPr>
          <w:rFonts w:ascii="Book Antiqua" w:hAnsi="Book Antiqua"/>
          <w:color w:val="000000" w:themeColor="text1"/>
          <w:sz w:val="24"/>
          <w:szCs w:val="24"/>
        </w:rPr>
        <w:t xml:space="preserve"> </w:t>
      </w:r>
      <w:r w:rsidR="002E2BE0" w:rsidRPr="002E2BE0">
        <w:rPr>
          <w:rFonts w:ascii="Book Antiqua" w:hAnsi="Book Antiqua"/>
          <w:color w:val="000000" w:themeColor="text1"/>
          <w:sz w:val="24"/>
          <w:szCs w:val="24"/>
        </w:rPr>
        <w:t>computed tomography</w:t>
      </w:r>
      <w:r w:rsidRPr="00341E2D">
        <w:rPr>
          <w:rFonts w:ascii="Book Antiqua" w:hAnsi="Book Antiqua"/>
          <w:color w:val="000000" w:themeColor="text1"/>
          <w:sz w:val="24"/>
          <w:szCs w:val="24"/>
        </w:rPr>
        <w:t xml:space="preserve"> </w:t>
      </w:r>
      <w:r w:rsidR="002E2BE0">
        <w:rPr>
          <w:rFonts w:ascii="Book Antiqua" w:hAnsi="Book Antiqua"/>
          <w:color w:val="000000" w:themeColor="text1"/>
          <w:sz w:val="24"/>
          <w:szCs w:val="24"/>
        </w:rPr>
        <w:t>(</w:t>
      </w:r>
      <w:r w:rsidRPr="00341E2D">
        <w:rPr>
          <w:rFonts w:ascii="Book Antiqua" w:hAnsi="Book Antiqua"/>
          <w:color w:val="000000" w:themeColor="text1"/>
          <w:sz w:val="24"/>
          <w:szCs w:val="24"/>
        </w:rPr>
        <w:t>CT</w:t>
      </w:r>
      <w:r w:rsidR="002E2BE0">
        <w:rPr>
          <w:rFonts w:ascii="Book Antiqua" w:hAnsi="Book Antiqua"/>
          <w:color w:val="000000" w:themeColor="text1"/>
          <w:sz w:val="24"/>
          <w:szCs w:val="24"/>
        </w:rPr>
        <w:t>)</w:t>
      </w:r>
      <w:r w:rsidRPr="00341E2D">
        <w:rPr>
          <w:rFonts w:ascii="Book Antiqua" w:hAnsi="Book Antiqua"/>
          <w:color w:val="000000" w:themeColor="text1"/>
          <w:sz w:val="24"/>
          <w:szCs w:val="24"/>
        </w:rPr>
        <w:t>/</w:t>
      </w:r>
      <w:r w:rsidR="002E2BE0" w:rsidRPr="002E2BE0">
        <w:rPr>
          <w:rFonts w:ascii="Book Antiqua" w:hAnsi="Book Antiqua"/>
          <w:color w:val="000000" w:themeColor="text1"/>
          <w:sz w:val="24"/>
          <w:szCs w:val="24"/>
        </w:rPr>
        <w:t>magnetic resonance imaging</w:t>
      </w:r>
      <w:r w:rsidR="002E2BE0">
        <w:rPr>
          <w:rFonts w:ascii="Book Antiqua" w:hAnsi="Book Antiqua"/>
          <w:color w:val="000000" w:themeColor="text1"/>
          <w:sz w:val="24"/>
          <w:szCs w:val="24"/>
        </w:rPr>
        <w:t xml:space="preserve"> (</w:t>
      </w:r>
      <w:r w:rsidRPr="00341E2D">
        <w:rPr>
          <w:rFonts w:ascii="Book Antiqua" w:hAnsi="Book Antiqua"/>
          <w:color w:val="000000" w:themeColor="text1"/>
          <w:sz w:val="24"/>
          <w:szCs w:val="24"/>
        </w:rPr>
        <w:t>MRI</w:t>
      </w:r>
      <w:r w:rsidR="002E2BE0">
        <w:rPr>
          <w:rFonts w:ascii="Book Antiqua" w:hAnsi="Book Antiqua"/>
          <w:color w:val="000000" w:themeColor="text1"/>
          <w:sz w:val="24"/>
          <w:szCs w:val="24"/>
        </w:rPr>
        <w:t>)</w:t>
      </w:r>
      <w:r w:rsidRPr="00341E2D">
        <w:rPr>
          <w:rFonts w:ascii="Book Antiqua" w:hAnsi="Book Antiqua"/>
          <w:color w:val="000000" w:themeColor="text1"/>
          <w:sz w:val="24"/>
          <w:szCs w:val="24"/>
        </w:rPr>
        <w:t xml:space="preserve"> were performed during the follow-up period to determine the condition of the portal vein.</w:t>
      </w:r>
    </w:p>
    <w:p w14:paraId="16C51765" w14:textId="77777777" w:rsidR="002E2BE0" w:rsidRDefault="002E2BE0" w:rsidP="00341E2D">
      <w:pPr>
        <w:adjustRightInd w:val="0"/>
        <w:snapToGrid w:val="0"/>
        <w:spacing w:line="360" w:lineRule="auto"/>
        <w:rPr>
          <w:rFonts w:ascii="Book Antiqua" w:hAnsi="Book Antiqua"/>
          <w:b/>
          <w:i/>
          <w:color w:val="000000" w:themeColor="text1"/>
          <w:sz w:val="24"/>
          <w:szCs w:val="24"/>
        </w:rPr>
      </w:pPr>
    </w:p>
    <w:p w14:paraId="566F7570"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RESULTS</w:t>
      </w:r>
    </w:p>
    <w:p w14:paraId="0CF9227B" w14:textId="62C4AF64"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 xml:space="preserve">AT combined with CDT was successfully performed. The portal vein was reached </w:t>
      </w:r>
      <w:r w:rsidRPr="00341E2D">
        <w:rPr>
          <w:rFonts w:ascii="Book Antiqua" w:hAnsi="Book Antiqua"/>
          <w:i/>
          <w:color w:val="000000" w:themeColor="text1"/>
          <w:sz w:val="24"/>
          <w:szCs w:val="24"/>
        </w:rPr>
        <w:t xml:space="preserve">via </w:t>
      </w:r>
      <w:r w:rsidRPr="00341E2D">
        <w:rPr>
          <w:rFonts w:ascii="Book Antiqua" w:hAnsi="Book Antiqua"/>
          <w:color w:val="000000" w:themeColor="text1"/>
          <w:sz w:val="24"/>
          <w:szCs w:val="24"/>
        </w:rPr>
        <w:t xml:space="preserve">the TIP route in six patients, and </w:t>
      </w:r>
      <w:r w:rsidRPr="00341E2D">
        <w:rPr>
          <w:rFonts w:ascii="Book Antiqua" w:hAnsi="Book Antiqua"/>
          <w:i/>
          <w:color w:val="000000" w:themeColor="text1"/>
          <w:sz w:val="24"/>
          <w:szCs w:val="24"/>
        </w:rPr>
        <w:t>via</w:t>
      </w:r>
      <w:r w:rsidRPr="00341E2D">
        <w:rPr>
          <w:rFonts w:ascii="Book Antiqua" w:hAnsi="Book Antiqua"/>
          <w:color w:val="000000" w:themeColor="text1"/>
          <w:sz w:val="24"/>
          <w:szCs w:val="24"/>
        </w:rPr>
        <w:t xml:space="preserve"> the PT route in three patients. All clinical symptoms were relieved or disappeared, with the exception of one patient who died of intestinal necrosis 9 d after treatment. Significant differences in the changes in portal vein hemodynamics were observed, including the maximum lumen occupancy of PVT, portal vein pressure and flow velocity between pre- and post-treatment (</w:t>
      </w:r>
      <w:r w:rsidRPr="00341E2D">
        <w:rPr>
          <w:rFonts w:ascii="Book Antiqua" w:hAnsi="Book Antiqua"/>
          <w:i/>
          <w:color w:val="000000" w:themeColor="text1"/>
          <w:sz w:val="24"/>
          <w:szCs w:val="24"/>
        </w:rPr>
        <w:t xml:space="preserve">P </w:t>
      </w:r>
      <w:r w:rsidRPr="002E2BE0">
        <w:rPr>
          <w:rFonts w:ascii="Book Antiqua" w:hAnsi="Book Antiqua"/>
          <w:color w:val="000000" w:themeColor="text1"/>
          <w:sz w:val="24"/>
          <w:szCs w:val="24"/>
        </w:rPr>
        <w:t>&lt;</w:t>
      </w:r>
      <w:r w:rsidRPr="00341E2D">
        <w:rPr>
          <w:rFonts w:ascii="Book Antiqua" w:hAnsi="Book Antiqua"/>
          <w:i/>
          <w:color w:val="000000" w:themeColor="text1"/>
          <w:sz w:val="24"/>
          <w:szCs w:val="24"/>
        </w:rPr>
        <w:t xml:space="preserve"> </w:t>
      </w:r>
      <w:r w:rsidRPr="002E2BE0">
        <w:rPr>
          <w:rFonts w:ascii="Book Antiqua" w:hAnsi="Book Antiqua"/>
          <w:color w:val="000000" w:themeColor="text1"/>
          <w:sz w:val="24"/>
          <w:szCs w:val="24"/>
        </w:rPr>
        <w:t>0.05</w:t>
      </w:r>
      <w:r w:rsidRPr="00341E2D">
        <w:rPr>
          <w:rFonts w:ascii="Book Antiqua" w:hAnsi="Book Antiqua"/>
          <w:color w:val="000000" w:themeColor="text1"/>
          <w:sz w:val="24"/>
          <w:szCs w:val="24"/>
        </w:rPr>
        <w:t>). During the follow-up period, recurrence was observed in one patient 19 mo after the procedure, and the portal vein was patent in the remaining patients.</w:t>
      </w:r>
    </w:p>
    <w:p w14:paraId="2E896A84" w14:textId="77777777" w:rsidR="00003005" w:rsidRDefault="00003005" w:rsidP="00341E2D">
      <w:pPr>
        <w:adjustRightInd w:val="0"/>
        <w:snapToGrid w:val="0"/>
        <w:spacing w:line="360" w:lineRule="auto"/>
        <w:rPr>
          <w:rFonts w:ascii="Book Antiqua" w:hAnsi="Book Antiqua"/>
          <w:b/>
          <w:i/>
          <w:color w:val="000000" w:themeColor="text1"/>
          <w:sz w:val="24"/>
          <w:szCs w:val="24"/>
        </w:rPr>
      </w:pPr>
    </w:p>
    <w:p w14:paraId="4CAC8586"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CONCLUSION</w:t>
      </w:r>
    </w:p>
    <w:p w14:paraId="118B5267"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lastRenderedPageBreak/>
        <w:t>AT combined with CDT is a safe and effective method for the treatment of non-cirrhotic acute PVT.</w:t>
      </w:r>
    </w:p>
    <w:p w14:paraId="28E50266" w14:textId="77777777" w:rsidR="00B964CC" w:rsidRPr="00341E2D" w:rsidRDefault="00B964CC" w:rsidP="00341E2D">
      <w:pPr>
        <w:adjustRightInd w:val="0"/>
        <w:snapToGrid w:val="0"/>
        <w:spacing w:line="360" w:lineRule="auto"/>
        <w:rPr>
          <w:rFonts w:ascii="Book Antiqua" w:hAnsi="Book Antiqua"/>
          <w:b/>
          <w:color w:val="000000" w:themeColor="text1"/>
          <w:sz w:val="24"/>
          <w:szCs w:val="24"/>
        </w:rPr>
      </w:pPr>
    </w:p>
    <w:p w14:paraId="7499D9BE"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 xml:space="preserve">Key words: </w:t>
      </w:r>
      <w:bookmarkStart w:id="46" w:name="OLE_LINK4"/>
      <w:bookmarkStart w:id="47" w:name="OLE_LINK3"/>
      <w:r w:rsidRPr="00341E2D">
        <w:rPr>
          <w:rFonts w:ascii="Book Antiqua" w:hAnsi="Book Antiqua"/>
          <w:color w:val="000000" w:themeColor="text1"/>
          <w:sz w:val="24"/>
          <w:szCs w:val="24"/>
        </w:rPr>
        <w:t>Portal vein thrombosis; Agitation thrombolysis; Catheter-directed thrombolysis</w:t>
      </w:r>
    </w:p>
    <w:p w14:paraId="4D43544B" w14:textId="77777777" w:rsidR="00B964CC" w:rsidRPr="00003005" w:rsidRDefault="00B964CC" w:rsidP="00003005">
      <w:pPr>
        <w:adjustRightInd w:val="0"/>
        <w:snapToGrid w:val="0"/>
        <w:spacing w:line="360" w:lineRule="auto"/>
        <w:rPr>
          <w:rFonts w:ascii="Book Antiqua" w:hAnsi="Book Antiqua"/>
          <w:b/>
          <w:color w:val="000000" w:themeColor="text1"/>
          <w:sz w:val="24"/>
          <w:szCs w:val="24"/>
        </w:rPr>
      </w:pPr>
    </w:p>
    <w:p w14:paraId="59389A21" w14:textId="77777777" w:rsidR="00003005" w:rsidRPr="00003005" w:rsidRDefault="00003005" w:rsidP="00003005">
      <w:pPr>
        <w:adjustRightInd w:val="0"/>
        <w:snapToGrid w:val="0"/>
        <w:spacing w:line="360" w:lineRule="auto"/>
        <w:rPr>
          <w:rFonts w:ascii="Book Antiqua" w:hAnsi="Book Antiqua"/>
          <w:sz w:val="24"/>
          <w:szCs w:val="24"/>
        </w:rPr>
      </w:pPr>
      <w:bookmarkStart w:id="48" w:name="OLE_LINK58"/>
      <w:bookmarkStart w:id="49" w:name="OLE_LINK59"/>
      <w:r w:rsidRPr="00003005">
        <w:rPr>
          <w:rFonts w:ascii="Book Antiqua" w:hAnsi="Book Antiqua"/>
          <w:b/>
          <w:sz w:val="24"/>
          <w:szCs w:val="24"/>
        </w:rPr>
        <w:t xml:space="preserve">© The Author(s) 2018. </w:t>
      </w:r>
      <w:r w:rsidRPr="00003005">
        <w:rPr>
          <w:rFonts w:ascii="Book Antiqua" w:hAnsi="Book Antiqua"/>
          <w:sz w:val="24"/>
          <w:szCs w:val="24"/>
        </w:rPr>
        <w:t xml:space="preserve">Published by Baishideng Publishing Group Inc. All rights reserved. </w:t>
      </w:r>
    </w:p>
    <w:bookmarkEnd w:id="48"/>
    <w:bookmarkEnd w:id="49"/>
    <w:p w14:paraId="68C825F7" w14:textId="77777777" w:rsidR="00003005" w:rsidRPr="00341E2D" w:rsidRDefault="00003005" w:rsidP="00341E2D">
      <w:pPr>
        <w:adjustRightInd w:val="0"/>
        <w:snapToGrid w:val="0"/>
        <w:spacing w:line="360" w:lineRule="auto"/>
        <w:rPr>
          <w:rFonts w:ascii="Book Antiqua" w:hAnsi="Book Antiqua"/>
          <w:b/>
          <w:color w:val="000000" w:themeColor="text1"/>
          <w:sz w:val="24"/>
          <w:szCs w:val="24"/>
        </w:rPr>
      </w:pPr>
    </w:p>
    <w:p w14:paraId="2B05AE45" w14:textId="2CA98441" w:rsidR="00B964CC" w:rsidRPr="00A3524E" w:rsidRDefault="00D87EC7" w:rsidP="00341E2D">
      <w:pPr>
        <w:adjustRightInd w:val="0"/>
        <w:snapToGrid w:val="0"/>
        <w:spacing w:line="360" w:lineRule="auto"/>
        <w:rPr>
          <w:rFonts w:ascii="Book Antiqua" w:hAnsi="Book Antiqua"/>
          <w:color w:val="000000" w:themeColor="text1"/>
          <w:sz w:val="24"/>
          <w:szCs w:val="24"/>
        </w:rPr>
      </w:pPr>
      <w:bookmarkStart w:id="50" w:name="OLE_LINK1196"/>
      <w:bookmarkStart w:id="51" w:name="OLE_LINK1154"/>
      <w:bookmarkStart w:id="52" w:name="OLE_LINK1155"/>
      <w:bookmarkStart w:id="53" w:name="OLE_LINK1322"/>
      <w:bookmarkStart w:id="54" w:name="OLE_LINK1044"/>
      <w:bookmarkStart w:id="55" w:name="OLE_LINK1224"/>
      <w:bookmarkStart w:id="56" w:name="OLE_LINK1225"/>
      <w:bookmarkStart w:id="57" w:name="OLE_LINK1634"/>
      <w:bookmarkStart w:id="58" w:name="OLE_LINK1635"/>
      <w:bookmarkStart w:id="59" w:name="OLE_LINK1762"/>
      <w:bookmarkStart w:id="60" w:name="OLE_LINK1763"/>
      <w:bookmarkStart w:id="61" w:name="OLE_LINK1764"/>
      <w:bookmarkStart w:id="62" w:name="OLE_LINK1939"/>
      <w:bookmarkStart w:id="63" w:name="OLE_LINK2194"/>
      <w:bookmarkStart w:id="64" w:name="OLE_LINK2878"/>
      <w:bookmarkStart w:id="65" w:name="OLE_LINK531"/>
      <w:bookmarkStart w:id="66" w:name="OLE_LINK533"/>
      <w:bookmarkStart w:id="67" w:name="OLE_LINK711"/>
      <w:bookmarkStart w:id="68" w:name="OLE_LINK742"/>
      <w:bookmarkStart w:id="69" w:name="OLE_LINK905"/>
      <w:bookmarkStart w:id="70" w:name="OLE_LINK948"/>
      <w:bookmarkStart w:id="71" w:name="OLE_LINK949"/>
      <w:bookmarkStart w:id="72" w:name="OLE_LINK607"/>
      <w:bookmarkStart w:id="73" w:name="OLE_LINK609"/>
      <w:bookmarkStart w:id="74" w:name="OLE_LINK197"/>
      <w:bookmarkStart w:id="75" w:name="OLE_LINK198"/>
      <w:bookmarkStart w:id="76" w:name="OLE_LINK395"/>
      <w:bookmarkStart w:id="77" w:name="OLE_LINK409"/>
      <w:bookmarkEnd w:id="46"/>
      <w:bookmarkEnd w:id="47"/>
      <w:r w:rsidRPr="00341E2D">
        <w:rPr>
          <w:rFonts w:ascii="Book Antiqua" w:hAnsi="Book Antiqua" w:cs="Times New Roman"/>
          <w:b/>
          <w:color w:val="000000" w:themeColor="text1"/>
          <w:sz w:val="24"/>
          <w:szCs w:val="24"/>
        </w:rPr>
        <w:t>Core tip:</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341E2D">
        <w:rPr>
          <w:rFonts w:ascii="Book Antiqua" w:hAnsi="Book Antiqua" w:cs="Times New Roman"/>
          <w:b/>
          <w:color w:val="000000" w:themeColor="text1"/>
          <w:sz w:val="24"/>
          <w:szCs w:val="24"/>
        </w:rPr>
        <w:t xml:space="preserve"> </w:t>
      </w:r>
      <w:r w:rsidRPr="00A3524E">
        <w:rPr>
          <w:rFonts w:ascii="Book Antiqua" w:hAnsi="Book Antiqua"/>
          <w:bCs/>
          <w:color w:val="000000" w:themeColor="text1"/>
          <w:sz w:val="24"/>
          <w:szCs w:val="24"/>
        </w:rPr>
        <w:t xml:space="preserve">Agitation is a common phenomenon in daily life, and can accelerate the rate of solute dissolution in a solvent. As the thrombus is porous in the acute stage, it can easily be broken into smaller fragments by agitation, which increases the contact area between the thrombus and thrombolytics, and increases the speed of thrombus dissolution. According to our research, </w:t>
      </w:r>
      <w:r w:rsidR="00547536" w:rsidRPr="00341E2D">
        <w:rPr>
          <w:rFonts w:ascii="Book Antiqua" w:hAnsi="Book Antiqua"/>
          <w:color w:val="000000" w:themeColor="text1"/>
          <w:sz w:val="24"/>
          <w:szCs w:val="24"/>
        </w:rPr>
        <w:t>agitation thrombolysis (AT)</w:t>
      </w:r>
      <w:r w:rsidRPr="00A3524E">
        <w:rPr>
          <w:rFonts w:ascii="Book Antiqua" w:hAnsi="Book Antiqua"/>
          <w:bCs/>
          <w:color w:val="000000" w:themeColor="text1"/>
          <w:sz w:val="24"/>
          <w:szCs w:val="24"/>
        </w:rPr>
        <w:t xml:space="preserve"> combined with </w:t>
      </w:r>
      <w:r w:rsidR="00547536" w:rsidRPr="00341E2D">
        <w:rPr>
          <w:rFonts w:ascii="Book Antiqua" w:hAnsi="Book Antiqua"/>
          <w:color w:val="000000" w:themeColor="text1"/>
          <w:sz w:val="24"/>
          <w:szCs w:val="24"/>
        </w:rPr>
        <w:t>catheter-directed thrombolysis (CDT)</w:t>
      </w:r>
      <w:r w:rsidRPr="00A3524E">
        <w:rPr>
          <w:rFonts w:ascii="Book Antiqua" w:hAnsi="Book Antiqua"/>
          <w:bCs/>
          <w:color w:val="000000" w:themeColor="text1"/>
          <w:sz w:val="24"/>
          <w:szCs w:val="24"/>
        </w:rPr>
        <w:t xml:space="preserve"> is a safe and effective method for the treatment of non-cirrhotic acute </w:t>
      </w:r>
      <w:r w:rsidR="00547536" w:rsidRPr="00341E2D">
        <w:rPr>
          <w:rFonts w:ascii="Book Antiqua" w:hAnsi="Book Antiqua"/>
          <w:color w:val="000000" w:themeColor="text1"/>
          <w:sz w:val="24"/>
          <w:szCs w:val="24"/>
        </w:rPr>
        <w:t>portal vein thrombosis (PVT)</w:t>
      </w:r>
      <w:r w:rsidRPr="00A3524E">
        <w:rPr>
          <w:rFonts w:ascii="Book Antiqua" w:hAnsi="Book Antiqua"/>
          <w:bCs/>
          <w:color w:val="000000" w:themeColor="text1"/>
          <w:sz w:val="24"/>
          <w:szCs w:val="24"/>
        </w:rPr>
        <w:t xml:space="preserve"> with a good short-middle term efficacy. However, the long-term efficacy of AT combined with CDT in a large population requires further investigation.</w:t>
      </w:r>
    </w:p>
    <w:p w14:paraId="13FB4B8F" w14:textId="77777777" w:rsidR="00B964CC" w:rsidRPr="00341E2D" w:rsidRDefault="00B964CC" w:rsidP="00341E2D">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1FE52420" w14:textId="3506849C" w:rsidR="00B964CC" w:rsidRPr="0016508F" w:rsidRDefault="00D87EC7" w:rsidP="0016508F">
      <w:pPr>
        <w:adjustRightInd w:val="0"/>
        <w:snapToGrid w:val="0"/>
        <w:spacing w:line="360" w:lineRule="auto"/>
        <w:rPr>
          <w:rFonts w:ascii="Book Antiqua" w:hAnsi="Book Antiqua" w:cs="Times New Roman"/>
          <w:color w:val="000000" w:themeColor="text1"/>
          <w:sz w:val="24"/>
          <w:szCs w:val="24"/>
        </w:rPr>
      </w:pPr>
      <w:bookmarkStart w:id="78" w:name="OLE_LINK579"/>
      <w:bookmarkStart w:id="79" w:name="OLE_LINK310"/>
      <w:bookmarkStart w:id="80" w:name="OLE_LINK712"/>
      <w:bookmarkStart w:id="81" w:name="OLE_LINK286"/>
      <w:bookmarkStart w:id="82" w:name="OLE_LINK287"/>
      <w:bookmarkEnd w:id="65"/>
      <w:bookmarkEnd w:id="66"/>
      <w:bookmarkEnd w:id="67"/>
      <w:bookmarkEnd w:id="68"/>
      <w:bookmarkEnd w:id="69"/>
      <w:bookmarkEnd w:id="70"/>
      <w:bookmarkEnd w:id="71"/>
      <w:r w:rsidRPr="00341E2D">
        <w:rPr>
          <w:rFonts w:ascii="Book Antiqua" w:hAnsi="Book Antiqua" w:cs="Times New Roman"/>
          <w:color w:val="000000" w:themeColor="text1"/>
          <w:sz w:val="24"/>
          <w:szCs w:val="24"/>
        </w:rPr>
        <w:t xml:space="preserve">Wang CY, Wei LQ, Niu HZ, Gao WQ, Wang T, Chen SJ. Agitation thrombolysis combined with catheter-directed thrombolysis for the treatment of non-cirrhotic acute portal vein thrombosis. </w:t>
      </w:r>
      <w:r w:rsidRPr="00A3524E">
        <w:rPr>
          <w:rFonts w:ascii="Book Antiqua" w:hAnsi="Book Antiqua" w:cs="Times New Roman"/>
          <w:i/>
          <w:color w:val="000000" w:themeColor="text1"/>
          <w:sz w:val="24"/>
          <w:szCs w:val="24"/>
        </w:rPr>
        <w:t>World J Gastroenterol</w:t>
      </w:r>
      <w:r w:rsidRPr="00341E2D">
        <w:rPr>
          <w:rFonts w:ascii="Book Antiqua" w:hAnsi="Book Antiqua" w:cs="Times New Roman"/>
          <w:color w:val="000000" w:themeColor="text1"/>
          <w:sz w:val="24"/>
          <w:szCs w:val="24"/>
        </w:rPr>
        <w:t xml:space="preserve"> 2018; In press</w:t>
      </w:r>
      <w:bookmarkEnd w:id="72"/>
      <w:bookmarkEnd w:id="73"/>
      <w:bookmarkEnd w:id="74"/>
      <w:bookmarkEnd w:id="75"/>
      <w:bookmarkEnd w:id="76"/>
      <w:bookmarkEnd w:id="77"/>
      <w:bookmarkEnd w:id="78"/>
      <w:bookmarkEnd w:id="79"/>
      <w:bookmarkEnd w:id="80"/>
      <w:bookmarkEnd w:id="81"/>
      <w:bookmarkEnd w:id="82"/>
    </w:p>
    <w:p w14:paraId="45578AAF" w14:textId="77777777" w:rsidR="0016508F" w:rsidRDefault="0016508F">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34A7986C" w14:textId="561A2DB0" w:rsidR="00B964CC" w:rsidRPr="00341E2D" w:rsidRDefault="00D87EC7" w:rsidP="00341E2D">
      <w:pPr>
        <w:adjustRightInd w:val="0"/>
        <w:snapToGrid w:val="0"/>
        <w:spacing w:line="360" w:lineRule="auto"/>
        <w:rPr>
          <w:rFonts w:ascii="Book Antiqua" w:hAnsi="Book Antiqua"/>
          <w:b/>
          <w:color w:val="000000" w:themeColor="text1"/>
          <w:sz w:val="24"/>
          <w:szCs w:val="24"/>
        </w:rPr>
      </w:pPr>
      <w:r w:rsidRPr="00341E2D">
        <w:rPr>
          <w:rFonts w:ascii="Book Antiqua" w:hAnsi="Book Antiqua"/>
          <w:b/>
          <w:color w:val="000000" w:themeColor="text1"/>
          <w:sz w:val="24"/>
          <w:szCs w:val="24"/>
        </w:rPr>
        <w:lastRenderedPageBreak/>
        <w:t>INTRODUCTION</w:t>
      </w:r>
    </w:p>
    <w:p w14:paraId="1C8F34F0"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Non-cirrhotic portal vein thrombosis (PVT) has a low incidence with a prevalence of approximately 1%, and partial obstruction of the portal vein is often clinically imperceptible</w:t>
      </w:r>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NE.Ref.{DFE186A1-B31C-46BF-838D-5A579E8D3440}</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1]</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However, complete obstruction due to acute thrombus can lead to a series of clinical symptoms, such as abdominal pain, ascites, and even intestinal necrosis. Common treatment opinions including anticoagulation or indirect thrombolysis are useful for relieving symptoms, but the outcome is unsatisfactory as most patients developed into cavernous transformation of the portal vein (CTPV) due to incomplete recanalization</w:t>
      </w:r>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NE.Ref.{5FF75FEA-03A5-473A-95C3-225B97CAC7C9}</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2,3]</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xml:space="preserve">. Catheter-directed thrombolysis (CDT) </w:t>
      </w:r>
      <w:r w:rsidRPr="00341E2D">
        <w:rPr>
          <w:rFonts w:ascii="Book Antiqua" w:hAnsi="Book Antiqua"/>
          <w:i/>
          <w:color w:val="000000" w:themeColor="text1"/>
          <w:sz w:val="24"/>
          <w:szCs w:val="24"/>
        </w:rPr>
        <w:t>via</w:t>
      </w:r>
      <w:r w:rsidRPr="00341E2D">
        <w:rPr>
          <w:rFonts w:ascii="Book Antiqua" w:hAnsi="Book Antiqua"/>
          <w:color w:val="000000" w:themeColor="text1"/>
          <w:sz w:val="24"/>
          <w:szCs w:val="24"/>
        </w:rPr>
        <w:t xml:space="preserve"> the transjugular intrahepatic portosystemic (TIP) or percutaneous transhepatic (PT) route is a minimally invasive method, which can dissolve the thrombus and relieve symptoms rapidly with a lower dose of thrombolytics</w:t>
      </w:r>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NE.Ref.{5733420C-60BC-4FC3-AB78-29B2D2809557}</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4]</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xml:space="preserve">. In addition, </w:t>
      </w:r>
      <w:bookmarkStart w:id="83" w:name="OLE_LINK5"/>
      <w:bookmarkStart w:id="84" w:name="OLE_LINK6"/>
      <w:r w:rsidRPr="00341E2D">
        <w:rPr>
          <w:rFonts w:ascii="Book Antiqua" w:hAnsi="Book Antiqua"/>
          <w:color w:val="000000" w:themeColor="text1"/>
          <w:sz w:val="24"/>
          <w:szCs w:val="24"/>
        </w:rPr>
        <w:t>agitation thrombolysis (AT) can break the thrombus into smaller fragments and accelerate the speed of thrombolysis</w:t>
      </w:r>
      <w:bookmarkEnd w:id="83"/>
      <w:bookmarkEnd w:id="84"/>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NE.Ref.{38426F1B-B0B3-4D15-90CE-08CB503C3101}</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5]</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The objective of this study was to evaluate the safety and efficacy of AT combined with CDT for the treatment of non-cirrhotic acute PVT.</w:t>
      </w:r>
    </w:p>
    <w:p w14:paraId="3CEE9C87"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28F7A982" w14:textId="77777777" w:rsidR="00B964CC" w:rsidRPr="00341E2D" w:rsidRDefault="00D87EC7" w:rsidP="00341E2D">
      <w:pPr>
        <w:adjustRightInd w:val="0"/>
        <w:snapToGrid w:val="0"/>
        <w:spacing w:line="360" w:lineRule="auto"/>
        <w:rPr>
          <w:rFonts w:ascii="Book Antiqua" w:hAnsi="Book Antiqua"/>
          <w:b/>
          <w:color w:val="000000" w:themeColor="text1"/>
          <w:sz w:val="24"/>
          <w:szCs w:val="24"/>
        </w:rPr>
      </w:pPr>
      <w:r w:rsidRPr="00341E2D">
        <w:rPr>
          <w:rFonts w:ascii="Book Antiqua" w:hAnsi="Book Antiqua"/>
          <w:b/>
          <w:color w:val="000000" w:themeColor="text1"/>
          <w:sz w:val="24"/>
          <w:szCs w:val="24"/>
        </w:rPr>
        <w:t>MATERIALS AND METHODS</w:t>
      </w:r>
    </w:p>
    <w:p w14:paraId="402E9820"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Patients</w:t>
      </w:r>
    </w:p>
    <w:p w14:paraId="568ECA6E" w14:textId="619A9C64"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The data from nine patients with non-cirrhotic acute PVT who underwent AT combined with CDT in our hospital from September 2015 to December 2017 were analyzed retrospectively. The patients consisted of three men and six women, with a mean age of 47.9</w:t>
      </w:r>
      <w:r w:rsidR="003B28C5">
        <w:rPr>
          <w:rFonts w:ascii="Book Antiqua" w:hAnsi="Book Antiqua"/>
          <w:color w:val="000000" w:themeColor="text1"/>
          <w:sz w:val="24"/>
          <w:szCs w:val="24"/>
        </w:rPr>
        <w:t xml:space="preserve"> </w:t>
      </w:r>
      <w:r w:rsidRPr="00341E2D">
        <w:rPr>
          <w:rFonts w:ascii="Book Antiqua" w:hAnsi="Book Antiqua"/>
          <w:color w:val="000000" w:themeColor="text1"/>
          <w:sz w:val="24"/>
          <w:szCs w:val="24"/>
        </w:rPr>
        <w:t>±</w:t>
      </w:r>
      <w:r w:rsidR="003B28C5">
        <w:rPr>
          <w:rFonts w:ascii="Book Antiqua" w:hAnsi="Book Antiqua"/>
          <w:color w:val="000000" w:themeColor="text1"/>
          <w:sz w:val="24"/>
          <w:szCs w:val="24"/>
        </w:rPr>
        <w:t xml:space="preserve"> </w:t>
      </w:r>
      <w:r w:rsidRPr="00341E2D">
        <w:rPr>
          <w:rFonts w:ascii="Book Antiqua" w:hAnsi="Book Antiqua"/>
          <w:color w:val="000000" w:themeColor="text1"/>
          <w:sz w:val="24"/>
          <w:szCs w:val="24"/>
        </w:rPr>
        <w:t>10.6 years. All patients met the following eligibility c</w:t>
      </w:r>
      <w:r w:rsidR="003B28C5">
        <w:rPr>
          <w:rFonts w:ascii="Book Antiqua" w:hAnsi="Book Antiqua"/>
          <w:color w:val="000000" w:themeColor="text1"/>
          <w:sz w:val="24"/>
          <w:szCs w:val="24"/>
        </w:rPr>
        <w:t>riteria: (1</w:t>
      </w:r>
      <w:r w:rsidRPr="00341E2D">
        <w:rPr>
          <w:rFonts w:ascii="Book Antiqua" w:hAnsi="Book Antiqua"/>
          <w:color w:val="000000" w:themeColor="text1"/>
          <w:sz w:val="24"/>
          <w:szCs w:val="24"/>
        </w:rPr>
        <w:t>) the PVT was d</w:t>
      </w:r>
      <w:r w:rsidR="003B28C5">
        <w:rPr>
          <w:rFonts w:ascii="Book Antiqua" w:hAnsi="Book Antiqua"/>
          <w:color w:val="000000" w:themeColor="text1"/>
          <w:sz w:val="24"/>
          <w:szCs w:val="24"/>
        </w:rPr>
        <w:t>iagnosed definitively by color d</w:t>
      </w:r>
      <w:r w:rsidRPr="00341E2D">
        <w:rPr>
          <w:rFonts w:ascii="Book Antiqua" w:hAnsi="Book Antiqua"/>
          <w:color w:val="000000" w:themeColor="text1"/>
          <w:sz w:val="24"/>
          <w:szCs w:val="24"/>
        </w:rPr>
        <w:t xml:space="preserve">oppler ultrasound (CDUS) and enhanced-contrast </w:t>
      </w:r>
      <w:r w:rsidR="003B28C5">
        <w:rPr>
          <w:rFonts w:ascii="Book Antiqua" w:hAnsi="Book Antiqua"/>
          <w:color w:val="000000" w:themeColor="text1"/>
          <w:sz w:val="24"/>
          <w:szCs w:val="24"/>
        </w:rPr>
        <w:t>computed tomography (CT) or magnetic resonance i</w:t>
      </w:r>
      <w:r w:rsidRPr="00341E2D">
        <w:rPr>
          <w:rFonts w:ascii="Book Antiqua" w:hAnsi="Book Antiqua"/>
          <w:color w:val="000000" w:themeColor="text1"/>
          <w:sz w:val="24"/>
          <w:szCs w:val="24"/>
        </w:rPr>
        <w:t>maging (MRI) (</w:t>
      </w:r>
      <w:r w:rsidR="003B28C5" w:rsidRPr="003B28C5">
        <w:rPr>
          <w:rFonts w:ascii="Book Antiqua" w:hAnsi="Book Antiqua"/>
          <w:color w:val="000000" w:themeColor="text1"/>
          <w:sz w:val="24"/>
          <w:szCs w:val="24"/>
        </w:rPr>
        <w:t>Figure</w:t>
      </w:r>
      <w:r w:rsidR="003B28C5">
        <w:rPr>
          <w:rFonts w:ascii="Book Antiqua" w:hAnsi="Book Antiqua"/>
          <w:color w:val="000000" w:themeColor="text1"/>
          <w:sz w:val="24"/>
          <w:szCs w:val="24"/>
        </w:rPr>
        <w:t xml:space="preserve">s 1A and </w:t>
      </w:r>
      <w:r w:rsidR="003B28C5" w:rsidRPr="003B28C5">
        <w:rPr>
          <w:rFonts w:ascii="Book Antiqua" w:hAnsi="Book Antiqua"/>
          <w:color w:val="000000" w:themeColor="text1"/>
          <w:sz w:val="24"/>
          <w:szCs w:val="24"/>
        </w:rPr>
        <w:t>2</w:t>
      </w:r>
      <w:r w:rsidRPr="003B28C5">
        <w:rPr>
          <w:rFonts w:ascii="Book Antiqua" w:hAnsi="Book Antiqua"/>
          <w:color w:val="000000" w:themeColor="text1"/>
          <w:sz w:val="24"/>
          <w:szCs w:val="24"/>
        </w:rPr>
        <w:t>A</w:t>
      </w:r>
      <w:r w:rsidR="003B28C5">
        <w:rPr>
          <w:rFonts w:ascii="Book Antiqua" w:hAnsi="Book Antiqua"/>
          <w:color w:val="000000" w:themeColor="text1"/>
          <w:sz w:val="24"/>
          <w:szCs w:val="24"/>
        </w:rPr>
        <w:t>); (2</w:t>
      </w:r>
      <w:r w:rsidRPr="00341E2D">
        <w:rPr>
          <w:rFonts w:ascii="Book Antiqua" w:hAnsi="Book Antiqua"/>
          <w:color w:val="000000" w:themeColor="text1"/>
          <w:sz w:val="24"/>
          <w:szCs w:val="24"/>
        </w:rPr>
        <w:t>) absence of massive periportal collaterals and features of liver cirrhosis i</w:t>
      </w:r>
      <w:r w:rsidR="003B28C5">
        <w:rPr>
          <w:rFonts w:ascii="Book Antiqua" w:hAnsi="Book Antiqua"/>
          <w:color w:val="000000" w:themeColor="text1"/>
          <w:sz w:val="24"/>
          <w:szCs w:val="24"/>
        </w:rPr>
        <w:t>n the imaging findings; and (3</w:t>
      </w:r>
      <w:r w:rsidRPr="00341E2D">
        <w:rPr>
          <w:rFonts w:ascii="Book Antiqua" w:hAnsi="Book Antiqua"/>
          <w:color w:val="000000" w:themeColor="text1"/>
          <w:sz w:val="24"/>
          <w:szCs w:val="24"/>
        </w:rPr>
        <w:t xml:space="preserve">) excluded malignant tumor. In addition, the following information was collected for each patient before treatment: clinical symptoms, days from onset to operation, routine blood examination, liver </w:t>
      </w:r>
      <w:r w:rsidRPr="00341E2D">
        <w:rPr>
          <w:rFonts w:ascii="Book Antiqua" w:hAnsi="Book Antiqua"/>
          <w:color w:val="000000" w:themeColor="text1"/>
          <w:sz w:val="24"/>
          <w:szCs w:val="24"/>
        </w:rPr>
        <w:lastRenderedPageBreak/>
        <w:t>function, etiology, the maximum lumen occupancy of PVT and the flow velocity of the portal vein measured by CDUS (</w:t>
      </w:r>
      <w:r w:rsidRPr="003B28C5">
        <w:rPr>
          <w:rFonts w:ascii="Book Antiqua" w:hAnsi="Book Antiqua"/>
          <w:color w:val="000000" w:themeColor="text1"/>
          <w:sz w:val="24"/>
          <w:szCs w:val="24"/>
        </w:rPr>
        <w:t>Table 1</w:t>
      </w:r>
      <w:r w:rsidRPr="00341E2D">
        <w:rPr>
          <w:rFonts w:ascii="Book Antiqua" w:hAnsi="Book Antiqua"/>
          <w:color w:val="000000" w:themeColor="text1"/>
          <w:sz w:val="24"/>
          <w:szCs w:val="24"/>
        </w:rPr>
        <w:t xml:space="preserve">). </w:t>
      </w:r>
    </w:p>
    <w:p w14:paraId="036E8F0F" w14:textId="77777777" w:rsidR="003B28C5" w:rsidRDefault="003B28C5" w:rsidP="00341E2D">
      <w:pPr>
        <w:adjustRightInd w:val="0"/>
        <w:snapToGrid w:val="0"/>
        <w:spacing w:line="360" w:lineRule="auto"/>
        <w:rPr>
          <w:rFonts w:ascii="Book Antiqua" w:hAnsi="Book Antiqua"/>
          <w:b/>
          <w:i/>
          <w:color w:val="000000" w:themeColor="text1"/>
          <w:sz w:val="24"/>
          <w:szCs w:val="24"/>
        </w:rPr>
      </w:pPr>
    </w:p>
    <w:p w14:paraId="3EF8D0C0"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Treatment</w:t>
      </w:r>
    </w:p>
    <w:p w14:paraId="6A6D3A14" w14:textId="67A72D04"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 xml:space="preserve">The procedures were performed under digital subtraction angiographic guidance (Aritis zeego; Simens, Munich, Germany). The choice of TIP or PT route depended on if the patients had ascites. The portal vein was reached </w:t>
      </w:r>
      <w:r w:rsidRPr="00341E2D">
        <w:rPr>
          <w:rFonts w:ascii="Book Antiqua" w:hAnsi="Book Antiqua"/>
          <w:i/>
          <w:color w:val="000000" w:themeColor="text1"/>
          <w:sz w:val="24"/>
          <w:szCs w:val="24"/>
        </w:rPr>
        <w:t>via</w:t>
      </w:r>
      <w:r w:rsidRPr="00341E2D">
        <w:rPr>
          <w:rFonts w:ascii="Book Antiqua" w:hAnsi="Book Antiqua"/>
          <w:color w:val="000000" w:themeColor="text1"/>
          <w:sz w:val="24"/>
          <w:szCs w:val="24"/>
        </w:rPr>
        <w:t xml:space="preserve"> the TIP route in six patients with ascites: a Rosch-Uchida set (Cook, Bloomington, IN, </w:t>
      </w:r>
      <w:r w:rsidR="003B28C5">
        <w:rPr>
          <w:rFonts w:ascii="Book Antiqua" w:hAnsi="Book Antiqua"/>
          <w:color w:val="000000" w:themeColor="text1"/>
          <w:sz w:val="24"/>
          <w:szCs w:val="24"/>
        </w:rPr>
        <w:t>United States</w:t>
      </w:r>
      <w:r w:rsidRPr="00341E2D">
        <w:rPr>
          <w:rFonts w:ascii="Book Antiqua" w:hAnsi="Book Antiqua"/>
          <w:color w:val="000000" w:themeColor="text1"/>
          <w:sz w:val="24"/>
          <w:szCs w:val="24"/>
        </w:rPr>
        <w:t>) was used to gain access to the portal vein branch from the hepatic vein under fluo</w:t>
      </w:r>
      <w:r w:rsidR="008D6547">
        <w:rPr>
          <w:rFonts w:ascii="Book Antiqua" w:hAnsi="Book Antiqua"/>
          <w:color w:val="000000" w:themeColor="text1"/>
          <w:sz w:val="24"/>
          <w:szCs w:val="24"/>
        </w:rPr>
        <w:t>roscopic guidance. When a 0.035-</w:t>
      </w:r>
      <w:r w:rsidRPr="00341E2D">
        <w:rPr>
          <w:rFonts w:ascii="Book Antiqua" w:hAnsi="Book Antiqua"/>
          <w:color w:val="000000" w:themeColor="text1"/>
          <w:sz w:val="24"/>
          <w:szCs w:val="24"/>
        </w:rPr>
        <w:t>in hydrophilic guidewire (Terumo, Tokyo, Japan) reached the superior mesenteric vein (SMV) or splenic vein (SV) in cooperation with a Cobra catheter (Cook), a pigtail catheter (Cook) was exchanged to perform portography (</w:t>
      </w:r>
      <w:r w:rsidR="003B28C5" w:rsidRPr="00241DF1">
        <w:rPr>
          <w:rFonts w:ascii="Book Antiqua" w:hAnsi="Book Antiqua"/>
          <w:color w:val="000000" w:themeColor="text1"/>
          <w:sz w:val="24"/>
          <w:szCs w:val="24"/>
        </w:rPr>
        <w:t>Figure 1</w:t>
      </w:r>
      <w:r w:rsidRPr="00241DF1">
        <w:rPr>
          <w:rFonts w:ascii="Book Antiqua" w:hAnsi="Book Antiqua"/>
          <w:color w:val="000000" w:themeColor="text1"/>
          <w:sz w:val="24"/>
          <w:szCs w:val="24"/>
        </w:rPr>
        <w:t>B</w:t>
      </w:r>
      <w:r w:rsidRPr="00341E2D">
        <w:rPr>
          <w:rFonts w:ascii="Book Antiqua" w:hAnsi="Book Antiqua"/>
          <w:color w:val="000000" w:themeColor="text1"/>
          <w:sz w:val="24"/>
          <w:szCs w:val="24"/>
        </w:rPr>
        <w:t>) and measure the portal pressure. The Rosch-Uchida sheath was then introduced into the portal vein following intrahepatic dilatation by a 6</w:t>
      </w:r>
      <w:r w:rsidR="008767C5">
        <w:rPr>
          <w:rFonts w:ascii="Book Antiqua" w:hAnsi="Book Antiqua"/>
          <w:color w:val="000000" w:themeColor="text1"/>
          <w:sz w:val="24"/>
          <w:szCs w:val="24"/>
        </w:rPr>
        <w:t>-</w:t>
      </w:r>
      <w:r w:rsidRPr="00341E2D">
        <w:rPr>
          <w:rFonts w:ascii="Book Antiqua" w:hAnsi="Book Antiqua"/>
          <w:color w:val="000000" w:themeColor="text1"/>
          <w:sz w:val="24"/>
          <w:szCs w:val="24"/>
        </w:rPr>
        <w:t xml:space="preserve">mm balloon catheter (Boston Scientific, Natick, MA, </w:t>
      </w:r>
      <w:r w:rsidR="00C77939">
        <w:rPr>
          <w:rFonts w:ascii="Book Antiqua" w:hAnsi="Book Antiqua"/>
          <w:color w:val="000000" w:themeColor="text1"/>
          <w:sz w:val="24"/>
          <w:szCs w:val="24"/>
        </w:rPr>
        <w:t>United States</w:t>
      </w:r>
      <w:r w:rsidRPr="00341E2D">
        <w:rPr>
          <w:rFonts w:ascii="Book Antiqua" w:hAnsi="Book Antiqua"/>
          <w:color w:val="000000" w:themeColor="text1"/>
          <w:sz w:val="24"/>
          <w:szCs w:val="24"/>
        </w:rPr>
        <w:t xml:space="preserve">). A pigtail catheter was inserted into the thrombus through the sheath, and a guidewire with a helical tip molded </w:t>
      </w:r>
      <w:r w:rsidRPr="00341E2D">
        <w:rPr>
          <w:rFonts w:ascii="Book Antiqua" w:hAnsi="Book Antiqua"/>
          <w:i/>
          <w:color w:val="000000" w:themeColor="text1"/>
          <w:sz w:val="24"/>
          <w:szCs w:val="24"/>
        </w:rPr>
        <w:t>in vitro</w:t>
      </w:r>
      <w:r w:rsidRPr="00341E2D">
        <w:rPr>
          <w:rFonts w:ascii="Book Antiqua" w:hAnsi="Book Antiqua"/>
          <w:color w:val="000000" w:themeColor="text1"/>
          <w:sz w:val="24"/>
          <w:szCs w:val="24"/>
        </w:rPr>
        <w:t xml:space="preserve"> was advanced through the catheter (</w:t>
      </w:r>
      <w:r w:rsidRPr="00241DF1">
        <w:rPr>
          <w:rFonts w:ascii="Book Antiqua" w:hAnsi="Book Antiqua"/>
          <w:color w:val="000000" w:themeColor="text1"/>
          <w:sz w:val="24"/>
          <w:szCs w:val="24"/>
        </w:rPr>
        <w:t xml:space="preserve">Figure </w:t>
      </w:r>
      <w:r w:rsidR="003B28C5" w:rsidRPr="00241DF1">
        <w:rPr>
          <w:rFonts w:ascii="Book Antiqua" w:hAnsi="Book Antiqua"/>
          <w:color w:val="000000" w:themeColor="text1"/>
          <w:sz w:val="24"/>
          <w:szCs w:val="24"/>
        </w:rPr>
        <w:t>3</w:t>
      </w:r>
      <w:r w:rsidRPr="00341E2D">
        <w:rPr>
          <w:rFonts w:ascii="Book Antiqua" w:hAnsi="Book Antiqua"/>
          <w:color w:val="000000" w:themeColor="text1"/>
          <w:sz w:val="24"/>
          <w:szCs w:val="24"/>
        </w:rPr>
        <w:t>). The guidewire and pigtail catheter were pushed and drawn together, and then rotated clockwise and anticlockwise alternatively, to agitate the thrombus into smaller fragments. In addition, 2</w:t>
      </w:r>
      <w:r w:rsidR="00C77939">
        <w:rPr>
          <w:rFonts w:ascii="Book Antiqua" w:hAnsi="Book Antiqua"/>
          <w:color w:val="000000" w:themeColor="text1"/>
          <w:sz w:val="24"/>
          <w:szCs w:val="24"/>
        </w:rPr>
        <w:t xml:space="preserve"> </w:t>
      </w:r>
      <w:r w:rsidRPr="00341E2D">
        <w:rPr>
          <w:rFonts w:ascii="Book Antiqua" w:hAnsi="Book Antiqua" w:cs="Arial"/>
          <w:color w:val="000000" w:themeColor="text1"/>
          <w:sz w:val="24"/>
          <w:szCs w:val="24"/>
        </w:rPr>
        <w:t>×</w:t>
      </w:r>
      <w:r w:rsidR="00C77939">
        <w:rPr>
          <w:rFonts w:ascii="Book Antiqua" w:hAnsi="Book Antiqua" w:cs="Arial"/>
          <w:color w:val="000000" w:themeColor="text1"/>
          <w:sz w:val="24"/>
          <w:szCs w:val="24"/>
        </w:rPr>
        <w:t xml:space="preserve"> </w:t>
      </w:r>
      <w:r w:rsidRPr="00341E2D">
        <w:rPr>
          <w:rFonts w:ascii="Book Antiqua" w:hAnsi="Book Antiqua"/>
          <w:color w:val="000000" w:themeColor="text1"/>
          <w:sz w:val="24"/>
          <w:szCs w:val="24"/>
        </w:rPr>
        <w:t>10</w:t>
      </w:r>
      <w:r w:rsidRPr="00341E2D">
        <w:rPr>
          <w:rFonts w:ascii="Book Antiqua" w:hAnsi="Book Antiqua"/>
          <w:color w:val="000000" w:themeColor="text1"/>
          <w:sz w:val="24"/>
          <w:szCs w:val="24"/>
          <w:vertAlign w:val="superscript"/>
        </w:rPr>
        <w:t xml:space="preserve">5 </w:t>
      </w:r>
      <w:r w:rsidRPr="00341E2D">
        <w:rPr>
          <w:rFonts w:ascii="Book Antiqua" w:hAnsi="Book Antiqua"/>
          <w:color w:val="000000" w:themeColor="text1"/>
          <w:sz w:val="24"/>
          <w:szCs w:val="24"/>
        </w:rPr>
        <w:t>IU urokinase (Tianjin Biochemical Pharmaceutical Co., Ltd., China) was injected through the catheter by intermittent pulsatile delivery. The AT procedure was continued for approximately 10 minutes. The Rosch-Uchida sheath was then removed and the indwelling pigtail catheter was left in the PVT.</w:t>
      </w:r>
    </w:p>
    <w:p w14:paraId="7B59F36B" w14:textId="1376DDAE" w:rsidR="00B964CC" w:rsidRPr="00341E2D" w:rsidRDefault="00C77939" w:rsidP="00341E2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87EC7" w:rsidRPr="00341E2D">
        <w:rPr>
          <w:rFonts w:ascii="Book Antiqua" w:hAnsi="Book Antiqua"/>
          <w:color w:val="000000" w:themeColor="text1"/>
          <w:sz w:val="24"/>
          <w:szCs w:val="24"/>
        </w:rPr>
        <w:t xml:space="preserve">The portal vein was reached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PT route in three patients without ascites: after successful puncture of a portal vein branch using a 22-gauge Chiba needle (Cook), a 6F coaxial dilator (Cook) was inserted into the portal vein. Then a 5F sheath (Cook) and a pigtail catheter were exchanged. AT was performed after portography (</w:t>
      </w:r>
      <w:r w:rsidR="003B28C5" w:rsidRPr="00241DF1">
        <w:rPr>
          <w:rFonts w:ascii="Book Antiqua" w:hAnsi="Book Antiqua"/>
          <w:color w:val="000000" w:themeColor="text1"/>
          <w:sz w:val="24"/>
          <w:szCs w:val="24"/>
        </w:rPr>
        <w:t>Figure 2</w:t>
      </w:r>
      <w:r w:rsidR="00D87EC7" w:rsidRPr="00241DF1">
        <w:rPr>
          <w:rFonts w:ascii="Book Antiqua" w:hAnsi="Book Antiqua"/>
          <w:color w:val="000000" w:themeColor="text1"/>
          <w:sz w:val="24"/>
          <w:szCs w:val="24"/>
        </w:rPr>
        <w:t>B</w:t>
      </w:r>
      <w:r w:rsidR="00D87EC7" w:rsidRPr="00341E2D">
        <w:rPr>
          <w:rFonts w:ascii="Book Antiqua" w:hAnsi="Book Antiqua"/>
          <w:color w:val="000000" w:themeColor="text1"/>
          <w:sz w:val="24"/>
          <w:szCs w:val="24"/>
        </w:rPr>
        <w:t xml:space="preserve">), and the AT procedures were similar to those carried out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TIP route. The indwelling pigtail catheter was left </w:t>
      </w:r>
      <w:r w:rsidR="00D87EC7" w:rsidRPr="00341E2D">
        <w:rPr>
          <w:rFonts w:ascii="Book Antiqua" w:hAnsi="Book Antiqua"/>
          <w:color w:val="000000" w:themeColor="text1"/>
          <w:sz w:val="24"/>
          <w:szCs w:val="24"/>
        </w:rPr>
        <w:lastRenderedPageBreak/>
        <w:t>in the PVT.</w:t>
      </w:r>
    </w:p>
    <w:p w14:paraId="44DC4E20" w14:textId="0A2F0F68" w:rsidR="00B964CC" w:rsidRPr="00341E2D" w:rsidRDefault="00C77939" w:rsidP="00341E2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Six hundred thousand</w:t>
      </w:r>
      <w:r w:rsidR="00D87EC7" w:rsidRPr="00341E2D">
        <w:rPr>
          <w:rFonts w:ascii="Book Antiqua" w:hAnsi="Book Antiqua"/>
          <w:color w:val="000000" w:themeColor="text1"/>
          <w:sz w:val="24"/>
          <w:szCs w:val="24"/>
        </w:rPr>
        <w:t xml:space="preserve"> IU of urokinase was infused continuously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pigtail catheter each day, unless complications developed. In addition, 5000 IU of low molecular weight heparin (LMWH) was injected twice a day, and warfarin was administered after treatment at an initial dose of 5 mg. LMWH was discontinued when the international normalized ratio (INR) was maintained at 2.0-3.0, and warfarin was continued for at least 12 mo. Portography was repeated every 24 h, and termination of CDT was based on the patency of the portal vein assessed by imaging and an obvious improvement in clinical symptoms. The portal vein pressure was measured again before the pigtail catheter was removed.</w:t>
      </w:r>
    </w:p>
    <w:p w14:paraId="2F097591" w14:textId="77777777" w:rsidR="008767C5" w:rsidRDefault="008767C5" w:rsidP="00341E2D">
      <w:pPr>
        <w:adjustRightInd w:val="0"/>
        <w:snapToGrid w:val="0"/>
        <w:spacing w:line="360" w:lineRule="auto"/>
        <w:rPr>
          <w:rFonts w:ascii="Book Antiqua" w:hAnsi="Book Antiqua"/>
          <w:b/>
          <w:i/>
          <w:color w:val="000000" w:themeColor="text1"/>
          <w:sz w:val="24"/>
          <w:szCs w:val="24"/>
        </w:rPr>
      </w:pPr>
    </w:p>
    <w:p w14:paraId="52ADFE03"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Follow-up study</w:t>
      </w:r>
    </w:p>
    <w:p w14:paraId="77F69181" w14:textId="1763C8B1"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Follow-up was scheduled at 1, 3 and 6 mo after treatment, and every 6 mo thereafter, or when the patients developed clinical symptoms related to PVT. Observations during follow-up mainly included clinical symptoms, routine blood examination, liver function and the condition of the portal vein evaluated by CDUS and contrast-enhanced CT/MRI. The end of follow-up was April 30, 2018.</w:t>
      </w:r>
    </w:p>
    <w:p w14:paraId="20C44626" w14:textId="77777777" w:rsidR="008767C5" w:rsidRDefault="008767C5" w:rsidP="00341E2D">
      <w:pPr>
        <w:adjustRightInd w:val="0"/>
        <w:snapToGrid w:val="0"/>
        <w:spacing w:line="360" w:lineRule="auto"/>
        <w:rPr>
          <w:rFonts w:ascii="Book Antiqua" w:hAnsi="Book Antiqua"/>
          <w:b/>
          <w:i/>
          <w:color w:val="000000" w:themeColor="text1"/>
          <w:sz w:val="24"/>
          <w:szCs w:val="24"/>
        </w:rPr>
      </w:pPr>
    </w:p>
    <w:p w14:paraId="4938E897"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Statistical analysis</w:t>
      </w:r>
    </w:p>
    <w:p w14:paraId="273FC3E5" w14:textId="6A16EB9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Data are shown as mean ± standard deviation</w:t>
      </w:r>
      <w:r w:rsidR="008767C5">
        <w:rPr>
          <w:rFonts w:ascii="Book Antiqua" w:hAnsi="Book Antiqua"/>
          <w:color w:val="000000" w:themeColor="text1"/>
          <w:sz w:val="24"/>
          <w:szCs w:val="24"/>
        </w:rPr>
        <w:t xml:space="preserve"> (SD)</w:t>
      </w:r>
      <w:r w:rsidRPr="00341E2D">
        <w:rPr>
          <w:rFonts w:ascii="Book Antiqua" w:hAnsi="Book Antiqua"/>
          <w:color w:val="000000" w:themeColor="text1"/>
          <w:sz w:val="24"/>
          <w:szCs w:val="24"/>
        </w:rPr>
        <w:t xml:space="preserve">. The paired Student </w:t>
      </w:r>
      <w:r w:rsidRPr="00341E2D">
        <w:rPr>
          <w:rFonts w:ascii="Book Antiqua" w:hAnsi="Book Antiqua"/>
          <w:i/>
          <w:color w:val="000000" w:themeColor="text1"/>
          <w:sz w:val="24"/>
          <w:szCs w:val="24"/>
        </w:rPr>
        <w:t>t</w:t>
      </w:r>
      <w:r w:rsidRPr="00341E2D">
        <w:rPr>
          <w:rFonts w:ascii="Book Antiqua" w:hAnsi="Book Antiqua"/>
          <w:color w:val="000000" w:themeColor="text1"/>
          <w:sz w:val="24"/>
          <w:szCs w:val="24"/>
        </w:rPr>
        <w:t xml:space="preserve"> test was used to determine statistically significant differences between pre- and post-treatment values. Significance was set at </w:t>
      </w:r>
      <w:r w:rsidRPr="00341E2D">
        <w:rPr>
          <w:rFonts w:ascii="Book Antiqua" w:hAnsi="Book Antiqua"/>
          <w:i/>
          <w:color w:val="000000" w:themeColor="text1"/>
          <w:sz w:val="24"/>
          <w:szCs w:val="24"/>
        </w:rPr>
        <w:t xml:space="preserve">P </w:t>
      </w:r>
      <w:r w:rsidRPr="00341E2D">
        <w:rPr>
          <w:rFonts w:ascii="Book Antiqua" w:hAnsi="Book Antiqua"/>
          <w:color w:val="000000" w:themeColor="text1"/>
          <w:sz w:val="24"/>
          <w:szCs w:val="24"/>
        </w:rPr>
        <w:t xml:space="preserve">&lt; 0.05. Statistical analysis was performed using SPSS (version 19.0; IBM, New York, </w:t>
      </w:r>
      <w:r w:rsidR="008767C5">
        <w:rPr>
          <w:rFonts w:ascii="Book Antiqua" w:hAnsi="Book Antiqua"/>
          <w:color w:val="000000" w:themeColor="text1"/>
          <w:sz w:val="24"/>
          <w:szCs w:val="24"/>
        </w:rPr>
        <w:t>United States</w:t>
      </w:r>
      <w:r w:rsidRPr="00341E2D">
        <w:rPr>
          <w:rFonts w:ascii="Book Antiqua" w:hAnsi="Book Antiqua"/>
          <w:color w:val="000000" w:themeColor="text1"/>
          <w:sz w:val="24"/>
          <w:szCs w:val="24"/>
        </w:rPr>
        <w:t>) software.</w:t>
      </w:r>
    </w:p>
    <w:p w14:paraId="544AF644" w14:textId="77777777" w:rsidR="00B964CC" w:rsidRPr="00341E2D" w:rsidRDefault="00B964CC" w:rsidP="00341E2D">
      <w:pPr>
        <w:adjustRightInd w:val="0"/>
        <w:snapToGrid w:val="0"/>
        <w:spacing w:line="360" w:lineRule="auto"/>
        <w:rPr>
          <w:rFonts w:ascii="Book Antiqua" w:hAnsi="Book Antiqua"/>
          <w:b/>
          <w:color w:val="000000" w:themeColor="text1"/>
          <w:sz w:val="24"/>
          <w:szCs w:val="24"/>
        </w:rPr>
      </w:pPr>
    </w:p>
    <w:p w14:paraId="5AD672E2" w14:textId="77777777" w:rsidR="00B964CC" w:rsidRPr="00341E2D" w:rsidRDefault="00D87EC7" w:rsidP="00341E2D">
      <w:pPr>
        <w:adjustRightInd w:val="0"/>
        <w:snapToGrid w:val="0"/>
        <w:spacing w:line="360" w:lineRule="auto"/>
        <w:rPr>
          <w:rFonts w:ascii="Book Antiqua" w:hAnsi="Book Antiqua"/>
          <w:b/>
          <w:color w:val="000000" w:themeColor="text1"/>
          <w:sz w:val="24"/>
          <w:szCs w:val="24"/>
        </w:rPr>
      </w:pPr>
      <w:r w:rsidRPr="00341E2D">
        <w:rPr>
          <w:rFonts w:ascii="Book Antiqua" w:hAnsi="Book Antiqua"/>
          <w:b/>
          <w:color w:val="000000" w:themeColor="text1"/>
          <w:sz w:val="24"/>
          <w:szCs w:val="24"/>
        </w:rPr>
        <w:t>RESULTS</w:t>
      </w:r>
    </w:p>
    <w:p w14:paraId="70021C51"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 xml:space="preserve">Treatment outcome </w:t>
      </w:r>
    </w:p>
    <w:p w14:paraId="1C0555ED" w14:textId="1A87E881"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 xml:space="preserve">AT combined with CDT was successful in all patients. Immediate portography after AT showed greater blood flow than pre-AT. One patient treated </w:t>
      </w:r>
      <w:r w:rsidRPr="00341E2D">
        <w:rPr>
          <w:rFonts w:ascii="Book Antiqua" w:hAnsi="Book Antiqua"/>
          <w:i/>
          <w:color w:val="000000" w:themeColor="text1"/>
          <w:sz w:val="24"/>
          <w:szCs w:val="24"/>
        </w:rPr>
        <w:t>via</w:t>
      </w:r>
      <w:r w:rsidRPr="00341E2D">
        <w:rPr>
          <w:rFonts w:ascii="Book Antiqua" w:hAnsi="Book Antiqua"/>
          <w:color w:val="000000" w:themeColor="text1"/>
          <w:sz w:val="24"/>
          <w:szCs w:val="24"/>
        </w:rPr>
        <w:t xml:space="preserve"> the TIP route underwent intestinal resection as a result of </w:t>
      </w:r>
      <w:r w:rsidRPr="00341E2D">
        <w:rPr>
          <w:rFonts w:ascii="Book Antiqua" w:hAnsi="Book Antiqua"/>
          <w:color w:val="000000" w:themeColor="text1"/>
          <w:sz w:val="24"/>
          <w:szCs w:val="24"/>
        </w:rPr>
        <w:lastRenderedPageBreak/>
        <w:t>congestive necrosis 5 d after the procedure; however, this patient died 9 d later. In the remaining patients, CDT was continued for 2.1</w:t>
      </w:r>
      <w:r w:rsidR="008767C5">
        <w:rPr>
          <w:rFonts w:ascii="Book Antiqua" w:hAnsi="Book Antiqua"/>
          <w:color w:val="000000" w:themeColor="text1"/>
          <w:sz w:val="24"/>
          <w:szCs w:val="24"/>
        </w:rPr>
        <w:t xml:space="preserve"> </w:t>
      </w:r>
      <w:r w:rsidRPr="00341E2D">
        <w:rPr>
          <w:rFonts w:ascii="Book Antiqua" w:hAnsi="Book Antiqua"/>
          <w:color w:val="000000" w:themeColor="text1"/>
          <w:sz w:val="24"/>
          <w:szCs w:val="24"/>
        </w:rPr>
        <w:t>±</w:t>
      </w:r>
      <w:r w:rsidR="008767C5">
        <w:rPr>
          <w:rFonts w:ascii="Book Antiqua" w:hAnsi="Book Antiqua"/>
          <w:color w:val="000000" w:themeColor="text1"/>
          <w:sz w:val="24"/>
          <w:szCs w:val="24"/>
        </w:rPr>
        <w:t xml:space="preserve"> </w:t>
      </w:r>
      <w:r w:rsidRPr="00341E2D">
        <w:rPr>
          <w:rFonts w:ascii="Book Antiqua" w:hAnsi="Book Antiqua"/>
          <w:color w:val="000000" w:themeColor="text1"/>
          <w:sz w:val="24"/>
          <w:szCs w:val="24"/>
        </w:rPr>
        <w:t xml:space="preserve">1.1 d with a total dose of urokinase of 0.8-2.6 </w:t>
      </w:r>
      <w:r w:rsidRPr="00341E2D">
        <w:rPr>
          <w:rFonts w:ascii="Book Antiqua" w:hAnsi="Book Antiqua" w:cs="Arial"/>
          <w:color w:val="000000" w:themeColor="text1"/>
          <w:sz w:val="24"/>
          <w:szCs w:val="24"/>
        </w:rPr>
        <w:t>×</w:t>
      </w:r>
      <w:r w:rsidRPr="00341E2D">
        <w:rPr>
          <w:rFonts w:ascii="Book Antiqua" w:hAnsi="Book Antiqua"/>
          <w:color w:val="000000" w:themeColor="text1"/>
          <w:sz w:val="24"/>
          <w:szCs w:val="24"/>
        </w:rPr>
        <w:t xml:space="preserve"> 10</w:t>
      </w:r>
      <w:r w:rsidRPr="00341E2D">
        <w:rPr>
          <w:rFonts w:ascii="Book Antiqua" w:hAnsi="Book Antiqua"/>
          <w:color w:val="000000" w:themeColor="text1"/>
          <w:sz w:val="24"/>
          <w:szCs w:val="24"/>
          <w:vertAlign w:val="superscript"/>
        </w:rPr>
        <w:t>6</w:t>
      </w:r>
      <w:r w:rsidRPr="00341E2D">
        <w:rPr>
          <w:rFonts w:ascii="Book Antiqua" w:hAnsi="Book Antiqua"/>
          <w:color w:val="000000" w:themeColor="text1"/>
          <w:sz w:val="24"/>
          <w:szCs w:val="24"/>
        </w:rPr>
        <w:t xml:space="preserve"> IU (</w:t>
      </w:r>
      <w:r w:rsidRPr="00241DF1">
        <w:rPr>
          <w:rFonts w:ascii="Book Antiqua" w:hAnsi="Book Antiqua"/>
          <w:color w:val="000000" w:themeColor="text1"/>
          <w:sz w:val="24"/>
          <w:szCs w:val="24"/>
        </w:rPr>
        <w:t>Table 2</w:t>
      </w:r>
      <w:r w:rsidRPr="00341E2D">
        <w:rPr>
          <w:rFonts w:ascii="Book Antiqua" w:hAnsi="Book Antiqua"/>
          <w:color w:val="000000" w:themeColor="text1"/>
          <w:sz w:val="24"/>
          <w:szCs w:val="24"/>
        </w:rPr>
        <w:t>). All clinical symptoms were relieved or disappeared except in one patient who continued to experience abdominal distension after meals. There was a significant difference in the maximum lumen occupancy of PVT (</w:t>
      </w:r>
      <w:r w:rsidR="003B28C5" w:rsidRPr="00241DF1">
        <w:rPr>
          <w:rFonts w:ascii="Book Antiqua" w:hAnsi="Book Antiqua"/>
          <w:color w:val="000000" w:themeColor="text1"/>
          <w:sz w:val="24"/>
          <w:szCs w:val="24"/>
        </w:rPr>
        <w:t>Figure</w:t>
      </w:r>
      <w:r w:rsidR="008767C5">
        <w:rPr>
          <w:rFonts w:ascii="Book Antiqua" w:hAnsi="Book Antiqua"/>
          <w:color w:val="000000" w:themeColor="text1"/>
          <w:sz w:val="24"/>
          <w:szCs w:val="24"/>
        </w:rPr>
        <w:t>s</w:t>
      </w:r>
      <w:r w:rsidR="003B28C5" w:rsidRPr="00241DF1">
        <w:rPr>
          <w:rFonts w:ascii="Book Antiqua" w:hAnsi="Book Antiqua"/>
          <w:color w:val="000000" w:themeColor="text1"/>
          <w:sz w:val="24"/>
          <w:szCs w:val="24"/>
        </w:rPr>
        <w:t xml:space="preserve"> 1C</w:t>
      </w:r>
      <w:r w:rsidR="008767C5">
        <w:rPr>
          <w:rFonts w:ascii="Book Antiqua" w:hAnsi="Book Antiqua"/>
          <w:color w:val="000000" w:themeColor="text1"/>
          <w:sz w:val="24"/>
          <w:szCs w:val="24"/>
        </w:rPr>
        <w:t xml:space="preserve"> and </w:t>
      </w:r>
      <w:r w:rsidR="003B28C5" w:rsidRPr="00241DF1">
        <w:rPr>
          <w:rFonts w:ascii="Book Antiqua" w:hAnsi="Book Antiqua"/>
          <w:color w:val="000000" w:themeColor="text1"/>
          <w:sz w:val="24"/>
          <w:szCs w:val="24"/>
        </w:rPr>
        <w:t>2</w:t>
      </w:r>
      <w:r w:rsidRPr="00241DF1">
        <w:rPr>
          <w:rFonts w:ascii="Book Antiqua" w:hAnsi="Book Antiqua"/>
          <w:color w:val="000000" w:themeColor="text1"/>
          <w:sz w:val="24"/>
          <w:szCs w:val="24"/>
        </w:rPr>
        <w:t>C</w:t>
      </w:r>
      <w:r w:rsidRPr="00341E2D">
        <w:rPr>
          <w:rFonts w:ascii="Book Antiqua" w:hAnsi="Book Antiqua"/>
          <w:color w:val="000000" w:themeColor="text1"/>
          <w:sz w:val="24"/>
          <w:szCs w:val="24"/>
        </w:rPr>
        <w:t>), portal vein pressure and flow velocity between pre- and post-treatment (</w:t>
      </w:r>
      <w:r w:rsidRPr="00341E2D">
        <w:rPr>
          <w:rFonts w:ascii="Book Antiqua" w:hAnsi="Book Antiqua"/>
          <w:i/>
          <w:color w:val="000000" w:themeColor="text1"/>
          <w:sz w:val="24"/>
          <w:szCs w:val="24"/>
        </w:rPr>
        <w:t>P</w:t>
      </w:r>
      <w:r w:rsidR="008767C5">
        <w:rPr>
          <w:rFonts w:ascii="Book Antiqua" w:hAnsi="Book Antiqua"/>
          <w:i/>
          <w:color w:val="000000" w:themeColor="text1"/>
          <w:sz w:val="24"/>
          <w:szCs w:val="24"/>
        </w:rPr>
        <w:t xml:space="preserve"> </w:t>
      </w:r>
      <w:r w:rsidRPr="00341E2D">
        <w:rPr>
          <w:rFonts w:ascii="Book Antiqua" w:hAnsi="Book Antiqua"/>
          <w:color w:val="000000" w:themeColor="text1"/>
          <w:sz w:val="24"/>
          <w:szCs w:val="24"/>
        </w:rPr>
        <w:t>&lt;</w:t>
      </w:r>
      <w:r w:rsidR="008767C5">
        <w:rPr>
          <w:rFonts w:ascii="Book Antiqua" w:hAnsi="Book Antiqua"/>
          <w:color w:val="000000" w:themeColor="text1"/>
          <w:sz w:val="24"/>
          <w:szCs w:val="24"/>
        </w:rPr>
        <w:t xml:space="preserve"> </w:t>
      </w:r>
      <w:r w:rsidRPr="00341E2D">
        <w:rPr>
          <w:rFonts w:ascii="Book Antiqua" w:hAnsi="Book Antiqua"/>
          <w:color w:val="000000" w:themeColor="text1"/>
          <w:sz w:val="24"/>
          <w:szCs w:val="24"/>
        </w:rPr>
        <w:t>0.05). No significant differences in the changes in liver function, such as alanine aminotransferase (ALT), albumin and bilirubin were observed (</w:t>
      </w:r>
      <w:r w:rsidRPr="00341E2D">
        <w:rPr>
          <w:rFonts w:ascii="Book Antiqua" w:hAnsi="Book Antiqua"/>
          <w:i/>
          <w:color w:val="000000" w:themeColor="text1"/>
          <w:sz w:val="24"/>
          <w:szCs w:val="24"/>
        </w:rPr>
        <w:t>P</w:t>
      </w:r>
      <w:r w:rsidR="008767C5">
        <w:rPr>
          <w:rFonts w:ascii="Book Antiqua" w:hAnsi="Book Antiqua"/>
          <w:i/>
          <w:color w:val="000000" w:themeColor="text1"/>
          <w:sz w:val="24"/>
          <w:szCs w:val="24"/>
        </w:rPr>
        <w:t xml:space="preserve"> </w:t>
      </w:r>
      <w:r w:rsidRPr="00341E2D">
        <w:rPr>
          <w:rFonts w:ascii="Book Antiqua" w:hAnsi="Book Antiqua"/>
          <w:color w:val="000000" w:themeColor="text1"/>
          <w:sz w:val="24"/>
          <w:szCs w:val="24"/>
        </w:rPr>
        <w:t>&gt;</w:t>
      </w:r>
      <w:r w:rsidR="008767C5">
        <w:rPr>
          <w:rFonts w:ascii="Book Antiqua" w:hAnsi="Book Antiqua"/>
          <w:color w:val="000000" w:themeColor="text1"/>
          <w:sz w:val="24"/>
          <w:szCs w:val="24"/>
        </w:rPr>
        <w:t xml:space="preserve"> </w:t>
      </w:r>
      <w:r w:rsidRPr="00341E2D">
        <w:rPr>
          <w:rFonts w:ascii="Book Antiqua" w:hAnsi="Book Antiqua"/>
          <w:color w:val="000000" w:themeColor="text1"/>
          <w:sz w:val="24"/>
          <w:szCs w:val="24"/>
        </w:rPr>
        <w:t>0.05) (</w:t>
      </w:r>
      <w:r w:rsidRPr="00241DF1">
        <w:rPr>
          <w:rFonts w:ascii="Book Antiqua" w:hAnsi="Book Antiqua"/>
          <w:color w:val="000000" w:themeColor="text1"/>
          <w:sz w:val="24"/>
          <w:szCs w:val="24"/>
        </w:rPr>
        <w:t>Table 3</w:t>
      </w:r>
      <w:r w:rsidRPr="00341E2D">
        <w:rPr>
          <w:rFonts w:ascii="Book Antiqua" w:hAnsi="Book Antiqua"/>
          <w:color w:val="000000" w:themeColor="text1"/>
          <w:sz w:val="24"/>
          <w:szCs w:val="24"/>
        </w:rPr>
        <w:t xml:space="preserve">). </w:t>
      </w:r>
    </w:p>
    <w:p w14:paraId="432F15D7" w14:textId="77777777" w:rsidR="008767C5" w:rsidRDefault="008767C5" w:rsidP="00341E2D">
      <w:pPr>
        <w:adjustRightInd w:val="0"/>
        <w:snapToGrid w:val="0"/>
        <w:spacing w:line="360" w:lineRule="auto"/>
        <w:rPr>
          <w:rFonts w:ascii="Book Antiqua" w:hAnsi="Book Antiqua"/>
          <w:b/>
          <w:i/>
          <w:color w:val="000000" w:themeColor="text1"/>
          <w:sz w:val="24"/>
          <w:szCs w:val="24"/>
        </w:rPr>
      </w:pPr>
    </w:p>
    <w:p w14:paraId="13BE1A60"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Complications</w:t>
      </w:r>
    </w:p>
    <w:p w14:paraId="7F068DF8" w14:textId="6AEF5AFA"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 xml:space="preserve">One patient developed subcapsular hemorrhage during puncture of the portal vein </w:t>
      </w:r>
      <w:r w:rsidRPr="00341E2D">
        <w:rPr>
          <w:rFonts w:ascii="Book Antiqua" w:hAnsi="Book Antiqua"/>
          <w:i/>
          <w:color w:val="000000" w:themeColor="text1"/>
          <w:sz w:val="24"/>
          <w:szCs w:val="24"/>
        </w:rPr>
        <w:t xml:space="preserve">via </w:t>
      </w:r>
      <w:r w:rsidRPr="00341E2D">
        <w:rPr>
          <w:rFonts w:ascii="Book Antiqua" w:hAnsi="Book Antiqua"/>
          <w:color w:val="000000" w:themeColor="text1"/>
          <w:sz w:val="24"/>
          <w:szCs w:val="24"/>
        </w:rPr>
        <w:t xml:space="preserve">the TIP route and experienced a rapid heartbeat. The patient’s vital signs were stable after erythrocyte transfusion, and CDT was started 3 d later. One patient </w:t>
      </w:r>
      <w:r w:rsidRPr="00341E2D">
        <w:rPr>
          <w:rFonts w:ascii="Book Antiqua" w:hAnsi="Book Antiqua"/>
          <w:i/>
          <w:color w:val="000000" w:themeColor="text1"/>
          <w:sz w:val="24"/>
          <w:szCs w:val="24"/>
        </w:rPr>
        <w:t>via</w:t>
      </w:r>
      <w:r w:rsidRPr="00341E2D">
        <w:rPr>
          <w:rFonts w:ascii="Book Antiqua" w:hAnsi="Book Antiqua"/>
          <w:color w:val="000000" w:themeColor="text1"/>
          <w:sz w:val="24"/>
          <w:szCs w:val="24"/>
        </w:rPr>
        <w:t xml:space="preserve"> PT route had hematuresis during CDT. These symptoms disappeared when urokinase was discontinued (</w:t>
      </w:r>
      <w:r w:rsidRPr="00241DF1">
        <w:rPr>
          <w:rFonts w:ascii="Book Antiqua" w:hAnsi="Book Antiqua"/>
          <w:color w:val="000000" w:themeColor="text1"/>
          <w:sz w:val="24"/>
          <w:szCs w:val="24"/>
        </w:rPr>
        <w:t>Table 2</w:t>
      </w:r>
      <w:r w:rsidRPr="00341E2D">
        <w:rPr>
          <w:rFonts w:ascii="Book Antiqua" w:hAnsi="Book Antiqua"/>
          <w:color w:val="000000" w:themeColor="text1"/>
          <w:sz w:val="24"/>
          <w:szCs w:val="24"/>
        </w:rPr>
        <w:t>).</w:t>
      </w:r>
    </w:p>
    <w:p w14:paraId="592CD879" w14:textId="77777777" w:rsidR="008767C5" w:rsidRDefault="008767C5" w:rsidP="00341E2D">
      <w:pPr>
        <w:adjustRightInd w:val="0"/>
        <w:snapToGrid w:val="0"/>
        <w:spacing w:line="360" w:lineRule="auto"/>
        <w:rPr>
          <w:rFonts w:ascii="Book Antiqua" w:hAnsi="Book Antiqua"/>
          <w:b/>
          <w:i/>
          <w:color w:val="000000" w:themeColor="text1"/>
          <w:sz w:val="24"/>
          <w:szCs w:val="24"/>
        </w:rPr>
      </w:pPr>
    </w:p>
    <w:p w14:paraId="39814CAB"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Follow-up</w:t>
      </w:r>
    </w:p>
    <w:p w14:paraId="3067136A" w14:textId="650AC02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The follow-up period ranged from 5 to 31 mo. During this period, one patient who had been taking warfarin for 12 mo had an irregular poor appetite 19 months after treatment, and contrast-enhanced CT showed that CTPV had developed in the right portal vein. In the remaining patients, the portal vein was patent and none of the clinical symptoms related to PVT reappeared (</w:t>
      </w:r>
      <w:r w:rsidRPr="00241DF1">
        <w:rPr>
          <w:rFonts w:ascii="Book Antiqua" w:hAnsi="Book Antiqua"/>
          <w:color w:val="000000" w:themeColor="text1"/>
          <w:sz w:val="24"/>
          <w:szCs w:val="24"/>
        </w:rPr>
        <w:t>Table 2</w:t>
      </w:r>
      <w:r w:rsidRPr="00341E2D">
        <w:rPr>
          <w:rFonts w:ascii="Book Antiqua" w:hAnsi="Book Antiqua"/>
          <w:color w:val="000000" w:themeColor="text1"/>
          <w:sz w:val="24"/>
          <w:szCs w:val="24"/>
        </w:rPr>
        <w:t>). Liver function and routine blood examination were normal in all patients during follow-up (</w:t>
      </w:r>
      <w:r w:rsidR="003B28C5" w:rsidRPr="00241DF1">
        <w:rPr>
          <w:rFonts w:ascii="Book Antiqua" w:hAnsi="Book Antiqua"/>
          <w:color w:val="000000" w:themeColor="text1"/>
          <w:sz w:val="24"/>
          <w:szCs w:val="24"/>
        </w:rPr>
        <w:t>Figure</w:t>
      </w:r>
      <w:r w:rsidR="008767C5" w:rsidRPr="00241DF1">
        <w:rPr>
          <w:rFonts w:ascii="Book Antiqua" w:hAnsi="Book Antiqua"/>
          <w:color w:val="000000" w:themeColor="text1"/>
          <w:sz w:val="24"/>
          <w:szCs w:val="24"/>
        </w:rPr>
        <w:t>s</w:t>
      </w:r>
      <w:r w:rsidR="003B28C5" w:rsidRPr="00241DF1">
        <w:rPr>
          <w:rFonts w:ascii="Book Antiqua" w:hAnsi="Book Antiqua"/>
          <w:color w:val="000000" w:themeColor="text1"/>
          <w:sz w:val="24"/>
          <w:szCs w:val="24"/>
        </w:rPr>
        <w:t xml:space="preserve"> 1</w:t>
      </w:r>
      <w:r w:rsidRPr="00241DF1">
        <w:rPr>
          <w:rFonts w:ascii="Book Antiqua" w:hAnsi="Book Antiqua"/>
          <w:color w:val="000000" w:themeColor="text1"/>
          <w:sz w:val="24"/>
          <w:szCs w:val="24"/>
        </w:rPr>
        <w:t>D</w:t>
      </w:r>
      <w:r w:rsidR="008767C5" w:rsidRPr="00241DF1">
        <w:rPr>
          <w:rFonts w:ascii="Book Antiqua" w:hAnsi="Book Antiqua"/>
          <w:color w:val="000000" w:themeColor="text1"/>
          <w:sz w:val="24"/>
          <w:szCs w:val="24"/>
        </w:rPr>
        <w:t xml:space="preserve"> and </w:t>
      </w:r>
      <w:r w:rsidR="003B28C5" w:rsidRPr="00241DF1">
        <w:rPr>
          <w:rFonts w:ascii="Book Antiqua" w:hAnsi="Book Antiqua"/>
          <w:color w:val="000000" w:themeColor="text1"/>
          <w:sz w:val="24"/>
          <w:szCs w:val="24"/>
        </w:rPr>
        <w:t>E</w:t>
      </w:r>
      <w:r w:rsidR="008767C5" w:rsidRPr="00241DF1">
        <w:rPr>
          <w:rFonts w:ascii="Book Antiqua" w:hAnsi="Book Antiqua"/>
          <w:color w:val="000000" w:themeColor="text1"/>
          <w:sz w:val="24"/>
          <w:szCs w:val="24"/>
        </w:rPr>
        <w:t xml:space="preserve">, </w:t>
      </w:r>
      <w:r w:rsidR="003B28C5" w:rsidRPr="00241DF1">
        <w:rPr>
          <w:rFonts w:ascii="Book Antiqua" w:hAnsi="Book Antiqua"/>
          <w:color w:val="000000" w:themeColor="text1"/>
          <w:sz w:val="24"/>
          <w:szCs w:val="24"/>
        </w:rPr>
        <w:t>2</w:t>
      </w:r>
      <w:r w:rsidRPr="00241DF1">
        <w:rPr>
          <w:rFonts w:ascii="Book Antiqua" w:hAnsi="Book Antiqua"/>
          <w:color w:val="000000" w:themeColor="text1"/>
          <w:sz w:val="24"/>
          <w:szCs w:val="24"/>
        </w:rPr>
        <w:t>D</w:t>
      </w:r>
      <w:r w:rsidR="008767C5" w:rsidRPr="00241DF1">
        <w:rPr>
          <w:rFonts w:ascii="Book Antiqua" w:hAnsi="Book Antiqua"/>
          <w:color w:val="000000" w:themeColor="text1"/>
          <w:sz w:val="24"/>
          <w:szCs w:val="24"/>
        </w:rPr>
        <w:t xml:space="preserve"> and </w:t>
      </w:r>
      <w:r w:rsidRPr="00241DF1">
        <w:rPr>
          <w:rFonts w:ascii="Book Antiqua" w:hAnsi="Book Antiqua"/>
          <w:color w:val="000000" w:themeColor="text1"/>
          <w:sz w:val="24"/>
          <w:szCs w:val="24"/>
        </w:rPr>
        <w:t>E</w:t>
      </w:r>
      <w:r w:rsidRPr="00341E2D">
        <w:rPr>
          <w:rFonts w:ascii="Book Antiqua" w:hAnsi="Book Antiqua"/>
          <w:color w:val="000000" w:themeColor="text1"/>
          <w:sz w:val="24"/>
          <w:szCs w:val="24"/>
        </w:rPr>
        <w:t>).</w:t>
      </w:r>
    </w:p>
    <w:p w14:paraId="7D60946F" w14:textId="77777777" w:rsidR="00B964CC" w:rsidRPr="00341E2D" w:rsidRDefault="00B964CC" w:rsidP="00341E2D">
      <w:pPr>
        <w:tabs>
          <w:tab w:val="left" w:pos="1732"/>
        </w:tabs>
        <w:adjustRightInd w:val="0"/>
        <w:snapToGrid w:val="0"/>
        <w:spacing w:line="360" w:lineRule="auto"/>
        <w:rPr>
          <w:rFonts w:ascii="Book Antiqua" w:hAnsi="Book Antiqua"/>
          <w:b/>
          <w:color w:val="000000" w:themeColor="text1"/>
          <w:sz w:val="24"/>
          <w:szCs w:val="24"/>
        </w:rPr>
      </w:pPr>
    </w:p>
    <w:p w14:paraId="7D2B58BC" w14:textId="77777777" w:rsidR="00B964CC" w:rsidRPr="00341E2D" w:rsidRDefault="00D87EC7" w:rsidP="00341E2D">
      <w:pPr>
        <w:tabs>
          <w:tab w:val="left" w:pos="3100"/>
        </w:tabs>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t>DISCUSSION</w:t>
      </w:r>
    </w:p>
    <w:p w14:paraId="02F83297"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PVT is mostly seen in liver cirrhosis with a prevalence ranging from 10% to 23%</w:t>
      </w:r>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NE.Ref.{7146A50D-A8EC-4836-84BA-EFDC11CC03A1}</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6]</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xml:space="preserve">. Non-cirrhotic PVT rarely occurs with a prevalence of approximately 1%, and has an intimate relationship with inherited or acquired coagulation diseases, such as primary myeloproliferative disorders, Protein C/S </w:t>
      </w:r>
      <w:r w:rsidRPr="00341E2D">
        <w:rPr>
          <w:rFonts w:ascii="Book Antiqua" w:hAnsi="Book Antiqua"/>
          <w:color w:val="000000" w:themeColor="text1"/>
          <w:sz w:val="24"/>
          <w:szCs w:val="24"/>
        </w:rPr>
        <w:lastRenderedPageBreak/>
        <w:t>deficiency, and abdominal surgery</w:t>
      </w:r>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NE.Ref.{B54830EE-F4AE-4B84-B934-D62A25A30D98}</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7]</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In addition to the etiology of PVT, it is particularly important to distinguish acute PVT from chronic PVT as the treatment is different. The American Association for the Study of Liver Diseases (AASLD) describes acute PVT as the sudden formation of thrombus in the portal vein, and chronic PVT occurs when the obstructed portal vein is replaced by periportal collaterals bypassing the PVT</w:t>
      </w:r>
      <w:r w:rsidRPr="00341E2D">
        <w:rPr>
          <w:rFonts w:ascii="Book Antiqua" w:hAnsi="Book Antiqua"/>
          <w:color w:val="000000" w:themeColor="text1"/>
          <w:sz w:val="24"/>
          <w:szCs w:val="24"/>
          <w:vertAlign w:val="superscript"/>
        </w:rPr>
        <w:t>[</w:t>
      </w:r>
      <w:r w:rsidRPr="00341E2D">
        <w:rPr>
          <w:rFonts w:ascii="Book Antiqua" w:hAnsi="Book Antiqua"/>
          <w:color w:val="000000" w:themeColor="text1"/>
          <w:sz w:val="24"/>
          <w:szCs w:val="24"/>
          <w:vertAlign w:val="superscript"/>
        </w:rPr>
        <w:fldChar w:fldCharType="begin"/>
      </w:r>
      <w:r w:rsidRPr="00341E2D">
        <w:rPr>
          <w:rFonts w:ascii="Book Antiqua" w:hAnsi="Book Antiqua"/>
          <w:color w:val="000000" w:themeColor="text1"/>
          <w:sz w:val="24"/>
          <w:szCs w:val="24"/>
          <w:vertAlign w:val="superscript"/>
        </w:rPr>
        <w:instrText xml:space="preserve"> ADDIN NE.Ref.{ABE8C727-68BC-4741-9F58-AF84233403E1}</w:instrText>
      </w:r>
      <w:r w:rsidRPr="00341E2D">
        <w:rPr>
          <w:rFonts w:ascii="Book Antiqua" w:hAnsi="Book Antiqua"/>
          <w:color w:val="000000" w:themeColor="text1"/>
          <w:sz w:val="24"/>
          <w:szCs w:val="24"/>
          <w:vertAlign w:val="superscript"/>
        </w:rPr>
        <w:fldChar w:fldCharType="separate"/>
      </w:r>
      <w:r w:rsidRPr="00341E2D">
        <w:rPr>
          <w:rFonts w:ascii="Book Antiqua" w:hAnsi="Book Antiqua" w:cs="Calibri"/>
          <w:color w:val="000000" w:themeColor="text1"/>
          <w:kern w:val="0"/>
          <w:sz w:val="24"/>
          <w:szCs w:val="24"/>
          <w:vertAlign w:val="superscript"/>
        </w:rPr>
        <w:t>8]</w:t>
      </w:r>
      <w:r w:rsidRPr="00341E2D">
        <w:rPr>
          <w:rFonts w:ascii="Book Antiqua" w:hAnsi="Book Antiqua"/>
          <w:color w:val="000000" w:themeColor="text1"/>
          <w:sz w:val="24"/>
          <w:szCs w:val="24"/>
          <w:vertAlign w:val="superscript"/>
        </w:rPr>
        <w:fldChar w:fldCharType="end"/>
      </w:r>
      <w:r w:rsidRPr="00341E2D">
        <w:rPr>
          <w:rFonts w:ascii="Book Antiqua" w:hAnsi="Book Antiqua"/>
          <w:color w:val="000000" w:themeColor="text1"/>
          <w:sz w:val="24"/>
          <w:szCs w:val="24"/>
        </w:rPr>
        <w:t>. However, the time boundary is not mentioned. In our study, acute PVT was diagnosed by clinical symptoms and the absence of massive periportal collaterals on imaging.</w:t>
      </w:r>
    </w:p>
    <w:p w14:paraId="06B97BF0" w14:textId="687A76E0" w:rsidR="00B964CC" w:rsidRPr="00341E2D" w:rsidRDefault="008767C5" w:rsidP="00341E2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87EC7" w:rsidRPr="00341E2D">
        <w:rPr>
          <w:rFonts w:ascii="Book Antiqua" w:hAnsi="Book Antiqua"/>
          <w:color w:val="000000" w:themeColor="text1"/>
          <w:sz w:val="24"/>
          <w:szCs w:val="24"/>
        </w:rPr>
        <w:t xml:space="preserve">For non-cirrhotic acute PVT with obvious symptoms, the aim of treatment is recanalization of the obstructed portal vein and the prevention of complications. Common treatment methods including anticoagulation or indirect thrombolysis can be useful for relieving symptoms and recanalizing the portal vein. A meta-analysis, involving 353 patients, showed a significantly higher rate of recanalization following anticoagulation compared with the control group which did not receive anticoagulation (71% </w:t>
      </w:r>
      <w:r w:rsidR="00D87EC7" w:rsidRPr="00341E2D">
        <w:rPr>
          <w:rFonts w:ascii="Book Antiqua" w:hAnsi="Book Antiqua"/>
          <w:i/>
          <w:color w:val="000000" w:themeColor="text1"/>
          <w:sz w:val="24"/>
          <w:szCs w:val="24"/>
        </w:rPr>
        <w:t>vs</w:t>
      </w:r>
      <w:r w:rsidR="00D87EC7" w:rsidRPr="00341E2D">
        <w:rPr>
          <w:rFonts w:ascii="Book Antiqua" w:hAnsi="Book Antiqua"/>
          <w:color w:val="000000" w:themeColor="text1"/>
          <w:sz w:val="24"/>
          <w:szCs w:val="24"/>
        </w:rPr>
        <w:t xml:space="preserve"> 42%;</w:t>
      </w:r>
      <w:r w:rsidR="00D87EC7" w:rsidRPr="00341E2D">
        <w:rPr>
          <w:rFonts w:ascii="Book Antiqua" w:hAnsi="Book Antiqua"/>
          <w:i/>
          <w:color w:val="000000" w:themeColor="text1"/>
          <w:sz w:val="24"/>
          <w:szCs w:val="24"/>
        </w:rPr>
        <w:t xml:space="preserve"> P</w:t>
      </w:r>
      <w:r w:rsidR="00D87EC7" w:rsidRPr="00341E2D">
        <w:rPr>
          <w:rFonts w:ascii="Book Antiqua" w:hAnsi="Book Antiqua"/>
          <w:color w:val="000000" w:themeColor="text1"/>
          <w:sz w:val="24"/>
          <w:szCs w:val="24"/>
        </w:rPr>
        <w:t xml:space="preserve"> &lt; 0.01</w:t>
      </w:r>
      <w:r w:rsidR="00B801E8">
        <w:rPr>
          <w:rFonts w:ascii="Book Antiqua" w:hAnsi="Book Antiqua"/>
          <w:color w:val="000000" w:themeColor="text1"/>
          <w:sz w:val="24"/>
          <w:szCs w:val="24"/>
        </w:rPr>
        <w:t>)</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NE.Ref.{3C7C302D-55E5-4F85-AEE5-9982CA3364EA}</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2]</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xml:space="preserve">. However, less than 20% of the patients achieved complete recanalization, and the others developed CTPV due to incomplete recanalization which can lead to chronic portal hypertension. Indirect thrombolysis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a peripheral vein or the superior mesenteric artery is less technically demanding, whereas the effect is limited as the thrombolytics are diverted from the patent branches or collaterals</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NE.Ref.{1390B324-EF70-402B-80C7-3BE1D2C20BE3}</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3]</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In addition, a high dose of thrombolytics may increase the risk of gastrointestinal hemorrhage.</w:t>
      </w:r>
    </w:p>
    <w:p w14:paraId="14D458B2" w14:textId="5040DF51" w:rsidR="00B964CC" w:rsidRPr="00341E2D" w:rsidRDefault="00B801E8" w:rsidP="00341E2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87EC7" w:rsidRPr="00341E2D">
        <w:rPr>
          <w:rFonts w:ascii="Book Antiqua" w:hAnsi="Book Antiqua"/>
          <w:color w:val="000000" w:themeColor="text1"/>
          <w:sz w:val="24"/>
          <w:szCs w:val="24"/>
        </w:rPr>
        <w:t>CDT is an effective treatment for acute thrombus, which can enhance the efficacy of thrombolytics at a lower dose compared to indirect thrombolysis</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NE.Ref.{42BB4EB2-7F06-44CA-BA5E-8D2C71D9B994}</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4]</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xml:space="preserve">. CDT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PT route is relatively simple to perform, but it is not suitable for patients with massive ascites as it may cause hemorrhage through the PT tract during subsequent anticoagulation or thrombolysis. In addition, patients often felt pain when breathing as the indwelling catheter traversed the hepatic capsule. CDT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TIP route can avoid these complications, but puncturing the portal vein from the hepatic vein is more difficult than using the PT route. </w:t>
      </w:r>
      <w:r w:rsidR="00D87EC7" w:rsidRPr="00341E2D">
        <w:rPr>
          <w:rFonts w:ascii="Book Antiqua" w:hAnsi="Book Antiqua"/>
          <w:color w:val="000000" w:themeColor="text1"/>
          <w:sz w:val="24"/>
          <w:szCs w:val="24"/>
        </w:rPr>
        <w:lastRenderedPageBreak/>
        <w:t xml:space="preserve">Chen </w:t>
      </w:r>
      <w:r w:rsidR="00D87EC7" w:rsidRPr="00341E2D">
        <w:rPr>
          <w:rFonts w:ascii="Book Antiqua" w:hAnsi="Book Antiqua"/>
          <w:i/>
          <w:color w:val="000000" w:themeColor="text1"/>
          <w:sz w:val="24"/>
          <w:szCs w:val="24"/>
        </w:rPr>
        <w:t>et al</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NE.Ref.{8978F903-EFDC-4C6C-8C15-B1959356E19D}</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9]</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xml:space="preserve"> reported that direct portography </w:t>
      </w:r>
      <w:r w:rsidR="00D87EC7" w:rsidRPr="00341E2D">
        <w:rPr>
          <w:rFonts w:ascii="Book Antiqua" w:hAnsi="Book Antiqua"/>
          <w:i/>
          <w:color w:val="000000" w:themeColor="text1"/>
          <w:sz w:val="24"/>
          <w:szCs w:val="24"/>
        </w:rPr>
        <w:t xml:space="preserve">via </w:t>
      </w:r>
      <w:r w:rsidR="00D87EC7" w:rsidRPr="00341E2D">
        <w:rPr>
          <w:rFonts w:ascii="Book Antiqua" w:hAnsi="Book Antiqua"/>
          <w:color w:val="000000" w:themeColor="text1"/>
          <w:sz w:val="24"/>
          <w:szCs w:val="24"/>
        </w:rPr>
        <w:t xml:space="preserve">the PT route, then a balloon catheter inflated with contrast medium to 80% of its volume positioned at the site of the bifurcation of the right and left portal veins can improve the success rate. Wang </w:t>
      </w:r>
      <w:r w:rsidR="00D87EC7" w:rsidRPr="00341E2D">
        <w:rPr>
          <w:rFonts w:ascii="Book Antiqua" w:hAnsi="Book Antiqua"/>
          <w:i/>
          <w:color w:val="000000" w:themeColor="text1"/>
          <w:sz w:val="24"/>
          <w:szCs w:val="24"/>
        </w:rPr>
        <w:t>et al</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NE.Ref.{9F2543C5-7286-44AA-AC9C-1D0ECF48D83B}</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10]</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xml:space="preserve"> reported the successful treatment of 12 patients with acute PVT treated with aspiration combined with CDT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TIP route. The CDT time was 7.6 h. Eight patients achieved complete recanalization and four patients had partial recanalization, and AT combined with CDT was more effective than anticoagulation or indirect thrombolysis.</w:t>
      </w:r>
    </w:p>
    <w:p w14:paraId="315B591B" w14:textId="63C3F5C6" w:rsidR="00B964CC" w:rsidRPr="00341E2D" w:rsidRDefault="00B801E8" w:rsidP="00341E2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87EC7" w:rsidRPr="00341E2D">
        <w:rPr>
          <w:rFonts w:ascii="Book Antiqua" w:hAnsi="Book Antiqua"/>
          <w:color w:val="000000" w:themeColor="text1"/>
          <w:sz w:val="24"/>
          <w:szCs w:val="24"/>
        </w:rPr>
        <w:t xml:space="preserve">Agitation is a common phenomenon in daily life, and can accelerate the rate of solute dissolution in a solvent. AT was first reported by Ding </w:t>
      </w:r>
      <w:r w:rsidR="00D87EC7" w:rsidRPr="00341E2D">
        <w:rPr>
          <w:rFonts w:ascii="Book Antiqua" w:hAnsi="Book Antiqua"/>
          <w:i/>
          <w:color w:val="000000" w:themeColor="text1"/>
          <w:sz w:val="24"/>
          <w:szCs w:val="24"/>
        </w:rPr>
        <w:t>et al</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NE.Ref.{269A2BDE-1636-42DD-8DF2-4AC32AC38139}</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5]</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xml:space="preserve"> following the successful treatment of acute inferior vein thrombus in Budd-Chiari syndrome, which showed a good long-term efficacy</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NE.Ref.{67BD0E8C-C211-49E7-929F-87D9E7783A12}</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11]</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but has not yet been reported in the treatment of PVT. As the thrombus is porous in the acute stage, it can easily be broken into smaller fragments by agitation, which increases the contact area between the thrombus and thrombolytics, and increases the speed of thrombus dissolution. The shape of the catheter tip is important. In this study, the pigtail catheter was chosen as an agitator, as it did not injure the vessel wall and resulted in greater fragmentation of the thrombus during rotation. In addition, a guidewire with a helical tip can enhance the fracture resistance of the pigtail catheter, and increase the range of agitation. Compared with other methods, such as endovascular aspiration or mechanical thrombectomy</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NE.Ref.{A8EF6C99-FCFE-4235-BA24-CF46579C5B8B}</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12]</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 xml:space="preserve">, AT is simpler and safer with less blood loss. In our study, all the patients had a smoother blood flow after treatment than before treatment, and the duration of CDT was shorter and the rate of recanalization was higher than those reported by Wang </w:t>
      </w:r>
      <w:r w:rsidR="00D87EC7" w:rsidRPr="00341E2D">
        <w:rPr>
          <w:rFonts w:ascii="Book Antiqua" w:hAnsi="Book Antiqua"/>
          <w:i/>
          <w:color w:val="000000" w:themeColor="text1"/>
          <w:sz w:val="24"/>
          <w:szCs w:val="24"/>
        </w:rPr>
        <w:t>et al</w:t>
      </w:r>
      <w:r w:rsidR="00D87EC7" w:rsidRPr="00341E2D">
        <w:rPr>
          <w:rFonts w:ascii="Book Antiqua" w:hAnsi="Book Antiqua"/>
          <w:color w:val="000000" w:themeColor="text1"/>
          <w:sz w:val="24"/>
          <w:szCs w:val="24"/>
          <w:vertAlign w:val="superscript"/>
        </w:rPr>
        <w:t>[</w:t>
      </w:r>
      <w:r w:rsidR="00D87EC7" w:rsidRPr="00341E2D">
        <w:rPr>
          <w:rFonts w:ascii="Book Antiqua" w:hAnsi="Book Antiqua"/>
          <w:color w:val="000000" w:themeColor="text1"/>
          <w:sz w:val="24"/>
          <w:szCs w:val="24"/>
          <w:vertAlign w:val="superscript"/>
        </w:rPr>
        <w:fldChar w:fldCharType="begin"/>
      </w:r>
      <w:r w:rsidR="00D87EC7" w:rsidRPr="00341E2D">
        <w:rPr>
          <w:rFonts w:ascii="Book Antiqua" w:hAnsi="Book Antiqua"/>
          <w:color w:val="000000" w:themeColor="text1"/>
          <w:sz w:val="24"/>
          <w:szCs w:val="24"/>
          <w:vertAlign w:val="superscript"/>
        </w:rPr>
        <w:instrText xml:space="preserve"> ADDIN NE.Ref.{98752F60-B6B7-4C6A-9CA9-D1073148D566}</w:instrText>
      </w:r>
      <w:r w:rsidR="00D87EC7" w:rsidRPr="00341E2D">
        <w:rPr>
          <w:rFonts w:ascii="Book Antiqua" w:hAnsi="Book Antiqua"/>
          <w:color w:val="000000" w:themeColor="text1"/>
          <w:sz w:val="24"/>
          <w:szCs w:val="24"/>
          <w:vertAlign w:val="superscript"/>
        </w:rPr>
        <w:fldChar w:fldCharType="separate"/>
      </w:r>
      <w:r w:rsidR="00D87EC7" w:rsidRPr="00341E2D">
        <w:rPr>
          <w:rFonts w:ascii="Book Antiqua" w:hAnsi="Book Antiqua" w:cs="Calibri"/>
          <w:color w:val="000000" w:themeColor="text1"/>
          <w:kern w:val="0"/>
          <w:sz w:val="24"/>
          <w:szCs w:val="24"/>
          <w:vertAlign w:val="superscript"/>
        </w:rPr>
        <w:t>10]</w:t>
      </w:r>
      <w:r w:rsidR="00D87EC7" w:rsidRPr="00341E2D">
        <w:rPr>
          <w:rFonts w:ascii="Book Antiqua" w:hAnsi="Book Antiqua"/>
          <w:color w:val="000000" w:themeColor="text1"/>
          <w:sz w:val="24"/>
          <w:szCs w:val="24"/>
          <w:vertAlign w:val="superscript"/>
        </w:rPr>
        <w:fldChar w:fldCharType="end"/>
      </w:r>
      <w:r w:rsidR="00D87EC7" w:rsidRPr="00341E2D">
        <w:rPr>
          <w:rFonts w:ascii="Book Antiqua" w:hAnsi="Book Antiqua"/>
          <w:color w:val="000000" w:themeColor="text1"/>
          <w:sz w:val="24"/>
          <w:szCs w:val="24"/>
        </w:rPr>
        <w:t>.</w:t>
      </w:r>
    </w:p>
    <w:p w14:paraId="18763119" w14:textId="0B7DD844" w:rsidR="00B964CC" w:rsidRPr="00341E2D" w:rsidRDefault="008B787A" w:rsidP="00341E2D">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87EC7" w:rsidRPr="00341E2D">
        <w:rPr>
          <w:rFonts w:ascii="Book Antiqua" w:hAnsi="Book Antiqua"/>
          <w:color w:val="000000" w:themeColor="text1"/>
          <w:sz w:val="24"/>
          <w:szCs w:val="24"/>
        </w:rPr>
        <w:t>There are some limitations in this study. Firstly, the study was retrospective with a limited number of cases; therefore, the data may have been affected by various potential biases. Secondly,</w:t>
      </w:r>
      <w:r w:rsidR="00152B92" w:rsidRPr="00341E2D">
        <w:rPr>
          <w:rFonts w:ascii="Book Antiqua" w:hAnsi="Book Antiqua"/>
          <w:color w:val="000000" w:themeColor="text1"/>
          <w:sz w:val="24"/>
          <w:szCs w:val="24"/>
        </w:rPr>
        <w:t xml:space="preserve"> puncture of the portal vein is</w:t>
      </w:r>
      <w:r w:rsidR="00D87EC7" w:rsidRPr="00341E2D">
        <w:rPr>
          <w:rFonts w:ascii="Book Antiqua" w:hAnsi="Book Antiqua"/>
          <w:color w:val="000000" w:themeColor="text1"/>
          <w:sz w:val="24"/>
          <w:szCs w:val="24"/>
        </w:rPr>
        <w:t xml:space="preserve"> difficult to perform under fluoroscopic guidance, and required extensive experience and a good understanding of imaging data including </w:t>
      </w:r>
      <w:r w:rsidR="00152B92" w:rsidRPr="00341E2D">
        <w:rPr>
          <w:rFonts w:ascii="Book Antiqua" w:hAnsi="Book Antiqua"/>
          <w:color w:val="000000" w:themeColor="text1"/>
          <w:sz w:val="24"/>
          <w:szCs w:val="24"/>
        </w:rPr>
        <w:t xml:space="preserve">contrast-enhanced CT/MRI; </w:t>
      </w:r>
      <w:r>
        <w:rPr>
          <w:rFonts w:ascii="Book Antiqua" w:hAnsi="Book Antiqua"/>
          <w:color w:val="000000" w:themeColor="text1"/>
          <w:sz w:val="24"/>
          <w:szCs w:val="24"/>
        </w:rPr>
        <w:t>thus</w:t>
      </w:r>
      <w:r w:rsidR="003B2C4F">
        <w:rPr>
          <w:rFonts w:ascii="Book Antiqua" w:hAnsi="Book Antiqua"/>
          <w:color w:val="000000" w:themeColor="text1"/>
          <w:sz w:val="24"/>
          <w:szCs w:val="24"/>
        </w:rPr>
        <w:t>,</w:t>
      </w:r>
      <w:r>
        <w:rPr>
          <w:rFonts w:ascii="Book Antiqua" w:hAnsi="Book Antiqua"/>
          <w:color w:val="000000" w:themeColor="text1"/>
          <w:sz w:val="24"/>
          <w:szCs w:val="24"/>
        </w:rPr>
        <w:t xml:space="preserve"> </w:t>
      </w:r>
      <w:r w:rsidR="00152B92" w:rsidRPr="00341E2D">
        <w:rPr>
          <w:rFonts w:ascii="Book Antiqua" w:hAnsi="Book Antiqua"/>
          <w:color w:val="000000" w:themeColor="text1"/>
          <w:sz w:val="24"/>
          <w:szCs w:val="24"/>
        </w:rPr>
        <w:t>the treatment is restricted to University Hospitals.</w:t>
      </w:r>
    </w:p>
    <w:p w14:paraId="09464478" w14:textId="0386809F" w:rsidR="00B964CC" w:rsidRPr="00341E2D" w:rsidRDefault="008B787A" w:rsidP="00341E2D">
      <w:pPr>
        <w:autoSpaceDE w:val="0"/>
        <w:autoSpaceDN w:val="0"/>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lastRenderedPageBreak/>
        <w:t xml:space="preserve">  </w:t>
      </w:r>
      <w:r w:rsidR="00D87EC7" w:rsidRPr="00341E2D">
        <w:rPr>
          <w:rFonts w:ascii="Book Antiqua" w:hAnsi="Book Antiqua"/>
          <w:color w:val="000000" w:themeColor="text1"/>
          <w:sz w:val="24"/>
          <w:szCs w:val="24"/>
        </w:rPr>
        <w:t>In conclusion, AT combined with CDT is a safe and effective method for the treatment of non-cirrhotic acute PVT with a good short-middle term efficacy. However, the long-term efficacy of AT combined with CDT in a large population requires further investigation.</w:t>
      </w:r>
    </w:p>
    <w:p w14:paraId="57B3CBF1" w14:textId="77777777" w:rsidR="00C54F2E" w:rsidRDefault="00C54F2E" w:rsidP="00341E2D">
      <w:pPr>
        <w:adjustRightInd w:val="0"/>
        <w:snapToGrid w:val="0"/>
        <w:spacing w:line="360" w:lineRule="auto"/>
        <w:rPr>
          <w:rFonts w:ascii="Book Antiqua" w:hAnsi="Book Antiqua" w:cs="Segoe UI"/>
          <w:b/>
          <w:caps/>
          <w:color w:val="000000" w:themeColor="text1"/>
          <w:sz w:val="24"/>
          <w:szCs w:val="24"/>
          <w:shd w:val="clear" w:color="auto" w:fill="FFFFFF"/>
        </w:rPr>
      </w:pPr>
      <w:bookmarkStart w:id="85" w:name="OLE_LINK23"/>
      <w:bookmarkStart w:id="86" w:name="OLE_LINK24"/>
      <w:bookmarkStart w:id="87" w:name="OLE_LINK11"/>
      <w:bookmarkStart w:id="88" w:name="OLE_LINK12"/>
      <w:bookmarkStart w:id="89" w:name="OLE_LINK158"/>
      <w:bookmarkStart w:id="90" w:name="OLE_LINK159"/>
      <w:bookmarkStart w:id="91" w:name="OLE_LINK205"/>
      <w:bookmarkStart w:id="92" w:name="OLE_LINK206"/>
      <w:bookmarkStart w:id="93" w:name="OLE_LINK244"/>
      <w:bookmarkStart w:id="94" w:name="OLE_LINK245"/>
    </w:p>
    <w:p w14:paraId="67BD6A26" w14:textId="77777777" w:rsidR="00B964CC" w:rsidRPr="00341E2D" w:rsidRDefault="00D87EC7" w:rsidP="00341E2D">
      <w:pPr>
        <w:adjustRightInd w:val="0"/>
        <w:snapToGrid w:val="0"/>
        <w:spacing w:line="360" w:lineRule="auto"/>
        <w:rPr>
          <w:rFonts w:ascii="Book Antiqua" w:hAnsi="Book Antiqua"/>
          <w:b/>
          <w:caps/>
          <w:color w:val="000000" w:themeColor="text1"/>
          <w:sz w:val="24"/>
          <w:szCs w:val="24"/>
        </w:rPr>
      </w:pPr>
      <w:r w:rsidRPr="00341E2D">
        <w:rPr>
          <w:rFonts w:ascii="Book Antiqua" w:hAnsi="Book Antiqua" w:cs="Segoe UI"/>
          <w:b/>
          <w:caps/>
          <w:color w:val="000000" w:themeColor="text1"/>
          <w:sz w:val="24"/>
          <w:szCs w:val="24"/>
          <w:shd w:val="clear" w:color="auto" w:fill="FFFFFF"/>
        </w:rPr>
        <w:t xml:space="preserve">Article Highlights  </w:t>
      </w:r>
    </w:p>
    <w:p w14:paraId="689E1EFD"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Research background</w:t>
      </w:r>
    </w:p>
    <w:p w14:paraId="1517B6B7" w14:textId="5A00FA6C"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 xml:space="preserve">Non-cirrhotic (PVT) has a low incidence with a prevalence of approximately 1%, and partial obstruction of the portal vein is often clinically imperceptible. However, complete obstruction due to acute thrombus can lead to a series of clinical symptoms, such as abdominal pain, ascites, and even intestinal necrosis. Common treatment opinions including anticoagulation or indirect thrombolysis are useful for relieving symptoms, but the outcome is unsatisfactory as most patients develop into </w:t>
      </w:r>
      <w:r w:rsidR="001275C3" w:rsidRPr="00341E2D">
        <w:rPr>
          <w:rFonts w:ascii="Book Antiqua" w:hAnsi="Book Antiqua"/>
          <w:color w:val="000000" w:themeColor="text1"/>
          <w:sz w:val="24"/>
          <w:szCs w:val="24"/>
        </w:rPr>
        <w:t>cavernous transformation of the portal vein (CTPV)</w:t>
      </w:r>
      <w:r w:rsidRPr="00341E2D">
        <w:rPr>
          <w:rFonts w:ascii="Book Antiqua" w:hAnsi="Book Antiqua"/>
          <w:color w:val="000000" w:themeColor="text1"/>
          <w:sz w:val="24"/>
          <w:szCs w:val="24"/>
        </w:rPr>
        <w:t xml:space="preserve"> due to incomplete recanalization.</w:t>
      </w:r>
    </w:p>
    <w:p w14:paraId="49C9460C"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499123B5"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Research motivation</w:t>
      </w:r>
    </w:p>
    <w:p w14:paraId="6013BF6D" w14:textId="55CAA624" w:rsidR="00B964CC" w:rsidRPr="00341E2D" w:rsidRDefault="00466D40" w:rsidP="00341E2D">
      <w:pPr>
        <w:adjustRightInd w:val="0"/>
        <w:snapToGrid w:val="0"/>
        <w:spacing w:line="360" w:lineRule="auto"/>
        <w:rPr>
          <w:rFonts w:ascii="Book Antiqua" w:hAnsi="Book Antiqua"/>
          <w:b/>
          <w:i/>
          <w:color w:val="000000" w:themeColor="text1"/>
          <w:sz w:val="24"/>
          <w:szCs w:val="24"/>
        </w:rPr>
      </w:pPr>
      <w:r>
        <w:rPr>
          <w:rFonts w:ascii="Book Antiqua" w:hAnsi="Book Antiqua"/>
          <w:color w:val="000000" w:themeColor="text1"/>
          <w:sz w:val="24"/>
          <w:szCs w:val="24"/>
        </w:rPr>
        <w:t>C</w:t>
      </w:r>
      <w:r w:rsidRPr="00341E2D">
        <w:rPr>
          <w:rFonts w:ascii="Book Antiqua" w:hAnsi="Book Antiqua"/>
          <w:color w:val="000000" w:themeColor="text1"/>
          <w:sz w:val="24"/>
          <w:szCs w:val="24"/>
        </w:rPr>
        <w:t>atheter-directed thrombolysis (CDT)</w:t>
      </w:r>
      <w:r w:rsidR="00D87EC7" w:rsidRPr="00341E2D">
        <w:rPr>
          <w:rFonts w:ascii="Book Antiqua" w:hAnsi="Book Antiqua"/>
          <w:color w:val="000000" w:themeColor="text1"/>
          <w:sz w:val="24"/>
          <w:szCs w:val="24"/>
        </w:rPr>
        <w:t xml:space="preserve"> </w:t>
      </w:r>
      <w:r w:rsidR="00D87EC7" w:rsidRPr="00341E2D">
        <w:rPr>
          <w:rFonts w:ascii="Book Antiqua" w:hAnsi="Book Antiqua"/>
          <w:i/>
          <w:color w:val="000000" w:themeColor="text1"/>
          <w:sz w:val="24"/>
          <w:szCs w:val="24"/>
        </w:rPr>
        <w:t>via</w:t>
      </w:r>
      <w:r w:rsidR="00D87EC7" w:rsidRPr="00341E2D">
        <w:rPr>
          <w:rFonts w:ascii="Book Antiqua" w:hAnsi="Book Antiqua"/>
          <w:color w:val="000000" w:themeColor="text1"/>
          <w:sz w:val="24"/>
          <w:szCs w:val="24"/>
        </w:rPr>
        <w:t xml:space="preserve"> the </w:t>
      </w:r>
      <w:r w:rsidRPr="00341E2D">
        <w:rPr>
          <w:rFonts w:ascii="Book Antiqua" w:hAnsi="Book Antiqua"/>
          <w:color w:val="000000" w:themeColor="text1"/>
          <w:sz w:val="24"/>
          <w:szCs w:val="24"/>
        </w:rPr>
        <w:t>transjugular intrahepatic portosystemic (TIP)</w:t>
      </w:r>
      <w:r w:rsidR="00D87EC7" w:rsidRPr="00341E2D">
        <w:rPr>
          <w:rFonts w:ascii="Book Antiqua" w:hAnsi="Book Antiqua"/>
          <w:color w:val="000000" w:themeColor="text1"/>
          <w:sz w:val="24"/>
          <w:szCs w:val="24"/>
        </w:rPr>
        <w:t xml:space="preserve"> or </w:t>
      </w:r>
      <w:r w:rsidRPr="00341E2D">
        <w:rPr>
          <w:rFonts w:ascii="Book Antiqua" w:hAnsi="Book Antiqua"/>
          <w:color w:val="000000" w:themeColor="text1"/>
          <w:sz w:val="24"/>
          <w:szCs w:val="24"/>
        </w:rPr>
        <w:t>percutaneous transhepatic (PT)</w:t>
      </w:r>
      <w:r w:rsidR="00D87EC7" w:rsidRPr="00341E2D">
        <w:rPr>
          <w:rFonts w:ascii="Book Antiqua" w:hAnsi="Book Antiqua"/>
          <w:color w:val="000000" w:themeColor="text1"/>
          <w:sz w:val="24"/>
          <w:szCs w:val="24"/>
        </w:rPr>
        <w:t xml:space="preserve"> route is a minimally invasive method, which can dissolve the thrombus and relieve symptoms rapidly with a lower dose of thrombolytics. In addition, </w:t>
      </w:r>
      <w:r w:rsidRPr="00341E2D">
        <w:rPr>
          <w:rFonts w:ascii="Book Antiqua" w:hAnsi="Book Antiqua"/>
          <w:color w:val="000000" w:themeColor="text1"/>
          <w:sz w:val="24"/>
          <w:szCs w:val="24"/>
        </w:rPr>
        <w:t>agitation thrombolysis (AT)</w:t>
      </w:r>
      <w:r w:rsidR="00D87EC7" w:rsidRPr="00341E2D">
        <w:rPr>
          <w:rFonts w:ascii="Book Antiqua" w:hAnsi="Book Antiqua"/>
          <w:color w:val="000000" w:themeColor="text1"/>
          <w:sz w:val="24"/>
          <w:szCs w:val="24"/>
        </w:rPr>
        <w:t xml:space="preserve"> can break the thrombus into smaller fragments and accelerate the speed of thrombolysis.</w:t>
      </w:r>
    </w:p>
    <w:p w14:paraId="70A3AF48" w14:textId="77777777" w:rsidR="00B964CC" w:rsidRPr="00341E2D" w:rsidRDefault="00B964CC" w:rsidP="00341E2D">
      <w:pPr>
        <w:adjustRightInd w:val="0"/>
        <w:snapToGrid w:val="0"/>
        <w:spacing w:line="360" w:lineRule="auto"/>
        <w:rPr>
          <w:rFonts w:ascii="Book Antiqua" w:hAnsi="Book Antiqua"/>
          <w:b/>
          <w:color w:val="000000" w:themeColor="text1"/>
          <w:sz w:val="24"/>
          <w:szCs w:val="24"/>
        </w:rPr>
      </w:pPr>
    </w:p>
    <w:p w14:paraId="52885291"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Research objectives</w:t>
      </w:r>
    </w:p>
    <w:p w14:paraId="52D476CA"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The objective of this study was to evaluate the safety and efficacy of AT combined with CDT for the treatment of non-cirrhotic acute PVT.</w:t>
      </w:r>
    </w:p>
    <w:p w14:paraId="3BDE15B9" w14:textId="77777777" w:rsidR="00B964CC" w:rsidRPr="00341E2D" w:rsidRDefault="00B964CC" w:rsidP="00341E2D">
      <w:pPr>
        <w:adjustRightInd w:val="0"/>
        <w:snapToGrid w:val="0"/>
        <w:spacing w:line="360" w:lineRule="auto"/>
        <w:rPr>
          <w:rFonts w:ascii="Book Antiqua" w:hAnsi="Book Antiqua"/>
          <w:b/>
          <w:color w:val="000000" w:themeColor="text1"/>
          <w:sz w:val="24"/>
          <w:szCs w:val="24"/>
        </w:rPr>
      </w:pPr>
    </w:p>
    <w:p w14:paraId="51F43B17"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Research methods</w:t>
      </w:r>
    </w:p>
    <w:p w14:paraId="218BB5E0" w14:textId="77777777" w:rsidR="00B964CC" w:rsidRPr="00341E2D" w:rsidRDefault="00D87EC7" w:rsidP="00341E2D">
      <w:pPr>
        <w:adjustRightInd w:val="0"/>
        <w:snapToGrid w:val="0"/>
        <w:spacing w:line="360" w:lineRule="auto"/>
        <w:rPr>
          <w:rFonts w:ascii="Book Antiqua" w:hAnsi="Book Antiqua"/>
          <w:b/>
          <w:color w:val="000000" w:themeColor="text1"/>
          <w:sz w:val="24"/>
          <w:szCs w:val="24"/>
        </w:rPr>
      </w:pPr>
      <w:r w:rsidRPr="00341E2D">
        <w:rPr>
          <w:rFonts w:ascii="Book Antiqua" w:hAnsi="Book Antiqua"/>
          <w:color w:val="000000" w:themeColor="text1"/>
          <w:sz w:val="24"/>
          <w:szCs w:val="24"/>
        </w:rPr>
        <w:t xml:space="preserve">Nine patients with non-cirrhotic acute PVT who underwent AT combined with CDT </w:t>
      </w:r>
      <w:r w:rsidRPr="00341E2D">
        <w:rPr>
          <w:rFonts w:ascii="Book Antiqua" w:hAnsi="Book Antiqua"/>
          <w:i/>
          <w:color w:val="000000" w:themeColor="text1"/>
          <w:sz w:val="24"/>
          <w:szCs w:val="24"/>
        </w:rPr>
        <w:t xml:space="preserve">via </w:t>
      </w:r>
      <w:r w:rsidRPr="00341E2D">
        <w:rPr>
          <w:rFonts w:ascii="Book Antiqua" w:hAnsi="Book Antiqua"/>
          <w:color w:val="000000" w:themeColor="text1"/>
          <w:sz w:val="24"/>
          <w:szCs w:val="24"/>
        </w:rPr>
        <w:t xml:space="preserve">TIP or PT route were analyzed retrospectively, and AT had not </w:t>
      </w:r>
      <w:r w:rsidRPr="00341E2D">
        <w:rPr>
          <w:rFonts w:ascii="Book Antiqua" w:hAnsi="Book Antiqua"/>
          <w:color w:val="000000" w:themeColor="text1"/>
          <w:sz w:val="24"/>
          <w:szCs w:val="24"/>
        </w:rPr>
        <w:lastRenderedPageBreak/>
        <w:t>been reported for the treatment of PVT so far. The changes in clinical symptoms, hemodynamics of the portal vein and liver function were recorded and followed up to evaluate the safety and efficacy.</w:t>
      </w:r>
    </w:p>
    <w:p w14:paraId="07CD2806" w14:textId="77777777" w:rsidR="00B964CC" w:rsidRPr="00341E2D" w:rsidRDefault="00B964CC" w:rsidP="00341E2D">
      <w:pPr>
        <w:adjustRightInd w:val="0"/>
        <w:snapToGrid w:val="0"/>
        <w:spacing w:line="360" w:lineRule="auto"/>
        <w:rPr>
          <w:rFonts w:ascii="Book Antiqua" w:hAnsi="Book Antiqua"/>
          <w:b/>
          <w:color w:val="000000" w:themeColor="text1"/>
          <w:sz w:val="24"/>
          <w:szCs w:val="24"/>
        </w:rPr>
      </w:pPr>
    </w:p>
    <w:p w14:paraId="648512E5" w14:textId="77777777" w:rsidR="00B964CC" w:rsidRPr="00341E2D" w:rsidRDefault="00D87EC7" w:rsidP="00341E2D">
      <w:pPr>
        <w:adjustRightInd w:val="0"/>
        <w:snapToGrid w:val="0"/>
        <w:spacing w:line="360" w:lineRule="auto"/>
        <w:rPr>
          <w:rFonts w:ascii="Book Antiqua" w:hAnsi="Book Antiqua"/>
          <w:b/>
          <w:i/>
          <w:color w:val="000000" w:themeColor="text1"/>
          <w:sz w:val="24"/>
          <w:szCs w:val="24"/>
        </w:rPr>
      </w:pPr>
      <w:r w:rsidRPr="00341E2D">
        <w:rPr>
          <w:rFonts w:ascii="Book Antiqua" w:hAnsi="Book Antiqua"/>
          <w:b/>
          <w:i/>
          <w:color w:val="000000" w:themeColor="text1"/>
          <w:sz w:val="24"/>
          <w:szCs w:val="24"/>
        </w:rPr>
        <w:t>Research results</w:t>
      </w:r>
    </w:p>
    <w:p w14:paraId="6032B52E"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According to our research, AT combined with CDT is a safe and effective method for the treatment of non-cirrhotic acute PVT with a good short-middle term efficacy. However, the long-term efficacy of AT combined with CDT in a large population requires further investigation.</w:t>
      </w:r>
    </w:p>
    <w:p w14:paraId="145D8553"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p w14:paraId="62D06BEF" w14:textId="78F099EC" w:rsidR="00B964CC" w:rsidRPr="00341E2D" w:rsidRDefault="008357DA" w:rsidP="00341E2D">
      <w:pPr>
        <w:adjustRightInd w:val="0"/>
        <w:snapToGrid w:val="0"/>
        <w:spacing w:line="360" w:lineRule="auto"/>
        <w:rPr>
          <w:rFonts w:ascii="Book Antiqua" w:hAnsi="Book Antiqua" w:cs="Segoe UI"/>
          <w:b/>
          <w:i/>
          <w:color w:val="000000" w:themeColor="text1"/>
          <w:sz w:val="24"/>
          <w:szCs w:val="24"/>
          <w:shd w:val="clear" w:color="auto" w:fill="FFFFFF"/>
        </w:rPr>
      </w:pPr>
      <w:r>
        <w:rPr>
          <w:rFonts w:ascii="Book Antiqua" w:hAnsi="Book Antiqua"/>
          <w:b/>
          <w:i/>
          <w:color w:val="000000" w:themeColor="text1"/>
          <w:sz w:val="24"/>
          <w:szCs w:val="24"/>
        </w:rPr>
        <w:t>Research conclusions</w:t>
      </w:r>
    </w:p>
    <w:p w14:paraId="70C9A529" w14:textId="46245C7F" w:rsidR="00B964CC" w:rsidRPr="00341E2D" w:rsidRDefault="00D87EC7" w:rsidP="00341E2D">
      <w:pPr>
        <w:adjustRightInd w:val="0"/>
        <w:snapToGrid w:val="0"/>
        <w:spacing w:line="360" w:lineRule="auto"/>
        <w:rPr>
          <w:rFonts w:ascii="Book Antiqua" w:hAnsi="Book Antiqua" w:cs="Segoe UI"/>
          <w:color w:val="000000" w:themeColor="text1"/>
          <w:sz w:val="24"/>
          <w:szCs w:val="24"/>
          <w:shd w:val="clear" w:color="auto" w:fill="FFFFFF"/>
        </w:rPr>
      </w:pPr>
      <w:r w:rsidRPr="00341E2D">
        <w:rPr>
          <w:rFonts w:ascii="Book Antiqua" w:hAnsi="Book Antiqua"/>
          <w:color w:val="000000" w:themeColor="text1"/>
          <w:sz w:val="24"/>
          <w:szCs w:val="24"/>
        </w:rPr>
        <w:t>Agitation is a common phenomenon in daily life, and can accelerate the rate of solute dissolution in a solvent. AT was first reported for the treatment of acute inferior vein thrombus in Budd-Chiari syndrome, which showed good long-term efficacy, but has not yet been reported in the treatment of PVT. As the thrombus is porous in the acute stage, it can easily be broken into smaller fragments by agitation, which increases the contact area between the thrombus and thrombolytics, and increases the speed of thrombus dissolution.</w:t>
      </w:r>
      <w:r w:rsidR="00466D40">
        <w:rPr>
          <w:rFonts w:ascii="Book Antiqua" w:hAnsi="Book Antiqua"/>
          <w:color w:val="000000" w:themeColor="text1"/>
          <w:sz w:val="24"/>
          <w:szCs w:val="24"/>
        </w:rPr>
        <w:t xml:space="preserve"> </w:t>
      </w:r>
      <w:r w:rsidRPr="00341E2D">
        <w:rPr>
          <w:rFonts w:ascii="Book Antiqua" w:hAnsi="Book Antiqua"/>
          <w:color w:val="000000" w:themeColor="text1"/>
          <w:sz w:val="24"/>
          <w:szCs w:val="24"/>
        </w:rPr>
        <w:t>Compared with other methods, such as endovascular aspiration or mechanical thrombectomy, AT is simpler and safer with less blood loss.</w:t>
      </w:r>
    </w:p>
    <w:p w14:paraId="02D200F9" w14:textId="77777777" w:rsidR="00B964CC" w:rsidRPr="00341E2D" w:rsidRDefault="00B964CC" w:rsidP="00341E2D">
      <w:pPr>
        <w:adjustRightInd w:val="0"/>
        <w:snapToGrid w:val="0"/>
        <w:spacing w:line="360" w:lineRule="auto"/>
        <w:rPr>
          <w:rFonts w:ascii="Book Antiqua" w:hAnsi="Book Antiqua" w:cs="Segoe UI"/>
          <w:color w:val="000000" w:themeColor="text1"/>
          <w:sz w:val="24"/>
          <w:szCs w:val="24"/>
          <w:shd w:val="clear" w:color="auto" w:fill="FFFFFF"/>
        </w:rPr>
      </w:pPr>
    </w:p>
    <w:p w14:paraId="4D7BF34C" w14:textId="77777777" w:rsidR="00B964CC" w:rsidRPr="00341E2D" w:rsidRDefault="00D87EC7" w:rsidP="00341E2D">
      <w:pPr>
        <w:adjustRightInd w:val="0"/>
        <w:snapToGrid w:val="0"/>
        <w:spacing w:line="360" w:lineRule="auto"/>
        <w:rPr>
          <w:rFonts w:ascii="Book Antiqua" w:hAnsi="Book Antiqua" w:cs="Segoe UI"/>
          <w:b/>
          <w:i/>
          <w:color w:val="000000" w:themeColor="text1"/>
          <w:sz w:val="24"/>
          <w:szCs w:val="24"/>
          <w:shd w:val="clear" w:color="auto" w:fill="FFFFFF"/>
        </w:rPr>
      </w:pPr>
      <w:r w:rsidRPr="00341E2D">
        <w:rPr>
          <w:rFonts w:ascii="Book Antiqua" w:hAnsi="Book Antiqua" w:cs="Segoe UI"/>
          <w:b/>
          <w:i/>
          <w:color w:val="000000" w:themeColor="text1"/>
          <w:sz w:val="24"/>
          <w:szCs w:val="24"/>
          <w:shd w:val="clear" w:color="auto" w:fill="FFFFFF"/>
        </w:rPr>
        <w:t>Research perspectives</w:t>
      </w:r>
    </w:p>
    <w:bookmarkEnd w:id="85"/>
    <w:bookmarkEnd w:id="86"/>
    <w:bookmarkEnd w:id="87"/>
    <w:bookmarkEnd w:id="88"/>
    <w:bookmarkEnd w:id="89"/>
    <w:bookmarkEnd w:id="90"/>
    <w:bookmarkEnd w:id="91"/>
    <w:bookmarkEnd w:id="92"/>
    <w:bookmarkEnd w:id="93"/>
    <w:bookmarkEnd w:id="94"/>
    <w:p w14:paraId="27319636"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The shape of the catheter tip is important. In this study, the pigtail catheter was chosen as an agitator, as it did not injure the vessel wall and resulted in greater fragmentation of the thrombus during rotation. In addition, a guidewire with a helical tip can enhance the fracture resistance of the pigtail catheter, and increase the range of agitation. The future research we focus on is the long-term efficacy of AT combined with CDT in a large population.</w:t>
      </w:r>
    </w:p>
    <w:p w14:paraId="345C59CE" w14:textId="77777777" w:rsidR="00B964CC" w:rsidRPr="00341E2D" w:rsidRDefault="00B964CC" w:rsidP="00341E2D">
      <w:pPr>
        <w:widowControl/>
        <w:adjustRightInd w:val="0"/>
        <w:snapToGrid w:val="0"/>
        <w:spacing w:line="360" w:lineRule="auto"/>
        <w:rPr>
          <w:rFonts w:ascii="Book Antiqua" w:hAnsi="Book Antiqua"/>
          <w:b/>
          <w:color w:val="000000" w:themeColor="text1"/>
          <w:sz w:val="24"/>
          <w:szCs w:val="24"/>
        </w:rPr>
      </w:pPr>
    </w:p>
    <w:p w14:paraId="3FB680B7" w14:textId="77777777" w:rsidR="00466D40" w:rsidRDefault="00466D40">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5CF72C12" w14:textId="77777777" w:rsidR="00444257" w:rsidRDefault="00D87EC7" w:rsidP="00444257">
      <w:pPr>
        <w:autoSpaceDE w:val="0"/>
        <w:autoSpaceDN w:val="0"/>
        <w:adjustRightInd w:val="0"/>
        <w:snapToGrid w:val="0"/>
        <w:spacing w:line="360" w:lineRule="auto"/>
        <w:rPr>
          <w:rFonts w:ascii="Book Antiqua" w:hAnsi="Book Antiqua"/>
          <w:b/>
          <w:color w:val="000000" w:themeColor="text1"/>
          <w:sz w:val="24"/>
          <w:szCs w:val="24"/>
        </w:rPr>
      </w:pPr>
      <w:r w:rsidRPr="00341E2D">
        <w:rPr>
          <w:rFonts w:ascii="Book Antiqua" w:hAnsi="Book Antiqua"/>
          <w:b/>
          <w:color w:val="000000" w:themeColor="text1"/>
          <w:sz w:val="24"/>
          <w:szCs w:val="24"/>
        </w:rPr>
        <w:lastRenderedPageBreak/>
        <w:t>REFERENCES</w:t>
      </w:r>
    </w:p>
    <w:p w14:paraId="014EDC99" w14:textId="1162884E" w:rsidR="00444257" w:rsidRPr="00241DF1" w:rsidRDefault="00D87EC7" w:rsidP="00444257">
      <w:pPr>
        <w:autoSpaceDE w:val="0"/>
        <w:autoSpaceDN w:val="0"/>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fldChar w:fldCharType="begin"/>
      </w:r>
      <w:r w:rsidRPr="00341E2D">
        <w:rPr>
          <w:rFonts w:ascii="Book Antiqua" w:hAnsi="Book Antiqua"/>
          <w:b/>
          <w:color w:val="000000" w:themeColor="text1"/>
          <w:sz w:val="24"/>
          <w:szCs w:val="24"/>
        </w:rPr>
        <w:instrText xml:space="preserve"> ADDIN NE.Bib</w:instrText>
      </w:r>
      <w:r w:rsidRPr="00341E2D">
        <w:rPr>
          <w:rFonts w:ascii="Book Antiqua" w:hAnsi="Book Antiqua"/>
          <w:b/>
          <w:color w:val="000000" w:themeColor="text1"/>
          <w:sz w:val="24"/>
          <w:szCs w:val="24"/>
        </w:rPr>
        <w:fldChar w:fldCharType="separate"/>
      </w:r>
      <w:r w:rsidR="00444257" w:rsidRPr="00241DF1">
        <w:rPr>
          <w:rFonts w:ascii="Book Antiqua" w:hAnsi="Book Antiqua"/>
          <w:color w:val="000000" w:themeColor="text1"/>
          <w:sz w:val="24"/>
          <w:szCs w:val="24"/>
        </w:rPr>
        <w:t>1 </w:t>
      </w:r>
      <w:r w:rsidR="00444257" w:rsidRPr="00241DF1">
        <w:rPr>
          <w:rFonts w:ascii="Book Antiqua" w:hAnsi="Book Antiqua"/>
          <w:b/>
          <w:color w:val="000000" w:themeColor="text1"/>
          <w:sz w:val="24"/>
          <w:szCs w:val="24"/>
        </w:rPr>
        <w:t>Basit SA,</w:t>
      </w:r>
      <w:r w:rsidR="00444257" w:rsidRPr="00241DF1">
        <w:rPr>
          <w:rFonts w:ascii="Book Antiqua" w:hAnsi="Book Antiqua"/>
          <w:color w:val="000000" w:themeColor="text1"/>
          <w:sz w:val="24"/>
          <w:szCs w:val="24"/>
        </w:rPr>
        <w:t xml:space="preserve"> Stone CD, Gish R. Portal vein thrombosis. </w:t>
      </w:r>
      <w:r w:rsidR="00444257" w:rsidRPr="00241DF1">
        <w:rPr>
          <w:rFonts w:ascii="Book Antiqua" w:hAnsi="Book Antiqua"/>
          <w:i/>
          <w:iCs/>
          <w:color w:val="000000" w:themeColor="text1"/>
          <w:sz w:val="24"/>
          <w:szCs w:val="24"/>
        </w:rPr>
        <w:t>Clin Liver Dis</w:t>
      </w:r>
      <w:r w:rsidR="00444257" w:rsidRPr="00241DF1">
        <w:rPr>
          <w:rFonts w:ascii="Book Antiqua" w:hAnsi="Book Antiqua"/>
          <w:color w:val="000000" w:themeColor="text1"/>
          <w:sz w:val="24"/>
          <w:szCs w:val="24"/>
        </w:rPr>
        <w:t> 2015; </w:t>
      </w:r>
      <w:r w:rsidR="00444257" w:rsidRPr="00241DF1">
        <w:rPr>
          <w:rFonts w:ascii="Book Antiqua" w:hAnsi="Book Antiqua"/>
          <w:b/>
          <w:color w:val="000000" w:themeColor="text1"/>
          <w:sz w:val="24"/>
          <w:szCs w:val="24"/>
        </w:rPr>
        <w:t>19</w:t>
      </w:r>
      <w:r w:rsidR="00444257" w:rsidRPr="00241DF1">
        <w:rPr>
          <w:rFonts w:ascii="Book Antiqua" w:hAnsi="Book Antiqua"/>
          <w:color w:val="000000" w:themeColor="text1"/>
          <w:sz w:val="24"/>
          <w:szCs w:val="24"/>
        </w:rPr>
        <w:t>: 199-221 [PMID: 25454305 DOI: 10.1016/j.cld.2014.09.012]</w:t>
      </w:r>
    </w:p>
    <w:p w14:paraId="49719261"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2 </w:t>
      </w:r>
      <w:r w:rsidRPr="00444257">
        <w:rPr>
          <w:rFonts w:ascii="Book Antiqua" w:hAnsi="Book Antiqua"/>
          <w:b/>
          <w:bCs/>
          <w:color w:val="000000" w:themeColor="text1"/>
          <w:sz w:val="24"/>
          <w:szCs w:val="24"/>
        </w:rPr>
        <w:t>Loffredo L</w:t>
      </w:r>
      <w:r w:rsidRPr="00444257">
        <w:rPr>
          <w:rFonts w:ascii="Book Antiqua" w:hAnsi="Book Antiqua"/>
          <w:color w:val="000000" w:themeColor="text1"/>
          <w:sz w:val="24"/>
          <w:szCs w:val="24"/>
        </w:rPr>
        <w:t>, Pastori D, Farcomeni A, Violi F. Effects of Anticoagulants in Patients With Cirrhosis and Portal Vein Thrombosis: A Systematic Review and Meta-analysis. </w:t>
      </w:r>
      <w:r w:rsidRPr="00444257">
        <w:rPr>
          <w:rFonts w:ascii="Book Antiqua" w:hAnsi="Book Antiqua"/>
          <w:i/>
          <w:iCs/>
          <w:color w:val="000000" w:themeColor="text1"/>
          <w:sz w:val="24"/>
          <w:szCs w:val="24"/>
        </w:rPr>
        <w:t>Gastroenterology</w:t>
      </w:r>
      <w:r w:rsidRPr="00444257">
        <w:rPr>
          <w:rFonts w:ascii="Book Antiqua" w:hAnsi="Book Antiqua"/>
          <w:color w:val="000000" w:themeColor="text1"/>
          <w:sz w:val="24"/>
          <w:szCs w:val="24"/>
        </w:rPr>
        <w:t> 2017; </w:t>
      </w:r>
      <w:r w:rsidRPr="00444257">
        <w:rPr>
          <w:rFonts w:ascii="Book Antiqua" w:hAnsi="Book Antiqua"/>
          <w:b/>
          <w:bCs/>
          <w:color w:val="000000" w:themeColor="text1"/>
          <w:sz w:val="24"/>
          <w:szCs w:val="24"/>
        </w:rPr>
        <w:t>153</w:t>
      </w:r>
      <w:r w:rsidRPr="00444257">
        <w:rPr>
          <w:rFonts w:ascii="Book Antiqua" w:hAnsi="Book Antiqua"/>
          <w:color w:val="000000" w:themeColor="text1"/>
          <w:sz w:val="24"/>
          <w:szCs w:val="24"/>
        </w:rPr>
        <w:t>: 480-487.e1 [PMID: 28479379 DOI: 10.1053/j.gastro.2017.04.042]</w:t>
      </w:r>
    </w:p>
    <w:p w14:paraId="250960F1"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3 </w:t>
      </w:r>
      <w:r w:rsidRPr="00444257">
        <w:rPr>
          <w:rFonts w:ascii="Book Antiqua" w:hAnsi="Book Antiqua"/>
          <w:b/>
          <w:bCs/>
          <w:color w:val="000000" w:themeColor="text1"/>
          <w:sz w:val="24"/>
          <w:szCs w:val="24"/>
        </w:rPr>
        <w:t>Liu K</w:t>
      </w:r>
      <w:r w:rsidRPr="00444257">
        <w:rPr>
          <w:rFonts w:ascii="Book Antiqua" w:hAnsi="Book Antiqua"/>
          <w:color w:val="000000" w:themeColor="text1"/>
          <w:sz w:val="24"/>
          <w:szCs w:val="24"/>
        </w:rPr>
        <w:t>, Li WD, Du XL, Li CL, Li XQ. Comparison of Systemic Thrombolysis Versus Indirect Thrombolysis via the Superior Mesenteric Artery in Patients with Acute Portal Vein Thrombosis. </w:t>
      </w:r>
      <w:r w:rsidRPr="00444257">
        <w:rPr>
          <w:rFonts w:ascii="Book Antiqua" w:hAnsi="Book Antiqua"/>
          <w:i/>
          <w:iCs/>
          <w:color w:val="000000" w:themeColor="text1"/>
          <w:sz w:val="24"/>
          <w:szCs w:val="24"/>
        </w:rPr>
        <w:t>Ann Vasc Surg</w:t>
      </w:r>
      <w:r w:rsidRPr="00444257">
        <w:rPr>
          <w:rFonts w:ascii="Book Antiqua" w:hAnsi="Book Antiqua"/>
          <w:color w:val="000000" w:themeColor="text1"/>
          <w:sz w:val="24"/>
          <w:szCs w:val="24"/>
        </w:rPr>
        <w:t> 2017; </w:t>
      </w:r>
      <w:r w:rsidRPr="00444257">
        <w:rPr>
          <w:rFonts w:ascii="Book Antiqua" w:hAnsi="Book Antiqua"/>
          <w:b/>
          <w:bCs/>
          <w:color w:val="000000" w:themeColor="text1"/>
          <w:sz w:val="24"/>
          <w:szCs w:val="24"/>
        </w:rPr>
        <w:t>39</w:t>
      </w:r>
      <w:r w:rsidRPr="00444257">
        <w:rPr>
          <w:rFonts w:ascii="Book Antiqua" w:hAnsi="Book Antiqua"/>
          <w:color w:val="000000" w:themeColor="text1"/>
          <w:sz w:val="24"/>
          <w:szCs w:val="24"/>
        </w:rPr>
        <w:t>: 264-269 [PMID: 27671456 DOI: 10.1016/j.avsg.2016.06.029]</w:t>
      </w:r>
    </w:p>
    <w:p w14:paraId="73D8CA59"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4 </w:t>
      </w:r>
      <w:r w:rsidRPr="00444257">
        <w:rPr>
          <w:rFonts w:ascii="Book Antiqua" w:hAnsi="Book Antiqua"/>
          <w:b/>
          <w:bCs/>
          <w:color w:val="000000" w:themeColor="text1"/>
          <w:sz w:val="24"/>
          <w:szCs w:val="24"/>
        </w:rPr>
        <w:t>Avgerinos ED</w:t>
      </w:r>
      <w:r w:rsidRPr="00444257">
        <w:rPr>
          <w:rFonts w:ascii="Book Antiqua" w:hAnsi="Book Antiqua"/>
          <w:color w:val="000000" w:themeColor="text1"/>
          <w:sz w:val="24"/>
          <w:szCs w:val="24"/>
        </w:rPr>
        <w:t>, Chaer RA. The ATTRACTiveness of catheter-directed thrombolysis. </w:t>
      </w:r>
      <w:r w:rsidRPr="00444257">
        <w:rPr>
          <w:rFonts w:ascii="Book Antiqua" w:hAnsi="Book Antiqua"/>
          <w:i/>
          <w:iCs/>
          <w:color w:val="000000" w:themeColor="text1"/>
          <w:sz w:val="24"/>
          <w:szCs w:val="24"/>
        </w:rPr>
        <w:t>J Vasc Surg Venous Lymphat Disord</w:t>
      </w:r>
      <w:r w:rsidRPr="00444257">
        <w:rPr>
          <w:rFonts w:ascii="Book Antiqua" w:hAnsi="Book Antiqua"/>
          <w:color w:val="000000" w:themeColor="text1"/>
          <w:sz w:val="24"/>
          <w:szCs w:val="24"/>
        </w:rPr>
        <w:t> 2018; </w:t>
      </w:r>
      <w:r w:rsidRPr="00444257">
        <w:rPr>
          <w:rFonts w:ascii="Book Antiqua" w:hAnsi="Book Antiqua"/>
          <w:b/>
          <w:bCs/>
          <w:color w:val="000000" w:themeColor="text1"/>
          <w:sz w:val="24"/>
          <w:szCs w:val="24"/>
        </w:rPr>
        <w:t>6</w:t>
      </w:r>
      <w:r w:rsidRPr="00444257">
        <w:rPr>
          <w:rFonts w:ascii="Book Antiqua" w:hAnsi="Book Antiqua"/>
          <w:color w:val="000000" w:themeColor="text1"/>
          <w:sz w:val="24"/>
          <w:szCs w:val="24"/>
        </w:rPr>
        <w:t>: 303 [PMID: 29661361 DOI: 10.1016/j.jvsv.2018.02.002]</w:t>
      </w:r>
    </w:p>
    <w:p w14:paraId="5ED7BF80"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5 </w:t>
      </w:r>
      <w:r w:rsidRPr="00444257">
        <w:rPr>
          <w:rFonts w:ascii="Book Antiqua" w:hAnsi="Book Antiqua"/>
          <w:b/>
          <w:bCs/>
          <w:color w:val="000000" w:themeColor="text1"/>
          <w:sz w:val="24"/>
          <w:szCs w:val="24"/>
        </w:rPr>
        <w:t>Ding PX</w:t>
      </w:r>
      <w:r w:rsidRPr="00444257">
        <w:rPr>
          <w:rFonts w:ascii="Book Antiqua" w:hAnsi="Book Antiqua"/>
          <w:color w:val="000000" w:themeColor="text1"/>
          <w:sz w:val="24"/>
          <w:szCs w:val="24"/>
        </w:rPr>
        <w:t>, Li YD, Han XW, Wu G. Agitation thrombolysis for fresh iatrogenic IVC thrombosis in patients with Budd-Chiari syndrome. </w:t>
      </w:r>
      <w:r w:rsidRPr="00444257">
        <w:rPr>
          <w:rFonts w:ascii="Book Antiqua" w:hAnsi="Book Antiqua"/>
          <w:i/>
          <w:iCs/>
          <w:color w:val="000000" w:themeColor="text1"/>
          <w:sz w:val="24"/>
          <w:szCs w:val="24"/>
        </w:rPr>
        <w:t>J Vasc Surg</w:t>
      </w:r>
      <w:r w:rsidRPr="00444257">
        <w:rPr>
          <w:rFonts w:ascii="Book Antiqua" w:hAnsi="Book Antiqua"/>
          <w:color w:val="000000" w:themeColor="text1"/>
          <w:sz w:val="24"/>
          <w:szCs w:val="24"/>
        </w:rPr>
        <w:t> 2010; </w:t>
      </w:r>
      <w:r w:rsidRPr="00444257">
        <w:rPr>
          <w:rFonts w:ascii="Book Antiqua" w:hAnsi="Book Antiqua"/>
          <w:b/>
          <w:bCs/>
          <w:color w:val="000000" w:themeColor="text1"/>
          <w:sz w:val="24"/>
          <w:szCs w:val="24"/>
        </w:rPr>
        <w:t>52</w:t>
      </w:r>
      <w:r w:rsidRPr="00444257">
        <w:rPr>
          <w:rFonts w:ascii="Book Antiqua" w:hAnsi="Book Antiqua"/>
          <w:color w:val="000000" w:themeColor="text1"/>
          <w:sz w:val="24"/>
          <w:szCs w:val="24"/>
        </w:rPr>
        <w:t>: 782-784 [PMID: 20471769 DOI: 10.1016/j.jvs.2010.02.016]</w:t>
      </w:r>
    </w:p>
    <w:p w14:paraId="15DA856B"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6 </w:t>
      </w:r>
      <w:r w:rsidRPr="00444257">
        <w:rPr>
          <w:rFonts w:ascii="Book Antiqua" w:hAnsi="Book Antiqua"/>
          <w:b/>
          <w:bCs/>
          <w:color w:val="000000" w:themeColor="text1"/>
          <w:sz w:val="24"/>
          <w:szCs w:val="24"/>
        </w:rPr>
        <w:t>Harding DJ</w:t>
      </w:r>
      <w:r w:rsidRPr="00444257">
        <w:rPr>
          <w:rFonts w:ascii="Book Antiqua" w:hAnsi="Book Antiqua"/>
          <w:color w:val="000000" w:themeColor="text1"/>
          <w:sz w:val="24"/>
          <w:szCs w:val="24"/>
        </w:rPr>
        <w:t>, Perera MT, Chen F, Olliff S, Tripathi D. Portal vein thrombosis in cirrhosis: Controversies and latest developments. </w:t>
      </w:r>
      <w:r w:rsidRPr="00444257">
        <w:rPr>
          <w:rFonts w:ascii="Book Antiqua" w:hAnsi="Book Antiqua"/>
          <w:i/>
          <w:iCs/>
          <w:color w:val="000000" w:themeColor="text1"/>
          <w:sz w:val="24"/>
          <w:szCs w:val="24"/>
        </w:rPr>
        <w:t>World J Gastroenterol</w:t>
      </w:r>
      <w:r w:rsidRPr="00444257">
        <w:rPr>
          <w:rFonts w:ascii="Book Antiqua" w:hAnsi="Book Antiqua"/>
          <w:color w:val="000000" w:themeColor="text1"/>
          <w:sz w:val="24"/>
          <w:szCs w:val="24"/>
        </w:rPr>
        <w:t> 2015; </w:t>
      </w:r>
      <w:r w:rsidRPr="00444257">
        <w:rPr>
          <w:rFonts w:ascii="Book Antiqua" w:hAnsi="Book Antiqua"/>
          <w:b/>
          <w:bCs/>
          <w:color w:val="000000" w:themeColor="text1"/>
          <w:sz w:val="24"/>
          <w:szCs w:val="24"/>
        </w:rPr>
        <w:t>21</w:t>
      </w:r>
      <w:r w:rsidRPr="00444257">
        <w:rPr>
          <w:rFonts w:ascii="Book Antiqua" w:hAnsi="Book Antiqua"/>
          <w:color w:val="000000" w:themeColor="text1"/>
          <w:sz w:val="24"/>
          <w:szCs w:val="24"/>
        </w:rPr>
        <w:t>: 6769-6784 [PMID: 26078553 DOI: 10.3748/wjg.v21.i22.6769]</w:t>
      </w:r>
    </w:p>
    <w:p w14:paraId="7B3D0D45"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7 </w:t>
      </w:r>
      <w:r w:rsidRPr="00444257">
        <w:rPr>
          <w:rFonts w:ascii="Book Antiqua" w:hAnsi="Book Antiqua"/>
          <w:b/>
          <w:bCs/>
          <w:color w:val="000000" w:themeColor="text1"/>
          <w:sz w:val="24"/>
          <w:szCs w:val="24"/>
        </w:rPr>
        <w:t>Cruz-Ramón V</w:t>
      </w:r>
      <w:r w:rsidRPr="00444257">
        <w:rPr>
          <w:rFonts w:ascii="Book Antiqua" w:hAnsi="Book Antiqua"/>
          <w:color w:val="000000" w:themeColor="text1"/>
          <w:sz w:val="24"/>
          <w:szCs w:val="24"/>
        </w:rPr>
        <w:t>, Chinchilla-López P, Ramírez-Pérez O, Aguilar-Olivos NE, Alva-López LF, Fajardo-Ordoñez E, Ponciano-Rodríguez G, Northup PG, Intagliata N, Caldwell SH, Qi X, Méndez-Sánchez N. Thrombosis of the Portal Venous System in Cirrhotic vs. Non-Cirrhotic Patients. </w:t>
      </w:r>
      <w:r w:rsidRPr="00444257">
        <w:rPr>
          <w:rFonts w:ascii="Book Antiqua" w:hAnsi="Book Antiqua"/>
          <w:i/>
          <w:iCs/>
          <w:color w:val="000000" w:themeColor="text1"/>
          <w:sz w:val="24"/>
          <w:szCs w:val="24"/>
        </w:rPr>
        <w:t>Ann Hepatol</w:t>
      </w:r>
      <w:r w:rsidRPr="00444257">
        <w:rPr>
          <w:rFonts w:ascii="Book Antiqua" w:hAnsi="Book Antiqua"/>
          <w:color w:val="000000" w:themeColor="text1"/>
          <w:sz w:val="24"/>
          <w:szCs w:val="24"/>
        </w:rPr>
        <w:t> 2018; </w:t>
      </w:r>
      <w:r w:rsidRPr="00444257">
        <w:rPr>
          <w:rFonts w:ascii="Book Antiqua" w:hAnsi="Book Antiqua"/>
          <w:b/>
          <w:bCs/>
          <w:color w:val="000000" w:themeColor="text1"/>
          <w:sz w:val="24"/>
          <w:szCs w:val="24"/>
        </w:rPr>
        <w:t>17</w:t>
      </w:r>
      <w:r w:rsidRPr="00444257">
        <w:rPr>
          <w:rFonts w:ascii="Book Antiqua" w:hAnsi="Book Antiqua"/>
          <w:color w:val="000000" w:themeColor="text1"/>
          <w:sz w:val="24"/>
          <w:szCs w:val="24"/>
        </w:rPr>
        <w:t>: 476-481 [PMID: 29735798 DOI: 10.5604/01.3001.0011.7392]</w:t>
      </w:r>
    </w:p>
    <w:p w14:paraId="70330121"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8 </w:t>
      </w:r>
      <w:r w:rsidRPr="00444257">
        <w:rPr>
          <w:rFonts w:ascii="Book Antiqua" w:hAnsi="Book Antiqua"/>
          <w:b/>
          <w:bCs/>
          <w:color w:val="000000" w:themeColor="text1"/>
          <w:sz w:val="24"/>
          <w:szCs w:val="24"/>
        </w:rPr>
        <w:t>DeLeve LD</w:t>
      </w:r>
      <w:r w:rsidRPr="00444257">
        <w:rPr>
          <w:rFonts w:ascii="Book Antiqua" w:hAnsi="Book Antiqua"/>
          <w:color w:val="000000" w:themeColor="text1"/>
          <w:sz w:val="24"/>
          <w:szCs w:val="24"/>
        </w:rPr>
        <w:t>, Valla DC, Garcia-Tsao G; American Association for the Study Liver Diseases. Vascular disorders of the liver. </w:t>
      </w:r>
      <w:r w:rsidRPr="00444257">
        <w:rPr>
          <w:rFonts w:ascii="Book Antiqua" w:hAnsi="Book Antiqua"/>
          <w:i/>
          <w:iCs/>
          <w:color w:val="000000" w:themeColor="text1"/>
          <w:sz w:val="24"/>
          <w:szCs w:val="24"/>
        </w:rPr>
        <w:t>Hepatology</w:t>
      </w:r>
      <w:r w:rsidRPr="00444257">
        <w:rPr>
          <w:rFonts w:ascii="Book Antiqua" w:hAnsi="Book Antiqua"/>
          <w:color w:val="000000" w:themeColor="text1"/>
          <w:sz w:val="24"/>
          <w:szCs w:val="24"/>
        </w:rPr>
        <w:t> 2009; </w:t>
      </w:r>
      <w:r w:rsidRPr="00444257">
        <w:rPr>
          <w:rFonts w:ascii="Book Antiqua" w:hAnsi="Book Antiqua"/>
          <w:b/>
          <w:bCs/>
          <w:color w:val="000000" w:themeColor="text1"/>
          <w:sz w:val="24"/>
          <w:szCs w:val="24"/>
        </w:rPr>
        <w:t>49</w:t>
      </w:r>
      <w:r w:rsidRPr="00444257">
        <w:rPr>
          <w:rFonts w:ascii="Book Antiqua" w:hAnsi="Book Antiqua"/>
          <w:color w:val="000000" w:themeColor="text1"/>
          <w:sz w:val="24"/>
          <w:szCs w:val="24"/>
        </w:rPr>
        <w:t>: 1729-1764 [PMID: 19399912 DOI: 10.1002/hep.22772]</w:t>
      </w:r>
    </w:p>
    <w:p w14:paraId="6FBF52EF"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9 </w:t>
      </w:r>
      <w:r w:rsidRPr="00444257">
        <w:rPr>
          <w:rFonts w:ascii="Book Antiqua" w:hAnsi="Book Antiqua"/>
          <w:b/>
          <w:bCs/>
          <w:color w:val="000000" w:themeColor="text1"/>
          <w:sz w:val="24"/>
          <w:szCs w:val="24"/>
        </w:rPr>
        <w:t>Chen Y</w:t>
      </w:r>
      <w:r w:rsidRPr="00444257">
        <w:rPr>
          <w:rFonts w:ascii="Book Antiqua" w:hAnsi="Book Antiqua"/>
          <w:color w:val="000000" w:themeColor="text1"/>
          <w:sz w:val="24"/>
          <w:szCs w:val="24"/>
        </w:rPr>
        <w:t xml:space="preserve">, Ye P, Li Y, Ma S, Zhao J, Zeng Q. Percutaneous transhepatic balloon-assisted transjugular intrahepatic portosystemic shunt for chronic, </w:t>
      </w:r>
      <w:r w:rsidRPr="00444257">
        <w:rPr>
          <w:rFonts w:ascii="Book Antiqua" w:hAnsi="Book Antiqua"/>
          <w:color w:val="000000" w:themeColor="text1"/>
          <w:sz w:val="24"/>
          <w:szCs w:val="24"/>
        </w:rPr>
        <w:lastRenderedPageBreak/>
        <w:t>totally occluded, portal vein thrombosis with symptomatic portal hypertension: procedure technique, safety, and clinical applications. </w:t>
      </w:r>
      <w:r w:rsidRPr="00444257">
        <w:rPr>
          <w:rFonts w:ascii="Book Antiqua" w:hAnsi="Book Antiqua"/>
          <w:i/>
          <w:iCs/>
          <w:color w:val="000000" w:themeColor="text1"/>
          <w:sz w:val="24"/>
          <w:szCs w:val="24"/>
        </w:rPr>
        <w:t>Eur Radiol</w:t>
      </w:r>
      <w:r w:rsidRPr="00444257">
        <w:rPr>
          <w:rFonts w:ascii="Book Antiqua" w:hAnsi="Book Antiqua"/>
          <w:color w:val="000000" w:themeColor="text1"/>
          <w:sz w:val="24"/>
          <w:szCs w:val="24"/>
        </w:rPr>
        <w:t> 2015; </w:t>
      </w:r>
      <w:r w:rsidRPr="00444257">
        <w:rPr>
          <w:rFonts w:ascii="Book Antiqua" w:hAnsi="Book Antiqua"/>
          <w:b/>
          <w:bCs/>
          <w:color w:val="000000" w:themeColor="text1"/>
          <w:sz w:val="24"/>
          <w:szCs w:val="24"/>
        </w:rPr>
        <w:t>25</w:t>
      </w:r>
      <w:r w:rsidRPr="00444257">
        <w:rPr>
          <w:rFonts w:ascii="Book Antiqua" w:hAnsi="Book Antiqua"/>
          <w:color w:val="000000" w:themeColor="text1"/>
          <w:sz w:val="24"/>
          <w:szCs w:val="24"/>
        </w:rPr>
        <w:t>: 3431-3437 [PMID: 25903717 DOI: 10.1007/s00330-015-3777-1]</w:t>
      </w:r>
    </w:p>
    <w:p w14:paraId="19DD9615"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10 </w:t>
      </w:r>
      <w:r w:rsidRPr="00444257">
        <w:rPr>
          <w:rFonts w:ascii="Book Antiqua" w:hAnsi="Book Antiqua"/>
          <w:b/>
          <w:bCs/>
          <w:color w:val="000000" w:themeColor="text1"/>
          <w:sz w:val="24"/>
          <w:szCs w:val="24"/>
        </w:rPr>
        <w:t>Wang MQ</w:t>
      </w:r>
      <w:r w:rsidRPr="00444257">
        <w:rPr>
          <w:rFonts w:ascii="Book Antiqua" w:hAnsi="Book Antiqua"/>
          <w:color w:val="000000" w:themeColor="text1"/>
          <w:sz w:val="24"/>
          <w:szCs w:val="24"/>
        </w:rPr>
        <w:t>, Liu FY, Duan F, Wang ZJ, Song P, Fan QS. Acute symptomatic mesenteric venous thrombosis: treatment by catheter-directed thrombolysis with transjugular intrahepatic route. </w:t>
      </w:r>
      <w:r w:rsidRPr="00444257">
        <w:rPr>
          <w:rFonts w:ascii="Book Antiqua" w:hAnsi="Book Antiqua"/>
          <w:i/>
          <w:iCs/>
          <w:color w:val="000000" w:themeColor="text1"/>
          <w:sz w:val="24"/>
          <w:szCs w:val="24"/>
        </w:rPr>
        <w:t>Abdom Imaging</w:t>
      </w:r>
      <w:r w:rsidRPr="00444257">
        <w:rPr>
          <w:rFonts w:ascii="Book Antiqua" w:hAnsi="Book Antiqua"/>
          <w:color w:val="000000" w:themeColor="text1"/>
          <w:sz w:val="24"/>
          <w:szCs w:val="24"/>
        </w:rPr>
        <w:t> 2011; </w:t>
      </w:r>
      <w:r w:rsidRPr="00444257">
        <w:rPr>
          <w:rFonts w:ascii="Book Antiqua" w:hAnsi="Book Antiqua"/>
          <w:b/>
          <w:bCs/>
          <w:color w:val="000000" w:themeColor="text1"/>
          <w:sz w:val="24"/>
          <w:szCs w:val="24"/>
        </w:rPr>
        <w:t>36</w:t>
      </w:r>
      <w:r w:rsidRPr="00444257">
        <w:rPr>
          <w:rFonts w:ascii="Book Antiqua" w:hAnsi="Book Antiqua"/>
          <w:color w:val="000000" w:themeColor="text1"/>
          <w:sz w:val="24"/>
          <w:szCs w:val="24"/>
        </w:rPr>
        <w:t>: 390-398 [PMID: 20652243 DOI: 10.1007/s00261-010-9637-1]</w:t>
      </w:r>
    </w:p>
    <w:p w14:paraId="64D375D3"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11 </w:t>
      </w:r>
      <w:r w:rsidRPr="00444257">
        <w:rPr>
          <w:rFonts w:ascii="Book Antiqua" w:hAnsi="Book Antiqua"/>
          <w:b/>
          <w:bCs/>
          <w:color w:val="000000" w:themeColor="text1"/>
          <w:sz w:val="24"/>
          <w:szCs w:val="24"/>
        </w:rPr>
        <w:t>Ding PX</w:t>
      </w:r>
      <w:r w:rsidRPr="00444257">
        <w:rPr>
          <w:rFonts w:ascii="Book Antiqua" w:hAnsi="Book Antiqua"/>
          <w:color w:val="000000" w:themeColor="text1"/>
          <w:sz w:val="24"/>
          <w:szCs w:val="24"/>
        </w:rPr>
        <w:t>, He X, Han XW, Zhang Y, Wu Y, Liang XX, Liu C. An Individualised Strategy and Long-Term Outcomes of Endovascular Treatment of Budd-Chiari Syndrome Complicated by Inferior Vena Cava Thrombosis. </w:t>
      </w:r>
      <w:r w:rsidRPr="00444257">
        <w:rPr>
          <w:rFonts w:ascii="Book Antiqua" w:hAnsi="Book Antiqua"/>
          <w:i/>
          <w:iCs/>
          <w:color w:val="000000" w:themeColor="text1"/>
          <w:sz w:val="24"/>
          <w:szCs w:val="24"/>
        </w:rPr>
        <w:t>Eur J Vasc Endovasc Surg</w:t>
      </w:r>
      <w:r w:rsidRPr="00444257">
        <w:rPr>
          <w:rFonts w:ascii="Book Antiqua" w:hAnsi="Book Antiqua"/>
          <w:color w:val="000000" w:themeColor="text1"/>
          <w:sz w:val="24"/>
          <w:szCs w:val="24"/>
        </w:rPr>
        <w:t> 2018; </w:t>
      </w:r>
      <w:r w:rsidRPr="00444257">
        <w:rPr>
          <w:rFonts w:ascii="Book Antiqua" w:hAnsi="Book Antiqua"/>
          <w:b/>
          <w:bCs/>
          <w:color w:val="000000" w:themeColor="text1"/>
          <w:sz w:val="24"/>
          <w:szCs w:val="24"/>
        </w:rPr>
        <w:t>55</w:t>
      </w:r>
      <w:r w:rsidRPr="00444257">
        <w:rPr>
          <w:rFonts w:ascii="Book Antiqua" w:hAnsi="Book Antiqua"/>
          <w:color w:val="000000" w:themeColor="text1"/>
          <w:sz w:val="24"/>
          <w:szCs w:val="24"/>
        </w:rPr>
        <w:t>: 545-553 [PMID: 29478911 DOI: 10.1016/j.ejvs.2017.12.016]</w:t>
      </w:r>
    </w:p>
    <w:p w14:paraId="1F5C0376" w14:textId="77777777" w:rsidR="00444257" w:rsidRPr="00444257" w:rsidRDefault="00444257" w:rsidP="00444257">
      <w:pPr>
        <w:autoSpaceDE w:val="0"/>
        <w:autoSpaceDN w:val="0"/>
        <w:adjustRightInd w:val="0"/>
        <w:snapToGrid w:val="0"/>
        <w:spacing w:line="360" w:lineRule="auto"/>
        <w:rPr>
          <w:rFonts w:ascii="Book Antiqua" w:hAnsi="Book Antiqua"/>
          <w:color w:val="000000" w:themeColor="text1"/>
          <w:sz w:val="24"/>
          <w:szCs w:val="24"/>
        </w:rPr>
      </w:pPr>
      <w:r w:rsidRPr="00444257">
        <w:rPr>
          <w:rFonts w:ascii="Book Antiqua" w:hAnsi="Book Antiqua"/>
          <w:color w:val="000000" w:themeColor="text1"/>
          <w:sz w:val="24"/>
          <w:szCs w:val="24"/>
        </w:rPr>
        <w:t>12 </w:t>
      </w:r>
      <w:r w:rsidRPr="00444257">
        <w:rPr>
          <w:rFonts w:ascii="Book Antiqua" w:hAnsi="Book Antiqua"/>
          <w:b/>
          <w:bCs/>
          <w:color w:val="000000" w:themeColor="text1"/>
          <w:sz w:val="24"/>
          <w:szCs w:val="24"/>
        </w:rPr>
        <w:t>Jun KW</w:t>
      </w:r>
      <w:r w:rsidRPr="00444257">
        <w:rPr>
          <w:rFonts w:ascii="Book Antiqua" w:hAnsi="Book Antiqua"/>
          <w:color w:val="000000" w:themeColor="text1"/>
          <w:sz w:val="24"/>
          <w:szCs w:val="24"/>
        </w:rPr>
        <w:t>, Kim MH, Park KM, Chun HJ, Hong KC, Jeon YS, Cho SG, Kim JY. Mechanical thrombectomy-assisted thrombolysis for acute symptomatic portal and superior mesenteric venous thrombosis. </w:t>
      </w:r>
      <w:r w:rsidRPr="00444257">
        <w:rPr>
          <w:rFonts w:ascii="Book Antiqua" w:hAnsi="Book Antiqua"/>
          <w:i/>
          <w:iCs/>
          <w:color w:val="000000" w:themeColor="text1"/>
          <w:sz w:val="24"/>
          <w:szCs w:val="24"/>
        </w:rPr>
        <w:t>Ann Surg Treat Res</w:t>
      </w:r>
      <w:r w:rsidRPr="00444257">
        <w:rPr>
          <w:rFonts w:ascii="Book Antiqua" w:hAnsi="Book Antiqua"/>
          <w:color w:val="000000" w:themeColor="text1"/>
          <w:sz w:val="24"/>
          <w:szCs w:val="24"/>
        </w:rPr>
        <w:t> 2014; </w:t>
      </w:r>
      <w:r w:rsidRPr="00444257">
        <w:rPr>
          <w:rFonts w:ascii="Book Antiqua" w:hAnsi="Book Antiqua"/>
          <w:b/>
          <w:bCs/>
          <w:color w:val="000000" w:themeColor="text1"/>
          <w:sz w:val="24"/>
          <w:szCs w:val="24"/>
        </w:rPr>
        <w:t>86</w:t>
      </w:r>
      <w:r w:rsidRPr="00444257">
        <w:rPr>
          <w:rFonts w:ascii="Book Antiqua" w:hAnsi="Book Antiqua"/>
          <w:color w:val="000000" w:themeColor="text1"/>
          <w:sz w:val="24"/>
          <w:szCs w:val="24"/>
        </w:rPr>
        <w:t>: 334-341 [PMID: 24949327 DOI: 10.4174/astr.2014.86.6.334]</w:t>
      </w:r>
    </w:p>
    <w:p w14:paraId="1257C536" w14:textId="5CD9AA0F" w:rsidR="00B964CC" w:rsidRPr="00341E2D" w:rsidRDefault="00B964CC" w:rsidP="00444257">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6477E877" w14:textId="005C1539" w:rsidR="00444257" w:rsidRPr="00444257" w:rsidRDefault="00D87EC7" w:rsidP="00241DF1">
      <w:pPr>
        <w:adjustRightInd w:val="0"/>
        <w:snapToGrid w:val="0"/>
        <w:spacing w:line="360" w:lineRule="auto"/>
        <w:jc w:val="right"/>
        <w:rPr>
          <w:rFonts w:ascii="Book Antiqua" w:hAnsi="Book Antiqua"/>
          <w:b/>
          <w:bCs/>
          <w:sz w:val="24"/>
          <w:szCs w:val="24"/>
        </w:rPr>
      </w:pPr>
      <w:r w:rsidRPr="00341E2D">
        <w:rPr>
          <w:rFonts w:ascii="Book Antiqua" w:hAnsi="Book Antiqua"/>
          <w:color w:val="000000" w:themeColor="text1"/>
          <w:sz w:val="24"/>
          <w:szCs w:val="24"/>
        </w:rPr>
        <w:fldChar w:fldCharType="end"/>
      </w:r>
      <w:bookmarkStart w:id="95" w:name="OLE_LINK148"/>
      <w:bookmarkStart w:id="96" w:name="OLE_LINK320"/>
      <w:bookmarkStart w:id="97" w:name="OLE_LINK387"/>
      <w:bookmarkStart w:id="98" w:name="OLE_LINK254"/>
      <w:bookmarkStart w:id="99" w:name="OLE_LINK149"/>
      <w:bookmarkStart w:id="100" w:name="OLE_LINK225"/>
      <w:bookmarkStart w:id="101" w:name="OLE_LINK207"/>
      <w:bookmarkStart w:id="102" w:name="OLE_LINK226"/>
      <w:bookmarkStart w:id="103" w:name="OLE_LINK212"/>
      <w:bookmarkStart w:id="104" w:name="OLE_LINK250"/>
      <w:bookmarkStart w:id="105" w:name="OLE_LINK281"/>
      <w:bookmarkStart w:id="106" w:name="OLE_LINK282"/>
      <w:bookmarkStart w:id="107" w:name="OLE_LINK313"/>
      <w:bookmarkStart w:id="108" w:name="OLE_LINK304"/>
      <w:bookmarkStart w:id="109" w:name="OLE_LINK321"/>
      <w:bookmarkStart w:id="110" w:name="OLE_LINK385"/>
      <w:bookmarkStart w:id="111" w:name="OLE_LINK400"/>
      <w:bookmarkStart w:id="112" w:name="OLE_LINK346"/>
      <w:bookmarkStart w:id="113" w:name="OLE_LINK371"/>
      <w:bookmarkStart w:id="114" w:name="OLE_LINK334"/>
      <w:bookmarkStart w:id="115" w:name="OLE_LINK1830"/>
      <w:bookmarkStart w:id="116" w:name="OLE_LINK457"/>
      <w:bookmarkStart w:id="117" w:name="OLE_LINK288"/>
      <w:bookmarkStart w:id="118" w:name="OLE_LINK384"/>
      <w:bookmarkStart w:id="119" w:name="OLE_LINK379"/>
      <w:bookmarkStart w:id="120" w:name="OLE_LINK303"/>
      <w:bookmarkStart w:id="121" w:name="OLE_LINK450"/>
      <w:bookmarkStart w:id="122" w:name="OLE_LINK489"/>
      <w:bookmarkStart w:id="123" w:name="OLE_LINK535"/>
      <w:bookmarkStart w:id="124" w:name="OLE_LINK648"/>
      <w:bookmarkStart w:id="125" w:name="OLE_LINK686"/>
      <w:bookmarkStart w:id="126" w:name="OLE_LINK471"/>
      <w:bookmarkStart w:id="127" w:name="OLE_LINK462"/>
      <w:bookmarkStart w:id="128" w:name="OLE_LINK519"/>
      <w:bookmarkStart w:id="129" w:name="OLE_LINK575"/>
      <w:bookmarkStart w:id="130" w:name="OLE_LINK491"/>
      <w:bookmarkStart w:id="131" w:name="OLE_LINK532"/>
      <w:bookmarkStart w:id="132" w:name="OLE_LINK572"/>
      <w:bookmarkStart w:id="133" w:name="OLE_LINK574"/>
      <w:bookmarkStart w:id="134" w:name="OLE_LINK480"/>
      <w:bookmarkStart w:id="135" w:name="OLE_LINK567"/>
      <w:bookmarkStart w:id="136" w:name="OLE_LINK2700"/>
      <w:bookmarkStart w:id="137" w:name="OLE_LINK581"/>
      <w:bookmarkStart w:id="138" w:name="OLE_LINK639"/>
      <w:bookmarkStart w:id="139" w:name="OLE_LINK688"/>
      <w:bookmarkStart w:id="140" w:name="OLE_LINK722"/>
      <w:bookmarkStart w:id="141" w:name="OLE_LINK542"/>
      <w:bookmarkStart w:id="142" w:name="OLE_LINK589"/>
      <w:bookmarkStart w:id="143" w:name="OLE_LINK582"/>
      <w:bookmarkStart w:id="144" w:name="OLE_LINK640"/>
      <w:bookmarkStart w:id="145" w:name="OLE_LINK714"/>
      <w:bookmarkStart w:id="146" w:name="OLE_LINK593"/>
      <w:bookmarkStart w:id="147" w:name="OLE_LINK716"/>
      <w:bookmarkStart w:id="148" w:name="OLE_LINK770"/>
      <w:bookmarkStart w:id="149" w:name="OLE_LINK801"/>
      <w:bookmarkStart w:id="150" w:name="OLE_LINK660"/>
      <w:bookmarkStart w:id="151" w:name="OLE_LINK781"/>
      <w:bookmarkStart w:id="152" w:name="OLE_LINK833"/>
      <w:bookmarkStart w:id="153" w:name="OLE_LINK642"/>
      <w:bookmarkStart w:id="154" w:name="OLE_LINK700"/>
      <w:bookmarkStart w:id="155" w:name="OLE_LINK792"/>
      <w:bookmarkStart w:id="156" w:name="OLE_LINK2882"/>
      <w:bookmarkStart w:id="157" w:name="OLE_LINK836"/>
      <w:bookmarkStart w:id="158" w:name="OLE_LINK889"/>
      <w:bookmarkStart w:id="159" w:name="OLE_LINK782"/>
      <w:bookmarkStart w:id="160" w:name="OLE_LINK826"/>
      <w:bookmarkStart w:id="161" w:name="OLE_LINK865"/>
      <w:bookmarkStart w:id="162" w:name="OLE_LINK856"/>
      <w:bookmarkStart w:id="163" w:name="OLE_LINK908"/>
      <w:bookmarkStart w:id="164" w:name="OLE_LINK980"/>
      <w:bookmarkStart w:id="165" w:name="OLE_LINK1018"/>
      <w:bookmarkStart w:id="166" w:name="OLE_LINK1049"/>
      <w:bookmarkStart w:id="167" w:name="OLE_LINK1076"/>
      <w:bookmarkStart w:id="168" w:name="OLE_LINK1106"/>
      <w:bookmarkStart w:id="169" w:name="OLE_LINK891"/>
      <w:bookmarkStart w:id="170" w:name="OLE_LINK943"/>
      <w:bookmarkStart w:id="171" w:name="OLE_LINK981"/>
      <w:bookmarkStart w:id="172" w:name="OLE_LINK1030"/>
      <w:bookmarkStart w:id="173" w:name="OLE_LINK847"/>
      <w:bookmarkStart w:id="174" w:name="OLE_LINK909"/>
      <w:bookmarkStart w:id="175" w:name="OLE_LINK906"/>
      <w:bookmarkStart w:id="176" w:name="OLE_LINK992"/>
      <w:bookmarkStart w:id="177" w:name="OLE_LINK993"/>
      <w:bookmarkStart w:id="178" w:name="OLE_LINK1052"/>
      <w:bookmarkStart w:id="179" w:name="OLE_LINK946"/>
      <w:bookmarkStart w:id="180" w:name="OLE_LINK911"/>
      <w:bookmarkStart w:id="181" w:name="OLE_LINK930"/>
      <w:bookmarkStart w:id="182" w:name="OLE_LINK1059"/>
      <w:bookmarkStart w:id="183" w:name="OLE_LINK1174"/>
      <w:bookmarkStart w:id="184" w:name="OLE_LINK1137"/>
      <w:bookmarkStart w:id="185" w:name="OLE_LINK1167"/>
      <w:bookmarkStart w:id="186" w:name="OLE_LINK1200"/>
      <w:bookmarkStart w:id="187" w:name="OLE_LINK1241"/>
      <w:bookmarkStart w:id="188" w:name="OLE_LINK1288"/>
      <w:bookmarkStart w:id="189" w:name="OLE_LINK1056"/>
      <w:bookmarkStart w:id="190" w:name="OLE_LINK1158"/>
      <w:bookmarkStart w:id="191" w:name="OLE_LINK1175"/>
      <w:bookmarkStart w:id="192" w:name="OLE_LINK1074"/>
      <w:bookmarkStart w:id="193" w:name="OLE_LINK1169"/>
      <w:r w:rsidR="00444257" w:rsidRPr="00444257">
        <w:rPr>
          <w:rFonts w:ascii="Book Antiqua" w:hAnsi="Book Antiqua"/>
          <w:b/>
          <w:bCs/>
          <w:sz w:val="24"/>
          <w:szCs w:val="24"/>
        </w:rPr>
        <w:t xml:space="preserve"> P-Reviewer:</w:t>
      </w:r>
      <w:r w:rsidR="00444257" w:rsidRPr="00444257">
        <w:rPr>
          <w:rFonts w:ascii="Book Antiqua" w:hAnsi="Book Antiqua" w:hint="eastAsia"/>
          <w:b/>
          <w:bCs/>
          <w:sz w:val="24"/>
          <w:szCs w:val="24"/>
        </w:rPr>
        <w:t xml:space="preserve"> </w:t>
      </w:r>
      <w:r w:rsidR="00444257" w:rsidRPr="00444257">
        <w:rPr>
          <w:rFonts w:ascii="Book Antiqua" w:hAnsi="Book Antiqua"/>
          <w:bCs/>
          <w:sz w:val="24"/>
          <w:szCs w:val="24"/>
        </w:rPr>
        <w:t>Eleftheriadis</w:t>
      </w:r>
      <w:r w:rsidR="00444257">
        <w:rPr>
          <w:rFonts w:ascii="Book Antiqua" w:hAnsi="Book Antiqua"/>
          <w:bCs/>
          <w:sz w:val="24"/>
          <w:szCs w:val="24"/>
        </w:rPr>
        <w:t xml:space="preserve"> NP</w:t>
      </w:r>
    </w:p>
    <w:p w14:paraId="671E0F45" w14:textId="77777777" w:rsidR="00444257" w:rsidRPr="00444257" w:rsidRDefault="00444257" w:rsidP="00241DF1">
      <w:pPr>
        <w:adjustRightInd w:val="0"/>
        <w:snapToGrid w:val="0"/>
        <w:spacing w:line="360" w:lineRule="auto"/>
        <w:jc w:val="right"/>
        <w:rPr>
          <w:rFonts w:ascii="Book Antiqua" w:hAnsi="Book Antiqua"/>
          <w:sz w:val="24"/>
          <w:szCs w:val="24"/>
        </w:rPr>
      </w:pPr>
      <w:r w:rsidRPr="00444257">
        <w:rPr>
          <w:rFonts w:ascii="Book Antiqua" w:hAnsi="Book Antiqua"/>
          <w:b/>
          <w:bCs/>
          <w:sz w:val="24"/>
          <w:szCs w:val="24"/>
        </w:rPr>
        <w:t>S-Editor:</w:t>
      </w:r>
      <w:r w:rsidRPr="00444257">
        <w:rPr>
          <w:rFonts w:ascii="Book Antiqua" w:hAnsi="Book Antiqua" w:hint="eastAsia"/>
          <w:sz w:val="24"/>
          <w:szCs w:val="24"/>
        </w:rPr>
        <w:t xml:space="preserve"> </w:t>
      </w:r>
      <w:r w:rsidRPr="00444257">
        <w:rPr>
          <w:rFonts w:ascii="Book Antiqua" w:hAnsi="Book Antiqua"/>
          <w:sz w:val="24"/>
          <w:szCs w:val="24"/>
        </w:rPr>
        <w:t>Ma</w:t>
      </w:r>
      <w:r w:rsidRPr="00444257">
        <w:rPr>
          <w:rFonts w:ascii="Book Antiqua" w:hAnsi="Book Antiqua" w:hint="eastAsia"/>
          <w:sz w:val="24"/>
          <w:szCs w:val="24"/>
        </w:rPr>
        <w:t xml:space="preserve"> </w:t>
      </w:r>
      <w:r w:rsidRPr="00444257">
        <w:rPr>
          <w:rFonts w:ascii="Book Antiqua" w:hAnsi="Book Antiqua"/>
          <w:sz w:val="24"/>
          <w:szCs w:val="24"/>
        </w:rPr>
        <w:t>RY</w:t>
      </w:r>
      <w:r w:rsidRPr="00444257">
        <w:rPr>
          <w:rFonts w:ascii="Book Antiqua" w:hAnsi="Book Antiqua" w:hint="eastAsia"/>
          <w:sz w:val="24"/>
          <w:szCs w:val="24"/>
        </w:rPr>
        <w:t xml:space="preserve"> </w:t>
      </w:r>
      <w:r w:rsidRPr="00444257">
        <w:rPr>
          <w:rFonts w:ascii="Book Antiqua" w:hAnsi="Book Antiqua"/>
          <w:b/>
          <w:bCs/>
          <w:sz w:val="24"/>
          <w:szCs w:val="24"/>
        </w:rPr>
        <w:t>L-Editor:</w:t>
      </w:r>
      <w:r w:rsidRPr="00444257">
        <w:rPr>
          <w:rFonts w:ascii="Book Antiqua" w:hAnsi="Book Antiqua"/>
          <w:sz w:val="24"/>
          <w:szCs w:val="24"/>
        </w:rPr>
        <w:t xml:space="preserve"> </w:t>
      </w:r>
      <w:r w:rsidRPr="00444257">
        <w:rPr>
          <w:rFonts w:ascii="Book Antiqua" w:hAnsi="Book Antiqua"/>
          <w:b/>
          <w:bCs/>
          <w:sz w:val="24"/>
          <w:szCs w:val="24"/>
        </w:rPr>
        <w:t>E-Editor:</w:t>
      </w:r>
    </w:p>
    <w:p w14:paraId="073CB571" w14:textId="77777777" w:rsidR="00444257" w:rsidRPr="00444257" w:rsidRDefault="00444257" w:rsidP="00241DF1">
      <w:pPr>
        <w:shd w:val="clear" w:color="auto" w:fill="FFFFFF"/>
        <w:adjustRightInd w:val="0"/>
        <w:snapToGrid w:val="0"/>
        <w:spacing w:line="360" w:lineRule="auto"/>
        <w:rPr>
          <w:rFonts w:ascii="Book Antiqua" w:hAnsi="Book Antiqua" w:cs="Helvetica"/>
          <w:b/>
          <w:sz w:val="24"/>
          <w:szCs w:val="24"/>
        </w:rPr>
      </w:pPr>
      <w:bookmarkStart w:id="194" w:name="OLE_LINK880"/>
      <w:bookmarkStart w:id="195" w:name="OLE_LINK88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44257">
        <w:rPr>
          <w:rFonts w:ascii="Book Antiqua" w:hAnsi="Book Antiqua" w:cs="Helvetica"/>
          <w:b/>
          <w:sz w:val="24"/>
          <w:szCs w:val="24"/>
        </w:rPr>
        <w:t xml:space="preserve">Specialty type: </w:t>
      </w:r>
      <w:r w:rsidRPr="00444257">
        <w:rPr>
          <w:rFonts w:ascii="Book Antiqua" w:hAnsi="Book Antiqua" w:cs="Helvetica"/>
          <w:sz w:val="24"/>
          <w:szCs w:val="24"/>
        </w:rPr>
        <w:t>Gastroenterology and</w:t>
      </w:r>
      <w:r w:rsidRPr="00444257">
        <w:rPr>
          <w:rFonts w:ascii="Book Antiqua" w:hAnsi="Book Antiqua" w:cs="Helvetica" w:hint="eastAsia"/>
          <w:sz w:val="24"/>
          <w:szCs w:val="24"/>
        </w:rPr>
        <w:t xml:space="preserve"> </w:t>
      </w:r>
      <w:r w:rsidRPr="00444257">
        <w:rPr>
          <w:rFonts w:ascii="Book Antiqua" w:hAnsi="Book Antiqua" w:cs="Helvetica"/>
          <w:sz w:val="24"/>
          <w:szCs w:val="24"/>
        </w:rPr>
        <w:t>hepatology</w:t>
      </w:r>
    </w:p>
    <w:p w14:paraId="3F096EB1" w14:textId="77777777" w:rsidR="00444257" w:rsidRPr="00444257" w:rsidRDefault="00444257" w:rsidP="00241DF1">
      <w:pPr>
        <w:shd w:val="clear" w:color="auto" w:fill="FFFFFF"/>
        <w:adjustRightInd w:val="0"/>
        <w:snapToGrid w:val="0"/>
        <w:spacing w:line="360" w:lineRule="auto"/>
        <w:rPr>
          <w:rFonts w:ascii="Book Antiqua" w:hAnsi="Book Antiqua" w:cs="Helvetica"/>
          <w:b/>
          <w:sz w:val="24"/>
          <w:szCs w:val="24"/>
        </w:rPr>
      </w:pPr>
      <w:r w:rsidRPr="00444257">
        <w:rPr>
          <w:rFonts w:ascii="Book Antiqua" w:hAnsi="Book Antiqua" w:cs="Helvetica"/>
          <w:b/>
          <w:sz w:val="24"/>
          <w:szCs w:val="24"/>
        </w:rPr>
        <w:t xml:space="preserve">Country of origin: </w:t>
      </w:r>
      <w:r w:rsidRPr="00444257">
        <w:rPr>
          <w:rFonts w:ascii="Book Antiqua" w:hAnsi="Book Antiqua" w:cs="Helvetica"/>
          <w:sz w:val="24"/>
          <w:szCs w:val="24"/>
          <w:lang w:val="en-CA"/>
        </w:rPr>
        <w:t>China</w:t>
      </w:r>
    </w:p>
    <w:p w14:paraId="67E85071" w14:textId="77777777" w:rsidR="00444257" w:rsidRPr="00444257" w:rsidRDefault="00444257" w:rsidP="00241DF1">
      <w:pPr>
        <w:shd w:val="clear" w:color="auto" w:fill="FFFFFF"/>
        <w:adjustRightInd w:val="0"/>
        <w:snapToGrid w:val="0"/>
        <w:spacing w:line="360" w:lineRule="auto"/>
        <w:rPr>
          <w:rFonts w:ascii="Book Antiqua" w:hAnsi="Book Antiqua" w:cs="Helvetica"/>
          <w:b/>
          <w:sz w:val="24"/>
          <w:szCs w:val="24"/>
        </w:rPr>
      </w:pPr>
      <w:r w:rsidRPr="00444257">
        <w:rPr>
          <w:rFonts w:ascii="Book Antiqua" w:hAnsi="Book Antiqua" w:cs="Helvetica"/>
          <w:b/>
          <w:sz w:val="24"/>
          <w:szCs w:val="24"/>
        </w:rPr>
        <w:t>Peer-review report classification</w:t>
      </w:r>
    </w:p>
    <w:p w14:paraId="5662FE94" w14:textId="67A6D358" w:rsidR="00444257" w:rsidRPr="00444257" w:rsidRDefault="00444257" w:rsidP="00241DF1">
      <w:pPr>
        <w:shd w:val="clear" w:color="auto" w:fill="FFFFFF"/>
        <w:adjustRightInd w:val="0"/>
        <w:snapToGrid w:val="0"/>
        <w:spacing w:line="360" w:lineRule="auto"/>
        <w:rPr>
          <w:rFonts w:ascii="Book Antiqua" w:hAnsi="Book Antiqua" w:cs="Helvetica"/>
          <w:sz w:val="24"/>
          <w:szCs w:val="24"/>
        </w:rPr>
      </w:pPr>
      <w:r w:rsidRPr="00444257">
        <w:rPr>
          <w:rFonts w:ascii="Book Antiqua" w:hAnsi="Book Antiqua" w:cs="Helvetica"/>
          <w:sz w:val="24"/>
          <w:szCs w:val="24"/>
        </w:rPr>
        <w:t xml:space="preserve">Grade A (Excellent): </w:t>
      </w:r>
      <w:r>
        <w:rPr>
          <w:rFonts w:ascii="Book Antiqua" w:hAnsi="Book Antiqua" w:cs="Helvetica"/>
          <w:sz w:val="24"/>
          <w:szCs w:val="24"/>
        </w:rPr>
        <w:t>A</w:t>
      </w:r>
    </w:p>
    <w:p w14:paraId="2ECD5373" w14:textId="0606B42F" w:rsidR="00444257" w:rsidRPr="00444257" w:rsidRDefault="00444257" w:rsidP="00241DF1">
      <w:pPr>
        <w:shd w:val="clear" w:color="auto" w:fill="FFFFFF"/>
        <w:adjustRightInd w:val="0"/>
        <w:snapToGrid w:val="0"/>
        <w:spacing w:line="360" w:lineRule="auto"/>
        <w:rPr>
          <w:rFonts w:ascii="Book Antiqua" w:hAnsi="Book Antiqua" w:cs="Helvetica"/>
          <w:sz w:val="24"/>
          <w:szCs w:val="24"/>
        </w:rPr>
      </w:pPr>
      <w:r w:rsidRPr="00444257">
        <w:rPr>
          <w:rFonts w:ascii="Book Antiqua" w:hAnsi="Book Antiqua" w:cs="Helvetica"/>
          <w:sz w:val="24"/>
          <w:szCs w:val="24"/>
        </w:rPr>
        <w:t xml:space="preserve">Grade B (Very good): </w:t>
      </w:r>
      <w:r>
        <w:rPr>
          <w:rFonts w:ascii="Book Antiqua" w:hAnsi="Book Antiqua" w:cs="Helvetica"/>
          <w:sz w:val="24"/>
          <w:szCs w:val="24"/>
        </w:rPr>
        <w:t>0</w:t>
      </w:r>
    </w:p>
    <w:p w14:paraId="16073AE5" w14:textId="4A3B2F70" w:rsidR="00444257" w:rsidRPr="00444257" w:rsidRDefault="00444257" w:rsidP="00241DF1">
      <w:pPr>
        <w:shd w:val="clear" w:color="auto" w:fill="FFFFFF"/>
        <w:adjustRightInd w:val="0"/>
        <w:snapToGrid w:val="0"/>
        <w:spacing w:line="360" w:lineRule="auto"/>
        <w:rPr>
          <w:rFonts w:ascii="Book Antiqua" w:hAnsi="Book Antiqua" w:cs="Helvetica"/>
          <w:sz w:val="24"/>
          <w:szCs w:val="24"/>
        </w:rPr>
      </w:pPr>
      <w:r w:rsidRPr="00444257">
        <w:rPr>
          <w:rFonts w:ascii="Book Antiqua" w:hAnsi="Book Antiqua" w:cs="Helvetica"/>
          <w:sz w:val="24"/>
          <w:szCs w:val="24"/>
        </w:rPr>
        <w:t xml:space="preserve">Grade C (Good): </w:t>
      </w:r>
      <w:r>
        <w:rPr>
          <w:rFonts w:ascii="Book Antiqua" w:hAnsi="Book Antiqua" w:cs="Helvetica"/>
          <w:sz w:val="24"/>
          <w:szCs w:val="24"/>
        </w:rPr>
        <w:t>0</w:t>
      </w:r>
    </w:p>
    <w:p w14:paraId="2E6B2E0C" w14:textId="77777777" w:rsidR="00444257" w:rsidRPr="00444257" w:rsidRDefault="00444257" w:rsidP="00241DF1">
      <w:pPr>
        <w:shd w:val="clear" w:color="auto" w:fill="FFFFFF"/>
        <w:adjustRightInd w:val="0"/>
        <w:snapToGrid w:val="0"/>
        <w:spacing w:line="360" w:lineRule="auto"/>
        <w:rPr>
          <w:rFonts w:ascii="Book Antiqua" w:hAnsi="Book Antiqua" w:cs="Helvetica"/>
          <w:sz w:val="24"/>
          <w:szCs w:val="24"/>
        </w:rPr>
      </w:pPr>
      <w:r w:rsidRPr="00444257">
        <w:rPr>
          <w:rFonts w:ascii="Book Antiqua" w:hAnsi="Book Antiqua" w:cs="Helvetica"/>
          <w:sz w:val="24"/>
          <w:szCs w:val="24"/>
        </w:rPr>
        <w:t xml:space="preserve">Grade D (Fair): </w:t>
      </w:r>
      <w:r w:rsidRPr="00444257">
        <w:rPr>
          <w:rFonts w:ascii="Book Antiqua" w:hAnsi="Book Antiqua" w:cs="Helvetica" w:hint="eastAsia"/>
          <w:sz w:val="24"/>
          <w:szCs w:val="24"/>
        </w:rPr>
        <w:t>0</w:t>
      </w:r>
    </w:p>
    <w:p w14:paraId="60D24771" w14:textId="77777777" w:rsidR="00444257" w:rsidRPr="00444257" w:rsidRDefault="00444257" w:rsidP="00241DF1">
      <w:pPr>
        <w:adjustRightInd w:val="0"/>
        <w:snapToGrid w:val="0"/>
        <w:spacing w:line="360" w:lineRule="auto"/>
        <w:rPr>
          <w:rFonts w:ascii="Book Antiqua" w:hAnsi="Book Antiqua"/>
          <w:b/>
          <w:iCs/>
          <w:sz w:val="24"/>
          <w:szCs w:val="24"/>
        </w:rPr>
      </w:pPr>
      <w:r w:rsidRPr="00444257">
        <w:rPr>
          <w:rFonts w:ascii="Book Antiqua" w:hAnsi="Book Antiqua" w:cs="Helvetica"/>
          <w:sz w:val="24"/>
          <w:szCs w:val="24"/>
        </w:rPr>
        <w:t xml:space="preserve">Grade E (Poor): </w:t>
      </w:r>
      <w:r w:rsidRPr="00444257">
        <w:rPr>
          <w:rFonts w:ascii="Book Antiqua" w:hAnsi="Book Antiqua" w:cs="Helvetica" w:hint="eastAsia"/>
          <w:sz w:val="24"/>
          <w:szCs w:val="24"/>
        </w:rPr>
        <w:t>0</w:t>
      </w:r>
      <w:bookmarkEnd w:id="194"/>
      <w:bookmarkEnd w:id="195"/>
    </w:p>
    <w:p w14:paraId="3576FDC3" w14:textId="2E2ED903" w:rsidR="00444257" w:rsidRDefault="00444257">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r w:rsidRPr="00341E2D">
        <w:rPr>
          <w:rFonts w:ascii="Book Antiqua" w:hAnsi="Book Antiqua"/>
          <w:b/>
          <w:noProof/>
          <w:color w:val="000000" w:themeColor="text1"/>
          <w:sz w:val="24"/>
          <w:szCs w:val="24"/>
        </w:rPr>
        <w:lastRenderedPageBreak/>
        <w:drawing>
          <wp:inline distT="0" distB="0" distL="0" distR="0" wp14:anchorId="0F85EB89" wp14:editId="1FA98D5C">
            <wp:extent cx="2725420" cy="3086100"/>
            <wp:effectExtent l="0" t="0" r="0" b="0"/>
            <wp:docPr id="12" name="图片 12" descr="C:\Users\王朝阳\Desktop\投稿文件夹\最终图片\TI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王朝阳\Desktop\投稿文件夹\最终图片\TIP\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25420" cy="3086100"/>
                    </a:xfrm>
                    <a:prstGeom prst="rect">
                      <a:avLst/>
                    </a:prstGeom>
                    <a:noFill/>
                    <a:ln>
                      <a:noFill/>
                    </a:ln>
                  </pic:spPr>
                </pic:pic>
              </a:graphicData>
            </a:graphic>
          </wp:inline>
        </w:drawing>
      </w:r>
      <w:r w:rsidRPr="00341E2D">
        <w:rPr>
          <w:rFonts w:ascii="Book Antiqua" w:hAnsi="Book Antiqua"/>
          <w:b/>
          <w:noProof/>
          <w:color w:val="000000" w:themeColor="text1"/>
          <w:sz w:val="24"/>
          <w:szCs w:val="24"/>
        </w:rPr>
        <w:drawing>
          <wp:inline distT="0" distB="0" distL="0" distR="0" wp14:anchorId="545968B0" wp14:editId="05121590">
            <wp:extent cx="2473325" cy="3086100"/>
            <wp:effectExtent l="0" t="0" r="0" b="0"/>
            <wp:docPr id="13" name="图片 13" descr="C:\Users\王朝阳\Desktop\投稿文件夹\最终图片\TI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王朝阳\Desktop\投稿文件夹\最终图片\TIP\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73325" cy="3086100"/>
                    </a:xfrm>
                    <a:prstGeom prst="rect">
                      <a:avLst/>
                    </a:prstGeom>
                    <a:noFill/>
                    <a:ln>
                      <a:noFill/>
                    </a:ln>
                  </pic:spPr>
                </pic:pic>
              </a:graphicData>
            </a:graphic>
          </wp:inline>
        </w:drawing>
      </w:r>
      <w:r w:rsidRPr="00341E2D">
        <w:rPr>
          <w:rFonts w:ascii="Book Antiqua" w:hAnsi="Book Antiqua"/>
          <w:b/>
          <w:noProof/>
          <w:color w:val="000000" w:themeColor="text1"/>
          <w:sz w:val="24"/>
          <w:szCs w:val="24"/>
        </w:rPr>
        <w:drawing>
          <wp:inline distT="0" distB="0" distL="0" distR="0" wp14:anchorId="26D9C535" wp14:editId="0B6F386E">
            <wp:extent cx="2489200" cy="3049270"/>
            <wp:effectExtent l="0" t="0" r="0" b="0"/>
            <wp:docPr id="14" name="图片 14" descr="C:\Users\王朝阳\Desktop\投稿文件夹\最终图片\TIP\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王朝阳\Desktop\投稿文件夹\最终图片\TIP\2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89200" cy="3049270"/>
                    </a:xfrm>
                    <a:prstGeom prst="rect">
                      <a:avLst/>
                    </a:prstGeom>
                    <a:noFill/>
                    <a:ln>
                      <a:noFill/>
                    </a:ln>
                  </pic:spPr>
                </pic:pic>
              </a:graphicData>
            </a:graphic>
          </wp:inline>
        </w:drawing>
      </w:r>
      <w:r w:rsidRPr="00341E2D">
        <w:rPr>
          <w:rFonts w:ascii="Book Antiqua" w:hAnsi="Book Antiqua"/>
          <w:b/>
          <w:noProof/>
          <w:color w:val="000000" w:themeColor="text1"/>
          <w:sz w:val="24"/>
          <w:szCs w:val="24"/>
        </w:rPr>
        <w:drawing>
          <wp:inline distT="0" distB="0" distL="0" distR="0" wp14:anchorId="37B0F7F5" wp14:editId="1B253179">
            <wp:extent cx="2686050" cy="3075940"/>
            <wp:effectExtent l="0" t="0" r="0" b="0"/>
            <wp:docPr id="17" name="图片 17" descr="C:\Users\王朝阳\Desktop\投稿文件夹\最终图片\TIP\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王朝阳\Desktop\投稿文件夹\最终图片\TIP\2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86050" cy="3075940"/>
                    </a:xfrm>
                    <a:prstGeom prst="rect">
                      <a:avLst/>
                    </a:prstGeom>
                    <a:noFill/>
                    <a:ln>
                      <a:noFill/>
                    </a:ln>
                  </pic:spPr>
                </pic:pic>
              </a:graphicData>
            </a:graphic>
          </wp:inline>
        </w:drawing>
      </w:r>
      <w:r w:rsidRPr="00341E2D">
        <w:rPr>
          <w:rFonts w:ascii="Book Antiqua" w:hAnsi="Book Antiqua"/>
          <w:b/>
          <w:noProof/>
          <w:color w:val="000000" w:themeColor="text1"/>
          <w:sz w:val="24"/>
          <w:szCs w:val="24"/>
        </w:rPr>
        <w:lastRenderedPageBreak/>
        <w:drawing>
          <wp:inline distT="0" distB="0" distL="0" distR="0" wp14:anchorId="56481C62" wp14:editId="2775CE35">
            <wp:extent cx="3073400" cy="2691765"/>
            <wp:effectExtent l="0" t="0" r="0" b="0"/>
            <wp:docPr id="19" name="图片 19" descr="C:\Users\王朝阳\Desktop\投稿文件夹\最终图片\TIP\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王朝阳\Desktop\投稿文件夹\最终图片\TIP\2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73400" cy="2691765"/>
                    </a:xfrm>
                    <a:prstGeom prst="rect">
                      <a:avLst/>
                    </a:prstGeom>
                    <a:noFill/>
                    <a:ln>
                      <a:noFill/>
                    </a:ln>
                  </pic:spPr>
                </pic:pic>
              </a:graphicData>
            </a:graphic>
          </wp:inline>
        </w:drawing>
      </w:r>
    </w:p>
    <w:p w14:paraId="6D7486F1" w14:textId="77BCF21D" w:rsidR="00444257" w:rsidRPr="00241DF1" w:rsidRDefault="00444257" w:rsidP="00241DF1">
      <w:pPr>
        <w:adjustRightInd w:val="0"/>
        <w:snapToGrid w:val="0"/>
        <w:spacing w:line="360" w:lineRule="auto"/>
        <w:rPr>
          <w:rFonts w:ascii="Book Antiqua" w:hAnsi="Book Antiqua"/>
          <w:color w:val="000000" w:themeColor="text1"/>
          <w:sz w:val="24"/>
          <w:szCs w:val="24"/>
        </w:rPr>
      </w:pPr>
      <w:r w:rsidRPr="00444257">
        <w:rPr>
          <w:rFonts w:ascii="Book Antiqua" w:hAnsi="Book Antiqua"/>
          <w:b/>
          <w:sz w:val="24"/>
          <w:szCs w:val="24"/>
        </w:rPr>
        <w:t xml:space="preserve">Figure 1 </w:t>
      </w:r>
      <w:r w:rsidRPr="00241DF1">
        <w:rPr>
          <w:rFonts w:ascii="Book Antiqua" w:hAnsi="Book Antiqua"/>
          <w:b/>
          <w:sz w:val="24"/>
          <w:szCs w:val="24"/>
        </w:rPr>
        <w:t xml:space="preserve">A 29-year-old man had acute abdominal pain and distension for </w:t>
      </w:r>
      <w:r>
        <w:rPr>
          <w:rFonts w:ascii="Book Antiqua" w:hAnsi="Book Antiqua"/>
          <w:b/>
          <w:sz w:val="24"/>
          <w:szCs w:val="24"/>
        </w:rPr>
        <w:t>four</w:t>
      </w:r>
      <w:r w:rsidRPr="00241DF1">
        <w:rPr>
          <w:rFonts w:ascii="Book Antiqua" w:hAnsi="Book Antiqua"/>
          <w:b/>
          <w:sz w:val="24"/>
          <w:szCs w:val="24"/>
        </w:rPr>
        <w:t xml:space="preserve"> days.</w:t>
      </w:r>
      <w:r w:rsidRPr="00444257">
        <w:rPr>
          <w:rFonts w:ascii="Book Antiqua" w:hAnsi="Book Antiqua"/>
          <w:sz w:val="24"/>
          <w:szCs w:val="24"/>
        </w:rPr>
        <w:t xml:space="preserve"> A</w:t>
      </w:r>
      <w:r>
        <w:rPr>
          <w:rFonts w:ascii="Book Antiqua" w:hAnsi="Book Antiqua"/>
          <w:sz w:val="24"/>
          <w:szCs w:val="24"/>
        </w:rPr>
        <w:t xml:space="preserve"> and</w:t>
      </w:r>
      <w:r w:rsidRPr="00444257">
        <w:rPr>
          <w:rFonts w:ascii="Book Antiqua" w:hAnsi="Book Antiqua"/>
          <w:sz w:val="24"/>
          <w:szCs w:val="24"/>
        </w:rPr>
        <w:t xml:space="preserve"> B</w:t>
      </w:r>
      <w:r>
        <w:rPr>
          <w:rFonts w:ascii="Book Antiqua" w:hAnsi="Book Antiqua"/>
          <w:sz w:val="24"/>
          <w:szCs w:val="24"/>
        </w:rPr>
        <w:t>:</w:t>
      </w:r>
      <w:r w:rsidRPr="00444257">
        <w:rPr>
          <w:rFonts w:ascii="Book Antiqua" w:hAnsi="Book Antiqua"/>
          <w:sz w:val="24"/>
          <w:szCs w:val="24"/>
        </w:rPr>
        <w:t xml:space="preserve"> Contrast-enhanced CT and portography </w:t>
      </w:r>
      <w:r w:rsidRPr="00444257">
        <w:rPr>
          <w:rFonts w:ascii="Book Antiqua" w:hAnsi="Book Antiqua"/>
          <w:i/>
          <w:sz w:val="24"/>
          <w:szCs w:val="24"/>
        </w:rPr>
        <w:t>via</w:t>
      </w:r>
      <w:r w:rsidRPr="00444257">
        <w:rPr>
          <w:rFonts w:ascii="Book Antiqua" w:hAnsi="Book Antiqua"/>
          <w:sz w:val="24"/>
          <w:szCs w:val="24"/>
        </w:rPr>
        <w:t xml:space="preserve"> the TIP route showed thrombus formation in the portal vein and SMV (arrow) with massive ascites. C</w:t>
      </w:r>
      <w:r>
        <w:rPr>
          <w:rFonts w:ascii="Book Antiqua" w:hAnsi="Book Antiqua"/>
          <w:sz w:val="24"/>
          <w:szCs w:val="24"/>
        </w:rPr>
        <w:t>:</w:t>
      </w:r>
      <w:r w:rsidRPr="00444257">
        <w:rPr>
          <w:rFonts w:ascii="Book Antiqua" w:hAnsi="Book Antiqua"/>
          <w:sz w:val="24"/>
          <w:szCs w:val="24"/>
        </w:rPr>
        <w:t xml:space="preserve"> Portography after AT and CDT showed that the filling defect in the portal vein had decreased. D</w:t>
      </w:r>
      <w:r>
        <w:rPr>
          <w:rFonts w:ascii="Book Antiqua" w:hAnsi="Book Antiqua"/>
          <w:sz w:val="24"/>
          <w:szCs w:val="24"/>
        </w:rPr>
        <w:t>:</w:t>
      </w:r>
      <w:r w:rsidRPr="00444257">
        <w:rPr>
          <w:rFonts w:ascii="Book Antiqua" w:hAnsi="Book Antiqua"/>
          <w:sz w:val="24"/>
          <w:szCs w:val="24"/>
        </w:rPr>
        <w:t xml:space="preserve"> Contrast-enhanced CT after surgery showed that the thrombus had disappeared completely. E</w:t>
      </w:r>
      <w:r>
        <w:rPr>
          <w:rFonts w:ascii="Book Antiqua" w:hAnsi="Book Antiqua"/>
          <w:sz w:val="24"/>
          <w:szCs w:val="24"/>
        </w:rPr>
        <w:t>:</w:t>
      </w:r>
      <w:r w:rsidRPr="00444257">
        <w:rPr>
          <w:rFonts w:ascii="Book Antiqua" w:hAnsi="Book Antiqua"/>
          <w:sz w:val="24"/>
          <w:szCs w:val="24"/>
        </w:rPr>
        <w:t xml:space="preserve"> </w:t>
      </w:r>
      <w:r>
        <w:rPr>
          <w:rFonts w:ascii="Book Antiqua" w:hAnsi="Book Antiqua"/>
          <w:sz w:val="24"/>
          <w:szCs w:val="24"/>
        </w:rPr>
        <w:t>Six</w:t>
      </w:r>
      <w:r w:rsidRPr="00444257">
        <w:rPr>
          <w:rFonts w:ascii="Book Antiqua" w:hAnsi="Book Antiqua"/>
          <w:sz w:val="24"/>
          <w:szCs w:val="24"/>
        </w:rPr>
        <w:t xml:space="preserve"> months after treatment, CDUS showed smooth blood flow in the portal vein (arrow).</w:t>
      </w:r>
      <w:r>
        <w:rPr>
          <w:rFonts w:ascii="Book Antiqua" w:hAnsi="Book Antiqua"/>
          <w:sz w:val="24"/>
          <w:szCs w:val="24"/>
        </w:rPr>
        <w:t xml:space="preserve"> </w:t>
      </w:r>
      <w:r w:rsidRPr="00341E2D">
        <w:rPr>
          <w:rFonts w:ascii="Book Antiqua" w:hAnsi="Book Antiqua"/>
          <w:color w:val="000000" w:themeColor="text1"/>
          <w:sz w:val="24"/>
          <w:szCs w:val="24"/>
        </w:rPr>
        <w:t>CT</w:t>
      </w:r>
      <w:r>
        <w:rPr>
          <w:rFonts w:ascii="Book Antiqua" w:hAnsi="Book Antiqua"/>
          <w:color w:val="000000" w:themeColor="text1"/>
          <w:sz w:val="24"/>
          <w:szCs w:val="24"/>
        </w:rPr>
        <w:t>:</w:t>
      </w:r>
      <w:r w:rsidRPr="002E2BE0">
        <w:rPr>
          <w:rFonts w:ascii="Book Antiqua" w:hAnsi="Book Antiqua"/>
          <w:color w:val="000000" w:themeColor="text1"/>
          <w:sz w:val="24"/>
          <w:szCs w:val="24"/>
        </w:rPr>
        <w:t xml:space="preserve"> </w:t>
      </w:r>
      <w:r>
        <w:rPr>
          <w:rFonts w:ascii="Book Antiqua" w:hAnsi="Book Antiqua"/>
          <w:color w:val="000000" w:themeColor="text1"/>
          <w:sz w:val="24"/>
          <w:szCs w:val="24"/>
        </w:rPr>
        <w:t>C</w:t>
      </w:r>
      <w:r w:rsidRPr="002E2BE0">
        <w:rPr>
          <w:rFonts w:ascii="Book Antiqua" w:hAnsi="Book Antiqua"/>
          <w:color w:val="000000" w:themeColor="text1"/>
          <w:sz w:val="24"/>
          <w:szCs w:val="24"/>
        </w:rPr>
        <w:t>omputed tomography</w:t>
      </w:r>
      <w:r>
        <w:rPr>
          <w:rFonts w:ascii="Book Antiqua" w:hAnsi="Book Antiqua"/>
          <w:color w:val="000000" w:themeColor="text1"/>
          <w:sz w:val="24"/>
          <w:szCs w:val="24"/>
        </w:rPr>
        <w:t>; AT: A</w:t>
      </w:r>
      <w:r w:rsidRPr="00341E2D">
        <w:rPr>
          <w:rFonts w:ascii="Book Antiqua" w:hAnsi="Book Antiqua"/>
          <w:color w:val="000000" w:themeColor="text1"/>
          <w:sz w:val="24"/>
          <w:szCs w:val="24"/>
        </w:rPr>
        <w:t>gitation thrombolysis</w:t>
      </w:r>
      <w:r>
        <w:rPr>
          <w:rFonts w:ascii="Book Antiqua" w:hAnsi="Book Antiqua"/>
          <w:color w:val="000000" w:themeColor="text1"/>
          <w:sz w:val="24"/>
          <w:szCs w:val="24"/>
        </w:rPr>
        <w:t xml:space="preserve">; CDT: </w:t>
      </w:r>
      <w:r w:rsidRPr="00341E2D">
        <w:rPr>
          <w:rFonts w:ascii="Book Antiqua" w:hAnsi="Book Antiqua"/>
          <w:color w:val="000000" w:themeColor="text1"/>
          <w:sz w:val="24"/>
          <w:szCs w:val="24"/>
        </w:rPr>
        <w:t>Catheter-directed thrombolysis</w:t>
      </w:r>
      <w:r>
        <w:rPr>
          <w:rFonts w:ascii="Book Antiqua" w:hAnsi="Book Antiqua"/>
          <w:color w:val="000000" w:themeColor="text1"/>
          <w:sz w:val="24"/>
          <w:szCs w:val="24"/>
        </w:rPr>
        <w:t>; TIP: T</w:t>
      </w:r>
      <w:r w:rsidRPr="00341E2D">
        <w:rPr>
          <w:rFonts w:ascii="Book Antiqua" w:hAnsi="Book Antiqua"/>
          <w:color w:val="000000" w:themeColor="text1"/>
          <w:sz w:val="24"/>
          <w:szCs w:val="24"/>
        </w:rPr>
        <w:t>ransjugular intrahepatic portosystemic</w:t>
      </w:r>
      <w:r>
        <w:rPr>
          <w:rFonts w:ascii="Book Antiqua" w:hAnsi="Book Antiqua"/>
          <w:color w:val="000000" w:themeColor="text1"/>
          <w:sz w:val="24"/>
          <w:szCs w:val="24"/>
        </w:rPr>
        <w:t>;</w:t>
      </w:r>
      <w:r w:rsidRPr="00341E2D">
        <w:rPr>
          <w:rFonts w:ascii="Book Antiqua" w:hAnsi="Book Antiqua"/>
          <w:color w:val="000000" w:themeColor="text1"/>
          <w:sz w:val="24"/>
          <w:szCs w:val="24"/>
        </w:rPr>
        <w:t xml:space="preserve"> </w:t>
      </w:r>
      <w:r w:rsidR="00695552" w:rsidRPr="00341E2D">
        <w:rPr>
          <w:rFonts w:ascii="Book Antiqua" w:hAnsi="Book Antiqua"/>
          <w:color w:val="000000" w:themeColor="text1"/>
          <w:sz w:val="24"/>
          <w:szCs w:val="24"/>
        </w:rPr>
        <w:t>CDUS</w:t>
      </w:r>
      <w:r w:rsidR="00695552">
        <w:rPr>
          <w:rFonts w:ascii="Book Antiqua" w:hAnsi="Book Antiqua"/>
          <w:color w:val="000000" w:themeColor="text1"/>
          <w:sz w:val="24"/>
          <w:szCs w:val="24"/>
        </w:rPr>
        <w:t>: Color d</w:t>
      </w:r>
      <w:r w:rsidR="00695552" w:rsidRPr="00341E2D">
        <w:rPr>
          <w:rFonts w:ascii="Book Antiqua" w:hAnsi="Book Antiqua"/>
          <w:color w:val="000000" w:themeColor="text1"/>
          <w:sz w:val="24"/>
          <w:szCs w:val="24"/>
        </w:rPr>
        <w:t>oppler ultrasound</w:t>
      </w:r>
      <w:r w:rsidR="00695552">
        <w:rPr>
          <w:rFonts w:ascii="Book Antiqua" w:hAnsi="Book Antiqua"/>
          <w:color w:val="000000" w:themeColor="text1"/>
          <w:sz w:val="24"/>
          <w:szCs w:val="24"/>
        </w:rPr>
        <w:t>; SMV: S</w:t>
      </w:r>
      <w:r w:rsidR="00695552" w:rsidRPr="00341E2D">
        <w:rPr>
          <w:rFonts w:ascii="Book Antiqua" w:hAnsi="Book Antiqua"/>
          <w:color w:val="000000" w:themeColor="text1"/>
          <w:sz w:val="24"/>
          <w:szCs w:val="24"/>
        </w:rPr>
        <w:t>uperior mesenteric vein</w:t>
      </w:r>
      <w:r w:rsidR="00695552">
        <w:rPr>
          <w:rFonts w:ascii="Book Antiqua" w:hAnsi="Book Antiqua"/>
          <w:color w:val="000000" w:themeColor="text1"/>
          <w:sz w:val="24"/>
          <w:szCs w:val="24"/>
        </w:rPr>
        <w:t>.</w:t>
      </w:r>
    </w:p>
    <w:p w14:paraId="09E3FDAB" w14:textId="0A0D0484" w:rsidR="00444257" w:rsidRDefault="00444257">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6CC89BF4" w14:textId="45BAE350"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noProof/>
          <w:color w:val="000000" w:themeColor="text1"/>
          <w:sz w:val="24"/>
          <w:szCs w:val="24"/>
        </w:rPr>
        <w:lastRenderedPageBreak/>
        <w:drawing>
          <wp:inline distT="0" distB="0" distL="0" distR="0" wp14:anchorId="3626DD9D" wp14:editId="0C10A0BD">
            <wp:extent cx="2997200" cy="2214880"/>
            <wp:effectExtent l="0" t="0" r="0" b="0"/>
            <wp:docPr id="16" name="图片 16" descr="C:\Users\王朝阳\Desktop\投稿文件夹\最终图片\P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王朝阳\Desktop\投稿文件夹\最终图片\PT\3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00244" cy="2217214"/>
                    </a:xfrm>
                    <a:prstGeom prst="rect">
                      <a:avLst/>
                    </a:prstGeom>
                    <a:noFill/>
                    <a:ln>
                      <a:noFill/>
                    </a:ln>
                  </pic:spPr>
                </pic:pic>
              </a:graphicData>
            </a:graphic>
          </wp:inline>
        </w:drawing>
      </w:r>
      <w:r w:rsidRPr="00341E2D">
        <w:rPr>
          <w:rFonts w:ascii="Book Antiqua" w:hAnsi="Book Antiqua"/>
          <w:noProof/>
          <w:color w:val="000000" w:themeColor="text1"/>
          <w:sz w:val="24"/>
          <w:szCs w:val="24"/>
        </w:rPr>
        <w:drawing>
          <wp:inline distT="0" distB="0" distL="0" distR="0" wp14:anchorId="74F317D2" wp14:editId="2CE5D717">
            <wp:extent cx="2254250" cy="2249170"/>
            <wp:effectExtent l="0" t="0" r="0" b="0"/>
            <wp:docPr id="18" name="图片 18" descr="C:\Users\王朝阳\Desktop\投稿文件夹\最终图片\PT\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王朝阳\Desktop\投稿文件夹\最终图片\PT\3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57187" cy="2252293"/>
                    </a:xfrm>
                    <a:prstGeom prst="rect">
                      <a:avLst/>
                    </a:prstGeom>
                    <a:noFill/>
                    <a:ln>
                      <a:noFill/>
                    </a:ln>
                  </pic:spPr>
                </pic:pic>
              </a:graphicData>
            </a:graphic>
          </wp:inline>
        </w:drawing>
      </w:r>
      <w:r w:rsidRPr="00341E2D">
        <w:rPr>
          <w:rFonts w:ascii="Book Antiqua" w:hAnsi="Book Antiqua"/>
          <w:noProof/>
          <w:color w:val="000000" w:themeColor="text1"/>
          <w:sz w:val="24"/>
          <w:szCs w:val="24"/>
        </w:rPr>
        <w:drawing>
          <wp:inline distT="0" distB="0" distL="0" distR="0" wp14:anchorId="08795451" wp14:editId="31A45B6D">
            <wp:extent cx="2261235" cy="2311400"/>
            <wp:effectExtent l="0" t="0" r="0" b="0"/>
            <wp:docPr id="20" name="图片 20" descr="C:\Users\王朝阳\Desktop\投稿文件夹\最终图片\PT\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王朝阳\Desktop\投稿文件夹\最终图片\PT\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61338" cy="2311246"/>
                    </a:xfrm>
                    <a:prstGeom prst="rect">
                      <a:avLst/>
                    </a:prstGeom>
                    <a:noFill/>
                    <a:ln>
                      <a:noFill/>
                    </a:ln>
                  </pic:spPr>
                </pic:pic>
              </a:graphicData>
            </a:graphic>
          </wp:inline>
        </w:drawing>
      </w:r>
      <w:r w:rsidRPr="00341E2D">
        <w:rPr>
          <w:rFonts w:ascii="Book Antiqua" w:hAnsi="Book Antiqua"/>
          <w:noProof/>
          <w:color w:val="000000" w:themeColor="text1"/>
          <w:sz w:val="24"/>
          <w:szCs w:val="24"/>
        </w:rPr>
        <w:drawing>
          <wp:inline distT="0" distB="0" distL="0" distR="0" wp14:anchorId="095440B0" wp14:editId="00425C7C">
            <wp:extent cx="2901950" cy="2310130"/>
            <wp:effectExtent l="0" t="0" r="0" b="0"/>
            <wp:docPr id="24" name="图片 24" descr="C:\Users\王朝阳\Desktop\投稿文件夹\最终图片\PT\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王朝阳\Desktop\投稿文件夹\最终图片\PT\3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03631" cy="2311537"/>
                    </a:xfrm>
                    <a:prstGeom prst="rect">
                      <a:avLst/>
                    </a:prstGeom>
                    <a:noFill/>
                    <a:ln>
                      <a:noFill/>
                    </a:ln>
                  </pic:spPr>
                </pic:pic>
              </a:graphicData>
            </a:graphic>
          </wp:inline>
        </w:drawing>
      </w:r>
      <w:r w:rsidRPr="00341E2D">
        <w:rPr>
          <w:rFonts w:ascii="Book Antiqua" w:hAnsi="Book Antiqua"/>
          <w:noProof/>
          <w:color w:val="000000" w:themeColor="text1"/>
          <w:sz w:val="24"/>
          <w:szCs w:val="24"/>
        </w:rPr>
        <w:drawing>
          <wp:inline distT="0" distB="0" distL="0" distR="0" wp14:anchorId="0CE2AB89" wp14:editId="6EDB59DF">
            <wp:extent cx="2520950" cy="2239645"/>
            <wp:effectExtent l="0" t="0" r="0" b="0"/>
            <wp:docPr id="15" name="图片 15" descr="C:\Users\王朝阳\Desktop\投稿文件夹\最终图片\PT\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王朝阳\Desktop\投稿文件夹\最终图片\PT\3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2237" cy="2241209"/>
                    </a:xfrm>
                    <a:prstGeom prst="rect">
                      <a:avLst/>
                    </a:prstGeom>
                    <a:noFill/>
                    <a:ln>
                      <a:noFill/>
                    </a:ln>
                  </pic:spPr>
                </pic:pic>
              </a:graphicData>
            </a:graphic>
          </wp:inline>
        </w:drawing>
      </w:r>
    </w:p>
    <w:p w14:paraId="6713C9A9" w14:textId="571B615B" w:rsidR="00695552" w:rsidRDefault="00695552" w:rsidP="00695552">
      <w:pPr>
        <w:adjustRightInd w:val="0"/>
        <w:snapToGrid w:val="0"/>
        <w:spacing w:line="360" w:lineRule="auto"/>
        <w:rPr>
          <w:rFonts w:ascii="Book Antiqua" w:hAnsi="Book Antiqua"/>
          <w:color w:val="000000" w:themeColor="text1"/>
          <w:sz w:val="24"/>
          <w:szCs w:val="24"/>
        </w:rPr>
      </w:pPr>
      <w:r w:rsidRPr="00695552">
        <w:rPr>
          <w:rFonts w:ascii="Book Antiqua" w:hAnsi="Book Antiqua"/>
          <w:b/>
          <w:sz w:val="24"/>
          <w:szCs w:val="24"/>
        </w:rPr>
        <w:t xml:space="preserve">Figure 2 </w:t>
      </w:r>
      <w:r w:rsidRPr="00241DF1">
        <w:rPr>
          <w:rFonts w:ascii="Book Antiqua" w:hAnsi="Book Antiqua"/>
          <w:b/>
          <w:sz w:val="24"/>
          <w:szCs w:val="24"/>
        </w:rPr>
        <w:t>A 57-year-old woman had acute abdominal pain for sixteen days.</w:t>
      </w:r>
      <w:r w:rsidRPr="00695552">
        <w:rPr>
          <w:rFonts w:ascii="Book Antiqua" w:hAnsi="Book Antiqua"/>
          <w:sz w:val="24"/>
          <w:szCs w:val="24"/>
        </w:rPr>
        <w:t xml:space="preserve"> A</w:t>
      </w:r>
      <w:r>
        <w:rPr>
          <w:rFonts w:ascii="Book Antiqua" w:hAnsi="Book Antiqua"/>
          <w:sz w:val="24"/>
          <w:szCs w:val="24"/>
        </w:rPr>
        <w:t xml:space="preserve"> and</w:t>
      </w:r>
      <w:r w:rsidRPr="00695552">
        <w:rPr>
          <w:rFonts w:ascii="Book Antiqua" w:hAnsi="Book Antiqua"/>
          <w:sz w:val="24"/>
          <w:szCs w:val="24"/>
        </w:rPr>
        <w:t xml:space="preserve"> B</w:t>
      </w:r>
      <w:r>
        <w:rPr>
          <w:rFonts w:ascii="Book Antiqua" w:hAnsi="Book Antiqua"/>
          <w:sz w:val="24"/>
          <w:szCs w:val="24"/>
        </w:rPr>
        <w:t>:</w:t>
      </w:r>
      <w:r w:rsidRPr="00695552">
        <w:rPr>
          <w:rFonts w:ascii="Book Antiqua" w:hAnsi="Book Antiqua"/>
          <w:sz w:val="24"/>
          <w:szCs w:val="24"/>
        </w:rPr>
        <w:t xml:space="preserve"> Contrast-enhanced CT and portography </w:t>
      </w:r>
      <w:r w:rsidRPr="00695552">
        <w:rPr>
          <w:rFonts w:ascii="Book Antiqua" w:hAnsi="Book Antiqua"/>
          <w:i/>
          <w:sz w:val="24"/>
          <w:szCs w:val="24"/>
        </w:rPr>
        <w:t>via</w:t>
      </w:r>
      <w:r w:rsidRPr="00695552">
        <w:rPr>
          <w:rFonts w:ascii="Book Antiqua" w:hAnsi="Book Antiqua"/>
          <w:sz w:val="24"/>
          <w:szCs w:val="24"/>
        </w:rPr>
        <w:t xml:space="preserve"> the PT route showed thrombus formation in the portal vein and SMV (arrow). C</w:t>
      </w:r>
      <w:r>
        <w:rPr>
          <w:rFonts w:ascii="Book Antiqua" w:hAnsi="Book Antiqua"/>
          <w:sz w:val="24"/>
          <w:szCs w:val="24"/>
        </w:rPr>
        <w:t>:</w:t>
      </w:r>
      <w:r w:rsidRPr="00695552">
        <w:rPr>
          <w:rFonts w:ascii="Book Antiqua" w:hAnsi="Book Antiqua"/>
          <w:sz w:val="24"/>
          <w:szCs w:val="24"/>
        </w:rPr>
        <w:t xml:space="preserve"> Portography after AT and CDT showed that the filling defect in the portal vein had decreased. D</w:t>
      </w:r>
      <w:r>
        <w:rPr>
          <w:rFonts w:ascii="Book Antiqua" w:hAnsi="Book Antiqua"/>
          <w:sz w:val="24"/>
          <w:szCs w:val="24"/>
        </w:rPr>
        <w:t>:</w:t>
      </w:r>
      <w:r w:rsidRPr="00695552">
        <w:rPr>
          <w:rFonts w:ascii="Book Antiqua" w:hAnsi="Book Antiqua"/>
          <w:sz w:val="24"/>
          <w:szCs w:val="24"/>
        </w:rPr>
        <w:t xml:space="preserve"> Contrast-enhanced CT after treatment showed that the thrombus had disappeared completely. E</w:t>
      </w:r>
      <w:r>
        <w:rPr>
          <w:rFonts w:ascii="Book Antiqua" w:hAnsi="Book Antiqua"/>
          <w:sz w:val="24"/>
          <w:szCs w:val="24"/>
        </w:rPr>
        <w:t>:</w:t>
      </w:r>
      <w:r w:rsidRPr="00695552">
        <w:rPr>
          <w:rFonts w:ascii="Book Antiqua" w:hAnsi="Book Antiqua"/>
          <w:sz w:val="24"/>
          <w:szCs w:val="24"/>
        </w:rPr>
        <w:t xml:space="preserve"> </w:t>
      </w:r>
      <w:r>
        <w:rPr>
          <w:rFonts w:ascii="Book Antiqua" w:hAnsi="Book Antiqua"/>
          <w:sz w:val="24"/>
          <w:szCs w:val="24"/>
        </w:rPr>
        <w:t>Twelve</w:t>
      </w:r>
      <w:r w:rsidRPr="00695552">
        <w:rPr>
          <w:rFonts w:ascii="Book Antiqua" w:hAnsi="Book Antiqua"/>
          <w:sz w:val="24"/>
          <w:szCs w:val="24"/>
        </w:rPr>
        <w:t xml:space="preserve"> months after treatment, CDUS showed smooth blood flow in the portal vein (arrow).</w:t>
      </w:r>
      <w:r>
        <w:rPr>
          <w:rFonts w:ascii="Book Antiqua" w:hAnsi="Book Antiqua"/>
          <w:sz w:val="24"/>
          <w:szCs w:val="24"/>
        </w:rPr>
        <w:t xml:space="preserve"> </w:t>
      </w:r>
      <w:r w:rsidRPr="00341E2D">
        <w:rPr>
          <w:rFonts w:ascii="Book Antiqua" w:hAnsi="Book Antiqua"/>
          <w:color w:val="000000" w:themeColor="text1"/>
          <w:sz w:val="24"/>
          <w:szCs w:val="24"/>
        </w:rPr>
        <w:t>CT</w:t>
      </w:r>
      <w:r>
        <w:rPr>
          <w:rFonts w:ascii="Book Antiqua" w:hAnsi="Book Antiqua"/>
          <w:color w:val="000000" w:themeColor="text1"/>
          <w:sz w:val="24"/>
          <w:szCs w:val="24"/>
        </w:rPr>
        <w:t>:</w:t>
      </w:r>
      <w:r w:rsidRPr="002E2BE0">
        <w:rPr>
          <w:rFonts w:ascii="Book Antiqua" w:hAnsi="Book Antiqua"/>
          <w:color w:val="000000" w:themeColor="text1"/>
          <w:sz w:val="24"/>
          <w:szCs w:val="24"/>
        </w:rPr>
        <w:t xml:space="preserve"> </w:t>
      </w:r>
      <w:r>
        <w:rPr>
          <w:rFonts w:ascii="Book Antiqua" w:hAnsi="Book Antiqua"/>
          <w:color w:val="000000" w:themeColor="text1"/>
          <w:sz w:val="24"/>
          <w:szCs w:val="24"/>
        </w:rPr>
        <w:t>C</w:t>
      </w:r>
      <w:r w:rsidRPr="002E2BE0">
        <w:rPr>
          <w:rFonts w:ascii="Book Antiqua" w:hAnsi="Book Antiqua"/>
          <w:color w:val="000000" w:themeColor="text1"/>
          <w:sz w:val="24"/>
          <w:szCs w:val="24"/>
        </w:rPr>
        <w:t>omputed tomography</w:t>
      </w:r>
      <w:r>
        <w:rPr>
          <w:rFonts w:ascii="Book Antiqua" w:hAnsi="Book Antiqua"/>
          <w:color w:val="000000" w:themeColor="text1"/>
          <w:sz w:val="24"/>
          <w:szCs w:val="24"/>
        </w:rPr>
        <w:t xml:space="preserve">; AT: </w:t>
      </w:r>
      <w:r>
        <w:rPr>
          <w:rFonts w:ascii="Book Antiqua" w:hAnsi="Book Antiqua"/>
          <w:color w:val="000000" w:themeColor="text1"/>
          <w:sz w:val="24"/>
          <w:szCs w:val="24"/>
        </w:rPr>
        <w:lastRenderedPageBreak/>
        <w:t>A</w:t>
      </w:r>
      <w:r w:rsidRPr="00341E2D">
        <w:rPr>
          <w:rFonts w:ascii="Book Antiqua" w:hAnsi="Book Antiqua"/>
          <w:color w:val="000000" w:themeColor="text1"/>
          <w:sz w:val="24"/>
          <w:szCs w:val="24"/>
        </w:rPr>
        <w:t>gitation thrombolysis</w:t>
      </w:r>
      <w:r>
        <w:rPr>
          <w:rFonts w:ascii="Book Antiqua" w:hAnsi="Book Antiqua"/>
          <w:color w:val="000000" w:themeColor="text1"/>
          <w:sz w:val="24"/>
          <w:szCs w:val="24"/>
        </w:rPr>
        <w:t xml:space="preserve">; CDT: </w:t>
      </w:r>
      <w:r w:rsidRPr="00341E2D">
        <w:rPr>
          <w:rFonts w:ascii="Book Antiqua" w:hAnsi="Book Antiqua"/>
          <w:color w:val="000000" w:themeColor="text1"/>
          <w:sz w:val="24"/>
          <w:szCs w:val="24"/>
        </w:rPr>
        <w:t>Catheter-directed thrombolysis</w:t>
      </w:r>
      <w:r>
        <w:rPr>
          <w:rFonts w:ascii="Book Antiqua" w:hAnsi="Book Antiqua"/>
          <w:color w:val="000000" w:themeColor="text1"/>
          <w:sz w:val="24"/>
          <w:szCs w:val="24"/>
        </w:rPr>
        <w:t xml:space="preserve">; PT: Percutaneous transhepatic; </w:t>
      </w:r>
      <w:r w:rsidRPr="00341E2D">
        <w:rPr>
          <w:rFonts w:ascii="Book Antiqua" w:hAnsi="Book Antiqua"/>
          <w:color w:val="000000" w:themeColor="text1"/>
          <w:sz w:val="24"/>
          <w:szCs w:val="24"/>
        </w:rPr>
        <w:t>CDUS</w:t>
      </w:r>
      <w:r>
        <w:rPr>
          <w:rFonts w:ascii="Book Antiqua" w:hAnsi="Book Antiqua"/>
          <w:color w:val="000000" w:themeColor="text1"/>
          <w:sz w:val="24"/>
          <w:szCs w:val="24"/>
        </w:rPr>
        <w:t>: Color d</w:t>
      </w:r>
      <w:r w:rsidRPr="00341E2D">
        <w:rPr>
          <w:rFonts w:ascii="Book Antiqua" w:hAnsi="Book Antiqua"/>
          <w:color w:val="000000" w:themeColor="text1"/>
          <w:sz w:val="24"/>
          <w:szCs w:val="24"/>
        </w:rPr>
        <w:t>oppler ultrasound</w:t>
      </w:r>
      <w:r>
        <w:rPr>
          <w:rFonts w:ascii="Book Antiqua" w:hAnsi="Book Antiqua"/>
          <w:color w:val="000000" w:themeColor="text1"/>
          <w:sz w:val="24"/>
          <w:szCs w:val="24"/>
        </w:rPr>
        <w:t>; SMV: S</w:t>
      </w:r>
      <w:r w:rsidRPr="00341E2D">
        <w:rPr>
          <w:rFonts w:ascii="Book Antiqua" w:hAnsi="Book Antiqua"/>
          <w:color w:val="000000" w:themeColor="text1"/>
          <w:sz w:val="24"/>
          <w:szCs w:val="24"/>
        </w:rPr>
        <w:t>uperior mesenteric vein</w:t>
      </w:r>
      <w:r>
        <w:rPr>
          <w:rFonts w:ascii="Book Antiqua" w:hAnsi="Book Antiqua"/>
          <w:color w:val="000000" w:themeColor="text1"/>
          <w:sz w:val="24"/>
          <w:szCs w:val="24"/>
        </w:rPr>
        <w:t>.</w:t>
      </w:r>
    </w:p>
    <w:p w14:paraId="1E7B7BAF" w14:textId="77777777" w:rsidR="00695552" w:rsidRDefault="00695552">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0244ADBD" w14:textId="77777777" w:rsidR="00695552" w:rsidRPr="00341E2D" w:rsidRDefault="00695552" w:rsidP="00695552">
      <w:pPr>
        <w:adjustRightInd w:val="0"/>
        <w:snapToGrid w:val="0"/>
        <w:spacing w:line="360" w:lineRule="auto"/>
        <w:rPr>
          <w:rFonts w:ascii="Book Antiqua" w:hAnsi="Book Antiqua"/>
          <w:color w:val="000000" w:themeColor="text1"/>
          <w:sz w:val="24"/>
          <w:szCs w:val="24"/>
        </w:rPr>
      </w:pPr>
      <w:r w:rsidRPr="00341E2D">
        <w:rPr>
          <w:rFonts w:ascii="Book Antiqua" w:hAnsi="Book Antiqua"/>
          <w:noProof/>
          <w:color w:val="000000" w:themeColor="text1"/>
          <w:sz w:val="24"/>
          <w:szCs w:val="24"/>
        </w:rPr>
        <w:lastRenderedPageBreak/>
        <w:drawing>
          <wp:inline distT="0" distB="0" distL="0" distR="0" wp14:anchorId="1C854A48" wp14:editId="407F76B6">
            <wp:extent cx="2355215" cy="2354580"/>
            <wp:effectExtent l="0" t="0" r="0" b="0"/>
            <wp:docPr id="21" name="图片 21" descr="C:\Users\王朝阳\Desktop\投稿文件夹\最终图片\搅拌0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王朝阳\Desktop\投稿文件夹\最终图片\搅拌001\1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57973" cy="2356902"/>
                    </a:xfrm>
                    <a:prstGeom prst="rect">
                      <a:avLst/>
                    </a:prstGeom>
                    <a:noFill/>
                    <a:ln>
                      <a:noFill/>
                    </a:ln>
                  </pic:spPr>
                </pic:pic>
              </a:graphicData>
            </a:graphic>
          </wp:inline>
        </w:drawing>
      </w:r>
      <w:r w:rsidRPr="00341E2D">
        <w:rPr>
          <w:rFonts w:ascii="Book Antiqua" w:hAnsi="Book Antiqua"/>
          <w:color w:val="000000" w:themeColor="text1"/>
          <w:sz w:val="24"/>
          <w:szCs w:val="24"/>
        </w:rPr>
        <w:t xml:space="preserve"> </w:t>
      </w:r>
      <w:r w:rsidRPr="00341E2D">
        <w:rPr>
          <w:rFonts w:ascii="Book Antiqua" w:hAnsi="Book Antiqua"/>
          <w:noProof/>
          <w:color w:val="000000" w:themeColor="text1"/>
          <w:sz w:val="24"/>
          <w:szCs w:val="24"/>
        </w:rPr>
        <w:drawing>
          <wp:inline distT="0" distB="0" distL="0" distR="0" wp14:anchorId="74F9F3B0" wp14:editId="3406A365">
            <wp:extent cx="2817495" cy="2354580"/>
            <wp:effectExtent l="0" t="0" r="0" b="0"/>
            <wp:docPr id="22" name="图片 22" descr="C:\Users\王朝阳\Desktop\投稿文件夹\最终图片\搅拌0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王朝阳\Desktop\投稿文件夹\最终图片\搅拌001\1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18107" cy="2354638"/>
                    </a:xfrm>
                    <a:prstGeom prst="rect">
                      <a:avLst/>
                    </a:prstGeom>
                    <a:noFill/>
                    <a:ln>
                      <a:noFill/>
                    </a:ln>
                  </pic:spPr>
                </pic:pic>
              </a:graphicData>
            </a:graphic>
          </wp:inline>
        </w:drawing>
      </w:r>
    </w:p>
    <w:p w14:paraId="7F4E679F" w14:textId="32B1A718" w:rsidR="00B964CC" w:rsidRPr="00695552" w:rsidRDefault="00695552" w:rsidP="00241DF1">
      <w:pPr>
        <w:adjustRightInd w:val="0"/>
        <w:snapToGrid w:val="0"/>
        <w:spacing w:line="360" w:lineRule="auto"/>
        <w:rPr>
          <w:rFonts w:ascii="Book Antiqua" w:hAnsi="Book Antiqua"/>
          <w:sz w:val="24"/>
          <w:szCs w:val="24"/>
        </w:rPr>
      </w:pPr>
      <w:r w:rsidRPr="00695552">
        <w:rPr>
          <w:rFonts w:ascii="Book Antiqua" w:hAnsi="Book Antiqua"/>
          <w:b/>
          <w:sz w:val="24"/>
          <w:szCs w:val="24"/>
        </w:rPr>
        <w:t>Figure 3</w:t>
      </w:r>
      <w:r w:rsidRPr="00695552">
        <w:rPr>
          <w:rFonts w:ascii="Book Antiqua" w:hAnsi="Book Antiqua"/>
          <w:sz w:val="24"/>
          <w:szCs w:val="24"/>
        </w:rPr>
        <w:t xml:space="preserve"> </w:t>
      </w:r>
      <w:r w:rsidR="0083384F" w:rsidRPr="0083384F">
        <w:rPr>
          <w:rFonts w:ascii="Book Antiqua" w:hAnsi="Book Antiqua"/>
          <w:b/>
          <w:color w:val="000000" w:themeColor="text1"/>
          <w:sz w:val="24"/>
          <w:szCs w:val="24"/>
        </w:rPr>
        <w:t xml:space="preserve">A pigtail catheter was inserted into the thrombus through the sheath, and a guidewire with a helical tip molded </w:t>
      </w:r>
      <w:r w:rsidR="0083384F" w:rsidRPr="0083384F">
        <w:rPr>
          <w:rFonts w:ascii="Book Antiqua" w:hAnsi="Book Antiqua"/>
          <w:b/>
          <w:i/>
          <w:color w:val="000000" w:themeColor="text1"/>
          <w:sz w:val="24"/>
          <w:szCs w:val="24"/>
        </w:rPr>
        <w:t>in vitro</w:t>
      </w:r>
      <w:r w:rsidR="0083384F" w:rsidRPr="0083384F">
        <w:rPr>
          <w:rFonts w:ascii="Book Antiqua" w:hAnsi="Book Antiqua"/>
          <w:b/>
          <w:color w:val="000000" w:themeColor="text1"/>
          <w:sz w:val="24"/>
          <w:szCs w:val="24"/>
        </w:rPr>
        <w:t xml:space="preserve"> wa</w:t>
      </w:r>
      <w:r w:rsidR="0083384F" w:rsidRPr="0083384F">
        <w:rPr>
          <w:rFonts w:ascii="Book Antiqua" w:hAnsi="Book Antiqua"/>
          <w:b/>
          <w:color w:val="000000" w:themeColor="text1"/>
          <w:sz w:val="24"/>
          <w:szCs w:val="24"/>
        </w:rPr>
        <w:t xml:space="preserve">s advanced through the catheter. </w:t>
      </w:r>
      <w:r w:rsidRPr="00695552">
        <w:rPr>
          <w:rFonts w:ascii="Book Antiqua" w:hAnsi="Book Antiqua"/>
          <w:sz w:val="24"/>
          <w:szCs w:val="24"/>
        </w:rPr>
        <w:t>A</w:t>
      </w:r>
      <w:r>
        <w:rPr>
          <w:rFonts w:ascii="Book Antiqua" w:hAnsi="Book Antiqua"/>
          <w:sz w:val="24"/>
          <w:szCs w:val="24"/>
        </w:rPr>
        <w:t>:</w:t>
      </w:r>
      <w:r w:rsidRPr="00695552">
        <w:rPr>
          <w:rFonts w:ascii="Book Antiqua" w:hAnsi="Book Antiqua"/>
          <w:sz w:val="24"/>
          <w:szCs w:val="24"/>
        </w:rPr>
        <w:t xml:space="preserve"> A pigtail catheter, and a guidewire with a helical tip (arrow) through the catheter </w:t>
      </w:r>
      <w:r w:rsidRPr="00695552">
        <w:rPr>
          <w:rFonts w:ascii="Book Antiqua" w:hAnsi="Book Antiqua"/>
          <w:i/>
          <w:sz w:val="24"/>
          <w:szCs w:val="24"/>
        </w:rPr>
        <w:t>in vitro</w:t>
      </w:r>
      <w:r w:rsidRPr="00695552">
        <w:rPr>
          <w:rFonts w:ascii="Book Antiqua" w:hAnsi="Book Antiqua"/>
          <w:sz w:val="24"/>
          <w:szCs w:val="24"/>
        </w:rPr>
        <w:t>. B</w:t>
      </w:r>
      <w:r>
        <w:rPr>
          <w:rFonts w:ascii="Book Antiqua" w:hAnsi="Book Antiqua"/>
          <w:sz w:val="24"/>
          <w:szCs w:val="24"/>
        </w:rPr>
        <w:t>:</w:t>
      </w:r>
      <w:r w:rsidRPr="00695552">
        <w:rPr>
          <w:rFonts w:ascii="Book Antiqua" w:hAnsi="Book Antiqua"/>
          <w:sz w:val="24"/>
          <w:szCs w:val="24"/>
        </w:rPr>
        <w:t xml:space="preserve"> The catheter and guidewire in the portal vein (arrow) during agitation thrombolysis </w:t>
      </w:r>
      <w:r w:rsidRPr="00695552">
        <w:rPr>
          <w:rFonts w:ascii="Book Antiqua" w:hAnsi="Book Antiqua"/>
          <w:i/>
          <w:sz w:val="24"/>
          <w:szCs w:val="24"/>
        </w:rPr>
        <w:t>via</w:t>
      </w:r>
      <w:r w:rsidRPr="00695552">
        <w:rPr>
          <w:rFonts w:ascii="Book Antiqua" w:hAnsi="Book Antiqua"/>
          <w:sz w:val="24"/>
          <w:szCs w:val="24"/>
        </w:rPr>
        <w:t xml:space="preserve"> the TIP route.</w:t>
      </w:r>
      <w:r>
        <w:rPr>
          <w:rFonts w:ascii="Book Antiqua" w:hAnsi="Book Antiqua"/>
          <w:sz w:val="24"/>
          <w:szCs w:val="24"/>
        </w:rPr>
        <w:t xml:space="preserve"> </w:t>
      </w:r>
      <w:r>
        <w:rPr>
          <w:rFonts w:ascii="Book Antiqua" w:hAnsi="Book Antiqua"/>
          <w:color w:val="000000" w:themeColor="text1"/>
          <w:sz w:val="24"/>
          <w:szCs w:val="24"/>
        </w:rPr>
        <w:t>TIP: T</w:t>
      </w:r>
      <w:r w:rsidRPr="00341E2D">
        <w:rPr>
          <w:rFonts w:ascii="Book Antiqua" w:hAnsi="Book Antiqua"/>
          <w:color w:val="000000" w:themeColor="text1"/>
          <w:sz w:val="24"/>
          <w:szCs w:val="24"/>
        </w:rPr>
        <w:t>ransjugular intrahepatic portosystemic</w:t>
      </w:r>
      <w:r>
        <w:rPr>
          <w:rFonts w:ascii="Book Antiqua" w:hAnsi="Book Antiqua"/>
          <w:color w:val="000000" w:themeColor="text1"/>
          <w:sz w:val="24"/>
          <w:szCs w:val="24"/>
        </w:rPr>
        <w:t>.</w:t>
      </w:r>
    </w:p>
    <w:p w14:paraId="7D2C597E" w14:textId="76918D79" w:rsidR="00695552" w:rsidRDefault="00695552">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bookmarkStart w:id="196" w:name="_GoBack"/>
      <w:bookmarkEnd w:id="196"/>
    </w:p>
    <w:p w14:paraId="32DBAFC8" w14:textId="221772A2"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lastRenderedPageBreak/>
        <w:t>Table 1 Characteristics of the included patients</w:t>
      </w:r>
    </w:p>
    <w:tbl>
      <w:tblPr>
        <w:tblStyle w:val="TableGrid"/>
        <w:tblW w:w="984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4"/>
        <w:gridCol w:w="851"/>
        <w:gridCol w:w="630"/>
        <w:gridCol w:w="1980"/>
        <w:gridCol w:w="3646"/>
        <w:gridCol w:w="1833"/>
      </w:tblGrid>
      <w:tr w:rsidR="00B964CC" w:rsidRPr="00341E2D" w14:paraId="70F093A8" w14:textId="77777777">
        <w:trPr>
          <w:trHeight w:val="454"/>
          <w:jc w:val="center"/>
        </w:trPr>
        <w:tc>
          <w:tcPr>
            <w:tcW w:w="904" w:type="dxa"/>
            <w:tcBorders>
              <w:top w:val="single" w:sz="12" w:space="0" w:color="auto"/>
              <w:bottom w:val="single" w:sz="6" w:space="0" w:color="auto"/>
            </w:tcBorders>
          </w:tcPr>
          <w:p w14:paraId="30F349D9" w14:textId="77777777" w:rsidR="00B964CC" w:rsidRPr="00241DF1" w:rsidRDefault="00D87EC7" w:rsidP="00341E2D">
            <w:pPr>
              <w:adjustRightInd w:val="0"/>
              <w:snapToGrid w:val="0"/>
              <w:spacing w:line="360" w:lineRule="auto"/>
              <w:rPr>
                <w:rFonts w:ascii="Book Antiqua" w:hAnsi="Book Antiqua"/>
                <w:b/>
                <w:color w:val="000000" w:themeColor="text1"/>
                <w:sz w:val="24"/>
                <w:szCs w:val="24"/>
              </w:rPr>
            </w:pPr>
            <w:r w:rsidRPr="00241DF1">
              <w:rPr>
                <w:rFonts w:ascii="Book Antiqua" w:hAnsi="Book Antiqua"/>
                <w:b/>
                <w:color w:val="000000" w:themeColor="text1"/>
                <w:sz w:val="24"/>
                <w:szCs w:val="24"/>
              </w:rPr>
              <w:t>Patient no.</w:t>
            </w:r>
          </w:p>
        </w:tc>
        <w:tc>
          <w:tcPr>
            <w:tcW w:w="851" w:type="dxa"/>
            <w:tcBorders>
              <w:top w:val="single" w:sz="12" w:space="0" w:color="auto"/>
              <w:bottom w:val="single" w:sz="6" w:space="0" w:color="auto"/>
            </w:tcBorders>
          </w:tcPr>
          <w:p w14:paraId="0064DA89" w14:textId="789564EC"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Age (y</w:t>
            </w:r>
            <w:r w:rsidR="00695552" w:rsidRPr="00241DF1">
              <w:rPr>
                <w:rFonts w:ascii="Book Antiqua" w:hAnsi="Book Antiqua"/>
                <w:b/>
                <w:color w:val="000000" w:themeColor="text1"/>
                <w:sz w:val="24"/>
                <w:szCs w:val="24"/>
              </w:rPr>
              <w:t>r</w:t>
            </w:r>
            <w:r w:rsidRPr="00241DF1">
              <w:rPr>
                <w:rFonts w:ascii="Book Antiqua" w:hAnsi="Book Antiqua"/>
                <w:b/>
                <w:color w:val="000000" w:themeColor="text1"/>
                <w:sz w:val="24"/>
                <w:szCs w:val="24"/>
              </w:rPr>
              <w:t>)</w:t>
            </w:r>
          </w:p>
        </w:tc>
        <w:tc>
          <w:tcPr>
            <w:tcW w:w="630" w:type="dxa"/>
            <w:tcBorders>
              <w:top w:val="single" w:sz="12" w:space="0" w:color="auto"/>
              <w:bottom w:val="single" w:sz="6" w:space="0" w:color="auto"/>
            </w:tcBorders>
          </w:tcPr>
          <w:p w14:paraId="38205EEF"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Sex</w:t>
            </w:r>
          </w:p>
        </w:tc>
        <w:tc>
          <w:tcPr>
            <w:tcW w:w="1980" w:type="dxa"/>
            <w:tcBorders>
              <w:top w:val="single" w:sz="12" w:space="0" w:color="auto"/>
              <w:bottom w:val="single" w:sz="6" w:space="0" w:color="auto"/>
            </w:tcBorders>
          </w:tcPr>
          <w:p w14:paraId="4CE6D443"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Etiology</w:t>
            </w:r>
          </w:p>
        </w:tc>
        <w:tc>
          <w:tcPr>
            <w:tcW w:w="3646" w:type="dxa"/>
            <w:tcBorders>
              <w:top w:val="single" w:sz="12" w:space="0" w:color="auto"/>
              <w:bottom w:val="single" w:sz="6" w:space="0" w:color="auto"/>
            </w:tcBorders>
          </w:tcPr>
          <w:p w14:paraId="4E69E39C"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Symptoms</w:t>
            </w:r>
          </w:p>
        </w:tc>
        <w:tc>
          <w:tcPr>
            <w:tcW w:w="1833" w:type="dxa"/>
            <w:tcBorders>
              <w:top w:val="single" w:sz="12" w:space="0" w:color="auto"/>
              <w:bottom w:val="single" w:sz="6" w:space="0" w:color="auto"/>
            </w:tcBorders>
          </w:tcPr>
          <w:p w14:paraId="4F4DA645"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Days from onset to treatment</w:t>
            </w:r>
          </w:p>
        </w:tc>
      </w:tr>
      <w:tr w:rsidR="00B964CC" w:rsidRPr="00341E2D" w14:paraId="5F76F6EF" w14:textId="77777777">
        <w:trPr>
          <w:trHeight w:val="454"/>
          <w:jc w:val="center"/>
        </w:trPr>
        <w:tc>
          <w:tcPr>
            <w:tcW w:w="904" w:type="dxa"/>
            <w:tcBorders>
              <w:top w:val="single" w:sz="6" w:space="0" w:color="auto"/>
            </w:tcBorders>
          </w:tcPr>
          <w:p w14:paraId="585D9821"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1</w:t>
            </w:r>
          </w:p>
        </w:tc>
        <w:tc>
          <w:tcPr>
            <w:tcW w:w="851" w:type="dxa"/>
            <w:tcBorders>
              <w:top w:val="single" w:sz="6" w:space="0" w:color="auto"/>
            </w:tcBorders>
          </w:tcPr>
          <w:p w14:paraId="19A20CD2"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29</w:t>
            </w:r>
          </w:p>
        </w:tc>
        <w:tc>
          <w:tcPr>
            <w:tcW w:w="630" w:type="dxa"/>
            <w:tcBorders>
              <w:top w:val="single" w:sz="6" w:space="0" w:color="auto"/>
            </w:tcBorders>
          </w:tcPr>
          <w:p w14:paraId="78D29E2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M</w:t>
            </w:r>
          </w:p>
        </w:tc>
        <w:tc>
          <w:tcPr>
            <w:tcW w:w="1980" w:type="dxa"/>
            <w:tcBorders>
              <w:top w:val="single" w:sz="6" w:space="0" w:color="auto"/>
            </w:tcBorders>
          </w:tcPr>
          <w:p w14:paraId="430AB53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Myelodysplastic syndromes</w:t>
            </w:r>
          </w:p>
        </w:tc>
        <w:tc>
          <w:tcPr>
            <w:tcW w:w="3646" w:type="dxa"/>
            <w:tcBorders>
              <w:top w:val="single" w:sz="6" w:space="0" w:color="auto"/>
            </w:tcBorders>
          </w:tcPr>
          <w:p w14:paraId="0CD68727"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Abdominal distension</w:t>
            </w:r>
          </w:p>
        </w:tc>
        <w:tc>
          <w:tcPr>
            <w:tcW w:w="1833" w:type="dxa"/>
            <w:tcBorders>
              <w:top w:val="single" w:sz="6" w:space="0" w:color="auto"/>
            </w:tcBorders>
          </w:tcPr>
          <w:p w14:paraId="1D0B8EEE"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4</w:t>
            </w:r>
          </w:p>
        </w:tc>
      </w:tr>
      <w:tr w:rsidR="00B964CC" w:rsidRPr="00341E2D" w14:paraId="0D0FFC43" w14:textId="77777777">
        <w:trPr>
          <w:trHeight w:val="454"/>
          <w:jc w:val="center"/>
        </w:trPr>
        <w:tc>
          <w:tcPr>
            <w:tcW w:w="904" w:type="dxa"/>
          </w:tcPr>
          <w:p w14:paraId="71EC0AAF"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2</w:t>
            </w:r>
          </w:p>
        </w:tc>
        <w:tc>
          <w:tcPr>
            <w:tcW w:w="851" w:type="dxa"/>
          </w:tcPr>
          <w:p w14:paraId="0762CFF1"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39</w:t>
            </w:r>
          </w:p>
        </w:tc>
        <w:tc>
          <w:tcPr>
            <w:tcW w:w="630" w:type="dxa"/>
          </w:tcPr>
          <w:p w14:paraId="74D0077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F</w:t>
            </w:r>
          </w:p>
        </w:tc>
        <w:tc>
          <w:tcPr>
            <w:tcW w:w="1980" w:type="dxa"/>
          </w:tcPr>
          <w:p w14:paraId="6BBB8C4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Protein S deficiency</w:t>
            </w:r>
          </w:p>
        </w:tc>
        <w:tc>
          <w:tcPr>
            <w:tcW w:w="3646" w:type="dxa"/>
          </w:tcPr>
          <w:p w14:paraId="1500E85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Abdominal distension, Vomiting</w:t>
            </w:r>
          </w:p>
        </w:tc>
        <w:tc>
          <w:tcPr>
            <w:tcW w:w="1833" w:type="dxa"/>
          </w:tcPr>
          <w:p w14:paraId="5EDE312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11</w:t>
            </w:r>
          </w:p>
        </w:tc>
      </w:tr>
      <w:tr w:rsidR="00B964CC" w:rsidRPr="00341E2D" w14:paraId="30A27FC1" w14:textId="77777777">
        <w:trPr>
          <w:trHeight w:val="454"/>
          <w:jc w:val="center"/>
        </w:trPr>
        <w:tc>
          <w:tcPr>
            <w:tcW w:w="904" w:type="dxa"/>
          </w:tcPr>
          <w:p w14:paraId="394D4313"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3</w:t>
            </w:r>
          </w:p>
        </w:tc>
        <w:tc>
          <w:tcPr>
            <w:tcW w:w="851" w:type="dxa"/>
          </w:tcPr>
          <w:p w14:paraId="6412F43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43</w:t>
            </w:r>
          </w:p>
        </w:tc>
        <w:tc>
          <w:tcPr>
            <w:tcW w:w="630" w:type="dxa"/>
          </w:tcPr>
          <w:p w14:paraId="463094D0"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M</w:t>
            </w:r>
          </w:p>
        </w:tc>
        <w:tc>
          <w:tcPr>
            <w:tcW w:w="1980" w:type="dxa"/>
          </w:tcPr>
          <w:p w14:paraId="50C9C26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Myelodysplastic syndromes</w:t>
            </w:r>
          </w:p>
        </w:tc>
        <w:tc>
          <w:tcPr>
            <w:tcW w:w="3646" w:type="dxa"/>
          </w:tcPr>
          <w:p w14:paraId="6734F21D"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Vomiting</w:t>
            </w:r>
          </w:p>
        </w:tc>
        <w:tc>
          <w:tcPr>
            <w:tcW w:w="1833" w:type="dxa"/>
          </w:tcPr>
          <w:p w14:paraId="753941E9"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14</w:t>
            </w:r>
          </w:p>
        </w:tc>
      </w:tr>
      <w:tr w:rsidR="00B964CC" w:rsidRPr="00341E2D" w14:paraId="7D2915AA" w14:textId="77777777">
        <w:trPr>
          <w:trHeight w:val="454"/>
          <w:jc w:val="center"/>
        </w:trPr>
        <w:tc>
          <w:tcPr>
            <w:tcW w:w="904" w:type="dxa"/>
          </w:tcPr>
          <w:p w14:paraId="650BEF8B"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4</w:t>
            </w:r>
          </w:p>
        </w:tc>
        <w:tc>
          <w:tcPr>
            <w:tcW w:w="851" w:type="dxa"/>
          </w:tcPr>
          <w:p w14:paraId="15F19EE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48</w:t>
            </w:r>
          </w:p>
        </w:tc>
        <w:tc>
          <w:tcPr>
            <w:tcW w:w="630" w:type="dxa"/>
          </w:tcPr>
          <w:p w14:paraId="716AFED4"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F</w:t>
            </w:r>
          </w:p>
        </w:tc>
        <w:tc>
          <w:tcPr>
            <w:tcW w:w="1980" w:type="dxa"/>
          </w:tcPr>
          <w:p w14:paraId="30BEFA36"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Protein C deficiency</w:t>
            </w:r>
          </w:p>
        </w:tc>
        <w:tc>
          <w:tcPr>
            <w:tcW w:w="3646" w:type="dxa"/>
          </w:tcPr>
          <w:p w14:paraId="2991B260"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Abdominal distension</w:t>
            </w:r>
          </w:p>
        </w:tc>
        <w:tc>
          <w:tcPr>
            <w:tcW w:w="1833" w:type="dxa"/>
          </w:tcPr>
          <w:p w14:paraId="5574CEA9"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5</w:t>
            </w:r>
          </w:p>
        </w:tc>
      </w:tr>
      <w:tr w:rsidR="00B964CC" w:rsidRPr="00341E2D" w14:paraId="163C2AB6" w14:textId="77777777">
        <w:trPr>
          <w:trHeight w:val="454"/>
          <w:jc w:val="center"/>
        </w:trPr>
        <w:tc>
          <w:tcPr>
            <w:tcW w:w="904" w:type="dxa"/>
          </w:tcPr>
          <w:p w14:paraId="2C3106A8"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5</w:t>
            </w:r>
          </w:p>
        </w:tc>
        <w:tc>
          <w:tcPr>
            <w:tcW w:w="851" w:type="dxa"/>
          </w:tcPr>
          <w:p w14:paraId="6FD9241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40</w:t>
            </w:r>
          </w:p>
        </w:tc>
        <w:tc>
          <w:tcPr>
            <w:tcW w:w="630" w:type="dxa"/>
          </w:tcPr>
          <w:p w14:paraId="784A3DA6"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F</w:t>
            </w:r>
          </w:p>
        </w:tc>
        <w:tc>
          <w:tcPr>
            <w:tcW w:w="1980" w:type="dxa"/>
          </w:tcPr>
          <w:p w14:paraId="532C0B9B"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Nephrotic syndrome</w:t>
            </w:r>
          </w:p>
        </w:tc>
        <w:tc>
          <w:tcPr>
            <w:tcW w:w="3646" w:type="dxa"/>
          </w:tcPr>
          <w:p w14:paraId="5BC60E5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Vomiting</w:t>
            </w:r>
          </w:p>
        </w:tc>
        <w:tc>
          <w:tcPr>
            <w:tcW w:w="1833" w:type="dxa"/>
          </w:tcPr>
          <w:p w14:paraId="582172C1"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8</w:t>
            </w:r>
          </w:p>
        </w:tc>
      </w:tr>
      <w:tr w:rsidR="00B964CC" w:rsidRPr="00341E2D" w14:paraId="47631FCE" w14:textId="77777777">
        <w:trPr>
          <w:trHeight w:val="454"/>
          <w:jc w:val="center"/>
        </w:trPr>
        <w:tc>
          <w:tcPr>
            <w:tcW w:w="904" w:type="dxa"/>
          </w:tcPr>
          <w:p w14:paraId="1D3F3E5E"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6</w:t>
            </w:r>
          </w:p>
        </w:tc>
        <w:tc>
          <w:tcPr>
            <w:tcW w:w="851" w:type="dxa"/>
          </w:tcPr>
          <w:p w14:paraId="1E48631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53</w:t>
            </w:r>
          </w:p>
        </w:tc>
        <w:tc>
          <w:tcPr>
            <w:tcW w:w="630" w:type="dxa"/>
          </w:tcPr>
          <w:p w14:paraId="5A0EDD2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M</w:t>
            </w:r>
          </w:p>
        </w:tc>
        <w:tc>
          <w:tcPr>
            <w:tcW w:w="1980" w:type="dxa"/>
          </w:tcPr>
          <w:p w14:paraId="0747BD1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Protein S deficiency</w:t>
            </w:r>
          </w:p>
        </w:tc>
        <w:tc>
          <w:tcPr>
            <w:tcW w:w="3646" w:type="dxa"/>
          </w:tcPr>
          <w:p w14:paraId="662D3E71"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Diarrhea</w:t>
            </w:r>
          </w:p>
        </w:tc>
        <w:tc>
          <w:tcPr>
            <w:tcW w:w="1833" w:type="dxa"/>
          </w:tcPr>
          <w:p w14:paraId="70C16C42"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w:t>
            </w:r>
          </w:p>
        </w:tc>
      </w:tr>
      <w:tr w:rsidR="00B964CC" w:rsidRPr="00341E2D" w14:paraId="3FDB2306" w14:textId="77777777">
        <w:trPr>
          <w:trHeight w:val="454"/>
          <w:jc w:val="center"/>
        </w:trPr>
        <w:tc>
          <w:tcPr>
            <w:tcW w:w="904" w:type="dxa"/>
          </w:tcPr>
          <w:p w14:paraId="40C7F72E"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7</w:t>
            </w:r>
          </w:p>
        </w:tc>
        <w:tc>
          <w:tcPr>
            <w:tcW w:w="851" w:type="dxa"/>
          </w:tcPr>
          <w:p w14:paraId="52627547"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61</w:t>
            </w:r>
          </w:p>
        </w:tc>
        <w:tc>
          <w:tcPr>
            <w:tcW w:w="630" w:type="dxa"/>
          </w:tcPr>
          <w:p w14:paraId="263A0F4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F</w:t>
            </w:r>
          </w:p>
        </w:tc>
        <w:tc>
          <w:tcPr>
            <w:tcW w:w="1980" w:type="dxa"/>
          </w:tcPr>
          <w:p w14:paraId="1C6881D1"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Splenectomy after trauma</w:t>
            </w:r>
          </w:p>
        </w:tc>
        <w:tc>
          <w:tcPr>
            <w:tcW w:w="3646" w:type="dxa"/>
          </w:tcPr>
          <w:p w14:paraId="7048E7CB"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Abdominal distension, Vomiting</w:t>
            </w:r>
          </w:p>
        </w:tc>
        <w:tc>
          <w:tcPr>
            <w:tcW w:w="1833" w:type="dxa"/>
          </w:tcPr>
          <w:p w14:paraId="37F151C7"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10</w:t>
            </w:r>
          </w:p>
        </w:tc>
      </w:tr>
      <w:tr w:rsidR="00B964CC" w:rsidRPr="00341E2D" w14:paraId="52D52E77" w14:textId="77777777">
        <w:trPr>
          <w:trHeight w:val="454"/>
          <w:jc w:val="center"/>
        </w:trPr>
        <w:tc>
          <w:tcPr>
            <w:tcW w:w="904" w:type="dxa"/>
          </w:tcPr>
          <w:p w14:paraId="54DB6DF4"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8</w:t>
            </w:r>
          </w:p>
        </w:tc>
        <w:tc>
          <w:tcPr>
            <w:tcW w:w="851" w:type="dxa"/>
          </w:tcPr>
          <w:p w14:paraId="0115FC24"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36</w:t>
            </w:r>
          </w:p>
        </w:tc>
        <w:tc>
          <w:tcPr>
            <w:tcW w:w="630" w:type="dxa"/>
          </w:tcPr>
          <w:p w14:paraId="4376A40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F</w:t>
            </w:r>
          </w:p>
        </w:tc>
        <w:tc>
          <w:tcPr>
            <w:tcW w:w="1980" w:type="dxa"/>
          </w:tcPr>
          <w:p w14:paraId="397F8E2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Myelodysplastic syndromes</w:t>
            </w:r>
          </w:p>
        </w:tc>
        <w:tc>
          <w:tcPr>
            <w:tcW w:w="3646" w:type="dxa"/>
          </w:tcPr>
          <w:p w14:paraId="6D7DBC9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 Abdominal distension</w:t>
            </w:r>
          </w:p>
        </w:tc>
        <w:tc>
          <w:tcPr>
            <w:tcW w:w="1833" w:type="dxa"/>
          </w:tcPr>
          <w:p w14:paraId="0BB8FD2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5</w:t>
            </w:r>
          </w:p>
        </w:tc>
      </w:tr>
      <w:tr w:rsidR="00B964CC" w:rsidRPr="00341E2D" w14:paraId="1CB7DB3D" w14:textId="77777777">
        <w:trPr>
          <w:trHeight w:val="454"/>
          <w:jc w:val="center"/>
        </w:trPr>
        <w:tc>
          <w:tcPr>
            <w:tcW w:w="904" w:type="dxa"/>
          </w:tcPr>
          <w:p w14:paraId="57646EE2"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9</w:t>
            </w:r>
          </w:p>
        </w:tc>
        <w:tc>
          <w:tcPr>
            <w:tcW w:w="851" w:type="dxa"/>
          </w:tcPr>
          <w:p w14:paraId="42FEC44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57</w:t>
            </w:r>
          </w:p>
        </w:tc>
        <w:tc>
          <w:tcPr>
            <w:tcW w:w="630" w:type="dxa"/>
          </w:tcPr>
          <w:p w14:paraId="42BC61A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F</w:t>
            </w:r>
          </w:p>
        </w:tc>
        <w:tc>
          <w:tcPr>
            <w:tcW w:w="1980" w:type="dxa"/>
          </w:tcPr>
          <w:p w14:paraId="4FFC4F8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Unknown</w:t>
            </w:r>
          </w:p>
        </w:tc>
        <w:tc>
          <w:tcPr>
            <w:tcW w:w="3646" w:type="dxa"/>
          </w:tcPr>
          <w:p w14:paraId="1D8345B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Abdominal pain</w:t>
            </w:r>
          </w:p>
        </w:tc>
        <w:tc>
          <w:tcPr>
            <w:tcW w:w="1833" w:type="dxa"/>
          </w:tcPr>
          <w:p w14:paraId="5016FB69"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16</w:t>
            </w:r>
          </w:p>
        </w:tc>
      </w:tr>
    </w:tbl>
    <w:p w14:paraId="546282CF" w14:textId="5A99BFD6" w:rsidR="00B964CC" w:rsidRPr="00241DF1" w:rsidRDefault="00695552" w:rsidP="00341E2D">
      <w:pPr>
        <w:adjustRightInd w:val="0"/>
        <w:snapToGrid w:val="0"/>
        <w:spacing w:line="360" w:lineRule="auto"/>
        <w:rPr>
          <w:rFonts w:ascii="Book Antiqua" w:hAnsi="Book Antiqua"/>
          <w:color w:val="000000" w:themeColor="text1"/>
          <w:sz w:val="24"/>
          <w:szCs w:val="24"/>
        </w:rPr>
      </w:pPr>
      <w:r w:rsidRPr="00241DF1">
        <w:rPr>
          <w:rFonts w:ascii="Book Antiqua" w:hAnsi="Book Antiqua"/>
          <w:color w:val="000000" w:themeColor="text1"/>
          <w:sz w:val="24"/>
          <w:szCs w:val="24"/>
        </w:rPr>
        <w:t>M: Male; F: Female.</w:t>
      </w:r>
    </w:p>
    <w:p w14:paraId="62411C42" w14:textId="0026F2C0" w:rsidR="00695552" w:rsidRDefault="00695552">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2ED16464" w14:textId="164DBB28"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lastRenderedPageBreak/>
        <w:t>Table 2 Results of treatment and follow-up</w:t>
      </w:r>
    </w:p>
    <w:tbl>
      <w:tblPr>
        <w:tblStyle w:val="TableGrid"/>
        <w:tblW w:w="93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134"/>
        <w:gridCol w:w="1134"/>
        <w:gridCol w:w="1843"/>
        <w:gridCol w:w="2126"/>
        <w:gridCol w:w="2126"/>
      </w:tblGrid>
      <w:tr w:rsidR="00B964CC" w:rsidRPr="00341E2D" w14:paraId="185734EE" w14:textId="77777777">
        <w:trPr>
          <w:trHeight w:val="454"/>
        </w:trPr>
        <w:tc>
          <w:tcPr>
            <w:tcW w:w="959" w:type="dxa"/>
            <w:tcBorders>
              <w:top w:val="single" w:sz="12" w:space="0" w:color="auto"/>
              <w:bottom w:val="single" w:sz="6" w:space="0" w:color="auto"/>
            </w:tcBorders>
          </w:tcPr>
          <w:p w14:paraId="320519E9" w14:textId="77777777" w:rsidR="00B964CC" w:rsidRPr="00241DF1" w:rsidRDefault="00D87EC7" w:rsidP="00341E2D">
            <w:pPr>
              <w:adjustRightInd w:val="0"/>
              <w:snapToGrid w:val="0"/>
              <w:spacing w:line="360" w:lineRule="auto"/>
              <w:rPr>
                <w:rFonts w:ascii="Book Antiqua" w:hAnsi="Book Antiqua"/>
                <w:b/>
                <w:color w:val="000000" w:themeColor="text1"/>
                <w:sz w:val="24"/>
                <w:szCs w:val="24"/>
              </w:rPr>
            </w:pPr>
            <w:r w:rsidRPr="00241DF1">
              <w:rPr>
                <w:rFonts w:ascii="Book Antiqua" w:hAnsi="Book Antiqua"/>
                <w:b/>
                <w:color w:val="000000" w:themeColor="text1"/>
                <w:sz w:val="24"/>
                <w:szCs w:val="24"/>
              </w:rPr>
              <w:t>Patient no.</w:t>
            </w:r>
          </w:p>
        </w:tc>
        <w:tc>
          <w:tcPr>
            <w:tcW w:w="1134" w:type="dxa"/>
            <w:tcBorders>
              <w:top w:val="single" w:sz="12" w:space="0" w:color="auto"/>
              <w:bottom w:val="single" w:sz="6" w:space="0" w:color="auto"/>
            </w:tcBorders>
          </w:tcPr>
          <w:p w14:paraId="08BFC15C"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Treatment route</w:t>
            </w:r>
          </w:p>
        </w:tc>
        <w:tc>
          <w:tcPr>
            <w:tcW w:w="1134" w:type="dxa"/>
            <w:tcBorders>
              <w:top w:val="single" w:sz="12" w:space="0" w:color="auto"/>
              <w:bottom w:val="single" w:sz="6" w:space="0" w:color="auto"/>
            </w:tcBorders>
          </w:tcPr>
          <w:p w14:paraId="3F69A55D" w14:textId="3F11A61A"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Duration of CDT (d)</w:t>
            </w:r>
          </w:p>
        </w:tc>
        <w:tc>
          <w:tcPr>
            <w:tcW w:w="1843" w:type="dxa"/>
            <w:tcBorders>
              <w:top w:val="single" w:sz="12" w:space="0" w:color="auto"/>
              <w:bottom w:val="single" w:sz="6" w:space="0" w:color="auto"/>
            </w:tcBorders>
          </w:tcPr>
          <w:p w14:paraId="52F9AA70" w14:textId="2BC5C6C0"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Dose of urokinase (</w:t>
            </w:r>
            <w:r w:rsidRPr="00241DF1">
              <w:rPr>
                <w:rFonts w:ascii="Book Antiqua" w:hAnsi="Book Antiqua" w:cs="Arial"/>
                <w:b/>
                <w:color w:val="000000" w:themeColor="text1"/>
                <w:sz w:val="24"/>
                <w:szCs w:val="24"/>
              </w:rPr>
              <w:t>×</w:t>
            </w:r>
            <w:r w:rsidR="00CD451A" w:rsidRPr="00241DF1">
              <w:rPr>
                <w:rFonts w:ascii="Book Antiqua" w:hAnsi="Book Antiqua" w:cs="Arial"/>
                <w:b/>
                <w:color w:val="000000" w:themeColor="text1"/>
                <w:sz w:val="24"/>
                <w:szCs w:val="24"/>
              </w:rPr>
              <w:t xml:space="preserve"> </w:t>
            </w:r>
            <w:r w:rsidRPr="00241DF1">
              <w:rPr>
                <w:rFonts w:ascii="Book Antiqua" w:hAnsi="Book Antiqua"/>
                <w:b/>
                <w:color w:val="000000" w:themeColor="text1"/>
                <w:sz w:val="24"/>
                <w:szCs w:val="24"/>
              </w:rPr>
              <w:t>10</w:t>
            </w:r>
            <w:r w:rsidRPr="00241DF1">
              <w:rPr>
                <w:rFonts w:ascii="Book Antiqua" w:hAnsi="Book Antiqua"/>
                <w:b/>
                <w:color w:val="000000" w:themeColor="text1"/>
                <w:sz w:val="24"/>
                <w:szCs w:val="24"/>
                <w:vertAlign w:val="superscript"/>
              </w:rPr>
              <w:t>6</w:t>
            </w:r>
            <w:r w:rsidR="00CD451A" w:rsidRPr="00241DF1">
              <w:rPr>
                <w:rFonts w:ascii="Book Antiqua" w:hAnsi="Book Antiqua"/>
                <w:b/>
                <w:color w:val="000000" w:themeColor="text1"/>
                <w:sz w:val="24"/>
                <w:szCs w:val="24"/>
                <w:vertAlign w:val="superscript"/>
              </w:rPr>
              <w:t xml:space="preserve"> </w:t>
            </w:r>
            <w:r w:rsidRPr="00241DF1">
              <w:rPr>
                <w:rFonts w:ascii="Book Antiqua" w:hAnsi="Book Antiqua"/>
                <w:b/>
                <w:color w:val="000000" w:themeColor="text1"/>
                <w:sz w:val="24"/>
                <w:szCs w:val="24"/>
              </w:rPr>
              <w:t>IU)</w:t>
            </w:r>
          </w:p>
        </w:tc>
        <w:tc>
          <w:tcPr>
            <w:tcW w:w="2126" w:type="dxa"/>
            <w:tcBorders>
              <w:top w:val="single" w:sz="12" w:space="0" w:color="auto"/>
              <w:bottom w:val="single" w:sz="6" w:space="0" w:color="auto"/>
            </w:tcBorders>
          </w:tcPr>
          <w:p w14:paraId="4F0C79BB"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Complications</w:t>
            </w:r>
          </w:p>
        </w:tc>
        <w:tc>
          <w:tcPr>
            <w:tcW w:w="2126" w:type="dxa"/>
            <w:tcBorders>
              <w:top w:val="single" w:sz="12" w:space="0" w:color="auto"/>
              <w:bottom w:val="single" w:sz="6" w:space="0" w:color="auto"/>
            </w:tcBorders>
          </w:tcPr>
          <w:p w14:paraId="2CA6DC1E" w14:textId="231E129B"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Follow-up time (mo) and results</w:t>
            </w:r>
          </w:p>
        </w:tc>
      </w:tr>
      <w:tr w:rsidR="00B964CC" w:rsidRPr="00341E2D" w14:paraId="102FED57" w14:textId="77777777">
        <w:trPr>
          <w:trHeight w:val="454"/>
        </w:trPr>
        <w:tc>
          <w:tcPr>
            <w:tcW w:w="959" w:type="dxa"/>
            <w:tcBorders>
              <w:top w:val="single" w:sz="6" w:space="0" w:color="auto"/>
            </w:tcBorders>
          </w:tcPr>
          <w:p w14:paraId="6496539E"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1</w:t>
            </w:r>
          </w:p>
        </w:tc>
        <w:tc>
          <w:tcPr>
            <w:tcW w:w="1134" w:type="dxa"/>
            <w:tcBorders>
              <w:top w:val="single" w:sz="6" w:space="0" w:color="auto"/>
            </w:tcBorders>
          </w:tcPr>
          <w:p w14:paraId="7612C756"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TIP</w:t>
            </w:r>
          </w:p>
        </w:tc>
        <w:tc>
          <w:tcPr>
            <w:tcW w:w="1134" w:type="dxa"/>
            <w:tcBorders>
              <w:top w:val="single" w:sz="6" w:space="0" w:color="auto"/>
            </w:tcBorders>
          </w:tcPr>
          <w:p w14:paraId="49762082"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w:t>
            </w:r>
          </w:p>
        </w:tc>
        <w:tc>
          <w:tcPr>
            <w:tcW w:w="1843" w:type="dxa"/>
            <w:tcBorders>
              <w:top w:val="single" w:sz="6" w:space="0" w:color="auto"/>
            </w:tcBorders>
          </w:tcPr>
          <w:p w14:paraId="53C9F537"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1.0</w:t>
            </w:r>
          </w:p>
        </w:tc>
        <w:tc>
          <w:tcPr>
            <w:tcW w:w="2126" w:type="dxa"/>
            <w:tcBorders>
              <w:top w:val="single" w:sz="6" w:space="0" w:color="auto"/>
            </w:tcBorders>
          </w:tcPr>
          <w:p w14:paraId="05D11E9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Hematuresis</w:t>
            </w:r>
          </w:p>
        </w:tc>
        <w:tc>
          <w:tcPr>
            <w:tcW w:w="2126" w:type="dxa"/>
            <w:tcBorders>
              <w:top w:val="single" w:sz="6" w:space="0" w:color="auto"/>
            </w:tcBorders>
          </w:tcPr>
          <w:p w14:paraId="428F5801"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27/patent</w:t>
            </w:r>
          </w:p>
        </w:tc>
      </w:tr>
      <w:tr w:rsidR="00B964CC" w:rsidRPr="00341E2D" w14:paraId="6596A3D2" w14:textId="77777777">
        <w:trPr>
          <w:trHeight w:val="454"/>
        </w:trPr>
        <w:tc>
          <w:tcPr>
            <w:tcW w:w="959" w:type="dxa"/>
          </w:tcPr>
          <w:p w14:paraId="19B0E751"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2</w:t>
            </w:r>
          </w:p>
        </w:tc>
        <w:tc>
          <w:tcPr>
            <w:tcW w:w="1134" w:type="dxa"/>
          </w:tcPr>
          <w:p w14:paraId="32A6D78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PT</w:t>
            </w:r>
          </w:p>
        </w:tc>
        <w:tc>
          <w:tcPr>
            <w:tcW w:w="1134" w:type="dxa"/>
          </w:tcPr>
          <w:p w14:paraId="45A84737"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w:t>
            </w:r>
          </w:p>
        </w:tc>
        <w:tc>
          <w:tcPr>
            <w:tcW w:w="1843" w:type="dxa"/>
          </w:tcPr>
          <w:p w14:paraId="63C0E0A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1.4</w:t>
            </w:r>
          </w:p>
        </w:tc>
        <w:tc>
          <w:tcPr>
            <w:tcW w:w="2126" w:type="dxa"/>
          </w:tcPr>
          <w:p w14:paraId="797707B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None</w:t>
            </w:r>
          </w:p>
        </w:tc>
        <w:tc>
          <w:tcPr>
            <w:tcW w:w="2126" w:type="dxa"/>
          </w:tcPr>
          <w:p w14:paraId="666FAEED"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23/patent</w:t>
            </w:r>
          </w:p>
        </w:tc>
      </w:tr>
      <w:tr w:rsidR="00B964CC" w:rsidRPr="00341E2D" w14:paraId="37EC93DE" w14:textId="77777777">
        <w:trPr>
          <w:trHeight w:val="454"/>
        </w:trPr>
        <w:tc>
          <w:tcPr>
            <w:tcW w:w="959" w:type="dxa"/>
          </w:tcPr>
          <w:p w14:paraId="5F179471"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3</w:t>
            </w:r>
          </w:p>
        </w:tc>
        <w:tc>
          <w:tcPr>
            <w:tcW w:w="1134" w:type="dxa"/>
          </w:tcPr>
          <w:p w14:paraId="26A69522"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TIP</w:t>
            </w:r>
          </w:p>
        </w:tc>
        <w:tc>
          <w:tcPr>
            <w:tcW w:w="1134" w:type="dxa"/>
          </w:tcPr>
          <w:p w14:paraId="5FB40A46"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w:t>
            </w:r>
          </w:p>
        </w:tc>
        <w:tc>
          <w:tcPr>
            <w:tcW w:w="1843" w:type="dxa"/>
          </w:tcPr>
          <w:p w14:paraId="18FAFFDD"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w:t>
            </w:r>
          </w:p>
        </w:tc>
        <w:tc>
          <w:tcPr>
            <w:tcW w:w="2126" w:type="dxa"/>
          </w:tcPr>
          <w:p w14:paraId="7036925B"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Death</w:t>
            </w:r>
          </w:p>
        </w:tc>
        <w:tc>
          <w:tcPr>
            <w:tcW w:w="2126" w:type="dxa"/>
          </w:tcPr>
          <w:p w14:paraId="78999B6D"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Death</w:t>
            </w:r>
          </w:p>
        </w:tc>
      </w:tr>
      <w:tr w:rsidR="00B964CC" w:rsidRPr="00341E2D" w14:paraId="69F30CC1" w14:textId="77777777">
        <w:trPr>
          <w:trHeight w:val="454"/>
        </w:trPr>
        <w:tc>
          <w:tcPr>
            <w:tcW w:w="959" w:type="dxa"/>
          </w:tcPr>
          <w:p w14:paraId="09F17B73"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4</w:t>
            </w:r>
          </w:p>
        </w:tc>
        <w:tc>
          <w:tcPr>
            <w:tcW w:w="1134" w:type="dxa"/>
          </w:tcPr>
          <w:p w14:paraId="1019AF6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TIP</w:t>
            </w:r>
          </w:p>
        </w:tc>
        <w:tc>
          <w:tcPr>
            <w:tcW w:w="1134" w:type="dxa"/>
          </w:tcPr>
          <w:p w14:paraId="446B37AB"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w:t>
            </w:r>
          </w:p>
        </w:tc>
        <w:tc>
          <w:tcPr>
            <w:tcW w:w="1843" w:type="dxa"/>
          </w:tcPr>
          <w:p w14:paraId="604383D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0.8</w:t>
            </w:r>
          </w:p>
        </w:tc>
        <w:tc>
          <w:tcPr>
            <w:tcW w:w="2126" w:type="dxa"/>
          </w:tcPr>
          <w:p w14:paraId="1926D94E"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None</w:t>
            </w:r>
          </w:p>
        </w:tc>
        <w:tc>
          <w:tcPr>
            <w:tcW w:w="2126" w:type="dxa"/>
          </w:tcPr>
          <w:p w14:paraId="026B504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31/patent</w:t>
            </w:r>
          </w:p>
        </w:tc>
      </w:tr>
      <w:tr w:rsidR="00B964CC" w:rsidRPr="00341E2D" w14:paraId="77F0323B" w14:textId="77777777">
        <w:trPr>
          <w:trHeight w:val="454"/>
        </w:trPr>
        <w:tc>
          <w:tcPr>
            <w:tcW w:w="959" w:type="dxa"/>
          </w:tcPr>
          <w:p w14:paraId="2C3D2FF8"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5</w:t>
            </w:r>
          </w:p>
        </w:tc>
        <w:tc>
          <w:tcPr>
            <w:tcW w:w="1134" w:type="dxa"/>
          </w:tcPr>
          <w:p w14:paraId="4265FE22"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PT</w:t>
            </w:r>
          </w:p>
        </w:tc>
        <w:tc>
          <w:tcPr>
            <w:tcW w:w="1134" w:type="dxa"/>
          </w:tcPr>
          <w:p w14:paraId="5DD32B4D"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w:t>
            </w:r>
          </w:p>
        </w:tc>
        <w:tc>
          <w:tcPr>
            <w:tcW w:w="1843" w:type="dxa"/>
          </w:tcPr>
          <w:p w14:paraId="093117B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2.0</w:t>
            </w:r>
          </w:p>
        </w:tc>
        <w:tc>
          <w:tcPr>
            <w:tcW w:w="2126" w:type="dxa"/>
          </w:tcPr>
          <w:p w14:paraId="3B67B327"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Hemorrhage from the puncture tract</w:t>
            </w:r>
          </w:p>
        </w:tc>
        <w:tc>
          <w:tcPr>
            <w:tcW w:w="2126" w:type="dxa"/>
          </w:tcPr>
          <w:p w14:paraId="1450B9A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5/patent</w:t>
            </w:r>
          </w:p>
        </w:tc>
      </w:tr>
      <w:tr w:rsidR="00B964CC" w:rsidRPr="00341E2D" w14:paraId="53440915" w14:textId="77777777">
        <w:trPr>
          <w:trHeight w:val="454"/>
        </w:trPr>
        <w:tc>
          <w:tcPr>
            <w:tcW w:w="959" w:type="dxa"/>
          </w:tcPr>
          <w:p w14:paraId="54C40276"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6</w:t>
            </w:r>
          </w:p>
        </w:tc>
        <w:tc>
          <w:tcPr>
            <w:tcW w:w="1134" w:type="dxa"/>
          </w:tcPr>
          <w:p w14:paraId="7E9F3A9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TIP</w:t>
            </w:r>
          </w:p>
        </w:tc>
        <w:tc>
          <w:tcPr>
            <w:tcW w:w="1134" w:type="dxa"/>
          </w:tcPr>
          <w:p w14:paraId="3D98796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4</w:t>
            </w:r>
          </w:p>
        </w:tc>
        <w:tc>
          <w:tcPr>
            <w:tcW w:w="1843" w:type="dxa"/>
          </w:tcPr>
          <w:p w14:paraId="1D75E1F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2.6</w:t>
            </w:r>
          </w:p>
        </w:tc>
        <w:tc>
          <w:tcPr>
            <w:tcW w:w="2126" w:type="dxa"/>
          </w:tcPr>
          <w:p w14:paraId="4E69DAF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Subcapsular hematoma</w:t>
            </w:r>
          </w:p>
        </w:tc>
        <w:tc>
          <w:tcPr>
            <w:tcW w:w="2126" w:type="dxa"/>
          </w:tcPr>
          <w:p w14:paraId="4E028F66"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22/reappearance</w:t>
            </w:r>
          </w:p>
        </w:tc>
      </w:tr>
      <w:tr w:rsidR="00B964CC" w:rsidRPr="00341E2D" w14:paraId="3A90D114" w14:textId="77777777">
        <w:trPr>
          <w:trHeight w:val="454"/>
        </w:trPr>
        <w:tc>
          <w:tcPr>
            <w:tcW w:w="959" w:type="dxa"/>
          </w:tcPr>
          <w:p w14:paraId="741D39FA"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7</w:t>
            </w:r>
          </w:p>
        </w:tc>
        <w:tc>
          <w:tcPr>
            <w:tcW w:w="1134" w:type="dxa"/>
          </w:tcPr>
          <w:p w14:paraId="20461360"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TIP</w:t>
            </w:r>
          </w:p>
        </w:tc>
        <w:tc>
          <w:tcPr>
            <w:tcW w:w="1134" w:type="dxa"/>
          </w:tcPr>
          <w:p w14:paraId="3B61FE8D"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w:t>
            </w:r>
          </w:p>
        </w:tc>
        <w:tc>
          <w:tcPr>
            <w:tcW w:w="1843" w:type="dxa"/>
          </w:tcPr>
          <w:p w14:paraId="396F354C"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0.8</w:t>
            </w:r>
          </w:p>
        </w:tc>
        <w:tc>
          <w:tcPr>
            <w:tcW w:w="2126" w:type="dxa"/>
          </w:tcPr>
          <w:p w14:paraId="7A5C88C9"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None</w:t>
            </w:r>
          </w:p>
        </w:tc>
        <w:tc>
          <w:tcPr>
            <w:tcW w:w="2126" w:type="dxa"/>
          </w:tcPr>
          <w:p w14:paraId="4AF8819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9/patent</w:t>
            </w:r>
          </w:p>
        </w:tc>
      </w:tr>
      <w:tr w:rsidR="00B964CC" w:rsidRPr="00341E2D" w14:paraId="0D0F542E" w14:textId="77777777">
        <w:trPr>
          <w:trHeight w:val="454"/>
        </w:trPr>
        <w:tc>
          <w:tcPr>
            <w:tcW w:w="959" w:type="dxa"/>
          </w:tcPr>
          <w:p w14:paraId="60B1C7D4"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8</w:t>
            </w:r>
          </w:p>
        </w:tc>
        <w:tc>
          <w:tcPr>
            <w:tcW w:w="1134" w:type="dxa"/>
          </w:tcPr>
          <w:p w14:paraId="1F4BE882"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TIP</w:t>
            </w:r>
          </w:p>
        </w:tc>
        <w:tc>
          <w:tcPr>
            <w:tcW w:w="1134" w:type="dxa"/>
          </w:tcPr>
          <w:p w14:paraId="3E238A8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w:t>
            </w:r>
          </w:p>
        </w:tc>
        <w:tc>
          <w:tcPr>
            <w:tcW w:w="1843" w:type="dxa"/>
          </w:tcPr>
          <w:p w14:paraId="748766C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0.8</w:t>
            </w:r>
          </w:p>
        </w:tc>
        <w:tc>
          <w:tcPr>
            <w:tcW w:w="2126" w:type="dxa"/>
          </w:tcPr>
          <w:p w14:paraId="097F413B"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None</w:t>
            </w:r>
          </w:p>
        </w:tc>
        <w:tc>
          <w:tcPr>
            <w:tcW w:w="2126" w:type="dxa"/>
          </w:tcPr>
          <w:p w14:paraId="71F632FF"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12/patent</w:t>
            </w:r>
          </w:p>
        </w:tc>
      </w:tr>
      <w:tr w:rsidR="00B964CC" w:rsidRPr="00341E2D" w14:paraId="6E65D058" w14:textId="77777777">
        <w:trPr>
          <w:trHeight w:val="454"/>
        </w:trPr>
        <w:tc>
          <w:tcPr>
            <w:tcW w:w="959" w:type="dxa"/>
          </w:tcPr>
          <w:p w14:paraId="201D1FC9"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9</w:t>
            </w:r>
          </w:p>
        </w:tc>
        <w:tc>
          <w:tcPr>
            <w:tcW w:w="1134" w:type="dxa"/>
          </w:tcPr>
          <w:p w14:paraId="185928E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PT</w:t>
            </w:r>
          </w:p>
        </w:tc>
        <w:tc>
          <w:tcPr>
            <w:tcW w:w="1134" w:type="dxa"/>
          </w:tcPr>
          <w:p w14:paraId="2F82F951"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w:t>
            </w:r>
          </w:p>
        </w:tc>
        <w:tc>
          <w:tcPr>
            <w:tcW w:w="1843" w:type="dxa"/>
          </w:tcPr>
          <w:p w14:paraId="4EA3524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2.0</w:t>
            </w:r>
          </w:p>
        </w:tc>
        <w:tc>
          <w:tcPr>
            <w:tcW w:w="2126" w:type="dxa"/>
          </w:tcPr>
          <w:p w14:paraId="6A980398"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Hemorrhage from the puncture tract</w:t>
            </w:r>
          </w:p>
        </w:tc>
        <w:tc>
          <w:tcPr>
            <w:tcW w:w="2126" w:type="dxa"/>
          </w:tcPr>
          <w:p w14:paraId="64CED8F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18/patent</w:t>
            </w:r>
          </w:p>
        </w:tc>
      </w:tr>
    </w:tbl>
    <w:p w14:paraId="52F6B9A7" w14:textId="16EA6BF2"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TIP</w:t>
      </w:r>
      <w:r w:rsidR="00CD451A">
        <w:rPr>
          <w:rFonts w:ascii="Book Antiqua" w:hAnsi="Book Antiqua"/>
          <w:color w:val="000000" w:themeColor="text1"/>
          <w:sz w:val="24"/>
          <w:szCs w:val="24"/>
        </w:rPr>
        <w:t>:</w:t>
      </w:r>
      <w:r w:rsidRPr="00341E2D">
        <w:rPr>
          <w:rFonts w:ascii="Book Antiqua" w:hAnsi="Book Antiqua"/>
          <w:color w:val="000000" w:themeColor="text1"/>
          <w:sz w:val="24"/>
          <w:szCs w:val="24"/>
        </w:rPr>
        <w:t xml:space="preserve"> </w:t>
      </w:r>
      <w:r w:rsidR="00CD451A">
        <w:rPr>
          <w:rFonts w:ascii="Book Antiqua" w:hAnsi="Book Antiqua"/>
          <w:color w:val="000000" w:themeColor="text1"/>
          <w:sz w:val="24"/>
          <w:szCs w:val="24"/>
        </w:rPr>
        <w:t>T</w:t>
      </w:r>
      <w:r w:rsidRPr="00341E2D">
        <w:rPr>
          <w:rFonts w:ascii="Book Antiqua" w:hAnsi="Book Antiqua"/>
          <w:color w:val="000000" w:themeColor="text1"/>
          <w:sz w:val="24"/>
          <w:szCs w:val="24"/>
        </w:rPr>
        <w:t>ransjugular intrahepatic portosystemic; PT</w:t>
      </w:r>
      <w:r w:rsidR="00CD451A">
        <w:rPr>
          <w:rFonts w:ascii="Book Antiqua" w:hAnsi="Book Antiqua"/>
          <w:color w:val="000000" w:themeColor="text1"/>
          <w:sz w:val="24"/>
          <w:szCs w:val="24"/>
        </w:rPr>
        <w:t>:</w:t>
      </w:r>
      <w:r w:rsidRPr="00341E2D">
        <w:rPr>
          <w:rFonts w:ascii="Book Antiqua" w:hAnsi="Book Antiqua"/>
          <w:color w:val="000000" w:themeColor="text1"/>
          <w:sz w:val="24"/>
          <w:szCs w:val="24"/>
        </w:rPr>
        <w:t xml:space="preserve"> </w:t>
      </w:r>
      <w:r w:rsidR="00CD451A">
        <w:rPr>
          <w:rFonts w:ascii="Book Antiqua" w:hAnsi="Book Antiqua"/>
          <w:color w:val="000000" w:themeColor="text1"/>
          <w:sz w:val="24"/>
          <w:szCs w:val="24"/>
        </w:rPr>
        <w:t>P</w:t>
      </w:r>
      <w:r w:rsidRPr="00341E2D">
        <w:rPr>
          <w:rFonts w:ascii="Book Antiqua" w:hAnsi="Book Antiqua"/>
          <w:color w:val="000000" w:themeColor="text1"/>
          <w:sz w:val="24"/>
          <w:szCs w:val="24"/>
        </w:rPr>
        <w:t>ercutaneous transhepatic</w:t>
      </w:r>
      <w:r w:rsidR="00CD451A">
        <w:rPr>
          <w:rFonts w:ascii="Book Antiqua" w:hAnsi="Book Antiqua"/>
          <w:color w:val="000000" w:themeColor="text1"/>
          <w:sz w:val="24"/>
          <w:szCs w:val="24"/>
        </w:rPr>
        <w:t>.</w:t>
      </w:r>
    </w:p>
    <w:p w14:paraId="5E3D14E8" w14:textId="54F3C95D" w:rsidR="00CD451A" w:rsidRDefault="00CD451A">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10761AD2" w14:textId="3A3BEF5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b/>
          <w:color w:val="000000" w:themeColor="text1"/>
          <w:sz w:val="24"/>
          <w:szCs w:val="24"/>
        </w:rPr>
        <w:lastRenderedPageBreak/>
        <w:t xml:space="preserve">Table 3 Changes in liver function and portal vein hemodynamics </w:t>
      </w:r>
    </w:p>
    <w:tbl>
      <w:tblPr>
        <w:tblStyle w:val="TableGrid"/>
        <w:tblW w:w="953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6"/>
        <w:gridCol w:w="1843"/>
        <w:gridCol w:w="1843"/>
        <w:gridCol w:w="1267"/>
      </w:tblGrid>
      <w:tr w:rsidR="00B964CC" w:rsidRPr="00341E2D" w14:paraId="2918A7B0" w14:textId="77777777" w:rsidTr="005D3FEB">
        <w:trPr>
          <w:trHeight w:val="502"/>
          <w:jc w:val="center"/>
        </w:trPr>
        <w:tc>
          <w:tcPr>
            <w:tcW w:w="4586" w:type="dxa"/>
            <w:tcBorders>
              <w:top w:val="single" w:sz="12" w:space="0" w:color="auto"/>
              <w:bottom w:val="single" w:sz="6" w:space="0" w:color="auto"/>
            </w:tcBorders>
          </w:tcPr>
          <w:p w14:paraId="1DEFB585" w14:textId="77777777" w:rsidR="00B964CC" w:rsidRPr="00341E2D" w:rsidRDefault="00B964CC" w:rsidP="00341E2D">
            <w:pPr>
              <w:adjustRightInd w:val="0"/>
              <w:snapToGrid w:val="0"/>
              <w:spacing w:line="360" w:lineRule="auto"/>
              <w:rPr>
                <w:rFonts w:ascii="Book Antiqua" w:hAnsi="Book Antiqua"/>
                <w:color w:val="000000" w:themeColor="text1"/>
                <w:sz w:val="24"/>
                <w:szCs w:val="24"/>
              </w:rPr>
            </w:pPr>
          </w:p>
        </w:tc>
        <w:tc>
          <w:tcPr>
            <w:tcW w:w="1843" w:type="dxa"/>
            <w:tcBorders>
              <w:top w:val="single" w:sz="12" w:space="0" w:color="auto"/>
              <w:bottom w:val="single" w:sz="6" w:space="0" w:color="auto"/>
            </w:tcBorders>
          </w:tcPr>
          <w:p w14:paraId="101370E2"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Pre-treatment</w:t>
            </w:r>
          </w:p>
        </w:tc>
        <w:tc>
          <w:tcPr>
            <w:tcW w:w="1843" w:type="dxa"/>
            <w:tcBorders>
              <w:top w:val="single" w:sz="12" w:space="0" w:color="auto"/>
              <w:bottom w:val="single" w:sz="6" w:space="0" w:color="auto"/>
            </w:tcBorders>
          </w:tcPr>
          <w:p w14:paraId="54DE3F1B"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color w:val="000000" w:themeColor="text1"/>
                <w:sz w:val="24"/>
                <w:szCs w:val="24"/>
              </w:rPr>
              <w:t>Post-treatment</w:t>
            </w:r>
          </w:p>
        </w:tc>
        <w:tc>
          <w:tcPr>
            <w:tcW w:w="1267" w:type="dxa"/>
            <w:tcBorders>
              <w:top w:val="single" w:sz="12" w:space="0" w:color="auto"/>
              <w:bottom w:val="single" w:sz="6" w:space="0" w:color="auto"/>
            </w:tcBorders>
          </w:tcPr>
          <w:p w14:paraId="6D27C0B4" w14:textId="77777777" w:rsidR="00B964CC" w:rsidRPr="00241DF1" w:rsidRDefault="00D87EC7" w:rsidP="00241DF1">
            <w:pPr>
              <w:adjustRightInd w:val="0"/>
              <w:snapToGrid w:val="0"/>
              <w:spacing w:line="360" w:lineRule="auto"/>
              <w:jc w:val="center"/>
              <w:rPr>
                <w:rFonts w:ascii="Book Antiqua" w:hAnsi="Book Antiqua"/>
                <w:b/>
                <w:color w:val="000000" w:themeColor="text1"/>
                <w:sz w:val="24"/>
                <w:szCs w:val="24"/>
              </w:rPr>
            </w:pPr>
            <w:r w:rsidRPr="00241DF1">
              <w:rPr>
                <w:rFonts w:ascii="Book Antiqua" w:hAnsi="Book Antiqua"/>
                <w:b/>
                <w:i/>
                <w:color w:val="000000" w:themeColor="text1"/>
                <w:sz w:val="24"/>
                <w:szCs w:val="24"/>
              </w:rPr>
              <w:t>P</w:t>
            </w:r>
            <w:r w:rsidRPr="00241DF1">
              <w:rPr>
                <w:rFonts w:ascii="Book Antiqua" w:hAnsi="Book Antiqua"/>
                <w:b/>
                <w:color w:val="000000" w:themeColor="text1"/>
                <w:sz w:val="24"/>
                <w:szCs w:val="24"/>
              </w:rPr>
              <w:t xml:space="preserve"> value</w:t>
            </w:r>
          </w:p>
        </w:tc>
      </w:tr>
      <w:tr w:rsidR="00B964CC" w:rsidRPr="00341E2D" w14:paraId="3762F016" w14:textId="77777777" w:rsidTr="005D3FEB">
        <w:trPr>
          <w:trHeight w:val="502"/>
          <w:jc w:val="center"/>
        </w:trPr>
        <w:tc>
          <w:tcPr>
            <w:tcW w:w="4586" w:type="dxa"/>
            <w:tcBorders>
              <w:top w:val="single" w:sz="6" w:space="0" w:color="auto"/>
            </w:tcBorders>
          </w:tcPr>
          <w:p w14:paraId="31E5CCCD"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Albumin (g/L)</w:t>
            </w:r>
          </w:p>
        </w:tc>
        <w:tc>
          <w:tcPr>
            <w:tcW w:w="1843" w:type="dxa"/>
            <w:tcBorders>
              <w:top w:val="single" w:sz="6" w:space="0" w:color="auto"/>
            </w:tcBorders>
          </w:tcPr>
          <w:p w14:paraId="57EEA159" w14:textId="3380B959"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34.9</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min</w:t>
            </w:r>
          </w:p>
        </w:tc>
        <w:tc>
          <w:tcPr>
            <w:tcW w:w="1843" w:type="dxa"/>
            <w:tcBorders>
              <w:top w:val="single" w:sz="6" w:space="0" w:color="auto"/>
            </w:tcBorders>
          </w:tcPr>
          <w:p w14:paraId="78B0BB1B" w14:textId="6C53574F"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36.7</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min</w:t>
            </w:r>
          </w:p>
        </w:tc>
        <w:tc>
          <w:tcPr>
            <w:tcW w:w="1267" w:type="dxa"/>
            <w:tcBorders>
              <w:top w:val="single" w:sz="6" w:space="0" w:color="auto"/>
            </w:tcBorders>
          </w:tcPr>
          <w:p w14:paraId="2F06EA9A"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0.872</w:t>
            </w:r>
          </w:p>
        </w:tc>
      </w:tr>
      <w:tr w:rsidR="00B964CC" w:rsidRPr="00341E2D" w14:paraId="714299B6" w14:textId="77777777" w:rsidTr="005D3FEB">
        <w:trPr>
          <w:trHeight w:val="502"/>
          <w:jc w:val="center"/>
        </w:trPr>
        <w:tc>
          <w:tcPr>
            <w:tcW w:w="4586" w:type="dxa"/>
          </w:tcPr>
          <w:p w14:paraId="69A1432C"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Alanine aminotransferase (U/L)</w:t>
            </w:r>
          </w:p>
        </w:tc>
        <w:tc>
          <w:tcPr>
            <w:tcW w:w="1843" w:type="dxa"/>
          </w:tcPr>
          <w:p w14:paraId="6A9ADE40" w14:textId="2859C0F0"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38.2</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inea</w:t>
            </w:r>
          </w:p>
        </w:tc>
        <w:tc>
          <w:tcPr>
            <w:tcW w:w="1843" w:type="dxa"/>
          </w:tcPr>
          <w:p w14:paraId="524D3356" w14:textId="164B72FC"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33.6</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inea</w:t>
            </w:r>
          </w:p>
        </w:tc>
        <w:tc>
          <w:tcPr>
            <w:tcW w:w="1267" w:type="dxa"/>
          </w:tcPr>
          <w:p w14:paraId="76B74E45"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0.934</w:t>
            </w:r>
          </w:p>
        </w:tc>
      </w:tr>
      <w:tr w:rsidR="00B964CC" w:rsidRPr="00341E2D" w14:paraId="3986D23E" w14:textId="77777777" w:rsidTr="005D3FEB">
        <w:trPr>
          <w:trHeight w:val="502"/>
          <w:jc w:val="center"/>
        </w:trPr>
        <w:tc>
          <w:tcPr>
            <w:tcW w:w="4586" w:type="dxa"/>
          </w:tcPr>
          <w:p w14:paraId="230FC3A5"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Total bilirubin (sferase</w:t>
            </w:r>
          </w:p>
        </w:tc>
        <w:tc>
          <w:tcPr>
            <w:tcW w:w="1843" w:type="dxa"/>
          </w:tcPr>
          <w:p w14:paraId="2ED15367" w14:textId="6786DF13"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17.9</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lbi</w:t>
            </w:r>
          </w:p>
        </w:tc>
        <w:tc>
          <w:tcPr>
            <w:tcW w:w="1843" w:type="dxa"/>
          </w:tcPr>
          <w:p w14:paraId="2F7974AE" w14:textId="3C28B83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17.4</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lbi</w:t>
            </w:r>
          </w:p>
        </w:tc>
        <w:tc>
          <w:tcPr>
            <w:tcW w:w="1267" w:type="dxa"/>
          </w:tcPr>
          <w:p w14:paraId="617DFE04"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0.991</w:t>
            </w:r>
          </w:p>
        </w:tc>
      </w:tr>
      <w:tr w:rsidR="00B964CC" w:rsidRPr="00341E2D" w14:paraId="38279B49" w14:textId="77777777" w:rsidTr="005D3FEB">
        <w:trPr>
          <w:trHeight w:val="502"/>
          <w:jc w:val="center"/>
        </w:trPr>
        <w:tc>
          <w:tcPr>
            <w:tcW w:w="4586" w:type="dxa"/>
          </w:tcPr>
          <w:p w14:paraId="043C78DB"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Flow velocity of the portal vein (cm/s)</w:t>
            </w:r>
          </w:p>
        </w:tc>
        <w:tc>
          <w:tcPr>
            <w:tcW w:w="1843" w:type="dxa"/>
          </w:tcPr>
          <w:p w14:paraId="1EF5255B" w14:textId="54495295"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4.2</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tal</w:t>
            </w:r>
          </w:p>
        </w:tc>
        <w:tc>
          <w:tcPr>
            <w:tcW w:w="1843" w:type="dxa"/>
          </w:tcPr>
          <w:p w14:paraId="3DA6C596" w14:textId="012FE76F"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16.3</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alv</w:t>
            </w:r>
          </w:p>
        </w:tc>
        <w:tc>
          <w:tcPr>
            <w:tcW w:w="1267" w:type="dxa"/>
          </w:tcPr>
          <w:p w14:paraId="41F6E7CE" w14:textId="2B2DED26"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&lt;</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0.05</w:t>
            </w:r>
          </w:p>
        </w:tc>
      </w:tr>
      <w:tr w:rsidR="00B964CC" w:rsidRPr="00341E2D" w14:paraId="761A42B7" w14:textId="77777777" w:rsidTr="005D3FEB">
        <w:trPr>
          <w:trHeight w:val="502"/>
          <w:jc w:val="center"/>
        </w:trPr>
        <w:tc>
          <w:tcPr>
            <w:tcW w:w="4586" w:type="dxa"/>
          </w:tcPr>
          <w:p w14:paraId="627D0401"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Maximum lumen occupancy of PVT (%)</w:t>
            </w:r>
          </w:p>
        </w:tc>
        <w:tc>
          <w:tcPr>
            <w:tcW w:w="1843" w:type="dxa"/>
          </w:tcPr>
          <w:p w14:paraId="710F74F3"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78.2 occu</w:t>
            </w:r>
          </w:p>
        </w:tc>
        <w:tc>
          <w:tcPr>
            <w:tcW w:w="1843" w:type="dxa"/>
          </w:tcPr>
          <w:p w14:paraId="79067F44" w14:textId="77777777"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14.1 occ</w:t>
            </w:r>
          </w:p>
        </w:tc>
        <w:tc>
          <w:tcPr>
            <w:tcW w:w="1267" w:type="dxa"/>
          </w:tcPr>
          <w:p w14:paraId="094D509D" w14:textId="1BEF9955"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&lt;</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0.01</w:t>
            </w:r>
          </w:p>
        </w:tc>
      </w:tr>
      <w:tr w:rsidR="00B964CC" w:rsidRPr="00341E2D" w14:paraId="0782966C" w14:textId="77777777" w:rsidTr="005D3FEB">
        <w:trPr>
          <w:trHeight w:val="502"/>
          <w:jc w:val="center"/>
        </w:trPr>
        <w:tc>
          <w:tcPr>
            <w:tcW w:w="4586" w:type="dxa"/>
          </w:tcPr>
          <w:p w14:paraId="687E62B6" w14:textId="77777777" w:rsidR="00B964CC" w:rsidRPr="00341E2D" w:rsidRDefault="00D87EC7" w:rsidP="00341E2D">
            <w:pPr>
              <w:adjustRightInd w:val="0"/>
              <w:snapToGrid w:val="0"/>
              <w:spacing w:line="360" w:lineRule="auto"/>
              <w:rPr>
                <w:rFonts w:ascii="Book Antiqua" w:hAnsi="Book Antiqua"/>
                <w:color w:val="000000" w:themeColor="text1"/>
                <w:sz w:val="24"/>
                <w:szCs w:val="24"/>
              </w:rPr>
            </w:pPr>
            <w:r w:rsidRPr="00341E2D">
              <w:rPr>
                <w:rFonts w:ascii="Book Antiqua" w:hAnsi="Book Antiqua"/>
                <w:color w:val="000000" w:themeColor="text1"/>
                <w:sz w:val="24"/>
                <w:szCs w:val="24"/>
              </w:rPr>
              <w:t>Portal pressure (mmHg)</w:t>
            </w:r>
          </w:p>
        </w:tc>
        <w:tc>
          <w:tcPr>
            <w:tcW w:w="1843" w:type="dxa"/>
          </w:tcPr>
          <w:p w14:paraId="539DC040" w14:textId="25CE2B73"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31.0</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alp</w:t>
            </w:r>
          </w:p>
        </w:tc>
        <w:tc>
          <w:tcPr>
            <w:tcW w:w="1843" w:type="dxa"/>
          </w:tcPr>
          <w:p w14:paraId="65E532CF" w14:textId="71658F00"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14.1</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alp</w:t>
            </w:r>
          </w:p>
        </w:tc>
        <w:tc>
          <w:tcPr>
            <w:tcW w:w="1267" w:type="dxa"/>
          </w:tcPr>
          <w:p w14:paraId="24DB2E0E" w14:textId="51DA1324" w:rsidR="00B964CC" w:rsidRPr="00341E2D" w:rsidRDefault="00D87EC7" w:rsidP="00241DF1">
            <w:pPr>
              <w:adjustRightInd w:val="0"/>
              <w:snapToGrid w:val="0"/>
              <w:spacing w:line="360" w:lineRule="auto"/>
              <w:jc w:val="center"/>
              <w:rPr>
                <w:rFonts w:ascii="Book Antiqua" w:hAnsi="Book Antiqua"/>
                <w:color w:val="000000" w:themeColor="text1"/>
                <w:sz w:val="24"/>
                <w:szCs w:val="24"/>
              </w:rPr>
            </w:pPr>
            <w:r w:rsidRPr="00341E2D">
              <w:rPr>
                <w:rFonts w:ascii="Book Antiqua" w:hAnsi="Book Antiqua"/>
                <w:color w:val="000000" w:themeColor="text1"/>
                <w:sz w:val="24"/>
                <w:szCs w:val="24"/>
              </w:rPr>
              <w:t>&lt;</w:t>
            </w:r>
            <w:r w:rsidR="00333173">
              <w:rPr>
                <w:rFonts w:ascii="Book Antiqua" w:hAnsi="Book Antiqua"/>
                <w:color w:val="000000" w:themeColor="text1"/>
                <w:sz w:val="24"/>
                <w:szCs w:val="24"/>
              </w:rPr>
              <w:t xml:space="preserve"> </w:t>
            </w:r>
            <w:r w:rsidRPr="00341E2D">
              <w:rPr>
                <w:rFonts w:ascii="Book Antiqua" w:hAnsi="Book Antiqua"/>
                <w:color w:val="000000" w:themeColor="text1"/>
                <w:sz w:val="24"/>
                <w:szCs w:val="24"/>
              </w:rPr>
              <w:t>0.05</w:t>
            </w:r>
          </w:p>
        </w:tc>
      </w:tr>
    </w:tbl>
    <w:p w14:paraId="38694E26" w14:textId="108F9A01" w:rsidR="00B964CC" w:rsidRPr="00341E2D" w:rsidRDefault="00333173" w:rsidP="00341E2D">
      <w:pPr>
        <w:adjustRightInd w:val="0"/>
        <w:snapToGrid w:val="0"/>
        <w:spacing w:line="360" w:lineRule="auto"/>
        <w:rPr>
          <w:rFonts w:ascii="Book Antiqua" w:hAnsi="Book Antiqua"/>
          <w:b/>
          <w:color w:val="000000" w:themeColor="text1"/>
          <w:sz w:val="24"/>
          <w:szCs w:val="24"/>
        </w:rPr>
      </w:pPr>
      <w:r>
        <w:rPr>
          <w:rFonts w:ascii="Book Antiqua" w:hAnsi="Book Antiqua"/>
          <w:color w:val="000000" w:themeColor="text1"/>
          <w:sz w:val="24"/>
          <w:szCs w:val="24"/>
        </w:rPr>
        <w:t>PVT: P</w:t>
      </w:r>
      <w:r w:rsidRPr="00341E2D">
        <w:rPr>
          <w:rFonts w:ascii="Book Antiqua" w:hAnsi="Book Antiqua"/>
          <w:color w:val="000000" w:themeColor="text1"/>
          <w:sz w:val="24"/>
          <w:szCs w:val="24"/>
        </w:rPr>
        <w:t>ortal vein thrombosis</w:t>
      </w:r>
      <w:r>
        <w:rPr>
          <w:rFonts w:ascii="Book Antiqua" w:hAnsi="Book Antiqua"/>
          <w:color w:val="000000" w:themeColor="text1"/>
          <w:sz w:val="24"/>
          <w:szCs w:val="24"/>
        </w:rPr>
        <w:t>.</w:t>
      </w:r>
    </w:p>
    <w:sectPr w:rsidR="00B964CC" w:rsidRPr="00341E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02ADA" w14:textId="77777777" w:rsidR="00224E2E" w:rsidRDefault="00224E2E" w:rsidP="004B0437">
      <w:r>
        <w:separator/>
      </w:r>
    </w:p>
  </w:endnote>
  <w:endnote w:type="continuationSeparator" w:id="0">
    <w:p w14:paraId="2BA597F9" w14:textId="77777777" w:rsidR="00224E2E" w:rsidRDefault="00224E2E" w:rsidP="004B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9292E" w14:textId="77777777" w:rsidR="00224E2E" w:rsidRDefault="00224E2E" w:rsidP="004B0437">
      <w:r>
        <w:separator/>
      </w:r>
    </w:p>
  </w:footnote>
  <w:footnote w:type="continuationSeparator" w:id="0">
    <w:p w14:paraId="46D5EDA9" w14:textId="77777777" w:rsidR="00224E2E" w:rsidRDefault="00224E2E" w:rsidP="004B04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F1B78"/>
    <w:multiLevelType w:val="multilevel"/>
    <w:tmpl w:val="0DAF1B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1390B324-EF70-402B-80C7-3BE1D2C20BE3}" w:val=" ADDIN NE.Ref.{1390B324-EF70-402B-80C7-3BE1D2C20BE3}&lt;Citation&gt;&lt;Group&gt;&lt;References&gt;&lt;Item&gt;&lt;ID&gt;647&lt;/ID&gt;&lt;UID&gt;{14B20483-02CE-451B-8917-3F1926468E39}&lt;/UID&gt;&lt;Title&gt;Comparison of Systemic Thrombolysis Versus Indirect Thrombolysis via the Superior Mesenteric Artery in Patients with Acute Portal Vein Thrombosis&lt;/Title&gt;&lt;Template&gt;Journal Article&lt;/Template&gt;&lt;Star&gt;0&lt;/Star&gt;&lt;Tag&gt;0&lt;/Tag&gt;&lt;Author&gt;Liu, K; Li, W D; &amp;quot;Du XL&amp;quot;; Li, C L; Li, X Q&lt;/Author&gt;&lt;Year&gt;2017&lt;/Year&gt;&lt;Details&gt;&lt;_accession_num&gt;27671456&lt;/_accession_num&gt;&lt;_author_adr&gt;Department of Vascular Surgery, The Second Affiliated Hospital of Soochow University, Jiangsu, China; Department of Vascular Surgery, The Suqian People&amp;apos;s Hospital affiliated to Nanjing Drama Tower Hospital Group, Jiangsu, China.; Department of Vascular Surgery, The Second Affiliated Hospital of Soochow University, Jiangsu, China.; Department of Vascular Surgery, The Second Affiliated Hospital of Soochow University, Jiangsu, China.; Department of Vascular Surgery, The Second Affiliated Hospital of Soochow University, Jiangsu, China. Electronic address: lcljm11@163.com.; Department of Vascular Surgery, The Second Affiliated Hospital of Soochow University, Jiangsu, China. Electronic address: flytsg@126.com.&lt;/_author_adr&gt;&lt;_collection_scope&gt;SCI;SCIE;&lt;/_collection_scope&gt;&lt;_created&gt;62272122&lt;/_created&gt;&lt;_date&gt;2017-02-01&lt;/_date&gt;&lt;_date_display&gt;2017 Feb&lt;/_date_display&gt;&lt;_db_updated&gt;PubMed&lt;/_db_updated&gt;&lt;_doi&gt;10.1016/j.avsg.2016.06.029&lt;/_doi&gt;&lt;_impact_factor&gt;   1.145&lt;/_impact_factor&gt;&lt;_isbn&gt;1615-5947 (Electronic); 0890-5096 (Linking)&lt;/_isbn&gt;&lt;_journal&gt;Ann Vasc Surg&lt;/_journal&gt;&lt;_keywords&gt;Acute Disease; Adult; Aged; Anticoagulants/administration &amp;amp;amp; dosage; Female; Fibrinolytic Agents/*administration &amp;amp;amp; dosage/adverse effects; Heparin, Low-Molecular-Weight/administration &amp;amp;amp; dosage; Humans; Infusions, Intra-Arterial; Infusions, Intravenous; Male; *Mesenteric Artery, Superior; Middle Aged; Patient Safety; Patient Selection; *Portal Vein/diagnostic imaging; Retrospective Studies; Risk Assessment; Risk Factors; Thrombolytic Therapy/adverse effects/*methods; Time Factors; Treatment Outcome; Urokinase-Type Plasminogen Activator/*administration &amp;amp;amp; dosage/adverse effects; Venous Thrombosis/diagnostic imaging/*drug therapy&lt;/_keywords&gt;&lt;_language&gt;eng&lt;/_language&gt;&lt;_modified&gt;62272122&lt;/_modified&gt;&lt;_ori_publication&gt;Copyright (c) 2016 Elsevier Inc. All rights reserved.&lt;/_ori_publication&gt;&lt;_pages&gt;264-269&lt;/_pages&gt;&lt;_tertiary_title&gt;Annals of vascular surgery&lt;/_tertiary_title&gt;&lt;_type_work&gt;Comparative Study; Journal Article&lt;/_type_work&gt;&lt;_url&gt;http://www.ncbi.nlm.nih.gov/entrez/query.fcgi?cmd=Retrieve&amp;amp;db=pubmed&amp;amp;dopt=Abstract&amp;amp;list_uids=27671456&amp;amp;query_hl=1&lt;/_url&gt;&lt;_volume&gt;39&lt;/_volume&gt;&lt;/Details&gt;&lt;Extra&gt;&lt;DBUID&gt;{F96A950B-833F-4880-A151-76DA2D6A2879}&lt;/DBUID&gt;&lt;/Extra&gt;&lt;/Item&gt;&lt;/References&gt;&lt;/Group&gt;&lt;/Citation&gt;_x000a_"/>
    <w:docVar w:name="NE.Ref{269A2BDE-1636-42DD-8DF2-4AC32AC38139}" w:val=" ADDIN NE.Ref.{269A2BDE-1636-42DD-8DF2-4AC32AC38139}&lt;Citation&gt;&lt;Group&gt;&lt;References&gt;&lt;Item&gt;&lt;ID&gt;641&lt;/ID&gt;&lt;UID&gt;{8BF9C1E8-D8F0-44F0-A5F7-1AF780EF1A99}&lt;/UID&gt;&lt;Title&gt;Agitation thrombolysis for fresh iatrogenic IVC thrombosis in patients with Budd-Chiari syndrome&lt;/Title&gt;&lt;Template&gt;Journal Article&lt;/Template&gt;&lt;Star&gt;0&lt;/Star&gt;&lt;Tag&gt;0&lt;/Tag&gt;&lt;Author&gt;Ding, P X; Li, Y D; Han, X W; Wu, G&lt;/Author&gt;&lt;Year&gt;2010&lt;/Year&gt;&lt;Details&gt;&lt;_accession_num&gt;20471769&lt;/_accession_num&gt;&lt;_author_adr&gt;Department of Radiology, the First Affiliated Hospital, Zhengzhou University, Zhengzhou, Henan Province, China.&lt;/_author_adr&gt;&lt;_collection_scope&gt;SCI;SCIE;&lt;/_collection_scope&gt;&lt;_created&gt;62271278&lt;/_created&gt;&lt;_date&gt;2010-09-01&lt;/_date&gt;&lt;_date_display&gt;2010 Sep&lt;/_date_display&gt;&lt;_db_updated&gt;PubMed&lt;/_db_updated&gt;&lt;_doi&gt;10.1016/j.jvs.2010.02.016&lt;/_doi&gt;&lt;_impact_factor&gt;   3.536&lt;/_impact_factor&gt;&lt;_isbn&gt;1097-6809 (Electronic); 0741-5214 (Linking)&lt;/_isbn&gt;&lt;_issue&gt;3&lt;/_issue&gt;&lt;_journal&gt;J Vasc Surg&lt;/_journal&gt;&lt;_keywords&gt;Adult; Budd-Chiari Syndrome/diagnosis/physiopathology/*therapy; Catheterization/*adverse effects; Female; Fibrinolytic Agents/*administration &amp;amp;amp; dosage; Humans; *Iatrogenic Disease; Male; Middle Aged; Phlebography; Thrombolytic Therapy/*methods; Time Factors; Treatment Outcome; Ultrasonography, Doppler, Duplex; Vascular Patency; *Vena Cava, Inferior/diagnostic imaging/physiopathology; Venous Thrombosis/diagnosis/*drug therapy/etiology/physiopathology&lt;/_keywords&gt;&lt;_language&gt;eng&lt;/_language&gt;&lt;_modified&gt;62271296&lt;/_modified&gt;&lt;_pages&gt;782-4&lt;/_pages&gt;&lt;_tertiary_title&gt;Journal of vascular surgery&lt;/_tertiary_title&gt;&lt;_type_work&gt;Journal Article&lt;/_type_work&gt;&lt;_url&gt;http://www.ncbi.nlm.nih.gov/entrez/query.fcgi?cmd=Retrieve&amp;amp;db=pubmed&amp;amp;dopt=Abstract&amp;amp;list_uids=20471769&amp;amp;query_hl=1&lt;/_url&gt;&lt;_volume&gt;52&lt;/_volume&gt;&lt;/Details&gt;&lt;Extra&gt;&lt;DBUID&gt;{F96A950B-833F-4880-A151-76DA2D6A2879}&lt;/DBUID&gt;&lt;/Extra&gt;&lt;/Item&gt;&lt;/References&gt;&lt;/Group&gt;&lt;/Citation&gt;_x000a_"/>
    <w:docVar w:name="NE.Ref{38426F1B-B0B3-4D15-90CE-08CB503C3101}" w:val=" ADDIN NE.Ref.{38426F1B-B0B3-4D15-90CE-08CB503C3101}&lt;Citation&gt;&lt;Group&gt;&lt;References&gt;&lt;Item&gt;&lt;ID&gt;641&lt;/ID&gt;&lt;UID&gt;{8BF9C1E8-D8F0-44F0-A5F7-1AF780EF1A99}&lt;/UID&gt;&lt;Title&gt;Agitation thrombolysis for fresh iatrogenic IVC thrombosis in patients with Budd-Chiari syndrome&lt;/Title&gt;&lt;Template&gt;Journal Article&lt;/Template&gt;&lt;Star&gt;0&lt;/Star&gt;&lt;Tag&gt;0&lt;/Tag&gt;&lt;Author&gt;Ding, P X; Li, Y D; Han, X W; Wu, G&lt;/Author&gt;&lt;Year&gt;2010&lt;/Year&gt;&lt;Details&gt;&lt;_accession_num&gt;20471769&lt;/_accession_num&gt;&lt;_author_adr&gt;Department of Radiology, the First Affiliated Hospital, Zhengzhou University, Zhengzhou, Henan Province, China.&lt;/_author_adr&gt;&lt;_collection_scope&gt;SCI;SCIE;&lt;/_collection_scope&gt;&lt;_created&gt;62271278&lt;/_created&gt;&lt;_date&gt;2010-09-01&lt;/_date&gt;&lt;_date_display&gt;2010 Sep&lt;/_date_display&gt;&lt;_db_updated&gt;PubMed&lt;/_db_updated&gt;&lt;_doi&gt;10.1016/j.jvs.2010.02.016&lt;/_doi&gt;&lt;_impact_factor&gt;   3.536&lt;/_impact_factor&gt;&lt;_isbn&gt;1097-6809 (Electronic); 0741-5214 (Linking)&lt;/_isbn&gt;&lt;_issue&gt;3&lt;/_issue&gt;&lt;_journal&gt;J Vasc Surg&lt;/_journal&gt;&lt;_keywords&gt;Adult; Budd-Chiari Syndrome/diagnosis/physiopathology/*therapy; Catheterization/*adverse effects; Female; Fibrinolytic Agents/*administration &amp;amp;amp; dosage; Humans; *Iatrogenic Disease; Male; Middle Aged; Phlebography; Thrombolytic Therapy/*methods; Time Factors; Treatment Outcome; Ultrasonography, Doppler, Duplex; Vascular Patency; *Vena Cava, Inferior/diagnostic imaging/physiopathology; Venous Thrombosis/diagnosis/*drug therapy/etiology/physiopathology&lt;/_keywords&gt;&lt;_language&gt;eng&lt;/_language&gt;&lt;_modified&gt;62271296&lt;/_modified&gt;&lt;_pages&gt;782-4&lt;/_pages&gt;&lt;_tertiary_title&gt;Journal of vascular surgery&lt;/_tertiary_title&gt;&lt;_type_work&gt;Journal Article&lt;/_type_work&gt;&lt;_url&gt;http://www.ncbi.nlm.nih.gov/entrez/query.fcgi?cmd=Retrieve&amp;amp;db=pubmed&amp;amp;dopt=Abstract&amp;amp;list_uids=20471769&amp;amp;query_hl=1&lt;/_url&gt;&lt;_volume&gt;52&lt;/_volume&gt;&lt;/Details&gt;&lt;Extra&gt;&lt;DBUID&gt;{F96A950B-833F-4880-A151-76DA2D6A2879}&lt;/DBUID&gt;&lt;/Extra&gt;&lt;/Item&gt;&lt;/References&gt;&lt;/Group&gt;&lt;/Citation&gt;_x000a_"/>
    <w:docVar w:name="NE.Ref{3C7C302D-55E5-4F85-AEE5-9982CA3364EA}" w:val=" ADDIN NE.Ref.{3C7C302D-55E5-4F85-AEE5-9982CA3364EA}&lt;Citation&gt;&lt;Group&gt;&lt;References&gt;&lt;Item&gt;&lt;ID&gt;646&lt;/ID&gt;&lt;UID&gt;{D7D371E5-AA10-4081-88CB-815CE8DFFE5A}&lt;/UID&gt;&lt;Title&gt;Effects of Anticoagulants in Patients With Cirrhosis and Portal Vein Thrombosis:  A Systematic Review and Meta-analysis&lt;/Title&gt;&lt;Template&gt;Journal Article&lt;/Template&gt;&lt;Star&gt;0&lt;/Star&gt;&lt;Tag&gt;0&lt;/Tag&gt;&lt;Author&gt;Loffredo, L; Pastori, D; Farcomeni, A; Violi, F&lt;/Author&gt;&lt;Year&gt;2017&lt;/Year&gt;&lt;Details&gt;&lt;_accession_num&gt;28479379&lt;/_accession_num&gt;&lt;_author_adr&gt;Department of Internal Medicine and Medical Specialties, Sapienza University, Rome, Italy.; Department of Internal Medicine and Medical Specialties, Sapienza University, Rome, Italy; Department of Anatomical, Histological, Forensic Medicine and Orthopedics Sciences, Sapienza University of Rome, Rome, Italy.; Department of Public Health and Infectious Diseases, Sapienza University of Rome, Roma, Italy.; Department of Internal Medicine and Medical Specialties, Sapienza University, Rome, Italy. Electronic address: francesco.violi@uniroma1.it.&lt;/_author_adr&gt;&lt;_collection_scope&gt;SCI;SCIE;&lt;/_collection_scope&gt;&lt;_created&gt;62272119&lt;/_created&gt;&lt;_date&gt;2017-08-01&lt;/_date&gt;&lt;_date_display&gt;2017 Aug&lt;/_date_display&gt;&lt;_db_updated&gt;PubMed&lt;/_db_updated&gt;&lt;_doi&gt;10.1053/j.gastro.2017.04.042&lt;/_doi&gt;&lt;_impact_factor&gt;  18.392&lt;/_impact_factor&gt;&lt;_isbn&gt;1528-0012 (Electronic); 0016-5085 (Linking)&lt;/_isbn&gt;&lt;_issue&gt;2&lt;/_issue&gt;&lt;_journal&gt;Gastroenterology&lt;/_journal&gt;&lt;_keywords&gt;Anticoagulants/*therapeutic use; Disease Progression; Esophageal and Gastric Varices/epidemiology/etiology; Female; Gastrointestinal Hemorrhage/epidemiology/etiology; Humans; Incidence; Liver Cirrhosis/*complications/drug therapy; Male; Middle Aged; *Portal Vein; Treatment Outcome; Venous Thrombosis/complications/*drug therapy*Complication; *LMWH; *Outcome; *Vitamin K Antagonists&lt;/_keywords&gt;&lt;_language&gt;eng&lt;/_language&gt;&lt;_modified&gt;62272120&lt;/_modified&gt;&lt;_ori_publication&gt;Copyright (c) 2017 AGA Institute. Published by Elsevier Inc. All rights reserved.&lt;/_ori_publication&gt;&lt;_pages&gt;480-487.e1&lt;/_pages&gt;&lt;_tertiary_title&gt;Gastroenterology&lt;/_tertiary_title&gt;&lt;_type_work&gt;Journal Article; Meta-Analysis; Review&lt;/_type_work&gt;&lt;_url&gt;http://www.ncbi.nlm.nih.gov/entrez/query.fcgi?cmd=Retrieve&amp;amp;db=pubmed&amp;amp;dopt=Abstract&amp;amp;list_uids=28479379&amp;amp;query_hl=1&lt;/_url&gt;&lt;_volume&gt;153&lt;/_volume&gt;&lt;/Details&gt;&lt;Extra&gt;&lt;DBUID&gt;{F96A950B-833F-4880-A151-76DA2D6A2879}&lt;/DBUID&gt;&lt;/Extra&gt;&lt;/Item&gt;&lt;/References&gt;&lt;/Group&gt;&lt;/Citation&gt;_x000a_"/>
    <w:docVar w:name="NE.Ref{42BB4EB2-7F06-44CA-BA5E-8D2C71D9B994}" w:val=" ADDIN NE.Ref.{42BB4EB2-7F06-44CA-BA5E-8D2C71D9B994}&lt;Citation&gt;&lt;Group&gt;&lt;References&gt;&lt;Item&gt;&lt;ID&gt;644&lt;/ID&gt;&lt;UID&gt;{0CAA2AFD-59D2-431A-BE6A-D3F6969D1968}&lt;/UID&gt;&lt;Title&gt;The ATTRACTiveness of catheter-directed thrombolysis&lt;/Title&gt;&lt;Template&gt;Journal Article&lt;/Template&gt;&lt;Star&gt;0&lt;/Star&gt;&lt;Tag&gt;0&lt;/Tag&gt;&lt;Author&gt;Avgerinos, E D; Chaer, R A&lt;/Author&gt;&lt;Year&gt;2018&lt;/Year&gt;&lt;Details&gt;&lt;_accessed&gt;62272583&lt;/_accessed&gt;&lt;_accession_num&gt;29661361&lt;/_accession_num&gt;&lt;_author_adr&gt;Division of Vascular Surgery, University of Pittsburgh Medical Center, Pittsburgh, Pa. Electronic address: avgerinose@upmc.edu.; Division of Vascular Surgery, University of Pittsburgh Medical Center, Pittsburgh, Pa.&lt;/_author_adr&gt;&lt;_created&gt;62271288&lt;/_created&gt;&lt;_date&gt;2018-05-01&lt;/_date&gt;&lt;_date_display&gt;2018 May&lt;/_date_display&gt;&lt;_db_updated&gt;PubMed&lt;/_db_updated&gt;&lt;_doi&gt;10.1016/j.jvsv.2018.02.002&lt;/_doi&gt;&lt;_isbn&gt;2213-3348 (Electronic)&lt;/_isbn&gt;&lt;_issue&gt;3&lt;/_issue&gt;&lt;_journal&gt;J Vasc Surg Venous Lymphat Disord&lt;/_journal&gt;&lt;_language&gt;eng&lt;/_language&gt;&lt;_modified&gt;62272583&lt;/_modified&gt;&lt;_pages&gt;303&lt;/_pages&gt;&lt;_tertiary_title&gt;Journal of vascular surgery. Venous and lymphatic disorders&lt;/_tertiary_title&gt;&lt;_type_work&gt;Editorial&lt;/_type_work&gt;&lt;_url&gt;http://www.ncbi.nlm.nih.gov/entrez/query.fcgi?cmd=Retrieve&amp;amp;db=pubmed&amp;amp;dopt=Abstract&amp;amp;list_uids=29661361&amp;amp;query_hl=1&lt;/_url&gt;&lt;_volume&gt;6&lt;/_volume&gt;&lt;/Details&gt;&lt;Extra&gt;&lt;DBUID&gt;{F96A950B-833F-4880-A151-76DA2D6A2879}&lt;/DBUID&gt;&lt;/Extra&gt;&lt;/Item&gt;&lt;/References&gt;&lt;/Group&gt;&lt;/Citation&gt;_x000a_"/>
    <w:docVar w:name="NE.Ref{5733420C-60BC-4FC3-AB78-29B2D2809557}" w:val=" ADDIN NE.Ref.{5733420C-60BC-4FC3-AB78-29B2D2809557}&lt;Citation&gt;&lt;Group&gt;&lt;References&gt;&lt;Item&gt;&lt;ID&gt;644&lt;/ID&gt;&lt;UID&gt;{0CAA2AFD-59D2-431A-BE6A-D3F6969D1968}&lt;/UID&gt;&lt;Title&gt;The ATTRACTiveness of catheter-directed thrombolysis&lt;/Title&gt;&lt;Template&gt;Journal Article&lt;/Template&gt;&lt;Star&gt;0&lt;/Star&gt;&lt;Tag&gt;0&lt;/Tag&gt;&lt;Author&gt;Avgerinos, E D; Chaer, R A&lt;/Author&gt;&lt;Year&gt;2018&lt;/Year&gt;&lt;Details&gt;&lt;_accessed&gt;62272583&lt;/_accessed&gt;&lt;_accession_num&gt;29661361&lt;/_accession_num&gt;&lt;_author_adr&gt;Division of Vascular Surgery, University of Pittsburgh Medical Center, Pittsburgh, Pa. Electronic address: avgerinose@upmc.edu.; Division of Vascular Surgery, University of Pittsburgh Medical Center, Pittsburgh, Pa.&lt;/_author_adr&gt;&lt;_created&gt;62271288&lt;/_created&gt;&lt;_date&gt;2018-05-01&lt;/_date&gt;&lt;_date_display&gt;2018 May&lt;/_date_display&gt;&lt;_db_updated&gt;PubMed&lt;/_db_updated&gt;&lt;_doi&gt;10.1016/j.jvsv.2018.02.002&lt;/_doi&gt;&lt;_isbn&gt;2213-3348 (Electronic)&lt;/_isbn&gt;&lt;_issue&gt;3&lt;/_issue&gt;&lt;_journal&gt;J Vasc Surg Venous Lymphat Disord&lt;/_journal&gt;&lt;_language&gt;eng&lt;/_language&gt;&lt;_modified&gt;62272583&lt;/_modified&gt;&lt;_pages&gt;303&lt;/_pages&gt;&lt;_tertiary_title&gt;Journal of vascular surgery. Venous and lymphatic disorders&lt;/_tertiary_title&gt;&lt;_type_work&gt;Editorial&lt;/_type_work&gt;&lt;_url&gt;http://www.ncbi.nlm.nih.gov/entrez/query.fcgi?cmd=Retrieve&amp;amp;db=pubmed&amp;amp;dopt=Abstract&amp;amp;list_uids=29661361&amp;amp;query_hl=1&lt;/_url&gt;&lt;_volume&gt;6&lt;/_volume&gt;&lt;/Details&gt;&lt;Extra&gt;&lt;DBUID&gt;{F96A950B-833F-4880-A151-76DA2D6A2879}&lt;/DBUID&gt;&lt;/Extra&gt;&lt;/Item&gt;&lt;/References&gt;&lt;/Group&gt;&lt;/Citation&gt;_x000a_"/>
    <w:docVar w:name="NE.Ref{5FF75FEA-03A5-473A-95C3-225B97CAC7C9}" w:val=" ADDIN NE.Ref.{5FF75FEA-03A5-473A-95C3-225B97CAC7C9}&lt;Citation&gt;&lt;Group&gt;&lt;References&gt;&lt;Item&gt;&lt;ID&gt;646&lt;/ID&gt;&lt;UID&gt;{D7D371E5-AA10-4081-88CB-815CE8DFFE5A}&lt;/UID&gt;&lt;Title&gt;Effects of Anticoagulants in Patients With Cirrhosis and Portal Vein Thrombosis:  A Systematic Review and Meta-analysis&lt;/Title&gt;&lt;Template&gt;Journal Article&lt;/Template&gt;&lt;Star&gt;0&lt;/Star&gt;&lt;Tag&gt;0&lt;/Tag&gt;&lt;Author&gt;Loffredo, L; Pastori, D; Farcomeni, A; Violi, F&lt;/Author&gt;&lt;Year&gt;2017&lt;/Year&gt;&lt;Details&gt;&lt;_accession_num&gt;28479379&lt;/_accession_num&gt;&lt;_author_adr&gt;Department of Internal Medicine and Medical Specialties, Sapienza University, Rome, Italy.; Department of Internal Medicine and Medical Specialties, Sapienza University, Rome, Italy; Department of Anatomical, Histological, Forensic Medicine and Orthopedics Sciences, Sapienza University of Rome, Rome, Italy.; Department of Public Health and Infectious Diseases, Sapienza University of Rome, Roma, Italy.; Department of Internal Medicine and Medical Specialties, Sapienza University, Rome, Italy. Electronic address: francesco.violi@uniroma1.it.&lt;/_author_adr&gt;&lt;_collection_scope&gt;SCI;SCIE;&lt;/_collection_scope&gt;&lt;_created&gt;62272119&lt;/_created&gt;&lt;_date&gt;2017-08-01&lt;/_date&gt;&lt;_date_display&gt;2017 Aug&lt;/_date_display&gt;&lt;_db_updated&gt;PubMed&lt;/_db_updated&gt;&lt;_doi&gt;10.1053/j.gastro.2017.04.042&lt;/_doi&gt;&lt;_impact_factor&gt;  18.392&lt;/_impact_factor&gt;&lt;_isbn&gt;1528-0012 (Electronic); 0016-5085 (Linking)&lt;/_isbn&gt;&lt;_issue&gt;2&lt;/_issue&gt;&lt;_journal&gt;Gastroenterology&lt;/_journal&gt;&lt;_keywords&gt;Anticoagulants/*therapeutic use; Disease Progression; Esophageal and Gastric Varices/epidemiology/etiology; Female; Gastrointestinal Hemorrhage/epidemiology/etiology; Humans; Incidence; Liver Cirrhosis/*complications/drug therapy; Male; Middle Aged; *Portal Vein; Treatment Outcome; Venous Thrombosis/complications/*drug therapy*Complication; *LMWH; *Outcome; *Vitamin K Antagonists&lt;/_keywords&gt;&lt;_language&gt;eng&lt;/_language&gt;&lt;_modified&gt;62272120&lt;/_modified&gt;&lt;_ori_publication&gt;Copyright (c) 2017 AGA Institute. Published by Elsevier Inc. All rights reserved.&lt;/_ori_publication&gt;&lt;_pages&gt;480-487.e1&lt;/_pages&gt;&lt;_tertiary_title&gt;Gastroenterology&lt;/_tertiary_title&gt;&lt;_type_work&gt;Journal Article; Meta-Analysis; Review&lt;/_type_work&gt;&lt;_url&gt;http://www.ncbi.nlm.nih.gov/entrez/query.fcgi?cmd=Retrieve&amp;amp;db=pubmed&amp;amp;dopt=Abstract&amp;amp;list_uids=28479379&amp;amp;query_hl=1&lt;/_url&gt;&lt;_volume&gt;153&lt;/_volume&gt;&lt;/Details&gt;&lt;Extra&gt;&lt;DBUID&gt;{F96A950B-833F-4880-A151-76DA2D6A2879}&lt;/DBUID&gt;&lt;/Extra&gt;&lt;/Item&gt;&lt;/References&gt;&lt;/Group&gt;&lt;Group&gt;&lt;References&gt;&lt;Item&gt;&lt;ID&gt;647&lt;/ID&gt;&lt;UID&gt;{14B20483-02CE-451B-8917-3F1926468E39}&lt;/UID&gt;&lt;Title&gt;Comparison of Systemic Thrombolysis Versus Indirect Thrombolysis via the Superior Mesenteric Artery in Patients with Acute Portal Vein Thrombosis&lt;/Title&gt;&lt;Template&gt;Journal Article&lt;/Template&gt;&lt;Star&gt;0&lt;/Star&gt;&lt;Tag&gt;0&lt;/Tag&gt;&lt;Author&gt;Liu, K; Li, W D; &amp;quot;Du XL&amp;quot;; Li, C L; Li, X Q&lt;/Author&gt;&lt;Year&gt;2017&lt;/Year&gt;&lt;Details&gt;&lt;_accession_num&gt;27671456&lt;/_accession_num&gt;&lt;_author_adr&gt;Department of Vascular Surgery, The Second Affiliated Hospital of Soochow University, Jiangsu, China; Department of Vascular Surgery, The Suqian People&amp;apos;s Hospital affiliated to Nanjing Drama Tower Hospital Group, Jiangsu, China.; Department of Vascular Surgery, The Second Affiliated Hospital of Soochow University, Jiangsu, China.; Department of Vascular Surgery, The Second Affiliated Hospital of Soochow University, Jiangsu, China.; Department of Vascular Surgery, The Second Affiliated Hospital of Soochow University, Jiangsu, China. Electronic address: lcljm11@163.com.; Department of Vascular Surgery, The Second Affiliated Hospital of Soochow University, Jiangsu, China. Electronic address: flytsg@126.com.&lt;/_author_adr&gt;&lt;_collection_scope&gt;SCI;SCIE;&lt;/_collection_scope&gt;&lt;_created&gt;62272122&lt;/_created&gt;&lt;_date&gt;2017-02-01&lt;/_date&gt;&lt;_date_display&gt;2017 Feb&lt;/_date_display&gt;&lt;_db_updated&gt;PubMed&lt;/_db_updated&gt;&lt;_doi&gt;10.1016/j.avsg.2016.06.029&lt;/_doi&gt;&lt;_impact_factor&gt;   1.145&lt;/_impact_factor&gt;&lt;_isbn&gt;1615-5947 (Electronic); 0890-5096 (Linking)&lt;/_isbn&gt;&lt;_journal&gt;Ann Vasc Surg&lt;/_journal&gt;&lt;_keywords&gt;Acute Disease; Adult; Aged; Anticoagulants/administration &amp;amp;amp; dosage; Female; Fibrinolytic Agents/*administration &amp;amp;amp; dosage/adverse effects; Heparin, Low-Molecular-Weight/administration &amp;amp;amp; dosage; Humans; Infusions, Intra-Arterial; Infusions, Intravenous; Male; *Mesenteric Artery, Superior; Middle Aged; Patient Safety; Patient Selection; *Portal Vein/diagnostic imaging; Retrospective Studies; Risk Assessment; Risk Factors; Thrombolytic Therapy/adverse effects/*methods; Time Factors; Treatment Outcome; Urokinase-Type Plasminogen Activator/*administration &amp;amp;amp; dosage/adverse effects; Venous Thrombosis/diagnostic imaging/*drug therapy&lt;/_keywords&gt;&lt;_language&gt;eng&lt;/_language&gt;&lt;_modified&gt;62272122&lt;/_modified&gt;&lt;_ori_publication&gt;Copyright (c) 2016 Elsevier Inc. All rights reserved.&lt;/_ori_publication&gt;&lt;_pages&gt;264-269&lt;/_pages&gt;&lt;_tertiary_title&gt;Annals of vascular surgery&lt;/_tertiary_title&gt;&lt;_type_work&gt;Comparative Study; Journal Article&lt;/_type_work&gt;&lt;_url&gt;http://www.ncbi.nlm.nih.gov/entrez/query.fcgi?cmd=Retrieve&amp;amp;db=pubmed&amp;amp;dopt=Abstract&amp;amp;list_uids=27671456&amp;amp;query_hl=1&lt;/_url&gt;&lt;_volume&gt;39&lt;/_volume&gt;&lt;/Details&gt;&lt;Extra&gt;&lt;DBUID&gt;{F96A950B-833F-4880-A151-76DA2D6A2879}&lt;/DBUID&gt;&lt;/Extra&gt;&lt;/Item&gt;&lt;/References&gt;&lt;/Group&gt;&lt;/Citation&gt;_x000a_"/>
    <w:docVar w:name="NE.Ref{67BD0E8C-C211-49E7-929F-87D9E7783A12}" w:val=" ADDIN NE.Ref.{67BD0E8C-C211-49E7-929F-87D9E7783A12}&lt;Citation&gt;&lt;Group&gt;&lt;References&gt;&lt;Item&gt;&lt;ID&gt;642&lt;/ID&gt;&lt;UID&gt;{AB99792C-D3ED-4E56-94D7-C48B6ACF037B}&lt;/UID&gt;&lt;Title&gt;An Individualised Strategy and Long-Term Outcomes of Endovascular Treatment of Budd-Chiari Syndrome Complicated by Inferior Vena Cava Thrombosis&lt;/Title&gt;&lt;Template&gt;Journal Article&lt;/Template&gt;&lt;Star&gt;0&lt;/Star&gt;&lt;Tag&gt;0&lt;/Tag&gt;&lt;Author&gt;Ding, P X; He, X; Han, X W; Zhang, Y; Wu, Y; Liang, X X; Liu, C&lt;/Author&gt;&lt;Year&gt;2018&lt;/Year&gt;&lt;Details&gt;&lt;_accession_num&gt;29478911&lt;/_accession_num&gt;&lt;_author_adr&gt;Department of Intervention, The First Affiliated Hospital of Zhengzhou University, Zhengzhou, Henan, China. Electronic address: jieru375@sina.com.; Department of Ultrasound, The First Affiliated Hospital of Zhengzhou University,  Zhengzhou, Henan, China.; Department of Intervention, The First Affiliated Hospital of Zhengzhou University, Zhengzhou, Henan, China.; Department of Ultrasound, The First Affiliated Hospital of Zhengzhou University,  Zhengzhou, Henan, China.; Department of Radiology, The First Affiliated Hospital of Zhengzhou University, Zhengzhou, Henan, China.; Department of Radiology, The First Affiliated Hospital of Zhengzhou University, Zhengzhou, Henan, China.; Department of Intervention, The First Affiliated Hospital of Zhengzhou University, Zhengzhou, Henan, China.&lt;/_author_adr&gt;&lt;_created&gt;62271284&lt;/_created&gt;&lt;_date&gt;2018-04-01&lt;/_date&gt;&lt;_date_display&gt;2018 Apr&lt;/_date_display&gt;&lt;_db_updated&gt;PubMed&lt;/_db_updated&gt;&lt;_doi&gt;10.1016/j.ejvs.2017.12.016&lt;/_doi&gt;&lt;_impact_factor&gt;   4.061&lt;/_impact_factor&gt;&lt;_isbn&gt;1532-2165 (Electronic); 1078-5884 (Linking)&lt;/_isbn&gt;&lt;_issue&gt;4&lt;/_issue&gt;&lt;_journal&gt;Eur J Vasc Endovasc Surg&lt;/_journal&gt;&lt;_keywords&gt;Angioplasty; Balloon; Budd-Chiari syndrome; Inferior vena cava; Thrombolysis; Thrombus&lt;/_keywords&gt;&lt;_language&gt;eng&lt;/_language&gt;&lt;_modified&gt;62271295&lt;/_modified&gt;&lt;_ori_publication&gt;Copyright (c) 2018 European Society for Vascular Surgery. Published by Elsevier_x000d__x000a_      B.V. All rights reserved.&lt;/_ori_publication&gt;&lt;_pages&gt;545-553&lt;/_pages&gt;&lt;_tertiary_title&gt;European journal of vascular and endovascular surgery : the official journal of_x000d__x000a_      the European Society for Vascular Surgery&lt;/_tertiary_title&gt;&lt;_type_work&gt;Journal Article&lt;/_type_work&gt;&lt;_url&gt;http://www.ncbi.nlm.nih.gov/entrez/query.fcgi?cmd=Retrieve&amp;amp;db=pubmed&amp;amp;dopt=Abstract&amp;amp;list_uids=29478911&amp;amp;query_hl=1&lt;/_url&gt;&lt;_volume&gt;55&lt;/_volume&gt;&lt;/Details&gt;&lt;Extra&gt;&lt;DBUID&gt;{F96A950B-833F-4880-A151-76DA2D6A2879}&lt;/DBUID&gt;&lt;/Extra&gt;&lt;/Item&gt;&lt;/References&gt;&lt;/Group&gt;&lt;/Citation&gt;_x000a_"/>
    <w:docVar w:name="NE.Ref{69AA07CD-8F68-4DD0-AA20-69DD344BD0C5}" w:val=" ADDIN NE.Ref.{69AA07CD-8F68-4DD0-AA20-69DD344BD0C5}&lt;Citation&gt;&lt;Group&gt;&lt;References&gt;&lt;Item&gt;&lt;ID&gt;648&lt;/ID&gt;&lt;UID&gt;{079D0E65-E72C-4E47-9499-81A781699766}&lt;/UID&gt;&lt;Title&gt;Portal vein thrombosis in cirrhosis: diagnosis, natural history, and therapeutic  challenges&lt;/Title&gt;&lt;Template&gt;Journal Article&lt;/Template&gt;&lt;Star&gt;0&lt;/Star&gt;&lt;Tag&gt;0&lt;/Tag&gt;&lt;Author&gt;Mantaka, A; Augoustaki, A; Kouroumalis, E A; Samonakis, D N&lt;/Author&gt;&lt;Year&gt;2018&lt;/Year&gt;&lt;Details&gt;&lt;_accession_num&gt;29720857&lt;/_accession_num&gt;&lt;_author_adr&gt;Department of Gastroenterology and Hepatology, University Hospital of Crete, Heraklion, Crete, Greece.; Department of Gastroenterology and Hepatology, University Hospital of Crete, Heraklion, Crete, Greece.; Department of Gastroenterology and Hepatology, University Hospital of Crete, Heraklion, Crete, Greece.; Department of Gastroenterology and Hepatology, University Hospital of Crete, Heraklion, Crete, Greece.&lt;/_author_adr&gt;&lt;_created&gt;62272587&lt;/_created&gt;&lt;_date&gt;2018-05-01&lt;/_date&gt;&lt;_date_display&gt;2018 May-Jun&lt;/_date_display&gt;&lt;_db_updated&gt;PubMed&lt;/_db_updated&gt;&lt;_doi&gt;10.20524/aog.2018.0245&lt;/_doi&gt;&lt;_isbn&gt;1108-7471 (Print); 1108-7471 (Linking)&lt;/_isbn&gt;&lt;_issue&gt;3&lt;/_issue&gt;&lt;_journal&gt;Ann Gastroenterol&lt;/_journal&gt;&lt;_keywords&gt;Portal vein thrombosis; anticoagulants; bleeding; cirrhosis; direct oral anticoagulants&lt;/_keywords&gt;&lt;_language&gt;eng&lt;/_language&gt;&lt;_modified&gt;62272587&lt;/_modified&gt;&lt;_pages&gt;315-329&lt;/_pages&gt;&lt;_tertiary_title&gt;Annals of gastroenterology&lt;/_tertiary_title&gt;&lt;_type_work&gt;Journal Article; Review&lt;/_type_work&gt;&lt;_url&gt;http://www.ncbi.nlm.nih.gov/entrez/query.fcgi?cmd=Retrieve&amp;amp;db=pubmed&amp;amp;dopt=Abstract&amp;amp;list_uids=29720857&amp;amp;query_hl=1&lt;/_url&gt;&lt;_volume&gt;31&lt;/_volume&gt;&lt;/Details&gt;&lt;Extra&gt;&lt;DBUID&gt;{F96A950B-833F-4880-A151-76DA2D6A2879}&lt;/DBUID&gt;&lt;/Extra&gt;&lt;/Item&gt;&lt;/References&gt;&lt;/Group&gt;&lt;/Citation&gt;_x000a_"/>
    <w:docVar w:name="NE.Ref{7146A50D-A8EC-4836-84BA-EFDC11CC03A1}" w:val=" ADDIN NE.Ref.{7146A50D-A8EC-4836-84BA-EFDC11CC03A1}&lt;Citation&gt;&lt;Group&gt;&lt;References&gt;&lt;Item&gt;&lt;ID&gt;651&lt;/ID&gt;&lt;UID&gt;{CC10A5C2-64D8-4549-85C9-41A2C379D400}&lt;/UID&gt;&lt;Title&gt;Portal vein thrombosis in cirrhosis: Controversies and latest developments&lt;/Title&gt;&lt;Template&gt;Journal Article&lt;/Template&gt;&lt;Star&gt;0&lt;/Star&gt;&lt;Tag&gt;0&lt;/Tag&gt;&lt;Author&gt;Harding, D J; Perera, M T; Chen, F; Olliff, S; Tripathi, D&lt;/Author&gt;&lt;Year&gt;2015&lt;/Year&gt;&lt;Details&gt;&lt;_accession_num&gt;26078553&lt;/_accession_num&gt;&lt;_author_adr&gt;Damian J Harding, M Thamara PR Perera, Dhiraj Tripathi, Liver Unit, Queen Elizabeth Hospital, Birmingham B15 2TH, United Kingdom.; Damian J Harding, M Thamara PR Perera, Dhiraj Tripathi, Liver Unit, Queen Elizabeth Hospital, Birmingham B15 2TH, United Kingdom.; Damian J Harding, M Thamara PR Perera, Dhiraj Tripathi, Liver Unit, Queen Elizabeth Hospital, Birmingham B15 2TH, United Kingdom.; Damian J Harding, M Thamara PR Perera, Dhiraj Tripathi, Liver Unit, Queen Elizabeth Hospital, Birmingham B15 2TH, United Kingdom.; Damian J Harding, M Thamara PR Perera, Dhiraj Tripathi, Liver Unit, Queen Elizabeth Hospital, Birmingham B15 2TH, United Kingdom.&lt;/_author_adr&gt;&lt;_date_display&gt;2015 Jun 14&lt;/_date_display&gt;&lt;_date&gt;2015-06-14&lt;/_date&gt;&lt;_doi&gt;10.3748/wjg.v21.i22.6769&lt;/_doi&gt;&lt;_isbn&gt;2219-2840 (Electronic); 1007-9327 (Linking)&lt;/_isbn&gt;&lt;_issue&gt;22&lt;/_issue&gt;&lt;_journal&gt;World J Gastroenterol&lt;/_journal&gt;&lt;_keywords&gt;Anticoagulants/therapeutic use; Disease Progression; Humans; Incidence; Liver Circulation; Liver Cirrhosis/*complications/mortality/physiopathology/surgery; Liver Transplantation; *Portal Vein/physiopathology/surgery; Portasystemic Shunt, Transjugular Intrahepatic; Prevalence; Prognosis; Risk Factors; Thrombolytic Therapy; Venous Thrombosis/*etiology/mortality/physiopathology/therapyAnticoagulation; Liver cirrhosis; Portal vein thrombosis; Transjugular intrahepatic portosystemic stent-shunt&lt;/_keywords&gt;&lt;_language&gt;eng&lt;/_language&gt;&lt;_pages&gt;6769-84&lt;/_pages&gt;&lt;_tertiary_title&gt;World journal of gastroenterology&lt;/_tertiary_title&gt;&lt;_type_work&gt;Editorial; Review&lt;/_type_work&gt;&lt;_url&gt;http://www.ncbi.nlm.nih.gov/entrez/query.fcgi?cmd=Retrieve&amp;amp;db=pubmed&amp;amp;dopt=Abstract&amp;amp;list_uids=26078553&amp;amp;query_hl=1&lt;/_url&gt;&lt;_volume&gt;21&lt;/_volume&gt;&lt;_created&gt;62342545&lt;/_created&gt;&lt;_modified&gt;62343944&lt;/_modified&gt;&lt;_db_updated&gt;PubMed&lt;/_db_updated&gt;&lt;_impact_factor&gt;   3.300&lt;/_impact_factor&gt;&lt;/Details&gt;&lt;Extra&gt;&lt;DBUID&gt;{F96A950B-833F-4880-A151-76DA2D6A2879}&lt;/DBUID&gt;&lt;/Extra&gt;&lt;/Item&gt;&lt;/References&gt;&lt;/Group&gt;&lt;/Citation&gt;_x000a_"/>
    <w:docVar w:name="NE.Ref{8978F903-EFDC-4C6C-8C15-B1959356E19D}" w:val=" ADDIN NE.Ref.{8978F903-EFDC-4C6C-8C15-B1959356E19D}&lt;Citation&gt;&lt;Group&gt;&lt;References&gt;&lt;Item&gt;&lt;ID&gt;639&lt;/ID&gt;&lt;UID&gt;{4EF4015E-0EFB-48C1-93FF-789F5AF2FC57}&lt;/UID&gt;&lt;Title&gt;Percutaneous transhepatic balloon-assisted transjugular intrahepatic portosystemic shunt for chronic, totally occluded, portal vein thrombosis with symptomatic portal hypertension: procedure technique, safety, and clinical applications&lt;/Title&gt;&lt;Template&gt;Journal Article&lt;/Template&gt;&lt;Star&gt;0&lt;/Star&gt;&lt;Tag&gt;0&lt;/Tag&gt;&lt;Author&gt;Chen, Y; Ye, P; Li, Y; Ma, S; Zhao, J; Zeng, Q&lt;/Author&gt;&lt;Year&gt;2015&lt;/Year&gt;&lt;Details&gt;&lt;_accession_num&gt;25903717&lt;/_accession_num&gt;&lt;_author_adr&gt;Department of Interventional Radiology, Nanfang Hospital, Southern Medical University, 1838, North Guangzhou Avenue, Guangzhou City, Guangdong Province, China. cheny102@163.com.; Department of Interventional Radiology, Nanfang Hospital, Southern Medical University, 1838, North Guangzhou Avenue, Guangzhou City, Guangdong Province, China. thomas19871223@163.com.; Department of Interventional Radiology, Nanfang Hospital, Southern Medical University, 1838, North Guangzhou Avenue, Guangzhou City, Guangdong Province, China. cjr.liyanhao@vip.163.com.; Department of Interventional Radiology, Nanfang Hospital, Southern Medical University, 1838, North Guangzhou Avenue, Guangzhou City, Guangdong Province, China. mazelong123456789@126.com.; Department of Interventional Radiology, Nanfang Hospital, Southern Medical University, 1838, North Guangzhou Avenue, Guangzhou City, Guangdong Province, China. zhaojianbohgl@163.com.; Department of Interventional Radiology, Nanfang Hospital, Southern Medical University, 1838, North Guangzhou Avenue, Guangzhou City, Guangdong Province, China. doctorzengqingle@126.com.&lt;/_author_adr&gt;&lt;_collection_scope&gt;SCI;SCIE;&lt;/_collection_scope&gt;&lt;_created&gt;62271270&lt;/_created&gt;&lt;_date&gt;2015-12-01&lt;/_date&gt;&lt;_date_display&gt;2015 Dec&lt;/_date_display&gt;&lt;_db_updated&gt;PubMed&lt;/_db_updated&gt;&lt;_doi&gt;10.1007/s00330-015-3777-1&lt;/_doi&gt;&lt;_impact_factor&gt;   3.967&lt;/_impact_factor&gt;&lt;_isbn&gt;1432-1084 (Electronic); 0938-7994 (Linking)&lt;/_isbn&gt;&lt;_issue&gt;12&lt;/_issue&gt;&lt;_journal&gt;Eur Radiol&lt;/_journal&gt;&lt;_keywords&gt;Adult; Aged; Angioplasty, Balloon/*methods; Chronic Disease; Female; Humans; Hypertension, Portal/*complications; Male; Middle Aged; Portal Vein/*surgery; Portasystemic Shunt, Transjugular Intrahepatic/adverse effects/*methods; Retrospective Studies; Treatment Outcome; Venous Thrombosis/*complications/surgery/*therapyBalloon; Hypertension, portal; Portal vein, cavernous transformation of; Portosystemic shunt, transjugular intrahepatic; Thrombosis&lt;/_keywords&gt;&lt;_language&gt;eng&lt;/_language&gt;&lt;_modified&gt;62271275&lt;/_modified&gt;&lt;_pages&gt;3431-7&lt;/_pages&gt;&lt;_tertiary_title&gt;European radiology&lt;/_tertiary_title&gt;&lt;_type_work&gt;Journal Article; Research Support, Non-U.S. Gov&amp;apos;t&lt;/_type_work&gt;&lt;_url&gt;http://www.ncbi.nlm.nih.gov/entrez/query.fcgi?cmd=Retrieve&amp;amp;db=pubmed&amp;amp;dopt=Abstract&amp;amp;list_uids=25903717&amp;amp;query_hl=1&lt;/_url&gt;&lt;_volume&gt;25&lt;/_volume&gt;&lt;/Details&gt;&lt;Extra&gt;&lt;DBUID&gt;{F96A950B-833F-4880-A151-76DA2D6A2879}&lt;/DBUID&gt;&lt;/Extra&gt;&lt;/Item&gt;&lt;/References&gt;&lt;/Group&gt;&lt;/Citation&gt;_x000a_"/>
    <w:docVar w:name="NE.Ref{8AB8EBAA-3AA1-49E3-923F-B5CAB266D6B1}" w:val=" ADDIN NE.Ref.{8AB8EBAA-3AA1-49E3-923F-B5CAB266D6B1}&lt;Citation&gt;&lt;Group&gt;&lt;References&gt;&lt;Item&gt;&lt;ID&gt;617&lt;/ID&gt;&lt;UID&gt;{1ED8BC50-692E-431A-9097-2DB27380C7F6}&lt;/UID&gt;&lt;Title&gt;Percutaneous transhepatic balloon-assisted transjugular intrahepatic portosystemic shunt for chronic, totally occluded, portal vein thrombosis with symptomatic portal hypertension: procedure technique, safety, and clinical applications&lt;/Title&gt;&lt;Template&gt;Journal Article&lt;/Template&gt;&lt;Star&gt;0&lt;/Star&gt;&lt;Tag&gt;0&lt;/Tag&gt;&lt;Author&gt;Chen, Y; Ye, P; Li, Y; Ma, S; Zhao, J; Zeng, Q&lt;/Author&gt;&lt;Year&gt;2015&lt;/Year&gt;&lt;Details&gt;&lt;_collection_scope&gt;SCI;SCIE;&lt;/_collection_scope&gt;&lt;_created&gt;62250506&lt;/_created&gt;&lt;_impact_factor&gt;   3.967&lt;/_impact_factor&gt;&lt;_issue&gt;12&lt;/_issue&gt;&lt;_journal&gt;European Radiology&lt;/_journal&gt;&lt;_modified&gt;62250506&lt;/_modified&gt;&lt;_pages&gt;3431-3437&lt;/_pages&gt;&lt;_volume&gt;25&lt;/_volume&gt;&lt;/Details&gt;&lt;Extra&gt;&lt;DBUID&gt;{F96A950B-833F-4880-A151-76DA2D6A2879}&lt;/DBUID&gt;&lt;/Extra&gt;&lt;/Item&gt;&lt;/References&gt;&lt;/Group&gt;&lt;/Citation&gt;_x000a_"/>
    <w:docVar w:name="NE.Ref{98752F60-B6B7-4C6A-9CA9-D1073148D566}" w:val=" ADDIN NE.Ref.{98752F60-B6B7-4C6A-9CA9-D1073148D566}&lt;Citation&gt;&lt;Group&gt;&lt;References&gt;&lt;Item&gt;&lt;ID&gt;640&lt;/ID&gt;&lt;UID&gt;{E1B3755C-D3CD-48AD-BA25-AAC86D19F19C}&lt;/UID&gt;&lt;Title&gt;Acute symptomatic mesenteric venous thrombosis: treatment by catheter-directed thrombolysis with transjugular intrahepatic route&lt;/Title&gt;&lt;Template&gt;Journal Article&lt;/Template&gt;&lt;Star&gt;0&lt;/Star&gt;&lt;Tag&gt;0&lt;/Tag&gt;&lt;Author&gt;Wang, M Q; Liu, F Y; Duan, F; Wang, Z J; Song, P; Fan, Q S&lt;/Author&gt;&lt;Year&gt;2011&lt;/Year&gt;&lt;Details&gt;&lt;_accession_num&gt;20652243&lt;/_accession_num&gt;&lt;_author_adr&gt;Department of Interventional Radiology, Chinese PLA General Hospital, Beijing, China. wangmq@vip.sina.com&lt;/_author_adr&gt;&lt;_created&gt;62271275&lt;/_created&gt;&lt;_date&gt;2011-08-01&lt;/_date&gt;&lt;_date_display&gt;2011 Aug&lt;/_date_display&gt;&lt;_db_updated&gt;PubMed&lt;/_db_updated&gt;&lt;_doi&gt;10.1007/s00261-010-9637-1&lt;/_doi&gt;&lt;_impact_factor&gt;   1.842&lt;/_impact_factor&gt;&lt;_isbn&gt;1432-0509 (Electronic); 0942-8925 (Linking)&lt;/_isbn&gt;&lt;_issue&gt;4&lt;/_issue&gt;&lt;_journal&gt;Abdom Imaging&lt;/_journal&gt;&lt;_keywords&gt;Acute Disease; Adolescent; Adult; Aged; Contrast Media; Female; Humans; Jugular Veins; Male; Mesenteric Vascular Occlusion/diagnostic imaging/*therapy; Middle Aged; Pain Measurement; Portal Vein; Punctures; Radiography, Interventional/methods; Thrombectomy/*methods; Thrombolytic Therapy/*methods; Tomography, X-Ray Computed/methods; Treatment Outcome; Ultrasonography; Venous Thrombosis/diagnostic imaging/*therapy&lt;/_keywords&gt;&lt;_language&gt;eng&lt;/_language&gt;&lt;_modified&gt;62271275&lt;/_modified&gt;&lt;_pages&gt;390-8&lt;/_pages&gt;&lt;_tertiary_title&gt;Abdominal imaging&lt;/_tertiary_title&gt;&lt;_type_work&gt;Journal Article&lt;/_type_work&gt;&lt;_url&gt;http://www.ncbi.nlm.nih.gov/entrez/query.fcgi?cmd=Retrieve&amp;amp;db=pubmed&amp;amp;dopt=Abstract&amp;amp;list_uids=20652243&amp;amp;query_hl=1&lt;/_url&gt;&lt;_volume&gt;36&lt;/_volume&gt;&lt;/Details&gt;&lt;Extra&gt;&lt;DBUID&gt;{F96A950B-833F-4880-A151-76DA2D6A2879}&lt;/DBUID&gt;&lt;/Extra&gt;&lt;/Item&gt;&lt;/References&gt;&lt;/Group&gt;&lt;/Citation&gt;_x000a_"/>
    <w:docVar w:name="NE.Ref{9F2543C5-7286-44AA-AC9C-1D0ECF48D83B}" w:val=" ADDIN NE.Ref.{9F2543C5-7286-44AA-AC9C-1D0ECF48D83B}&lt;Citation&gt;&lt;Group&gt;&lt;References&gt;&lt;Item&gt;&lt;ID&gt;640&lt;/ID&gt;&lt;UID&gt;{E1B3755C-D3CD-48AD-BA25-AAC86D19F19C}&lt;/UID&gt;&lt;Title&gt;Acute symptomatic mesenteric venous thrombosis: treatment by catheter-directed thrombolysis with transjugular intrahepatic route&lt;/Title&gt;&lt;Template&gt;Journal Article&lt;/Template&gt;&lt;Star&gt;0&lt;/Star&gt;&lt;Tag&gt;0&lt;/Tag&gt;&lt;Author&gt;Wang, M Q; Liu, F Y; Duan, F; Wang, Z J; Song, P; Fan, Q S&lt;/Author&gt;&lt;Year&gt;2011&lt;/Year&gt;&lt;Details&gt;&lt;_accession_num&gt;20652243&lt;/_accession_num&gt;&lt;_author_adr&gt;Department of Interventional Radiology, Chinese PLA General Hospital, Beijing, China. wangmq@vip.sina.com&lt;/_author_adr&gt;&lt;_created&gt;62271275&lt;/_created&gt;&lt;_date&gt;2011-08-01&lt;/_date&gt;&lt;_date_display&gt;2011 Aug&lt;/_date_display&gt;&lt;_db_updated&gt;PubMed&lt;/_db_updated&gt;&lt;_doi&gt;10.1007/s00261-010-9637-1&lt;/_doi&gt;&lt;_impact_factor&gt;   1.842&lt;/_impact_factor&gt;&lt;_isbn&gt;1432-0509 (Electronic); 0942-8925 (Linking)&lt;/_isbn&gt;&lt;_issue&gt;4&lt;/_issue&gt;&lt;_journal&gt;Abdom Imaging&lt;/_journal&gt;&lt;_keywords&gt;Acute Disease; Adolescent; Adult; Aged; Contrast Media; Female; Humans; Jugular Veins; Male; Mesenteric Vascular Occlusion/diagnostic imaging/*therapy; Middle Aged; Pain Measurement; Portal Vein; Punctures; Radiography, Interventional/methods; Thrombectomy/*methods; Thrombolytic Therapy/*methods; Tomography, X-Ray Computed/methods; Treatment Outcome; Ultrasonography; Venous Thrombosis/diagnostic imaging/*therapy&lt;/_keywords&gt;&lt;_language&gt;eng&lt;/_language&gt;&lt;_modified&gt;62271275&lt;/_modified&gt;&lt;_pages&gt;390-8&lt;/_pages&gt;&lt;_tertiary_title&gt;Abdominal imaging&lt;/_tertiary_title&gt;&lt;_type_work&gt;Journal Article&lt;/_type_work&gt;&lt;_url&gt;http://www.ncbi.nlm.nih.gov/entrez/query.fcgi?cmd=Retrieve&amp;amp;db=pubmed&amp;amp;dopt=Abstract&amp;amp;list_uids=20652243&amp;amp;query_hl=1&lt;/_url&gt;&lt;_volume&gt;36&lt;/_volume&gt;&lt;/Details&gt;&lt;Extra&gt;&lt;DBUID&gt;{F96A950B-833F-4880-A151-76DA2D6A2879}&lt;/DBUID&gt;&lt;/Extra&gt;&lt;/Item&gt;&lt;/References&gt;&lt;/Group&gt;&lt;/Citation&gt;_x000a_"/>
    <w:docVar w:name="NE.Ref{A8EF6C99-FCFE-4235-BA24-CF46579C5B8B}" w:val=" ADDIN NE.Ref.{A8EF6C99-FCFE-4235-BA24-CF46579C5B8B}&lt;Citation&gt;&lt;Group&gt;&lt;References&gt;&lt;Item&gt;&lt;ID&gt;643&lt;/ID&gt;&lt;UID&gt;{7FAE9D9F-AF9E-4381-B94E-F6A123D638E4}&lt;/UID&gt;&lt;Title&gt;Mechanical thrombectomy-assisted thrombolysis for acute symptomatic portal and superior mesenteric venous thrombosis&lt;/Title&gt;&lt;Template&gt;Journal Article&lt;/Template&gt;&lt;Star&gt;0&lt;/Star&gt;&lt;Tag&gt;0&lt;/Tag&gt;&lt;Author&gt;Jun, K W; Kim, M H; Park, K M; Chun, H J; Hong, K C; Jeon, Y S; Cho, S G; Kim, J Y&lt;/Author&gt;&lt;Year&gt;2014&lt;/Year&gt;&lt;Details&gt;&lt;_accession_num&gt;24949327&lt;/_accession_num&gt;&lt;_author_adr&gt;Department of Surgery, The Catholic University of Korea, Seoul St. Mary&amp;apos;s Hospital, Seoul, Korea.; Department of Surgery, The Catholic University of Korea, Seoul St. Mary&amp;apos;s Hospital, Seoul, Korea.; Department of Surgery, The Catholic University of Korea, Seoul St. Mary&amp;apos;s Hospital, Seoul, Korea.; Department of Radiology, The Catholic University of Korea, Seoul St. Mary&amp;apos;s Hospital, Seoul, Korea.; Department of Surgery, Inha University Hospital, Inha University, Incheon, Korea.; Department of Radiology, Inha University Hospital, Inha University, Incheon, Korea.; Department of Radiology, Inha University Hospital, Inha University, Incheon, Korea.; Department of Surgery, The Catholic University of Korea, Seoul St. Mary&amp;apos;s Hospital, Seoul, Korea.&lt;/_author_adr&gt;&lt;_collection_scope&gt;SCIE;&lt;/_collection_scope&gt;&lt;_created&gt;62271286&lt;/_created&gt;&lt;_date&gt;2014-06-01&lt;/_date&gt;&lt;_date_display&gt;2014 Jun&lt;/_date_display&gt;&lt;_db_updated&gt;PubMed&lt;/_db_updated&gt;&lt;_doi&gt;10.4174/astr.2014.86.6.334&lt;/_doi&gt;&lt;_impact_factor&gt;   1.491&lt;/_impact_factor&gt;&lt;_isbn&gt;2288-6575 (Print); 2288-6575 (Linking)&lt;/_isbn&gt;&lt;_issue&gt;6&lt;/_issue&gt;&lt;_journal&gt;Ann Surg Treat Res&lt;/_journal&gt;&lt;_keywords&gt;Endovascular procedures; Ischemia; Mesenteric veins; Portal vein; Venous thrombosis&lt;/_keywords&gt;&lt;_language&gt;eng&lt;/_language&gt;&lt;_modified&gt;62271286&lt;/_modified&gt;&lt;_pages&gt;334-41&lt;/_pages&gt;&lt;_tertiary_title&gt;Annals of surgical treatment and research&lt;/_tertiary_title&gt;&lt;_type_work&gt;Journal Article&lt;/_type_work&gt;&lt;_url&gt;http://www.ncbi.nlm.nih.gov/entrez/query.fcgi?cmd=Retrieve&amp;amp;db=pubmed&amp;amp;dopt=Abstract&amp;amp;list_uids=24949327&amp;amp;query_hl=1&lt;/_url&gt;&lt;_volume&gt;86&lt;/_volume&gt;&lt;/Details&gt;&lt;Extra&gt;&lt;DBUID&gt;{F96A950B-833F-4880-A151-76DA2D6A2879}&lt;/DBUID&gt;&lt;/Extra&gt;&lt;/Item&gt;&lt;/References&gt;&lt;/Group&gt;&lt;/Citation&gt;_x000a_"/>
    <w:docVar w:name="NE.Ref{ABE8C727-68BC-4741-9F58-AF84233403E1}" w:val=" ADDIN NE.Ref.{ABE8C727-68BC-4741-9F58-AF84233403E1}&lt;Citation&gt;&lt;Group&gt;&lt;References&gt;&lt;Item&gt;&lt;ID&gt;650&lt;/ID&gt;&lt;UID&gt;{0B29B5BB-87A2-4F02-AA14-FAE23998EFE8}&lt;/UID&gt;&lt;Title&gt;Vascular disorders of the liver&lt;/Title&gt;&lt;Template&gt;Journal Article&lt;/Template&gt;&lt;Star&gt;0&lt;/Star&gt;&lt;Tag&gt;0&lt;/Tag&gt;&lt;Author&gt;DeLeve, L D; Valla, D C; Garcia-Tsao, G&lt;/Author&gt;&lt;Year&gt;2009&lt;/Year&gt;&lt;Details&gt;&lt;_accession_num&gt;19399912&lt;/_accession_num&gt;&lt;_author_adr&gt;Division of Gastrointestinal and Liver Diseases and the Research Center for Liver Diseases, University of Southern California Keck School of Medicine, Los Angeles, CA, USA.&lt;/_author_adr&gt;&lt;_collection_scope&gt;SCI;SCIE;&lt;/_collection_scope&gt;&lt;_created&gt;62272606&lt;/_created&gt;&lt;_date&gt;2009-05-01&lt;/_date&gt;&lt;_date_display&gt;2009 May&lt;/_date_display&gt;&lt;_db_updated&gt;PubMed&lt;/_db_updated&gt;&lt;_doi&gt;10.1002/hep.22772&lt;/_doi&gt;&lt;_impact_factor&gt;  13.246&lt;/_impact_factor&gt;&lt;_isbn&gt;1527-3350 (Electronic); 0270-9139 (Linking)&lt;/_isbn&gt;&lt;_issue&gt;5&lt;/_issue&gt;&lt;_journal&gt;Hepatology&lt;/_journal&gt;&lt;_keywords&gt;Budd-Chiari Syndrome/diagnosis/etiology/*therapy; Child; Hepatic Veno-Occlusive Disease/chemically induced/diagnosis/*therapy; Humans; Liver Cirrhosis/complications; Liver Transplantation; *Portal Vein; Telangiectasia, Hereditary Hemorrhagic/diagnosis/etiology/*therapy; Venous Thrombosis/diagnosis/*etiology/therapy&lt;/_keywords&gt;&lt;_language&gt;eng&lt;/_language&gt;&lt;_modified&gt;62272607&lt;/_modified&gt;&lt;_pages&gt;1729-64&lt;/_pages&gt;&lt;_tertiary_title&gt;Hepatology (Baltimore, Md.)&lt;/_tertiary_title&gt;&lt;_type_work&gt;Journal Article; Practice Guideline&lt;/_type_work&gt;&lt;_url&gt;http://www.ncbi.nlm.nih.gov/entrez/query.fcgi?cmd=Retrieve&amp;amp;db=pubmed&amp;amp;dopt=Abstract&amp;amp;list_uids=19399912&amp;amp;query_hl=1&lt;/_url&gt;&lt;_volume&gt;49&lt;/_volume&gt;&lt;/Details&gt;&lt;Extra&gt;&lt;DBUID&gt;{F96A950B-833F-4880-A151-76DA2D6A2879}&lt;/DBUID&gt;&lt;/Extra&gt;&lt;/Item&gt;&lt;/References&gt;&lt;/Group&gt;&lt;/Citation&gt;_x000a_"/>
    <w:docVar w:name="NE.Ref{B54830EE-F4AE-4B84-B934-D62A25A30D98}" w:val=" ADDIN NE.Ref.{B54830EE-F4AE-4B84-B934-D62A25A30D98}&lt;Citation&gt;&lt;Group&gt;&lt;References&gt;&lt;Item&gt;&lt;ID&gt;649&lt;/ID&gt;&lt;UID&gt;{8FA9CA11-FD5A-431F-B846-A2CB465A0110}&lt;/UID&gt;&lt;Title&gt;Thrombosis of the Portal Venous System in Cirrhotic vs. Non-Cirrhotic Patients&lt;/Title&gt;&lt;Template&gt;Journal Article&lt;/Template&gt;&lt;Star&gt;0&lt;/Star&gt;&lt;Tag&gt;0&lt;/Tag&gt;&lt;Author&gt;Cruz-Ramon, V; Chinchilla-Lopez, P; Ramirez-Perez, O; Aguilar-Olivos, N E; Alva-Lopez, L F; Fajardo-Ordonez, E; Acevedo-Silva, I; Northup, P G; Intagliata, N; Caldwell, S H; Ponciano-Rodriguez, G; Qi, X; Mendez-Sanchez, N&lt;/Author&gt;&lt;Year&gt;2018&lt;/Year&gt;&lt;Details&gt;&lt;_accession_num&gt;29735798&lt;/_accession_num&gt;&lt;_author_adr&gt;Liver Research Unit. Medica Sur Clinic &amp;amp;amp; Foundation, Mexico City, Mexico.; Liver Research Unit. Medica Sur Clinic &amp;amp;amp; Foundation, Mexico City, Mexico.; Liver Research Unit. Medica Sur Clinic &amp;amp;amp; Foundation, Mexico City, Mexico.; Liver Research Unit. Medica Sur Clinic &amp;amp;amp; Foundation, Mexico City, Mexico.; Radiology Department. Medica Sur Clinic &amp;amp;amp; Foundation, Mexico City, Mexico.; Radiology Department. Medica Sur Clinic &amp;amp;amp; Foundation, Mexico City, Mexico.; Liver Research Unit. Medica Sur Clinic &amp;amp;amp; Foundation, Mexico City, Mexico.; Division of Gastroenterology and Hepatology. University of Virginia Medical Center, Charlottesville, USA.; Division of Gastroenterology and Hepatology. University of Virginia Medical Center, Charlottesville, USA.; Division of Gastroenterology and Hepatology. University of Virginia Medical Center, Charlottesville, USA.; Public Health Department. Faculty of Medicine, National Autonomous University of  Mexico, Mexico City, Mexico.; Department of Gastroenterology. General Hospital of Shenyang, Military Area Command, Shenyang, China.; Liver Research Unit. Medica Sur Clinic &amp;amp;amp; Foundation, Mexico City, Mexico.&lt;/_author_adr&gt;&lt;_collection_scope&gt;SCIE;&lt;/_collection_scope&gt;&lt;_created&gt;62272588&lt;/_created&gt;&lt;_date&gt;2018-04-09&lt;/_date&gt;&lt;_date_display&gt;2018 Apr 9&lt;/_date_display&gt;&lt;_db_updated&gt;PubMed&lt;/_db_updated&gt;&lt;_doi&gt;10.5604/01.3001.0011.7392&lt;/_doi&gt;&lt;_impact_factor&gt;   1.678&lt;/_impact_factor&gt;&lt;_isbn&gt;1665-2681 (Print); 1665-2681 (Linking)&lt;/_isbn&gt;&lt;_issue&gt;3&lt;/_issue&gt;&lt;_journal&gt;Ann Hepatol&lt;/_journal&gt;&lt;_keywords&gt;Cirrhosis. Portal vein. Thrombus. Predictive factor. Hepatocellular carcinoma.&lt;/_keywords&gt;&lt;_language&gt;eng&lt;/_language&gt;&lt;_modified&gt;62272680&lt;/_modified&gt;&lt;_pages&gt;476-481&lt;/_pages&gt;&lt;_tertiary_title&gt;Annals of hepatology&lt;/_tertiary_title&gt;&lt;_type_work&gt;Journal Article&lt;/_type_work&gt;&lt;_url&gt;http://www.ncbi.nlm.nih.gov/entrez/query.fcgi?cmd=Retrieve&amp;amp;db=pubmed&amp;amp;dopt=Abstract&amp;amp;list_uids=29735798&amp;amp;query_hl=1&lt;/_url&gt;&lt;_volume&gt;17&lt;/_volume&gt;&lt;/Details&gt;&lt;Extra&gt;&lt;DBUID&gt;{F96A950B-833F-4880-A151-76DA2D6A2879}&lt;/DBUID&gt;&lt;/Extra&gt;&lt;/Item&gt;&lt;/References&gt;&lt;/Group&gt;&lt;/Citation&gt;_x000a_"/>
    <w:docVar w:name="NE.Ref{DFE186A1-B31C-46BF-838D-5A579E8D3440}" w:val=" ADDIN NE.Ref.{DFE186A1-B31C-46BF-838D-5A579E8D3440}&lt;Citation&gt;&lt;Group&gt;&lt;References&gt;&lt;Item&gt;&lt;ID&gt;645&lt;/ID&gt;&lt;UID&gt;{C94867E4-33D4-4F9C-9B4F-F39CEF8C64AC}&lt;/UID&gt;&lt;Title&gt;Portal vein thrombosis&lt;/Title&gt;&lt;Template&gt;Journal Article&lt;/Template&gt;&lt;Star&gt;0&lt;/Star&gt;&lt;Tag&gt;0&lt;/Tag&gt;&lt;Author&gt;Basit, S A; Stone, C D; Gish, R&lt;/Author&gt;&lt;Year&gt;2015&lt;/Year&gt;&lt;Details&gt;&lt;_accession_num&gt;25454305&lt;/_accession_num&gt;&lt;_author_adr&gt;Section of Gastroenterology and Hepatology, University of Nevada School of Medicine, 2040 West Charleston Boulevard, Suite 300, Las Vegas, NV 89102, USA.; Section of Gastroenterology and Hepatology, University of Nevada School of Medicine, 2040 West Charleston Boulevard, Suite 300, Las Vegas, NV 89102, USA.; Division of Gastroenterology and Hepatology, Department of Medicine, Stanford University School of Medicine, Alway Building, Room M211, 300 Pasteur Drive, MC:  5187 Stanford, CA 94305-5187, USA. Electronic address: rgish@robertgish.com.&lt;/_author_adr&gt;&lt;_collection_scope&gt;SCIE;&lt;/_collection_scope&gt;&lt;_created&gt;62271294&lt;/_created&gt;&lt;_date&gt;2015-02-01&lt;/_date&gt;&lt;_date_display&gt;2015 Feb&lt;/_date_display&gt;&lt;_db_updated&gt;PubMed&lt;/_db_updated&gt;&lt;_doi&gt;10.1016/j.cld.2014.09.012&lt;/_doi&gt;&lt;_impact_factor&gt;   3.400&lt;/_impact_factor&gt;&lt;_isbn&gt;1557-8224 (Electronic); 1089-3261 (Linking)&lt;/_isbn&gt;&lt;_issue&gt;1&lt;/_issue&gt;&lt;_journal&gt;Clin Liver Dis&lt;/_journal&gt;&lt;_keywords&gt;Algorithms; Anticoagulants/*therapeutic use; Esophageal and Gastric Varices/etiology/therapy; Gastrointestinal Hemorrhage/etiology/therapy; Humans; Liver Cirrhosis/complications; *Portal Vein; Portasystemic Shunt, Transjugular Intrahepatic; Recurrence; Risk Factors; Venous Thrombosis/classification/*diagnosis/etiology/*therapyAnticoagulation; Cirrhosis; Malignancy; Portal vein; Thromboelastography; Thrombophilia; Thrombosis&lt;/_keywords&gt;&lt;_language&gt;eng&lt;/_language&gt;&lt;_modified&gt;62271295&lt;/_modified&gt;&lt;_ori_publication&gt;Copyright (c) 2015 Elsevier Inc. All rights reserved.&lt;/_ori_publication&gt;&lt;_pages&gt;199-221&lt;/_pages&gt;&lt;_tertiary_title&gt;Clinics in liver disease&lt;/_tertiary_title&gt;&lt;_type_work&gt;Journal Article; Review&lt;/_type_work&gt;&lt;_url&gt;http://www.ncbi.nlm.nih.gov/entrez/query.fcgi?cmd=Retrieve&amp;amp;db=pubmed&amp;amp;dopt=Abstract&amp;amp;list_uids=25454305&amp;amp;query_hl=1&lt;/_url&gt;&lt;_volume&gt;19&lt;/_volume&gt;&lt;/Details&gt;&lt;Extra&gt;&lt;DBUID&gt;{F96A950B-833F-4880-A151-76DA2D6A2879}&lt;/DBUID&gt;&lt;/Extra&gt;&lt;/Item&gt;&lt;/References&gt;&lt;/Group&gt;&lt;/Citation&gt;_x000a_"/>
    <w:docVar w:name="NE.Ref{FC1D76E7-7C5C-43E0-8C6D-C3862118A8C8}" w:val=" ADDIN NE.Ref.{FC1D76E7-7C5C-43E0-8C6D-C3862118A8C8}&lt;Citation&gt;&lt;Group&gt;&lt;References&gt;&lt;Item&gt;&lt;ID&gt;641&lt;/ID&gt;&lt;UID&gt;{8BF9C1E8-D8F0-44F0-A5F7-1AF780EF1A99}&lt;/UID&gt;&lt;Title&gt;Agitation thrombolysis for fresh iatrogenic IVC thrombosis in patients with Budd-Chiari syndrome&lt;/Title&gt;&lt;Template&gt;Journal Article&lt;/Template&gt;&lt;Star&gt;0&lt;/Star&gt;&lt;Tag&gt;0&lt;/Tag&gt;&lt;Author&gt;Ding, P X; Li, Y D; Han, X W; Wu, G&lt;/Author&gt;&lt;Year&gt;2010&lt;/Year&gt;&lt;Details&gt;&lt;_accession_num&gt;20471769&lt;/_accession_num&gt;&lt;_author_adr&gt;Department of Radiology, the First Affiliated Hospital, Zhengzhou University, Zhengzhou, Henan Province, China.&lt;/_author_adr&gt;&lt;_collection_scope&gt;SCI;SCIE;&lt;/_collection_scope&gt;&lt;_created&gt;62271278&lt;/_created&gt;&lt;_date&gt;2010-09-01&lt;/_date&gt;&lt;_date_display&gt;2010 Sep&lt;/_date_display&gt;&lt;_db_updated&gt;PubMed&lt;/_db_updated&gt;&lt;_doi&gt;10.1016/j.jvs.2010.02.016&lt;/_doi&gt;&lt;_impact_factor&gt;   3.536&lt;/_impact_factor&gt;&lt;_isbn&gt;1097-6809 (Electronic); 0741-5214 (Linking)&lt;/_isbn&gt;&lt;_issue&gt;3&lt;/_issue&gt;&lt;_journal&gt;J Vasc Surg&lt;/_journal&gt;&lt;_keywords&gt;Adult; Budd-Chiari Syndrome/diagnosis/physiopathology/*therapy; Catheterization/*adverse effects; Female; Fibrinolytic Agents/*administration &amp;amp;amp; dosage; Humans; *Iatrogenic Disease; Male; Middle Aged; Phlebography; Thrombolytic Therapy/*methods; Time Factors; Treatment Outcome; Ultrasonography, Doppler, Duplex; Vascular Patency; *Vena Cava, Inferior/diagnostic imaging/physiopathology; Venous Thrombosis/diagnosis/*drug therapy/etiology/physiopathology&lt;/_keywords&gt;&lt;_language&gt;eng&lt;/_language&gt;&lt;_modified&gt;62271296&lt;/_modified&gt;&lt;_pages&gt;782-4&lt;/_pages&gt;&lt;_tertiary_title&gt;Journal of vascular surgery&lt;/_tertiary_title&gt;&lt;_type_work&gt;Journal Article&lt;/_type_work&gt;&lt;_url&gt;http://www.ncbi.nlm.nih.gov/entrez/query.fcgi?cmd=Retrieve&amp;amp;db=pubmed&amp;amp;dopt=Abstract&amp;amp;list_uids=20471769&amp;amp;query_hl=1&lt;/_url&gt;&lt;_volume&gt;52&lt;/_volume&gt;&lt;/Details&gt;&lt;Extra&gt;&lt;DBUID&gt;{F96A950B-833F-4880-A151-76DA2D6A2879}&lt;/DBUID&gt;&lt;/Extra&gt;&lt;/Item&gt;&lt;/References&gt;&lt;/Group&gt;&lt;Group&gt;&lt;References&gt;&lt;Item&gt;&lt;ID&gt;642&lt;/ID&gt;&lt;UID&gt;{AB99792C-D3ED-4E56-94D7-C48B6ACF037B}&lt;/UID&gt;&lt;Title&gt;An Individualised Strategy and Long-Term Outcomes of Endovascular Treatment of Budd-Chiari Syndrome Complicated by Inferior Vena Cava Thrombosis&lt;/Title&gt;&lt;Template&gt;Journal Article&lt;/Template&gt;&lt;Star&gt;0&lt;/Star&gt;&lt;Tag&gt;0&lt;/Tag&gt;&lt;Author&gt;Ding, P X; He, X; Han, X W; Zhang, Y; Wu, Y; Liang, X X; Liu, C&lt;/Author&gt;&lt;Year&gt;2018&lt;/Year&gt;&lt;Details&gt;&lt;_accession_num&gt;29478911&lt;/_accession_num&gt;&lt;_author_adr&gt;Department of Intervention, The First Affiliated Hospital of Zhengzhou University, Zhengzhou, Henan, China. Electronic address: jieru375@sina.com.; Department of Ultrasound, The First Affiliated Hospital of Zhengzhou University,  Zhengzhou, Henan, China.; Department of Intervention, The First Affiliated Hospital of Zhengzhou University, Zhengzhou, Henan, China.; Department of Ultrasound, The First Affiliated Hospital of Zhengzhou University,  Zhengzhou, Henan, China.; Department of Radiology, The First Affiliated Hospital of Zhengzhou University, Zhengzhou, Henan, China.; Department of Radiology, The First Affiliated Hospital of Zhengzhou University, Zhengzhou, Henan, China.; Department of Intervention, The First Affiliated Hospital of Zhengzhou University, Zhengzhou, Henan, China.&lt;/_author_adr&gt;&lt;_created&gt;62271284&lt;/_created&gt;&lt;_date&gt;2018-04-01&lt;/_date&gt;&lt;_date_display&gt;2018 Apr&lt;/_date_display&gt;&lt;_db_updated&gt;PubMed&lt;/_db_updated&gt;&lt;_doi&gt;10.1016/j.ejvs.2017.12.016&lt;/_doi&gt;&lt;_impact_factor&gt;   4.061&lt;/_impact_factor&gt;&lt;_isbn&gt;1532-2165 (Electronic); 1078-5884 (Linking)&lt;/_isbn&gt;&lt;_issue&gt;4&lt;/_issue&gt;&lt;_journal&gt;Eur J Vasc Endovasc Surg&lt;/_journal&gt;&lt;_keywords&gt;Angioplasty; Balloon; Budd-Chiari syndrome; Inferior vena cava; Thrombolysis; Thrombus&lt;/_keywords&gt;&lt;_language&gt;eng&lt;/_language&gt;&lt;_modified&gt;62271295&lt;/_modified&gt;&lt;_ori_publication&gt;Copyright (c) 2018 European Society for Vascular Surgery. Published by Elsevier_x000d__x000a_      B.V. All rights reserved.&lt;/_ori_publication&gt;&lt;_pages&gt;545-553&lt;/_pages&gt;&lt;_tertiary_title&gt;European journal of vascular and endovascular surgery : the official journal of_x000d__x000a_      the European Society for Vascular Surgery&lt;/_tertiary_title&gt;&lt;_type_work&gt;Journal Article&lt;/_type_work&gt;&lt;_url&gt;http://www.ncbi.nlm.nih.gov/entrez/query.fcgi?cmd=Retrieve&amp;amp;db=pubmed&amp;amp;dopt=Abstract&amp;amp;list_uids=29478911&amp;amp;query_hl=1&lt;/_url&gt;&lt;_volume&gt;55&lt;/_volume&gt;&lt;/Details&gt;&lt;Extra&gt;&lt;DBUID&gt;{F96A950B-833F-4880-A151-76DA2D6A2879}&lt;/DBUID&gt;&lt;/Extra&gt;&lt;/Item&gt;&lt;/References&gt;&lt;/Group&gt;&lt;/Citation&gt;_x000a_"/>
    <w:docVar w:name="ne_docsoft" w:val="MSWord"/>
    <w:docVar w:name="ne_docversion" w:val="NoteExpress 2.0"/>
    <w:docVar w:name="ne_stylename" w:val="Radiology"/>
  </w:docVars>
  <w:rsids>
    <w:rsidRoot w:val="005676D8"/>
    <w:rsid w:val="000005B2"/>
    <w:rsid w:val="00001998"/>
    <w:rsid w:val="00003005"/>
    <w:rsid w:val="00004575"/>
    <w:rsid w:val="00014FFA"/>
    <w:rsid w:val="00032939"/>
    <w:rsid w:val="00040AAC"/>
    <w:rsid w:val="00046651"/>
    <w:rsid w:val="000466DB"/>
    <w:rsid w:val="000471E6"/>
    <w:rsid w:val="000567B2"/>
    <w:rsid w:val="000611C2"/>
    <w:rsid w:val="00064330"/>
    <w:rsid w:val="00064394"/>
    <w:rsid w:val="00066B50"/>
    <w:rsid w:val="00067B4F"/>
    <w:rsid w:val="00070613"/>
    <w:rsid w:val="0007282D"/>
    <w:rsid w:val="00074924"/>
    <w:rsid w:val="00076D30"/>
    <w:rsid w:val="00084562"/>
    <w:rsid w:val="00095EC9"/>
    <w:rsid w:val="000970AE"/>
    <w:rsid w:val="000A409A"/>
    <w:rsid w:val="000B0D94"/>
    <w:rsid w:val="000C2571"/>
    <w:rsid w:val="000D05E0"/>
    <w:rsid w:val="000E2F77"/>
    <w:rsid w:val="000E61D6"/>
    <w:rsid w:val="000E657A"/>
    <w:rsid w:val="000F1235"/>
    <w:rsid w:val="00101EDF"/>
    <w:rsid w:val="00107897"/>
    <w:rsid w:val="00114A20"/>
    <w:rsid w:val="00116DE1"/>
    <w:rsid w:val="00120D99"/>
    <w:rsid w:val="00121630"/>
    <w:rsid w:val="00126F44"/>
    <w:rsid w:val="001275C3"/>
    <w:rsid w:val="00127761"/>
    <w:rsid w:val="001350E9"/>
    <w:rsid w:val="00143309"/>
    <w:rsid w:val="00146EFA"/>
    <w:rsid w:val="00147809"/>
    <w:rsid w:val="00152B92"/>
    <w:rsid w:val="001572FA"/>
    <w:rsid w:val="001610AB"/>
    <w:rsid w:val="0016508F"/>
    <w:rsid w:val="00165250"/>
    <w:rsid w:val="001657DA"/>
    <w:rsid w:val="00166F58"/>
    <w:rsid w:val="00176602"/>
    <w:rsid w:val="00177F7A"/>
    <w:rsid w:val="00181E5D"/>
    <w:rsid w:val="00182131"/>
    <w:rsid w:val="00183365"/>
    <w:rsid w:val="00185393"/>
    <w:rsid w:val="00186224"/>
    <w:rsid w:val="00186FD0"/>
    <w:rsid w:val="001B1F55"/>
    <w:rsid w:val="001B3776"/>
    <w:rsid w:val="001B57A1"/>
    <w:rsid w:val="001B77B5"/>
    <w:rsid w:val="001C0754"/>
    <w:rsid w:val="001D5D6E"/>
    <w:rsid w:val="001D6082"/>
    <w:rsid w:val="001D7A58"/>
    <w:rsid w:val="001D7C30"/>
    <w:rsid w:val="001E29B1"/>
    <w:rsid w:val="001E5006"/>
    <w:rsid w:val="001E510C"/>
    <w:rsid w:val="001F3BA5"/>
    <w:rsid w:val="001F4F89"/>
    <w:rsid w:val="001F5375"/>
    <w:rsid w:val="001F66E9"/>
    <w:rsid w:val="002012FB"/>
    <w:rsid w:val="002037A9"/>
    <w:rsid w:val="0021120A"/>
    <w:rsid w:val="00222FC7"/>
    <w:rsid w:val="00224E2E"/>
    <w:rsid w:val="00227F21"/>
    <w:rsid w:val="00237A53"/>
    <w:rsid w:val="00237B6D"/>
    <w:rsid w:val="00241DF1"/>
    <w:rsid w:val="002427DA"/>
    <w:rsid w:val="00243D30"/>
    <w:rsid w:val="0025133D"/>
    <w:rsid w:val="002529CC"/>
    <w:rsid w:val="0027064E"/>
    <w:rsid w:val="00287FE9"/>
    <w:rsid w:val="00290387"/>
    <w:rsid w:val="00295726"/>
    <w:rsid w:val="002A7969"/>
    <w:rsid w:val="002B0FB0"/>
    <w:rsid w:val="002C62F9"/>
    <w:rsid w:val="002D20F5"/>
    <w:rsid w:val="002D26C6"/>
    <w:rsid w:val="002D2D8F"/>
    <w:rsid w:val="002E2BE0"/>
    <w:rsid w:val="002E3D36"/>
    <w:rsid w:val="002E505D"/>
    <w:rsid w:val="002F0595"/>
    <w:rsid w:val="002F2B6C"/>
    <w:rsid w:val="002F6574"/>
    <w:rsid w:val="002F77B6"/>
    <w:rsid w:val="00301BB1"/>
    <w:rsid w:val="003035ED"/>
    <w:rsid w:val="00310531"/>
    <w:rsid w:val="003143C0"/>
    <w:rsid w:val="00330F1C"/>
    <w:rsid w:val="00333173"/>
    <w:rsid w:val="003337E5"/>
    <w:rsid w:val="0033795C"/>
    <w:rsid w:val="00341E2D"/>
    <w:rsid w:val="003444F1"/>
    <w:rsid w:val="00346BED"/>
    <w:rsid w:val="00356316"/>
    <w:rsid w:val="0035677D"/>
    <w:rsid w:val="003579DA"/>
    <w:rsid w:val="00367BF3"/>
    <w:rsid w:val="00367D04"/>
    <w:rsid w:val="00372F0A"/>
    <w:rsid w:val="003840A1"/>
    <w:rsid w:val="00387B8F"/>
    <w:rsid w:val="00395FC4"/>
    <w:rsid w:val="003A04DF"/>
    <w:rsid w:val="003A21CF"/>
    <w:rsid w:val="003A39DA"/>
    <w:rsid w:val="003A7A5C"/>
    <w:rsid w:val="003B28C5"/>
    <w:rsid w:val="003B2950"/>
    <w:rsid w:val="003B2C4F"/>
    <w:rsid w:val="003B3B93"/>
    <w:rsid w:val="003B566C"/>
    <w:rsid w:val="003C7E11"/>
    <w:rsid w:val="003D1AE5"/>
    <w:rsid w:val="003D68D3"/>
    <w:rsid w:val="003D6B5C"/>
    <w:rsid w:val="003E748E"/>
    <w:rsid w:val="003F01C3"/>
    <w:rsid w:val="003F7566"/>
    <w:rsid w:val="00413173"/>
    <w:rsid w:val="00413ABC"/>
    <w:rsid w:val="00423E36"/>
    <w:rsid w:val="00424EE6"/>
    <w:rsid w:val="0043577E"/>
    <w:rsid w:val="00437543"/>
    <w:rsid w:val="00444257"/>
    <w:rsid w:val="00453E0C"/>
    <w:rsid w:val="0045542D"/>
    <w:rsid w:val="0045609D"/>
    <w:rsid w:val="004612A6"/>
    <w:rsid w:val="00462508"/>
    <w:rsid w:val="0046389D"/>
    <w:rsid w:val="004652C9"/>
    <w:rsid w:val="0046551C"/>
    <w:rsid w:val="004655B7"/>
    <w:rsid w:val="00466CCB"/>
    <w:rsid w:val="00466D40"/>
    <w:rsid w:val="0048102A"/>
    <w:rsid w:val="00482829"/>
    <w:rsid w:val="00486687"/>
    <w:rsid w:val="00490535"/>
    <w:rsid w:val="004A4B7F"/>
    <w:rsid w:val="004B0437"/>
    <w:rsid w:val="004B210D"/>
    <w:rsid w:val="004C1A02"/>
    <w:rsid w:val="004C2C29"/>
    <w:rsid w:val="004C53BD"/>
    <w:rsid w:val="004D4D0B"/>
    <w:rsid w:val="004D6229"/>
    <w:rsid w:val="004D6C29"/>
    <w:rsid w:val="004E69DB"/>
    <w:rsid w:val="004E718C"/>
    <w:rsid w:val="004F4AE2"/>
    <w:rsid w:val="004F5EA0"/>
    <w:rsid w:val="00510B63"/>
    <w:rsid w:val="00510FD5"/>
    <w:rsid w:val="0051610E"/>
    <w:rsid w:val="0052279D"/>
    <w:rsid w:val="00522E2D"/>
    <w:rsid w:val="00523CEE"/>
    <w:rsid w:val="00533044"/>
    <w:rsid w:val="00537004"/>
    <w:rsid w:val="00547536"/>
    <w:rsid w:val="00547753"/>
    <w:rsid w:val="00547EF3"/>
    <w:rsid w:val="005550AE"/>
    <w:rsid w:val="005555B7"/>
    <w:rsid w:val="0056483C"/>
    <w:rsid w:val="00564FE8"/>
    <w:rsid w:val="005676D8"/>
    <w:rsid w:val="00567EC4"/>
    <w:rsid w:val="00570384"/>
    <w:rsid w:val="00573587"/>
    <w:rsid w:val="00584C90"/>
    <w:rsid w:val="00591F91"/>
    <w:rsid w:val="0059218E"/>
    <w:rsid w:val="0059267B"/>
    <w:rsid w:val="00592D76"/>
    <w:rsid w:val="005A2041"/>
    <w:rsid w:val="005A55F7"/>
    <w:rsid w:val="005B152F"/>
    <w:rsid w:val="005B1FC6"/>
    <w:rsid w:val="005C28AB"/>
    <w:rsid w:val="005C3C2B"/>
    <w:rsid w:val="005C7E81"/>
    <w:rsid w:val="005D3577"/>
    <w:rsid w:val="005D3FEB"/>
    <w:rsid w:val="005D7FA5"/>
    <w:rsid w:val="005E1A52"/>
    <w:rsid w:val="005E5394"/>
    <w:rsid w:val="005E5845"/>
    <w:rsid w:val="005F2CC3"/>
    <w:rsid w:val="005F77DD"/>
    <w:rsid w:val="006103AE"/>
    <w:rsid w:val="00611972"/>
    <w:rsid w:val="006148CF"/>
    <w:rsid w:val="00616ACE"/>
    <w:rsid w:val="0062352C"/>
    <w:rsid w:val="00656111"/>
    <w:rsid w:val="00665C1D"/>
    <w:rsid w:val="006710D6"/>
    <w:rsid w:val="00676F5B"/>
    <w:rsid w:val="006804E3"/>
    <w:rsid w:val="0068058D"/>
    <w:rsid w:val="00681C51"/>
    <w:rsid w:val="00687769"/>
    <w:rsid w:val="0069335C"/>
    <w:rsid w:val="00695552"/>
    <w:rsid w:val="006A5E4B"/>
    <w:rsid w:val="006A6C7F"/>
    <w:rsid w:val="006B6261"/>
    <w:rsid w:val="006B67E5"/>
    <w:rsid w:val="006C08BE"/>
    <w:rsid w:val="006D1B50"/>
    <w:rsid w:val="006D523B"/>
    <w:rsid w:val="006D5CF4"/>
    <w:rsid w:val="006D5ED7"/>
    <w:rsid w:val="006D7931"/>
    <w:rsid w:val="006E678F"/>
    <w:rsid w:val="007012FC"/>
    <w:rsid w:val="007037A1"/>
    <w:rsid w:val="00711BC9"/>
    <w:rsid w:val="007143FD"/>
    <w:rsid w:val="007346FA"/>
    <w:rsid w:val="00741967"/>
    <w:rsid w:val="00743D07"/>
    <w:rsid w:val="00745057"/>
    <w:rsid w:val="00750338"/>
    <w:rsid w:val="00756B68"/>
    <w:rsid w:val="007633A7"/>
    <w:rsid w:val="0078126B"/>
    <w:rsid w:val="00792F66"/>
    <w:rsid w:val="00793D31"/>
    <w:rsid w:val="00796137"/>
    <w:rsid w:val="007A1379"/>
    <w:rsid w:val="007A7F8D"/>
    <w:rsid w:val="007C0E41"/>
    <w:rsid w:val="007E17D7"/>
    <w:rsid w:val="007E4936"/>
    <w:rsid w:val="007E79FE"/>
    <w:rsid w:val="007F0D56"/>
    <w:rsid w:val="0080060A"/>
    <w:rsid w:val="0080539A"/>
    <w:rsid w:val="00805C50"/>
    <w:rsid w:val="00817F04"/>
    <w:rsid w:val="0082464D"/>
    <w:rsid w:val="0083265A"/>
    <w:rsid w:val="0083384F"/>
    <w:rsid w:val="008357DA"/>
    <w:rsid w:val="008362AF"/>
    <w:rsid w:val="00840BB0"/>
    <w:rsid w:val="0086069D"/>
    <w:rsid w:val="008767C5"/>
    <w:rsid w:val="00876B68"/>
    <w:rsid w:val="0088019C"/>
    <w:rsid w:val="00881C57"/>
    <w:rsid w:val="00887B59"/>
    <w:rsid w:val="008907AC"/>
    <w:rsid w:val="00894A09"/>
    <w:rsid w:val="008A159B"/>
    <w:rsid w:val="008A15F5"/>
    <w:rsid w:val="008A17F4"/>
    <w:rsid w:val="008B680D"/>
    <w:rsid w:val="008B787A"/>
    <w:rsid w:val="008D5E73"/>
    <w:rsid w:val="008D6547"/>
    <w:rsid w:val="008E0DF5"/>
    <w:rsid w:val="008E151F"/>
    <w:rsid w:val="008E41B1"/>
    <w:rsid w:val="008E6982"/>
    <w:rsid w:val="008F02E6"/>
    <w:rsid w:val="00911143"/>
    <w:rsid w:val="00913D2E"/>
    <w:rsid w:val="00920C2B"/>
    <w:rsid w:val="00924AC2"/>
    <w:rsid w:val="00926A69"/>
    <w:rsid w:val="00933E1F"/>
    <w:rsid w:val="00937B72"/>
    <w:rsid w:val="00937FF5"/>
    <w:rsid w:val="00962812"/>
    <w:rsid w:val="00980BC3"/>
    <w:rsid w:val="00980C4E"/>
    <w:rsid w:val="00981C68"/>
    <w:rsid w:val="00985FC3"/>
    <w:rsid w:val="00996489"/>
    <w:rsid w:val="00996D3C"/>
    <w:rsid w:val="009A678A"/>
    <w:rsid w:val="009B1ECA"/>
    <w:rsid w:val="009B66DC"/>
    <w:rsid w:val="009C080F"/>
    <w:rsid w:val="009C177C"/>
    <w:rsid w:val="009C492C"/>
    <w:rsid w:val="009C54B9"/>
    <w:rsid w:val="009D347C"/>
    <w:rsid w:val="009D6C5E"/>
    <w:rsid w:val="009E4518"/>
    <w:rsid w:val="009E59A7"/>
    <w:rsid w:val="009F21AD"/>
    <w:rsid w:val="00A05BE2"/>
    <w:rsid w:val="00A16913"/>
    <w:rsid w:val="00A178AE"/>
    <w:rsid w:val="00A2223D"/>
    <w:rsid w:val="00A30E43"/>
    <w:rsid w:val="00A33EB0"/>
    <w:rsid w:val="00A3524E"/>
    <w:rsid w:val="00A463B3"/>
    <w:rsid w:val="00A479E7"/>
    <w:rsid w:val="00A7059B"/>
    <w:rsid w:val="00A72256"/>
    <w:rsid w:val="00A741EA"/>
    <w:rsid w:val="00A777B2"/>
    <w:rsid w:val="00A809DE"/>
    <w:rsid w:val="00A81A0C"/>
    <w:rsid w:val="00AB02E4"/>
    <w:rsid w:val="00AB4FF0"/>
    <w:rsid w:val="00AC2AAF"/>
    <w:rsid w:val="00AC50C9"/>
    <w:rsid w:val="00AC7078"/>
    <w:rsid w:val="00AC7697"/>
    <w:rsid w:val="00AD64BE"/>
    <w:rsid w:val="00AD7452"/>
    <w:rsid w:val="00AF4204"/>
    <w:rsid w:val="00B02926"/>
    <w:rsid w:val="00B03D20"/>
    <w:rsid w:val="00B1017F"/>
    <w:rsid w:val="00B117D3"/>
    <w:rsid w:val="00B14E55"/>
    <w:rsid w:val="00B14EB1"/>
    <w:rsid w:val="00B2386A"/>
    <w:rsid w:val="00B25D12"/>
    <w:rsid w:val="00B3227D"/>
    <w:rsid w:val="00B41F13"/>
    <w:rsid w:val="00B51F31"/>
    <w:rsid w:val="00B55769"/>
    <w:rsid w:val="00B6023C"/>
    <w:rsid w:val="00B6474B"/>
    <w:rsid w:val="00B73E6D"/>
    <w:rsid w:val="00B76935"/>
    <w:rsid w:val="00B77B05"/>
    <w:rsid w:val="00B801E8"/>
    <w:rsid w:val="00B8073A"/>
    <w:rsid w:val="00B837FA"/>
    <w:rsid w:val="00B94221"/>
    <w:rsid w:val="00B94D9A"/>
    <w:rsid w:val="00B964CC"/>
    <w:rsid w:val="00BA3959"/>
    <w:rsid w:val="00BA4196"/>
    <w:rsid w:val="00BA6D74"/>
    <w:rsid w:val="00BD1F53"/>
    <w:rsid w:val="00BD20AF"/>
    <w:rsid w:val="00BD6DF6"/>
    <w:rsid w:val="00BE6B12"/>
    <w:rsid w:val="00BE7915"/>
    <w:rsid w:val="00BF015A"/>
    <w:rsid w:val="00BF6288"/>
    <w:rsid w:val="00BF7CED"/>
    <w:rsid w:val="00C057F0"/>
    <w:rsid w:val="00C1700F"/>
    <w:rsid w:val="00C2747A"/>
    <w:rsid w:val="00C35AD3"/>
    <w:rsid w:val="00C41565"/>
    <w:rsid w:val="00C44CAA"/>
    <w:rsid w:val="00C44E08"/>
    <w:rsid w:val="00C50FEE"/>
    <w:rsid w:val="00C545E9"/>
    <w:rsid w:val="00C54F2E"/>
    <w:rsid w:val="00C56131"/>
    <w:rsid w:val="00C6525B"/>
    <w:rsid w:val="00C72C7D"/>
    <w:rsid w:val="00C77939"/>
    <w:rsid w:val="00C94EFE"/>
    <w:rsid w:val="00C9579D"/>
    <w:rsid w:val="00C95FE6"/>
    <w:rsid w:val="00C96499"/>
    <w:rsid w:val="00CA5A4C"/>
    <w:rsid w:val="00CB0062"/>
    <w:rsid w:val="00CB614E"/>
    <w:rsid w:val="00CC223C"/>
    <w:rsid w:val="00CD451A"/>
    <w:rsid w:val="00CD7AD7"/>
    <w:rsid w:val="00CE6719"/>
    <w:rsid w:val="00CF3AEB"/>
    <w:rsid w:val="00CF6CCF"/>
    <w:rsid w:val="00D20870"/>
    <w:rsid w:val="00D22EBD"/>
    <w:rsid w:val="00D25FF4"/>
    <w:rsid w:val="00D41EEC"/>
    <w:rsid w:val="00D474FD"/>
    <w:rsid w:val="00D5405E"/>
    <w:rsid w:val="00D56768"/>
    <w:rsid w:val="00D56B94"/>
    <w:rsid w:val="00D61B65"/>
    <w:rsid w:val="00D63FDD"/>
    <w:rsid w:val="00D765E1"/>
    <w:rsid w:val="00D87EC7"/>
    <w:rsid w:val="00D9121E"/>
    <w:rsid w:val="00DA12C1"/>
    <w:rsid w:val="00DA1681"/>
    <w:rsid w:val="00DA35D8"/>
    <w:rsid w:val="00DB4C13"/>
    <w:rsid w:val="00DD7D14"/>
    <w:rsid w:val="00DE34A1"/>
    <w:rsid w:val="00DF27AC"/>
    <w:rsid w:val="00DF3C8E"/>
    <w:rsid w:val="00E01365"/>
    <w:rsid w:val="00E05C27"/>
    <w:rsid w:val="00E072FE"/>
    <w:rsid w:val="00E07F5A"/>
    <w:rsid w:val="00E12C25"/>
    <w:rsid w:val="00E20D82"/>
    <w:rsid w:val="00E22DAF"/>
    <w:rsid w:val="00E24838"/>
    <w:rsid w:val="00E43F1E"/>
    <w:rsid w:val="00E5212D"/>
    <w:rsid w:val="00E531AC"/>
    <w:rsid w:val="00E60067"/>
    <w:rsid w:val="00E65E09"/>
    <w:rsid w:val="00E664FF"/>
    <w:rsid w:val="00E77AEA"/>
    <w:rsid w:val="00E85D58"/>
    <w:rsid w:val="00E90D86"/>
    <w:rsid w:val="00E910BA"/>
    <w:rsid w:val="00E94E0A"/>
    <w:rsid w:val="00E97E9D"/>
    <w:rsid w:val="00EA10F9"/>
    <w:rsid w:val="00EB3DD8"/>
    <w:rsid w:val="00EC0831"/>
    <w:rsid w:val="00EF4CFC"/>
    <w:rsid w:val="00EF5137"/>
    <w:rsid w:val="00EF6F6B"/>
    <w:rsid w:val="00F029CB"/>
    <w:rsid w:val="00F05096"/>
    <w:rsid w:val="00F054C4"/>
    <w:rsid w:val="00F071FA"/>
    <w:rsid w:val="00F104A8"/>
    <w:rsid w:val="00F12A33"/>
    <w:rsid w:val="00F224E1"/>
    <w:rsid w:val="00F30FD6"/>
    <w:rsid w:val="00F329BE"/>
    <w:rsid w:val="00F333BE"/>
    <w:rsid w:val="00F3659B"/>
    <w:rsid w:val="00F448CB"/>
    <w:rsid w:val="00F47C49"/>
    <w:rsid w:val="00F564EB"/>
    <w:rsid w:val="00F57A67"/>
    <w:rsid w:val="00F65524"/>
    <w:rsid w:val="00F67AE1"/>
    <w:rsid w:val="00F67DA4"/>
    <w:rsid w:val="00F769F5"/>
    <w:rsid w:val="00F81BFE"/>
    <w:rsid w:val="00F87C0F"/>
    <w:rsid w:val="00F95AB1"/>
    <w:rsid w:val="00FA55B5"/>
    <w:rsid w:val="00FB1F4D"/>
    <w:rsid w:val="00FB20D4"/>
    <w:rsid w:val="00FB6ECD"/>
    <w:rsid w:val="00FC35E1"/>
    <w:rsid w:val="00FC3F92"/>
    <w:rsid w:val="00FD56B1"/>
    <w:rsid w:val="00FE26D2"/>
    <w:rsid w:val="00FF0CEF"/>
    <w:rsid w:val="00FF15A6"/>
    <w:rsid w:val="00FF7A21"/>
    <w:rsid w:val="048557DF"/>
    <w:rsid w:val="0D0A0612"/>
    <w:rsid w:val="1922735C"/>
    <w:rsid w:val="19987A90"/>
    <w:rsid w:val="19AB31C5"/>
    <w:rsid w:val="1A3D2766"/>
    <w:rsid w:val="1C361722"/>
    <w:rsid w:val="1E715F75"/>
    <w:rsid w:val="22D0682B"/>
    <w:rsid w:val="237349B2"/>
    <w:rsid w:val="285C7DF7"/>
    <w:rsid w:val="2AB9575D"/>
    <w:rsid w:val="34234198"/>
    <w:rsid w:val="358B613D"/>
    <w:rsid w:val="3FA8352F"/>
    <w:rsid w:val="411B5F15"/>
    <w:rsid w:val="42FA713D"/>
    <w:rsid w:val="52305DD1"/>
    <w:rsid w:val="53EE3869"/>
    <w:rsid w:val="653545D2"/>
    <w:rsid w:val="73524B93"/>
    <w:rsid w:val="742F64AB"/>
    <w:rsid w:val="78DD32F0"/>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C977EF6"/>
  <w15:docId w15:val="{1DCD9B41-26C0-4AFB-BF6B-E7A935B2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rPr>
      <w:sz w:val="20"/>
      <w:szCs w:val="20"/>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ing1Char">
    <w:name w:val="Heading 1 Char"/>
    <w:basedOn w:val="DefaultParagraphFont"/>
    <w:link w:val="Heading1"/>
    <w:uiPriority w:val="9"/>
    <w:qFormat/>
    <w:rPr>
      <w:b/>
      <w:bCs/>
      <w:kern w:val="44"/>
      <w:sz w:val="44"/>
      <w:szCs w:val="44"/>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qFormat/>
    <w:rPr>
      <w:b/>
      <w:bCs/>
      <w:sz w:val="32"/>
      <w:szCs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sz w:val="28"/>
      <w:szCs w:val="28"/>
    </w:rPr>
  </w:style>
  <w:style w:type="character" w:customStyle="1" w:styleId="BalloonTextChar">
    <w:name w:val="Balloon Text Char"/>
    <w:basedOn w:val="DefaultParagraphFont"/>
    <w:link w:val="BalloonText"/>
    <w:uiPriority w:val="99"/>
    <w:semiHidden/>
    <w:qFormat/>
    <w:rPr>
      <w:sz w:val="18"/>
      <w:szCs w:val="18"/>
    </w:rPr>
  </w:style>
  <w:style w:type="paragraph" w:styleId="ListParagraph">
    <w:name w:val="List Paragraph"/>
    <w:basedOn w:val="Normal"/>
    <w:uiPriority w:val="34"/>
    <w:qFormat/>
    <w:pPr>
      <w:ind w:firstLineChars="200" w:firstLine="420"/>
    </w:p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1">
    <w:name w:val="正文1"/>
    <w:uiPriority w:val="99"/>
    <w:qFormat/>
    <w:pPr>
      <w:spacing w:line="276" w:lineRule="auto"/>
    </w:pPr>
    <w:rPr>
      <w:rFonts w:ascii="Arial" w:eastAsia="SimSun" w:hAnsi="Arial" w:cs="Arial"/>
      <w:color w:val="000000"/>
      <w:sz w:val="22"/>
      <w:lang w:val="pl-PL" w:eastAsia="pl-PL"/>
    </w:rPr>
  </w:style>
  <w:style w:type="character" w:styleId="Strong">
    <w:name w:val="Strong"/>
    <w:uiPriority w:val="22"/>
    <w:qFormat/>
    <w:rsid w:val="003B2950"/>
    <w:rPr>
      <w:b/>
      <w:bCs/>
    </w:rPr>
  </w:style>
  <w:style w:type="paragraph" w:styleId="NormalWeb">
    <w:name w:val="Normal (Web)"/>
    <w:basedOn w:val="Normal"/>
    <w:uiPriority w:val="99"/>
    <w:semiHidden/>
    <w:unhideWhenUsed/>
    <w:rsid w:val="0044425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737888">
      <w:bodyDiv w:val="1"/>
      <w:marLeft w:val="0"/>
      <w:marRight w:val="0"/>
      <w:marTop w:val="0"/>
      <w:marBottom w:val="0"/>
      <w:divBdr>
        <w:top w:val="none" w:sz="0" w:space="0" w:color="auto"/>
        <w:left w:val="none" w:sz="0" w:space="0" w:color="auto"/>
        <w:bottom w:val="none" w:sz="0" w:space="0" w:color="auto"/>
        <w:right w:val="none" w:sz="0" w:space="0" w:color="auto"/>
      </w:divBdr>
    </w:div>
    <w:div w:id="1069883592">
      <w:bodyDiv w:val="1"/>
      <w:marLeft w:val="0"/>
      <w:marRight w:val="0"/>
      <w:marTop w:val="0"/>
      <w:marBottom w:val="0"/>
      <w:divBdr>
        <w:top w:val="none" w:sz="0" w:space="0" w:color="auto"/>
        <w:left w:val="none" w:sz="0" w:space="0" w:color="auto"/>
        <w:bottom w:val="none" w:sz="0" w:space="0" w:color="auto"/>
        <w:right w:val="none" w:sz="0" w:space="0" w:color="auto"/>
      </w:divBdr>
    </w:div>
    <w:div w:id="1256785755">
      <w:bodyDiv w:val="1"/>
      <w:marLeft w:val="0"/>
      <w:marRight w:val="0"/>
      <w:marTop w:val="0"/>
      <w:marBottom w:val="0"/>
      <w:divBdr>
        <w:top w:val="none" w:sz="0" w:space="0" w:color="auto"/>
        <w:left w:val="none" w:sz="0" w:space="0" w:color="auto"/>
        <w:bottom w:val="none" w:sz="0" w:space="0" w:color="auto"/>
        <w:right w:val="none" w:sz="0" w:space="0" w:color="auto"/>
      </w:divBdr>
    </w:div>
    <w:div w:id="1283682552">
      <w:bodyDiv w:val="1"/>
      <w:marLeft w:val="0"/>
      <w:marRight w:val="0"/>
      <w:marTop w:val="0"/>
      <w:marBottom w:val="0"/>
      <w:divBdr>
        <w:top w:val="none" w:sz="0" w:space="0" w:color="auto"/>
        <w:left w:val="none" w:sz="0" w:space="0" w:color="auto"/>
        <w:bottom w:val="none" w:sz="0" w:space="0" w:color="auto"/>
        <w:right w:val="none" w:sz="0" w:space="0" w:color="auto"/>
      </w:divBdr>
    </w:div>
    <w:div w:id="1388186256">
      <w:bodyDiv w:val="1"/>
      <w:marLeft w:val="0"/>
      <w:marRight w:val="0"/>
      <w:marTop w:val="0"/>
      <w:marBottom w:val="0"/>
      <w:divBdr>
        <w:top w:val="none" w:sz="0" w:space="0" w:color="auto"/>
        <w:left w:val="none" w:sz="0" w:space="0" w:color="auto"/>
        <w:bottom w:val="none" w:sz="0" w:space="0" w:color="auto"/>
        <w:right w:val="none" w:sz="0" w:space="0" w:color="auto"/>
      </w:divBdr>
    </w:div>
    <w:div w:id="2090496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niuhuanzhangsci@sina.co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2A3878-6503-42A3-95CC-51B4E529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4346</Words>
  <Characters>24776</Characters>
  <Application>Microsoft Office Word</Application>
  <DocSecurity>0</DocSecurity>
  <Lines>206</Lines>
  <Paragraphs>58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29064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王朝阳</dc:creator>
  <dc:description>NE.Ref</dc:description>
  <cp:lastModifiedBy>Na Ma</cp:lastModifiedBy>
  <cp:revision>2</cp:revision>
  <cp:lastPrinted>2018-05-25T13:49:00Z</cp:lastPrinted>
  <dcterms:created xsi:type="dcterms:W3CDTF">2018-10-05T16:36:00Z</dcterms:created>
  <dcterms:modified xsi:type="dcterms:W3CDTF">2018-10-05T16:36:00Z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ies>
</file>