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DE206" w14:textId="77777777" w:rsidR="00007844" w:rsidRPr="000315B4" w:rsidRDefault="00007844" w:rsidP="007804E8">
      <w:pPr>
        <w:widowControl w:val="0"/>
        <w:adjustRightInd w:val="0"/>
        <w:snapToGrid w:val="0"/>
        <w:spacing w:line="360" w:lineRule="auto"/>
        <w:jc w:val="both"/>
        <w:rPr>
          <w:rFonts w:eastAsia="Times New Roman" w:cs="SimSun"/>
          <w:b/>
          <w:i/>
          <w:kern w:val="2"/>
          <w:sz w:val="24"/>
          <w:szCs w:val="24"/>
          <w:lang w:eastAsia="zh-CN" w:bidi="ar-SA"/>
        </w:rPr>
      </w:pPr>
      <w:r w:rsidRPr="000315B4">
        <w:rPr>
          <w:rFonts w:eastAsia="Times New Roman" w:cs="SimSun"/>
          <w:b/>
          <w:kern w:val="2"/>
          <w:sz w:val="24"/>
          <w:szCs w:val="24"/>
          <w:lang w:eastAsia="zh-CN" w:bidi="ar-SA"/>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0315B4">
        <w:rPr>
          <w:rFonts w:eastAsia="Times New Roman" w:cs="SimSun"/>
          <w:b/>
          <w:i/>
          <w:kern w:val="2"/>
          <w:sz w:val="24"/>
          <w:szCs w:val="24"/>
          <w:lang w:eastAsia="zh-CN" w:bidi="ar-SA"/>
        </w:rPr>
        <w:t xml:space="preserve">World Journal of </w:t>
      </w:r>
      <w:bookmarkStart w:id="7" w:name="OLE_LINK1222"/>
      <w:bookmarkStart w:id="8" w:name="OLE_LINK1223"/>
      <w:r w:rsidRPr="000315B4">
        <w:rPr>
          <w:rFonts w:eastAsia="Times New Roman" w:cs="SimSun"/>
          <w:b/>
          <w:i/>
          <w:kern w:val="2"/>
          <w:sz w:val="24"/>
          <w:szCs w:val="24"/>
          <w:lang w:eastAsia="zh-CN" w:bidi="ar-SA"/>
        </w:rPr>
        <w:t>Gastroenterology</w:t>
      </w:r>
      <w:bookmarkEnd w:id="0"/>
      <w:bookmarkEnd w:id="1"/>
      <w:bookmarkEnd w:id="2"/>
      <w:bookmarkEnd w:id="3"/>
      <w:bookmarkEnd w:id="4"/>
      <w:bookmarkEnd w:id="5"/>
      <w:bookmarkEnd w:id="6"/>
      <w:bookmarkEnd w:id="7"/>
      <w:bookmarkEnd w:id="8"/>
    </w:p>
    <w:p w14:paraId="6494E34F" w14:textId="77777777" w:rsidR="00007844" w:rsidRPr="000315B4" w:rsidRDefault="00007844" w:rsidP="007804E8">
      <w:pPr>
        <w:widowControl w:val="0"/>
        <w:adjustRightInd w:val="0"/>
        <w:snapToGrid w:val="0"/>
        <w:spacing w:line="360" w:lineRule="auto"/>
        <w:jc w:val="both"/>
        <w:rPr>
          <w:rFonts w:cs="Arial"/>
          <w:b/>
          <w:kern w:val="2"/>
          <w:sz w:val="24"/>
          <w:szCs w:val="24"/>
          <w:lang w:val="en" w:eastAsia="zh-CN" w:bidi="ar-SA"/>
        </w:rPr>
      </w:pPr>
      <w:r w:rsidRPr="000315B4">
        <w:rPr>
          <w:rFonts w:eastAsia="Times New Roman" w:cs="Times New Roman"/>
          <w:b/>
          <w:bCs/>
          <w:kern w:val="2"/>
          <w:sz w:val="24"/>
          <w:szCs w:val="24"/>
          <w:lang w:eastAsia="zh-CN" w:bidi="ar-SA"/>
        </w:rPr>
        <w:t>Manuscript NO</w:t>
      </w:r>
      <w:r w:rsidRPr="000315B4">
        <w:rPr>
          <w:rFonts w:cs="Arial"/>
          <w:b/>
          <w:kern w:val="2"/>
          <w:sz w:val="24"/>
          <w:szCs w:val="24"/>
          <w:lang w:val="en" w:eastAsia="zh-CN" w:bidi="ar-SA"/>
        </w:rPr>
        <w:t>: 41179</w:t>
      </w:r>
    </w:p>
    <w:p w14:paraId="3EE13374" w14:textId="77777777" w:rsidR="00007844" w:rsidRPr="000315B4" w:rsidRDefault="00007844" w:rsidP="007804E8">
      <w:pPr>
        <w:widowControl w:val="0"/>
        <w:adjustRightInd w:val="0"/>
        <w:snapToGrid w:val="0"/>
        <w:spacing w:line="360" w:lineRule="auto"/>
        <w:jc w:val="both"/>
        <w:rPr>
          <w:rFonts w:cs="Times New Roman"/>
          <w:b/>
          <w:kern w:val="2"/>
          <w:sz w:val="24"/>
          <w:szCs w:val="24"/>
          <w:lang w:eastAsia="zh-CN" w:bidi="ar-SA"/>
        </w:rPr>
      </w:pPr>
      <w:bookmarkStart w:id="9" w:name="OLE_LINK3"/>
      <w:bookmarkStart w:id="10" w:name="OLE_LINK4"/>
      <w:r w:rsidRPr="000315B4">
        <w:rPr>
          <w:rFonts w:cs="Times New Roman"/>
          <w:b/>
          <w:kern w:val="2"/>
          <w:sz w:val="24"/>
          <w:szCs w:val="24"/>
          <w:shd w:val="clear" w:color="auto" w:fill="FFFFFF"/>
          <w:lang w:eastAsia="zh-CN" w:bidi="ar-SA"/>
        </w:rPr>
        <w:t>Manuscript Type</w:t>
      </w:r>
      <w:r w:rsidRPr="000315B4">
        <w:rPr>
          <w:rFonts w:cs="Times New Roman"/>
          <w:b/>
          <w:kern w:val="2"/>
          <w:sz w:val="24"/>
          <w:szCs w:val="24"/>
          <w:lang w:eastAsia="zh-CN" w:bidi="ar-SA"/>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0315B4">
        <w:rPr>
          <w:rFonts w:cs="Times New Roman"/>
          <w:b/>
          <w:kern w:val="2"/>
          <w:sz w:val="24"/>
          <w:szCs w:val="24"/>
          <w:lang w:eastAsia="zh-CN" w:bidi="ar-SA"/>
        </w:rPr>
        <w:t>ORIGINAL ARTICLE</w:t>
      </w:r>
      <w:bookmarkEnd w:id="11"/>
      <w:bookmarkEnd w:id="12"/>
      <w:bookmarkEnd w:id="13"/>
      <w:bookmarkEnd w:id="14"/>
      <w:bookmarkEnd w:id="15"/>
      <w:bookmarkEnd w:id="16"/>
      <w:bookmarkEnd w:id="17"/>
      <w:bookmarkEnd w:id="18"/>
      <w:bookmarkEnd w:id="19"/>
      <w:bookmarkEnd w:id="20"/>
      <w:bookmarkEnd w:id="21"/>
      <w:bookmarkEnd w:id="22"/>
    </w:p>
    <w:p w14:paraId="607FB63D" w14:textId="77777777" w:rsidR="00007844" w:rsidRPr="000315B4" w:rsidRDefault="00007844" w:rsidP="007804E8">
      <w:pPr>
        <w:widowControl w:val="0"/>
        <w:adjustRightInd w:val="0"/>
        <w:snapToGrid w:val="0"/>
        <w:spacing w:line="360" w:lineRule="auto"/>
        <w:jc w:val="both"/>
        <w:rPr>
          <w:rFonts w:cs="Times New Roman"/>
          <w:b/>
          <w:kern w:val="2"/>
          <w:sz w:val="24"/>
          <w:szCs w:val="24"/>
          <w:lang w:eastAsia="zh-CN" w:bidi="ar-SA"/>
        </w:rPr>
      </w:pPr>
    </w:p>
    <w:p w14:paraId="1E7F3ED8" w14:textId="77777777" w:rsidR="00007844" w:rsidRPr="000315B4" w:rsidRDefault="00007844" w:rsidP="007804E8">
      <w:pPr>
        <w:pStyle w:val="Title"/>
        <w:widowControl w:val="0"/>
        <w:adjustRightInd w:val="0"/>
        <w:snapToGrid w:val="0"/>
        <w:spacing w:line="360" w:lineRule="auto"/>
        <w:contextualSpacing w:val="0"/>
        <w:jc w:val="both"/>
        <w:rPr>
          <w:rFonts w:ascii="Book Antiqua" w:eastAsia="DengXian" w:hAnsi="Book Antiqua"/>
          <w:b/>
          <w:i/>
          <w:sz w:val="24"/>
          <w:szCs w:val="24"/>
          <w:lang w:eastAsia="zh-CN"/>
        </w:rPr>
      </w:pPr>
      <w:r w:rsidRPr="000315B4">
        <w:rPr>
          <w:rFonts w:ascii="Book Antiqua" w:hAnsi="Book Antiqua"/>
          <w:b/>
          <w:i/>
          <w:sz w:val="24"/>
          <w:szCs w:val="24"/>
        </w:rPr>
        <w:t>Retrospective Cohort Study</w:t>
      </w:r>
    </w:p>
    <w:p w14:paraId="129AA18A" w14:textId="28154DCE" w:rsidR="004B2262" w:rsidRPr="000315B4" w:rsidRDefault="004B2262" w:rsidP="007804E8">
      <w:pPr>
        <w:pStyle w:val="Title"/>
        <w:widowControl w:val="0"/>
        <w:adjustRightInd w:val="0"/>
        <w:snapToGrid w:val="0"/>
        <w:spacing w:line="360" w:lineRule="auto"/>
        <w:contextualSpacing w:val="0"/>
        <w:jc w:val="both"/>
        <w:rPr>
          <w:rFonts w:ascii="Book Antiqua" w:hAnsi="Book Antiqua"/>
          <w:b/>
          <w:sz w:val="24"/>
          <w:szCs w:val="24"/>
        </w:rPr>
      </w:pPr>
      <w:bookmarkStart w:id="23" w:name="_Hlk523521278"/>
      <w:r w:rsidRPr="000315B4">
        <w:rPr>
          <w:rFonts w:ascii="Book Antiqua" w:hAnsi="Book Antiqua"/>
          <w:b/>
          <w:sz w:val="24"/>
          <w:szCs w:val="24"/>
        </w:rPr>
        <w:t xml:space="preserve">Barrett's </w:t>
      </w:r>
      <w:r w:rsidR="007804E8" w:rsidRPr="000315B4">
        <w:rPr>
          <w:rFonts w:ascii="Book Antiqua" w:hAnsi="Book Antiqua"/>
          <w:b/>
          <w:sz w:val="24"/>
          <w:szCs w:val="24"/>
        </w:rPr>
        <w:t>esophagus with high grade dysplasia is associated with non-esophageal cancer</w:t>
      </w:r>
    </w:p>
    <w:bookmarkEnd w:id="23"/>
    <w:p w14:paraId="5133E008" w14:textId="77777777" w:rsidR="002C27F3" w:rsidRPr="000315B4" w:rsidRDefault="002C27F3" w:rsidP="007804E8">
      <w:pPr>
        <w:widowControl w:val="0"/>
        <w:adjustRightInd w:val="0"/>
        <w:snapToGrid w:val="0"/>
        <w:spacing w:line="360" w:lineRule="auto"/>
        <w:jc w:val="both"/>
        <w:rPr>
          <w:sz w:val="24"/>
          <w:szCs w:val="24"/>
          <w:lang w:eastAsia="zh-CN"/>
        </w:rPr>
      </w:pPr>
    </w:p>
    <w:p w14:paraId="34855D48" w14:textId="73EE2FE6" w:rsidR="00293C68" w:rsidRPr="000315B4" w:rsidRDefault="007804E8" w:rsidP="007804E8">
      <w:pPr>
        <w:widowControl w:val="0"/>
        <w:adjustRightInd w:val="0"/>
        <w:snapToGrid w:val="0"/>
        <w:spacing w:line="360" w:lineRule="auto"/>
        <w:jc w:val="both"/>
        <w:rPr>
          <w:rFonts w:cs="Garamond"/>
          <w:sz w:val="24"/>
          <w:szCs w:val="24"/>
          <w:lang w:eastAsia="zh-CN"/>
        </w:rPr>
      </w:pPr>
      <w:r w:rsidRPr="000315B4">
        <w:rPr>
          <w:rFonts w:cs="Garamond"/>
          <w:sz w:val="24"/>
          <w:szCs w:val="24"/>
        </w:rPr>
        <w:t xml:space="preserve">Bar </w:t>
      </w:r>
      <w:r w:rsidRPr="000315B4">
        <w:rPr>
          <w:rFonts w:cs="Garamond" w:hint="eastAsia"/>
          <w:sz w:val="24"/>
          <w:szCs w:val="24"/>
          <w:lang w:eastAsia="zh-CN"/>
        </w:rPr>
        <w:t xml:space="preserve">N </w:t>
      </w:r>
      <w:r w:rsidRPr="000315B4">
        <w:rPr>
          <w:rFonts w:cs="Garamond" w:hint="eastAsia"/>
          <w:i/>
          <w:sz w:val="24"/>
          <w:szCs w:val="24"/>
          <w:lang w:eastAsia="zh-CN"/>
        </w:rPr>
        <w:t>et al</w:t>
      </w:r>
      <w:r w:rsidRPr="000315B4">
        <w:rPr>
          <w:rFonts w:cs="Garamond" w:hint="eastAsia"/>
          <w:sz w:val="24"/>
          <w:szCs w:val="24"/>
          <w:lang w:eastAsia="zh-CN"/>
        </w:rPr>
        <w:t xml:space="preserve">. </w:t>
      </w:r>
      <w:r w:rsidR="00A20318" w:rsidRPr="000315B4">
        <w:rPr>
          <w:rFonts w:cs="Garamond"/>
          <w:sz w:val="24"/>
          <w:szCs w:val="24"/>
        </w:rPr>
        <w:t xml:space="preserve">Non-esophageal </w:t>
      </w:r>
      <w:r w:rsidR="00293C68" w:rsidRPr="000315B4">
        <w:rPr>
          <w:rFonts w:cs="Garamond"/>
          <w:sz w:val="24"/>
          <w:szCs w:val="24"/>
        </w:rPr>
        <w:t>malignancies in</w:t>
      </w:r>
      <w:r w:rsidR="00A20318" w:rsidRPr="000315B4">
        <w:rPr>
          <w:rFonts w:cs="Garamond"/>
          <w:sz w:val="24"/>
          <w:szCs w:val="24"/>
        </w:rPr>
        <w:t xml:space="preserve"> </w:t>
      </w:r>
      <w:r w:rsidR="00293C68" w:rsidRPr="000315B4">
        <w:rPr>
          <w:rFonts w:cs="Garamond"/>
          <w:sz w:val="24"/>
          <w:szCs w:val="24"/>
        </w:rPr>
        <w:t>B</w:t>
      </w:r>
      <w:r w:rsidR="00A20318" w:rsidRPr="000315B4">
        <w:rPr>
          <w:rFonts w:cs="Garamond"/>
          <w:sz w:val="24"/>
          <w:szCs w:val="24"/>
        </w:rPr>
        <w:t>arrett’s esophagus</w:t>
      </w:r>
    </w:p>
    <w:p w14:paraId="13B077E1" w14:textId="77777777" w:rsidR="007804E8" w:rsidRPr="000315B4" w:rsidRDefault="007804E8" w:rsidP="007804E8">
      <w:pPr>
        <w:widowControl w:val="0"/>
        <w:adjustRightInd w:val="0"/>
        <w:snapToGrid w:val="0"/>
        <w:spacing w:line="360" w:lineRule="auto"/>
        <w:jc w:val="both"/>
        <w:rPr>
          <w:rFonts w:cs="Garamond"/>
          <w:sz w:val="24"/>
          <w:szCs w:val="24"/>
          <w:lang w:eastAsia="zh-CN"/>
        </w:rPr>
      </w:pPr>
    </w:p>
    <w:p w14:paraId="73F3A6D0" w14:textId="734F8FC1" w:rsidR="007804E8" w:rsidRPr="000315B4" w:rsidRDefault="007804E8" w:rsidP="007804E8">
      <w:pPr>
        <w:widowControl w:val="0"/>
        <w:adjustRightInd w:val="0"/>
        <w:snapToGrid w:val="0"/>
        <w:spacing w:line="360" w:lineRule="auto"/>
        <w:jc w:val="both"/>
        <w:rPr>
          <w:rFonts w:cs="Garamond"/>
          <w:sz w:val="24"/>
          <w:szCs w:val="24"/>
          <w:lang w:eastAsia="zh-CN"/>
        </w:rPr>
      </w:pPr>
      <w:r w:rsidRPr="000315B4">
        <w:rPr>
          <w:rFonts w:cs="Garamond"/>
          <w:sz w:val="24"/>
          <w:szCs w:val="24"/>
          <w:lang w:eastAsia="zh-CN"/>
        </w:rPr>
        <w:t>Nir Bar</w:t>
      </w:r>
      <w:r w:rsidRPr="000315B4">
        <w:rPr>
          <w:rFonts w:cs="Garamond" w:hint="eastAsia"/>
          <w:sz w:val="24"/>
          <w:szCs w:val="24"/>
          <w:lang w:eastAsia="zh-CN"/>
        </w:rPr>
        <w:t xml:space="preserve">, </w:t>
      </w:r>
      <w:r w:rsidRPr="000315B4">
        <w:rPr>
          <w:rFonts w:cs="Garamond"/>
          <w:sz w:val="24"/>
          <w:szCs w:val="24"/>
          <w:lang w:eastAsia="zh-CN"/>
        </w:rPr>
        <w:t>Naama Schwartz</w:t>
      </w:r>
      <w:r w:rsidRPr="000315B4">
        <w:rPr>
          <w:rFonts w:cs="Garamond" w:hint="eastAsia"/>
          <w:sz w:val="24"/>
          <w:szCs w:val="24"/>
          <w:lang w:eastAsia="zh-CN"/>
        </w:rPr>
        <w:t xml:space="preserve">, </w:t>
      </w:r>
      <w:r w:rsidRPr="000315B4">
        <w:rPr>
          <w:rFonts w:cs="Garamond"/>
          <w:sz w:val="24"/>
          <w:szCs w:val="24"/>
          <w:lang w:eastAsia="zh-CN"/>
        </w:rPr>
        <w:t>Michal Nissim, Naomi Fliss-Isacov, Shira Zelber-Sagi</w:t>
      </w:r>
      <w:r w:rsidRPr="000315B4">
        <w:rPr>
          <w:rFonts w:cs="Garamond" w:hint="eastAsia"/>
          <w:sz w:val="24"/>
          <w:szCs w:val="24"/>
          <w:lang w:eastAsia="zh-CN"/>
        </w:rPr>
        <w:t>,</w:t>
      </w:r>
      <w:r w:rsidRPr="000315B4">
        <w:rPr>
          <w:rFonts w:cs="Garamond"/>
          <w:sz w:val="24"/>
          <w:szCs w:val="24"/>
          <w:lang w:eastAsia="zh-CN"/>
        </w:rPr>
        <w:t xml:space="preserve"> Revital Kariv</w:t>
      </w:r>
    </w:p>
    <w:p w14:paraId="7B58687F" w14:textId="77777777" w:rsidR="00007844" w:rsidRPr="000315B4" w:rsidRDefault="00007844" w:rsidP="007804E8">
      <w:pPr>
        <w:widowControl w:val="0"/>
        <w:adjustRightInd w:val="0"/>
        <w:snapToGrid w:val="0"/>
        <w:spacing w:line="360" w:lineRule="auto"/>
        <w:jc w:val="both"/>
        <w:rPr>
          <w:sz w:val="24"/>
          <w:szCs w:val="24"/>
          <w:lang w:eastAsia="zh-CN"/>
        </w:rPr>
      </w:pPr>
    </w:p>
    <w:p w14:paraId="4A27E2B9" w14:textId="4CCBB0CE" w:rsidR="007804E8" w:rsidRPr="000315B4" w:rsidRDefault="007861CF" w:rsidP="007804E8">
      <w:pPr>
        <w:widowControl w:val="0"/>
        <w:adjustRightInd w:val="0"/>
        <w:snapToGrid w:val="0"/>
        <w:spacing w:line="360" w:lineRule="auto"/>
        <w:jc w:val="both"/>
        <w:rPr>
          <w:sz w:val="24"/>
          <w:szCs w:val="24"/>
          <w:lang w:eastAsia="zh-CN"/>
        </w:rPr>
      </w:pPr>
      <w:r w:rsidRPr="000315B4">
        <w:rPr>
          <w:b/>
          <w:bCs/>
          <w:sz w:val="24"/>
          <w:szCs w:val="24"/>
        </w:rPr>
        <w:t>Nir Bar, Naama Schwartz, Michal Nissim, Naomi Fliss-Isacov,</w:t>
      </w:r>
      <w:r w:rsidRPr="000315B4">
        <w:rPr>
          <w:sz w:val="24"/>
          <w:szCs w:val="24"/>
        </w:rPr>
        <w:t xml:space="preserve"> </w:t>
      </w:r>
      <w:r w:rsidR="007804E8" w:rsidRPr="000315B4">
        <w:rPr>
          <w:b/>
          <w:bCs/>
          <w:sz w:val="24"/>
          <w:szCs w:val="24"/>
        </w:rPr>
        <w:t xml:space="preserve">Shira Zelber-Sagi, </w:t>
      </w:r>
      <w:r w:rsidRPr="000315B4">
        <w:rPr>
          <w:b/>
          <w:bCs/>
          <w:sz w:val="24"/>
          <w:szCs w:val="24"/>
        </w:rPr>
        <w:t>Revital Kariv</w:t>
      </w:r>
      <w:r w:rsidR="007804E8" w:rsidRPr="000315B4">
        <w:rPr>
          <w:rFonts w:hint="eastAsia"/>
          <w:b/>
          <w:bCs/>
          <w:sz w:val="24"/>
          <w:szCs w:val="24"/>
          <w:lang w:eastAsia="zh-CN"/>
        </w:rPr>
        <w:t>,</w:t>
      </w:r>
      <w:r w:rsidRPr="000315B4">
        <w:rPr>
          <w:b/>
          <w:bCs/>
          <w:sz w:val="24"/>
          <w:szCs w:val="24"/>
        </w:rPr>
        <w:t xml:space="preserve"> </w:t>
      </w:r>
      <w:r w:rsidRPr="000315B4">
        <w:rPr>
          <w:sz w:val="24"/>
          <w:szCs w:val="24"/>
        </w:rPr>
        <w:t>Department of Gastroenterology</w:t>
      </w:r>
      <w:r w:rsidR="007804E8" w:rsidRPr="000315B4">
        <w:rPr>
          <w:rFonts w:hint="eastAsia"/>
          <w:sz w:val="24"/>
          <w:szCs w:val="24"/>
          <w:lang w:eastAsia="zh-CN"/>
        </w:rPr>
        <w:t>,</w:t>
      </w:r>
      <w:r w:rsidRPr="000315B4">
        <w:rPr>
          <w:sz w:val="24"/>
          <w:szCs w:val="24"/>
        </w:rPr>
        <w:t xml:space="preserve"> Tel Aviv Medical Center, Tel Aviv</w:t>
      </w:r>
      <w:r w:rsidR="007804E8" w:rsidRPr="000315B4">
        <w:rPr>
          <w:rFonts w:hint="eastAsia"/>
          <w:sz w:val="24"/>
          <w:szCs w:val="24"/>
          <w:lang w:eastAsia="zh-CN"/>
        </w:rPr>
        <w:t xml:space="preserve"> </w:t>
      </w:r>
      <w:r w:rsidR="007804E8" w:rsidRPr="000315B4">
        <w:rPr>
          <w:sz w:val="24"/>
          <w:szCs w:val="24"/>
          <w:lang w:eastAsia="zh-CN"/>
        </w:rPr>
        <w:t>6423906</w:t>
      </w:r>
      <w:r w:rsidRPr="000315B4">
        <w:rPr>
          <w:sz w:val="24"/>
          <w:szCs w:val="24"/>
        </w:rPr>
        <w:t>, Israel</w:t>
      </w:r>
    </w:p>
    <w:p w14:paraId="4983231D" w14:textId="77777777" w:rsidR="007804E8" w:rsidRPr="000315B4" w:rsidRDefault="007804E8" w:rsidP="007804E8">
      <w:pPr>
        <w:widowControl w:val="0"/>
        <w:adjustRightInd w:val="0"/>
        <w:snapToGrid w:val="0"/>
        <w:spacing w:line="360" w:lineRule="auto"/>
        <w:jc w:val="both"/>
        <w:rPr>
          <w:sz w:val="24"/>
          <w:szCs w:val="24"/>
          <w:lang w:eastAsia="zh-CN"/>
        </w:rPr>
      </w:pPr>
    </w:p>
    <w:p w14:paraId="02E91B20" w14:textId="0047F022" w:rsidR="007861CF" w:rsidRPr="000315B4" w:rsidRDefault="007804E8" w:rsidP="007804E8">
      <w:pPr>
        <w:widowControl w:val="0"/>
        <w:adjustRightInd w:val="0"/>
        <w:snapToGrid w:val="0"/>
        <w:spacing w:line="360" w:lineRule="auto"/>
        <w:jc w:val="both"/>
        <w:rPr>
          <w:sz w:val="24"/>
          <w:szCs w:val="24"/>
        </w:rPr>
      </w:pPr>
      <w:r w:rsidRPr="000315B4">
        <w:rPr>
          <w:b/>
          <w:bCs/>
          <w:sz w:val="24"/>
          <w:szCs w:val="24"/>
        </w:rPr>
        <w:t>Nir Bar, Naama Schwartz, Michal Nissim, Naomi Fliss-Isacov,</w:t>
      </w:r>
      <w:r w:rsidRPr="000315B4">
        <w:rPr>
          <w:sz w:val="24"/>
          <w:szCs w:val="24"/>
        </w:rPr>
        <w:t xml:space="preserve"> </w:t>
      </w:r>
      <w:r w:rsidRPr="000315B4">
        <w:rPr>
          <w:b/>
          <w:bCs/>
          <w:sz w:val="24"/>
          <w:szCs w:val="24"/>
        </w:rPr>
        <w:t>Revital Kariv</w:t>
      </w:r>
      <w:r w:rsidRPr="000315B4">
        <w:rPr>
          <w:rFonts w:hint="eastAsia"/>
          <w:b/>
          <w:bCs/>
          <w:sz w:val="24"/>
          <w:szCs w:val="24"/>
          <w:lang w:eastAsia="zh-CN"/>
        </w:rPr>
        <w:t>,</w:t>
      </w:r>
      <w:r w:rsidRPr="000315B4">
        <w:rPr>
          <w:b/>
          <w:bCs/>
          <w:sz w:val="24"/>
          <w:szCs w:val="24"/>
        </w:rPr>
        <w:t xml:space="preserve"> </w:t>
      </w:r>
      <w:r w:rsidRPr="000315B4">
        <w:rPr>
          <w:sz w:val="24"/>
          <w:szCs w:val="24"/>
        </w:rPr>
        <w:t>Faculty of Medicine</w:t>
      </w:r>
      <w:r w:rsidRPr="000315B4">
        <w:rPr>
          <w:rFonts w:hint="eastAsia"/>
          <w:sz w:val="24"/>
          <w:szCs w:val="24"/>
          <w:lang w:eastAsia="zh-CN"/>
        </w:rPr>
        <w:t>,</w:t>
      </w:r>
      <w:r w:rsidRPr="000315B4">
        <w:rPr>
          <w:sz w:val="24"/>
          <w:szCs w:val="24"/>
        </w:rPr>
        <w:t xml:space="preserve"> Tel Aviv University</w:t>
      </w:r>
      <w:r w:rsidR="007861CF" w:rsidRPr="000315B4">
        <w:rPr>
          <w:sz w:val="24"/>
          <w:szCs w:val="24"/>
        </w:rPr>
        <w:t>, Tel Aviv</w:t>
      </w:r>
      <w:r w:rsidRPr="000315B4">
        <w:rPr>
          <w:rFonts w:hint="eastAsia"/>
          <w:sz w:val="24"/>
          <w:szCs w:val="24"/>
          <w:lang w:eastAsia="zh-CN"/>
        </w:rPr>
        <w:t xml:space="preserve"> </w:t>
      </w:r>
      <w:r w:rsidRPr="000315B4">
        <w:rPr>
          <w:sz w:val="24"/>
          <w:szCs w:val="24"/>
          <w:lang w:eastAsia="zh-CN"/>
        </w:rPr>
        <w:t>6423906</w:t>
      </w:r>
      <w:r w:rsidR="007861CF" w:rsidRPr="000315B4">
        <w:rPr>
          <w:sz w:val="24"/>
          <w:szCs w:val="24"/>
        </w:rPr>
        <w:t>, Israel</w:t>
      </w:r>
    </w:p>
    <w:p w14:paraId="6B7A92CC" w14:textId="77777777" w:rsidR="003474E6" w:rsidRPr="000315B4" w:rsidRDefault="003474E6" w:rsidP="007804E8">
      <w:pPr>
        <w:widowControl w:val="0"/>
        <w:adjustRightInd w:val="0"/>
        <w:snapToGrid w:val="0"/>
        <w:spacing w:line="360" w:lineRule="auto"/>
        <w:jc w:val="both"/>
        <w:rPr>
          <w:b/>
          <w:bCs/>
          <w:sz w:val="24"/>
          <w:szCs w:val="24"/>
        </w:rPr>
      </w:pPr>
    </w:p>
    <w:p w14:paraId="585E8828" w14:textId="15D1B8FB" w:rsidR="003474E6" w:rsidRPr="000315B4" w:rsidRDefault="003474E6" w:rsidP="007804E8">
      <w:pPr>
        <w:widowControl w:val="0"/>
        <w:adjustRightInd w:val="0"/>
        <w:snapToGrid w:val="0"/>
        <w:spacing w:line="360" w:lineRule="auto"/>
        <w:jc w:val="both"/>
        <w:rPr>
          <w:sz w:val="24"/>
          <w:szCs w:val="24"/>
          <w:lang w:eastAsia="zh-CN"/>
        </w:rPr>
      </w:pPr>
      <w:r w:rsidRPr="000315B4">
        <w:rPr>
          <w:b/>
          <w:bCs/>
          <w:sz w:val="24"/>
          <w:szCs w:val="24"/>
        </w:rPr>
        <w:t>Shira Zelber-</w:t>
      </w:r>
      <w:r w:rsidR="007804E8" w:rsidRPr="000315B4">
        <w:rPr>
          <w:b/>
          <w:bCs/>
          <w:sz w:val="24"/>
          <w:szCs w:val="24"/>
        </w:rPr>
        <w:t>Sagi</w:t>
      </w:r>
      <w:r w:rsidRPr="000315B4">
        <w:rPr>
          <w:b/>
          <w:bCs/>
          <w:sz w:val="24"/>
          <w:szCs w:val="24"/>
        </w:rPr>
        <w:t xml:space="preserve">, </w:t>
      </w:r>
      <w:r w:rsidRPr="000315B4">
        <w:rPr>
          <w:sz w:val="24"/>
          <w:szCs w:val="24"/>
        </w:rPr>
        <w:t xml:space="preserve">School for </w:t>
      </w:r>
      <w:r w:rsidR="007804E8" w:rsidRPr="000315B4">
        <w:rPr>
          <w:sz w:val="24"/>
          <w:szCs w:val="24"/>
        </w:rPr>
        <w:t>Public Health</w:t>
      </w:r>
      <w:r w:rsidRPr="000315B4">
        <w:rPr>
          <w:sz w:val="24"/>
          <w:szCs w:val="24"/>
        </w:rPr>
        <w:t>, University of Haifa, Haifa</w:t>
      </w:r>
      <w:r w:rsidR="007804E8" w:rsidRPr="000315B4">
        <w:rPr>
          <w:rFonts w:hint="eastAsia"/>
          <w:sz w:val="24"/>
          <w:szCs w:val="24"/>
          <w:lang w:eastAsia="zh-CN"/>
        </w:rPr>
        <w:t xml:space="preserve"> </w:t>
      </w:r>
      <w:r w:rsidR="007804E8" w:rsidRPr="000315B4">
        <w:rPr>
          <w:sz w:val="24"/>
          <w:szCs w:val="24"/>
          <w:lang w:eastAsia="zh-CN"/>
        </w:rPr>
        <w:t>31905</w:t>
      </w:r>
      <w:r w:rsidR="007804E8" w:rsidRPr="000315B4">
        <w:rPr>
          <w:sz w:val="24"/>
          <w:szCs w:val="24"/>
        </w:rPr>
        <w:t>, Israel</w:t>
      </w:r>
    </w:p>
    <w:p w14:paraId="3D9A3DAC" w14:textId="77777777" w:rsidR="003474E6" w:rsidRPr="000315B4" w:rsidRDefault="003474E6" w:rsidP="007804E8">
      <w:pPr>
        <w:widowControl w:val="0"/>
        <w:adjustRightInd w:val="0"/>
        <w:snapToGrid w:val="0"/>
        <w:spacing w:line="360" w:lineRule="auto"/>
        <w:jc w:val="both"/>
        <w:rPr>
          <w:sz w:val="24"/>
          <w:szCs w:val="24"/>
        </w:rPr>
      </w:pPr>
    </w:p>
    <w:p w14:paraId="613CD2D6" w14:textId="1D28546B" w:rsidR="003474E6" w:rsidRPr="000315B4" w:rsidRDefault="003474E6" w:rsidP="007804E8">
      <w:pPr>
        <w:widowControl w:val="0"/>
        <w:adjustRightInd w:val="0"/>
        <w:snapToGrid w:val="0"/>
        <w:spacing w:line="360" w:lineRule="auto"/>
        <w:jc w:val="both"/>
        <w:rPr>
          <w:sz w:val="24"/>
          <w:szCs w:val="24"/>
          <w:lang w:eastAsia="zh-CN"/>
        </w:rPr>
      </w:pPr>
      <w:r w:rsidRPr="000315B4">
        <w:rPr>
          <w:b/>
          <w:bCs/>
          <w:sz w:val="24"/>
          <w:szCs w:val="24"/>
        </w:rPr>
        <w:t xml:space="preserve">ORCID </w:t>
      </w:r>
      <w:r w:rsidR="0040149A">
        <w:rPr>
          <w:rFonts w:hint="eastAsia"/>
          <w:b/>
          <w:bCs/>
          <w:sz w:val="24"/>
          <w:szCs w:val="24"/>
          <w:lang w:eastAsia="zh-CN"/>
        </w:rPr>
        <w:t xml:space="preserve">number: </w:t>
      </w:r>
      <w:r w:rsidRPr="000315B4">
        <w:rPr>
          <w:sz w:val="24"/>
          <w:szCs w:val="24"/>
        </w:rPr>
        <w:t>Nir Bar (0000-0002-6148-5668); Naama Schwartz (0000-0002-5238-4080); Michal Nissim (0000-0001-9423-7583); Naomi Fliss-Isacov (0000-0003-4849-0291); Shira Zelber-Sagi (0000-0002-1324-7497); Revital Kariv (0000-0002-3831-9020)</w:t>
      </w:r>
      <w:r w:rsidR="007804E8" w:rsidRPr="000315B4">
        <w:rPr>
          <w:rFonts w:hint="eastAsia"/>
          <w:sz w:val="24"/>
          <w:szCs w:val="24"/>
          <w:lang w:eastAsia="zh-CN"/>
        </w:rPr>
        <w:t>.</w:t>
      </w:r>
    </w:p>
    <w:p w14:paraId="75715666" w14:textId="77777777" w:rsidR="00007844" w:rsidRPr="000315B4" w:rsidRDefault="00007844" w:rsidP="007804E8">
      <w:pPr>
        <w:widowControl w:val="0"/>
        <w:adjustRightInd w:val="0"/>
        <w:snapToGrid w:val="0"/>
        <w:spacing w:line="360" w:lineRule="auto"/>
        <w:jc w:val="both"/>
        <w:rPr>
          <w:sz w:val="24"/>
          <w:szCs w:val="24"/>
          <w:lang w:eastAsia="zh-CN"/>
        </w:rPr>
      </w:pPr>
    </w:p>
    <w:p w14:paraId="180C6E29" w14:textId="5BC6C9B1" w:rsidR="00007844" w:rsidRPr="000315B4" w:rsidRDefault="00007844" w:rsidP="007804E8">
      <w:pPr>
        <w:widowControl w:val="0"/>
        <w:adjustRightInd w:val="0"/>
        <w:snapToGrid w:val="0"/>
        <w:spacing w:line="360" w:lineRule="auto"/>
        <w:jc w:val="both"/>
        <w:rPr>
          <w:rFonts w:cs="Times New Roman"/>
          <w:kern w:val="2"/>
          <w:sz w:val="24"/>
          <w:szCs w:val="24"/>
          <w:lang w:eastAsia="zh-CN" w:bidi="ar-SA"/>
        </w:rPr>
      </w:pPr>
      <w:bookmarkStart w:id="24" w:name="OLE_LINK18"/>
      <w:bookmarkStart w:id="25" w:name="OLE_LINK20"/>
      <w:r w:rsidRPr="000315B4">
        <w:rPr>
          <w:rFonts w:cs="Times New Roman"/>
          <w:b/>
          <w:kern w:val="2"/>
          <w:sz w:val="24"/>
          <w:szCs w:val="24"/>
          <w:lang w:val="en-GB" w:eastAsia="zh-CN" w:bidi="ar-SA"/>
        </w:rPr>
        <w:t>Author contributions:</w:t>
      </w:r>
      <w:bookmarkStart w:id="26" w:name="OLE_LINK959"/>
      <w:bookmarkStart w:id="27" w:name="OLE_LINK958"/>
      <w:bookmarkEnd w:id="24"/>
      <w:bookmarkEnd w:id="25"/>
      <w:r w:rsidR="003474E6" w:rsidRPr="000315B4">
        <w:rPr>
          <w:rFonts w:cs="Times New Roman"/>
          <w:b/>
          <w:kern w:val="2"/>
          <w:sz w:val="24"/>
          <w:szCs w:val="24"/>
          <w:lang w:val="en-GB" w:eastAsia="zh-CN" w:bidi="ar-SA"/>
        </w:rPr>
        <w:t xml:space="preserve"> </w:t>
      </w:r>
      <w:r w:rsidR="003474E6" w:rsidRPr="000315B4">
        <w:rPr>
          <w:rFonts w:cs="Times New Roman"/>
          <w:bCs/>
          <w:kern w:val="2"/>
          <w:sz w:val="24"/>
          <w:szCs w:val="24"/>
          <w:lang w:val="en-GB" w:eastAsia="zh-CN" w:bidi="ar-SA"/>
        </w:rPr>
        <w:t>Kariv</w:t>
      </w:r>
      <w:r w:rsidRPr="000315B4">
        <w:rPr>
          <w:rFonts w:cs="Times New Roman"/>
          <w:kern w:val="2"/>
          <w:sz w:val="24"/>
          <w:szCs w:val="24"/>
          <w:lang w:eastAsia="zh-CN" w:bidi="ar-SA"/>
        </w:rPr>
        <w:t xml:space="preserve"> </w:t>
      </w:r>
      <w:bookmarkEnd w:id="26"/>
      <w:bookmarkEnd w:id="27"/>
      <w:r w:rsidR="003474E6" w:rsidRPr="000315B4">
        <w:rPr>
          <w:rFonts w:cs="Times New Roman"/>
          <w:kern w:val="2"/>
          <w:sz w:val="24"/>
          <w:szCs w:val="24"/>
          <w:lang w:eastAsia="zh-CN" w:bidi="ar-SA"/>
        </w:rPr>
        <w:t>R designed the study; Nissim M and Bar N collected the data; Schwartz N</w:t>
      </w:r>
      <w:r w:rsidR="00DA61A3" w:rsidRPr="000315B4">
        <w:rPr>
          <w:rFonts w:cs="Times New Roman"/>
          <w:kern w:val="2"/>
          <w:sz w:val="24"/>
          <w:szCs w:val="24"/>
          <w:lang w:eastAsia="zh-CN" w:bidi="ar-SA"/>
        </w:rPr>
        <w:t xml:space="preserve"> Fliss-Isakov N</w:t>
      </w:r>
      <w:r w:rsidR="001F64E1">
        <w:rPr>
          <w:rFonts w:cs="Times New Roman" w:hint="eastAsia"/>
          <w:kern w:val="2"/>
          <w:sz w:val="24"/>
          <w:szCs w:val="24"/>
          <w:lang w:eastAsia="zh-CN" w:bidi="ar-SA"/>
        </w:rPr>
        <w:t xml:space="preserve"> </w:t>
      </w:r>
      <w:r w:rsidR="00DA61A3" w:rsidRPr="000315B4">
        <w:rPr>
          <w:rFonts w:cs="Times New Roman"/>
          <w:kern w:val="2"/>
          <w:sz w:val="24"/>
          <w:szCs w:val="24"/>
          <w:lang w:eastAsia="zh-CN" w:bidi="ar-SA"/>
        </w:rPr>
        <w:t xml:space="preserve">and </w:t>
      </w:r>
      <w:r w:rsidR="003474E6" w:rsidRPr="000315B4">
        <w:rPr>
          <w:rFonts w:cs="Times New Roman"/>
          <w:kern w:val="2"/>
          <w:sz w:val="24"/>
          <w:szCs w:val="24"/>
          <w:lang w:eastAsia="zh-CN" w:bidi="ar-SA"/>
        </w:rPr>
        <w:t>Bar N</w:t>
      </w:r>
      <w:r w:rsidR="00830AAB" w:rsidRPr="000315B4">
        <w:rPr>
          <w:rFonts w:cs="Times New Roman" w:hint="eastAsia"/>
          <w:kern w:val="2"/>
          <w:sz w:val="24"/>
          <w:szCs w:val="24"/>
          <w:lang w:eastAsia="zh-CN" w:bidi="ar-SA"/>
        </w:rPr>
        <w:t xml:space="preserve"> did the</w:t>
      </w:r>
      <w:r w:rsidR="00DA61A3" w:rsidRPr="000315B4">
        <w:rPr>
          <w:rFonts w:cs="Times New Roman"/>
          <w:kern w:val="2"/>
          <w:sz w:val="24"/>
          <w:szCs w:val="24"/>
          <w:lang w:eastAsia="zh-CN" w:bidi="ar-SA"/>
        </w:rPr>
        <w:t xml:space="preserve"> statistical analysis; Bar N, Kariv R, and Zelber-Sagi S prepared the manuscript; Bar N, Kariv R, Zelber-Sagi S, Fliss-Isakov N</w:t>
      </w:r>
      <w:r w:rsidR="001F64E1">
        <w:rPr>
          <w:rFonts w:cs="Times New Roman" w:hint="eastAsia"/>
          <w:kern w:val="2"/>
          <w:sz w:val="24"/>
          <w:szCs w:val="24"/>
          <w:lang w:eastAsia="zh-CN" w:bidi="ar-SA"/>
        </w:rPr>
        <w:t xml:space="preserve"> </w:t>
      </w:r>
      <w:r w:rsidR="006F32AC" w:rsidRPr="000315B4">
        <w:rPr>
          <w:rFonts w:cs="Times New Roman"/>
          <w:kern w:val="2"/>
          <w:sz w:val="24"/>
          <w:szCs w:val="24"/>
          <w:lang w:eastAsia="zh-CN" w:bidi="ar-SA"/>
        </w:rPr>
        <w:t>and Schwartz</w:t>
      </w:r>
      <w:r w:rsidR="00DA61A3" w:rsidRPr="000315B4">
        <w:rPr>
          <w:rFonts w:cs="Times New Roman"/>
          <w:kern w:val="2"/>
          <w:sz w:val="24"/>
          <w:szCs w:val="24"/>
          <w:lang w:eastAsia="zh-CN" w:bidi="ar-SA"/>
        </w:rPr>
        <w:t xml:space="preserve"> N critical</w:t>
      </w:r>
      <w:r w:rsidR="00830AAB" w:rsidRPr="000315B4">
        <w:rPr>
          <w:rFonts w:cs="Times New Roman" w:hint="eastAsia"/>
          <w:kern w:val="2"/>
          <w:sz w:val="24"/>
          <w:szCs w:val="24"/>
          <w:lang w:eastAsia="zh-CN" w:bidi="ar-SA"/>
        </w:rPr>
        <w:t>ly</w:t>
      </w:r>
      <w:r w:rsidR="00DA61A3" w:rsidRPr="000315B4">
        <w:rPr>
          <w:rFonts w:cs="Times New Roman"/>
          <w:kern w:val="2"/>
          <w:sz w:val="24"/>
          <w:szCs w:val="24"/>
          <w:lang w:eastAsia="zh-CN" w:bidi="ar-SA"/>
        </w:rPr>
        <w:t xml:space="preserve"> review</w:t>
      </w:r>
      <w:r w:rsidR="00830AAB" w:rsidRPr="000315B4">
        <w:rPr>
          <w:rFonts w:cs="Times New Roman" w:hint="eastAsia"/>
          <w:kern w:val="2"/>
          <w:sz w:val="24"/>
          <w:szCs w:val="24"/>
          <w:lang w:eastAsia="zh-CN" w:bidi="ar-SA"/>
        </w:rPr>
        <w:t>ed</w:t>
      </w:r>
      <w:r w:rsidR="00DA61A3" w:rsidRPr="000315B4">
        <w:rPr>
          <w:rFonts w:cs="Times New Roman"/>
          <w:kern w:val="2"/>
          <w:sz w:val="24"/>
          <w:szCs w:val="24"/>
          <w:lang w:eastAsia="zh-CN" w:bidi="ar-SA"/>
        </w:rPr>
        <w:t xml:space="preserve"> the manuscript</w:t>
      </w:r>
      <w:r w:rsidR="00830AAB" w:rsidRPr="000315B4">
        <w:rPr>
          <w:rFonts w:cs="Times New Roman" w:hint="eastAsia"/>
          <w:kern w:val="2"/>
          <w:sz w:val="24"/>
          <w:szCs w:val="24"/>
          <w:lang w:eastAsia="zh-CN" w:bidi="ar-SA"/>
        </w:rPr>
        <w:t>.</w:t>
      </w:r>
    </w:p>
    <w:p w14:paraId="2FEACBF9" w14:textId="77777777" w:rsidR="00007844" w:rsidRPr="000315B4" w:rsidRDefault="00007844" w:rsidP="007804E8">
      <w:pPr>
        <w:widowControl w:val="0"/>
        <w:adjustRightInd w:val="0"/>
        <w:snapToGrid w:val="0"/>
        <w:spacing w:line="360" w:lineRule="auto"/>
        <w:jc w:val="both"/>
        <w:rPr>
          <w:sz w:val="24"/>
          <w:szCs w:val="24"/>
          <w:lang w:eastAsia="zh-CN"/>
        </w:rPr>
      </w:pPr>
    </w:p>
    <w:p w14:paraId="5D9FE852" w14:textId="2B3E1BF8" w:rsidR="00007844" w:rsidRPr="000315B4" w:rsidRDefault="00007844" w:rsidP="007804E8">
      <w:pPr>
        <w:widowControl w:val="0"/>
        <w:adjustRightInd w:val="0"/>
        <w:snapToGrid w:val="0"/>
        <w:spacing w:line="360" w:lineRule="auto"/>
        <w:jc w:val="both"/>
        <w:rPr>
          <w:b/>
          <w:sz w:val="24"/>
          <w:szCs w:val="24"/>
          <w:lang w:eastAsia="zh-CN"/>
        </w:rPr>
      </w:pPr>
      <w:r w:rsidRPr="000315B4">
        <w:rPr>
          <w:b/>
          <w:sz w:val="24"/>
          <w:szCs w:val="24"/>
        </w:rPr>
        <w:t>Institutional review board statement</w:t>
      </w:r>
      <w:r w:rsidRPr="000315B4">
        <w:rPr>
          <w:b/>
          <w:bCs/>
          <w:iCs/>
          <w:sz w:val="24"/>
          <w:szCs w:val="24"/>
        </w:rPr>
        <w:t>:</w:t>
      </w:r>
      <w:r w:rsidRPr="000315B4">
        <w:rPr>
          <w:sz w:val="24"/>
          <w:szCs w:val="24"/>
          <w:lang w:val="en-GB"/>
        </w:rPr>
        <w:t xml:space="preserve"> </w:t>
      </w:r>
      <w:r w:rsidR="00B30BBF" w:rsidRPr="000315B4">
        <w:rPr>
          <w:sz w:val="24"/>
          <w:szCs w:val="24"/>
          <w:lang w:val="en-GB"/>
        </w:rPr>
        <w:t>The study was reviewed and approved for publication by our Institutional Review board</w:t>
      </w:r>
      <w:r w:rsidR="00830AAB" w:rsidRPr="000315B4">
        <w:rPr>
          <w:rFonts w:hint="eastAsia"/>
          <w:sz w:val="24"/>
          <w:szCs w:val="24"/>
          <w:lang w:val="en-GB" w:eastAsia="zh-CN"/>
        </w:rPr>
        <w:t xml:space="preserve"> </w:t>
      </w:r>
      <w:r w:rsidR="000D6EB9" w:rsidRPr="000315B4">
        <w:rPr>
          <w:sz w:val="24"/>
          <w:szCs w:val="24"/>
          <w:lang w:val="en-GB"/>
        </w:rPr>
        <w:t>(</w:t>
      </w:r>
      <w:r w:rsidR="00830AAB" w:rsidRPr="000315B4">
        <w:rPr>
          <w:sz w:val="24"/>
          <w:szCs w:val="24"/>
        </w:rPr>
        <w:t>protocol number 0022-09)</w:t>
      </w:r>
      <w:r w:rsidR="00830AAB" w:rsidRPr="000315B4">
        <w:rPr>
          <w:rFonts w:hint="eastAsia"/>
          <w:sz w:val="24"/>
          <w:szCs w:val="24"/>
          <w:lang w:eastAsia="zh-CN"/>
        </w:rPr>
        <w:t>.</w:t>
      </w:r>
    </w:p>
    <w:p w14:paraId="5AA07BF6" w14:textId="77777777" w:rsidR="00007844" w:rsidRPr="000315B4" w:rsidRDefault="00007844" w:rsidP="007804E8">
      <w:pPr>
        <w:widowControl w:val="0"/>
        <w:autoSpaceDE w:val="0"/>
        <w:autoSpaceDN w:val="0"/>
        <w:adjustRightInd w:val="0"/>
        <w:snapToGrid w:val="0"/>
        <w:spacing w:line="360" w:lineRule="auto"/>
        <w:jc w:val="both"/>
        <w:rPr>
          <w:b/>
          <w:bCs/>
          <w:iCs/>
          <w:sz w:val="24"/>
          <w:szCs w:val="24"/>
          <w:lang w:val="en-GB"/>
        </w:rPr>
      </w:pPr>
    </w:p>
    <w:p w14:paraId="59C074F7" w14:textId="5B85AC3C" w:rsidR="00007844" w:rsidRPr="000315B4" w:rsidRDefault="00007844" w:rsidP="007804E8">
      <w:pPr>
        <w:widowControl w:val="0"/>
        <w:adjustRightInd w:val="0"/>
        <w:snapToGrid w:val="0"/>
        <w:spacing w:line="360" w:lineRule="auto"/>
        <w:jc w:val="both"/>
        <w:rPr>
          <w:b/>
          <w:sz w:val="24"/>
          <w:szCs w:val="24"/>
        </w:rPr>
      </w:pPr>
      <w:r w:rsidRPr="000315B4">
        <w:rPr>
          <w:b/>
          <w:sz w:val="24"/>
          <w:szCs w:val="24"/>
        </w:rPr>
        <w:t>Informed consent statement</w:t>
      </w:r>
      <w:r w:rsidRPr="000315B4">
        <w:rPr>
          <w:b/>
          <w:bCs/>
          <w:iCs/>
          <w:sz w:val="24"/>
          <w:szCs w:val="24"/>
          <w:lang w:eastAsia="zh-CN"/>
        </w:rPr>
        <w:t>:</w:t>
      </w:r>
      <w:r w:rsidR="00830AAB" w:rsidRPr="000315B4">
        <w:rPr>
          <w:rFonts w:hint="eastAsia"/>
          <w:b/>
          <w:bCs/>
          <w:iCs/>
          <w:sz w:val="24"/>
          <w:szCs w:val="24"/>
          <w:lang w:eastAsia="zh-CN"/>
        </w:rPr>
        <w:t xml:space="preserve"> </w:t>
      </w:r>
      <w:r w:rsidR="00B30BBF" w:rsidRPr="000315B4">
        <w:rPr>
          <w:iCs/>
          <w:sz w:val="24"/>
          <w:szCs w:val="24"/>
        </w:rPr>
        <w:t>Informed consent was waivered by the Institutional review board.</w:t>
      </w:r>
    </w:p>
    <w:p w14:paraId="47541773" w14:textId="77777777" w:rsidR="00007844" w:rsidRPr="000315B4" w:rsidRDefault="00007844" w:rsidP="007804E8">
      <w:pPr>
        <w:widowControl w:val="0"/>
        <w:adjustRightInd w:val="0"/>
        <w:snapToGrid w:val="0"/>
        <w:spacing w:line="360" w:lineRule="auto"/>
        <w:jc w:val="both"/>
        <w:rPr>
          <w:sz w:val="24"/>
          <w:szCs w:val="24"/>
          <w:lang w:val="en-GB" w:eastAsia="zh-CN"/>
        </w:rPr>
      </w:pPr>
    </w:p>
    <w:p w14:paraId="001469F4" w14:textId="77777777" w:rsidR="00007844" w:rsidRPr="000315B4" w:rsidRDefault="00007844" w:rsidP="007804E8">
      <w:pPr>
        <w:widowControl w:val="0"/>
        <w:adjustRightInd w:val="0"/>
        <w:snapToGrid w:val="0"/>
        <w:spacing w:line="360" w:lineRule="auto"/>
        <w:jc w:val="both"/>
        <w:rPr>
          <w:b/>
          <w:sz w:val="24"/>
          <w:szCs w:val="24"/>
        </w:rPr>
      </w:pPr>
      <w:r w:rsidRPr="000315B4">
        <w:rPr>
          <w:b/>
          <w:sz w:val="24"/>
          <w:szCs w:val="24"/>
        </w:rPr>
        <w:t>Conflict-of-interest statement</w:t>
      </w:r>
      <w:r w:rsidRPr="000315B4">
        <w:rPr>
          <w:rFonts w:cs="TimesNewRomanPS-BoldItalicMT"/>
          <w:b/>
          <w:bCs/>
          <w:iCs/>
          <w:sz w:val="24"/>
          <w:szCs w:val="24"/>
          <w:lang w:eastAsia="zh-CN"/>
        </w:rPr>
        <w:t>:</w:t>
      </w:r>
      <w:r w:rsidRPr="000315B4">
        <w:rPr>
          <w:sz w:val="24"/>
          <w:szCs w:val="24"/>
          <w:lang w:val="en-GB"/>
        </w:rPr>
        <w:t xml:space="preserve"> </w:t>
      </w:r>
      <w:r w:rsidR="00B30BBF" w:rsidRPr="000315B4">
        <w:rPr>
          <w:sz w:val="24"/>
          <w:szCs w:val="24"/>
          <w:lang w:val="en-GB"/>
        </w:rPr>
        <w:t>All the Authors have no conflict of interest related to the manuscript</w:t>
      </w:r>
    </w:p>
    <w:p w14:paraId="2A315A95" w14:textId="77777777" w:rsidR="00007844" w:rsidRPr="000315B4" w:rsidRDefault="00007844" w:rsidP="007804E8">
      <w:pPr>
        <w:widowControl w:val="0"/>
        <w:adjustRightInd w:val="0"/>
        <w:snapToGrid w:val="0"/>
        <w:spacing w:line="360" w:lineRule="auto"/>
        <w:jc w:val="both"/>
        <w:rPr>
          <w:sz w:val="24"/>
          <w:szCs w:val="24"/>
          <w:lang w:val="en-GB"/>
        </w:rPr>
      </w:pPr>
    </w:p>
    <w:p w14:paraId="63410A46" w14:textId="1460B2AD" w:rsidR="00007844" w:rsidRPr="000315B4" w:rsidRDefault="00007844" w:rsidP="007804E8">
      <w:pPr>
        <w:widowControl w:val="0"/>
        <w:adjustRightInd w:val="0"/>
        <w:snapToGrid w:val="0"/>
        <w:spacing w:line="360" w:lineRule="auto"/>
        <w:jc w:val="both"/>
        <w:rPr>
          <w:rStyle w:val="Hyperlink"/>
          <w:color w:val="auto"/>
          <w:sz w:val="24"/>
          <w:szCs w:val="24"/>
          <w:u w:val="none"/>
          <w:lang w:eastAsia="zh-CN"/>
        </w:rPr>
      </w:pPr>
      <w:r w:rsidRPr="000315B4">
        <w:rPr>
          <w:rFonts w:cs="TimesNewRomanPS-BoldItalicMT"/>
          <w:b/>
          <w:bCs/>
          <w:iCs/>
          <w:sz w:val="24"/>
          <w:szCs w:val="24"/>
        </w:rPr>
        <w:t xml:space="preserve">Data sharing </w:t>
      </w:r>
      <w:r w:rsidRPr="000315B4">
        <w:rPr>
          <w:b/>
          <w:sz w:val="24"/>
          <w:szCs w:val="24"/>
        </w:rPr>
        <w:t>statement</w:t>
      </w:r>
      <w:r w:rsidRPr="000315B4">
        <w:rPr>
          <w:rFonts w:cs="TimesNewRomanPS-BoldItalicMT"/>
          <w:b/>
          <w:bCs/>
          <w:iCs/>
          <w:sz w:val="24"/>
          <w:szCs w:val="24"/>
          <w:lang w:eastAsia="zh-CN"/>
        </w:rPr>
        <w:t>:</w:t>
      </w:r>
      <w:r w:rsidRPr="000315B4">
        <w:rPr>
          <w:sz w:val="24"/>
          <w:szCs w:val="24"/>
          <w:lang w:val="en-GB"/>
        </w:rPr>
        <w:t xml:space="preserve"> </w:t>
      </w:r>
      <w:r w:rsidR="00B30BBF" w:rsidRPr="000315B4">
        <w:rPr>
          <w:sz w:val="24"/>
          <w:szCs w:val="24"/>
          <w:lang w:val="en-GB"/>
        </w:rPr>
        <w:t xml:space="preserve">The original anonymous dataset is available on request from the </w:t>
      </w:r>
      <w:r w:rsidR="006F32AC" w:rsidRPr="000315B4">
        <w:rPr>
          <w:sz w:val="24"/>
          <w:szCs w:val="24"/>
          <w:lang w:val="en-GB"/>
        </w:rPr>
        <w:t xml:space="preserve">corresponding author at </w:t>
      </w:r>
      <w:hyperlink r:id="rId8" w:history="1">
        <w:r w:rsidR="006F32AC" w:rsidRPr="000315B4">
          <w:rPr>
            <w:rStyle w:val="Hyperlink"/>
            <w:color w:val="auto"/>
            <w:sz w:val="24"/>
            <w:szCs w:val="24"/>
            <w:u w:val="none"/>
          </w:rPr>
          <w:t>revitalk@tlvmc.gov.il</w:t>
        </w:r>
      </w:hyperlink>
      <w:r w:rsidR="00830AAB" w:rsidRPr="000315B4">
        <w:rPr>
          <w:rStyle w:val="Hyperlink"/>
          <w:rFonts w:hint="eastAsia"/>
          <w:color w:val="auto"/>
          <w:sz w:val="24"/>
          <w:szCs w:val="24"/>
          <w:u w:val="none"/>
          <w:lang w:eastAsia="zh-CN"/>
        </w:rPr>
        <w:t>.</w:t>
      </w:r>
    </w:p>
    <w:p w14:paraId="322D714F" w14:textId="77777777" w:rsidR="00830AAB" w:rsidRPr="000315B4" w:rsidRDefault="00830AAB" w:rsidP="007804E8">
      <w:pPr>
        <w:widowControl w:val="0"/>
        <w:adjustRightInd w:val="0"/>
        <w:snapToGrid w:val="0"/>
        <w:spacing w:line="360" w:lineRule="auto"/>
        <w:jc w:val="both"/>
        <w:rPr>
          <w:rFonts w:cs="Arial"/>
          <w:b/>
          <w:sz w:val="24"/>
          <w:szCs w:val="24"/>
          <w:lang w:eastAsia="zh-CN"/>
        </w:rPr>
      </w:pPr>
    </w:p>
    <w:p w14:paraId="51341A50" w14:textId="54B795DB" w:rsidR="004B2262" w:rsidRPr="000315B4" w:rsidRDefault="00007844" w:rsidP="007804E8">
      <w:pPr>
        <w:widowControl w:val="0"/>
        <w:adjustRightInd w:val="0"/>
        <w:snapToGrid w:val="0"/>
        <w:spacing w:line="360" w:lineRule="auto"/>
        <w:jc w:val="both"/>
        <w:rPr>
          <w:sz w:val="24"/>
          <w:szCs w:val="24"/>
          <w:lang w:eastAsia="zh-CN"/>
        </w:rPr>
      </w:pPr>
      <w:r w:rsidRPr="000315B4">
        <w:rPr>
          <w:rStyle w:val="Strong"/>
          <w:sz w:val="24"/>
          <w:szCs w:val="24"/>
        </w:rPr>
        <w:t>STROBE statement</w:t>
      </w:r>
      <w:r w:rsidR="00B30BBF" w:rsidRPr="000315B4">
        <w:rPr>
          <w:rStyle w:val="Strong"/>
          <w:sz w:val="24"/>
          <w:szCs w:val="24"/>
        </w:rPr>
        <w:t>:</w:t>
      </w:r>
      <w:r w:rsidR="004B2262" w:rsidRPr="000315B4">
        <w:rPr>
          <w:sz w:val="24"/>
          <w:szCs w:val="24"/>
        </w:rPr>
        <w:t xml:space="preserve"> The authors have read the STROBE Statement</w:t>
      </w:r>
      <w:r w:rsidR="00830AAB" w:rsidRPr="000315B4">
        <w:rPr>
          <w:rFonts w:hint="eastAsia"/>
          <w:sz w:val="24"/>
          <w:szCs w:val="24"/>
          <w:lang w:eastAsia="zh-CN"/>
        </w:rPr>
        <w:t>-</w:t>
      </w:r>
      <w:r w:rsidR="004B2262" w:rsidRPr="000315B4">
        <w:rPr>
          <w:sz w:val="24"/>
          <w:szCs w:val="24"/>
        </w:rPr>
        <w:t>checklist of items, and the manuscript was prepared and revised according to the STROBE Statement</w:t>
      </w:r>
      <w:r w:rsidR="00830AAB" w:rsidRPr="000315B4">
        <w:rPr>
          <w:rFonts w:hint="eastAsia"/>
          <w:sz w:val="24"/>
          <w:szCs w:val="24"/>
          <w:lang w:eastAsia="zh-CN"/>
        </w:rPr>
        <w:t>-</w:t>
      </w:r>
      <w:r w:rsidR="004B2262" w:rsidRPr="000315B4">
        <w:rPr>
          <w:sz w:val="24"/>
          <w:szCs w:val="24"/>
        </w:rPr>
        <w:t>checklist of items.</w:t>
      </w:r>
    </w:p>
    <w:p w14:paraId="56E244B4" w14:textId="77777777" w:rsidR="00007844" w:rsidRPr="000315B4" w:rsidRDefault="00007844" w:rsidP="007804E8">
      <w:pPr>
        <w:widowControl w:val="0"/>
        <w:adjustRightInd w:val="0"/>
        <w:snapToGrid w:val="0"/>
        <w:spacing w:line="360" w:lineRule="auto"/>
        <w:jc w:val="both"/>
        <w:rPr>
          <w:sz w:val="24"/>
          <w:szCs w:val="24"/>
          <w:lang w:eastAsia="zh-CN"/>
        </w:rPr>
      </w:pPr>
    </w:p>
    <w:p w14:paraId="6326FC19" w14:textId="77777777" w:rsidR="00830AAB" w:rsidRPr="00830AAB" w:rsidRDefault="00830AAB" w:rsidP="00830AAB">
      <w:pPr>
        <w:spacing w:line="360" w:lineRule="auto"/>
        <w:jc w:val="both"/>
        <w:rPr>
          <w:rFonts w:eastAsia="MS Mincho" w:cs="Times New Roman"/>
          <w:b/>
          <w:color w:val="000000"/>
          <w:sz w:val="24"/>
          <w:szCs w:val="24"/>
          <w:lang w:eastAsia="it-IT" w:bidi="ar-SA"/>
        </w:rPr>
      </w:pPr>
      <w:r w:rsidRPr="00830AAB">
        <w:rPr>
          <w:rFonts w:eastAsia="MS Mincho" w:cs="Times New Roman"/>
          <w:b/>
          <w:color w:val="000000"/>
          <w:sz w:val="24"/>
          <w:szCs w:val="24"/>
          <w:lang w:eastAsia="it-IT" w:bidi="ar-SA"/>
        </w:rPr>
        <w:t xml:space="preserve">Open-Access: </w:t>
      </w:r>
      <w:r w:rsidRPr="00830AAB">
        <w:rPr>
          <w:rFonts w:eastAsia="MS Mincho" w:cs="Times New Roman"/>
          <w:color w:val="000000"/>
          <w:sz w:val="24"/>
          <w:szCs w:val="24"/>
          <w:lang w:eastAsia="it-IT" w:bidi="ar-S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A228D1" w14:textId="77777777" w:rsidR="00830AAB" w:rsidRPr="00830AAB" w:rsidRDefault="00830AAB" w:rsidP="00830AAB">
      <w:pPr>
        <w:widowControl w:val="0"/>
        <w:adjustRightInd w:val="0"/>
        <w:snapToGrid w:val="0"/>
        <w:spacing w:line="360" w:lineRule="auto"/>
        <w:jc w:val="both"/>
        <w:rPr>
          <w:rFonts w:cs="Times New Roman"/>
          <w:color w:val="000000"/>
          <w:kern w:val="2"/>
          <w:sz w:val="24"/>
          <w:szCs w:val="24"/>
          <w:lang w:eastAsia="zh-CN" w:bidi="ar-SA"/>
        </w:rPr>
      </w:pPr>
    </w:p>
    <w:p w14:paraId="09C7487D" w14:textId="77777777" w:rsidR="00830AAB" w:rsidRPr="00830AAB" w:rsidRDefault="00830AAB" w:rsidP="00830AAB">
      <w:pPr>
        <w:widowControl w:val="0"/>
        <w:adjustRightInd w:val="0"/>
        <w:snapToGrid w:val="0"/>
        <w:spacing w:line="360" w:lineRule="auto"/>
        <w:jc w:val="both"/>
        <w:rPr>
          <w:rFonts w:cs="Arial Unicode MS"/>
          <w:color w:val="000000"/>
          <w:kern w:val="2"/>
          <w:sz w:val="24"/>
          <w:szCs w:val="24"/>
          <w:lang w:eastAsia="zh-CN" w:bidi="ar-SA"/>
        </w:rPr>
      </w:pPr>
      <w:r w:rsidRPr="00830AAB">
        <w:rPr>
          <w:rFonts w:cs="Arial Unicode MS"/>
          <w:b/>
          <w:color w:val="000000"/>
          <w:kern w:val="2"/>
          <w:sz w:val="24"/>
          <w:szCs w:val="24"/>
          <w:lang w:eastAsia="zh-CN" w:bidi="ar-SA"/>
        </w:rPr>
        <w:t xml:space="preserve">Manuscript source: </w:t>
      </w:r>
      <w:r w:rsidRPr="00830AAB">
        <w:rPr>
          <w:rFonts w:cs="Arial Unicode MS"/>
          <w:color w:val="000000"/>
          <w:kern w:val="2"/>
          <w:sz w:val="24"/>
          <w:szCs w:val="24"/>
          <w:lang w:eastAsia="zh-CN" w:bidi="ar-SA"/>
        </w:rPr>
        <w:t>Unsolicited manuscript</w:t>
      </w:r>
    </w:p>
    <w:p w14:paraId="765C066F" w14:textId="77777777" w:rsidR="00830AAB" w:rsidRPr="000315B4" w:rsidRDefault="00830AAB" w:rsidP="007804E8">
      <w:pPr>
        <w:widowControl w:val="0"/>
        <w:adjustRightInd w:val="0"/>
        <w:snapToGrid w:val="0"/>
        <w:spacing w:line="360" w:lineRule="auto"/>
        <w:jc w:val="both"/>
        <w:rPr>
          <w:sz w:val="24"/>
          <w:szCs w:val="24"/>
          <w:lang w:eastAsia="zh-CN"/>
        </w:rPr>
      </w:pPr>
    </w:p>
    <w:p w14:paraId="41729ED5" w14:textId="1A85F754" w:rsidR="004B2262" w:rsidRPr="000315B4" w:rsidRDefault="004B2262" w:rsidP="007804E8">
      <w:pPr>
        <w:widowControl w:val="0"/>
        <w:adjustRightInd w:val="0"/>
        <w:snapToGrid w:val="0"/>
        <w:spacing w:line="360" w:lineRule="auto"/>
        <w:jc w:val="both"/>
        <w:rPr>
          <w:sz w:val="24"/>
          <w:szCs w:val="24"/>
        </w:rPr>
      </w:pPr>
      <w:r w:rsidRPr="000315B4">
        <w:rPr>
          <w:b/>
          <w:bCs/>
          <w:sz w:val="24"/>
          <w:szCs w:val="24"/>
        </w:rPr>
        <w:t>Correspondence to</w:t>
      </w:r>
      <w:r w:rsidR="00B30BBF" w:rsidRPr="000315B4">
        <w:rPr>
          <w:b/>
          <w:bCs/>
          <w:sz w:val="24"/>
          <w:szCs w:val="24"/>
        </w:rPr>
        <w:t>:</w:t>
      </w:r>
      <w:r w:rsidRPr="000315B4">
        <w:rPr>
          <w:b/>
          <w:bCs/>
          <w:sz w:val="24"/>
          <w:szCs w:val="24"/>
        </w:rPr>
        <w:t xml:space="preserve"> Revital Kariv MD, </w:t>
      </w:r>
      <w:r w:rsidR="00830AAB" w:rsidRPr="000315B4">
        <w:rPr>
          <w:b/>
          <w:bCs/>
          <w:sz w:val="24"/>
          <w:szCs w:val="24"/>
        </w:rPr>
        <w:t>Doctor</w:t>
      </w:r>
      <w:r w:rsidR="00830AAB" w:rsidRPr="000315B4">
        <w:rPr>
          <w:rFonts w:hint="eastAsia"/>
          <w:b/>
          <w:bCs/>
          <w:sz w:val="24"/>
          <w:szCs w:val="24"/>
          <w:lang w:eastAsia="zh-CN"/>
        </w:rPr>
        <w:t xml:space="preserve">, </w:t>
      </w:r>
      <w:r w:rsidRPr="000315B4">
        <w:rPr>
          <w:sz w:val="24"/>
          <w:szCs w:val="24"/>
        </w:rPr>
        <w:t>Department of Gastroenterology</w:t>
      </w:r>
      <w:r w:rsidR="00830AAB" w:rsidRPr="000315B4">
        <w:rPr>
          <w:rFonts w:hint="eastAsia"/>
          <w:sz w:val="24"/>
          <w:szCs w:val="24"/>
          <w:lang w:eastAsia="zh-CN"/>
        </w:rPr>
        <w:t>,</w:t>
      </w:r>
      <w:r w:rsidRPr="000315B4">
        <w:rPr>
          <w:sz w:val="24"/>
          <w:szCs w:val="24"/>
        </w:rPr>
        <w:t xml:space="preserve"> Tel Aviv Medical Center, Weitzman 6 street, Tel Aviv</w:t>
      </w:r>
      <w:r w:rsidR="001F64E1">
        <w:rPr>
          <w:rFonts w:hint="eastAsia"/>
          <w:sz w:val="24"/>
          <w:szCs w:val="24"/>
          <w:lang w:eastAsia="zh-CN"/>
        </w:rPr>
        <w:t xml:space="preserve"> </w:t>
      </w:r>
      <w:r w:rsidR="00830AAB" w:rsidRPr="000315B4">
        <w:rPr>
          <w:sz w:val="24"/>
          <w:szCs w:val="24"/>
        </w:rPr>
        <w:t>6423906</w:t>
      </w:r>
      <w:r w:rsidRPr="000315B4">
        <w:rPr>
          <w:sz w:val="24"/>
          <w:szCs w:val="24"/>
        </w:rPr>
        <w:t xml:space="preserve">, Israel. </w:t>
      </w:r>
      <w:r w:rsidR="00830AAB" w:rsidRPr="000315B4">
        <w:rPr>
          <w:sz w:val="24"/>
          <w:szCs w:val="24"/>
        </w:rPr>
        <w:t>revitalk@tlvmc.gov.il</w:t>
      </w:r>
    </w:p>
    <w:p w14:paraId="65442B5E" w14:textId="77777777" w:rsidR="00007844" w:rsidRPr="000315B4" w:rsidRDefault="00007844" w:rsidP="007804E8">
      <w:pPr>
        <w:widowControl w:val="0"/>
        <w:adjustRightInd w:val="0"/>
        <w:snapToGrid w:val="0"/>
        <w:spacing w:line="360" w:lineRule="auto"/>
        <w:jc w:val="both"/>
        <w:rPr>
          <w:sz w:val="24"/>
          <w:szCs w:val="24"/>
          <w:rtl/>
        </w:rPr>
      </w:pPr>
      <w:r w:rsidRPr="000315B4">
        <w:rPr>
          <w:b/>
          <w:sz w:val="24"/>
          <w:szCs w:val="24"/>
        </w:rPr>
        <w:lastRenderedPageBreak/>
        <w:t>Telephone:</w:t>
      </w:r>
      <w:r w:rsidR="00ED1612" w:rsidRPr="000315B4">
        <w:rPr>
          <w:b/>
          <w:sz w:val="24"/>
          <w:szCs w:val="24"/>
        </w:rPr>
        <w:t xml:space="preserve"> </w:t>
      </w:r>
      <w:r w:rsidR="00ED1612" w:rsidRPr="001F64E1">
        <w:rPr>
          <w:sz w:val="24"/>
          <w:szCs w:val="24"/>
        </w:rPr>
        <w:t>+972-3-6974458</w:t>
      </w:r>
    </w:p>
    <w:p w14:paraId="034094C3" w14:textId="4A4BF1A7" w:rsidR="00007844" w:rsidRPr="000315B4" w:rsidRDefault="00007844" w:rsidP="007804E8">
      <w:pPr>
        <w:widowControl w:val="0"/>
        <w:adjustRightInd w:val="0"/>
        <w:snapToGrid w:val="0"/>
        <w:spacing w:line="360" w:lineRule="auto"/>
        <w:jc w:val="both"/>
        <w:rPr>
          <w:sz w:val="24"/>
          <w:szCs w:val="24"/>
        </w:rPr>
      </w:pPr>
      <w:r w:rsidRPr="000315B4">
        <w:rPr>
          <w:b/>
          <w:sz w:val="24"/>
          <w:szCs w:val="24"/>
        </w:rPr>
        <w:t>Fax:</w:t>
      </w:r>
      <w:r w:rsidRPr="000315B4">
        <w:rPr>
          <w:sz w:val="24"/>
          <w:szCs w:val="24"/>
        </w:rPr>
        <w:t xml:space="preserve"> </w:t>
      </w:r>
      <w:r w:rsidR="00830AAB" w:rsidRPr="001F64E1">
        <w:rPr>
          <w:sz w:val="24"/>
          <w:szCs w:val="24"/>
        </w:rPr>
        <w:t>+</w:t>
      </w:r>
      <w:r w:rsidR="00ED1612" w:rsidRPr="001F64E1">
        <w:rPr>
          <w:sz w:val="24"/>
          <w:szCs w:val="24"/>
        </w:rPr>
        <w:t>972-3-6974868</w:t>
      </w:r>
    </w:p>
    <w:p w14:paraId="5E8274EC" w14:textId="77777777" w:rsidR="00830AAB" w:rsidRPr="000315B4" w:rsidRDefault="00830AAB" w:rsidP="007804E8">
      <w:pPr>
        <w:widowControl w:val="0"/>
        <w:adjustRightInd w:val="0"/>
        <w:snapToGrid w:val="0"/>
        <w:spacing w:line="360" w:lineRule="auto"/>
        <w:jc w:val="both"/>
        <w:rPr>
          <w:sz w:val="24"/>
          <w:szCs w:val="24"/>
          <w:lang w:eastAsia="zh-CN"/>
        </w:rPr>
      </w:pPr>
    </w:p>
    <w:p w14:paraId="16FBD6BC" w14:textId="30BF9D34" w:rsidR="00830AAB" w:rsidRPr="00830AAB" w:rsidRDefault="00830AAB" w:rsidP="00830AAB">
      <w:pPr>
        <w:widowControl w:val="0"/>
        <w:adjustRightInd w:val="0"/>
        <w:snapToGrid w:val="0"/>
        <w:spacing w:line="360" w:lineRule="auto"/>
        <w:jc w:val="both"/>
        <w:rPr>
          <w:rFonts w:cs="Times New Roman"/>
          <w:color w:val="000000"/>
          <w:kern w:val="2"/>
          <w:sz w:val="24"/>
          <w:szCs w:val="24"/>
          <w:lang w:eastAsia="zh-CN" w:bidi="ar-SA"/>
        </w:rPr>
      </w:pPr>
      <w:r w:rsidRPr="00830AAB">
        <w:rPr>
          <w:rFonts w:cs="Times New Roman"/>
          <w:b/>
          <w:color w:val="000000"/>
          <w:kern w:val="2"/>
          <w:sz w:val="24"/>
          <w:szCs w:val="24"/>
          <w:lang w:eastAsia="zh-CN" w:bidi="ar-SA"/>
        </w:rPr>
        <w:t>Received:</w:t>
      </w:r>
      <w:r w:rsidRPr="00830AAB">
        <w:rPr>
          <w:rFonts w:cs="Times New Roman"/>
          <w:color w:val="000000"/>
          <w:kern w:val="2"/>
          <w:sz w:val="24"/>
          <w:szCs w:val="24"/>
          <w:lang w:eastAsia="zh-CN" w:bidi="ar-SA"/>
        </w:rPr>
        <w:t xml:space="preserve"> </w:t>
      </w:r>
      <w:r w:rsidRPr="000315B4">
        <w:rPr>
          <w:rFonts w:cs="Arial" w:hint="eastAsia"/>
          <w:color w:val="000000"/>
          <w:sz w:val="24"/>
          <w:szCs w:val="24"/>
          <w:lang w:eastAsia="zh-CN" w:bidi="ar-SA"/>
        </w:rPr>
        <w:t>July 30</w:t>
      </w:r>
      <w:r w:rsidRPr="00830AAB">
        <w:rPr>
          <w:rFonts w:cs="Arial" w:hint="eastAsia"/>
          <w:color w:val="000000"/>
          <w:sz w:val="24"/>
          <w:szCs w:val="24"/>
          <w:lang w:eastAsia="zh-CN" w:bidi="ar-SA"/>
        </w:rPr>
        <w:t>, 2018</w:t>
      </w:r>
    </w:p>
    <w:p w14:paraId="5669A437" w14:textId="6358BC3A" w:rsidR="00830AAB" w:rsidRPr="00830AAB" w:rsidRDefault="00830AAB" w:rsidP="00830AAB">
      <w:pPr>
        <w:widowControl w:val="0"/>
        <w:adjustRightInd w:val="0"/>
        <w:snapToGrid w:val="0"/>
        <w:spacing w:line="360" w:lineRule="auto"/>
        <w:jc w:val="both"/>
        <w:rPr>
          <w:rFonts w:cs="Times New Roman"/>
          <w:color w:val="000000"/>
          <w:kern w:val="2"/>
          <w:sz w:val="24"/>
          <w:szCs w:val="24"/>
          <w:lang w:eastAsia="zh-CN" w:bidi="ar-SA"/>
        </w:rPr>
      </w:pPr>
      <w:r w:rsidRPr="00830AAB">
        <w:rPr>
          <w:rFonts w:cs="Times New Roman"/>
          <w:b/>
          <w:color w:val="000000"/>
          <w:kern w:val="2"/>
          <w:sz w:val="24"/>
          <w:szCs w:val="24"/>
          <w:lang w:eastAsia="zh-CN" w:bidi="ar-SA"/>
        </w:rPr>
        <w:t>Peer-review started:</w:t>
      </w:r>
      <w:r w:rsidRPr="00830AAB">
        <w:rPr>
          <w:rFonts w:cs="Times New Roman"/>
          <w:color w:val="000000"/>
          <w:kern w:val="2"/>
          <w:sz w:val="24"/>
          <w:szCs w:val="24"/>
          <w:lang w:eastAsia="zh-CN" w:bidi="ar-SA"/>
        </w:rPr>
        <w:t xml:space="preserve"> </w:t>
      </w:r>
      <w:r w:rsidRPr="000315B4">
        <w:rPr>
          <w:rFonts w:cs="Arial" w:hint="eastAsia"/>
          <w:color w:val="000000"/>
          <w:sz w:val="24"/>
          <w:szCs w:val="24"/>
          <w:lang w:eastAsia="zh-CN" w:bidi="ar-SA"/>
        </w:rPr>
        <w:t>July 30</w:t>
      </w:r>
      <w:r w:rsidRPr="00830AAB">
        <w:rPr>
          <w:rFonts w:cs="Arial" w:hint="eastAsia"/>
          <w:color w:val="000000"/>
          <w:sz w:val="24"/>
          <w:szCs w:val="24"/>
          <w:lang w:eastAsia="zh-CN" w:bidi="ar-SA"/>
        </w:rPr>
        <w:t>, 2018</w:t>
      </w:r>
    </w:p>
    <w:p w14:paraId="2DCDBB7B" w14:textId="0FE1EEA1" w:rsidR="00830AAB" w:rsidRPr="00830AAB" w:rsidRDefault="00830AAB" w:rsidP="00830AAB">
      <w:pPr>
        <w:widowControl w:val="0"/>
        <w:adjustRightInd w:val="0"/>
        <w:snapToGrid w:val="0"/>
        <w:spacing w:line="360" w:lineRule="auto"/>
        <w:jc w:val="both"/>
        <w:rPr>
          <w:rFonts w:cs="Times New Roman"/>
          <w:color w:val="000000"/>
          <w:kern w:val="2"/>
          <w:sz w:val="24"/>
          <w:szCs w:val="24"/>
          <w:lang w:eastAsia="zh-CN" w:bidi="ar-SA"/>
        </w:rPr>
      </w:pPr>
      <w:r w:rsidRPr="00830AAB">
        <w:rPr>
          <w:rFonts w:cs="Times New Roman"/>
          <w:b/>
          <w:color w:val="000000"/>
          <w:kern w:val="2"/>
          <w:sz w:val="24"/>
          <w:szCs w:val="24"/>
          <w:lang w:eastAsia="zh-CN" w:bidi="ar-SA"/>
        </w:rPr>
        <w:t>First decision:</w:t>
      </w:r>
      <w:r w:rsidRPr="00830AAB">
        <w:rPr>
          <w:rFonts w:cs="Times New Roman"/>
          <w:color w:val="000000"/>
          <w:kern w:val="2"/>
          <w:sz w:val="24"/>
          <w:szCs w:val="24"/>
          <w:lang w:eastAsia="zh-CN" w:bidi="ar-SA"/>
        </w:rPr>
        <w:t xml:space="preserve"> </w:t>
      </w:r>
      <w:r w:rsidRPr="000315B4">
        <w:rPr>
          <w:rFonts w:cs="Arial" w:hint="eastAsia"/>
          <w:color w:val="000000"/>
          <w:sz w:val="24"/>
          <w:szCs w:val="24"/>
          <w:lang w:eastAsia="zh-CN" w:bidi="ar-SA"/>
        </w:rPr>
        <w:t>August 27</w:t>
      </w:r>
      <w:r w:rsidRPr="00830AAB">
        <w:rPr>
          <w:rFonts w:cs="Arial" w:hint="eastAsia"/>
          <w:color w:val="000000"/>
          <w:sz w:val="24"/>
          <w:szCs w:val="24"/>
          <w:lang w:eastAsia="zh-CN" w:bidi="ar-SA"/>
        </w:rPr>
        <w:t>, 2018</w:t>
      </w:r>
    </w:p>
    <w:p w14:paraId="489E2DEE" w14:textId="582FBA79" w:rsidR="00830AAB" w:rsidRPr="00830AAB" w:rsidRDefault="00830AAB" w:rsidP="00830AAB">
      <w:pPr>
        <w:widowControl w:val="0"/>
        <w:adjustRightInd w:val="0"/>
        <w:snapToGrid w:val="0"/>
        <w:spacing w:line="360" w:lineRule="auto"/>
        <w:jc w:val="both"/>
        <w:rPr>
          <w:rFonts w:cs="Times New Roman"/>
          <w:color w:val="000000"/>
          <w:kern w:val="2"/>
          <w:sz w:val="24"/>
          <w:szCs w:val="24"/>
          <w:lang w:eastAsia="zh-CN" w:bidi="ar-SA"/>
        </w:rPr>
      </w:pPr>
      <w:r w:rsidRPr="00830AAB">
        <w:rPr>
          <w:rFonts w:cs="Times New Roman"/>
          <w:b/>
          <w:color w:val="000000"/>
          <w:kern w:val="2"/>
          <w:sz w:val="24"/>
          <w:szCs w:val="24"/>
          <w:lang w:eastAsia="zh-CN" w:bidi="ar-SA"/>
        </w:rPr>
        <w:t>Revised:</w:t>
      </w:r>
      <w:r w:rsidRPr="00830AAB">
        <w:rPr>
          <w:rFonts w:cs="Times New Roman"/>
          <w:color w:val="000000"/>
          <w:kern w:val="2"/>
          <w:sz w:val="24"/>
          <w:szCs w:val="24"/>
          <w:lang w:eastAsia="zh-CN" w:bidi="ar-SA"/>
        </w:rPr>
        <w:t xml:space="preserve"> </w:t>
      </w:r>
      <w:r w:rsidRPr="000315B4">
        <w:rPr>
          <w:rFonts w:cs="Arial" w:hint="eastAsia"/>
          <w:color w:val="000000"/>
          <w:sz w:val="24"/>
          <w:szCs w:val="24"/>
          <w:lang w:eastAsia="zh-CN" w:bidi="ar-SA"/>
        </w:rPr>
        <w:t>September 3</w:t>
      </w:r>
      <w:r w:rsidRPr="00830AAB">
        <w:rPr>
          <w:rFonts w:cs="Arial" w:hint="eastAsia"/>
          <w:color w:val="000000"/>
          <w:sz w:val="24"/>
          <w:szCs w:val="24"/>
          <w:lang w:eastAsia="zh-CN" w:bidi="ar-SA"/>
        </w:rPr>
        <w:t>, 2018</w:t>
      </w:r>
    </w:p>
    <w:p w14:paraId="7754F1E7" w14:textId="25E7F868" w:rsidR="00830AAB" w:rsidRPr="00830AAB" w:rsidRDefault="00830AAB" w:rsidP="00830AAB">
      <w:pPr>
        <w:widowControl w:val="0"/>
        <w:adjustRightInd w:val="0"/>
        <w:snapToGrid w:val="0"/>
        <w:spacing w:line="360" w:lineRule="auto"/>
        <w:jc w:val="both"/>
        <w:rPr>
          <w:rFonts w:cs="Times New Roman"/>
          <w:color w:val="000000"/>
          <w:kern w:val="2"/>
          <w:sz w:val="24"/>
          <w:szCs w:val="24"/>
          <w:lang w:eastAsia="zh-CN" w:bidi="ar-SA"/>
        </w:rPr>
      </w:pPr>
      <w:r w:rsidRPr="00830AAB">
        <w:rPr>
          <w:rFonts w:cs="Times New Roman"/>
          <w:b/>
          <w:color w:val="000000"/>
          <w:kern w:val="2"/>
          <w:sz w:val="24"/>
          <w:szCs w:val="24"/>
          <w:lang w:eastAsia="zh-CN" w:bidi="ar-SA"/>
        </w:rPr>
        <w:t>Accepted:</w:t>
      </w:r>
      <w:r w:rsidRPr="00830AAB">
        <w:rPr>
          <w:rFonts w:cs="Times New Roman"/>
          <w:color w:val="000000"/>
          <w:kern w:val="2"/>
          <w:sz w:val="24"/>
          <w:szCs w:val="24"/>
          <w:lang w:eastAsia="zh-CN" w:bidi="ar-SA"/>
        </w:rPr>
        <w:t xml:space="preserve"> </w:t>
      </w:r>
      <w:r w:rsidR="009B2ED6" w:rsidRPr="009B2ED6">
        <w:rPr>
          <w:rFonts w:cs="Times New Roman"/>
          <w:color w:val="000000"/>
          <w:kern w:val="2"/>
          <w:sz w:val="24"/>
          <w:szCs w:val="24"/>
          <w:lang w:eastAsia="zh-CN" w:bidi="ar-SA"/>
        </w:rPr>
        <w:t>October 5, 2018</w:t>
      </w:r>
    </w:p>
    <w:p w14:paraId="10D12115" w14:textId="77777777" w:rsidR="00830AAB" w:rsidRPr="00830AAB" w:rsidRDefault="00830AAB" w:rsidP="00830AAB">
      <w:pPr>
        <w:widowControl w:val="0"/>
        <w:adjustRightInd w:val="0"/>
        <w:snapToGrid w:val="0"/>
        <w:spacing w:line="360" w:lineRule="auto"/>
        <w:jc w:val="both"/>
        <w:rPr>
          <w:rFonts w:cs="Times New Roman"/>
          <w:b/>
          <w:color w:val="000000"/>
          <w:kern w:val="2"/>
          <w:sz w:val="24"/>
          <w:szCs w:val="24"/>
          <w:lang w:eastAsia="zh-CN" w:bidi="ar-SA"/>
        </w:rPr>
      </w:pPr>
      <w:r w:rsidRPr="00830AAB">
        <w:rPr>
          <w:rFonts w:cs="Times New Roman"/>
          <w:b/>
          <w:color w:val="000000"/>
          <w:kern w:val="2"/>
          <w:sz w:val="24"/>
          <w:szCs w:val="24"/>
          <w:lang w:eastAsia="zh-CN" w:bidi="ar-SA"/>
        </w:rPr>
        <w:t>Article in press:</w:t>
      </w:r>
    </w:p>
    <w:p w14:paraId="41EEE757" w14:textId="77777777" w:rsidR="00830AAB" w:rsidRPr="00830AAB" w:rsidRDefault="00830AAB" w:rsidP="00830AAB">
      <w:pPr>
        <w:widowControl w:val="0"/>
        <w:adjustRightInd w:val="0"/>
        <w:snapToGrid w:val="0"/>
        <w:spacing w:line="360" w:lineRule="auto"/>
        <w:jc w:val="both"/>
        <w:rPr>
          <w:rFonts w:cs="Times New Roman"/>
          <w:b/>
          <w:color w:val="000000"/>
          <w:kern w:val="2"/>
          <w:sz w:val="24"/>
          <w:szCs w:val="24"/>
          <w:lang w:eastAsia="zh-CN" w:bidi="ar-SA"/>
        </w:rPr>
      </w:pPr>
      <w:r w:rsidRPr="00830AAB">
        <w:rPr>
          <w:rFonts w:cs="Times New Roman"/>
          <w:b/>
          <w:color w:val="000000"/>
          <w:kern w:val="2"/>
          <w:sz w:val="24"/>
          <w:szCs w:val="24"/>
          <w:lang w:eastAsia="zh-CN" w:bidi="ar-SA"/>
        </w:rPr>
        <w:t>Published online:</w:t>
      </w:r>
    </w:p>
    <w:p w14:paraId="0AA0E529" w14:textId="51F8A677" w:rsidR="004B2262" w:rsidRPr="000315B4" w:rsidRDefault="004B2262" w:rsidP="007804E8">
      <w:pPr>
        <w:widowControl w:val="0"/>
        <w:adjustRightInd w:val="0"/>
        <w:snapToGrid w:val="0"/>
        <w:spacing w:line="360" w:lineRule="auto"/>
        <w:jc w:val="both"/>
        <w:rPr>
          <w:b/>
          <w:sz w:val="24"/>
          <w:szCs w:val="24"/>
        </w:rPr>
      </w:pPr>
      <w:r w:rsidRPr="000315B4">
        <w:rPr>
          <w:sz w:val="24"/>
          <w:szCs w:val="24"/>
        </w:rPr>
        <w:br w:type="page"/>
      </w:r>
      <w:r w:rsidR="00007844" w:rsidRPr="000315B4">
        <w:rPr>
          <w:b/>
          <w:sz w:val="24"/>
          <w:szCs w:val="24"/>
        </w:rPr>
        <w:lastRenderedPageBreak/>
        <w:t>Abstract</w:t>
      </w:r>
    </w:p>
    <w:p w14:paraId="598415F5" w14:textId="32061717" w:rsidR="00007844" w:rsidRPr="000315B4" w:rsidRDefault="004B2262" w:rsidP="007804E8">
      <w:pPr>
        <w:widowControl w:val="0"/>
        <w:adjustRightInd w:val="0"/>
        <w:snapToGrid w:val="0"/>
        <w:spacing w:line="360" w:lineRule="auto"/>
        <w:jc w:val="both"/>
        <w:rPr>
          <w:b/>
          <w:bCs/>
          <w:sz w:val="24"/>
          <w:szCs w:val="24"/>
          <w:lang w:eastAsia="zh-CN"/>
        </w:rPr>
      </w:pPr>
      <w:r w:rsidRPr="000315B4">
        <w:rPr>
          <w:b/>
          <w:bCs/>
          <w:i/>
          <w:sz w:val="24"/>
          <w:szCs w:val="24"/>
        </w:rPr>
        <w:t>AIM</w:t>
      </w:r>
    </w:p>
    <w:p w14:paraId="3B4B3D75" w14:textId="1375171D" w:rsidR="004B2262" w:rsidRPr="000315B4" w:rsidRDefault="004B2262" w:rsidP="007804E8">
      <w:pPr>
        <w:widowControl w:val="0"/>
        <w:adjustRightInd w:val="0"/>
        <w:snapToGrid w:val="0"/>
        <w:spacing w:line="360" w:lineRule="auto"/>
        <w:jc w:val="both"/>
        <w:rPr>
          <w:sz w:val="24"/>
          <w:szCs w:val="24"/>
          <w:lang w:eastAsia="zh-CN"/>
        </w:rPr>
      </w:pPr>
      <w:r w:rsidRPr="000315B4">
        <w:rPr>
          <w:sz w:val="24"/>
          <w:szCs w:val="24"/>
        </w:rPr>
        <w:t>To study factors associated with esophageal and non-esophageal cancer morbidity among Barr</w:t>
      </w:r>
      <w:r w:rsidR="00830AAB" w:rsidRPr="000315B4">
        <w:rPr>
          <w:sz w:val="24"/>
          <w:szCs w:val="24"/>
        </w:rPr>
        <w:t xml:space="preserve">ett’s esophagus (BE) patients. </w:t>
      </w:r>
    </w:p>
    <w:p w14:paraId="0E045DA6" w14:textId="77777777" w:rsidR="00830AAB" w:rsidRPr="000315B4" w:rsidRDefault="00830AAB" w:rsidP="007804E8">
      <w:pPr>
        <w:widowControl w:val="0"/>
        <w:adjustRightInd w:val="0"/>
        <w:snapToGrid w:val="0"/>
        <w:spacing w:line="360" w:lineRule="auto"/>
        <w:jc w:val="both"/>
        <w:rPr>
          <w:b/>
          <w:bCs/>
          <w:sz w:val="24"/>
          <w:szCs w:val="24"/>
          <w:lang w:eastAsia="zh-CN"/>
        </w:rPr>
      </w:pPr>
    </w:p>
    <w:p w14:paraId="50818918" w14:textId="4EA4BFD8" w:rsidR="00007844" w:rsidRPr="000315B4" w:rsidRDefault="004B2262" w:rsidP="007804E8">
      <w:pPr>
        <w:widowControl w:val="0"/>
        <w:adjustRightInd w:val="0"/>
        <w:snapToGrid w:val="0"/>
        <w:spacing w:line="360" w:lineRule="auto"/>
        <w:jc w:val="both"/>
        <w:rPr>
          <w:sz w:val="24"/>
          <w:szCs w:val="24"/>
          <w:lang w:eastAsia="zh-CN"/>
        </w:rPr>
      </w:pPr>
      <w:r w:rsidRPr="000315B4">
        <w:rPr>
          <w:b/>
          <w:bCs/>
          <w:i/>
          <w:sz w:val="24"/>
          <w:szCs w:val="24"/>
        </w:rPr>
        <w:t>METHODS</w:t>
      </w:r>
    </w:p>
    <w:p w14:paraId="14754486" w14:textId="6D60B43B" w:rsidR="004B2262" w:rsidRPr="000315B4" w:rsidRDefault="004B2262" w:rsidP="007804E8">
      <w:pPr>
        <w:widowControl w:val="0"/>
        <w:adjustRightInd w:val="0"/>
        <w:snapToGrid w:val="0"/>
        <w:spacing w:line="360" w:lineRule="auto"/>
        <w:jc w:val="both"/>
        <w:rPr>
          <w:sz w:val="24"/>
          <w:szCs w:val="24"/>
          <w:lang w:eastAsia="zh-CN"/>
        </w:rPr>
      </w:pPr>
      <w:r w:rsidRPr="000315B4">
        <w:rPr>
          <w:sz w:val="24"/>
          <w:szCs w:val="24"/>
        </w:rPr>
        <w:t>A cohort study within a single tertiary center included 386 consecutive patients with biopsy proven BE, who were recruited between 2004</w:t>
      </w:r>
      <w:r w:rsidR="00830AAB" w:rsidRPr="000315B4">
        <w:rPr>
          <w:rFonts w:hint="eastAsia"/>
          <w:sz w:val="24"/>
          <w:szCs w:val="24"/>
          <w:lang w:eastAsia="zh-CN"/>
        </w:rPr>
        <w:t>-</w:t>
      </w:r>
      <w:r w:rsidR="00027572" w:rsidRPr="000315B4">
        <w:rPr>
          <w:sz w:val="24"/>
          <w:szCs w:val="24"/>
          <w:rtl/>
        </w:rPr>
        <w:t>2014</w:t>
      </w:r>
      <w:r w:rsidR="00027572" w:rsidRPr="000315B4">
        <w:rPr>
          <w:sz w:val="24"/>
          <w:szCs w:val="24"/>
        </w:rPr>
        <w:t xml:space="preserve">. </w:t>
      </w:r>
      <w:r w:rsidRPr="000315B4">
        <w:rPr>
          <w:sz w:val="24"/>
          <w:szCs w:val="24"/>
        </w:rPr>
        <w:t>Endoscopic and histologic data were prospectively recorded. Cancer morbidity was obtained from the national cancer registry. Main outcomes were BE</w:t>
      </w:r>
      <w:r w:rsidR="007861CF" w:rsidRPr="000315B4">
        <w:rPr>
          <w:sz w:val="24"/>
          <w:szCs w:val="24"/>
        </w:rPr>
        <w:t xml:space="preserve"> </w:t>
      </w:r>
      <w:r w:rsidRPr="000315B4">
        <w:rPr>
          <w:sz w:val="24"/>
          <w:szCs w:val="24"/>
        </w:rPr>
        <w:t>related (defined as esophagus and car</w:t>
      </w:r>
      <w:r w:rsidR="00830AAB" w:rsidRPr="000315B4">
        <w:rPr>
          <w:sz w:val="24"/>
          <w:szCs w:val="24"/>
        </w:rPr>
        <w:t>dia) and non-BE related cancers</w:t>
      </w:r>
      <w:r w:rsidR="00830AAB" w:rsidRPr="000315B4">
        <w:rPr>
          <w:rFonts w:hint="eastAsia"/>
          <w:sz w:val="24"/>
          <w:szCs w:val="24"/>
          <w:lang w:eastAsia="zh-CN"/>
        </w:rPr>
        <w:t xml:space="preserve"> </w:t>
      </w:r>
      <w:r w:rsidRPr="000315B4">
        <w:rPr>
          <w:sz w:val="24"/>
          <w:szCs w:val="24"/>
        </w:rPr>
        <w:t>(all other cancers). Cancer incidence and all-cause mortality were compared between patients with high-grade dysplasia (HGD) and with low-grade or no dysplasia (non-HGD) using Kaplan-Meier curves and cox regression models.</w:t>
      </w:r>
    </w:p>
    <w:p w14:paraId="71D2843F" w14:textId="77777777" w:rsidR="00007844" w:rsidRPr="000315B4" w:rsidRDefault="00007844" w:rsidP="007804E8">
      <w:pPr>
        <w:widowControl w:val="0"/>
        <w:adjustRightInd w:val="0"/>
        <w:snapToGrid w:val="0"/>
        <w:spacing w:line="360" w:lineRule="auto"/>
        <w:jc w:val="both"/>
        <w:rPr>
          <w:sz w:val="24"/>
          <w:szCs w:val="24"/>
          <w:lang w:eastAsia="zh-CN"/>
        </w:rPr>
      </w:pPr>
    </w:p>
    <w:p w14:paraId="34284E3D" w14:textId="49820E90" w:rsidR="00007844" w:rsidRPr="000315B4" w:rsidRDefault="004B2262" w:rsidP="007804E8">
      <w:pPr>
        <w:widowControl w:val="0"/>
        <w:adjustRightInd w:val="0"/>
        <w:snapToGrid w:val="0"/>
        <w:spacing w:line="360" w:lineRule="auto"/>
        <w:jc w:val="both"/>
        <w:rPr>
          <w:sz w:val="24"/>
          <w:szCs w:val="24"/>
          <w:lang w:eastAsia="zh-CN"/>
        </w:rPr>
      </w:pPr>
      <w:r w:rsidRPr="000315B4">
        <w:rPr>
          <w:b/>
          <w:bCs/>
          <w:i/>
          <w:sz w:val="24"/>
          <w:szCs w:val="24"/>
        </w:rPr>
        <w:t>RESULTS</w:t>
      </w:r>
    </w:p>
    <w:p w14:paraId="094E3CA0" w14:textId="4D43C302" w:rsidR="004B2262" w:rsidRPr="000315B4" w:rsidRDefault="004B2262" w:rsidP="007804E8">
      <w:pPr>
        <w:widowControl w:val="0"/>
        <w:adjustRightInd w:val="0"/>
        <w:snapToGrid w:val="0"/>
        <w:spacing w:line="360" w:lineRule="auto"/>
        <w:jc w:val="both"/>
        <w:rPr>
          <w:sz w:val="24"/>
          <w:szCs w:val="24"/>
          <w:lang w:eastAsia="zh-CN"/>
        </w:rPr>
      </w:pPr>
      <w:r w:rsidRPr="000315B4">
        <w:rPr>
          <w:sz w:val="24"/>
          <w:szCs w:val="24"/>
        </w:rPr>
        <w:t>Of the 386 patients, 12 had HGD, 7 had a BE related cancer. There were 75 (19.4%) patients with 86 cases of lifetime cancers, 76 of these cases were</w:t>
      </w:r>
      <w:r w:rsidR="00B05007">
        <w:rPr>
          <w:rFonts w:hint="eastAsia"/>
          <w:sz w:val="24"/>
          <w:szCs w:val="24"/>
          <w:lang w:eastAsia="zh-CN"/>
        </w:rPr>
        <w:t xml:space="preserve"> </w:t>
      </w:r>
      <w:r w:rsidRPr="000315B4">
        <w:rPr>
          <w:sz w:val="24"/>
          <w:szCs w:val="24"/>
        </w:rPr>
        <w:t>non-BE cancers. Seven (1.8%) and 18 (4.7%) patients had BE and non-BE incident cancers, respectively</w:t>
      </w:r>
      <w:r w:rsidR="00AD4A63" w:rsidRPr="000315B4">
        <w:rPr>
          <w:sz w:val="24"/>
          <w:szCs w:val="24"/>
        </w:rPr>
        <w:t xml:space="preserve">. </w:t>
      </w:r>
      <w:r w:rsidRPr="000315B4">
        <w:rPr>
          <w:sz w:val="24"/>
          <w:szCs w:val="24"/>
        </w:rPr>
        <w:t>Twelve (3.1%) patients had HGD as worst histologic result. Two (16.7%) and 16 (4.4%) incident non-BE cancers occurred in the HGD and non-HGD group, respectively. Ten-year any cancer and non-BE cancer free survival was 63% and 82% in the HGD group compared to 93% and 95% at the non-HGD group, respectively. Log-rank test for patients with more than one endoscopy, assuring longer follow up, showed a significant difference (</w:t>
      </w:r>
      <w:r w:rsidR="00F3526A" w:rsidRPr="000315B4">
        <w:rPr>
          <w:i/>
          <w:sz w:val="24"/>
          <w:szCs w:val="24"/>
        </w:rPr>
        <w:t>P</w:t>
      </w:r>
      <w:r w:rsidR="00F3526A" w:rsidRPr="000315B4">
        <w:rPr>
          <w:rFonts w:hint="eastAsia"/>
          <w:sz w:val="24"/>
          <w:szCs w:val="24"/>
          <w:lang w:eastAsia="zh-CN"/>
        </w:rPr>
        <w:t xml:space="preserve"> </w:t>
      </w:r>
      <w:r w:rsidRPr="000315B4">
        <w:rPr>
          <w:sz w:val="24"/>
          <w:szCs w:val="24"/>
        </w:rPr>
        <w:t>&lt;</w:t>
      </w:r>
      <w:r w:rsidR="00F3526A" w:rsidRPr="000315B4">
        <w:rPr>
          <w:rFonts w:hint="eastAsia"/>
          <w:sz w:val="24"/>
          <w:szCs w:val="24"/>
          <w:lang w:eastAsia="zh-CN"/>
        </w:rPr>
        <w:t xml:space="preserve"> </w:t>
      </w:r>
      <w:r w:rsidRPr="000315B4">
        <w:rPr>
          <w:sz w:val="24"/>
          <w:szCs w:val="24"/>
        </w:rPr>
        <w:t xml:space="preserve">0.001 and </w:t>
      </w:r>
      <w:r w:rsidR="00F3526A" w:rsidRPr="000315B4">
        <w:rPr>
          <w:i/>
          <w:sz w:val="24"/>
          <w:szCs w:val="24"/>
        </w:rPr>
        <w:t>P</w:t>
      </w:r>
      <w:r w:rsidR="00F3526A" w:rsidRPr="000315B4">
        <w:rPr>
          <w:rFonts w:hint="eastAsia"/>
          <w:sz w:val="24"/>
          <w:szCs w:val="24"/>
          <w:lang w:eastAsia="zh-CN"/>
        </w:rPr>
        <w:t xml:space="preserve"> </w:t>
      </w:r>
      <w:r w:rsidRPr="000315B4">
        <w:rPr>
          <w:sz w:val="24"/>
          <w:szCs w:val="24"/>
        </w:rPr>
        <w:t>=</w:t>
      </w:r>
      <w:r w:rsidR="00F3526A" w:rsidRPr="000315B4">
        <w:rPr>
          <w:rFonts w:hint="eastAsia"/>
          <w:sz w:val="24"/>
          <w:szCs w:val="24"/>
          <w:lang w:eastAsia="zh-CN"/>
        </w:rPr>
        <w:t xml:space="preserve"> </w:t>
      </w:r>
      <w:r w:rsidRPr="000315B4">
        <w:rPr>
          <w:sz w:val="24"/>
          <w:szCs w:val="24"/>
        </w:rPr>
        <w:t>0.017 respectively). All-cause mortality was not significantly associated with BE HGD.</w:t>
      </w:r>
    </w:p>
    <w:p w14:paraId="19787E06" w14:textId="77777777" w:rsidR="00007844" w:rsidRPr="000315B4" w:rsidRDefault="00007844" w:rsidP="007804E8">
      <w:pPr>
        <w:widowControl w:val="0"/>
        <w:adjustRightInd w:val="0"/>
        <w:snapToGrid w:val="0"/>
        <w:spacing w:line="360" w:lineRule="auto"/>
        <w:jc w:val="both"/>
        <w:rPr>
          <w:sz w:val="24"/>
          <w:szCs w:val="24"/>
          <w:lang w:eastAsia="zh-CN"/>
        </w:rPr>
      </w:pPr>
    </w:p>
    <w:p w14:paraId="3E8772FD" w14:textId="77777777" w:rsidR="00007844" w:rsidRPr="000315B4" w:rsidRDefault="004B2262" w:rsidP="007804E8">
      <w:pPr>
        <w:widowControl w:val="0"/>
        <w:adjustRightInd w:val="0"/>
        <w:snapToGrid w:val="0"/>
        <w:spacing w:line="360" w:lineRule="auto"/>
        <w:jc w:val="both"/>
        <w:rPr>
          <w:sz w:val="24"/>
          <w:szCs w:val="24"/>
          <w:lang w:eastAsia="zh-CN"/>
        </w:rPr>
      </w:pPr>
      <w:r w:rsidRPr="000315B4">
        <w:rPr>
          <w:b/>
          <w:bCs/>
          <w:i/>
          <w:sz w:val="24"/>
          <w:szCs w:val="24"/>
        </w:rPr>
        <w:t>CONCLUSION</w:t>
      </w:r>
    </w:p>
    <w:p w14:paraId="6D532056" w14:textId="77777777" w:rsidR="004B2262" w:rsidRPr="000315B4" w:rsidRDefault="004B2262" w:rsidP="007804E8">
      <w:pPr>
        <w:widowControl w:val="0"/>
        <w:adjustRightInd w:val="0"/>
        <w:snapToGrid w:val="0"/>
        <w:spacing w:line="360" w:lineRule="auto"/>
        <w:jc w:val="both"/>
        <w:rPr>
          <w:sz w:val="24"/>
          <w:szCs w:val="24"/>
        </w:rPr>
      </w:pPr>
      <w:r w:rsidRPr="000315B4">
        <w:rPr>
          <w:sz w:val="24"/>
          <w:szCs w:val="24"/>
        </w:rPr>
        <w:t xml:space="preserve">Patients with BE and HGD, may have a higher risk for all-cause cancer morbidity. The implications on cancer prevention recommendations should be further studied. </w:t>
      </w:r>
    </w:p>
    <w:p w14:paraId="290C6793" w14:textId="77777777" w:rsidR="004B2262" w:rsidRPr="000315B4" w:rsidRDefault="004B2262" w:rsidP="007804E8">
      <w:pPr>
        <w:widowControl w:val="0"/>
        <w:adjustRightInd w:val="0"/>
        <w:snapToGrid w:val="0"/>
        <w:spacing w:line="360" w:lineRule="auto"/>
        <w:jc w:val="both"/>
        <w:rPr>
          <w:sz w:val="24"/>
          <w:szCs w:val="24"/>
        </w:rPr>
      </w:pPr>
    </w:p>
    <w:p w14:paraId="5BEE2E45" w14:textId="08A61ADE" w:rsidR="004B2262" w:rsidRPr="000315B4" w:rsidRDefault="004B2262" w:rsidP="007804E8">
      <w:pPr>
        <w:widowControl w:val="0"/>
        <w:adjustRightInd w:val="0"/>
        <w:snapToGrid w:val="0"/>
        <w:spacing w:line="360" w:lineRule="auto"/>
        <w:jc w:val="both"/>
        <w:rPr>
          <w:sz w:val="24"/>
          <w:szCs w:val="24"/>
        </w:rPr>
      </w:pPr>
      <w:r w:rsidRPr="000315B4">
        <w:rPr>
          <w:b/>
          <w:bCs/>
          <w:sz w:val="24"/>
          <w:szCs w:val="24"/>
        </w:rPr>
        <w:t>Key</w:t>
      </w:r>
      <w:r w:rsidR="00007844" w:rsidRPr="000315B4">
        <w:rPr>
          <w:b/>
          <w:bCs/>
          <w:sz w:val="24"/>
          <w:szCs w:val="24"/>
          <w:lang w:eastAsia="zh-CN"/>
        </w:rPr>
        <w:t xml:space="preserve"> </w:t>
      </w:r>
      <w:r w:rsidRPr="000315B4">
        <w:rPr>
          <w:b/>
          <w:bCs/>
          <w:sz w:val="24"/>
          <w:szCs w:val="24"/>
        </w:rPr>
        <w:t>words</w:t>
      </w:r>
      <w:r w:rsidRPr="000315B4">
        <w:rPr>
          <w:sz w:val="24"/>
          <w:szCs w:val="24"/>
        </w:rPr>
        <w:t>: Barrett’s esophagus; High grade dysplasia; Esophageal cancer</w:t>
      </w:r>
      <w:r w:rsidR="00F3526A" w:rsidRPr="000315B4">
        <w:rPr>
          <w:rFonts w:hint="eastAsia"/>
          <w:sz w:val="24"/>
          <w:szCs w:val="24"/>
          <w:lang w:eastAsia="zh-CN"/>
        </w:rPr>
        <w:t>;</w:t>
      </w:r>
      <w:r w:rsidRPr="000315B4">
        <w:rPr>
          <w:sz w:val="24"/>
          <w:szCs w:val="24"/>
        </w:rPr>
        <w:t xml:space="preserve"> Upper endoscopy</w:t>
      </w:r>
      <w:r w:rsidR="00F3526A" w:rsidRPr="000315B4">
        <w:rPr>
          <w:rFonts w:hint="eastAsia"/>
          <w:sz w:val="24"/>
          <w:szCs w:val="24"/>
          <w:lang w:eastAsia="zh-CN"/>
        </w:rPr>
        <w:t>;</w:t>
      </w:r>
      <w:r w:rsidRPr="000315B4">
        <w:rPr>
          <w:sz w:val="24"/>
          <w:szCs w:val="24"/>
        </w:rPr>
        <w:t xml:space="preserve"> Cancer morbidity</w:t>
      </w:r>
    </w:p>
    <w:p w14:paraId="5B71EBED" w14:textId="77777777" w:rsidR="004B2262" w:rsidRPr="000315B4" w:rsidRDefault="004B2262" w:rsidP="007804E8">
      <w:pPr>
        <w:widowControl w:val="0"/>
        <w:adjustRightInd w:val="0"/>
        <w:snapToGrid w:val="0"/>
        <w:spacing w:line="360" w:lineRule="auto"/>
        <w:jc w:val="both"/>
        <w:rPr>
          <w:sz w:val="24"/>
          <w:szCs w:val="24"/>
          <w:lang w:eastAsia="zh-CN"/>
        </w:rPr>
      </w:pPr>
    </w:p>
    <w:p w14:paraId="44786DD1" w14:textId="77777777" w:rsidR="00F3526A" w:rsidRPr="00F3526A" w:rsidRDefault="00F3526A" w:rsidP="00F3526A">
      <w:pPr>
        <w:widowControl w:val="0"/>
        <w:adjustRightInd w:val="0"/>
        <w:snapToGrid w:val="0"/>
        <w:spacing w:line="360" w:lineRule="auto"/>
        <w:jc w:val="both"/>
        <w:rPr>
          <w:rFonts w:cs="Tahoma"/>
          <w:color w:val="000000"/>
          <w:kern w:val="2"/>
          <w:sz w:val="24"/>
          <w:szCs w:val="24"/>
          <w:lang w:eastAsia="zh-CN" w:bidi="ar-SA"/>
        </w:rPr>
      </w:pPr>
      <w:bookmarkStart w:id="28" w:name="OLE_LINK148"/>
      <w:bookmarkStart w:id="29" w:name="OLE_LINK149"/>
      <w:bookmarkStart w:id="30" w:name="OLE_LINK200"/>
      <w:bookmarkStart w:id="31" w:name="OLE_LINK288"/>
      <w:bookmarkStart w:id="32" w:name="OLE_LINK1864"/>
      <w:bookmarkStart w:id="33" w:name="OLE_LINK16"/>
      <w:bookmarkStart w:id="34" w:name="OLE_LINK382"/>
      <w:bookmarkStart w:id="35" w:name="OLE_LINK306"/>
      <w:bookmarkStart w:id="36" w:name="OLE_LINK569"/>
      <w:bookmarkStart w:id="37" w:name="OLE_LINK682"/>
      <w:r w:rsidRPr="00F3526A">
        <w:rPr>
          <w:rFonts w:cs="Tahoma"/>
          <w:b/>
          <w:color w:val="000000"/>
          <w:kern w:val="2"/>
          <w:sz w:val="24"/>
          <w:szCs w:val="24"/>
          <w:lang w:eastAsia="ja-JP" w:bidi="ar-SA"/>
        </w:rPr>
        <w:t>© The Author(s) 201</w:t>
      </w:r>
      <w:r w:rsidRPr="00F3526A">
        <w:rPr>
          <w:rFonts w:cs="Tahoma"/>
          <w:b/>
          <w:color w:val="000000"/>
          <w:kern w:val="2"/>
          <w:sz w:val="24"/>
          <w:szCs w:val="24"/>
          <w:lang w:eastAsia="zh-CN" w:bidi="ar-SA"/>
        </w:rPr>
        <w:t>8</w:t>
      </w:r>
      <w:r w:rsidRPr="00F3526A">
        <w:rPr>
          <w:rFonts w:cs="Tahoma"/>
          <w:b/>
          <w:color w:val="000000"/>
          <w:kern w:val="2"/>
          <w:sz w:val="24"/>
          <w:szCs w:val="24"/>
          <w:lang w:eastAsia="ja-JP" w:bidi="ar-SA"/>
        </w:rPr>
        <w:t>.</w:t>
      </w:r>
      <w:r w:rsidRPr="00F3526A">
        <w:rPr>
          <w:rFonts w:cs="Tahoma"/>
          <w:color w:val="000000"/>
          <w:kern w:val="2"/>
          <w:sz w:val="24"/>
          <w:szCs w:val="24"/>
          <w:lang w:eastAsia="ja-JP" w:bidi="ar-SA"/>
        </w:rPr>
        <w:t xml:space="preserve"> Published by Baishideng Publishing Group Inc. All rights reserved.</w:t>
      </w:r>
      <w:bookmarkEnd w:id="28"/>
      <w:bookmarkEnd w:id="29"/>
      <w:bookmarkEnd w:id="30"/>
      <w:bookmarkEnd w:id="31"/>
      <w:bookmarkEnd w:id="32"/>
      <w:bookmarkEnd w:id="33"/>
      <w:bookmarkEnd w:id="34"/>
      <w:bookmarkEnd w:id="35"/>
      <w:bookmarkEnd w:id="36"/>
      <w:bookmarkEnd w:id="37"/>
    </w:p>
    <w:p w14:paraId="03D430EE" w14:textId="77777777" w:rsidR="00F3526A" w:rsidRPr="000315B4" w:rsidRDefault="00F3526A" w:rsidP="007804E8">
      <w:pPr>
        <w:widowControl w:val="0"/>
        <w:adjustRightInd w:val="0"/>
        <w:snapToGrid w:val="0"/>
        <w:spacing w:line="360" w:lineRule="auto"/>
        <w:jc w:val="both"/>
        <w:rPr>
          <w:sz w:val="24"/>
          <w:szCs w:val="24"/>
          <w:lang w:eastAsia="zh-CN"/>
        </w:rPr>
      </w:pPr>
    </w:p>
    <w:p w14:paraId="3C74BB4A" w14:textId="6B6E5606" w:rsidR="004B2262" w:rsidRPr="000315B4" w:rsidRDefault="004B2262" w:rsidP="007804E8">
      <w:pPr>
        <w:widowControl w:val="0"/>
        <w:adjustRightInd w:val="0"/>
        <w:snapToGrid w:val="0"/>
        <w:spacing w:line="360" w:lineRule="auto"/>
        <w:jc w:val="both"/>
        <w:rPr>
          <w:sz w:val="24"/>
          <w:szCs w:val="24"/>
          <w:lang w:eastAsia="zh-CN"/>
        </w:rPr>
      </w:pPr>
      <w:r w:rsidRPr="000315B4">
        <w:rPr>
          <w:b/>
          <w:bCs/>
          <w:sz w:val="24"/>
          <w:szCs w:val="24"/>
        </w:rPr>
        <w:t>Core tip:</w:t>
      </w:r>
      <w:r w:rsidRPr="000315B4">
        <w:rPr>
          <w:sz w:val="24"/>
          <w:szCs w:val="24"/>
        </w:rPr>
        <w:t xml:space="preserve"> </w:t>
      </w:r>
      <w:r w:rsidR="00F3526A" w:rsidRPr="000315B4">
        <w:rPr>
          <w:sz w:val="24"/>
          <w:szCs w:val="24"/>
        </w:rPr>
        <w:t>Barrett’s esophagus (BE)</w:t>
      </w:r>
      <w:r w:rsidRPr="000315B4">
        <w:rPr>
          <w:sz w:val="24"/>
          <w:szCs w:val="24"/>
        </w:rPr>
        <w:t xml:space="preserve"> is known to be associated with esophageal carcinoma (EAC) and increased all cause and cancer specific mortality, but EAC is responsible only for a minority of </w:t>
      </w:r>
      <w:r w:rsidR="000D6EB9" w:rsidRPr="000315B4">
        <w:rPr>
          <w:sz w:val="24"/>
          <w:szCs w:val="24"/>
        </w:rPr>
        <w:t xml:space="preserve">BE </w:t>
      </w:r>
      <w:r w:rsidRPr="000315B4">
        <w:rPr>
          <w:sz w:val="24"/>
          <w:szCs w:val="24"/>
        </w:rPr>
        <w:t xml:space="preserve">mortality cases. We found patients with </w:t>
      </w:r>
      <w:r w:rsidR="00F3526A" w:rsidRPr="000315B4">
        <w:rPr>
          <w:sz w:val="24"/>
          <w:szCs w:val="24"/>
        </w:rPr>
        <w:t xml:space="preserve">high-grade dysplasia </w:t>
      </w:r>
      <w:r w:rsidRPr="000315B4">
        <w:rPr>
          <w:sz w:val="24"/>
          <w:szCs w:val="24"/>
        </w:rPr>
        <w:t xml:space="preserve">to be more prone to non-BE related cancers, on top of BE </w:t>
      </w:r>
      <w:r w:rsidR="000D6EB9" w:rsidRPr="000315B4">
        <w:rPr>
          <w:sz w:val="24"/>
          <w:szCs w:val="24"/>
        </w:rPr>
        <w:t xml:space="preserve">related </w:t>
      </w:r>
      <w:r w:rsidRPr="000315B4">
        <w:rPr>
          <w:sz w:val="24"/>
          <w:szCs w:val="24"/>
        </w:rPr>
        <w:t xml:space="preserve">cancers. Such information can </w:t>
      </w:r>
      <w:r w:rsidR="00AD4A63" w:rsidRPr="000315B4">
        <w:rPr>
          <w:sz w:val="24"/>
          <w:szCs w:val="24"/>
        </w:rPr>
        <w:t xml:space="preserve">affect </w:t>
      </w:r>
      <w:r w:rsidRPr="000315B4">
        <w:rPr>
          <w:sz w:val="24"/>
          <w:szCs w:val="24"/>
        </w:rPr>
        <w:t xml:space="preserve">the </w:t>
      </w:r>
      <w:r w:rsidR="00AD4A63" w:rsidRPr="000315B4">
        <w:rPr>
          <w:sz w:val="24"/>
          <w:szCs w:val="24"/>
        </w:rPr>
        <w:t xml:space="preserve">recommended extraesophageal surveillance, and contribute the </w:t>
      </w:r>
      <w:r w:rsidRPr="000315B4">
        <w:rPr>
          <w:sz w:val="24"/>
          <w:szCs w:val="24"/>
        </w:rPr>
        <w:t xml:space="preserve">debate about the cost-effectiveness of endoscopic surveillance and to health systems decision making. </w:t>
      </w:r>
    </w:p>
    <w:p w14:paraId="32855F40" w14:textId="77777777" w:rsidR="00C350AE" w:rsidRPr="000315B4" w:rsidRDefault="00C350AE" w:rsidP="007804E8">
      <w:pPr>
        <w:widowControl w:val="0"/>
        <w:adjustRightInd w:val="0"/>
        <w:snapToGrid w:val="0"/>
        <w:spacing w:line="360" w:lineRule="auto"/>
        <w:jc w:val="both"/>
        <w:rPr>
          <w:rFonts w:cs="Tahoma"/>
          <w:sz w:val="24"/>
          <w:szCs w:val="24"/>
          <w:rtl/>
        </w:rPr>
      </w:pPr>
      <w:bookmarkStart w:id="38" w:name="OLE_LINK1059"/>
      <w:bookmarkStart w:id="39" w:name="OLE_LINK1058"/>
      <w:bookmarkStart w:id="40" w:name="OLE_LINK1057"/>
      <w:bookmarkStart w:id="41" w:name="OLE_LINK1056"/>
      <w:bookmarkStart w:id="42" w:name="OLE_LINK464"/>
      <w:bookmarkStart w:id="43" w:name="OLE_LINK455"/>
      <w:bookmarkStart w:id="44" w:name="OLE_LINK134"/>
      <w:bookmarkStart w:id="45" w:name="OLE_LINK130"/>
      <w:bookmarkStart w:id="46" w:name="OLE_LINK937"/>
      <w:bookmarkStart w:id="47" w:name="OLE_LINK782"/>
      <w:bookmarkStart w:id="48" w:name="OLE_LINK781"/>
      <w:bookmarkStart w:id="49" w:name="OLE_LINK817"/>
      <w:bookmarkStart w:id="50" w:name="OLE_LINK757"/>
      <w:bookmarkStart w:id="51" w:name="OLE_LINK756"/>
      <w:bookmarkStart w:id="52" w:name="OLE_LINK811"/>
      <w:bookmarkStart w:id="53" w:name="OLE_LINK318"/>
      <w:bookmarkStart w:id="54" w:name="OLE_LINK317"/>
      <w:bookmarkStart w:id="55" w:name="OLE_LINK316"/>
      <w:bookmarkStart w:id="56" w:name="OLE_LINK370"/>
      <w:bookmarkStart w:id="57" w:name="OLE_LINK369"/>
      <w:bookmarkStart w:id="58" w:name="OLE_LINK368"/>
      <w:bookmarkStart w:id="59" w:name="OLE_LINK362"/>
      <w:bookmarkStart w:id="60" w:name="OLE_LINK352"/>
      <w:bookmarkStart w:id="61" w:name="OLE_LINK348"/>
      <w:bookmarkStart w:id="62" w:name="OLE_LINK345"/>
      <w:bookmarkStart w:id="63" w:name="OLE_LINK339"/>
      <w:bookmarkStart w:id="64" w:name="OLE_LINK336"/>
      <w:bookmarkStart w:id="65" w:name="OLE_LINK326"/>
      <w:bookmarkStart w:id="66" w:name="OLE_LINK299"/>
      <w:bookmarkStart w:id="67" w:name="OLE_LINK298"/>
      <w:bookmarkStart w:id="68" w:name="OLE_LINK291"/>
      <w:bookmarkStart w:id="69" w:name="OLE_LINK290"/>
      <w:bookmarkStart w:id="70" w:name="OLE_LINK286"/>
      <w:bookmarkStart w:id="71" w:name="OLE_LINK284"/>
      <w:bookmarkStart w:id="72" w:name="OLE_LINK279"/>
      <w:bookmarkStart w:id="73" w:name="OLE_LINK278"/>
      <w:bookmarkStart w:id="74" w:name="OLE_LINK277"/>
      <w:bookmarkStart w:id="75" w:name="OLE_LINK273"/>
      <w:bookmarkStart w:id="76" w:name="OLE_LINK272"/>
      <w:bookmarkStart w:id="77" w:name="OLE_LINK271"/>
      <w:bookmarkStart w:id="78" w:name="OLE_LINK267"/>
      <w:bookmarkStart w:id="79" w:name="OLE_LINK266"/>
      <w:bookmarkStart w:id="80" w:name="OLE_LINK265"/>
      <w:bookmarkStart w:id="81" w:name="OLE_LINK264"/>
      <w:bookmarkStart w:id="82" w:name="OLE_LINK248"/>
      <w:bookmarkStart w:id="83" w:name="OLE_LINK247"/>
      <w:bookmarkStart w:id="84" w:name="OLE_LINK425"/>
    </w:p>
    <w:p w14:paraId="41A3F849" w14:textId="20797C80" w:rsidR="00007844" w:rsidRPr="000315B4" w:rsidRDefault="00C350AE" w:rsidP="007804E8">
      <w:pPr>
        <w:widowControl w:val="0"/>
        <w:adjustRightInd w:val="0"/>
        <w:snapToGrid w:val="0"/>
        <w:spacing w:line="360" w:lineRule="auto"/>
        <w:jc w:val="both"/>
        <w:rPr>
          <w:rFonts w:cs="Tahoma"/>
          <w:sz w:val="24"/>
          <w:szCs w:val="24"/>
        </w:rPr>
      </w:pPr>
      <w:r w:rsidRPr="000315B4">
        <w:rPr>
          <w:iCs/>
          <w:sz w:val="24"/>
          <w:szCs w:val="24"/>
        </w:rPr>
        <w:t xml:space="preserve">Bar N, Schwartz N, Nissim M, Fliss-Isacov N, Zelber-Sagi S, Kariv R. Barrett's </w:t>
      </w:r>
      <w:r w:rsidR="00F3526A" w:rsidRPr="000315B4">
        <w:rPr>
          <w:iCs/>
          <w:sz w:val="24"/>
          <w:szCs w:val="24"/>
        </w:rPr>
        <w:t>esophagus with high grade dysplasia is associated with non-esophageal can</w:t>
      </w:r>
      <w:r w:rsidRPr="000315B4">
        <w:rPr>
          <w:iCs/>
          <w:sz w:val="24"/>
          <w:szCs w:val="24"/>
        </w:rPr>
        <w:t>cer</w:t>
      </w:r>
      <w:r w:rsidR="00F3526A" w:rsidRPr="000315B4">
        <w:rPr>
          <w:rFonts w:hint="eastAsia"/>
          <w:iCs/>
          <w:sz w:val="24"/>
          <w:szCs w:val="24"/>
          <w:lang w:eastAsia="zh-CN"/>
        </w:rPr>
        <w:t>.</w:t>
      </w:r>
      <w:r w:rsidRPr="000315B4">
        <w:rPr>
          <w:i/>
          <w:sz w:val="24"/>
          <w:szCs w:val="24"/>
        </w:rPr>
        <w:t xml:space="preserve"> </w:t>
      </w:r>
      <w:r w:rsidR="00007844" w:rsidRPr="000315B4">
        <w:rPr>
          <w:i/>
          <w:sz w:val="24"/>
          <w:szCs w:val="24"/>
        </w:rPr>
        <w:t>World J Gastroenterol</w:t>
      </w:r>
      <w:r w:rsidR="00007844" w:rsidRPr="000315B4">
        <w:rPr>
          <w:sz w:val="24"/>
          <w:szCs w:val="24"/>
        </w:rPr>
        <w:t xml:space="preserve"> 2018; </w:t>
      </w:r>
      <w:bookmarkStart w:id="85" w:name="OLE_LINK1297"/>
      <w:bookmarkStart w:id="86" w:name="OLE_LINK1298"/>
      <w:bookmarkStart w:id="87" w:name="OLE_LINK1689"/>
      <w:r w:rsidR="00007844" w:rsidRPr="000315B4">
        <w:rPr>
          <w:sz w:val="24"/>
          <w:szCs w:val="24"/>
        </w:rPr>
        <w:t>In press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A78E0C9" w14:textId="77777777" w:rsidR="00007844" w:rsidRPr="000315B4" w:rsidRDefault="00007844" w:rsidP="007804E8">
      <w:pPr>
        <w:widowControl w:val="0"/>
        <w:adjustRightInd w:val="0"/>
        <w:snapToGrid w:val="0"/>
        <w:spacing w:line="360" w:lineRule="auto"/>
        <w:jc w:val="both"/>
        <w:rPr>
          <w:sz w:val="24"/>
          <w:szCs w:val="24"/>
          <w:lang w:eastAsia="zh-CN"/>
        </w:rPr>
      </w:pPr>
    </w:p>
    <w:p w14:paraId="1A5457D0" w14:textId="77777777" w:rsidR="00CC1129" w:rsidRPr="000315B4" w:rsidRDefault="00CC1129" w:rsidP="007804E8">
      <w:pPr>
        <w:widowControl w:val="0"/>
        <w:adjustRightInd w:val="0"/>
        <w:snapToGrid w:val="0"/>
        <w:spacing w:line="360" w:lineRule="auto"/>
        <w:jc w:val="both"/>
        <w:rPr>
          <w:sz w:val="24"/>
          <w:szCs w:val="24"/>
        </w:rPr>
      </w:pPr>
      <w:r w:rsidRPr="000315B4">
        <w:rPr>
          <w:sz w:val="24"/>
          <w:szCs w:val="24"/>
        </w:rPr>
        <w:br w:type="page"/>
      </w:r>
      <w:bookmarkStart w:id="88" w:name="_GoBack"/>
      <w:bookmarkEnd w:id="88"/>
    </w:p>
    <w:p w14:paraId="30B98368" w14:textId="77777777" w:rsidR="00831210" w:rsidRPr="000315B4" w:rsidRDefault="00007844" w:rsidP="007804E8">
      <w:pPr>
        <w:pStyle w:val="Subtitle"/>
        <w:widowControl w:val="0"/>
        <w:adjustRightInd w:val="0"/>
        <w:snapToGrid w:val="0"/>
        <w:spacing w:line="360" w:lineRule="auto"/>
        <w:jc w:val="both"/>
        <w:rPr>
          <w:sz w:val="24"/>
          <w:szCs w:val="24"/>
        </w:rPr>
      </w:pPr>
      <w:r w:rsidRPr="000315B4">
        <w:rPr>
          <w:sz w:val="24"/>
          <w:szCs w:val="24"/>
        </w:rPr>
        <w:lastRenderedPageBreak/>
        <w:t>INTRODUCTION</w:t>
      </w:r>
    </w:p>
    <w:p w14:paraId="57F2F323" w14:textId="654F1F2A" w:rsidR="00674B88" w:rsidRPr="000315B4" w:rsidRDefault="001104AB" w:rsidP="007804E8">
      <w:pPr>
        <w:widowControl w:val="0"/>
        <w:adjustRightInd w:val="0"/>
        <w:snapToGrid w:val="0"/>
        <w:spacing w:line="360" w:lineRule="auto"/>
        <w:jc w:val="both"/>
        <w:rPr>
          <w:sz w:val="24"/>
          <w:szCs w:val="24"/>
          <w:rtl/>
        </w:rPr>
      </w:pPr>
      <w:bookmarkStart w:id="89" w:name="_Hlk510304535"/>
      <w:r w:rsidRPr="000315B4">
        <w:rPr>
          <w:sz w:val="24"/>
          <w:szCs w:val="24"/>
        </w:rPr>
        <w:t>Barrett’s esophagus (BE)</w:t>
      </w:r>
      <w:bookmarkEnd w:id="89"/>
      <w:r w:rsidR="00CD79C8" w:rsidRPr="000315B4">
        <w:rPr>
          <w:sz w:val="24"/>
          <w:szCs w:val="24"/>
        </w:rPr>
        <w:t xml:space="preserve"> is a premalignant </w:t>
      </w:r>
      <w:r w:rsidR="00323BD5" w:rsidRPr="000315B4">
        <w:rPr>
          <w:sz w:val="24"/>
          <w:szCs w:val="24"/>
        </w:rPr>
        <w:t xml:space="preserve">condition </w:t>
      </w:r>
      <w:r w:rsidR="009F4A93" w:rsidRPr="000315B4">
        <w:rPr>
          <w:sz w:val="24"/>
          <w:szCs w:val="24"/>
        </w:rPr>
        <w:t xml:space="preserve">in which intestinal metaplasia replaces normal squamous epithelium </w:t>
      </w:r>
      <w:r w:rsidR="00BE7AEE" w:rsidRPr="000315B4">
        <w:rPr>
          <w:sz w:val="24"/>
          <w:szCs w:val="24"/>
        </w:rPr>
        <w:t xml:space="preserve">at </w:t>
      </w:r>
      <w:r w:rsidR="00323BD5" w:rsidRPr="000315B4">
        <w:rPr>
          <w:sz w:val="24"/>
          <w:szCs w:val="24"/>
        </w:rPr>
        <w:t>the distal esophagus</w:t>
      </w:r>
      <w:r w:rsidR="005E2925" w:rsidRPr="000315B4">
        <w:rPr>
          <w:sz w:val="24"/>
          <w:szCs w:val="24"/>
        </w:rPr>
        <w:fldChar w:fldCharType="begin" w:fldLock="1"/>
      </w:r>
      <w:r w:rsidR="0000179C" w:rsidRPr="000315B4">
        <w:rPr>
          <w:sz w:val="24"/>
          <w:szCs w:val="24"/>
        </w:rPr>
        <w:instrText>ADDIN CSL_CITATION {"citationItems":[{"id":"ITEM-1","itemData":{"DOI":"10.1038/ajg.2015.322","ISBN":"0002-9270","ISSN":"0002-9270","PMID":"26526079","abstract":"Achalasia is a primary motor disorder of the esophagus characterized by insufficient lower esophageal sphincter relaxation and loss of esophageal peristalsis. This results in patients&amp;#039; complaints of dysphagia to solids and liquids, regurgitation, and occasional chest pain with or without weight loss. Endoscopic finding of retained saliva with puckered gastroesophageal junction or barium swallow showing dilated esophagus with birds beaking in a symptomatic patient should prompt appropriate diagnostic and therapeutic strategies. In this ACG guideline the authors present an evidence-based approach in patients with achalasia based on a comprehensive review of the pertinent evidence and examination of relevant published data.","author":[{"dropping-particle":"","family":"Shaheen","given":"Nicolas J","non-dropping-particle":"","parse-names":false,"suffix":""}],"container-title":"Am J Gastroenterol","id":"ITEM-1","issue":"8","issued":{"date-parts":[["2015"]]},"note":"NULL","page":"1238-1249","publisher":"Nature Publishing Group","title":"ACG Clinical Guideline: Diagnosis and Management of Barrett’s Esophagus","type":"article-journal","volume":"108"},"uris":["http://www.mendeley.com/documents/?uuid=33dbbf88-e2d6-44cd-8a90-8be6313100bb"]},{"id":"ITEM-2","itemData":{"DOI":"10.1136/gutjnl-2013-305372","ISBN":"1468-3288 (Electronic)\\r0017-5749 (Linking)","ISSN":"1468-3288","PMID":"24165758","abstract":"These guidelines provide a practical and evidence-based resource for the management of patients with Barrett's oesophagus and related early neoplasia. The Appraisal of Guidelines for Research and Evaluation (AGREE II) instrument was followed to provide a methodological strategy for the guideline development. A systematic review of the literature was performed for English language articles published up until December 2012 in order to address controversial issues in Barrett's oesophagus including definition, screening and diagnosis, surveillance, pathological grading for dysplasia, management of dysplasia, and early cancer including training requirements. The rigour and quality of the studies was evaluated using the SIGN checklist system. Recommendations on each topic were scored by each author using a five-tier system (A+, strong agreement, to D+, strongly disagree). Statements that failed to reach substantial agreement among authors, defined as &gt;80% agreement (A or A+), were revisited and modified until substantial agreement (&gt;80%) was reached. In formulating these guidelines, we took into consideration benefits and risks for the population and national health system, as well as patient perspectives. For the first time, we have suggested stratification of patients according to their estimated cancer risk based on clinical and histopathological criteria. In order to improve communication between clinicians, we recommend the use of minimum datasets for reporting endoscopic and pathological findings. We advocate endoscopic therapy for high-grade dysplasia and early cancer, which should be performed in high-volume centres. We hope that these guidelines will standardise and improve management for patients with Barrett's oesophagus and related neoplasia.","author":[{"dropping-particle":"","family":"Fitzgerald","given":"Rebecca C","non-dropping-particle":"","parse-names":false,"suffix":""},{"dropping-particle":"","family":"Pietro","given":"Massimiliano","non-dropping-particle":"di","parse-names":false,"suffix":""},{"dropping-particle":"","family":"Ragunath","given":"Krish","non-dropping-particle":"","parse-names":false,"suffix":""},{"dropping-particle":"","family":"Ang","given":"Yeng","non-dropping-particle":"","parse-names":false,"suffix":""},{"dropping-particle":"","family":"Kang","given":"Jin-Yong Y","non-dropping-particle":"","parse-names":false,"suffix":""},{"dropping-particle":"","family":"Watson","given":"Peter","non-dropping-particle":"","parse-names":false,"suffix":""},{"dropping-particle":"","family":"Trudgill","given":"Nigel","non-dropping-particle":"","parse-names":false,"suffix":""},{"dropping-particle":"","family":"Patel","given":"Praful","non-dropping-particle":"","parse-names":false,"suffix":""},{"dropping-particle":"V","family":"Kaye","given":"Philip","non-dropping-particle":"","parse-names":false,"suffix":""},{"dropping-particle":"","family":"Sanders","given":"Scott","non-dropping-particle":"","parse-names":false,"suffix":""},{"dropping-particle":"","family":"O'Donovan","given":"Maria","non-dropping-particle":"","parse-names":false,"suffix":""},{"dropping-particle":"","family":"Bird-Lieberman","given":"Elizabeth","non-dropping-particle":"","parse-names":false,"suffix":""},{"dropping-particle":"","family":"Bhandari","given":"Pradeep","non-dropping-particle":"","parse-names":false,"suffix":""},{"dropping-particle":"","family":"Jankowski","given":"Janusz a","non-dropping-particle":"","parse-names":false,"suffix":""},{"dropping-particle":"","family":"Attwood","given":"Stephen","non-dropping-particle":"","parse-names":false,"suffix":""},{"dropping-particle":"","family":"Parsons","given":"Simon L","non-dropping-particle":"","parse-names":false,"suffix":""},{"dropping-particle":"","family":"Loft","given":"Duncan","non-dropping-particle":"","parse-names":false,"suffix":""},{"dropping-particle":"","family":"Lagergren","given":"Jesper","non-dropping-particle":"","parse-names":false,"suffix":""},{"dropping-particle":"","family":"Moayyedi","given":"Paul","non-dropping-particle":"","parse-names":false,"suffix":""},{"dropping-particle":"","family":"Lyratzopoulos","given":"Georgios","non-dropping-particle":"","parse-names":false,"suffix":""},{"dropping-particle":"","family":"Caestecker","given":"John","non-dropping-particle":"de","parse-names":false,"suffix":""}],"container-title":"Gut","id":"ITEM-2","issue":"1","issued":{"date-parts":[["2014"]]},"page":"7-42","title":"British Society of Gastroenterology guidelines on the diagnosis and management of Barrett's oesophagus","type":"article-journal","volume":"63"},"uris":["http://www.mendeley.com/documents/?uuid=252afd81-d8cb-4c22-9abf-719907a6f7b8"]}],"mendeley":{"formattedCitation":"&lt;sup&gt;[1,2]&lt;/sup&gt;","plainTextFormattedCitation":"[1,2]","previouslyFormattedCitation":"&lt;sup&gt;[1,2]&lt;/sup&gt;"},"properties":{"noteIndex":0},"schema":"https://github.com/citation-style-language/schema/raw/master/csl-citation.json"}</w:instrText>
      </w:r>
      <w:r w:rsidR="005E2925" w:rsidRPr="000315B4">
        <w:rPr>
          <w:sz w:val="24"/>
          <w:szCs w:val="24"/>
        </w:rPr>
        <w:fldChar w:fldCharType="separate"/>
      </w:r>
      <w:r w:rsidR="00164BEB" w:rsidRPr="000315B4">
        <w:rPr>
          <w:noProof/>
          <w:sz w:val="24"/>
          <w:szCs w:val="24"/>
          <w:vertAlign w:val="superscript"/>
        </w:rPr>
        <w:t>[1,2]</w:t>
      </w:r>
      <w:r w:rsidR="005E2925" w:rsidRPr="000315B4">
        <w:rPr>
          <w:sz w:val="24"/>
          <w:szCs w:val="24"/>
        </w:rPr>
        <w:fldChar w:fldCharType="end"/>
      </w:r>
      <w:r w:rsidR="00323BD5" w:rsidRPr="000315B4">
        <w:rPr>
          <w:sz w:val="24"/>
          <w:szCs w:val="24"/>
        </w:rPr>
        <w:t>.</w:t>
      </w:r>
      <w:r w:rsidR="0084092C" w:rsidRPr="000315B4">
        <w:rPr>
          <w:sz w:val="24"/>
          <w:szCs w:val="24"/>
        </w:rPr>
        <w:t xml:space="preserve"> </w:t>
      </w:r>
      <w:r w:rsidR="00696C46" w:rsidRPr="000315B4">
        <w:rPr>
          <w:sz w:val="24"/>
          <w:szCs w:val="24"/>
        </w:rPr>
        <w:t xml:space="preserve">BE predisposes for </w:t>
      </w:r>
      <w:bookmarkStart w:id="90" w:name="_Hlk510304546"/>
      <w:r w:rsidR="00696C46" w:rsidRPr="000315B4">
        <w:rPr>
          <w:sz w:val="24"/>
          <w:szCs w:val="24"/>
        </w:rPr>
        <w:t xml:space="preserve">esophageal adenocarcinoma (EAC), </w:t>
      </w:r>
      <w:bookmarkEnd w:id="90"/>
      <w:r w:rsidR="00696C46" w:rsidRPr="000315B4">
        <w:rPr>
          <w:sz w:val="24"/>
          <w:szCs w:val="24"/>
        </w:rPr>
        <w:t>and c</w:t>
      </w:r>
      <w:r w:rsidR="00A713AA" w:rsidRPr="000315B4">
        <w:rPr>
          <w:sz w:val="24"/>
          <w:szCs w:val="24"/>
        </w:rPr>
        <w:t xml:space="preserve">urrent guidelines </w:t>
      </w:r>
      <w:r w:rsidR="00696C46" w:rsidRPr="000315B4">
        <w:rPr>
          <w:sz w:val="24"/>
          <w:szCs w:val="24"/>
        </w:rPr>
        <w:t>recommend endoscopic surveillance</w:t>
      </w:r>
      <w:r w:rsidR="007957C6" w:rsidRPr="000315B4">
        <w:rPr>
          <w:sz w:val="24"/>
          <w:szCs w:val="24"/>
        </w:rPr>
        <w:t xml:space="preserve"> </w:t>
      </w:r>
      <w:r w:rsidR="00BE7AEE" w:rsidRPr="000315B4">
        <w:rPr>
          <w:sz w:val="24"/>
          <w:szCs w:val="24"/>
        </w:rPr>
        <w:t>for</w:t>
      </w:r>
      <w:r w:rsidR="007957C6" w:rsidRPr="000315B4">
        <w:rPr>
          <w:sz w:val="24"/>
          <w:szCs w:val="24"/>
        </w:rPr>
        <w:t xml:space="preserve"> early detection</w:t>
      </w:r>
      <w:r w:rsidR="00696C46" w:rsidRPr="000315B4">
        <w:rPr>
          <w:sz w:val="24"/>
          <w:szCs w:val="24"/>
        </w:rPr>
        <w:fldChar w:fldCharType="begin" w:fldLock="1"/>
      </w:r>
      <w:r w:rsidR="0000179C" w:rsidRPr="000315B4">
        <w:rPr>
          <w:sz w:val="24"/>
          <w:szCs w:val="24"/>
        </w:rPr>
        <w:instrText>ADDIN CSL_CITATION {"citationItems":[{"id":"ITEM-1","itemData":{"DOI":"10.1038/ajg.2015.322","ISBN":"0002-9270","ISSN":"0002-9270","PMID":"26526079","abstract":"Achalasia is a primary motor disorder of the esophagus characterized by insufficient lower esophageal sphincter relaxation and loss of esophageal peristalsis. This results in patients&amp;#039; complaints of dysphagia to solids and liquids, regurgitation, and occasional chest pain with or without weight loss. Endoscopic finding of retained saliva with puckered gastroesophageal junction or barium swallow showing dilated esophagus with birds beaking in a symptomatic patient should prompt appropriate diagnostic and therapeutic strategies. In this ACG guideline the authors present an evidence-based approach in patients with achalasia based on a comprehensive review of the pertinent evidence and examination of relevant published data.","author":[{"dropping-particle":"","family":"Shaheen","given":"Nicolas J","non-dropping-particle":"","parse-names":false,"suffix":""}],"container-title":"Am J Gastroenterol","id":"ITEM-1","issue":"8","issued":{"date-parts":[["2015"]]},"note":"NULL","page":"1238-1249","publisher":"Nature Publishing Group","title":"ACG Clinical Guideline: Diagnosis and Management of Barrett’s Esophagus","type":"article-journal","volume":"108"},"uris":["http://www.mendeley.com/documents/?uuid=33dbbf88-e2d6-44cd-8a90-8be6313100bb"]},{"id":"ITEM-2","itemData":{"DOI":"10.1136/gutjnl-2013-305372","ISBN":"1468-3288 (Electronic)\\r0017-5749 (Linking)","ISSN":"1468-3288","PMID":"24165758","abstract":"These guidelines provide a practical and evidence-based resource for the management of patients with Barrett's oesophagus and related early neoplasia. The Appraisal of Guidelines for Research and Evaluation (AGREE II) instrument was followed to provide a methodological strategy for the guideline development. A systematic review of the literature was performed for English language articles published up until December 2012 in order to address controversial issues in Barrett's oesophagus including definition, screening and diagnosis, surveillance, pathological grading for dysplasia, management of dysplasia, and early cancer including training requirements. The rigour and quality of the studies was evaluated using the SIGN checklist system. Recommendations on each topic were scored by each author using a five-tier system (A+, strong agreement, to D+, strongly disagree). Statements that failed to reach substantial agreement among authors, defined as &gt;80% agreement (A or A+), were revisited and modified until substantial agreement (&gt;80%) was reached. In formulating these guidelines, we took into consideration benefits and risks for the population and national health system, as well as patient perspectives. For the first time, we have suggested stratification of patients according to their estimated cancer risk based on clinical and histopathological criteria. In order to improve communication between clinicians, we recommend the use of minimum datasets for reporting endoscopic and pathological findings. We advocate endoscopic therapy for high-grade dysplasia and early cancer, which should be performed in high-volume centres. We hope that these guidelines will standardise and improve management for patients with Barrett's oesophagus and related neoplasia.","author":[{"dropping-particle":"","family":"Fitzgerald","given":"Rebecca C","non-dropping-particle":"","parse-names":false,"suffix":""},{"dropping-particle":"","family":"Pietro","given":"Massimiliano","non-dropping-particle":"di","parse-names":false,"suffix":""},{"dropping-particle":"","family":"Ragunath","given":"Krish","non-dropping-particle":"","parse-names":false,"suffix":""},{"dropping-particle":"","family":"Ang","given":"Yeng","non-dropping-particle":"","parse-names":false,"suffix":""},{"dropping-particle":"","family":"Kang","given":"Jin-Yong Y","non-dropping-particle":"","parse-names":false,"suffix":""},{"dropping-particle":"","family":"Watson","given":"Peter","non-dropping-particle":"","parse-names":false,"suffix":""},{"dropping-particle":"","family":"Trudgill","given":"Nigel","non-dropping-particle":"","parse-names":false,"suffix":""},{"dropping-particle":"","family":"Patel","given":"Praful","non-dropping-particle":"","parse-names":false,"suffix":""},{"dropping-particle":"V","family":"Kaye","given":"Philip","non-dropping-particle":"","parse-names":false,"suffix":""},{"dropping-particle":"","family":"Sanders","given":"Scott","non-dropping-particle":"","parse-names":false,"suffix":""},{"dropping-particle":"","family":"O'Donovan","given":"Maria","non-dropping-particle":"","parse-names":false,"suffix":""},{"dropping-particle":"","family":"Bird-Lieberman","given":"Elizabeth","non-dropping-particle":"","parse-names":false,"suffix":""},{"dropping-particle":"","family":"Bhandari","given":"Pradeep","non-dropping-particle":"","parse-names":false,"suffix":""},{"dropping-particle":"","family":"Jankowski","given":"Janusz a","non-dropping-particle":"","parse-names":false,"suffix":""},{"dropping-particle":"","family":"Attwood","given":"Stephen","non-dropping-particle":"","parse-names":false,"suffix":""},{"dropping-particle":"","family":"Parsons","given":"Simon L","non-dropping-particle":"","parse-names":false,"suffix":""},{"dropping-particle":"","family":"Loft","given":"Duncan","non-dropping-particle":"","parse-names":false,"suffix":""},{"dropping-particle":"","family":"Lagergren","given":"Jesper","non-dropping-particle":"","parse-names":false,"suffix":""},{"dropping-particle":"","family":"Moayyedi","given":"Paul","non-dropping-particle":"","parse-names":false,"suffix":""},{"dropping-particle":"","family":"Lyratzopoulos","given":"Georgios","non-dropping-particle":"","parse-names":false,"suffix":""},{"dropping-particle":"","family":"Caestecker","given":"John","non-dropping-particle":"de","parse-names":false,"suffix":""}],"container-title":"Gut","id":"ITEM-2","issue":"1","issued":{"date-parts":[["2014"]]},"page":"7-42","title":"British Society of Gastroenterology guidelines on the diagnosis and management of Barrett's oesophagus","type":"article-journal","volume":"63"},"uris":["http://www.mendeley.com/documents/?uuid=252afd81-d8cb-4c22-9abf-719907a6f7b8"]}],"mendeley":{"formattedCitation":"&lt;sup&gt;[1,2]&lt;/sup&gt;","plainTextFormattedCitation":"[1,2]","previouslyFormattedCitation":"&lt;sup&gt;[1,2]&lt;/sup&gt;"},"properties":{"noteIndex":0},"schema":"https://github.com/citation-style-language/schema/raw/master/csl-citation.json"}</w:instrText>
      </w:r>
      <w:r w:rsidR="00696C46" w:rsidRPr="000315B4">
        <w:rPr>
          <w:sz w:val="24"/>
          <w:szCs w:val="24"/>
        </w:rPr>
        <w:fldChar w:fldCharType="separate"/>
      </w:r>
      <w:r w:rsidR="00164BEB" w:rsidRPr="000315B4">
        <w:rPr>
          <w:noProof/>
          <w:sz w:val="24"/>
          <w:szCs w:val="24"/>
          <w:vertAlign w:val="superscript"/>
        </w:rPr>
        <w:t>[1,2]</w:t>
      </w:r>
      <w:r w:rsidR="00696C46" w:rsidRPr="000315B4">
        <w:rPr>
          <w:sz w:val="24"/>
          <w:szCs w:val="24"/>
        </w:rPr>
        <w:fldChar w:fldCharType="end"/>
      </w:r>
      <w:r w:rsidR="00BE7AEE" w:rsidRPr="000315B4">
        <w:rPr>
          <w:sz w:val="24"/>
          <w:szCs w:val="24"/>
        </w:rPr>
        <w:t xml:space="preserve"> and </w:t>
      </w:r>
      <w:r w:rsidR="007957C6" w:rsidRPr="000315B4">
        <w:rPr>
          <w:sz w:val="24"/>
          <w:szCs w:val="24"/>
        </w:rPr>
        <w:t xml:space="preserve">endoscopic treatment </w:t>
      </w:r>
      <w:r w:rsidR="005672C4" w:rsidRPr="000315B4">
        <w:rPr>
          <w:sz w:val="24"/>
          <w:szCs w:val="24"/>
        </w:rPr>
        <w:t>of</w:t>
      </w:r>
      <w:r w:rsidR="007957C6" w:rsidRPr="000315B4">
        <w:rPr>
          <w:sz w:val="24"/>
          <w:szCs w:val="24"/>
        </w:rPr>
        <w:t xml:space="preserve"> </w:t>
      </w:r>
      <w:r w:rsidR="00BE7AEE" w:rsidRPr="000315B4">
        <w:rPr>
          <w:sz w:val="24"/>
          <w:szCs w:val="24"/>
        </w:rPr>
        <w:t xml:space="preserve">early esophageal </w:t>
      </w:r>
      <w:r w:rsidR="00A36A7F" w:rsidRPr="000315B4">
        <w:rPr>
          <w:sz w:val="24"/>
          <w:szCs w:val="24"/>
        </w:rPr>
        <w:t>neoplasia</w:t>
      </w:r>
      <w:r w:rsidR="00A36A7F" w:rsidRPr="000315B4">
        <w:rPr>
          <w:sz w:val="24"/>
          <w:szCs w:val="24"/>
        </w:rPr>
        <w:fldChar w:fldCharType="begin" w:fldLock="1"/>
      </w:r>
      <w:r w:rsidR="0000179C" w:rsidRPr="000315B4">
        <w:rPr>
          <w:sz w:val="24"/>
          <w:szCs w:val="24"/>
        </w:rPr>
        <w:instrText>ADDIN CSL_CITATION {"citationItems":[{"id":"ITEM-1","itemData":{"DOI":"10.1053/gg.2000.5969","PMID":"10734018","abstract":"Background &amp; Aims: In view of the mortality and morbid- ity rates of esophagectomy and the relatively large group of inoperable patients, local therapeutic tech- niques are required for high-grade dysplasia and early Barrett’s cancer. Methods: A prospective investigation of endoscopic mucosal resection was conducted in 64 patients (mean age, 65 ? 10 years) who had early carcinoma (61 patients) or high-grade dysplasia (3 patients) in Barrett’s esophagus. Thirty-five patients met the criteria for low risk: macroscopic types I, IIa, IIb, and IIc; lesion diameter up to 20 mm; mucosal lesion; and histological grades G1 and G2 and/or high-grade dysplasia (group A). The remaining 29 patients were included in group B (high risk). Results: A total of 120 resections were performed, with no techni- cal problems encountered. The mean number of treat- ment sessions per patient was 1.3 ? 0.6 in group A and 2.8?2.0 in group B (PF0.0005). Only one major complication occurred, a case of spurting bleeding, which was managed endoscopically. Complete local remission was achieved significantly earlier (P?0.008) in group A than in group B. In May 1999, complete remission had been achieved in 97% of the patients in group A and in 59% of those in group B; however, 1 patient in group A and 9 in group B are still undergoing treatment or awaiting the first check-up. During a mean follow-up of 12 ? 8 months, recurrent or meta- chronous carcinomas were found in 14%. Conclusions: Endoscopic mucosal resection of early carcinoma in Barrett’s esophagus is associated with promisingly low morbidity and mortality rates. The procedure may offer a new minimally invasive therapeutic alternative to esoph- agectomy, especially in low-risk situations. Comparisons with surgical results will need to be done when the long-term results of this procedure become available.","author":[{"dropping-particle":"","family":"Ell","given":"Christian","non-dropping-particle":"","parse-names":false,"suffix":""},{"dropping-particle":"","family":"May","given":"Andrea","non-dropping-particle":"","parse-names":false,"suffix":""},{"dropping-particle":"","family":"Gossner","given":"Liebwin","non-dropping-particle":"","parse-names":false,"suffix":""},{"dropping-particle":"","family":"Pech","given":"Oliver","non-dropping-particle":"","parse-names":false,"suffix":""},{"dropping-particle":"","family":"Gunter","given":"Erwin","non-dropping-particle":"","parse-names":false,"suffix":""},{"dropping-particle":"","family":"Mayer","given":"Gerd","non-dropping-particle":"","parse-names":false,"suffix":""},{"dropping-particle":"","family":"Henrich","given":"Rolf","non-dropping-particle":"","parse-names":false,"suffix":""},{"dropping-particle":"","family":"Vieth","given":"Michael","non-dropping-particle":"","parse-names":false,"suffix":""},{"dropping-particle":"","family":"Muller","given":"Hartmut","non-dropping-particle":"","parse-names":false,"suffix":""},{"dropping-particle":"","family":"Seitz","given":"Gerhard","non-dropping-particle":"","parse-names":false,"suffix":""},{"dropping-particle":"","family":"Stolte","given":"Manfred","non-dropping-particle":"","parse-names":false,"suffix":""}],"container-title":"Gastroenterology","id":"ITEM-1","issued":{"date-parts":[["2000"]]},"page":"670-677","title":"Endoscopic Mucosal Resection of Early Cancer and High-Grade Dysplasia in Barrett’s Esophagus","type":"article-journal","volume":"118"},"uris":["http://www.mendeley.com/documents/?uuid=12fe127c-2bc7-42a0-a696-aa4a270928a6"]},{"id":"ITEM-2","itemData":{"DOI":"10.1136/gut.2007.142539","ISBN":"0017-5749","ISSN":"0017-5749","PMID":"18460553","abstract":"OBJECTIVE: Endoscopic therapy is increasingly being used in the treatment of high-grade intraepithelial neoplasia (HGIN) and mucosal adenocarcinoma (BC) in patients with Barrett's oesophagus. This report provides 5 year follow-up data from a large prospective study investigating the efficacy and safety of endoscopic treatment in these patients and analysing risk factors for recurrence. DESIGN: Prospective case series. SETTING: Academic tertiary care centre. PATIENTS: Between October 1996 and September 2002, 61 patients with HGIN and 288 with BC were included (173 with short-segment and 176 with long-segment Barrett's oesophagus) from a total of 486 patients presenting with Barrett's neoplasia. Patients with submucosal or more advanced cancer were excluded. INTERVENTIONS: Endoscopic therapy. MAIN OUTCOME MEASURES: Rate of complete remission and recurrence rate, tumour-associated death. RESULTS: Endoscopic resection was performed in 279 patients, photodynamic therapy in 55, and both procedures in 13; two patients received argon plasma coagulation. The mean follow-up period was 63.6 (SD 23.1) months. Complete response (CR) was achieved in 337 patients (96.6%); surgery was necessary in 13 (3.7%) after endoscopic therapy failed. Metachronous lesions developed during the follow-up in 74 patients (21.5%); 56 died of concomitant disease, but none died of BC. The calculated 5 year survival rate was 84%. The risk factors most frequently associated with recurrence were piecemeal resection, long-segment Barrett's oesophagus, no ablative therapy of Barrett's oesophagus after CR, time until CR achieved &gt;10 months and multifocal neoplasia. CONCLUSIONS: This study showed that endoscopic therapy was highly effective and safe, with an excellent long-term survival rate. The risk factors identified may help stratify patients who are at risk for recurrence and those requiring more intensified follow-up.","author":[{"dropping-particle":"","family":"Pech","given":"O","non-dropping-particle":"","parse-names":false,"suffix":""},{"dropping-particle":"","family":"Behrens","given":"a","non-dropping-particle":"","parse-names":false,"suffix":""},{"dropping-particle":"","family":"May","given":"a","non-dropping-particle":"","parse-names":false,"suffix":""},{"dropping-particle":"","family":"Nachbar","given":"L","non-dropping-particle":"","parse-names":false,"suffix":""},{"dropping-particle":"","family":"Gossner","given":"L","non-dropping-particle":"","parse-names":false,"suffix":""},{"dropping-particle":"","family":"Rabenstein","given":"T","non-dropping-particle":"","parse-names":false,"suffix":""},{"dropping-particle":"","family":"Manner","given":"H","non-dropping-particle":"","parse-names":false,"suffix":""},{"dropping-particle":"","family":"Guenter","given":"E","non-dropping-particle":"","parse-names":false,"suffix":""},{"dropping-particle":"","family":"Huijsmans","given":"J","non-dropping-particle":"","parse-names":false,"suffix":""},{"dropping-particle":"","family":"Vieth","given":"M","non-dropping-particle":"","parse-names":false,"suffix":""},{"dropping-particle":"","family":"Stolte","given":"M","non-dropping-particle":"","parse-names":false,"suffix":""},{"dropping-particle":"","family":"Ell","given":"C","non-dropping-particle":"","parse-names":false,"suffix":""}],"container-title":"Gut","id":"ITEM-2","issue":"9","issued":{"date-parts":[["2008"]]},"page":"1200-1206","title":"Long-term results and risk factor analysis for recurrence after curative endoscopic therapy in 349 patients with high-grade intraepithelial neoplasia and mucosal adenocarcinoma in Barrett's oesophagus.","type":"article-journal","volume":"57"},"uris":["http://www.mendeley.com/documents/?uuid=647d1998-1ffe-4f72-8652-099e580fcbdb"]},{"id":"ITEM-3","itemData":{"DOI":"10.1016/j.cgh.2009.07.003","ISBN":"1542-7714 (Electronic)\\r1542-3565 (Linking)","ISSN":"15423565","PMID":"19602454","abstract":"Background &amp; Aims: Radiofrequency ablation (RFA) is safe and effective for eradicating intestinal metaplasia and neoplasia in patients with Barrett's esophagus. We sought to assess the safety and efficacy of RFA in conjunction with baseline endoscopic resection for high-grade intraepithelial neoplasia (HGIN) and early cancer. Methods: This multicenter, prospective cohort study included 24 patients (mean age, 65 years; median Barrett's esophagus, 8 cm), with Barrett's esophagus of ≤12 cm containing HGIN or early cancer, from 3 European tertiary-care medical centers. Visible lesions were endoscopically resected, followed by serial RFA. Focal escape endoscopic resection was used if Barrett tissue persisted despite RFA. Complete response, defined as all biopsies negative for intestinal metaplasia and neoplasia, was assessed during endoscopy with 4-quadrant biopsies taken every 1 cm of the original Barrett's segment 2 months after the patient was last treated. Results: Twenty-three patients underwent pre-RFA endoscopic resection for visible lesions; 16 patients had early cancer and 7 patients had HGIN. The worst residual histology results, pre-RFA (after any endoscopic resection) were: HGIN (10 patients), low-grade intraepithelial neoplasia (11 patients), and intestinal metaplasia (3 patients). Neoplasia and intestinal metaplasia were eradicated in 95% and 88% of patients, respectively; after escape endoscopic resection in 2 patients, rates improved to 100% and 96%, respectively. Complications after RFA included melena (n = 1) and dysphagia (n = 1). After additional follow-up (median, 22 months; interquartile range, 17.2-23.8 months) no neoplasia recurred. Conclusions: This European multicenter study to show that early neoplasia in Barrett's esophagus can be effectively and safely treated with RFA, in combination with prior endoscopic resection of visible lesions. © 2010 AGA Institute.","author":[{"dropping-particle":"","family":"Pouw","given":"Roos E.","non-dropping-particle":"","parse-names":false,"suffix":""},{"dropping-particle":"","family":"Wirths","given":"Katja","non-dropping-particle":"","parse-names":false,"suffix":""},{"dropping-particle":"","family":"Eisendrath","given":"Pierre","non-dropping-particle":"","parse-names":false,"suffix":""},{"dropping-particle":"","family":"Sondermeijer","given":"Carine M.","non-dropping-particle":"","parse-names":false,"suffix":""},{"dropping-particle":"","family":"Kate","given":"Fiebo J.","non-dropping-particle":"Ten","parse-names":false,"suffix":""},{"dropping-particle":"","family":"Fockens","given":"Paul","non-dropping-particle":"","parse-names":false,"suffix":""},{"dropping-particle":"","family":"Devière","given":"Jacques","non-dropping-particle":"","parse-names":false,"suffix":""},{"dropping-particle":"","family":"Neuhaus","given":"Horst","non-dropping-particle":"","parse-names":false,"suffix":""},{"dropping-particle":"","family":"Bergman","given":"Jacques J.","non-dropping-particle":"","parse-names":false,"suffix":""}],"container-title":"Clinical Gastroenterology and Hepatology","id":"ITEM-3","issue":"1","issued":{"date-parts":[["2010"]]},"page":"23-29","publisher":"Elsevier Inc.","title":"Efficacy of Radiofrequency Ablation Combined With Endoscopic Resection for Barrett's Esophagus With Early Neoplasia","type":"article-journal","volume":"8"},"uris":["http://www.mendeley.com/documents/?uuid=5fd1fafe-1ad4-494e-95d0-a200368223ab"]},{"id":"ITEM-4","itemData":{"DOI":"10.1053/j.gastro.2007.02.017","ISBN":"0016-5085","ISSN":"0016-5085","PMID":"17408660","abstract":"BACKGROUND &amp; AIMS: Photodynamic therapy (PDT) for high-grade dysplasia (HGD) in Barrett's esophagus is a Food and Drug Administration-approved alternative to esophagectomy. Critical information regarding overall survival of patients followed up long-term after these therapies is lacking. Our aim was to compare the long-term survival of patients treated with PDT with patients treated with esophagectomy.\\n\\nMETHODS: We reviewed records of patients with HGD seen at our institution between 1994 and 2004. PDT was performed 48 hours following the intravenous administration of a photosensitizer using light at 630 nm. Esophagectomy was performed by either transhiatal or transthoracic approaches by experienced surgeons. We excluded all patients with evidence of cancer on biopsy specimens. Vital status and death date information was queried using an institutionally approved Internet research and location service. Statistical analysis was performed using Kaplan-Meier curves and Cox proportional hazards ratios.\\n\\nRESULTS: A total of 199 patients were identified. A total of 129 patients (65%) were treated with PDT and 70 (35%) with esophagectomy. Overall mortality in the PDT group was 9% (11/129) and in the surgery group was 8.5% (6/70) over a median follow-up period of 59 +/- 2.7 months for the PDT group and 61 +/- 5.8 months for the surgery group. Overall survival was similar between the 2 groups (Wilcoxon test = 0.0924; P = .76). Treatment modality was not a significant predictor of mortality on multivariate analysis.\\n\\nCONCLUSIONS: Overall mortality and long-term survival in patients with HGD treated with PDT appears to be comparable to that of patients treated with esophagectomy.","author":[{"dropping-particle":"","family":"Prasad","given":"Ganapathy a","non-dropping-particle":"","parse-names":false,"suffix":""},{"dropping-particle":"","family":"Wang","given":"Kenneth K","non-dropping-particle":"","parse-names":false,"suffix":""},{"dropping-particle":"","family":"Buttar","given":"Navtej S","non-dropping-particle":"","parse-names":false,"suffix":""},{"dropping-particle":"","family":"Wongkeesong","given":"Louis-Michel","non-dropping-particle":"","parse-names":false,"suffix":""},{"dropping-particle":"","family":"Krishnadath","given":"Kausilia K","non-dropping-particle":"","parse-names":false,"suffix":""},{"dropping-particle":"","family":"Nichols","given":"Francis C","non-dropping-particle":"","parse-names":false,"suffix":""},{"dropping-particle":"","family":"Lutzke","given":"Lori S","non-dropping-particle":"","parse-names":false,"suffix":""},{"dropping-particle":"","family":"Borkenhagen","given":"Lynn S","non-dropping-particle":"","parse-names":false,"suffix":""}],"container-title":"Gastroenterology","id":"ITEM-4","issue":"4","issued":{"date-parts":[["2007"]]},"page":"1226-33","title":"Long-term survival following endoscopic and surgical treatment of high-grade dysplasia in Barrett's esophagus.","type":"article-journal","volume":"132"},"uris":["http://www.mendeley.com/documents/?uuid=6a4d0254-c63a-495f-b90f-6c0bdcc16524"]},{"id":"ITEM-5","itemData":{"DOI":"10.1056/NEJMoa0808145","ISSN":"0028-4793","PMID":"19474425","abstract":"Background Barrett's esophagus, a condition of intestinal metaplasia of the esophagus, is associated with an increased risk of esophageal adenocarcinoma. We assessed whether endoscopic radiofrequency ablation could eradicate dysplastic Barrett's esophagus and decrease the rate of neoplastic progression. Methods In a multicenter, sham-controlled trial, we randomly assigned 127 patients with dysplastic Barrett's esophagus in a 2:1 ratio to receive either radiofrequency ablation (ablation group) or a sham procedure (control group). Randomization was stratified according to the grade of dysplasia and the length of Barrett's esophagus. Primary outcomes at 12 months included the complete eradication of dysplasia and intestinal metaplasia. Results In the intention-to-treat analyses, among patients with low-grade dysplasia, complete eradication of dysplasia occurred in 90.5% of those in the ablation group, as compared with 22.7% of those in the control group (P&lt;0.001). Among patients with high-grade dysplasia, co...","author":[{"dropping-particle":"","family":"Shaheen","given":"Nicholas J.","non-dropping-particle":"","parse-names":false,"suffix":""},{"dropping-particle":"","family":"Sharma","given":"Prateek","non-dropping-particle":"","parse-names":false,"suffix":""},{"dropping-particle":"","family":"Overholt","given":"Bergein F.","non-dropping-particle":"","parse-names":false,"suffix":""},{"dropping-particle":"","family":"Wolfsen","given":"Herbert C.","non-dropping-particle":"","parse-names":false,"suffix":""},{"dropping-particle":"","family":"Sampliner","given":"Richard E.","non-dropping-particle":"","parse-names":false,"suffix":""},{"dropping-particle":"","family":"Wang","given":"Kenneth K.","non-dropping-particle":"","parse-names":false,"suffix":""},{"dropping-particle":"","family":"Galanko","given":"Joseph A.","non-dropping-particle":"","parse-names":false,"suffix":""},{"dropping-particle":"","family":"Bronner","given":"Mary P.","non-dropping-particle":"","parse-names":false,"suffix":""},{"dropping-particle":"","family":"Goldblum","given":"John R.","non-dropping-particle":"","parse-names":false,"suffix":""},{"dropping-particle":"","family":"Bennett","given":"Ana E.","non-dropping-particle":"","parse-names":false,"suffix":""},{"dropping-particle":"","family":"Jobe","given":"Blair A.","non-dropping-particle":"","parse-names":false,"suffix":""},{"dropping-particle":"","family":"Eisen","given":"Glenn M.","non-dropping-particle":"","parse-names":false,"suffix":""},{"dropping-particle":"","family":"Fennerty","given":"M. Brian","non-dropping-particle":"","parse-names":false,"suffix":""},{"dropping-particle":"","family":"Hunter","given":"John G.","non-dropping-particle":"","parse-names":false,"suffix":""},{"dropping-particle":"","family":"Fleischer","given":"David E.","non-dropping-particle":"","parse-names":false,"suffix":""},{"dropping-particle":"","family":"Sharma","given":"Virender K.","non-dropping-particle":"","parse-names":false,"suffix":""},{"dropping-particle":"","family":"Hawes","given":"Robert H.","non-dropping-particle":"","parse-names":false,"suffix":""},{"dropping-particle":"","family":"Hoffman","given":"Brenda J.","non-dropping-particle":"","parse-names":false,"suffix":""},{"dropping-particle":"","family":"Rothstein","given":"Richard I.","non-dropping-particle":"","parse-names":false,"suffix":""},{"dropping-particle":"","family":"Gordon","given":"Stuart R.","non-dropping-particle":"","parse-names":false,"suffix":""},{"dropping-particle":"","family":"Mashimo","given":"Hiroshi","non-dropping-particle":"","parse-names":false,"suffix":""},{"dropping-particle":"","family":"Chang","given":"Kenneth J.","non-dropping-particle":"","parse-names":false,"suffix":""},{"dropping-particle":"","family":"Muthusamy","given":"V. Raman","non-dropping-particle":"","parse-names":false,"suffix":""},{"dropping-particle":"","family":"Edmundowicz","given":"Steven A.","non-dropping-particle":"","parse-names":false,"suffix":""},{"dropping-particle":"","family":"Spechler","given":"Stuart J.","non-dropping-particle":"","parse-names":false,"suffix":""},{"dropping-particle":"","family":"Siddiqui","given":"Ali A.","non-dropping-particle":"","parse-names":false,"suffix":""},{"dropping-particle":"","family":"Souza","given":"Rhonda F.","non-dropping-particle":"","parse-names":false,"suffix":""},{"dropping-particle":"","family":"Infantolino","given":"Anthony","non-dropping-particle":"","parse-names":false,"suffix":""},{"dropping-particle":"","family":"Falk","given":"Gary W.","non-dropping-particle":"","parse-names":false,"suffix":""},{"dropping-particle":"","family":"Kimmey","given":"Michael B.","non-dropping-particle":"","parse-names":false,"suffix":""},{"dropping-particle":"","family":"Madanick","given":"Ryan D.","non-dropping-particle":"","parse-names":false,"suffix":""},{"dropping-particle":"","family":"Chak","given":"Amitabh","non-dropping-particle":"","parse-names":false,"suffix":""},{"dropping-particle":"","family":"Lightdale","given":"Charles J.","non-dropping-particle":"","parse-names":false,"suffix":""}],"container-title":"New England Journal of Medicine","id":"ITEM-5","issue":"22","issued":{"date-parts":[["2009","5","28"]]},"page":"2277-2288","publisher":"Massachusetts Medical Society","title":"Radiofrequency Ablation in Barrett's Esophagus with Dysplasia","type":"article-journal","volume":"360"},"uris":["http://www.mendeley.com/documents/?uuid=06864b70-1cdf-3566-9ff5-3fd8a9597df5"]}],"mendeley":{"formattedCitation":"&lt;sup&gt;[3–7]&lt;/sup&gt;","plainTextFormattedCitation":"[3–7]","previouslyFormattedCitation":"&lt;sup&gt;[3–7]&lt;/sup&gt;"},"properties":{"noteIndex":0},"schema":"https://github.com/citation-style-language/schema/raw/master/csl-citation.json"}</w:instrText>
      </w:r>
      <w:r w:rsidR="00A36A7F" w:rsidRPr="000315B4">
        <w:rPr>
          <w:sz w:val="24"/>
          <w:szCs w:val="24"/>
        </w:rPr>
        <w:fldChar w:fldCharType="separate"/>
      </w:r>
      <w:r w:rsidR="00164BEB" w:rsidRPr="000315B4">
        <w:rPr>
          <w:noProof/>
          <w:sz w:val="24"/>
          <w:szCs w:val="24"/>
          <w:vertAlign w:val="superscript"/>
        </w:rPr>
        <w:t>[3–7]</w:t>
      </w:r>
      <w:r w:rsidR="00A36A7F" w:rsidRPr="000315B4">
        <w:rPr>
          <w:sz w:val="24"/>
          <w:szCs w:val="24"/>
        </w:rPr>
        <w:fldChar w:fldCharType="end"/>
      </w:r>
      <w:r w:rsidR="00A36A7F" w:rsidRPr="000315B4">
        <w:rPr>
          <w:sz w:val="24"/>
          <w:szCs w:val="24"/>
        </w:rPr>
        <w:t xml:space="preserve">. </w:t>
      </w:r>
      <w:r w:rsidR="00BE7AEE" w:rsidRPr="000315B4">
        <w:rPr>
          <w:sz w:val="24"/>
          <w:szCs w:val="24"/>
        </w:rPr>
        <w:t xml:space="preserve">BE </w:t>
      </w:r>
      <w:r w:rsidR="00A37257" w:rsidRPr="000315B4">
        <w:rPr>
          <w:sz w:val="24"/>
          <w:szCs w:val="24"/>
        </w:rPr>
        <w:t>s</w:t>
      </w:r>
      <w:r w:rsidR="00BE7AEE" w:rsidRPr="000315B4">
        <w:rPr>
          <w:sz w:val="24"/>
          <w:szCs w:val="24"/>
        </w:rPr>
        <w:t>urveillance</w:t>
      </w:r>
      <w:r w:rsidR="005E2925" w:rsidRPr="000315B4">
        <w:rPr>
          <w:sz w:val="24"/>
          <w:szCs w:val="24"/>
        </w:rPr>
        <w:t xml:space="preserve"> is</w:t>
      </w:r>
      <w:r w:rsidR="00BE7AEE" w:rsidRPr="000315B4">
        <w:rPr>
          <w:sz w:val="24"/>
          <w:szCs w:val="24"/>
        </w:rPr>
        <w:t xml:space="preserve"> </w:t>
      </w:r>
      <w:r w:rsidR="005E2925" w:rsidRPr="000315B4">
        <w:rPr>
          <w:sz w:val="24"/>
          <w:szCs w:val="24"/>
        </w:rPr>
        <w:t>associated with earlier stage EAC and increased survival</w:t>
      </w:r>
      <w:r w:rsidR="005E2925" w:rsidRPr="000315B4">
        <w:rPr>
          <w:sz w:val="24"/>
          <w:szCs w:val="24"/>
        </w:rPr>
        <w:fldChar w:fldCharType="begin" w:fldLock="1"/>
      </w:r>
      <w:r w:rsidR="0000179C" w:rsidRPr="000315B4">
        <w:rPr>
          <w:sz w:val="24"/>
          <w:szCs w:val="24"/>
        </w:rPr>
        <w:instrText>ADDIN CSL_CITATION {"citationItems":[{"id":"ITEM-1","itemData":{"DOI":"10.1007/s00464-001-8161-3","ISBN":"1432-2218","ISSN":"09302794","PMID":"11967675","abstract":"BACKGROUND: In an attempt to reduce mortality from esophageal adenocarcinoma, it has been recommended to enroll patients with Barrett's esophagus in endoscopic surveillance programs in order to detect malignant degeneration at an early and possibly curable stage. The aim of this study was to assess the impact of endoscopic biopsy surveillance on outcome of Barrett's adenocarcinoma. METHODS: Between November 1992 and June 2000, 312 patients with histologically proven esophageal adenocarcinoma were referred to our department. Ninety-seven of these patients had Barrett's adenocarcinoma. In 12 (12.2%) patients, cancer was discovered during endoscopic surveillance for Barrett's metaplasia. RESULTS: The prevalence of gastroesophageal reflux disease in the Barrett's group was 38.8% versus 8% (p &lt; 0.01) in non-Barrett's patients. In the surveyed group, there were 9 (75%) early stage tumors (Tis-1/N0) versus 9 (10.6%, p &lt; 0.01) in the nonsurveyed patients. Three of 5 surveyed patients operated on for high-grade dysplasia proved to have invasive carcinoma in the esophagectomy specimen. All surveyed patients were alive at a median follow-up of 48 months; the median survival in the nonsurveyed group was 24 +/- 3 months (p &lt; 0.01). CONCLUSION: Endoscopic surveillance of Barrett's esophagus provides early detection of malignant degeneration and a better long-term survival than in nonsurveyed patients.","author":[{"dropping-particle":"","family":"Incarbone","given":"R.","non-dropping-particle":"","parse-names":false,"suffix":""},{"dropping-particle":"","family":"Bonavina","given":"L.","non-dropping-particle":"","parse-names":false,"suffix":""},{"dropping-particle":"","family":"Saino","given":"G.","non-dropping-particle":"","parse-names":false,"suffix":""},{"dropping-particle":"","family":"Bona","given":"D.","non-dropping-particle":"","parse-names":false,"suffix":""},{"dropping-particle":"","family":"Peracchia","given":"A.","non-dropping-particle":"","parse-names":false,"suffix":""}],"container-title":"Surgical Endoscopy and Other Interventional Techniques","id":"ITEM-1","issue":"2","issued":{"date-parts":[["2002"]]},"page":"263-266","title":"Outcome of esophageal adenocarcinoma detected during endoscopic biopsy surveillance for Barrett's esophagus","type":"article-journal","volume":"16"},"uris":["http://www.mendeley.com/documents/?uuid=706af472-36c0-460a-b33e-0af6f24f4122"]},{"id":"ITEM-2","itemData":{"DOI":"10.1053/gast.2002.31879","ISBN":"0016-5085","ISSN":"00165085","PMID":"11874995","abstract":"Background &amp; Aims: Guidelines recommend periodic endoscopic surveillance of Barrett's esophagus (BE) patients to detect and treat early esophageal adenocarcinomas; however, no trials or population-based studies exist. We evaluated the association between endoscopic surveillance of BE and survival among esophageal/gastric cardia adenocarcinoma patients. Methods: We studied a cohort of 23 BE patients, among 589 esophageal or gastric cardia adenocarcinoma patients diagnosed between 1990-1998 at Northern California Kaiser Permanente (a large health maintenance organization). We measured the presence of BE, detection of cancer by endoscopic surveillance, cancer stage, mortality, and potential confounders. Results: BE was diagnosed in 135 of 589 adenocarcinoma patients, with 23 BE patients diagnosed greater than 6 months before cancer was diagnosed. Among these 23 patients, 73% of the surveillance-detected cancer patients (n = 15) were alive at the end of follow-up, compared with none of the patients without surveillance-detected cancers (n = 8; P = 0.001). All surveillance-detected cancer patients had low-stage disease and none died directly from cancer. The surveillance/survival association was not substantially altered by stratification for age at BE diagnosis or other potential confounders. Conclusions: Surveillance-detected BE-associated adenocarcinomas were associated with low-stage disease and improved survival. Additional studies are needed to evaluate potential biases and whether screening/surveillance programs decrease mortality among all patients in surveillance. Few patients (3.9%) had a BE diagnosed before their cancer. Thus, even if current surveillance techniques are effective, they are unlikely to substantially impact the population's mortality from esophageal cancer; better methods are needed to identify at risk patients.","author":[{"dropping-particle":"","family":"Corley","given":"Douglas A.","non-dropping-particle":"","parse-names":false,"suffix":""},{"dropping-particle":"","family":"Levin","given":"Theodore R.","non-dropping-particle":"","parse-names":false,"suffix":""},{"dropping-particle":"","family":"Habel","given":"Laurel A.","non-dropping-particle":"","parse-names":false,"suffix":""},{"dropping-particle":"","family":"Weiss","given":"Noel S.","non-dropping-particle":"","parse-names":false,"suffix":""},{"dropping-particle":"","family":"Buffler","given":"Patricia A.","non-dropping-particle":"","parse-names":false,"suffix":""}],"container-title":"Gastroenterology","id":"ITEM-2","issue":"3","issued":{"date-parts":[["2002"]]},"page":"633-640","title":"Surveillance and survival in Barrett's adenocarcinomas: A population-based study","type":"article-journal","volume":"122"},"uris":["http://www.mendeley.com/documents/?uuid=16ccf94c-0e1e-4690-a6a1-b6e8b022a14a"]}],"mendeley":{"formattedCitation":"&lt;sup&gt;[8,9]&lt;/sup&gt;","plainTextFormattedCitation":"[8,9]","previouslyFormattedCitation":"&lt;sup&gt;[8,9]&lt;/sup&gt;"},"properties":{"noteIndex":0},"schema":"https://github.com/citation-style-language/schema/raw/master/csl-citation.json"}</w:instrText>
      </w:r>
      <w:r w:rsidR="005E2925" w:rsidRPr="000315B4">
        <w:rPr>
          <w:sz w:val="24"/>
          <w:szCs w:val="24"/>
        </w:rPr>
        <w:fldChar w:fldCharType="separate"/>
      </w:r>
      <w:r w:rsidR="00164BEB" w:rsidRPr="000315B4">
        <w:rPr>
          <w:noProof/>
          <w:sz w:val="24"/>
          <w:szCs w:val="24"/>
          <w:vertAlign w:val="superscript"/>
        </w:rPr>
        <w:t>[8,9]</w:t>
      </w:r>
      <w:r w:rsidR="005E2925" w:rsidRPr="000315B4">
        <w:rPr>
          <w:sz w:val="24"/>
          <w:szCs w:val="24"/>
        </w:rPr>
        <w:fldChar w:fldCharType="end"/>
      </w:r>
      <w:r w:rsidR="005E2925" w:rsidRPr="000315B4">
        <w:rPr>
          <w:sz w:val="24"/>
          <w:szCs w:val="24"/>
        </w:rPr>
        <w:t>.</w:t>
      </w:r>
      <w:r w:rsidR="00E43F9F" w:rsidRPr="000315B4">
        <w:rPr>
          <w:sz w:val="24"/>
          <w:szCs w:val="24"/>
        </w:rPr>
        <w:t xml:space="preserve"> In </w:t>
      </w:r>
      <w:r w:rsidR="006A1C70" w:rsidRPr="000315B4">
        <w:rPr>
          <w:sz w:val="24"/>
          <w:szCs w:val="24"/>
        </w:rPr>
        <w:t>addition</w:t>
      </w:r>
      <w:r w:rsidR="00E43F9F" w:rsidRPr="000315B4">
        <w:rPr>
          <w:sz w:val="24"/>
          <w:szCs w:val="24"/>
        </w:rPr>
        <w:t xml:space="preserve">, </w:t>
      </w:r>
      <w:r w:rsidR="0033240B" w:rsidRPr="000315B4">
        <w:rPr>
          <w:sz w:val="24"/>
          <w:szCs w:val="24"/>
        </w:rPr>
        <w:t xml:space="preserve">endoscopic treatment </w:t>
      </w:r>
      <w:r w:rsidR="00A37257" w:rsidRPr="000315B4">
        <w:rPr>
          <w:sz w:val="24"/>
          <w:szCs w:val="24"/>
        </w:rPr>
        <w:t xml:space="preserve">can result in </w:t>
      </w:r>
      <w:r w:rsidR="00751AFC" w:rsidRPr="000315B4">
        <w:rPr>
          <w:sz w:val="24"/>
          <w:szCs w:val="24"/>
        </w:rPr>
        <w:t>complete eradication of both dysplasia and intestinal metaplasia and a reduced risk of disease progression</w:t>
      </w:r>
      <w:r w:rsidR="003934C1" w:rsidRPr="000315B4">
        <w:rPr>
          <w:sz w:val="24"/>
          <w:szCs w:val="24"/>
        </w:rPr>
        <w:fldChar w:fldCharType="begin" w:fldLock="1"/>
      </w:r>
      <w:r w:rsidR="0000179C" w:rsidRPr="000315B4">
        <w:rPr>
          <w:sz w:val="24"/>
          <w:szCs w:val="24"/>
        </w:rPr>
        <w:instrText>ADDIN CSL_CITATION {"citationItems":[{"id":"ITEM-1","itemData":{"DOI":"10.1016/j.cgh.2013.03.039","ISBN":"2122633255","ISSN":"15423565","PMID":"23644385","abstract":"Background &amp; Aims: In patients with Barrett's esophagus (BE), radiofrequency ablation (RFA) safely and effectively eradicates dysplasia and intestinal metaplasia. We aimed to determine the efficacy and durability of RFA for patients with dysplastic and nondysplastic BE. Methods: We performed a systematic review and meta-analysis of studies identified in PubMed and EMBASE that reported the proportion of patients treated with RFA who had complete eradication of dysplasia (CE-D) and intestinal metaplasia (CE-IM), and the proportion of patients with recurrent IM after successful treatment. Pooled estimates of CE-D, CE-IM, IM recurrence, and adverse events were calculated. Results: We identified 18 studies of 3802 patients reporting efficacy and 6 studies of 540 patients reporting durability. Ten were prospective cohort studies, 9 were retrospective cohort studies, and 1 was a randomized trial. CE-IM was achieved in 78% of patients (95% confidence interval [CI], 70%-86%) and CE-D was achieved in 91% (95% CI, 87%-95%). After eradication, IM recurred in 13% (95% CI, 9%-18%). Progression to cancer occurred in 0.2% of patients during treatment and in 0.7% of those after CE-IM. Esophageal stricture was the most common adverse event and was reported in 5% of patients (95% CI, 3%-7%). Confidence in most summary estimates was limited by a high degree of heterogeneity, which did not appear to be caused by single outlier studies. Conclusions: Treatment of BE with RFA results in CE-D and CE-IM in a high proportion of patients, with few recurrences of IM after treatment and a low rate of adverse events. Despite the large amount of study heterogeneity, these data provide additional information for patients and providers to make informed treatment decisions. ?? 2013 AGA Institute.","author":[{"dropping-particle":"","family":"Orman","given":"Eric S.","non-dropping-particle":"","parse-names":false,"suffix":""},{"dropping-particle":"","family":"Li","given":"Nan","non-dropping-particle":"","parse-names":false,"suffix":""},{"dropping-particle":"","family":"Shaheen","given":"Nicholas J.","non-dropping-particle":"","parse-names":false,"suffix":""}],"container-title":"Clinical Gastroenterology and Hepatology","id":"ITEM-1","issue":"10","issued":{"date-parts":[["2013"]]},"page":"1245-1255","publisher":"Elsevier, Inc","title":"Efficacy and durability of radiofrequency ablation for barrett's esophagus: Systematic review and meta-analysis","type":"article-journal","volume":"11"},"uris":["http://www.mendeley.com/documents/?uuid=10f44d6e-883c-4737-81b7-5022237572c9"]},{"id":"ITEM-2","itemData":{"DOI":"10.1056/NEJMoa0808145","ISSN":"0028-4793","PMID":"19474425","abstract":"Background Barrett's esophagus, a condition of intestinal metaplasia of the esophagus, is associated with an increased risk of esophageal adenocarcinoma. We assessed whether endoscopic radiofrequency ablation could eradicate dysplastic Barrett's esophagus and decrease the rate of neoplastic progression. Methods In a multicenter, sham-controlled trial, we randomly assigned 127 patients with dysplastic Barrett's esophagus in a 2:1 ratio to receive either radiofrequency ablation (ablation group) or a sham procedure (control group). Randomization was stratified according to the grade of dysplasia and the length of Barrett's esophagus. Primary outcomes at 12 months included the complete eradication of dysplasia and intestinal metaplasia. Results In the intention-to-treat analyses, among patients with low-grade dysplasia, complete eradication of dysplasia occurred in 90.5% of those in the ablation group, as compared with 22.7% of those in the control group (P&lt;0.001). Among patients with high-grade dysplasia, co...","author":[{"dropping-particle":"","family":"Shaheen","given":"Nicholas J.","non-dropping-particle":"","parse-names":false,"suffix":""},{"dropping-particle":"","family":"Sharma","given":"Prateek","non-dropping-particle":"","parse-names":false,"suffix":""},{"dropping-particle":"","family":"Overholt","given":"Bergein F.","non-dropping-particle":"","parse-names":false,"suffix":""},{"dropping-particle":"","family":"Wolfsen","given":"Herbert C.","non-dropping-particle":"","parse-names":false,"suffix":""},{"dropping-particle":"","family":"Sampliner","given":"Richard E.","non-dropping-particle":"","parse-names":false,"suffix":""},{"dropping-particle":"","family":"Wang","given":"Kenneth K.","non-dropping-particle":"","parse-names":false,"suffix":""},{"dropping-particle":"","family":"Galanko","given":"Joseph A.","non-dropping-particle":"","parse-names":false,"suffix":""},{"dropping-particle":"","family":"Bronner","given":"Mary P.","non-dropping-particle":"","parse-names":false,"suffix":""},{"dropping-particle":"","family":"Goldblum","given":"John R.","non-dropping-particle":"","parse-names":false,"suffix":""},{"dropping-particle":"","family":"Bennett","given":"Ana E.","non-dropping-particle":"","parse-names":false,"suffix":""},{"dropping-particle":"","family":"Jobe","given":"Blair A.","non-dropping-particle":"","parse-names":false,"suffix":""},{"dropping-particle":"","family":"Eisen","given":"Glenn M.","non-dropping-particle":"","parse-names":false,"suffix":""},{"dropping-particle":"","family":"Fennerty","given":"M. Brian","non-dropping-particle":"","parse-names":false,"suffix":""},{"dropping-particle":"","family":"Hunter","given":"John G.","non-dropping-particle":"","parse-names":false,"suffix":""},{"dropping-particle":"","family":"Fleischer","given":"David E.","non-dropping-particle":"","parse-names":false,"suffix":""},{"dropping-particle":"","family":"Sharma","given":"Virender K.","non-dropping-particle":"","parse-names":false,"suffix":""},{"dropping-particle":"","family":"Hawes","given":"Robert H.","non-dropping-particle":"","parse-names":false,"suffix":""},{"dropping-particle":"","family":"Hoffman","given":"Brenda J.","non-dropping-particle":"","parse-names":false,"suffix":""},{"dropping-particle":"","family":"Rothstein","given":"Richard I.","non-dropping-particle":"","parse-names":false,"suffix":""},{"dropping-particle":"","family":"Gordon","given":"Stuart R.","non-dropping-particle":"","parse-names":false,"suffix":""},{"dropping-particle":"","family":"Mashimo","given":"Hiroshi","non-dropping-particle":"","parse-names":false,"suffix":""},{"dropping-particle":"","family":"Chang","given":"Kenneth J.","non-dropping-particle":"","parse-names":false,"suffix":""},{"dropping-particle":"","family":"Muthusamy","given":"V. Raman","non-dropping-particle":"","parse-names":false,"suffix":""},{"dropping-particle":"","family":"Edmundowicz","given":"Steven A.","non-dropping-particle":"","parse-names":false,"suffix":""},{"dropping-particle":"","family":"Spechler","given":"Stuart J.","non-dropping-particle":"","parse-names":false,"suffix":""},{"dropping-particle":"","family":"Siddiqui","given":"Ali A.","non-dropping-particle":"","parse-names":false,"suffix":""},{"dropping-particle":"","family":"Souza","given":"Rhonda F.","non-dropping-particle":"","parse-names":false,"suffix":""},{"dropping-particle":"","family":"Infantolino","given":"Anthony","non-dropping-particle":"","parse-names":false,"suffix":""},{"dropping-particle":"","family":"Falk","given":"Gary W.","non-dropping-particle":"","parse-names":false,"suffix":""},{"dropping-particle":"","family":"Kimmey","given":"Michael B.","non-dropping-particle":"","parse-names":false,"suffix":""},{"dropping-particle":"","family":"Madanick","given":"Ryan D.","non-dropping-particle":"","parse-names":false,"suffix":""},{"dropping-particle":"","family":"Chak","given":"Amitabh","non-dropping-particle":"","parse-names":false,"suffix":""},{"dropping-particle":"","family":"Lightdale","given":"Charles J.","non-dropping-particle":"","parse-names":false,"suffix":""}],"container-title":"New England Journal of Medicine","id":"ITEM-2","issue":"22","issued":{"date-parts":[["2009","5","28"]]},"page":"2277-2288","publisher":"Massachusetts Medical Society","title":"Radiofrequency Ablation in Barrett's Esophagus with Dysplasia","type":"article-journal","volume":"360"},"uris":["http://www.mendeley.com/documents/?uuid=06864b70-1cdf-3566-9ff5-3fd8a9597df5"]},{"id":"ITEM-3","itemData":{"DOI":"10.1053/j.gastro.2015.08.048","ISBN":"1528-0012","ISSN":"15280012","PMID":"26327132","abstract":"Background &amp; Aims Radiofrequency ablation (RFA) is commonly used to treat Barrett's esophagus (BE). We assessed the incidence of esophageal adenocarcinoma (EAC) after RFA, factors associated with the development of EAC, and EAC-specific and all-cause mortality. Methods We collected data for outcomes of patients who underwent RFA for BE from July 2007 through July 2011 from US multicenter RFA Patient Registry. Patients were followed until July 2014. Kaplan-Meier curves of EAC incidence were stratified by baseline histology. Crude EAC incidence and mortality (all-cause and EAC-specific) were calculated, and adjusted all-cause mortality was assessed. Logistic regression models were constructed to assess predictors of EAC and all-cause mortality. Results Among 4982 patients, 100 (2%) developed EAC (7.8/1000 person-years [PY]) and 9 patients (0.2%) died of EAC (0.7/1000 PY) in a mean 2.7 ± 1.6 years. The incidence of EAC in nondysplastic BE was 0.5/1000 PY. Overall, 157 patients (3%) died during follow-up (all-cause mortality, 11.2/1000 PY). On multivariate logistic regression, baseline BE length (odds ratio, 1.1/ cm) and baseline histology (odds ratios, 5.8 and 50.3 for low-grade dysplasia and high-grade dysplasia [HGD] respectively) predicted EAC incidence. Among 9 EAC deaths, 6 (67%) had baseline HGD, and 3 (33%) had baseline intramucosal EAC. The most common causes of death were cardiovascular (15%) and extraesophageal cancers (15%). No deaths were associated with RFA. Conclusions Based on analysis of a multicenter registry of patients who underwent RFA of BE, less than 1% died from EAC. The incidence of EAC was markedly lower in this study than in other studies of disease progression, with the greatest absolute benefit observed in patients with HGD.","author":[{"dropping-particle":"","family":"Wolf","given":"W. Asher","non-dropping-particle":"","parse-names":false,"suffix":""},{"dropping-particle":"","family":"Pasricha","given":"Sarina","non-dropping-particle":"","parse-names":false,"suffix":""},{"dropping-particle":"","family":"Cotton","given":"Cary","non-dropping-particle":"","parse-names":false,"suffix":""},{"dropping-particle":"","family":"Li","given":"Nan","non-dropping-particle":"","parse-names":false,"suffix":""},{"dropping-particle":"","family":"Triadafilopoulos","given":"George","non-dropping-particle":"","parse-names":false,"suffix":""},{"dropping-particle":"","family":"Muthusamy","given":"V. Raman","non-dropping-particle":"","parse-names":false,"suffix":""},{"dropping-particle":"","family":"Chmielewski","given":"Gary W.","non-dropping-particle":"","parse-names":false,"suffix":""},{"dropping-particle":"","family":"Corbett","given":"F. Scott","non-dropping-particle":"","parse-names":false,"suffix":""},{"dropping-particle":"","family":"Camara","given":"Daniel S.","non-dropping-particle":"","parse-names":false,"suffix":""},{"dropping-particle":"","family":"Lightdale","given":"Charles J.","non-dropping-particle":"","parse-names":false,"suffix":""},{"dropping-particle":"","family":"Wolfsen","given":"Herbert","non-dropping-particle":"","parse-names":false,"suffix":""},{"dropping-particle":"","family":"Chang","given":"Kenneth J.","non-dropping-particle":"","parse-names":false,"suffix":""},{"dropping-particle":"","family":"Overholt","given":"Bergein F.","non-dropping-particle":"","parse-names":false,"suffix":""},{"dropping-particle":"","family":"Pruitt","given":"Ron E.","non-dropping-particle":"","parse-names":false,"suffix":""},{"dropping-particle":"","family":"Ertan","given":"Atilla","non-dropping-particle":"","parse-names":false,"suffix":""},{"dropping-particle":"","family":"Komanduri","given":"Srinadh","non-dropping-particle":"","parse-names":false,"suffix":""},{"dropping-particle":"","family":"Infantolino","given":"Anthony","non-dropping-particle":"","parse-names":false,"suffix":""},{"dropping-particle":"","family":"Rothstein","given":"Richard I.","non-dropping-particle":"","parse-names":false,"suffix":""},{"dropping-particle":"","family":"Shaheen","given":"Nicholas J.","non-dropping-particle":"","parse-names":false,"suffix":""}],"container-title":"Gastroenterology","id":"ITEM-3","issue":"7","issued":{"date-parts":[["2015"]]},"page":"1752-1761e1","title":"Incidence of Esophageal Adenocarcinoma and Causes of Mortality after Radiofrequency Ablation of Barrett's Esophagus","type":"article-journal","volume":"149"},"uris":["http://www.mendeley.com/documents/?uuid=f46201e7-2905-4523-9498-aa3a85e38af3"]},{"id":"ITEM-4","itemData":{"DOI":"10.1097/MCG.0000000000000742","ISBN":"0000000000000","ISSN":"15392031","PMID":"27941583","abstract":"Barrett esophagus (BE) is the only identifiable premalignant condition for esophageal adenocarcinoma (EAC), a cancer associated with a poor 5-year survival rate. The stepwise pathologic progression of BE to invasive cancer provides an opportunity to halt progression and potentially decrease incidence and ultimately the morbidity and mortality related to this lethal cancer. Endoscopic eradication therapy (EET) in patients at increased risk of progression to invasive EAC (intramucosal EAC, high-grade dysplasia, and low-grade dysplasia) is a practice that is endorsed by multiple societies and has replaced esophagectomy as the standard of care for these patients. Although the effectiveness, safety, and durability of EET have been demonstrated in several studies, this review addresses the several challenges with EET that need to be considered to optimize patient outcomes. Finally, the critical role of training, competence, and quality indicators in EET are emphasized in this era of value-based health care practice.","author":[{"dropping-particle":"","family":"Brimhall","given":"Bryan","non-dropping-particle":"","parse-names":false,"suffix":""},{"dropping-particle":"","family":"Wani","given":"Sachin","non-dropping-particle":"","parse-names":false,"suffix":""}],"container-title":"Journal of Clinical Gastroenterology","id":"ITEM-4","issue":"1","issued":{"date-parts":[["2017"]]},"page":"2-11","title":"Current Endoscopic Approaches for the Treatment of Barrett Esophagus","type":"article-journal","volume":"51"},"uris":["http://www.mendeley.com/documents/?uuid=d3aebe4c-7f47-4f84-9a90-aa7b60f7873e"]}],"mendeley":{"formattedCitation":"&lt;sup&gt;[7,10–12]&lt;/sup&gt;","plainTextFormattedCitation":"[7,10–12]","previouslyFormattedCitation":"&lt;sup&gt;[7,10–12]&lt;/sup&gt;"},"properties":{"noteIndex":0},"schema":"https://github.com/citation-style-language/schema/raw/master/csl-citation.json"}</w:instrText>
      </w:r>
      <w:r w:rsidR="003934C1" w:rsidRPr="000315B4">
        <w:rPr>
          <w:sz w:val="24"/>
          <w:szCs w:val="24"/>
        </w:rPr>
        <w:fldChar w:fldCharType="separate"/>
      </w:r>
      <w:r w:rsidR="00164BEB" w:rsidRPr="000315B4">
        <w:rPr>
          <w:noProof/>
          <w:sz w:val="24"/>
          <w:szCs w:val="24"/>
          <w:vertAlign w:val="superscript"/>
        </w:rPr>
        <w:t>[7,10</w:t>
      </w:r>
      <w:r w:rsidR="00F3526A" w:rsidRPr="000315B4">
        <w:rPr>
          <w:rFonts w:hint="eastAsia"/>
          <w:noProof/>
          <w:sz w:val="24"/>
          <w:szCs w:val="24"/>
          <w:vertAlign w:val="superscript"/>
          <w:lang w:eastAsia="zh-CN"/>
        </w:rPr>
        <w:t>-</w:t>
      </w:r>
      <w:r w:rsidR="00164BEB" w:rsidRPr="000315B4">
        <w:rPr>
          <w:noProof/>
          <w:sz w:val="24"/>
          <w:szCs w:val="24"/>
          <w:vertAlign w:val="superscript"/>
        </w:rPr>
        <w:t>12]</w:t>
      </w:r>
      <w:r w:rsidR="003934C1" w:rsidRPr="000315B4">
        <w:rPr>
          <w:sz w:val="24"/>
          <w:szCs w:val="24"/>
        </w:rPr>
        <w:fldChar w:fldCharType="end"/>
      </w:r>
      <w:r w:rsidR="003934C1" w:rsidRPr="000315B4">
        <w:rPr>
          <w:sz w:val="24"/>
          <w:szCs w:val="24"/>
        </w:rPr>
        <w:t>.</w:t>
      </w:r>
      <w:r w:rsidR="00751AFC" w:rsidRPr="000315B4">
        <w:rPr>
          <w:sz w:val="24"/>
          <w:szCs w:val="24"/>
        </w:rPr>
        <w:t xml:space="preserve"> </w:t>
      </w:r>
    </w:p>
    <w:p w14:paraId="1E667510" w14:textId="1C518830" w:rsidR="002E2809" w:rsidRPr="000315B4" w:rsidRDefault="00A37257" w:rsidP="00F3526A">
      <w:pPr>
        <w:widowControl w:val="0"/>
        <w:adjustRightInd w:val="0"/>
        <w:snapToGrid w:val="0"/>
        <w:spacing w:line="360" w:lineRule="auto"/>
        <w:ind w:firstLineChars="100" w:firstLine="240"/>
        <w:jc w:val="both"/>
        <w:rPr>
          <w:sz w:val="24"/>
          <w:szCs w:val="24"/>
          <w:lang w:eastAsia="zh-CN"/>
        </w:rPr>
      </w:pPr>
      <w:r w:rsidRPr="000315B4">
        <w:rPr>
          <w:sz w:val="24"/>
          <w:szCs w:val="24"/>
        </w:rPr>
        <w:t xml:space="preserve">Mortality in the overwhelming majority of </w:t>
      </w:r>
      <w:r w:rsidR="002E2809" w:rsidRPr="000315B4">
        <w:rPr>
          <w:sz w:val="24"/>
          <w:szCs w:val="24"/>
        </w:rPr>
        <w:t xml:space="preserve">BE </w:t>
      </w:r>
      <w:r w:rsidRPr="000315B4">
        <w:rPr>
          <w:sz w:val="24"/>
          <w:szCs w:val="24"/>
        </w:rPr>
        <w:t xml:space="preserve">patients is not related to </w:t>
      </w:r>
      <w:r w:rsidR="004B7687" w:rsidRPr="000315B4">
        <w:rPr>
          <w:sz w:val="24"/>
          <w:szCs w:val="24"/>
        </w:rPr>
        <w:t>EAC</w:t>
      </w:r>
      <w:r w:rsidRPr="000315B4">
        <w:rPr>
          <w:sz w:val="24"/>
          <w:szCs w:val="24"/>
        </w:rPr>
        <w:t xml:space="preserve"> but </w:t>
      </w:r>
      <w:r w:rsidR="0016610F" w:rsidRPr="000315B4">
        <w:rPr>
          <w:sz w:val="24"/>
          <w:szCs w:val="24"/>
        </w:rPr>
        <w:t xml:space="preserve">is </w:t>
      </w:r>
      <w:r w:rsidRPr="000315B4">
        <w:rPr>
          <w:sz w:val="24"/>
          <w:szCs w:val="24"/>
        </w:rPr>
        <w:t>rather due to</w:t>
      </w:r>
      <w:r w:rsidR="00F3481F" w:rsidRPr="000315B4">
        <w:rPr>
          <w:sz w:val="24"/>
          <w:szCs w:val="24"/>
        </w:rPr>
        <w:t xml:space="preserve"> </w:t>
      </w:r>
      <w:r w:rsidR="005672C4" w:rsidRPr="000315B4">
        <w:rPr>
          <w:sz w:val="24"/>
          <w:szCs w:val="24"/>
        </w:rPr>
        <w:t>non-esophageal malignancies and cardiovascular</w:t>
      </w:r>
      <w:r w:rsidR="0092220D" w:rsidRPr="000315B4">
        <w:rPr>
          <w:sz w:val="24"/>
          <w:szCs w:val="24"/>
        </w:rPr>
        <w:t xml:space="preserve"> disorders</w:t>
      </w:r>
      <w:r w:rsidR="00731FA0" w:rsidRPr="000315B4">
        <w:rPr>
          <w:sz w:val="24"/>
          <w:szCs w:val="24"/>
        </w:rPr>
        <w:fldChar w:fldCharType="begin" w:fldLock="1"/>
      </w:r>
      <w:r w:rsidR="0000179C" w:rsidRPr="000315B4">
        <w:rPr>
          <w:sz w:val="24"/>
          <w:szCs w:val="24"/>
        </w:rPr>
        <w:instrText>ADDIN CSL_CITATION {"citationItems":[{"id":"ITEM-1","itemData":{"DOI":"10.1053/j.gastro.2015.08.048","ISBN":"1528-0012","ISSN":"15280012","PMID":"26327132","abstract":"Background &amp; Aims Radiofrequency ablation (RFA) is commonly used to treat Barrett's esophagus (BE). We assessed the incidence of esophageal adenocarcinoma (EAC) after RFA, factors associated with the development of EAC, and EAC-specific and all-cause mortality. Methods We collected data for outcomes of patients who underwent RFA for BE from July 2007 through July 2011 from US multicenter RFA Patient Registry. Patients were followed until July 2014. Kaplan-Meier curves of EAC incidence were stratified by baseline histology. Crude EAC incidence and mortality (all-cause and EAC-specific) were calculated, and adjusted all-cause mortality was assessed. Logistic regression models were constructed to assess predictors of EAC and all-cause mortality. Results Among 4982 patients, 100 (2%) developed EAC (7.8/1000 person-years [PY]) and 9 patients (0.2%) died of EAC (0.7/1000 PY) in a mean 2.7 ± 1.6 years. The incidence of EAC in nondysplastic BE was 0.5/1000 PY. Overall, 157 patients (3%) died during follow-up (all-cause mortality, 11.2/1000 PY). On multivariate logistic regression, baseline BE length (odds ratio, 1.1/ cm) and baseline histology (odds ratios, 5.8 and 50.3 for low-grade dysplasia and high-grade dysplasia [HGD] respectively) predicted EAC incidence. Among 9 EAC deaths, 6 (67%) had baseline HGD, and 3 (33%) had baseline intramucosal EAC. The most common causes of death were cardiovascular (15%) and extraesophageal cancers (15%). No deaths were associated with RFA. Conclusions Based on analysis of a multicenter registry of patients who underwent RFA of BE, less than 1% died from EAC. The incidence of EAC was markedly lower in this study than in other studies of disease progression, with the greatest absolute benefit observed in patients with HGD.","author":[{"dropping-particle":"","family":"Wolf","given":"W. Asher","non-dropping-particle":"","parse-names":false,"suffix":""},{"dropping-particle":"","family":"Pasricha","given":"Sarina","non-dropping-particle":"","parse-names":false,"suffix":""},{"dropping-particle":"","family":"Cotton","given":"Cary","non-dropping-particle":"","parse-names":false,"suffix":""},{"dropping-particle":"","family":"Li","given":"Nan","non-dropping-particle":"","parse-names":false,"suffix":""},{"dropping-particle":"","family":"Triadafilopoulos","given":"George","non-dropping-particle":"","parse-names":false,"suffix":""},{"dropping-particle":"","family":"Muthusamy","given":"V. Raman","non-dropping-particle":"","parse-names":false,"suffix":""},{"dropping-particle":"","family":"Chmielewski","given":"Gary W.","non-dropping-particle":"","parse-names":false,"suffix":""},{"dropping-particle":"","family":"Corbett","given":"F. Scott","non-dropping-particle":"","parse-names":false,"suffix":""},{"dropping-particle":"","family":"Camara","given":"Daniel S.","non-dropping-particle":"","parse-names":false,"suffix":""},{"dropping-particle":"","family":"Lightdale","given":"Charles J.","non-dropping-particle":"","parse-names":false,"suffix":""},{"dropping-particle":"","family":"Wolfsen","given":"Herbert","non-dropping-particle":"","parse-names":false,"suffix":""},{"dropping-particle":"","family":"Chang","given":"Kenneth J.","non-dropping-particle":"","parse-names":false,"suffix":""},{"dropping-particle":"","family":"Overholt","given":"Bergein F.","non-dropping-particle":"","parse-names":false,"suffix":""},{"dropping-particle":"","family":"Pruitt","given":"Ron E.","non-dropping-particle":"","parse-names":false,"suffix":""},{"dropping-particle":"","family":"Ertan","given":"Atilla","non-dropping-particle":"","parse-names":false,"suffix":""},{"dropping-particle":"","family":"Komanduri","given":"Srinadh","non-dropping-particle":"","parse-names":false,"suffix":""},{"dropping-particle":"","family":"Infantolino","given":"Anthony","non-dropping-particle":"","parse-names":false,"suffix":""},{"dropping-particle":"","family":"Rothstein","given":"Richard I.","non-dropping-particle":"","parse-names":false,"suffix":""},{"dropping-particle":"","family":"Shaheen","given":"Nicholas J.","non-dropping-particle":"","parse-names":false,"suffix":""}],"container-title":"Gastroenterology","id":"ITEM-1","issue":"7","issued":{"date-parts":[["2015"]]},"page":"1752-1761e1","title":"Incidence of Esophageal Adenocarcinoma and Causes of Mortality after Radiofrequency Ablation of Barrett's Esophagus","type":"article-journal","volume":"149"},"uris":["http://www.mendeley.com/documents/?uuid=f46201e7-2905-4523-9498-aa3a85e38af3"]},{"id":"ITEM-2","itemData":{"DOI":"10.1053/j.gastro.2013.02.050","ISBN":"0016-5085","ISSN":"00165085","PMID":"23583429","abstract":"Background &amp; Aims: Understanding the causes of death in people with Barrett's esophagus (BE) could guide evidence-based practice in the follow-up of these patients. Methods: We identified individuals diagnosed with BE in the UK's Clinical Practice Research Datalink and linked their information with that from England's Hospital Episode Statistics database. Eligible patients (N = 8448) were matched with individuals without BE for age, sex, and general practice (controls, N = 155,212). Causes of death were obtained from the UK's Office for National Statistics. Cox proportional hazard regression, excluding data from the first year of follow-up, was used to estimate hazard ratios and cumulative mortality. Absolute excess risks were calculated by subtracting cause-specific mortality values of controls from those of patients with BE. Results: Compared with the control population, patients with BE had increased risks of death from neoplasms and from respiratory and digestive causes but not from circulatory disorders. The annual mortality rate from esophageal cancer among patients with BE was 0.14%; 4.5% of deaths among these patients resulted from this cancer, leading to a cumulative 10-year risk of almost 2%. Nonetheless, the largest single cause of death among patients with BE was ischemic heart disease (5.6 per 1000 patients); 168 patients with BE died of this cause, nearly 4-fold the number that died of esophageal cancer. Conclusions: Among patients with BE, approximately 2% will die of esophageal cancer within 10 years. However, patients with BE died more frequently of other causes, such as ischemic heart disease. Evidence-based strategies are available to prevent this disease and might be more cost-effective for reducing mortality among patients with BE. © 2013 AGA Institute.","author":[{"dropping-particle":"","family":"Solaymani-Dodaran","given":"Masoud","non-dropping-particle":"","parse-names":false,"suffix":""},{"dropping-particle":"","family":"Card","given":"Timothy R.","non-dropping-particle":"","parse-names":false,"suffix":""},{"dropping-particle":"","family":"West","given":"Joe","non-dropping-particle":"","parse-names":false,"suffix":""}],"container-title":"Gastroenterology","id":"ITEM-2","issue":"7","issued":{"date-parts":[["2013"]]},"page":"1375-1383.e1","publisher":"Elsevier Inc.","title":"Cause-specific mortality of people with barrett's esophagus compared with the general population: A population-based cohort study","type":"article-journal","volume":"144"},"uris":["http://www.mendeley.com/documents/?uuid=7fc1e5d3-73cd-44e0-bc59-86636808a4e9"]},{"id":"ITEM-3","itemData":{"DOI":"10.1111/apt.13962","ISBN":"1365-2036","ISSN":"02692813","PMID":"28139003","abstract":"BACKGROUND: Patients with Barrett's oesophagus may be at increased risk of mortality overall, and cardiovascular disease has been suggested as the main underlying cause of death. AIM: To examine cause-specific mortality and risk of cardiovascular events among patients with Barrett's oesophagus. METHODS: Utilising existing Danish data sources (1997-2011), we identified all patients with histologically verified Barrett's oesophagus (n = 13 435) and 123 526 members of the general population matched by age, sex and individual comorbidities. We calculated cause-specific mortality rates and incidence rates of cardiovascular diseases. We then compared rates between patients with Barrett's oesophagus and the general population comparison cohort, using stratified Cox proportional hazard regression. RESULTS: Patients with Barrett's oesophagus had a 71% increased risk of overall mortality. The cause-specific mortality rate per 1000 person-years for patients with Barrett's oesophagus was 8.5 for cardiovascular diseases, 14.7 for non-oesophageal cancers, and 5.4 for oesophageal cancer. Compared to the general population cohort, corresponding hazard ratios were 1.26 (95% confidence interval (CI): 1.15-1.38), 1.77 (95% CI: 1.65-1.90), and 19.4 (95% CI: 16.1-23.4), respectively. The incidence rates of cardiovascular diseases per 1000 person-years for Barrett's oesophagus patients and for persons from the general population cohort, respectively, varied from 0.4 and 0.2 for subarachnoid bleeding (hazard ratio 1.10, 95% CI: 0.87-1.39) to 8.1 and 5.9 for congestive heart failure (hazard ratio 1.33, 95% CI: 1.21-1.46). CONCLUSION: Prophylactic measures targeted at cardiovascular diseases and non-oesophageal cancers potentially could be more important than measures against oesophageal cancer, for improving prognosis among patients with Barrett's oesophagus.","author":[{"dropping-particle":"","family":"Erichsen","given":"R.","non-dropping-particle":"","parse-names":false,"suffix":""},{"dropping-particle":"","family":"Horvath-Puho","given":"E.","non-dropping-particle":"","parse-names":false,"suffix":""},{"dropping-particle":"","family":"Lund","given":"J. L.","non-dropping-particle":"","parse-names":false,"suffix":""},{"dropping-particle":"","family":"Dellon","given":"E. S.","non-dropping-particle":"","parse-names":false,"suffix":""},{"dropping-particle":"","family":"Shaheen","given":"N. J.","non-dropping-particle":"","parse-names":false,"suffix":""},{"dropping-particle":"","family":"Pedersen","given":"L.","non-dropping-particle":"","parse-names":false,"suffix":""},{"dropping-particle":"","family":"Davey Smith","given":"G.","non-dropping-particle":"","parse-names":false,"suffix":""},{"dropping-particle":"","family":"Sørensen","given":"H. T.","non-dropping-particle":"","parse-names":false,"suffix":""},{"dropping-particle":"","family":"Smith","given":"G Davey","non-dropping-particle":"","parse-names":false,"suffix":""},{"dropping-particle":"","family":"Horvath-Puho","given":"E.","non-dropping-particle":"","parse-names":false,"suffix":""},{"dropping-particle":"","family":"Lund","given":"J. L.","non-dropping-particle":"","parse-names":false,"suffix":""},{"dropping-particle":"","family":"Dellon","given":"E. S.","non-dropping-particle":"","parse-names":false,"suffix":""},{"dropping-particle":"","family":"Shaheen","given":"N. J.","non-dropping-particle":"","parse-names":false,"suffix":""},{"dropping-particle":"","family":"Pedersen","given":"L.","non-dropping-particle":"","parse-names":false,"suffix":""},{"dropping-particle":"","family":"Davey Smith","given":"G.","non-dropping-particle":"","parse-names":false,"suffix":""},{"dropping-particle":"","family":"Sørensen","given":"H. T.","non-dropping-particle":"","parse-names":false,"suffix":""}],"container-title":"Alimentary Pharmacology &amp; Therapeutics","id":"ITEM-3","issue":"7","issued":{"date-parts":[["2017"]]},"page":"973-982","title":"Mortality and cardiovascular diseases risk in patients with Barrett's oesophagus: a population-based nationwide cohort study","type":"article-journal","volume":"45"},"uris":["http://www.mendeley.com/documents/?uuid=7c5a21cd-0dcd-4a0d-967f-eb5dd3abc87c"]}],"mendeley":{"formattedCitation":"&lt;sup&gt;[11,13,14]&lt;/sup&gt;","plainTextFormattedCitation":"[11,13,14]","previouslyFormattedCitation":"&lt;sup&gt;[11,13,14]&lt;/sup&gt;"},"properties":{"noteIndex":0},"schema":"https://github.com/citation-style-language/schema/raw/master/csl-citation.json"}</w:instrText>
      </w:r>
      <w:r w:rsidR="00731FA0" w:rsidRPr="000315B4">
        <w:rPr>
          <w:sz w:val="24"/>
          <w:szCs w:val="24"/>
        </w:rPr>
        <w:fldChar w:fldCharType="separate"/>
      </w:r>
      <w:r w:rsidR="00164BEB" w:rsidRPr="000315B4">
        <w:rPr>
          <w:noProof/>
          <w:sz w:val="24"/>
          <w:szCs w:val="24"/>
          <w:vertAlign w:val="superscript"/>
        </w:rPr>
        <w:t>[11,13,14]</w:t>
      </w:r>
      <w:r w:rsidR="00731FA0" w:rsidRPr="000315B4">
        <w:rPr>
          <w:sz w:val="24"/>
          <w:szCs w:val="24"/>
        </w:rPr>
        <w:fldChar w:fldCharType="end"/>
      </w:r>
      <w:r w:rsidR="00731FA0" w:rsidRPr="000315B4">
        <w:rPr>
          <w:sz w:val="24"/>
          <w:szCs w:val="24"/>
        </w:rPr>
        <w:t>.</w:t>
      </w:r>
      <w:r w:rsidR="00565403" w:rsidRPr="000315B4">
        <w:rPr>
          <w:sz w:val="24"/>
          <w:szCs w:val="24"/>
        </w:rPr>
        <w:t xml:space="preserve"> </w:t>
      </w:r>
      <w:r w:rsidR="00E209B4" w:rsidRPr="000315B4">
        <w:rPr>
          <w:sz w:val="24"/>
          <w:szCs w:val="24"/>
        </w:rPr>
        <w:t>All-cause</w:t>
      </w:r>
      <w:r w:rsidR="00565403" w:rsidRPr="000315B4">
        <w:rPr>
          <w:sz w:val="24"/>
          <w:szCs w:val="24"/>
        </w:rPr>
        <w:t xml:space="preserve"> mortality is </w:t>
      </w:r>
      <w:r w:rsidR="00C26FBC" w:rsidRPr="000315B4">
        <w:rPr>
          <w:sz w:val="24"/>
          <w:szCs w:val="24"/>
        </w:rPr>
        <w:t>higher</w:t>
      </w:r>
      <w:r w:rsidR="007C4E9A" w:rsidRPr="000315B4">
        <w:rPr>
          <w:sz w:val="24"/>
          <w:szCs w:val="24"/>
        </w:rPr>
        <w:t xml:space="preserve"> </w:t>
      </w:r>
      <w:r w:rsidR="00565403" w:rsidRPr="000315B4">
        <w:rPr>
          <w:sz w:val="24"/>
          <w:szCs w:val="24"/>
        </w:rPr>
        <w:t xml:space="preserve">in </w:t>
      </w:r>
      <w:r w:rsidR="0088039F" w:rsidRPr="000315B4">
        <w:rPr>
          <w:sz w:val="24"/>
          <w:szCs w:val="24"/>
        </w:rPr>
        <w:t>patients</w:t>
      </w:r>
      <w:r w:rsidR="00F3481F" w:rsidRPr="000315B4">
        <w:rPr>
          <w:sz w:val="24"/>
          <w:szCs w:val="24"/>
        </w:rPr>
        <w:t xml:space="preserve"> with </w:t>
      </w:r>
      <w:r w:rsidR="00C26FBC" w:rsidRPr="000315B4">
        <w:rPr>
          <w:sz w:val="24"/>
          <w:szCs w:val="24"/>
        </w:rPr>
        <w:t>advanced</w:t>
      </w:r>
      <w:r w:rsidR="00565403" w:rsidRPr="000315B4">
        <w:rPr>
          <w:sz w:val="24"/>
          <w:szCs w:val="24"/>
        </w:rPr>
        <w:t xml:space="preserve"> grades of </w:t>
      </w:r>
      <w:r w:rsidR="00F3481F" w:rsidRPr="000315B4">
        <w:rPr>
          <w:sz w:val="24"/>
          <w:szCs w:val="24"/>
        </w:rPr>
        <w:t xml:space="preserve">BE </w:t>
      </w:r>
      <w:r w:rsidR="00565403" w:rsidRPr="000315B4">
        <w:rPr>
          <w:sz w:val="24"/>
          <w:szCs w:val="24"/>
        </w:rPr>
        <w:t>dysplasia</w:t>
      </w:r>
      <w:r w:rsidR="00F3526A" w:rsidRPr="000315B4">
        <w:rPr>
          <w:sz w:val="24"/>
          <w:szCs w:val="24"/>
        </w:rPr>
        <w:t xml:space="preserve"> compared to matched controls</w:t>
      </w:r>
      <w:r w:rsidR="00565403" w:rsidRPr="000315B4">
        <w:rPr>
          <w:sz w:val="24"/>
          <w:szCs w:val="24"/>
        </w:rPr>
        <w:fldChar w:fldCharType="begin" w:fldLock="1"/>
      </w:r>
      <w:r w:rsidR="0000179C" w:rsidRPr="000315B4">
        <w:rPr>
          <w:sz w:val="24"/>
          <w:szCs w:val="24"/>
        </w:rPr>
        <w:instrText>ADDIN CSL_CITATION {"citationItems":[{"id":"ITEM-1","itemData":{"DOI":"10.1111/apt.13962","ISBN":"1365-2036","ISSN":"02692813","PMID":"28139003","abstract":"BACKGROUND: Patients with Barrett's oesophagus may be at increased risk of mortality overall, and cardiovascular disease has been suggested as the main underlying cause of death. AIM: To examine cause-specific mortality and risk of cardiovascular events among patients with Barrett's oesophagus. METHODS: Utilising existing Danish data sources (1997-2011), we identified all patients with histologically verified Barrett's oesophagus (n = 13 435) and 123 526 members of the general population matched by age, sex and individual comorbidities. We calculated cause-specific mortality rates and incidence rates of cardiovascular diseases. We then compared rates between patients with Barrett's oesophagus and the general population comparison cohort, using stratified Cox proportional hazard regression. RESULTS: Patients with Barrett's oesophagus had a 71% increased risk of overall mortality. The cause-specific mortality rate per 1000 person-years for patients with Barrett's oesophagus was 8.5 for cardiovascular diseases, 14.7 for non-oesophageal cancers, and 5.4 for oesophageal cancer. Compared to the general population cohort, corresponding hazard ratios were 1.26 (95% confidence interval (CI): 1.15-1.38), 1.77 (95% CI: 1.65-1.90), and 19.4 (95% CI: 16.1-23.4), respectively. The incidence rates of cardiovascular diseases per 1000 person-years for Barrett's oesophagus patients and for persons from the general population cohort, respectively, varied from 0.4 and 0.2 for subarachnoid bleeding (hazard ratio 1.10, 95% CI: 0.87-1.39) to 8.1 and 5.9 for congestive heart failure (hazard ratio 1.33, 95% CI: 1.21-1.46). CONCLUSION: Prophylactic measures targeted at cardiovascular diseases and non-oesophageal cancers potentially could be more important than measures against oesophageal cancer, for improving prognosis among patients with Barrett's oesophagus.","author":[{"dropping-particle":"","family":"Erichsen","given":"R.","non-dropping-particle":"","parse-names":false,"suffix":""},{"dropping-particle":"","family":"Horvath-Puho","given":"E.","non-dropping-particle":"","parse-names":false,"suffix":""},{"dropping-particle":"","family":"Lund","given":"J. L.","non-dropping-particle":"","parse-names":false,"suffix":""},{"dropping-particle":"","family":"Dellon","given":"E. S.","non-dropping-particle":"","parse-names":false,"suffix":""},{"dropping-particle":"","family":"Shaheen","given":"N. J.","non-dropping-particle":"","parse-names":false,"suffix":""},{"dropping-particle":"","family":"Pedersen","given":"L.","non-dropping-particle":"","parse-names":false,"suffix":""},{"dropping-particle":"","family":"Davey Smith","given":"G.","non-dropping-particle":"","parse-names":false,"suffix":""},{"dropping-particle":"","family":"Sørensen","given":"H. T.","non-dropping-particle":"","parse-names":false,"suffix":""},{"dropping-particle":"","family":"Smith","given":"G Davey","non-dropping-particle":"","parse-names":false,"suffix":""},{"dropping-particle":"","family":"Horvath-Puho","given":"E.","non-dropping-particle":"","parse-names":false,"suffix":""},{"dropping-particle":"","family":"Lund","given":"J. L.","non-dropping-particle":"","parse-names":false,"suffix":""},{"dropping-particle":"","family":"Dellon","given":"E. S.","non-dropping-particle":"","parse-names":false,"suffix":""},{"dropping-particle":"","family":"Shaheen","given":"N. J.","non-dropping-particle":"","parse-names":false,"suffix":""},{"dropping-particle":"","family":"Pedersen","given":"L.","non-dropping-particle":"","parse-names":false,"suffix":""},{"dropping-particle":"","family":"Davey Smith","given":"G.","non-dropping-particle":"","parse-names":false,"suffix":""},{"dropping-particle":"","family":"Sørensen","given":"H. T.","non-dropping-particle":"","parse-names":false,"suffix":""}],"container-title":"Alimentary Pharmacology &amp; Therapeutics","id":"ITEM-1","issue":"7","issued":{"date-parts":[["2017"]]},"page":"973-982","title":"Mortality and cardiovascular diseases risk in patients with Barrett's oesophagus: a population-based nationwide cohort study","type":"article-journal","volume":"45"},"uris":["http://www.mendeley.com/documents/?uuid=7c5a21cd-0dcd-4a0d-967f-eb5dd3abc87c"]},{"id":"ITEM-2","itemData":{"DOI":"10.1053/j.gastro.2015.08.048","ISBN":"1528-0012","ISSN":"15280012","PMID":"26327132","abstract":"Background &amp; Aims Radiofrequency ablation (RFA) is commonly used to treat Barrett's esophagus (BE). We assessed the incidence of esophageal adenocarcinoma (EAC) after RFA, factors associated with the development of EAC, and EAC-specific and all-cause mortality. Methods We collected data for outcomes of patients who underwent RFA for BE from July 2007 through July 2011 from US multicenter RFA Patient Registry. Patients were followed until July 2014. Kaplan-Meier curves of EAC incidence were stratified by baseline histology. Crude EAC incidence and mortality (all-cause and EAC-specific) were calculated, and adjusted all-cause mortality was assessed. Logistic regression models were constructed to assess predictors of EAC and all-cause mortality. Results Among 4982 patients, 100 (2%) developed EAC (7.8/1000 person-years [PY]) and 9 patients (0.2%) died of EAC (0.7/1000 PY) in a mean 2.7 ± 1.6 years. The incidence of EAC in nondysplastic BE was 0.5/1000 PY. Overall, 157 patients (3%) died during follow-up (all-cause mortality, 11.2/1000 PY). On multivariate logistic regression, baseline BE length (odds ratio, 1.1/ cm) and baseline histology (odds ratios, 5.8 and 50.3 for low-grade dysplasia and high-grade dysplasia [HGD] respectively) predicted EAC incidence. Among 9 EAC deaths, 6 (67%) had baseline HGD, and 3 (33%) had baseline intramucosal EAC. The most common causes of death were cardiovascular (15%) and extraesophageal cancers (15%). No deaths were associated with RFA. Conclusions Based on analysis of a multicenter registry of patients who underwent RFA of BE, less than 1% died from EAC. The incidence of EAC was markedly lower in this study than in other studies of disease progression, with the greatest absolute benefit observed in patients with HGD.","author":[{"dropping-particle":"","family":"Wolf","given":"W. Asher","non-dropping-particle":"","parse-names":false,"suffix":""},{"dropping-particle":"","family":"Pasricha","given":"Sarina","non-dropping-particle":"","parse-names":false,"suffix":""},{"dropping-particle":"","family":"Cotton","given":"Cary","non-dropping-particle":"","parse-names":false,"suffix":""},{"dropping-particle":"","family":"Li","given":"Nan","non-dropping-particle":"","parse-names":false,"suffix":""},{"dropping-particle":"","family":"Triadafilopoulos","given":"George","non-dropping-particle":"","parse-names":false,"suffix":""},{"dropping-particle":"","family":"Muthusamy","given":"V. Raman","non-dropping-particle":"","parse-names":false,"suffix":""},{"dropping-particle":"","family":"Chmielewski","given":"Gary W.","non-dropping-particle":"","parse-names":false,"suffix":""},{"dropping-particle":"","family":"Corbett","given":"F. Scott","non-dropping-particle":"","parse-names":false,"suffix":""},{"dropping-particle":"","family":"Camara","given":"Daniel S.","non-dropping-particle":"","parse-names":false,"suffix":""},{"dropping-particle":"","family":"Lightdale","given":"Charles J.","non-dropping-particle":"","parse-names":false,"suffix":""},{"dropping-particle":"","family":"Wolfsen","given":"Herbert","non-dropping-particle":"","parse-names":false,"suffix":""},{"dropping-particle":"","family":"Chang","given":"Kenneth J.","non-dropping-particle":"","parse-names":false,"suffix":""},{"dropping-particle":"","family":"Overholt","given":"Bergein F.","non-dropping-particle":"","parse-names":false,"suffix":""},{"dropping-particle":"","family":"Pruitt","given":"Ron E.","non-dropping-particle":"","parse-names":false,"suffix":""},{"dropping-particle":"","family":"Ertan","given":"Atilla","non-dropping-particle":"","parse-names":false,"suffix":""},{"dropping-particle":"","family":"Komanduri","given":"Srinadh","non-dropping-particle":"","parse-names":false,"suffix":""},{"dropping-particle":"","family":"Infantolino","given":"Anthony","non-dropping-particle":"","parse-names":false,"suffix":""},{"dropping-particle":"","family":"Rothstein","given":"Richard I.","non-dropping-particle":"","parse-names":false,"suffix":""},{"dropping-particle":"","family":"Shaheen","given":"Nicholas J.","non-dropping-particle":"","parse-names":false,"suffix":""}],"container-title":"Gastroenterology","id":"ITEM-2","issue":"7","issued":{"date-parts":[["2015"]]},"page":"1752-1761e1","title":"Incidence of Esophageal Adenocarcinoma and Causes of Mortality after Radiofrequency Ablation of Barrett's Esophagus","type":"article-journal","volume":"149"},"uris":["http://www.mendeley.com/documents/?uuid=f46201e7-2905-4523-9498-aa3a85e38af3"]}],"mendeley":{"formattedCitation":"&lt;sup&gt;[11,14]&lt;/sup&gt;","plainTextFormattedCitation":"[11,14]","previouslyFormattedCitation":"&lt;sup&gt;[11,14]&lt;/sup&gt;"},"properties":{"noteIndex":0},"schema":"https://github.com/citation-style-language/schema/raw/master/csl-citation.json"}</w:instrText>
      </w:r>
      <w:r w:rsidR="00565403" w:rsidRPr="000315B4">
        <w:rPr>
          <w:sz w:val="24"/>
          <w:szCs w:val="24"/>
        </w:rPr>
        <w:fldChar w:fldCharType="separate"/>
      </w:r>
      <w:r w:rsidR="00164BEB" w:rsidRPr="000315B4">
        <w:rPr>
          <w:noProof/>
          <w:sz w:val="24"/>
          <w:szCs w:val="24"/>
          <w:vertAlign w:val="superscript"/>
        </w:rPr>
        <w:t>[11,14]</w:t>
      </w:r>
      <w:r w:rsidR="00565403" w:rsidRPr="000315B4">
        <w:rPr>
          <w:sz w:val="24"/>
          <w:szCs w:val="24"/>
        </w:rPr>
        <w:fldChar w:fldCharType="end"/>
      </w:r>
      <w:r w:rsidR="00537026" w:rsidRPr="000315B4">
        <w:rPr>
          <w:sz w:val="24"/>
          <w:szCs w:val="24"/>
        </w:rPr>
        <w:t>.</w:t>
      </w:r>
      <w:r w:rsidR="0088039F" w:rsidRPr="000315B4">
        <w:rPr>
          <w:sz w:val="24"/>
          <w:szCs w:val="24"/>
        </w:rPr>
        <w:t xml:space="preserve"> Non-esophageal cancer mortality in Danish patients</w:t>
      </w:r>
      <w:r w:rsidR="00083A7B" w:rsidRPr="000315B4">
        <w:rPr>
          <w:sz w:val="24"/>
          <w:szCs w:val="24"/>
        </w:rPr>
        <w:t xml:space="preserve"> with</w:t>
      </w:r>
      <w:r w:rsidR="0088039F" w:rsidRPr="000315B4">
        <w:rPr>
          <w:sz w:val="24"/>
          <w:szCs w:val="24"/>
        </w:rPr>
        <w:t xml:space="preserve"> </w:t>
      </w:r>
      <w:bookmarkStart w:id="91" w:name="_Hlk510304566"/>
      <w:r w:rsidR="0088039F" w:rsidRPr="000315B4">
        <w:rPr>
          <w:sz w:val="24"/>
          <w:szCs w:val="24"/>
        </w:rPr>
        <w:t xml:space="preserve">high grade dysplasia (HGD) </w:t>
      </w:r>
      <w:bookmarkEnd w:id="91"/>
      <w:r w:rsidR="0088039F" w:rsidRPr="000315B4">
        <w:rPr>
          <w:sz w:val="24"/>
          <w:szCs w:val="24"/>
        </w:rPr>
        <w:t>was higher than non-dysplastic BE and matched controls</w:t>
      </w:r>
      <w:r w:rsidR="00AB7B87" w:rsidRPr="000315B4">
        <w:rPr>
          <w:sz w:val="24"/>
          <w:szCs w:val="24"/>
        </w:rPr>
        <w:t>, though comparing HGD to non-dysplastic BE was not an endpoint, and was not analyzed for significance</w:t>
      </w:r>
      <w:r w:rsidR="00E209B4" w:rsidRPr="000315B4">
        <w:rPr>
          <w:sz w:val="24"/>
          <w:szCs w:val="24"/>
        </w:rPr>
        <w:fldChar w:fldCharType="begin" w:fldLock="1"/>
      </w:r>
      <w:r w:rsidR="0000179C" w:rsidRPr="000315B4">
        <w:rPr>
          <w:sz w:val="24"/>
          <w:szCs w:val="24"/>
        </w:rPr>
        <w:instrText>ADDIN CSL_CITATION {"citationItems":[{"id":"ITEM-1","itemData":{"DOI":"10.1111/apt.13962","ISBN":"1365-2036","ISSN":"02692813","PMID":"28139003","abstract":"BACKGROUND: Patients with Barrett's oesophagus may be at increased risk of mortality overall, and cardiovascular disease has been suggested as the main underlying cause of death. AIM: To examine cause-specific mortality and risk of cardiovascular events among patients with Barrett's oesophagus. METHODS: Utilising existing Danish data sources (1997-2011), we identified all patients with histologically verified Barrett's oesophagus (n = 13 435) and 123 526 members of the general population matched by age, sex and individual comorbidities. We calculated cause-specific mortality rates and incidence rates of cardiovascular diseases. We then compared rates between patients with Barrett's oesophagus and the general population comparison cohort, using stratified Cox proportional hazard regression. RESULTS: Patients with Barrett's oesophagus had a 71% increased risk of overall mortality. The cause-specific mortality rate per 1000 person-years for patients with Barrett's oesophagus was 8.5 for cardiovascular diseases, 14.7 for non-oesophageal cancers, and 5.4 for oesophageal cancer. Compared to the general population cohort, corresponding hazard ratios were 1.26 (95% confidence interval (CI): 1.15-1.38), 1.77 (95% CI: 1.65-1.90), and 19.4 (95% CI: 16.1-23.4), respectively. The incidence rates of cardiovascular diseases per 1000 person-years for Barrett's oesophagus patients and for persons from the general population cohort, respectively, varied from 0.4 and 0.2 for subarachnoid bleeding (hazard ratio 1.10, 95% CI: 0.87-1.39) to 8.1 and 5.9 for congestive heart failure (hazard ratio 1.33, 95% CI: 1.21-1.46). CONCLUSION: Prophylactic measures targeted at cardiovascular diseases and non-oesophageal cancers potentially could be more important than measures against oesophageal cancer, for improving prognosis among patients with Barrett's oesophagus.","author":[{"dropping-particle":"","family":"Erichsen","given":"R.","non-dropping-particle":"","parse-names":false,"suffix":""},{"dropping-particle":"","family":"Horvath-Puho","given":"E.","non-dropping-particle":"","parse-names":false,"suffix":""},{"dropping-particle":"","family":"Lund","given":"J. L.","non-dropping-particle":"","parse-names":false,"suffix":""},{"dropping-particle":"","family":"Dellon","given":"E. S.","non-dropping-particle":"","parse-names":false,"suffix":""},{"dropping-particle":"","family":"Shaheen","given":"N. J.","non-dropping-particle":"","parse-names":false,"suffix":""},{"dropping-particle":"","family":"Pedersen","given":"L.","non-dropping-particle":"","parse-names":false,"suffix":""},{"dropping-particle":"","family":"Davey Smith","given":"G.","non-dropping-particle":"","parse-names":false,"suffix":""},{"dropping-particle":"","family":"Sørensen","given":"H. T.","non-dropping-particle":"","parse-names":false,"suffix":""},{"dropping-particle":"","family":"Smith","given":"G Davey","non-dropping-particle":"","parse-names":false,"suffix":""},{"dropping-particle":"","family":"Horvath-Puho","given":"E.","non-dropping-particle":"","parse-names":false,"suffix":""},{"dropping-particle":"","family":"Lund","given":"J. L.","non-dropping-particle":"","parse-names":false,"suffix":""},{"dropping-particle":"","family":"Dellon","given":"E. S.","non-dropping-particle":"","parse-names":false,"suffix":""},{"dropping-particle":"","family":"Shaheen","given":"N. J.","non-dropping-particle":"","parse-names":false,"suffix":""},{"dropping-particle":"","family":"Pedersen","given":"L.","non-dropping-particle":"","parse-names":false,"suffix":""},{"dropping-particle":"","family":"Davey Smith","given":"G.","non-dropping-particle":"","parse-names":false,"suffix":""},{"dropping-particle":"","family":"Sørensen","given":"H. T.","non-dropping-particle":"","parse-names":false,"suffix":""}],"container-title":"Alimentary Pharmacology &amp; Therapeutics","id":"ITEM-1","issue":"7","issued":{"date-parts":[["2017"]]},"page":"973-982","title":"Mortality and cardiovascular diseases risk in patients with Barrett's oesophagus: a population-based nationwide cohort study","type":"article-journal","volume":"45"},"uris":["http://www.mendeley.com/documents/?uuid=7c5a21cd-0dcd-4a0d-967f-eb5dd3abc87c"]}],"mendeley":{"formattedCitation":"&lt;sup&gt;[14]&lt;/sup&gt;","plainTextFormattedCitation":"[14]","previouslyFormattedCitation":"&lt;sup&gt;[14]&lt;/sup&gt;"},"properties":{"noteIndex":0},"schema":"https://github.com/citation-style-language/schema/raw/master/csl-citation.json"}</w:instrText>
      </w:r>
      <w:r w:rsidR="00E209B4" w:rsidRPr="000315B4">
        <w:rPr>
          <w:sz w:val="24"/>
          <w:szCs w:val="24"/>
        </w:rPr>
        <w:fldChar w:fldCharType="separate"/>
      </w:r>
      <w:r w:rsidR="00164BEB" w:rsidRPr="000315B4">
        <w:rPr>
          <w:noProof/>
          <w:sz w:val="24"/>
          <w:szCs w:val="24"/>
          <w:vertAlign w:val="superscript"/>
        </w:rPr>
        <w:t>[14]</w:t>
      </w:r>
      <w:r w:rsidR="00E209B4" w:rsidRPr="000315B4">
        <w:rPr>
          <w:sz w:val="24"/>
          <w:szCs w:val="24"/>
        </w:rPr>
        <w:fldChar w:fldCharType="end"/>
      </w:r>
      <w:r w:rsidR="00083A7B" w:rsidRPr="000315B4">
        <w:rPr>
          <w:sz w:val="24"/>
          <w:szCs w:val="24"/>
        </w:rPr>
        <w:t xml:space="preserve">. </w:t>
      </w:r>
      <w:r w:rsidR="004E622F" w:rsidRPr="000315B4">
        <w:rPr>
          <w:sz w:val="24"/>
          <w:szCs w:val="24"/>
        </w:rPr>
        <w:t xml:space="preserve">Another </w:t>
      </w:r>
      <w:r w:rsidR="00E209B4" w:rsidRPr="000315B4">
        <w:rPr>
          <w:sz w:val="24"/>
          <w:szCs w:val="24"/>
        </w:rPr>
        <w:t>population based</w:t>
      </w:r>
      <w:r w:rsidR="00C509FC" w:rsidRPr="000315B4">
        <w:rPr>
          <w:sz w:val="24"/>
          <w:szCs w:val="24"/>
        </w:rPr>
        <w:t xml:space="preserve"> cohort </w:t>
      </w:r>
      <w:r w:rsidR="00E209B4" w:rsidRPr="000315B4">
        <w:rPr>
          <w:sz w:val="24"/>
          <w:szCs w:val="24"/>
        </w:rPr>
        <w:t>study</w:t>
      </w:r>
      <w:r w:rsidR="00A9355B" w:rsidRPr="000315B4">
        <w:rPr>
          <w:sz w:val="24"/>
          <w:szCs w:val="24"/>
        </w:rPr>
        <w:t xml:space="preserve"> conducted i</w:t>
      </w:r>
      <w:r w:rsidR="005F42F8" w:rsidRPr="000315B4">
        <w:rPr>
          <w:sz w:val="24"/>
          <w:szCs w:val="24"/>
        </w:rPr>
        <w:t xml:space="preserve">n </w:t>
      </w:r>
      <w:r w:rsidR="00C509FC" w:rsidRPr="000315B4">
        <w:rPr>
          <w:sz w:val="24"/>
          <w:szCs w:val="24"/>
        </w:rPr>
        <w:t>Israel</w:t>
      </w:r>
      <w:r w:rsidR="00E209B4" w:rsidRPr="000315B4">
        <w:rPr>
          <w:sz w:val="24"/>
          <w:szCs w:val="24"/>
        </w:rPr>
        <w:t xml:space="preserve"> showed increased prevalence of colorectal, prostate, kidney, bladder and thyroid cancer </w:t>
      </w:r>
      <w:r w:rsidR="006444D9" w:rsidRPr="000315B4">
        <w:rPr>
          <w:sz w:val="24"/>
          <w:szCs w:val="24"/>
        </w:rPr>
        <w:t xml:space="preserve">in BE patients </w:t>
      </w:r>
      <w:r w:rsidR="00E209B4" w:rsidRPr="000315B4">
        <w:rPr>
          <w:sz w:val="24"/>
          <w:szCs w:val="24"/>
        </w:rPr>
        <w:t xml:space="preserve">occurring </w:t>
      </w:r>
      <w:r w:rsidR="006444D9" w:rsidRPr="000315B4">
        <w:rPr>
          <w:sz w:val="24"/>
          <w:szCs w:val="24"/>
        </w:rPr>
        <w:t>at</w:t>
      </w:r>
      <w:r w:rsidR="00E209B4" w:rsidRPr="000315B4">
        <w:rPr>
          <w:sz w:val="24"/>
          <w:szCs w:val="24"/>
        </w:rPr>
        <w:t xml:space="preserve"> a younger age compared to matched controls</w:t>
      </w:r>
      <w:r w:rsidR="00E209B4" w:rsidRPr="000315B4">
        <w:rPr>
          <w:sz w:val="24"/>
          <w:szCs w:val="24"/>
        </w:rPr>
        <w:fldChar w:fldCharType="begin" w:fldLock="1"/>
      </w:r>
      <w:r w:rsidR="0000179C" w:rsidRPr="000315B4">
        <w:rPr>
          <w:sz w:val="24"/>
          <w:szCs w:val="24"/>
        </w:rPr>
        <w:instrText>ADDIN CSL_CITATION {"citationItems":[{"id":"ITEM-1","itemData":{"DOI":"10.1097/MCG.0b013e31828bf26f","ISBN":"1539-2031 (Electronic)\\r0192-0790 (Linking)","ISSN":"0192-0790","PMID":"23507770","abstract":"GOALS: To evaluate the incidence of extraesophageal malignancies among patients with Barrett esophagus (BE). BACKGROUND: Gastroesophageal reflux disease has been reported to be associated with upper aerodigestive malignancies. BE is considered a consequence of long-standing gastroesophageal reflux disease; however, the association of BE with extraesophageal malignancies is controversial. STUDY: The database of the largest health service provider in Israel was queried for all patients diagnosed with BE between 2000 and 2010. Data regarding medical background and diagnosis of malignancy were recorded. Malignancy rates were compared with subjects without BE or malignancy and matched for age, sex, and smoking status (1:4 ratio). Patients in whom a malignancy was diagnosed within 1 year of BE diagnosis were excluded. RESULTS: A total of 3669 patients with BE and 14,676 controls were included. Several nonesophageal malignancies were significantly more prevalent among BE patients: colorectal cancer (relative risk 1.98, P&lt;0.001) and prostate cancer (relative risk 1.99, P&lt;0.001), but not cancer of the upper aerodigestive tract. Multivariate analysis revealed that Jewish origin and the presence of BE were associated with higher malignancy risk [hazard ratio (HR) 1.83, HR 1.41, respectively; P&lt;0.001]; body mass index was inversely associated with malignancy risk (HR 0.98; P&lt;0.005). CONCLUSIONS: BE seems to be associated with colorectal and prostate cancer. Further research is necessary to determine whether this is a causative relationship and, consequently, whether a change in the screening policy for colorectal cancer in patients with BE is warranted.","author":[{"dropping-particle":"","family":"Pines","given":"Guy","non-dropping-particle":"","parse-names":false,"suffix":""},{"dropping-particle":"","family":"Dickman","given":"Ram","non-dropping-particle":"","parse-names":false,"suffix":""},{"dropping-particle":"","family":"Niv","given":"Yaron","non-dropping-particle":"","parse-names":false,"suffix":""},{"dropping-particle":"","family":"Kashtan","given":"Hanoch","non-dropping-particle":"","parse-names":false,"suffix":""},{"dropping-particle":"","family":"Birkenfeld","given":"Shlomo","non-dropping-particle":"","parse-names":false,"suffix":""}],"container-title":"Journal of Clinical Gastroenterology","id":"ITEM-1","issue":"1","issued":{"date-parts":[["2014"]]},"page":"e8-e11","title":"Extraesophageal Malignancies Among Patients With Barrett Esophagus","type":"article-journal","volume":"48"},"uris":["http://www.mendeley.com/documents/?uuid=2e1bea36-27e5-4792-9fa0-3d8e3648a7b3"]}],"mendeley":{"formattedCitation":"&lt;sup&gt;[15]&lt;/sup&gt;","plainTextFormattedCitation":"[15]","previouslyFormattedCitation":"&lt;sup&gt;[15]&lt;/sup&gt;"},"properties":{"noteIndex":0},"schema":"https://github.com/citation-style-language/schema/raw/master/csl-citation.json"}</w:instrText>
      </w:r>
      <w:r w:rsidR="00E209B4" w:rsidRPr="000315B4">
        <w:rPr>
          <w:sz w:val="24"/>
          <w:szCs w:val="24"/>
        </w:rPr>
        <w:fldChar w:fldCharType="separate"/>
      </w:r>
      <w:r w:rsidR="00164BEB" w:rsidRPr="000315B4">
        <w:rPr>
          <w:noProof/>
          <w:sz w:val="24"/>
          <w:szCs w:val="24"/>
          <w:vertAlign w:val="superscript"/>
        </w:rPr>
        <w:t>[15]</w:t>
      </w:r>
      <w:r w:rsidR="00E209B4" w:rsidRPr="000315B4">
        <w:rPr>
          <w:sz w:val="24"/>
          <w:szCs w:val="24"/>
        </w:rPr>
        <w:fldChar w:fldCharType="end"/>
      </w:r>
      <w:r w:rsidR="00B66E37" w:rsidRPr="000315B4">
        <w:rPr>
          <w:sz w:val="24"/>
          <w:szCs w:val="24"/>
        </w:rPr>
        <w:t xml:space="preserve">. </w:t>
      </w:r>
      <w:r w:rsidR="000D5D92" w:rsidRPr="000315B4">
        <w:rPr>
          <w:sz w:val="24"/>
          <w:szCs w:val="24"/>
        </w:rPr>
        <w:t>T</w:t>
      </w:r>
      <w:r w:rsidR="0090573A" w:rsidRPr="000315B4">
        <w:rPr>
          <w:sz w:val="24"/>
          <w:szCs w:val="24"/>
        </w:rPr>
        <w:t>o the b</w:t>
      </w:r>
      <w:r w:rsidR="007E218B" w:rsidRPr="000315B4">
        <w:rPr>
          <w:sz w:val="24"/>
          <w:szCs w:val="24"/>
        </w:rPr>
        <w:t xml:space="preserve">est </w:t>
      </w:r>
      <w:r w:rsidR="0090573A" w:rsidRPr="000315B4">
        <w:rPr>
          <w:sz w:val="24"/>
          <w:szCs w:val="24"/>
        </w:rPr>
        <w:t xml:space="preserve">of </w:t>
      </w:r>
      <w:r w:rsidR="007E218B" w:rsidRPr="000315B4">
        <w:rPr>
          <w:sz w:val="24"/>
          <w:szCs w:val="24"/>
        </w:rPr>
        <w:t>our knowledge, n</w:t>
      </w:r>
      <w:r w:rsidR="00D22FD0" w:rsidRPr="000315B4">
        <w:rPr>
          <w:sz w:val="24"/>
          <w:szCs w:val="24"/>
        </w:rPr>
        <w:t xml:space="preserve">o </w:t>
      </w:r>
      <w:r w:rsidR="007E218B" w:rsidRPr="000315B4">
        <w:rPr>
          <w:sz w:val="24"/>
          <w:szCs w:val="24"/>
        </w:rPr>
        <w:t xml:space="preserve">other </w:t>
      </w:r>
      <w:r w:rsidR="0090573A" w:rsidRPr="000315B4">
        <w:rPr>
          <w:sz w:val="24"/>
          <w:szCs w:val="24"/>
        </w:rPr>
        <w:t xml:space="preserve">publications </w:t>
      </w:r>
      <w:r w:rsidR="00AD1479" w:rsidRPr="000315B4">
        <w:rPr>
          <w:sz w:val="24"/>
          <w:szCs w:val="24"/>
        </w:rPr>
        <w:t xml:space="preserve">examined </w:t>
      </w:r>
      <w:r w:rsidR="00D22FD0" w:rsidRPr="000315B4">
        <w:rPr>
          <w:sz w:val="24"/>
          <w:szCs w:val="24"/>
        </w:rPr>
        <w:t>the</w:t>
      </w:r>
      <w:r w:rsidR="004B7687" w:rsidRPr="000315B4">
        <w:rPr>
          <w:sz w:val="24"/>
          <w:szCs w:val="24"/>
        </w:rPr>
        <w:t xml:space="preserve"> </w:t>
      </w:r>
      <w:r w:rsidR="00D22FD0" w:rsidRPr="000315B4">
        <w:rPr>
          <w:sz w:val="24"/>
          <w:szCs w:val="24"/>
        </w:rPr>
        <w:t>potential association between</w:t>
      </w:r>
      <w:r w:rsidR="007E218B" w:rsidRPr="000315B4">
        <w:rPr>
          <w:sz w:val="24"/>
          <w:szCs w:val="24"/>
        </w:rPr>
        <w:t xml:space="preserve"> histologic</w:t>
      </w:r>
      <w:r w:rsidR="00D22FD0" w:rsidRPr="000315B4">
        <w:rPr>
          <w:sz w:val="24"/>
          <w:szCs w:val="24"/>
        </w:rPr>
        <w:t xml:space="preserve"> </w:t>
      </w:r>
      <w:r w:rsidR="000C4635" w:rsidRPr="000315B4">
        <w:rPr>
          <w:sz w:val="24"/>
          <w:szCs w:val="24"/>
        </w:rPr>
        <w:t>features</w:t>
      </w:r>
      <w:r w:rsidR="00D22FD0" w:rsidRPr="000315B4">
        <w:rPr>
          <w:sz w:val="24"/>
          <w:szCs w:val="24"/>
        </w:rPr>
        <w:t xml:space="preserve"> </w:t>
      </w:r>
      <w:r w:rsidR="00654293" w:rsidRPr="000315B4">
        <w:rPr>
          <w:sz w:val="24"/>
          <w:szCs w:val="24"/>
        </w:rPr>
        <w:t xml:space="preserve">of BE </w:t>
      </w:r>
      <w:r w:rsidR="00D22FD0" w:rsidRPr="000315B4">
        <w:rPr>
          <w:sz w:val="24"/>
          <w:szCs w:val="24"/>
        </w:rPr>
        <w:t>and non-</w:t>
      </w:r>
      <w:r w:rsidR="00FD5F5E" w:rsidRPr="000315B4">
        <w:rPr>
          <w:sz w:val="24"/>
          <w:szCs w:val="24"/>
        </w:rPr>
        <w:t>EAC</w:t>
      </w:r>
      <w:r w:rsidR="00D22FD0" w:rsidRPr="000315B4">
        <w:rPr>
          <w:sz w:val="24"/>
          <w:szCs w:val="24"/>
        </w:rPr>
        <w:t xml:space="preserve"> </w:t>
      </w:r>
      <w:r w:rsidR="0090573A" w:rsidRPr="000315B4">
        <w:rPr>
          <w:sz w:val="24"/>
          <w:szCs w:val="24"/>
        </w:rPr>
        <w:t xml:space="preserve">cancer </w:t>
      </w:r>
      <w:r w:rsidR="00D22FD0" w:rsidRPr="000315B4">
        <w:rPr>
          <w:sz w:val="24"/>
          <w:szCs w:val="24"/>
        </w:rPr>
        <w:t xml:space="preserve">morbidity. </w:t>
      </w:r>
      <w:r w:rsidR="006444D9" w:rsidRPr="000315B4">
        <w:rPr>
          <w:sz w:val="24"/>
          <w:szCs w:val="24"/>
        </w:rPr>
        <w:t xml:space="preserve">Better characterization of </w:t>
      </w:r>
      <w:r w:rsidR="00D241D9" w:rsidRPr="000315B4">
        <w:rPr>
          <w:sz w:val="24"/>
          <w:szCs w:val="24"/>
        </w:rPr>
        <w:t xml:space="preserve">cancer </w:t>
      </w:r>
      <w:r w:rsidR="005E61DD" w:rsidRPr="000315B4">
        <w:rPr>
          <w:sz w:val="24"/>
          <w:szCs w:val="24"/>
        </w:rPr>
        <w:t>morbidity</w:t>
      </w:r>
      <w:r w:rsidR="00D241D9" w:rsidRPr="000315B4">
        <w:rPr>
          <w:sz w:val="24"/>
          <w:szCs w:val="24"/>
        </w:rPr>
        <w:t xml:space="preserve"> </w:t>
      </w:r>
      <w:r w:rsidR="006444D9" w:rsidRPr="000315B4">
        <w:rPr>
          <w:sz w:val="24"/>
          <w:szCs w:val="24"/>
        </w:rPr>
        <w:t xml:space="preserve">among </w:t>
      </w:r>
      <w:r w:rsidR="008E7E61" w:rsidRPr="000315B4">
        <w:rPr>
          <w:sz w:val="24"/>
          <w:szCs w:val="24"/>
        </w:rPr>
        <w:t xml:space="preserve">patients with BE </w:t>
      </w:r>
      <w:r w:rsidR="00D241D9" w:rsidRPr="000315B4">
        <w:rPr>
          <w:sz w:val="24"/>
          <w:szCs w:val="24"/>
        </w:rPr>
        <w:t xml:space="preserve">may </w:t>
      </w:r>
      <w:r w:rsidR="00072FD2" w:rsidRPr="000315B4">
        <w:rPr>
          <w:sz w:val="24"/>
          <w:szCs w:val="24"/>
        </w:rPr>
        <w:t xml:space="preserve">identify risk </w:t>
      </w:r>
      <w:r w:rsidRPr="000315B4">
        <w:rPr>
          <w:sz w:val="24"/>
          <w:szCs w:val="24"/>
        </w:rPr>
        <w:t>factors</w:t>
      </w:r>
      <w:r w:rsidR="00C33042" w:rsidRPr="000315B4">
        <w:rPr>
          <w:sz w:val="24"/>
          <w:szCs w:val="24"/>
        </w:rPr>
        <w:t xml:space="preserve"> </w:t>
      </w:r>
      <w:r w:rsidR="00072FD2" w:rsidRPr="000315B4">
        <w:rPr>
          <w:sz w:val="24"/>
          <w:szCs w:val="24"/>
        </w:rPr>
        <w:t xml:space="preserve">and </w:t>
      </w:r>
      <w:r w:rsidR="00B60B1C" w:rsidRPr="000315B4">
        <w:rPr>
          <w:sz w:val="24"/>
          <w:szCs w:val="24"/>
        </w:rPr>
        <w:t xml:space="preserve">enable better </w:t>
      </w:r>
      <w:r w:rsidR="00D241D9" w:rsidRPr="000315B4">
        <w:rPr>
          <w:sz w:val="24"/>
          <w:szCs w:val="24"/>
        </w:rPr>
        <w:t>surveillance</w:t>
      </w:r>
      <w:r w:rsidR="00B60B1C" w:rsidRPr="000315B4">
        <w:rPr>
          <w:sz w:val="24"/>
          <w:szCs w:val="24"/>
        </w:rPr>
        <w:t>, cancer prevention and</w:t>
      </w:r>
      <w:r w:rsidR="00072FD2" w:rsidRPr="000315B4">
        <w:rPr>
          <w:sz w:val="24"/>
          <w:szCs w:val="24"/>
        </w:rPr>
        <w:t xml:space="preserve"> </w:t>
      </w:r>
      <w:r w:rsidR="000C4635" w:rsidRPr="000315B4">
        <w:rPr>
          <w:sz w:val="24"/>
          <w:szCs w:val="24"/>
        </w:rPr>
        <w:t>optimal</w:t>
      </w:r>
      <w:r w:rsidR="00A4135E" w:rsidRPr="000315B4">
        <w:rPr>
          <w:sz w:val="24"/>
          <w:szCs w:val="24"/>
        </w:rPr>
        <w:t xml:space="preserve"> </w:t>
      </w:r>
      <w:r w:rsidR="00D241D9" w:rsidRPr="000315B4">
        <w:rPr>
          <w:sz w:val="24"/>
          <w:szCs w:val="24"/>
        </w:rPr>
        <w:t>resource use</w:t>
      </w:r>
      <w:r w:rsidR="00B53D19" w:rsidRPr="000315B4">
        <w:rPr>
          <w:sz w:val="24"/>
          <w:szCs w:val="24"/>
        </w:rPr>
        <w:fldChar w:fldCharType="begin" w:fldLock="1"/>
      </w:r>
      <w:r w:rsidR="0000179C" w:rsidRPr="000315B4">
        <w:rPr>
          <w:sz w:val="24"/>
          <w:szCs w:val="24"/>
        </w:rPr>
        <w:instrText>ADDIN CSL_CITATION {"citationItems":[{"id":"ITEM-1","itemData":{"DOI":"10.1111/apt.14001","ISSN":"13652036","PMID":"28370045","author":[{"dropping-particle":"","family":"Richter","given":"J. E.","non-dropping-particle":"","parse-names":false,"suffix":""}],"container-title":"Alimentary Pharmacology and Therapeutics","id":"ITEM-1","issue":"9","issued":{"date-parts":[["2017"]]},"page":"1266-1267","title":"Editorial: maybe our ‘Barrett's recommendation speech’ should change?","type":"article-journal","volume":"45"},"uris":["http://www.mendeley.com/documents/?uuid=4b0cfb8c-b524-41dc-9536-70a5fc32f5c8"]}],"mendeley":{"formattedCitation":"&lt;sup&gt;[16]&lt;/sup&gt;","plainTextFormattedCitation":"[16]","previouslyFormattedCitation":"&lt;sup&gt;[16]&lt;/sup&gt;"},"properties":{"noteIndex":0},"schema":"https://github.com/citation-style-language/schema/raw/master/csl-citation.json"}</w:instrText>
      </w:r>
      <w:r w:rsidR="00B53D19" w:rsidRPr="000315B4">
        <w:rPr>
          <w:sz w:val="24"/>
          <w:szCs w:val="24"/>
        </w:rPr>
        <w:fldChar w:fldCharType="separate"/>
      </w:r>
      <w:r w:rsidR="00164BEB" w:rsidRPr="000315B4">
        <w:rPr>
          <w:noProof/>
          <w:sz w:val="24"/>
          <w:szCs w:val="24"/>
          <w:vertAlign w:val="superscript"/>
        </w:rPr>
        <w:t>[16]</w:t>
      </w:r>
      <w:r w:rsidR="00B53D19" w:rsidRPr="000315B4">
        <w:rPr>
          <w:sz w:val="24"/>
          <w:szCs w:val="24"/>
        </w:rPr>
        <w:fldChar w:fldCharType="end"/>
      </w:r>
      <w:r w:rsidR="004F44C0" w:rsidRPr="000315B4">
        <w:rPr>
          <w:sz w:val="24"/>
          <w:szCs w:val="24"/>
        </w:rPr>
        <w:t xml:space="preserve">. </w:t>
      </w:r>
      <w:r w:rsidR="006926C8" w:rsidRPr="000315B4">
        <w:rPr>
          <w:sz w:val="24"/>
          <w:szCs w:val="24"/>
        </w:rPr>
        <w:t>T</w:t>
      </w:r>
      <w:r w:rsidR="00654293" w:rsidRPr="000315B4">
        <w:rPr>
          <w:sz w:val="24"/>
          <w:szCs w:val="24"/>
        </w:rPr>
        <w:t>herefore, t</w:t>
      </w:r>
      <w:r w:rsidR="006926C8" w:rsidRPr="000315B4">
        <w:rPr>
          <w:sz w:val="24"/>
          <w:szCs w:val="24"/>
        </w:rPr>
        <w:t>he primary aim of the current study was to</w:t>
      </w:r>
      <w:r w:rsidR="007B1BCD" w:rsidRPr="000315B4">
        <w:rPr>
          <w:sz w:val="24"/>
          <w:szCs w:val="24"/>
        </w:rPr>
        <w:t xml:space="preserve"> </w:t>
      </w:r>
      <w:r w:rsidR="00A4135E" w:rsidRPr="000315B4">
        <w:rPr>
          <w:sz w:val="24"/>
          <w:szCs w:val="24"/>
        </w:rPr>
        <w:t>study</w:t>
      </w:r>
      <w:r w:rsidR="008247D9" w:rsidRPr="000315B4">
        <w:rPr>
          <w:sz w:val="24"/>
          <w:szCs w:val="24"/>
        </w:rPr>
        <w:t xml:space="preserve"> </w:t>
      </w:r>
      <w:r w:rsidR="00B60B1C" w:rsidRPr="000315B4">
        <w:rPr>
          <w:sz w:val="24"/>
          <w:szCs w:val="24"/>
        </w:rPr>
        <w:t>cancer morbidity</w:t>
      </w:r>
      <w:r w:rsidR="008247D9" w:rsidRPr="000315B4">
        <w:rPr>
          <w:sz w:val="24"/>
          <w:szCs w:val="24"/>
        </w:rPr>
        <w:t xml:space="preserve"> and overall mortality </w:t>
      </w:r>
      <w:r w:rsidR="00176D33" w:rsidRPr="000315B4">
        <w:rPr>
          <w:sz w:val="24"/>
          <w:szCs w:val="24"/>
        </w:rPr>
        <w:t>with</w:t>
      </w:r>
      <w:r w:rsidR="00B60B1C" w:rsidRPr="000315B4">
        <w:rPr>
          <w:sz w:val="24"/>
          <w:szCs w:val="24"/>
        </w:rPr>
        <w:t>in a prospectively followed cohort</w:t>
      </w:r>
      <w:r w:rsidR="00A4135E" w:rsidRPr="000315B4">
        <w:rPr>
          <w:sz w:val="24"/>
          <w:szCs w:val="24"/>
        </w:rPr>
        <w:t xml:space="preserve"> of BE patients </w:t>
      </w:r>
      <w:r w:rsidR="00176D33" w:rsidRPr="000315B4">
        <w:rPr>
          <w:sz w:val="24"/>
          <w:szCs w:val="24"/>
        </w:rPr>
        <w:t>according to grade</w:t>
      </w:r>
      <w:r w:rsidR="00A4135E" w:rsidRPr="000315B4">
        <w:rPr>
          <w:sz w:val="24"/>
          <w:szCs w:val="24"/>
        </w:rPr>
        <w:t xml:space="preserve"> of dysplasia</w:t>
      </w:r>
      <w:r w:rsidR="00B60B1C" w:rsidRPr="000315B4">
        <w:rPr>
          <w:sz w:val="24"/>
          <w:szCs w:val="24"/>
        </w:rPr>
        <w:t>.</w:t>
      </w:r>
      <w:r w:rsidR="003B6B32" w:rsidRPr="000315B4">
        <w:rPr>
          <w:sz w:val="24"/>
          <w:szCs w:val="24"/>
        </w:rPr>
        <w:t xml:space="preserve"> </w:t>
      </w:r>
    </w:p>
    <w:p w14:paraId="5BA59724" w14:textId="77777777" w:rsidR="00007844" w:rsidRPr="000315B4" w:rsidRDefault="00007844" w:rsidP="007804E8">
      <w:pPr>
        <w:widowControl w:val="0"/>
        <w:adjustRightInd w:val="0"/>
        <w:snapToGrid w:val="0"/>
        <w:spacing w:line="360" w:lineRule="auto"/>
        <w:jc w:val="both"/>
        <w:rPr>
          <w:sz w:val="24"/>
          <w:szCs w:val="24"/>
          <w:lang w:eastAsia="zh-CN"/>
        </w:rPr>
      </w:pPr>
    </w:p>
    <w:p w14:paraId="7AA41FFC" w14:textId="77777777" w:rsidR="002C27F3" w:rsidRPr="000315B4" w:rsidRDefault="00007844" w:rsidP="007804E8">
      <w:pPr>
        <w:widowControl w:val="0"/>
        <w:adjustRightInd w:val="0"/>
        <w:snapToGrid w:val="0"/>
        <w:spacing w:line="360" w:lineRule="auto"/>
        <w:jc w:val="both"/>
        <w:rPr>
          <w:b/>
          <w:bCs/>
          <w:sz w:val="24"/>
          <w:szCs w:val="24"/>
        </w:rPr>
      </w:pPr>
      <w:r w:rsidRPr="000315B4">
        <w:rPr>
          <w:b/>
          <w:bCs/>
          <w:sz w:val="24"/>
          <w:szCs w:val="24"/>
        </w:rPr>
        <w:t>MATERIALS AND METHODS</w:t>
      </w:r>
    </w:p>
    <w:p w14:paraId="2CC02C9A" w14:textId="77777777" w:rsidR="00F3526A" w:rsidRPr="000315B4" w:rsidRDefault="004A05D0" w:rsidP="007804E8">
      <w:pPr>
        <w:widowControl w:val="0"/>
        <w:adjustRightInd w:val="0"/>
        <w:snapToGrid w:val="0"/>
        <w:spacing w:line="360" w:lineRule="auto"/>
        <w:jc w:val="both"/>
        <w:rPr>
          <w:sz w:val="24"/>
          <w:szCs w:val="24"/>
          <w:lang w:eastAsia="zh-CN"/>
        </w:rPr>
      </w:pPr>
      <w:r w:rsidRPr="000315B4">
        <w:rPr>
          <w:b/>
          <w:i/>
          <w:sz w:val="24"/>
          <w:szCs w:val="24"/>
        </w:rPr>
        <w:t>Patients and definitions</w:t>
      </w:r>
    </w:p>
    <w:p w14:paraId="056BF392" w14:textId="637BEDE7" w:rsidR="00027572" w:rsidRPr="000315B4" w:rsidRDefault="004A05D0" w:rsidP="007804E8">
      <w:pPr>
        <w:widowControl w:val="0"/>
        <w:adjustRightInd w:val="0"/>
        <w:snapToGrid w:val="0"/>
        <w:spacing w:line="360" w:lineRule="auto"/>
        <w:jc w:val="both"/>
        <w:rPr>
          <w:sz w:val="24"/>
          <w:szCs w:val="24"/>
        </w:rPr>
      </w:pPr>
      <w:r w:rsidRPr="000315B4">
        <w:rPr>
          <w:sz w:val="24"/>
          <w:szCs w:val="24"/>
        </w:rPr>
        <w:t>A</w:t>
      </w:r>
      <w:r w:rsidR="006926C8" w:rsidRPr="000315B4">
        <w:rPr>
          <w:sz w:val="24"/>
          <w:szCs w:val="24"/>
        </w:rPr>
        <w:t xml:space="preserve">ll </w:t>
      </w:r>
      <w:r w:rsidRPr="000315B4">
        <w:rPr>
          <w:sz w:val="24"/>
          <w:szCs w:val="24"/>
        </w:rPr>
        <w:t xml:space="preserve">consecutive </w:t>
      </w:r>
      <w:r w:rsidR="006926C8" w:rsidRPr="000315B4">
        <w:rPr>
          <w:sz w:val="24"/>
          <w:szCs w:val="24"/>
        </w:rPr>
        <w:t xml:space="preserve">BE patients undergoing upper endoscopy </w:t>
      </w:r>
      <w:r w:rsidR="00C33042" w:rsidRPr="000315B4">
        <w:rPr>
          <w:sz w:val="24"/>
          <w:szCs w:val="24"/>
        </w:rPr>
        <w:t>at the Tel-Aviv Sourasky medical center</w:t>
      </w:r>
      <w:r w:rsidRPr="000315B4">
        <w:rPr>
          <w:sz w:val="24"/>
          <w:szCs w:val="24"/>
        </w:rPr>
        <w:t xml:space="preserve"> between 2009</w:t>
      </w:r>
      <w:r w:rsidR="00F3526A" w:rsidRPr="000315B4">
        <w:rPr>
          <w:rFonts w:hint="eastAsia"/>
          <w:sz w:val="24"/>
          <w:szCs w:val="24"/>
          <w:lang w:eastAsia="zh-CN"/>
        </w:rPr>
        <w:t>-</w:t>
      </w:r>
      <w:r w:rsidR="00027572" w:rsidRPr="000315B4">
        <w:rPr>
          <w:sz w:val="24"/>
          <w:szCs w:val="24"/>
        </w:rPr>
        <w:t>2014</w:t>
      </w:r>
      <w:r w:rsidRPr="000315B4">
        <w:rPr>
          <w:sz w:val="24"/>
          <w:szCs w:val="24"/>
        </w:rPr>
        <w:t xml:space="preserve"> were included</w:t>
      </w:r>
      <w:r w:rsidR="00F741C0" w:rsidRPr="000315B4">
        <w:rPr>
          <w:sz w:val="24"/>
          <w:szCs w:val="24"/>
        </w:rPr>
        <w:t>, thus determining sample size</w:t>
      </w:r>
      <w:r w:rsidR="00AD4A63" w:rsidRPr="000315B4">
        <w:rPr>
          <w:sz w:val="24"/>
          <w:szCs w:val="24"/>
        </w:rPr>
        <w:t>.</w:t>
      </w:r>
      <w:r w:rsidR="00027572" w:rsidRPr="000315B4">
        <w:rPr>
          <w:sz w:val="24"/>
          <w:szCs w:val="24"/>
        </w:rPr>
        <w:t xml:space="preserve"> Clinical, endoscopic, and histologic data were collected from patient files in a </w:t>
      </w:r>
      <w:r w:rsidR="00027572" w:rsidRPr="000315B4">
        <w:rPr>
          <w:sz w:val="24"/>
          <w:szCs w:val="24"/>
        </w:rPr>
        <w:lastRenderedPageBreak/>
        <w:t>prospective manner between</w:t>
      </w:r>
      <w:r w:rsidR="00F3526A" w:rsidRPr="000315B4">
        <w:rPr>
          <w:rFonts w:hint="eastAsia"/>
          <w:sz w:val="24"/>
          <w:szCs w:val="24"/>
          <w:lang w:eastAsia="zh-CN"/>
        </w:rPr>
        <w:t xml:space="preserve"> </w:t>
      </w:r>
      <w:r w:rsidR="00027572" w:rsidRPr="000315B4">
        <w:rPr>
          <w:sz w:val="24"/>
          <w:szCs w:val="24"/>
        </w:rPr>
        <w:t>2009</w:t>
      </w:r>
      <w:r w:rsidR="00F3526A" w:rsidRPr="000315B4">
        <w:rPr>
          <w:rFonts w:hint="eastAsia"/>
          <w:sz w:val="24"/>
          <w:szCs w:val="24"/>
          <w:lang w:eastAsia="zh-CN"/>
        </w:rPr>
        <w:t xml:space="preserve"> and </w:t>
      </w:r>
      <w:r w:rsidR="00027572" w:rsidRPr="000315B4">
        <w:rPr>
          <w:sz w:val="24"/>
          <w:szCs w:val="24"/>
        </w:rPr>
        <w:t xml:space="preserve">2014. Pre-study data was retrospectively collected, as far back as 2004. </w:t>
      </w:r>
    </w:p>
    <w:p w14:paraId="196BE69B" w14:textId="72F95421" w:rsidR="006926C8" w:rsidRPr="000315B4" w:rsidRDefault="006926C8" w:rsidP="00F3526A">
      <w:pPr>
        <w:widowControl w:val="0"/>
        <w:adjustRightInd w:val="0"/>
        <w:snapToGrid w:val="0"/>
        <w:spacing w:line="360" w:lineRule="auto"/>
        <w:ind w:firstLineChars="100" w:firstLine="240"/>
        <w:jc w:val="both"/>
        <w:rPr>
          <w:sz w:val="24"/>
          <w:szCs w:val="24"/>
          <w:rtl/>
        </w:rPr>
      </w:pPr>
      <w:r w:rsidRPr="000315B4">
        <w:rPr>
          <w:sz w:val="24"/>
          <w:szCs w:val="24"/>
        </w:rPr>
        <w:t>BE was de</w:t>
      </w:r>
      <w:r w:rsidR="00A37257" w:rsidRPr="000315B4">
        <w:rPr>
          <w:sz w:val="24"/>
          <w:szCs w:val="24"/>
        </w:rPr>
        <w:t>fined as</w:t>
      </w:r>
      <w:r w:rsidR="008C7F97" w:rsidRPr="000315B4">
        <w:rPr>
          <w:sz w:val="24"/>
          <w:szCs w:val="24"/>
        </w:rPr>
        <w:t xml:space="preserve"> having </w:t>
      </w:r>
      <w:r w:rsidR="00A37257" w:rsidRPr="000315B4">
        <w:rPr>
          <w:sz w:val="24"/>
          <w:szCs w:val="24"/>
        </w:rPr>
        <w:t xml:space="preserve">a </w:t>
      </w:r>
      <w:r w:rsidRPr="000315B4">
        <w:rPr>
          <w:sz w:val="24"/>
          <w:szCs w:val="24"/>
        </w:rPr>
        <w:t xml:space="preserve">characteristic endoscopic appearance </w:t>
      </w:r>
      <w:r w:rsidR="00A37257" w:rsidRPr="000315B4">
        <w:rPr>
          <w:sz w:val="24"/>
          <w:szCs w:val="24"/>
        </w:rPr>
        <w:t>of any length</w:t>
      </w:r>
      <w:r w:rsidR="008C7F97" w:rsidRPr="000315B4">
        <w:rPr>
          <w:sz w:val="24"/>
          <w:szCs w:val="24"/>
        </w:rPr>
        <w:t xml:space="preserve">, </w:t>
      </w:r>
      <w:r w:rsidRPr="000315B4">
        <w:rPr>
          <w:sz w:val="24"/>
          <w:szCs w:val="24"/>
        </w:rPr>
        <w:t>and histologic diagnosis of intestinal metaplasia with goblet cells on biopsies taken from the columnar esophageal mucosa</w:t>
      </w:r>
      <w:r w:rsidRPr="000315B4">
        <w:rPr>
          <w:sz w:val="24"/>
          <w:szCs w:val="24"/>
        </w:rPr>
        <w:fldChar w:fldCharType="begin" w:fldLock="1"/>
      </w:r>
      <w:r w:rsidR="0000179C" w:rsidRPr="000315B4">
        <w:rPr>
          <w:sz w:val="24"/>
          <w:szCs w:val="24"/>
        </w:rPr>
        <w:instrText>ADDIN CSL_CITATION {"citationItems":[{"id":"ITEM-1","itemData":{"DOI":"10.1038/ajg.2015.322","ISBN":"0002-9270","ISSN":"0002-9270","PMID":"26526079","abstract":"Achalasia is a primary motor disorder of the esophagus characterized by insufficient lower esophageal sphincter relaxation and loss of esophageal peristalsis. This results in patients&amp;#039; complaints of dysphagia to solids and liquids, regurgitation, and occasional chest pain with or without weight loss. Endoscopic finding of retained saliva with puckered gastroesophageal junction or barium swallow showing dilated esophagus with birds beaking in a symptomatic patient should prompt appropriate diagnostic and therapeutic strategies. In this ACG guideline the authors present an evidence-based approach in patients with achalasia based on a comprehensive review of the pertinent evidence and examination of relevant published data.","author":[{"dropping-particle":"","family":"Shaheen","given":"Nicolas J","non-dropping-particle":"","parse-names":false,"suffix":""}],"container-title":"Am J Gastroenterol","id":"ITEM-1","issue":"8","issued":{"date-parts":[["2015"]]},"note":"NULL","page":"1238-1249","publisher":"Nature Publishing Group","title":"ACG Clinical Guideline: Diagnosis and Management of Barrett’s Esophagus","type":"article-journal","volume":"108"},"uris":["http://www.mendeley.com/documents/?uuid=33dbbf88-e2d6-44cd-8a90-8be6313100bb"]}],"mendeley":{"formattedCitation":"&lt;sup&gt;[1]&lt;/sup&gt;","plainTextFormattedCitation":"[1]","previouslyFormattedCitation":"&lt;sup&gt;[1]&lt;/sup&gt;"},"properties":{"noteIndex":0},"schema":"https://github.com/citation-style-language/schema/raw/master/csl-citation.json"}</w:instrText>
      </w:r>
      <w:r w:rsidRPr="000315B4">
        <w:rPr>
          <w:sz w:val="24"/>
          <w:szCs w:val="24"/>
        </w:rPr>
        <w:fldChar w:fldCharType="separate"/>
      </w:r>
      <w:r w:rsidR="00164BEB" w:rsidRPr="000315B4">
        <w:rPr>
          <w:noProof/>
          <w:sz w:val="24"/>
          <w:szCs w:val="24"/>
          <w:vertAlign w:val="superscript"/>
        </w:rPr>
        <w:t>[1]</w:t>
      </w:r>
      <w:r w:rsidRPr="000315B4">
        <w:rPr>
          <w:sz w:val="24"/>
          <w:szCs w:val="24"/>
        </w:rPr>
        <w:fldChar w:fldCharType="end"/>
      </w:r>
      <w:r w:rsidRPr="000315B4">
        <w:rPr>
          <w:sz w:val="24"/>
          <w:szCs w:val="24"/>
        </w:rPr>
        <w:t>.</w:t>
      </w:r>
      <w:r w:rsidR="00A7511A" w:rsidRPr="000315B4">
        <w:rPr>
          <w:sz w:val="24"/>
          <w:szCs w:val="24"/>
        </w:rPr>
        <w:t xml:space="preserve"> </w:t>
      </w:r>
    </w:p>
    <w:p w14:paraId="7969D8F0" w14:textId="77777777" w:rsidR="00F3526A" w:rsidRPr="000315B4" w:rsidRDefault="00F3526A" w:rsidP="00F3526A">
      <w:pPr>
        <w:widowControl w:val="0"/>
        <w:adjustRightInd w:val="0"/>
        <w:snapToGrid w:val="0"/>
        <w:spacing w:line="360" w:lineRule="auto"/>
        <w:jc w:val="both"/>
        <w:rPr>
          <w:b/>
          <w:i/>
          <w:sz w:val="24"/>
          <w:szCs w:val="24"/>
          <w:lang w:eastAsia="zh-CN"/>
        </w:rPr>
      </w:pPr>
    </w:p>
    <w:p w14:paraId="2462AE95" w14:textId="77777777" w:rsidR="00F3526A" w:rsidRPr="000315B4" w:rsidRDefault="004A05D0" w:rsidP="00F3526A">
      <w:pPr>
        <w:widowControl w:val="0"/>
        <w:adjustRightInd w:val="0"/>
        <w:snapToGrid w:val="0"/>
        <w:spacing w:line="360" w:lineRule="auto"/>
        <w:jc w:val="both"/>
        <w:rPr>
          <w:b/>
          <w:i/>
          <w:sz w:val="24"/>
          <w:szCs w:val="24"/>
          <w:lang w:eastAsia="zh-CN"/>
        </w:rPr>
      </w:pPr>
      <w:r w:rsidRPr="000315B4">
        <w:rPr>
          <w:b/>
          <w:i/>
          <w:sz w:val="24"/>
          <w:szCs w:val="24"/>
        </w:rPr>
        <w:t>Study design</w:t>
      </w:r>
    </w:p>
    <w:p w14:paraId="5B7A957C" w14:textId="745C3FCF" w:rsidR="004A05D0" w:rsidRPr="000315B4" w:rsidRDefault="00F05EA5" w:rsidP="00F3526A">
      <w:pPr>
        <w:widowControl w:val="0"/>
        <w:adjustRightInd w:val="0"/>
        <w:snapToGrid w:val="0"/>
        <w:spacing w:line="360" w:lineRule="auto"/>
        <w:jc w:val="both"/>
        <w:rPr>
          <w:sz w:val="24"/>
          <w:szCs w:val="24"/>
          <w:lang w:eastAsia="zh-CN"/>
        </w:rPr>
      </w:pPr>
      <w:r w:rsidRPr="000315B4">
        <w:rPr>
          <w:sz w:val="24"/>
          <w:szCs w:val="24"/>
        </w:rPr>
        <w:t>T</w:t>
      </w:r>
      <w:r w:rsidR="004A05D0" w:rsidRPr="000315B4">
        <w:rPr>
          <w:sz w:val="24"/>
          <w:szCs w:val="24"/>
        </w:rPr>
        <w:t xml:space="preserve">his is a </w:t>
      </w:r>
      <w:r w:rsidR="00027572" w:rsidRPr="000315B4">
        <w:rPr>
          <w:sz w:val="24"/>
          <w:szCs w:val="24"/>
        </w:rPr>
        <w:t xml:space="preserve">retrospective </w:t>
      </w:r>
      <w:r w:rsidR="004A05D0" w:rsidRPr="000315B4">
        <w:rPr>
          <w:sz w:val="24"/>
          <w:szCs w:val="24"/>
        </w:rPr>
        <w:t>cohort study</w:t>
      </w:r>
      <w:r w:rsidR="00027572" w:rsidRPr="000315B4">
        <w:rPr>
          <w:sz w:val="24"/>
          <w:szCs w:val="24"/>
        </w:rPr>
        <w:t>.</w:t>
      </w:r>
    </w:p>
    <w:p w14:paraId="62B76EC3" w14:textId="77777777" w:rsidR="00F3526A" w:rsidRPr="000315B4" w:rsidRDefault="00F3526A" w:rsidP="00F3526A">
      <w:pPr>
        <w:widowControl w:val="0"/>
        <w:adjustRightInd w:val="0"/>
        <w:snapToGrid w:val="0"/>
        <w:spacing w:line="360" w:lineRule="auto"/>
        <w:jc w:val="both"/>
        <w:rPr>
          <w:sz w:val="24"/>
          <w:szCs w:val="24"/>
          <w:lang w:eastAsia="zh-CN"/>
        </w:rPr>
      </w:pPr>
    </w:p>
    <w:p w14:paraId="3D309504" w14:textId="77777777" w:rsidR="00F3526A" w:rsidRPr="000315B4" w:rsidRDefault="004A05D0" w:rsidP="00F3526A">
      <w:pPr>
        <w:widowControl w:val="0"/>
        <w:adjustRightInd w:val="0"/>
        <w:snapToGrid w:val="0"/>
        <w:spacing w:line="360" w:lineRule="auto"/>
        <w:jc w:val="both"/>
        <w:rPr>
          <w:sz w:val="24"/>
          <w:szCs w:val="24"/>
          <w:lang w:eastAsia="zh-CN"/>
        </w:rPr>
      </w:pPr>
      <w:r w:rsidRPr="000315B4">
        <w:rPr>
          <w:b/>
          <w:i/>
          <w:sz w:val="24"/>
          <w:szCs w:val="24"/>
        </w:rPr>
        <w:t>Study setting</w:t>
      </w:r>
    </w:p>
    <w:p w14:paraId="08C59356" w14:textId="0BD18443" w:rsidR="004A05D0" w:rsidRPr="000315B4" w:rsidRDefault="004A05D0" w:rsidP="00F3526A">
      <w:pPr>
        <w:widowControl w:val="0"/>
        <w:adjustRightInd w:val="0"/>
        <w:snapToGrid w:val="0"/>
        <w:spacing w:line="360" w:lineRule="auto"/>
        <w:jc w:val="both"/>
        <w:rPr>
          <w:sz w:val="24"/>
          <w:szCs w:val="24"/>
        </w:rPr>
      </w:pPr>
      <w:r w:rsidRPr="000315B4">
        <w:rPr>
          <w:sz w:val="24"/>
          <w:szCs w:val="24"/>
        </w:rPr>
        <w:t>Tel-Aviv Sourasky medical center – a tertiary referral center for BE.</w:t>
      </w:r>
    </w:p>
    <w:p w14:paraId="7FCBAE97" w14:textId="77777777" w:rsidR="00F3526A" w:rsidRPr="000315B4" w:rsidRDefault="00F3526A" w:rsidP="00F3526A">
      <w:pPr>
        <w:widowControl w:val="0"/>
        <w:adjustRightInd w:val="0"/>
        <w:snapToGrid w:val="0"/>
        <w:spacing w:line="360" w:lineRule="auto"/>
        <w:jc w:val="both"/>
        <w:rPr>
          <w:sz w:val="24"/>
          <w:szCs w:val="24"/>
          <w:lang w:eastAsia="zh-CN"/>
        </w:rPr>
      </w:pPr>
    </w:p>
    <w:p w14:paraId="4925ADBF" w14:textId="77777777" w:rsidR="00F3526A" w:rsidRPr="000315B4" w:rsidRDefault="004A05D0" w:rsidP="00F3526A">
      <w:pPr>
        <w:widowControl w:val="0"/>
        <w:adjustRightInd w:val="0"/>
        <w:snapToGrid w:val="0"/>
        <w:spacing w:line="360" w:lineRule="auto"/>
        <w:jc w:val="both"/>
        <w:rPr>
          <w:b/>
          <w:i/>
          <w:sz w:val="24"/>
          <w:szCs w:val="24"/>
          <w:lang w:eastAsia="zh-CN"/>
        </w:rPr>
      </w:pPr>
      <w:r w:rsidRPr="000315B4">
        <w:rPr>
          <w:b/>
          <w:i/>
          <w:sz w:val="24"/>
          <w:szCs w:val="24"/>
        </w:rPr>
        <w:t>Data retrieval and databases used</w:t>
      </w:r>
    </w:p>
    <w:p w14:paraId="1EB20331" w14:textId="458763D5" w:rsidR="00E45A20" w:rsidRPr="000315B4" w:rsidRDefault="00EA518D" w:rsidP="00F3526A">
      <w:pPr>
        <w:widowControl w:val="0"/>
        <w:adjustRightInd w:val="0"/>
        <w:snapToGrid w:val="0"/>
        <w:spacing w:line="360" w:lineRule="auto"/>
        <w:jc w:val="both"/>
        <w:rPr>
          <w:sz w:val="24"/>
          <w:szCs w:val="24"/>
        </w:rPr>
      </w:pPr>
      <w:r w:rsidRPr="000315B4">
        <w:rPr>
          <w:sz w:val="24"/>
          <w:szCs w:val="24"/>
        </w:rPr>
        <w:t>D</w:t>
      </w:r>
      <w:r w:rsidR="00E45A20" w:rsidRPr="000315B4">
        <w:rPr>
          <w:sz w:val="24"/>
          <w:szCs w:val="24"/>
        </w:rPr>
        <w:t xml:space="preserve">ata collection included the following </w:t>
      </w:r>
      <w:r w:rsidRPr="000315B4">
        <w:rPr>
          <w:sz w:val="24"/>
          <w:szCs w:val="24"/>
        </w:rPr>
        <w:t>parameters</w:t>
      </w:r>
      <w:r w:rsidR="00E45A20" w:rsidRPr="000315B4">
        <w:rPr>
          <w:sz w:val="24"/>
          <w:szCs w:val="24"/>
        </w:rPr>
        <w:t xml:space="preserve"> </w:t>
      </w:r>
      <w:r w:rsidR="008571DA" w:rsidRPr="000315B4">
        <w:rPr>
          <w:sz w:val="24"/>
          <w:szCs w:val="24"/>
        </w:rPr>
        <w:t>f</w:t>
      </w:r>
      <w:r w:rsidR="00E45A20" w:rsidRPr="000315B4">
        <w:rPr>
          <w:sz w:val="24"/>
          <w:szCs w:val="24"/>
        </w:rPr>
        <w:t>or each endoscopy</w:t>
      </w:r>
      <w:r w:rsidR="009671DD" w:rsidRPr="000315B4">
        <w:rPr>
          <w:sz w:val="24"/>
          <w:szCs w:val="24"/>
        </w:rPr>
        <w:t xml:space="preserve">: </w:t>
      </w:r>
      <w:r w:rsidR="00421868" w:rsidRPr="000315B4">
        <w:rPr>
          <w:sz w:val="24"/>
          <w:szCs w:val="24"/>
        </w:rPr>
        <w:t xml:space="preserve">BE segment </w:t>
      </w:r>
      <w:r w:rsidRPr="000315B4">
        <w:rPr>
          <w:sz w:val="24"/>
          <w:szCs w:val="24"/>
        </w:rPr>
        <w:t>length-</w:t>
      </w:r>
      <w:r w:rsidR="00421868" w:rsidRPr="000315B4">
        <w:rPr>
          <w:sz w:val="24"/>
          <w:szCs w:val="24"/>
        </w:rPr>
        <w:t>circumferential and maximal lengths were calculated and recorded according to the Prague classification</w:t>
      </w:r>
      <w:r w:rsidR="00421868" w:rsidRPr="000315B4">
        <w:rPr>
          <w:sz w:val="24"/>
          <w:szCs w:val="24"/>
        </w:rPr>
        <w:fldChar w:fldCharType="begin" w:fldLock="1"/>
      </w:r>
      <w:r w:rsidR="0000179C" w:rsidRPr="000315B4">
        <w:rPr>
          <w:sz w:val="24"/>
          <w:szCs w:val="24"/>
        </w:rPr>
        <w:instrText>ADDIN CSL_CITATION {"citationItems":[{"id":"ITEM-1","itemData":{"DOI":"10.1053/j.gastro.2006.08.032","ISBN":"0016-5085 (Print)\\r0016-5085 (Linking)","ISSN":"00165085","PMID":"17101315","abstract":"Background &amp; Aims: Barrett's esophagus (BE) is a premalignant condition for esophageal adenocarcinoma, its diagnosis relying initially on recognition of a columnar-lined distal esophagus. We aimed to develop and validate explicit, consensus-driven criteria for the endoscopic diagnosis and grading of BE. Methods: An international working group agreed on criteria and developed materials for their formal evaluation using video-endoscopic recordings gathered in a standardized manner in 29 patients. The criteria included assessment of the circumferential (C) and maximum (M) extent of the endoscopically visualized BE segment as well as endoscopic landmarks. The recordings were scored according to these criteria by a separate international panel of 29 endoscopists. Results: The Prague C &amp; M Criteria give explicit guidance on the endoscopic recognition of BE and grading of its extent. The overall reliability coefficients (RC) for the assessment of the C &amp; M extent of the endoscopic BE segment above the gastroesophageal junction were 0.95 and 0.94, respectively. The rates of exact agreement (for C &amp; M values) for pairwise comparisons of individual patient values were 53% and 38%, respectively, whereas the values for agreement within a 2-cm interval were 97% and 95%, respectively. The overall RC for endoscopic recognition of BE ≥1 cm was 0.72, whereas for BE &lt;1 cm, it was 0.22. The RCs for recognizing the location of the gastroesophageal junction and the diaphragmatic hiatus were 0.88 and 0.85, respectively. Conclusions: The Prague C &amp; M Criteria have high overall validity for the endoscopic assessment of visualized BE lengths. © 2006 AGA Institute.","author":[{"dropping-particle":"","family":"Sharma","given":"Prateek","non-dropping-particle":"","parse-names":false,"suffix":""},{"dropping-particle":"","family":"Dent","given":"John","non-dropping-particle":"","parse-names":false,"suffix":""},{"dropping-particle":"","family":"Armstrong","given":"David","non-dropping-particle":"","parse-names":false,"suffix":""},{"dropping-particle":"","family":"Bergman","given":"Jacques J.G.H.M.","non-dropping-particle":"","parse-names":false,"suffix":""},{"dropping-particle":"","family":"Gossner","given":"Liebwin","non-dropping-particle":"","parse-names":false,"suffix":""},{"dropping-particle":"","family":"Hoshihara","given":"Yoshio","non-dropping-particle":"","parse-names":false,"suffix":""},{"dropping-particle":"","family":"Jankowski","given":"Janusz A.","non-dropping-particle":"","parse-names":false,"suffix":""},{"dropping-particle":"","family":"Junghard","given":"Ola","non-dropping-particle":"","parse-names":false,"suffix":""},{"dropping-particle":"","family":"Lundell","given":"Lars","non-dropping-particle":"","parse-names":false,"suffix":""},{"dropping-particle":"","family":"Tytgat","given":"Guido N.J.","non-dropping-particle":"","parse-names":false,"suffix":""},{"dropping-particle":"","family":"Vieth","given":"Michael","non-dropping-particle":"","parse-names":false,"suffix":""}],"container-title":"Gastroenterology","id":"ITEM-1","issue":"5","issued":{"date-parts":[["2006"]]},"page":"1392-1399","title":"The Development and Validation of an Endoscopic Grading System for Barrett's Esophagus: The Prague C &amp; M Criteria","type":"article-journal","volume":"131"},"uris":["http://www.mendeley.com/documents/?uuid=33a471a8-eb0b-444a-aa2a-a65804a353c9"]}],"mendeley":{"formattedCitation":"&lt;sup&gt;[17]&lt;/sup&gt;","plainTextFormattedCitation":"[17]","previouslyFormattedCitation":"&lt;sup&gt;[17]&lt;/sup&gt;"},"properties":{"noteIndex":0},"schema":"https://github.com/citation-style-language/schema/raw/master/csl-citation.json"}</w:instrText>
      </w:r>
      <w:r w:rsidR="00421868" w:rsidRPr="000315B4">
        <w:rPr>
          <w:sz w:val="24"/>
          <w:szCs w:val="24"/>
        </w:rPr>
        <w:fldChar w:fldCharType="separate"/>
      </w:r>
      <w:r w:rsidR="00164BEB" w:rsidRPr="000315B4">
        <w:rPr>
          <w:noProof/>
          <w:sz w:val="24"/>
          <w:szCs w:val="24"/>
          <w:vertAlign w:val="superscript"/>
        </w:rPr>
        <w:t>[17]</w:t>
      </w:r>
      <w:r w:rsidR="00421868" w:rsidRPr="000315B4">
        <w:rPr>
          <w:sz w:val="24"/>
          <w:szCs w:val="24"/>
        </w:rPr>
        <w:fldChar w:fldCharType="end"/>
      </w:r>
      <w:r w:rsidR="00421868" w:rsidRPr="000315B4">
        <w:rPr>
          <w:sz w:val="24"/>
          <w:szCs w:val="24"/>
        </w:rPr>
        <w:t xml:space="preserve">. </w:t>
      </w:r>
      <w:r w:rsidR="00A4569B" w:rsidRPr="000315B4">
        <w:rPr>
          <w:sz w:val="24"/>
          <w:szCs w:val="24"/>
        </w:rPr>
        <w:t xml:space="preserve">We </w:t>
      </w:r>
      <w:r w:rsidR="00B11EAD" w:rsidRPr="000315B4">
        <w:rPr>
          <w:sz w:val="24"/>
          <w:szCs w:val="24"/>
        </w:rPr>
        <w:t>categorized</w:t>
      </w:r>
      <w:r w:rsidR="00A4569B" w:rsidRPr="000315B4">
        <w:rPr>
          <w:sz w:val="24"/>
          <w:szCs w:val="24"/>
        </w:rPr>
        <w:t xml:space="preserve"> the BE segment length </w:t>
      </w:r>
      <w:r w:rsidR="00B11EAD" w:rsidRPr="000315B4">
        <w:rPr>
          <w:sz w:val="24"/>
          <w:szCs w:val="24"/>
        </w:rPr>
        <w:t xml:space="preserve">as </w:t>
      </w:r>
      <w:r w:rsidR="00A4569B" w:rsidRPr="000315B4">
        <w:rPr>
          <w:sz w:val="24"/>
          <w:szCs w:val="24"/>
        </w:rPr>
        <w:t>long (BE segment measuring 3 cm and above)</w:t>
      </w:r>
      <w:r w:rsidR="00B11EAD" w:rsidRPr="000315B4">
        <w:rPr>
          <w:sz w:val="24"/>
          <w:szCs w:val="24"/>
        </w:rPr>
        <w:t>,</w:t>
      </w:r>
      <w:r w:rsidR="00A4569B" w:rsidRPr="000315B4">
        <w:rPr>
          <w:sz w:val="24"/>
          <w:szCs w:val="24"/>
        </w:rPr>
        <w:t xml:space="preserve"> short (1-3 cm</w:t>
      </w:r>
      <w:r w:rsidR="00B11EAD" w:rsidRPr="000315B4">
        <w:rPr>
          <w:sz w:val="24"/>
          <w:szCs w:val="24"/>
        </w:rPr>
        <w:t>)</w:t>
      </w:r>
      <w:r w:rsidR="00A4569B" w:rsidRPr="000315B4">
        <w:rPr>
          <w:sz w:val="24"/>
          <w:szCs w:val="24"/>
        </w:rPr>
        <w:t>, and ultra-short (&lt;</w:t>
      </w:r>
      <w:r w:rsidR="00F3526A" w:rsidRPr="000315B4">
        <w:rPr>
          <w:rFonts w:hint="eastAsia"/>
          <w:sz w:val="24"/>
          <w:szCs w:val="24"/>
          <w:lang w:eastAsia="zh-CN"/>
        </w:rPr>
        <w:t xml:space="preserve"> </w:t>
      </w:r>
      <w:r w:rsidR="00A4569B" w:rsidRPr="000315B4">
        <w:rPr>
          <w:sz w:val="24"/>
          <w:szCs w:val="24"/>
        </w:rPr>
        <w:t xml:space="preserve">1 cm). </w:t>
      </w:r>
      <w:r w:rsidR="00421868" w:rsidRPr="000315B4">
        <w:rPr>
          <w:sz w:val="24"/>
          <w:szCs w:val="24"/>
        </w:rPr>
        <w:t xml:space="preserve">Presence of endoscopic abnormalities was </w:t>
      </w:r>
      <w:r w:rsidR="00A4569B" w:rsidRPr="000315B4">
        <w:rPr>
          <w:sz w:val="24"/>
          <w:szCs w:val="24"/>
        </w:rPr>
        <w:t xml:space="preserve">also </w:t>
      </w:r>
      <w:r w:rsidR="00421868" w:rsidRPr="000315B4">
        <w:rPr>
          <w:sz w:val="24"/>
          <w:szCs w:val="24"/>
        </w:rPr>
        <w:t>recorded.</w:t>
      </w:r>
      <w:r w:rsidR="00E45A20" w:rsidRPr="000315B4">
        <w:rPr>
          <w:sz w:val="24"/>
          <w:szCs w:val="24"/>
        </w:rPr>
        <w:t xml:space="preserve"> </w:t>
      </w:r>
      <w:r w:rsidR="00EA45B8" w:rsidRPr="000315B4">
        <w:rPr>
          <w:sz w:val="24"/>
          <w:szCs w:val="24"/>
        </w:rPr>
        <w:t>H</w:t>
      </w:r>
      <w:r w:rsidR="00A4569B" w:rsidRPr="000315B4">
        <w:rPr>
          <w:sz w:val="24"/>
          <w:szCs w:val="24"/>
        </w:rPr>
        <w:t xml:space="preserve">istologic results for each endoscopy </w:t>
      </w:r>
      <w:r w:rsidR="000C250A" w:rsidRPr="000315B4">
        <w:rPr>
          <w:sz w:val="24"/>
          <w:szCs w:val="24"/>
        </w:rPr>
        <w:t>were</w:t>
      </w:r>
      <w:r w:rsidR="00E45A20" w:rsidRPr="000315B4">
        <w:rPr>
          <w:sz w:val="24"/>
          <w:szCs w:val="24"/>
        </w:rPr>
        <w:t xml:space="preserve"> </w:t>
      </w:r>
      <w:r w:rsidR="00A37257" w:rsidRPr="000315B4">
        <w:rPr>
          <w:sz w:val="24"/>
          <w:szCs w:val="24"/>
        </w:rPr>
        <w:t xml:space="preserve">classified as </w:t>
      </w:r>
      <w:r w:rsidR="00E45A20" w:rsidRPr="000315B4">
        <w:rPr>
          <w:sz w:val="24"/>
          <w:szCs w:val="24"/>
        </w:rPr>
        <w:t>no dysplasia,</w:t>
      </w:r>
      <w:r w:rsidR="008C7F97" w:rsidRPr="000315B4">
        <w:rPr>
          <w:sz w:val="24"/>
          <w:szCs w:val="24"/>
        </w:rPr>
        <w:t xml:space="preserve"> </w:t>
      </w:r>
      <w:bookmarkStart w:id="92" w:name="_Hlk510304601"/>
      <w:r w:rsidR="008C7F97" w:rsidRPr="000315B4">
        <w:rPr>
          <w:sz w:val="24"/>
          <w:szCs w:val="24"/>
        </w:rPr>
        <w:t>low grade dysplasia (</w:t>
      </w:r>
      <w:r w:rsidR="00E45A20" w:rsidRPr="000315B4">
        <w:rPr>
          <w:sz w:val="24"/>
          <w:szCs w:val="24"/>
        </w:rPr>
        <w:t>LGD</w:t>
      </w:r>
      <w:r w:rsidR="008C7F97" w:rsidRPr="000315B4">
        <w:rPr>
          <w:sz w:val="24"/>
          <w:szCs w:val="24"/>
        </w:rPr>
        <w:t>)</w:t>
      </w:r>
      <w:r w:rsidR="00E45A20" w:rsidRPr="000315B4">
        <w:rPr>
          <w:sz w:val="24"/>
          <w:szCs w:val="24"/>
        </w:rPr>
        <w:t>,</w:t>
      </w:r>
      <w:r w:rsidR="00441F6A" w:rsidRPr="000315B4">
        <w:rPr>
          <w:sz w:val="24"/>
          <w:szCs w:val="24"/>
        </w:rPr>
        <w:t xml:space="preserve"> </w:t>
      </w:r>
      <w:r w:rsidR="00E45A20" w:rsidRPr="000315B4">
        <w:rPr>
          <w:sz w:val="24"/>
          <w:szCs w:val="24"/>
        </w:rPr>
        <w:t>HGD,</w:t>
      </w:r>
      <w:r w:rsidR="00441F6A" w:rsidRPr="000315B4">
        <w:rPr>
          <w:sz w:val="24"/>
          <w:szCs w:val="24"/>
        </w:rPr>
        <w:t xml:space="preserve"> </w:t>
      </w:r>
      <w:r w:rsidR="00E45A20" w:rsidRPr="000315B4">
        <w:rPr>
          <w:sz w:val="24"/>
          <w:szCs w:val="24"/>
        </w:rPr>
        <w:t>intramucosal adenocarcinoma (IMC)</w:t>
      </w:r>
      <w:r w:rsidR="004B0FD0" w:rsidRPr="000315B4">
        <w:rPr>
          <w:sz w:val="24"/>
          <w:szCs w:val="24"/>
        </w:rPr>
        <w:t>,</w:t>
      </w:r>
      <w:r w:rsidR="00E45A20" w:rsidRPr="000315B4">
        <w:rPr>
          <w:sz w:val="24"/>
          <w:szCs w:val="24"/>
        </w:rPr>
        <w:t xml:space="preserve"> </w:t>
      </w:r>
      <w:bookmarkEnd w:id="92"/>
      <w:r w:rsidR="00E45A20" w:rsidRPr="000315B4">
        <w:rPr>
          <w:sz w:val="24"/>
          <w:szCs w:val="24"/>
        </w:rPr>
        <w:t xml:space="preserve">and </w:t>
      </w:r>
      <w:r w:rsidR="004B0FD0" w:rsidRPr="000315B4">
        <w:rPr>
          <w:sz w:val="24"/>
          <w:szCs w:val="24"/>
        </w:rPr>
        <w:t>EAC</w:t>
      </w:r>
      <w:r w:rsidR="00E45A20" w:rsidRPr="000315B4">
        <w:rPr>
          <w:sz w:val="24"/>
          <w:szCs w:val="24"/>
        </w:rPr>
        <w:fldChar w:fldCharType="begin" w:fldLock="1"/>
      </w:r>
      <w:r w:rsidR="0000179C" w:rsidRPr="000315B4">
        <w:rPr>
          <w:sz w:val="24"/>
          <w:szCs w:val="24"/>
        </w:rPr>
        <w:instrText>ADDIN CSL_CITATION {"citationItems":[{"id":"ITEM-1","itemData":{"DOI":"10.1016/S0046-8177(88)80344-7","ISBN":"0046-8177","ISSN":"00468177","PMID":"3343032","abstract":"The potential value of biopsy surveillance of patients with Barrett's esophagus for dysplasia is diminished by a lack of agreement on the diagnostic criteria for dysplasia. In a preliminary consensus conference, experienced gastrointestinal pathologists, from four medical centers agreed on criteria for a five-ticred histologic classification of dysplasia in Barrett's esophagus-negative for dysplasia, indefinite for dysplasia, low-grade dysplasia, high-grade dysplasia, and intramucosal carcinoma. Eight morphologists in the four centers tested the criteria for interobserver agreement by examining a set of coded slides that had been chosen to include some especially difficult interpretative problems in all five histologic classifications. Interobserver agreement of 85 and 87% was achieved in successive reviews when the combined group of high-grade dysplasia and intramucosal carcinoma was compared with the combined group of lowgrade dysplasia, indefinite for dysplasia, and negative for dysplasia. Comparison of other groups yielded less ggreement. For example, negative for dysplasia could be distinguished from all other diagnoses with an interobserver agreement of 72%. We conclude that experienced gastrointestinal morphologists can diagnose high-grade dysplasia and intramucosal carcinoma with a high degree of agreement and thus can detect those patients who may need immediate rebiopsy or esophageal resection. Fither further refinement of histologic criteria or alternate diagnostic methods with be needed to achieve the reproducible diagnosis of indefinite changes and low-grade dysplasia. This is important because patients with such changes theoretically merit closer endoscopic surveillance. © 1988 W.B. Saunders Co. All rights reserved.","author":[{"dropping-particle":"","family":"Reid","given":"B J","non-dropping-particle":"","parse-names":false,"suffix":""},{"dropping-particle":"","family":"Haggitt","given":"R C","non-dropping-particle":"","parse-names":false,"suffix":""},{"dropping-particle":"","family":"Rubin","given":"C E","non-dropping-particle":"","parse-names":false,"suffix":""},{"dropping-particle":"","family":"Roth","given":"G","non-dropping-particle":"","parse-names":false,"suffix":""},{"dropping-particle":"","family":"Surawicz","given":"C M","non-dropping-particle":"","parse-names":false,"suffix":""},{"dropping-particle":"","family":"Belle","given":"G","non-dropping-particle":"Van","parse-names":false,"suffix":""},{"dropping-particle":"","family":"Lewin","given":"K","non-dropping-particle":"","parse-names":false,"suffix":""},{"dropping-particle":"","family":"Weinstein","given":"W M","non-dropping-particle":"","parse-names":false,"suffix":""},{"dropping-particle":"","family":"Antonioli","given":"D A","non-dropping-particle":"","parse-names":false,"suffix":""},{"dropping-particle":"","family":"Goldman","given":"H","non-dropping-particle":"","parse-names":false,"suffix":""},{"dropping-particle":"","family":"MacDonald","given":"W.","non-dropping-particle":"","parse-names":false,"suffix":""},{"dropping-particle":"","family":"Owen","given":"D.","non-dropping-particle":"","parse-names":false,"suffix":""}],"container-title":"Human Pathology","id":"ITEM-1","issue":"2","issued":{"date-parts":[["1988","2"]]},"page":"166-178","title":"Observer variation in the diagnosis of dysplasia in Barrett's esophagus","type":"article-journal","volume":"19"},"uris":["http://www.mendeley.com/documents/?uuid=c661a12f-b6ea-346f-a8ae-95866bc3b6e1"]}],"mendeley":{"formattedCitation":"&lt;sup&gt;[18]&lt;/sup&gt;","plainTextFormattedCitation":"[18]","previouslyFormattedCitation":"&lt;sup&gt;[18]&lt;/sup&gt;"},"properties":{"noteIndex":0},"schema":"https://github.com/citation-style-language/schema/raw/master/csl-citation.json"}</w:instrText>
      </w:r>
      <w:r w:rsidR="00E45A20" w:rsidRPr="000315B4">
        <w:rPr>
          <w:sz w:val="24"/>
          <w:szCs w:val="24"/>
        </w:rPr>
        <w:fldChar w:fldCharType="separate"/>
      </w:r>
      <w:r w:rsidR="00164BEB" w:rsidRPr="000315B4">
        <w:rPr>
          <w:noProof/>
          <w:sz w:val="24"/>
          <w:szCs w:val="24"/>
          <w:vertAlign w:val="superscript"/>
        </w:rPr>
        <w:t>[18]</w:t>
      </w:r>
      <w:r w:rsidR="00E45A20" w:rsidRPr="000315B4">
        <w:rPr>
          <w:sz w:val="24"/>
          <w:szCs w:val="24"/>
        </w:rPr>
        <w:fldChar w:fldCharType="end"/>
      </w:r>
      <w:r w:rsidR="00E45A20" w:rsidRPr="000315B4">
        <w:rPr>
          <w:sz w:val="24"/>
          <w:szCs w:val="24"/>
        </w:rPr>
        <w:t>. All biopsies with suspected dysplasia</w:t>
      </w:r>
      <w:r w:rsidR="00E45A20" w:rsidRPr="000315B4">
        <w:rPr>
          <w:sz w:val="24"/>
          <w:szCs w:val="24"/>
          <w:rtl/>
        </w:rPr>
        <w:t xml:space="preserve"> </w:t>
      </w:r>
      <w:r w:rsidR="00E45A20" w:rsidRPr="000315B4">
        <w:rPr>
          <w:sz w:val="24"/>
          <w:szCs w:val="24"/>
        </w:rPr>
        <w:t xml:space="preserve">were reviewed by 2 expert </w:t>
      </w:r>
      <w:r w:rsidRPr="000315B4">
        <w:rPr>
          <w:sz w:val="24"/>
          <w:szCs w:val="24"/>
        </w:rPr>
        <w:t>GI-</w:t>
      </w:r>
      <w:r w:rsidR="00E45A20" w:rsidRPr="000315B4">
        <w:rPr>
          <w:sz w:val="24"/>
          <w:szCs w:val="24"/>
        </w:rPr>
        <w:t xml:space="preserve">pathologists. </w:t>
      </w:r>
      <w:r w:rsidR="000C250A" w:rsidRPr="000315B4">
        <w:rPr>
          <w:sz w:val="24"/>
          <w:szCs w:val="24"/>
        </w:rPr>
        <w:t>If a patient had more than one</w:t>
      </w:r>
      <w:r w:rsidR="001C6989" w:rsidRPr="000315B4">
        <w:rPr>
          <w:sz w:val="24"/>
          <w:szCs w:val="24"/>
        </w:rPr>
        <w:t xml:space="preserve"> </w:t>
      </w:r>
      <w:r w:rsidR="000C250A" w:rsidRPr="000315B4">
        <w:rPr>
          <w:sz w:val="24"/>
          <w:szCs w:val="24"/>
        </w:rPr>
        <w:t>dysplasia result</w:t>
      </w:r>
      <w:r w:rsidR="001C6989" w:rsidRPr="000315B4">
        <w:rPr>
          <w:sz w:val="24"/>
          <w:szCs w:val="24"/>
        </w:rPr>
        <w:t xml:space="preserve"> or endoscopic report</w:t>
      </w:r>
      <w:r w:rsidR="000C250A" w:rsidRPr="000315B4">
        <w:rPr>
          <w:sz w:val="24"/>
          <w:szCs w:val="24"/>
        </w:rPr>
        <w:t xml:space="preserve">, the </w:t>
      </w:r>
      <w:r w:rsidR="00A52543" w:rsidRPr="000315B4">
        <w:rPr>
          <w:sz w:val="24"/>
          <w:szCs w:val="24"/>
        </w:rPr>
        <w:t xml:space="preserve">most </w:t>
      </w:r>
      <w:r w:rsidR="003B783F" w:rsidRPr="000315B4">
        <w:rPr>
          <w:sz w:val="24"/>
          <w:szCs w:val="24"/>
        </w:rPr>
        <w:t>severe</w:t>
      </w:r>
      <w:r w:rsidR="001F62A0" w:rsidRPr="000315B4">
        <w:rPr>
          <w:sz w:val="24"/>
          <w:szCs w:val="24"/>
        </w:rPr>
        <w:t xml:space="preserve"> dysplasia</w:t>
      </w:r>
      <w:r w:rsidR="001C6989" w:rsidRPr="000315B4">
        <w:rPr>
          <w:sz w:val="24"/>
          <w:szCs w:val="24"/>
        </w:rPr>
        <w:t xml:space="preserve"> as well as</w:t>
      </w:r>
      <w:r w:rsidR="00001EE1" w:rsidRPr="000315B4">
        <w:rPr>
          <w:sz w:val="24"/>
          <w:szCs w:val="24"/>
          <w:rtl/>
        </w:rPr>
        <w:t xml:space="preserve"> </w:t>
      </w:r>
      <w:r w:rsidR="00001EE1" w:rsidRPr="000315B4" w:rsidDel="00A52543">
        <w:rPr>
          <w:sz w:val="24"/>
          <w:szCs w:val="24"/>
        </w:rPr>
        <w:t>the</w:t>
      </w:r>
      <w:r w:rsidR="00001EE1" w:rsidRPr="000315B4" w:rsidDel="00A52543">
        <w:rPr>
          <w:sz w:val="24"/>
          <w:szCs w:val="24"/>
          <w:rtl/>
        </w:rPr>
        <w:t xml:space="preserve"> </w:t>
      </w:r>
      <w:r w:rsidR="00001EE1" w:rsidRPr="000315B4" w:rsidDel="00A52543">
        <w:rPr>
          <w:sz w:val="24"/>
          <w:szCs w:val="24"/>
        </w:rPr>
        <w:t>longest BE segment</w:t>
      </w:r>
      <w:r w:rsidR="001F62A0" w:rsidRPr="000315B4">
        <w:rPr>
          <w:sz w:val="24"/>
          <w:szCs w:val="24"/>
        </w:rPr>
        <w:t xml:space="preserve"> </w:t>
      </w:r>
      <w:r w:rsidR="00C509FC" w:rsidRPr="000315B4">
        <w:rPr>
          <w:sz w:val="24"/>
          <w:szCs w:val="24"/>
        </w:rPr>
        <w:t xml:space="preserve">during follow up </w:t>
      </w:r>
      <w:r w:rsidR="000C250A" w:rsidRPr="000315B4">
        <w:rPr>
          <w:sz w:val="24"/>
          <w:szCs w:val="24"/>
        </w:rPr>
        <w:t>w</w:t>
      </w:r>
      <w:r w:rsidR="001C6989" w:rsidRPr="000315B4">
        <w:rPr>
          <w:sz w:val="24"/>
          <w:szCs w:val="24"/>
        </w:rPr>
        <w:t>ere</w:t>
      </w:r>
      <w:r w:rsidR="000C250A" w:rsidRPr="000315B4">
        <w:rPr>
          <w:sz w:val="24"/>
          <w:szCs w:val="24"/>
        </w:rPr>
        <w:t xml:space="preserve"> chosen for analysis</w:t>
      </w:r>
      <w:r w:rsidR="003B748D" w:rsidRPr="000315B4">
        <w:rPr>
          <w:sz w:val="24"/>
          <w:szCs w:val="24"/>
        </w:rPr>
        <w:t xml:space="preserve">. </w:t>
      </w:r>
      <w:r w:rsidR="00D54B5F" w:rsidRPr="000315B4">
        <w:rPr>
          <w:sz w:val="24"/>
          <w:szCs w:val="24"/>
        </w:rPr>
        <w:t>Individual follow up was censored either by a diagnosis of cancer</w:t>
      </w:r>
      <w:r w:rsidR="00C509FC" w:rsidRPr="000315B4">
        <w:rPr>
          <w:sz w:val="24"/>
          <w:szCs w:val="24"/>
        </w:rPr>
        <w:t>,</w:t>
      </w:r>
      <w:r w:rsidR="00D54B5F" w:rsidRPr="000315B4">
        <w:rPr>
          <w:sz w:val="24"/>
          <w:szCs w:val="24"/>
        </w:rPr>
        <w:t xml:space="preserve"> at the end of the follow up period</w:t>
      </w:r>
      <w:r w:rsidR="00027572" w:rsidRPr="000315B4">
        <w:rPr>
          <w:sz w:val="24"/>
          <w:szCs w:val="24"/>
        </w:rPr>
        <w:t xml:space="preserve"> (December 2014)</w:t>
      </w:r>
      <w:r w:rsidR="00C509FC" w:rsidRPr="000315B4">
        <w:rPr>
          <w:sz w:val="24"/>
          <w:szCs w:val="24"/>
        </w:rPr>
        <w:t>, or death</w:t>
      </w:r>
      <w:r w:rsidR="00D54B5F" w:rsidRPr="000315B4">
        <w:rPr>
          <w:sz w:val="24"/>
          <w:szCs w:val="24"/>
        </w:rPr>
        <w:t xml:space="preserve">. </w:t>
      </w:r>
      <w:r w:rsidR="00E45A20" w:rsidRPr="000315B4">
        <w:rPr>
          <w:sz w:val="24"/>
          <w:szCs w:val="24"/>
        </w:rPr>
        <w:t xml:space="preserve">Patient information </w:t>
      </w:r>
      <w:r w:rsidR="00BF0491" w:rsidRPr="000315B4">
        <w:rPr>
          <w:sz w:val="24"/>
          <w:szCs w:val="24"/>
        </w:rPr>
        <w:t>collected included</w:t>
      </w:r>
      <w:r w:rsidR="00E45A20" w:rsidRPr="000315B4">
        <w:rPr>
          <w:sz w:val="24"/>
          <w:szCs w:val="24"/>
        </w:rPr>
        <w:t xml:space="preserve"> age, gender, cancer history (including type of cancer), individual number of endoscopies during the study period</w:t>
      </w:r>
      <w:r w:rsidR="000C250A" w:rsidRPr="000315B4">
        <w:rPr>
          <w:sz w:val="24"/>
          <w:szCs w:val="24"/>
        </w:rPr>
        <w:t>, and date of death.</w:t>
      </w:r>
      <w:r w:rsidR="00E45A20" w:rsidRPr="000315B4">
        <w:rPr>
          <w:sz w:val="24"/>
          <w:szCs w:val="24"/>
        </w:rPr>
        <w:t xml:space="preserve"> </w:t>
      </w:r>
    </w:p>
    <w:p w14:paraId="2E312414" w14:textId="7ABC9452" w:rsidR="00F741C0" w:rsidRPr="000315B4" w:rsidRDefault="00C509FC" w:rsidP="00F3526A">
      <w:pPr>
        <w:widowControl w:val="0"/>
        <w:adjustRightInd w:val="0"/>
        <w:snapToGrid w:val="0"/>
        <w:spacing w:line="360" w:lineRule="auto"/>
        <w:ind w:firstLineChars="100" w:firstLine="240"/>
        <w:jc w:val="both"/>
        <w:rPr>
          <w:sz w:val="24"/>
          <w:szCs w:val="24"/>
          <w:lang w:eastAsia="zh-CN"/>
        </w:rPr>
      </w:pPr>
      <w:r w:rsidRPr="000315B4">
        <w:rPr>
          <w:sz w:val="24"/>
          <w:szCs w:val="24"/>
        </w:rPr>
        <w:t>The primary outcome of this study was non-BE cancer incidence</w:t>
      </w:r>
      <w:r w:rsidR="00E2127F" w:rsidRPr="000315B4">
        <w:rPr>
          <w:sz w:val="24"/>
          <w:szCs w:val="24"/>
        </w:rPr>
        <w:t>, and secondary aim</w:t>
      </w:r>
      <w:r w:rsidR="00F05EA5" w:rsidRPr="000315B4">
        <w:rPr>
          <w:sz w:val="24"/>
          <w:szCs w:val="24"/>
        </w:rPr>
        <w:t>s</w:t>
      </w:r>
      <w:r w:rsidR="00E2127F" w:rsidRPr="000315B4">
        <w:rPr>
          <w:sz w:val="24"/>
          <w:szCs w:val="24"/>
        </w:rPr>
        <w:t xml:space="preserve"> included BE </w:t>
      </w:r>
      <w:r w:rsidR="007E68B7" w:rsidRPr="000315B4">
        <w:rPr>
          <w:sz w:val="24"/>
          <w:szCs w:val="24"/>
        </w:rPr>
        <w:t xml:space="preserve">related </w:t>
      </w:r>
      <w:r w:rsidR="00E2127F" w:rsidRPr="000315B4">
        <w:rPr>
          <w:sz w:val="24"/>
          <w:szCs w:val="24"/>
        </w:rPr>
        <w:t>cancer and overall mortality</w:t>
      </w:r>
      <w:r w:rsidRPr="000315B4">
        <w:rPr>
          <w:sz w:val="24"/>
          <w:szCs w:val="24"/>
        </w:rPr>
        <w:t>.</w:t>
      </w:r>
      <w:r w:rsidR="00E2127F" w:rsidRPr="000315B4">
        <w:rPr>
          <w:sz w:val="24"/>
          <w:szCs w:val="24"/>
        </w:rPr>
        <w:t xml:space="preserve"> </w:t>
      </w:r>
      <w:r w:rsidR="00F741C0" w:rsidRPr="000315B4">
        <w:rPr>
          <w:sz w:val="24"/>
          <w:szCs w:val="24"/>
        </w:rPr>
        <w:t xml:space="preserve">In order to determine the difference in cancer morbidity in patients with higher degrees of dysplasia, we compared patients </w:t>
      </w:r>
      <w:r w:rsidR="00F741C0" w:rsidRPr="000315B4">
        <w:rPr>
          <w:sz w:val="24"/>
          <w:szCs w:val="24"/>
        </w:rPr>
        <w:lastRenderedPageBreak/>
        <w:t>who had HGD and patients with LGD or non-dysplastic BE</w:t>
      </w:r>
      <w:r w:rsidR="00510043" w:rsidRPr="000315B4">
        <w:rPr>
          <w:sz w:val="24"/>
          <w:szCs w:val="24"/>
        </w:rPr>
        <w:t xml:space="preserve"> (non-HGD group)</w:t>
      </w:r>
      <w:r w:rsidR="00F741C0" w:rsidRPr="000315B4">
        <w:rPr>
          <w:sz w:val="24"/>
          <w:szCs w:val="24"/>
        </w:rPr>
        <w:t>.</w:t>
      </w:r>
    </w:p>
    <w:p w14:paraId="2E41CC5D" w14:textId="77777777" w:rsidR="007E68B7" w:rsidRPr="000315B4" w:rsidRDefault="00E2127F" w:rsidP="00F3526A">
      <w:pPr>
        <w:widowControl w:val="0"/>
        <w:adjustRightInd w:val="0"/>
        <w:snapToGrid w:val="0"/>
        <w:spacing w:line="360" w:lineRule="auto"/>
        <w:ind w:firstLineChars="100" w:firstLine="240"/>
        <w:jc w:val="both"/>
        <w:rPr>
          <w:sz w:val="24"/>
          <w:szCs w:val="24"/>
        </w:rPr>
      </w:pPr>
      <w:r w:rsidRPr="000315B4">
        <w:rPr>
          <w:sz w:val="24"/>
          <w:szCs w:val="24"/>
        </w:rPr>
        <w:t>C</w:t>
      </w:r>
      <w:r w:rsidR="00E45A20" w:rsidRPr="000315B4">
        <w:rPr>
          <w:sz w:val="24"/>
          <w:szCs w:val="24"/>
        </w:rPr>
        <w:t>ancer morbidity data was retrieved from the Israeli national cancer registry (NCR). The NCR records all incident cases of malignant neoplasms other than basal or squamous cell skin cancers. Trained registrars review available documents from hospitals, pathology labs, death certificate</w:t>
      </w:r>
      <w:r w:rsidR="005C5B5F" w:rsidRPr="000315B4">
        <w:rPr>
          <w:sz w:val="24"/>
          <w:szCs w:val="24"/>
        </w:rPr>
        <w:t xml:space="preserve">s from local health authorities. </w:t>
      </w:r>
      <w:r w:rsidR="00E45A20" w:rsidRPr="000315B4">
        <w:rPr>
          <w:sz w:val="24"/>
          <w:szCs w:val="24"/>
        </w:rPr>
        <w:t xml:space="preserve">Upon retrieval of data from the NCR, its records were updated until </w:t>
      </w:r>
      <w:r w:rsidR="00027572" w:rsidRPr="000315B4">
        <w:rPr>
          <w:sz w:val="24"/>
          <w:szCs w:val="24"/>
        </w:rPr>
        <w:t>December 2014</w:t>
      </w:r>
      <w:r w:rsidR="00E45A20" w:rsidRPr="000315B4">
        <w:rPr>
          <w:sz w:val="24"/>
          <w:szCs w:val="24"/>
        </w:rPr>
        <w:t xml:space="preserve">. </w:t>
      </w:r>
    </w:p>
    <w:p w14:paraId="2D49CEFF" w14:textId="0AB222B9" w:rsidR="007E68B7" w:rsidRPr="000315B4" w:rsidRDefault="00E45A20" w:rsidP="00F3526A">
      <w:pPr>
        <w:widowControl w:val="0"/>
        <w:adjustRightInd w:val="0"/>
        <w:snapToGrid w:val="0"/>
        <w:spacing w:line="360" w:lineRule="auto"/>
        <w:ind w:firstLineChars="100" w:firstLine="240"/>
        <w:jc w:val="both"/>
        <w:rPr>
          <w:sz w:val="24"/>
          <w:szCs w:val="24"/>
        </w:rPr>
      </w:pPr>
      <w:r w:rsidRPr="000315B4">
        <w:rPr>
          <w:sz w:val="24"/>
          <w:szCs w:val="24"/>
        </w:rPr>
        <w:t>Cancers were categorized as BE related or non-BE related</w:t>
      </w:r>
      <w:r w:rsidR="00F3526A" w:rsidRPr="000315B4">
        <w:rPr>
          <w:sz w:val="24"/>
          <w:szCs w:val="24"/>
        </w:rPr>
        <w:t xml:space="preserve">. </w:t>
      </w:r>
      <w:r w:rsidRPr="000315B4">
        <w:rPr>
          <w:sz w:val="24"/>
          <w:szCs w:val="24"/>
        </w:rPr>
        <w:t>As diagnostic inaccuracies between EAC and gastric cardia adenocarcinoma are known to occur</w:t>
      </w:r>
      <w:r w:rsidRPr="000315B4">
        <w:rPr>
          <w:sz w:val="24"/>
          <w:szCs w:val="24"/>
        </w:rPr>
        <w:fldChar w:fldCharType="begin" w:fldLock="1"/>
      </w:r>
      <w:r w:rsidR="0000179C" w:rsidRPr="000315B4">
        <w:rPr>
          <w:sz w:val="24"/>
          <w:szCs w:val="24"/>
        </w:rPr>
        <w:instrText>ADDIN CSL_CITATION {"citationItems":[{"id":"ITEM-1","itemData":{"DOI":"10.1097/01.sla.0000205825.34452.43","ISSN":"0003-4932","PMID":"16552198","abstract":"OBJECTIVE: To evaluate the diagnostic accuracy of esophageal and cardia adenocarcinoma in the Swedish Cancer Register.\\n\\nSUMMARY BACKGROUND DATA: Based on cancer registers, a rising incidence of esophageal and cardia adenocarcinoma has been reported in several populations, but possible influence of differences in tumor classification has not been evaluated.\\n\\nMETHODS: In a nationwide study in 1995 through 1997, all Swedish patients, born in Sweden and younger than 80 years with esophageal or cardia adenocarcinoma and half of all patients with esophageal squamous cell carcinoma, were prospectively, uniformly, and thoroughly classified. This study classification was compared with the tumor classification in the Swedish Cancer Register, which is based on routine clinical practice.\\n\\nRESULTS: The overall completeness of the Cancer Register was high (98.3%), whereas the site-specific completeness of the Register was 63% for esophageal adenocarcinoma, 74% for cardia adenocarcinoma, and 91% for esophageal squamous cell carcinoma. The incidence of esophageal adenocarcinomas was 16% higher in the study classification compared with that of the Register during the study period, whereas the incidence of cardia adenocarcinoma was 2% lower in the study classification.\\n\\nCONCLUSIONS: There is a diagnostic mismatch between esophageal and cardia adenocarcinoma in the clinical setting and, therefore, also in Cancer Registers. In etiologic and therapeutic research, this problem needs consideration, since these tumors have distinct risk factor profiles and could be subjected to different treatment strategies. The increasing incidence rate of esophageal adenocarcinoma in Sweden is unlikely to be explained by such differences in tumor classification, however.","author":[{"dropping-particle":"","family":"Lindblad","given":"Mats","non-dropping-particle":"","parse-names":false,"suffix":""},{"dropping-particle":"","family":"Ye","given":"Weimin","non-dropping-particle":"","parse-names":false,"suffix":""},{"dropping-particle":"","family":"Lindgren","given":"Anders","non-dropping-particle":"","parse-names":false,"suffix":""},{"dropping-particle":"","family":"Lagergren","given":"Jesper","non-dropping-particle":"","parse-names":false,"suffix":""}],"container-title":"Annals of surgery","id":"ITEM-1","issue":"4","issued":{"date-parts":[["2006"]]},"page":"479-85","title":"Disparities in the classification of esophageal and cardia adenocarcinomas and their influence on reported incidence rates.","type":"article-journal","volume":"243"},"uris":["http://www.mendeley.com/documents/?uuid=c44a332d-de48-4fae-bb7b-b9a2e4f506ba"]}],"mendeley":{"formattedCitation":"&lt;sup&gt;[19]&lt;/sup&gt;","plainTextFormattedCitation":"[19]","previouslyFormattedCitation":"&lt;sup&gt;[19]&lt;/sup&gt;"},"properties":{"noteIndex":0},"schema":"https://github.com/citation-style-language/schema/raw/master/csl-citation.json"}</w:instrText>
      </w:r>
      <w:r w:rsidRPr="000315B4">
        <w:rPr>
          <w:sz w:val="24"/>
          <w:szCs w:val="24"/>
        </w:rPr>
        <w:fldChar w:fldCharType="separate"/>
      </w:r>
      <w:r w:rsidR="00164BEB" w:rsidRPr="000315B4">
        <w:rPr>
          <w:noProof/>
          <w:sz w:val="24"/>
          <w:szCs w:val="24"/>
          <w:vertAlign w:val="superscript"/>
        </w:rPr>
        <w:t>[19]</w:t>
      </w:r>
      <w:r w:rsidRPr="000315B4">
        <w:rPr>
          <w:sz w:val="24"/>
          <w:szCs w:val="24"/>
        </w:rPr>
        <w:fldChar w:fldCharType="end"/>
      </w:r>
      <w:r w:rsidRPr="000315B4">
        <w:rPr>
          <w:sz w:val="24"/>
          <w:szCs w:val="24"/>
        </w:rPr>
        <w:t xml:space="preserve">, we classified them both as BE cancers. All other malignancies were recorded as non-BE cancer. </w:t>
      </w:r>
      <w:r w:rsidR="007E68B7" w:rsidRPr="000315B4">
        <w:rPr>
          <w:sz w:val="24"/>
          <w:szCs w:val="24"/>
        </w:rPr>
        <w:t>For all</w:t>
      </w:r>
      <w:r w:rsidR="006F32AC" w:rsidRPr="000315B4">
        <w:rPr>
          <w:sz w:val="24"/>
          <w:szCs w:val="24"/>
        </w:rPr>
        <w:t xml:space="preserve"> cancer free</w:t>
      </w:r>
      <w:r w:rsidR="007E68B7" w:rsidRPr="000315B4">
        <w:rPr>
          <w:sz w:val="24"/>
          <w:szCs w:val="24"/>
        </w:rPr>
        <w:t xml:space="preserve"> analysis, we used cancer cases which occurred within the follow up period. We also recorded cases occurring before the first available endoscopy as p</w:t>
      </w:r>
      <w:r w:rsidR="006F32AC" w:rsidRPr="000315B4">
        <w:rPr>
          <w:sz w:val="24"/>
          <w:szCs w:val="24"/>
        </w:rPr>
        <w:t>r</w:t>
      </w:r>
      <w:r w:rsidR="007E68B7" w:rsidRPr="000315B4">
        <w:rPr>
          <w:sz w:val="24"/>
          <w:szCs w:val="24"/>
        </w:rPr>
        <w:t>e-study cancer</w:t>
      </w:r>
      <w:r w:rsidR="003F0C44" w:rsidRPr="000315B4">
        <w:rPr>
          <w:sz w:val="24"/>
          <w:szCs w:val="24"/>
        </w:rPr>
        <w:t>, and reported the total life-time cancers retrieved from the NCR.</w:t>
      </w:r>
    </w:p>
    <w:p w14:paraId="0396E3DB" w14:textId="1C14EDCA" w:rsidR="00E45A20" w:rsidRPr="000315B4" w:rsidRDefault="005C5B5F" w:rsidP="00F3526A">
      <w:pPr>
        <w:widowControl w:val="0"/>
        <w:adjustRightInd w:val="0"/>
        <w:snapToGrid w:val="0"/>
        <w:spacing w:line="360" w:lineRule="auto"/>
        <w:ind w:firstLineChars="100" w:firstLine="240"/>
        <w:jc w:val="both"/>
        <w:rPr>
          <w:sz w:val="24"/>
          <w:szCs w:val="24"/>
        </w:rPr>
      </w:pPr>
      <w:r w:rsidRPr="000315B4">
        <w:rPr>
          <w:sz w:val="24"/>
          <w:szCs w:val="24"/>
        </w:rPr>
        <w:t>The date</w:t>
      </w:r>
      <w:r w:rsidR="006F32AC" w:rsidRPr="000315B4">
        <w:rPr>
          <w:sz w:val="24"/>
          <w:szCs w:val="24"/>
        </w:rPr>
        <w:t xml:space="preserve"> </w:t>
      </w:r>
      <w:r w:rsidRPr="000315B4">
        <w:rPr>
          <w:sz w:val="24"/>
          <w:szCs w:val="24"/>
        </w:rPr>
        <w:t xml:space="preserve">of death information was retrieved from the Central Bureau of Statistics. </w:t>
      </w:r>
    </w:p>
    <w:p w14:paraId="4EB00C85" w14:textId="70386E73" w:rsidR="00F61929" w:rsidRPr="000315B4" w:rsidRDefault="00E45A20" w:rsidP="00F3526A">
      <w:pPr>
        <w:widowControl w:val="0"/>
        <w:adjustRightInd w:val="0"/>
        <w:snapToGrid w:val="0"/>
        <w:spacing w:line="360" w:lineRule="auto"/>
        <w:ind w:firstLineChars="100" w:firstLine="240"/>
        <w:jc w:val="both"/>
        <w:rPr>
          <w:sz w:val="24"/>
          <w:szCs w:val="24"/>
          <w:lang w:eastAsia="zh-CN"/>
        </w:rPr>
      </w:pPr>
      <w:r w:rsidRPr="000315B4">
        <w:rPr>
          <w:sz w:val="24"/>
          <w:szCs w:val="24"/>
        </w:rPr>
        <w:t xml:space="preserve">This study was approved by </w:t>
      </w:r>
      <w:r w:rsidR="00857586" w:rsidRPr="000315B4">
        <w:rPr>
          <w:sz w:val="24"/>
          <w:szCs w:val="24"/>
        </w:rPr>
        <w:t>our center’s institutional review board</w:t>
      </w:r>
      <w:r w:rsidR="00F3526A" w:rsidRPr="000315B4">
        <w:rPr>
          <w:rFonts w:hint="eastAsia"/>
          <w:sz w:val="24"/>
          <w:szCs w:val="24"/>
          <w:lang w:eastAsia="zh-CN"/>
        </w:rPr>
        <w:t xml:space="preserve"> -</w:t>
      </w:r>
      <w:r w:rsidRPr="000315B4">
        <w:rPr>
          <w:sz w:val="24"/>
          <w:szCs w:val="24"/>
        </w:rPr>
        <w:t xml:space="preserve"> approval number</w:t>
      </w:r>
      <w:r w:rsidR="00C27687" w:rsidRPr="000315B4">
        <w:rPr>
          <w:sz w:val="24"/>
          <w:szCs w:val="24"/>
        </w:rPr>
        <w:t xml:space="preserve"> 0022-09.</w:t>
      </w:r>
      <w:r w:rsidRPr="000315B4">
        <w:rPr>
          <w:sz w:val="24"/>
          <w:szCs w:val="24"/>
        </w:rPr>
        <w:t xml:space="preserve"> </w:t>
      </w:r>
      <w:r w:rsidR="00027572" w:rsidRPr="000315B4">
        <w:rPr>
          <w:sz w:val="24"/>
          <w:szCs w:val="24"/>
        </w:rPr>
        <w:t>As data were collected from medical records throughout the study, informed consent was waivered by the institutional review board.</w:t>
      </w:r>
    </w:p>
    <w:p w14:paraId="3FF2168E" w14:textId="77777777" w:rsidR="00F3526A" w:rsidRPr="000315B4" w:rsidRDefault="00F3526A" w:rsidP="00F3526A">
      <w:pPr>
        <w:widowControl w:val="0"/>
        <w:adjustRightInd w:val="0"/>
        <w:snapToGrid w:val="0"/>
        <w:spacing w:line="360" w:lineRule="auto"/>
        <w:ind w:firstLineChars="100" w:firstLine="240"/>
        <w:jc w:val="both"/>
        <w:rPr>
          <w:sz w:val="24"/>
          <w:szCs w:val="24"/>
          <w:lang w:eastAsia="zh-CN"/>
        </w:rPr>
      </w:pPr>
    </w:p>
    <w:p w14:paraId="52DD1A7D" w14:textId="77777777" w:rsidR="00C71EEF" w:rsidRPr="000315B4" w:rsidRDefault="00C71EEF" w:rsidP="007804E8">
      <w:pPr>
        <w:widowControl w:val="0"/>
        <w:adjustRightInd w:val="0"/>
        <w:snapToGrid w:val="0"/>
        <w:spacing w:line="360" w:lineRule="auto"/>
        <w:jc w:val="both"/>
        <w:rPr>
          <w:b/>
          <w:i/>
          <w:sz w:val="24"/>
          <w:szCs w:val="24"/>
        </w:rPr>
      </w:pPr>
      <w:r w:rsidRPr="000315B4">
        <w:rPr>
          <w:b/>
          <w:i/>
          <w:sz w:val="24"/>
          <w:szCs w:val="24"/>
        </w:rPr>
        <w:t>Statistical analysis</w:t>
      </w:r>
      <w:r w:rsidR="008247D9" w:rsidRPr="000315B4">
        <w:rPr>
          <w:b/>
          <w:i/>
          <w:sz w:val="24"/>
          <w:szCs w:val="24"/>
        </w:rPr>
        <w:t xml:space="preserve"> </w:t>
      </w:r>
    </w:p>
    <w:p w14:paraId="074E14E4" w14:textId="156380C5" w:rsidR="004E1106" w:rsidRPr="000315B4" w:rsidRDefault="004E1106" w:rsidP="007804E8">
      <w:pPr>
        <w:widowControl w:val="0"/>
        <w:adjustRightInd w:val="0"/>
        <w:snapToGrid w:val="0"/>
        <w:spacing w:line="360" w:lineRule="auto"/>
        <w:jc w:val="both"/>
        <w:rPr>
          <w:sz w:val="24"/>
          <w:szCs w:val="24"/>
        </w:rPr>
      </w:pPr>
      <w:r w:rsidRPr="000315B4">
        <w:rPr>
          <w:sz w:val="24"/>
          <w:szCs w:val="24"/>
        </w:rPr>
        <w:t>Categorical variables were described as frequency and percentage and continuous variables were presented with mean (standard deviation) [median, range]</w:t>
      </w:r>
      <w:r w:rsidR="00E30703" w:rsidRPr="000315B4">
        <w:rPr>
          <w:sz w:val="24"/>
          <w:szCs w:val="24"/>
        </w:rPr>
        <w:t xml:space="preserve"> as needed</w:t>
      </w:r>
      <w:r w:rsidRPr="000315B4">
        <w:rPr>
          <w:sz w:val="24"/>
          <w:szCs w:val="24"/>
        </w:rPr>
        <w:t xml:space="preserve">. Comparisons between patients with HGD and patients with </w:t>
      </w:r>
      <w:r w:rsidR="000F1D8A" w:rsidRPr="000315B4">
        <w:rPr>
          <w:sz w:val="24"/>
          <w:szCs w:val="24"/>
        </w:rPr>
        <w:t>lower degrees of dysplasia (non-HGD)</w:t>
      </w:r>
      <w:r w:rsidR="00A52543" w:rsidRPr="000315B4">
        <w:rPr>
          <w:sz w:val="24"/>
          <w:szCs w:val="24"/>
        </w:rPr>
        <w:t xml:space="preserve"> </w:t>
      </w:r>
      <w:r w:rsidRPr="000315B4">
        <w:rPr>
          <w:sz w:val="24"/>
          <w:szCs w:val="24"/>
        </w:rPr>
        <w:t xml:space="preserve">were performed using Chi-square test (or Fisher’s exact test) for categorical variables. For continuous variables, the </w:t>
      </w:r>
      <w:r w:rsidR="009B43F0" w:rsidRPr="000315B4">
        <w:rPr>
          <w:sz w:val="24"/>
          <w:szCs w:val="24"/>
        </w:rPr>
        <w:t>independent</w:t>
      </w:r>
      <w:r w:rsidRPr="000315B4">
        <w:rPr>
          <w:sz w:val="24"/>
          <w:szCs w:val="24"/>
        </w:rPr>
        <w:t>-sample t-tests (or Wilcoxon test) w</w:t>
      </w:r>
      <w:r w:rsidR="00F3526A" w:rsidRPr="000315B4">
        <w:rPr>
          <w:rFonts w:hint="eastAsia"/>
          <w:sz w:val="24"/>
          <w:szCs w:val="24"/>
          <w:lang w:eastAsia="zh-CN"/>
        </w:rPr>
        <w:t>ere</w:t>
      </w:r>
      <w:r w:rsidRPr="000315B4">
        <w:rPr>
          <w:sz w:val="24"/>
          <w:szCs w:val="24"/>
        </w:rPr>
        <w:t xml:space="preserve"> used. </w:t>
      </w:r>
    </w:p>
    <w:p w14:paraId="59841C62" w14:textId="0D9B399F" w:rsidR="004E1106" w:rsidRPr="000315B4" w:rsidRDefault="004E1106" w:rsidP="00F3526A">
      <w:pPr>
        <w:widowControl w:val="0"/>
        <w:adjustRightInd w:val="0"/>
        <w:snapToGrid w:val="0"/>
        <w:spacing w:line="360" w:lineRule="auto"/>
        <w:ind w:firstLineChars="100" w:firstLine="240"/>
        <w:jc w:val="both"/>
        <w:rPr>
          <w:sz w:val="24"/>
          <w:szCs w:val="24"/>
          <w:lang w:eastAsia="zh-CN"/>
        </w:rPr>
      </w:pPr>
      <w:r w:rsidRPr="000315B4">
        <w:rPr>
          <w:sz w:val="24"/>
          <w:szCs w:val="24"/>
        </w:rPr>
        <w:t>For each patient, the cancer free survival time was calculated based on the first endoscopy date (</w:t>
      </w:r>
      <w:r w:rsidRPr="000315B4">
        <w:rPr>
          <w:i/>
          <w:sz w:val="24"/>
          <w:szCs w:val="24"/>
        </w:rPr>
        <w:t>i.e.</w:t>
      </w:r>
      <w:r w:rsidR="00F3526A" w:rsidRPr="000315B4">
        <w:rPr>
          <w:rFonts w:hint="eastAsia"/>
          <w:sz w:val="24"/>
          <w:szCs w:val="24"/>
          <w:lang w:eastAsia="zh-CN"/>
        </w:rPr>
        <w:t>,</w:t>
      </w:r>
      <w:r w:rsidRPr="000315B4">
        <w:rPr>
          <w:sz w:val="24"/>
          <w:szCs w:val="24"/>
        </w:rPr>
        <w:t xml:space="preserve"> start date) and the first cancer date</w:t>
      </w:r>
      <w:r w:rsidR="000F1D8A" w:rsidRPr="000315B4">
        <w:rPr>
          <w:sz w:val="24"/>
          <w:szCs w:val="24"/>
        </w:rPr>
        <w:t xml:space="preserve"> or </w:t>
      </w:r>
      <w:r w:rsidRPr="000315B4">
        <w:rPr>
          <w:sz w:val="24"/>
          <w:szCs w:val="24"/>
        </w:rPr>
        <w:t>the end of the follow-up date (</w:t>
      </w:r>
      <w:r w:rsidR="00027572" w:rsidRPr="000315B4">
        <w:rPr>
          <w:sz w:val="24"/>
          <w:szCs w:val="24"/>
        </w:rPr>
        <w:t>December 2014</w:t>
      </w:r>
      <w:r w:rsidRPr="000315B4">
        <w:rPr>
          <w:sz w:val="24"/>
          <w:szCs w:val="24"/>
        </w:rPr>
        <w:t>)</w:t>
      </w:r>
      <w:r w:rsidR="00FA1435" w:rsidRPr="000315B4">
        <w:rPr>
          <w:sz w:val="24"/>
          <w:szCs w:val="24"/>
        </w:rPr>
        <w:t xml:space="preserve"> for patients who were cancer free. </w:t>
      </w:r>
      <w:r w:rsidRPr="000315B4">
        <w:rPr>
          <w:sz w:val="24"/>
          <w:szCs w:val="24"/>
        </w:rPr>
        <w:t>For non-BE cancer, we used the f</w:t>
      </w:r>
      <w:r w:rsidR="003D1774" w:rsidRPr="000315B4">
        <w:rPr>
          <w:sz w:val="24"/>
          <w:szCs w:val="24"/>
        </w:rPr>
        <w:t>irst non-BE cancer date for the</w:t>
      </w:r>
      <w:r w:rsidRPr="000315B4">
        <w:rPr>
          <w:sz w:val="24"/>
          <w:szCs w:val="24"/>
        </w:rPr>
        <w:t xml:space="preserve"> calculation. Kaplan-Meier curve was utilized to compare survival trends, using the Log-rank test</w:t>
      </w:r>
      <w:r w:rsidR="00DB062E" w:rsidRPr="000315B4">
        <w:rPr>
          <w:sz w:val="24"/>
          <w:szCs w:val="24"/>
        </w:rPr>
        <w:t xml:space="preserve">. All Kaplan-Meier analysis was done for </w:t>
      </w:r>
      <w:r w:rsidR="00DB062E" w:rsidRPr="000315B4">
        <w:rPr>
          <w:sz w:val="24"/>
          <w:szCs w:val="24"/>
        </w:rPr>
        <w:lastRenderedPageBreak/>
        <w:t xml:space="preserve">patients with multiple </w:t>
      </w:r>
      <w:r w:rsidR="00EE5AA2" w:rsidRPr="000315B4">
        <w:rPr>
          <w:sz w:val="24"/>
          <w:szCs w:val="24"/>
        </w:rPr>
        <w:t>endoscopies</w:t>
      </w:r>
      <w:r w:rsidR="00DB062E" w:rsidRPr="000315B4">
        <w:rPr>
          <w:sz w:val="24"/>
          <w:szCs w:val="24"/>
        </w:rPr>
        <w:t xml:space="preserve"> to avoid </w:t>
      </w:r>
      <w:r w:rsidR="00853E07" w:rsidRPr="000315B4">
        <w:rPr>
          <w:sz w:val="24"/>
          <w:szCs w:val="24"/>
        </w:rPr>
        <w:t>confounding</w:t>
      </w:r>
      <w:r w:rsidRPr="000315B4">
        <w:rPr>
          <w:sz w:val="24"/>
          <w:szCs w:val="24"/>
        </w:rPr>
        <w:t xml:space="preserve">. In addition, the Cox regression was used to perform univariate and multivariable </w:t>
      </w:r>
      <w:r w:rsidR="000F1D8A" w:rsidRPr="000315B4">
        <w:rPr>
          <w:sz w:val="24"/>
          <w:szCs w:val="24"/>
        </w:rPr>
        <w:t>regression</w:t>
      </w:r>
      <w:r w:rsidR="00853E07" w:rsidRPr="000315B4">
        <w:rPr>
          <w:sz w:val="24"/>
          <w:szCs w:val="24"/>
        </w:rPr>
        <w:t xml:space="preserve"> in all patients</w:t>
      </w:r>
      <w:r w:rsidR="00A172E9" w:rsidRPr="000315B4">
        <w:rPr>
          <w:sz w:val="24"/>
          <w:szCs w:val="24"/>
        </w:rPr>
        <w:t xml:space="preserve"> (</w:t>
      </w:r>
      <w:r w:rsidR="00CA4E59" w:rsidRPr="000315B4">
        <w:rPr>
          <w:sz w:val="24"/>
          <w:szCs w:val="24"/>
        </w:rPr>
        <w:t xml:space="preserve">adjusting </w:t>
      </w:r>
      <w:r w:rsidR="00FF78D4" w:rsidRPr="000315B4">
        <w:rPr>
          <w:sz w:val="24"/>
          <w:szCs w:val="24"/>
        </w:rPr>
        <w:t>for potential confounders, found to be associated with HGD in the univariate analysis</w:t>
      </w:r>
      <w:r w:rsidR="00A172E9" w:rsidRPr="000315B4">
        <w:rPr>
          <w:sz w:val="24"/>
          <w:szCs w:val="24"/>
        </w:rPr>
        <w:t>)</w:t>
      </w:r>
      <w:r w:rsidR="00BE4BBA" w:rsidRPr="000315B4">
        <w:rPr>
          <w:sz w:val="24"/>
          <w:szCs w:val="24"/>
        </w:rPr>
        <w:t>,</w:t>
      </w:r>
      <w:r w:rsidRPr="000315B4">
        <w:rPr>
          <w:sz w:val="24"/>
          <w:szCs w:val="24"/>
        </w:rPr>
        <w:t xml:space="preserve"> displaying the hazard ratios (HRs) and adjusted HR (Adj.HR) with 95%</w:t>
      </w:r>
      <w:r w:rsidR="000F2A3F">
        <w:rPr>
          <w:sz w:val="24"/>
          <w:szCs w:val="24"/>
        </w:rPr>
        <w:t xml:space="preserve"> confidence intervals (95%CI).</w:t>
      </w:r>
    </w:p>
    <w:p w14:paraId="3C41C63A" w14:textId="0C41A365" w:rsidR="00CA129F" w:rsidRPr="000315B4" w:rsidRDefault="004E1106" w:rsidP="00F3526A">
      <w:pPr>
        <w:widowControl w:val="0"/>
        <w:adjustRightInd w:val="0"/>
        <w:snapToGrid w:val="0"/>
        <w:spacing w:line="360" w:lineRule="auto"/>
        <w:ind w:firstLineChars="100" w:firstLine="240"/>
        <w:jc w:val="both"/>
        <w:rPr>
          <w:sz w:val="24"/>
          <w:szCs w:val="24"/>
          <w:lang w:eastAsia="zh-CN"/>
        </w:rPr>
      </w:pPr>
      <w:r w:rsidRPr="000315B4">
        <w:rPr>
          <w:sz w:val="24"/>
          <w:szCs w:val="24"/>
        </w:rPr>
        <w:t>The statistical analyses were performed using SAS 9.4 software (SAS Institute Inc., Cary, NC, U</w:t>
      </w:r>
      <w:r w:rsidR="00F3526A" w:rsidRPr="000315B4">
        <w:rPr>
          <w:rFonts w:hint="eastAsia"/>
          <w:sz w:val="24"/>
          <w:szCs w:val="24"/>
          <w:lang w:eastAsia="zh-CN"/>
        </w:rPr>
        <w:t>nited States</w:t>
      </w:r>
      <w:r w:rsidRPr="000315B4">
        <w:rPr>
          <w:sz w:val="24"/>
          <w:szCs w:val="24"/>
        </w:rPr>
        <w:t xml:space="preserve">). Significance was set at </w:t>
      </w:r>
      <w:r w:rsidR="00F3526A" w:rsidRPr="000315B4">
        <w:rPr>
          <w:i/>
          <w:sz w:val="24"/>
          <w:szCs w:val="24"/>
        </w:rPr>
        <w:t>P</w:t>
      </w:r>
      <w:r w:rsidR="000F2A3F">
        <w:rPr>
          <w:sz w:val="24"/>
          <w:szCs w:val="24"/>
        </w:rPr>
        <w:t xml:space="preserve"> &lt; 0.05.</w:t>
      </w:r>
    </w:p>
    <w:p w14:paraId="425E64C1" w14:textId="77777777" w:rsidR="005C5B5F" w:rsidRPr="000315B4" w:rsidRDefault="005C5B5F" w:rsidP="007804E8">
      <w:pPr>
        <w:pStyle w:val="Subtitle"/>
        <w:widowControl w:val="0"/>
        <w:adjustRightInd w:val="0"/>
        <w:snapToGrid w:val="0"/>
        <w:spacing w:line="360" w:lineRule="auto"/>
        <w:jc w:val="both"/>
        <w:rPr>
          <w:sz w:val="24"/>
          <w:szCs w:val="24"/>
        </w:rPr>
      </w:pPr>
    </w:p>
    <w:p w14:paraId="3A4C171B" w14:textId="77777777" w:rsidR="00C71EEF" w:rsidRPr="000315B4" w:rsidRDefault="00007844" w:rsidP="007804E8">
      <w:pPr>
        <w:pStyle w:val="Subtitle"/>
        <w:widowControl w:val="0"/>
        <w:adjustRightInd w:val="0"/>
        <w:snapToGrid w:val="0"/>
        <w:spacing w:line="360" w:lineRule="auto"/>
        <w:jc w:val="both"/>
        <w:rPr>
          <w:sz w:val="24"/>
          <w:szCs w:val="24"/>
        </w:rPr>
      </w:pPr>
      <w:r w:rsidRPr="000315B4">
        <w:rPr>
          <w:sz w:val="24"/>
          <w:szCs w:val="24"/>
        </w:rPr>
        <w:t>RESULTS</w:t>
      </w:r>
    </w:p>
    <w:p w14:paraId="141F3C3B" w14:textId="36868622" w:rsidR="003C17DA" w:rsidRPr="000315B4" w:rsidRDefault="00CC4506" w:rsidP="007804E8">
      <w:pPr>
        <w:widowControl w:val="0"/>
        <w:adjustRightInd w:val="0"/>
        <w:snapToGrid w:val="0"/>
        <w:spacing w:line="360" w:lineRule="auto"/>
        <w:jc w:val="both"/>
        <w:rPr>
          <w:sz w:val="24"/>
          <w:szCs w:val="24"/>
          <w:rtl/>
        </w:rPr>
      </w:pPr>
      <w:r w:rsidRPr="000315B4">
        <w:rPr>
          <w:sz w:val="24"/>
          <w:szCs w:val="24"/>
        </w:rPr>
        <w:t>A</w:t>
      </w:r>
      <w:r w:rsidR="00C31685" w:rsidRPr="000315B4">
        <w:rPr>
          <w:sz w:val="24"/>
          <w:szCs w:val="24"/>
        </w:rPr>
        <w:t xml:space="preserve"> total of</w:t>
      </w:r>
      <w:r w:rsidR="007933E9" w:rsidRPr="000315B4">
        <w:rPr>
          <w:sz w:val="24"/>
          <w:szCs w:val="24"/>
        </w:rPr>
        <w:t xml:space="preserve"> </w:t>
      </w:r>
      <w:r w:rsidR="007D2E3A" w:rsidRPr="000315B4">
        <w:rPr>
          <w:sz w:val="24"/>
          <w:szCs w:val="24"/>
        </w:rPr>
        <w:t>387 patients with biopsy proven BE were</w:t>
      </w:r>
      <w:r w:rsidR="00E41396" w:rsidRPr="000315B4">
        <w:rPr>
          <w:sz w:val="24"/>
          <w:szCs w:val="24"/>
        </w:rPr>
        <w:t xml:space="preserve"> </w:t>
      </w:r>
      <w:r w:rsidR="005A10AB" w:rsidRPr="000315B4">
        <w:rPr>
          <w:sz w:val="24"/>
          <w:szCs w:val="24"/>
        </w:rPr>
        <w:t>included</w:t>
      </w:r>
      <w:r w:rsidR="007933E9" w:rsidRPr="000315B4">
        <w:rPr>
          <w:sz w:val="24"/>
          <w:szCs w:val="24"/>
        </w:rPr>
        <w:t xml:space="preserve"> </w:t>
      </w:r>
      <w:r w:rsidR="00D500C6" w:rsidRPr="000315B4">
        <w:rPr>
          <w:sz w:val="24"/>
          <w:szCs w:val="24"/>
        </w:rPr>
        <w:t xml:space="preserve">with endoscopic data starting </w:t>
      </w:r>
      <w:r w:rsidR="00F05EA5" w:rsidRPr="000315B4">
        <w:rPr>
          <w:sz w:val="24"/>
          <w:szCs w:val="24"/>
        </w:rPr>
        <w:t>at May</w:t>
      </w:r>
      <w:r w:rsidR="00B7125C" w:rsidRPr="000315B4">
        <w:rPr>
          <w:sz w:val="24"/>
          <w:szCs w:val="24"/>
        </w:rPr>
        <w:t xml:space="preserve"> 2004 until </w:t>
      </w:r>
      <w:r w:rsidR="007E68B7" w:rsidRPr="000315B4">
        <w:rPr>
          <w:sz w:val="24"/>
          <w:szCs w:val="24"/>
        </w:rPr>
        <w:t>December 2014</w:t>
      </w:r>
      <w:r w:rsidR="005A10AB" w:rsidRPr="000315B4">
        <w:rPr>
          <w:sz w:val="24"/>
          <w:szCs w:val="24"/>
        </w:rPr>
        <w:t>.</w:t>
      </w:r>
      <w:r w:rsidR="007D2E3A" w:rsidRPr="000315B4">
        <w:rPr>
          <w:sz w:val="24"/>
          <w:szCs w:val="24"/>
        </w:rPr>
        <w:t xml:space="preserve"> One </w:t>
      </w:r>
      <w:r w:rsidR="00846404" w:rsidRPr="000315B4">
        <w:rPr>
          <w:sz w:val="24"/>
          <w:szCs w:val="24"/>
        </w:rPr>
        <w:t xml:space="preserve">foreign </w:t>
      </w:r>
      <w:r w:rsidR="007D2E3A" w:rsidRPr="000315B4">
        <w:rPr>
          <w:sz w:val="24"/>
          <w:szCs w:val="24"/>
        </w:rPr>
        <w:t xml:space="preserve">patient with missing </w:t>
      </w:r>
      <w:r w:rsidR="00846404" w:rsidRPr="000315B4">
        <w:rPr>
          <w:sz w:val="24"/>
          <w:szCs w:val="24"/>
        </w:rPr>
        <w:t xml:space="preserve">NCR </w:t>
      </w:r>
      <w:r w:rsidR="007D2E3A" w:rsidRPr="000315B4">
        <w:rPr>
          <w:sz w:val="24"/>
          <w:szCs w:val="24"/>
        </w:rPr>
        <w:t>data was excluded</w:t>
      </w:r>
      <w:r w:rsidR="00B7125C" w:rsidRPr="000315B4">
        <w:rPr>
          <w:sz w:val="24"/>
          <w:szCs w:val="24"/>
        </w:rPr>
        <w:t>,</w:t>
      </w:r>
      <w:r w:rsidR="00350C4F" w:rsidRPr="000315B4">
        <w:rPr>
          <w:sz w:val="24"/>
          <w:szCs w:val="24"/>
        </w:rPr>
        <w:t xml:space="preserve"> leaving 386 for analysis</w:t>
      </w:r>
      <w:r w:rsidR="002A2BF5" w:rsidRPr="000315B4">
        <w:rPr>
          <w:sz w:val="24"/>
          <w:szCs w:val="24"/>
        </w:rPr>
        <w:t xml:space="preserve">, see </w:t>
      </w:r>
      <w:r w:rsidR="00903391" w:rsidRPr="000315B4">
        <w:rPr>
          <w:sz w:val="24"/>
          <w:szCs w:val="24"/>
        </w:rPr>
        <w:t xml:space="preserve">Figure </w:t>
      </w:r>
      <w:r w:rsidR="00B136C4" w:rsidRPr="000315B4">
        <w:rPr>
          <w:sz w:val="24"/>
          <w:szCs w:val="24"/>
        </w:rPr>
        <w:t>1</w:t>
      </w:r>
      <w:r w:rsidR="00DB2778" w:rsidRPr="000315B4">
        <w:rPr>
          <w:sz w:val="24"/>
          <w:szCs w:val="24"/>
        </w:rPr>
        <w:t>.</w:t>
      </w:r>
      <w:r w:rsidR="00F3526A" w:rsidRPr="000315B4">
        <w:rPr>
          <w:sz w:val="24"/>
          <w:szCs w:val="24"/>
        </w:rPr>
        <w:t xml:space="preserve"> </w:t>
      </w:r>
      <w:r w:rsidR="009A2C45" w:rsidRPr="000315B4">
        <w:rPr>
          <w:sz w:val="24"/>
          <w:szCs w:val="24"/>
        </w:rPr>
        <w:t xml:space="preserve">The analysis </w:t>
      </w:r>
      <w:r w:rsidR="00B94F0B" w:rsidRPr="000315B4">
        <w:rPr>
          <w:sz w:val="24"/>
          <w:szCs w:val="24"/>
        </w:rPr>
        <w:t>for</w:t>
      </w:r>
      <w:r w:rsidR="009A2C45" w:rsidRPr="000315B4">
        <w:rPr>
          <w:sz w:val="24"/>
          <w:szCs w:val="24"/>
        </w:rPr>
        <w:t xml:space="preserve"> non-BE cancer</w:t>
      </w:r>
      <w:r w:rsidR="00E11A0A" w:rsidRPr="000315B4">
        <w:rPr>
          <w:sz w:val="24"/>
          <w:szCs w:val="24"/>
        </w:rPr>
        <w:t xml:space="preserve"> among BE patients with or without d</w:t>
      </w:r>
      <w:r w:rsidR="00C31685" w:rsidRPr="000315B4">
        <w:rPr>
          <w:sz w:val="24"/>
          <w:szCs w:val="24"/>
        </w:rPr>
        <w:t>y</w:t>
      </w:r>
      <w:r w:rsidR="00E11A0A" w:rsidRPr="000315B4">
        <w:rPr>
          <w:sz w:val="24"/>
          <w:szCs w:val="24"/>
        </w:rPr>
        <w:t>splasia</w:t>
      </w:r>
      <w:r w:rsidR="009A2C45" w:rsidRPr="000315B4">
        <w:rPr>
          <w:sz w:val="24"/>
          <w:szCs w:val="24"/>
        </w:rPr>
        <w:t xml:space="preserve">, included 379 patients </w:t>
      </w:r>
      <w:r w:rsidR="00B11A6B" w:rsidRPr="000315B4">
        <w:rPr>
          <w:sz w:val="24"/>
          <w:szCs w:val="24"/>
        </w:rPr>
        <w:t>who</w:t>
      </w:r>
      <w:r w:rsidR="009A2C45" w:rsidRPr="000315B4">
        <w:rPr>
          <w:sz w:val="24"/>
          <w:szCs w:val="24"/>
        </w:rPr>
        <w:t xml:space="preserve"> did not develop IMC or BE-cancer during the study follow-up. </w:t>
      </w:r>
      <w:r w:rsidR="00DB2778" w:rsidRPr="000315B4">
        <w:rPr>
          <w:sz w:val="24"/>
          <w:szCs w:val="24"/>
        </w:rPr>
        <w:t>T</w:t>
      </w:r>
      <w:r w:rsidR="00363946" w:rsidRPr="000315B4">
        <w:rPr>
          <w:sz w:val="24"/>
          <w:szCs w:val="24"/>
        </w:rPr>
        <w:t>he t</w:t>
      </w:r>
      <w:r w:rsidR="00907AE0" w:rsidRPr="000315B4">
        <w:rPr>
          <w:sz w:val="24"/>
          <w:szCs w:val="24"/>
        </w:rPr>
        <w:t xml:space="preserve">otal </w:t>
      </w:r>
      <w:r w:rsidR="009A2C45" w:rsidRPr="000315B4">
        <w:rPr>
          <w:sz w:val="24"/>
          <w:szCs w:val="24"/>
        </w:rPr>
        <w:t>cohort</w:t>
      </w:r>
      <w:r w:rsidR="006B09A4" w:rsidRPr="000315B4">
        <w:rPr>
          <w:sz w:val="24"/>
          <w:szCs w:val="24"/>
        </w:rPr>
        <w:t xml:space="preserve"> </w:t>
      </w:r>
      <w:r w:rsidR="00DB2778" w:rsidRPr="000315B4">
        <w:rPr>
          <w:sz w:val="24"/>
          <w:szCs w:val="24"/>
        </w:rPr>
        <w:t xml:space="preserve">number </w:t>
      </w:r>
      <w:r w:rsidR="00907AE0" w:rsidRPr="000315B4">
        <w:rPr>
          <w:sz w:val="24"/>
          <w:szCs w:val="24"/>
        </w:rPr>
        <w:t>of</w:t>
      </w:r>
      <w:r w:rsidR="007D2E3A" w:rsidRPr="000315B4">
        <w:rPr>
          <w:sz w:val="24"/>
          <w:szCs w:val="24"/>
        </w:rPr>
        <w:t xml:space="preserve"> </w:t>
      </w:r>
      <w:r w:rsidR="00DB2778" w:rsidRPr="000315B4">
        <w:rPr>
          <w:sz w:val="24"/>
          <w:szCs w:val="24"/>
        </w:rPr>
        <w:t xml:space="preserve">endoscopies was </w:t>
      </w:r>
      <w:r w:rsidR="007D2E3A" w:rsidRPr="000315B4">
        <w:rPr>
          <w:sz w:val="24"/>
          <w:szCs w:val="24"/>
        </w:rPr>
        <w:t>963</w:t>
      </w:r>
      <w:r w:rsidR="006666B0" w:rsidRPr="000315B4">
        <w:rPr>
          <w:sz w:val="24"/>
          <w:szCs w:val="24"/>
        </w:rPr>
        <w:t xml:space="preserve">, </w:t>
      </w:r>
      <w:r w:rsidR="005A10AB" w:rsidRPr="000315B4">
        <w:rPr>
          <w:sz w:val="24"/>
          <w:szCs w:val="24"/>
        </w:rPr>
        <w:t>with a mean of 2.5 ± 2</w:t>
      </w:r>
      <w:r w:rsidR="00B8676D" w:rsidRPr="000315B4">
        <w:rPr>
          <w:sz w:val="24"/>
          <w:szCs w:val="24"/>
        </w:rPr>
        <w:t>.0</w:t>
      </w:r>
      <w:r w:rsidR="005A10AB" w:rsidRPr="000315B4">
        <w:rPr>
          <w:sz w:val="24"/>
          <w:szCs w:val="24"/>
        </w:rPr>
        <w:t xml:space="preserve"> endoscopies</w:t>
      </w:r>
      <w:r w:rsidR="005A10AB" w:rsidRPr="000315B4" w:rsidDel="005A10AB">
        <w:rPr>
          <w:sz w:val="24"/>
          <w:szCs w:val="24"/>
        </w:rPr>
        <w:t xml:space="preserve"> </w:t>
      </w:r>
      <w:r w:rsidR="005A10AB" w:rsidRPr="000315B4">
        <w:rPr>
          <w:sz w:val="24"/>
          <w:szCs w:val="24"/>
        </w:rPr>
        <w:t>per</w:t>
      </w:r>
      <w:r w:rsidR="006666B0" w:rsidRPr="000315B4">
        <w:rPr>
          <w:sz w:val="24"/>
          <w:szCs w:val="24"/>
        </w:rPr>
        <w:t xml:space="preserve"> patient</w:t>
      </w:r>
      <w:r w:rsidR="007D2E3A" w:rsidRPr="000315B4">
        <w:rPr>
          <w:sz w:val="24"/>
          <w:szCs w:val="24"/>
        </w:rPr>
        <w:t>.</w:t>
      </w:r>
      <w:r w:rsidR="007933E9" w:rsidRPr="000315B4">
        <w:rPr>
          <w:sz w:val="24"/>
          <w:szCs w:val="24"/>
        </w:rPr>
        <w:t xml:space="preserve"> Two hundred sixty</w:t>
      </w:r>
      <w:r w:rsidRPr="000315B4">
        <w:rPr>
          <w:sz w:val="24"/>
          <w:szCs w:val="24"/>
        </w:rPr>
        <w:t>-</w:t>
      </w:r>
      <w:r w:rsidR="007933E9" w:rsidRPr="000315B4">
        <w:rPr>
          <w:sz w:val="24"/>
          <w:szCs w:val="24"/>
        </w:rPr>
        <w:t>eight (</w:t>
      </w:r>
      <w:r w:rsidR="007933E9" w:rsidRPr="000315B4">
        <w:rPr>
          <w:rFonts w:eastAsia="Times New Roman"/>
          <w:sz w:val="24"/>
          <w:szCs w:val="24"/>
        </w:rPr>
        <w:t>69.4%)</w:t>
      </w:r>
      <w:r w:rsidR="009945F8" w:rsidRPr="000315B4">
        <w:rPr>
          <w:sz w:val="24"/>
          <w:szCs w:val="24"/>
        </w:rPr>
        <w:t xml:space="preserve"> were male</w:t>
      </w:r>
      <w:r w:rsidR="005A10AB" w:rsidRPr="000315B4">
        <w:rPr>
          <w:sz w:val="24"/>
          <w:szCs w:val="24"/>
        </w:rPr>
        <w:t>s</w:t>
      </w:r>
      <w:r w:rsidR="007C50B7" w:rsidRPr="000315B4">
        <w:rPr>
          <w:sz w:val="24"/>
          <w:szCs w:val="24"/>
        </w:rPr>
        <w:t xml:space="preserve"> </w:t>
      </w:r>
      <w:r w:rsidR="007933E9" w:rsidRPr="000315B4">
        <w:rPr>
          <w:sz w:val="24"/>
          <w:szCs w:val="24"/>
        </w:rPr>
        <w:t>with a</w:t>
      </w:r>
      <w:r w:rsidR="009A2C45" w:rsidRPr="000315B4">
        <w:rPr>
          <w:sz w:val="24"/>
          <w:szCs w:val="24"/>
        </w:rPr>
        <w:t>n overall</w:t>
      </w:r>
      <w:r w:rsidR="007933E9" w:rsidRPr="000315B4">
        <w:rPr>
          <w:sz w:val="24"/>
          <w:szCs w:val="24"/>
        </w:rPr>
        <w:t xml:space="preserve"> m</w:t>
      </w:r>
      <w:r w:rsidR="006666B0" w:rsidRPr="000315B4">
        <w:rPr>
          <w:sz w:val="24"/>
          <w:szCs w:val="24"/>
        </w:rPr>
        <w:t xml:space="preserve">ean age </w:t>
      </w:r>
      <w:r w:rsidR="007933E9" w:rsidRPr="000315B4">
        <w:rPr>
          <w:sz w:val="24"/>
          <w:szCs w:val="24"/>
        </w:rPr>
        <w:t>of</w:t>
      </w:r>
      <w:r w:rsidR="006666B0" w:rsidRPr="000315B4">
        <w:rPr>
          <w:sz w:val="24"/>
          <w:szCs w:val="24"/>
        </w:rPr>
        <w:t xml:space="preserve"> </w:t>
      </w:r>
      <w:r w:rsidR="009945F8" w:rsidRPr="000315B4">
        <w:rPr>
          <w:sz w:val="24"/>
          <w:szCs w:val="24"/>
        </w:rPr>
        <w:t>60</w:t>
      </w:r>
      <w:r w:rsidR="00B8676D" w:rsidRPr="000315B4">
        <w:rPr>
          <w:sz w:val="24"/>
          <w:szCs w:val="24"/>
        </w:rPr>
        <w:t>.0</w:t>
      </w:r>
      <w:r w:rsidR="00F3526A" w:rsidRPr="000315B4">
        <w:rPr>
          <w:rFonts w:hint="eastAsia"/>
          <w:sz w:val="24"/>
          <w:szCs w:val="24"/>
          <w:lang w:eastAsia="zh-CN"/>
        </w:rPr>
        <w:t xml:space="preserve"> </w:t>
      </w:r>
      <w:r w:rsidR="006666B0" w:rsidRPr="000315B4">
        <w:rPr>
          <w:sz w:val="24"/>
          <w:szCs w:val="24"/>
        </w:rPr>
        <w:t>±</w:t>
      </w:r>
      <w:r w:rsidR="00F3526A" w:rsidRPr="000315B4">
        <w:rPr>
          <w:rFonts w:hint="eastAsia"/>
          <w:sz w:val="24"/>
          <w:szCs w:val="24"/>
          <w:lang w:eastAsia="zh-CN"/>
        </w:rPr>
        <w:t xml:space="preserve"> </w:t>
      </w:r>
      <w:r w:rsidR="006666B0" w:rsidRPr="000315B4">
        <w:rPr>
          <w:sz w:val="24"/>
          <w:szCs w:val="24"/>
        </w:rPr>
        <w:t>13.1 years</w:t>
      </w:r>
      <w:r w:rsidR="001968CA" w:rsidRPr="000315B4">
        <w:rPr>
          <w:sz w:val="24"/>
          <w:szCs w:val="24"/>
        </w:rPr>
        <w:t xml:space="preserve"> </w:t>
      </w:r>
      <w:r w:rsidR="00F3526A" w:rsidRPr="000315B4">
        <w:rPr>
          <w:rFonts w:hint="eastAsia"/>
          <w:sz w:val="24"/>
          <w:szCs w:val="24"/>
          <w:lang w:eastAsia="zh-CN"/>
        </w:rPr>
        <w:t>(</w:t>
      </w:r>
      <w:r w:rsidR="00903391" w:rsidRPr="000315B4">
        <w:rPr>
          <w:sz w:val="24"/>
          <w:szCs w:val="24"/>
        </w:rPr>
        <w:t xml:space="preserve">Table </w:t>
      </w:r>
      <w:r w:rsidR="009A2C45" w:rsidRPr="000315B4">
        <w:rPr>
          <w:sz w:val="24"/>
          <w:szCs w:val="24"/>
        </w:rPr>
        <w:t>1</w:t>
      </w:r>
      <w:r w:rsidR="00F3526A" w:rsidRPr="000315B4">
        <w:rPr>
          <w:rFonts w:hint="eastAsia"/>
          <w:sz w:val="24"/>
          <w:szCs w:val="24"/>
          <w:lang w:eastAsia="zh-CN"/>
        </w:rPr>
        <w:t>)</w:t>
      </w:r>
      <w:r w:rsidR="009A2C45" w:rsidRPr="000315B4">
        <w:rPr>
          <w:sz w:val="24"/>
          <w:szCs w:val="24"/>
        </w:rPr>
        <w:t xml:space="preserve">. </w:t>
      </w:r>
      <w:r w:rsidR="00130AB3" w:rsidRPr="000315B4">
        <w:rPr>
          <w:sz w:val="24"/>
          <w:szCs w:val="24"/>
        </w:rPr>
        <w:t>Long segment BE was found in 225</w:t>
      </w:r>
      <w:r w:rsidR="002C2B1E" w:rsidRPr="000315B4">
        <w:rPr>
          <w:sz w:val="24"/>
          <w:szCs w:val="24"/>
        </w:rPr>
        <w:t xml:space="preserve"> </w:t>
      </w:r>
      <w:r w:rsidR="00130AB3" w:rsidRPr="000315B4">
        <w:rPr>
          <w:sz w:val="24"/>
          <w:szCs w:val="24"/>
        </w:rPr>
        <w:t>(59.7%) of patient</w:t>
      </w:r>
      <w:r w:rsidR="005A10AB" w:rsidRPr="000315B4">
        <w:rPr>
          <w:sz w:val="24"/>
          <w:szCs w:val="24"/>
        </w:rPr>
        <w:t>s</w:t>
      </w:r>
      <w:r w:rsidR="00130AB3" w:rsidRPr="000315B4">
        <w:rPr>
          <w:sz w:val="24"/>
          <w:szCs w:val="24"/>
        </w:rPr>
        <w:t xml:space="preserve">. </w:t>
      </w:r>
      <w:r w:rsidR="000C255A" w:rsidRPr="000315B4">
        <w:rPr>
          <w:sz w:val="24"/>
          <w:szCs w:val="24"/>
        </w:rPr>
        <w:t xml:space="preserve">The worst </w:t>
      </w:r>
      <w:r w:rsidR="00130AB3" w:rsidRPr="000315B4">
        <w:rPr>
          <w:sz w:val="24"/>
          <w:szCs w:val="24"/>
        </w:rPr>
        <w:t>degree</w:t>
      </w:r>
      <w:r w:rsidR="009A2C45" w:rsidRPr="000315B4">
        <w:rPr>
          <w:sz w:val="24"/>
          <w:szCs w:val="24"/>
        </w:rPr>
        <w:t>s</w:t>
      </w:r>
      <w:r w:rsidR="00130AB3" w:rsidRPr="000315B4">
        <w:rPr>
          <w:sz w:val="24"/>
          <w:szCs w:val="24"/>
        </w:rPr>
        <w:t xml:space="preserve"> of dysplasia</w:t>
      </w:r>
      <w:r w:rsidR="00E41396" w:rsidRPr="000315B4">
        <w:rPr>
          <w:sz w:val="24"/>
          <w:szCs w:val="24"/>
        </w:rPr>
        <w:t>/neoplasia</w:t>
      </w:r>
      <w:r w:rsidR="000C255A" w:rsidRPr="000315B4">
        <w:rPr>
          <w:sz w:val="24"/>
          <w:szCs w:val="24"/>
        </w:rPr>
        <w:t xml:space="preserve"> w</w:t>
      </w:r>
      <w:r w:rsidR="009A2C45" w:rsidRPr="000315B4">
        <w:rPr>
          <w:sz w:val="24"/>
          <w:szCs w:val="24"/>
        </w:rPr>
        <w:t>ere LGD, HGD, IMC, and EAC</w:t>
      </w:r>
      <w:r w:rsidR="00E41396" w:rsidRPr="000315B4">
        <w:rPr>
          <w:sz w:val="24"/>
          <w:szCs w:val="24"/>
        </w:rPr>
        <w:t xml:space="preserve"> </w:t>
      </w:r>
      <w:r w:rsidR="00130AB3" w:rsidRPr="000315B4">
        <w:rPr>
          <w:sz w:val="24"/>
          <w:szCs w:val="24"/>
        </w:rPr>
        <w:t xml:space="preserve">in </w:t>
      </w:r>
      <w:r w:rsidR="00E41396" w:rsidRPr="000315B4">
        <w:rPr>
          <w:sz w:val="24"/>
          <w:szCs w:val="24"/>
        </w:rPr>
        <w:t>19</w:t>
      </w:r>
      <w:r w:rsidR="00130AB3" w:rsidRPr="000315B4">
        <w:rPr>
          <w:sz w:val="24"/>
          <w:szCs w:val="24"/>
        </w:rPr>
        <w:t xml:space="preserve"> (4.</w:t>
      </w:r>
      <w:r w:rsidR="00E41396" w:rsidRPr="000315B4">
        <w:rPr>
          <w:sz w:val="24"/>
          <w:szCs w:val="24"/>
        </w:rPr>
        <w:t>9</w:t>
      </w:r>
      <w:r w:rsidR="00130AB3" w:rsidRPr="000315B4">
        <w:rPr>
          <w:sz w:val="24"/>
          <w:szCs w:val="24"/>
        </w:rPr>
        <w:t>%)</w:t>
      </w:r>
      <w:r w:rsidR="005A10AB" w:rsidRPr="000315B4">
        <w:rPr>
          <w:sz w:val="24"/>
          <w:szCs w:val="24"/>
        </w:rPr>
        <w:t xml:space="preserve">, </w:t>
      </w:r>
      <w:r w:rsidR="00E41396" w:rsidRPr="000315B4">
        <w:rPr>
          <w:sz w:val="24"/>
          <w:szCs w:val="24"/>
        </w:rPr>
        <w:t>1</w:t>
      </w:r>
      <w:r w:rsidR="00130AB3" w:rsidRPr="000315B4">
        <w:rPr>
          <w:sz w:val="24"/>
          <w:szCs w:val="24"/>
        </w:rPr>
        <w:t>2 (</w:t>
      </w:r>
      <w:r w:rsidR="00E41396" w:rsidRPr="000315B4">
        <w:rPr>
          <w:sz w:val="24"/>
          <w:szCs w:val="24"/>
        </w:rPr>
        <w:t>3.1</w:t>
      </w:r>
      <w:r w:rsidR="00130AB3" w:rsidRPr="000315B4">
        <w:rPr>
          <w:sz w:val="24"/>
          <w:szCs w:val="24"/>
        </w:rPr>
        <w:t>%)</w:t>
      </w:r>
      <w:r w:rsidR="00E41396" w:rsidRPr="000315B4">
        <w:rPr>
          <w:sz w:val="24"/>
          <w:szCs w:val="24"/>
        </w:rPr>
        <w:t>,</w:t>
      </w:r>
      <w:r w:rsidR="00B8676D" w:rsidRPr="000315B4">
        <w:rPr>
          <w:sz w:val="24"/>
          <w:szCs w:val="24"/>
        </w:rPr>
        <w:t xml:space="preserve"> </w:t>
      </w:r>
      <w:r w:rsidR="00E41396" w:rsidRPr="000315B4">
        <w:rPr>
          <w:sz w:val="24"/>
          <w:szCs w:val="24"/>
        </w:rPr>
        <w:t xml:space="preserve">2 (0.5%), and </w:t>
      </w:r>
      <w:r w:rsidR="00340603" w:rsidRPr="000315B4">
        <w:rPr>
          <w:sz w:val="24"/>
          <w:szCs w:val="24"/>
          <w:rtl/>
        </w:rPr>
        <w:t>7</w:t>
      </w:r>
      <w:r w:rsidR="00E41396" w:rsidRPr="000315B4">
        <w:rPr>
          <w:sz w:val="24"/>
          <w:szCs w:val="24"/>
        </w:rPr>
        <w:t xml:space="preserve"> (1.</w:t>
      </w:r>
      <w:r w:rsidR="00340603" w:rsidRPr="000315B4">
        <w:rPr>
          <w:sz w:val="24"/>
          <w:szCs w:val="24"/>
          <w:rtl/>
        </w:rPr>
        <w:t>8</w:t>
      </w:r>
      <w:r w:rsidR="00E41396" w:rsidRPr="000315B4">
        <w:rPr>
          <w:sz w:val="24"/>
          <w:szCs w:val="24"/>
        </w:rPr>
        <w:t xml:space="preserve">%) </w:t>
      </w:r>
      <w:r w:rsidR="000C255A" w:rsidRPr="000315B4">
        <w:rPr>
          <w:sz w:val="24"/>
          <w:szCs w:val="24"/>
        </w:rPr>
        <w:t xml:space="preserve">patients </w:t>
      </w:r>
      <w:r w:rsidR="00130AB3" w:rsidRPr="000315B4">
        <w:rPr>
          <w:sz w:val="24"/>
          <w:szCs w:val="24"/>
        </w:rPr>
        <w:t>respectively</w:t>
      </w:r>
      <w:r w:rsidR="009A2C45" w:rsidRPr="000315B4">
        <w:rPr>
          <w:sz w:val="24"/>
          <w:szCs w:val="24"/>
        </w:rPr>
        <w:t>.</w:t>
      </w:r>
      <w:r w:rsidR="00130AB3" w:rsidRPr="000315B4">
        <w:rPr>
          <w:sz w:val="24"/>
          <w:szCs w:val="24"/>
        </w:rPr>
        <w:t xml:space="preserve"> </w:t>
      </w:r>
      <w:r w:rsidR="006F413D" w:rsidRPr="000315B4">
        <w:rPr>
          <w:sz w:val="24"/>
          <w:szCs w:val="24"/>
        </w:rPr>
        <w:t>S</w:t>
      </w:r>
      <w:r w:rsidR="00EF1E26" w:rsidRPr="000315B4">
        <w:rPr>
          <w:sz w:val="24"/>
          <w:szCs w:val="24"/>
        </w:rPr>
        <w:t>tudy inclusion</w:t>
      </w:r>
      <w:r w:rsidR="00B56EDC" w:rsidRPr="000315B4">
        <w:rPr>
          <w:sz w:val="24"/>
          <w:szCs w:val="24"/>
        </w:rPr>
        <w:t xml:space="preserve"> </w:t>
      </w:r>
      <w:r w:rsidR="00B94F0B" w:rsidRPr="000315B4">
        <w:rPr>
          <w:sz w:val="24"/>
          <w:szCs w:val="24"/>
        </w:rPr>
        <w:t>per year</w:t>
      </w:r>
      <w:r w:rsidR="002C2B1E" w:rsidRPr="000315B4">
        <w:rPr>
          <w:sz w:val="24"/>
          <w:szCs w:val="24"/>
        </w:rPr>
        <w:t xml:space="preserve"> </w:t>
      </w:r>
      <w:r w:rsidR="00B94F0B" w:rsidRPr="000315B4">
        <w:rPr>
          <w:sz w:val="24"/>
          <w:szCs w:val="24"/>
        </w:rPr>
        <w:t>is</w:t>
      </w:r>
      <w:r w:rsidR="00B56EDC" w:rsidRPr="000315B4">
        <w:rPr>
          <w:sz w:val="24"/>
          <w:szCs w:val="24"/>
        </w:rPr>
        <w:t xml:space="preserve"> </w:t>
      </w:r>
      <w:r w:rsidR="006F413D" w:rsidRPr="000315B4">
        <w:rPr>
          <w:sz w:val="24"/>
          <w:szCs w:val="24"/>
        </w:rPr>
        <w:t xml:space="preserve">shown </w:t>
      </w:r>
      <w:r w:rsidR="00B56EDC" w:rsidRPr="000315B4">
        <w:rPr>
          <w:sz w:val="24"/>
          <w:szCs w:val="24"/>
        </w:rPr>
        <w:t xml:space="preserve">in </w:t>
      </w:r>
      <w:r w:rsidR="00903391" w:rsidRPr="000315B4">
        <w:rPr>
          <w:sz w:val="24"/>
          <w:szCs w:val="24"/>
        </w:rPr>
        <w:t xml:space="preserve">Supplementary Table </w:t>
      </w:r>
      <w:r w:rsidR="00B56EDC" w:rsidRPr="000315B4">
        <w:rPr>
          <w:sz w:val="24"/>
          <w:szCs w:val="24"/>
        </w:rPr>
        <w:t>1 in the supplementary section.</w:t>
      </w:r>
    </w:p>
    <w:p w14:paraId="0D56599C" w14:textId="54B0178B" w:rsidR="006E246B" w:rsidRPr="000315B4" w:rsidRDefault="00973005" w:rsidP="00903391">
      <w:pPr>
        <w:widowControl w:val="0"/>
        <w:adjustRightInd w:val="0"/>
        <w:snapToGrid w:val="0"/>
        <w:spacing w:line="360" w:lineRule="auto"/>
        <w:ind w:firstLineChars="100" w:firstLine="240"/>
        <w:jc w:val="both"/>
        <w:rPr>
          <w:sz w:val="24"/>
          <w:szCs w:val="24"/>
        </w:rPr>
      </w:pPr>
      <w:r w:rsidRPr="000315B4">
        <w:rPr>
          <w:sz w:val="24"/>
          <w:szCs w:val="24"/>
        </w:rPr>
        <w:t>Seventy-</w:t>
      </w:r>
      <w:r w:rsidR="00F41ED6" w:rsidRPr="000315B4">
        <w:rPr>
          <w:sz w:val="24"/>
          <w:szCs w:val="24"/>
        </w:rPr>
        <w:t>five</w:t>
      </w:r>
      <w:r w:rsidR="00D56DD3" w:rsidRPr="000315B4">
        <w:rPr>
          <w:sz w:val="24"/>
          <w:szCs w:val="24"/>
        </w:rPr>
        <w:t xml:space="preserve"> patients</w:t>
      </w:r>
      <w:r w:rsidR="00215D5D" w:rsidRPr="000315B4">
        <w:rPr>
          <w:sz w:val="24"/>
          <w:szCs w:val="24"/>
        </w:rPr>
        <w:t xml:space="preserve"> (</w:t>
      </w:r>
      <w:r w:rsidR="00A15993" w:rsidRPr="000315B4">
        <w:rPr>
          <w:sz w:val="24"/>
          <w:szCs w:val="24"/>
        </w:rPr>
        <w:t>19</w:t>
      </w:r>
      <w:r w:rsidR="00050206" w:rsidRPr="000315B4">
        <w:rPr>
          <w:sz w:val="24"/>
          <w:szCs w:val="24"/>
        </w:rPr>
        <w:t>.</w:t>
      </w:r>
      <w:r w:rsidR="00F41ED6" w:rsidRPr="000315B4">
        <w:rPr>
          <w:sz w:val="24"/>
          <w:szCs w:val="24"/>
        </w:rPr>
        <w:t>4</w:t>
      </w:r>
      <w:r w:rsidR="00215D5D" w:rsidRPr="000315B4">
        <w:rPr>
          <w:sz w:val="24"/>
          <w:szCs w:val="24"/>
        </w:rPr>
        <w:t xml:space="preserve">%) </w:t>
      </w:r>
      <w:r w:rsidR="00D56DD3" w:rsidRPr="000315B4">
        <w:rPr>
          <w:sz w:val="24"/>
          <w:szCs w:val="24"/>
        </w:rPr>
        <w:t xml:space="preserve">had </w:t>
      </w:r>
      <w:r w:rsidR="00E701DB" w:rsidRPr="000315B4">
        <w:rPr>
          <w:sz w:val="24"/>
          <w:szCs w:val="24"/>
        </w:rPr>
        <w:t>invasive</w:t>
      </w:r>
      <w:r w:rsidR="000656C5" w:rsidRPr="000315B4">
        <w:rPr>
          <w:sz w:val="24"/>
          <w:szCs w:val="24"/>
        </w:rPr>
        <w:t xml:space="preserve"> lifetime</w:t>
      </w:r>
      <w:r w:rsidR="00E701DB" w:rsidRPr="000315B4">
        <w:rPr>
          <w:sz w:val="24"/>
          <w:szCs w:val="24"/>
        </w:rPr>
        <w:t xml:space="preserve"> </w:t>
      </w:r>
      <w:r w:rsidR="00215D5D" w:rsidRPr="000315B4">
        <w:rPr>
          <w:sz w:val="24"/>
          <w:szCs w:val="24"/>
        </w:rPr>
        <w:t>cancers</w:t>
      </w:r>
      <w:r w:rsidR="00285073" w:rsidRPr="000315B4">
        <w:rPr>
          <w:sz w:val="24"/>
          <w:szCs w:val="24"/>
        </w:rPr>
        <w:t xml:space="preserve">, </w:t>
      </w:r>
      <w:r w:rsidR="00215D5D" w:rsidRPr="000315B4">
        <w:rPr>
          <w:sz w:val="24"/>
          <w:szCs w:val="24"/>
        </w:rPr>
        <w:t>reported by the NCR database</w:t>
      </w:r>
      <w:r w:rsidR="00A02781" w:rsidRPr="000315B4">
        <w:rPr>
          <w:sz w:val="24"/>
          <w:szCs w:val="24"/>
        </w:rPr>
        <w:t xml:space="preserve">, of </w:t>
      </w:r>
      <w:r w:rsidR="00050206" w:rsidRPr="000315B4">
        <w:rPr>
          <w:sz w:val="24"/>
          <w:szCs w:val="24"/>
        </w:rPr>
        <w:t xml:space="preserve">whom </w:t>
      </w:r>
      <w:r w:rsidR="00A02781" w:rsidRPr="000315B4">
        <w:rPr>
          <w:sz w:val="24"/>
          <w:szCs w:val="24"/>
        </w:rPr>
        <w:t>1</w:t>
      </w:r>
      <w:r w:rsidR="00E40D43" w:rsidRPr="000315B4">
        <w:rPr>
          <w:sz w:val="24"/>
          <w:szCs w:val="24"/>
        </w:rPr>
        <w:t>0</w:t>
      </w:r>
      <w:r w:rsidR="00050206" w:rsidRPr="000315B4">
        <w:rPr>
          <w:sz w:val="24"/>
          <w:szCs w:val="24"/>
        </w:rPr>
        <w:t xml:space="preserve"> (2.</w:t>
      </w:r>
      <w:r w:rsidR="00E40D43" w:rsidRPr="000315B4">
        <w:rPr>
          <w:sz w:val="24"/>
          <w:szCs w:val="24"/>
        </w:rPr>
        <w:t>6</w:t>
      </w:r>
      <w:r w:rsidR="00050206" w:rsidRPr="000315B4">
        <w:rPr>
          <w:sz w:val="24"/>
          <w:szCs w:val="24"/>
        </w:rPr>
        <w:t>%)</w:t>
      </w:r>
      <w:r w:rsidR="00A02781" w:rsidRPr="000315B4">
        <w:rPr>
          <w:sz w:val="24"/>
          <w:szCs w:val="24"/>
        </w:rPr>
        <w:t xml:space="preserve"> </w:t>
      </w:r>
      <w:r w:rsidR="00050206" w:rsidRPr="000315B4">
        <w:rPr>
          <w:sz w:val="24"/>
          <w:szCs w:val="24"/>
        </w:rPr>
        <w:t xml:space="preserve">had </w:t>
      </w:r>
      <w:r w:rsidR="003D2D76" w:rsidRPr="000315B4">
        <w:rPr>
          <w:sz w:val="24"/>
          <w:szCs w:val="24"/>
        </w:rPr>
        <w:t xml:space="preserve">lifetime </w:t>
      </w:r>
      <w:r w:rsidR="00CA3094" w:rsidRPr="000315B4">
        <w:rPr>
          <w:sz w:val="24"/>
          <w:szCs w:val="24"/>
        </w:rPr>
        <w:t>BE cancers</w:t>
      </w:r>
      <w:r w:rsidR="00A02781" w:rsidRPr="000315B4">
        <w:rPr>
          <w:sz w:val="24"/>
          <w:szCs w:val="24"/>
        </w:rPr>
        <w:t xml:space="preserve">. </w:t>
      </w:r>
      <w:r w:rsidR="00E40D43" w:rsidRPr="000315B4">
        <w:rPr>
          <w:sz w:val="24"/>
          <w:szCs w:val="24"/>
        </w:rPr>
        <w:t>T</w:t>
      </w:r>
      <w:r w:rsidR="00A8502A" w:rsidRPr="000315B4">
        <w:rPr>
          <w:sz w:val="24"/>
          <w:szCs w:val="24"/>
        </w:rPr>
        <w:t xml:space="preserve">here were </w:t>
      </w:r>
      <w:r w:rsidR="001100A5" w:rsidRPr="000315B4">
        <w:rPr>
          <w:sz w:val="24"/>
          <w:szCs w:val="24"/>
        </w:rPr>
        <w:t xml:space="preserve">pre-study cancers in </w:t>
      </w:r>
      <w:r w:rsidR="008104ED" w:rsidRPr="000315B4">
        <w:rPr>
          <w:sz w:val="24"/>
          <w:szCs w:val="24"/>
        </w:rPr>
        <w:t>5</w:t>
      </w:r>
      <w:r w:rsidR="003B748D" w:rsidRPr="000315B4">
        <w:rPr>
          <w:sz w:val="24"/>
          <w:szCs w:val="24"/>
        </w:rPr>
        <w:t>0</w:t>
      </w:r>
      <w:r w:rsidR="00E40D43" w:rsidRPr="000315B4">
        <w:rPr>
          <w:sz w:val="24"/>
          <w:szCs w:val="24"/>
        </w:rPr>
        <w:t xml:space="preserve"> </w:t>
      </w:r>
      <w:r w:rsidR="007933E9" w:rsidRPr="000315B4">
        <w:rPr>
          <w:sz w:val="24"/>
          <w:szCs w:val="24"/>
        </w:rPr>
        <w:t>(</w:t>
      </w:r>
      <w:r w:rsidR="0093673A" w:rsidRPr="000315B4">
        <w:rPr>
          <w:sz w:val="24"/>
          <w:szCs w:val="24"/>
        </w:rPr>
        <w:t>1</w:t>
      </w:r>
      <w:r w:rsidR="00E40D43" w:rsidRPr="000315B4">
        <w:rPr>
          <w:sz w:val="24"/>
          <w:szCs w:val="24"/>
        </w:rPr>
        <w:t>3</w:t>
      </w:r>
      <w:r w:rsidR="0093673A" w:rsidRPr="000315B4">
        <w:rPr>
          <w:sz w:val="24"/>
          <w:szCs w:val="24"/>
        </w:rPr>
        <w:t>%)</w:t>
      </w:r>
      <w:r w:rsidR="001100A5" w:rsidRPr="000315B4">
        <w:rPr>
          <w:sz w:val="24"/>
          <w:szCs w:val="24"/>
        </w:rPr>
        <w:t xml:space="preserve"> patients, of which </w:t>
      </w:r>
      <w:r w:rsidR="00E40D43" w:rsidRPr="000315B4">
        <w:rPr>
          <w:sz w:val="24"/>
          <w:szCs w:val="24"/>
        </w:rPr>
        <w:t>3</w:t>
      </w:r>
      <w:r w:rsidR="0093673A" w:rsidRPr="000315B4">
        <w:rPr>
          <w:sz w:val="24"/>
          <w:szCs w:val="24"/>
        </w:rPr>
        <w:t xml:space="preserve"> </w:t>
      </w:r>
      <w:r w:rsidR="00713CD0" w:rsidRPr="000315B4">
        <w:rPr>
          <w:sz w:val="24"/>
          <w:szCs w:val="24"/>
        </w:rPr>
        <w:t xml:space="preserve">were </w:t>
      </w:r>
      <w:r w:rsidR="001100A5" w:rsidRPr="000315B4">
        <w:rPr>
          <w:sz w:val="24"/>
          <w:szCs w:val="24"/>
        </w:rPr>
        <w:t xml:space="preserve">BE </w:t>
      </w:r>
      <w:r w:rsidR="00E30703" w:rsidRPr="000315B4">
        <w:rPr>
          <w:sz w:val="24"/>
          <w:szCs w:val="24"/>
        </w:rPr>
        <w:t>cancers (</w:t>
      </w:r>
      <w:r w:rsidR="00E40D43" w:rsidRPr="000315B4">
        <w:rPr>
          <w:sz w:val="24"/>
          <w:szCs w:val="24"/>
        </w:rPr>
        <w:t>0.8</w:t>
      </w:r>
      <w:r w:rsidR="0093673A" w:rsidRPr="000315B4">
        <w:rPr>
          <w:sz w:val="24"/>
          <w:szCs w:val="24"/>
        </w:rPr>
        <w:t>%)</w:t>
      </w:r>
      <w:r w:rsidR="00161A86" w:rsidRPr="000315B4">
        <w:rPr>
          <w:sz w:val="24"/>
          <w:szCs w:val="24"/>
        </w:rPr>
        <w:t xml:space="preserve"> </w:t>
      </w:r>
      <w:r w:rsidR="001100A5" w:rsidRPr="000315B4">
        <w:rPr>
          <w:sz w:val="24"/>
          <w:szCs w:val="24"/>
        </w:rPr>
        <w:t xml:space="preserve">and </w:t>
      </w:r>
      <w:r w:rsidR="00283660" w:rsidRPr="000315B4">
        <w:rPr>
          <w:sz w:val="24"/>
          <w:szCs w:val="24"/>
        </w:rPr>
        <w:t xml:space="preserve">47 were </w:t>
      </w:r>
      <w:r w:rsidR="007933E9" w:rsidRPr="000315B4">
        <w:rPr>
          <w:sz w:val="24"/>
          <w:szCs w:val="24"/>
        </w:rPr>
        <w:t xml:space="preserve">non-BE </w:t>
      </w:r>
      <w:r w:rsidR="00E30703" w:rsidRPr="000315B4">
        <w:rPr>
          <w:sz w:val="24"/>
          <w:szCs w:val="24"/>
        </w:rPr>
        <w:t xml:space="preserve">cancers </w:t>
      </w:r>
      <w:r w:rsidR="0093673A" w:rsidRPr="000315B4">
        <w:rPr>
          <w:sz w:val="24"/>
          <w:szCs w:val="24"/>
        </w:rPr>
        <w:t>(</w:t>
      </w:r>
      <w:r w:rsidR="00962D0E" w:rsidRPr="000315B4">
        <w:rPr>
          <w:sz w:val="24"/>
          <w:szCs w:val="24"/>
        </w:rPr>
        <w:t>12.2</w:t>
      </w:r>
      <w:r w:rsidR="0093673A" w:rsidRPr="000315B4">
        <w:rPr>
          <w:sz w:val="24"/>
          <w:szCs w:val="24"/>
        </w:rPr>
        <w:t>%)</w:t>
      </w:r>
      <w:r w:rsidR="00FC0391" w:rsidRPr="000315B4">
        <w:rPr>
          <w:sz w:val="24"/>
          <w:szCs w:val="24"/>
        </w:rPr>
        <w:t>.</w:t>
      </w:r>
      <w:r w:rsidR="001100A5" w:rsidRPr="000315B4">
        <w:rPr>
          <w:sz w:val="24"/>
          <w:szCs w:val="24"/>
        </w:rPr>
        <w:t xml:space="preserve"> I</w:t>
      </w:r>
      <w:r w:rsidR="005F6383" w:rsidRPr="000315B4">
        <w:rPr>
          <w:sz w:val="24"/>
          <w:szCs w:val="24"/>
        </w:rPr>
        <w:t>ncident cancers</w:t>
      </w:r>
      <w:r w:rsidR="001100A5" w:rsidRPr="000315B4">
        <w:rPr>
          <w:sz w:val="24"/>
          <w:szCs w:val="24"/>
        </w:rPr>
        <w:t xml:space="preserve"> </w:t>
      </w:r>
      <w:r w:rsidR="00E30703" w:rsidRPr="000315B4">
        <w:rPr>
          <w:sz w:val="24"/>
          <w:szCs w:val="24"/>
        </w:rPr>
        <w:t>occurred in</w:t>
      </w:r>
      <w:r w:rsidR="001100A5" w:rsidRPr="000315B4">
        <w:rPr>
          <w:sz w:val="24"/>
          <w:szCs w:val="24"/>
        </w:rPr>
        <w:t xml:space="preserve"> </w:t>
      </w:r>
      <w:r w:rsidR="005F6383" w:rsidRPr="000315B4">
        <w:rPr>
          <w:sz w:val="24"/>
          <w:szCs w:val="24"/>
        </w:rPr>
        <w:t>7 BE cancers</w:t>
      </w:r>
      <w:r w:rsidR="00547F70" w:rsidRPr="000315B4">
        <w:rPr>
          <w:sz w:val="24"/>
          <w:szCs w:val="24"/>
        </w:rPr>
        <w:t xml:space="preserve"> (1.8%) patients</w:t>
      </w:r>
      <w:r w:rsidR="005F6383" w:rsidRPr="000315B4">
        <w:rPr>
          <w:sz w:val="24"/>
          <w:szCs w:val="24"/>
        </w:rPr>
        <w:t xml:space="preserve"> and non-BE cancers</w:t>
      </w:r>
      <w:r w:rsidR="00547F70" w:rsidRPr="000315B4">
        <w:rPr>
          <w:sz w:val="24"/>
          <w:szCs w:val="24"/>
        </w:rPr>
        <w:t xml:space="preserve"> in 18</w:t>
      </w:r>
      <w:r w:rsidR="00E40D43" w:rsidRPr="000315B4">
        <w:rPr>
          <w:sz w:val="24"/>
          <w:szCs w:val="24"/>
        </w:rPr>
        <w:t xml:space="preserve"> </w:t>
      </w:r>
      <w:r w:rsidR="00FC0391" w:rsidRPr="000315B4">
        <w:rPr>
          <w:sz w:val="24"/>
          <w:szCs w:val="24"/>
        </w:rPr>
        <w:t>(4.7%)</w:t>
      </w:r>
      <w:r w:rsidR="00E3526F" w:rsidRPr="000315B4">
        <w:rPr>
          <w:sz w:val="24"/>
          <w:szCs w:val="24"/>
        </w:rPr>
        <w:t xml:space="preserve"> patients</w:t>
      </w:r>
      <w:r w:rsidR="00FC0391" w:rsidRPr="000315B4">
        <w:rPr>
          <w:sz w:val="24"/>
          <w:szCs w:val="24"/>
        </w:rPr>
        <w:t>.</w:t>
      </w:r>
      <w:r w:rsidR="0058023E" w:rsidRPr="000315B4">
        <w:rPr>
          <w:sz w:val="24"/>
          <w:szCs w:val="24"/>
        </w:rPr>
        <w:t xml:space="preserve"> </w:t>
      </w:r>
      <w:r w:rsidR="00085F3E" w:rsidRPr="000315B4">
        <w:rPr>
          <w:sz w:val="24"/>
          <w:szCs w:val="24"/>
        </w:rPr>
        <w:t>The p</w:t>
      </w:r>
      <w:r w:rsidR="001100A5" w:rsidRPr="000315B4">
        <w:rPr>
          <w:sz w:val="24"/>
          <w:szCs w:val="24"/>
        </w:rPr>
        <w:t xml:space="preserve">re-study cancers and incident cancers are detailed in </w:t>
      </w:r>
      <w:r w:rsidR="00903391" w:rsidRPr="000315B4">
        <w:rPr>
          <w:sz w:val="24"/>
          <w:szCs w:val="24"/>
        </w:rPr>
        <w:t xml:space="preserve">Table </w:t>
      </w:r>
      <w:r w:rsidR="000656C5" w:rsidRPr="000315B4">
        <w:rPr>
          <w:sz w:val="24"/>
          <w:szCs w:val="24"/>
        </w:rPr>
        <w:t>2</w:t>
      </w:r>
      <w:r w:rsidR="002A7DBF" w:rsidRPr="000315B4">
        <w:rPr>
          <w:sz w:val="24"/>
          <w:szCs w:val="24"/>
        </w:rPr>
        <w:t>.</w:t>
      </w:r>
      <w:r w:rsidR="001100A5" w:rsidRPr="000315B4">
        <w:rPr>
          <w:sz w:val="24"/>
          <w:szCs w:val="24"/>
        </w:rPr>
        <w:t xml:space="preserve"> </w:t>
      </w:r>
      <w:r w:rsidR="00A1431A" w:rsidRPr="000315B4">
        <w:rPr>
          <w:sz w:val="24"/>
          <w:szCs w:val="24"/>
        </w:rPr>
        <w:t>Of note, one of the 2 esophageal pre-study cancers was a squamous cell carcinoma</w:t>
      </w:r>
      <w:r w:rsidR="00A81FCF" w:rsidRPr="000315B4">
        <w:rPr>
          <w:sz w:val="24"/>
          <w:szCs w:val="24"/>
        </w:rPr>
        <w:t xml:space="preserve"> and not EAC</w:t>
      </w:r>
      <w:r w:rsidR="00A1431A" w:rsidRPr="000315B4">
        <w:rPr>
          <w:sz w:val="24"/>
          <w:szCs w:val="24"/>
        </w:rPr>
        <w:t>.</w:t>
      </w:r>
      <w:r w:rsidR="000203DB" w:rsidRPr="000315B4">
        <w:rPr>
          <w:sz w:val="24"/>
          <w:szCs w:val="24"/>
        </w:rPr>
        <w:t xml:space="preserve"> Subjects </w:t>
      </w:r>
      <w:r w:rsidR="003D2D76" w:rsidRPr="000315B4">
        <w:rPr>
          <w:sz w:val="24"/>
          <w:szCs w:val="24"/>
        </w:rPr>
        <w:t xml:space="preserve">pre-study cancers </w:t>
      </w:r>
      <w:r w:rsidR="0041778E" w:rsidRPr="000315B4">
        <w:rPr>
          <w:sz w:val="24"/>
          <w:szCs w:val="24"/>
        </w:rPr>
        <w:t>were not included in cancer outcome analysis as they occurred outside of follow up period</w:t>
      </w:r>
      <w:r w:rsidR="000656C5" w:rsidRPr="000315B4">
        <w:rPr>
          <w:sz w:val="24"/>
          <w:szCs w:val="24"/>
        </w:rPr>
        <w:t xml:space="preserve"> as explained in the </w:t>
      </w:r>
      <w:r w:rsidR="00285073" w:rsidRPr="000315B4">
        <w:rPr>
          <w:sz w:val="24"/>
          <w:szCs w:val="24"/>
        </w:rPr>
        <w:t xml:space="preserve">materials and </w:t>
      </w:r>
      <w:r w:rsidR="000656C5" w:rsidRPr="000315B4">
        <w:rPr>
          <w:sz w:val="24"/>
          <w:szCs w:val="24"/>
        </w:rPr>
        <w:t>methods section</w:t>
      </w:r>
      <w:r w:rsidR="0041778E" w:rsidRPr="000315B4">
        <w:rPr>
          <w:sz w:val="24"/>
          <w:szCs w:val="24"/>
        </w:rPr>
        <w:t>.</w:t>
      </w:r>
    </w:p>
    <w:p w14:paraId="44B875A9" w14:textId="1E783924" w:rsidR="00215D5D" w:rsidRPr="000315B4" w:rsidRDefault="00085F3E" w:rsidP="0064229B">
      <w:pPr>
        <w:widowControl w:val="0"/>
        <w:adjustRightInd w:val="0"/>
        <w:snapToGrid w:val="0"/>
        <w:spacing w:line="360" w:lineRule="auto"/>
        <w:ind w:firstLineChars="100" w:firstLine="240"/>
        <w:jc w:val="both"/>
        <w:rPr>
          <w:sz w:val="24"/>
          <w:szCs w:val="24"/>
        </w:rPr>
      </w:pPr>
      <w:r w:rsidRPr="000315B4">
        <w:rPr>
          <w:sz w:val="24"/>
          <w:szCs w:val="24"/>
        </w:rPr>
        <w:lastRenderedPageBreak/>
        <w:t xml:space="preserve">The HGD group </w:t>
      </w:r>
      <w:r w:rsidR="00FC0391" w:rsidRPr="000315B4">
        <w:rPr>
          <w:sz w:val="24"/>
          <w:szCs w:val="24"/>
        </w:rPr>
        <w:t>included</w:t>
      </w:r>
      <w:r w:rsidRPr="000315B4">
        <w:rPr>
          <w:sz w:val="24"/>
          <w:szCs w:val="24"/>
        </w:rPr>
        <w:t xml:space="preserve"> 12 patients, and the non HGD group</w:t>
      </w:r>
      <w:r w:rsidR="0042433F" w:rsidRPr="000315B4">
        <w:rPr>
          <w:sz w:val="24"/>
          <w:szCs w:val="24"/>
        </w:rPr>
        <w:t xml:space="preserve"> (LGD</w:t>
      </w:r>
      <w:r w:rsidR="00A1431A" w:rsidRPr="000315B4">
        <w:rPr>
          <w:sz w:val="24"/>
          <w:szCs w:val="24"/>
        </w:rPr>
        <w:t xml:space="preserve"> and non-dysplastic BE)</w:t>
      </w:r>
      <w:r w:rsidRPr="000315B4">
        <w:rPr>
          <w:sz w:val="24"/>
          <w:szCs w:val="24"/>
        </w:rPr>
        <w:t xml:space="preserve"> 367 patients. </w:t>
      </w:r>
      <w:r w:rsidR="00A1431A" w:rsidRPr="000315B4">
        <w:rPr>
          <w:sz w:val="24"/>
          <w:szCs w:val="24"/>
        </w:rPr>
        <w:t xml:space="preserve">Comparison of these 2 groups is presented in </w:t>
      </w:r>
      <w:r w:rsidR="00903391" w:rsidRPr="000315B4">
        <w:rPr>
          <w:sz w:val="24"/>
          <w:szCs w:val="24"/>
        </w:rPr>
        <w:t xml:space="preserve">Table </w:t>
      </w:r>
      <w:r w:rsidR="00763091" w:rsidRPr="000315B4">
        <w:rPr>
          <w:sz w:val="24"/>
          <w:szCs w:val="24"/>
        </w:rPr>
        <w:t>2</w:t>
      </w:r>
      <w:r w:rsidR="00083E25" w:rsidRPr="000315B4">
        <w:rPr>
          <w:sz w:val="24"/>
          <w:szCs w:val="24"/>
        </w:rPr>
        <w:t xml:space="preserve"> for demographic and endoscopic char</w:t>
      </w:r>
      <w:r w:rsidR="00283660" w:rsidRPr="000315B4">
        <w:rPr>
          <w:sz w:val="24"/>
          <w:szCs w:val="24"/>
        </w:rPr>
        <w:t>a</w:t>
      </w:r>
      <w:r w:rsidR="00083E25" w:rsidRPr="000315B4">
        <w:rPr>
          <w:sz w:val="24"/>
          <w:szCs w:val="24"/>
        </w:rPr>
        <w:t>cteristics</w:t>
      </w:r>
      <w:r w:rsidR="00A1431A" w:rsidRPr="000315B4">
        <w:rPr>
          <w:sz w:val="24"/>
          <w:szCs w:val="24"/>
        </w:rPr>
        <w:t>. In the HGD group</w:t>
      </w:r>
      <w:r w:rsidR="00973005" w:rsidRPr="000315B4">
        <w:rPr>
          <w:sz w:val="24"/>
          <w:szCs w:val="24"/>
        </w:rPr>
        <w:t xml:space="preserve"> </w:t>
      </w:r>
      <w:r w:rsidR="00726ACF" w:rsidRPr="000315B4">
        <w:rPr>
          <w:sz w:val="24"/>
          <w:szCs w:val="24"/>
        </w:rPr>
        <w:t>2</w:t>
      </w:r>
      <w:r w:rsidR="002C2B1E" w:rsidRPr="000315B4">
        <w:rPr>
          <w:sz w:val="24"/>
          <w:szCs w:val="24"/>
        </w:rPr>
        <w:t xml:space="preserve"> patients </w:t>
      </w:r>
      <w:r w:rsidRPr="000315B4">
        <w:rPr>
          <w:sz w:val="24"/>
          <w:szCs w:val="24"/>
        </w:rPr>
        <w:t>(16.7%)</w:t>
      </w:r>
      <w:r w:rsidR="00CA129F" w:rsidRPr="000315B4">
        <w:rPr>
          <w:sz w:val="24"/>
          <w:szCs w:val="24"/>
        </w:rPr>
        <w:t xml:space="preserve"> had </w:t>
      </w:r>
      <w:r w:rsidR="00A1431A" w:rsidRPr="000315B4">
        <w:rPr>
          <w:sz w:val="24"/>
          <w:szCs w:val="24"/>
        </w:rPr>
        <w:t>non-BE incident cancers (lung and pancreatic cancers), compared with 16 (4.</w:t>
      </w:r>
      <w:r w:rsidR="00FA2B4B" w:rsidRPr="000315B4">
        <w:rPr>
          <w:sz w:val="24"/>
          <w:szCs w:val="24"/>
        </w:rPr>
        <w:t>4</w:t>
      </w:r>
      <w:r w:rsidR="00A1431A" w:rsidRPr="000315B4">
        <w:rPr>
          <w:sz w:val="24"/>
          <w:szCs w:val="24"/>
        </w:rPr>
        <w:t xml:space="preserve">%) </w:t>
      </w:r>
      <w:r w:rsidR="00CA129F" w:rsidRPr="000315B4">
        <w:rPr>
          <w:sz w:val="24"/>
          <w:szCs w:val="24"/>
        </w:rPr>
        <w:t xml:space="preserve">patients </w:t>
      </w:r>
      <w:r w:rsidR="00A8502A" w:rsidRPr="000315B4">
        <w:rPr>
          <w:sz w:val="24"/>
          <w:szCs w:val="24"/>
        </w:rPr>
        <w:t>in</w:t>
      </w:r>
      <w:r w:rsidR="00A1431A" w:rsidRPr="000315B4">
        <w:rPr>
          <w:sz w:val="24"/>
          <w:szCs w:val="24"/>
        </w:rPr>
        <w:t xml:space="preserve"> the non HGD group</w:t>
      </w:r>
      <w:r w:rsidR="00CA129F" w:rsidRPr="000315B4">
        <w:rPr>
          <w:sz w:val="24"/>
          <w:szCs w:val="24"/>
        </w:rPr>
        <w:t xml:space="preserve"> who had </w:t>
      </w:r>
      <w:r w:rsidR="00643AB7" w:rsidRPr="000315B4">
        <w:rPr>
          <w:sz w:val="24"/>
          <w:szCs w:val="24"/>
        </w:rPr>
        <w:t xml:space="preserve">18 </w:t>
      </w:r>
      <w:r w:rsidR="00CA129F" w:rsidRPr="000315B4">
        <w:rPr>
          <w:sz w:val="24"/>
          <w:szCs w:val="24"/>
        </w:rPr>
        <w:t>cancers</w:t>
      </w:r>
      <w:r w:rsidR="00A52543" w:rsidRPr="000315B4">
        <w:rPr>
          <w:sz w:val="24"/>
          <w:szCs w:val="24"/>
        </w:rPr>
        <w:t xml:space="preserve"> (in p</w:t>
      </w:r>
      <w:r w:rsidR="00083E25" w:rsidRPr="000315B4">
        <w:rPr>
          <w:sz w:val="24"/>
          <w:szCs w:val="24"/>
        </w:rPr>
        <w:t>atients with 2 incident cancers</w:t>
      </w:r>
      <w:r w:rsidR="00234061" w:rsidRPr="000315B4">
        <w:rPr>
          <w:sz w:val="24"/>
          <w:szCs w:val="24"/>
        </w:rPr>
        <w:t xml:space="preserve"> </w:t>
      </w:r>
      <w:r w:rsidR="00A52543" w:rsidRPr="000315B4">
        <w:rPr>
          <w:sz w:val="24"/>
          <w:szCs w:val="24"/>
        </w:rPr>
        <w:t>the earliest one</w:t>
      </w:r>
      <w:r w:rsidR="00234061" w:rsidRPr="000315B4">
        <w:rPr>
          <w:sz w:val="24"/>
          <w:szCs w:val="24"/>
        </w:rPr>
        <w:t xml:space="preserve"> was included</w:t>
      </w:r>
      <w:r w:rsidR="00A818FE" w:rsidRPr="000315B4">
        <w:rPr>
          <w:sz w:val="24"/>
          <w:szCs w:val="24"/>
        </w:rPr>
        <w:t xml:space="preserve"> for analysis</w:t>
      </w:r>
      <w:r w:rsidR="00A52543" w:rsidRPr="000315B4">
        <w:rPr>
          <w:sz w:val="24"/>
          <w:szCs w:val="24"/>
        </w:rPr>
        <w:t>)</w:t>
      </w:r>
      <w:r w:rsidR="00643AB7" w:rsidRPr="000315B4">
        <w:rPr>
          <w:sz w:val="24"/>
          <w:szCs w:val="24"/>
        </w:rPr>
        <w:t>.</w:t>
      </w:r>
      <w:r w:rsidR="00A52543" w:rsidRPr="000315B4">
        <w:rPr>
          <w:sz w:val="24"/>
          <w:szCs w:val="24"/>
        </w:rPr>
        <w:t xml:space="preserve"> </w:t>
      </w:r>
      <w:r w:rsidR="00A60ED4" w:rsidRPr="000315B4">
        <w:rPr>
          <w:sz w:val="24"/>
          <w:szCs w:val="24"/>
        </w:rPr>
        <w:t xml:space="preserve">As expected, </w:t>
      </w:r>
      <w:r w:rsidR="00C4465E" w:rsidRPr="000315B4">
        <w:rPr>
          <w:sz w:val="24"/>
          <w:szCs w:val="24"/>
        </w:rPr>
        <w:t xml:space="preserve">patients with HGD, had </w:t>
      </w:r>
      <w:r w:rsidR="00A5462C" w:rsidRPr="000315B4">
        <w:rPr>
          <w:sz w:val="24"/>
          <w:szCs w:val="24"/>
        </w:rPr>
        <w:t xml:space="preserve">a </w:t>
      </w:r>
      <w:r w:rsidR="00C4465E" w:rsidRPr="000315B4">
        <w:rPr>
          <w:sz w:val="24"/>
          <w:szCs w:val="24"/>
        </w:rPr>
        <w:t>higher frequency of endoscopie</w:t>
      </w:r>
      <w:r w:rsidR="006B09A4" w:rsidRPr="000315B4">
        <w:rPr>
          <w:sz w:val="24"/>
          <w:szCs w:val="24"/>
        </w:rPr>
        <w:t>s</w:t>
      </w:r>
      <w:r w:rsidR="00A5462C" w:rsidRPr="000315B4">
        <w:rPr>
          <w:sz w:val="24"/>
          <w:szCs w:val="24"/>
        </w:rPr>
        <w:t>,</w:t>
      </w:r>
      <w:r w:rsidR="00C4465E" w:rsidRPr="000315B4">
        <w:rPr>
          <w:sz w:val="24"/>
          <w:szCs w:val="24"/>
        </w:rPr>
        <w:t xml:space="preserve"> higher rate of endoscopic abnormalities (</w:t>
      </w:r>
      <w:r w:rsidR="00C4465E" w:rsidRPr="000315B4">
        <w:rPr>
          <w:i/>
          <w:sz w:val="24"/>
          <w:szCs w:val="24"/>
        </w:rPr>
        <w:t>P</w:t>
      </w:r>
      <w:r w:rsidR="00903391" w:rsidRPr="000315B4">
        <w:rPr>
          <w:rFonts w:hint="eastAsia"/>
          <w:sz w:val="24"/>
          <w:szCs w:val="24"/>
          <w:lang w:eastAsia="zh-CN"/>
        </w:rPr>
        <w:t xml:space="preserve"> </w:t>
      </w:r>
      <w:r w:rsidR="00C4465E" w:rsidRPr="000315B4">
        <w:rPr>
          <w:sz w:val="24"/>
          <w:szCs w:val="24"/>
        </w:rPr>
        <w:t>&lt;</w:t>
      </w:r>
      <w:r w:rsidR="00903391" w:rsidRPr="000315B4">
        <w:rPr>
          <w:rFonts w:hint="eastAsia"/>
          <w:sz w:val="24"/>
          <w:szCs w:val="24"/>
          <w:lang w:eastAsia="zh-CN"/>
        </w:rPr>
        <w:t xml:space="preserve"> 0</w:t>
      </w:r>
      <w:r w:rsidR="00C4465E" w:rsidRPr="000315B4">
        <w:rPr>
          <w:sz w:val="24"/>
          <w:szCs w:val="24"/>
        </w:rPr>
        <w:t>.001), and a longer maximal extent of BE compared with non-HGD patients (</w:t>
      </w:r>
      <w:r w:rsidR="00C4465E" w:rsidRPr="000315B4">
        <w:rPr>
          <w:i/>
          <w:sz w:val="24"/>
          <w:szCs w:val="24"/>
        </w:rPr>
        <w:t>P</w:t>
      </w:r>
      <w:r w:rsidR="00903391" w:rsidRPr="000315B4">
        <w:rPr>
          <w:rFonts w:hint="eastAsia"/>
          <w:sz w:val="24"/>
          <w:szCs w:val="24"/>
          <w:lang w:eastAsia="zh-CN"/>
        </w:rPr>
        <w:t xml:space="preserve"> </w:t>
      </w:r>
      <w:r w:rsidR="00C4465E" w:rsidRPr="000315B4">
        <w:rPr>
          <w:sz w:val="24"/>
          <w:szCs w:val="24"/>
        </w:rPr>
        <w:t>&lt;</w:t>
      </w:r>
      <w:r w:rsidR="00903391" w:rsidRPr="000315B4">
        <w:rPr>
          <w:rFonts w:hint="eastAsia"/>
          <w:sz w:val="24"/>
          <w:szCs w:val="24"/>
          <w:lang w:eastAsia="zh-CN"/>
        </w:rPr>
        <w:t xml:space="preserve"> 0</w:t>
      </w:r>
      <w:r w:rsidR="00C4465E" w:rsidRPr="000315B4">
        <w:rPr>
          <w:sz w:val="24"/>
          <w:szCs w:val="24"/>
        </w:rPr>
        <w:t>.01).</w:t>
      </w:r>
    </w:p>
    <w:p w14:paraId="7386B2E0" w14:textId="77777777" w:rsidR="00A81FCF" w:rsidRPr="000315B4" w:rsidRDefault="00A81FCF" w:rsidP="00903391">
      <w:pPr>
        <w:widowControl w:val="0"/>
        <w:adjustRightInd w:val="0"/>
        <w:snapToGrid w:val="0"/>
        <w:spacing w:line="360" w:lineRule="auto"/>
        <w:ind w:firstLineChars="100" w:firstLine="240"/>
        <w:jc w:val="both"/>
        <w:rPr>
          <w:sz w:val="24"/>
          <w:szCs w:val="24"/>
        </w:rPr>
      </w:pPr>
      <w:r w:rsidRPr="000315B4">
        <w:rPr>
          <w:sz w:val="24"/>
          <w:szCs w:val="24"/>
        </w:rPr>
        <w:t xml:space="preserve">Kaplan-Meier survival curves for cancer free and all-cause survival are presented in Figure 2. </w:t>
      </w:r>
      <w:r w:rsidR="00283334" w:rsidRPr="000315B4">
        <w:rPr>
          <w:sz w:val="24"/>
          <w:szCs w:val="24"/>
        </w:rPr>
        <w:t xml:space="preserve">To </w:t>
      </w:r>
      <w:r w:rsidR="002B207D" w:rsidRPr="000315B4">
        <w:rPr>
          <w:sz w:val="24"/>
          <w:szCs w:val="24"/>
        </w:rPr>
        <w:t>avoid the confounding effect of the</w:t>
      </w:r>
      <w:r w:rsidR="00283334" w:rsidRPr="000315B4">
        <w:rPr>
          <w:sz w:val="24"/>
          <w:szCs w:val="24"/>
        </w:rPr>
        <w:t xml:space="preserve"> number of endoscopies</w:t>
      </w:r>
      <w:r w:rsidR="00F301C7" w:rsidRPr="000315B4">
        <w:rPr>
          <w:sz w:val="24"/>
          <w:szCs w:val="24"/>
        </w:rPr>
        <w:t xml:space="preserve"> and </w:t>
      </w:r>
      <w:r w:rsidR="00283334" w:rsidRPr="000315B4">
        <w:rPr>
          <w:sz w:val="24"/>
          <w:szCs w:val="24"/>
        </w:rPr>
        <w:t xml:space="preserve">assuring longer follow-up </w:t>
      </w:r>
      <w:r w:rsidR="00F301C7" w:rsidRPr="000315B4">
        <w:rPr>
          <w:sz w:val="24"/>
          <w:szCs w:val="24"/>
        </w:rPr>
        <w:t xml:space="preserve">for all patients, </w:t>
      </w:r>
      <w:r w:rsidR="00283334" w:rsidRPr="000315B4">
        <w:rPr>
          <w:sz w:val="24"/>
          <w:szCs w:val="24"/>
        </w:rPr>
        <w:t xml:space="preserve">Kaplan Meier analysis was done on patients with at least 2 endoscopies. </w:t>
      </w:r>
    </w:p>
    <w:p w14:paraId="11893D74" w14:textId="47BE4F7E" w:rsidR="00A81FCF" w:rsidRPr="000315B4" w:rsidRDefault="00A81FCF" w:rsidP="00903391">
      <w:pPr>
        <w:widowControl w:val="0"/>
        <w:adjustRightInd w:val="0"/>
        <w:snapToGrid w:val="0"/>
        <w:spacing w:line="360" w:lineRule="auto"/>
        <w:ind w:firstLineChars="100" w:firstLine="240"/>
        <w:jc w:val="both"/>
        <w:rPr>
          <w:sz w:val="24"/>
          <w:szCs w:val="24"/>
        </w:rPr>
      </w:pPr>
      <w:r w:rsidRPr="000315B4">
        <w:rPr>
          <w:sz w:val="24"/>
          <w:szCs w:val="24"/>
        </w:rPr>
        <w:t>For the primary endpoint, non-BE cancer free survival was worse in patients with HGD compared with non-HGD, as shown in the Kaplan-Meier curves</w:t>
      </w:r>
      <w:r w:rsidR="00F3474D" w:rsidRPr="000315B4">
        <w:rPr>
          <w:sz w:val="24"/>
          <w:szCs w:val="24"/>
        </w:rPr>
        <w:t>,</w:t>
      </w:r>
      <w:r w:rsidRPr="000315B4">
        <w:rPr>
          <w:sz w:val="24"/>
          <w:szCs w:val="24"/>
        </w:rPr>
        <w:t xml:space="preserve"> </w:t>
      </w:r>
      <w:r w:rsidR="00903391" w:rsidRPr="000315B4">
        <w:rPr>
          <w:sz w:val="24"/>
          <w:szCs w:val="24"/>
        </w:rPr>
        <w:t xml:space="preserve">Figure </w:t>
      </w:r>
      <w:r w:rsidRPr="000315B4">
        <w:rPr>
          <w:sz w:val="24"/>
          <w:szCs w:val="24"/>
        </w:rPr>
        <w:t>2</w:t>
      </w:r>
      <w:r w:rsidR="00903391" w:rsidRPr="000315B4">
        <w:rPr>
          <w:sz w:val="24"/>
          <w:szCs w:val="24"/>
        </w:rPr>
        <w:t>A</w:t>
      </w:r>
      <w:r w:rsidRPr="000315B4">
        <w:rPr>
          <w:sz w:val="24"/>
          <w:szCs w:val="24"/>
        </w:rPr>
        <w:t>.</w:t>
      </w:r>
      <w:r w:rsidR="00EE768C" w:rsidRPr="000315B4">
        <w:rPr>
          <w:sz w:val="24"/>
          <w:szCs w:val="24"/>
        </w:rPr>
        <w:t xml:space="preserve"> L</w:t>
      </w:r>
      <w:r w:rsidRPr="000315B4">
        <w:rPr>
          <w:sz w:val="24"/>
          <w:szCs w:val="24"/>
        </w:rPr>
        <w:t>og-rank test p-value was 0.01</w:t>
      </w:r>
      <w:r w:rsidR="00BF2D65" w:rsidRPr="000315B4">
        <w:rPr>
          <w:sz w:val="24"/>
          <w:szCs w:val="24"/>
        </w:rPr>
        <w:t>66</w:t>
      </w:r>
      <w:r w:rsidR="00903391" w:rsidRPr="000315B4">
        <w:rPr>
          <w:rFonts w:hint="eastAsia"/>
          <w:sz w:val="24"/>
          <w:szCs w:val="24"/>
          <w:lang w:eastAsia="zh-CN"/>
        </w:rPr>
        <w:t xml:space="preserve"> </w:t>
      </w:r>
      <w:r w:rsidRPr="000315B4">
        <w:rPr>
          <w:sz w:val="24"/>
          <w:szCs w:val="24"/>
        </w:rPr>
        <w:t>(</w:t>
      </w:r>
      <w:r w:rsidRPr="000315B4">
        <w:rPr>
          <w:i/>
          <w:sz w:val="24"/>
          <w:szCs w:val="24"/>
        </w:rPr>
        <w:t>n</w:t>
      </w:r>
      <w:r w:rsidR="00903391" w:rsidRPr="000315B4">
        <w:rPr>
          <w:rFonts w:hint="eastAsia"/>
          <w:i/>
          <w:sz w:val="24"/>
          <w:szCs w:val="24"/>
          <w:lang w:eastAsia="zh-CN"/>
        </w:rPr>
        <w:t xml:space="preserve"> </w:t>
      </w:r>
      <w:r w:rsidRPr="000315B4">
        <w:rPr>
          <w:sz w:val="24"/>
          <w:szCs w:val="24"/>
        </w:rPr>
        <w:t>=</w:t>
      </w:r>
      <w:r w:rsidR="00903391" w:rsidRPr="000315B4">
        <w:rPr>
          <w:rFonts w:hint="eastAsia"/>
          <w:sz w:val="24"/>
          <w:szCs w:val="24"/>
          <w:lang w:eastAsia="zh-CN"/>
        </w:rPr>
        <w:t xml:space="preserve"> </w:t>
      </w:r>
      <w:r w:rsidRPr="000315B4">
        <w:rPr>
          <w:sz w:val="24"/>
          <w:szCs w:val="24"/>
        </w:rPr>
        <w:t>239), The 2-year and 10-year non-BE cancer free survival rates were 91% and 82% and 98% and 95% for the in HGD group and non-HGD group, respectively</w:t>
      </w:r>
      <w:r w:rsidR="00EE768C" w:rsidRPr="000315B4">
        <w:rPr>
          <w:sz w:val="24"/>
          <w:szCs w:val="24"/>
        </w:rPr>
        <w:t>,</w:t>
      </w:r>
      <w:r w:rsidRPr="000315B4">
        <w:rPr>
          <w:sz w:val="24"/>
          <w:szCs w:val="24"/>
          <w:rtl/>
        </w:rPr>
        <w:t xml:space="preserve"> </w:t>
      </w:r>
      <w:r w:rsidRPr="000315B4">
        <w:rPr>
          <w:sz w:val="24"/>
          <w:szCs w:val="24"/>
        </w:rPr>
        <w:t>in patients with multiple endoscopies. Univariate Cox regression analysis</w:t>
      </w:r>
      <w:r w:rsidR="002A2BF5" w:rsidRPr="000315B4">
        <w:rPr>
          <w:sz w:val="24"/>
          <w:szCs w:val="24"/>
        </w:rPr>
        <w:t xml:space="preserve">, </w:t>
      </w:r>
      <w:r w:rsidR="00903391" w:rsidRPr="000315B4">
        <w:rPr>
          <w:sz w:val="24"/>
          <w:szCs w:val="24"/>
        </w:rPr>
        <w:t xml:space="preserve">Table </w:t>
      </w:r>
      <w:r w:rsidRPr="000315B4">
        <w:rPr>
          <w:sz w:val="24"/>
          <w:szCs w:val="24"/>
        </w:rPr>
        <w:t>3</w:t>
      </w:r>
      <w:r w:rsidR="002A2BF5" w:rsidRPr="000315B4">
        <w:rPr>
          <w:sz w:val="24"/>
          <w:szCs w:val="24"/>
        </w:rPr>
        <w:t>,</w:t>
      </w:r>
      <w:r w:rsidRPr="000315B4">
        <w:rPr>
          <w:sz w:val="24"/>
          <w:szCs w:val="24"/>
        </w:rPr>
        <w:t xml:space="preserve"> showed that HGD was not a significant predictor non-BE cancer (HR</w:t>
      </w:r>
      <w:r w:rsidR="00903391" w:rsidRPr="000315B4">
        <w:rPr>
          <w:rFonts w:hint="eastAsia"/>
          <w:sz w:val="24"/>
          <w:szCs w:val="24"/>
          <w:lang w:eastAsia="zh-CN"/>
        </w:rPr>
        <w:t xml:space="preserve"> </w:t>
      </w:r>
      <w:r w:rsidRPr="000315B4">
        <w:rPr>
          <w:sz w:val="24"/>
          <w:szCs w:val="24"/>
        </w:rPr>
        <w:t>=</w:t>
      </w:r>
      <w:r w:rsidR="00903391" w:rsidRPr="000315B4">
        <w:rPr>
          <w:rFonts w:hint="eastAsia"/>
          <w:sz w:val="24"/>
          <w:szCs w:val="24"/>
          <w:lang w:eastAsia="zh-CN"/>
        </w:rPr>
        <w:t xml:space="preserve"> </w:t>
      </w:r>
      <w:r w:rsidRPr="000315B4">
        <w:rPr>
          <w:sz w:val="24"/>
          <w:szCs w:val="24"/>
        </w:rPr>
        <w:t>3.40</w:t>
      </w:r>
      <w:r w:rsidR="0082013B" w:rsidRPr="000315B4">
        <w:rPr>
          <w:sz w:val="24"/>
          <w:szCs w:val="24"/>
        </w:rPr>
        <w:t>,</w:t>
      </w:r>
      <w:r w:rsidRPr="000315B4">
        <w:rPr>
          <w:sz w:val="24"/>
          <w:szCs w:val="24"/>
        </w:rPr>
        <w:t xml:space="preserve"> 95%CI: 0.78-14.84</w:t>
      </w:r>
      <w:r w:rsidR="0082013B" w:rsidRPr="000315B4">
        <w:rPr>
          <w:sz w:val="24"/>
          <w:szCs w:val="24"/>
        </w:rPr>
        <w:t>,</w:t>
      </w:r>
      <w:r w:rsidRPr="000315B4">
        <w:rPr>
          <w:sz w:val="24"/>
          <w:szCs w:val="24"/>
        </w:rPr>
        <w:t xml:space="preserve"> </w:t>
      </w:r>
      <w:r w:rsidRPr="000315B4">
        <w:rPr>
          <w:i/>
          <w:sz w:val="24"/>
          <w:szCs w:val="24"/>
        </w:rPr>
        <w:t>P</w:t>
      </w:r>
      <w:r w:rsidR="00903391" w:rsidRPr="000315B4">
        <w:rPr>
          <w:rFonts w:hint="eastAsia"/>
          <w:sz w:val="24"/>
          <w:szCs w:val="24"/>
          <w:lang w:eastAsia="zh-CN"/>
        </w:rPr>
        <w:t xml:space="preserve"> </w:t>
      </w:r>
      <w:r w:rsidRPr="000315B4">
        <w:rPr>
          <w:sz w:val="24"/>
          <w:szCs w:val="24"/>
        </w:rPr>
        <w:t>=</w:t>
      </w:r>
      <w:r w:rsidR="00903391" w:rsidRPr="000315B4">
        <w:rPr>
          <w:rFonts w:hint="eastAsia"/>
          <w:sz w:val="24"/>
          <w:szCs w:val="24"/>
          <w:lang w:eastAsia="zh-CN"/>
        </w:rPr>
        <w:t xml:space="preserve"> </w:t>
      </w:r>
      <w:r w:rsidRPr="000315B4">
        <w:rPr>
          <w:sz w:val="24"/>
          <w:szCs w:val="24"/>
        </w:rPr>
        <w:t>0.104), but in multivariable Cox regression adjusting for age, cancer history and number of endoscopies, HGD was significantly associated with increased risk for non-BE cancer (Adj.HR</w:t>
      </w:r>
      <w:r w:rsidR="00903391" w:rsidRPr="000315B4">
        <w:rPr>
          <w:rFonts w:hint="eastAsia"/>
          <w:sz w:val="24"/>
          <w:szCs w:val="24"/>
          <w:lang w:eastAsia="zh-CN"/>
        </w:rPr>
        <w:t xml:space="preserve"> </w:t>
      </w:r>
      <w:r w:rsidRPr="000315B4">
        <w:rPr>
          <w:sz w:val="24"/>
          <w:szCs w:val="24"/>
        </w:rPr>
        <w:t>=</w:t>
      </w:r>
      <w:r w:rsidR="00903391" w:rsidRPr="000315B4">
        <w:rPr>
          <w:rFonts w:hint="eastAsia"/>
          <w:sz w:val="24"/>
          <w:szCs w:val="24"/>
          <w:lang w:eastAsia="zh-CN"/>
        </w:rPr>
        <w:t xml:space="preserve"> </w:t>
      </w:r>
      <w:r w:rsidRPr="000315B4">
        <w:rPr>
          <w:sz w:val="24"/>
          <w:szCs w:val="24"/>
        </w:rPr>
        <w:t>8.32</w:t>
      </w:r>
      <w:r w:rsidR="0082013B" w:rsidRPr="000315B4">
        <w:rPr>
          <w:sz w:val="24"/>
          <w:szCs w:val="24"/>
        </w:rPr>
        <w:t xml:space="preserve">, </w:t>
      </w:r>
      <w:r w:rsidRPr="000315B4">
        <w:rPr>
          <w:sz w:val="24"/>
          <w:szCs w:val="24"/>
        </w:rPr>
        <w:t>95%CI: 1.35-51.33</w:t>
      </w:r>
      <w:r w:rsidR="0082013B" w:rsidRPr="000315B4">
        <w:rPr>
          <w:sz w:val="24"/>
          <w:szCs w:val="24"/>
        </w:rPr>
        <w:t xml:space="preserve">, </w:t>
      </w:r>
      <w:r w:rsidR="0082013B" w:rsidRPr="000315B4">
        <w:rPr>
          <w:i/>
          <w:sz w:val="24"/>
          <w:szCs w:val="24"/>
        </w:rPr>
        <w:t>P</w:t>
      </w:r>
      <w:r w:rsidR="00903391" w:rsidRPr="000315B4">
        <w:rPr>
          <w:rFonts w:hint="eastAsia"/>
          <w:sz w:val="24"/>
          <w:szCs w:val="24"/>
          <w:lang w:eastAsia="zh-CN"/>
        </w:rPr>
        <w:t xml:space="preserve"> </w:t>
      </w:r>
      <w:r w:rsidR="0082013B" w:rsidRPr="000315B4">
        <w:rPr>
          <w:sz w:val="24"/>
          <w:szCs w:val="24"/>
        </w:rPr>
        <w:t>=</w:t>
      </w:r>
      <w:r w:rsidR="00903391" w:rsidRPr="000315B4">
        <w:rPr>
          <w:rFonts w:hint="eastAsia"/>
          <w:sz w:val="24"/>
          <w:szCs w:val="24"/>
          <w:lang w:eastAsia="zh-CN"/>
        </w:rPr>
        <w:t xml:space="preserve"> </w:t>
      </w:r>
      <w:r w:rsidR="0082013B" w:rsidRPr="000315B4">
        <w:rPr>
          <w:sz w:val="24"/>
          <w:szCs w:val="24"/>
        </w:rPr>
        <w:t>0.022</w:t>
      </w:r>
      <w:r w:rsidRPr="000315B4">
        <w:rPr>
          <w:sz w:val="24"/>
          <w:szCs w:val="24"/>
        </w:rPr>
        <w:t>).</w:t>
      </w:r>
    </w:p>
    <w:p w14:paraId="59074B34" w14:textId="14295B5E" w:rsidR="00921804" w:rsidRPr="000315B4" w:rsidRDefault="008F0168" w:rsidP="00903391">
      <w:pPr>
        <w:widowControl w:val="0"/>
        <w:adjustRightInd w:val="0"/>
        <w:snapToGrid w:val="0"/>
        <w:spacing w:line="360" w:lineRule="auto"/>
        <w:ind w:firstLineChars="100" w:firstLine="240"/>
        <w:jc w:val="both"/>
        <w:rPr>
          <w:sz w:val="24"/>
          <w:szCs w:val="24"/>
        </w:rPr>
      </w:pPr>
      <w:r w:rsidRPr="000315B4">
        <w:rPr>
          <w:sz w:val="24"/>
          <w:szCs w:val="24"/>
        </w:rPr>
        <w:t>E</w:t>
      </w:r>
      <w:r w:rsidR="00A81FCF" w:rsidRPr="000315B4">
        <w:rPr>
          <w:sz w:val="24"/>
          <w:szCs w:val="24"/>
        </w:rPr>
        <w:t>xamining the secondary endpoints</w:t>
      </w:r>
      <w:r w:rsidRPr="000315B4">
        <w:rPr>
          <w:sz w:val="24"/>
          <w:szCs w:val="24"/>
        </w:rPr>
        <w:t xml:space="preserve">, </w:t>
      </w:r>
      <w:r w:rsidR="00A81FCF" w:rsidRPr="000315B4">
        <w:rPr>
          <w:sz w:val="24"/>
          <w:szCs w:val="24"/>
        </w:rPr>
        <w:t xml:space="preserve">we saw </w:t>
      </w:r>
      <w:r w:rsidR="00C11810" w:rsidRPr="000315B4">
        <w:rPr>
          <w:sz w:val="24"/>
          <w:szCs w:val="24"/>
        </w:rPr>
        <w:t>a significant difference in the</w:t>
      </w:r>
      <w:r w:rsidR="00283334" w:rsidRPr="000315B4">
        <w:rPr>
          <w:sz w:val="24"/>
          <w:szCs w:val="24"/>
        </w:rPr>
        <w:t xml:space="preserve"> any</w:t>
      </w:r>
      <w:r w:rsidR="001A5408" w:rsidRPr="000315B4">
        <w:rPr>
          <w:sz w:val="24"/>
          <w:szCs w:val="24"/>
        </w:rPr>
        <w:t>-</w:t>
      </w:r>
      <w:r w:rsidR="00C11810" w:rsidRPr="000315B4">
        <w:rPr>
          <w:sz w:val="24"/>
          <w:szCs w:val="24"/>
        </w:rPr>
        <w:t>cancer</w:t>
      </w:r>
      <w:r w:rsidR="00283334" w:rsidRPr="000315B4">
        <w:rPr>
          <w:sz w:val="24"/>
          <w:szCs w:val="24"/>
        </w:rPr>
        <w:t xml:space="preserve"> </w:t>
      </w:r>
      <w:r w:rsidR="00C11810" w:rsidRPr="000315B4">
        <w:rPr>
          <w:sz w:val="24"/>
          <w:szCs w:val="24"/>
        </w:rPr>
        <w:t xml:space="preserve">free survival time among patients with HGD and patients with </w:t>
      </w:r>
      <w:r w:rsidR="00442004" w:rsidRPr="000315B4">
        <w:rPr>
          <w:sz w:val="24"/>
          <w:szCs w:val="24"/>
        </w:rPr>
        <w:t>non-HGD</w:t>
      </w:r>
      <w:r w:rsidR="00651E03" w:rsidRPr="000315B4">
        <w:rPr>
          <w:sz w:val="24"/>
          <w:szCs w:val="24"/>
        </w:rPr>
        <w:t xml:space="preserve">, </w:t>
      </w:r>
      <w:r w:rsidR="00903391" w:rsidRPr="000315B4">
        <w:rPr>
          <w:sz w:val="24"/>
          <w:szCs w:val="24"/>
        </w:rPr>
        <w:t xml:space="preserve">Figure </w:t>
      </w:r>
      <w:r w:rsidR="00651E03" w:rsidRPr="000315B4">
        <w:rPr>
          <w:sz w:val="24"/>
          <w:szCs w:val="24"/>
        </w:rPr>
        <w:t>2</w:t>
      </w:r>
      <w:r w:rsidR="00903391" w:rsidRPr="000315B4">
        <w:rPr>
          <w:sz w:val="24"/>
          <w:szCs w:val="24"/>
        </w:rPr>
        <w:t>B</w:t>
      </w:r>
      <w:r w:rsidR="00651E03" w:rsidRPr="000315B4">
        <w:rPr>
          <w:sz w:val="24"/>
          <w:szCs w:val="24"/>
        </w:rPr>
        <w:t>. Again,</w:t>
      </w:r>
      <w:r w:rsidR="00442004" w:rsidRPr="000315B4">
        <w:rPr>
          <w:sz w:val="24"/>
          <w:szCs w:val="24"/>
        </w:rPr>
        <w:t xml:space="preserve"> the worse outcome was in the HGD group,</w:t>
      </w:r>
      <w:r w:rsidR="00040486" w:rsidRPr="000315B4">
        <w:rPr>
          <w:rFonts w:cs="Times New Roman"/>
          <w:sz w:val="24"/>
          <w:szCs w:val="24"/>
          <w:rtl/>
        </w:rPr>
        <w:t xml:space="preserve"> </w:t>
      </w:r>
      <w:r w:rsidR="00651E03" w:rsidRPr="000315B4">
        <w:rPr>
          <w:sz w:val="24"/>
          <w:szCs w:val="24"/>
        </w:rPr>
        <w:t xml:space="preserve">log rank test </w:t>
      </w:r>
      <w:r w:rsidR="00F843E4" w:rsidRPr="000315B4">
        <w:rPr>
          <w:i/>
          <w:sz w:val="24"/>
          <w:szCs w:val="24"/>
        </w:rPr>
        <w:t>P</w:t>
      </w:r>
      <w:r w:rsidR="00903391" w:rsidRPr="000315B4">
        <w:rPr>
          <w:rFonts w:hint="eastAsia"/>
          <w:sz w:val="24"/>
          <w:szCs w:val="24"/>
          <w:lang w:eastAsia="zh-CN"/>
        </w:rPr>
        <w:t xml:space="preserve"> </w:t>
      </w:r>
      <w:r w:rsidR="00F843E4" w:rsidRPr="000315B4">
        <w:rPr>
          <w:sz w:val="24"/>
          <w:szCs w:val="24"/>
        </w:rPr>
        <w:t>&lt;</w:t>
      </w:r>
      <w:r w:rsidR="00903391" w:rsidRPr="000315B4">
        <w:rPr>
          <w:rFonts w:hint="eastAsia"/>
          <w:sz w:val="24"/>
          <w:szCs w:val="24"/>
          <w:lang w:eastAsia="zh-CN"/>
        </w:rPr>
        <w:t xml:space="preserve"> </w:t>
      </w:r>
      <w:r w:rsidR="00F843E4" w:rsidRPr="000315B4">
        <w:rPr>
          <w:sz w:val="24"/>
          <w:szCs w:val="24"/>
        </w:rPr>
        <w:t>0.001</w:t>
      </w:r>
      <w:r w:rsidR="00651E03" w:rsidRPr="000315B4">
        <w:rPr>
          <w:sz w:val="24"/>
          <w:szCs w:val="24"/>
        </w:rPr>
        <w:t xml:space="preserve"> (</w:t>
      </w:r>
      <w:r w:rsidR="00651E03" w:rsidRPr="000315B4">
        <w:rPr>
          <w:i/>
          <w:sz w:val="24"/>
          <w:szCs w:val="24"/>
        </w:rPr>
        <w:t>n</w:t>
      </w:r>
      <w:r w:rsidR="00903391" w:rsidRPr="000315B4">
        <w:rPr>
          <w:rFonts w:hint="eastAsia"/>
          <w:sz w:val="24"/>
          <w:szCs w:val="24"/>
          <w:lang w:eastAsia="zh-CN"/>
        </w:rPr>
        <w:t xml:space="preserve"> </w:t>
      </w:r>
      <w:r w:rsidR="00651E03" w:rsidRPr="000315B4">
        <w:rPr>
          <w:sz w:val="24"/>
          <w:szCs w:val="24"/>
        </w:rPr>
        <w:t>=</w:t>
      </w:r>
      <w:r w:rsidR="00903391" w:rsidRPr="000315B4">
        <w:rPr>
          <w:rFonts w:hint="eastAsia"/>
          <w:sz w:val="24"/>
          <w:szCs w:val="24"/>
          <w:lang w:eastAsia="zh-CN"/>
        </w:rPr>
        <w:t xml:space="preserve"> </w:t>
      </w:r>
      <w:r w:rsidR="00651E03" w:rsidRPr="000315B4">
        <w:rPr>
          <w:sz w:val="24"/>
          <w:szCs w:val="24"/>
        </w:rPr>
        <w:t>245)</w:t>
      </w:r>
      <w:r w:rsidR="00C11810" w:rsidRPr="000315B4">
        <w:rPr>
          <w:sz w:val="24"/>
          <w:szCs w:val="24"/>
        </w:rPr>
        <w:t xml:space="preserve">. For </w:t>
      </w:r>
      <w:r w:rsidR="00377F42" w:rsidRPr="000315B4">
        <w:rPr>
          <w:sz w:val="24"/>
          <w:szCs w:val="24"/>
        </w:rPr>
        <w:t xml:space="preserve">all-cause </w:t>
      </w:r>
      <w:r w:rsidR="00C11810" w:rsidRPr="000315B4">
        <w:rPr>
          <w:sz w:val="24"/>
          <w:szCs w:val="24"/>
        </w:rPr>
        <w:t>cancer, the 2-year and 10-year cancer free survival were 86% and 6</w:t>
      </w:r>
      <w:r w:rsidR="001A5408" w:rsidRPr="000315B4">
        <w:rPr>
          <w:sz w:val="24"/>
          <w:szCs w:val="24"/>
        </w:rPr>
        <w:t>4</w:t>
      </w:r>
      <w:r w:rsidR="00C11810" w:rsidRPr="000315B4">
        <w:rPr>
          <w:sz w:val="24"/>
          <w:szCs w:val="24"/>
        </w:rPr>
        <w:t>% in the HGD group compared to 9</w:t>
      </w:r>
      <w:r w:rsidR="001A5408" w:rsidRPr="000315B4">
        <w:rPr>
          <w:sz w:val="24"/>
          <w:szCs w:val="24"/>
        </w:rPr>
        <w:t>8</w:t>
      </w:r>
      <w:r w:rsidR="00C11810" w:rsidRPr="000315B4">
        <w:rPr>
          <w:sz w:val="24"/>
          <w:szCs w:val="24"/>
        </w:rPr>
        <w:t>% and 93% at the non HGD group</w:t>
      </w:r>
      <w:r w:rsidR="00F3474D" w:rsidRPr="000315B4">
        <w:rPr>
          <w:sz w:val="24"/>
          <w:szCs w:val="24"/>
        </w:rPr>
        <w:t>, respectively</w:t>
      </w:r>
      <w:r w:rsidR="00C11810" w:rsidRPr="000315B4">
        <w:rPr>
          <w:sz w:val="24"/>
          <w:szCs w:val="24"/>
        </w:rPr>
        <w:t xml:space="preserve">. </w:t>
      </w:r>
    </w:p>
    <w:p w14:paraId="07DCEF59" w14:textId="127392FF" w:rsidR="00921804" w:rsidRPr="000315B4" w:rsidRDefault="00921804" w:rsidP="00903391">
      <w:pPr>
        <w:widowControl w:val="0"/>
        <w:adjustRightInd w:val="0"/>
        <w:snapToGrid w:val="0"/>
        <w:spacing w:line="360" w:lineRule="auto"/>
        <w:ind w:firstLineChars="100" w:firstLine="240"/>
        <w:jc w:val="both"/>
        <w:rPr>
          <w:sz w:val="24"/>
          <w:szCs w:val="24"/>
        </w:rPr>
      </w:pPr>
      <w:r w:rsidRPr="000315B4">
        <w:rPr>
          <w:sz w:val="24"/>
          <w:szCs w:val="24"/>
        </w:rPr>
        <w:t xml:space="preserve">Occurrence of </w:t>
      </w:r>
      <w:r w:rsidR="00377F42" w:rsidRPr="000315B4">
        <w:rPr>
          <w:sz w:val="24"/>
          <w:szCs w:val="24"/>
        </w:rPr>
        <w:t xml:space="preserve">all-cause </w:t>
      </w:r>
      <w:r w:rsidR="009D4A26" w:rsidRPr="000315B4">
        <w:rPr>
          <w:sz w:val="24"/>
          <w:szCs w:val="24"/>
        </w:rPr>
        <w:t xml:space="preserve">cancer </w:t>
      </w:r>
      <w:r w:rsidRPr="000315B4">
        <w:rPr>
          <w:sz w:val="24"/>
          <w:szCs w:val="24"/>
        </w:rPr>
        <w:t>was associated with the maximal extent of the BE segment and HGD at the univariate analysis</w:t>
      </w:r>
      <w:r w:rsidR="002A2BF5" w:rsidRPr="000315B4">
        <w:rPr>
          <w:sz w:val="24"/>
          <w:szCs w:val="24"/>
        </w:rPr>
        <w:t>, see</w:t>
      </w:r>
      <w:r w:rsidRPr="000315B4">
        <w:rPr>
          <w:sz w:val="24"/>
          <w:szCs w:val="24"/>
        </w:rPr>
        <w:t xml:space="preserve"> </w:t>
      </w:r>
      <w:r w:rsidR="00903391" w:rsidRPr="000315B4">
        <w:rPr>
          <w:sz w:val="24"/>
          <w:szCs w:val="24"/>
        </w:rPr>
        <w:t xml:space="preserve">Table </w:t>
      </w:r>
      <w:r w:rsidR="0084591F" w:rsidRPr="000315B4">
        <w:rPr>
          <w:sz w:val="24"/>
          <w:szCs w:val="24"/>
        </w:rPr>
        <w:t>4</w:t>
      </w:r>
      <w:r w:rsidR="002A2BF5" w:rsidRPr="000315B4">
        <w:rPr>
          <w:sz w:val="24"/>
          <w:szCs w:val="24"/>
        </w:rPr>
        <w:t>.</w:t>
      </w:r>
      <w:r w:rsidRPr="000315B4">
        <w:rPr>
          <w:sz w:val="24"/>
          <w:szCs w:val="24"/>
        </w:rPr>
        <w:t xml:space="preserve"> After adjusting for age, </w:t>
      </w:r>
      <w:r w:rsidRPr="000315B4">
        <w:rPr>
          <w:sz w:val="24"/>
          <w:szCs w:val="24"/>
        </w:rPr>
        <w:lastRenderedPageBreak/>
        <w:t xml:space="preserve">number of endoscopies and </w:t>
      </w:r>
      <w:r w:rsidR="001A5408" w:rsidRPr="000315B4">
        <w:rPr>
          <w:sz w:val="24"/>
          <w:szCs w:val="24"/>
        </w:rPr>
        <w:t>pre-study cancer history</w:t>
      </w:r>
      <w:r w:rsidRPr="000315B4">
        <w:rPr>
          <w:sz w:val="24"/>
          <w:szCs w:val="24"/>
        </w:rPr>
        <w:t xml:space="preserve">, HGD was independently associated with </w:t>
      </w:r>
      <w:r w:rsidR="009D4A26" w:rsidRPr="000315B4">
        <w:rPr>
          <w:sz w:val="24"/>
          <w:szCs w:val="24"/>
        </w:rPr>
        <w:t xml:space="preserve">all-cause cancer </w:t>
      </w:r>
      <w:r w:rsidRPr="000315B4">
        <w:rPr>
          <w:sz w:val="24"/>
          <w:szCs w:val="24"/>
        </w:rPr>
        <w:t>occurrence (Adj.HR</w:t>
      </w:r>
      <w:r w:rsidR="00903391" w:rsidRPr="000315B4">
        <w:rPr>
          <w:rFonts w:hint="eastAsia"/>
          <w:sz w:val="24"/>
          <w:szCs w:val="24"/>
          <w:lang w:eastAsia="zh-CN"/>
        </w:rPr>
        <w:t xml:space="preserve"> </w:t>
      </w:r>
      <w:r w:rsidRPr="000315B4">
        <w:rPr>
          <w:sz w:val="24"/>
          <w:szCs w:val="24"/>
        </w:rPr>
        <w:t>=</w:t>
      </w:r>
      <w:r w:rsidR="00903391" w:rsidRPr="000315B4">
        <w:rPr>
          <w:rFonts w:hint="eastAsia"/>
          <w:sz w:val="24"/>
          <w:szCs w:val="24"/>
          <w:lang w:eastAsia="zh-CN"/>
        </w:rPr>
        <w:t xml:space="preserve"> </w:t>
      </w:r>
      <w:r w:rsidRPr="000315B4">
        <w:rPr>
          <w:sz w:val="24"/>
          <w:szCs w:val="24"/>
        </w:rPr>
        <w:t>4.28, 95%CI</w:t>
      </w:r>
      <w:r w:rsidR="00903391" w:rsidRPr="000315B4">
        <w:rPr>
          <w:rFonts w:hint="eastAsia"/>
          <w:sz w:val="24"/>
          <w:szCs w:val="24"/>
          <w:lang w:eastAsia="zh-CN"/>
        </w:rPr>
        <w:t>:</w:t>
      </w:r>
      <w:r w:rsidRPr="000315B4">
        <w:rPr>
          <w:sz w:val="24"/>
          <w:szCs w:val="24"/>
        </w:rPr>
        <w:t xml:space="preserve"> 1.17-15.76, </w:t>
      </w:r>
      <w:r w:rsidRPr="000315B4">
        <w:rPr>
          <w:i/>
          <w:sz w:val="24"/>
          <w:szCs w:val="24"/>
        </w:rPr>
        <w:t>P</w:t>
      </w:r>
      <w:r w:rsidR="00903391" w:rsidRPr="000315B4">
        <w:rPr>
          <w:rFonts w:hint="eastAsia"/>
          <w:sz w:val="24"/>
          <w:szCs w:val="24"/>
          <w:lang w:eastAsia="zh-CN"/>
        </w:rPr>
        <w:t xml:space="preserve"> </w:t>
      </w:r>
      <w:r w:rsidRPr="000315B4">
        <w:rPr>
          <w:sz w:val="24"/>
          <w:szCs w:val="24"/>
        </w:rPr>
        <w:t>=</w:t>
      </w:r>
      <w:r w:rsidR="00903391" w:rsidRPr="000315B4">
        <w:rPr>
          <w:rFonts w:hint="eastAsia"/>
          <w:sz w:val="24"/>
          <w:szCs w:val="24"/>
          <w:lang w:eastAsia="zh-CN"/>
        </w:rPr>
        <w:t xml:space="preserve"> </w:t>
      </w:r>
      <w:r w:rsidRPr="000315B4">
        <w:rPr>
          <w:sz w:val="24"/>
          <w:szCs w:val="24"/>
        </w:rPr>
        <w:t>0.029) whereas the maximal BE segment length was borderline significant (Adj.HR</w:t>
      </w:r>
      <w:r w:rsidR="00903391" w:rsidRPr="000315B4">
        <w:rPr>
          <w:rFonts w:hint="eastAsia"/>
          <w:sz w:val="24"/>
          <w:szCs w:val="24"/>
          <w:lang w:eastAsia="zh-CN"/>
        </w:rPr>
        <w:t xml:space="preserve"> </w:t>
      </w:r>
      <w:r w:rsidRPr="000315B4">
        <w:rPr>
          <w:sz w:val="24"/>
          <w:szCs w:val="24"/>
        </w:rPr>
        <w:t>=</w:t>
      </w:r>
      <w:r w:rsidR="00903391" w:rsidRPr="000315B4">
        <w:rPr>
          <w:rFonts w:hint="eastAsia"/>
          <w:sz w:val="24"/>
          <w:szCs w:val="24"/>
          <w:lang w:eastAsia="zh-CN"/>
        </w:rPr>
        <w:t xml:space="preserve"> </w:t>
      </w:r>
      <w:r w:rsidRPr="000315B4">
        <w:rPr>
          <w:sz w:val="24"/>
          <w:szCs w:val="24"/>
        </w:rPr>
        <w:t>1.13 95%CI</w:t>
      </w:r>
      <w:r w:rsidR="00903391" w:rsidRPr="000315B4">
        <w:rPr>
          <w:rFonts w:hint="eastAsia"/>
          <w:sz w:val="24"/>
          <w:szCs w:val="24"/>
          <w:lang w:eastAsia="zh-CN"/>
        </w:rPr>
        <w:t>:</w:t>
      </w:r>
      <w:r w:rsidRPr="000315B4">
        <w:rPr>
          <w:sz w:val="24"/>
          <w:szCs w:val="24"/>
        </w:rPr>
        <w:t xml:space="preserve"> 1-1.27, </w:t>
      </w:r>
      <w:r w:rsidRPr="000315B4">
        <w:rPr>
          <w:i/>
          <w:sz w:val="24"/>
          <w:szCs w:val="24"/>
        </w:rPr>
        <w:t>P</w:t>
      </w:r>
      <w:r w:rsidR="00903391" w:rsidRPr="000315B4">
        <w:rPr>
          <w:rFonts w:hint="eastAsia"/>
          <w:sz w:val="24"/>
          <w:szCs w:val="24"/>
          <w:lang w:eastAsia="zh-CN"/>
        </w:rPr>
        <w:t xml:space="preserve"> </w:t>
      </w:r>
      <w:r w:rsidRPr="000315B4">
        <w:rPr>
          <w:sz w:val="24"/>
          <w:szCs w:val="24"/>
        </w:rPr>
        <w:t>=</w:t>
      </w:r>
      <w:r w:rsidR="00903391" w:rsidRPr="000315B4">
        <w:rPr>
          <w:rFonts w:hint="eastAsia"/>
          <w:sz w:val="24"/>
          <w:szCs w:val="24"/>
          <w:lang w:eastAsia="zh-CN"/>
        </w:rPr>
        <w:t xml:space="preserve"> </w:t>
      </w:r>
      <w:r w:rsidRPr="000315B4">
        <w:rPr>
          <w:sz w:val="24"/>
          <w:szCs w:val="24"/>
        </w:rPr>
        <w:t xml:space="preserve">0.050). </w:t>
      </w:r>
    </w:p>
    <w:p w14:paraId="41D6DA8F" w14:textId="322DAA5C" w:rsidR="00491824" w:rsidRPr="000315B4" w:rsidRDefault="00491824" w:rsidP="00903391">
      <w:pPr>
        <w:widowControl w:val="0"/>
        <w:adjustRightInd w:val="0"/>
        <w:snapToGrid w:val="0"/>
        <w:spacing w:line="360" w:lineRule="auto"/>
        <w:ind w:firstLineChars="100" w:firstLine="240"/>
        <w:jc w:val="both"/>
        <w:rPr>
          <w:sz w:val="24"/>
          <w:szCs w:val="24"/>
        </w:rPr>
      </w:pPr>
      <w:r w:rsidRPr="000315B4">
        <w:rPr>
          <w:sz w:val="24"/>
          <w:szCs w:val="24"/>
        </w:rPr>
        <w:t xml:space="preserve">As BE cancer outcome was uncommon, we compared it with the Fisher exact test and not by statistical modeling. Among the 7 incident BE-cancer cases, 3 </w:t>
      </w:r>
      <w:r w:rsidR="00F42E49" w:rsidRPr="000315B4">
        <w:rPr>
          <w:sz w:val="24"/>
          <w:szCs w:val="24"/>
        </w:rPr>
        <w:t xml:space="preserve">(42%) </w:t>
      </w:r>
      <w:r w:rsidRPr="000315B4">
        <w:rPr>
          <w:sz w:val="24"/>
          <w:szCs w:val="24"/>
        </w:rPr>
        <w:t xml:space="preserve">had HGD previously documented, while among the other 379 BE patients, only 12 </w:t>
      </w:r>
      <w:r w:rsidR="00F42E49" w:rsidRPr="000315B4">
        <w:rPr>
          <w:sz w:val="24"/>
          <w:szCs w:val="24"/>
        </w:rPr>
        <w:t xml:space="preserve">(3.2%) </w:t>
      </w:r>
      <w:r w:rsidRPr="000315B4">
        <w:rPr>
          <w:sz w:val="24"/>
          <w:szCs w:val="24"/>
        </w:rPr>
        <w:t>had HGD (RR</w:t>
      </w:r>
      <w:r w:rsidR="00903391" w:rsidRPr="000315B4">
        <w:rPr>
          <w:rFonts w:hint="eastAsia"/>
          <w:sz w:val="24"/>
          <w:szCs w:val="24"/>
          <w:lang w:eastAsia="zh-CN"/>
        </w:rPr>
        <w:t xml:space="preserve"> </w:t>
      </w:r>
      <w:r w:rsidRPr="000315B4">
        <w:rPr>
          <w:sz w:val="24"/>
          <w:szCs w:val="24"/>
        </w:rPr>
        <w:t>=</w:t>
      </w:r>
      <w:r w:rsidR="00903391" w:rsidRPr="000315B4">
        <w:rPr>
          <w:rFonts w:hint="eastAsia"/>
          <w:sz w:val="24"/>
          <w:szCs w:val="24"/>
          <w:lang w:eastAsia="zh-CN"/>
        </w:rPr>
        <w:t xml:space="preserve"> </w:t>
      </w:r>
      <w:r w:rsidR="00C034C3" w:rsidRPr="000315B4">
        <w:rPr>
          <w:sz w:val="24"/>
          <w:szCs w:val="24"/>
          <w:rtl/>
        </w:rPr>
        <w:t>18</w:t>
      </w:r>
      <w:r w:rsidRPr="000315B4">
        <w:rPr>
          <w:sz w:val="24"/>
          <w:szCs w:val="24"/>
        </w:rPr>
        <w:t>.</w:t>
      </w:r>
      <w:r w:rsidR="00C034C3" w:rsidRPr="000315B4">
        <w:rPr>
          <w:sz w:val="24"/>
          <w:szCs w:val="24"/>
          <w:rtl/>
        </w:rPr>
        <w:t>6</w:t>
      </w:r>
      <w:r w:rsidRPr="000315B4">
        <w:rPr>
          <w:sz w:val="24"/>
          <w:szCs w:val="24"/>
        </w:rPr>
        <w:t>, 95%CI: 4.</w:t>
      </w:r>
      <w:r w:rsidR="00C034C3" w:rsidRPr="000315B4">
        <w:rPr>
          <w:sz w:val="24"/>
          <w:szCs w:val="24"/>
          <w:rtl/>
        </w:rPr>
        <w:t>6</w:t>
      </w:r>
      <w:r w:rsidRPr="000315B4">
        <w:rPr>
          <w:sz w:val="24"/>
          <w:szCs w:val="24"/>
        </w:rPr>
        <w:t>-</w:t>
      </w:r>
      <w:r w:rsidR="00C034C3" w:rsidRPr="000315B4">
        <w:rPr>
          <w:sz w:val="24"/>
          <w:szCs w:val="24"/>
          <w:rtl/>
        </w:rPr>
        <w:t>75.6</w:t>
      </w:r>
      <w:r w:rsidR="00332C0B" w:rsidRPr="000315B4">
        <w:rPr>
          <w:sz w:val="24"/>
          <w:szCs w:val="24"/>
        </w:rPr>
        <w:t xml:space="preserve">, </w:t>
      </w:r>
      <w:r w:rsidR="00332C0B" w:rsidRPr="000315B4">
        <w:rPr>
          <w:i/>
          <w:sz w:val="24"/>
          <w:szCs w:val="24"/>
        </w:rPr>
        <w:t>P</w:t>
      </w:r>
      <w:r w:rsidR="00903391" w:rsidRPr="000315B4">
        <w:rPr>
          <w:rFonts w:hint="eastAsia"/>
          <w:i/>
          <w:sz w:val="24"/>
          <w:szCs w:val="24"/>
          <w:lang w:eastAsia="zh-CN"/>
        </w:rPr>
        <w:t xml:space="preserve"> </w:t>
      </w:r>
      <w:r w:rsidR="00332C0B" w:rsidRPr="000315B4">
        <w:rPr>
          <w:sz w:val="24"/>
          <w:szCs w:val="24"/>
        </w:rPr>
        <w:t>=</w:t>
      </w:r>
      <w:r w:rsidR="00903391" w:rsidRPr="000315B4">
        <w:rPr>
          <w:rFonts w:hint="eastAsia"/>
          <w:sz w:val="24"/>
          <w:szCs w:val="24"/>
          <w:lang w:eastAsia="zh-CN"/>
        </w:rPr>
        <w:t xml:space="preserve"> </w:t>
      </w:r>
      <w:r w:rsidR="00332C0B" w:rsidRPr="000315B4">
        <w:rPr>
          <w:sz w:val="24"/>
          <w:szCs w:val="24"/>
        </w:rPr>
        <w:t>0.002</w:t>
      </w:r>
      <w:r w:rsidRPr="000315B4">
        <w:rPr>
          <w:sz w:val="24"/>
          <w:szCs w:val="24"/>
        </w:rPr>
        <w:t>)</w:t>
      </w:r>
    </w:p>
    <w:p w14:paraId="6A8B86C0" w14:textId="4780A00B" w:rsidR="000E76C2" w:rsidRPr="000315B4" w:rsidRDefault="000E76C2" w:rsidP="00903391">
      <w:pPr>
        <w:widowControl w:val="0"/>
        <w:adjustRightInd w:val="0"/>
        <w:snapToGrid w:val="0"/>
        <w:spacing w:line="360" w:lineRule="auto"/>
        <w:ind w:firstLineChars="100" w:firstLine="240"/>
        <w:jc w:val="both"/>
        <w:rPr>
          <w:sz w:val="24"/>
          <w:szCs w:val="24"/>
        </w:rPr>
      </w:pPr>
      <w:r w:rsidRPr="000315B4">
        <w:rPr>
          <w:sz w:val="24"/>
          <w:szCs w:val="24"/>
        </w:rPr>
        <w:t xml:space="preserve">There were 31 (8%) patients </w:t>
      </w:r>
      <w:r w:rsidR="00E372C7" w:rsidRPr="000315B4">
        <w:rPr>
          <w:sz w:val="24"/>
          <w:szCs w:val="24"/>
        </w:rPr>
        <w:t xml:space="preserve">who </w:t>
      </w:r>
      <w:r w:rsidRPr="000315B4">
        <w:rPr>
          <w:sz w:val="24"/>
          <w:szCs w:val="24"/>
        </w:rPr>
        <w:t xml:space="preserve">died </w:t>
      </w:r>
      <w:r w:rsidR="00C77347" w:rsidRPr="000315B4">
        <w:rPr>
          <w:sz w:val="24"/>
          <w:szCs w:val="24"/>
        </w:rPr>
        <w:t xml:space="preserve">out of the entire cohort </w:t>
      </w:r>
      <w:r w:rsidRPr="000315B4">
        <w:rPr>
          <w:sz w:val="24"/>
          <w:szCs w:val="24"/>
        </w:rPr>
        <w:t>during the study period</w:t>
      </w:r>
      <w:r w:rsidR="000F2A3F">
        <w:rPr>
          <w:sz w:val="24"/>
          <w:szCs w:val="24"/>
        </w:rPr>
        <w:t xml:space="preserve">. </w:t>
      </w:r>
      <w:r w:rsidR="00F3474D" w:rsidRPr="000315B4">
        <w:rPr>
          <w:sz w:val="24"/>
          <w:szCs w:val="24"/>
        </w:rPr>
        <w:t xml:space="preserve">Two </w:t>
      </w:r>
      <w:r w:rsidR="00262A58" w:rsidRPr="000315B4">
        <w:rPr>
          <w:sz w:val="24"/>
          <w:szCs w:val="24"/>
        </w:rPr>
        <w:t xml:space="preserve">(22.2%) of patients with IMC/EAC, 2 (16.7%), and 27 (7.0%) in the HGD and non-HGD groups </w:t>
      </w:r>
      <w:r w:rsidR="00B37E11" w:rsidRPr="000315B4">
        <w:rPr>
          <w:sz w:val="24"/>
          <w:szCs w:val="24"/>
        </w:rPr>
        <w:t>respectively.</w:t>
      </w:r>
      <w:r w:rsidRPr="000315B4">
        <w:rPr>
          <w:sz w:val="24"/>
          <w:szCs w:val="24"/>
        </w:rPr>
        <w:t xml:space="preserve"> Kaplan-Meier curve for mortality presented no association between HGD and all-cause mortalit</w:t>
      </w:r>
      <w:r w:rsidR="00F3474D" w:rsidRPr="000315B4">
        <w:rPr>
          <w:sz w:val="24"/>
          <w:szCs w:val="24"/>
        </w:rPr>
        <w:t xml:space="preserve">y, </w:t>
      </w:r>
      <w:r w:rsidR="00903391" w:rsidRPr="000315B4">
        <w:rPr>
          <w:sz w:val="24"/>
          <w:szCs w:val="24"/>
        </w:rPr>
        <w:t xml:space="preserve">Figure </w:t>
      </w:r>
      <w:r w:rsidR="00F3474D" w:rsidRPr="000315B4">
        <w:rPr>
          <w:sz w:val="24"/>
          <w:szCs w:val="24"/>
        </w:rPr>
        <w:t>2</w:t>
      </w:r>
      <w:r w:rsidR="00903391" w:rsidRPr="000315B4">
        <w:rPr>
          <w:sz w:val="24"/>
          <w:szCs w:val="24"/>
        </w:rPr>
        <w:t>C</w:t>
      </w:r>
      <w:r w:rsidR="00F3474D" w:rsidRPr="000315B4">
        <w:rPr>
          <w:sz w:val="24"/>
          <w:szCs w:val="24"/>
        </w:rPr>
        <w:t>. Log rank test</w:t>
      </w:r>
      <w:r w:rsidRPr="000315B4">
        <w:rPr>
          <w:sz w:val="24"/>
          <w:szCs w:val="24"/>
        </w:rPr>
        <w:t xml:space="preserve"> </w:t>
      </w:r>
      <w:r w:rsidR="00F3474D" w:rsidRPr="000315B4">
        <w:rPr>
          <w:i/>
          <w:sz w:val="24"/>
          <w:szCs w:val="24"/>
        </w:rPr>
        <w:t>P</w:t>
      </w:r>
      <w:r w:rsidR="00903391" w:rsidRPr="000315B4">
        <w:rPr>
          <w:rFonts w:hint="eastAsia"/>
          <w:sz w:val="24"/>
          <w:szCs w:val="24"/>
          <w:lang w:eastAsia="zh-CN"/>
        </w:rPr>
        <w:t xml:space="preserve"> </w:t>
      </w:r>
      <w:r w:rsidR="00F3474D" w:rsidRPr="000315B4">
        <w:rPr>
          <w:sz w:val="24"/>
          <w:szCs w:val="24"/>
        </w:rPr>
        <w:t>=</w:t>
      </w:r>
      <w:r w:rsidR="00903391" w:rsidRPr="000315B4">
        <w:rPr>
          <w:rFonts w:hint="eastAsia"/>
          <w:sz w:val="24"/>
          <w:szCs w:val="24"/>
          <w:lang w:eastAsia="zh-CN"/>
        </w:rPr>
        <w:t xml:space="preserve"> </w:t>
      </w:r>
      <w:r w:rsidR="00F3474D" w:rsidRPr="000315B4">
        <w:rPr>
          <w:sz w:val="24"/>
          <w:szCs w:val="24"/>
        </w:rPr>
        <w:t xml:space="preserve">0.376 </w:t>
      </w:r>
      <w:r w:rsidRPr="000315B4">
        <w:rPr>
          <w:sz w:val="24"/>
          <w:szCs w:val="24"/>
        </w:rPr>
        <w:t>(</w:t>
      </w:r>
      <w:r w:rsidR="00597D54" w:rsidRPr="000315B4">
        <w:rPr>
          <w:i/>
          <w:sz w:val="24"/>
          <w:szCs w:val="24"/>
        </w:rPr>
        <w:t>n</w:t>
      </w:r>
      <w:r w:rsidR="00597D54" w:rsidRPr="000315B4">
        <w:rPr>
          <w:sz w:val="24"/>
          <w:szCs w:val="24"/>
        </w:rPr>
        <w:t xml:space="preserve"> =</w:t>
      </w:r>
      <w:r w:rsidR="00903391" w:rsidRPr="000315B4">
        <w:rPr>
          <w:rFonts w:hint="eastAsia"/>
          <w:sz w:val="24"/>
          <w:szCs w:val="24"/>
          <w:lang w:eastAsia="zh-CN"/>
        </w:rPr>
        <w:t xml:space="preserve"> </w:t>
      </w:r>
      <w:r w:rsidR="00597D54" w:rsidRPr="000315B4">
        <w:rPr>
          <w:sz w:val="24"/>
          <w:szCs w:val="24"/>
        </w:rPr>
        <w:t>245</w:t>
      </w:r>
      <w:r w:rsidR="00F3474D" w:rsidRPr="000315B4">
        <w:rPr>
          <w:sz w:val="24"/>
          <w:szCs w:val="24"/>
        </w:rPr>
        <w:t>)</w:t>
      </w:r>
      <w:r w:rsidRPr="000315B4">
        <w:rPr>
          <w:sz w:val="24"/>
          <w:szCs w:val="24"/>
        </w:rPr>
        <w:t xml:space="preserve">. Cox regression analysis maintained this conclusion, after adjusting for age, cancer history and number of endoscopies </w:t>
      </w:r>
      <w:r w:rsidR="00ED5103" w:rsidRPr="000315B4">
        <w:rPr>
          <w:sz w:val="24"/>
          <w:szCs w:val="24"/>
        </w:rPr>
        <w:t>for HGD (</w:t>
      </w:r>
      <w:r w:rsidRPr="000315B4">
        <w:rPr>
          <w:sz w:val="24"/>
          <w:szCs w:val="24"/>
        </w:rPr>
        <w:t>Adj.HR</w:t>
      </w:r>
      <w:r w:rsidR="00903391" w:rsidRPr="000315B4">
        <w:rPr>
          <w:rFonts w:hint="eastAsia"/>
          <w:sz w:val="24"/>
          <w:szCs w:val="24"/>
          <w:lang w:eastAsia="zh-CN"/>
        </w:rPr>
        <w:t xml:space="preserve"> </w:t>
      </w:r>
      <w:r w:rsidRPr="000315B4">
        <w:rPr>
          <w:sz w:val="24"/>
          <w:szCs w:val="24"/>
        </w:rPr>
        <w:t>=</w:t>
      </w:r>
      <w:r w:rsidR="00903391" w:rsidRPr="000315B4">
        <w:rPr>
          <w:rFonts w:hint="eastAsia"/>
          <w:sz w:val="24"/>
          <w:szCs w:val="24"/>
          <w:lang w:eastAsia="zh-CN"/>
        </w:rPr>
        <w:t xml:space="preserve"> </w:t>
      </w:r>
      <w:r w:rsidRPr="000315B4">
        <w:rPr>
          <w:sz w:val="24"/>
          <w:szCs w:val="24"/>
        </w:rPr>
        <w:t>3.19</w:t>
      </w:r>
      <w:r w:rsidR="00E372C7" w:rsidRPr="000315B4">
        <w:rPr>
          <w:sz w:val="24"/>
          <w:szCs w:val="24"/>
        </w:rPr>
        <w:t xml:space="preserve">, </w:t>
      </w:r>
      <w:r w:rsidRPr="000315B4">
        <w:rPr>
          <w:sz w:val="24"/>
          <w:szCs w:val="24"/>
        </w:rPr>
        <w:t>95%CI</w:t>
      </w:r>
      <w:r w:rsidR="00903391" w:rsidRPr="000315B4">
        <w:rPr>
          <w:rFonts w:hint="eastAsia"/>
          <w:sz w:val="24"/>
          <w:szCs w:val="24"/>
          <w:lang w:eastAsia="zh-CN"/>
        </w:rPr>
        <w:t>:</w:t>
      </w:r>
      <w:r w:rsidRPr="000315B4">
        <w:rPr>
          <w:sz w:val="24"/>
          <w:szCs w:val="24"/>
        </w:rPr>
        <w:t xml:space="preserve"> 0.66-15.46</w:t>
      </w:r>
      <w:r w:rsidR="00E372C7" w:rsidRPr="000315B4">
        <w:rPr>
          <w:sz w:val="24"/>
          <w:szCs w:val="24"/>
        </w:rPr>
        <w:t xml:space="preserve">, </w:t>
      </w:r>
      <w:r w:rsidR="00D01923" w:rsidRPr="000315B4">
        <w:rPr>
          <w:i/>
          <w:sz w:val="24"/>
          <w:szCs w:val="24"/>
        </w:rPr>
        <w:t>P</w:t>
      </w:r>
      <w:r w:rsidR="00903391" w:rsidRPr="000315B4">
        <w:rPr>
          <w:rFonts w:hint="eastAsia"/>
          <w:sz w:val="24"/>
          <w:szCs w:val="24"/>
          <w:lang w:eastAsia="zh-CN"/>
        </w:rPr>
        <w:t xml:space="preserve"> </w:t>
      </w:r>
      <w:r w:rsidR="00D01923" w:rsidRPr="000315B4">
        <w:rPr>
          <w:sz w:val="24"/>
          <w:szCs w:val="24"/>
        </w:rPr>
        <w:t>=</w:t>
      </w:r>
      <w:r w:rsidR="00903391" w:rsidRPr="000315B4">
        <w:rPr>
          <w:rFonts w:hint="eastAsia"/>
          <w:sz w:val="24"/>
          <w:szCs w:val="24"/>
          <w:lang w:eastAsia="zh-CN"/>
        </w:rPr>
        <w:t xml:space="preserve"> </w:t>
      </w:r>
      <w:r w:rsidR="00D01923" w:rsidRPr="000315B4">
        <w:rPr>
          <w:sz w:val="24"/>
          <w:szCs w:val="24"/>
        </w:rPr>
        <w:t>0.149</w:t>
      </w:r>
      <w:r w:rsidRPr="000315B4">
        <w:rPr>
          <w:sz w:val="24"/>
          <w:szCs w:val="24"/>
        </w:rPr>
        <w:t xml:space="preserve">). </w:t>
      </w:r>
    </w:p>
    <w:p w14:paraId="530668DA" w14:textId="4D9DA163" w:rsidR="00285073" w:rsidRPr="000315B4" w:rsidRDefault="00285073" w:rsidP="00903391">
      <w:pPr>
        <w:widowControl w:val="0"/>
        <w:adjustRightInd w:val="0"/>
        <w:snapToGrid w:val="0"/>
        <w:spacing w:line="360" w:lineRule="auto"/>
        <w:ind w:firstLineChars="100" w:firstLine="240"/>
        <w:jc w:val="both"/>
        <w:rPr>
          <w:sz w:val="24"/>
          <w:szCs w:val="24"/>
          <w:lang w:eastAsia="zh-CN"/>
        </w:rPr>
      </w:pPr>
      <w:r w:rsidRPr="000315B4">
        <w:rPr>
          <w:sz w:val="24"/>
          <w:szCs w:val="24"/>
          <w:lang w:eastAsia="zh-CN"/>
        </w:rPr>
        <w:t xml:space="preserve">The Kaplan-Meier curves for </w:t>
      </w:r>
      <w:r w:rsidR="000A057B" w:rsidRPr="000315B4">
        <w:rPr>
          <w:sz w:val="24"/>
          <w:szCs w:val="24"/>
          <w:lang w:eastAsia="zh-CN"/>
        </w:rPr>
        <w:t xml:space="preserve">cancer free survival of </w:t>
      </w:r>
      <w:r w:rsidRPr="000315B4">
        <w:rPr>
          <w:sz w:val="24"/>
          <w:szCs w:val="24"/>
          <w:lang w:eastAsia="zh-CN"/>
        </w:rPr>
        <w:t xml:space="preserve">the total cohort, including patients with a single endoscopy are shown in the online supplementary section, </w:t>
      </w:r>
      <w:r w:rsidR="000F2A3F" w:rsidRPr="000315B4">
        <w:rPr>
          <w:sz w:val="24"/>
          <w:szCs w:val="24"/>
          <w:lang w:eastAsia="zh-CN"/>
        </w:rPr>
        <w:t xml:space="preserve">Supplementary </w:t>
      </w:r>
      <w:r w:rsidR="00903391" w:rsidRPr="000315B4">
        <w:rPr>
          <w:sz w:val="24"/>
          <w:szCs w:val="24"/>
          <w:lang w:eastAsia="zh-CN"/>
        </w:rPr>
        <w:t xml:space="preserve">Figure </w:t>
      </w:r>
      <w:r w:rsidR="000F2A3F">
        <w:rPr>
          <w:sz w:val="24"/>
          <w:szCs w:val="24"/>
          <w:lang w:eastAsia="zh-CN"/>
        </w:rPr>
        <w:t>1.</w:t>
      </w:r>
    </w:p>
    <w:p w14:paraId="4B8CDD8F" w14:textId="77777777" w:rsidR="00007844" w:rsidRPr="000F2A3F" w:rsidRDefault="00007844" w:rsidP="007804E8">
      <w:pPr>
        <w:widowControl w:val="0"/>
        <w:adjustRightInd w:val="0"/>
        <w:snapToGrid w:val="0"/>
        <w:spacing w:line="360" w:lineRule="auto"/>
        <w:jc w:val="both"/>
        <w:rPr>
          <w:sz w:val="24"/>
          <w:szCs w:val="24"/>
          <w:lang w:eastAsia="zh-CN"/>
        </w:rPr>
      </w:pPr>
    </w:p>
    <w:p w14:paraId="761C9F9F" w14:textId="19A9E0B0" w:rsidR="00C71EEF" w:rsidRPr="000315B4" w:rsidRDefault="00007844" w:rsidP="007804E8">
      <w:pPr>
        <w:pStyle w:val="Subtitle"/>
        <w:widowControl w:val="0"/>
        <w:adjustRightInd w:val="0"/>
        <w:snapToGrid w:val="0"/>
        <w:spacing w:line="360" w:lineRule="auto"/>
        <w:jc w:val="both"/>
        <w:rPr>
          <w:sz w:val="24"/>
          <w:szCs w:val="24"/>
        </w:rPr>
      </w:pPr>
      <w:r w:rsidRPr="000315B4">
        <w:rPr>
          <w:sz w:val="24"/>
          <w:szCs w:val="24"/>
        </w:rPr>
        <w:t>DISCUSSION</w:t>
      </w:r>
    </w:p>
    <w:p w14:paraId="43248D73" w14:textId="77777777" w:rsidR="004157A4" w:rsidRPr="000315B4" w:rsidRDefault="00DE4152" w:rsidP="007804E8">
      <w:pPr>
        <w:widowControl w:val="0"/>
        <w:adjustRightInd w:val="0"/>
        <w:snapToGrid w:val="0"/>
        <w:spacing w:line="360" w:lineRule="auto"/>
        <w:jc w:val="both"/>
        <w:rPr>
          <w:sz w:val="24"/>
          <w:szCs w:val="24"/>
        </w:rPr>
      </w:pPr>
      <w:r w:rsidRPr="000315B4">
        <w:rPr>
          <w:sz w:val="24"/>
          <w:szCs w:val="24"/>
        </w:rPr>
        <w:t xml:space="preserve">Our study reveals </w:t>
      </w:r>
      <w:r w:rsidR="0084591F" w:rsidRPr="000315B4">
        <w:rPr>
          <w:sz w:val="24"/>
          <w:szCs w:val="24"/>
        </w:rPr>
        <w:t xml:space="preserve">an </w:t>
      </w:r>
      <w:r w:rsidRPr="000315B4">
        <w:rPr>
          <w:sz w:val="24"/>
          <w:szCs w:val="24"/>
        </w:rPr>
        <w:t>association between BE with HGD and cancer</w:t>
      </w:r>
      <w:r w:rsidR="004669DD" w:rsidRPr="000315B4">
        <w:rPr>
          <w:sz w:val="24"/>
          <w:szCs w:val="24"/>
        </w:rPr>
        <w:t xml:space="preserve"> outcome </w:t>
      </w:r>
      <w:r w:rsidR="00F1710F" w:rsidRPr="000315B4">
        <w:rPr>
          <w:sz w:val="24"/>
          <w:szCs w:val="24"/>
        </w:rPr>
        <w:t xml:space="preserve">which, </w:t>
      </w:r>
      <w:r w:rsidR="00B9575F" w:rsidRPr="000315B4">
        <w:rPr>
          <w:sz w:val="24"/>
          <w:szCs w:val="24"/>
        </w:rPr>
        <w:t xml:space="preserve">to the </w:t>
      </w:r>
      <w:r w:rsidR="009470CA" w:rsidRPr="000315B4">
        <w:rPr>
          <w:sz w:val="24"/>
          <w:szCs w:val="24"/>
        </w:rPr>
        <w:t xml:space="preserve">best </w:t>
      </w:r>
      <w:r w:rsidR="00367B6F" w:rsidRPr="000315B4">
        <w:rPr>
          <w:sz w:val="24"/>
          <w:szCs w:val="24"/>
        </w:rPr>
        <w:t xml:space="preserve">of </w:t>
      </w:r>
      <w:r w:rsidR="009470CA" w:rsidRPr="000315B4">
        <w:rPr>
          <w:sz w:val="24"/>
          <w:szCs w:val="24"/>
        </w:rPr>
        <w:t>our knowledge,</w:t>
      </w:r>
      <w:r w:rsidR="004669DD" w:rsidRPr="000315B4">
        <w:rPr>
          <w:sz w:val="24"/>
          <w:szCs w:val="24"/>
        </w:rPr>
        <w:t xml:space="preserve"> has not been reported before. </w:t>
      </w:r>
      <w:r w:rsidR="00CB1F52" w:rsidRPr="000315B4">
        <w:rPr>
          <w:sz w:val="24"/>
          <w:szCs w:val="24"/>
        </w:rPr>
        <w:t xml:space="preserve">Our main finding is that </w:t>
      </w:r>
      <w:r w:rsidR="00F1710F" w:rsidRPr="000315B4">
        <w:rPr>
          <w:sz w:val="24"/>
          <w:szCs w:val="24"/>
        </w:rPr>
        <w:t xml:space="preserve">BE </w:t>
      </w:r>
      <w:r w:rsidR="00CB1F52" w:rsidRPr="000315B4">
        <w:rPr>
          <w:sz w:val="24"/>
          <w:szCs w:val="24"/>
        </w:rPr>
        <w:t>p</w:t>
      </w:r>
      <w:r w:rsidR="00AA6F42" w:rsidRPr="000315B4">
        <w:rPr>
          <w:sz w:val="24"/>
          <w:szCs w:val="24"/>
        </w:rPr>
        <w:t xml:space="preserve">atients with </w:t>
      </w:r>
      <w:r w:rsidR="002606EC" w:rsidRPr="000315B4">
        <w:rPr>
          <w:sz w:val="24"/>
          <w:szCs w:val="24"/>
        </w:rPr>
        <w:t>HGD</w:t>
      </w:r>
      <w:r w:rsidR="00AA6F42" w:rsidRPr="000315B4">
        <w:rPr>
          <w:sz w:val="24"/>
          <w:szCs w:val="24"/>
        </w:rPr>
        <w:t xml:space="preserve"> had </w:t>
      </w:r>
      <w:r w:rsidR="00E03953" w:rsidRPr="000315B4">
        <w:rPr>
          <w:sz w:val="24"/>
          <w:szCs w:val="24"/>
        </w:rPr>
        <w:t xml:space="preserve">a </w:t>
      </w:r>
      <w:r w:rsidR="00E43EC5" w:rsidRPr="000315B4">
        <w:rPr>
          <w:sz w:val="24"/>
          <w:szCs w:val="24"/>
        </w:rPr>
        <w:t xml:space="preserve">significantly </w:t>
      </w:r>
      <w:r w:rsidR="00E03953" w:rsidRPr="000315B4">
        <w:rPr>
          <w:sz w:val="24"/>
          <w:szCs w:val="24"/>
        </w:rPr>
        <w:t>higher</w:t>
      </w:r>
      <w:r w:rsidR="00AA6F42" w:rsidRPr="000315B4">
        <w:rPr>
          <w:sz w:val="24"/>
          <w:szCs w:val="24"/>
        </w:rPr>
        <w:t xml:space="preserve"> risk of having non-BE cancer compared to patients with lower grades of dysplasia.</w:t>
      </w:r>
      <w:r w:rsidR="00367B6F" w:rsidRPr="000315B4">
        <w:rPr>
          <w:sz w:val="24"/>
          <w:szCs w:val="24"/>
        </w:rPr>
        <w:t xml:space="preserve"> </w:t>
      </w:r>
      <w:r w:rsidR="004157A4" w:rsidRPr="000315B4">
        <w:rPr>
          <w:sz w:val="24"/>
          <w:szCs w:val="24"/>
        </w:rPr>
        <w:t xml:space="preserve">This association was found </w:t>
      </w:r>
      <w:r w:rsidR="00367B6F" w:rsidRPr="000315B4">
        <w:rPr>
          <w:sz w:val="24"/>
          <w:szCs w:val="24"/>
        </w:rPr>
        <w:t>in the group of</w:t>
      </w:r>
      <w:r w:rsidR="004157A4" w:rsidRPr="000315B4">
        <w:rPr>
          <w:sz w:val="24"/>
          <w:szCs w:val="24"/>
        </w:rPr>
        <w:t xml:space="preserve"> patients </w:t>
      </w:r>
      <w:r w:rsidR="00367B6F" w:rsidRPr="000315B4">
        <w:rPr>
          <w:sz w:val="24"/>
          <w:szCs w:val="24"/>
        </w:rPr>
        <w:t xml:space="preserve">who </w:t>
      </w:r>
      <w:r w:rsidR="004157A4" w:rsidRPr="000315B4">
        <w:rPr>
          <w:sz w:val="24"/>
          <w:szCs w:val="24"/>
        </w:rPr>
        <w:t>underwent more than a single endoscopy</w:t>
      </w:r>
      <w:r w:rsidR="00367B6F" w:rsidRPr="000315B4">
        <w:rPr>
          <w:sz w:val="24"/>
          <w:szCs w:val="24"/>
        </w:rPr>
        <w:t xml:space="preserve">, which </w:t>
      </w:r>
      <w:r w:rsidR="004157A4" w:rsidRPr="000315B4">
        <w:rPr>
          <w:sz w:val="24"/>
          <w:szCs w:val="24"/>
        </w:rPr>
        <w:t>decreases the chance of</w:t>
      </w:r>
      <w:r w:rsidR="00367B6F" w:rsidRPr="000315B4">
        <w:rPr>
          <w:sz w:val="24"/>
          <w:szCs w:val="24"/>
        </w:rPr>
        <w:t xml:space="preserve"> dysplasia grade</w:t>
      </w:r>
      <w:r w:rsidR="004157A4" w:rsidRPr="000315B4">
        <w:rPr>
          <w:sz w:val="24"/>
          <w:szCs w:val="24"/>
        </w:rPr>
        <w:t xml:space="preserve"> misclassification.</w:t>
      </w:r>
    </w:p>
    <w:p w14:paraId="6C5343D3" w14:textId="2C88A3CF" w:rsidR="009470CA" w:rsidRPr="000315B4" w:rsidRDefault="00E14DF9" w:rsidP="00903391">
      <w:pPr>
        <w:widowControl w:val="0"/>
        <w:adjustRightInd w:val="0"/>
        <w:snapToGrid w:val="0"/>
        <w:spacing w:line="360" w:lineRule="auto"/>
        <w:ind w:firstLineChars="100" w:firstLine="240"/>
        <w:jc w:val="both"/>
        <w:rPr>
          <w:sz w:val="24"/>
          <w:szCs w:val="24"/>
        </w:rPr>
      </w:pPr>
      <w:r w:rsidRPr="000315B4">
        <w:rPr>
          <w:sz w:val="24"/>
          <w:szCs w:val="24"/>
        </w:rPr>
        <w:t>As expected, t</w:t>
      </w:r>
      <w:r w:rsidR="00AA6F42" w:rsidRPr="000315B4">
        <w:rPr>
          <w:sz w:val="24"/>
          <w:szCs w:val="24"/>
        </w:rPr>
        <w:t>he know</w:t>
      </w:r>
      <w:r w:rsidRPr="000315B4">
        <w:rPr>
          <w:sz w:val="24"/>
          <w:szCs w:val="24"/>
        </w:rPr>
        <w:t>n</w:t>
      </w:r>
      <w:r w:rsidR="00AA6F42" w:rsidRPr="000315B4">
        <w:rPr>
          <w:sz w:val="24"/>
          <w:szCs w:val="24"/>
        </w:rPr>
        <w:t xml:space="preserve"> association between </w:t>
      </w:r>
      <w:r w:rsidR="00327805" w:rsidRPr="000315B4">
        <w:rPr>
          <w:sz w:val="24"/>
          <w:szCs w:val="24"/>
        </w:rPr>
        <w:t xml:space="preserve">BE with </w:t>
      </w:r>
      <w:r w:rsidR="004D6C11" w:rsidRPr="000315B4">
        <w:rPr>
          <w:sz w:val="24"/>
          <w:szCs w:val="24"/>
        </w:rPr>
        <w:t xml:space="preserve">HGD </w:t>
      </w:r>
      <w:r w:rsidR="00AA6F42" w:rsidRPr="000315B4">
        <w:rPr>
          <w:sz w:val="24"/>
          <w:szCs w:val="24"/>
        </w:rPr>
        <w:t>and</w:t>
      </w:r>
      <w:r w:rsidR="00553DCF" w:rsidRPr="000315B4">
        <w:rPr>
          <w:sz w:val="24"/>
          <w:szCs w:val="24"/>
        </w:rPr>
        <w:t xml:space="preserve"> </w:t>
      </w:r>
      <w:r w:rsidR="000C6A9A" w:rsidRPr="000315B4">
        <w:rPr>
          <w:sz w:val="24"/>
          <w:szCs w:val="24"/>
        </w:rPr>
        <w:t>adenocarcinoma of the esophagus</w:t>
      </w:r>
      <w:r w:rsidR="00553DCF" w:rsidRPr="000315B4">
        <w:rPr>
          <w:sz w:val="24"/>
          <w:szCs w:val="24"/>
        </w:rPr>
        <w:t xml:space="preserve"> </w:t>
      </w:r>
      <w:r w:rsidR="00C301BC" w:rsidRPr="000315B4">
        <w:rPr>
          <w:sz w:val="24"/>
          <w:szCs w:val="24"/>
        </w:rPr>
        <w:t>or</w:t>
      </w:r>
      <w:r w:rsidR="000C6A9A" w:rsidRPr="000315B4">
        <w:rPr>
          <w:sz w:val="24"/>
          <w:szCs w:val="24"/>
        </w:rPr>
        <w:t xml:space="preserve"> gastro-esophageal junction</w:t>
      </w:r>
      <w:r w:rsidRPr="000315B4">
        <w:rPr>
          <w:sz w:val="24"/>
          <w:szCs w:val="24"/>
        </w:rPr>
        <w:t xml:space="preserve"> was also demonstrated</w:t>
      </w:r>
      <w:r w:rsidR="0038270F" w:rsidRPr="000315B4">
        <w:rPr>
          <w:sz w:val="24"/>
          <w:szCs w:val="24"/>
        </w:rPr>
        <w:t xml:space="preserve"> in this study. S</w:t>
      </w:r>
      <w:r w:rsidR="00EA2EF8" w:rsidRPr="000315B4">
        <w:rPr>
          <w:sz w:val="24"/>
          <w:szCs w:val="24"/>
        </w:rPr>
        <w:t xml:space="preserve">ince </w:t>
      </w:r>
      <w:r w:rsidR="0038270F" w:rsidRPr="000315B4">
        <w:rPr>
          <w:sz w:val="24"/>
          <w:szCs w:val="24"/>
        </w:rPr>
        <w:t xml:space="preserve">this </w:t>
      </w:r>
      <w:r w:rsidR="00EA2EF8" w:rsidRPr="000315B4">
        <w:rPr>
          <w:sz w:val="24"/>
          <w:szCs w:val="24"/>
        </w:rPr>
        <w:t>was an u</w:t>
      </w:r>
      <w:r w:rsidR="00024600" w:rsidRPr="000315B4">
        <w:rPr>
          <w:sz w:val="24"/>
          <w:szCs w:val="24"/>
        </w:rPr>
        <w:t>n</w:t>
      </w:r>
      <w:r w:rsidR="00EA2EF8" w:rsidRPr="000315B4">
        <w:rPr>
          <w:sz w:val="24"/>
          <w:szCs w:val="24"/>
        </w:rPr>
        <w:t>common</w:t>
      </w:r>
      <w:r w:rsidR="00F1710F" w:rsidRPr="000315B4">
        <w:rPr>
          <w:sz w:val="24"/>
          <w:szCs w:val="24"/>
        </w:rPr>
        <w:t xml:space="preserve"> event</w:t>
      </w:r>
      <w:r w:rsidR="00EA2EF8" w:rsidRPr="000315B4">
        <w:rPr>
          <w:sz w:val="24"/>
          <w:szCs w:val="24"/>
        </w:rPr>
        <w:t xml:space="preserve">, we did not use survival analysis models to investigate </w:t>
      </w:r>
      <w:r w:rsidR="00EA2EF8" w:rsidRPr="000315B4">
        <w:rPr>
          <w:sz w:val="24"/>
          <w:szCs w:val="24"/>
        </w:rPr>
        <w:lastRenderedPageBreak/>
        <w:t>the association</w:t>
      </w:r>
      <w:r w:rsidR="002E5F0C" w:rsidRPr="000315B4">
        <w:rPr>
          <w:sz w:val="24"/>
          <w:szCs w:val="24"/>
        </w:rPr>
        <w:t>.</w:t>
      </w:r>
      <w:r w:rsidR="00D37029" w:rsidRPr="000315B4">
        <w:rPr>
          <w:sz w:val="24"/>
          <w:szCs w:val="24"/>
        </w:rPr>
        <w:t xml:space="preserve"> </w:t>
      </w:r>
      <w:r w:rsidR="00CB1F52" w:rsidRPr="000315B4">
        <w:rPr>
          <w:sz w:val="24"/>
          <w:szCs w:val="24"/>
        </w:rPr>
        <w:t>We did not find</w:t>
      </w:r>
      <w:r w:rsidR="004157A4" w:rsidRPr="000315B4">
        <w:rPr>
          <w:sz w:val="24"/>
          <w:szCs w:val="24"/>
        </w:rPr>
        <w:t xml:space="preserve"> HGD </w:t>
      </w:r>
      <w:r w:rsidR="00CB1F52" w:rsidRPr="000315B4">
        <w:rPr>
          <w:sz w:val="24"/>
          <w:szCs w:val="24"/>
        </w:rPr>
        <w:t xml:space="preserve">to be associated with </w:t>
      </w:r>
      <w:r w:rsidR="00E43EC5" w:rsidRPr="000315B4">
        <w:rPr>
          <w:sz w:val="24"/>
          <w:szCs w:val="24"/>
        </w:rPr>
        <w:t>all-cause</w:t>
      </w:r>
      <w:r w:rsidR="00CB1F52" w:rsidRPr="000315B4">
        <w:rPr>
          <w:sz w:val="24"/>
          <w:szCs w:val="24"/>
        </w:rPr>
        <w:t xml:space="preserve"> mortality</w:t>
      </w:r>
      <w:r w:rsidR="004157A4" w:rsidRPr="000315B4">
        <w:rPr>
          <w:sz w:val="24"/>
          <w:szCs w:val="24"/>
        </w:rPr>
        <w:t xml:space="preserve"> compared to lower levels of dysplasia</w:t>
      </w:r>
      <w:r w:rsidR="00CB1F52" w:rsidRPr="000315B4">
        <w:rPr>
          <w:sz w:val="24"/>
          <w:szCs w:val="24"/>
        </w:rPr>
        <w:t>.</w:t>
      </w:r>
      <w:r w:rsidR="00892A55" w:rsidRPr="000315B4">
        <w:rPr>
          <w:sz w:val="24"/>
          <w:szCs w:val="24"/>
        </w:rPr>
        <w:t xml:space="preserve"> </w:t>
      </w:r>
    </w:p>
    <w:p w14:paraId="515DE7B1" w14:textId="02B37D1B" w:rsidR="004536A1" w:rsidRPr="000315B4" w:rsidRDefault="00703DF8" w:rsidP="00903391">
      <w:pPr>
        <w:widowControl w:val="0"/>
        <w:adjustRightInd w:val="0"/>
        <w:snapToGrid w:val="0"/>
        <w:spacing w:line="360" w:lineRule="auto"/>
        <w:ind w:firstLineChars="100" w:firstLine="240"/>
        <w:jc w:val="both"/>
        <w:rPr>
          <w:sz w:val="24"/>
          <w:szCs w:val="24"/>
        </w:rPr>
      </w:pPr>
      <w:r w:rsidRPr="000315B4">
        <w:rPr>
          <w:sz w:val="24"/>
          <w:szCs w:val="24"/>
        </w:rPr>
        <w:t>The association between</w:t>
      </w:r>
      <w:r w:rsidR="00330198" w:rsidRPr="000315B4">
        <w:rPr>
          <w:sz w:val="24"/>
          <w:szCs w:val="24"/>
        </w:rPr>
        <w:t xml:space="preserve"> BE and</w:t>
      </w:r>
      <w:r w:rsidRPr="000315B4">
        <w:rPr>
          <w:sz w:val="24"/>
          <w:szCs w:val="24"/>
        </w:rPr>
        <w:t xml:space="preserve"> </w:t>
      </w:r>
      <w:r w:rsidR="004E34A0" w:rsidRPr="000315B4">
        <w:rPr>
          <w:sz w:val="24"/>
          <w:szCs w:val="24"/>
        </w:rPr>
        <w:t>extra-esophageal</w:t>
      </w:r>
      <w:r w:rsidRPr="000315B4">
        <w:rPr>
          <w:sz w:val="24"/>
          <w:szCs w:val="24"/>
        </w:rPr>
        <w:t xml:space="preserve"> cancers </w:t>
      </w:r>
      <w:r w:rsidR="00330198" w:rsidRPr="000315B4">
        <w:rPr>
          <w:sz w:val="24"/>
          <w:szCs w:val="24"/>
        </w:rPr>
        <w:t>mortality</w:t>
      </w:r>
      <w:r w:rsidR="00CC2FBE" w:rsidRPr="000315B4">
        <w:rPr>
          <w:sz w:val="24"/>
          <w:szCs w:val="24"/>
        </w:rPr>
        <w:t xml:space="preserve"> has long been </w:t>
      </w:r>
      <w:r w:rsidR="00A070B5" w:rsidRPr="000315B4">
        <w:rPr>
          <w:sz w:val="24"/>
          <w:szCs w:val="24"/>
        </w:rPr>
        <w:t>studi</w:t>
      </w:r>
      <w:r w:rsidR="00CC2FBE" w:rsidRPr="000315B4">
        <w:rPr>
          <w:sz w:val="24"/>
          <w:szCs w:val="24"/>
        </w:rPr>
        <w:t>ed.</w:t>
      </w:r>
      <w:r w:rsidR="00263CE9" w:rsidRPr="000315B4">
        <w:rPr>
          <w:sz w:val="24"/>
          <w:szCs w:val="24"/>
        </w:rPr>
        <w:t xml:space="preserve"> Most studies establish</w:t>
      </w:r>
      <w:r w:rsidR="009E2849" w:rsidRPr="000315B4">
        <w:rPr>
          <w:sz w:val="24"/>
          <w:szCs w:val="24"/>
        </w:rPr>
        <w:t>ed</w:t>
      </w:r>
      <w:r w:rsidR="00263CE9" w:rsidRPr="000315B4">
        <w:rPr>
          <w:sz w:val="24"/>
          <w:szCs w:val="24"/>
        </w:rPr>
        <w:t xml:space="preserve"> increased cancer</w:t>
      </w:r>
      <w:r w:rsidR="00330198" w:rsidRPr="000315B4">
        <w:rPr>
          <w:sz w:val="24"/>
          <w:szCs w:val="24"/>
        </w:rPr>
        <w:t xml:space="preserve"> mortality</w:t>
      </w:r>
      <w:r w:rsidR="00263CE9" w:rsidRPr="000315B4">
        <w:rPr>
          <w:sz w:val="24"/>
          <w:szCs w:val="24"/>
        </w:rPr>
        <w:t xml:space="preserve"> risk </w:t>
      </w:r>
      <w:r w:rsidR="002606EC" w:rsidRPr="000315B4">
        <w:rPr>
          <w:sz w:val="24"/>
          <w:szCs w:val="24"/>
        </w:rPr>
        <w:t xml:space="preserve">in BE </w:t>
      </w:r>
      <w:r w:rsidR="00263CE9" w:rsidRPr="000315B4">
        <w:rPr>
          <w:sz w:val="24"/>
          <w:szCs w:val="24"/>
        </w:rPr>
        <w:t>compared to normal population</w:t>
      </w:r>
      <w:r w:rsidR="0007195C" w:rsidRPr="000315B4">
        <w:rPr>
          <w:sz w:val="24"/>
          <w:szCs w:val="24"/>
        </w:rPr>
        <w:t>, even after matching for other risk factors</w:t>
      </w:r>
      <w:r w:rsidR="00E43EC5" w:rsidRPr="000315B4">
        <w:rPr>
          <w:sz w:val="24"/>
          <w:szCs w:val="24"/>
        </w:rPr>
        <w:fldChar w:fldCharType="begin" w:fldLock="1"/>
      </w:r>
      <w:r w:rsidR="0000179C" w:rsidRPr="000315B4">
        <w:rPr>
          <w:sz w:val="24"/>
          <w:szCs w:val="24"/>
        </w:rPr>
        <w:instrText>ADDIN CSL_CITATION {"citationItems":[{"id":"ITEM-1","itemData":{"DOI":"10.1007/s10620-013-2565-5","ISBN":"1573-2568 (Electronic)\\r0163-2116 (Linking)","ISSN":"01632116","PMID":"23371013","abstract":"BACKGROUND AND AIM: The presence of an association between Barrett's metaplasia and colonic neoplasia has remained controversial. The aim of the study was to test the presence of this association, using a large national database.\\n\\nMETHODS: From a computerized database of surgical pathology reports, we selected 203,000 subjects who underwent colonoscopy and esophago-gastro-duodenoscopy with biopsy results available from both procedures. In a case-control study we compared the occurrence of Barrett's metaplasia in patients with and without various types of colonic neoplasms.\\n\\nRESULTS: Barrett's metaplasia occurred more frequently among patients with hyperplastic polyps (OR = 2.14, 95 % CI 2.02-2.27), adenomatous polyps (2.52, 2.41-2.64), advanced adenomas (2.10, 1.90-2.32), villous adenomas or adenomas with high-grade (HG) dysplasia (2.45, 2.28-2.64), and colonic adenocarcinomas (1.75, 1.39-2.22). The association between Barrett's metaplasia and colonic neoplasm applied similarly to polyps of different size, number and location within the large bowel. These types of association could also be confirmed when analyzed separately for Barrett's metaplasia characterized by low-grade or HG dysplasia, as well as esophageal adenocarcinoma.\\n\\nCONCLUSIONS: The data support the existence of a true association between Barrett's metaplasia and various types of colonic neoplasm. The association may be more interesting for its potential insights into the pathogenesis of the two disorders than its actual clinical implications.","author":[{"dropping-particle":"","family":"Sonnenberg","given":"Amnon","non-dropping-particle":"","parse-names":false,"suffix":""},{"dropping-particle":"","family":"Genta","given":"Robert M.","non-dropping-particle":"","parse-names":false,"suffix":""}],"container-title":"Digestive Diseases and Sciences","id":"ITEM-1","issue":"7","issued":{"date-parts":[["2013"]]},"page":"2046-2051","title":"Barrett's metaplasia and colonic neoplasms: A significant association in a 203,534-patient study","type":"article-journal","volume":"58"},"uris":["http://www.mendeley.com/documents/?uuid=edcbd43a-0d54-4c33-9c83-d70bcd85163e"]},{"id":"ITEM-2","itemData":{"DOI":"10.1111/apt.13962","ISBN":"1365-2036","ISSN":"02692813","PMID":"28139003","abstract":"BACKGROUND: Patients with Barrett's oesophagus may be at increased risk of mortality overall, and cardiovascular disease has been suggested as the main underlying cause of death. AIM: To examine cause-specific mortality and risk of cardiovascular events among patients with Barrett's oesophagus. METHODS: Utilising existing Danish data sources (1997-2011), we identified all patients with histologically verified Barrett's oesophagus (n = 13 435) and 123 526 members of the general population matched by age, sex and individual comorbidities. We calculated cause-specific mortality rates and incidence rates of cardiovascular diseases. We then compared rates between patients with Barrett's oesophagus and the general population comparison cohort, using stratified Cox proportional hazard regression. RESULTS: Patients with Barrett's oesophagus had a 71% increased risk of overall mortality. The cause-specific mortality rate per 1000 person-years for patients with Barrett's oesophagus was 8.5 for cardiovascular diseases, 14.7 for non-oesophageal cancers, and 5.4 for oesophageal cancer. Compared to the general population cohort, corresponding hazard ratios were 1.26 (95% confidence interval (CI): 1.15-1.38), 1.77 (95% CI: 1.65-1.90), and 19.4 (95% CI: 16.1-23.4), respectively. The incidence rates of cardiovascular diseases per 1000 person-years for Barrett's oesophagus patients and for persons from the general population cohort, respectively, varied from 0.4 and 0.2 for subarachnoid bleeding (hazard ratio 1.10, 95% CI: 0.87-1.39) to 8.1 and 5.9 for congestive heart failure (hazard ratio 1.33, 95% CI: 1.21-1.46). CONCLUSION: Prophylactic measures targeted at cardiovascular diseases and non-oesophageal cancers potentially could be more important than measures against oesophageal cancer, for improving prognosis among patients with Barrett's oesophagus.","author":[{"dropping-particle":"","family":"Erichsen","given":"R.","non-dropping-particle":"","parse-names":false,"suffix":""},{"dropping-particle":"","family":"Horvath-Puho","given":"E.","non-dropping-particle":"","parse-names":false,"suffix":""},{"dropping-particle":"","family":"Lund","given":"J. L.","non-dropping-particle":"","parse-names":false,"suffix":""},{"dropping-particle":"","family":"Dellon","given":"E. S.","non-dropping-particle":"","parse-names":false,"suffix":""},{"dropping-particle":"","family":"Shaheen","given":"N. J.","non-dropping-particle":"","parse-names":false,"suffix":""},{"dropping-particle":"","family":"Pedersen","given":"L.","non-dropping-particle":"","parse-names":false,"suffix":""},{"dropping-particle":"","family":"Davey Smith","given":"G.","non-dropping-particle":"","parse-names":false,"suffix":""},{"dropping-particle":"","family":"Sørensen","given":"H. T.","non-dropping-particle":"","parse-names":false,"suffix":""},{"dropping-particle":"","family":"Smith","given":"G Davey","non-dropping-particle":"","parse-names":false,"suffix":""},{"dropping-particle":"","family":"Horvath-Puho","given":"E.","non-dropping-particle":"","parse-names":false,"suffix":""},{"dropping-particle":"","family":"Lund","given":"J. L.","non-dropping-particle":"","parse-names":false,"suffix":""},{"dropping-particle":"","family":"Dellon","given":"E. S.","non-dropping-particle":"","parse-names":false,"suffix":""},{"dropping-particle":"","family":"Shaheen","given":"N. J.","non-dropping-particle":"","parse-names":false,"suffix":""},{"dropping-particle":"","family":"Pedersen","given":"L.","non-dropping-particle":"","parse-names":false,"suffix":""},{"dropping-particle":"","family":"Davey Smith","given":"G.","non-dropping-particle":"","parse-names":false,"suffix":""},{"dropping-particle":"","family":"Sørensen","given":"H. T.","non-dropping-particle":"","parse-names":false,"suffix":""}],"container-title":"Alimentary Pharmacology &amp; Therapeutics","id":"ITEM-2","issue":"7","issued":{"date-parts":[["2017"]]},"page":"973-982","title":"Mortality and cardiovascular diseases risk in patients with Barrett's oesophagus: a population-based nationwide cohort study","type":"article-journal","volume":"45"},"uris":["http://www.mendeley.com/documents/?uuid=7c5a21cd-0dcd-4a0d-967f-eb5dd3abc87c"]},{"id":"ITEM-3","itemData":{"DOI":"10.1111/apt.12146","ISBN":"1365-2036 (Electronic)\\r0269-2813 (Linking)","ISSN":"02692813","PMID":"23163592","abstract":"BACKGROUND: Barrett's oesophagus (BO) is a premalignant condition associated with oesophageal adenocarcinoma. Although speculation exists, it is currently unclear if BO is associated with an increased risk of colonic tumours.\\n\\nAIM: To conduct a meta-analysis of studies reporting the prevalence of colonic tumours in patients with BO vs. controls and thus quantify the risk of colonic tumours associated with BO.\\n\\nMETHODS: A search was conducted through Medline, PubMed, Embase, and Current Contents Connect to 7 October 2012. We calculated pooled odds ratios (OR) and 95% confidence intervals (CI) using a random-effects model for the risk of all colonic tumours associated with BO, as well as for the subgroups of colorectal cancer (CRC) and benign adenomatous tumours.\\n\\nRESULTS: In total, 11 studies, with 2580 BO cases, met our inclusion criteria. BO was associated with an increased risk of any colonic tumours (OR: 1.96; 95% CI: 1.56-2.46). BO was associated with an increased risk of benign adenomatous tumours (OR: 1.69; 95% CI: 1.20-2.39), as well as an increased risk of CRC (OR: 1.90; 95% CI: 1.35-2.67). No statistically significant heterogeneity was observed. Publication bias was not present.\\n\\nCONCLUSIONS: Barrett's oesophagus was associated with an increased risk of both benign adenomatous colonic tumours and colorectal cancer. Barrett's oesophagus had a stronger association with colorectal cancer than with benign colonic tumours. Further prospective cohort studies are needed to confirm the relationship.","author":[{"dropping-particle":"","family":"Andrici","given":"J.","non-dropping-particle":"","parse-names":false,"suffix":""},{"dropping-particle":"","family":"Tio","given":"M.","non-dropping-particle":"","parse-names":false,"suffix":""},{"dropping-particle":"","family":"Cox","given":"M. R.","non-dropping-particle":"","parse-names":false,"suffix":""},{"dropping-particle":"","family":"Eslick","given":"G. D.","non-dropping-particle":"","parse-names":false,"suffix":""}],"container-title":"Alimentary Pharmacology and Therapeutics","id":"ITEM-3","issue":"4","issued":{"date-parts":[["2013"]]},"page":"401-410","title":"Meta-analysis: Barrett's oesophagus and the risk of colonic tumours","type":"article-journal","volume":"37"},"uris":["http://www.mendeley.com/documents/?uuid=082976c7-7264-47f8-a990-64aa3da00533"]},{"id":"ITEM-4","itemData":{"DOI":"10.1111/dote.12185","ISSN":"14422050","PMID":"24529029","abstract":"Summary: The association between Barrett's esophagus (BE) and a personal or family history of cancer other than gastroesophageal remains unknown. To evaluate the effect of personal and family history of certain cancers and cancer treatments on the risk of BE, we analyzed data from a Veterans Affairs case-control study that included 264 men with definitive BE (cases) and 1486 men without BE (controls). Patients with history of esophageal or gastric cancer were excluded. Patients underwent elective esophagogastroduodenoscopy or a study esophagogastroduodenoscopy concurrently with screening colonoscopy to determine BE status. Personal and family history of several types of cancer was obtained from self-reported questionnaires, supplemented and verified by electronic medical-record reviews. We estimated the association between personal and family history of cancer or radiation/chemotherapy, and BE. Personal history of oropharyngeal cancer (1.5% vs. 0.4%) or prostate cancer (7.2% vs. 4.4%) was more frequently present in cases than controls. The association between BE and prostate cancer persisted in multivariable analyses (adjusted odds ratio 1.90; 95% confidence interval 1.07-3.38, P = 0.028) while that with oropharyngeal cancer (adjusted odds ratio 3.63; 95% confidence interval 0.92-14.29, P = 0.066) was attenuated after adjusting for retained covariates of age, race, gastroesophageal reflux disease, hiatal hernia, and proton pump inhibitor use. Within the subset of patients with cancer, prior treatment with radiation or chemotherapy was not associated with BE. There were no significant differences between cases and controls in the proportions of subjects with several specific malignancies in first- or second-degree relatives. In conclusion, the risk of BE in men may be elevated with prior personal history of oropharyngeal or prostate cancer. However, prior cancer treatments and family history of cancer were not associated with increased risk of BE. Further studies are needed to elucidate if there is a causative relationship or shared risk factors between prostate cancer and BE.","author":[{"dropping-particle":"","family":"Khalaf","given":"N.","non-dropping-particle":"","parse-names":false,"suffix":""},{"dropping-particle":"","family":"Ramsey","given":"D.","non-dropping-particle":"","parse-names":false,"suffix":""},{"dropping-particle":"","family":"Kramer","given":"J. R.","non-dropping-particle":"","parse-names":false,"suffix":""},{"dropping-particle":"","family":"El-Serag","given":"H. B.","non-dropping-particle":"","parse-names":false,"suffix":""}],"container-title":"Diseases of the Esophagus","id":"ITEM-4","issue":"3","issued":{"date-parts":[["2015"]]},"page":"283-290","title":"Personal and family history of cancer and the risk of Barrett's esophagus in men","type":"article-journal","volume":"28"},"uris":["http://www.mendeley.com/documents/?uuid=828b7c4c-6f0e-4d95-a1c3-f0005c381461"]},{"id":"ITEM-5","itemData":{"DOI":"10.1097/MCG.0b013e31828bf26f","ISBN":"1539-2031 (Electronic)\\r0192-0790 (Linking)","ISSN":"0192-0790","PMID":"23507770","abstract":"GOALS: To evaluate the incidence of extraesophageal malignancies among patients with Barrett esophagus (BE). BACKGROUND: Gastroesophageal reflux disease has been reported to be associated with upper aerodigestive malignancies. BE is considered a consequence of long-standing gastroesophageal reflux disease; however, the association of BE with extraesophageal malignancies is controversial. STUDY: The database of the largest health service provider in Israel was queried for all patients diagnosed with BE between 2000 and 2010. Data regarding medical background and diagnosis of malignancy were recorded. Malignancy rates were compared with subjects without BE or malignancy and matched for age, sex, and smoking status (1:4 ratio). Patients in whom a malignancy was diagnosed within 1 year of BE diagnosis were excluded. RESULTS: A total of 3669 patients with BE and 14,676 controls were included. Several nonesophageal malignancies were significantly more prevalent among BE patients: colorectal cancer (relative risk 1.98, P&lt;0.001) and prostate cancer (relative risk 1.99, P&lt;0.001), but not cancer of the upper aerodigestive tract. Multivariate analysis revealed that Jewish origin and the presence of BE were associated with higher malignancy risk [hazard ratio (HR) 1.83, HR 1.41, respectively; P&lt;0.001]; body mass index was inversely associated with malignancy risk (HR 0.98; P&lt;0.005). CONCLUSIONS: BE seems to be associated with colorectal and prostate cancer. Further research is necessary to determine whether this is a causative relationship and, consequently, whether a change in the screening policy for colorectal cancer in patients with BE is warranted.","author":[{"dropping-particle":"","family":"Pines","given":"Guy","non-dropping-particle":"","parse-names":false,"suffix":""},{"dropping-particle":"","family":"Dickman","given":"Ram","non-dropping-particle":"","parse-names":false,"suffix":""},{"dropping-particle":"","family":"Niv","given":"Yaron","non-dropping-particle":"","parse-names":false,"suffix":""},{"dropping-particle":"","family":"Kashtan","given":"Hanoch","non-dropping-particle":"","parse-names":false,"suffix":""},{"dropping-particle":"","family":"Birkenfeld","given":"Shlomo","non-dropping-particle":"","parse-names":false,"suffix":""}],"container-title":"Journal of Clinical Gastroenterology","id":"ITEM-5","issue":"1","issued":{"date-parts":[["2014"]]},"page":"e8-e11","title":"Extraesophageal Malignancies Among Patients With Barrett Esophagus","type":"article-journal","volume":"48"},"uris":["http://www.mendeley.com/documents/?uuid=2e1bea36-27e5-4792-9fa0-3d8e3648a7b3"]},{"id":"ITEM-6","itemData":{"DOI":"10.1080/00365520410004802","ISBN":"0036552041000","ISSN":"00365521","PMID":"15370691","abstract":"BACKGROUND: The relationship between Barrett's oesophagus and colorectal cancer and other extra-oesophageal malignancies (EOM) has been a matter of controversy. These relationships have therefore been examined in a prospective study design in the General Practice Research Database.\\n\\nMETHODS: Cohorts of patients having Barrett's oesophagus (n=1677), oesophagitis (n=6392), and simple reflux (n=6328), and a standard reference cohort representing the general population in the UK (n=13,416) were selected. The last three cohorts were matched to the Barrett's cohort by general practice, age and sex. Incident outcomes occurring beyond the first year of the follow-up were used for analyses. Hazard ratios and 95% confidence intervals were calculated using Cox's proportional hazards regression. The associations with cataract and oesophageal cancer were explored for comparison.\\n\\nRESULTS: Incident cases of 567 EOM (including 74 colorectal cancers), 448 cataract and 43 oesophageal cancers were used in the final analysis. The relative risks for colorectal cancer compared to the standard reference cohort were 1.16 (0.42-3.21) in the Barrett's cohort, 1.39 (0.76-2.54) in the oesophagitis cohort, and 0.93 (0.45-1.90) in the simple reflux cohort. The corresponding relative risks in the Barrett's cohort were 1.29 (0.90-1.85), 1.60 (1.10-2.32), and 10.56 (5.07-21.99) for EOM, cataract and oesophageal cancer, respectively.\\n\\nCONCLUSIONS: The risk of colorectal cancer was not higher in any of the Barrett's oesophagus, oesophagitis, or reflux cohorts compared to the general population. The explanations for the modest increase in the risk of EOM and cataract in the above cohorts are unclear but they may be mediated by ascertainment bias or shared risk factors.","author":[{"dropping-particle":"","family":"Solaymani-Dodaran","given":"M.","non-dropping-particle":"","parse-names":false,"suffix":""},{"dropping-particle":"","family":"Logan","given":"R. F.A.","non-dropping-particle":"","parse-names":false,"suffix":""},{"dropping-particle":"","family":"West","given":"J.","non-dropping-particle":"","parse-names":false,"suffix":""},{"dropping-particle":"","family":"Card","given":"T.","non-dropping-particle":"","parse-names":false,"suffix":""},{"dropping-particle":"","family":"Coupland","given":"C.","non-dropping-particle":"","parse-names":false,"suffix":""}],"container-title":"Scandinavian Journal of Gastroenterology","id":"ITEM-6","issue":"7","issued":{"date-parts":[["2004"]]},"page":"680-685","title":"Risk of extra-oesophageal malignancies and colorectal cancer in Barrett's oesophagus and gastro-oesophageal reflux","type":"article-journal","volume":"39"},"uris":["http://www.mendeley.com/documents/?uuid=be28a038-98ad-4bcc-8e6d-ddd19f8a8e5e"]}],"mendeley":{"formattedCitation":"&lt;sup&gt;[14,15,20–23]&lt;/sup&gt;","plainTextFormattedCitation":"[14,15,20–23]","previouslyFormattedCitation":"&lt;sup&gt;[14,15,20–23]&lt;/sup&gt;"},"properties":{"noteIndex":0},"schema":"https://github.com/citation-style-language/schema/raw/master/csl-citation.json"}</w:instrText>
      </w:r>
      <w:r w:rsidR="00E43EC5" w:rsidRPr="000315B4">
        <w:rPr>
          <w:sz w:val="24"/>
          <w:szCs w:val="24"/>
        </w:rPr>
        <w:fldChar w:fldCharType="separate"/>
      </w:r>
      <w:r w:rsidR="00164BEB" w:rsidRPr="000315B4">
        <w:rPr>
          <w:noProof/>
          <w:sz w:val="24"/>
          <w:szCs w:val="24"/>
          <w:vertAlign w:val="superscript"/>
        </w:rPr>
        <w:t>[14,15,20</w:t>
      </w:r>
      <w:r w:rsidR="00013E46">
        <w:rPr>
          <w:rFonts w:hint="eastAsia"/>
          <w:noProof/>
          <w:sz w:val="24"/>
          <w:szCs w:val="24"/>
          <w:vertAlign w:val="superscript"/>
          <w:lang w:eastAsia="zh-CN"/>
        </w:rPr>
        <w:t>-</w:t>
      </w:r>
      <w:r w:rsidR="00164BEB" w:rsidRPr="000315B4">
        <w:rPr>
          <w:noProof/>
          <w:sz w:val="24"/>
          <w:szCs w:val="24"/>
          <w:vertAlign w:val="superscript"/>
        </w:rPr>
        <w:t>23]</w:t>
      </w:r>
      <w:r w:rsidR="00E43EC5" w:rsidRPr="000315B4">
        <w:rPr>
          <w:sz w:val="24"/>
          <w:szCs w:val="24"/>
        </w:rPr>
        <w:fldChar w:fldCharType="end"/>
      </w:r>
      <w:r w:rsidR="00903391" w:rsidRPr="000315B4">
        <w:rPr>
          <w:sz w:val="24"/>
          <w:szCs w:val="24"/>
        </w:rPr>
        <w:t>.</w:t>
      </w:r>
      <w:r w:rsidR="00903391" w:rsidRPr="000315B4">
        <w:rPr>
          <w:rFonts w:hint="eastAsia"/>
          <w:sz w:val="24"/>
          <w:szCs w:val="24"/>
          <w:lang w:eastAsia="zh-CN"/>
        </w:rPr>
        <w:t xml:space="preserve"> </w:t>
      </w:r>
      <w:r w:rsidR="008A1F8F" w:rsidRPr="000315B4">
        <w:rPr>
          <w:sz w:val="24"/>
          <w:szCs w:val="24"/>
        </w:rPr>
        <w:t xml:space="preserve">In </w:t>
      </w:r>
      <w:r w:rsidR="004E34A0" w:rsidRPr="000315B4">
        <w:rPr>
          <w:sz w:val="24"/>
          <w:szCs w:val="24"/>
        </w:rPr>
        <w:t xml:space="preserve">a </w:t>
      </w:r>
      <w:r w:rsidR="008A1F8F" w:rsidRPr="000315B4">
        <w:rPr>
          <w:sz w:val="24"/>
          <w:szCs w:val="24"/>
        </w:rPr>
        <w:t>large Danish registry study</w:t>
      </w:r>
      <w:r w:rsidR="00903391" w:rsidRPr="000315B4">
        <w:rPr>
          <w:rFonts w:hint="eastAsia"/>
          <w:sz w:val="24"/>
          <w:szCs w:val="24"/>
          <w:vertAlign w:val="superscript"/>
          <w:lang w:eastAsia="zh-CN"/>
        </w:rPr>
        <w:t>[</w:t>
      </w:r>
      <w:r w:rsidR="004E34A0" w:rsidRPr="000315B4">
        <w:rPr>
          <w:noProof/>
          <w:sz w:val="24"/>
          <w:szCs w:val="24"/>
          <w:vertAlign w:val="superscript"/>
        </w:rPr>
        <w:t>1</w:t>
      </w:r>
      <w:r w:rsidR="00AA4A6F" w:rsidRPr="000315B4">
        <w:rPr>
          <w:noProof/>
          <w:sz w:val="24"/>
          <w:szCs w:val="24"/>
          <w:vertAlign w:val="superscript"/>
        </w:rPr>
        <w:t>4</w:t>
      </w:r>
      <w:r w:rsidR="00903391" w:rsidRPr="000315B4">
        <w:rPr>
          <w:rFonts w:hint="eastAsia"/>
          <w:noProof/>
          <w:sz w:val="24"/>
          <w:szCs w:val="24"/>
          <w:vertAlign w:val="superscript"/>
          <w:lang w:eastAsia="zh-CN"/>
        </w:rPr>
        <w:t>]</w:t>
      </w:r>
      <w:r w:rsidR="008A1F8F" w:rsidRPr="000315B4">
        <w:rPr>
          <w:sz w:val="24"/>
          <w:szCs w:val="24"/>
        </w:rPr>
        <w:t xml:space="preserve">, </w:t>
      </w:r>
      <w:r w:rsidR="004E34A0" w:rsidRPr="000315B4">
        <w:rPr>
          <w:sz w:val="24"/>
          <w:szCs w:val="24"/>
        </w:rPr>
        <w:t xml:space="preserve">patients with BE had a 71% increased all-cause mortality compared to </w:t>
      </w:r>
      <w:r w:rsidR="004536A1" w:rsidRPr="000315B4">
        <w:rPr>
          <w:sz w:val="24"/>
          <w:szCs w:val="24"/>
        </w:rPr>
        <w:t xml:space="preserve">matched </w:t>
      </w:r>
      <w:r w:rsidR="004E34A0" w:rsidRPr="000315B4">
        <w:rPr>
          <w:sz w:val="24"/>
          <w:szCs w:val="24"/>
        </w:rPr>
        <w:t>controls, while the non-esophageal cancer mortality incidence rate was inc</w:t>
      </w:r>
      <w:r w:rsidR="00903391" w:rsidRPr="000315B4">
        <w:rPr>
          <w:sz w:val="24"/>
          <w:szCs w:val="24"/>
        </w:rPr>
        <w:t>reased by 77% (14.7 cases per 1</w:t>
      </w:r>
      <w:r w:rsidR="004E34A0" w:rsidRPr="000315B4">
        <w:rPr>
          <w:sz w:val="24"/>
          <w:szCs w:val="24"/>
        </w:rPr>
        <w:t xml:space="preserve">000 patient years) and was the leading cause for mortality. Moreover, patients with HGD had higher non-esophageal cancer mortality rates than patients with LGD or non-dysplastic BE: HR </w:t>
      </w:r>
      <w:r w:rsidR="00903391" w:rsidRPr="000315B4">
        <w:rPr>
          <w:sz w:val="24"/>
          <w:szCs w:val="24"/>
        </w:rPr>
        <w:t>(95%</w:t>
      </w:r>
      <w:r w:rsidR="003647DA" w:rsidRPr="000315B4">
        <w:rPr>
          <w:sz w:val="24"/>
          <w:szCs w:val="24"/>
        </w:rPr>
        <w:t xml:space="preserve">CI) </w:t>
      </w:r>
      <w:r w:rsidR="004E34A0" w:rsidRPr="000315B4">
        <w:rPr>
          <w:sz w:val="24"/>
          <w:szCs w:val="24"/>
        </w:rPr>
        <w:t>were 2.47 (1.98</w:t>
      </w:r>
      <w:r w:rsidR="00903391" w:rsidRPr="000315B4">
        <w:rPr>
          <w:rFonts w:hint="eastAsia"/>
          <w:sz w:val="24"/>
          <w:szCs w:val="24"/>
          <w:lang w:eastAsia="zh-CN"/>
        </w:rPr>
        <w:t>-</w:t>
      </w:r>
      <w:r w:rsidR="004E34A0" w:rsidRPr="000315B4">
        <w:rPr>
          <w:sz w:val="24"/>
          <w:szCs w:val="24"/>
        </w:rPr>
        <w:t>3.07), 1.62 (1.31</w:t>
      </w:r>
      <w:r w:rsidR="00903391" w:rsidRPr="000315B4">
        <w:rPr>
          <w:rFonts w:hint="eastAsia"/>
          <w:sz w:val="24"/>
          <w:szCs w:val="24"/>
          <w:lang w:eastAsia="zh-CN"/>
        </w:rPr>
        <w:t>-</w:t>
      </w:r>
      <w:r w:rsidR="004E34A0" w:rsidRPr="000315B4">
        <w:rPr>
          <w:sz w:val="24"/>
          <w:szCs w:val="24"/>
        </w:rPr>
        <w:t>2.01), and 1.44 (1.34</w:t>
      </w:r>
      <w:r w:rsidR="00903391" w:rsidRPr="000315B4">
        <w:rPr>
          <w:rFonts w:hint="eastAsia"/>
          <w:sz w:val="24"/>
          <w:szCs w:val="24"/>
          <w:lang w:eastAsia="zh-CN"/>
        </w:rPr>
        <w:t>-</w:t>
      </w:r>
      <w:r w:rsidR="004E34A0" w:rsidRPr="000315B4">
        <w:rPr>
          <w:sz w:val="24"/>
          <w:szCs w:val="24"/>
        </w:rPr>
        <w:t xml:space="preserve">1.56), respectively. </w:t>
      </w:r>
      <w:r w:rsidR="00C73E0F" w:rsidRPr="000315B4">
        <w:rPr>
          <w:sz w:val="24"/>
          <w:szCs w:val="24"/>
        </w:rPr>
        <w:t>However, statistical significance of the difference between groups was not reported.</w:t>
      </w:r>
    </w:p>
    <w:p w14:paraId="1A8E5CD3" w14:textId="19C32110" w:rsidR="00CC5749" w:rsidRPr="000315B4" w:rsidRDefault="008A293C" w:rsidP="00903391">
      <w:pPr>
        <w:widowControl w:val="0"/>
        <w:adjustRightInd w:val="0"/>
        <w:snapToGrid w:val="0"/>
        <w:spacing w:line="360" w:lineRule="auto"/>
        <w:ind w:firstLineChars="100" w:firstLine="240"/>
        <w:jc w:val="both"/>
        <w:rPr>
          <w:sz w:val="24"/>
          <w:szCs w:val="24"/>
        </w:rPr>
      </w:pPr>
      <w:r w:rsidRPr="000315B4">
        <w:rPr>
          <w:sz w:val="24"/>
          <w:szCs w:val="24"/>
        </w:rPr>
        <w:t xml:space="preserve">Wolf </w:t>
      </w:r>
      <w:r w:rsidRPr="000315B4">
        <w:rPr>
          <w:i/>
          <w:sz w:val="24"/>
          <w:szCs w:val="24"/>
        </w:rPr>
        <w:t>et al</w:t>
      </w:r>
      <w:r w:rsidR="00903391" w:rsidRPr="000315B4">
        <w:rPr>
          <w:sz w:val="24"/>
          <w:szCs w:val="24"/>
        </w:rPr>
        <w:fldChar w:fldCharType="begin" w:fldLock="1"/>
      </w:r>
      <w:r w:rsidR="00903391" w:rsidRPr="000315B4">
        <w:rPr>
          <w:sz w:val="24"/>
          <w:szCs w:val="24"/>
        </w:rPr>
        <w:instrText>ADDIN CSL_CITATION {"citationItems":[{"id":"ITEM-1","itemData":{"DOI":"10.1053/j.gastro.2015.08.048","ISBN":"1528-0012","ISSN":"15280012","PMID":"26327132","abstract":"Background &amp; Aims Radiofrequency ablation (RFA) is commonly used to treat Barrett's esophagus (BE). We assessed the incidence of esophageal adenocarcinoma (EAC) after RFA, factors associated with the development of EAC, and EAC-specific and all-cause mortality. Methods We collected data for outcomes of patients who underwent RFA for BE from July 2007 through July 2011 from US multicenter RFA Patient Registry. Patients were followed until July 2014. Kaplan-Meier curves of EAC incidence were stratified by baseline histology. Crude EAC incidence and mortality (all-cause and EAC-specific) were calculated, and adjusted all-cause mortality was assessed. Logistic regression models were constructed to assess predictors of EAC and all-cause mortality. Results Among 4982 patients, 100 (2%) developed EAC (7.8/1000 person-years [PY]) and 9 patients (0.2%) died of EAC (0.7/1000 PY) in a mean 2.7 ± 1.6 years. The incidence of EAC in nondysplastic BE was 0.5/1000 PY. Overall, 157 patients (3%) died during follow-up (all-cause mortality, 11.2/1000 PY). On multivariate logistic regression, baseline BE length (odds ratio, 1.1/ cm) and baseline histology (odds ratios, 5.8 and 50.3 for low-grade dysplasia and high-grade dysplasia [HGD] respectively) predicted EAC incidence. Among 9 EAC deaths, 6 (67%) had baseline HGD, and 3 (33%) had baseline intramucosal EAC. The most common causes of death were cardiovascular (15%) and extraesophageal cancers (15%). No deaths were associated with RFA. Conclusions Based on analysis of a multicenter registry of patients who underwent RFA of BE, less than 1% died from EAC. The incidence of EAC was markedly lower in this study than in other studies of disease progression, with the greatest absolute benefit observed in patients with HGD.","author":[{"dropping-particle":"","family":"Wolf","given":"W. Asher","non-dropping-particle":"","parse-names":false,"suffix":""},{"dropping-particle":"","family":"Pasricha","given":"Sarina","non-dropping-particle":"","parse-names":false,"suffix":""},{"dropping-particle":"","family":"Cotton","given":"Cary","non-dropping-particle":"","parse-names":false,"suffix":""},{"dropping-particle":"","family":"Li","given":"Nan","non-dropping-particle":"","parse-names":false,"suffix":""},{"dropping-particle":"","family":"Triadafilopoulos","given":"George","non-dropping-particle":"","parse-names":false,"suffix":""},{"dropping-particle":"","family":"Muthusamy","given":"V. Raman","non-dropping-particle":"","parse-names":false,"suffix":""},{"dropping-particle":"","family":"Chmielewski","given":"Gary W.","non-dropping-particle":"","parse-names":false,"suffix":""},{"dropping-particle":"","family":"Corbett","given":"F. Scott","non-dropping-particle":"","parse-names":false,"suffix":""},{"dropping-particle":"","family":"Camara","given":"Daniel S.","non-dropping-particle":"","parse-names":false,"suffix":""},{"dropping-particle":"","family":"Lightdale","given":"Charles J.","non-dropping-particle":"","parse-names":false,"suffix":""},{"dropping-particle":"","family":"Wolfsen","given":"Herbert","non-dropping-particle":"","parse-names":false,"suffix":""},{"dropping-particle":"","family":"Chang","given":"Kenneth J.","non-dropping-particle":"","parse-names":false,"suffix":""},{"dropping-particle":"","family":"Overholt","given":"Bergein F.","non-dropping-particle":"","parse-names":false,"suffix":""},{"dropping-particle":"","family":"Pruitt","given":"Ron E.","non-dropping-particle":"","parse-names":false,"suffix":""},{"dropping-particle":"","family":"Ertan","given":"Atilla","non-dropping-particle":"","parse-names":false,"suffix":""},{"dropping-particle":"","family":"Komanduri","given":"Srinadh","non-dropping-particle":"","parse-names":false,"suffix":""},{"dropping-particle":"","family":"Infantolino","given":"Anthony","non-dropping-particle":"","parse-names":false,"suffix":""},{"dropping-particle":"","family":"Rothstein","given":"Richard I.","non-dropping-particle":"","parse-names":false,"suffix":""},{"dropping-particle":"","family":"Shaheen","given":"Nicholas J.","non-dropping-particle":"","parse-names":false,"suffix":""}],"container-title":"Gastroenterology","id":"ITEM-1","issue":"7","issued":{"date-parts":[["2015"]]},"page":"1752-1761e1","title":"Incidence of Esophageal Adenocarcinoma and Causes of Mortality after Radiofrequency Ablation of Barrett's Esophagus","type":"article-journal","volume":"149"},"uris":["http://www.mendeley.com/documents/?uuid=f46201e7-2905-4523-9498-aa3a85e38af3"]}],"mendeley":{"formattedCitation":"&lt;sup&gt;[11]&lt;/sup&gt;","plainTextFormattedCitation":"[11]","previouslyFormattedCitation":"&lt;sup&gt;[11]&lt;/sup&gt;"},"properties":{"noteIndex":0},"schema":"https://github.com/citation-style-language/schema/raw/master/csl-citation.json"}</w:instrText>
      </w:r>
      <w:r w:rsidR="00903391" w:rsidRPr="000315B4">
        <w:rPr>
          <w:sz w:val="24"/>
          <w:szCs w:val="24"/>
        </w:rPr>
        <w:fldChar w:fldCharType="separate"/>
      </w:r>
      <w:r w:rsidR="00903391" w:rsidRPr="000315B4">
        <w:rPr>
          <w:noProof/>
          <w:sz w:val="24"/>
          <w:szCs w:val="24"/>
          <w:vertAlign w:val="superscript"/>
        </w:rPr>
        <w:t>[11]</w:t>
      </w:r>
      <w:r w:rsidR="00903391" w:rsidRPr="000315B4">
        <w:rPr>
          <w:sz w:val="24"/>
          <w:szCs w:val="24"/>
        </w:rPr>
        <w:fldChar w:fldCharType="end"/>
      </w:r>
      <w:r w:rsidRPr="000315B4">
        <w:rPr>
          <w:sz w:val="24"/>
          <w:szCs w:val="24"/>
        </w:rPr>
        <w:t xml:space="preserve"> </w:t>
      </w:r>
      <w:r w:rsidR="00B24EFA" w:rsidRPr="000315B4">
        <w:rPr>
          <w:sz w:val="24"/>
          <w:szCs w:val="24"/>
        </w:rPr>
        <w:t>looked at</w:t>
      </w:r>
      <w:r w:rsidRPr="000315B4">
        <w:rPr>
          <w:sz w:val="24"/>
          <w:szCs w:val="24"/>
        </w:rPr>
        <w:t xml:space="preserve"> patients following radiofrequency ablation</w:t>
      </w:r>
      <w:r w:rsidR="008A1F8F" w:rsidRPr="000315B4">
        <w:rPr>
          <w:sz w:val="24"/>
          <w:szCs w:val="24"/>
        </w:rPr>
        <w:t>, in a U</w:t>
      </w:r>
      <w:r w:rsidR="00903391" w:rsidRPr="000315B4">
        <w:rPr>
          <w:rFonts w:hint="eastAsia"/>
          <w:sz w:val="24"/>
          <w:szCs w:val="24"/>
          <w:lang w:eastAsia="zh-CN"/>
        </w:rPr>
        <w:t xml:space="preserve">nited </w:t>
      </w:r>
      <w:r w:rsidR="008A1F8F" w:rsidRPr="000315B4">
        <w:rPr>
          <w:sz w:val="24"/>
          <w:szCs w:val="24"/>
        </w:rPr>
        <w:t>S</w:t>
      </w:r>
      <w:r w:rsidR="00903391" w:rsidRPr="000315B4">
        <w:rPr>
          <w:rFonts w:hint="eastAsia"/>
          <w:sz w:val="24"/>
          <w:szCs w:val="24"/>
          <w:lang w:eastAsia="zh-CN"/>
        </w:rPr>
        <w:t>tates</w:t>
      </w:r>
      <w:r w:rsidR="008A1F8F" w:rsidRPr="000315B4">
        <w:rPr>
          <w:sz w:val="24"/>
          <w:szCs w:val="24"/>
        </w:rPr>
        <w:t xml:space="preserve"> based registry</w:t>
      </w:r>
      <w:r w:rsidR="004536A1" w:rsidRPr="000315B4">
        <w:rPr>
          <w:sz w:val="24"/>
          <w:szCs w:val="24"/>
        </w:rPr>
        <w:t>. A</w:t>
      </w:r>
      <w:r w:rsidR="00CC5749" w:rsidRPr="000315B4">
        <w:rPr>
          <w:sz w:val="24"/>
          <w:szCs w:val="24"/>
        </w:rPr>
        <w:t xml:space="preserve"> dose response effect for </w:t>
      </w:r>
      <w:r w:rsidR="00442004" w:rsidRPr="000315B4">
        <w:rPr>
          <w:sz w:val="24"/>
          <w:szCs w:val="24"/>
        </w:rPr>
        <w:t>all-cause</w:t>
      </w:r>
      <w:r w:rsidR="00CC5749" w:rsidRPr="000315B4">
        <w:rPr>
          <w:sz w:val="24"/>
          <w:szCs w:val="24"/>
        </w:rPr>
        <w:t xml:space="preserve"> mortality to baseline BE degree of dysplasia with HGD having an adjusted odds ratio</w:t>
      </w:r>
      <w:r w:rsidR="00903391" w:rsidRPr="000315B4">
        <w:rPr>
          <w:sz w:val="24"/>
          <w:szCs w:val="24"/>
        </w:rPr>
        <w:t xml:space="preserve"> (95%</w:t>
      </w:r>
      <w:r w:rsidR="00F612F3" w:rsidRPr="000315B4">
        <w:rPr>
          <w:sz w:val="24"/>
          <w:szCs w:val="24"/>
        </w:rPr>
        <w:t>CI) of</w:t>
      </w:r>
      <w:r w:rsidR="00CC5749" w:rsidRPr="000315B4">
        <w:rPr>
          <w:sz w:val="24"/>
          <w:szCs w:val="24"/>
        </w:rPr>
        <w:t xml:space="preserve"> 2.7(1.7</w:t>
      </w:r>
      <w:r w:rsidR="00903391" w:rsidRPr="000315B4">
        <w:rPr>
          <w:rFonts w:hint="eastAsia"/>
          <w:sz w:val="24"/>
          <w:szCs w:val="24"/>
          <w:lang w:eastAsia="zh-CN"/>
        </w:rPr>
        <w:t>-</w:t>
      </w:r>
      <w:r w:rsidR="00CC5749" w:rsidRPr="000315B4">
        <w:rPr>
          <w:sz w:val="24"/>
          <w:szCs w:val="24"/>
        </w:rPr>
        <w:t>4.4) versus 1.3(0.7</w:t>
      </w:r>
      <w:r w:rsidR="003647DA" w:rsidRPr="000315B4">
        <w:rPr>
          <w:sz w:val="24"/>
          <w:szCs w:val="24"/>
        </w:rPr>
        <w:t>-</w:t>
      </w:r>
      <w:r w:rsidR="00CC5749" w:rsidRPr="000315B4">
        <w:rPr>
          <w:sz w:val="24"/>
          <w:szCs w:val="24"/>
        </w:rPr>
        <w:t>2.2) for LGD and 1.6(0.8</w:t>
      </w:r>
      <w:r w:rsidR="003647DA" w:rsidRPr="000315B4">
        <w:rPr>
          <w:sz w:val="24"/>
          <w:szCs w:val="24"/>
        </w:rPr>
        <w:t>-</w:t>
      </w:r>
      <w:r w:rsidR="00CC5749" w:rsidRPr="000315B4">
        <w:rPr>
          <w:sz w:val="24"/>
          <w:szCs w:val="24"/>
        </w:rPr>
        <w:t>3.3) for indefinite dysplasia</w:t>
      </w:r>
      <w:r w:rsidR="004536A1" w:rsidRPr="000315B4">
        <w:rPr>
          <w:sz w:val="24"/>
          <w:szCs w:val="24"/>
        </w:rPr>
        <w:t xml:space="preserve"> compared with n</w:t>
      </w:r>
      <w:r w:rsidR="00442004" w:rsidRPr="000315B4">
        <w:rPr>
          <w:sz w:val="24"/>
          <w:szCs w:val="24"/>
        </w:rPr>
        <w:t>on-dysplastic</w:t>
      </w:r>
      <w:r w:rsidR="004536A1" w:rsidRPr="000315B4">
        <w:rPr>
          <w:sz w:val="24"/>
          <w:szCs w:val="24"/>
        </w:rPr>
        <w:t xml:space="preserve"> BE</w:t>
      </w:r>
      <w:r w:rsidR="00CC5749" w:rsidRPr="000315B4">
        <w:rPr>
          <w:sz w:val="24"/>
          <w:szCs w:val="24"/>
        </w:rPr>
        <w:t>.</w:t>
      </w:r>
    </w:p>
    <w:p w14:paraId="628BD73A" w14:textId="23C66DBD" w:rsidR="00747529" w:rsidRPr="000315B4" w:rsidRDefault="00747529" w:rsidP="00903391">
      <w:pPr>
        <w:widowControl w:val="0"/>
        <w:adjustRightInd w:val="0"/>
        <w:snapToGrid w:val="0"/>
        <w:spacing w:line="360" w:lineRule="auto"/>
        <w:ind w:firstLineChars="100" w:firstLine="240"/>
        <w:jc w:val="both"/>
        <w:rPr>
          <w:b/>
          <w:bCs/>
          <w:sz w:val="24"/>
          <w:szCs w:val="24"/>
        </w:rPr>
      </w:pPr>
      <w:r w:rsidRPr="000315B4">
        <w:rPr>
          <w:sz w:val="24"/>
          <w:szCs w:val="24"/>
        </w:rPr>
        <w:t>Solaymani</w:t>
      </w:r>
      <w:r w:rsidR="00903391" w:rsidRPr="000315B4">
        <w:rPr>
          <w:rFonts w:hint="eastAsia"/>
          <w:sz w:val="24"/>
          <w:szCs w:val="24"/>
          <w:lang w:eastAsia="zh-CN"/>
        </w:rPr>
        <w:t>-</w:t>
      </w:r>
      <w:r w:rsidRPr="000315B4">
        <w:rPr>
          <w:sz w:val="24"/>
          <w:szCs w:val="24"/>
        </w:rPr>
        <w:t xml:space="preserve">Dodaran </w:t>
      </w:r>
      <w:r w:rsidRPr="000315B4">
        <w:rPr>
          <w:i/>
          <w:sz w:val="24"/>
          <w:szCs w:val="24"/>
        </w:rPr>
        <w:t>et al</w:t>
      </w:r>
      <w:r w:rsidRPr="000315B4">
        <w:rPr>
          <w:sz w:val="24"/>
          <w:szCs w:val="24"/>
        </w:rPr>
        <w:fldChar w:fldCharType="begin" w:fldLock="1"/>
      </w:r>
      <w:r w:rsidR="0000179C" w:rsidRPr="000315B4">
        <w:rPr>
          <w:sz w:val="24"/>
          <w:szCs w:val="24"/>
        </w:rPr>
        <w:instrText>ADDIN CSL_CITATION {"citationItems":[{"id":"ITEM-1","itemData":{"DOI":"10.1053/j.gastro.2013.02.050","ISBN":"0016-5085","ISSN":"00165085","PMID":"23583429","abstract":"Background &amp; Aims: Understanding the causes of death in people with Barrett's esophagus (BE) could guide evidence-based practice in the follow-up of these patients. Methods: We identified individuals diagnosed with BE in the UK's Clinical Practice Research Datalink and linked their information with that from England's Hospital Episode Statistics database. Eligible patients (N = 8448) were matched with individuals without BE for age, sex, and general practice (controls, N = 155,212). Causes of death were obtained from the UK's Office for National Statistics. Cox proportional hazard regression, excluding data from the first year of follow-up, was used to estimate hazard ratios and cumulative mortality. Absolute excess risks were calculated by subtracting cause-specific mortality values of controls from those of patients with BE. Results: Compared with the control population, patients with BE had increased risks of death from neoplasms and from respiratory and digestive causes but not from circulatory disorders. The annual mortality rate from esophageal cancer among patients with BE was 0.14%; 4.5% of deaths among these patients resulted from this cancer, leading to a cumulative 10-year risk of almost 2%. Nonetheless, the largest single cause of death among patients with BE was ischemic heart disease (5.6 per 1000 patients); 168 patients with BE died of this cause, nearly 4-fold the number that died of esophageal cancer. Conclusions: Among patients with BE, approximately 2% will die of esophageal cancer within 10 years. However, patients with BE died more frequently of other causes, such as ischemic heart disease. Evidence-based strategies are available to prevent this disease and might be more cost-effective for reducing mortality among patients with BE. © 2013 AGA Institute.","author":[{"dropping-particle":"","family":"Solaymani-Dodaran","given":"Masoud","non-dropping-particle":"","parse-names":false,"suffix":""},{"dropping-particle":"","family":"Card","given":"Timothy R.","non-dropping-particle":"","parse-names":false,"suffix":""},{"dropping-particle":"","family":"West","given":"Joe","non-dropping-particle":"","parse-names":false,"suffix":""}],"container-title":"Gastroenterology","id":"ITEM-1","issue":"7","issued":{"date-parts":[["2013"]]},"page":"1375-1383.e1","publisher":"Elsevier Inc.","title":"Cause-specific mortality of people with barrett's esophagus compared with the general population: A population-based cohort study","type":"article-journal","volume":"144"},"uris":["http://www.mendeley.com/documents/?uuid=7fc1e5d3-73cd-44e0-bc59-86636808a4e9"]}],"mendeley":{"formattedCitation":"&lt;sup&gt;[13]&lt;/sup&gt;","plainTextFormattedCitation":"[13]","previouslyFormattedCitation":"&lt;sup&gt;[13]&lt;/sup&gt;"},"properties":{"noteIndex":0},"schema":"https://github.com/citation-style-language/schema/raw/master/csl-citation.json"}</w:instrText>
      </w:r>
      <w:r w:rsidRPr="000315B4">
        <w:rPr>
          <w:sz w:val="24"/>
          <w:szCs w:val="24"/>
        </w:rPr>
        <w:fldChar w:fldCharType="separate"/>
      </w:r>
      <w:r w:rsidR="00164BEB" w:rsidRPr="000315B4">
        <w:rPr>
          <w:noProof/>
          <w:sz w:val="24"/>
          <w:szCs w:val="24"/>
          <w:vertAlign w:val="superscript"/>
        </w:rPr>
        <w:t>[13]</w:t>
      </w:r>
      <w:r w:rsidRPr="000315B4">
        <w:rPr>
          <w:sz w:val="24"/>
          <w:szCs w:val="24"/>
        </w:rPr>
        <w:fldChar w:fldCharType="end"/>
      </w:r>
      <w:r w:rsidRPr="000315B4">
        <w:rPr>
          <w:sz w:val="24"/>
          <w:szCs w:val="24"/>
        </w:rPr>
        <w:t xml:space="preserve"> showed</w:t>
      </w:r>
      <w:r w:rsidR="00C96A92" w:rsidRPr="000315B4">
        <w:rPr>
          <w:sz w:val="24"/>
          <w:szCs w:val="24"/>
        </w:rPr>
        <w:t xml:space="preserve"> increased </w:t>
      </w:r>
      <w:r w:rsidR="00205D62" w:rsidRPr="000315B4">
        <w:rPr>
          <w:sz w:val="24"/>
          <w:szCs w:val="24"/>
        </w:rPr>
        <w:t>cancer</w:t>
      </w:r>
      <w:r w:rsidRPr="000315B4">
        <w:rPr>
          <w:sz w:val="24"/>
          <w:szCs w:val="24"/>
        </w:rPr>
        <w:t xml:space="preserve"> specific mortality rates</w:t>
      </w:r>
      <w:r w:rsidR="00C96A92" w:rsidRPr="000315B4">
        <w:rPr>
          <w:sz w:val="24"/>
          <w:szCs w:val="24"/>
        </w:rPr>
        <w:t xml:space="preserve"> in patients with BE, but did not stratify the population according to dysplasia grade</w:t>
      </w:r>
      <w:r w:rsidRPr="000315B4">
        <w:rPr>
          <w:sz w:val="24"/>
          <w:szCs w:val="24"/>
        </w:rPr>
        <w:t xml:space="preserve">. </w:t>
      </w:r>
    </w:p>
    <w:p w14:paraId="29CCBE56" w14:textId="2CC28BE7" w:rsidR="00FD132E" w:rsidRPr="000315B4" w:rsidRDefault="000074F4" w:rsidP="00903391">
      <w:pPr>
        <w:widowControl w:val="0"/>
        <w:adjustRightInd w:val="0"/>
        <w:snapToGrid w:val="0"/>
        <w:spacing w:line="360" w:lineRule="auto"/>
        <w:ind w:firstLineChars="100" w:firstLine="240"/>
        <w:jc w:val="both"/>
        <w:rPr>
          <w:sz w:val="24"/>
          <w:szCs w:val="24"/>
        </w:rPr>
      </w:pPr>
      <w:r w:rsidRPr="000315B4">
        <w:rPr>
          <w:sz w:val="24"/>
          <w:szCs w:val="24"/>
        </w:rPr>
        <w:t>The above data described mortality, and not morbidity</w:t>
      </w:r>
      <w:r w:rsidR="00AA4A6F" w:rsidRPr="000315B4">
        <w:rPr>
          <w:sz w:val="24"/>
          <w:szCs w:val="24"/>
        </w:rPr>
        <w:t xml:space="preserve">. </w:t>
      </w:r>
      <w:r w:rsidR="0073392A" w:rsidRPr="000315B4">
        <w:rPr>
          <w:sz w:val="24"/>
          <w:szCs w:val="24"/>
        </w:rPr>
        <w:t>Due to the lack of data about non</w:t>
      </w:r>
      <w:r w:rsidR="001A21AB" w:rsidRPr="000315B4">
        <w:rPr>
          <w:sz w:val="24"/>
          <w:szCs w:val="24"/>
        </w:rPr>
        <w:t>-</w:t>
      </w:r>
      <w:r w:rsidR="0073392A" w:rsidRPr="000315B4">
        <w:rPr>
          <w:sz w:val="24"/>
          <w:szCs w:val="24"/>
        </w:rPr>
        <w:t xml:space="preserve">BE cancer morbidity </w:t>
      </w:r>
      <w:r w:rsidR="0031148D" w:rsidRPr="000315B4">
        <w:rPr>
          <w:sz w:val="24"/>
          <w:szCs w:val="24"/>
        </w:rPr>
        <w:t xml:space="preserve">we aimed </w:t>
      </w:r>
      <w:r w:rsidR="001A21AB" w:rsidRPr="000315B4">
        <w:rPr>
          <w:sz w:val="24"/>
          <w:szCs w:val="24"/>
        </w:rPr>
        <w:t xml:space="preserve">to </w:t>
      </w:r>
      <w:r w:rsidR="0073392A" w:rsidRPr="000315B4">
        <w:rPr>
          <w:sz w:val="24"/>
          <w:szCs w:val="24"/>
        </w:rPr>
        <w:t xml:space="preserve">correlate it with </w:t>
      </w:r>
      <w:r w:rsidR="0031148D" w:rsidRPr="000315B4">
        <w:rPr>
          <w:sz w:val="24"/>
          <w:szCs w:val="24"/>
        </w:rPr>
        <w:t>BE degree of dysplasia.</w:t>
      </w:r>
      <w:r w:rsidR="00D533BE" w:rsidRPr="000315B4">
        <w:rPr>
          <w:sz w:val="24"/>
          <w:szCs w:val="24"/>
        </w:rPr>
        <w:t xml:space="preserve"> Assuming patients with dysplastic BE have higher mortality rate, o</w:t>
      </w:r>
      <w:r w:rsidR="00FD132E" w:rsidRPr="000315B4">
        <w:rPr>
          <w:sz w:val="24"/>
          <w:szCs w:val="24"/>
        </w:rPr>
        <w:t xml:space="preserve">ur </w:t>
      </w:r>
      <w:r w:rsidR="0031148D" w:rsidRPr="000315B4">
        <w:rPr>
          <w:sz w:val="24"/>
          <w:szCs w:val="24"/>
        </w:rPr>
        <w:t xml:space="preserve">findings </w:t>
      </w:r>
      <w:r w:rsidR="007B53D7" w:rsidRPr="000315B4">
        <w:rPr>
          <w:sz w:val="24"/>
          <w:szCs w:val="24"/>
        </w:rPr>
        <w:t>impl</w:t>
      </w:r>
      <w:r w:rsidR="0031148D" w:rsidRPr="000315B4">
        <w:rPr>
          <w:sz w:val="24"/>
          <w:szCs w:val="24"/>
        </w:rPr>
        <w:t>y</w:t>
      </w:r>
      <w:r w:rsidR="00FD132E" w:rsidRPr="000315B4">
        <w:rPr>
          <w:sz w:val="24"/>
          <w:szCs w:val="24"/>
        </w:rPr>
        <w:t xml:space="preserve"> </w:t>
      </w:r>
      <w:r w:rsidR="0031148D" w:rsidRPr="000315B4">
        <w:rPr>
          <w:sz w:val="24"/>
          <w:szCs w:val="24"/>
        </w:rPr>
        <w:t>that the abo</w:t>
      </w:r>
      <w:r w:rsidR="00C96A92" w:rsidRPr="000315B4">
        <w:rPr>
          <w:sz w:val="24"/>
          <w:szCs w:val="24"/>
        </w:rPr>
        <w:t>v</w:t>
      </w:r>
      <w:r w:rsidR="0031148D" w:rsidRPr="000315B4">
        <w:rPr>
          <w:sz w:val="24"/>
          <w:szCs w:val="24"/>
        </w:rPr>
        <w:t xml:space="preserve">e association </w:t>
      </w:r>
      <w:r w:rsidR="00FD132E" w:rsidRPr="000315B4">
        <w:rPr>
          <w:sz w:val="24"/>
          <w:szCs w:val="24"/>
        </w:rPr>
        <w:t>may be related</w:t>
      </w:r>
      <w:r w:rsidR="00794B97" w:rsidRPr="000315B4">
        <w:rPr>
          <w:sz w:val="24"/>
          <w:szCs w:val="24"/>
        </w:rPr>
        <w:t>,</w:t>
      </w:r>
      <w:r w:rsidR="00FD132E" w:rsidRPr="000315B4">
        <w:rPr>
          <w:sz w:val="24"/>
          <w:szCs w:val="24"/>
        </w:rPr>
        <w:t xml:space="preserve"> at least in part</w:t>
      </w:r>
      <w:r w:rsidR="00794B97" w:rsidRPr="000315B4">
        <w:rPr>
          <w:sz w:val="24"/>
          <w:szCs w:val="24"/>
        </w:rPr>
        <w:t>,</w:t>
      </w:r>
      <w:r w:rsidR="00FD132E" w:rsidRPr="000315B4">
        <w:rPr>
          <w:sz w:val="24"/>
          <w:szCs w:val="24"/>
        </w:rPr>
        <w:t xml:space="preserve"> to increased </w:t>
      </w:r>
      <w:r w:rsidR="00C96A92" w:rsidRPr="000315B4">
        <w:rPr>
          <w:sz w:val="24"/>
          <w:szCs w:val="24"/>
        </w:rPr>
        <w:t xml:space="preserve">cancer </w:t>
      </w:r>
      <w:r w:rsidR="00FD132E" w:rsidRPr="000315B4">
        <w:rPr>
          <w:sz w:val="24"/>
          <w:szCs w:val="24"/>
        </w:rPr>
        <w:t>incidence.</w:t>
      </w:r>
    </w:p>
    <w:p w14:paraId="2EAEC328" w14:textId="77777777" w:rsidR="00976FDD" w:rsidRPr="000315B4" w:rsidRDefault="00976FDD" w:rsidP="00903391">
      <w:pPr>
        <w:widowControl w:val="0"/>
        <w:adjustRightInd w:val="0"/>
        <w:snapToGrid w:val="0"/>
        <w:spacing w:line="360" w:lineRule="auto"/>
        <w:ind w:firstLineChars="100" w:firstLine="240"/>
        <w:jc w:val="both"/>
        <w:rPr>
          <w:sz w:val="24"/>
          <w:szCs w:val="24"/>
          <w:rtl/>
        </w:rPr>
      </w:pPr>
      <w:r w:rsidRPr="000315B4">
        <w:rPr>
          <w:sz w:val="24"/>
          <w:szCs w:val="24"/>
        </w:rPr>
        <w:t>The role of gastro</w:t>
      </w:r>
      <w:r w:rsidR="00C908EB" w:rsidRPr="000315B4">
        <w:rPr>
          <w:sz w:val="24"/>
          <w:szCs w:val="24"/>
        </w:rPr>
        <w:t>-</w:t>
      </w:r>
      <w:r w:rsidRPr="000315B4">
        <w:rPr>
          <w:sz w:val="24"/>
          <w:szCs w:val="24"/>
        </w:rPr>
        <w:t>esophageal reflux disease</w:t>
      </w:r>
      <w:r w:rsidR="00575760" w:rsidRPr="000315B4">
        <w:rPr>
          <w:sz w:val="24"/>
          <w:szCs w:val="24"/>
        </w:rPr>
        <w:t xml:space="preserve"> </w:t>
      </w:r>
      <w:r w:rsidR="00972259" w:rsidRPr="000315B4">
        <w:rPr>
          <w:sz w:val="24"/>
          <w:szCs w:val="24"/>
        </w:rPr>
        <w:t xml:space="preserve">in BE </w:t>
      </w:r>
      <w:r w:rsidR="00575760" w:rsidRPr="000315B4">
        <w:rPr>
          <w:sz w:val="24"/>
          <w:szCs w:val="24"/>
        </w:rPr>
        <w:t>is</w:t>
      </w:r>
      <w:r w:rsidRPr="000315B4">
        <w:rPr>
          <w:sz w:val="24"/>
          <w:szCs w:val="24"/>
        </w:rPr>
        <w:t xml:space="preserve"> c</w:t>
      </w:r>
      <w:r w:rsidR="00283660" w:rsidRPr="000315B4">
        <w:rPr>
          <w:sz w:val="24"/>
          <w:szCs w:val="24"/>
        </w:rPr>
        <w:t>lear</w:t>
      </w:r>
      <w:r w:rsidRPr="000315B4">
        <w:rPr>
          <w:sz w:val="24"/>
          <w:szCs w:val="24"/>
        </w:rPr>
        <w:t xml:space="preserve">, but what predisposes certain patients to develop BE and neoplasia is still under debate. Studies </w:t>
      </w:r>
      <w:r w:rsidR="008D2867" w:rsidRPr="000315B4">
        <w:rPr>
          <w:sz w:val="24"/>
          <w:szCs w:val="24"/>
        </w:rPr>
        <w:t xml:space="preserve">have </w:t>
      </w:r>
      <w:r w:rsidRPr="000315B4">
        <w:rPr>
          <w:sz w:val="24"/>
          <w:szCs w:val="24"/>
        </w:rPr>
        <w:t xml:space="preserve">linked </w:t>
      </w:r>
      <w:r w:rsidR="00BB4534" w:rsidRPr="000315B4">
        <w:rPr>
          <w:sz w:val="24"/>
          <w:szCs w:val="24"/>
        </w:rPr>
        <w:t>various</w:t>
      </w:r>
      <w:r w:rsidR="00C53983" w:rsidRPr="000315B4">
        <w:rPr>
          <w:sz w:val="24"/>
          <w:szCs w:val="24"/>
        </w:rPr>
        <w:t xml:space="preserve"> factors such as</w:t>
      </w:r>
      <w:r w:rsidR="00BB4534" w:rsidRPr="000315B4">
        <w:rPr>
          <w:sz w:val="24"/>
          <w:szCs w:val="24"/>
        </w:rPr>
        <w:t xml:space="preserve"> </w:t>
      </w:r>
      <w:r w:rsidRPr="000315B4">
        <w:rPr>
          <w:sz w:val="24"/>
          <w:szCs w:val="24"/>
        </w:rPr>
        <w:t>smoking</w:t>
      </w:r>
      <w:r w:rsidRPr="000315B4">
        <w:rPr>
          <w:sz w:val="24"/>
          <w:szCs w:val="24"/>
        </w:rPr>
        <w:fldChar w:fldCharType="begin" w:fldLock="1"/>
      </w:r>
      <w:r w:rsidR="0000179C" w:rsidRPr="000315B4">
        <w:rPr>
          <w:sz w:val="24"/>
          <w:szCs w:val="24"/>
        </w:rPr>
        <w:instrText>ADDIN CSL_CITATION {"citationItems":[{"id":"ITEM-1","itemData":{"DOI":"10.1158/1055-9965.EPI-05-0370","ISSN":"10559965","PMID":"16284367","abstract":"Background: Barrett's esophagus, a metaplastic precursor to esophageal adenocarcinoma, is becoming increasingly prevalent in many populations. Clinical studies suggest acid reflux causes Barrett's esophagus; however, no population-based estimates of risk have been reported, and the role of other health factors in modifying risk is unclear.Methods: We conducted a population-based case-control study in Brisbane, Australia. Cases were 167 patients with histologically confirmed Barrett's esophagus diagnosed between February and December 2003. Age-matched and sex-matched controls (n = 261) were randomly selected from a population register. Data on exposure to self-reported symptoms of acid reflux, smoking, obesity, and other factors were collected through self-completed questionnaires followed by telephone interview. Risks of Barrett's esophagus and Barrett's esophagus with dysplasia associated with these exposures were estimated by the odds ratio (OR) and 95% confidence interval (95% CI), both crude and adjusted for other factors.Results: Self-reported weekly episodes of acid reflux were associated with greatly increased risks of Barrett's esophagus (adjusted OR, 29.7; 95% CI, 12.2-72.6) and Barrett's esophagus with dysplasia (OR, 59.7; 95% CI, 18.5-193). Smoking was also associated with risk of Barrett's esophagus. We found evidence of interactions between symptoms of acid reflux and smoking and obesity. Obese people with self-reported symptoms of acid reflux had markedly higher risks of Barrett's esophagus (OR, 34.4; 95% CI, 6.3-188) than people with reflux alone (OR, 9.3; 95% CI, 1.4-62.2) or obesity alone (OR, 0.7; 95% CI, 0.2-2.4). Similarly, those reporting both acid reflux symptoms and smoking were at substantially higher risks of Barrett's esophagus (OR, 51.4; 95% CI, 14.1-188) than those reporting acid reflux or smoking alone.Conclusions: Although history of symptoms of acid reflux is the principle factor associated with Barrett's esophagus, risks are substantially increased by obesity and smoking.","author":[{"dropping-particle":"","family":"Smith","given":"Kylie J.","non-dropping-particle":"","parse-names":false,"suffix":""},{"dropping-particle":"","family":"O'Brien","given":"Suzanne M.","non-dropping-particle":"","parse-names":false,"suffix":""},{"dropping-particle":"","family":"Smithers","given":"B. Mark","non-dropping-particle":"","parse-names":false,"suffix":""},{"dropping-particle":"","family":"Gotley","given":"David C.","non-dropping-particle":"","parse-names":false,"suffix":""},{"dropping-particle":"","family":"Webb","given":"Penelope M.","non-dropping-particle":"","parse-names":false,"suffix":""},{"dropping-particle":"","family":"Green","given":"Adèle C.","non-dropping-particle":"","parse-names":false,"suffix":""},{"dropping-particle":"","family":"Whiteman","given":"David C.","non-dropping-particle":"","parse-names":false,"suffix":""}],"container-title":"Cancer Epidemiology Biomarkers and Prevention","id":"ITEM-1","issue":"11 I","issued":{"date-parts":[["2005"]]},"page":"2481-2486","title":"Interactions among smoking, obesity, and symptoms of acid reflux in Barrett's esophagus","type":"article-journal","volume":"14"},"uris":["http://www.mendeley.com/documents/?uuid=f9113c4b-ca22-48d5-9976-dc2264feaba8"]},{"id":"ITEM-2","itemData":{"DOI":"10.1053/j.gastro.2011.10.034","ISBN":"1528-0012","ISSN":"00165085","PMID":"22062359","abstract":"Background &amp; Aims: Esophageal adenocarcinoma arises from Barrett's esophagus (BE); patients with this cancer have a poor prognosis. Identification of modifiable lifestyle factors that affect the risk of progression from BE to esophageal adenocarcinoma might prevent its development. We investigated associations among body size, smoking, and alcohol use with progression of BE to neoplasia. Methods: We analyzed data from patients with BE identified from the population-based Northern Ireland BE register, diagnosed between 1993 and 2005 with specialized intestinal metaplasia (n = 3167). Data on clinical, demographic, and lifestyle factors related to diagnosis of BE were collected from hospital case notes. We used the Northern Ireland Cancer Registry to identify which of these patients later developed esophageal adenocarcinoma, adenocarcinomas of the gastric cardia, or esophageal high-grade dysplasia. Cox proportional hazards models were used to associate lifestyle factors with risk of progression. Results: By December 31, 2008, 117 of the patients with BE developed esophageal high-grade dysplasia or adenocarcinomas of the esophagus or gastric cardia. Current tobacco smoking was significantly associated with an increased risk of progression (hazard ratio = 2.03; 95% confidence interval, 1.29-3.17) compared with never smoking, and across all strata of smoking intensity. Alcohol consumption was not related to risk of progression. Measures of body size were infrequently reported in endoscopy reports, and body size was not associated with risk of progression. Conclusions: Smoking tobacco increases the risk of progression to cancer or high-grade dysplasia 2-fold among patients with BE, compared with patients with BE that have never smoked. Smoking cessation strategies should be considered for patients with BE. © 2012 AGA Institute.","author":[{"dropping-particle":"","family":"Coleman","given":"Helen G.","non-dropping-particle":"","parse-names":false,"suffix":""},{"dropping-particle":"","family":"Bhat","given":"Shivaram","non-dropping-particle":"","parse-names":false,"suffix":""},{"dropping-particle":"","family":"Johnston","given":"Brian T.","non-dropping-particle":"","parse-names":false,"suffix":""},{"dropping-particle":"","family":"McManus","given":"Damian","non-dropping-particle":"","parse-names":false,"suffix":""},{"dropping-particle":"","family":"Gavin","given":"Anna T.","non-dropping-particle":"","parse-names":false,"suffix":""},{"dropping-particle":"","family":"Murray","given":"Liam J.","non-dropping-particle":"","parse-names":false,"suffix":""}],"container-title":"Gastroenterology","id":"ITEM-2","issue":"2","issued":{"date-parts":[["2012"]]},"page":"233-240","publisher":"Elsevier Inc.","title":"Tobacco smoking increases the risk of high-grade dysplasia and cancer among patients with Barrett's esophagus","type":"article-journal","volume":"142"},"uris":["http://www.mendeley.com/documents/?uuid=ecbd5931-39d9-445e-ac75-2b983a132fb5"]}],"mendeley":{"formattedCitation":"&lt;sup&gt;[24,25]&lt;/sup&gt;","plainTextFormattedCitation":"[24,25]","previouslyFormattedCitation":"&lt;sup&gt;[24,25]&lt;/sup&gt;"},"properties":{"noteIndex":0},"schema":"https://github.com/citation-style-language/schema/raw/master/csl-citation.json"}</w:instrText>
      </w:r>
      <w:r w:rsidRPr="000315B4">
        <w:rPr>
          <w:sz w:val="24"/>
          <w:szCs w:val="24"/>
        </w:rPr>
        <w:fldChar w:fldCharType="separate"/>
      </w:r>
      <w:r w:rsidR="00164BEB" w:rsidRPr="000315B4">
        <w:rPr>
          <w:noProof/>
          <w:sz w:val="24"/>
          <w:szCs w:val="24"/>
          <w:vertAlign w:val="superscript"/>
        </w:rPr>
        <w:t>[24,25]</w:t>
      </w:r>
      <w:r w:rsidRPr="000315B4">
        <w:rPr>
          <w:sz w:val="24"/>
          <w:szCs w:val="24"/>
        </w:rPr>
        <w:fldChar w:fldCharType="end"/>
      </w:r>
      <w:r w:rsidRPr="000315B4">
        <w:rPr>
          <w:sz w:val="24"/>
          <w:szCs w:val="24"/>
        </w:rPr>
        <w:t>, abdominal obesity</w:t>
      </w:r>
      <w:r w:rsidRPr="000315B4">
        <w:rPr>
          <w:sz w:val="24"/>
          <w:szCs w:val="24"/>
        </w:rPr>
        <w:fldChar w:fldCharType="begin" w:fldLock="1"/>
      </w:r>
      <w:r w:rsidR="0000179C" w:rsidRPr="000315B4">
        <w:rPr>
          <w:sz w:val="24"/>
          <w:szCs w:val="24"/>
        </w:rPr>
        <w:instrText>ADDIN CSL_CITATION {"citationItems":[{"id":"ITEM-1","itemData":{"DOI":"10.1053/j.gastro.2007.04.046","ISBN":"0016-5085 (Print)\\r0016-5085","ISSN":"00165085","PMID":"17631128","abstract":"Background: Barrett's esophagus is a strong risk factor for esophageal adenocarcinoma, but little is known about its associations with body mass index (BMI) or abdominal obesity. Methods: We conducted a case-control study within the Kaiser Permanente Northern California population. Persons with a new diagnosis of Barrett's esophagus (cases) were matched to subjects with gastroesophageal reflux disease (GERD) without Barrett's esophagus and to population controls. Subjects completed questionnaires and an anthropometric examination. Results: We interviewed 320 cases, 316 patients with GERD, and 317 controls. There was a general association between Barrett's esophagus and a larger abdominal circumference (independent of BMI) compared with population controls (odds ratio, 2.24; 95% confidence interval, 1.21-4.15; circumference, &gt;80 cm vs &lt;80 cm). There was a possible risk plateau, with increased risk evident only at circumferences &gt;80 cm and no significant trend for further increases in circumference. There was a trend for association compared with patients with GERD (test for trend, P = .03). There was no association between Barrett's esophagus and BMI. Abdominal circumference was associated with GERD symptom severity (odds ratio, 1.86; 95% confidence interval, 1.03-3.38; risk of severe weekly GERD, per 10-cm circumference); adjustment for GERD partially attenuated the association between Barrett's esophagus and circumference. Conclusions: Waist circumference, but not BMI, had some modest independent associations with the risk of Barrett's esophagus. The findings provide partial support for the hypothesis that abdominal obesity contributes to GERD, which may in turn increase the risk of Barrett's esophagus. © 2007 AGA Institute.","author":[{"dropping-particle":"","family":"Corley","given":"Douglas A.","non-dropping-particle":"","parse-names":false,"suffix":""},{"dropping-particle":"","family":"Kubo","given":"Ai","non-dropping-particle":"","parse-names":false,"suffix":""},{"dropping-particle":"","family":"Levin","given":"Theodore R.","non-dropping-particle":"","parse-names":false,"suffix":""},{"dropping-particle":"","family":"Block","given":"Gladys","non-dropping-particle":"","parse-names":false,"suffix":""},{"dropping-particle":"","family":"Habel","given":"Laurel","non-dropping-particle":"","parse-names":false,"suffix":""},{"dropping-particle":"","family":"Zhao","given":"Wei","non-dropping-particle":"","parse-names":false,"suffix":""},{"dropping-particle":"","family":"Leighton","given":"Pat","non-dropping-particle":"","parse-names":false,"suffix":""},{"dropping-particle":"","family":"Quesenberry","given":"Charles","non-dropping-particle":"","parse-names":false,"suffix":""},{"dropping-particle":"","family":"Rumore","given":"Greg J.","non-dropping-particle":"","parse-names":false,"suffix":""},{"dropping-particle":"","family":"Buffler","given":"Patricia A.","non-dropping-particle":"","parse-names":false,"suffix":""}],"container-title":"Gastroenterology","id":"ITEM-1","issue":"1","issued":{"date-parts":[["2007"]]},"page":"34-41","title":"Abdominal Obesity and Body Mass Index as Risk Factors for Barrett's Esophagus","type":"article-journal","volume":"133"},"uris":["http://www.mendeley.com/documents/?uuid=b0f9f2df-5c4a-40a3-a89b-90072abe2826"]},{"id":"ITEM-2","itemData":{"DOI":"10.1016/j.cgh.2012.03.007","ISBN":"1542-3565","ISSN":"15423565","PMID":"22433923","abstract":"Background &amp; Aims: Increased waist circumference and visceral fat are associated with increased risk of Barrett's esophagus (BE) and esophageal adenocarcinoma. This association might be mediated by mechanical and endocrine mechanisms. We investigated the distribution of fat in subjects with BE and its association with esophageal inflammation and dysplasia. Methods: We collected data from 50 BE cases and 50 controls (matched for age and sex, identified from a radiology trauma database) seen at the Mayo Clinic in 2009. Abdominal (subcutaneous and visceral) and gastroesophageal junction (GEJ) fat area was measured using computed tomography with standard techniques. Esophageal inflammation (based on a histologic score) and dysplasia grade were assessed from esophageal biopsies of BE cases by a gastrointestinal pathologist. Conditional logistic regression was used to assess the association of body fat depot area with BE status, esophageal inflammation, and dysplasia. Results: All BE subjects had controlled reflux symptoms without esophagitis, based on endoscopy. The GEJ fat area (odds ratio [OR], 6.0; 95% confidence interval [CI], 1.3-27.7; P = .02), visceral fat area (OR, 4.9; 95% CI, 1.0-22.8; P = .04), and abdominal circumference (OR, 9.1; 95% CI, 1.4-57.2; P = 0.02) were associated with BE, independent of body mass index (BMI). The subcutaneous fat area was not associated with BE. Visceral and GEJ fat were significantly greater in BE subjects with esophageal inflammation (compared with those without, P = .02) and high-grade dysplasia (compared with those without, P = .01), independent of BMI. Conclusions: GEJ and visceral fat are associated with BE, and with increased esophageal inflammation and high-grade dysplasia in BE subjects, independent of BMI. Visceral fat therefore might promote esophageal metaplasia and dysplasia. © 2012 AGA Institute.","author":[{"dropping-particle":"","family":"Nelsen","given":"Eric M.","non-dropping-particle":"","parse-names":false,"suffix":""},{"dropping-particle":"","family":"Kirihara","given":"Yujiro","non-dropping-particle":"","parse-names":false,"suffix":""},{"dropping-particle":"","family":"Takahashi","given":"Naoki","non-dropping-particle":"","parse-names":false,"suffix":""},{"dropping-particle":"","family":"Shi","given":"Qian","non-dropping-particle":"","parse-names":false,"suffix":""},{"dropping-particle":"","family":"Lewis","given":"Jason T.","non-dropping-particle":"","parse-names":false,"suffix":""},{"dropping-particle":"","family":"Namasivayam","given":"Vikneswaran","non-dropping-particle":"","parse-names":false,"suffix":""},{"dropping-particle":"","family":"Buttar","given":"Navtej S.","non-dropping-particle":"","parse-names":false,"suffix":""},{"dropping-particle":"","family":"Dunagan","given":"Kelly T.","non-dropping-particle":"","parse-names":false,"suffix":""},{"dropping-particle":"","family":"Prasad","given":"Ganapathy A.","non-dropping-particle":"","parse-names":false,"suffix":""}],"container-title":"Clinical Gastroenterology and Hepatology","id":"ITEM-2","issue":"7","issued":{"date-parts":[["2012"]]},"page":"728-734","publisher":"Elsevier Inc.","title":"Distribution of Body Fat and Its Influence on Esophageal Inflammation and Dysplasia in Patients With Barrett's Esophagus","type":"article-journal","volume":"10"},"uris":["http://www.mendeley.com/documents/?uuid=e1b7272a-09c7-4239-91df-2d228ca07acb"]}],"mendeley":{"formattedCitation":"&lt;sup&gt;[26,27]&lt;/sup&gt;","plainTextFormattedCitation":"[26,27]","previouslyFormattedCitation":"&lt;sup&gt;[26,27]&lt;/sup&gt;"},"properties":{"noteIndex":0},"schema":"https://github.com/citation-style-language/schema/raw/master/csl-citation.json"}</w:instrText>
      </w:r>
      <w:r w:rsidRPr="000315B4">
        <w:rPr>
          <w:sz w:val="24"/>
          <w:szCs w:val="24"/>
        </w:rPr>
        <w:fldChar w:fldCharType="separate"/>
      </w:r>
      <w:r w:rsidR="00164BEB" w:rsidRPr="000315B4">
        <w:rPr>
          <w:noProof/>
          <w:sz w:val="24"/>
          <w:szCs w:val="24"/>
          <w:vertAlign w:val="superscript"/>
        </w:rPr>
        <w:t>[26,27]</w:t>
      </w:r>
      <w:r w:rsidRPr="000315B4">
        <w:rPr>
          <w:sz w:val="24"/>
          <w:szCs w:val="24"/>
        </w:rPr>
        <w:fldChar w:fldCharType="end"/>
      </w:r>
      <w:r w:rsidRPr="000315B4">
        <w:rPr>
          <w:sz w:val="24"/>
          <w:szCs w:val="24"/>
        </w:rPr>
        <w:t xml:space="preserve"> genetics</w:t>
      </w:r>
      <w:r w:rsidRPr="000315B4">
        <w:rPr>
          <w:sz w:val="24"/>
          <w:szCs w:val="24"/>
        </w:rPr>
        <w:fldChar w:fldCharType="begin" w:fldLock="1"/>
      </w:r>
      <w:r w:rsidR="0000179C" w:rsidRPr="000315B4">
        <w:rPr>
          <w:sz w:val="24"/>
          <w:szCs w:val="24"/>
        </w:rPr>
        <w:instrText>ADDIN CSL_CITATION {"citationItems":[{"id":"ITEM-1","itemData":{"DOI":"10.1038/ng.2408","ISBN":"1546-1718 (Electronic)\\r1061-4036 (Linking)","ISSN":"1061-4036","PMID":"22961001","abstract":"Barrett's esophagus is an increasingly common disease that is strongly associated with reflux of stomach acid and usually a hiatus hernia, and it strongly predisposes to esophageal adenocarcinoma (EAC), a tumor with a very poor prognosis. We report the first genome-wide association study on Barrett's esophagus, comprising 1,852 UK cases and 5,172 UK controls in the discovery stage and 5,986 cases and 12,825 controls in the replication stage. Variants at two loci were associated with disease risk: chromosome 6p21, rs9257809 (Pcombined=4.09×10(-9); odds ratio (OR)=1.21, 95% confidence interval (CI)=1.13-1.28), within the major histocompatibility complex locus, and chromosome 16q24, rs9936833 (Pcombined=2.74×10(-10); OR=1.14, 95% CI=1.10-1.19), for which the closest protein-coding gene is FOXF1, which is implicated in esophageal development and structure. We found evidence that many common variants of small effect contribute to genetic susceptibility to Barrett's esophagus and that SNP alleles predisposing to obesity also increase risk for Barrett's esophagus.","author":[{"dropping-particle":"","family":"Su","given":"Zhan","non-dropping-particle":"","parse-names":false,"suffix":""},{"dropping-particle":"","family":"Gay","given":"Laura J","non-dropping-particle":"","parse-names":false,"suffix":""},{"dropping-particle":"","family":"Strange","given":"Amy","non-dropping-particle":"","parse-names":false,"suffix":""},{"dropping-particle":"","family":"Palles","given":"Claire","non-dropping-particle":"","parse-names":false,"suffix":""},{"dropping-particle":"","family":"Band","given":"Gavin","non-dropping-particle":"","parse-names":false,"suffix":""},{"dropping-particle":"","family":"Whiteman","given":"David C","non-dropping-particle":"","parse-names":false,"suffix":""},{"dropping-particle":"","family":"Lescai","given":"Francesco","non-dropping-particle":"","parse-names":false,"suffix":""},{"dropping-particle":"","family":"Langford","given":"Cordelia","non-dropping-particle":"","parse-names":false,"suffix":""},{"dropping-particle":"","family":"Nanji","given":"Manoj","non-dropping-particle":"","parse-names":false,"suffix":""},{"dropping-particle":"","family":"Edkins","given":"Sarah","non-dropping-particle":"","parse-names":false,"suffix":""},{"dropping-particle":"","family":"Winkel","given":"Anouk","non-dropping-particle":"van der","parse-names":false,"suffix":""},{"dropping-particle":"","family":"Levine","given":"David","non-dropping-particle":"","parse-names":false,"suffix":""},{"dropping-particle":"","family":"Sasieni","given":"Peter","non-dropping-particle":"","parse-names":false,"suffix":""},{"dropping-particle":"","family":"Bellenguez","given":"Céline","non-dropping-particle":"","parse-names":false,"suffix":""},{"dropping-particle":"","family":"Howarth","given":"Kimberley","non-dropping-particle":"","parse-names":false,"suffix":""},{"dropping-particle":"","family":"Freeman","given":"Colin","non-dropping-particle":"","parse-names":false,"suffix":""},{"dropping-particle":"","family":"Trudgill","given":"Nigel","non-dropping-particle":"","parse-names":false,"suffix":""},{"dropping-particle":"","family":"Tucker","given":"Art T","non-dropping-particle":"","parse-names":false,"suffix":""},{"dropping-particle":"","family":"Pirinen","given":"Matti","non-dropping-particle":"","parse-names":false,"suffix":""},{"dropping-particle":"","family":"Peppelenbosch","given":"Maikel P","non-dropping-particle":"","parse-names":false,"suffix":""},{"dropping-particle":"","family":"Laan","given":"Luc J W","non-dropping-particle":"van der","parse-names":false,"suffix":""},{"dropping-particle":"","family":"Kuipers","given":"Ernst J","non-dropping-particle":"","parse-names":false,"suffix":""},{"dropping-particle":"","family":"Drenth","given":"Joost P H","non-dropping-particle":"","parse-names":false,"suffix":""},{"dropping-particle":"","family":"Peters","given":"Wilbert H","non-dropping-particle":"","parse-names":false,"suffix":""},{"dropping-particle":"V","family":"Reynolds","given":"John","non-dropping-particle":"","parse-names":false,"suffix":""},{"dropping-particle":"","family":"Kelleher","given":"Dermot P","non-dropping-particle":"","parse-names":false,"suffix":""},{"dropping-particle":"","family":"McManus","given":"Ross","non-dropping-particle":"","parse-names":false,"suffix":""},{"dropping-particle":"","family":"Grabsch","given":"Heike","non-dropping-particle":"","parse-names":false,"suffix":""},{"dropping-particle":"","family":"Prenen","given":"Hans","non-dropping-particle":"","parse-names":false,"suffix":""},{"dropping-particle":"","family":"Bisschops","given":"Raf","non-dropping-particle":"","parse-names":false,"suffix":""},{"dropping-particle":"","family":"Krishnadath","given":"Kausila","non-dropping-particle":"","parse-names":false,"suffix":""},{"dropping-particle":"","family":"Siersema","given":"Peter D","non-dropping-particle":"","parse-names":false,"suffix":""},{"dropping-particle":"","family":"Baal","given":"Jantine W P M","non-dropping-particle":"van","parse-names":false,"suffix":""},{"dropping-particle":"","family":"Middleton","given":"Mark","non-dropping-particle":"","parse-names":false,"suffix":""},{"dropping-particle":"","family":"Petty","given":"Russell","non-dropping-particle":"","parse-names":false,"suffix":""},{"dropping-particle":"","family":"Gillies","given":"Richard","non-dropping-particle":"","parse-names":false,"suffix":""},{"dropping-particle":"","family":"Burch","given":"Nicola","non-dropping-particle":"","parse-names":false,"suffix":""},{"dropping-particle":"","family":"Bhandari","given":"Pradeep","non-dropping-particle":"","parse-names":false,"suffix":""},{"dropping-particle":"","family":"Paterson","given":"Stuart","non-dropping-particle":"","parse-names":false,"suffix":""},{"dropping-particle":"","family":"Edwards","given":"Cathryn","non-dropping-particle":"","parse-names":false,"suffix":""},{"dropping-particle":"","family":"Penman","given":"Ian","non-dropping-particle":"","parse-names":false,"suffix":""},{"dropping-particle":"","family":"Vaidya","given":"Kishor","non-dropping-particle":"","parse-names":false,"suffix":""},{"dropping-particle":"","family":"Ang","given":"Yeng","non-dropping-particle":"","parse-names":false,"suffix":""},{"dropping-particle":"","family":"Murray","given":"Iain","non-dropping-particle":"","parse-names":false,"suffix":""},{"dropping-particle":"","family":"Patel","given":"Praful","non-dropping-particle":"","parse-names":false,"suffix":""},{"dropping-particle":"","family":"Ye","given":"Weimin","non-dropping-particle":"","parse-names":false,"suffix":""},{"dropping-particle":"","family":"Mullins","given":"Paul","non-dropping-particle":"","parse-names":false,"suffix":""},{"dropping-particle":"","family":"Wu","given":"Anna H","non-dropping-particle":"","parse-names":false,"suffix":""},{"dropping-particle":"","family":"Bird","given":"Nigel C","non-dropping-particle":"","parse-names":false,"suffix":""},{"dropping-particle":"","family":"Dallal","given":"Helen","non-dropping-particle":"","parse-names":false,"suffix":""},{"dropping-particle":"","family":"Shaheen","given":"Nicholas J","non-dropping-particle":"","parse-names":false,"suffix":""},{"dropping-particle":"","family":"Murray","given":"Liam J","non-dropping-particle":"","parse-names":false,"suffix":""},{"dropping-particle":"","family":"Koss","given":"Konrad","non-dropping-particle":"","parse-names":false,"suffix":""},{"dropping-particle":"","family":"Bernstein","given":"Leslie","non-dropping-particle":"","parse-names":false,"suffix":""},{"dropping-particle":"","family":"Romero","given":"Yvonne","non-dropping-particle":"","parse-names":false,"suffix":""},{"dropping-particle":"","family":"Hardie","given":"Laura J","non-dropping-particle":"","parse-names":false,"suffix":""},{"dropping-particle":"","family":"Zhang","given":"Rui","non-dropping-particle":"","parse-names":false,"suffix":""},{"dropping-particle":"","family":"Winter","given":"Helen","non-dropping-particle":"","parse-names":false,"suffix":""},{"dropping-particle":"","family":"Corley","given":"Douglas A","non-dropping-particle":"","parse-names":false,"suffix":""},{"dropping-particle":"","family":"Panter","given":"Simon","non-dropping-particle":"","parse-names":false,"suffix":""},{"dropping-particle":"","family":"Risch","given":"Harvey A","non-dropping-particle":"","parse-names":false,"suffix":""},{"dropping-particle":"","family":"Reid","given":"Brian J","non-dropping-particle":"","parse-names":false,"suffix":""},{"dropping-particle":"","family":"Sargeant","given":"Ian","non-dropping-particle":"","parse-names":false,"suffix":""},{"dropping-particle":"","family":"Gammon","given":"Marilie D","non-dropping-particle":"","parse-names":false,"suffix":""},{"dropping-particle":"","family":"Smart","given":"Howard","non-dropping-particle":"","parse-names":false,"suffix":""},{"dropping-particle":"","family":"Dhar","given":"Anjan","non-dropping-particle":"","parse-names":false,"suffix":""},{"dropping-particle":"","family":"McMurtry","given":"Hugh","non-dropping-particle":"","parse-names":false,"suffix":""},{"dropping-particle":"","family":"Ali","given":"Haythem","non-dropping-particle":"","parse-names":false,"suffix":""},{"dropping-particle":"","family":"Liu","given":"Geoffrey","non-dropping-particle":"","parse-names":false,"suffix":""},{"dropping-particle":"","family":"Casson","given":"Alan G","non-dropping-particle":"","parse-names":false,"suffix":""},{"dropping-particle":"","family":"Chow","given":"Wong-Ho","non-dropping-particle":"","parse-names":false,"suffix":""},{"dropping-particle":"","family":"Rutter","given":"Matt","non-dropping-particle":"","parse-names":false,"suffix":""},{"dropping-particle":"","family":"Tawil","given":"Ashref","non-dropping-particle":"","parse-names":false,"suffix":""},{"dropping-particle":"","family":"Morris","given":"Danielle","non-dropping-particle":"","parse-names":false,"suffix":""},{"dropping-particle":"","family":"Nwokolo","given":"Chuka","non-dropping-particle":"","parse-names":false,"suffix":""},{"dropping-particle":"","family":"Isaacs","given":"Peter","non-dropping-particle":"","parse-names":false,"suffix":""},{"dropping-particle":"","family":"Rodgers","given":"Colin","non-dropping-particle":"","parse-names":false,"suffix":""},{"dropping-particle":"","family":"Ragunath","given":"Krish","non-dropping-particle":"","parse-names":false,"suffix":""},{"dropping-particle":"","family":"MacDonald","given":"Chris","non-dropping-particle":"","parse-names":false,"suffix":""},{"dropping-particle":"","family":"Haigh","given":"Chris","non-dropping-particle":"","parse-names":false,"suffix":""},{"dropping-particle":"","family":"Monk","given":"David","non-dropping-particle":"","parse-names":false,"suffix":""},{"dropping-particle":"","family":"Davies","given":"Gareth","non-dropping-particle":"","parse-names":false,"suffix":""},{"dropping-particle":"","family":"Wajed","given":"Saj","non-dropping-particle":"","parse-names":false,"suffix":""},{"dropping-particle":"","family":"Johnston","given":"David","non-dropping-particle":"","parse-names":false,"suffix":""},{"dropping-particle":"","family":"Gibbons","given":"Michael","non-dropping-particle":"","parse-names":false,"suffix":""},{"dropping-particle":"","family":"Cullen","given":"Sue","non-dropping-particle":"","parse-names":false,"suffix":""},{"dropping-particle":"","family":"Church","given":"Nicholas","non-dropping-particle":"","parse-names":false,"suffix":""},{"dropping-particle":"","family":"Langley","given":"Ruth","non-dropping-particle":"","parse-names":false,"suffix":""},{"dropping-particle":"","family":"Griffin","given":"Michael","non-dropping-particle":"","parse-names":false,"suffix":""},{"dropping-particle":"","family":"Alderson","given":"Derek","non-dropping-particle":"","parse-names":false,"suffix":""},{"dropping-particle":"","family":"Deloukas","given":"Panos","non-dropping-particle":"","parse-names":false,"suffix":""},{"dropping-particle":"","family":"Hunt","given":"Sarah E","non-dropping-particle":"","parse-names":false,"suffix":""},{"dropping-particle":"","family":"Gray","given":"Emma","non-dropping-particle":"","parse-names":false,"suffix":""},{"dropping-particle":"","family":"Dronov","given":"Serge","non-dropping-particle":"","parse-names":false,"suffix":""},{"dropping-particle":"","family":"Potter","given":"Simon C","non-dropping-particle":"","parse-names":false,"suffix":""},{"dropping-particle":"","family":"Tashakkori-Ghanbaria","given":"Avazeh","non-dropping-particle":"","parse-names":false,"suffix":""},{"dropping-particle":"","family":"Anderson","given":"Mark","non-dropping-particle":"","parse-names":false,"suffix":""},{"dropping-particle":"","family":"Brooks","given":"Claire","non-dropping-particle":"","parse-names":false,"suffix":""},{"dropping-particle":"","family":"Blackwell","given":"Jenefer M","non-dropping-particle":"","parse-names":false,"suffix":""},{"dropping-particle":"","family":"Bramon","given":"Elvira","non-dropping-particle":"","parse-names":false,"suffix":""},{"dropping-particle":"","family":"Brown","given":"Matthew A","non-dropping-particle":"","parse-names":false,"suffix":""},{"dropping-particle":"","family":"Casas","given":"Juan P","non-dropping-particle":"","parse-names":false,"suffix":""},{"dropping-particle":"","family":"Corvin","given":"Aiden","non-dropping-particle":"","parse-names":false,"suffix":""},{"dropping-particle":"","family":"Duncanson","given":"Audrey","non-dropping-particle":"","parse-names":false,"suffix":""},{"dropping-particle":"","family":"Markus","given":"Hugh S","non-dropping-particle":"","parse-names":false,"suffix":""},{"dropping-particle":"","family":"Mathew","given":"Christopher G","non-dropping-particle":"","parse-names":false,"suffix":""},{"dropping-particle":"","family":"Palmer","given":"Colin N A","non-dropping-particle":"","parse-names":false,"suffix":""},{"dropping-particle":"","family":"Plomin","given":"Robert","non-dropping-particle":"","parse-names":false,"suffix":""},{"dropping-particle":"","family":"Rautanen","given":"Anna","non-dropping-particle":"","parse-names":false,"suffix":""},{"dropping-particle":"","family":"Sawcer","given":"Stephen J","non-dropping-particle":"","parse-names":false,"suffix":""},{"dropping-particle":"","family":"Trembath","given":"Richard C","non-dropping-particle":"","parse-names":false,"suffix":""},{"dropping-particle":"","family":"Viswanathan","given":"Ananth C","non-dropping-particle":"","parse-names":false,"suffix":""},{"dropping-particle":"","family":"Wood","given":"Nicholas","non-dropping-particle":"","parse-names":false,"suffix":""},{"dropping-particle":"","family":"Trynka","given":"Gosia","non-dropping-particle":"","parse-names":false,"suffix":""},{"dropping-particle":"","family":"Wijmenga","given":"Cisca","non-dropping-particle":"","parse-names":false,"suffix":""},{"dropping-particle":"","family":"Cazier","given":"Jean-Baptiste","non-dropping-particle":"","parse-names":false,"suffix":""},{"dropping-particle":"","family":"Atherfold","given":"Paul","non-dropping-particle":"","parse-names":false,"suffix":""},{"dropping-particle":"","family":"Nicholson","given":"Anna M","non-dropping-particle":"","parse-names":false,"suffix":""},{"dropping-particle":"","family":"Gellatly","given":"Nichola L","non-dropping-particle":"","parse-names":false,"suffix":""},{"dropping-particle":"","family":"Glancy","given":"Deborah","non-dropping-particle":"","parse-names":false,"suffix":""},{"dropping-particle":"","family":"Cooper","given":"Sheldon C","non-dropping-particle":"","parse-names":false,"suffix":""},{"dropping-particle":"","family":"Cunningham","given":"David","non-dropping-particle":"","parse-names":false,"suffix":""},{"dropping-particle":"","family":"Lind","given":"Tore","non-dropping-particle":"","parse-names":false,"suffix":""},{"dropping-particle":"","family":"Hapeshi","given":"Julie","non-dropping-particle":"","parse-names":false,"suffix":""},{"dropping-particle":"","family":"Ferry","given":"David","non-dropping-particle":"","parse-names":false,"suffix":""},{"dropping-particle":"","family":"Rathbone","given":"Barrie","non-dropping-particle":"","parse-names":false,"suffix":""},{"dropping-particle":"","family":"Brown","given":"Julia","non-dropping-particle":"","parse-names":false,"suffix":""},{"dropping-particle":"","family":"Love","given":"Sharon","non-dropping-particle":"","parse-names":false,"suffix":""},{"dropping-particle":"","family":"Attwood","given":"Stephen","non-dropping-particle":"","parse-names":false,"suffix":""},{"dropping-particle":"","family":"MacGregor","given":"Stuart","non-dropping-particle":"","parse-names":false,"suffix":""},{"dropping-particle":"","family":"Watson","given":"Peter","non-dropping-particle":"","parse-names":false,"suffix":""},{"dropping-particle":"","family":"Sanders","given":"Scott","non-dropping-particle":"","parse-names":false,"suffix":""},{"dropping-particle":"","family":"Ek","given":"Weronica","non-dropping-particle":"","parse-names":false,"suffix":""},{"dropping-particle":"","family":"Harrison","given":"Rebecca F","non-dropping-particle":"","parse-names":false,"suffix":""},{"dropping-particle":"","family":"Moayyedi","given":"Paul","non-dropping-particle":"","parse-names":false,"suffix":""},{"dropping-particle":"","family":"Caestecker","given":"John","non-dropping-particle":"de","parse-names":false,"suffix":""},{"dropping-particle":"","family":"Barr","given":"Hugh","non-dropping-particle":"","parse-names":false,"suffix":""},{"dropping-particle":"","family":"Stupka","given":"Elia","non-dropping-particle":"","parse-names":false,"suffix":""},{"dropping-particle":"","family":"Vaughan","given":"Thomas L","non-dropping-particle":"","parse-names":false,"suffix":""},{"dropping-particle":"","family":"Peltonen","given":"Leena","non-dropping-particle":"","parse-names":false,"suffix":""},{"dropping-particle":"","family":"Spencer","given":"Chris C A","non-dropping-particle":"","parse-names":false,"suffix":""},{"dropping-particle":"","family":"Tomlinson","given":"Ian","non-dropping-particle":"","parse-names":false,"suffix":""},{"dropping-particle":"","family":"Donnelly","given":"Peter","non-dropping-particle":"","parse-names":false,"suffix":""},{"dropping-particle":"","family":"Jankowski","given":"Janusz A Z","non-dropping-particle":"","parse-names":false,"suffix":""}],"container-title":"Nature Genetics","id":"ITEM-1","issue":"10","issued":{"date-parts":[["2012"]]},"page":"1131-1136","title":"Common variants at the MHC locus and at chromosome 16q24.1 predispose to Barrett's esophagus","type":"article-journal","volume":"44"},"uris":["http://www.mendeley.com/documents/?uuid=863bfd08-b795-45d3-ac12-e6ce143b390c"]}],"mendeley":{"formattedCitation":"&lt;sup&gt;[28]&lt;/sup&gt;","plainTextFormattedCitation":"[28]","previouslyFormattedCitation":"&lt;sup&gt;[28]&lt;/sup&gt;"},"properties":{"noteIndex":0},"schema":"https://github.com/citation-style-language/schema/raw/master/csl-citation.json"}</w:instrText>
      </w:r>
      <w:r w:rsidRPr="000315B4">
        <w:rPr>
          <w:sz w:val="24"/>
          <w:szCs w:val="24"/>
        </w:rPr>
        <w:fldChar w:fldCharType="separate"/>
      </w:r>
      <w:r w:rsidR="00164BEB" w:rsidRPr="000315B4">
        <w:rPr>
          <w:noProof/>
          <w:sz w:val="24"/>
          <w:szCs w:val="24"/>
          <w:vertAlign w:val="superscript"/>
        </w:rPr>
        <w:t>[28]</w:t>
      </w:r>
      <w:r w:rsidRPr="000315B4">
        <w:rPr>
          <w:sz w:val="24"/>
          <w:szCs w:val="24"/>
        </w:rPr>
        <w:fldChar w:fldCharType="end"/>
      </w:r>
      <w:r w:rsidRPr="000315B4">
        <w:rPr>
          <w:sz w:val="24"/>
          <w:szCs w:val="24"/>
        </w:rPr>
        <w:t>, and nutrition</w:t>
      </w:r>
      <w:r w:rsidRPr="000315B4">
        <w:rPr>
          <w:sz w:val="24"/>
          <w:szCs w:val="24"/>
        </w:rPr>
        <w:fldChar w:fldCharType="begin" w:fldLock="1"/>
      </w:r>
      <w:r w:rsidR="0000179C" w:rsidRPr="000315B4">
        <w:rPr>
          <w:sz w:val="24"/>
          <w:szCs w:val="24"/>
        </w:rPr>
        <w:instrText>ADDIN CSL_CITATION {"citationItems":[{"id":"ITEM-1","itemData":{"DOI":"10.1111/j.1572-0241.2008.01838.x","ISBN":"0002-9270","ISSN":"00029270","PMID":"18494834","abstract":"OBJECTIVE The present study evaluated the associations among antioxidants, fruit and vegetable intake, and the risk of Barrett's esophagus (BE), a potential precursor to esophageal adenocarcinoma. METHODS We conducted a case-control study within the Kaiser Permanente Northern California population. Incident BE cases (N = 296) were matched to persons with gastroesophageal reflux disease (GERD) (GERD controls N = 308) and to population controls (N = 309). Nutrient intake was measured using a validated 110-item food frequency questionnaire. The antioxidant results were stratified by dietary versus total intake of antioxidants. RESULTS Comparing cases to population controls, dietary intake of vitamin C and beta-carotene were inversely associated with the risk of BE (4th vs 1st quartile, adjusted odds ratio [OR] 0.48, 95% confidence interval [CI] 0.26-0.90; OR 0.56, 95% CI 0.32-0.99, respectively), and the inverse association was strongest for vitamin E (OR 0.25, 95% CI 0.11-0.59). The inverse trends for antioxidant index (total and dietary) and fruit and vegetable intake were statistically significant, while most total intakes were not associated with reduced risk. The use of antioxidant supplements did not influence the risk of BE, and antioxidants and fruits and vegetables were inversely associated with a GERD diagnosis. CONCLUSION Dietary antioxidants, fruits, and vegetables are inversely associated with the risk of BE, while no association was observed for supplement intake. Our results suggest that fruits and vegetables themselves or associated undetected confounders may influence early events in the carcinogenesis of esophageal adenocarcinoma.","author":[{"dropping-particle":"","family":"Kubo","given":"Ai","non-dropping-particle":"","parse-names":false,"suffix":""},{"dropping-particle":"","family":"Levin","given":"Theodore R.","non-dropping-particle":"","parse-names":false,"suffix":""},{"dropping-particle":"","family":"Block","given":"Gladys","non-dropping-particle":"","parse-names":false,"suffix":""},{"dropping-particle":"","family":"Rumore","given":"Gregory J.","non-dropping-particle":"","parse-names":false,"suffix":""},{"dropping-particle":"","family":"Quesenberry","given":"Charles P.","non-dropping-particle":"","parse-names":false,"suffix":""},{"dropping-particle":"","family":"Buffler","given":"Patricia","non-dropping-particle":"","parse-names":false,"suffix":""},{"dropping-particle":"","family":"Corley","given":"Douglas A.","non-dropping-particle":"","parse-names":false,"suffix":""}],"container-title":"American Journal of Gastroenterology","id":"ITEM-1","issue":"7","issued":{"date-parts":[["2008"]]},"page":"1614-1623","title":"Dietary antioxidants, fruits, and vegetables and the risk of barrett's esophagus","type":"article-journal","volume":"103"},"uris":["http://www.mendeley.com/documents/?uuid=71a27193-c880-4580-95a2-25764bbdccbc"]},{"id":"ITEM-2","itemData":{"DOI":"10.1017/S0954422410000132","ISBN":"0954-4224","ISSN":"1475-2700","PMID":"20624335","abstract":"Incidence rates for oesophageal adenocarcinoma have increased by over 500% during the past few decades without clear reasons. Gastro-oesophageal reflux disease, obesity and smoking have been identified as risk factors, although the demographic distribution of these risk factors is not consistent with the demographic distribution of oesophageal adenocarcinoma, which is substantially more common among whites and males than any other demographic groups. Numerous epidemiological studies have suggested associations between dietary factors and the risks of oesophageal adenocarcinoma and its precursor, Barrett's oesophagus, though a comprehensive review is lacking. The main aim of the present review is to consider the evidence linking dietary factors with the risks of oesophageal adenocarcinoma, Barrett's oesophagus, and the progression from Barrett's oesophagus to oesophageal adenocarcinoma. The existing epidemiological evidence is strongest for an inverse relationship between intake of vitamin C, β-carotene, fruits and vegetables, particularly raw fruits and vegetables and dark green, leafy and cruciferous vegetables, carbohydrates, fibre and Fe and the risk of oesophageal adenocarcinoma and Barrett's oesophagus. Patients at higher risk for Barrett's oesophagus and oesophageal adenocarcinoma may benefit from increasing their consumption of fruits and vegetables and reducing their intake of red meat and other processed food items. Further research is needed to evaluate the relationship between diet and the progression of Barrett's oesophagus to oesophageal adenocarcinoma. Evidence from cohort studies will help determine whether randomised chemoprevention trials are warranted for the primary prevention of Barrett's oesophagus or its progression to cancer.","author":[{"dropping-particle":"","family":"Kubo","given":"Ai","non-dropping-particle":"","parse-names":false,"suffix":""},{"dropping-particle":"","family":"Corley","given":"Douglas a","non-dropping-particle":"","parse-names":false,"suffix":""},{"dropping-particle":"","family":"Jensen","given":"Christopher D","non-dropping-particle":"","parse-names":false,"suffix":""},{"dropping-particle":"","family":"Kaur","given":"Rubinder","non-dropping-particle":"","parse-names":false,"suffix":""}],"container-title":"Nutrition research reviews","id":"ITEM-2","issue":"2","issued":{"date-parts":[["2010"]]},"page":"230-46","title":"Dietary factors and the risks of oesophageal adenocarcinoma and Barrett's oesophagus.","type":"article-journal","volume":"23"},"uris":["http://www.mendeley.com/documents/?uuid=fab8fb68-3390-4e3a-912c-0608b56c506a"]}],"mendeley":{"formattedCitation":"&lt;sup&gt;[29,30]&lt;/sup&gt;","plainTextFormattedCitation":"[29,30]","previouslyFormattedCitation":"&lt;sup&gt;[29,30]&lt;/sup&gt;"},"properties":{"noteIndex":0},"schema":"https://github.com/citation-style-language/schema/raw/master/csl-citation.json"}</w:instrText>
      </w:r>
      <w:r w:rsidRPr="000315B4">
        <w:rPr>
          <w:sz w:val="24"/>
          <w:szCs w:val="24"/>
        </w:rPr>
        <w:fldChar w:fldCharType="separate"/>
      </w:r>
      <w:r w:rsidR="00164BEB" w:rsidRPr="000315B4">
        <w:rPr>
          <w:noProof/>
          <w:sz w:val="24"/>
          <w:szCs w:val="24"/>
          <w:vertAlign w:val="superscript"/>
        </w:rPr>
        <w:t>[29,30]</w:t>
      </w:r>
      <w:r w:rsidRPr="000315B4">
        <w:rPr>
          <w:sz w:val="24"/>
          <w:szCs w:val="24"/>
        </w:rPr>
        <w:fldChar w:fldCharType="end"/>
      </w:r>
      <w:r w:rsidR="00C53983" w:rsidRPr="000315B4">
        <w:rPr>
          <w:sz w:val="24"/>
          <w:szCs w:val="24"/>
        </w:rPr>
        <w:t xml:space="preserve"> to BE and </w:t>
      </w:r>
      <w:r w:rsidR="00926B40" w:rsidRPr="000315B4">
        <w:rPr>
          <w:sz w:val="24"/>
          <w:szCs w:val="24"/>
        </w:rPr>
        <w:t>dysplasia/</w:t>
      </w:r>
      <w:r w:rsidR="00C53983" w:rsidRPr="000315B4">
        <w:rPr>
          <w:sz w:val="24"/>
          <w:szCs w:val="24"/>
        </w:rPr>
        <w:t>EAC</w:t>
      </w:r>
      <w:r w:rsidRPr="000315B4">
        <w:rPr>
          <w:sz w:val="24"/>
          <w:szCs w:val="24"/>
        </w:rPr>
        <w:t xml:space="preserve">. Most of these factors are </w:t>
      </w:r>
      <w:r w:rsidR="008D11B1" w:rsidRPr="000315B4">
        <w:rPr>
          <w:sz w:val="24"/>
          <w:szCs w:val="24"/>
        </w:rPr>
        <w:t>also associated with</w:t>
      </w:r>
      <w:r w:rsidR="00B24EFA" w:rsidRPr="000315B4">
        <w:rPr>
          <w:sz w:val="24"/>
          <w:szCs w:val="24"/>
        </w:rPr>
        <w:t xml:space="preserve"> other</w:t>
      </w:r>
      <w:r w:rsidRPr="000315B4">
        <w:rPr>
          <w:sz w:val="24"/>
          <w:szCs w:val="24"/>
        </w:rPr>
        <w:t xml:space="preserve"> non-BE</w:t>
      </w:r>
      <w:r w:rsidR="00575760" w:rsidRPr="000315B4">
        <w:rPr>
          <w:sz w:val="24"/>
          <w:szCs w:val="24"/>
        </w:rPr>
        <w:t xml:space="preserve"> malignan</w:t>
      </w:r>
      <w:r w:rsidR="00B24EFA" w:rsidRPr="000315B4">
        <w:rPr>
          <w:sz w:val="24"/>
          <w:szCs w:val="24"/>
        </w:rPr>
        <w:t>cies</w:t>
      </w:r>
      <w:r w:rsidRPr="000315B4">
        <w:rPr>
          <w:sz w:val="24"/>
          <w:szCs w:val="24"/>
        </w:rPr>
        <w:fldChar w:fldCharType="begin" w:fldLock="1"/>
      </w:r>
      <w:r w:rsidR="0000179C" w:rsidRPr="000315B4">
        <w:rPr>
          <w:sz w:val="24"/>
          <w:szCs w:val="24"/>
        </w:rPr>
        <w:instrText>ADDIN CSL_CITATION {"citationItems":[{"id":"ITEM-1","itemData":{"DOI":"10.1016/S0140-6736(05)67725-2","ISBN":"1474-547X (Electronic) LA - eng PT - Journal Article","PMID":"16298215","abstract":"INTRODUCTION: With respect to reducing mortality, advances in cancer treatment have not been as effective as those for other chronic diseases; effective screening methods are available for only a few cancers. Primary prevention through lifestyle and environmental interventions remains the main way to reduce the burden of cancers. In this report, we estimate mortality from 12 types of cancer attributable to nine risk factors in seven World Bank regions for 2001. METHODS: We analysed data from the Comparative Risk Assessment project and from new sources to assess exposure to risk factors and relative risk by age, sex, and region. We applied population attributable fractions for individual and multiple risk factors to site-specific cancer mortality from WHO. FINDINGS: Of the 7 million deaths from cancer worldwide in 2001, an estimated 2.43 million (35%) were attributable to nine potentially modifiable risk factors. Of these, 0.76 million deaths were in high-income countries and 1.67 million in low-and-middle-income nations. Among low-and-middle-income regions, Europe and Central Asia had the highest proportion (39%) of deaths from cancer attributable to the risk factors studied. 1.6 million of the deaths attributable to these risk factors were in men and 0.83 million in women. Smoking, alcohol use, and low fruit and vegetable intake were the leading risk factors for death from cancer worldwide and in low-and-middle-income countries. In high-income countries, smoking, alcohol use, and overweight and obesity were the most important causes of cancer. Sexual transmission of human papilloma virus is a leading risk factor for cervical cancer in women in low-and-middle-income countries. INTERPRETATION: Reduction of exposure to key behavioural and environmental risk factors would prevent a substantial proportion of deaths from cancer","author":[{"dropping-particle":"","family":"Danaei","given":"G","non-dropping-particle":"","parse-names":false,"suffix":""},{"dropping-particle":"","family":"Vander","given":"Hoorn S","non-dropping-particle":"","parse-names":false,"suffix":""},{"dropping-particle":"","family":"Lopez","given":"A D","non-dropping-particle":"","parse-names":false,"suffix":""},{"dropping-particle":"","family":"Murray","given":"C J","non-dropping-particle":"","parse-names":false,"suffix":""},{"dropping-particle":"","family":"Ezzati","given":"M","non-dropping-particle":"","parse-names":false,"suffix":""}],"container-title":"Lancet","id":"ITEM-1","issue":"1474-547X (Electronic)","issued":{"date-parts":[["2005"]]},"page":"1784-1793","title":"Causes of cancer in the world: comparative risk assessment of nine behavioural and environmental risk factors","type":"article-journal","volume":"366"},"uris":["http://www.mendeley.com/documents/?uuid=29cb6a52-88ff-4fbd-b160-fb29a19d9baa"]}],"mendeley":{"formattedCitation":"&lt;sup&gt;[31]&lt;/sup&gt;","plainTextFormattedCitation":"[31]","previouslyFormattedCitation":"&lt;sup&gt;[31]&lt;/sup&gt;"},"properties":{"noteIndex":0},"schema":"https://github.com/citation-style-language/schema/raw/master/csl-citation.json"}</w:instrText>
      </w:r>
      <w:r w:rsidRPr="000315B4">
        <w:rPr>
          <w:sz w:val="24"/>
          <w:szCs w:val="24"/>
        </w:rPr>
        <w:fldChar w:fldCharType="separate"/>
      </w:r>
      <w:r w:rsidR="00164BEB" w:rsidRPr="000315B4">
        <w:rPr>
          <w:noProof/>
          <w:sz w:val="24"/>
          <w:szCs w:val="24"/>
          <w:vertAlign w:val="superscript"/>
        </w:rPr>
        <w:t>[31]</w:t>
      </w:r>
      <w:r w:rsidRPr="000315B4">
        <w:rPr>
          <w:sz w:val="24"/>
          <w:szCs w:val="24"/>
        </w:rPr>
        <w:fldChar w:fldCharType="end"/>
      </w:r>
      <w:r w:rsidRPr="000315B4">
        <w:rPr>
          <w:sz w:val="24"/>
          <w:szCs w:val="24"/>
        </w:rPr>
        <w:t xml:space="preserve">. </w:t>
      </w:r>
    </w:p>
    <w:p w14:paraId="0181AE2D" w14:textId="5210A671" w:rsidR="00540CB2" w:rsidRPr="000315B4" w:rsidRDefault="00A20886" w:rsidP="00903391">
      <w:pPr>
        <w:widowControl w:val="0"/>
        <w:adjustRightInd w:val="0"/>
        <w:snapToGrid w:val="0"/>
        <w:spacing w:line="360" w:lineRule="auto"/>
        <w:ind w:firstLineChars="100" w:firstLine="240"/>
        <w:jc w:val="both"/>
        <w:rPr>
          <w:sz w:val="24"/>
          <w:szCs w:val="24"/>
        </w:rPr>
      </w:pPr>
      <w:r w:rsidRPr="000315B4">
        <w:rPr>
          <w:sz w:val="24"/>
          <w:szCs w:val="24"/>
        </w:rPr>
        <w:t xml:space="preserve">The </w:t>
      </w:r>
      <w:r w:rsidR="00102645" w:rsidRPr="000315B4">
        <w:rPr>
          <w:sz w:val="24"/>
          <w:szCs w:val="24"/>
        </w:rPr>
        <w:t xml:space="preserve">molecular </w:t>
      </w:r>
      <w:r w:rsidRPr="000315B4">
        <w:rPr>
          <w:sz w:val="24"/>
          <w:szCs w:val="24"/>
        </w:rPr>
        <w:t xml:space="preserve">basis of BE and EAC </w:t>
      </w:r>
      <w:r w:rsidR="004C4B68" w:rsidRPr="000315B4">
        <w:rPr>
          <w:sz w:val="24"/>
          <w:szCs w:val="24"/>
        </w:rPr>
        <w:t xml:space="preserve">has been </w:t>
      </w:r>
      <w:r w:rsidRPr="000315B4">
        <w:rPr>
          <w:sz w:val="24"/>
          <w:szCs w:val="24"/>
        </w:rPr>
        <w:t>studied avidly</w:t>
      </w:r>
      <w:r w:rsidR="001667F2" w:rsidRPr="000315B4">
        <w:rPr>
          <w:sz w:val="24"/>
          <w:szCs w:val="24"/>
        </w:rPr>
        <w:t xml:space="preserve">, P53 </w:t>
      </w:r>
      <w:r w:rsidR="003B26D7" w:rsidRPr="000315B4">
        <w:rPr>
          <w:sz w:val="24"/>
          <w:szCs w:val="24"/>
        </w:rPr>
        <w:t>and SMAD4</w:t>
      </w:r>
      <w:r w:rsidR="00FD3A82" w:rsidRPr="000315B4">
        <w:rPr>
          <w:sz w:val="24"/>
          <w:szCs w:val="24"/>
        </w:rPr>
        <w:t xml:space="preserve"> </w:t>
      </w:r>
      <w:r w:rsidR="0031148D" w:rsidRPr="000315B4">
        <w:rPr>
          <w:sz w:val="24"/>
          <w:szCs w:val="24"/>
        </w:rPr>
        <w:t xml:space="preserve">somatic </w:t>
      </w:r>
      <w:r w:rsidR="006A59FC" w:rsidRPr="000315B4">
        <w:rPr>
          <w:sz w:val="24"/>
          <w:szCs w:val="24"/>
        </w:rPr>
        <w:lastRenderedPageBreak/>
        <w:t xml:space="preserve">mutations </w:t>
      </w:r>
      <w:r w:rsidR="001667F2" w:rsidRPr="000315B4">
        <w:rPr>
          <w:sz w:val="24"/>
          <w:szCs w:val="24"/>
        </w:rPr>
        <w:t xml:space="preserve">play </w:t>
      </w:r>
      <w:r w:rsidR="001D3556" w:rsidRPr="000315B4">
        <w:rPr>
          <w:sz w:val="24"/>
          <w:szCs w:val="24"/>
        </w:rPr>
        <w:t xml:space="preserve">a </w:t>
      </w:r>
      <w:r w:rsidR="001667F2" w:rsidRPr="000315B4">
        <w:rPr>
          <w:sz w:val="24"/>
          <w:szCs w:val="24"/>
        </w:rPr>
        <w:t xml:space="preserve">role in dysplastic BE </w:t>
      </w:r>
      <w:r w:rsidR="00FF6D8E" w:rsidRPr="000315B4">
        <w:rPr>
          <w:sz w:val="24"/>
          <w:szCs w:val="24"/>
        </w:rPr>
        <w:t xml:space="preserve">and EAC </w:t>
      </w:r>
      <w:r w:rsidR="00DE650B" w:rsidRPr="000315B4">
        <w:rPr>
          <w:sz w:val="24"/>
          <w:szCs w:val="24"/>
        </w:rPr>
        <w:t>development</w:t>
      </w:r>
      <w:r w:rsidR="001667F2" w:rsidRPr="000315B4">
        <w:rPr>
          <w:sz w:val="24"/>
          <w:szCs w:val="24"/>
        </w:rPr>
        <w:fldChar w:fldCharType="begin" w:fldLock="1"/>
      </w:r>
      <w:r w:rsidR="0000179C" w:rsidRPr="000315B4">
        <w:rPr>
          <w:sz w:val="24"/>
          <w:szCs w:val="24"/>
        </w:rPr>
        <w:instrText>ADDIN CSL_CITATION {"citationItems":[{"id":"ITEM-1","itemData":{"DOI":"10.1136/gut.2004.041525","ISSN":"0017-5749","PMID":"15711008","abstract":"Barrett's oesophagus is a premalignant condition that predisposes to the development of oesophageal adenocarcinoma. It is detected on endoscopy and confirmed histologically by the presence in the lower oesophagus of a metaplastic mucosa, the so-called specialised epithelium, which resembles incomplete intestinal metaplasia in the stomach. These similarities with incomplete intestinal metaplasia are present on histology, mucin histochemistry, and immunohistochemistry with various differentiation markers (cytokeratins and MUC antigens). On morphology, the carcinogenetic process of Barrett's mucosa progresses through increasing grades of epithelial dysplasia. Dysplasia, a synonym of intraepithelial neoplasia, is the only marker that can be used at the present time to delineate a population of patients at high risk of cancer. Among the numerous molecular events that have been shown to play a role in the neoplastic transformation of Barrett's mucosa, only changes in DNA ploidy, increased proliferation, and alterations of the p53 gene have been suggested to be of potential help in the surveillance of patients.","author":[{"dropping-particle":"","family":"Flejou","given":"J-F","non-dropping-particle":"","parse-names":false,"suffix":""}],"container-title":"Gut","id":"ITEM-1","issue":"suppl_1","issued":{"date-parts":[["2005"]]},"page":"i6-i12","title":"Barrett's oesophagus: from metaplasia to dysplasia and cancer","type":"article-journal","volume":"54"},"uris":["http://www.mendeley.com/documents/?uuid=056a8103-f416-4e0a-8d16-c3b3909b8232"]},{"id":"ITEM-2","itemData":{"DOI":"10.1038/bjc.2016.219","ISSN":"15321827","PMID":"27441494","abstract":"Barrett's oesophagus (BE) is the premalignant condition associated with the development of oesophageal adenocarcinoma (OAC). Diagnostically, p53 immunohistochemistry remains the only biomarker recommended clinically to aid histopathological diagnosis. The emerging mutational profile of BE is one of highly heterogeneous lesions at the genomic level with many mutations already occurring in non-dysplastic tissue. As well as point mutations, larger scale copy-number changes appear to have a key role in the progression to OAC and clinically applicable assays for the reliable detection of aneuploidy will be important to incorporate into future clinical management of patients. For some patients, the transition to malignancy may occur rapidly through a genome-doubling event or chromosomal catastrophe, termed chromothripsis, and detecting these patients may prove especially difficult. Given the heterogeneous nature of this disease, sampling methods to overcome inherent bias from endoscopic biopsies coupled with the development of more objective biomarkers than the current reliance on histopathology will be required for risk stratification. The aim of this approach will be to spare low-risk patients unnecessary procedures, as well as to provide endoscopic therapy to the patients at highest risk, thereby avoiding the burden of incurable metastatic disease.","author":[{"dropping-particle":"","family":"Gregson","given":"Eleanor M.","non-dropping-particle":"","parse-names":false,"suffix":""},{"dropping-particle":"","family":"Bornschein","given":"Jan","non-dropping-particle":"","parse-names":false,"suffix":""},{"dropping-particle":"","family":"Fitzgerald","given":"Rebecca C.","non-dropping-particle":"","parse-names":false,"suffix":""}],"container-title":"British Journal of Cancer","id":"ITEM-2","issue":"4","issued":{"date-parts":[["2016"]]},"page":"403-410","publisher":"Nature Publishing Group","title":"Genetic progression of Barrett's oesophagus to oesophageal adenocarcinoma","type":"article-journal","volume":"115"},"uris":["http://www.mendeley.com/documents/?uuid=725fb32a-da25-455c-81dd-1200641f5629"]},{"id":"ITEM-3","itemData":{"DOI":"10.1038/ng.3013","ISBN":"1546-1718 (Electronic)\\r1061-4036 (Linking)","ISSN":"15461718","PMID":"24952744","abstract":"Cancer genome sequencing studies have identified numerous driver genes, but the relative timing of mutations in carcinogenesis remains unclear. The gradual progression from premalignant Barrett's esophagus to esophageal adenocarcinoma (EAC) provides an ideal model to study the ordering of somatic mutations. We identified recurrently mutated genes and assessed clonal structure using whole-genome sequencing and amplicon resequencing of 112 EACs. We next screened a cohort of 109 biopsies from 2 key transition points in the development of malignancy: benign metaplastic never-dysplastic Barrett's esophagus (NDBE; n=66) and high-grade dysplasia (HGD; n=43). Unexpectedly, the majority of recurrently mutated genes in EAC were also mutated in NDBE. Only TP53 and SMAD4 mutations occurred in a stage-specific manner, confined to HGD and EAC, respectively. Finally, we applied this knowledge to identify high-risk Barrett's esophagus in a new non-endoscopic test. In conclusion, mutations in EAC driver genes generally occur exceptionally early in disease development with profound implications for diagnostic and therapeutic strategies.","author":[{"dropping-particle":"","family":"Weaver","given":"Jamie M.J.","non-dropping-particle":"","parse-names":false,"suffix":""},{"dropping-particle":"","family":"Ross-Innes","given":"Caryn S.","non-dropping-particle":"","parse-names":false,"suffix":""},{"dropping-particle":"","family":"Shannon","given":"Nicholas","non-dropping-particle":"","parse-names":false,"suffix":""},{"dropping-particle":"","family":"Lynch","given":"Andy G.","non-dropping-particle":"","parse-names":false,"suffix":""},{"dropping-particle":"","family":"Forshew","given":"Tim","non-dropping-particle":"","parse-names":false,"suffix":""},{"dropping-particle":"","family":"Barbera","given":"Mariagnese","non-dropping-particle":"","parse-names":false,"suffix":""},{"dropping-particle":"","family":"Murtaza","given":"Muhammed","non-dropping-particle":"","parse-names":false,"suffix":""},{"dropping-particle":"","family":"Ong","given":"Chin Ann J.","non-dropping-particle":"","parse-names":false,"suffix":""},{"dropping-particle":"","family":"Lao-Sirieix","given":"Pierre","non-dropping-particle":"","parse-names":false,"suffix":""},{"dropping-particle":"","family":"Dunning","given":"Mark J.","non-dropping-particle":"","parse-names":false,"suffix":""},{"dropping-particle":"","family":"Smith","given":"Laura","non-dropping-particle":"","parse-names":false,"suffix":""},{"dropping-particle":"","family":"Smith","given":"Mike L.","non-dropping-particle":"","parse-names":false,"suffix":""},{"dropping-particle":"","family":"Anderson","given":"Charlotte L.","non-dropping-particle":"","parse-names":false,"suffix":""},{"dropping-particle":"","family":"Carvalho","given":"Benilton","non-dropping-particle":"","parse-names":false,"suffix":""},{"dropping-particle":"","family":"O'donovan","given":"Maria","non-dropping-particle":"","parse-names":false,"suffix":""},{"dropping-particle":"","family":"Underwood","given":"Timothy J.","non-dropping-particle":"","parse-names":false,"suffix":""},{"dropping-particle":"","family":"May","given":"Andrew P.","non-dropping-particle":"","parse-names":false,"suffix":""},{"dropping-particle":"","family":"Grehan","given":"Nicola","non-dropping-particle":"","parse-names":false,"suffix":""},{"dropping-particle":"","family":"Hardwick","given":"Richard","non-dropping-particle":"","parse-names":false,"suffix":""},{"dropping-particle":"","family":"Davies","given":"Jim","non-dropping-particle":"","parse-names":false,"suffix":""},{"dropping-particle":"","family":"Oloumi","given":"Arusha","non-dropping-particle":"","parse-names":false,"suffix":""},{"dropping-particle":"","family":"Aparicio","given":"Sam","non-dropping-particle":"","parse-names":false,"suffix":""},{"dropping-particle":"","family":"Caldas","given":"Carlos","non-dropping-particle":"","parse-names":false,"suffix":""},{"dropping-particle":"","family":"Eldridge","given":"Matthew D.","non-dropping-particle":"","parse-names":false,"suffix":""},{"dropping-particle":"","family":"Edwards","given":"Paul A.W.","non-dropping-particle":"","parse-names":false,"suffix":""},{"dropping-particle":"","family":"Rosenfeld","given":"Nitzan","non-dropping-particle":"","parse-names":false,"suffix":""},{"dropping-particle":"","family":"Tavaré","given":"Simon","non-dropping-particle":"","parse-names":false,"suffix":""},{"dropping-particle":"","family":"Fitzgerald","given":"Rebecca C.","non-dropping-particle":"","parse-names":false,"suffix":""},{"dropping-particle":"","family":"Hayes","given":"Stephen J.","non-dropping-particle":"","parse-names":false,"suffix":""},{"dropping-particle":"","family":"Yeng","given":"Ang","non-dropping-particle":"","parse-names":false,"suffix":""},{"dropping-particle":"","family":"Lydon","given":"Anne Marie","non-dropping-particle":"","parse-names":false,"suffix":""},{"dropping-particle":"","family":"Dharmaprasad","given":"Soney","non-dropping-particle":"","parse-names":false,"suffix":""},{"dropping-particle":"","family":"Greer","given":"Sandra","non-dropping-particle":"","parse-names":false,"suffix":""},{"dropping-particle":"","family":"Preston","given":"Shaun","non-dropping-particle":"","parse-names":false,"suffix":""},{"dropping-particle":"","family":"Oakes","given":"Sarah","non-dropping-particle":"","parse-names":false,"suffix":""},{"dropping-particle":"","family":"Save","given":"Vicki","non-dropping-particle":"","parse-names":false,"suffix":""},{"dropping-particle":"","family":"Paterson-Brown","given":"Simon","non-dropping-particle":"","parse-names":false,"suffix":""},{"dropping-particle":"","family":"Tucker","given":"Olga","non-dropping-particle":"","parse-names":false,"suffix":""},{"dropping-particle":"","family":"Alderson","given":"Derek","non-dropping-particle":"","parse-names":false,"suffix":""},{"dropping-particle":"","family":"Taniere","given":"Philippe","non-dropping-particle":"","parse-names":false,"suffix":""},{"dropping-particle":"","family":"Kelly","given":"Jamie","non-dropping-particle":"","parse-names":false,"suffix":""},{"dropping-particle":"","family":"Byrne","given":"James","non-dropping-particle":"","parse-names":false,"suffix":""},{"dropping-particle":"","family":"Sharland","given":"Donna","non-dropping-particle":"","parse-names":false,"suffix":""},{"dropping-particle":"","family":"Holling","given":"Nina","non-dropping-particle":"","parse-names":false,"suffix":""},{"dropping-particle":"","family":"Boulter","given":"Lisa","non-dropping-particle":"","parse-names":false,"suffix":""},{"dropping-particle":"","family":"Noble","given":"Fergus","non-dropping-particle":"","parse-names":false,"suffix":""},{"dropping-particle":"","family":"Stacey","given":"Bernard","non-dropping-particle":"","parse-names":false,"suffix":""},{"dropping-particle":"","family":"Crichton","given":"Charles","non-dropping-particle":"","parse-names":false,"suffix":""},{"dropping-particle":"","family":"Barr","given":"Hugh","non-dropping-particle":"","parse-names":false,"suffix":""},{"dropping-particle":"","family":"Shepherd","given":"Neil","non-dropping-particle":"","parse-names":false,"suffix":""},{"dropping-particle":"","family":"Almond","given":"L. Max","non-dropping-particle":"","parse-names":false,"suffix":""},{"dropping-particle":"","family":"Old","given":"Oliver","non-dropping-particle":"","parse-names":false,"suffix":""},{"dropping-particle":"","family":"Lagergren","given":"Jesper","non-dropping-particle":"","parse-names":false,"suffix":""},{"dropping-particle":"","family":"Gossage","given":"James","non-dropping-particle":"","parse-names":false,"suffix":""},{"dropping-particle":"","family":"Davies","given":"Andrew","non-dropping-particle":"","parse-names":false,"suffix":""},{"dropping-particle":"","family":"Mason","given":"Robert","non-dropping-particle":"","parse-names":false,"suffix":""},{"dropping-particle":"","family":"Chang","given":"Fuju","non-dropping-particle":"","parse-names":false,"suffix":""},{"dropping-particle":"","family":"Zylstra","given":"Janine","non-dropping-particle":"","parse-names":false,"suffix":""},{"dropping-particle":"","family":"Sanders","given":"Grant","non-dropping-particle":"","parse-names":false,"suffix":""},{"dropping-particle":"","family":"Wheatley","given":"Tim","non-dropping-particle":"","parse-names":false,"suffix":""},{"dropping-particle":"","family":"Berrisford","given":"Richard","non-dropping-particle":"","parse-names":false,"suffix":""},{"dropping-particle":"","family":"Bracey","given":"Tim","non-dropping-particle":"","parse-names":false,"suffix":""},{"dropping-particle":"","family":"Harden","given":"Catherine","non-dropping-particle":"","parse-names":false,"suffix":""},{"dropping-particle":"","family":"Bunting","given":"David","non-dropping-particle":"","parse-names":false,"suffix":""},{"dropping-particle":"","family":"Roques","given":"Tom","non-dropping-particle":"","parse-names":false,"suffix":""},{"dropping-particle":"","family":"Nobes","given":"Jenny","non-dropping-particle":"","parse-names":false,"suffix":""},{"dropping-particle":"","family":"Loo","given":"Suat","non-dropping-particle":"","parse-names":false,"suffix":""},{"dropping-particle":"","family":"Lewis","given":"Mike","non-dropping-particle":"","parse-names":false,"suffix":""},{"dropping-particle":"","family":"Cheong","given":"Ed","non-dropping-particle":"","parse-names":false,"suffix":""},{"dropping-particle":"","family":"Priest","given":"Oliver","non-dropping-particle":"","parse-names":false,"suffix":""},{"dropping-particle":"","family":"Parsons","given":"Simon L.","non-dropping-particle":"","parse-names":false,"suffix":""},{"dropping-particle":"","family":"Soomro","given":"Irshad","non-dropping-particle":"","parse-names":false,"suffix":""},{"dropping-particle":"","family":"Kaye","given":"Philip","non-dropping-particle":"","parse-names":false,"suffix":""},{"dropping-particle":"","family":"Saunders","given":"John","non-dropping-particle":"","parse-names":false,"suffix":""},{"dropping-particle":"","family":"Pang","given":"Vincent","non-dropping-particle":"","parse-names":false,"suffix":""},{"dropping-particle":"","family":"Welch","given":"Neil T.","non-dropping-particle":"","parse-names":false,"suffix":""},{"dropping-particle":"","family":"Catton","given":"James A.","non-dropping-particle":"","parse-names":false,"suffix":""},{"dropping-particle":"","family":"Duffy","given":"John P.","non-dropping-particle":"","parse-names":false,"suffix":""},{"dropping-particle":"","family":"Ragunath","given":"Krish","non-dropping-particle":"","parse-names":false,"suffix":""},{"dropping-particle":"","family":"Lovat","given":"Laurence","non-dropping-particle":"","parse-names":false,"suffix":""},{"dropping-particle":"","family":"Haidry","given":"Rehan","non-dropping-particle":"","parse-names":false,"suffix":""},{"dropping-particle":"","family":"Miah","given":"Haroon","non-dropping-particle":"","parse-names":false,"suffix":""},{"dropping-particle":"","family":"Kerr","given":"Sarah","non-dropping-particle":"","parse-names":false,"suffix":""},{"dropping-particle":"","family":"Eneh","given":"Victor","non-dropping-particle":"","parse-names":false,"suffix":""},{"dropping-particle":"","family":"Butawan","given":"Rommel","non-dropping-particle":"","parse-names":false,"suffix":""},{"dropping-particle":"","family":"Igali","given":"Laszlo","non-dropping-particle":"","parse-names":false,"suffix":""},{"dropping-particle":"","family":"Ford","given":"Hugo","non-dropping-particle":"","parse-names":false,"suffix":""},{"dropping-particle":"","family":"Gilligan","given":"David","non-dropping-particle":"","parse-names":false,"suffix":""},{"dropping-particle":"","family":"Safranek","given":"Peter","non-dropping-particle":"","parse-names":false,"suffix":""},{"dropping-particle":"","family":"Hindmarsh","given":"Andy","non-dropping-particle":"","parse-names":false,"suffix":""},{"dropping-particle":"","family":"Sudjendran","given":"Vijayendran","non-dropping-particle":"","parse-names":false,"suffix":""},{"dropping-particle":"","family":"Metz","given":"Andy","non-dropping-particle":"","parse-names":false,"suffix":""},{"dropping-particle":"","family":"Carroll","given":"Nick","non-dropping-particle":"","parse-names":false,"suffix":""},{"dropping-particle":"","family":"Scott","given":"Michael","non-dropping-particle":"","parse-names":false,"suffix":""},{"dropping-particle":"","family":"Cluroe","given":"Alison","non-dropping-particle":"","parse-names":false,"suffix":""},{"dropping-particle":"","family":"Miremadi","given":"Ahmad","non-dropping-particle":"","parse-names":false,"suffix":""},{"dropping-particle":"","family":"Mahler-Araujo","given":"Betania","non-dropping-particle":"","parse-names":false,"suffix":""},{"dropping-particle":"","family":"Knight","given":"Olga","non-dropping-particle":"","parse-names":false,"suffix":""},{"dropping-particle":"","family":"Nutzinger","given":"Barbara","non-dropping-particle":"","parse-names":false,"suffix":""},{"dropping-particle":"","family":"Peters","given":"Chris","non-dropping-particle":"","parse-names":false,"suffix":""},{"dropping-particle":"","family":"Abdullahi","given":"Zarah","non-dropping-particle":"","parse-names":false,"suffix":""},{"dropping-particle":"","family":"Debriram-Beecham","given":"Irene","non-dropping-particle":"","parse-names":false,"suffix":""},{"dropping-particle":"","family":"Malhotra","given":"Shalini","non-dropping-particle":"","parse-names":false,"suffix":""},{"dropping-particle":"","family":"Crawte","given":"Jason","non-dropping-particle":"","parse-names":false,"suffix":""},{"dropping-particle":"","family":"MacRae","given":"Shona","non-dropping-particle":"","parse-names":false,"suffix":""},{"dropping-particle":"","family":"Noorani","given":"Ayesha","non-dropping-particle":"","parse-names":false,"suffix":""},{"dropping-particle":"","family":"Elliott","given":"Rachael Fels","non-dropping-particle":"","parse-names":false,"suffix":""},{"dropping-particle":"","family":"Li","given":"Xiaodun","non-dropping-particle":"","parse-names":false,"suffix":""},{"dropping-particle":"","family":"Bower","given":"Lawrence","non-dropping-particle":"","parse-names":false,"suffix":""},{"dropping-particle":"","family":"Achilleos","given":"Achilleas","non-dropping-particle":"","parse-names":false,"suffix":""},{"dropping-particle":"","family":"Bornschein","given":"Jan","non-dropping-particle":"","parse-names":false,"suffix":""},{"dropping-particle":"","family":"Zeki","given":"Sebastian","non-dropping-particle":"","parse-names":false,"suffix":""},{"dropping-particle":"","family":"Chettouh","given":"Hamza","non-dropping-particle":"","parse-names":false,"suffix":""},{"dropping-particle":"","family":"Secrier","given":"Maria","non-dropping-particle":"","parse-names":false,"suffix":""},{"dropping-particle":"","family":"Silva","given":"Nadeera","non-dropping-particle":"De","parse-names":false,"suffix":""},{"dropping-particle":"","family":"Gregson","given":"Eleanor","non-dropping-particle":"","parse-names":false,"suffix":""},{"dropping-particle":"","family":"Yang","given":"Tsun Po","non-dropping-particle":"","parse-names":false,"suffix":""},{"dropping-particle":"","family":"O'Neil","given":"J. Robert","non-dropping-particle":"","parse-names":false,"suffix":""}],"container-title":"Nature Genetics","id":"ITEM-3","issue":"8","issued":{"date-parts":[["2014"]]},"page":"837-843","publisher":"Nature Publishing Group","title":"Ordering of mutations in preinvasive disease stages of esophageal carcinogenesis","type":"article-journal","volume":"46"},"uris":["http://www.mendeley.com/documents/?uuid=f2ba829e-21de-4c13-8a1f-8840fcc17bc3"]},{"id":"ITEM-4","itemData":{"DOI":"10.1038/ng.2591","ISBN":"1546-1718 (Electronic)\\r1061-4036 (Linking)","ISSN":"10614036","PMID":"23525077","abstract":"The incidence of esophageal adenocarcinoma (EAC) has risen 600% over the last 30 years. With a 5-year survival rate of ~15%, the identification of new therapeutic targets for EAC is greatly important. We analyze the mutation spectra from whole-exome sequencing of 149 EAC tumor-normal pairs, 15 of which have also been subjected to whole-genome sequencing. We identify a mutational signature defined by a high prevalence of A&gt;C transversions at AA dinucleotides. Statistical analysis of exome data identified 26 significantly mutated genes. Of these genes, five (TP53, CDKN2A, SMAD4, ARID1A and PIK3CA) have previously been implicated in EAC. The new significantly mutated genes include chromatin-modifying factors and candidate contributors SPG20, TLR4, ELMO1 and DOCK2. Functional analyses of EAC-derived mutations in ELMO1 identifies increased cellular invasion. Therefore, we suggest the potential activation of the RAC1 pathway as a contributor to EAC tumorigenesis.","author":[{"dropping-particle":"","family":"Dulak","given":"Austin M.","non-dropping-particle":"","parse-names":false,"suffix":""},{"dropping-particle":"","family":"Stojanov","given":"Petar","non-dropping-particle":"","parse-names":false,"suffix":""},{"dropping-particle":"","family":"Peng","given":"Shouyong","non-dropping-particle":"","parse-names":false,"suffix":""},{"dropping-particle":"","family":"Lawrence","given":"Michael S.","non-dropping-particle":"","parse-names":false,"suffix":""},{"dropping-particle":"","family":"Fox","given":"Cameron","non-dropping-particle":"","parse-names":false,"suffix":""},{"dropping-particle":"","family":"Stewart","given":"Chip","non-dropping-particle":"","parse-names":false,"suffix":""},{"dropping-particle":"","family":"Bandla","given":"Santhoshi","non-dropping-particle":"","parse-names":false,"suffix":""},{"dropping-particle":"","family":"Imamura","given":"Yu","non-dropping-particle":"","parse-names":false,"suffix":""},{"dropping-particle":"","family":"Schumacher","given":"Steven E.","non-dropping-particle":"","parse-names":false,"suffix":""},{"dropping-particle":"","family":"Shefler","given":"Erica","non-dropping-particle":"","parse-names":false,"suffix":""},{"dropping-particle":"","family":"McKenna","given":"Aaron","non-dropping-particle":"","parse-names":false,"suffix":""},{"dropping-particle":"","family":"Carter","given":"Scott L.","non-dropping-particle":"","parse-names":false,"suffix":""},{"dropping-particle":"","family":"Cibulskis","given":"Kristian","non-dropping-particle":"","parse-names":false,"suffix":""},{"dropping-particle":"","family":"Sivachenko","given":"Andrey","non-dropping-particle":"","parse-names":false,"suffix":""},{"dropping-particle":"","family":"Saksena","given":"Gordon","non-dropping-particle":"","parse-names":false,"suffix":""},{"dropping-particle":"","family":"Voet","given":"Douglas","non-dropping-particle":"","parse-names":false,"suffix":""},{"dropping-particle":"","family":"Ramos","given":"Alex H.","non-dropping-particle":"","parse-names":false,"suffix":""},{"dropping-particle":"","family":"Auclair","given":"Daniel","non-dropping-particle":"","parse-names":false,"suffix":""},{"dropping-particle":"","family":"Thompson","given":"Kristin","non-dropping-particle":"","parse-names":false,"suffix":""},{"dropping-particle":"","family":"Sougnez","given":"Carrie","non-dropping-particle":"","parse-names":false,"suffix":""},{"dropping-particle":"","family":"Onofrio","given":"Robert C.","non-dropping-particle":"","parse-names":false,"suffix":""},{"dropping-particle":"","family":"Guiducci","given":"Candace","non-dropping-particle":"","parse-names":false,"suffix":""},{"dropping-particle":"","family":"Beroukhim","given":"Rameen","non-dropping-particle":"","parse-names":false,"suffix":""},{"dropping-particle":"","family":"Zhou","given":"Zhongren","non-dropping-particle":"","parse-names":false,"suffix":""},{"dropping-particle":"","family":"Lin","given":"Lin","non-dropping-particle":"","parse-names":false,"suffix":""},{"dropping-particle":"","family":"Lin","given":"Jules","non-dropping-particle":"","parse-names":false,"suffix":""},{"dropping-particle":"","family":"Reddy","given":"Rishindra","non-dropping-particle":"","parse-names":false,"suffix":""},{"dropping-particle":"","family":"Chang","given":"Andrew","non-dropping-particle":"","parse-names":false,"suffix":""},{"dropping-particle":"","family":"Landrenau","given":"Rodney","non-dropping-particle":"","parse-names":false,"suffix":""},{"dropping-particle":"","family":"Pennathur","given":"Arjun","non-dropping-particle":"","parse-names":false,"suffix":""},{"dropping-particle":"","family":"Ogino","given":"Shuji","non-dropping-particle":"","parse-names":false,"suffix":""},{"dropping-particle":"","family":"Luketich","given":"James D.","non-dropping-particle":"","parse-names":false,"suffix":""},{"dropping-particle":"","family":"Golub","given":"Todd R.","non-dropping-particle":"","parse-names":false,"suffix":""},{"dropping-particle":"","family":"Gabriel","given":"Stacey B.","non-dropping-particle":"","parse-names":false,"suffix":""},{"dropping-particle":"","family":"Lander","given":"Eric S.","non-dropping-particle":"","parse-names":false,"suffix":""},{"dropping-particle":"","family":"Beer","given":"David G.","non-dropping-particle":"","parse-names":false,"suffix":""},{"dropping-particle":"","family":"Godfrey","given":"Tony E.","non-dropping-particle":"","parse-names":false,"suffix":""},{"dropping-particle":"","family":"Getz","given":"Gad","non-dropping-particle":"","parse-names":false,"suffix":""},{"dropping-particle":"","family":"Bass","given":"Adam J.","non-dropping-particle":"","parse-names":false,"suffix":""}],"container-title":"Nature Genetics","id":"ITEM-4","issue":"5","issued":{"date-parts":[["2013"]]},"page":"478-486","publisher":"Nature Publishing Group","title":"Exome and whole-genome sequencing of esophageal adenocarcinoma identifies recurrent driver events and mutational complexity","type":"article-journal","volume":"45"},"uris":["http://www.mendeley.com/documents/?uuid=acc91943-2fb6-41f4-8bb7-8ade6dea259c"]}],"mendeley":{"formattedCitation":"&lt;sup&gt;[32–35]&lt;/sup&gt;","plainTextFormattedCitation":"[32–35]","previouslyFormattedCitation":"&lt;sup&gt;[32–35]&lt;/sup&gt;"},"properties":{"noteIndex":0},"schema":"https://github.com/citation-style-language/schema/raw/master/csl-citation.json"}</w:instrText>
      </w:r>
      <w:r w:rsidR="001667F2" w:rsidRPr="000315B4">
        <w:rPr>
          <w:sz w:val="24"/>
          <w:szCs w:val="24"/>
        </w:rPr>
        <w:fldChar w:fldCharType="separate"/>
      </w:r>
      <w:r w:rsidR="00164BEB" w:rsidRPr="000315B4">
        <w:rPr>
          <w:noProof/>
          <w:sz w:val="24"/>
          <w:szCs w:val="24"/>
          <w:vertAlign w:val="superscript"/>
        </w:rPr>
        <w:t>[32</w:t>
      </w:r>
      <w:r w:rsidR="00013E46">
        <w:rPr>
          <w:rFonts w:hint="eastAsia"/>
          <w:noProof/>
          <w:sz w:val="24"/>
          <w:szCs w:val="24"/>
          <w:vertAlign w:val="superscript"/>
          <w:lang w:eastAsia="zh-CN"/>
        </w:rPr>
        <w:t>-</w:t>
      </w:r>
      <w:r w:rsidR="00164BEB" w:rsidRPr="000315B4">
        <w:rPr>
          <w:noProof/>
          <w:sz w:val="24"/>
          <w:szCs w:val="24"/>
          <w:vertAlign w:val="superscript"/>
        </w:rPr>
        <w:t>35]</w:t>
      </w:r>
      <w:r w:rsidR="001667F2" w:rsidRPr="000315B4">
        <w:rPr>
          <w:sz w:val="24"/>
          <w:szCs w:val="24"/>
        </w:rPr>
        <w:fldChar w:fldCharType="end"/>
      </w:r>
      <w:r w:rsidR="00903391" w:rsidRPr="000315B4">
        <w:rPr>
          <w:sz w:val="24"/>
          <w:szCs w:val="24"/>
        </w:rPr>
        <w:t xml:space="preserve">. </w:t>
      </w:r>
      <w:r w:rsidR="001667F2" w:rsidRPr="000315B4">
        <w:rPr>
          <w:sz w:val="24"/>
          <w:szCs w:val="24"/>
        </w:rPr>
        <w:t xml:space="preserve">P53 </w:t>
      </w:r>
      <w:r w:rsidR="00D35DD4" w:rsidRPr="000315B4">
        <w:rPr>
          <w:sz w:val="24"/>
          <w:szCs w:val="24"/>
        </w:rPr>
        <w:t xml:space="preserve">is </w:t>
      </w:r>
      <w:r w:rsidR="00E91F38" w:rsidRPr="000315B4">
        <w:rPr>
          <w:sz w:val="24"/>
          <w:szCs w:val="24"/>
        </w:rPr>
        <w:t xml:space="preserve">also </w:t>
      </w:r>
      <w:r w:rsidR="00D35DD4" w:rsidRPr="000315B4">
        <w:rPr>
          <w:sz w:val="24"/>
          <w:szCs w:val="24"/>
        </w:rPr>
        <w:t>a key player in many non-esophageal neoplasia, such as colorectal cancer, prostate cancer, and melanoma</w:t>
      </w:r>
      <w:r w:rsidR="00FF6D8E" w:rsidRPr="000315B4">
        <w:rPr>
          <w:sz w:val="24"/>
          <w:szCs w:val="24"/>
        </w:rPr>
        <w:fldChar w:fldCharType="begin" w:fldLock="1"/>
      </w:r>
      <w:r w:rsidR="0000179C" w:rsidRPr="000315B4">
        <w:rPr>
          <w:sz w:val="24"/>
          <w:szCs w:val="24"/>
        </w:rPr>
        <w:instrText>ADDIN CSL_CITATION {"citationItems":[{"id":"ITEM-1","itemData":{"DOI":"10.1038/nrc2584","ISBN":"1474-175X","ISSN":"1474-175X","PMID":"19165225","abstract":"The normal functioning of p53 is a potent barrier to cancer. Tumour-associated mutations in TP53, typically single nucleotide substitutions in the coding sequence, are a hallmark of most human cancers and cause dramatic defects in p53 function. By contrast, only a small fraction, if any, of the &gt;200 naturally occurring sequence variations (single nucleotide polymorphisms, SNPs) of TP53 in human populations are expected to cause measurable perturbation of p53 function. Polymorphisms in the TP53 locus that might have cancer-related phenotypical manifestations are the subject of this Review. Polymorphic variants of other genes in the p53 pathway, such as MDM2, which might have biological consequences either individually or in combination with p53 variants are also discussed.","author":[{"dropping-particle":"","family":"Whibley","given":"Catherine","non-dropping-particle":"","parse-names":false,"suffix":""},{"dropping-particle":"","family":"Pharoah","given":"Paul D. P.","non-dropping-particle":"","parse-names":false,"suffix":""},{"dropping-particle":"","family":"Hollstein","given":"Monica","non-dropping-particle":"","parse-names":false,"suffix":""}],"container-title":"Nature Reviews Cancer","id":"ITEM-1","issue":"2","issued":{"date-parts":[["2009"]]},"page":"95-107","title":"P53 Polymorphisms: Cancer Implications","type":"article-journal","volume":"9"},"uris":["http://www.mendeley.com/documents/?uuid=bac5f6be-de60-44ff-8f1b-a51b8291ea22"]}],"mendeley":{"formattedCitation":"&lt;sup&gt;[36]&lt;/sup&gt;","plainTextFormattedCitation":"[36]","previouslyFormattedCitation":"&lt;sup&gt;[36]&lt;/sup&gt;"},"properties":{"noteIndex":0},"schema":"https://github.com/citation-style-language/schema/raw/master/csl-citation.json"}</w:instrText>
      </w:r>
      <w:r w:rsidR="00FF6D8E" w:rsidRPr="000315B4">
        <w:rPr>
          <w:sz w:val="24"/>
          <w:szCs w:val="24"/>
        </w:rPr>
        <w:fldChar w:fldCharType="separate"/>
      </w:r>
      <w:r w:rsidR="00164BEB" w:rsidRPr="000315B4">
        <w:rPr>
          <w:noProof/>
          <w:sz w:val="24"/>
          <w:szCs w:val="24"/>
          <w:vertAlign w:val="superscript"/>
        </w:rPr>
        <w:t>[36]</w:t>
      </w:r>
      <w:r w:rsidR="00FF6D8E" w:rsidRPr="000315B4">
        <w:rPr>
          <w:sz w:val="24"/>
          <w:szCs w:val="24"/>
        </w:rPr>
        <w:fldChar w:fldCharType="end"/>
      </w:r>
      <w:r w:rsidR="00903391" w:rsidRPr="000315B4">
        <w:rPr>
          <w:sz w:val="24"/>
          <w:szCs w:val="24"/>
        </w:rPr>
        <w:t>.</w:t>
      </w:r>
      <w:r w:rsidR="00273AEF" w:rsidRPr="000315B4">
        <w:rPr>
          <w:sz w:val="24"/>
          <w:szCs w:val="24"/>
        </w:rPr>
        <w:t xml:space="preserve"> </w:t>
      </w:r>
      <w:r w:rsidR="00544633" w:rsidRPr="000315B4">
        <w:rPr>
          <w:sz w:val="24"/>
          <w:szCs w:val="24"/>
        </w:rPr>
        <w:t>SMAD4 somatic mutations are</w:t>
      </w:r>
      <w:r w:rsidR="0058733A" w:rsidRPr="000315B4">
        <w:rPr>
          <w:sz w:val="24"/>
          <w:szCs w:val="24"/>
        </w:rPr>
        <w:t xml:space="preserve"> </w:t>
      </w:r>
      <w:r w:rsidR="00E91F38" w:rsidRPr="000315B4">
        <w:rPr>
          <w:sz w:val="24"/>
          <w:szCs w:val="24"/>
        </w:rPr>
        <w:t>prevalent</w:t>
      </w:r>
      <w:r w:rsidR="0058733A" w:rsidRPr="000315B4">
        <w:rPr>
          <w:sz w:val="24"/>
          <w:szCs w:val="24"/>
        </w:rPr>
        <w:t xml:space="preserve"> in pancreatic cancer</w:t>
      </w:r>
      <w:r w:rsidR="00653DF3" w:rsidRPr="000315B4">
        <w:rPr>
          <w:sz w:val="24"/>
          <w:szCs w:val="24"/>
        </w:rPr>
        <w:t xml:space="preserve"> and</w:t>
      </w:r>
      <w:r w:rsidR="0058733A" w:rsidRPr="000315B4">
        <w:rPr>
          <w:sz w:val="24"/>
          <w:szCs w:val="24"/>
        </w:rPr>
        <w:t xml:space="preserve"> colorectal cancer</w:t>
      </w:r>
      <w:r w:rsidR="00C77CE8" w:rsidRPr="000315B4">
        <w:rPr>
          <w:sz w:val="24"/>
          <w:szCs w:val="24"/>
        </w:rPr>
        <w:fldChar w:fldCharType="begin" w:fldLock="1"/>
      </w:r>
      <w:r w:rsidR="0000179C" w:rsidRPr="000315B4">
        <w:rPr>
          <w:sz w:val="24"/>
          <w:szCs w:val="24"/>
        </w:rPr>
        <w:instrText>ADDIN CSL_CITATION {"citationItems":[{"id":"ITEM-1","itemData":{"DOI":"10.1007/s13277-014-2883-z","ISSN":"14230380","PMID":"25464861","abstract":"Transforming growth factor-β (TGF-β) regulates cell functions and has key roles in pancreatic cancer development. SMAD4, as one of the Smads family of signal transducer from TGF-β, mediates pancreatic cell proliferation and apoptosis and is specifically inactivated in half of advanced pancreatic cancers. In recent years, many advances concerning SMAD4 had tried to unravel the complex signaling mechanisms of TGF-β and its dual role of tumor-suppressive and tumor-promoting efforts in pancreatic cancer initiation and progression through SMAD4-dependent TGF-β signaling and SMAD4-independent TGF-β signaling pathways. Meanwhile, its potential prognostic value based on immunohistochemical expression in surgical sample was variably reported by several studies and short of a systematic analysis. This review aimed to discuss the structure, functions, and regulation of this principal protein and its effects in determining the progression and prognosis of pancreatic cancer.","author":[{"dropping-particle":"","family":"Xia","given":"Xiang","non-dropping-particle":"","parse-names":false,"suffix":""},{"dropping-particle":"","family":"Wu","given":"Weidong","non-dropping-particle":"","parse-names":false,"suffix":""},{"dropping-particle":"","family":"Huang","given":"Chen","non-dropping-particle":"","parse-names":false,"suffix":""},{"dropping-particle":"","family":"Cen","given":"Gang","non-dropping-particle":"","parse-names":false,"suffix":""},{"dropping-particle":"","family":"Jiang","given":"Tao","non-dropping-particle":"","parse-names":false,"suffix":""},{"dropping-particle":"","family":"Cao","given":"Jun","non-dropping-particle":"","parse-names":false,"suffix":""},{"dropping-particle":"","family":"Huang","given":"Kejian","non-dropping-particle":"","parse-names":false,"suffix":""},{"dropping-particle":"","family":"Qiu","given":"Zhengjun","non-dropping-particle":"","parse-names":false,"suffix":""}],"container-title":"Tumor Biology","id":"ITEM-1","issue":"1","issued":{"date-parts":[["2014"]]},"page":"111-119","title":"SMAD4 and its role in pancreatic cancer","type":"article-journal","volume":"36"},"uris":["http://www.mendeley.com/documents/?uuid=699ee8b6-0ac4-4173-8c97-8c881d6fd77e"]}],"mendeley":{"formattedCitation":"&lt;sup&gt;[37]&lt;/sup&gt;","plainTextFormattedCitation":"[37]","previouslyFormattedCitation":"&lt;sup&gt;[37]&lt;/sup&gt;"},"properties":{"noteIndex":0},"schema":"https://github.com/citation-style-language/schema/raw/master/csl-citation.json"}</w:instrText>
      </w:r>
      <w:r w:rsidR="00C77CE8" w:rsidRPr="000315B4">
        <w:rPr>
          <w:sz w:val="24"/>
          <w:szCs w:val="24"/>
        </w:rPr>
        <w:fldChar w:fldCharType="separate"/>
      </w:r>
      <w:r w:rsidR="00164BEB" w:rsidRPr="000315B4">
        <w:rPr>
          <w:noProof/>
          <w:sz w:val="24"/>
          <w:szCs w:val="24"/>
          <w:vertAlign w:val="superscript"/>
        </w:rPr>
        <w:t>[37]</w:t>
      </w:r>
      <w:r w:rsidR="00C77CE8" w:rsidRPr="000315B4">
        <w:rPr>
          <w:sz w:val="24"/>
          <w:szCs w:val="24"/>
        </w:rPr>
        <w:fldChar w:fldCharType="end"/>
      </w:r>
      <w:r w:rsidR="00273AEF" w:rsidRPr="000315B4">
        <w:rPr>
          <w:sz w:val="24"/>
          <w:szCs w:val="24"/>
        </w:rPr>
        <w:t>.</w:t>
      </w:r>
      <w:r w:rsidR="001D3556" w:rsidRPr="000315B4">
        <w:rPr>
          <w:sz w:val="24"/>
          <w:szCs w:val="24"/>
        </w:rPr>
        <w:t xml:space="preserve"> </w:t>
      </w:r>
      <w:r w:rsidR="00653DF3" w:rsidRPr="000315B4">
        <w:rPr>
          <w:sz w:val="24"/>
          <w:szCs w:val="24"/>
        </w:rPr>
        <w:t xml:space="preserve">This complex association </w:t>
      </w:r>
      <w:r w:rsidR="008E0B68" w:rsidRPr="000315B4">
        <w:rPr>
          <w:sz w:val="24"/>
          <w:szCs w:val="24"/>
        </w:rPr>
        <w:t xml:space="preserve">of </w:t>
      </w:r>
      <w:r w:rsidR="00102645" w:rsidRPr="000315B4">
        <w:rPr>
          <w:sz w:val="24"/>
          <w:szCs w:val="24"/>
        </w:rPr>
        <w:t xml:space="preserve">molecular </w:t>
      </w:r>
      <w:r w:rsidR="008E0B68" w:rsidRPr="000315B4">
        <w:rPr>
          <w:sz w:val="24"/>
          <w:szCs w:val="24"/>
        </w:rPr>
        <w:t xml:space="preserve">and environmental </w:t>
      </w:r>
      <w:r w:rsidR="00FD5062" w:rsidRPr="000315B4">
        <w:rPr>
          <w:sz w:val="24"/>
          <w:szCs w:val="24"/>
        </w:rPr>
        <w:t>factors with BE dysplasia/neoplasia</w:t>
      </w:r>
      <w:r w:rsidR="008E0B68" w:rsidRPr="000315B4">
        <w:rPr>
          <w:sz w:val="24"/>
          <w:szCs w:val="24"/>
        </w:rPr>
        <w:t xml:space="preserve"> </w:t>
      </w:r>
      <w:r w:rsidR="00102645" w:rsidRPr="000315B4">
        <w:rPr>
          <w:sz w:val="24"/>
          <w:szCs w:val="24"/>
        </w:rPr>
        <w:t xml:space="preserve">and other cancers </w:t>
      </w:r>
      <w:r w:rsidR="0031148D" w:rsidRPr="000315B4">
        <w:rPr>
          <w:sz w:val="24"/>
          <w:szCs w:val="24"/>
        </w:rPr>
        <w:t>may indicate similar cancer pathways induced by similar exposures</w:t>
      </w:r>
      <w:r w:rsidR="00D35DD4" w:rsidRPr="000315B4">
        <w:rPr>
          <w:sz w:val="24"/>
          <w:szCs w:val="24"/>
        </w:rPr>
        <w:t>.</w:t>
      </w:r>
      <w:r w:rsidR="00653DF3" w:rsidRPr="000315B4">
        <w:rPr>
          <w:sz w:val="24"/>
          <w:szCs w:val="24"/>
        </w:rPr>
        <w:t xml:space="preserve"> </w:t>
      </w:r>
    </w:p>
    <w:p w14:paraId="6703A340" w14:textId="65E98DC1" w:rsidR="005534B3" w:rsidRPr="000315B4" w:rsidRDefault="005949B1" w:rsidP="00903391">
      <w:pPr>
        <w:widowControl w:val="0"/>
        <w:adjustRightInd w:val="0"/>
        <w:snapToGrid w:val="0"/>
        <w:spacing w:line="360" w:lineRule="auto"/>
        <w:ind w:firstLineChars="100" w:firstLine="240"/>
        <w:jc w:val="both"/>
        <w:rPr>
          <w:sz w:val="24"/>
          <w:szCs w:val="24"/>
        </w:rPr>
      </w:pPr>
      <w:r w:rsidRPr="000315B4">
        <w:rPr>
          <w:sz w:val="24"/>
          <w:szCs w:val="24"/>
        </w:rPr>
        <w:t>O</w:t>
      </w:r>
      <w:r w:rsidR="006A59FC" w:rsidRPr="000315B4">
        <w:rPr>
          <w:sz w:val="24"/>
          <w:szCs w:val="24"/>
        </w:rPr>
        <w:t>ur finding</w:t>
      </w:r>
      <w:r w:rsidR="008168EF" w:rsidRPr="000315B4">
        <w:rPr>
          <w:sz w:val="24"/>
          <w:szCs w:val="24"/>
        </w:rPr>
        <w:t>s</w:t>
      </w:r>
      <w:r w:rsidR="006A59FC" w:rsidRPr="000315B4">
        <w:rPr>
          <w:sz w:val="24"/>
          <w:szCs w:val="24"/>
        </w:rPr>
        <w:t xml:space="preserve"> imply that HGD in BE may be a marker of increased risk for cancer morbidity and therefore may require extraesophageal surveillance</w:t>
      </w:r>
      <w:r w:rsidR="003B26D7" w:rsidRPr="000315B4">
        <w:rPr>
          <w:sz w:val="24"/>
          <w:szCs w:val="24"/>
        </w:rPr>
        <w:t xml:space="preserve"> and lifestyle modification to pr</w:t>
      </w:r>
      <w:r w:rsidR="00903391" w:rsidRPr="000315B4">
        <w:rPr>
          <w:sz w:val="24"/>
          <w:szCs w:val="24"/>
        </w:rPr>
        <w:t>event and decrease cancer risk.</w:t>
      </w:r>
      <w:r w:rsidR="00E33CDA" w:rsidRPr="000315B4">
        <w:rPr>
          <w:sz w:val="24"/>
          <w:szCs w:val="24"/>
        </w:rPr>
        <w:t xml:space="preserve"> As for now</w:t>
      </w:r>
      <w:r w:rsidR="003F4A29" w:rsidRPr="000315B4">
        <w:rPr>
          <w:sz w:val="24"/>
          <w:szCs w:val="24"/>
        </w:rPr>
        <w:t>,</w:t>
      </w:r>
      <w:r w:rsidR="00E33CDA" w:rsidRPr="000315B4">
        <w:rPr>
          <w:sz w:val="24"/>
          <w:szCs w:val="24"/>
        </w:rPr>
        <w:t xml:space="preserve"> it </w:t>
      </w:r>
      <w:r w:rsidR="003B26D7" w:rsidRPr="000315B4">
        <w:rPr>
          <w:sz w:val="24"/>
          <w:szCs w:val="24"/>
        </w:rPr>
        <w:t xml:space="preserve">may be prudent </w:t>
      </w:r>
      <w:r w:rsidR="00E33CDA" w:rsidRPr="000315B4">
        <w:rPr>
          <w:sz w:val="24"/>
          <w:szCs w:val="24"/>
        </w:rPr>
        <w:t xml:space="preserve">to </w:t>
      </w:r>
      <w:r w:rsidR="003F4A29" w:rsidRPr="000315B4">
        <w:rPr>
          <w:sz w:val="24"/>
          <w:szCs w:val="24"/>
        </w:rPr>
        <w:t>str</w:t>
      </w:r>
      <w:r w:rsidR="00C96A92" w:rsidRPr="000315B4">
        <w:rPr>
          <w:sz w:val="24"/>
          <w:szCs w:val="24"/>
        </w:rPr>
        <w:t>ingentl</w:t>
      </w:r>
      <w:r w:rsidR="003F4A29" w:rsidRPr="000315B4">
        <w:rPr>
          <w:sz w:val="24"/>
          <w:szCs w:val="24"/>
        </w:rPr>
        <w:t>y perform</w:t>
      </w:r>
      <w:r w:rsidR="00E33CDA" w:rsidRPr="000315B4">
        <w:rPr>
          <w:sz w:val="24"/>
          <w:szCs w:val="24"/>
        </w:rPr>
        <w:t xml:space="preserve"> </w:t>
      </w:r>
      <w:r w:rsidR="003B26D7" w:rsidRPr="000315B4">
        <w:rPr>
          <w:sz w:val="24"/>
          <w:szCs w:val="24"/>
        </w:rPr>
        <w:t xml:space="preserve">routine cancer </w:t>
      </w:r>
      <w:r w:rsidR="006A59FC" w:rsidRPr="000315B4">
        <w:rPr>
          <w:sz w:val="24"/>
          <w:szCs w:val="24"/>
        </w:rPr>
        <w:t xml:space="preserve">screening tests </w:t>
      </w:r>
      <w:r w:rsidR="003F4A29" w:rsidRPr="000315B4">
        <w:rPr>
          <w:sz w:val="24"/>
          <w:szCs w:val="24"/>
        </w:rPr>
        <w:t xml:space="preserve">among patients with BE and those with HGD in particular, </w:t>
      </w:r>
      <w:r w:rsidR="006A59FC" w:rsidRPr="000315B4">
        <w:rPr>
          <w:sz w:val="24"/>
          <w:szCs w:val="24"/>
        </w:rPr>
        <w:t xml:space="preserve">according to age and gender </w:t>
      </w:r>
      <w:r w:rsidR="00E33CDA" w:rsidRPr="000315B4">
        <w:rPr>
          <w:sz w:val="24"/>
          <w:szCs w:val="24"/>
        </w:rPr>
        <w:t xml:space="preserve">and </w:t>
      </w:r>
      <w:r w:rsidR="00E23745" w:rsidRPr="000315B4">
        <w:rPr>
          <w:sz w:val="24"/>
          <w:szCs w:val="24"/>
        </w:rPr>
        <w:t>to recommend adherence to</w:t>
      </w:r>
      <w:r w:rsidR="00E33CDA" w:rsidRPr="000315B4">
        <w:rPr>
          <w:sz w:val="24"/>
          <w:szCs w:val="24"/>
        </w:rPr>
        <w:t xml:space="preserve"> cancer protective lifestyle.</w:t>
      </w:r>
    </w:p>
    <w:p w14:paraId="119AC338" w14:textId="77089B33" w:rsidR="00822B98" w:rsidRPr="000315B4" w:rsidRDefault="00822B98" w:rsidP="00903391">
      <w:pPr>
        <w:widowControl w:val="0"/>
        <w:adjustRightInd w:val="0"/>
        <w:snapToGrid w:val="0"/>
        <w:spacing w:line="360" w:lineRule="auto"/>
        <w:ind w:firstLineChars="100" w:firstLine="240"/>
        <w:jc w:val="both"/>
        <w:rPr>
          <w:sz w:val="24"/>
          <w:szCs w:val="24"/>
        </w:rPr>
      </w:pPr>
      <w:r w:rsidRPr="000315B4">
        <w:rPr>
          <w:sz w:val="24"/>
          <w:szCs w:val="24"/>
        </w:rPr>
        <w:t xml:space="preserve">Given </w:t>
      </w:r>
      <w:r w:rsidR="003B26D7" w:rsidRPr="000315B4">
        <w:rPr>
          <w:sz w:val="24"/>
          <w:szCs w:val="24"/>
        </w:rPr>
        <w:t>the</w:t>
      </w:r>
      <w:r w:rsidRPr="000315B4">
        <w:rPr>
          <w:sz w:val="24"/>
          <w:szCs w:val="24"/>
        </w:rPr>
        <w:t xml:space="preserve"> low incidence of EAC mortality rates</w:t>
      </w:r>
      <w:r w:rsidR="003B26D7" w:rsidRPr="000315B4">
        <w:rPr>
          <w:sz w:val="24"/>
          <w:szCs w:val="24"/>
        </w:rPr>
        <w:t xml:space="preserve"> in BE patients</w:t>
      </w:r>
      <w:r w:rsidRPr="000315B4">
        <w:rPr>
          <w:sz w:val="24"/>
          <w:szCs w:val="24"/>
        </w:rPr>
        <w:t xml:space="preserve">, the risk-benefit and cost effectiveness of surveillance </w:t>
      </w:r>
      <w:r w:rsidR="003B26D7" w:rsidRPr="000315B4">
        <w:rPr>
          <w:sz w:val="24"/>
          <w:szCs w:val="24"/>
        </w:rPr>
        <w:t xml:space="preserve">has been </w:t>
      </w:r>
      <w:r w:rsidRPr="000315B4">
        <w:rPr>
          <w:sz w:val="24"/>
          <w:szCs w:val="24"/>
        </w:rPr>
        <w:t xml:space="preserve">a matter of discussion, with conflicting evidence concerning EAC and mortality prevention and </w:t>
      </w:r>
      <w:r w:rsidR="00903391" w:rsidRPr="000315B4">
        <w:rPr>
          <w:sz w:val="24"/>
          <w:szCs w:val="24"/>
        </w:rPr>
        <w:t>cost effectiveness</w:t>
      </w:r>
      <w:r w:rsidRPr="000315B4">
        <w:rPr>
          <w:sz w:val="24"/>
          <w:szCs w:val="24"/>
        </w:rPr>
        <w:fldChar w:fldCharType="begin" w:fldLock="1"/>
      </w:r>
      <w:r w:rsidR="0000179C" w:rsidRPr="000315B4">
        <w:rPr>
          <w:sz w:val="24"/>
          <w:szCs w:val="24"/>
        </w:rPr>
        <w:instrText>ADDIN CSL_CITATION {"citationItems":[{"id":"ITEM-1","itemData":{"DOI":"10.1053/gast.2002.31879","ISBN":"0016-5085","ISSN":"00165085","PMID":"11874995","abstract":"Background &amp; Aims: Guidelines recommend periodic endoscopic surveillance of Barrett's esophagus (BE) patients to detect and treat early esophageal adenocarcinomas; however, no trials or population-based studies exist. We evaluated the association between endoscopic surveillance of BE and survival among esophageal/gastric cardia adenocarcinoma patients. Methods: We studied a cohort of 23 BE patients, among 589 esophageal or gastric cardia adenocarcinoma patients diagnosed between 1990-1998 at Northern California Kaiser Permanente (a large health maintenance organization). We measured the presence of BE, detection of cancer by endoscopic surveillance, cancer stage, mortality, and potential confounders. Results: BE was diagnosed in 135 of 589 adenocarcinoma patients, with 23 BE patients diagnosed greater than 6 months before cancer was diagnosed. Among these 23 patients, 73% of the surveillance-detected cancer patients (n = 15) were alive at the end of follow-up, compared with none of the patients without surveillance-detected cancers (n = 8; P = 0.001). All surveillance-detected cancer patients had low-stage disease and none died directly from cancer. The surveillance/survival association was not substantially altered by stratification for age at BE diagnosis or other potential confounders. Conclusions: Surveillance-detected BE-associated adenocarcinomas were associated with low-stage disease and improved survival. Additional studies are needed to evaluate potential biases and whether screening/surveillance programs decrease mortality among all patients in surveillance. Few patients (3.9%) had a BE diagnosed before their cancer. Thus, even if current surveillance techniques are effective, they are unlikely to substantially impact the population's mortality from esophageal cancer; better methods are needed to identify at risk patients.","author":[{"dropping-particle":"","family":"Corley","given":"Douglas A.","non-dropping-particle":"","parse-names":false,"suffix":""},{"dropping-particle":"","family":"Levin","given":"Theodore R.","non-dropping-particle":"","parse-names":false,"suffix":""},{"dropping-particle":"","family":"Habel","given":"Laurel A.","non-dropping-particle":"","parse-names":false,"suffix":""},{"dropping-particle":"","family":"Weiss","given":"Noel S.","non-dropping-particle":"","parse-names":false,"suffix":""},{"dropping-particle":"","family":"Buffler","given":"Patricia A.","non-dropping-particle":"","parse-names":false,"suffix":""}],"container-title":"Gastroenterology","id":"ITEM-1","issue":"3","issued":{"date-parts":[["2002"]]},"page":"633-640","title":"Surveillance and survival in Barrett's adenocarcinomas: A population-based study","type":"article-journal","volume":"122"},"uris":["http://www.mendeley.com/documents/?uuid=16ccf94c-0e1e-4690-a6a1-b6e8b022a14a"]},{"id":"ITEM-2","itemData":{"DOI":"10.1136/gutjnl-2013-305506","ISBN":"1468-3288 (Electronic)\\r0017-5749 (Linking)","ISSN":"0017-5749","PMID":"24700439","abstract":"OBJECTIVE: Endoscopic surveillance of Barrett's oesophagus (BO) provides an opportunity to detect early stage oesophageal adenocarcinoma (OAC). We sought to determine the proportion of OAC patients with a prior diagnosis of BO on a population basis and to evaluate the influence of a prior diagnosis of BO on survival, taking into account lead and length time biases.\\n\\nDESIGN: A retrospective population-based study of all OAC patients in Northern Ireland between 2003 and 2008. A prior BO diagnosis was determined by linkage to the Northern Ireland BO register. Stage distribution at diagnosis and histological grade were compared between patients with and without a prior BO diagnosis. Overall survival, using Cox models, was compared between patients with and without a prior BO diagnosis. The effect of adjusting the survival differences for histological grade and estimates of lead and length time bias was assessed.\\n\\nRESULTS: There were 716 OAC cases, 52 (7.3%) of whom had a prior BO diagnosis. Patients with a prior BO diagnosis had significantly lower tumour stage (44.2% vs 11.1% had stage 1 or 2 disease; p&lt;0.001), a higher rate of surgical resection (50.0% vs 25.5%; p&lt;0.001) and had a higher proportion of low/intermediate grade tumours (46.2% vs 26.5%; p=0.011). A prior BO diagnosis was associated with significantly better survival (HR for death 0.39; 95% CI 0.27 to 0.58), which was minimally influenced by adjustment for age, sex and tumour grade (adjusted HR 0.44; 95% CI 0.30 to 0.64). Correction for lead time bias attenuated but did not abolish the survival benefit (HR 0.65; 95% CI 0.45 to 0.95) and further adjustment for length time bias had little effect.\\n\\nCONCLUSIONS: The proportion of OAC patients with a prior diagnosis of BO is low; however, prior identification of BO is associated with an improvement in survival in OAC patients.","author":[{"dropping-particle":"","family":"Bhat","given":"Shivaram K","non-dropping-particle":"","parse-names":false,"suffix":""},{"dropping-particle":"","family":"McManus","given":"Damian T","non-dropping-particle":"","parse-names":false,"suffix":""},{"dropping-particle":"","family":"Coleman","given":"Helen G","non-dropping-particle":"","parse-names":false,"suffix":""},{"dropping-particle":"","family":"Johnston","given":"Brian T","non-dropping-particle":"","parse-names":false,"suffix":""},{"dropping-particle":"","family":"Cardwell","given":"Christopher R","non-dropping-particle":"","parse-names":false,"suffix":""},{"dropping-particle":"","family":"McMenamin","given":"Úna","non-dropping-particle":"","parse-names":false,"suffix":""},{"dropping-particle":"","family":"Bannon","given":"Finian","non-dropping-particle":"","parse-names":false,"suffix":""},{"dropping-particle":"","family":"Hicks","given":"Blanaid","non-dropping-particle":"","parse-names":false,"suffix":""},{"dropping-particle":"","family":"Kennedy","given":"Grace","non-dropping-particle":"","parse-names":false,"suffix":""},{"dropping-particle":"","family":"Gavin","given":"Anna T","non-dropping-particle":"","parse-names":false,"suffix":""},{"dropping-particle":"","family":"Murray","given":"Liam J","non-dropping-particle":"","parse-names":false,"suffix":""}],"container-title":"Gut","id":"ITEM-2","issue":"1","issued":{"date-parts":[["2015"]]},"page":"20-25","title":"Oesophageal adenocarcinoma and prior diagnosis of Barrett's oesophagus: a population-based study","type":"article-journal","volume":"64"},"uris":["http://www.mendeley.com/documents/?uuid=beb093d7-de67-4c14-af74-c51be42fd7aa"]},{"id":"ITEM-3","itemData":{"DOI":"10.1053/j.gastro.2013.05.004","ISBN":"1528-0012 (Electronic)\\r0016-5085 (Linking)","ISSN":"00165085","PMID":"23673354","abstract":"Background &amp; Aims Although patients with Barrett's esophagus commonly undergo endoscopic surveillance, its effectiveness in reducing mortality from esophageal/gastroesophageal junction adenocarcinomas has not been evaluated rigorously. Methods We performed a case-control study in a community-based setting. Among 8272 members with Barrett's esophagus, we identified 351 esophageal adenocarcinoma: 70 in persons who had a prior diagnosis of Barrett's esophagus (who were eligible for surveillance); 51 of these patients died, 38 as a result of the cancers (cases). Surveillance histories were contrasted with a sample of 101 living persons with Barrett's esophagus (controls), matched for age, sex, and duration of follow-up evaluation. Results Surveillance within 3 years was not associated with a decreased risk of death from esophageal adenocarcinoma (adjusted odds ratio, 0.99; 95% confidence interval, 0.36-2.75). Fatal cases were nearly as likely to have received surveillance (55.3%) as were controls (60.4%). A Barrett's esophagus length longer than 3 cm and prior dysplasia each were associated with subsequent mortality, but adjustment for these did not change the main findings. Although all patients should be included in evaluations of effectiveness, excluding deaths related to cancer treatment and patients who failed to complete treatment, changed the magnitude, but not the significance, of the association (odds ratio, 0.46; 95% confidence interval, 0.13-1.64). Conclusions Endoscopic surveillance of patients with Barrett's esophagus was not associated with a substantially decreased risk of death from esophageal adenocarcinoma. The results do not exclude a small to moderate benefit. However, if such a benefit exists, our findings indicate that it is substantially smaller than currently estimated. The effectiveness of surveillance was influenced partially by the acceptability of existing treatments and the occurrence of treatment-associated mortality. ?? 2013 by the AGA Institute.","author":[{"dropping-particle":"","family":"Corley","given":"Douglas A.","non-dropping-particle":"","parse-names":false,"suffix":""},{"dropping-particle":"","family":"Mehtani","given":"Kunal","non-dropping-particle":"","parse-names":false,"suffix":""},{"dropping-particle":"","family":"Quesenberry","given":"Charles","non-dropping-particle":"","parse-names":false,"suffix":""},{"dropping-particle":"","family":"Zhao","given":"Wei","non-dropping-particle":"","parse-names":false,"suffix":""},{"dropping-particle":"","family":"Boer","given":"Jolanda","non-dropping-particle":"De","parse-names":false,"suffix":""},{"dropping-particle":"","family":"Weiss","given":"Noel S.","non-dropping-particle":"","parse-names":false,"suffix":""}],"container-title":"Gastroenterology","id":"ITEM-3","issue":"2","issued":{"date-parts":[["2013"]]},"page":"312-319.e1","publisher":"Elsevier, Inc","title":"Impact of endoscopic surveillance on mortality from barrett's esophagus-associated esophageal adenocarcinomas","type":"article-journal","volume":"145"},"uris":["http://www.mendeley.com/documents/?uuid=8cee5921-0118-4573-a9ef-934b9e015600"]},{"id":"ITEM-4","itemData":{"DOI":"10.1111/j.1572-0241.1999.01276.x","ISSN":"0002-9270","PMID":"10445526","abstract":"OBJECTIVE: Surveillance of Barrett's patients is recommended, to detect\\ndysplasia and early cancer. The reported risk for developing cancer\\nvaries substantially, however. Our previous analysis used an average\\ncancer incidence of 1/75 patient-years (PY). Recent reports suggest that\\nthe risk may range from 1/251 to 1/208 PY in combined series of patients\\nwith long segment Barrett's esophagus (LSBE, &gt;3 cm), and short segment\\nBarrett's esophagus (SSBE), and up to 1% annually in patients with\\nSSBE. Our goal was to consider these new estimates of cancer risk in a\\ncost-utility analysis of surveillance of patients with Barrett's\\nesophagus.\\nMETHODS: Using our previously published model, we incorporated an\\naverage of the recent estimates of cancer risk (0.4% annually, 1/227\\nPY), and our primary data on quality of life after esophagectomy. We\\nincluded actual variable (direct) costs and used a discount rate of 5%.\\nFrom the perspective of an HMO, the model evaluates surveillance every\\n1-5 yr and no surveillance, with esophagectomy performed if high grade\\ndysplasia is diagnosed, and calculates the incremental cost-utility\\nratios for each strategy.\\nRESULTS: The results suggest that, at our baseline, annual cancer risk\\nsurveillance every 5 yr is the only viable strategy. More frequent\\nsurveillance costs more and yields a lower life expectancy. The\\nincremental cost-utility ratio for surveillance every 5 yr is\\n$98,000/quality-adjusted life year (QALY) gained, comparable to the\\nincremental cost-effectiveness ratios of accepted practices (heart\\ntransplantation and screening for tuberculosis in selected populations,\\n$160,000/LY gained and $216,000/LY gained, respectively).\\nCONCLUSIONS: Surveillance of Barrett's patients should extend life, with\\nincremental cost-utility ratios that compare favorably with some\\naccepted medical practices. Policy makers can compare the cost of\\nsurveillance to that of other accepted practices to determine their\\nwillingness to fund surveillance. (Am J Gastroenterol 1999;94:2043-2053.\\n(C) 1999 by Am. Coll. of Gastroenterology).","author":[{"dropping-particle":"","family":"Provenzale","given":"Dawn","non-dropping-particle":"","parse-names":false,"suffix":""},{"dropping-particle":"","family":"Schmitt","given":"Colleen","non-dropping-particle":"","parse-names":false,"suffix":""},{"dropping-particle":"","family":"Wong","given":"John B","non-dropping-particle":"","parse-names":false,"suffix":""}],"container-title":"American Journal of Gastroenterology","id":"ITEM-4","issue":"8","issued":{"date-parts":[["1999"]]},"page":"2043-2053","title":"Barrett's esophagus: A new look at surveillance-based on emerging estimates of cancer risk","type":"article-journal","volume":"94"},"uris":["http://www.mendeley.com/documents/?uuid=2c9516bc-1c40-4576-b66b-a64710967a4f"]}],"mendeley":{"formattedCitation":"&lt;sup&gt;[9,38–40]&lt;/sup&gt;","plainTextFormattedCitation":"[9,38–40]","previouslyFormattedCitation":"&lt;sup&gt;[9,38–40]&lt;/sup&gt;"},"properties":{"noteIndex":0},"schema":"https://github.com/citation-style-language/schema/raw/master/csl-citation.json"}</w:instrText>
      </w:r>
      <w:r w:rsidRPr="000315B4">
        <w:rPr>
          <w:sz w:val="24"/>
          <w:szCs w:val="24"/>
        </w:rPr>
        <w:fldChar w:fldCharType="separate"/>
      </w:r>
      <w:r w:rsidR="00164BEB" w:rsidRPr="000315B4">
        <w:rPr>
          <w:noProof/>
          <w:sz w:val="24"/>
          <w:szCs w:val="24"/>
          <w:vertAlign w:val="superscript"/>
        </w:rPr>
        <w:t>[9,38</w:t>
      </w:r>
      <w:r w:rsidR="00013E46">
        <w:rPr>
          <w:rFonts w:hint="eastAsia"/>
          <w:noProof/>
          <w:sz w:val="24"/>
          <w:szCs w:val="24"/>
          <w:vertAlign w:val="superscript"/>
          <w:lang w:eastAsia="zh-CN"/>
        </w:rPr>
        <w:t>-</w:t>
      </w:r>
      <w:r w:rsidR="00164BEB" w:rsidRPr="000315B4">
        <w:rPr>
          <w:noProof/>
          <w:sz w:val="24"/>
          <w:szCs w:val="24"/>
          <w:vertAlign w:val="superscript"/>
        </w:rPr>
        <w:t>40]</w:t>
      </w:r>
      <w:r w:rsidRPr="000315B4">
        <w:rPr>
          <w:sz w:val="24"/>
          <w:szCs w:val="24"/>
        </w:rPr>
        <w:fldChar w:fldCharType="end"/>
      </w:r>
      <w:r w:rsidRPr="000315B4">
        <w:rPr>
          <w:sz w:val="24"/>
          <w:szCs w:val="24"/>
        </w:rPr>
        <w:t xml:space="preserve">. We show </w:t>
      </w:r>
      <w:r w:rsidR="005949B1" w:rsidRPr="000315B4">
        <w:rPr>
          <w:sz w:val="24"/>
          <w:szCs w:val="24"/>
        </w:rPr>
        <w:t>another</w:t>
      </w:r>
      <w:r w:rsidRPr="000315B4">
        <w:rPr>
          <w:sz w:val="24"/>
          <w:szCs w:val="24"/>
        </w:rPr>
        <w:t xml:space="preserve"> potential </w:t>
      </w:r>
      <w:r w:rsidR="003B26D7" w:rsidRPr="000315B4">
        <w:rPr>
          <w:sz w:val="24"/>
          <w:szCs w:val="24"/>
        </w:rPr>
        <w:t xml:space="preserve">motivation for </w:t>
      </w:r>
      <w:r w:rsidR="000F2799" w:rsidRPr="000315B4">
        <w:rPr>
          <w:sz w:val="24"/>
          <w:szCs w:val="24"/>
        </w:rPr>
        <w:t xml:space="preserve">BE </w:t>
      </w:r>
      <w:r w:rsidR="00017D62" w:rsidRPr="000315B4">
        <w:rPr>
          <w:sz w:val="24"/>
          <w:szCs w:val="24"/>
        </w:rPr>
        <w:t xml:space="preserve">surveillance </w:t>
      </w:r>
      <w:r w:rsidR="000F2799" w:rsidRPr="000315B4">
        <w:rPr>
          <w:sz w:val="24"/>
          <w:szCs w:val="24"/>
        </w:rPr>
        <w:t>to better</w:t>
      </w:r>
      <w:r w:rsidR="003B26D7" w:rsidRPr="000315B4">
        <w:rPr>
          <w:sz w:val="24"/>
          <w:szCs w:val="24"/>
        </w:rPr>
        <w:t xml:space="preserve"> </w:t>
      </w:r>
      <w:r w:rsidR="00813881" w:rsidRPr="000315B4">
        <w:rPr>
          <w:sz w:val="24"/>
          <w:szCs w:val="24"/>
        </w:rPr>
        <w:t>def</w:t>
      </w:r>
      <w:r w:rsidR="000F2799" w:rsidRPr="000315B4">
        <w:rPr>
          <w:sz w:val="24"/>
          <w:szCs w:val="24"/>
        </w:rPr>
        <w:t>ine overall</w:t>
      </w:r>
      <w:r w:rsidRPr="000315B4">
        <w:rPr>
          <w:sz w:val="24"/>
          <w:szCs w:val="24"/>
        </w:rPr>
        <w:t xml:space="preserve"> </w:t>
      </w:r>
      <w:r w:rsidR="00813881" w:rsidRPr="000315B4">
        <w:rPr>
          <w:sz w:val="24"/>
          <w:szCs w:val="24"/>
        </w:rPr>
        <w:t>cancer risk.</w:t>
      </w:r>
    </w:p>
    <w:p w14:paraId="793FE8AC" w14:textId="77777777" w:rsidR="00B93E5D" w:rsidRPr="000315B4" w:rsidRDefault="00F42A04" w:rsidP="00903391">
      <w:pPr>
        <w:widowControl w:val="0"/>
        <w:adjustRightInd w:val="0"/>
        <w:snapToGrid w:val="0"/>
        <w:spacing w:line="360" w:lineRule="auto"/>
        <w:ind w:firstLineChars="100" w:firstLine="240"/>
        <w:jc w:val="both"/>
        <w:rPr>
          <w:sz w:val="24"/>
          <w:szCs w:val="24"/>
        </w:rPr>
      </w:pPr>
      <w:r w:rsidRPr="000315B4">
        <w:rPr>
          <w:sz w:val="24"/>
          <w:szCs w:val="24"/>
        </w:rPr>
        <w:t xml:space="preserve">Our study </w:t>
      </w:r>
      <w:r w:rsidR="000F2799" w:rsidRPr="000315B4">
        <w:rPr>
          <w:sz w:val="24"/>
          <w:szCs w:val="24"/>
        </w:rPr>
        <w:t>carries some</w:t>
      </w:r>
      <w:r w:rsidRPr="000315B4">
        <w:rPr>
          <w:sz w:val="24"/>
          <w:szCs w:val="24"/>
        </w:rPr>
        <w:t xml:space="preserve"> limitations</w:t>
      </w:r>
      <w:r w:rsidR="00D93A2C" w:rsidRPr="000315B4">
        <w:rPr>
          <w:sz w:val="24"/>
          <w:szCs w:val="24"/>
        </w:rPr>
        <w:t>. I</w:t>
      </w:r>
      <w:r w:rsidR="008F5D4F" w:rsidRPr="000315B4">
        <w:rPr>
          <w:sz w:val="24"/>
          <w:szCs w:val="24"/>
        </w:rPr>
        <w:t xml:space="preserve">nvestigator initiated studies done in teaching hospitals are prone to referral </w:t>
      </w:r>
      <w:r w:rsidR="00A4278E" w:rsidRPr="000315B4">
        <w:rPr>
          <w:sz w:val="24"/>
          <w:szCs w:val="24"/>
        </w:rPr>
        <w:t>bias and</w:t>
      </w:r>
      <w:r w:rsidR="008F5D4F" w:rsidRPr="000315B4">
        <w:rPr>
          <w:sz w:val="24"/>
          <w:szCs w:val="24"/>
        </w:rPr>
        <w:t xml:space="preserve"> are also smaller in size than </w:t>
      </w:r>
      <w:r w:rsidR="008D2867" w:rsidRPr="000315B4">
        <w:rPr>
          <w:sz w:val="24"/>
          <w:szCs w:val="24"/>
        </w:rPr>
        <w:t>population-based</w:t>
      </w:r>
      <w:r w:rsidR="008F5D4F" w:rsidRPr="000315B4">
        <w:rPr>
          <w:sz w:val="24"/>
          <w:szCs w:val="24"/>
        </w:rPr>
        <w:t xml:space="preserve"> studies,</w:t>
      </w:r>
      <w:r w:rsidR="005949B1" w:rsidRPr="000315B4">
        <w:rPr>
          <w:sz w:val="24"/>
          <w:szCs w:val="24"/>
        </w:rPr>
        <w:t xml:space="preserve"> </w:t>
      </w:r>
      <w:r w:rsidR="008F5D4F" w:rsidRPr="000315B4">
        <w:rPr>
          <w:sz w:val="24"/>
          <w:szCs w:val="24"/>
        </w:rPr>
        <w:t xml:space="preserve">limiting </w:t>
      </w:r>
      <w:r w:rsidR="00283660" w:rsidRPr="000315B4">
        <w:rPr>
          <w:sz w:val="24"/>
          <w:szCs w:val="24"/>
        </w:rPr>
        <w:t>generalizability</w:t>
      </w:r>
      <w:r w:rsidR="005B6CB1" w:rsidRPr="000315B4">
        <w:rPr>
          <w:sz w:val="24"/>
          <w:szCs w:val="24"/>
        </w:rPr>
        <w:t xml:space="preserve">, and perhaps overestimating </w:t>
      </w:r>
      <w:r w:rsidR="002664ED" w:rsidRPr="000315B4">
        <w:rPr>
          <w:sz w:val="24"/>
          <w:szCs w:val="24"/>
        </w:rPr>
        <w:t>associations.</w:t>
      </w:r>
      <w:r w:rsidR="008F5D4F" w:rsidRPr="000315B4">
        <w:rPr>
          <w:sz w:val="24"/>
          <w:szCs w:val="24"/>
        </w:rPr>
        <w:t xml:space="preserve"> </w:t>
      </w:r>
      <w:r w:rsidR="00085547" w:rsidRPr="000315B4">
        <w:rPr>
          <w:sz w:val="24"/>
          <w:szCs w:val="24"/>
        </w:rPr>
        <w:t>O</w:t>
      </w:r>
      <w:r w:rsidR="005914DF" w:rsidRPr="000315B4">
        <w:rPr>
          <w:sz w:val="24"/>
          <w:szCs w:val="24"/>
        </w:rPr>
        <w:t xml:space="preserve">n the other hand, patients with dysplasia are usually managed in a tertiary center. </w:t>
      </w:r>
    </w:p>
    <w:p w14:paraId="23CE0A91" w14:textId="615EF5C8" w:rsidR="00406285" w:rsidRPr="000315B4" w:rsidRDefault="00AF6464" w:rsidP="000315B4">
      <w:pPr>
        <w:widowControl w:val="0"/>
        <w:adjustRightInd w:val="0"/>
        <w:snapToGrid w:val="0"/>
        <w:spacing w:line="360" w:lineRule="auto"/>
        <w:ind w:firstLineChars="100" w:firstLine="240"/>
        <w:jc w:val="both"/>
        <w:rPr>
          <w:sz w:val="24"/>
          <w:szCs w:val="24"/>
        </w:rPr>
      </w:pPr>
      <w:r w:rsidRPr="000315B4">
        <w:rPr>
          <w:sz w:val="24"/>
          <w:szCs w:val="24"/>
        </w:rPr>
        <w:t xml:space="preserve">We could not ascertain how long patients had </w:t>
      </w:r>
      <w:r w:rsidR="00B93E5D" w:rsidRPr="000315B4">
        <w:rPr>
          <w:sz w:val="24"/>
          <w:szCs w:val="24"/>
        </w:rPr>
        <w:t xml:space="preserve">BE before study inclusion, which may </w:t>
      </w:r>
      <w:r w:rsidR="006E4FDD" w:rsidRPr="000315B4">
        <w:rPr>
          <w:sz w:val="24"/>
          <w:szCs w:val="24"/>
        </w:rPr>
        <w:t xml:space="preserve">have </w:t>
      </w:r>
      <w:r w:rsidR="00B93E5D" w:rsidRPr="000315B4">
        <w:rPr>
          <w:sz w:val="24"/>
          <w:szCs w:val="24"/>
        </w:rPr>
        <w:t>influence</w:t>
      </w:r>
      <w:r w:rsidR="000A057B" w:rsidRPr="000315B4">
        <w:rPr>
          <w:sz w:val="24"/>
          <w:szCs w:val="24"/>
        </w:rPr>
        <w:t>d</w:t>
      </w:r>
      <w:r w:rsidR="006E4FDD" w:rsidRPr="000315B4">
        <w:rPr>
          <w:sz w:val="24"/>
          <w:szCs w:val="24"/>
        </w:rPr>
        <w:t xml:space="preserve"> the outcomes</w:t>
      </w:r>
      <w:r w:rsidR="00B93E5D" w:rsidRPr="000315B4">
        <w:rPr>
          <w:sz w:val="24"/>
          <w:szCs w:val="24"/>
        </w:rPr>
        <w:t>. However, these estimates are approximate at best, as BE itself may be asymptomatic and this limitation is shared by other studies.</w:t>
      </w:r>
    </w:p>
    <w:p w14:paraId="32782EB9" w14:textId="77259F32" w:rsidR="0069458E" w:rsidRPr="000315B4" w:rsidRDefault="008F5D4F" w:rsidP="000315B4">
      <w:pPr>
        <w:widowControl w:val="0"/>
        <w:adjustRightInd w:val="0"/>
        <w:snapToGrid w:val="0"/>
        <w:spacing w:line="360" w:lineRule="auto"/>
        <w:ind w:firstLineChars="100" w:firstLine="240"/>
        <w:jc w:val="both"/>
        <w:rPr>
          <w:sz w:val="24"/>
          <w:szCs w:val="24"/>
        </w:rPr>
      </w:pPr>
      <w:r w:rsidRPr="000315B4">
        <w:rPr>
          <w:sz w:val="24"/>
          <w:szCs w:val="24"/>
        </w:rPr>
        <w:t>In our study,</w:t>
      </w:r>
      <w:r w:rsidR="00186F60" w:rsidRPr="000315B4">
        <w:rPr>
          <w:sz w:val="24"/>
          <w:szCs w:val="24"/>
        </w:rPr>
        <w:t xml:space="preserve"> we adjusted for age and a past history of cancer</w:t>
      </w:r>
      <w:r w:rsidR="003647DA" w:rsidRPr="000315B4">
        <w:rPr>
          <w:sz w:val="24"/>
          <w:szCs w:val="24"/>
        </w:rPr>
        <w:t>,</w:t>
      </w:r>
      <w:r w:rsidR="00186F60" w:rsidRPr="000315B4">
        <w:rPr>
          <w:sz w:val="24"/>
          <w:szCs w:val="24"/>
        </w:rPr>
        <w:t xml:space="preserve"> but</w:t>
      </w:r>
      <w:r w:rsidRPr="000315B4">
        <w:rPr>
          <w:sz w:val="24"/>
          <w:szCs w:val="24"/>
        </w:rPr>
        <w:t xml:space="preserve"> we were not able to adjust for other risk facto</w:t>
      </w:r>
      <w:r w:rsidR="00017D62" w:rsidRPr="000315B4">
        <w:rPr>
          <w:sz w:val="24"/>
          <w:szCs w:val="24"/>
        </w:rPr>
        <w:t>rs</w:t>
      </w:r>
      <w:r w:rsidR="00D93A2C" w:rsidRPr="000315B4">
        <w:rPr>
          <w:sz w:val="24"/>
          <w:szCs w:val="24"/>
        </w:rPr>
        <w:t xml:space="preserve"> such as lifestyle parameters</w:t>
      </w:r>
      <w:r w:rsidRPr="000315B4">
        <w:rPr>
          <w:sz w:val="24"/>
          <w:szCs w:val="24"/>
        </w:rPr>
        <w:t>.</w:t>
      </w:r>
      <w:r w:rsidR="00F42A04" w:rsidRPr="000315B4">
        <w:rPr>
          <w:sz w:val="24"/>
          <w:szCs w:val="24"/>
        </w:rPr>
        <w:t xml:space="preserve"> Our study did not include a population with no BE as </w:t>
      </w:r>
      <w:r w:rsidR="00283660" w:rsidRPr="000315B4">
        <w:rPr>
          <w:sz w:val="24"/>
          <w:szCs w:val="24"/>
        </w:rPr>
        <w:t xml:space="preserve">a </w:t>
      </w:r>
      <w:r w:rsidR="00F42A04" w:rsidRPr="000315B4">
        <w:rPr>
          <w:sz w:val="24"/>
          <w:szCs w:val="24"/>
        </w:rPr>
        <w:t>control</w:t>
      </w:r>
      <w:r w:rsidR="001F0ED4" w:rsidRPr="000315B4">
        <w:rPr>
          <w:sz w:val="24"/>
          <w:szCs w:val="24"/>
        </w:rPr>
        <w:t xml:space="preserve">, but we assume </w:t>
      </w:r>
      <w:r w:rsidR="00283660" w:rsidRPr="000315B4">
        <w:rPr>
          <w:sz w:val="24"/>
          <w:szCs w:val="24"/>
        </w:rPr>
        <w:t xml:space="preserve">based on </w:t>
      </w:r>
      <w:r w:rsidR="001F0ED4" w:rsidRPr="000315B4">
        <w:rPr>
          <w:sz w:val="24"/>
          <w:szCs w:val="24"/>
        </w:rPr>
        <w:t>previous studies</w:t>
      </w:r>
      <w:r w:rsidR="001A1EF7" w:rsidRPr="000315B4">
        <w:rPr>
          <w:sz w:val="24"/>
          <w:szCs w:val="24"/>
        </w:rPr>
        <w:fldChar w:fldCharType="begin" w:fldLock="1"/>
      </w:r>
      <w:r w:rsidR="0000179C" w:rsidRPr="000315B4">
        <w:rPr>
          <w:sz w:val="24"/>
          <w:szCs w:val="24"/>
        </w:rPr>
        <w:instrText>ADDIN CSL_CITATION {"citationItems":[{"id":"ITEM-1","itemData":{"DOI":"10.1007/s10620-013-2565-5","ISBN":"1573-2568 (Electronic)\\r0163-2116 (Linking)","ISSN":"01632116","PMID":"23371013","abstract":"BACKGROUND AND AIM: The presence of an association between Barrett's metaplasia and colonic neoplasia has remained controversial. The aim of the study was to test the presence of this association, using a large national database.\\n\\nMETHODS: From a computerized database of surgical pathology reports, we selected 203,000 subjects who underwent colonoscopy and esophago-gastro-duodenoscopy with biopsy results available from both procedures. In a case-control study we compared the occurrence of Barrett's metaplasia in patients with and without various types of colonic neoplasms.\\n\\nRESULTS: Barrett's metaplasia occurred more frequently among patients with hyperplastic polyps (OR = 2.14, 95 % CI 2.02-2.27), adenomatous polyps (2.52, 2.41-2.64), advanced adenomas (2.10, 1.90-2.32), villous adenomas or adenomas with high-grade (HG) dysplasia (2.45, 2.28-2.64), and colonic adenocarcinomas (1.75, 1.39-2.22). The association between Barrett's metaplasia and colonic neoplasm applied similarly to polyps of different size, number and location within the large bowel. These types of association could also be confirmed when analyzed separately for Barrett's metaplasia characterized by low-grade or HG dysplasia, as well as esophageal adenocarcinoma.\\n\\nCONCLUSIONS: The data support the existence of a true association between Barrett's metaplasia and various types of colonic neoplasm. The association may be more interesting for its potential insights into the pathogenesis of the two disorders than its actual clinical implications.","author":[{"dropping-particle":"","family":"Sonnenberg","given":"Amnon","non-dropping-particle":"","parse-names":false,"suffix":""},{"dropping-particle":"","family":"Genta","given":"Robert M.","non-dropping-particle":"","parse-names":false,"suffix":""}],"container-title":"Digestive Diseases and Sciences","id":"ITEM-1","issue":"7","issued":{"date-parts":[["2013"]]},"page":"2046-2051","title":"Barrett's metaplasia and colonic neoplasms: A significant association in a 203,534-patient study","type":"article-journal","volume":"58"},"uris":["http://www.mendeley.com/documents/?uuid=edcbd43a-0d54-4c33-9c83-d70bcd85163e"]},{"id":"ITEM-2","itemData":{"DOI":"10.1111/apt.13962","ISBN":"1365-2036","ISSN":"02692813","PMID":"28139003","abstract":"BACKGROUND: Patients with Barrett's oesophagus may be at increased risk of mortality overall, and cardiovascular disease has been suggested as the main underlying cause of death. AIM: To examine cause-specific mortality and risk of cardiovascular events among patients with Barrett's oesophagus. METHODS: Utilising existing Danish data sources (1997-2011), we identified all patients with histologically verified Barrett's oesophagus (n = 13 435) and 123 526 members of the general population matched by age, sex and individual comorbidities. We calculated cause-specific mortality rates and incidence rates of cardiovascular diseases. We then compared rates between patients with Barrett's oesophagus and the general population comparison cohort, using stratified Cox proportional hazard regression. RESULTS: Patients with Barrett's oesophagus had a 71% increased risk of overall mortality. The cause-specific mortality rate per 1000 person-years for patients with Barrett's oesophagus was 8.5 for cardiovascular diseases, 14.7 for non-oesophageal cancers, and 5.4 for oesophageal cancer. Compared to the general population cohort, corresponding hazard ratios were 1.26 (95% confidence interval (CI): 1.15-1.38), 1.77 (95% CI: 1.65-1.90), and 19.4 (95% CI: 16.1-23.4), respectively. The incidence rates of cardiovascular diseases per 1000 person-years for Barrett's oesophagus patients and for persons from the general population cohort, respectively, varied from 0.4 and 0.2 for subarachnoid bleeding (hazard ratio 1.10, 95% CI: 0.87-1.39) to 8.1 and 5.9 for congestive heart failure (hazard ratio 1.33, 95% CI: 1.21-1.46). CONCLUSION: Prophylactic measures targeted at cardiovascular diseases and non-oesophageal cancers potentially could be more important than measures against oesophageal cancer, for improving prognosis among patients with Barrett's oesophagus.","author":[{"dropping-particle":"","family":"Erichsen","given":"R.","non-dropping-particle":"","parse-names":false,"suffix":""},{"dropping-particle":"","family":"Horvath-Puho","given":"E.","non-dropping-particle":"","parse-names":false,"suffix":""},{"dropping-particle":"","family":"Lund","given":"J. L.","non-dropping-particle":"","parse-names":false,"suffix":""},{"dropping-particle":"","family":"Dellon","given":"E. S.","non-dropping-particle":"","parse-names":false,"suffix":""},{"dropping-particle":"","family":"Shaheen","given":"N. J.","non-dropping-particle":"","parse-names":false,"suffix":""},{"dropping-particle":"","family":"Pedersen","given":"L.","non-dropping-particle":"","parse-names":false,"suffix":""},{"dropping-particle":"","family":"Davey Smith","given":"G.","non-dropping-particle":"","parse-names":false,"suffix":""},{"dropping-particle":"","family":"Sørensen","given":"H. T.","non-dropping-particle":"","parse-names":false,"suffix":""},{"dropping-particle":"","family":"Smith","given":"G Davey","non-dropping-particle":"","parse-names":false,"suffix":""},{"dropping-particle":"","family":"Horvath-Puho","given":"E.","non-dropping-particle":"","parse-names":false,"suffix":""},{"dropping-particle":"","family":"Lund","given":"J. L.","non-dropping-particle":"","parse-names":false,"suffix":""},{"dropping-particle":"","family":"Dellon","given":"E. S.","non-dropping-particle":"","parse-names":false,"suffix":""},{"dropping-particle":"","family":"Shaheen","given":"N. J.","non-dropping-particle":"","parse-names":false,"suffix":""},{"dropping-particle":"","family":"Pedersen","given":"L.","non-dropping-particle":"","parse-names":false,"suffix":""},{"dropping-particle":"","family":"Davey Smith","given":"G.","non-dropping-particle":"","parse-names":false,"suffix":""},{"dropping-particle":"","family":"Sørensen","given":"H. T.","non-dropping-particle":"","parse-names":false,"suffix":""}],"container-title":"Alimentary Pharmacology &amp; Therapeutics","id":"ITEM-2","issue":"7","issued":{"date-parts":[["2017"]]},"page":"973-982","title":"Mortality and cardiovascular diseases risk in patients with Barrett's oesophagus: a population-based nationwide cohort study","type":"article-journal","volume":"45"},"uris":["http://www.mendeley.com/documents/?uuid=7c5a21cd-0dcd-4a0d-967f-eb5dd3abc87c"]},{"id":"ITEM-3","itemData":{"DOI":"10.1111/apt.12146","ISBN":"1365-2036 (Electronic)\\r0269-2813 (Linking)","ISSN":"02692813","PMID":"23163592","abstract":"BACKGROUND: Barrett's oesophagus (BO) is a premalignant condition associated with oesophageal adenocarcinoma. Although speculation exists, it is currently unclear if BO is associated with an increased risk of colonic tumours.\\n\\nAIM: To conduct a meta-analysis of studies reporting the prevalence of colonic tumours in patients with BO vs. controls and thus quantify the risk of colonic tumours associated with BO.\\n\\nMETHODS: A search was conducted through Medline, PubMed, Embase, and Current Contents Connect to 7 October 2012. We calculated pooled odds ratios (OR) and 95% confidence intervals (CI) using a random-effects model for the risk of all colonic tumours associated with BO, as well as for the subgroups of colorectal cancer (CRC) and benign adenomatous tumours.\\n\\nRESULTS: In total, 11 studies, with 2580 BO cases, met our inclusion criteria. BO was associated with an increased risk of any colonic tumours (OR: 1.96; 95% CI: 1.56-2.46). BO was associated with an increased risk of benign adenomatous tumours (OR: 1.69; 95% CI: 1.20-2.39), as well as an increased risk of CRC (OR: 1.90; 95% CI: 1.35-2.67). No statistically significant heterogeneity was observed. Publication bias was not present.\\n\\nCONCLUSIONS: Barrett's oesophagus was associated with an increased risk of both benign adenomatous colonic tumours and colorectal cancer. Barrett's oesophagus had a stronger association with colorectal cancer than with benign colonic tumours. Further prospective cohort studies are needed to confirm the relationship.","author":[{"dropping-particle":"","family":"Andrici","given":"J.","non-dropping-particle":"","parse-names":false,"suffix":""},{"dropping-particle":"","family":"Tio","given":"M.","non-dropping-particle":"","parse-names":false,"suffix":""},{"dropping-particle":"","family":"Cox","given":"M. R.","non-dropping-particle":"","parse-names":false,"suffix":""},{"dropping-particle":"","family":"Eslick","given":"G. D.","non-dropping-particle":"","parse-names":false,"suffix":""}],"container-title":"Alimentary Pharmacology and Therapeutics","id":"ITEM-3","issue":"4","issued":{"date-parts":[["2013"]]},"page":"401-410","title":"Meta-analysis: Barrett's oesophagus and the risk of colonic tumours","type":"article-journal","volume":"37"},"uris":["http://www.mendeley.com/documents/?uuid=082976c7-7264-47f8-a990-64aa3da00533"]},{"id":"ITEM-4","itemData":{"DOI":"10.1111/dote.12185","ISSN":"14422050","PMID":"24529029","abstract":"Summary: The association between Barrett's esophagus (BE) and a personal or family history of cancer other than gastroesophageal remains unknown. To evaluate the effect of personal and family history of certain cancers and cancer treatments on the risk of BE, we analyzed data from a Veterans Affairs case-control study that included 264 men with definitive BE (cases) and 1486 men without BE (controls). Patients with history of esophageal or gastric cancer were excluded. Patients underwent elective esophagogastroduodenoscopy or a study esophagogastroduodenoscopy concurrently with screening colonoscopy to determine BE status. Personal and family history of several types of cancer was obtained from self-reported questionnaires, supplemented and verified by electronic medical-record reviews. We estimated the association between personal and family history of cancer or radiation/chemotherapy, and BE. Personal history of oropharyngeal cancer (1.5% vs. 0.4%) or prostate cancer (7.2% vs. 4.4%) was more frequently present in cases than controls. The association between BE and prostate cancer persisted in multivariable analyses (adjusted odds ratio 1.90; 95% confidence interval 1.07-3.38, P = 0.028) while that with oropharyngeal cancer (adjusted odds ratio 3.63; 95% confidence interval 0.92-14.29, P = 0.066) was attenuated after adjusting for retained covariates of age, race, gastroesophageal reflux disease, hiatal hernia, and proton pump inhibitor use. Within the subset of patients with cancer, prior treatment with radiation or chemotherapy was not associated with BE. There were no significant differences between cases and controls in the proportions of subjects with several specific malignancies in first- or second-degree relatives. In conclusion, the risk of BE in men may be elevated with prior personal history of oropharyngeal or prostate cancer. However, prior cancer treatments and family history of cancer were not associated with increased risk of BE. Further studies are needed to elucidate if there is a causative relationship or shared risk factors between prostate cancer and BE.","author":[{"dropping-particle":"","family":"Khalaf","given":"N.","non-dropping-particle":"","parse-names":false,"suffix":""},{"dropping-particle":"","family":"Ramsey","given":"D.","non-dropping-particle":"","parse-names":false,"suffix":""},{"dropping-particle":"","family":"Kramer","given":"J. R.","non-dropping-particle":"","parse-names":false,"suffix":""},{"dropping-particle":"","family":"El-Serag","given":"H. B.","non-dropping-particle":"","parse-names":false,"suffix":""}],"container-title":"Diseases of the Esophagus","id":"ITEM-4","issue":"3","issued":{"date-parts":[["2015"]]},"page":"283-290","title":"Personal and family history of cancer and the risk of Barrett's esophagus in men","type":"article-journal","volume":"28"},"uris":["http://www.mendeley.com/documents/?uuid=828b7c4c-6f0e-4d95-a1c3-f0005c381461"]},{"id":"ITEM-5","itemData":{"DOI":"10.1097/MCG.0b013e31828bf26f","ISBN":"1539-2031 (Electronic)\\r0192-0790 (Linking)","ISSN":"0192-0790","PMID":"23507770","abstract":"GOALS: To evaluate the incidence of extraesophageal malignancies among patients with Barrett esophagus (BE). BACKGROUND: Gastroesophageal reflux disease has been reported to be associated with upper aerodigestive malignancies. BE is considered a consequence of long-standing gastroesophageal reflux disease; however, the association of BE with extraesophageal malignancies is controversial. STUDY: The database of the largest health service provider in Israel was queried for all patients diagnosed with BE between 2000 and 2010. Data regarding medical background and diagnosis of malignancy were recorded. Malignancy rates were compared with subjects without BE or malignancy and matched for age, sex, and smoking status (1:4 ratio). Patients in whom a malignancy was diagnosed within 1 year of BE diagnosis were excluded. RESULTS: A total of 3669 patients with BE and 14,676 controls were included. Several nonesophageal malignancies were significantly more prevalent among BE patients: colorectal cancer (relative risk 1.98, P&lt;0.001) and prostate cancer (relative risk 1.99, P&lt;0.001), but not cancer of the upper aerodigestive tract. Multivariate analysis revealed that Jewish origin and the presence of BE were associated with higher malignancy risk [hazard ratio (HR) 1.83, HR 1.41, respectively; P&lt;0.001]; body mass index was inversely associated with malignancy risk (HR 0.98; P&lt;0.005). CONCLUSIONS: BE seems to be associated with colorectal and prostate cancer. Further research is necessary to determine whether this is a causative relationship and, consequently, whether a change in the screening policy for colorectal cancer in patients with BE is warranted.","author":[{"dropping-particle":"","family":"Pines","given":"Guy","non-dropping-particle":"","parse-names":false,"suffix":""},{"dropping-particle":"","family":"Dickman","given":"Ram","non-dropping-particle":"","parse-names":false,"suffix":""},{"dropping-particle":"","family":"Niv","given":"Yaron","non-dropping-particle":"","parse-names":false,"suffix":""},{"dropping-particle":"","family":"Kashtan","given":"Hanoch","non-dropping-particle":"","parse-names":false,"suffix":""},{"dropping-particle":"","family":"Birkenfeld","given":"Shlomo","non-dropping-particle":"","parse-names":false,"suffix":""}],"container-title":"Journal of Clinical Gastroenterology","id":"ITEM-5","issue":"1","issued":{"date-parts":[["2014"]]},"page":"e8-e11","title":"Extraesophageal Malignancies Among Patients With Barrett Esophagus","type":"article-journal","volume":"48"},"uris":["http://www.mendeley.com/documents/?uuid=2e1bea36-27e5-4792-9fa0-3d8e3648a7b3"]},{"id":"ITEM-6","itemData":{"DOI":"10.1080/00365520410004802","ISBN":"0036552041000","ISSN":"00365521","PMID":"15370691","abstract":"BACKGROUND: The relationship between Barrett's oesophagus and colorectal cancer and other extra-oesophageal malignancies (EOM) has been a matter of controversy. These relationships have therefore been examined in a prospective study design in the General Practice Research Database.\\n\\nMETHODS: Cohorts of patients having Barrett's oesophagus (n=1677), oesophagitis (n=6392), and simple reflux (n=6328), and a standard reference cohort representing the general population in the UK (n=13,416) were selected. The last three cohorts were matched to the Barrett's cohort by general practice, age and sex. Incident outcomes occurring beyond the first year of the follow-up were used for analyses. Hazard ratios and 95% confidence intervals were calculated using Cox's proportional hazards regression. The associations with cataract and oesophageal cancer were explored for comparison.\\n\\nRESULTS: Incident cases of 567 EOM (including 74 colorectal cancers), 448 cataract and 43 oesophageal cancers were used in the final analysis. The relative risks for colorectal cancer compared to the standard reference cohort were 1.16 (0.42-3.21) in the Barrett's cohort, 1.39 (0.76-2.54) in the oesophagitis cohort, and 0.93 (0.45-1.90) in the simple reflux cohort. The corresponding relative risks in the Barrett's cohort were 1.29 (0.90-1.85), 1.60 (1.10-2.32), and 10.56 (5.07-21.99) for EOM, cataract and oesophageal cancer, respectively.\\n\\nCONCLUSIONS: The risk of colorectal cancer was not higher in any of the Barrett's oesophagus, oesophagitis, or reflux cohorts compared to the general population. The explanations for the modest increase in the risk of EOM and cataract in the above cohorts are unclear but they may be mediated by ascertainment bias or shared risk factors.","author":[{"dropping-particle":"","family":"Solaymani-Dodaran","given":"M.","non-dropping-particle":"","parse-names":false,"suffix":""},{"dropping-particle":"","family":"Logan","given":"R. F.A.","non-dropping-particle":"","parse-names":false,"suffix":""},{"dropping-particle":"","family":"West","given":"J.","non-dropping-particle":"","parse-names":false,"suffix":""},{"dropping-particle":"","family":"Card","given":"T.","non-dropping-particle":"","parse-names":false,"suffix":""},{"dropping-particle":"","family":"Coupland","given":"C.","non-dropping-particle":"","parse-names":false,"suffix":""}],"container-title":"Scandinavian Journal of Gastroenterology","id":"ITEM-6","issue":"7","issued":{"date-parts":[["2004"]]},"page":"680-685","title":"Risk of extra-oesophageal malignancies and colorectal cancer in Barrett's oesophagus and gastro-oesophageal reflux","type":"article-journal","volume":"39"},"uris":["http://www.mendeley.com/documents/?uuid=be28a038-98ad-4bcc-8e6d-ddd19f8a8e5e"]}],"mendeley":{"formattedCitation":"&lt;sup&gt;[14,15,20–23]&lt;/sup&gt;","plainTextFormattedCitation":"[14,15,20–23]","previouslyFormattedCitation":"&lt;sup&gt;[14,15,20–23]&lt;/sup&gt;"},"properties":{"noteIndex":0},"schema":"https://github.com/citation-style-language/schema/raw/master/csl-citation.json"}</w:instrText>
      </w:r>
      <w:r w:rsidR="001A1EF7" w:rsidRPr="000315B4">
        <w:rPr>
          <w:sz w:val="24"/>
          <w:szCs w:val="24"/>
        </w:rPr>
        <w:fldChar w:fldCharType="separate"/>
      </w:r>
      <w:r w:rsidR="00164BEB" w:rsidRPr="000315B4">
        <w:rPr>
          <w:noProof/>
          <w:sz w:val="24"/>
          <w:szCs w:val="24"/>
          <w:vertAlign w:val="superscript"/>
        </w:rPr>
        <w:t>[14,15,20</w:t>
      </w:r>
      <w:r w:rsidR="00013E46">
        <w:rPr>
          <w:rFonts w:hint="eastAsia"/>
          <w:noProof/>
          <w:sz w:val="24"/>
          <w:szCs w:val="24"/>
          <w:vertAlign w:val="superscript"/>
          <w:lang w:eastAsia="zh-CN"/>
        </w:rPr>
        <w:t>-</w:t>
      </w:r>
      <w:r w:rsidR="00164BEB" w:rsidRPr="000315B4">
        <w:rPr>
          <w:noProof/>
          <w:sz w:val="24"/>
          <w:szCs w:val="24"/>
          <w:vertAlign w:val="superscript"/>
        </w:rPr>
        <w:t>23]</w:t>
      </w:r>
      <w:r w:rsidR="001A1EF7" w:rsidRPr="000315B4">
        <w:rPr>
          <w:sz w:val="24"/>
          <w:szCs w:val="24"/>
        </w:rPr>
        <w:fldChar w:fldCharType="end"/>
      </w:r>
      <w:r w:rsidR="001A1EF7" w:rsidRPr="000315B4">
        <w:rPr>
          <w:sz w:val="24"/>
          <w:szCs w:val="24"/>
        </w:rPr>
        <w:t xml:space="preserve">, </w:t>
      </w:r>
      <w:r w:rsidR="00F42A04" w:rsidRPr="000315B4">
        <w:rPr>
          <w:sz w:val="24"/>
          <w:szCs w:val="24"/>
        </w:rPr>
        <w:t xml:space="preserve">that cancer rates are even lower </w:t>
      </w:r>
      <w:r w:rsidR="003647DA" w:rsidRPr="000315B4">
        <w:rPr>
          <w:sz w:val="24"/>
          <w:szCs w:val="24"/>
        </w:rPr>
        <w:t>in</w:t>
      </w:r>
      <w:r w:rsidR="00F42A04" w:rsidRPr="000315B4">
        <w:rPr>
          <w:sz w:val="24"/>
          <w:szCs w:val="24"/>
        </w:rPr>
        <w:t xml:space="preserve"> subjects with no BE</w:t>
      </w:r>
      <w:r w:rsidR="008D2867" w:rsidRPr="000315B4">
        <w:rPr>
          <w:sz w:val="24"/>
          <w:szCs w:val="24"/>
        </w:rPr>
        <w:t xml:space="preserve">. </w:t>
      </w:r>
      <w:r w:rsidR="0050279A" w:rsidRPr="000315B4">
        <w:rPr>
          <w:sz w:val="24"/>
          <w:szCs w:val="24"/>
        </w:rPr>
        <w:t xml:space="preserve">Death as an outcome was determined in this study according </w:t>
      </w:r>
      <w:r w:rsidR="00F2375D" w:rsidRPr="000315B4">
        <w:rPr>
          <w:sz w:val="24"/>
          <w:szCs w:val="24"/>
        </w:rPr>
        <w:t>to ministry of health database, but</w:t>
      </w:r>
      <w:r w:rsidR="0050279A" w:rsidRPr="000315B4">
        <w:rPr>
          <w:sz w:val="24"/>
          <w:szCs w:val="24"/>
        </w:rPr>
        <w:t xml:space="preserve"> cancer specific </w:t>
      </w:r>
      <w:r w:rsidR="0050279A" w:rsidRPr="000315B4">
        <w:rPr>
          <w:sz w:val="24"/>
          <w:szCs w:val="24"/>
        </w:rPr>
        <w:lastRenderedPageBreak/>
        <w:t>mortality was not available and cannot be</w:t>
      </w:r>
      <w:r w:rsidR="00F2375D" w:rsidRPr="000315B4">
        <w:rPr>
          <w:sz w:val="24"/>
          <w:szCs w:val="24"/>
        </w:rPr>
        <w:t xml:space="preserve"> </w:t>
      </w:r>
      <w:r w:rsidR="000F30FD" w:rsidRPr="000315B4">
        <w:rPr>
          <w:sz w:val="24"/>
          <w:szCs w:val="24"/>
        </w:rPr>
        <w:t xml:space="preserve">associated with </w:t>
      </w:r>
      <w:r w:rsidR="0050279A" w:rsidRPr="000315B4">
        <w:rPr>
          <w:sz w:val="24"/>
          <w:szCs w:val="24"/>
        </w:rPr>
        <w:t>cancer morbidity.</w:t>
      </w:r>
      <w:r w:rsidR="00D93A2C" w:rsidRPr="000315B4">
        <w:rPr>
          <w:sz w:val="24"/>
          <w:szCs w:val="24"/>
        </w:rPr>
        <w:t xml:space="preserve"> </w:t>
      </w:r>
      <w:r w:rsidR="001F0ED4" w:rsidRPr="000315B4">
        <w:rPr>
          <w:sz w:val="24"/>
          <w:szCs w:val="24"/>
        </w:rPr>
        <w:t>Our</w:t>
      </w:r>
      <w:r w:rsidR="00D93A2C" w:rsidRPr="000315B4">
        <w:rPr>
          <w:sz w:val="24"/>
          <w:szCs w:val="24"/>
        </w:rPr>
        <w:t xml:space="preserve"> major limitation is the low statistical power due to the small number of </w:t>
      </w:r>
      <w:r w:rsidR="0041779D" w:rsidRPr="000315B4">
        <w:rPr>
          <w:sz w:val="24"/>
          <w:szCs w:val="24"/>
        </w:rPr>
        <w:t>patients</w:t>
      </w:r>
      <w:r w:rsidR="00D93A2C" w:rsidRPr="000315B4">
        <w:rPr>
          <w:sz w:val="24"/>
          <w:szCs w:val="24"/>
        </w:rPr>
        <w:t xml:space="preserve"> with HGD and incident cancers</w:t>
      </w:r>
      <w:r w:rsidR="001F0ED4" w:rsidRPr="000315B4">
        <w:rPr>
          <w:sz w:val="24"/>
          <w:szCs w:val="24"/>
        </w:rPr>
        <w:t>, which</w:t>
      </w:r>
      <w:r w:rsidR="00D93A2C" w:rsidRPr="000315B4">
        <w:rPr>
          <w:sz w:val="24"/>
          <w:szCs w:val="24"/>
        </w:rPr>
        <w:t xml:space="preserve"> reflect</w:t>
      </w:r>
      <w:r w:rsidR="00017D62" w:rsidRPr="000315B4">
        <w:rPr>
          <w:sz w:val="24"/>
          <w:szCs w:val="24"/>
        </w:rPr>
        <w:t>s</w:t>
      </w:r>
      <w:r w:rsidR="00D93A2C" w:rsidRPr="000315B4">
        <w:rPr>
          <w:sz w:val="24"/>
          <w:szCs w:val="24"/>
        </w:rPr>
        <w:t xml:space="preserve"> real life clinical data</w:t>
      </w:r>
      <w:r w:rsidR="0041779D" w:rsidRPr="000315B4">
        <w:rPr>
          <w:sz w:val="24"/>
          <w:szCs w:val="24"/>
        </w:rPr>
        <w:t xml:space="preserve"> of a</w:t>
      </w:r>
      <w:r w:rsidR="00383AA6" w:rsidRPr="000315B4">
        <w:rPr>
          <w:sz w:val="24"/>
          <w:szCs w:val="24"/>
        </w:rPr>
        <w:t>n uncommon</w:t>
      </w:r>
      <w:r w:rsidR="0041779D" w:rsidRPr="000315B4">
        <w:rPr>
          <w:sz w:val="24"/>
          <w:szCs w:val="24"/>
        </w:rPr>
        <w:t xml:space="preserve"> condition</w:t>
      </w:r>
      <w:r w:rsidR="001F0ED4" w:rsidRPr="000315B4">
        <w:rPr>
          <w:sz w:val="24"/>
          <w:szCs w:val="24"/>
        </w:rPr>
        <w:t>.</w:t>
      </w:r>
      <w:r w:rsidR="00D93A2C" w:rsidRPr="000315B4">
        <w:rPr>
          <w:sz w:val="24"/>
          <w:szCs w:val="24"/>
        </w:rPr>
        <w:t xml:space="preserve"> </w:t>
      </w:r>
      <w:r w:rsidR="000F2A3F">
        <w:rPr>
          <w:sz w:val="24"/>
          <w:szCs w:val="24"/>
        </w:rPr>
        <w:t>In addition, the</w:t>
      </w:r>
      <w:r w:rsidR="00360988" w:rsidRPr="000315B4">
        <w:rPr>
          <w:sz w:val="24"/>
          <w:szCs w:val="24"/>
        </w:rPr>
        <w:t xml:space="preserve"> majority of patients were male, as prevalent in other studies</w:t>
      </w:r>
      <w:r w:rsidR="0000179C" w:rsidRPr="000315B4">
        <w:rPr>
          <w:sz w:val="24"/>
          <w:szCs w:val="24"/>
        </w:rPr>
        <w:fldChar w:fldCharType="begin" w:fldLock="1"/>
      </w:r>
      <w:r w:rsidR="0000179C" w:rsidRPr="000315B4">
        <w:rPr>
          <w:sz w:val="24"/>
          <w:szCs w:val="24"/>
        </w:rPr>
        <w:instrText>ADDIN CSL_CITATION {"citationItems":[{"id":"ITEM-1","itemData":{"DOI":"10.1093/aje/kwi325","ISBN":"0002-9262 (Print)\\n0002-9262 (Linking)","ISSN":"0002-9262 (Print) 0002-9262","PMID":"16221805","abstract":"Barrett's esophagus is associated with reflux disease and substantially increases the risk of esophageal adenocarcinoma. The authors undertook a systematic review and meta-analysis of the sex ratio for Barrett's esophagus, erosive reflux disease (ERD), and nonerosive reflux disease (non-ERD) to compare these results with the sex ratio for esophageal adenocarcinoma. MEDLINE (US National Library of Medicine, Bethesda, Maryland) (1966-2004) and EMBASE (Reed Elsevier PLC, Amsterdam, Netherlands) (1980-2004) were searched for relevant citations with a highly sensitive search strategy. Studies to be included required a sample size of 50 or more patients and consecutive recruitment at an institute accessible by all. Stata, version 8.2, software (StataCorp LP, College Station, Texas) was used to conduct random effects meta-analyses. Excess heterogeneity was investigated by meta-regression. The Barrett's esophagus meta-analysis gave an overall pooled male/female sex ratio of 1.96/1 (95% confidence interval (CI): 1.77, 2.17/1). For ERD, the pooled male/female sex ratio was 1.57/1 (95% CI: 1.40, 1.76/1) and, for non-ERD, 0.72/1 (95% CI: 0.62, 0.84/1). All of these estimates were associated with substantial heterogeneity (I2 = 81.1%, 92.7%, and 88.8%, respectively). The meta-analysis estimates for ERD and Barrett's esophagus, while showing an excess of males, are substantially lower than similar estimates for esophageal adenocarcinoma. It is important to establish why male Barrett's esophagus and ERD patients are at increased risk of malignancy compared with females.","author":[{"dropping-particle":"","family":"Cook","given":"M B","non-dropping-particle":"","parse-names":false,"suffix":""},{"dropping-particle":"","family":"Wild","given":"C P","non-dropping-particle":"","parse-names":false,"suffix":""},{"dropping-particle":"","family":"Forman","given":"D","non-dropping-particle":"","parse-names":false,"suffix":""}],"container-title":"Am J Epidemiol","id":"ITEM-1","issued":{"date-parts":[["2005"]]},"title":"A systematic review and meta-analysis of the sex ratio for Barrett's esophagus, erosive reflux disease, and nonerosive reflux disease","type":"article-journal"},"uris":["http://www.mendeley.com/documents/?uuid=52e8058b-de14-494e-aaf9-ebef1749cf72"]}],"mendeley":{"formattedCitation":"&lt;sup&gt;[41]&lt;/sup&gt;","plainTextFormattedCitation":"[41]"},"properties":{"noteIndex":0},"schema":"https://github.com/citation-style-language/schema/raw/master/csl-citation.json"}</w:instrText>
      </w:r>
      <w:r w:rsidR="0000179C" w:rsidRPr="000315B4">
        <w:rPr>
          <w:sz w:val="24"/>
          <w:szCs w:val="24"/>
        </w:rPr>
        <w:fldChar w:fldCharType="separate"/>
      </w:r>
      <w:r w:rsidR="0000179C" w:rsidRPr="000315B4">
        <w:rPr>
          <w:noProof/>
          <w:sz w:val="24"/>
          <w:szCs w:val="24"/>
          <w:vertAlign w:val="superscript"/>
        </w:rPr>
        <w:t>[41]</w:t>
      </w:r>
      <w:r w:rsidR="0000179C" w:rsidRPr="000315B4">
        <w:rPr>
          <w:sz w:val="24"/>
          <w:szCs w:val="24"/>
        </w:rPr>
        <w:fldChar w:fldCharType="end"/>
      </w:r>
      <w:r w:rsidR="00360988" w:rsidRPr="000315B4">
        <w:rPr>
          <w:sz w:val="24"/>
          <w:szCs w:val="24"/>
        </w:rPr>
        <w:t>. Gender may act as a confounder when addressing cancer morbidity (as with prostate and breast cancer</w:t>
      </w:r>
      <w:r w:rsidR="00131602" w:rsidRPr="000315B4">
        <w:rPr>
          <w:sz w:val="24"/>
          <w:szCs w:val="24"/>
        </w:rPr>
        <w:t xml:space="preserve">). Again, this reflects reality in many centers treating patients with BE. </w:t>
      </w:r>
    </w:p>
    <w:p w14:paraId="47A54513" w14:textId="77777777" w:rsidR="00F42A04" w:rsidRPr="000315B4" w:rsidRDefault="003B359A" w:rsidP="000315B4">
      <w:pPr>
        <w:widowControl w:val="0"/>
        <w:adjustRightInd w:val="0"/>
        <w:snapToGrid w:val="0"/>
        <w:spacing w:line="360" w:lineRule="auto"/>
        <w:ind w:firstLineChars="100" w:firstLine="240"/>
        <w:jc w:val="both"/>
        <w:rPr>
          <w:sz w:val="24"/>
          <w:szCs w:val="24"/>
        </w:rPr>
      </w:pPr>
      <w:r w:rsidRPr="000315B4">
        <w:rPr>
          <w:sz w:val="24"/>
          <w:szCs w:val="24"/>
        </w:rPr>
        <w:t xml:space="preserve">The </w:t>
      </w:r>
      <w:r w:rsidR="00F42A04" w:rsidRPr="000315B4">
        <w:rPr>
          <w:sz w:val="24"/>
          <w:szCs w:val="24"/>
        </w:rPr>
        <w:t>advantage</w:t>
      </w:r>
      <w:r w:rsidRPr="000315B4">
        <w:rPr>
          <w:sz w:val="24"/>
          <w:szCs w:val="24"/>
        </w:rPr>
        <w:t>s</w:t>
      </w:r>
      <w:r w:rsidR="00F42A04" w:rsidRPr="000315B4">
        <w:rPr>
          <w:sz w:val="24"/>
          <w:szCs w:val="24"/>
        </w:rPr>
        <w:t xml:space="preserve"> of </w:t>
      </w:r>
      <w:r w:rsidRPr="000315B4">
        <w:rPr>
          <w:sz w:val="24"/>
          <w:szCs w:val="24"/>
        </w:rPr>
        <w:t xml:space="preserve">our study </w:t>
      </w:r>
      <w:r w:rsidR="000E5444" w:rsidRPr="000315B4">
        <w:rPr>
          <w:sz w:val="24"/>
          <w:szCs w:val="24"/>
        </w:rPr>
        <w:t xml:space="preserve">include </w:t>
      </w:r>
      <w:r w:rsidRPr="000315B4">
        <w:rPr>
          <w:sz w:val="24"/>
          <w:szCs w:val="24"/>
        </w:rPr>
        <w:t xml:space="preserve">a prospective comprehensive 6 year follow up of a relatively large </w:t>
      </w:r>
      <w:r w:rsidR="00283660" w:rsidRPr="000315B4">
        <w:rPr>
          <w:sz w:val="24"/>
          <w:szCs w:val="24"/>
        </w:rPr>
        <w:t xml:space="preserve">number </w:t>
      </w:r>
      <w:r w:rsidRPr="000315B4">
        <w:rPr>
          <w:sz w:val="24"/>
          <w:szCs w:val="24"/>
        </w:rPr>
        <w:t xml:space="preserve">of consecutive BE patients within </w:t>
      </w:r>
      <w:r w:rsidR="00F42A04" w:rsidRPr="000315B4">
        <w:rPr>
          <w:sz w:val="24"/>
          <w:szCs w:val="24"/>
        </w:rPr>
        <w:t>a single referral center</w:t>
      </w:r>
      <w:r w:rsidR="00383AA6" w:rsidRPr="000315B4">
        <w:rPr>
          <w:sz w:val="24"/>
          <w:szCs w:val="24"/>
        </w:rPr>
        <w:t>,</w:t>
      </w:r>
      <w:r w:rsidR="003D6754" w:rsidRPr="000315B4">
        <w:rPr>
          <w:sz w:val="24"/>
          <w:szCs w:val="24"/>
        </w:rPr>
        <w:t xml:space="preserve"> enabling a uniform data collection and </w:t>
      </w:r>
      <w:r w:rsidR="00F42A04" w:rsidRPr="000315B4">
        <w:rPr>
          <w:sz w:val="24"/>
          <w:szCs w:val="24"/>
        </w:rPr>
        <w:t>full</w:t>
      </w:r>
      <w:r w:rsidR="001F0ED4" w:rsidRPr="000315B4">
        <w:rPr>
          <w:sz w:val="24"/>
          <w:szCs w:val="24"/>
        </w:rPr>
        <w:t>y</w:t>
      </w:r>
      <w:r w:rsidR="00F42A04" w:rsidRPr="000315B4">
        <w:rPr>
          <w:sz w:val="24"/>
          <w:szCs w:val="24"/>
        </w:rPr>
        <w:t xml:space="preserve"> verified clinical</w:t>
      </w:r>
      <w:r w:rsidR="001F0ED4" w:rsidRPr="000315B4">
        <w:rPr>
          <w:sz w:val="24"/>
          <w:szCs w:val="24"/>
        </w:rPr>
        <w:t>,</w:t>
      </w:r>
      <w:r w:rsidR="00F42A04" w:rsidRPr="000315B4">
        <w:rPr>
          <w:sz w:val="24"/>
          <w:szCs w:val="24"/>
        </w:rPr>
        <w:t xml:space="preserve"> endoscopic and revised histologic data.</w:t>
      </w:r>
      <w:r w:rsidR="00186F60" w:rsidRPr="000315B4">
        <w:rPr>
          <w:sz w:val="24"/>
          <w:szCs w:val="24"/>
        </w:rPr>
        <w:t xml:space="preserve"> </w:t>
      </w:r>
    </w:p>
    <w:p w14:paraId="2A57C9E3" w14:textId="77777777" w:rsidR="008F5D4F" w:rsidRPr="000315B4" w:rsidRDefault="008F5D4F" w:rsidP="000315B4">
      <w:pPr>
        <w:widowControl w:val="0"/>
        <w:adjustRightInd w:val="0"/>
        <w:snapToGrid w:val="0"/>
        <w:spacing w:line="360" w:lineRule="auto"/>
        <w:ind w:firstLineChars="100" w:firstLine="240"/>
        <w:jc w:val="both"/>
        <w:rPr>
          <w:sz w:val="24"/>
          <w:szCs w:val="24"/>
        </w:rPr>
      </w:pPr>
      <w:r w:rsidRPr="000315B4">
        <w:rPr>
          <w:sz w:val="24"/>
          <w:szCs w:val="24"/>
        </w:rPr>
        <w:t xml:space="preserve">In conclusion, </w:t>
      </w:r>
      <w:r w:rsidR="00E839B2" w:rsidRPr="000315B4">
        <w:rPr>
          <w:sz w:val="24"/>
          <w:szCs w:val="24"/>
        </w:rPr>
        <w:t>in our cohort</w:t>
      </w:r>
      <w:r w:rsidRPr="000315B4">
        <w:rPr>
          <w:sz w:val="24"/>
          <w:szCs w:val="24"/>
        </w:rPr>
        <w:t xml:space="preserve"> we found </w:t>
      </w:r>
      <w:r w:rsidR="00283660" w:rsidRPr="000315B4">
        <w:rPr>
          <w:sz w:val="24"/>
          <w:szCs w:val="24"/>
        </w:rPr>
        <w:t xml:space="preserve">an </w:t>
      </w:r>
      <w:r w:rsidRPr="000315B4">
        <w:rPr>
          <w:sz w:val="24"/>
          <w:szCs w:val="24"/>
        </w:rPr>
        <w:t>en</w:t>
      </w:r>
      <w:r w:rsidR="001A4058" w:rsidRPr="000315B4">
        <w:rPr>
          <w:sz w:val="24"/>
          <w:szCs w:val="24"/>
        </w:rPr>
        <w:t>doscopic and histologic profile</w:t>
      </w:r>
      <w:r w:rsidRPr="000315B4">
        <w:rPr>
          <w:sz w:val="24"/>
          <w:szCs w:val="24"/>
        </w:rPr>
        <w:t xml:space="preserve"> comparable to other </w:t>
      </w:r>
      <w:r w:rsidR="00283660" w:rsidRPr="000315B4">
        <w:rPr>
          <w:sz w:val="24"/>
          <w:szCs w:val="24"/>
        </w:rPr>
        <w:t>W</w:t>
      </w:r>
      <w:r w:rsidRPr="000315B4">
        <w:rPr>
          <w:sz w:val="24"/>
          <w:szCs w:val="24"/>
        </w:rPr>
        <w:t>estern world data.</w:t>
      </w:r>
      <w:r w:rsidR="005D2B49" w:rsidRPr="000315B4">
        <w:rPr>
          <w:sz w:val="24"/>
          <w:szCs w:val="24"/>
        </w:rPr>
        <w:t xml:space="preserve"> Non-BE related malignancies were more prevalent, and</w:t>
      </w:r>
      <w:r w:rsidRPr="000315B4">
        <w:rPr>
          <w:sz w:val="24"/>
          <w:szCs w:val="24"/>
        </w:rPr>
        <w:t xml:space="preserve"> </w:t>
      </w:r>
      <w:r w:rsidR="00912348" w:rsidRPr="000315B4">
        <w:rPr>
          <w:sz w:val="24"/>
          <w:szCs w:val="24"/>
        </w:rPr>
        <w:t xml:space="preserve">significantly </w:t>
      </w:r>
      <w:r w:rsidRPr="000315B4">
        <w:rPr>
          <w:sz w:val="24"/>
          <w:szCs w:val="24"/>
        </w:rPr>
        <w:t>associated with</w:t>
      </w:r>
      <w:r w:rsidR="005D2B49" w:rsidRPr="000315B4">
        <w:rPr>
          <w:sz w:val="24"/>
          <w:szCs w:val="24"/>
        </w:rPr>
        <w:t xml:space="preserve"> HGD</w:t>
      </w:r>
      <w:r w:rsidR="00C14AFA" w:rsidRPr="000315B4">
        <w:rPr>
          <w:sz w:val="24"/>
          <w:szCs w:val="24"/>
        </w:rPr>
        <w:t xml:space="preserve"> as well as BE related malignancies</w:t>
      </w:r>
      <w:r w:rsidR="001B6FBF" w:rsidRPr="000315B4">
        <w:rPr>
          <w:sz w:val="24"/>
          <w:szCs w:val="24"/>
        </w:rPr>
        <w:t xml:space="preserve"> in comparison with non HGD BE</w:t>
      </w:r>
      <w:r w:rsidRPr="000315B4">
        <w:rPr>
          <w:sz w:val="24"/>
          <w:szCs w:val="24"/>
        </w:rPr>
        <w:t xml:space="preserve">. </w:t>
      </w:r>
      <w:r w:rsidR="004E3100" w:rsidRPr="000315B4">
        <w:rPr>
          <w:sz w:val="24"/>
          <w:szCs w:val="24"/>
        </w:rPr>
        <w:t>Our findings</w:t>
      </w:r>
      <w:r w:rsidRPr="000315B4">
        <w:rPr>
          <w:sz w:val="24"/>
          <w:szCs w:val="24"/>
        </w:rPr>
        <w:t xml:space="preserve"> suggest </w:t>
      </w:r>
      <w:r w:rsidR="0055069A" w:rsidRPr="000315B4">
        <w:rPr>
          <w:sz w:val="24"/>
          <w:szCs w:val="24"/>
        </w:rPr>
        <w:t xml:space="preserve">BE </w:t>
      </w:r>
      <w:r w:rsidR="00186F60" w:rsidRPr="000315B4">
        <w:rPr>
          <w:sz w:val="24"/>
          <w:szCs w:val="24"/>
        </w:rPr>
        <w:t>patients</w:t>
      </w:r>
      <w:r w:rsidR="000E5444" w:rsidRPr="000315B4">
        <w:rPr>
          <w:sz w:val="24"/>
          <w:szCs w:val="24"/>
        </w:rPr>
        <w:t xml:space="preserve"> with</w:t>
      </w:r>
      <w:r w:rsidRPr="000315B4">
        <w:rPr>
          <w:sz w:val="24"/>
          <w:szCs w:val="24"/>
        </w:rPr>
        <w:t xml:space="preserve"> HGD</w:t>
      </w:r>
      <w:r w:rsidR="00F66AC7" w:rsidRPr="000315B4">
        <w:rPr>
          <w:sz w:val="24"/>
          <w:szCs w:val="24"/>
        </w:rPr>
        <w:t xml:space="preserve"> </w:t>
      </w:r>
      <w:r w:rsidR="000E5444" w:rsidRPr="000315B4">
        <w:rPr>
          <w:sz w:val="24"/>
          <w:szCs w:val="24"/>
        </w:rPr>
        <w:t xml:space="preserve">may </w:t>
      </w:r>
      <w:r w:rsidR="00822B98" w:rsidRPr="000315B4">
        <w:rPr>
          <w:sz w:val="24"/>
          <w:szCs w:val="24"/>
        </w:rPr>
        <w:t>have</w:t>
      </w:r>
      <w:r w:rsidR="00F66AC7" w:rsidRPr="000315B4">
        <w:rPr>
          <w:sz w:val="24"/>
          <w:szCs w:val="24"/>
        </w:rPr>
        <w:t xml:space="preserve"> a significantly higher overall risk for cancer morbidity. </w:t>
      </w:r>
      <w:r w:rsidR="003D46A9" w:rsidRPr="000315B4">
        <w:rPr>
          <w:sz w:val="24"/>
          <w:szCs w:val="24"/>
        </w:rPr>
        <w:t>This may imply endoscopic surveillance for BE patients could aid in prediction of all</w:t>
      </w:r>
      <w:r w:rsidR="00377F42" w:rsidRPr="000315B4">
        <w:rPr>
          <w:sz w:val="24"/>
          <w:szCs w:val="24"/>
        </w:rPr>
        <w:t xml:space="preserve">-cause </w:t>
      </w:r>
      <w:r w:rsidR="003D46A9" w:rsidRPr="000315B4">
        <w:rPr>
          <w:sz w:val="24"/>
          <w:szCs w:val="24"/>
        </w:rPr>
        <w:t xml:space="preserve">cancer </w:t>
      </w:r>
      <w:r w:rsidR="00325EA7" w:rsidRPr="000315B4">
        <w:rPr>
          <w:sz w:val="24"/>
          <w:szCs w:val="24"/>
        </w:rPr>
        <w:t>risk and</w:t>
      </w:r>
      <w:r w:rsidR="003D46A9" w:rsidRPr="000315B4">
        <w:rPr>
          <w:sz w:val="24"/>
          <w:szCs w:val="24"/>
        </w:rPr>
        <w:t xml:space="preserve"> encourage current cancer prevention measures such as lifestyle modification and appropriate cancer screening among patients. Further characterization of cancer morbidity and mortality profile among patients with BE should follow with large population-based studies</w:t>
      </w:r>
      <w:r w:rsidR="00C423CF" w:rsidRPr="000315B4">
        <w:rPr>
          <w:sz w:val="24"/>
          <w:szCs w:val="24"/>
        </w:rPr>
        <w:t>.</w:t>
      </w:r>
    </w:p>
    <w:p w14:paraId="4728E22B" w14:textId="7B979326" w:rsidR="00007844" w:rsidRPr="000315B4" w:rsidRDefault="00007844" w:rsidP="007804E8">
      <w:pPr>
        <w:widowControl w:val="0"/>
        <w:adjustRightInd w:val="0"/>
        <w:snapToGrid w:val="0"/>
        <w:spacing w:line="360" w:lineRule="auto"/>
        <w:jc w:val="both"/>
        <w:rPr>
          <w:sz w:val="24"/>
          <w:szCs w:val="24"/>
          <w:lang w:eastAsia="zh-CN"/>
        </w:rPr>
      </w:pPr>
    </w:p>
    <w:p w14:paraId="067958F4" w14:textId="77777777" w:rsidR="00007844" w:rsidRPr="000315B4" w:rsidRDefault="00007844" w:rsidP="007804E8">
      <w:pPr>
        <w:widowControl w:val="0"/>
        <w:adjustRightInd w:val="0"/>
        <w:snapToGrid w:val="0"/>
        <w:spacing w:line="360" w:lineRule="auto"/>
        <w:jc w:val="both"/>
        <w:rPr>
          <w:b/>
          <w:i/>
          <w:sz w:val="24"/>
          <w:szCs w:val="24"/>
        </w:rPr>
      </w:pPr>
      <w:r w:rsidRPr="000315B4">
        <w:rPr>
          <w:b/>
          <w:i/>
          <w:sz w:val="24"/>
          <w:szCs w:val="24"/>
        </w:rPr>
        <w:t>Research background</w:t>
      </w:r>
    </w:p>
    <w:p w14:paraId="78563585" w14:textId="5EF2C869" w:rsidR="00007844" w:rsidRPr="000315B4" w:rsidRDefault="0082010A" w:rsidP="007804E8">
      <w:pPr>
        <w:widowControl w:val="0"/>
        <w:adjustRightInd w:val="0"/>
        <w:snapToGrid w:val="0"/>
        <w:spacing w:line="360" w:lineRule="auto"/>
        <w:jc w:val="both"/>
        <w:rPr>
          <w:sz w:val="24"/>
          <w:szCs w:val="24"/>
        </w:rPr>
      </w:pPr>
      <w:r w:rsidRPr="000315B4">
        <w:rPr>
          <w:sz w:val="24"/>
          <w:szCs w:val="24"/>
        </w:rPr>
        <w:t xml:space="preserve">Patients with Barrett’s esophagus (BE) are at risk for esophageal adenocarcinoma, and </w:t>
      </w:r>
      <w:r w:rsidR="008F3FA4" w:rsidRPr="000315B4">
        <w:rPr>
          <w:sz w:val="24"/>
          <w:szCs w:val="24"/>
        </w:rPr>
        <w:t>surveillance is recommended. However, non-esophageal cancer is the leading cause of death in this population. This raises questions about the focus we give to surveillance for esophageal cancer</w:t>
      </w:r>
      <w:r w:rsidR="002B193F" w:rsidRPr="000315B4">
        <w:rPr>
          <w:sz w:val="24"/>
          <w:szCs w:val="24"/>
        </w:rPr>
        <w:t xml:space="preserve">, and the need for broader </w:t>
      </w:r>
      <w:r w:rsidR="000A057B" w:rsidRPr="000315B4">
        <w:rPr>
          <w:sz w:val="24"/>
          <w:szCs w:val="24"/>
        </w:rPr>
        <w:t>cancer</w:t>
      </w:r>
      <w:r w:rsidR="002B193F" w:rsidRPr="000315B4">
        <w:rPr>
          <w:sz w:val="24"/>
          <w:szCs w:val="24"/>
        </w:rPr>
        <w:t xml:space="preserve"> surveillance.</w:t>
      </w:r>
    </w:p>
    <w:p w14:paraId="04198034" w14:textId="77777777" w:rsidR="00007844" w:rsidRPr="000315B4" w:rsidRDefault="00007844" w:rsidP="007804E8">
      <w:pPr>
        <w:widowControl w:val="0"/>
        <w:adjustRightInd w:val="0"/>
        <w:snapToGrid w:val="0"/>
        <w:spacing w:line="360" w:lineRule="auto"/>
        <w:jc w:val="both"/>
        <w:rPr>
          <w:sz w:val="24"/>
          <w:szCs w:val="24"/>
          <w:lang w:eastAsia="zh-CN"/>
        </w:rPr>
      </w:pPr>
    </w:p>
    <w:p w14:paraId="61580615" w14:textId="77777777" w:rsidR="00007844" w:rsidRPr="000315B4" w:rsidRDefault="00007844" w:rsidP="007804E8">
      <w:pPr>
        <w:widowControl w:val="0"/>
        <w:adjustRightInd w:val="0"/>
        <w:snapToGrid w:val="0"/>
        <w:spacing w:line="360" w:lineRule="auto"/>
        <w:jc w:val="both"/>
        <w:rPr>
          <w:b/>
          <w:i/>
          <w:sz w:val="24"/>
          <w:szCs w:val="24"/>
        </w:rPr>
      </w:pPr>
      <w:r w:rsidRPr="000315B4">
        <w:rPr>
          <w:b/>
          <w:i/>
          <w:sz w:val="24"/>
          <w:szCs w:val="24"/>
        </w:rPr>
        <w:t>Research motivation</w:t>
      </w:r>
    </w:p>
    <w:p w14:paraId="08EE4081" w14:textId="7364C042" w:rsidR="00007844" w:rsidRPr="000315B4" w:rsidRDefault="008F3FA4" w:rsidP="007804E8">
      <w:pPr>
        <w:widowControl w:val="0"/>
        <w:adjustRightInd w:val="0"/>
        <w:snapToGrid w:val="0"/>
        <w:spacing w:line="360" w:lineRule="auto"/>
        <w:jc w:val="both"/>
        <w:rPr>
          <w:sz w:val="24"/>
          <w:szCs w:val="24"/>
        </w:rPr>
      </w:pPr>
      <w:r w:rsidRPr="000315B4">
        <w:rPr>
          <w:sz w:val="24"/>
          <w:szCs w:val="24"/>
        </w:rPr>
        <w:t xml:space="preserve">We wanted to better describe the non-esophageal cancer morbidity in patients with BE, </w:t>
      </w:r>
      <w:r w:rsidRPr="000315B4">
        <w:rPr>
          <w:sz w:val="24"/>
          <w:szCs w:val="24"/>
        </w:rPr>
        <w:lastRenderedPageBreak/>
        <w:t xml:space="preserve">and specifically in </w:t>
      </w:r>
      <w:r w:rsidR="000A057B" w:rsidRPr="000315B4">
        <w:rPr>
          <w:sz w:val="24"/>
          <w:szCs w:val="24"/>
        </w:rPr>
        <w:t xml:space="preserve">patients </w:t>
      </w:r>
      <w:r w:rsidRPr="000315B4">
        <w:rPr>
          <w:sz w:val="24"/>
          <w:szCs w:val="24"/>
        </w:rPr>
        <w:t>with high grade dysplasia (HGD). Finding that patients with HGD carry a higher non-esophageal cancer risk can direct efforts and resources for cancer prevention.</w:t>
      </w:r>
    </w:p>
    <w:p w14:paraId="75F97272" w14:textId="77777777" w:rsidR="00007844" w:rsidRPr="000315B4" w:rsidRDefault="00007844" w:rsidP="007804E8">
      <w:pPr>
        <w:widowControl w:val="0"/>
        <w:adjustRightInd w:val="0"/>
        <w:snapToGrid w:val="0"/>
        <w:spacing w:line="360" w:lineRule="auto"/>
        <w:jc w:val="both"/>
        <w:rPr>
          <w:sz w:val="24"/>
          <w:szCs w:val="24"/>
          <w:lang w:eastAsia="zh-CN"/>
        </w:rPr>
      </w:pPr>
    </w:p>
    <w:p w14:paraId="7DA86563" w14:textId="77777777" w:rsidR="00007844" w:rsidRPr="000315B4" w:rsidRDefault="00007844" w:rsidP="007804E8">
      <w:pPr>
        <w:widowControl w:val="0"/>
        <w:adjustRightInd w:val="0"/>
        <w:snapToGrid w:val="0"/>
        <w:spacing w:line="360" w:lineRule="auto"/>
        <w:jc w:val="both"/>
        <w:rPr>
          <w:b/>
          <w:i/>
          <w:sz w:val="24"/>
          <w:szCs w:val="24"/>
        </w:rPr>
      </w:pPr>
      <w:r w:rsidRPr="000315B4">
        <w:rPr>
          <w:b/>
          <w:i/>
          <w:sz w:val="24"/>
          <w:szCs w:val="24"/>
        </w:rPr>
        <w:t xml:space="preserve">Research objectives </w:t>
      </w:r>
    </w:p>
    <w:p w14:paraId="54EDBD24" w14:textId="1CF7C568" w:rsidR="002B193F" w:rsidRPr="000315B4" w:rsidRDefault="002B193F" w:rsidP="007804E8">
      <w:pPr>
        <w:widowControl w:val="0"/>
        <w:adjustRightInd w:val="0"/>
        <w:snapToGrid w:val="0"/>
        <w:spacing w:line="360" w:lineRule="auto"/>
        <w:jc w:val="both"/>
        <w:rPr>
          <w:sz w:val="24"/>
          <w:szCs w:val="24"/>
        </w:rPr>
      </w:pPr>
      <w:r w:rsidRPr="000315B4">
        <w:rPr>
          <w:sz w:val="24"/>
          <w:szCs w:val="24"/>
        </w:rPr>
        <w:t>We aimed to describe the non-esophageal cancer morbidity in patients with BE, and to test whether patients with HGD have a higher risk as compa</w:t>
      </w:r>
      <w:r w:rsidR="000315B4" w:rsidRPr="000315B4">
        <w:rPr>
          <w:sz w:val="24"/>
          <w:szCs w:val="24"/>
        </w:rPr>
        <w:t>red to low grade dysplasia</w:t>
      </w:r>
      <w:r w:rsidRPr="000315B4">
        <w:rPr>
          <w:sz w:val="24"/>
          <w:szCs w:val="24"/>
        </w:rPr>
        <w:t xml:space="preserve">. Indeed, in this study we have shown that </w:t>
      </w:r>
      <w:r w:rsidR="001D6537" w:rsidRPr="000315B4">
        <w:rPr>
          <w:sz w:val="24"/>
          <w:szCs w:val="24"/>
        </w:rPr>
        <w:t>compared to non-HGD, patients with HGD have a lower all cancer and non-BE cancer free survival.</w:t>
      </w:r>
      <w:r w:rsidRPr="000315B4">
        <w:rPr>
          <w:sz w:val="24"/>
          <w:szCs w:val="24"/>
        </w:rPr>
        <w:t xml:space="preserve"> The significance of these findings is in the recognition of the importance of total cancer surveillance in these patients. In addition, by comparing non-esophageal cancer morbidity in HGD and less dysplastic BE, we show the added value of information received in surveillance endoscopies. These findings put the foundations for la</w:t>
      </w:r>
      <w:r w:rsidR="001D6537" w:rsidRPr="000315B4">
        <w:rPr>
          <w:sz w:val="24"/>
          <w:szCs w:val="24"/>
        </w:rPr>
        <w:t>r</w:t>
      </w:r>
      <w:r w:rsidRPr="000315B4">
        <w:rPr>
          <w:sz w:val="24"/>
          <w:szCs w:val="24"/>
        </w:rPr>
        <w:t xml:space="preserve">ger cohort studies, preferably multi-center for reaching a significant number of patients. </w:t>
      </w:r>
    </w:p>
    <w:p w14:paraId="16B922D7" w14:textId="77777777" w:rsidR="00007844" w:rsidRPr="000315B4" w:rsidRDefault="00007844" w:rsidP="007804E8">
      <w:pPr>
        <w:widowControl w:val="0"/>
        <w:adjustRightInd w:val="0"/>
        <w:snapToGrid w:val="0"/>
        <w:spacing w:line="360" w:lineRule="auto"/>
        <w:jc w:val="both"/>
        <w:rPr>
          <w:sz w:val="24"/>
          <w:szCs w:val="24"/>
        </w:rPr>
      </w:pPr>
    </w:p>
    <w:p w14:paraId="577A491A" w14:textId="77777777" w:rsidR="00007844" w:rsidRPr="000315B4" w:rsidRDefault="00007844" w:rsidP="007804E8">
      <w:pPr>
        <w:widowControl w:val="0"/>
        <w:adjustRightInd w:val="0"/>
        <w:snapToGrid w:val="0"/>
        <w:spacing w:line="360" w:lineRule="auto"/>
        <w:jc w:val="both"/>
        <w:rPr>
          <w:b/>
          <w:i/>
          <w:sz w:val="24"/>
          <w:szCs w:val="24"/>
        </w:rPr>
      </w:pPr>
      <w:r w:rsidRPr="000315B4">
        <w:rPr>
          <w:b/>
          <w:i/>
          <w:sz w:val="24"/>
          <w:szCs w:val="24"/>
        </w:rPr>
        <w:t>Research methods</w:t>
      </w:r>
    </w:p>
    <w:p w14:paraId="0A854210" w14:textId="563E4536" w:rsidR="00007844" w:rsidRPr="000315B4" w:rsidRDefault="002A484F" w:rsidP="007804E8">
      <w:pPr>
        <w:widowControl w:val="0"/>
        <w:adjustRightInd w:val="0"/>
        <w:snapToGrid w:val="0"/>
        <w:spacing w:line="360" w:lineRule="auto"/>
        <w:jc w:val="both"/>
        <w:rPr>
          <w:sz w:val="24"/>
          <w:szCs w:val="24"/>
          <w:lang w:eastAsia="zh-CN"/>
        </w:rPr>
      </w:pPr>
      <w:r w:rsidRPr="000315B4">
        <w:rPr>
          <w:sz w:val="24"/>
          <w:szCs w:val="24"/>
        </w:rPr>
        <w:t>E</w:t>
      </w:r>
      <w:r w:rsidR="00E96E11" w:rsidRPr="000315B4">
        <w:rPr>
          <w:sz w:val="24"/>
          <w:szCs w:val="24"/>
        </w:rPr>
        <w:t xml:space="preserve">ndoscopic and histologic data were collected, and cancer morbidity data were retrieved from the national cancer registry. </w:t>
      </w:r>
      <w:r w:rsidRPr="000315B4">
        <w:rPr>
          <w:sz w:val="24"/>
          <w:szCs w:val="24"/>
        </w:rPr>
        <w:t>W</w:t>
      </w:r>
      <w:r w:rsidR="00E96E11" w:rsidRPr="000315B4">
        <w:rPr>
          <w:sz w:val="24"/>
          <w:szCs w:val="24"/>
        </w:rPr>
        <w:t>e compared non-e</w:t>
      </w:r>
      <w:r w:rsidR="000315B4">
        <w:rPr>
          <w:rFonts w:hint="eastAsia"/>
          <w:sz w:val="24"/>
          <w:szCs w:val="24"/>
          <w:lang w:eastAsia="zh-CN"/>
        </w:rPr>
        <w:t>s</w:t>
      </w:r>
      <w:r w:rsidR="00E96E11" w:rsidRPr="000315B4">
        <w:rPr>
          <w:sz w:val="24"/>
          <w:szCs w:val="24"/>
        </w:rPr>
        <w:t>ophageal cancers, all cancer</w:t>
      </w:r>
      <w:r w:rsidR="0054698A" w:rsidRPr="000315B4">
        <w:rPr>
          <w:sz w:val="24"/>
          <w:szCs w:val="24"/>
        </w:rPr>
        <w:t>s</w:t>
      </w:r>
      <w:r w:rsidR="00E96E11" w:rsidRPr="000315B4">
        <w:rPr>
          <w:sz w:val="24"/>
          <w:szCs w:val="24"/>
        </w:rPr>
        <w:t xml:space="preserve"> and mortality between patients with HGD and less dysplastic BE. Cancer free survival analysis was done.</w:t>
      </w:r>
    </w:p>
    <w:p w14:paraId="35441550" w14:textId="77777777" w:rsidR="00007844" w:rsidRPr="000315B4" w:rsidRDefault="00007844" w:rsidP="007804E8">
      <w:pPr>
        <w:widowControl w:val="0"/>
        <w:adjustRightInd w:val="0"/>
        <w:snapToGrid w:val="0"/>
        <w:spacing w:line="360" w:lineRule="auto"/>
        <w:jc w:val="both"/>
        <w:rPr>
          <w:sz w:val="24"/>
          <w:szCs w:val="24"/>
        </w:rPr>
      </w:pPr>
    </w:p>
    <w:p w14:paraId="0FF26C11" w14:textId="77777777" w:rsidR="00007844" w:rsidRPr="000315B4" w:rsidRDefault="00007844" w:rsidP="007804E8">
      <w:pPr>
        <w:widowControl w:val="0"/>
        <w:adjustRightInd w:val="0"/>
        <w:snapToGrid w:val="0"/>
        <w:spacing w:line="360" w:lineRule="auto"/>
        <w:jc w:val="both"/>
        <w:rPr>
          <w:b/>
          <w:i/>
          <w:sz w:val="24"/>
          <w:szCs w:val="24"/>
        </w:rPr>
      </w:pPr>
      <w:r w:rsidRPr="000315B4">
        <w:rPr>
          <w:b/>
          <w:i/>
          <w:sz w:val="24"/>
          <w:szCs w:val="24"/>
        </w:rPr>
        <w:t>Research results</w:t>
      </w:r>
    </w:p>
    <w:p w14:paraId="62287F06" w14:textId="73E70099" w:rsidR="00007844" w:rsidRPr="000315B4" w:rsidRDefault="00E32717" w:rsidP="007804E8">
      <w:pPr>
        <w:widowControl w:val="0"/>
        <w:adjustRightInd w:val="0"/>
        <w:snapToGrid w:val="0"/>
        <w:spacing w:line="360" w:lineRule="auto"/>
        <w:jc w:val="both"/>
        <w:rPr>
          <w:sz w:val="24"/>
          <w:szCs w:val="24"/>
        </w:rPr>
      </w:pPr>
      <w:r w:rsidRPr="000315B4">
        <w:rPr>
          <w:sz w:val="24"/>
          <w:szCs w:val="24"/>
        </w:rPr>
        <w:t>We found</w:t>
      </w:r>
      <w:r w:rsidR="00E96E11" w:rsidRPr="000315B4">
        <w:rPr>
          <w:sz w:val="24"/>
          <w:szCs w:val="24"/>
        </w:rPr>
        <w:t xml:space="preserve"> patients with HGD had a worse non-BE cancer free survival and all cancer free survival.</w:t>
      </w:r>
      <w:r w:rsidR="00A529A8" w:rsidRPr="000315B4">
        <w:rPr>
          <w:sz w:val="24"/>
          <w:szCs w:val="24"/>
        </w:rPr>
        <w:t xml:space="preserve"> The higher </w:t>
      </w:r>
      <w:r w:rsidR="002A484F" w:rsidRPr="000315B4">
        <w:rPr>
          <w:sz w:val="24"/>
          <w:szCs w:val="24"/>
        </w:rPr>
        <w:t>frequency</w:t>
      </w:r>
      <w:r w:rsidR="00A529A8" w:rsidRPr="000315B4">
        <w:rPr>
          <w:sz w:val="24"/>
          <w:szCs w:val="24"/>
        </w:rPr>
        <w:t xml:space="preserve"> of non-esophageal cancer in patients with HGD raises the question as to the reason for this association. Further population based</w:t>
      </w:r>
      <w:r w:rsidR="00130B65" w:rsidRPr="000315B4">
        <w:rPr>
          <w:sz w:val="24"/>
          <w:szCs w:val="24"/>
        </w:rPr>
        <w:t xml:space="preserve"> and mechanistic</w:t>
      </w:r>
      <w:r w:rsidR="00A529A8" w:rsidRPr="000315B4">
        <w:rPr>
          <w:sz w:val="24"/>
          <w:szCs w:val="24"/>
        </w:rPr>
        <w:t xml:space="preserve"> studies are required </w:t>
      </w:r>
      <w:r w:rsidR="00130B65" w:rsidRPr="000315B4">
        <w:rPr>
          <w:sz w:val="24"/>
          <w:szCs w:val="24"/>
        </w:rPr>
        <w:t>to further investigate these reasons.</w:t>
      </w:r>
    </w:p>
    <w:p w14:paraId="469DE185" w14:textId="77777777" w:rsidR="00007844" w:rsidRPr="000315B4" w:rsidRDefault="00007844" w:rsidP="007804E8">
      <w:pPr>
        <w:widowControl w:val="0"/>
        <w:adjustRightInd w:val="0"/>
        <w:snapToGrid w:val="0"/>
        <w:spacing w:line="360" w:lineRule="auto"/>
        <w:jc w:val="both"/>
        <w:rPr>
          <w:sz w:val="24"/>
          <w:szCs w:val="24"/>
        </w:rPr>
      </w:pPr>
    </w:p>
    <w:p w14:paraId="2420D567" w14:textId="77777777" w:rsidR="00007844" w:rsidRPr="000315B4" w:rsidRDefault="00007844" w:rsidP="007804E8">
      <w:pPr>
        <w:widowControl w:val="0"/>
        <w:adjustRightInd w:val="0"/>
        <w:snapToGrid w:val="0"/>
        <w:spacing w:line="360" w:lineRule="auto"/>
        <w:jc w:val="both"/>
        <w:rPr>
          <w:b/>
          <w:i/>
          <w:sz w:val="24"/>
          <w:szCs w:val="24"/>
        </w:rPr>
      </w:pPr>
      <w:r w:rsidRPr="000315B4">
        <w:rPr>
          <w:b/>
          <w:i/>
          <w:sz w:val="24"/>
          <w:szCs w:val="24"/>
        </w:rPr>
        <w:t>Research conclusions</w:t>
      </w:r>
    </w:p>
    <w:p w14:paraId="1AA79282" w14:textId="7504467E" w:rsidR="00007844" w:rsidRPr="000315B4" w:rsidRDefault="00E96E11" w:rsidP="007804E8">
      <w:pPr>
        <w:widowControl w:val="0"/>
        <w:adjustRightInd w:val="0"/>
        <w:snapToGrid w:val="0"/>
        <w:spacing w:line="360" w:lineRule="auto"/>
        <w:jc w:val="both"/>
        <w:rPr>
          <w:sz w:val="24"/>
          <w:szCs w:val="24"/>
          <w:rtl/>
        </w:rPr>
      </w:pPr>
      <w:r w:rsidRPr="000315B4">
        <w:rPr>
          <w:sz w:val="24"/>
          <w:szCs w:val="24"/>
        </w:rPr>
        <w:t>Our study shows that HGD may act as a marker for all cause cancer</w:t>
      </w:r>
      <w:r w:rsidR="0054698A" w:rsidRPr="000315B4">
        <w:rPr>
          <w:sz w:val="24"/>
          <w:szCs w:val="24"/>
        </w:rPr>
        <w:t xml:space="preserve"> outcome</w:t>
      </w:r>
      <w:r w:rsidRPr="000315B4">
        <w:rPr>
          <w:sz w:val="24"/>
          <w:szCs w:val="24"/>
        </w:rPr>
        <w:t xml:space="preserve">, not just </w:t>
      </w:r>
      <w:r w:rsidRPr="000315B4">
        <w:rPr>
          <w:sz w:val="24"/>
          <w:szCs w:val="24"/>
        </w:rPr>
        <w:lastRenderedPageBreak/>
        <w:t xml:space="preserve">esophageal cancer. Perhaps it reflects a behavioral, environmental and genetic inclination towards malignancy. </w:t>
      </w:r>
      <w:r w:rsidR="007E1E0B" w:rsidRPr="000315B4">
        <w:rPr>
          <w:sz w:val="24"/>
          <w:szCs w:val="24"/>
        </w:rPr>
        <w:t xml:space="preserve">After endoscopic treatment </w:t>
      </w:r>
      <w:r w:rsidR="002A484F" w:rsidRPr="000315B4">
        <w:rPr>
          <w:sz w:val="24"/>
          <w:szCs w:val="24"/>
        </w:rPr>
        <w:t>for the dysplasia</w:t>
      </w:r>
      <w:r w:rsidR="007E1E0B" w:rsidRPr="000315B4">
        <w:rPr>
          <w:sz w:val="24"/>
          <w:szCs w:val="24"/>
        </w:rPr>
        <w:t>,</w:t>
      </w:r>
      <w:r w:rsidR="002A484F" w:rsidRPr="000315B4">
        <w:rPr>
          <w:sz w:val="24"/>
          <w:szCs w:val="24"/>
        </w:rPr>
        <w:t xml:space="preserve"> </w:t>
      </w:r>
      <w:r w:rsidR="007E1E0B" w:rsidRPr="000315B4">
        <w:rPr>
          <w:sz w:val="24"/>
          <w:szCs w:val="24"/>
        </w:rPr>
        <w:t>w</w:t>
      </w:r>
      <w:r w:rsidRPr="000315B4">
        <w:rPr>
          <w:sz w:val="24"/>
          <w:szCs w:val="24"/>
        </w:rPr>
        <w:t xml:space="preserve">e should focus our </w:t>
      </w:r>
      <w:r w:rsidR="00704C3B" w:rsidRPr="000315B4">
        <w:rPr>
          <w:sz w:val="24"/>
          <w:szCs w:val="24"/>
        </w:rPr>
        <w:t>efforts to teach these patients about healthier lifestyle, and modifiable cancer risk factors such as smoking cessation and weight reduction</w:t>
      </w:r>
      <w:r w:rsidR="002A1139" w:rsidRPr="000315B4">
        <w:rPr>
          <w:sz w:val="24"/>
          <w:szCs w:val="24"/>
        </w:rPr>
        <w:t xml:space="preserve">. Perhaps in this population, screening for other malignancies may hold a different </w:t>
      </w:r>
      <w:r w:rsidR="002A484F" w:rsidRPr="000315B4">
        <w:rPr>
          <w:sz w:val="24"/>
          <w:szCs w:val="24"/>
        </w:rPr>
        <w:t>cost-effective</w:t>
      </w:r>
      <w:r w:rsidR="002A1139" w:rsidRPr="000315B4">
        <w:rPr>
          <w:sz w:val="24"/>
          <w:szCs w:val="24"/>
        </w:rPr>
        <w:t xml:space="preserve"> profile. </w:t>
      </w:r>
    </w:p>
    <w:p w14:paraId="0C3D7433" w14:textId="77777777" w:rsidR="00007844" w:rsidRPr="000315B4" w:rsidRDefault="00007844" w:rsidP="007804E8">
      <w:pPr>
        <w:widowControl w:val="0"/>
        <w:adjustRightInd w:val="0"/>
        <w:snapToGrid w:val="0"/>
        <w:spacing w:line="360" w:lineRule="auto"/>
        <w:jc w:val="both"/>
        <w:rPr>
          <w:sz w:val="24"/>
          <w:szCs w:val="24"/>
          <w:lang w:eastAsia="zh-CN"/>
        </w:rPr>
      </w:pPr>
    </w:p>
    <w:p w14:paraId="2C9F8EF6" w14:textId="77777777" w:rsidR="00007844" w:rsidRPr="000315B4" w:rsidRDefault="00007844" w:rsidP="007804E8">
      <w:pPr>
        <w:widowControl w:val="0"/>
        <w:adjustRightInd w:val="0"/>
        <w:snapToGrid w:val="0"/>
        <w:spacing w:line="360" w:lineRule="auto"/>
        <w:jc w:val="both"/>
        <w:rPr>
          <w:b/>
          <w:i/>
          <w:sz w:val="24"/>
          <w:szCs w:val="24"/>
        </w:rPr>
      </w:pPr>
      <w:r w:rsidRPr="000315B4">
        <w:rPr>
          <w:b/>
          <w:i/>
          <w:sz w:val="24"/>
          <w:szCs w:val="24"/>
        </w:rPr>
        <w:t>Research perspectives</w:t>
      </w:r>
    </w:p>
    <w:p w14:paraId="22EF4D00" w14:textId="2DF20D52" w:rsidR="008F5D4F" w:rsidRPr="000315B4" w:rsidRDefault="007E1E0B" w:rsidP="007804E8">
      <w:pPr>
        <w:widowControl w:val="0"/>
        <w:adjustRightInd w:val="0"/>
        <w:snapToGrid w:val="0"/>
        <w:spacing w:line="360" w:lineRule="auto"/>
        <w:jc w:val="both"/>
        <w:rPr>
          <w:sz w:val="24"/>
          <w:szCs w:val="24"/>
          <w:lang w:eastAsia="zh-CN"/>
        </w:rPr>
      </w:pPr>
      <w:r w:rsidRPr="000315B4">
        <w:rPr>
          <w:sz w:val="24"/>
          <w:szCs w:val="24"/>
        </w:rPr>
        <w:t xml:space="preserve">Patients with BE and HGD have a higher non-esophageal cancer risk, on top of esophageal cancer risk. This should be confirmed in more prospective studies and </w:t>
      </w:r>
      <w:r w:rsidR="00BE7ACA" w:rsidRPr="000315B4">
        <w:rPr>
          <w:sz w:val="24"/>
          <w:szCs w:val="24"/>
        </w:rPr>
        <w:t>population-based</w:t>
      </w:r>
      <w:r w:rsidRPr="000315B4">
        <w:rPr>
          <w:sz w:val="24"/>
          <w:szCs w:val="24"/>
        </w:rPr>
        <w:t xml:space="preserve"> studies. This may shift the focus of esophageal based surveillance to a more holistic cancer prevention program for certain patients.</w:t>
      </w:r>
      <w:r w:rsidR="002A484F" w:rsidRPr="000315B4">
        <w:rPr>
          <w:sz w:val="24"/>
          <w:szCs w:val="24"/>
        </w:rPr>
        <w:t xml:space="preserve"> Future research should include larger cohorts of patients from multiple centers, with detailed endoscopic and histologic data as well as other cancer risk factors including obesity measures and lifestyle behaviors as smoking, physical activity and dietary intake to better encompass risk stratification and prevention potential.</w:t>
      </w:r>
    </w:p>
    <w:p w14:paraId="5169B2EC" w14:textId="77777777" w:rsidR="00696C46" w:rsidRPr="000315B4" w:rsidRDefault="00696C46" w:rsidP="007804E8">
      <w:pPr>
        <w:widowControl w:val="0"/>
        <w:adjustRightInd w:val="0"/>
        <w:snapToGrid w:val="0"/>
        <w:spacing w:line="360" w:lineRule="auto"/>
        <w:jc w:val="both"/>
        <w:rPr>
          <w:sz w:val="24"/>
          <w:szCs w:val="24"/>
        </w:rPr>
      </w:pPr>
      <w:r w:rsidRPr="000315B4">
        <w:rPr>
          <w:sz w:val="24"/>
          <w:szCs w:val="24"/>
        </w:rPr>
        <w:br w:type="page"/>
      </w:r>
    </w:p>
    <w:p w14:paraId="5F01D941" w14:textId="77777777" w:rsidR="00007844" w:rsidRPr="000315B4" w:rsidRDefault="00007844" w:rsidP="007804E8">
      <w:pPr>
        <w:widowControl w:val="0"/>
        <w:adjustRightInd w:val="0"/>
        <w:snapToGrid w:val="0"/>
        <w:spacing w:line="360" w:lineRule="auto"/>
        <w:jc w:val="both"/>
        <w:rPr>
          <w:b/>
          <w:sz w:val="24"/>
          <w:szCs w:val="24"/>
        </w:rPr>
      </w:pPr>
      <w:r w:rsidRPr="000315B4">
        <w:rPr>
          <w:b/>
          <w:sz w:val="24"/>
          <w:szCs w:val="24"/>
        </w:rPr>
        <w:lastRenderedPageBreak/>
        <w:t>REFERENCES</w:t>
      </w:r>
    </w:p>
    <w:p w14:paraId="6DE62788"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1 </w:t>
      </w:r>
      <w:r w:rsidRPr="000315B4">
        <w:rPr>
          <w:rFonts w:cs="Times New Roman"/>
          <w:b/>
          <w:kern w:val="2"/>
          <w:sz w:val="24"/>
          <w:szCs w:val="24"/>
          <w:lang w:eastAsia="zh-CN" w:bidi="ar-SA"/>
        </w:rPr>
        <w:t>Shaheen NJ</w:t>
      </w:r>
      <w:r w:rsidRPr="000315B4">
        <w:rPr>
          <w:rFonts w:cs="Times New Roman"/>
          <w:kern w:val="2"/>
          <w:sz w:val="24"/>
          <w:szCs w:val="24"/>
          <w:lang w:eastAsia="zh-CN" w:bidi="ar-SA"/>
        </w:rPr>
        <w:t xml:space="preserve">, Falk GW, Iyer PG, Gerson LB; American College of Gastroenterology. ACG Clinical Guideline: Diagnosis and Management of Barrett's Esophagus. </w:t>
      </w:r>
      <w:r w:rsidRPr="000315B4">
        <w:rPr>
          <w:rFonts w:cs="Times New Roman"/>
          <w:i/>
          <w:kern w:val="2"/>
          <w:sz w:val="24"/>
          <w:szCs w:val="24"/>
          <w:lang w:eastAsia="zh-CN" w:bidi="ar-SA"/>
        </w:rPr>
        <w:t>Am J Gastroenterol</w:t>
      </w:r>
      <w:r w:rsidRPr="000315B4">
        <w:rPr>
          <w:rFonts w:cs="Times New Roman"/>
          <w:kern w:val="2"/>
          <w:sz w:val="24"/>
          <w:szCs w:val="24"/>
          <w:lang w:eastAsia="zh-CN" w:bidi="ar-SA"/>
        </w:rPr>
        <w:t xml:space="preserve"> 2016; </w:t>
      </w:r>
      <w:r w:rsidRPr="000315B4">
        <w:rPr>
          <w:rFonts w:cs="Times New Roman"/>
          <w:b/>
          <w:kern w:val="2"/>
          <w:sz w:val="24"/>
          <w:szCs w:val="24"/>
          <w:lang w:eastAsia="zh-CN" w:bidi="ar-SA"/>
        </w:rPr>
        <w:t>111</w:t>
      </w:r>
      <w:r w:rsidRPr="000315B4">
        <w:rPr>
          <w:rFonts w:cs="Times New Roman"/>
          <w:kern w:val="2"/>
          <w:sz w:val="24"/>
          <w:szCs w:val="24"/>
          <w:lang w:eastAsia="zh-CN" w:bidi="ar-SA"/>
        </w:rPr>
        <w:t>: 30-50; quiz 51 [PMID: 26526079 DOI: 10.1038/ajg.2015.322]</w:t>
      </w:r>
    </w:p>
    <w:p w14:paraId="31876E7D"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2 </w:t>
      </w:r>
      <w:r w:rsidRPr="000315B4">
        <w:rPr>
          <w:rFonts w:cs="Times New Roman"/>
          <w:b/>
          <w:kern w:val="2"/>
          <w:sz w:val="24"/>
          <w:szCs w:val="24"/>
          <w:lang w:eastAsia="zh-CN" w:bidi="ar-SA"/>
        </w:rPr>
        <w:t>Fitzgerald RC</w:t>
      </w:r>
      <w:r w:rsidRPr="000315B4">
        <w:rPr>
          <w:rFonts w:cs="Times New Roman"/>
          <w:kern w:val="2"/>
          <w:sz w:val="24"/>
          <w:szCs w:val="24"/>
          <w:lang w:eastAsia="zh-CN" w:bidi="ar-SA"/>
        </w:rPr>
        <w:t xml:space="preserve">, di Pietro M, Ragunath K, Ang Y, Kang JY, Watson P, Trudgill N, Patel P, Kaye PV, Sanders S, O'Donovan M, Bird-Lieberman E, Bhandari P, Jankowski JA, Attwood S, Parsons SL, Loft D, Lagergren J, Moayyedi P, Lyratzopoulos G, de Caestecker J; British Society of Gastroenterology. British Society of Gastroenterology guidelines on the diagnosis and management of Barrett's oesophagus. </w:t>
      </w:r>
      <w:r w:rsidRPr="000315B4">
        <w:rPr>
          <w:rFonts w:cs="Times New Roman"/>
          <w:i/>
          <w:kern w:val="2"/>
          <w:sz w:val="24"/>
          <w:szCs w:val="24"/>
          <w:lang w:eastAsia="zh-CN" w:bidi="ar-SA"/>
        </w:rPr>
        <w:t>Gut</w:t>
      </w:r>
      <w:r w:rsidRPr="000315B4">
        <w:rPr>
          <w:rFonts w:cs="Times New Roman"/>
          <w:kern w:val="2"/>
          <w:sz w:val="24"/>
          <w:szCs w:val="24"/>
          <w:lang w:eastAsia="zh-CN" w:bidi="ar-SA"/>
        </w:rPr>
        <w:t xml:space="preserve"> 2014; </w:t>
      </w:r>
      <w:r w:rsidRPr="000315B4">
        <w:rPr>
          <w:rFonts w:cs="Times New Roman"/>
          <w:b/>
          <w:kern w:val="2"/>
          <w:sz w:val="24"/>
          <w:szCs w:val="24"/>
          <w:lang w:eastAsia="zh-CN" w:bidi="ar-SA"/>
        </w:rPr>
        <w:t>63</w:t>
      </w:r>
      <w:r w:rsidRPr="000315B4">
        <w:rPr>
          <w:rFonts w:cs="Times New Roman"/>
          <w:kern w:val="2"/>
          <w:sz w:val="24"/>
          <w:szCs w:val="24"/>
          <w:lang w:eastAsia="zh-CN" w:bidi="ar-SA"/>
        </w:rPr>
        <w:t>: 7-42 [PMID: 24165758 DOI: 10.1136/gutjnl-2013-305372]</w:t>
      </w:r>
    </w:p>
    <w:p w14:paraId="33A68269"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3 </w:t>
      </w:r>
      <w:r w:rsidRPr="000315B4">
        <w:rPr>
          <w:rFonts w:cs="Times New Roman"/>
          <w:b/>
          <w:kern w:val="2"/>
          <w:sz w:val="24"/>
          <w:szCs w:val="24"/>
          <w:lang w:eastAsia="zh-CN" w:bidi="ar-SA"/>
        </w:rPr>
        <w:t>Ell C</w:t>
      </w:r>
      <w:r w:rsidRPr="000315B4">
        <w:rPr>
          <w:rFonts w:cs="Times New Roman"/>
          <w:kern w:val="2"/>
          <w:sz w:val="24"/>
          <w:szCs w:val="24"/>
          <w:lang w:eastAsia="zh-CN" w:bidi="ar-SA"/>
        </w:rPr>
        <w:t xml:space="preserve">, May A, Gossner L, Pech O, Günter E, Mayer G, Henrich R, Vieth M, Müller H, Seitz G, Stolte M. Endoscopic mucosal resection of early cancer and high-grade dysplasia in Barrett's esophagus. </w:t>
      </w:r>
      <w:r w:rsidRPr="000315B4">
        <w:rPr>
          <w:rFonts w:cs="Times New Roman"/>
          <w:i/>
          <w:kern w:val="2"/>
          <w:sz w:val="24"/>
          <w:szCs w:val="24"/>
          <w:lang w:eastAsia="zh-CN" w:bidi="ar-SA"/>
        </w:rPr>
        <w:t>Gastroenterology</w:t>
      </w:r>
      <w:r w:rsidRPr="000315B4">
        <w:rPr>
          <w:rFonts w:cs="Times New Roman"/>
          <w:kern w:val="2"/>
          <w:sz w:val="24"/>
          <w:szCs w:val="24"/>
          <w:lang w:eastAsia="zh-CN" w:bidi="ar-SA"/>
        </w:rPr>
        <w:t xml:space="preserve"> 2000; </w:t>
      </w:r>
      <w:r w:rsidRPr="000315B4">
        <w:rPr>
          <w:rFonts w:cs="Times New Roman"/>
          <w:b/>
          <w:kern w:val="2"/>
          <w:sz w:val="24"/>
          <w:szCs w:val="24"/>
          <w:lang w:eastAsia="zh-CN" w:bidi="ar-SA"/>
        </w:rPr>
        <w:t>118</w:t>
      </w:r>
      <w:r w:rsidRPr="000315B4">
        <w:rPr>
          <w:rFonts w:cs="Times New Roman"/>
          <w:kern w:val="2"/>
          <w:sz w:val="24"/>
          <w:szCs w:val="24"/>
          <w:lang w:eastAsia="zh-CN" w:bidi="ar-SA"/>
        </w:rPr>
        <w:t>: 670-677 [PMID: 10734018]</w:t>
      </w:r>
    </w:p>
    <w:p w14:paraId="15E5B72F"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4 </w:t>
      </w:r>
      <w:r w:rsidRPr="000315B4">
        <w:rPr>
          <w:rFonts w:cs="Times New Roman"/>
          <w:b/>
          <w:kern w:val="2"/>
          <w:sz w:val="24"/>
          <w:szCs w:val="24"/>
          <w:lang w:eastAsia="zh-CN" w:bidi="ar-SA"/>
        </w:rPr>
        <w:t>Pech O</w:t>
      </w:r>
      <w:r w:rsidRPr="000315B4">
        <w:rPr>
          <w:rFonts w:cs="Times New Roman"/>
          <w:kern w:val="2"/>
          <w:sz w:val="24"/>
          <w:szCs w:val="24"/>
          <w:lang w:eastAsia="zh-CN" w:bidi="ar-SA"/>
        </w:rPr>
        <w:t xml:space="preserve">, Behrens A, May A, Nachbar L, Gossner L, Rabenstein T, Manner H, Guenter E, Huijsmans J, Vieth M, Stolte M, Ell C. Long-term results and risk factor analysis for recurrence after curative endoscopic therapy in 349 patients with high-grade intraepithelial neoplasia and mucosal adenocarcinoma in Barrett's oesophagus. </w:t>
      </w:r>
      <w:r w:rsidRPr="000315B4">
        <w:rPr>
          <w:rFonts w:cs="Times New Roman"/>
          <w:i/>
          <w:kern w:val="2"/>
          <w:sz w:val="24"/>
          <w:szCs w:val="24"/>
          <w:lang w:eastAsia="zh-CN" w:bidi="ar-SA"/>
        </w:rPr>
        <w:t>Gut</w:t>
      </w:r>
      <w:r w:rsidRPr="000315B4">
        <w:rPr>
          <w:rFonts w:cs="Times New Roman"/>
          <w:kern w:val="2"/>
          <w:sz w:val="24"/>
          <w:szCs w:val="24"/>
          <w:lang w:eastAsia="zh-CN" w:bidi="ar-SA"/>
        </w:rPr>
        <w:t xml:space="preserve"> 2008; </w:t>
      </w:r>
      <w:r w:rsidRPr="000315B4">
        <w:rPr>
          <w:rFonts w:cs="Times New Roman"/>
          <w:b/>
          <w:kern w:val="2"/>
          <w:sz w:val="24"/>
          <w:szCs w:val="24"/>
          <w:lang w:eastAsia="zh-CN" w:bidi="ar-SA"/>
        </w:rPr>
        <w:t>57</w:t>
      </w:r>
      <w:r w:rsidRPr="000315B4">
        <w:rPr>
          <w:rFonts w:cs="Times New Roman"/>
          <w:kern w:val="2"/>
          <w:sz w:val="24"/>
          <w:szCs w:val="24"/>
          <w:lang w:eastAsia="zh-CN" w:bidi="ar-SA"/>
        </w:rPr>
        <w:t>: 1200-1206 [PMID: 18460553 DOI: 10.1136/gut.2007.142539]</w:t>
      </w:r>
    </w:p>
    <w:p w14:paraId="28B15307"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5 </w:t>
      </w:r>
      <w:r w:rsidRPr="000315B4">
        <w:rPr>
          <w:rFonts w:cs="Times New Roman"/>
          <w:b/>
          <w:kern w:val="2"/>
          <w:sz w:val="24"/>
          <w:szCs w:val="24"/>
          <w:lang w:eastAsia="zh-CN" w:bidi="ar-SA"/>
        </w:rPr>
        <w:t>Pouw RE</w:t>
      </w:r>
      <w:r w:rsidRPr="000315B4">
        <w:rPr>
          <w:rFonts w:cs="Times New Roman"/>
          <w:kern w:val="2"/>
          <w:sz w:val="24"/>
          <w:szCs w:val="24"/>
          <w:lang w:eastAsia="zh-CN" w:bidi="ar-SA"/>
        </w:rPr>
        <w:t xml:space="preserve">, Wirths K, Eisendrath P, Sondermeijer CM, Ten Kate FJ, Fockens P, Devière J, Neuhaus H, Bergman JJ. Efficacy of radiofrequency ablation combined with endoscopic resection for barrett's esophagus with early neoplasia. </w:t>
      </w:r>
      <w:r w:rsidRPr="000315B4">
        <w:rPr>
          <w:rFonts w:cs="Times New Roman"/>
          <w:i/>
          <w:kern w:val="2"/>
          <w:sz w:val="24"/>
          <w:szCs w:val="24"/>
          <w:lang w:eastAsia="zh-CN" w:bidi="ar-SA"/>
        </w:rPr>
        <w:t>Clin Gastroenterol Hepatol</w:t>
      </w:r>
      <w:r w:rsidRPr="000315B4">
        <w:rPr>
          <w:rFonts w:cs="Times New Roman"/>
          <w:kern w:val="2"/>
          <w:sz w:val="24"/>
          <w:szCs w:val="24"/>
          <w:lang w:eastAsia="zh-CN" w:bidi="ar-SA"/>
        </w:rPr>
        <w:t xml:space="preserve"> 2010; </w:t>
      </w:r>
      <w:r w:rsidRPr="000315B4">
        <w:rPr>
          <w:rFonts w:cs="Times New Roman"/>
          <w:b/>
          <w:kern w:val="2"/>
          <w:sz w:val="24"/>
          <w:szCs w:val="24"/>
          <w:lang w:eastAsia="zh-CN" w:bidi="ar-SA"/>
        </w:rPr>
        <w:t>8</w:t>
      </w:r>
      <w:r w:rsidRPr="000315B4">
        <w:rPr>
          <w:rFonts w:cs="Times New Roman"/>
          <w:kern w:val="2"/>
          <w:sz w:val="24"/>
          <w:szCs w:val="24"/>
          <w:lang w:eastAsia="zh-CN" w:bidi="ar-SA"/>
        </w:rPr>
        <w:t>: 23-29 [PMID: 19602454 DOI: 10.1016/j.cgh.2009.07.003]</w:t>
      </w:r>
    </w:p>
    <w:p w14:paraId="35CAFBED"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6 </w:t>
      </w:r>
      <w:r w:rsidRPr="000315B4">
        <w:rPr>
          <w:rFonts w:cs="Times New Roman"/>
          <w:b/>
          <w:kern w:val="2"/>
          <w:sz w:val="24"/>
          <w:szCs w:val="24"/>
          <w:lang w:eastAsia="zh-CN" w:bidi="ar-SA"/>
        </w:rPr>
        <w:t>Prasad GA</w:t>
      </w:r>
      <w:r w:rsidRPr="000315B4">
        <w:rPr>
          <w:rFonts w:cs="Times New Roman"/>
          <w:kern w:val="2"/>
          <w:sz w:val="24"/>
          <w:szCs w:val="24"/>
          <w:lang w:eastAsia="zh-CN" w:bidi="ar-SA"/>
        </w:rPr>
        <w:t xml:space="preserve">, Wang KK, Buttar NS, Wongkeesong LM, Krishnadath KK, Nichols FC 3rd, Lutzke LS, Borkenhagen LS. Long-term survival following endoscopic and surgical treatment of high-grade dysplasia in Barrett's esophagus. </w:t>
      </w:r>
      <w:r w:rsidRPr="000315B4">
        <w:rPr>
          <w:rFonts w:cs="Times New Roman"/>
          <w:i/>
          <w:kern w:val="2"/>
          <w:sz w:val="24"/>
          <w:szCs w:val="24"/>
          <w:lang w:eastAsia="zh-CN" w:bidi="ar-SA"/>
        </w:rPr>
        <w:t>Gastroenterology</w:t>
      </w:r>
      <w:r w:rsidRPr="000315B4">
        <w:rPr>
          <w:rFonts w:cs="Times New Roman"/>
          <w:kern w:val="2"/>
          <w:sz w:val="24"/>
          <w:szCs w:val="24"/>
          <w:lang w:eastAsia="zh-CN" w:bidi="ar-SA"/>
        </w:rPr>
        <w:t xml:space="preserve"> 2007; </w:t>
      </w:r>
      <w:r w:rsidRPr="000315B4">
        <w:rPr>
          <w:rFonts w:cs="Times New Roman"/>
          <w:b/>
          <w:kern w:val="2"/>
          <w:sz w:val="24"/>
          <w:szCs w:val="24"/>
          <w:lang w:eastAsia="zh-CN" w:bidi="ar-SA"/>
        </w:rPr>
        <w:t>132</w:t>
      </w:r>
      <w:r w:rsidRPr="000315B4">
        <w:rPr>
          <w:rFonts w:cs="Times New Roman"/>
          <w:kern w:val="2"/>
          <w:sz w:val="24"/>
          <w:szCs w:val="24"/>
          <w:lang w:eastAsia="zh-CN" w:bidi="ar-SA"/>
        </w:rPr>
        <w:t>: 1226-1233 [PMID: 17408660 DOI: 10.1053/j.gastro.2007.02.017]</w:t>
      </w:r>
    </w:p>
    <w:p w14:paraId="472F7868"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7 </w:t>
      </w:r>
      <w:r w:rsidRPr="000315B4">
        <w:rPr>
          <w:rFonts w:cs="Times New Roman"/>
          <w:b/>
          <w:kern w:val="2"/>
          <w:sz w:val="24"/>
          <w:szCs w:val="24"/>
          <w:lang w:eastAsia="zh-CN" w:bidi="ar-SA"/>
        </w:rPr>
        <w:t>Shaheen NJ</w:t>
      </w:r>
      <w:r w:rsidRPr="000315B4">
        <w:rPr>
          <w:rFonts w:cs="Times New Roman"/>
          <w:kern w:val="2"/>
          <w:sz w:val="24"/>
          <w:szCs w:val="24"/>
          <w:lang w:eastAsia="zh-CN" w:bidi="ar-SA"/>
        </w:rPr>
        <w:t xml:space="preserve">, Sharma P, Overholt BF, Wolfsen HC, Sampliner RE, Wang KK, Galanko JA, Bronner MP, Goldblum JR, Bennett AE, Jobe BA, Eisen GM, Fennerty MB, Hunter JG, Fleischer DE, Sharma VK, Hawes RH, Hoffman BJ, Rothstein RI, Gordon SR, </w:t>
      </w:r>
      <w:r w:rsidRPr="000315B4">
        <w:rPr>
          <w:rFonts w:cs="Times New Roman"/>
          <w:kern w:val="2"/>
          <w:sz w:val="24"/>
          <w:szCs w:val="24"/>
          <w:lang w:eastAsia="zh-CN" w:bidi="ar-SA"/>
        </w:rPr>
        <w:lastRenderedPageBreak/>
        <w:t xml:space="preserve">Mashimo H, Chang KJ, Muthusamy VR, Edmundowicz SA, Spechler SJ, Siddiqui AA, Souza RF, Infantolino A, Falk GW, Kimmey MB, Madanick RD, Chak A, Lightdale CJ. Radiofrequency ablation in Barrett's esophagus with dysplasia. </w:t>
      </w:r>
      <w:r w:rsidRPr="000315B4">
        <w:rPr>
          <w:rFonts w:cs="Times New Roman"/>
          <w:i/>
          <w:kern w:val="2"/>
          <w:sz w:val="24"/>
          <w:szCs w:val="24"/>
          <w:lang w:eastAsia="zh-CN" w:bidi="ar-SA"/>
        </w:rPr>
        <w:t>N Engl J Med</w:t>
      </w:r>
      <w:r w:rsidRPr="000315B4">
        <w:rPr>
          <w:rFonts w:cs="Times New Roman"/>
          <w:kern w:val="2"/>
          <w:sz w:val="24"/>
          <w:szCs w:val="24"/>
          <w:lang w:eastAsia="zh-CN" w:bidi="ar-SA"/>
        </w:rPr>
        <w:t xml:space="preserve"> 2009; </w:t>
      </w:r>
      <w:r w:rsidRPr="000315B4">
        <w:rPr>
          <w:rFonts w:cs="Times New Roman"/>
          <w:b/>
          <w:kern w:val="2"/>
          <w:sz w:val="24"/>
          <w:szCs w:val="24"/>
          <w:lang w:eastAsia="zh-CN" w:bidi="ar-SA"/>
        </w:rPr>
        <w:t>360</w:t>
      </w:r>
      <w:r w:rsidRPr="000315B4">
        <w:rPr>
          <w:rFonts w:cs="Times New Roman"/>
          <w:kern w:val="2"/>
          <w:sz w:val="24"/>
          <w:szCs w:val="24"/>
          <w:lang w:eastAsia="zh-CN" w:bidi="ar-SA"/>
        </w:rPr>
        <w:t>: 2277-2288 [PMID: 19474425 DOI: 10.1056/NEJMoa0808145]</w:t>
      </w:r>
    </w:p>
    <w:p w14:paraId="032B084C"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8 </w:t>
      </w:r>
      <w:r w:rsidRPr="000315B4">
        <w:rPr>
          <w:rFonts w:cs="Times New Roman"/>
          <w:b/>
          <w:kern w:val="2"/>
          <w:sz w:val="24"/>
          <w:szCs w:val="24"/>
          <w:lang w:eastAsia="zh-CN" w:bidi="ar-SA"/>
        </w:rPr>
        <w:t>Incarbone R</w:t>
      </w:r>
      <w:r w:rsidRPr="000315B4">
        <w:rPr>
          <w:rFonts w:cs="Times New Roman"/>
          <w:kern w:val="2"/>
          <w:sz w:val="24"/>
          <w:szCs w:val="24"/>
          <w:lang w:eastAsia="zh-CN" w:bidi="ar-SA"/>
        </w:rPr>
        <w:t xml:space="preserve">, Bonavina L, Saino G, Bona D, Peracchia A. Outcome of esophageal adenocarcinoma detected during endoscopic biopsy surveillance for Barrett's esophagus. </w:t>
      </w:r>
      <w:r w:rsidRPr="000315B4">
        <w:rPr>
          <w:rFonts w:cs="Times New Roman"/>
          <w:i/>
          <w:kern w:val="2"/>
          <w:sz w:val="24"/>
          <w:szCs w:val="24"/>
          <w:lang w:eastAsia="zh-CN" w:bidi="ar-SA"/>
        </w:rPr>
        <w:t>Surg Endosc</w:t>
      </w:r>
      <w:r w:rsidRPr="000315B4">
        <w:rPr>
          <w:rFonts w:cs="Times New Roman"/>
          <w:kern w:val="2"/>
          <w:sz w:val="24"/>
          <w:szCs w:val="24"/>
          <w:lang w:eastAsia="zh-CN" w:bidi="ar-SA"/>
        </w:rPr>
        <w:t xml:space="preserve"> 2002; </w:t>
      </w:r>
      <w:r w:rsidRPr="000315B4">
        <w:rPr>
          <w:rFonts w:cs="Times New Roman"/>
          <w:b/>
          <w:kern w:val="2"/>
          <w:sz w:val="24"/>
          <w:szCs w:val="24"/>
          <w:lang w:eastAsia="zh-CN" w:bidi="ar-SA"/>
        </w:rPr>
        <w:t>16</w:t>
      </w:r>
      <w:r w:rsidRPr="000315B4">
        <w:rPr>
          <w:rFonts w:cs="Times New Roman"/>
          <w:kern w:val="2"/>
          <w:sz w:val="24"/>
          <w:szCs w:val="24"/>
          <w:lang w:eastAsia="zh-CN" w:bidi="ar-SA"/>
        </w:rPr>
        <w:t>: 263-266 [PMID: 11967675 DOI: 10.1007/s00464-001-8161-3]</w:t>
      </w:r>
    </w:p>
    <w:p w14:paraId="24EA0F46"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9 </w:t>
      </w:r>
      <w:r w:rsidRPr="000315B4">
        <w:rPr>
          <w:rFonts w:cs="Times New Roman"/>
          <w:b/>
          <w:kern w:val="2"/>
          <w:sz w:val="24"/>
          <w:szCs w:val="24"/>
          <w:lang w:eastAsia="zh-CN" w:bidi="ar-SA"/>
        </w:rPr>
        <w:t>Corley DA</w:t>
      </w:r>
      <w:r w:rsidRPr="000315B4">
        <w:rPr>
          <w:rFonts w:cs="Times New Roman"/>
          <w:kern w:val="2"/>
          <w:sz w:val="24"/>
          <w:szCs w:val="24"/>
          <w:lang w:eastAsia="zh-CN" w:bidi="ar-SA"/>
        </w:rPr>
        <w:t xml:space="preserve">, Levin TR, Habel LA, Weiss NS, Buffler PA. Surveillance and survival in Barrett's adenocarcinomas: a population-based study. </w:t>
      </w:r>
      <w:r w:rsidRPr="000315B4">
        <w:rPr>
          <w:rFonts w:cs="Times New Roman"/>
          <w:i/>
          <w:kern w:val="2"/>
          <w:sz w:val="24"/>
          <w:szCs w:val="24"/>
          <w:lang w:eastAsia="zh-CN" w:bidi="ar-SA"/>
        </w:rPr>
        <w:t>Gastroenterology</w:t>
      </w:r>
      <w:r w:rsidRPr="000315B4">
        <w:rPr>
          <w:rFonts w:cs="Times New Roman"/>
          <w:kern w:val="2"/>
          <w:sz w:val="24"/>
          <w:szCs w:val="24"/>
          <w:lang w:eastAsia="zh-CN" w:bidi="ar-SA"/>
        </w:rPr>
        <w:t xml:space="preserve"> 2002; </w:t>
      </w:r>
      <w:r w:rsidRPr="000315B4">
        <w:rPr>
          <w:rFonts w:cs="Times New Roman"/>
          <w:b/>
          <w:kern w:val="2"/>
          <w:sz w:val="24"/>
          <w:szCs w:val="24"/>
          <w:lang w:eastAsia="zh-CN" w:bidi="ar-SA"/>
        </w:rPr>
        <w:t>122</w:t>
      </w:r>
      <w:r w:rsidRPr="000315B4">
        <w:rPr>
          <w:rFonts w:cs="Times New Roman"/>
          <w:kern w:val="2"/>
          <w:sz w:val="24"/>
          <w:szCs w:val="24"/>
          <w:lang w:eastAsia="zh-CN" w:bidi="ar-SA"/>
        </w:rPr>
        <w:t>: 633-640 [PMID: 11874995 DOI: 10.1053/gast.2002.31879]</w:t>
      </w:r>
    </w:p>
    <w:p w14:paraId="4258A4BB"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10 </w:t>
      </w:r>
      <w:r w:rsidRPr="000315B4">
        <w:rPr>
          <w:rFonts w:cs="Times New Roman"/>
          <w:b/>
          <w:kern w:val="2"/>
          <w:sz w:val="24"/>
          <w:szCs w:val="24"/>
          <w:lang w:eastAsia="zh-CN" w:bidi="ar-SA"/>
        </w:rPr>
        <w:t>Orman ES</w:t>
      </w:r>
      <w:r w:rsidRPr="000315B4">
        <w:rPr>
          <w:rFonts w:cs="Times New Roman"/>
          <w:kern w:val="2"/>
          <w:sz w:val="24"/>
          <w:szCs w:val="24"/>
          <w:lang w:eastAsia="zh-CN" w:bidi="ar-SA"/>
        </w:rPr>
        <w:t xml:space="preserve">, Li N, Shaheen NJ. Efficacy and durability of radiofrequency ablation for Barrett's Esophagus: systematic review and meta-analysis. </w:t>
      </w:r>
      <w:r w:rsidRPr="000315B4">
        <w:rPr>
          <w:rFonts w:cs="Times New Roman"/>
          <w:i/>
          <w:kern w:val="2"/>
          <w:sz w:val="24"/>
          <w:szCs w:val="24"/>
          <w:lang w:eastAsia="zh-CN" w:bidi="ar-SA"/>
        </w:rPr>
        <w:t>Clin Gastroenterol Hepatol</w:t>
      </w:r>
      <w:r w:rsidRPr="000315B4">
        <w:rPr>
          <w:rFonts w:cs="Times New Roman"/>
          <w:kern w:val="2"/>
          <w:sz w:val="24"/>
          <w:szCs w:val="24"/>
          <w:lang w:eastAsia="zh-CN" w:bidi="ar-SA"/>
        </w:rPr>
        <w:t xml:space="preserve"> 2013; </w:t>
      </w:r>
      <w:r w:rsidRPr="000315B4">
        <w:rPr>
          <w:rFonts w:cs="Times New Roman"/>
          <w:b/>
          <w:kern w:val="2"/>
          <w:sz w:val="24"/>
          <w:szCs w:val="24"/>
          <w:lang w:eastAsia="zh-CN" w:bidi="ar-SA"/>
        </w:rPr>
        <w:t>11</w:t>
      </w:r>
      <w:r w:rsidRPr="000315B4">
        <w:rPr>
          <w:rFonts w:cs="Times New Roman"/>
          <w:kern w:val="2"/>
          <w:sz w:val="24"/>
          <w:szCs w:val="24"/>
          <w:lang w:eastAsia="zh-CN" w:bidi="ar-SA"/>
        </w:rPr>
        <w:t>: 1245-1255 [PMID: 23644385 DOI: 10.1016/j.cgh.2013.03.039]</w:t>
      </w:r>
    </w:p>
    <w:p w14:paraId="5DB48288"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11 </w:t>
      </w:r>
      <w:r w:rsidRPr="000315B4">
        <w:rPr>
          <w:rFonts w:cs="Times New Roman"/>
          <w:b/>
          <w:kern w:val="2"/>
          <w:sz w:val="24"/>
          <w:szCs w:val="24"/>
          <w:lang w:eastAsia="zh-CN" w:bidi="ar-SA"/>
        </w:rPr>
        <w:t>Wolf WA</w:t>
      </w:r>
      <w:r w:rsidRPr="000315B4">
        <w:rPr>
          <w:rFonts w:cs="Times New Roman"/>
          <w:kern w:val="2"/>
          <w:sz w:val="24"/>
          <w:szCs w:val="24"/>
          <w:lang w:eastAsia="zh-CN" w:bidi="ar-SA"/>
        </w:rPr>
        <w:t xml:space="preserve">, Pasricha S, Cotton C, Li N, Triadafilopoulos G, Muthusamy VR, Chmielewski GW, Corbett FS, Camara DS, Lightdale CJ, Wolfsen H, Chang KJ, Overholt BF, Pruitt RE, Ertan A, Komanduri S, Infantolino A, Rothstein RI, Shaheen NJ. Incidence of Esophageal Adenocarcinoma and Causes of Mortality After Radiofrequency Ablation of Barrett's Esophagus. </w:t>
      </w:r>
      <w:r w:rsidRPr="000315B4">
        <w:rPr>
          <w:rFonts w:cs="Times New Roman"/>
          <w:i/>
          <w:kern w:val="2"/>
          <w:sz w:val="24"/>
          <w:szCs w:val="24"/>
          <w:lang w:eastAsia="zh-CN" w:bidi="ar-SA"/>
        </w:rPr>
        <w:t>Gastroenterology</w:t>
      </w:r>
      <w:r w:rsidRPr="000315B4">
        <w:rPr>
          <w:rFonts w:cs="Times New Roman"/>
          <w:kern w:val="2"/>
          <w:sz w:val="24"/>
          <w:szCs w:val="24"/>
          <w:lang w:eastAsia="zh-CN" w:bidi="ar-SA"/>
        </w:rPr>
        <w:t xml:space="preserve"> 2015; </w:t>
      </w:r>
      <w:r w:rsidRPr="000315B4">
        <w:rPr>
          <w:rFonts w:cs="Times New Roman"/>
          <w:b/>
          <w:kern w:val="2"/>
          <w:sz w:val="24"/>
          <w:szCs w:val="24"/>
          <w:lang w:eastAsia="zh-CN" w:bidi="ar-SA"/>
        </w:rPr>
        <w:t>149</w:t>
      </w:r>
      <w:r w:rsidRPr="000315B4">
        <w:rPr>
          <w:rFonts w:cs="Times New Roman"/>
          <w:kern w:val="2"/>
          <w:sz w:val="24"/>
          <w:szCs w:val="24"/>
          <w:lang w:eastAsia="zh-CN" w:bidi="ar-SA"/>
        </w:rPr>
        <w:t>: 1752-1761.e1 [PMID: 26327132 DOI: 10.1053/j.gastro.2015.08.048]</w:t>
      </w:r>
    </w:p>
    <w:p w14:paraId="71008B1F"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12 </w:t>
      </w:r>
      <w:r w:rsidRPr="000315B4">
        <w:rPr>
          <w:rFonts w:cs="Times New Roman"/>
          <w:b/>
          <w:kern w:val="2"/>
          <w:sz w:val="24"/>
          <w:szCs w:val="24"/>
          <w:lang w:eastAsia="zh-CN" w:bidi="ar-SA"/>
        </w:rPr>
        <w:t>Brimhall B</w:t>
      </w:r>
      <w:r w:rsidRPr="000315B4">
        <w:rPr>
          <w:rFonts w:cs="Times New Roman"/>
          <w:kern w:val="2"/>
          <w:sz w:val="24"/>
          <w:szCs w:val="24"/>
          <w:lang w:eastAsia="zh-CN" w:bidi="ar-SA"/>
        </w:rPr>
        <w:t xml:space="preserve">, Wani S. Current Endoscopic Approaches for the Treatment of Barrett Esophagus. </w:t>
      </w:r>
      <w:r w:rsidRPr="000315B4">
        <w:rPr>
          <w:rFonts w:cs="Times New Roman"/>
          <w:i/>
          <w:kern w:val="2"/>
          <w:sz w:val="24"/>
          <w:szCs w:val="24"/>
          <w:lang w:eastAsia="zh-CN" w:bidi="ar-SA"/>
        </w:rPr>
        <w:t>J Clin Gastroenterol</w:t>
      </w:r>
      <w:r w:rsidRPr="000315B4">
        <w:rPr>
          <w:rFonts w:cs="Times New Roman"/>
          <w:kern w:val="2"/>
          <w:sz w:val="24"/>
          <w:szCs w:val="24"/>
          <w:lang w:eastAsia="zh-CN" w:bidi="ar-SA"/>
        </w:rPr>
        <w:t xml:space="preserve"> 2017; </w:t>
      </w:r>
      <w:r w:rsidRPr="000315B4">
        <w:rPr>
          <w:rFonts w:cs="Times New Roman"/>
          <w:b/>
          <w:kern w:val="2"/>
          <w:sz w:val="24"/>
          <w:szCs w:val="24"/>
          <w:lang w:eastAsia="zh-CN" w:bidi="ar-SA"/>
        </w:rPr>
        <w:t>51</w:t>
      </w:r>
      <w:r w:rsidRPr="000315B4">
        <w:rPr>
          <w:rFonts w:cs="Times New Roman"/>
          <w:kern w:val="2"/>
          <w:sz w:val="24"/>
          <w:szCs w:val="24"/>
          <w:lang w:eastAsia="zh-CN" w:bidi="ar-SA"/>
        </w:rPr>
        <w:t>: 2-11 [PMID: 27941583 DOI: 10.1097/MCG.0000000000000742]</w:t>
      </w:r>
    </w:p>
    <w:p w14:paraId="3CE61DCC"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13 </w:t>
      </w:r>
      <w:r w:rsidRPr="000315B4">
        <w:rPr>
          <w:rFonts w:cs="Times New Roman"/>
          <w:b/>
          <w:kern w:val="2"/>
          <w:sz w:val="24"/>
          <w:szCs w:val="24"/>
          <w:lang w:eastAsia="zh-CN" w:bidi="ar-SA"/>
        </w:rPr>
        <w:t>Solaymani-Dodaran M</w:t>
      </w:r>
      <w:r w:rsidRPr="000315B4">
        <w:rPr>
          <w:rFonts w:cs="Times New Roman"/>
          <w:kern w:val="2"/>
          <w:sz w:val="24"/>
          <w:szCs w:val="24"/>
          <w:lang w:eastAsia="zh-CN" w:bidi="ar-SA"/>
        </w:rPr>
        <w:t xml:space="preserve">, Card TR, West J. Cause-specific mortality of people with Barrett's esophagus compared with the general population: a population-based cohort study. </w:t>
      </w:r>
      <w:r w:rsidRPr="000315B4">
        <w:rPr>
          <w:rFonts w:cs="Times New Roman"/>
          <w:i/>
          <w:kern w:val="2"/>
          <w:sz w:val="24"/>
          <w:szCs w:val="24"/>
          <w:lang w:eastAsia="zh-CN" w:bidi="ar-SA"/>
        </w:rPr>
        <w:t>Gastroenterology</w:t>
      </w:r>
      <w:r w:rsidRPr="000315B4">
        <w:rPr>
          <w:rFonts w:cs="Times New Roman"/>
          <w:kern w:val="2"/>
          <w:sz w:val="24"/>
          <w:szCs w:val="24"/>
          <w:lang w:eastAsia="zh-CN" w:bidi="ar-SA"/>
        </w:rPr>
        <w:t xml:space="preserve"> 2013; </w:t>
      </w:r>
      <w:r w:rsidRPr="000315B4">
        <w:rPr>
          <w:rFonts w:cs="Times New Roman"/>
          <w:b/>
          <w:kern w:val="2"/>
          <w:sz w:val="24"/>
          <w:szCs w:val="24"/>
          <w:lang w:eastAsia="zh-CN" w:bidi="ar-SA"/>
        </w:rPr>
        <w:t>144</w:t>
      </w:r>
      <w:r w:rsidRPr="000315B4">
        <w:rPr>
          <w:rFonts w:cs="Times New Roman"/>
          <w:kern w:val="2"/>
          <w:sz w:val="24"/>
          <w:szCs w:val="24"/>
          <w:lang w:eastAsia="zh-CN" w:bidi="ar-SA"/>
        </w:rPr>
        <w:t>: 1375-1383, 1383.e1 [PMID: 23583429 DOI: 10.1053/j.gastro.2013.02.050]</w:t>
      </w:r>
    </w:p>
    <w:p w14:paraId="6311E669"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14 </w:t>
      </w:r>
      <w:r w:rsidRPr="000315B4">
        <w:rPr>
          <w:rFonts w:cs="Times New Roman"/>
          <w:b/>
          <w:kern w:val="2"/>
          <w:sz w:val="24"/>
          <w:szCs w:val="24"/>
          <w:lang w:eastAsia="zh-CN" w:bidi="ar-SA"/>
        </w:rPr>
        <w:t>Erichsen R</w:t>
      </w:r>
      <w:r w:rsidRPr="000315B4">
        <w:rPr>
          <w:rFonts w:cs="Times New Roman"/>
          <w:kern w:val="2"/>
          <w:sz w:val="24"/>
          <w:szCs w:val="24"/>
          <w:lang w:eastAsia="zh-CN" w:bidi="ar-SA"/>
        </w:rPr>
        <w:t xml:space="preserve">, Horvath-Puho E, Lund JL, Dellon ES, Shaheen NJ, Pedersen L, Davey Smith G, Sørensen HT. Mortality and cardiovascular diseases risk in patients with </w:t>
      </w:r>
      <w:r w:rsidRPr="000315B4">
        <w:rPr>
          <w:rFonts w:cs="Times New Roman"/>
          <w:kern w:val="2"/>
          <w:sz w:val="24"/>
          <w:szCs w:val="24"/>
          <w:lang w:eastAsia="zh-CN" w:bidi="ar-SA"/>
        </w:rPr>
        <w:lastRenderedPageBreak/>
        <w:t xml:space="preserve">Barrett's oesophagus: a population-based nationwide cohort study. </w:t>
      </w:r>
      <w:r w:rsidRPr="000315B4">
        <w:rPr>
          <w:rFonts w:cs="Times New Roman"/>
          <w:i/>
          <w:kern w:val="2"/>
          <w:sz w:val="24"/>
          <w:szCs w:val="24"/>
          <w:lang w:eastAsia="zh-CN" w:bidi="ar-SA"/>
        </w:rPr>
        <w:t>Aliment Pharmacol Ther</w:t>
      </w:r>
      <w:r w:rsidRPr="000315B4">
        <w:rPr>
          <w:rFonts w:cs="Times New Roman"/>
          <w:kern w:val="2"/>
          <w:sz w:val="24"/>
          <w:szCs w:val="24"/>
          <w:lang w:eastAsia="zh-CN" w:bidi="ar-SA"/>
        </w:rPr>
        <w:t xml:space="preserve"> 2017; </w:t>
      </w:r>
      <w:r w:rsidRPr="000315B4">
        <w:rPr>
          <w:rFonts w:cs="Times New Roman"/>
          <w:b/>
          <w:kern w:val="2"/>
          <w:sz w:val="24"/>
          <w:szCs w:val="24"/>
          <w:lang w:eastAsia="zh-CN" w:bidi="ar-SA"/>
        </w:rPr>
        <w:t>45</w:t>
      </w:r>
      <w:r w:rsidRPr="000315B4">
        <w:rPr>
          <w:rFonts w:cs="Times New Roman"/>
          <w:kern w:val="2"/>
          <w:sz w:val="24"/>
          <w:szCs w:val="24"/>
          <w:lang w:eastAsia="zh-CN" w:bidi="ar-SA"/>
        </w:rPr>
        <w:t>: 973-982 [PMID: 28139003 DOI: 10.1111/apt.13962]</w:t>
      </w:r>
    </w:p>
    <w:p w14:paraId="40C1390A"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15 </w:t>
      </w:r>
      <w:r w:rsidRPr="000315B4">
        <w:rPr>
          <w:rFonts w:cs="Times New Roman"/>
          <w:b/>
          <w:kern w:val="2"/>
          <w:sz w:val="24"/>
          <w:szCs w:val="24"/>
          <w:lang w:eastAsia="zh-CN" w:bidi="ar-SA"/>
        </w:rPr>
        <w:t>Pines G</w:t>
      </w:r>
      <w:r w:rsidRPr="000315B4">
        <w:rPr>
          <w:rFonts w:cs="Times New Roman"/>
          <w:kern w:val="2"/>
          <w:sz w:val="24"/>
          <w:szCs w:val="24"/>
          <w:lang w:eastAsia="zh-CN" w:bidi="ar-SA"/>
        </w:rPr>
        <w:t xml:space="preserve">, Dickman R, Niv Y, Kashtan H, Birkenfeld S. Extraesophageal malignancies among patients with Barrett esophagus. </w:t>
      </w:r>
      <w:r w:rsidRPr="000315B4">
        <w:rPr>
          <w:rFonts w:cs="Times New Roman"/>
          <w:i/>
          <w:kern w:val="2"/>
          <w:sz w:val="24"/>
          <w:szCs w:val="24"/>
          <w:lang w:eastAsia="zh-CN" w:bidi="ar-SA"/>
        </w:rPr>
        <w:t>J Clin Gastroenterol</w:t>
      </w:r>
      <w:r w:rsidRPr="000315B4">
        <w:rPr>
          <w:rFonts w:cs="Times New Roman"/>
          <w:kern w:val="2"/>
          <w:sz w:val="24"/>
          <w:szCs w:val="24"/>
          <w:lang w:eastAsia="zh-CN" w:bidi="ar-SA"/>
        </w:rPr>
        <w:t xml:space="preserve"> 2014; </w:t>
      </w:r>
      <w:r w:rsidRPr="000315B4">
        <w:rPr>
          <w:rFonts w:cs="Times New Roman"/>
          <w:b/>
          <w:kern w:val="2"/>
          <w:sz w:val="24"/>
          <w:szCs w:val="24"/>
          <w:lang w:eastAsia="zh-CN" w:bidi="ar-SA"/>
        </w:rPr>
        <w:t>48</w:t>
      </w:r>
      <w:r w:rsidRPr="000315B4">
        <w:rPr>
          <w:rFonts w:cs="Times New Roman"/>
          <w:kern w:val="2"/>
          <w:sz w:val="24"/>
          <w:szCs w:val="24"/>
          <w:lang w:eastAsia="zh-CN" w:bidi="ar-SA"/>
        </w:rPr>
        <w:t>: e8-e11 [PMID: 23507770 DOI: 10.1097/MCG.0b013e31828bf26f]</w:t>
      </w:r>
    </w:p>
    <w:p w14:paraId="4FB607E1"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16 </w:t>
      </w:r>
      <w:r w:rsidRPr="000315B4">
        <w:rPr>
          <w:rFonts w:cs="Times New Roman"/>
          <w:b/>
          <w:kern w:val="2"/>
          <w:sz w:val="24"/>
          <w:szCs w:val="24"/>
          <w:lang w:eastAsia="zh-CN" w:bidi="ar-SA"/>
        </w:rPr>
        <w:t>Richter JE</w:t>
      </w:r>
      <w:r w:rsidRPr="000315B4">
        <w:rPr>
          <w:rFonts w:cs="Times New Roman"/>
          <w:kern w:val="2"/>
          <w:sz w:val="24"/>
          <w:szCs w:val="24"/>
          <w:lang w:eastAsia="zh-CN" w:bidi="ar-SA"/>
        </w:rPr>
        <w:t xml:space="preserve">. Editorial: maybe our 'Barrett's recommendation speech' should change? </w:t>
      </w:r>
      <w:r w:rsidRPr="000315B4">
        <w:rPr>
          <w:rFonts w:cs="Times New Roman"/>
          <w:i/>
          <w:kern w:val="2"/>
          <w:sz w:val="24"/>
          <w:szCs w:val="24"/>
          <w:lang w:eastAsia="zh-CN" w:bidi="ar-SA"/>
        </w:rPr>
        <w:t>Aliment Pharmacol Ther</w:t>
      </w:r>
      <w:r w:rsidRPr="000315B4">
        <w:rPr>
          <w:rFonts w:cs="Times New Roman"/>
          <w:kern w:val="2"/>
          <w:sz w:val="24"/>
          <w:szCs w:val="24"/>
          <w:lang w:eastAsia="zh-CN" w:bidi="ar-SA"/>
        </w:rPr>
        <w:t xml:space="preserve"> 2017; </w:t>
      </w:r>
      <w:r w:rsidRPr="000315B4">
        <w:rPr>
          <w:rFonts w:cs="Times New Roman"/>
          <w:b/>
          <w:kern w:val="2"/>
          <w:sz w:val="24"/>
          <w:szCs w:val="24"/>
          <w:lang w:eastAsia="zh-CN" w:bidi="ar-SA"/>
        </w:rPr>
        <w:t>45</w:t>
      </w:r>
      <w:r w:rsidRPr="000315B4">
        <w:rPr>
          <w:rFonts w:cs="Times New Roman"/>
          <w:kern w:val="2"/>
          <w:sz w:val="24"/>
          <w:szCs w:val="24"/>
          <w:lang w:eastAsia="zh-CN" w:bidi="ar-SA"/>
        </w:rPr>
        <w:t>: 1266-1267 [PMID: 28370045 DOI: 10.1111/apt.14001]</w:t>
      </w:r>
    </w:p>
    <w:p w14:paraId="15591503"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17 </w:t>
      </w:r>
      <w:r w:rsidRPr="000315B4">
        <w:rPr>
          <w:rFonts w:cs="Times New Roman"/>
          <w:b/>
          <w:kern w:val="2"/>
          <w:sz w:val="24"/>
          <w:szCs w:val="24"/>
          <w:lang w:eastAsia="zh-CN" w:bidi="ar-SA"/>
        </w:rPr>
        <w:t>Sharma P</w:t>
      </w:r>
      <w:r w:rsidRPr="000315B4">
        <w:rPr>
          <w:rFonts w:cs="Times New Roman"/>
          <w:kern w:val="2"/>
          <w:sz w:val="24"/>
          <w:szCs w:val="24"/>
          <w:lang w:eastAsia="zh-CN" w:bidi="ar-SA"/>
        </w:rPr>
        <w:t xml:space="preserve">, Dent J, Armstrong D, Bergman JJ, Gossner L, Hoshihara Y, Jankowski JA, Junghard O, Lundell L, Tytgat GN, Vieth M. The development and validation of an endoscopic grading system for Barrett's esophagus: the Prague C &amp;amp; M criteria. </w:t>
      </w:r>
      <w:r w:rsidRPr="000315B4">
        <w:rPr>
          <w:rFonts w:cs="Times New Roman"/>
          <w:i/>
          <w:kern w:val="2"/>
          <w:sz w:val="24"/>
          <w:szCs w:val="24"/>
          <w:lang w:eastAsia="zh-CN" w:bidi="ar-SA"/>
        </w:rPr>
        <w:t>Gastroenterology</w:t>
      </w:r>
      <w:r w:rsidRPr="000315B4">
        <w:rPr>
          <w:rFonts w:cs="Times New Roman"/>
          <w:kern w:val="2"/>
          <w:sz w:val="24"/>
          <w:szCs w:val="24"/>
          <w:lang w:eastAsia="zh-CN" w:bidi="ar-SA"/>
        </w:rPr>
        <w:t xml:space="preserve"> 2006; </w:t>
      </w:r>
      <w:r w:rsidRPr="000315B4">
        <w:rPr>
          <w:rFonts w:cs="Times New Roman"/>
          <w:b/>
          <w:kern w:val="2"/>
          <w:sz w:val="24"/>
          <w:szCs w:val="24"/>
          <w:lang w:eastAsia="zh-CN" w:bidi="ar-SA"/>
        </w:rPr>
        <w:t>131</w:t>
      </w:r>
      <w:r w:rsidRPr="000315B4">
        <w:rPr>
          <w:rFonts w:cs="Times New Roman"/>
          <w:kern w:val="2"/>
          <w:sz w:val="24"/>
          <w:szCs w:val="24"/>
          <w:lang w:eastAsia="zh-CN" w:bidi="ar-SA"/>
        </w:rPr>
        <w:t>: 1392-1399 [PMID: 17101315 DOI: 10.1053/j.gastro.2006.08.032]</w:t>
      </w:r>
    </w:p>
    <w:p w14:paraId="1587D881"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18 </w:t>
      </w:r>
      <w:r w:rsidRPr="000315B4">
        <w:rPr>
          <w:rFonts w:cs="Times New Roman"/>
          <w:b/>
          <w:kern w:val="2"/>
          <w:sz w:val="24"/>
          <w:szCs w:val="24"/>
          <w:lang w:eastAsia="zh-CN" w:bidi="ar-SA"/>
        </w:rPr>
        <w:t>Reid BJ</w:t>
      </w:r>
      <w:r w:rsidRPr="000315B4">
        <w:rPr>
          <w:rFonts w:cs="Times New Roman"/>
          <w:kern w:val="2"/>
          <w:sz w:val="24"/>
          <w:szCs w:val="24"/>
          <w:lang w:eastAsia="zh-CN" w:bidi="ar-SA"/>
        </w:rPr>
        <w:t xml:space="preserve">, Haggitt RC, Rubin CE, Roth G, Surawicz CM, Van Belle G, Lewin K, Weinstein WM, Antonioli DA, Goldman H. Observer variation in the diagnosis of dysplasia in Barrett's esophagus. </w:t>
      </w:r>
      <w:r w:rsidRPr="000315B4">
        <w:rPr>
          <w:rFonts w:cs="Times New Roman"/>
          <w:i/>
          <w:kern w:val="2"/>
          <w:sz w:val="24"/>
          <w:szCs w:val="24"/>
          <w:lang w:eastAsia="zh-CN" w:bidi="ar-SA"/>
        </w:rPr>
        <w:t>Hum Pathol</w:t>
      </w:r>
      <w:r w:rsidRPr="000315B4">
        <w:rPr>
          <w:rFonts w:cs="Times New Roman"/>
          <w:kern w:val="2"/>
          <w:sz w:val="24"/>
          <w:szCs w:val="24"/>
          <w:lang w:eastAsia="zh-CN" w:bidi="ar-SA"/>
        </w:rPr>
        <w:t xml:space="preserve"> 1988; </w:t>
      </w:r>
      <w:r w:rsidRPr="000315B4">
        <w:rPr>
          <w:rFonts w:cs="Times New Roman"/>
          <w:b/>
          <w:kern w:val="2"/>
          <w:sz w:val="24"/>
          <w:szCs w:val="24"/>
          <w:lang w:eastAsia="zh-CN" w:bidi="ar-SA"/>
        </w:rPr>
        <w:t>19</w:t>
      </w:r>
      <w:r w:rsidRPr="000315B4">
        <w:rPr>
          <w:rFonts w:cs="Times New Roman"/>
          <w:kern w:val="2"/>
          <w:sz w:val="24"/>
          <w:szCs w:val="24"/>
          <w:lang w:eastAsia="zh-CN" w:bidi="ar-SA"/>
        </w:rPr>
        <w:t>: 166-178 [PMID: 3343032 DOI: 10.1016/S0046-8177(88)80344-7]</w:t>
      </w:r>
    </w:p>
    <w:p w14:paraId="17897A1F"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19 </w:t>
      </w:r>
      <w:r w:rsidRPr="000315B4">
        <w:rPr>
          <w:rFonts w:cs="Times New Roman"/>
          <w:b/>
          <w:kern w:val="2"/>
          <w:sz w:val="24"/>
          <w:szCs w:val="24"/>
          <w:lang w:eastAsia="zh-CN" w:bidi="ar-SA"/>
        </w:rPr>
        <w:t>Lindblad M</w:t>
      </w:r>
      <w:r w:rsidRPr="000315B4">
        <w:rPr>
          <w:rFonts w:cs="Times New Roman"/>
          <w:kern w:val="2"/>
          <w:sz w:val="24"/>
          <w:szCs w:val="24"/>
          <w:lang w:eastAsia="zh-CN" w:bidi="ar-SA"/>
        </w:rPr>
        <w:t xml:space="preserve">, Ye W, Lindgren A, Lagergren J. Disparities in the classification of esophageal and cardia adenocarcinomas and their influence on reported incidence rates. </w:t>
      </w:r>
      <w:r w:rsidRPr="000315B4">
        <w:rPr>
          <w:rFonts w:cs="Times New Roman"/>
          <w:i/>
          <w:kern w:val="2"/>
          <w:sz w:val="24"/>
          <w:szCs w:val="24"/>
          <w:lang w:eastAsia="zh-CN" w:bidi="ar-SA"/>
        </w:rPr>
        <w:t>Ann Surg</w:t>
      </w:r>
      <w:r w:rsidRPr="000315B4">
        <w:rPr>
          <w:rFonts w:cs="Times New Roman"/>
          <w:kern w:val="2"/>
          <w:sz w:val="24"/>
          <w:szCs w:val="24"/>
          <w:lang w:eastAsia="zh-CN" w:bidi="ar-SA"/>
        </w:rPr>
        <w:t xml:space="preserve"> 2006; </w:t>
      </w:r>
      <w:r w:rsidRPr="000315B4">
        <w:rPr>
          <w:rFonts w:cs="Times New Roman"/>
          <w:b/>
          <w:kern w:val="2"/>
          <w:sz w:val="24"/>
          <w:szCs w:val="24"/>
          <w:lang w:eastAsia="zh-CN" w:bidi="ar-SA"/>
        </w:rPr>
        <w:t>243</w:t>
      </w:r>
      <w:r w:rsidRPr="000315B4">
        <w:rPr>
          <w:rFonts w:cs="Times New Roman"/>
          <w:kern w:val="2"/>
          <w:sz w:val="24"/>
          <w:szCs w:val="24"/>
          <w:lang w:eastAsia="zh-CN" w:bidi="ar-SA"/>
        </w:rPr>
        <w:t>: 479-485 [PMID: 16552198 DOI: 10.1097/01.sla.0000205825.34452.43]</w:t>
      </w:r>
    </w:p>
    <w:p w14:paraId="101EC604"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20 </w:t>
      </w:r>
      <w:r w:rsidRPr="000315B4">
        <w:rPr>
          <w:rFonts w:cs="Times New Roman"/>
          <w:b/>
          <w:kern w:val="2"/>
          <w:sz w:val="24"/>
          <w:szCs w:val="24"/>
          <w:lang w:eastAsia="zh-CN" w:bidi="ar-SA"/>
        </w:rPr>
        <w:t>Sonnenberg A</w:t>
      </w:r>
      <w:r w:rsidRPr="000315B4">
        <w:rPr>
          <w:rFonts w:cs="Times New Roman"/>
          <w:kern w:val="2"/>
          <w:sz w:val="24"/>
          <w:szCs w:val="24"/>
          <w:lang w:eastAsia="zh-CN" w:bidi="ar-SA"/>
        </w:rPr>
        <w:t xml:space="preserve">, Genta RM. Barrett's metaplasia and colonic neoplasms: a significant association in a 203,534-patient study. </w:t>
      </w:r>
      <w:r w:rsidRPr="000315B4">
        <w:rPr>
          <w:rFonts w:cs="Times New Roman"/>
          <w:i/>
          <w:kern w:val="2"/>
          <w:sz w:val="24"/>
          <w:szCs w:val="24"/>
          <w:lang w:eastAsia="zh-CN" w:bidi="ar-SA"/>
        </w:rPr>
        <w:t>Dig Dis Sci</w:t>
      </w:r>
      <w:r w:rsidRPr="000315B4">
        <w:rPr>
          <w:rFonts w:cs="Times New Roman"/>
          <w:kern w:val="2"/>
          <w:sz w:val="24"/>
          <w:szCs w:val="24"/>
          <w:lang w:eastAsia="zh-CN" w:bidi="ar-SA"/>
        </w:rPr>
        <w:t xml:space="preserve"> 2013; </w:t>
      </w:r>
      <w:r w:rsidRPr="000315B4">
        <w:rPr>
          <w:rFonts w:cs="Times New Roman"/>
          <w:b/>
          <w:kern w:val="2"/>
          <w:sz w:val="24"/>
          <w:szCs w:val="24"/>
          <w:lang w:eastAsia="zh-CN" w:bidi="ar-SA"/>
        </w:rPr>
        <w:t>58</w:t>
      </w:r>
      <w:r w:rsidRPr="000315B4">
        <w:rPr>
          <w:rFonts w:cs="Times New Roman"/>
          <w:kern w:val="2"/>
          <w:sz w:val="24"/>
          <w:szCs w:val="24"/>
          <w:lang w:eastAsia="zh-CN" w:bidi="ar-SA"/>
        </w:rPr>
        <w:t>: 2046-2051 [PMID: 23371013 DOI: 10.1007/s10620-013-2565-5]</w:t>
      </w:r>
    </w:p>
    <w:p w14:paraId="079F3743"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21 </w:t>
      </w:r>
      <w:r w:rsidRPr="000315B4">
        <w:rPr>
          <w:rFonts w:cs="Times New Roman"/>
          <w:b/>
          <w:kern w:val="2"/>
          <w:sz w:val="24"/>
          <w:szCs w:val="24"/>
          <w:lang w:eastAsia="zh-CN" w:bidi="ar-SA"/>
        </w:rPr>
        <w:t>Andrici J</w:t>
      </w:r>
      <w:r w:rsidRPr="000315B4">
        <w:rPr>
          <w:rFonts w:cs="Times New Roman"/>
          <w:kern w:val="2"/>
          <w:sz w:val="24"/>
          <w:szCs w:val="24"/>
          <w:lang w:eastAsia="zh-CN" w:bidi="ar-SA"/>
        </w:rPr>
        <w:t xml:space="preserve">, Tio M, Cox MR, Eslick GD. Meta-analysis: Barrett's oesophagus and the risk of colonic tumours. </w:t>
      </w:r>
      <w:r w:rsidRPr="000315B4">
        <w:rPr>
          <w:rFonts w:cs="Times New Roman"/>
          <w:i/>
          <w:kern w:val="2"/>
          <w:sz w:val="24"/>
          <w:szCs w:val="24"/>
          <w:lang w:eastAsia="zh-CN" w:bidi="ar-SA"/>
        </w:rPr>
        <w:t>Aliment Pharmacol Ther</w:t>
      </w:r>
      <w:r w:rsidRPr="000315B4">
        <w:rPr>
          <w:rFonts w:cs="Times New Roman"/>
          <w:kern w:val="2"/>
          <w:sz w:val="24"/>
          <w:szCs w:val="24"/>
          <w:lang w:eastAsia="zh-CN" w:bidi="ar-SA"/>
        </w:rPr>
        <w:t xml:space="preserve"> 2013; </w:t>
      </w:r>
      <w:r w:rsidRPr="000315B4">
        <w:rPr>
          <w:rFonts w:cs="Times New Roman"/>
          <w:b/>
          <w:kern w:val="2"/>
          <w:sz w:val="24"/>
          <w:szCs w:val="24"/>
          <w:lang w:eastAsia="zh-CN" w:bidi="ar-SA"/>
        </w:rPr>
        <w:t>37</w:t>
      </w:r>
      <w:r w:rsidRPr="000315B4">
        <w:rPr>
          <w:rFonts w:cs="Times New Roman"/>
          <w:kern w:val="2"/>
          <w:sz w:val="24"/>
          <w:szCs w:val="24"/>
          <w:lang w:eastAsia="zh-CN" w:bidi="ar-SA"/>
        </w:rPr>
        <w:t>: 401-410 [PMID: 23163592 DOI: 10.1111/apt.12146]</w:t>
      </w:r>
    </w:p>
    <w:p w14:paraId="0217B479"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22 </w:t>
      </w:r>
      <w:r w:rsidRPr="000315B4">
        <w:rPr>
          <w:rFonts w:cs="Times New Roman"/>
          <w:b/>
          <w:kern w:val="2"/>
          <w:sz w:val="24"/>
          <w:szCs w:val="24"/>
          <w:lang w:eastAsia="zh-CN" w:bidi="ar-SA"/>
        </w:rPr>
        <w:t>Khalaf N</w:t>
      </w:r>
      <w:r w:rsidRPr="000315B4">
        <w:rPr>
          <w:rFonts w:cs="Times New Roman"/>
          <w:kern w:val="2"/>
          <w:sz w:val="24"/>
          <w:szCs w:val="24"/>
          <w:lang w:eastAsia="zh-CN" w:bidi="ar-SA"/>
        </w:rPr>
        <w:t xml:space="preserve">, Ramsey D, Kramer JR, El-Serag HB. Personal and family history of cancer and the risk of Barrett's esophagus in men. </w:t>
      </w:r>
      <w:r w:rsidRPr="000315B4">
        <w:rPr>
          <w:rFonts w:cs="Times New Roman"/>
          <w:i/>
          <w:kern w:val="2"/>
          <w:sz w:val="24"/>
          <w:szCs w:val="24"/>
          <w:lang w:eastAsia="zh-CN" w:bidi="ar-SA"/>
        </w:rPr>
        <w:t>Dis Esophagus</w:t>
      </w:r>
      <w:r w:rsidRPr="000315B4">
        <w:rPr>
          <w:rFonts w:cs="Times New Roman"/>
          <w:kern w:val="2"/>
          <w:sz w:val="24"/>
          <w:szCs w:val="24"/>
          <w:lang w:eastAsia="zh-CN" w:bidi="ar-SA"/>
        </w:rPr>
        <w:t xml:space="preserve"> 2015; </w:t>
      </w:r>
      <w:r w:rsidRPr="000315B4">
        <w:rPr>
          <w:rFonts w:cs="Times New Roman"/>
          <w:b/>
          <w:kern w:val="2"/>
          <w:sz w:val="24"/>
          <w:szCs w:val="24"/>
          <w:lang w:eastAsia="zh-CN" w:bidi="ar-SA"/>
        </w:rPr>
        <w:t>28</w:t>
      </w:r>
      <w:r w:rsidRPr="000315B4">
        <w:rPr>
          <w:rFonts w:cs="Times New Roman"/>
          <w:kern w:val="2"/>
          <w:sz w:val="24"/>
          <w:szCs w:val="24"/>
          <w:lang w:eastAsia="zh-CN" w:bidi="ar-SA"/>
        </w:rPr>
        <w:t>: 283-290 [PMID: 24529029 DOI: 10.1111/dote.12185]</w:t>
      </w:r>
    </w:p>
    <w:p w14:paraId="62734319"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23 </w:t>
      </w:r>
      <w:r w:rsidRPr="000315B4">
        <w:rPr>
          <w:rFonts w:cs="Times New Roman"/>
          <w:b/>
          <w:kern w:val="2"/>
          <w:sz w:val="24"/>
          <w:szCs w:val="24"/>
          <w:lang w:eastAsia="zh-CN" w:bidi="ar-SA"/>
        </w:rPr>
        <w:t>Solaymani-Dodaran M</w:t>
      </w:r>
      <w:r w:rsidRPr="000315B4">
        <w:rPr>
          <w:rFonts w:cs="Times New Roman"/>
          <w:kern w:val="2"/>
          <w:sz w:val="24"/>
          <w:szCs w:val="24"/>
          <w:lang w:eastAsia="zh-CN" w:bidi="ar-SA"/>
        </w:rPr>
        <w:t>, Logan RF, West J, Card T, Coupland C. Risk of extra-oesophageal malignancies and colorectal cancer in Barrett's oesophagus and gastro-</w:t>
      </w:r>
      <w:r w:rsidRPr="000315B4">
        <w:rPr>
          <w:rFonts w:cs="Times New Roman"/>
          <w:kern w:val="2"/>
          <w:sz w:val="24"/>
          <w:szCs w:val="24"/>
          <w:lang w:eastAsia="zh-CN" w:bidi="ar-SA"/>
        </w:rPr>
        <w:lastRenderedPageBreak/>
        <w:t xml:space="preserve">oesophageal reflux. </w:t>
      </w:r>
      <w:r w:rsidRPr="000315B4">
        <w:rPr>
          <w:rFonts w:cs="Times New Roman"/>
          <w:i/>
          <w:kern w:val="2"/>
          <w:sz w:val="24"/>
          <w:szCs w:val="24"/>
          <w:lang w:eastAsia="zh-CN" w:bidi="ar-SA"/>
        </w:rPr>
        <w:t>Scand J Gastroenterol</w:t>
      </w:r>
      <w:r w:rsidRPr="000315B4">
        <w:rPr>
          <w:rFonts w:cs="Times New Roman"/>
          <w:kern w:val="2"/>
          <w:sz w:val="24"/>
          <w:szCs w:val="24"/>
          <w:lang w:eastAsia="zh-CN" w:bidi="ar-SA"/>
        </w:rPr>
        <w:t xml:space="preserve"> 2004; </w:t>
      </w:r>
      <w:r w:rsidRPr="000315B4">
        <w:rPr>
          <w:rFonts w:cs="Times New Roman"/>
          <w:b/>
          <w:kern w:val="2"/>
          <w:sz w:val="24"/>
          <w:szCs w:val="24"/>
          <w:lang w:eastAsia="zh-CN" w:bidi="ar-SA"/>
        </w:rPr>
        <w:t>39</w:t>
      </w:r>
      <w:r w:rsidRPr="000315B4">
        <w:rPr>
          <w:rFonts w:cs="Times New Roman"/>
          <w:kern w:val="2"/>
          <w:sz w:val="24"/>
          <w:szCs w:val="24"/>
          <w:lang w:eastAsia="zh-CN" w:bidi="ar-SA"/>
        </w:rPr>
        <w:t>: 680-685 [PMID: 15370691 DOI: 10.1080/00365520410004802]</w:t>
      </w:r>
    </w:p>
    <w:p w14:paraId="7AE1F850"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24 </w:t>
      </w:r>
      <w:r w:rsidRPr="000315B4">
        <w:rPr>
          <w:rFonts w:cs="Times New Roman"/>
          <w:b/>
          <w:kern w:val="2"/>
          <w:sz w:val="24"/>
          <w:szCs w:val="24"/>
          <w:lang w:eastAsia="zh-CN" w:bidi="ar-SA"/>
        </w:rPr>
        <w:t>Smith KJ</w:t>
      </w:r>
      <w:r w:rsidRPr="000315B4">
        <w:rPr>
          <w:rFonts w:cs="Times New Roman"/>
          <w:kern w:val="2"/>
          <w:sz w:val="24"/>
          <w:szCs w:val="24"/>
          <w:lang w:eastAsia="zh-CN" w:bidi="ar-SA"/>
        </w:rPr>
        <w:t xml:space="preserve">, O'Brien SM, Smithers BM, Gotley DC, Webb PM, Green AC, Whiteman DC. Interactions among smoking, obesity, and symptoms of acid reflux in Barrett's esophagus. </w:t>
      </w:r>
      <w:r w:rsidRPr="000315B4">
        <w:rPr>
          <w:rFonts w:cs="Times New Roman"/>
          <w:i/>
          <w:kern w:val="2"/>
          <w:sz w:val="24"/>
          <w:szCs w:val="24"/>
          <w:lang w:eastAsia="zh-CN" w:bidi="ar-SA"/>
        </w:rPr>
        <w:t>Cancer Epidemiol Biomarkers Prev</w:t>
      </w:r>
      <w:r w:rsidRPr="000315B4">
        <w:rPr>
          <w:rFonts w:cs="Times New Roman"/>
          <w:kern w:val="2"/>
          <w:sz w:val="24"/>
          <w:szCs w:val="24"/>
          <w:lang w:eastAsia="zh-CN" w:bidi="ar-SA"/>
        </w:rPr>
        <w:t xml:space="preserve"> 2005; </w:t>
      </w:r>
      <w:r w:rsidRPr="000315B4">
        <w:rPr>
          <w:rFonts w:cs="Times New Roman"/>
          <w:b/>
          <w:kern w:val="2"/>
          <w:sz w:val="24"/>
          <w:szCs w:val="24"/>
          <w:lang w:eastAsia="zh-CN" w:bidi="ar-SA"/>
        </w:rPr>
        <w:t>14</w:t>
      </w:r>
      <w:r w:rsidRPr="000315B4">
        <w:rPr>
          <w:rFonts w:cs="Times New Roman"/>
          <w:kern w:val="2"/>
          <w:sz w:val="24"/>
          <w:szCs w:val="24"/>
          <w:lang w:eastAsia="zh-CN" w:bidi="ar-SA"/>
        </w:rPr>
        <w:t>: 2481-2486 [PMID: 16284367 DOI: 10.1158/1055-9965.EPI-05-0370]</w:t>
      </w:r>
    </w:p>
    <w:p w14:paraId="4A000AED"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25 </w:t>
      </w:r>
      <w:r w:rsidRPr="000315B4">
        <w:rPr>
          <w:rFonts w:cs="Times New Roman"/>
          <w:b/>
          <w:kern w:val="2"/>
          <w:sz w:val="24"/>
          <w:szCs w:val="24"/>
          <w:lang w:eastAsia="zh-CN" w:bidi="ar-SA"/>
        </w:rPr>
        <w:t>Coleman HG</w:t>
      </w:r>
      <w:r w:rsidRPr="000315B4">
        <w:rPr>
          <w:rFonts w:cs="Times New Roman"/>
          <w:kern w:val="2"/>
          <w:sz w:val="24"/>
          <w:szCs w:val="24"/>
          <w:lang w:eastAsia="zh-CN" w:bidi="ar-SA"/>
        </w:rPr>
        <w:t xml:space="preserve">, Bhat S, Johnston BT, McManus D, Gavin AT, Murray LJ. Tobacco smoking increases the risk of high-grade dysplasia and cancer among patients with Barrett's esophagus. </w:t>
      </w:r>
      <w:r w:rsidRPr="000315B4">
        <w:rPr>
          <w:rFonts w:cs="Times New Roman"/>
          <w:i/>
          <w:kern w:val="2"/>
          <w:sz w:val="24"/>
          <w:szCs w:val="24"/>
          <w:lang w:eastAsia="zh-CN" w:bidi="ar-SA"/>
        </w:rPr>
        <w:t>Gastroenterology</w:t>
      </w:r>
      <w:r w:rsidRPr="000315B4">
        <w:rPr>
          <w:rFonts w:cs="Times New Roman"/>
          <w:kern w:val="2"/>
          <w:sz w:val="24"/>
          <w:szCs w:val="24"/>
          <w:lang w:eastAsia="zh-CN" w:bidi="ar-SA"/>
        </w:rPr>
        <w:t xml:space="preserve"> 2012; </w:t>
      </w:r>
      <w:r w:rsidRPr="000315B4">
        <w:rPr>
          <w:rFonts w:cs="Times New Roman"/>
          <w:b/>
          <w:kern w:val="2"/>
          <w:sz w:val="24"/>
          <w:szCs w:val="24"/>
          <w:lang w:eastAsia="zh-CN" w:bidi="ar-SA"/>
        </w:rPr>
        <w:t>142</w:t>
      </w:r>
      <w:r w:rsidRPr="000315B4">
        <w:rPr>
          <w:rFonts w:cs="Times New Roman"/>
          <w:kern w:val="2"/>
          <w:sz w:val="24"/>
          <w:szCs w:val="24"/>
          <w:lang w:eastAsia="zh-CN" w:bidi="ar-SA"/>
        </w:rPr>
        <w:t>: 233-240 [PMID: 22062359 DOI: 10.1053/j.gastro.2011.10.034]</w:t>
      </w:r>
    </w:p>
    <w:p w14:paraId="7EAFF54B"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26 </w:t>
      </w:r>
      <w:r w:rsidRPr="000315B4">
        <w:rPr>
          <w:rFonts w:cs="Times New Roman"/>
          <w:b/>
          <w:kern w:val="2"/>
          <w:sz w:val="24"/>
          <w:szCs w:val="24"/>
          <w:lang w:eastAsia="zh-CN" w:bidi="ar-SA"/>
        </w:rPr>
        <w:t>Corley DA</w:t>
      </w:r>
      <w:r w:rsidRPr="000315B4">
        <w:rPr>
          <w:rFonts w:cs="Times New Roman"/>
          <w:kern w:val="2"/>
          <w:sz w:val="24"/>
          <w:szCs w:val="24"/>
          <w:lang w:eastAsia="zh-CN" w:bidi="ar-SA"/>
        </w:rPr>
        <w:t xml:space="preserve">, Kubo A, Levin TR, Block G, Habel L, Zhao W, Leighton P, Quesenberry C, Rumore GJ, Buffler PA. Abdominal obesity and body mass index as risk factors for Barrett's esophagus. </w:t>
      </w:r>
      <w:r w:rsidRPr="000315B4">
        <w:rPr>
          <w:rFonts w:cs="Times New Roman"/>
          <w:i/>
          <w:kern w:val="2"/>
          <w:sz w:val="24"/>
          <w:szCs w:val="24"/>
          <w:lang w:eastAsia="zh-CN" w:bidi="ar-SA"/>
        </w:rPr>
        <w:t>Gastroenterology</w:t>
      </w:r>
      <w:r w:rsidRPr="000315B4">
        <w:rPr>
          <w:rFonts w:cs="Times New Roman"/>
          <w:kern w:val="2"/>
          <w:sz w:val="24"/>
          <w:szCs w:val="24"/>
          <w:lang w:eastAsia="zh-CN" w:bidi="ar-SA"/>
        </w:rPr>
        <w:t xml:space="preserve"> 2007; </w:t>
      </w:r>
      <w:r w:rsidRPr="000315B4">
        <w:rPr>
          <w:rFonts w:cs="Times New Roman"/>
          <w:b/>
          <w:kern w:val="2"/>
          <w:sz w:val="24"/>
          <w:szCs w:val="24"/>
          <w:lang w:eastAsia="zh-CN" w:bidi="ar-SA"/>
        </w:rPr>
        <w:t>133</w:t>
      </w:r>
      <w:r w:rsidRPr="000315B4">
        <w:rPr>
          <w:rFonts w:cs="Times New Roman"/>
          <w:kern w:val="2"/>
          <w:sz w:val="24"/>
          <w:szCs w:val="24"/>
          <w:lang w:eastAsia="zh-CN" w:bidi="ar-SA"/>
        </w:rPr>
        <w:t>: 34-41; quiz 311 [PMID: 17631128 DOI: 10.1053/j.gastro.2007.04.046]</w:t>
      </w:r>
    </w:p>
    <w:p w14:paraId="3F623E39"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27 </w:t>
      </w:r>
      <w:r w:rsidRPr="000315B4">
        <w:rPr>
          <w:rFonts w:cs="Times New Roman"/>
          <w:b/>
          <w:kern w:val="2"/>
          <w:sz w:val="24"/>
          <w:szCs w:val="24"/>
          <w:lang w:eastAsia="zh-CN" w:bidi="ar-SA"/>
        </w:rPr>
        <w:t>Nelsen EM</w:t>
      </w:r>
      <w:r w:rsidRPr="000315B4">
        <w:rPr>
          <w:rFonts w:cs="Times New Roman"/>
          <w:kern w:val="2"/>
          <w:sz w:val="24"/>
          <w:szCs w:val="24"/>
          <w:lang w:eastAsia="zh-CN" w:bidi="ar-SA"/>
        </w:rPr>
        <w:t xml:space="preserve">, Kirihara Y, Takahashi N, Shi Q, Lewis JT, Namasivayam V, Buttar NS, Dunagan KT, Prasad GA. Distribution of body fat and its influence on esophageal inflammation and dysplasia in patients with Barrett's esophagus. </w:t>
      </w:r>
      <w:r w:rsidRPr="000315B4">
        <w:rPr>
          <w:rFonts w:cs="Times New Roman"/>
          <w:i/>
          <w:kern w:val="2"/>
          <w:sz w:val="24"/>
          <w:szCs w:val="24"/>
          <w:lang w:eastAsia="zh-CN" w:bidi="ar-SA"/>
        </w:rPr>
        <w:t>Clin Gastroenterol Hepatol</w:t>
      </w:r>
      <w:r w:rsidRPr="000315B4">
        <w:rPr>
          <w:rFonts w:cs="Times New Roman"/>
          <w:kern w:val="2"/>
          <w:sz w:val="24"/>
          <w:szCs w:val="24"/>
          <w:lang w:eastAsia="zh-CN" w:bidi="ar-SA"/>
        </w:rPr>
        <w:t xml:space="preserve"> 2012; </w:t>
      </w:r>
      <w:r w:rsidRPr="000315B4">
        <w:rPr>
          <w:rFonts w:cs="Times New Roman"/>
          <w:b/>
          <w:kern w:val="2"/>
          <w:sz w:val="24"/>
          <w:szCs w:val="24"/>
          <w:lang w:eastAsia="zh-CN" w:bidi="ar-SA"/>
        </w:rPr>
        <w:t>10</w:t>
      </w:r>
      <w:r w:rsidRPr="000315B4">
        <w:rPr>
          <w:rFonts w:cs="Times New Roman"/>
          <w:kern w:val="2"/>
          <w:sz w:val="24"/>
          <w:szCs w:val="24"/>
          <w:lang w:eastAsia="zh-CN" w:bidi="ar-SA"/>
        </w:rPr>
        <w:t>: 728-</w:t>
      </w:r>
      <w:r w:rsidRPr="000315B4">
        <w:rPr>
          <w:rFonts w:cs="Times New Roman" w:hint="eastAsia"/>
          <w:kern w:val="2"/>
          <w:sz w:val="24"/>
          <w:szCs w:val="24"/>
          <w:lang w:eastAsia="zh-CN" w:bidi="ar-SA"/>
        </w:rPr>
        <w:t>7</w:t>
      </w:r>
      <w:r w:rsidRPr="000315B4">
        <w:rPr>
          <w:rFonts w:cs="Times New Roman"/>
          <w:kern w:val="2"/>
          <w:sz w:val="24"/>
          <w:szCs w:val="24"/>
          <w:lang w:eastAsia="zh-CN" w:bidi="ar-SA"/>
        </w:rPr>
        <w:t>34; quiz e61- e62 [PMID: 22433923 DOI: 10.1016/j.cgh.2012.03.007]</w:t>
      </w:r>
    </w:p>
    <w:p w14:paraId="36F9F3D7"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28 </w:t>
      </w:r>
      <w:r w:rsidRPr="000315B4">
        <w:rPr>
          <w:rFonts w:cs="Times New Roman"/>
          <w:b/>
          <w:kern w:val="2"/>
          <w:sz w:val="24"/>
          <w:szCs w:val="24"/>
          <w:lang w:eastAsia="zh-CN" w:bidi="ar-SA"/>
        </w:rPr>
        <w:t>Su Z</w:t>
      </w:r>
      <w:r w:rsidRPr="000315B4">
        <w:rPr>
          <w:rFonts w:cs="Times New Roman"/>
          <w:kern w:val="2"/>
          <w:sz w:val="24"/>
          <w:szCs w:val="24"/>
          <w:lang w:eastAsia="zh-CN" w:bidi="ar-SA"/>
        </w:rPr>
        <w:t xml:space="preserve">, Gay LJ, Strange A, Palles C, Band G, Whiteman DC, Lescai F, Langford C, Nanji M, Edkins S, van der Winkel A, Levine D, Sasieni P, Bellenguez C, Howarth K, Freeman C, Trudgill N, Tucker AT, Pirinen M, Peppelenbosch MP, van der Laan LJ, Kuipers EJ, Drenth JP, Peters WH, Reynolds JV, Kelleher DP, McManus R, Grabsch H, Prenen H, Bisschops R, Krishnadath K, Siersema PD, van Baal JW, Middleton M, Petty R, Gillies R, Burch N, Bhandari P, Paterson S, Edwards C, Penman I, Vaidya K, Ang Y, Murray I, Patel P, Ye W, Mullins P, Wu AH, Bird NC, Dallal H, Shaheen NJ, Murray LJ, Koss K, Bernstein L, Romero Y, Hardie LJ, Zhang R, Winter H, Corley DA, Panter S, Risch HA, Reid BJ, Sargeant I, Gammon MD, Smart H, Dhar A, McMurtry H, Ali H, Liu G, Casson AG, Chow WH, Rutter M, Tawil A, Morris D, Nwokolo C, Isaacs P, Rodgers C, Ragunath K, MacDonald C, Haigh C, Monk D, Davies G, Wajed S, Johnston D, </w:t>
      </w:r>
      <w:r w:rsidRPr="000315B4">
        <w:rPr>
          <w:rFonts w:cs="Times New Roman"/>
          <w:kern w:val="2"/>
          <w:sz w:val="24"/>
          <w:szCs w:val="24"/>
          <w:lang w:eastAsia="zh-CN" w:bidi="ar-SA"/>
        </w:rPr>
        <w:lastRenderedPageBreak/>
        <w:t xml:space="preserve">Gibbons M, Cullen S, Church N, Langley R, Griffin M, Alderson D, Deloukas P, Hunt SE, Gray E, Dronov S, Potter SC, Tashakkori-Ghanbaria A, Anderson M, Brooks C, Blackwell JM, Bramon E, Brown MA, Casas JP, Corvin A, Duncanson A, Markus HS, Mathew CG, Palmer CN, Plomin R, Rautanen A, Sawcer SJ, Trembath RC, Viswanathan AC, Wood N, Trynka G, Wijmenga C, Cazier JB, Atherfold P, Nicholson AM, Gellatly NL, Glancy D, Cooper SC, Cunningham D, Lind T, Hapeshi J, Ferry D, Rathbone B, Brown J, Love S, Attwood S, MacGregor S, Watson P, Sanders S, Ek W, Harrison RF, Moayyedi P, de Caestecker J, Barr H, Stupka E, Vaughan TL, Peltonen L, Spencer CC, Tomlinson I, Donnelly P, Jankowski JA; Esophageal Adenocarcinoma Genetics Consortium; Wellcome Trust Case Control Consortium 2. Common variants at the MHC locus and at chromosome 16q24.1 predispose to Barrett's esophagus. </w:t>
      </w:r>
      <w:r w:rsidRPr="000315B4">
        <w:rPr>
          <w:rFonts w:cs="Times New Roman"/>
          <w:i/>
          <w:kern w:val="2"/>
          <w:sz w:val="24"/>
          <w:szCs w:val="24"/>
          <w:lang w:eastAsia="zh-CN" w:bidi="ar-SA"/>
        </w:rPr>
        <w:t>Nat Genet</w:t>
      </w:r>
      <w:r w:rsidRPr="000315B4">
        <w:rPr>
          <w:rFonts w:cs="Times New Roman"/>
          <w:kern w:val="2"/>
          <w:sz w:val="24"/>
          <w:szCs w:val="24"/>
          <w:lang w:eastAsia="zh-CN" w:bidi="ar-SA"/>
        </w:rPr>
        <w:t xml:space="preserve"> 2012; </w:t>
      </w:r>
      <w:r w:rsidRPr="000315B4">
        <w:rPr>
          <w:rFonts w:cs="Times New Roman"/>
          <w:b/>
          <w:kern w:val="2"/>
          <w:sz w:val="24"/>
          <w:szCs w:val="24"/>
          <w:lang w:eastAsia="zh-CN" w:bidi="ar-SA"/>
        </w:rPr>
        <w:t>44</w:t>
      </w:r>
      <w:r w:rsidRPr="000315B4">
        <w:rPr>
          <w:rFonts w:cs="Times New Roman"/>
          <w:kern w:val="2"/>
          <w:sz w:val="24"/>
          <w:szCs w:val="24"/>
          <w:lang w:eastAsia="zh-CN" w:bidi="ar-SA"/>
        </w:rPr>
        <w:t>: 1131-1136 [PMID: 22961001 DOI: 10.1038/ng.2408]</w:t>
      </w:r>
    </w:p>
    <w:p w14:paraId="2E0C3E7F"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29 </w:t>
      </w:r>
      <w:r w:rsidRPr="000315B4">
        <w:rPr>
          <w:rFonts w:cs="Times New Roman"/>
          <w:b/>
          <w:kern w:val="2"/>
          <w:sz w:val="24"/>
          <w:szCs w:val="24"/>
          <w:lang w:eastAsia="zh-CN" w:bidi="ar-SA"/>
        </w:rPr>
        <w:t>Kubo A</w:t>
      </w:r>
      <w:r w:rsidRPr="000315B4">
        <w:rPr>
          <w:rFonts w:cs="Times New Roman"/>
          <w:kern w:val="2"/>
          <w:sz w:val="24"/>
          <w:szCs w:val="24"/>
          <w:lang w:eastAsia="zh-CN" w:bidi="ar-SA"/>
        </w:rPr>
        <w:t xml:space="preserve">, Levin TR, Block G, Rumore GJ, Quesenberry CP Jr, Buffler P, Corley DA. Dietary antioxidants, fruits, and vegetables and the risk of Barrett's esophagus. </w:t>
      </w:r>
      <w:r w:rsidRPr="000315B4">
        <w:rPr>
          <w:rFonts w:cs="Times New Roman"/>
          <w:i/>
          <w:kern w:val="2"/>
          <w:sz w:val="24"/>
          <w:szCs w:val="24"/>
          <w:lang w:eastAsia="zh-CN" w:bidi="ar-SA"/>
        </w:rPr>
        <w:t>Am J Gastroenterol</w:t>
      </w:r>
      <w:r w:rsidRPr="000315B4">
        <w:rPr>
          <w:rFonts w:cs="Times New Roman"/>
          <w:kern w:val="2"/>
          <w:sz w:val="24"/>
          <w:szCs w:val="24"/>
          <w:lang w:eastAsia="zh-CN" w:bidi="ar-SA"/>
        </w:rPr>
        <w:t xml:space="preserve"> 2008; </w:t>
      </w:r>
      <w:r w:rsidRPr="000315B4">
        <w:rPr>
          <w:rFonts w:cs="Times New Roman"/>
          <w:b/>
          <w:kern w:val="2"/>
          <w:sz w:val="24"/>
          <w:szCs w:val="24"/>
          <w:lang w:eastAsia="zh-CN" w:bidi="ar-SA"/>
        </w:rPr>
        <w:t>103</w:t>
      </w:r>
      <w:r w:rsidRPr="000315B4">
        <w:rPr>
          <w:rFonts w:cs="Times New Roman"/>
          <w:kern w:val="2"/>
          <w:sz w:val="24"/>
          <w:szCs w:val="24"/>
          <w:lang w:eastAsia="zh-CN" w:bidi="ar-SA"/>
        </w:rPr>
        <w:t>: 1614-</w:t>
      </w:r>
      <w:r w:rsidRPr="000315B4">
        <w:rPr>
          <w:rFonts w:cs="Times New Roman" w:hint="eastAsia"/>
          <w:kern w:val="2"/>
          <w:sz w:val="24"/>
          <w:szCs w:val="24"/>
          <w:lang w:eastAsia="zh-CN" w:bidi="ar-SA"/>
        </w:rPr>
        <w:t>16</w:t>
      </w:r>
      <w:r w:rsidRPr="000315B4">
        <w:rPr>
          <w:rFonts w:cs="Times New Roman"/>
          <w:kern w:val="2"/>
          <w:sz w:val="24"/>
          <w:szCs w:val="24"/>
          <w:lang w:eastAsia="zh-CN" w:bidi="ar-SA"/>
        </w:rPr>
        <w:t>23; quiz 1624 [PMID: 18494834 DOI: 10.1111/j.1572-0241.2008.01838.x]</w:t>
      </w:r>
    </w:p>
    <w:p w14:paraId="26C65B3D"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30 </w:t>
      </w:r>
      <w:r w:rsidRPr="000315B4">
        <w:rPr>
          <w:rFonts w:cs="Times New Roman"/>
          <w:b/>
          <w:kern w:val="2"/>
          <w:sz w:val="24"/>
          <w:szCs w:val="24"/>
          <w:lang w:eastAsia="zh-CN" w:bidi="ar-SA"/>
        </w:rPr>
        <w:t>Kubo A</w:t>
      </w:r>
      <w:r w:rsidRPr="000315B4">
        <w:rPr>
          <w:rFonts w:cs="Times New Roman"/>
          <w:kern w:val="2"/>
          <w:sz w:val="24"/>
          <w:szCs w:val="24"/>
          <w:lang w:eastAsia="zh-CN" w:bidi="ar-SA"/>
        </w:rPr>
        <w:t xml:space="preserve">, Corley DA, Jensen CD, Kaur R. Dietary factors and the risks of oesophageal adenocarcinoma and Barrett's oesophagus. </w:t>
      </w:r>
      <w:r w:rsidRPr="000315B4">
        <w:rPr>
          <w:rFonts w:cs="Times New Roman"/>
          <w:i/>
          <w:kern w:val="2"/>
          <w:sz w:val="24"/>
          <w:szCs w:val="24"/>
          <w:lang w:eastAsia="zh-CN" w:bidi="ar-SA"/>
        </w:rPr>
        <w:t>Nutr Res Rev</w:t>
      </w:r>
      <w:r w:rsidRPr="000315B4">
        <w:rPr>
          <w:rFonts w:cs="Times New Roman"/>
          <w:kern w:val="2"/>
          <w:sz w:val="24"/>
          <w:szCs w:val="24"/>
          <w:lang w:eastAsia="zh-CN" w:bidi="ar-SA"/>
        </w:rPr>
        <w:t xml:space="preserve"> 2010; </w:t>
      </w:r>
      <w:r w:rsidRPr="000315B4">
        <w:rPr>
          <w:rFonts w:cs="Times New Roman"/>
          <w:b/>
          <w:kern w:val="2"/>
          <w:sz w:val="24"/>
          <w:szCs w:val="24"/>
          <w:lang w:eastAsia="zh-CN" w:bidi="ar-SA"/>
        </w:rPr>
        <w:t>23</w:t>
      </w:r>
      <w:r w:rsidRPr="000315B4">
        <w:rPr>
          <w:rFonts w:cs="Times New Roman"/>
          <w:kern w:val="2"/>
          <w:sz w:val="24"/>
          <w:szCs w:val="24"/>
          <w:lang w:eastAsia="zh-CN" w:bidi="ar-SA"/>
        </w:rPr>
        <w:t>: 230-246 [PMID: 20624335 DOI: 10.1017/S0954422410000132]</w:t>
      </w:r>
    </w:p>
    <w:p w14:paraId="22A7097B"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31 </w:t>
      </w:r>
      <w:r w:rsidRPr="000315B4">
        <w:rPr>
          <w:rFonts w:cs="Times New Roman"/>
          <w:b/>
          <w:kern w:val="2"/>
          <w:sz w:val="24"/>
          <w:szCs w:val="24"/>
          <w:lang w:eastAsia="zh-CN" w:bidi="ar-SA"/>
        </w:rPr>
        <w:t>Danaei G</w:t>
      </w:r>
      <w:r w:rsidRPr="000315B4">
        <w:rPr>
          <w:rFonts w:cs="Times New Roman"/>
          <w:kern w:val="2"/>
          <w:sz w:val="24"/>
          <w:szCs w:val="24"/>
          <w:lang w:eastAsia="zh-CN" w:bidi="ar-SA"/>
        </w:rPr>
        <w:t xml:space="preserve">, Vander Hoorn S, Lopez AD, Murray CJ, Ezzati M; Comparative Risk Assessment collaborating group (Cancers). Causes of cancer in the world: comparative risk assessment of nine behavioural and environmental risk factors. </w:t>
      </w:r>
      <w:r w:rsidRPr="000315B4">
        <w:rPr>
          <w:rFonts w:cs="Times New Roman"/>
          <w:i/>
          <w:kern w:val="2"/>
          <w:sz w:val="24"/>
          <w:szCs w:val="24"/>
          <w:lang w:eastAsia="zh-CN" w:bidi="ar-SA"/>
        </w:rPr>
        <w:t>Lancet</w:t>
      </w:r>
      <w:r w:rsidRPr="000315B4">
        <w:rPr>
          <w:rFonts w:cs="Times New Roman"/>
          <w:kern w:val="2"/>
          <w:sz w:val="24"/>
          <w:szCs w:val="24"/>
          <w:lang w:eastAsia="zh-CN" w:bidi="ar-SA"/>
        </w:rPr>
        <w:t xml:space="preserve"> 2005; </w:t>
      </w:r>
      <w:r w:rsidRPr="000315B4">
        <w:rPr>
          <w:rFonts w:cs="Times New Roman"/>
          <w:b/>
          <w:kern w:val="2"/>
          <w:sz w:val="24"/>
          <w:szCs w:val="24"/>
          <w:lang w:eastAsia="zh-CN" w:bidi="ar-SA"/>
        </w:rPr>
        <w:t>366</w:t>
      </w:r>
      <w:r w:rsidRPr="000315B4">
        <w:rPr>
          <w:rFonts w:cs="Times New Roman"/>
          <w:kern w:val="2"/>
          <w:sz w:val="24"/>
          <w:szCs w:val="24"/>
          <w:lang w:eastAsia="zh-CN" w:bidi="ar-SA"/>
        </w:rPr>
        <w:t>: 1784-1793 [PMID: 16298215 DOI: 10.1016/S0140-6736(05)67725-2]</w:t>
      </w:r>
    </w:p>
    <w:p w14:paraId="7D2370BF"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32 </w:t>
      </w:r>
      <w:r w:rsidRPr="000315B4">
        <w:rPr>
          <w:rFonts w:cs="Times New Roman"/>
          <w:b/>
          <w:kern w:val="2"/>
          <w:sz w:val="24"/>
          <w:szCs w:val="24"/>
          <w:lang w:eastAsia="zh-CN" w:bidi="ar-SA"/>
        </w:rPr>
        <w:t>Fléjou JF</w:t>
      </w:r>
      <w:r w:rsidRPr="000315B4">
        <w:rPr>
          <w:rFonts w:cs="Times New Roman"/>
          <w:kern w:val="2"/>
          <w:sz w:val="24"/>
          <w:szCs w:val="24"/>
          <w:lang w:eastAsia="zh-CN" w:bidi="ar-SA"/>
        </w:rPr>
        <w:t xml:space="preserve">. Barrett's oesophagus: from metaplasia to dysplasia and cancer. </w:t>
      </w:r>
      <w:r w:rsidRPr="000315B4">
        <w:rPr>
          <w:rFonts w:cs="Times New Roman"/>
          <w:i/>
          <w:kern w:val="2"/>
          <w:sz w:val="24"/>
          <w:szCs w:val="24"/>
          <w:lang w:eastAsia="zh-CN" w:bidi="ar-SA"/>
        </w:rPr>
        <w:t>Gut</w:t>
      </w:r>
      <w:r w:rsidRPr="000315B4">
        <w:rPr>
          <w:rFonts w:cs="Times New Roman"/>
          <w:kern w:val="2"/>
          <w:sz w:val="24"/>
          <w:szCs w:val="24"/>
          <w:lang w:eastAsia="zh-CN" w:bidi="ar-SA"/>
        </w:rPr>
        <w:t xml:space="preserve"> 2005; </w:t>
      </w:r>
      <w:r w:rsidRPr="000315B4">
        <w:rPr>
          <w:rFonts w:cs="Times New Roman"/>
          <w:b/>
          <w:kern w:val="2"/>
          <w:sz w:val="24"/>
          <w:szCs w:val="24"/>
          <w:lang w:eastAsia="zh-CN" w:bidi="ar-SA"/>
        </w:rPr>
        <w:t xml:space="preserve">54 </w:t>
      </w:r>
      <w:r w:rsidRPr="000315B4">
        <w:rPr>
          <w:rFonts w:cs="Times New Roman"/>
          <w:kern w:val="2"/>
          <w:sz w:val="24"/>
          <w:szCs w:val="24"/>
          <w:lang w:eastAsia="zh-CN" w:bidi="ar-SA"/>
        </w:rPr>
        <w:t>Suppl 1: i6- i12 [PMID: 15711008 DOI: 10.1136/gut.2004.041525]</w:t>
      </w:r>
    </w:p>
    <w:p w14:paraId="53A95103"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33 </w:t>
      </w:r>
      <w:r w:rsidRPr="000315B4">
        <w:rPr>
          <w:rFonts w:cs="Times New Roman"/>
          <w:b/>
          <w:kern w:val="2"/>
          <w:sz w:val="24"/>
          <w:szCs w:val="24"/>
          <w:lang w:eastAsia="zh-CN" w:bidi="ar-SA"/>
        </w:rPr>
        <w:t>Gregson EM</w:t>
      </w:r>
      <w:r w:rsidRPr="000315B4">
        <w:rPr>
          <w:rFonts w:cs="Times New Roman"/>
          <w:kern w:val="2"/>
          <w:sz w:val="24"/>
          <w:szCs w:val="24"/>
          <w:lang w:eastAsia="zh-CN" w:bidi="ar-SA"/>
        </w:rPr>
        <w:t xml:space="preserve">, Bornschein J, Fitzgerald RC. Genetic progression of Barrett's oesophagus to oesophageal adenocarcinoma. </w:t>
      </w:r>
      <w:r w:rsidRPr="000315B4">
        <w:rPr>
          <w:rFonts w:cs="Times New Roman"/>
          <w:i/>
          <w:kern w:val="2"/>
          <w:sz w:val="24"/>
          <w:szCs w:val="24"/>
          <w:lang w:eastAsia="zh-CN" w:bidi="ar-SA"/>
        </w:rPr>
        <w:t>Br J Cancer</w:t>
      </w:r>
      <w:r w:rsidRPr="000315B4">
        <w:rPr>
          <w:rFonts w:cs="Times New Roman"/>
          <w:kern w:val="2"/>
          <w:sz w:val="24"/>
          <w:szCs w:val="24"/>
          <w:lang w:eastAsia="zh-CN" w:bidi="ar-SA"/>
        </w:rPr>
        <w:t xml:space="preserve"> 2016; </w:t>
      </w:r>
      <w:r w:rsidRPr="000315B4">
        <w:rPr>
          <w:rFonts w:cs="Times New Roman"/>
          <w:b/>
          <w:kern w:val="2"/>
          <w:sz w:val="24"/>
          <w:szCs w:val="24"/>
          <w:lang w:eastAsia="zh-CN" w:bidi="ar-SA"/>
        </w:rPr>
        <w:t>115</w:t>
      </w:r>
      <w:r w:rsidRPr="000315B4">
        <w:rPr>
          <w:rFonts w:cs="Times New Roman"/>
          <w:kern w:val="2"/>
          <w:sz w:val="24"/>
          <w:szCs w:val="24"/>
          <w:lang w:eastAsia="zh-CN" w:bidi="ar-SA"/>
        </w:rPr>
        <w:t>: 403-410 [PMID: 27441494 DOI: 10.1038/bjc.2016.219]</w:t>
      </w:r>
    </w:p>
    <w:p w14:paraId="2195C313"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34 </w:t>
      </w:r>
      <w:r w:rsidRPr="000315B4">
        <w:rPr>
          <w:rFonts w:cs="Times New Roman"/>
          <w:b/>
          <w:kern w:val="2"/>
          <w:sz w:val="24"/>
          <w:szCs w:val="24"/>
          <w:lang w:eastAsia="zh-CN" w:bidi="ar-SA"/>
        </w:rPr>
        <w:t>Weaver JMJ</w:t>
      </w:r>
      <w:r w:rsidRPr="000315B4">
        <w:rPr>
          <w:rFonts w:cs="Times New Roman"/>
          <w:kern w:val="2"/>
          <w:sz w:val="24"/>
          <w:szCs w:val="24"/>
          <w:lang w:eastAsia="zh-CN" w:bidi="ar-SA"/>
        </w:rPr>
        <w:t xml:space="preserve">, Ross-Innes CS, Shannon N, Lynch AG, Forshew T, Barbera M, Murtaza </w:t>
      </w:r>
      <w:r w:rsidRPr="000315B4">
        <w:rPr>
          <w:rFonts w:cs="Times New Roman"/>
          <w:kern w:val="2"/>
          <w:sz w:val="24"/>
          <w:szCs w:val="24"/>
          <w:lang w:eastAsia="zh-CN" w:bidi="ar-SA"/>
        </w:rPr>
        <w:lastRenderedPageBreak/>
        <w:t xml:space="preserve">M, Ong CJ, Lao-Sirieix P, Dunning MJ, Smith L, Smith ML, Anderson CL, Carvalho B, O'Donovan M, Underwood TJ, May AP, Grehan N, Hardwick R, Davies J, Oloumi A, Aparicio S, Caldas C, Eldridge MD, Edwards PAW, Rosenfeld N, Tavaré S, Fitzgerald RC; OCCAMS consortium. Ordering of mutations in preinvasive disease stages of esophageal carcinogenesis. </w:t>
      </w:r>
      <w:r w:rsidRPr="000315B4">
        <w:rPr>
          <w:rFonts w:cs="Times New Roman"/>
          <w:i/>
          <w:kern w:val="2"/>
          <w:sz w:val="24"/>
          <w:szCs w:val="24"/>
          <w:lang w:eastAsia="zh-CN" w:bidi="ar-SA"/>
        </w:rPr>
        <w:t>Nat Genet</w:t>
      </w:r>
      <w:r w:rsidRPr="000315B4">
        <w:rPr>
          <w:rFonts w:cs="Times New Roman"/>
          <w:kern w:val="2"/>
          <w:sz w:val="24"/>
          <w:szCs w:val="24"/>
          <w:lang w:eastAsia="zh-CN" w:bidi="ar-SA"/>
        </w:rPr>
        <w:t xml:space="preserve"> 2014; </w:t>
      </w:r>
      <w:r w:rsidRPr="000315B4">
        <w:rPr>
          <w:rFonts w:cs="Times New Roman"/>
          <w:b/>
          <w:kern w:val="2"/>
          <w:sz w:val="24"/>
          <w:szCs w:val="24"/>
          <w:lang w:eastAsia="zh-CN" w:bidi="ar-SA"/>
        </w:rPr>
        <w:t>46</w:t>
      </w:r>
      <w:r w:rsidRPr="000315B4">
        <w:rPr>
          <w:rFonts w:cs="Times New Roman"/>
          <w:kern w:val="2"/>
          <w:sz w:val="24"/>
          <w:szCs w:val="24"/>
          <w:lang w:eastAsia="zh-CN" w:bidi="ar-SA"/>
        </w:rPr>
        <w:t>: 837-843 [PMID: 24952744 DOI: 10.1038/ng.3013]</w:t>
      </w:r>
    </w:p>
    <w:p w14:paraId="0969615C"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35 </w:t>
      </w:r>
      <w:r w:rsidRPr="000315B4">
        <w:rPr>
          <w:rFonts w:cs="Times New Roman"/>
          <w:b/>
          <w:kern w:val="2"/>
          <w:sz w:val="24"/>
          <w:szCs w:val="24"/>
          <w:lang w:eastAsia="zh-CN" w:bidi="ar-SA"/>
        </w:rPr>
        <w:t>Dulak AM</w:t>
      </w:r>
      <w:r w:rsidRPr="000315B4">
        <w:rPr>
          <w:rFonts w:cs="Times New Roman"/>
          <w:kern w:val="2"/>
          <w:sz w:val="24"/>
          <w:szCs w:val="24"/>
          <w:lang w:eastAsia="zh-CN" w:bidi="ar-SA"/>
        </w:rPr>
        <w:t xml:space="preserve">, Stojanov P, Peng S, Lawrence MS, Fox C, Stewart C, Bandla S, Imamura Y, Schumacher SE, Shefler E, McKenna A, Carter SL, Cibulskis K, Sivachenko A, Saksena G, Voet D, Ramos AH, Auclair D, Thompson K, Sougnez C, Onofrio RC, Guiducci C, Beroukhim R, Zhou Z, Lin L, Lin J, Reddy R, Chang A, Landrenau R, Pennathur A, Ogino S, Luketich JD, Golub TR, Gabriel SB, Lander ES, Beer DG, Godfrey TE, Getz G, Bass AJ. Exome and whole-genome sequencing of esophageal adenocarcinoma identifies recurrent driver events and mutational complexity. </w:t>
      </w:r>
      <w:r w:rsidRPr="000315B4">
        <w:rPr>
          <w:rFonts w:cs="Times New Roman"/>
          <w:i/>
          <w:kern w:val="2"/>
          <w:sz w:val="24"/>
          <w:szCs w:val="24"/>
          <w:lang w:eastAsia="zh-CN" w:bidi="ar-SA"/>
        </w:rPr>
        <w:t>Nat Genet</w:t>
      </w:r>
      <w:r w:rsidRPr="000315B4">
        <w:rPr>
          <w:rFonts w:cs="Times New Roman"/>
          <w:kern w:val="2"/>
          <w:sz w:val="24"/>
          <w:szCs w:val="24"/>
          <w:lang w:eastAsia="zh-CN" w:bidi="ar-SA"/>
        </w:rPr>
        <w:t xml:space="preserve"> 2013; </w:t>
      </w:r>
      <w:r w:rsidRPr="000315B4">
        <w:rPr>
          <w:rFonts w:cs="Times New Roman"/>
          <w:b/>
          <w:kern w:val="2"/>
          <w:sz w:val="24"/>
          <w:szCs w:val="24"/>
          <w:lang w:eastAsia="zh-CN" w:bidi="ar-SA"/>
        </w:rPr>
        <w:t>45</w:t>
      </w:r>
      <w:r w:rsidRPr="000315B4">
        <w:rPr>
          <w:rFonts w:cs="Times New Roman"/>
          <w:kern w:val="2"/>
          <w:sz w:val="24"/>
          <w:szCs w:val="24"/>
          <w:lang w:eastAsia="zh-CN" w:bidi="ar-SA"/>
        </w:rPr>
        <w:t>: 478-486 [PMID: 23525077 DOI: 10.1038/ng.2591]</w:t>
      </w:r>
    </w:p>
    <w:p w14:paraId="2AC8B567"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36 </w:t>
      </w:r>
      <w:r w:rsidRPr="000315B4">
        <w:rPr>
          <w:rFonts w:cs="Times New Roman"/>
          <w:b/>
          <w:kern w:val="2"/>
          <w:sz w:val="24"/>
          <w:szCs w:val="24"/>
          <w:lang w:eastAsia="zh-CN" w:bidi="ar-SA"/>
        </w:rPr>
        <w:t>Whibley C</w:t>
      </w:r>
      <w:r w:rsidRPr="000315B4">
        <w:rPr>
          <w:rFonts w:cs="Times New Roman"/>
          <w:kern w:val="2"/>
          <w:sz w:val="24"/>
          <w:szCs w:val="24"/>
          <w:lang w:eastAsia="zh-CN" w:bidi="ar-SA"/>
        </w:rPr>
        <w:t xml:space="preserve">, Pharoah PD, Hollstein M. p53 polymorphisms: cancer implications. </w:t>
      </w:r>
      <w:r w:rsidRPr="000315B4">
        <w:rPr>
          <w:rFonts w:cs="Times New Roman"/>
          <w:i/>
          <w:kern w:val="2"/>
          <w:sz w:val="24"/>
          <w:szCs w:val="24"/>
          <w:lang w:eastAsia="zh-CN" w:bidi="ar-SA"/>
        </w:rPr>
        <w:t>Nat Rev Cancer</w:t>
      </w:r>
      <w:r w:rsidRPr="000315B4">
        <w:rPr>
          <w:rFonts w:cs="Times New Roman"/>
          <w:kern w:val="2"/>
          <w:sz w:val="24"/>
          <w:szCs w:val="24"/>
          <w:lang w:eastAsia="zh-CN" w:bidi="ar-SA"/>
        </w:rPr>
        <w:t xml:space="preserve"> 2009; </w:t>
      </w:r>
      <w:r w:rsidRPr="000315B4">
        <w:rPr>
          <w:rFonts w:cs="Times New Roman"/>
          <w:b/>
          <w:kern w:val="2"/>
          <w:sz w:val="24"/>
          <w:szCs w:val="24"/>
          <w:lang w:eastAsia="zh-CN" w:bidi="ar-SA"/>
        </w:rPr>
        <w:t>9</w:t>
      </w:r>
      <w:r w:rsidRPr="000315B4">
        <w:rPr>
          <w:rFonts w:cs="Times New Roman"/>
          <w:kern w:val="2"/>
          <w:sz w:val="24"/>
          <w:szCs w:val="24"/>
          <w:lang w:eastAsia="zh-CN" w:bidi="ar-SA"/>
        </w:rPr>
        <w:t>: 95-107 [PMID: 19165225 DOI: 10.1038/nrc2584]</w:t>
      </w:r>
    </w:p>
    <w:p w14:paraId="70E405FC"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37 </w:t>
      </w:r>
      <w:r w:rsidRPr="000315B4">
        <w:rPr>
          <w:rFonts w:cs="Times New Roman"/>
          <w:b/>
          <w:kern w:val="2"/>
          <w:sz w:val="24"/>
          <w:szCs w:val="24"/>
          <w:lang w:eastAsia="zh-CN" w:bidi="ar-SA"/>
        </w:rPr>
        <w:t>Xia X</w:t>
      </w:r>
      <w:r w:rsidRPr="000315B4">
        <w:rPr>
          <w:rFonts w:cs="Times New Roman"/>
          <w:kern w:val="2"/>
          <w:sz w:val="24"/>
          <w:szCs w:val="24"/>
          <w:lang w:eastAsia="zh-CN" w:bidi="ar-SA"/>
        </w:rPr>
        <w:t xml:space="preserve">, Wu W, Huang C, Cen G, Jiang T, Cao J, Huang K, Qiu Z. SMAD4 and its role in pancreatic cancer. </w:t>
      </w:r>
      <w:r w:rsidRPr="000315B4">
        <w:rPr>
          <w:rFonts w:cs="Times New Roman"/>
          <w:i/>
          <w:kern w:val="2"/>
          <w:sz w:val="24"/>
          <w:szCs w:val="24"/>
          <w:lang w:eastAsia="zh-CN" w:bidi="ar-SA"/>
        </w:rPr>
        <w:t>Tumour Biol</w:t>
      </w:r>
      <w:r w:rsidRPr="000315B4">
        <w:rPr>
          <w:rFonts w:cs="Times New Roman"/>
          <w:kern w:val="2"/>
          <w:sz w:val="24"/>
          <w:szCs w:val="24"/>
          <w:lang w:eastAsia="zh-CN" w:bidi="ar-SA"/>
        </w:rPr>
        <w:t xml:space="preserve"> 2015; </w:t>
      </w:r>
      <w:r w:rsidRPr="000315B4">
        <w:rPr>
          <w:rFonts w:cs="Times New Roman"/>
          <w:b/>
          <w:kern w:val="2"/>
          <w:sz w:val="24"/>
          <w:szCs w:val="24"/>
          <w:lang w:eastAsia="zh-CN" w:bidi="ar-SA"/>
        </w:rPr>
        <w:t>36</w:t>
      </w:r>
      <w:r w:rsidRPr="000315B4">
        <w:rPr>
          <w:rFonts w:cs="Times New Roman"/>
          <w:kern w:val="2"/>
          <w:sz w:val="24"/>
          <w:szCs w:val="24"/>
          <w:lang w:eastAsia="zh-CN" w:bidi="ar-SA"/>
        </w:rPr>
        <w:t>: 111-119 [PMID: 25464861 DOI: 10.1007/s13277-014-2883-z]</w:t>
      </w:r>
    </w:p>
    <w:p w14:paraId="76C67F04"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38 </w:t>
      </w:r>
      <w:r w:rsidRPr="000315B4">
        <w:rPr>
          <w:rFonts w:cs="Times New Roman"/>
          <w:b/>
          <w:kern w:val="2"/>
          <w:sz w:val="24"/>
          <w:szCs w:val="24"/>
          <w:lang w:eastAsia="zh-CN" w:bidi="ar-SA"/>
        </w:rPr>
        <w:t>Bhat SK</w:t>
      </w:r>
      <w:r w:rsidRPr="000315B4">
        <w:rPr>
          <w:rFonts w:cs="Times New Roman"/>
          <w:kern w:val="2"/>
          <w:sz w:val="24"/>
          <w:szCs w:val="24"/>
          <w:lang w:eastAsia="zh-CN" w:bidi="ar-SA"/>
        </w:rPr>
        <w:t xml:space="preserve">, McManus DT, Coleman HG, Johnston BT, Cardwell CR, McMenamin U, Bannon F, Hicks B, Kennedy G, Gavin AT, Murray LJ. Oesophageal adenocarcinoma and prior diagnosis of Barrett's oesophagus: a population-based study. </w:t>
      </w:r>
      <w:r w:rsidRPr="000315B4">
        <w:rPr>
          <w:rFonts w:cs="Times New Roman"/>
          <w:i/>
          <w:kern w:val="2"/>
          <w:sz w:val="24"/>
          <w:szCs w:val="24"/>
          <w:lang w:eastAsia="zh-CN" w:bidi="ar-SA"/>
        </w:rPr>
        <w:t>Gut</w:t>
      </w:r>
      <w:r w:rsidRPr="000315B4">
        <w:rPr>
          <w:rFonts w:cs="Times New Roman"/>
          <w:kern w:val="2"/>
          <w:sz w:val="24"/>
          <w:szCs w:val="24"/>
          <w:lang w:eastAsia="zh-CN" w:bidi="ar-SA"/>
        </w:rPr>
        <w:t xml:space="preserve"> 2015; </w:t>
      </w:r>
      <w:r w:rsidRPr="000315B4">
        <w:rPr>
          <w:rFonts w:cs="Times New Roman"/>
          <w:b/>
          <w:kern w:val="2"/>
          <w:sz w:val="24"/>
          <w:szCs w:val="24"/>
          <w:lang w:eastAsia="zh-CN" w:bidi="ar-SA"/>
        </w:rPr>
        <w:t>64</w:t>
      </w:r>
      <w:r w:rsidRPr="000315B4">
        <w:rPr>
          <w:rFonts w:cs="Times New Roman"/>
          <w:kern w:val="2"/>
          <w:sz w:val="24"/>
          <w:szCs w:val="24"/>
          <w:lang w:eastAsia="zh-CN" w:bidi="ar-SA"/>
        </w:rPr>
        <w:t>: 20-25 [PMID: 24700439 DOI: 10.1136/gutjnl-2013-305506]</w:t>
      </w:r>
    </w:p>
    <w:p w14:paraId="3803C101"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39 </w:t>
      </w:r>
      <w:r w:rsidRPr="000315B4">
        <w:rPr>
          <w:rFonts w:cs="Times New Roman"/>
          <w:b/>
          <w:kern w:val="2"/>
          <w:sz w:val="24"/>
          <w:szCs w:val="24"/>
          <w:lang w:eastAsia="zh-CN" w:bidi="ar-SA"/>
        </w:rPr>
        <w:t>Corley DA</w:t>
      </w:r>
      <w:r w:rsidRPr="000315B4">
        <w:rPr>
          <w:rFonts w:cs="Times New Roman"/>
          <w:kern w:val="2"/>
          <w:sz w:val="24"/>
          <w:szCs w:val="24"/>
          <w:lang w:eastAsia="zh-CN" w:bidi="ar-SA"/>
        </w:rPr>
        <w:t xml:space="preserve">, Mehtani K, Quesenberry C, Zhao W, de Boer J, Weiss NS. Impact of endoscopic surveillance on mortality from Barrett's esophagus-associated esophageal adenocarcinomas. </w:t>
      </w:r>
      <w:r w:rsidRPr="000315B4">
        <w:rPr>
          <w:rFonts w:cs="Times New Roman"/>
          <w:i/>
          <w:kern w:val="2"/>
          <w:sz w:val="24"/>
          <w:szCs w:val="24"/>
          <w:lang w:eastAsia="zh-CN" w:bidi="ar-SA"/>
        </w:rPr>
        <w:t>Gastroenterology</w:t>
      </w:r>
      <w:r w:rsidRPr="000315B4">
        <w:rPr>
          <w:rFonts w:cs="Times New Roman"/>
          <w:kern w:val="2"/>
          <w:sz w:val="24"/>
          <w:szCs w:val="24"/>
          <w:lang w:eastAsia="zh-CN" w:bidi="ar-SA"/>
        </w:rPr>
        <w:t xml:space="preserve"> 2013; </w:t>
      </w:r>
      <w:r w:rsidRPr="000315B4">
        <w:rPr>
          <w:rFonts w:cs="Times New Roman"/>
          <w:b/>
          <w:kern w:val="2"/>
          <w:sz w:val="24"/>
          <w:szCs w:val="24"/>
          <w:lang w:eastAsia="zh-CN" w:bidi="ar-SA"/>
        </w:rPr>
        <w:t>145</w:t>
      </w:r>
      <w:r w:rsidRPr="000315B4">
        <w:rPr>
          <w:rFonts w:cs="Times New Roman"/>
          <w:kern w:val="2"/>
          <w:sz w:val="24"/>
          <w:szCs w:val="24"/>
          <w:lang w:eastAsia="zh-CN" w:bidi="ar-SA"/>
        </w:rPr>
        <w:t>: 312-</w:t>
      </w:r>
      <w:r w:rsidRPr="000315B4">
        <w:rPr>
          <w:rFonts w:cs="Times New Roman" w:hint="eastAsia"/>
          <w:kern w:val="2"/>
          <w:sz w:val="24"/>
          <w:szCs w:val="24"/>
          <w:lang w:eastAsia="zh-CN" w:bidi="ar-SA"/>
        </w:rPr>
        <w:t>31</w:t>
      </w:r>
      <w:r w:rsidRPr="000315B4">
        <w:rPr>
          <w:rFonts w:cs="Times New Roman"/>
          <w:kern w:val="2"/>
          <w:sz w:val="24"/>
          <w:szCs w:val="24"/>
          <w:lang w:eastAsia="zh-CN" w:bidi="ar-SA"/>
        </w:rPr>
        <w:t>9.e1 [PMID: 23673354 DOI: 10.1053/j.gastro.2013.05.004]</w:t>
      </w:r>
    </w:p>
    <w:p w14:paraId="03100348"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40 </w:t>
      </w:r>
      <w:r w:rsidRPr="000315B4">
        <w:rPr>
          <w:rFonts w:cs="Times New Roman"/>
          <w:b/>
          <w:kern w:val="2"/>
          <w:sz w:val="24"/>
          <w:szCs w:val="24"/>
          <w:lang w:eastAsia="zh-CN" w:bidi="ar-SA"/>
        </w:rPr>
        <w:t>Provenzale D</w:t>
      </w:r>
      <w:r w:rsidRPr="000315B4">
        <w:rPr>
          <w:rFonts w:cs="Times New Roman"/>
          <w:kern w:val="2"/>
          <w:sz w:val="24"/>
          <w:szCs w:val="24"/>
          <w:lang w:eastAsia="zh-CN" w:bidi="ar-SA"/>
        </w:rPr>
        <w:t xml:space="preserve">, Schmitt C, Wong JB. Barrett's esophagus: a new look at surveillance based on emerging estimates of cancer risk. </w:t>
      </w:r>
      <w:r w:rsidRPr="000315B4">
        <w:rPr>
          <w:rFonts w:cs="Times New Roman"/>
          <w:i/>
          <w:kern w:val="2"/>
          <w:sz w:val="24"/>
          <w:szCs w:val="24"/>
          <w:lang w:eastAsia="zh-CN" w:bidi="ar-SA"/>
        </w:rPr>
        <w:t>Am J Gastroenterol</w:t>
      </w:r>
      <w:r w:rsidRPr="000315B4">
        <w:rPr>
          <w:rFonts w:cs="Times New Roman"/>
          <w:kern w:val="2"/>
          <w:sz w:val="24"/>
          <w:szCs w:val="24"/>
          <w:lang w:eastAsia="zh-CN" w:bidi="ar-SA"/>
        </w:rPr>
        <w:t xml:space="preserve"> 1999; </w:t>
      </w:r>
      <w:r w:rsidRPr="000315B4">
        <w:rPr>
          <w:rFonts w:cs="Times New Roman"/>
          <w:b/>
          <w:kern w:val="2"/>
          <w:sz w:val="24"/>
          <w:szCs w:val="24"/>
          <w:lang w:eastAsia="zh-CN" w:bidi="ar-SA"/>
        </w:rPr>
        <w:t>94</w:t>
      </w:r>
      <w:r w:rsidRPr="000315B4">
        <w:rPr>
          <w:rFonts w:cs="Times New Roman"/>
          <w:kern w:val="2"/>
          <w:sz w:val="24"/>
          <w:szCs w:val="24"/>
          <w:lang w:eastAsia="zh-CN" w:bidi="ar-SA"/>
        </w:rPr>
        <w:t xml:space="preserve">: 2043-2053 </w:t>
      </w:r>
      <w:r w:rsidRPr="000315B4">
        <w:rPr>
          <w:rFonts w:cs="Times New Roman"/>
          <w:kern w:val="2"/>
          <w:sz w:val="24"/>
          <w:szCs w:val="24"/>
          <w:lang w:eastAsia="zh-CN" w:bidi="ar-SA"/>
        </w:rPr>
        <w:lastRenderedPageBreak/>
        <w:t>[PMID: 10445526 DOI: 10.1111/j.1572-0241.1999.01276.x]</w:t>
      </w:r>
    </w:p>
    <w:p w14:paraId="185A9250" w14:textId="77777777" w:rsidR="000315B4" w:rsidRPr="000315B4" w:rsidRDefault="000315B4" w:rsidP="000315B4">
      <w:pPr>
        <w:widowControl w:val="0"/>
        <w:adjustRightInd w:val="0"/>
        <w:snapToGrid w:val="0"/>
        <w:spacing w:line="360" w:lineRule="auto"/>
        <w:jc w:val="both"/>
        <w:rPr>
          <w:rFonts w:cs="Times New Roman"/>
          <w:kern w:val="2"/>
          <w:sz w:val="24"/>
          <w:szCs w:val="24"/>
          <w:lang w:eastAsia="zh-CN" w:bidi="ar-SA"/>
        </w:rPr>
      </w:pPr>
      <w:r w:rsidRPr="000315B4">
        <w:rPr>
          <w:rFonts w:cs="Times New Roman"/>
          <w:kern w:val="2"/>
          <w:sz w:val="24"/>
          <w:szCs w:val="24"/>
          <w:lang w:eastAsia="zh-CN" w:bidi="ar-SA"/>
        </w:rPr>
        <w:t xml:space="preserve">41 </w:t>
      </w:r>
      <w:r w:rsidRPr="000315B4">
        <w:rPr>
          <w:rFonts w:cs="Times New Roman"/>
          <w:b/>
          <w:kern w:val="2"/>
          <w:sz w:val="24"/>
          <w:szCs w:val="24"/>
          <w:lang w:eastAsia="zh-CN" w:bidi="ar-SA"/>
        </w:rPr>
        <w:t>Cook MB</w:t>
      </w:r>
      <w:r w:rsidRPr="000315B4">
        <w:rPr>
          <w:rFonts w:cs="Times New Roman"/>
          <w:kern w:val="2"/>
          <w:sz w:val="24"/>
          <w:szCs w:val="24"/>
          <w:lang w:eastAsia="zh-CN" w:bidi="ar-SA"/>
        </w:rPr>
        <w:t xml:space="preserve">, Wild CP, Forman D. A systematic review and meta-analysis of the sex ratio for Barrett's esophagus, erosive reflux disease, and nonerosive reflux disease. </w:t>
      </w:r>
      <w:r w:rsidRPr="000315B4">
        <w:rPr>
          <w:rFonts w:cs="Times New Roman"/>
          <w:i/>
          <w:kern w:val="2"/>
          <w:sz w:val="24"/>
          <w:szCs w:val="24"/>
          <w:lang w:eastAsia="zh-CN" w:bidi="ar-SA"/>
        </w:rPr>
        <w:t>Am J Epidemiol</w:t>
      </w:r>
      <w:r w:rsidRPr="000315B4">
        <w:rPr>
          <w:rFonts w:cs="Times New Roman"/>
          <w:kern w:val="2"/>
          <w:sz w:val="24"/>
          <w:szCs w:val="24"/>
          <w:lang w:eastAsia="zh-CN" w:bidi="ar-SA"/>
        </w:rPr>
        <w:t xml:space="preserve"> 2005; </w:t>
      </w:r>
      <w:r w:rsidRPr="000315B4">
        <w:rPr>
          <w:rFonts w:cs="Times New Roman"/>
          <w:b/>
          <w:kern w:val="2"/>
          <w:sz w:val="24"/>
          <w:szCs w:val="24"/>
          <w:lang w:eastAsia="zh-CN" w:bidi="ar-SA"/>
        </w:rPr>
        <w:t>162</w:t>
      </w:r>
      <w:r w:rsidRPr="000315B4">
        <w:rPr>
          <w:rFonts w:cs="Times New Roman"/>
          <w:kern w:val="2"/>
          <w:sz w:val="24"/>
          <w:szCs w:val="24"/>
          <w:lang w:eastAsia="zh-CN" w:bidi="ar-SA"/>
        </w:rPr>
        <w:t>: 1050-1061 [PMID: 16221805 DOI: 10.1093/aje/kwi325]</w:t>
      </w:r>
    </w:p>
    <w:p w14:paraId="47119636" w14:textId="1401C52D" w:rsidR="000315B4" w:rsidRPr="000315B4" w:rsidRDefault="000315B4" w:rsidP="000315B4">
      <w:pPr>
        <w:widowControl w:val="0"/>
        <w:wordWrap w:val="0"/>
        <w:adjustRightInd w:val="0"/>
        <w:snapToGrid w:val="0"/>
        <w:spacing w:line="360" w:lineRule="auto"/>
        <w:ind w:left="361" w:hangingChars="150" w:hanging="361"/>
        <w:jc w:val="right"/>
        <w:rPr>
          <w:rFonts w:cs="Times New Roman"/>
          <w:color w:val="000000"/>
          <w:kern w:val="2"/>
          <w:sz w:val="24"/>
          <w:lang w:eastAsia="zh-CN" w:bidi="ar-SA"/>
        </w:rPr>
      </w:pPr>
      <w:bookmarkStart w:id="93" w:name="OLE_LINK13"/>
      <w:bookmarkStart w:id="94" w:name="OLE_LINK14"/>
      <w:r w:rsidRPr="000315B4">
        <w:rPr>
          <w:rFonts w:cs="Times New Roman"/>
          <w:b/>
          <w:bCs/>
          <w:color w:val="000000"/>
          <w:kern w:val="2"/>
          <w:sz w:val="24"/>
          <w:lang w:eastAsia="zh-CN" w:bidi="ar-SA"/>
        </w:rPr>
        <w:t>P-Reviewer:</w:t>
      </w:r>
      <w:r w:rsidRPr="000315B4">
        <w:rPr>
          <w:rFonts w:cs="Times New Roman" w:hint="eastAsia"/>
          <w:bCs/>
          <w:color w:val="000000"/>
          <w:kern w:val="2"/>
          <w:sz w:val="24"/>
          <w:lang w:eastAsia="zh-CN" w:bidi="ar-SA"/>
        </w:rPr>
        <w:t xml:space="preserve"> </w:t>
      </w:r>
      <w:r w:rsidRPr="000315B4">
        <w:rPr>
          <w:rFonts w:cs="Times New Roman"/>
          <w:bCs/>
          <w:color w:val="000000"/>
          <w:kern w:val="2"/>
          <w:sz w:val="24"/>
          <w:lang w:eastAsia="zh-CN" w:bidi="ar-SA"/>
        </w:rPr>
        <w:t>Hillman</w:t>
      </w:r>
      <w:r>
        <w:rPr>
          <w:rFonts w:cs="Times New Roman" w:hint="eastAsia"/>
          <w:bCs/>
          <w:color w:val="000000"/>
          <w:kern w:val="2"/>
          <w:sz w:val="24"/>
          <w:lang w:eastAsia="zh-CN" w:bidi="ar-SA"/>
        </w:rPr>
        <w:t xml:space="preserve"> LC, </w:t>
      </w:r>
      <w:r w:rsidRPr="000315B4">
        <w:rPr>
          <w:rFonts w:cs="Times New Roman"/>
          <w:bCs/>
          <w:color w:val="000000"/>
          <w:kern w:val="2"/>
          <w:sz w:val="24"/>
          <w:lang w:eastAsia="zh-CN" w:bidi="ar-SA"/>
        </w:rPr>
        <w:t>Hirahara</w:t>
      </w:r>
      <w:r>
        <w:rPr>
          <w:rFonts w:cs="Times New Roman" w:hint="eastAsia"/>
          <w:bCs/>
          <w:color w:val="000000"/>
          <w:kern w:val="2"/>
          <w:sz w:val="24"/>
          <w:lang w:eastAsia="zh-CN" w:bidi="ar-SA"/>
        </w:rPr>
        <w:t xml:space="preserve"> N, </w:t>
      </w:r>
      <w:r w:rsidRPr="000315B4">
        <w:rPr>
          <w:rFonts w:cs="Times New Roman"/>
          <w:bCs/>
          <w:color w:val="000000"/>
          <w:kern w:val="2"/>
          <w:sz w:val="24"/>
          <w:lang w:eastAsia="zh-CN" w:bidi="ar-SA"/>
        </w:rPr>
        <w:t>Sanaei</w:t>
      </w:r>
      <w:r>
        <w:rPr>
          <w:rFonts w:cs="Times New Roman" w:hint="eastAsia"/>
          <w:bCs/>
          <w:color w:val="000000"/>
          <w:kern w:val="2"/>
          <w:sz w:val="24"/>
          <w:lang w:eastAsia="zh-CN" w:bidi="ar-SA"/>
        </w:rPr>
        <w:t xml:space="preserve"> O </w:t>
      </w:r>
      <w:r w:rsidRPr="000315B4">
        <w:rPr>
          <w:rFonts w:cs="Times New Roman"/>
          <w:b/>
          <w:bCs/>
          <w:color w:val="000000"/>
          <w:kern w:val="2"/>
          <w:sz w:val="24"/>
          <w:lang w:eastAsia="zh-CN" w:bidi="ar-SA"/>
        </w:rPr>
        <w:t>S-Editor:</w:t>
      </w:r>
      <w:r>
        <w:rPr>
          <w:rFonts w:cs="Times New Roman" w:hint="eastAsia"/>
          <w:b/>
          <w:bCs/>
          <w:color w:val="000000"/>
          <w:kern w:val="2"/>
          <w:sz w:val="24"/>
          <w:lang w:eastAsia="zh-CN" w:bidi="ar-SA"/>
        </w:rPr>
        <w:t xml:space="preserve"> </w:t>
      </w:r>
      <w:r w:rsidRPr="000315B4">
        <w:rPr>
          <w:rFonts w:cs="Times New Roman" w:hint="eastAsia"/>
          <w:bCs/>
          <w:color w:val="000000"/>
          <w:kern w:val="2"/>
          <w:sz w:val="24"/>
          <w:lang w:eastAsia="zh-CN" w:bidi="ar-SA"/>
        </w:rPr>
        <w:t>Wang XJ</w:t>
      </w:r>
    </w:p>
    <w:p w14:paraId="08BC7F0C" w14:textId="77777777" w:rsidR="000315B4" w:rsidRPr="000315B4" w:rsidRDefault="000315B4" w:rsidP="000315B4">
      <w:pPr>
        <w:widowControl w:val="0"/>
        <w:adjustRightInd w:val="0"/>
        <w:snapToGrid w:val="0"/>
        <w:spacing w:line="360" w:lineRule="auto"/>
        <w:ind w:left="361" w:hangingChars="150" w:hanging="361"/>
        <w:jc w:val="right"/>
        <w:rPr>
          <w:rFonts w:cs="Times New Roman"/>
          <w:b/>
          <w:bCs/>
          <w:color w:val="000000"/>
          <w:kern w:val="2"/>
          <w:sz w:val="24"/>
          <w:lang w:eastAsia="zh-CN" w:bidi="ar-SA"/>
        </w:rPr>
      </w:pPr>
      <w:r w:rsidRPr="000315B4">
        <w:rPr>
          <w:rFonts w:cs="Times New Roman"/>
          <w:b/>
          <w:bCs/>
          <w:color w:val="000000"/>
          <w:kern w:val="2"/>
          <w:sz w:val="24"/>
          <w:lang w:eastAsia="zh-CN" w:bidi="ar-SA"/>
        </w:rPr>
        <w:t>L-Editor:</w:t>
      </w:r>
      <w:r w:rsidRPr="000315B4">
        <w:rPr>
          <w:rFonts w:cs="Times New Roman"/>
          <w:color w:val="000000"/>
          <w:kern w:val="2"/>
          <w:sz w:val="24"/>
          <w:lang w:eastAsia="zh-CN" w:bidi="ar-SA"/>
        </w:rPr>
        <w:t xml:space="preserve"> </w:t>
      </w:r>
      <w:r w:rsidRPr="000315B4">
        <w:rPr>
          <w:rFonts w:cs="Times New Roman"/>
          <w:b/>
          <w:bCs/>
          <w:color w:val="000000"/>
          <w:kern w:val="2"/>
          <w:sz w:val="24"/>
          <w:lang w:eastAsia="zh-CN" w:bidi="ar-SA"/>
        </w:rPr>
        <w:t>E-Editor:</w:t>
      </w:r>
    </w:p>
    <w:p w14:paraId="5A9279FE" w14:textId="77777777" w:rsidR="000315B4" w:rsidRPr="000315B4" w:rsidRDefault="000315B4" w:rsidP="000315B4">
      <w:pPr>
        <w:adjustRightInd w:val="0"/>
        <w:snapToGrid w:val="0"/>
        <w:spacing w:line="360" w:lineRule="auto"/>
        <w:jc w:val="both"/>
        <w:rPr>
          <w:rFonts w:eastAsia="MS Mincho" w:cs="Times New Roman"/>
          <w:sz w:val="24"/>
          <w:szCs w:val="24"/>
          <w:lang w:eastAsia="zh-CN" w:bidi="ar-SA"/>
        </w:rPr>
      </w:pPr>
      <w:r w:rsidRPr="000315B4">
        <w:rPr>
          <w:rFonts w:eastAsia="MS Mincho" w:cs="Times New Roman"/>
          <w:b/>
          <w:sz w:val="24"/>
          <w:szCs w:val="24"/>
          <w:lang w:eastAsia="zh-CN" w:bidi="ar-SA"/>
        </w:rPr>
        <w:t>Specialty type:</w:t>
      </w:r>
      <w:r w:rsidRPr="000315B4">
        <w:rPr>
          <w:rFonts w:eastAsia="MS Mincho" w:cs="Times New Roman"/>
          <w:sz w:val="24"/>
          <w:szCs w:val="24"/>
          <w:lang w:eastAsia="zh-CN" w:bidi="ar-SA"/>
        </w:rPr>
        <w:t xml:space="preserve"> Gastroenterology and hepatology</w:t>
      </w:r>
    </w:p>
    <w:p w14:paraId="405EFB10" w14:textId="038587E4" w:rsidR="000315B4" w:rsidRPr="000315B4" w:rsidRDefault="000315B4" w:rsidP="000315B4">
      <w:pPr>
        <w:adjustRightInd w:val="0"/>
        <w:snapToGrid w:val="0"/>
        <w:spacing w:line="360" w:lineRule="auto"/>
        <w:jc w:val="both"/>
        <w:rPr>
          <w:rFonts w:eastAsia="MS Mincho" w:cs="Times New Roman"/>
          <w:sz w:val="24"/>
          <w:szCs w:val="24"/>
          <w:lang w:eastAsia="zh-CN" w:bidi="ar-SA"/>
        </w:rPr>
      </w:pPr>
      <w:r w:rsidRPr="000315B4">
        <w:rPr>
          <w:rFonts w:eastAsia="MS Mincho" w:cs="Times New Roman"/>
          <w:b/>
          <w:sz w:val="24"/>
          <w:szCs w:val="24"/>
          <w:lang w:eastAsia="zh-CN" w:bidi="ar-SA"/>
        </w:rPr>
        <w:t>Country of origin:</w:t>
      </w:r>
      <w:r>
        <w:rPr>
          <w:rFonts w:eastAsia="MS Mincho" w:cs="Times New Roman" w:hint="eastAsia"/>
          <w:b/>
          <w:sz w:val="24"/>
          <w:szCs w:val="24"/>
          <w:lang w:eastAsia="zh-CN" w:bidi="ar-SA"/>
        </w:rPr>
        <w:t xml:space="preserve"> </w:t>
      </w:r>
      <w:r w:rsidRPr="000315B4">
        <w:rPr>
          <w:rFonts w:eastAsia="MS Mincho" w:cs="Times New Roman"/>
          <w:sz w:val="24"/>
          <w:szCs w:val="24"/>
          <w:lang w:eastAsia="zh-CN" w:bidi="ar-SA"/>
        </w:rPr>
        <w:t>Israel</w:t>
      </w:r>
    </w:p>
    <w:p w14:paraId="16D25CF9" w14:textId="77777777" w:rsidR="000315B4" w:rsidRPr="000315B4" w:rsidRDefault="000315B4" w:rsidP="000315B4">
      <w:pPr>
        <w:adjustRightInd w:val="0"/>
        <w:snapToGrid w:val="0"/>
        <w:spacing w:line="360" w:lineRule="auto"/>
        <w:jc w:val="both"/>
        <w:rPr>
          <w:rFonts w:eastAsia="MS Mincho" w:cs="Times New Roman"/>
          <w:b/>
          <w:sz w:val="24"/>
          <w:szCs w:val="24"/>
          <w:lang w:eastAsia="zh-CN" w:bidi="ar-SA"/>
        </w:rPr>
      </w:pPr>
      <w:r w:rsidRPr="000315B4">
        <w:rPr>
          <w:rFonts w:eastAsia="MS Mincho" w:cs="Times New Roman"/>
          <w:b/>
          <w:sz w:val="24"/>
          <w:szCs w:val="24"/>
          <w:lang w:eastAsia="zh-CN" w:bidi="ar-SA"/>
        </w:rPr>
        <w:t>Peer-review report classification</w:t>
      </w:r>
    </w:p>
    <w:p w14:paraId="1F456CDD" w14:textId="77777777" w:rsidR="000315B4" w:rsidRPr="000315B4" w:rsidRDefault="000315B4" w:rsidP="000315B4">
      <w:pPr>
        <w:adjustRightInd w:val="0"/>
        <w:snapToGrid w:val="0"/>
        <w:spacing w:line="360" w:lineRule="auto"/>
        <w:jc w:val="both"/>
        <w:rPr>
          <w:rFonts w:eastAsia="MS Mincho" w:cs="Times New Roman"/>
          <w:sz w:val="24"/>
          <w:szCs w:val="24"/>
          <w:lang w:eastAsia="zh-CN" w:bidi="ar-SA"/>
        </w:rPr>
      </w:pPr>
      <w:r w:rsidRPr="000315B4">
        <w:rPr>
          <w:rFonts w:eastAsia="MS Mincho" w:cs="Times New Roman"/>
          <w:sz w:val="24"/>
          <w:szCs w:val="24"/>
          <w:lang w:eastAsia="zh-CN" w:bidi="ar-SA"/>
        </w:rPr>
        <w:t>Grade A (Excellent): 0</w:t>
      </w:r>
    </w:p>
    <w:p w14:paraId="456E1ACC" w14:textId="7FFFD93D" w:rsidR="000315B4" w:rsidRPr="000315B4" w:rsidRDefault="000315B4" w:rsidP="000315B4">
      <w:pPr>
        <w:adjustRightInd w:val="0"/>
        <w:snapToGrid w:val="0"/>
        <w:spacing w:line="360" w:lineRule="auto"/>
        <w:jc w:val="both"/>
        <w:rPr>
          <w:rFonts w:cs="Times New Roman"/>
          <w:sz w:val="24"/>
          <w:szCs w:val="24"/>
          <w:lang w:eastAsia="zh-CN" w:bidi="ar-SA"/>
        </w:rPr>
      </w:pPr>
      <w:r w:rsidRPr="000315B4">
        <w:rPr>
          <w:rFonts w:eastAsia="MS Mincho" w:cs="Times New Roman"/>
          <w:sz w:val="24"/>
          <w:szCs w:val="24"/>
          <w:lang w:eastAsia="zh-CN" w:bidi="ar-SA"/>
        </w:rPr>
        <w:t>Grade B (Very good):</w:t>
      </w:r>
      <w:r w:rsidRPr="000315B4">
        <w:rPr>
          <w:rFonts w:cs="Times New Roman" w:hint="eastAsia"/>
          <w:sz w:val="24"/>
          <w:szCs w:val="24"/>
          <w:lang w:eastAsia="zh-CN" w:bidi="ar-SA"/>
        </w:rPr>
        <w:t xml:space="preserve"> </w:t>
      </w:r>
      <w:r>
        <w:rPr>
          <w:rFonts w:cs="Times New Roman" w:hint="eastAsia"/>
          <w:sz w:val="24"/>
          <w:szCs w:val="24"/>
          <w:lang w:eastAsia="zh-CN" w:bidi="ar-SA"/>
        </w:rPr>
        <w:t>B</w:t>
      </w:r>
    </w:p>
    <w:p w14:paraId="2C06ED03" w14:textId="065A8D8A" w:rsidR="000315B4" w:rsidRPr="000315B4" w:rsidRDefault="000315B4" w:rsidP="000315B4">
      <w:pPr>
        <w:adjustRightInd w:val="0"/>
        <w:snapToGrid w:val="0"/>
        <w:spacing w:line="360" w:lineRule="auto"/>
        <w:jc w:val="both"/>
        <w:rPr>
          <w:rFonts w:eastAsia="MS Mincho" w:cs="Times New Roman"/>
          <w:sz w:val="24"/>
          <w:szCs w:val="24"/>
          <w:lang w:eastAsia="zh-CN" w:bidi="ar-SA"/>
        </w:rPr>
      </w:pPr>
      <w:r w:rsidRPr="000315B4">
        <w:rPr>
          <w:rFonts w:eastAsia="MS Mincho" w:cs="Times New Roman"/>
          <w:sz w:val="24"/>
          <w:szCs w:val="24"/>
          <w:lang w:eastAsia="zh-CN" w:bidi="ar-SA"/>
        </w:rPr>
        <w:t xml:space="preserve">Grade C (Good): </w:t>
      </w:r>
      <w:r>
        <w:rPr>
          <w:rFonts w:cs="Times New Roman" w:hint="eastAsia"/>
          <w:sz w:val="24"/>
          <w:szCs w:val="24"/>
          <w:lang w:eastAsia="zh-CN" w:bidi="ar-SA"/>
        </w:rPr>
        <w:t>C</w:t>
      </w:r>
    </w:p>
    <w:p w14:paraId="20BF4AF5" w14:textId="726C6068" w:rsidR="000315B4" w:rsidRPr="000315B4" w:rsidRDefault="000315B4" w:rsidP="000315B4">
      <w:pPr>
        <w:adjustRightInd w:val="0"/>
        <w:snapToGrid w:val="0"/>
        <w:spacing w:line="360" w:lineRule="auto"/>
        <w:jc w:val="both"/>
        <w:rPr>
          <w:rFonts w:eastAsia="MS Mincho" w:cs="Times New Roman"/>
          <w:sz w:val="24"/>
          <w:szCs w:val="24"/>
          <w:lang w:eastAsia="zh-CN" w:bidi="ar-SA"/>
        </w:rPr>
      </w:pPr>
      <w:r w:rsidRPr="000315B4">
        <w:rPr>
          <w:rFonts w:eastAsia="MS Mincho" w:cs="Times New Roman"/>
          <w:sz w:val="24"/>
          <w:szCs w:val="24"/>
          <w:lang w:eastAsia="zh-CN" w:bidi="ar-SA"/>
        </w:rPr>
        <w:t xml:space="preserve">Grade D (Fair): </w:t>
      </w:r>
      <w:r>
        <w:rPr>
          <w:rFonts w:eastAsia="MS Mincho" w:cs="Times New Roman" w:hint="eastAsia"/>
          <w:sz w:val="24"/>
          <w:szCs w:val="24"/>
          <w:lang w:eastAsia="zh-CN" w:bidi="ar-SA"/>
        </w:rPr>
        <w:t>D</w:t>
      </w:r>
    </w:p>
    <w:p w14:paraId="64DD7C96" w14:textId="79E96219" w:rsidR="000315B4" w:rsidRPr="000315B4" w:rsidRDefault="000315B4" w:rsidP="000315B4">
      <w:pPr>
        <w:adjustRightInd w:val="0"/>
        <w:snapToGrid w:val="0"/>
        <w:spacing w:line="360" w:lineRule="auto"/>
        <w:jc w:val="both"/>
        <w:rPr>
          <w:rFonts w:cs="Times New Roman"/>
          <w:sz w:val="24"/>
          <w:szCs w:val="24"/>
          <w:lang w:eastAsia="zh-CN" w:bidi="ar-SA"/>
        </w:rPr>
      </w:pPr>
      <w:r w:rsidRPr="000315B4">
        <w:rPr>
          <w:rFonts w:eastAsia="MS Mincho" w:cs="Times New Roman"/>
          <w:sz w:val="24"/>
          <w:szCs w:val="24"/>
          <w:lang w:eastAsia="zh-CN" w:bidi="ar-SA"/>
        </w:rPr>
        <w:t>Grade E (Poor): 0</w:t>
      </w:r>
      <w:bookmarkEnd w:id="93"/>
      <w:bookmarkEnd w:id="94"/>
    </w:p>
    <w:p w14:paraId="36DB3470" w14:textId="77777777" w:rsidR="00AF0A24" w:rsidRPr="000315B4" w:rsidRDefault="00DF7A08" w:rsidP="007804E8">
      <w:pPr>
        <w:widowControl w:val="0"/>
        <w:adjustRightInd w:val="0"/>
        <w:snapToGrid w:val="0"/>
        <w:spacing w:line="360" w:lineRule="auto"/>
        <w:jc w:val="both"/>
        <w:rPr>
          <w:sz w:val="24"/>
          <w:szCs w:val="24"/>
        </w:rPr>
      </w:pPr>
      <w:r w:rsidRPr="000315B4">
        <w:rPr>
          <w:sz w:val="24"/>
          <w:szCs w:val="24"/>
        </w:rPr>
        <w:br w:type="page"/>
      </w:r>
    </w:p>
    <w:p w14:paraId="127784A8" w14:textId="77777777" w:rsidR="00F5782A" w:rsidRPr="000315B4" w:rsidRDefault="00F5782A" w:rsidP="007804E8">
      <w:pPr>
        <w:widowControl w:val="0"/>
        <w:adjustRightInd w:val="0"/>
        <w:snapToGrid w:val="0"/>
        <w:spacing w:line="360" w:lineRule="auto"/>
        <w:jc w:val="both"/>
        <w:rPr>
          <w:sz w:val="24"/>
          <w:szCs w:val="24"/>
        </w:rPr>
      </w:pPr>
      <w:r w:rsidRPr="000315B4">
        <w:rPr>
          <w:noProof/>
          <w:sz w:val="24"/>
          <w:szCs w:val="24"/>
          <w:lang w:eastAsia="zh-CN" w:bidi="ar-SA"/>
        </w:rPr>
        <w:lastRenderedPageBreak/>
        <mc:AlternateContent>
          <mc:Choice Requires="wpg">
            <w:drawing>
              <wp:inline distT="0" distB="0" distL="0" distR="0" wp14:anchorId="10C92FDD" wp14:editId="113DF1BA">
                <wp:extent cx="5210980" cy="4485649"/>
                <wp:effectExtent l="0" t="0" r="27940" b="10160"/>
                <wp:docPr id="14" name="Group 14"/>
                <wp:cNvGraphicFramePr/>
                <a:graphic xmlns:a="http://schemas.openxmlformats.org/drawingml/2006/main">
                  <a:graphicData uri="http://schemas.microsoft.com/office/word/2010/wordprocessingGroup">
                    <wpg:wgp>
                      <wpg:cNvGrpSpPr/>
                      <wpg:grpSpPr>
                        <a:xfrm>
                          <a:off x="0" y="0"/>
                          <a:ext cx="5210980" cy="4485649"/>
                          <a:chOff x="-16252" y="1158240"/>
                          <a:chExt cx="4769862" cy="3788170"/>
                        </a:xfrm>
                      </wpg:grpSpPr>
                      <wps:wsp>
                        <wps:cNvPr id="29" name="Straight Arrow Connector 29"/>
                        <wps:cNvCnPr/>
                        <wps:spPr>
                          <a:xfrm flipV="1">
                            <a:off x="1507304" y="3237188"/>
                            <a:ext cx="1981043" cy="1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0" name="Group 30"/>
                        <wpg:cNvGrpSpPr/>
                        <wpg:grpSpPr>
                          <a:xfrm>
                            <a:off x="-16252" y="1158240"/>
                            <a:ext cx="4769862" cy="3788170"/>
                            <a:chOff x="-16252" y="1158240"/>
                            <a:chExt cx="4769862" cy="3788170"/>
                          </a:xfrm>
                        </wpg:grpSpPr>
                        <wps:wsp>
                          <wps:cNvPr id="31" name="Straight Connector 31"/>
                          <wps:cNvCnPr/>
                          <wps:spPr>
                            <a:xfrm>
                              <a:off x="1499041" y="3765550"/>
                              <a:ext cx="0" cy="5257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499041" y="3016250"/>
                              <a:ext cx="0" cy="5257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16252" y="1158240"/>
                              <a:ext cx="4769862" cy="3788170"/>
                              <a:chOff x="-16252" y="1158240"/>
                              <a:chExt cx="4769862" cy="3788170"/>
                            </a:xfrm>
                          </wpg:grpSpPr>
                          <wps:wsp>
                            <wps:cNvPr id="34" name="Straight Arrow Connector 34"/>
                            <wps:cNvCnPr/>
                            <wps:spPr>
                              <a:xfrm>
                                <a:off x="1816100" y="4610100"/>
                                <a:ext cx="1695450" cy="6350"/>
                              </a:xfrm>
                              <a:prstGeom prst="straightConnector1">
                                <a:avLst/>
                              </a:prstGeom>
                              <a:ln>
                                <a:solidFill>
                                  <a:schemeClr val="bg1">
                                    <a:lumMod val="6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cNvPr id="35" name="Group 35"/>
                            <wpg:cNvGrpSpPr/>
                            <wpg:grpSpPr>
                              <a:xfrm>
                                <a:off x="13969" y="1158240"/>
                                <a:ext cx="4710657" cy="1930351"/>
                                <a:chOff x="7619" y="1158240"/>
                                <a:chExt cx="4710657" cy="1930351"/>
                              </a:xfrm>
                            </wpg:grpSpPr>
                            <wpg:grpSp>
                              <wpg:cNvPr id="38" name="Group 38"/>
                              <wpg:cNvGrpSpPr/>
                              <wpg:grpSpPr>
                                <a:xfrm>
                                  <a:off x="1488882" y="1798320"/>
                                  <a:ext cx="1970259" cy="525780"/>
                                  <a:chOff x="292542" y="1135380"/>
                                  <a:chExt cx="1970259" cy="525780"/>
                                </a:xfrm>
                              </wpg:grpSpPr>
                              <wps:wsp>
                                <wps:cNvPr id="43" name="Straight Connector 43"/>
                                <wps:cNvCnPr/>
                                <wps:spPr>
                                  <a:xfrm>
                                    <a:off x="292542" y="1135380"/>
                                    <a:ext cx="0" cy="5257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flipV="1">
                                    <a:off x="296302" y="1432555"/>
                                    <a:ext cx="1966499" cy="32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46" name="Group 46"/>
                              <wpg:cNvGrpSpPr/>
                              <wpg:grpSpPr>
                                <a:xfrm>
                                  <a:off x="7619" y="1158240"/>
                                  <a:ext cx="4710657" cy="1930351"/>
                                  <a:chOff x="7619" y="1158240"/>
                                  <a:chExt cx="4710657" cy="1930351"/>
                                </a:xfrm>
                              </wpg:grpSpPr>
                              <wps:wsp>
                                <wps:cNvPr id="48" name="Text Box 48"/>
                                <wps:cNvSpPr txBox="1"/>
                                <wps:spPr>
                                  <a:xfrm>
                                    <a:off x="7619" y="1158240"/>
                                    <a:ext cx="3029278"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18C519" w14:textId="77777777" w:rsidR="00292ED3" w:rsidRPr="00D83514" w:rsidRDefault="00292ED3" w:rsidP="00BD7250">
                                      <w:r w:rsidRPr="00D83514">
                                        <w:t xml:space="preserve">N=387 </w:t>
                                      </w:r>
                                    </w:p>
                                    <w:p w14:paraId="0F4E232E" w14:textId="77777777" w:rsidR="00292ED3" w:rsidRDefault="00292ED3" w:rsidP="00BD7250">
                                      <w:r>
                                        <w:t xml:space="preserve">Patients with full medical records </w:t>
                                      </w:r>
                                      <w:r>
                                        <w:br/>
                                        <w:t>5/2004-</w:t>
                                      </w:r>
                                      <w:r w:rsidRPr="000315B4">
                                        <w:t>12/2014</w:t>
                                      </w:r>
                                      <w:r>
                                        <w:t xml:space="preserve"> (965 endoscopies)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22856" y="2230280"/>
                                    <a:ext cx="2981537" cy="8583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797903" w14:textId="77777777" w:rsidR="00292ED3" w:rsidRPr="00D83514" w:rsidRDefault="00292ED3" w:rsidP="00BD7250">
                                      <w:r w:rsidRPr="00D83514">
                                        <w:t xml:space="preserve">N=386 </w:t>
                                      </w:r>
                                    </w:p>
                                    <w:p w14:paraId="28243AF6" w14:textId="11C0A27B" w:rsidR="00292ED3" w:rsidRDefault="00292ED3" w:rsidP="00BD7250">
                                      <w:pPr>
                                        <w:rPr>
                                          <w:lang w:eastAsia="zh-CN"/>
                                        </w:rPr>
                                      </w:pPr>
                                      <w:r>
                                        <w:t xml:space="preserve"> (963 endoscopies)</w:t>
                                      </w:r>
                                      <w:r>
                                        <w:rPr>
                                          <w:rFonts w:hint="eastAsia"/>
                                          <w:vertAlign w:val="superscript"/>
                                          <w:lang w:eastAsia="zh-C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3476216" y="1775379"/>
                                    <a:ext cx="1242060" cy="632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68EE8" w14:textId="77777777" w:rsidR="00292ED3" w:rsidRPr="00DD6582" w:rsidRDefault="00292ED3" w:rsidP="00BD7250">
                                      <w:r>
                                        <w:t>One foreign patient without NCR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3" name="Text Box 53"/>
                            <wps:cNvSpPr txBox="1"/>
                            <wps:spPr>
                              <a:xfrm>
                                <a:off x="0" y="3397104"/>
                                <a:ext cx="3031058"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C6A6B0" w14:textId="77777777" w:rsidR="00292ED3" w:rsidRPr="00D83514" w:rsidRDefault="00292ED3" w:rsidP="00BD7250">
                                  <w:r w:rsidRPr="00D83514">
                                    <w:t xml:space="preserve">N=379 </w:t>
                                  </w:r>
                                </w:p>
                                <w:p w14:paraId="17F5780B" w14:textId="55045510" w:rsidR="00292ED3" w:rsidRDefault="00292ED3" w:rsidP="00BD7250">
                                  <w:pPr>
                                    <w:rPr>
                                      <w:lang w:eastAsia="zh-CN"/>
                                    </w:rPr>
                                  </w:pPr>
                                  <w:r>
                                    <w:t>Patients without BE cancer (</w:t>
                                  </w:r>
                                  <w:r w:rsidRPr="00DD6582">
                                    <w:t>953 endoscop</w:t>
                                  </w:r>
                                  <w:r>
                                    <w:t>i</w:t>
                                  </w:r>
                                  <w:r w:rsidRPr="00DD6582">
                                    <w:t>es)</w:t>
                                  </w:r>
                                  <w:r>
                                    <w:rPr>
                                      <w:rFonts w:hint="eastAsia"/>
                                      <w:vertAlign w:val="superscript"/>
                                      <w:lang w:eastAsia="zh-C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3505200" y="2863850"/>
                                <a:ext cx="124206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903615" w14:textId="77777777" w:rsidR="00292ED3" w:rsidRDefault="00292ED3" w:rsidP="00BD7250">
                                  <w:r>
                                    <w:t xml:space="preserve">7 patients had BE cancer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16252" y="4298710"/>
                                <a:ext cx="3039071"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88DAD" w14:textId="77777777" w:rsidR="00292ED3" w:rsidRDefault="00292ED3" w:rsidP="00BD7250">
                                  <w:r>
                                    <w:t>18 patients developed non-BE cancer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3511550" y="4279900"/>
                                <a:ext cx="1242060" cy="647700"/>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87C5A3F" w14:textId="77777777" w:rsidR="00292ED3" w:rsidRPr="001E1AAC" w:rsidRDefault="00292ED3" w:rsidP="00BD7250">
                                  <w:r w:rsidRPr="001E1AAC">
                                    <w:t>25 patients developed any type of cancer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0" name="Straight Arrow Connector 60"/>
                        <wps:cNvCnPr/>
                        <wps:spPr>
                          <a:xfrm>
                            <a:off x="4152900" y="3511550"/>
                            <a:ext cx="0" cy="762000"/>
                          </a:xfrm>
                          <a:prstGeom prst="straightConnector1">
                            <a:avLst/>
                          </a:prstGeom>
                          <a:ln>
                            <a:solidFill>
                              <a:schemeClr val="bg1">
                                <a:lumMod val="6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0C92FDD" id="Group 14" o:spid="_x0000_s1026" style="width:410.3pt;height:353.2pt;mso-position-horizontal-relative:char;mso-position-vertical-relative:line" coordorigin="-162,11582" coordsize="47698,3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">
                <v:shapetype id="_x0000_t32" coordsize="21600,21600" o:spt="32" o:oned="t" path="m,l21600,21600e" filled="f">
                  <v:path arrowok="t" fillok="f" o:connecttype="none"/>
                  <o:lock v:ext="edit" shapetype="t"/>
                </v:shapetype>
                <v:shape id="Straight Arrow Connector 29" o:spid="_x0000_s1027" type="#_x0000_t32" style="position:absolute;left:15073;top:32371;width:19810;height:1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ysNMUAAADbAAAADwAAAGRycy9kb3ducmV2LnhtbESPQUvDQBSE74X+h+UJXordmJRqY7dF&#10;FLHXpiL29sw+k9Ds25C3tvHfd4VCj8PMfMMs14Nr1ZF6aTwbuJ8moIhLbxuuDHzs3u4eQUlAtth6&#10;JgN/JLBejUdLzK0/8ZaORahUhLDkaKAOocu1lrImhzL1HXH0fnzvMETZV9r2eIpw1+o0SebaYcNx&#10;ocaOXmoqD8WvM5CFmaTb2deDFPvqe2Jfs0w+3425vRmen0AFGsI1fGlvrIF0Af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ysNMUAAADbAAAADwAAAAAAAAAA&#10;AAAAAAChAgAAZHJzL2Rvd25yZXYueG1sUEsFBgAAAAAEAAQA+QAAAJMDAAAAAA==&#10;" strokecolor="black [3200]" strokeweight=".5pt">
                  <v:stroke endarrow="block" joinstyle="miter"/>
                </v:shape>
                <v:group id="Group 30" o:spid="_x0000_s1028" style="position:absolute;left:-162;top:11582;width:47698;height:37882" coordorigin="-162,11582" coordsize="47698,37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31" o:spid="_x0000_s1029" style="position:absolute;visibility:visible;mso-wrap-style:square" from="14990,37655" to="14990,4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TcV8IAAADbAAAADwAAAGRycy9kb3ducmV2LnhtbESPzarCMBSE9xd8h3AEd9e0CiLVKCKK&#10;Pzvbu7m7Q3Nsq81JaaLWtzeC4HKYmW+Y+bIztbhT6yrLCuJhBII4t7riQsFftv2dgnAeWWNtmRQ8&#10;ycFy0fuZY6Ltg090T30hAoRdggpK75tESpeXZNANbUMcvLNtDfog20LqFh8Bbmo5iqKJNFhxWCix&#10;oXVJ+TW9GQWr4zY7Tp68kbyPx80lPRS7279Sg363moHw1Plv+NPeawXjG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TcV8IAAADbAAAADwAAAAAAAAAAAAAA&#10;AAChAgAAZHJzL2Rvd25yZXYueG1sUEsFBgAAAAAEAAQA+QAAAJADAAAAAA==&#10;" strokecolor="black [3213]" strokeweight=".5pt">
                    <v:stroke dashstyle="dash" joinstyle="miter"/>
                  </v:line>
                  <v:line id="Straight Connector 32" o:spid="_x0000_s1030" style="position:absolute;visibility:visible;mso-wrap-style:square" from="14990,30162" to="14990,3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ZCIL8AAADbAAAADwAAAGRycy9kb3ducmV2LnhtbESPzQrCMBCE74LvEFbwpqkKItUoIoo/&#10;N6sXb0uzttVmU5qo9e2NIHgcZuYbZrZoTCmeVLvCsoJBPwJBnFpdcKbgfNr0JiCcR9ZYWiYFb3Kw&#10;mLdbM4y1ffGRnonPRICwi1FB7n0VS+nSnAy6vq2Ig3e1tUEfZJ1JXeMrwE0ph1E0lgYLDgs5VrTK&#10;Kb0nD6NgedicDuM3ryXvBqPqluyz7eOiVLfTLKcgPDX+H/61d1rBaAjfL+EHyP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6ZCIL8AAADbAAAADwAAAAAAAAAAAAAAAACh&#10;AgAAZHJzL2Rvd25yZXYueG1sUEsFBgAAAAAEAAQA+QAAAI0DAAAAAA==&#10;" strokecolor="black [3213]" strokeweight=".5pt">
                    <v:stroke dashstyle="dash" joinstyle="miter"/>
                  </v:line>
                  <v:group id="Group 33" o:spid="_x0000_s1031" style="position:absolute;left:-162;top:11582;width:47698;height:37882" coordorigin="-162,11582" coordsize="47698,37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Straight Arrow Connector 34" o:spid="_x0000_s1032" type="#_x0000_t32" style="position:absolute;left:18161;top:46101;width:16954;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uz0cQAAADbAAAADwAAAGRycy9kb3ducmV2LnhtbESPQWvCQBSE7wX/w/KE3uomaSklugYR&#10;CnqytR709sg+kyXZt2F3q9Ff3y0Uehxm5htmUY22FxfywThWkM8yEMS104YbBYev96c3ECEia+wd&#10;k4IbBaiWk4cFltpd+ZMu+9iIBOFQooI2xqGUMtQtWQwzNxAn7+y8xZikb6T2eE1w28siy16lRcNp&#10;ocWB1i3V3f7bKjieclM4/9HdfXbY3nrenYw/K/U4HVdzEJHG+B/+a2+0gucX+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7PRxAAAANsAAAAPAAAAAAAAAAAA&#10;AAAAAKECAABkcnMvZG93bnJldi54bWxQSwUGAAAAAAQABAD5AAAAkgMAAAAA&#10;" strokecolor="#a5a5a5 [2092]" strokeweight=".5pt">
                      <v:stroke dashstyle="dash" endarrow="block" joinstyle="miter"/>
                    </v:shape>
                    <v:group id="Group 35" o:spid="_x0000_s1033" style="position:absolute;left:139;top:11582;width:47107;height:19303" coordorigin="76,11582" coordsize="47106,19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8" o:spid="_x0000_s1034" style="position:absolute;left:14888;top:17983;width:19703;height:5258" coordorigin="2925,11353" coordsize="19702,5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3" o:spid="_x0000_s1035" style="position:absolute;visibility:visible;mso-wrap-style:square" from="2925,11353" to="2925,1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UxsQAAADbAAAADwAAAGRycy9kb3ducmV2LnhtbESPQWvCQBSE74X+h+UVeqsbTRFJXUMQ&#10;g6m3Ri/eHtnXJJp9G7Krif++Wyj0OMzMN8w6nUwn7jS41rKC+SwCQVxZ3XKt4HTM31YgnEfW2Fkm&#10;BQ9ykG6en9aYaDvyF91LX4sAYZeggsb7PpHSVQ0ZdDPbEwfv2w4GfZBDLfWAY4CbTi6iaCkNthwW&#10;Guxp21B1LW9GQXbIj4flg3eSi3ncX8rPen87K/X6MmUfIDxN/j/81y60gvcY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7JTGxAAAANsAAAAPAAAAAAAAAAAA&#10;AAAAAKECAABkcnMvZG93bnJldi54bWxQSwUGAAAAAAQABAD5AAAAkgMAAAAA&#10;" strokecolor="black [3213]" strokeweight=".5pt">
                          <v:stroke dashstyle="dash" joinstyle="miter"/>
                        </v:line>
                        <v:shape id="Straight Arrow Connector 45" o:spid="_x0000_s1036" type="#_x0000_t32" style="position:absolute;left:2963;top:14325;width:19665;height: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5DkcUAAADbAAAADwAAAGRycy9kb3ducmV2LnhtbESPQUvDQBSE70L/w/IEL2I3bVItsdtS&#10;FLHXpiL29sw+k9Ds25C3tvHfd4VCj8PMfMMsVoNr1ZF6aTwbmIwTUMSltw1XBj52bw9zUBKQLbae&#10;ycAfCayWo5sF5tafeEvHIlQqQlhyNFCH0OVaS1mTQxn7jjh6P753GKLsK217PEW4a/U0SR61w4bj&#10;Qo0dvdRUHopfZyANmUy32deTFPvq+96+pql8vhtzdzusn0EFGsI1fGlvrIFsBv9f4g/Qy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5DkcUAAADbAAAADwAAAAAAAAAA&#10;AAAAAAChAgAAZHJzL2Rvd25yZXYueG1sUEsFBgAAAAAEAAQA+QAAAJMDAAAAAA==&#10;" strokecolor="black [3200]" strokeweight=".5pt">
                          <v:stroke endarrow="block" joinstyle="miter"/>
                        </v:shape>
                      </v:group>
                      <v:group id="Group 46" o:spid="_x0000_s1037" style="position:absolute;left:76;top:11582;width:47106;height:19303" coordorigin="76,11582" coordsize="47106,19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202" coordsize="21600,21600" o:spt="202" path="m,l,21600r21600,l21600,xe">
                          <v:stroke joinstyle="miter"/>
                          <v:path gradientshapeok="t" o:connecttype="rect"/>
                        </v:shapetype>
                        <v:shape id="Text Box 48" o:spid="_x0000_s1038" type="#_x0000_t202" style="position:absolute;left:76;top:11582;width:30292;height:6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oCcAA&#10;AADbAAAADwAAAGRycy9kb3ducmV2LnhtbERPTWsCMRC9F/wPYYTealaRWlajqFRa6cm1eh42425w&#10;M1mTVNd/bw5Cj4/3PVt0thFX8sE4VjAcZCCIS6cNVwp+95u3DxAhImtsHJOCOwVYzHsvM8y1u/GO&#10;rkWsRArhkKOCOsY2lzKUNVkMA9cSJ+7kvMWYoK+k9nhL4baRoyx7lxYNp4YaW1rXVJ6LP6vgcvD7&#10;8dB8HjfNtjCXyfln9YUTpV773XIKIlIX/8VP97dWME5j05f0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loCcAAAADbAAAADwAAAAAAAAAAAAAAAACYAgAAZHJzL2Rvd25y&#10;ZXYueG1sUEsFBgAAAAAEAAQA9QAAAIUDAAAAAA==&#10;" fillcolor="white [3201]" strokeweight=".5pt">
                          <v:textbox>
                            <w:txbxContent>
                              <w:p w14:paraId="5618C519" w14:textId="77777777" w:rsidR="00292ED3" w:rsidRPr="00D83514" w:rsidRDefault="00292ED3" w:rsidP="00BD7250">
                                <w:r w:rsidRPr="00D83514">
                                  <w:t xml:space="preserve">N=387 </w:t>
                                </w:r>
                              </w:p>
                              <w:p w14:paraId="0F4E232E" w14:textId="77777777" w:rsidR="00292ED3" w:rsidRDefault="00292ED3" w:rsidP="00BD7250">
                                <w:r>
                                  <w:t xml:space="preserve">Patients with full medical records </w:t>
                                </w:r>
                                <w:r>
                                  <w:br/>
                                  <w:t>5/2004-</w:t>
                                </w:r>
                                <w:r w:rsidRPr="000315B4">
                                  <w:t>12/2014</w:t>
                                </w:r>
                                <w:r>
                                  <w:t xml:space="preserve"> (965 endoscopies)</w:t>
                                </w:r>
                              </w:p>
                            </w:txbxContent>
                          </v:textbox>
                        </v:shape>
                        <v:shape id="Text Box 50" o:spid="_x0000_s1039" type="#_x0000_t202" style="position:absolute;left:228;top:22302;width:29815;height:8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y0sEA&#10;AADbAAAADwAAAGRycy9kb3ducmV2LnhtbERPy2oCMRTdF/yHcAV3NWOxVUajWFHa4srxsb5MrjPB&#10;yc2YpDr9+2ZR6PJw3vNlZxtxJx+MYwWjYQaCuHTacKXgeNg+T0GEiKyxcUwKfijActF7mmOu3YP3&#10;dC9iJVIIhxwV1DG2uZShrMliGLqWOHEX5y3GBH0ltcdHCreNfMmyN2nRcGqosaV1TeW1+LYKbid/&#10;GI/M5rxtvgpzm1x37x84UWrQ71YzEJG6+C/+c39qBa9pffq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W8tLBAAAA2wAAAA8AAAAAAAAAAAAAAAAAmAIAAGRycy9kb3du&#10;cmV2LnhtbFBLBQYAAAAABAAEAPUAAACGAwAAAAA=&#10;" fillcolor="white [3201]" strokeweight=".5pt">
                          <v:textbox>
                            <w:txbxContent>
                              <w:p w14:paraId="2D797903" w14:textId="77777777" w:rsidR="00292ED3" w:rsidRPr="00D83514" w:rsidRDefault="00292ED3" w:rsidP="00BD7250">
                                <w:r w:rsidRPr="00D83514">
                                  <w:t xml:space="preserve">N=386 </w:t>
                                </w:r>
                              </w:p>
                              <w:p w14:paraId="28243AF6" w14:textId="11C0A27B" w:rsidR="00292ED3" w:rsidRDefault="00292ED3" w:rsidP="00BD7250">
                                <w:pPr>
                                  <w:rPr>
                                    <w:lang w:eastAsia="zh-CN"/>
                                  </w:rPr>
                                </w:pPr>
                                <w:r>
                                  <w:t xml:space="preserve"> (963 endoscopies)</w:t>
                                </w:r>
                                <w:r>
                                  <w:rPr>
                                    <w:rFonts w:hint="eastAsia"/>
                                    <w:vertAlign w:val="superscript"/>
                                    <w:lang w:eastAsia="zh-CN"/>
                                  </w:rPr>
                                  <w:t>1</w:t>
                                </w:r>
                              </w:p>
                            </w:txbxContent>
                          </v:textbox>
                        </v:shape>
                        <v:shape id="Text Box 52" o:spid="_x0000_s1040" type="#_x0000_t202" style="position:absolute;left:34762;top:17753;width:12420;height:6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JPsQA&#10;AADbAAAADwAAAGRycy9kb3ducmV2LnhtbESPQWsCMRSE74X+h/AKvdWsUrVsjaKiVPHUte35sXnd&#10;DW5e1iTV9d8bQehxmJlvmMmss404kQ/GsYJ+LwNBXDptuFLwtV+/vIEIEVlj45gUXCjAbPr4MMFc&#10;uzN/0qmIlUgQDjkqqGNscylDWZPF0HMtcfJ+nbcYk/SV1B7PCW4bOciykbRoOC3U2NKypvJQ/FkF&#10;x2+/f+2b1c+62RbmOD7sFh84Vur5qZu/g4jUxf/wvb3RCoYD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IyT7EAAAA2wAAAA8AAAAAAAAAAAAAAAAAmAIAAGRycy9k&#10;b3ducmV2LnhtbFBLBQYAAAAABAAEAPUAAACJAwAAAAA=&#10;" fillcolor="white [3201]" strokeweight=".5pt">
                          <v:textbox>
                            <w:txbxContent>
                              <w:p w14:paraId="65F68EE8" w14:textId="77777777" w:rsidR="00292ED3" w:rsidRPr="00DD6582" w:rsidRDefault="00292ED3" w:rsidP="00BD7250">
                                <w:r>
                                  <w:t>One foreign patient without NCR data</w:t>
                                </w:r>
                              </w:p>
                            </w:txbxContent>
                          </v:textbox>
                        </v:shape>
                      </v:group>
                    </v:group>
                    <v:shape id="Text Box 53" o:spid="_x0000_s1041" type="#_x0000_t202" style="position:absolute;top:33971;width:30310;height:6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spcUA&#10;AADbAAAADwAAAGRycy9kb3ducmV2LnhtbESPQU8CMRSE7yT+h+aZcJMuoK5ZKUQIRIgnF/X8sn3u&#10;Nmxfl7bC+u+piQnHycx8k5ktetuKE/lgHCsYjzIQxJXThmsFH/vN3ROIEJE1to5JwS8FWMxvBjMs&#10;tDvzO53KWIsE4VCggibGrpAyVA1ZDCPXESfv23mLMUlfS+3xnOC2lZMse5QWDaeFBjtaNVQdyh+r&#10;4Pjp9/djs/7atLvSHPPD2/IVc6WGt/3LM4hIfbyG/9tbreBhCn9f0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GylxQAAANsAAAAPAAAAAAAAAAAAAAAAAJgCAABkcnMv&#10;ZG93bnJldi54bWxQSwUGAAAAAAQABAD1AAAAigMAAAAA&#10;" fillcolor="white [3201]" strokeweight=".5pt">
                      <v:textbox>
                        <w:txbxContent>
                          <w:p w14:paraId="18C6A6B0" w14:textId="77777777" w:rsidR="00292ED3" w:rsidRPr="00D83514" w:rsidRDefault="00292ED3" w:rsidP="00BD7250">
                            <w:r w:rsidRPr="00D83514">
                              <w:t xml:space="preserve">N=379 </w:t>
                            </w:r>
                          </w:p>
                          <w:p w14:paraId="17F5780B" w14:textId="55045510" w:rsidR="00292ED3" w:rsidRDefault="00292ED3" w:rsidP="00BD7250">
                            <w:pPr>
                              <w:rPr>
                                <w:lang w:eastAsia="zh-CN"/>
                              </w:rPr>
                            </w:pPr>
                            <w:r>
                              <w:t>Patients without BE cancer (</w:t>
                            </w:r>
                            <w:r w:rsidRPr="00DD6582">
                              <w:t>953 endoscop</w:t>
                            </w:r>
                            <w:r>
                              <w:t>i</w:t>
                            </w:r>
                            <w:r w:rsidRPr="00DD6582">
                              <w:t>es)</w:t>
                            </w:r>
                            <w:r>
                              <w:rPr>
                                <w:rFonts w:hint="eastAsia"/>
                                <w:vertAlign w:val="superscript"/>
                                <w:lang w:eastAsia="zh-CN"/>
                              </w:rPr>
                              <w:t>2</w:t>
                            </w:r>
                          </w:p>
                        </w:txbxContent>
                      </v:textbox>
                    </v:shape>
                    <v:shape id="Text Box 54" o:spid="_x0000_s1042" type="#_x0000_t202" style="position:absolute;left:35052;top:28638;width:12420;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300cQA&#10;AADbAAAADwAAAGRycy9kb3ducmV2LnhtbESPQWsCMRSE74L/ITzBm2YVW8tqFBWlLZ66tj0/Ns/d&#10;4OZlTVLd/vumUOhxmJlvmOW6s424kQ/GsYLJOANBXDptuFLwfjqMnkCEiKyxcUwKvinAetXvLTHX&#10;7s5vdCtiJRKEQ44K6hjbXMpQ1mQxjF1LnLyz8xZjkr6S2uM9wW0jp1n2KC0aTgs1trSrqbwUX1bB&#10;9cOfZhOz/zw0r4W5zi/H7TPOlRoOus0CRKQu/of/2i9awcM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t9NHEAAAA2wAAAA8AAAAAAAAAAAAAAAAAmAIAAGRycy9k&#10;b3ducmV2LnhtbFBLBQYAAAAABAAEAPUAAACJAwAAAAA=&#10;" fillcolor="white [3201]" strokeweight=".5pt">
                      <v:textbox>
                        <w:txbxContent>
                          <w:p w14:paraId="25903615" w14:textId="77777777" w:rsidR="00292ED3" w:rsidRDefault="00292ED3" w:rsidP="00BD7250">
                            <w:r>
                              <w:t xml:space="preserve">7 patients had BE cancer </w:t>
                            </w:r>
                          </w:p>
                        </w:txbxContent>
                      </v:textbox>
                    </v:shape>
                    <v:shape id="Text Box 58" o:spid="_x0000_s1043" type="#_x0000_t202" style="position:absolute;left:-162;top:42987;width:30390;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1MEA&#10;AADbAAAADwAAAGRycy9kb3ducmV2LnhtbERPy2oCMRTdF/yHcAV3NWOxVUajWFHa4srxsb5MrjPB&#10;yc2YpDr9+2ZR6PJw3vNlZxtxJx+MYwWjYQaCuHTacKXgeNg+T0GEiKyxcUwKfijActF7mmOu3YP3&#10;dC9iJVIIhxwV1DG2uZShrMliGLqWOHEX5y3GBH0ltcdHCreNfMmyN2nRcGqosaV1TeW1+LYKbid/&#10;GI/M5rxtvgpzm1x37x84UWrQ71YzEJG6+C/+c39qBa9pbPq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g/tTBAAAA2wAAAA8AAAAAAAAAAAAAAAAAmAIAAGRycy9kb3du&#10;cmV2LnhtbFBLBQYAAAAABAAEAPUAAACGAwAAAAA=&#10;" fillcolor="white [3201]" strokeweight=".5pt">
                      <v:textbox>
                        <w:txbxContent>
                          <w:p w14:paraId="0DD88DAD" w14:textId="77777777" w:rsidR="00292ED3" w:rsidRDefault="00292ED3" w:rsidP="00BD7250">
                            <w:r>
                              <w:t>18 patients developed non-BE cancer</w:t>
                            </w:r>
                          </w:p>
                        </w:txbxContent>
                      </v:textbox>
                    </v:shape>
                    <v:shape id="Text Box 59" o:spid="_x0000_s1044" type="#_x0000_t202" style="position:absolute;left:35115;top:42799;width:1242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ZsUA&#10;AADbAAAADwAAAGRycy9kb3ducmV2LnhtbESPT2vCQBTE7wW/w/IEb3WjUtE0G9H+oV56aBoKuT2y&#10;zySafRuyW02/vSsIPQ4z8xsm2QymFWfqXWNZwWwagSAurW64UpB/vz+uQDiPrLG1TAr+yMEmHT0k&#10;GGt74S86Z74SAcIuRgW1910spStrMuimtiMO3sH2Bn2QfSV1j5cAN62cR9FSGmw4LNTY0UtN5Sn7&#10;NQqKn2xX4C6Xy0XxKtuP1fqYv30qNRkP22cQngb/H76391rB0xp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6BmxQAAANsAAAAPAAAAAAAAAAAAAAAAAJgCAABkcnMv&#10;ZG93bnJldi54bWxQSwUGAAAAAAQABAD1AAAAigMAAAAA&#10;" fillcolor="white [3201]" strokecolor="#a5a5a5 [2092]" strokeweight=".5pt">
                      <v:textbox>
                        <w:txbxContent>
                          <w:p w14:paraId="287C5A3F" w14:textId="77777777" w:rsidR="00292ED3" w:rsidRPr="001E1AAC" w:rsidRDefault="00292ED3" w:rsidP="00BD7250">
                            <w:r w:rsidRPr="001E1AAC">
                              <w:t>25 patients developed any type of cancer</w:t>
                            </w:r>
                          </w:p>
                        </w:txbxContent>
                      </v:textbox>
                    </v:shape>
                  </v:group>
                </v:group>
                <v:shape id="Straight Arrow Connector 60" o:spid="_x0000_s1045" type="#_x0000_t32" style="position:absolute;left:41529;top:35115;width:0;height:7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Oaz74AAADbAAAADwAAAGRycy9kb3ducmV2LnhtbERPy4rCMBTdC/5DuMLsbKoLkWqUYUDQ&#10;lc+F7i7NtQ02NyWJWufrzUJweTjv+bKzjXiQD8axglGWgyAunTZcKTgdV8MpiBCRNTaOScGLAiwX&#10;/d4cC+2evKfHIVYihXAoUEEdY1tIGcqaLIbMtcSJuzpvMSboK6k9PlO4beQ4zyfSouHUUGNLfzWV&#10;t8PdKjhfRmbs/O727/PT5tXw9mL8VamfQfc7AxGpi1/xx73WCiZpffqSfoB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g5rPvgAAANsAAAAPAAAAAAAAAAAAAAAAAKEC&#10;AABkcnMvZG93bnJldi54bWxQSwUGAAAAAAQABAD5AAAAjAMAAAAA&#10;" strokecolor="#a5a5a5 [2092]" strokeweight=".5pt">
                  <v:stroke dashstyle="dash" endarrow="block" joinstyle="miter"/>
                </v:shape>
                <w10:anchorlock/>
              </v:group>
            </w:pict>
          </mc:Fallback>
        </mc:AlternateContent>
      </w:r>
    </w:p>
    <w:p w14:paraId="78F6D4E6" w14:textId="77777777" w:rsidR="009C6E18" w:rsidRPr="000315B4" w:rsidRDefault="00F5782A" w:rsidP="009C6E18">
      <w:pPr>
        <w:widowControl w:val="0"/>
        <w:adjustRightInd w:val="0"/>
        <w:snapToGrid w:val="0"/>
        <w:spacing w:line="360" w:lineRule="auto"/>
        <w:jc w:val="both"/>
        <w:rPr>
          <w:sz w:val="24"/>
          <w:szCs w:val="24"/>
          <w:rtl/>
          <w:lang w:eastAsia="zh-CN"/>
        </w:rPr>
      </w:pPr>
      <w:r w:rsidRPr="000315B4">
        <w:rPr>
          <w:b/>
          <w:bCs/>
          <w:sz w:val="24"/>
          <w:szCs w:val="24"/>
        </w:rPr>
        <w:t>Figure 1</w:t>
      </w:r>
      <w:r w:rsidR="000315B4">
        <w:rPr>
          <w:rFonts w:hint="eastAsia"/>
          <w:b/>
          <w:bCs/>
          <w:sz w:val="24"/>
          <w:szCs w:val="24"/>
          <w:lang w:eastAsia="zh-CN"/>
        </w:rPr>
        <w:t xml:space="preserve"> </w:t>
      </w:r>
      <w:r w:rsidRPr="000315B4">
        <w:rPr>
          <w:b/>
          <w:bCs/>
          <w:sz w:val="24"/>
          <w:szCs w:val="24"/>
        </w:rPr>
        <w:t>Study flow-chart</w:t>
      </w:r>
      <w:r w:rsidR="000315B4">
        <w:rPr>
          <w:rFonts w:hint="eastAsia"/>
          <w:b/>
          <w:bCs/>
          <w:sz w:val="24"/>
          <w:szCs w:val="24"/>
          <w:lang w:eastAsia="zh-CN"/>
        </w:rPr>
        <w:t>.</w:t>
      </w:r>
      <w:r w:rsidRPr="000315B4">
        <w:rPr>
          <w:b/>
          <w:bCs/>
          <w:sz w:val="24"/>
          <w:szCs w:val="24"/>
        </w:rPr>
        <w:t xml:space="preserve"> </w:t>
      </w:r>
      <w:r w:rsidR="009C6E18">
        <w:rPr>
          <w:rFonts w:hint="eastAsia"/>
          <w:sz w:val="24"/>
          <w:szCs w:val="24"/>
          <w:vertAlign w:val="superscript"/>
          <w:lang w:eastAsia="zh-CN"/>
        </w:rPr>
        <w:t>1</w:t>
      </w:r>
      <w:r w:rsidR="009C6E18" w:rsidRPr="000315B4">
        <w:rPr>
          <w:sz w:val="24"/>
          <w:szCs w:val="24"/>
        </w:rPr>
        <w:t xml:space="preserve">Out of the 386 patients, 245 (63%) had more than one endoscopy; </w:t>
      </w:r>
      <w:r w:rsidR="009C6E18">
        <w:rPr>
          <w:rFonts w:hint="eastAsia"/>
          <w:sz w:val="24"/>
          <w:szCs w:val="24"/>
          <w:vertAlign w:val="superscript"/>
          <w:lang w:eastAsia="zh-CN"/>
        </w:rPr>
        <w:t>2</w:t>
      </w:r>
      <w:r w:rsidR="009C6E18" w:rsidRPr="000315B4">
        <w:rPr>
          <w:sz w:val="24"/>
          <w:szCs w:val="24"/>
        </w:rPr>
        <w:t>Out of the 379 patients, 239 (63%) had more than one endoscopy</w:t>
      </w:r>
      <w:r w:rsidR="009C6E18">
        <w:rPr>
          <w:rFonts w:hint="eastAsia"/>
          <w:sz w:val="24"/>
          <w:szCs w:val="24"/>
          <w:lang w:eastAsia="zh-CN"/>
        </w:rPr>
        <w:t>.</w:t>
      </w:r>
    </w:p>
    <w:p w14:paraId="0E28DDF4" w14:textId="6842C922" w:rsidR="00F5782A" w:rsidRPr="000315B4" w:rsidRDefault="00F5782A" w:rsidP="007804E8">
      <w:pPr>
        <w:widowControl w:val="0"/>
        <w:adjustRightInd w:val="0"/>
        <w:snapToGrid w:val="0"/>
        <w:spacing w:line="360" w:lineRule="auto"/>
        <w:jc w:val="both"/>
        <w:rPr>
          <w:sz w:val="24"/>
          <w:szCs w:val="24"/>
          <w:rtl/>
          <w:lang w:eastAsia="zh-CN"/>
        </w:rPr>
      </w:pPr>
      <w:r w:rsidRPr="000315B4">
        <w:rPr>
          <w:sz w:val="24"/>
          <w:szCs w:val="24"/>
        </w:rPr>
        <w:t>BE</w:t>
      </w:r>
      <w:r w:rsidR="009C6E18">
        <w:rPr>
          <w:rFonts w:hint="eastAsia"/>
          <w:sz w:val="24"/>
          <w:szCs w:val="24"/>
          <w:lang w:eastAsia="zh-CN"/>
        </w:rPr>
        <w:t xml:space="preserve">: </w:t>
      </w:r>
      <w:r w:rsidRPr="000315B4">
        <w:rPr>
          <w:sz w:val="24"/>
          <w:szCs w:val="24"/>
        </w:rPr>
        <w:t>Barrett’s esophagus; NCR</w:t>
      </w:r>
      <w:r w:rsidR="009C6E18">
        <w:rPr>
          <w:rFonts w:hint="eastAsia"/>
          <w:sz w:val="24"/>
          <w:szCs w:val="24"/>
          <w:lang w:eastAsia="zh-CN"/>
        </w:rPr>
        <w:t xml:space="preserve">: </w:t>
      </w:r>
      <w:r w:rsidR="009C6E18" w:rsidRPr="000315B4">
        <w:rPr>
          <w:sz w:val="24"/>
          <w:szCs w:val="24"/>
        </w:rPr>
        <w:t xml:space="preserve">National </w:t>
      </w:r>
      <w:r w:rsidRPr="000315B4">
        <w:rPr>
          <w:sz w:val="24"/>
          <w:szCs w:val="24"/>
        </w:rPr>
        <w:t>cancer registry</w:t>
      </w:r>
      <w:r w:rsidR="009C6E18">
        <w:rPr>
          <w:rFonts w:hint="eastAsia"/>
          <w:sz w:val="24"/>
          <w:szCs w:val="24"/>
          <w:lang w:eastAsia="zh-CN"/>
        </w:rPr>
        <w:t>.</w:t>
      </w:r>
    </w:p>
    <w:p w14:paraId="50D7809A" w14:textId="77777777" w:rsidR="00E83EEB" w:rsidRPr="000315B4" w:rsidRDefault="00E83EEB" w:rsidP="007804E8">
      <w:pPr>
        <w:widowControl w:val="0"/>
        <w:adjustRightInd w:val="0"/>
        <w:snapToGrid w:val="0"/>
        <w:spacing w:line="360" w:lineRule="auto"/>
        <w:jc w:val="both"/>
        <w:rPr>
          <w:sz w:val="24"/>
          <w:szCs w:val="24"/>
        </w:rPr>
      </w:pPr>
    </w:p>
    <w:p w14:paraId="61B46BB0" w14:textId="2625FA96" w:rsidR="00F5782A" w:rsidRPr="000315B4" w:rsidRDefault="00F5782A" w:rsidP="007804E8">
      <w:pPr>
        <w:widowControl w:val="0"/>
        <w:adjustRightInd w:val="0"/>
        <w:snapToGrid w:val="0"/>
        <w:spacing w:line="360" w:lineRule="auto"/>
        <w:jc w:val="both"/>
        <w:rPr>
          <w:sz w:val="24"/>
          <w:szCs w:val="24"/>
          <w:lang w:eastAsia="zh-CN"/>
        </w:rPr>
      </w:pPr>
      <w:r w:rsidRPr="000315B4">
        <w:rPr>
          <w:sz w:val="24"/>
          <w:szCs w:val="24"/>
        </w:rPr>
        <w:br w:type="page"/>
      </w:r>
    </w:p>
    <w:p w14:paraId="61941B79" w14:textId="77777777" w:rsidR="00E83EEB" w:rsidRPr="000315B4" w:rsidRDefault="00E83EEB" w:rsidP="007804E8">
      <w:pPr>
        <w:widowControl w:val="0"/>
        <w:adjustRightInd w:val="0"/>
        <w:snapToGrid w:val="0"/>
        <w:spacing w:line="360" w:lineRule="auto"/>
        <w:jc w:val="both"/>
        <w:rPr>
          <w:sz w:val="24"/>
          <w:szCs w:val="24"/>
        </w:rPr>
      </w:pPr>
      <w:r w:rsidRPr="000315B4">
        <w:rPr>
          <w:noProof/>
          <w:sz w:val="24"/>
          <w:szCs w:val="24"/>
          <w:lang w:eastAsia="zh-CN" w:bidi="ar-SA"/>
        </w:rPr>
        <w:lastRenderedPageBreak/>
        <w:drawing>
          <wp:inline distT="0" distB="0" distL="0" distR="0" wp14:anchorId="57033514" wp14:editId="3867E075">
            <wp:extent cx="6045496" cy="1724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213" t="1348" r="18127" b="38663"/>
                    <a:stretch/>
                  </pic:blipFill>
                  <pic:spPr bwMode="auto">
                    <a:xfrm>
                      <a:off x="0" y="0"/>
                      <a:ext cx="6045496" cy="1724025"/>
                    </a:xfrm>
                    <a:prstGeom prst="rect">
                      <a:avLst/>
                    </a:prstGeom>
                    <a:noFill/>
                    <a:ln>
                      <a:noFill/>
                    </a:ln>
                    <a:extLst>
                      <a:ext uri="{53640926-AAD7-44D8-BBD7-CCE9431645EC}">
                        <a14:shadowObscured xmlns:a14="http://schemas.microsoft.com/office/drawing/2010/main"/>
                      </a:ext>
                    </a:extLst>
                  </pic:spPr>
                </pic:pic>
              </a:graphicData>
            </a:graphic>
          </wp:inline>
        </w:drawing>
      </w:r>
    </w:p>
    <w:p w14:paraId="09EED750" w14:textId="3630929F" w:rsidR="006035B8" w:rsidRPr="009C6E18" w:rsidRDefault="00AF0A24" w:rsidP="007804E8">
      <w:pPr>
        <w:widowControl w:val="0"/>
        <w:adjustRightInd w:val="0"/>
        <w:snapToGrid w:val="0"/>
        <w:spacing w:line="360" w:lineRule="auto"/>
        <w:jc w:val="both"/>
        <w:rPr>
          <w:b/>
          <w:sz w:val="24"/>
          <w:szCs w:val="24"/>
          <w:lang w:eastAsia="zh-CN"/>
        </w:rPr>
      </w:pPr>
      <w:r w:rsidRPr="009C6E18">
        <w:rPr>
          <w:b/>
          <w:bCs/>
          <w:sz w:val="24"/>
          <w:szCs w:val="24"/>
        </w:rPr>
        <w:t>Figure 2</w:t>
      </w:r>
      <w:r w:rsidR="009C6E18" w:rsidRPr="009C6E18">
        <w:rPr>
          <w:rFonts w:hint="eastAsia"/>
          <w:b/>
          <w:sz w:val="24"/>
          <w:szCs w:val="24"/>
          <w:lang w:eastAsia="zh-CN"/>
        </w:rPr>
        <w:t xml:space="preserve"> </w:t>
      </w:r>
      <w:r w:rsidRPr="009C6E18">
        <w:rPr>
          <w:b/>
          <w:sz w:val="24"/>
          <w:szCs w:val="24"/>
        </w:rPr>
        <w:t>Kaplan Meier curve</w:t>
      </w:r>
      <w:r w:rsidR="00BF2D65" w:rsidRPr="009C6E18">
        <w:rPr>
          <w:b/>
          <w:sz w:val="24"/>
          <w:szCs w:val="24"/>
        </w:rPr>
        <w:t>s</w:t>
      </w:r>
      <w:r w:rsidR="009C6E18">
        <w:rPr>
          <w:b/>
          <w:sz w:val="24"/>
          <w:szCs w:val="24"/>
        </w:rPr>
        <w:t xml:space="preserve"> by </w:t>
      </w:r>
      <w:r w:rsidR="009C6E18" w:rsidRPr="009C6E18">
        <w:rPr>
          <w:b/>
          <w:sz w:val="24"/>
          <w:szCs w:val="24"/>
        </w:rPr>
        <w:t xml:space="preserve">high-grade dysplasia </w:t>
      </w:r>
      <w:r w:rsidR="009C6E18" w:rsidRPr="009C6E18">
        <w:rPr>
          <w:b/>
          <w:i/>
          <w:sz w:val="24"/>
          <w:szCs w:val="24"/>
        </w:rPr>
        <w:t>vs</w:t>
      </w:r>
      <w:r w:rsidR="009D1731" w:rsidRPr="009C6E18">
        <w:rPr>
          <w:b/>
          <w:sz w:val="24"/>
          <w:szCs w:val="24"/>
        </w:rPr>
        <w:t xml:space="preserve"> </w:t>
      </w:r>
      <w:r w:rsidR="009C6E18" w:rsidRPr="009C6E18">
        <w:rPr>
          <w:b/>
          <w:sz w:val="24"/>
          <w:szCs w:val="24"/>
        </w:rPr>
        <w:t xml:space="preserve">low grade or without dysplasia </w:t>
      </w:r>
      <w:r w:rsidR="009D1731" w:rsidRPr="009C6E18">
        <w:rPr>
          <w:b/>
          <w:sz w:val="24"/>
          <w:szCs w:val="24"/>
        </w:rPr>
        <w:t xml:space="preserve">groups. </w:t>
      </w:r>
      <w:r w:rsidR="009C6E18" w:rsidRPr="009C6E18">
        <w:rPr>
          <w:rFonts w:hint="eastAsia"/>
          <w:bCs/>
          <w:sz w:val="24"/>
          <w:szCs w:val="24"/>
          <w:lang w:eastAsia="zh-CN"/>
        </w:rPr>
        <w:t>A:</w:t>
      </w:r>
      <w:r w:rsidR="009C6E18">
        <w:rPr>
          <w:rFonts w:hint="eastAsia"/>
          <w:b/>
          <w:bCs/>
          <w:sz w:val="24"/>
          <w:szCs w:val="24"/>
          <w:lang w:eastAsia="zh-CN"/>
        </w:rPr>
        <w:t xml:space="preserve"> </w:t>
      </w:r>
      <w:r w:rsidR="009D1731" w:rsidRPr="000315B4">
        <w:rPr>
          <w:sz w:val="24"/>
          <w:szCs w:val="24"/>
        </w:rPr>
        <w:t>N</w:t>
      </w:r>
      <w:r w:rsidRPr="000315B4">
        <w:rPr>
          <w:sz w:val="24"/>
          <w:szCs w:val="24"/>
        </w:rPr>
        <w:t>on-BE cancer free survival</w:t>
      </w:r>
      <w:r w:rsidR="00BF2D65" w:rsidRPr="000315B4">
        <w:rPr>
          <w:sz w:val="24"/>
          <w:szCs w:val="24"/>
        </w:rPr>
        <w:t>,</w:t>
      </w:r>
      <w:r w:rsidR="007861CF" w:rsidRPr="000315B4">
        <w:rPr>
          <w:sz w:val="24"/>
          <w:szCs w:val="24"/>
        </w:rPr>
        <w:t xml:space="preserve"> </w:t>
      </w:r>
      <w:r w:rsidR="00BF2D65" w:rsidRPr="009C6E18">
        <w:rPr>
          <w:i/>
          <w:sz w:val="24"/>
          <w:szCs w:val="24"/>
        </w:rPr>
        <w:t>n</w:t>
      </w:r>
      <w:r w:rsidR="009C6E18">
        <w:rPr>
          <w:rFonts w:hint="eastAsia"/>
          <w:sz w:val="24"/>
          <w:szCs w:val="24"/>
          <w:lang w:eastAsia="zh-CN"/>
        </w:rPr>
        <w:t xml:space="preserve"> </w:t>
      </w:r>
      <w:r w:rsidRPr="000315B4">
        <w:rPr>
          <w:sz w:val="24"/>
          <w:szCs w:val="24"/>
        </w:rPr>
        <w:t>=</w:t>
      </w:r>
      <w:r w:rsidR="009C6E18">
        <w:rPr>
          <w:rFonts w:hint="eastAsia"/>
          <w:sz w:val="24"/>
          <w:szCs w:val="24"/>
          <w:lang w:eastAsia="zh-CN"/>
        </w:rPr>
        <w:t xml:space="preserve"> </w:t>
      </w:r>
      <w:r w:rsidRPr="000315B4">
        <w:rPr>
          <w:sz w:val="24"/>
          <w:szCs w:val="24"/>
        </w:rPr>
        <w:t>239</w:t>
      </w:r>
      <w:r w:rsidR="009C6E18">
        <w:rPr>
          <w:rFonts w:hint="eastAsia"/>
          <w:sz w:val="24"/>
          <w:szCs w:val="24"/>
          <w:lang w:eastAsia="zh-CN"/>
        </w:rPr>
        <w:t>;</w:t>
      </w:r>
      <w:r w:rsidRPr="000315B4">
        <w:rPr>
          <w:sz w:val="24"/>
          <w:szCs w:val="24"/>
        </w:rPr>
        <w:t xml:space="preserve"> </w:t>
      </w:r>
      <w:bookmarkStart w:id="95" w:name="_Toc520148911"/>
      <w:r w:rsidR="009C6E18" w:rsidRPr="009C6E18">
        <w:rPr>
          <w:bCs/>
          <w:sz w:val="24"/>
          <w:szCs w:val="24"/>
        </w:rPr>
        <w:t>B</w:t>
      </w:r>
      <w:r w:rsidR="009C6E18" w:rsidRPr="009C6E18">
        <w:rPr>
          <w:rFonts w:hint="eastAsia"/>
          <w:bCs/>
          <w:sz w:val="24"/>
          <w:szCs w:val="24"/>
          <w:lang w:eastAsia="zh-CN"/>
        </w:rPr>
        <w:t>:</w:t>
      </w:r>
      <w:r w:rsidR="006035B8" w:rsidRPr="000315B4">
        <w:rPr>
          <w:sz w:val="24"/>
          <w:szCs w:val="24"/>
        </w:rPr>
        <w:t xml:space="preserve"> </w:t>
      </w:r>
      <w:r w:rsidR="009D1731" w:rsidRPr="000315B4">
        <w:rPr>
          <w:sz w:val="24"/>
          <w:szCs w:val="24"/>
        </w:rPr>
        <w:t>A</w:t>
      </w:r>
      <w:r w:rsidR="006035B8" w:rsidRPr="000315B4">
        <w:rPr>
          <w:sz w:val="24"/>
          <w:szCs w:val="24"/>
        </w:rPr>
        <w:t xml:space="preserve">ny cancer </w:t>
      </w:r>
      <w:r w:rsidR="00BF2D65" w:rsidRPr="000315B4">
        <w:rPr>
          <w:sz w:val="24"/>
          <w:szCs w:val="24"/>
        </w:rPr>
        <w:t xml:space="preserve">(BE and non-BE cancers) </w:t>
      </w:r>
      <w:r w:rsidR="006035B8" w:rsidRPr="000315B4">
        <w:rPr>
          <w:sz w:val="24"/>
          <w:szCs w:val="24"/>
        </w:rPr>
        <w:t>free survival</w:t>
      </w:r>
      <w:r w:rsidR="009D1731" w:rsidRPr="000315B4">
        <w:rPr>
          <w:sz w:val="24"/>
          <w:szCs w:val="24"/>
        </w:rPr>
        <w:t>,</w:t>
      </w:r>
      <w:r w:rsidR="006035B8" w:rsidRPr="000315B4">
        <w:rPr>
          <w:sz w:val="24"/>
          <w:szCs w:val="24"/>
        </w:rPr>
        <w:t xml:space="preserve"> </w:t>
      </w:r>
      <w:bookmarkEnd w:id="95"/>
      <w:r w:rsidR="00BF2D65" w:rsidRPr="009C6E18">
        <w:rPr>
          <w:i/>
          <w:sz w:val="24"/>
          <w:szCs w:val="24"/>
        </w:rPr>
        <w:t>n</w:t>
      </w:r>
      <w:r w:rsidR="009C6E18">
        <w:rPr>
          <w:rFonts w:hint="eastAsia"/>
          <w:sz w:val="24"/>
          <w:szCs w:val="24"/>
          <w:lang w:eastAsia="zh-CN"/>
        </w:rPr>
        <w:t xml:space="preserve"> </w:t>
      </w:r>
      <w:r w:rsidR="006035B8" w:rsidRPr="000315B4">
        <w:rPr>
          <w:sz w:val="24"/>
          <w:szCs w:val="24"/>
        </w:rPr>
        <w:t>=</w:t>
      </w:r>
      <w:r w:rsidR="009C6E18">
        <w:rPr>
          <w:rFonts w:hint="eastAsia"/>
          <w:sz w:val="24"/>
          <w:szCs w:val="24"/>
          <w:lang w:eastAsia="zh-CN"/>
        </w:rPr>
        <w:t xml:space="preserve"> </w:t>
      </w:r>
      <w:r w:rsidR="006035B8" w:rsidRPr="000315B4">
        <w:rPr>
          <w:sz w:val="24"/>
          <w:szCs w:val="24"/>
        </w:rPr>
        <w:t>245</w:t>
      </w:r>
      <w:r w:rsidR="009C6E18">
        <w:rPr>
          <w:rFonts w:hint="eastAsia"/>
          <w:sz w:val="24"/>
          <w:szCs w:val="24"/>
          <w:lang w:eastAsia="zh-CN"/>
        </w:rPr>
        <w:t>;</w:t>
      </w:r>
      <w:r w:rsidR="006035B8" w:rsidRPr="000315B4">
        <w:rPr>
          <w:sz w:val="24"/>
          <w:szCs w:val="24"/>
        </w:rPr>
        <w:t xml:space="preserve"> </w:t>
      </w:r>
      <w:r w:rsidR="009C6E18" w:rsidRPr="009C6E18">
        <w:rPr>
          <w:bCs/>
          <w:sz w:val="24"/>
          <w:szCs w:val="24"/>
        </w:rPr>
        <w:t>C</w:t>
      </w:r>
      <w:r w:rsidR="009C6E18" w:rsidRPr="009C6E18">
        <w:rPr>
          <w:rFonts w:hint="eastAsia"/>
          <w:sz w:val="24"/>
          <w:szCs w:val="24"/>
          <w:lang w:eastAsia="zh-CN"/>
        </w:rPr>
        <w:t>:</w:t>
      </w:r>
      <w:r w:rsidR="006035B8" w:rsidRPr="000315B4">
        <w:rPr>
          <w:sz w:val="24"/>
          <w:szCs w:val="24"/>
        </w:rPr>
        <w:t xml:space="preserve"> </w:t>
      </w:r>
      <w:r w:rsidR="009D1731" w:rsidRPr="000315B4">
        <w:rPr>
          <w:sz w:val="24"/>
          <w:szCs w:val="24"/>
        </w:rPr>
        <w:t>A</w:t>
      </w:r>
      <w:r w:rsidR="006035B8" w:rsidRPr="000315B4">
        <w:rPr>
          <w:sz w:val="24"/>
          <w:szCs w:val="24"/>
        </w:rPr>
        <w:t>ll-cause mortality</w:t>
      </w:r>
      <w:r w:rsidR="009D1731" w:rsidRPr="000315B4">
        <w:rPr>
          <w:sz w:val="24"/>
          <w:szCs w:val="24"/>
        </w:rPr>
        <w:t xml:space="preserve">, </w:t>
      </w:r>
      <w:r w:rsidR="009D1731" w:rsidRPr="009C6E18">
        <w:rPr>
          <w:i/>
          <w:sz w:val="24"/>
          <w:szCs w:val="24"/>
        </w:rPr>
        <w:t>n</w:t>
      </w:r>
      <w:r w:rsidR="009C6E18">
        <w:rPr>
          <w:rFonts w:hint="eastAsia"/>
          <w:sz w:val="24"/>
          <w:szCs w:val="24"/>
          <w:lang w:eastAsia="zh-CN"/>
        </w:rPr>
        <w:t xml:space="preserve"> </w:t>
      </w:r>
      <w:r w:rsidR="006035B8" w:rsidRPr="000315B4">
        <w:rPr>
          <w:sz w:val="24"/>
          <w:szCs w:val="24"/>
        </w:rPr>
        <w:t>=</w:t>
      </w:r>
      <w:r w:rsidR="009C6E18">
        <w:rPr>
          <w:rFonts w:hint="eastAsia"/>
          <w:sz w:val="24"/>
          <w:szCs w:val="24"/>
          <w:lang w:eastAsia="zh-CN"/>
        </w:rPr>
        <w:t xml:space="preserve"> </w:t>
      </w:r>
      <w:r w:rsidR="006035B8" w:rsidRPr="000315B4">
        <w:rPr>
          <w:sz w:val="24"/>
          <w:szCs w:val="24"/>
        </w:rPr>
        <w:t>245.</w:t>
      </w:r>
      <w:r w:rsidR="009D1731" w:rsidRPr="000315B4">
        <w:rPr>
          <w:sz w:val="24"/>
          <w:szCs w:val="24"/>
        </w:rPr>
        <w:t xml:space="preserve"> </w:t>
      </w:r>
      <w:r w:rsidR="006035B8" w:rsidRPr="000315B4">
        <w:rPr>
          <w:sz w:val="24"/>
          <w:szCs w:val="24"/>
        </w:rPr>
        <w:t>BE</w:t>
      </w:r>
      <w:r w:rsidR="009C6E18">
        <w:rPr>
          <w:rFonts w:hint="eastAsia"/>
          <w:sz w:val="24"/>
          <w:szCs w:val="24"/>
          <w:lang w:eastAsia="zh-CN"/>
        </w:rPr>
        <w:t>:</w:t>
      </w:r>
      <w:r w:rsidR="006035B8" w:rsidRPr="000315B4">
        <w:rPr>
          <w:sz w:val="24"/>
          <w:szCs w:val="24"/>
        </w:rPr>
        <w:t xml:space="preserve"> Barrett’s esophagus; HGD</w:t>
      </w:r>
      <w:r w:rsidR="009C6E18">
        <w:rPr>
          <w:rFonts w:hint="eastAsia"/>
          <w:sz w:val="24"/>
          <w:szCs w:val="24"/>
          <w:lang w:eastAsia="zh-CN"/>
        </w:rPr>
        <w:t>:</w:t>
      </w:r>
      <w:r w:rsidR="006035B8" w:rsidRPr="000315B4">
        <w:rPr>
          <w:sz w:val="24"/>
          <w:szCs w:val="24"/>
        </w:rPr>
        <w:t xml:space="preserve"> </w:t>
      </w:r>
      <w:r w:rsidR="009C6E18" w:rsidRPr="000315B4">
        <w:rPr>
          <w:sz w:val="24"/>
          <w:szCs w:val="24"/>
        </w:rPr>
        <w:t xml:space="preserve">High </w:t>
      </w:r>
      <w:r w:rsidR="006035B8" w:rsidRPr="000315B4">
        <w:rPr>
          <w:sz w:val="24"/>
          <w:szCs w:val="24"/>
        </w:rPr>
        <w:t>grade dysplasia; Non-HG</w:t>
      </w:r>
      <w:r w:rsidR="009C6E18">
        <w:rPr>
          <w:sz w:val="24"/>
          <w:szCs w:val="24"/>
        </w:rPr>
        <w:t>D</w:t>
      </w:r>
      <w:r w:rsidR="009C6E18">
        <w:rPr>
          <w:rFonts w:hint="eastAsia"/>
          <w:sz w:val="24"/>
          <w:szCs w:val="24"/>
          <w:lang w:eastAsia="zh-CN"/>
        </w:rPr>
        <w:t xml:space="preserve">: </w:t>
      </w:r>
      <w:r w:rsidR="009C6E18" w:rsidRPr="000315B4">
        <w:rPr>
          <w:sz w:val="24"/>
          <w:szCs w:val="24"/>
        </w:rPr>
        <w:t xml:space="preserve">Low </w:t>
      </w:r>
      <w:r w:rsidR="006035B8" w:rsidRPr="000315B4">
        <w:rPr>
          <w:sz w:val="24"/>
          <w:szCs w:val="24"/>
        </w:rPr>
        <w:t>grade or without dysplasia.</w:t>
      </w:r>
    </w:p>
    <w:p w14:paraId="282D76CA" w14:textId="61DBEE02" w:rsidR="001A3EEC" w:rsidRPr="000315B4" w:rsidRDefault="001A3EEC" w:rsidP="007804E8">
      <w:pPr>
        <w:widowControl w:val="0"/>
        <w:adjustRightInd w:val="0"/>
        <w:snapToGrid w:val="0"/>
        <w:spacing w:line="360" w:lineRule="auto"/>
        <w:jc w:val="both"/>
        <w:rPr>
          <w:sz w:val="24"/>
          <w:szCs w:val="24"/>
          <w:rtl/>
          <w:lang w:eastAsia="zh-CN"/>
        </w:rPr>
      </w:pPr>
      <w:r w:rsidRPr="000315B4">
        <w:rPr>
          <w:sz w:val="24"/>
          <w:szCs w:val="24"/>
        </w:rPr>
        <w:br w:type="page"/>
      </w:r>
    </w:p>
    <w:p w14:paraId="26990B54" w14:textId="77777777" w:rsidR="00292ED3" w:rsidRDefault="00292ED3" w:rsidP="007804E8">
      <w:pPr>
        <w:pStyle w:val="Subtitle"/>
        <w:widowControl w:val="0"/>
        <w:adjustRightInd w:val="0"/>
        <w:snapToGrid w:val="0"/>
        <w:spacing w:line="360" w:lineRule="auto"/>
        <w:jc w:val="both"/>
        <w:rPr>
          <w:sz w:val="24"/>
          <w:szCs w:val="24"/>
        </w:rPr>
        <w:sectPr w:rsidR="00292ED3">
          <w:pgSz w:w="12240" w:h="15840"/>
          <w:pgMar w:top="1440" w:right="1440" w:bottom="1440" w:left="1440" w:header="720" w:footer="720" w:gutter="0"/>
          <w:cols w:space="720"/>
          <w:docGrid w:linePitch="360"/>
        </w:sectPr>
      </w:pPr>
      <w:bookmarkStart w:id="96" w:name="_Toc520148915"/>
    </w:p>
    <w:p w14:paraId="7332E372" w14:textId="74A5DE55" w:rsidR="001A3EEC" w:rsidRPr="000315B4" w:rsidRDefault="001A3EEC" w:rsidP="007804E8">
      <w:pPr>
        <w:pStyle w:val="Subtitle"/>
        <w:widowControl w:val="0"/>
        <w:adjustRightInd w:val="0"/>
        <w:snapToGrid w:val="0"/>
        <w:spacing w:line="360" w:lineRule="auto"/>
        <w:jc w:val="both"/>
        <w:rPr>
          <w:sz w:val="24"/>
          <w:szCs w:val="24"/>
          <w:lang w:eastAsia="zh-CN"/>
        </w:rPr>
      </w:pPr>
      <w:r w:rsidRPr="000315B4">
        <w:rPr>
          <w:sz w:val="24"/>
          <w:szCs w:val="24"/>
        </w:rPr>
        <w:lastRenderedPageBreak/>
        <w:t>Table 1</w:t>
      </w:r>
      <w:r w:rsidR="00292ED3">
        <w:rPr>
          <w:rFonts w:hint="eastAsia"/>
          <w:sz w:val="24"/>
          <w:szCs w:val="24"/>
          <w:lang w:eastAsia="zh-CN"/>
        </w:rPr>
        <w:t xml:space="preserve"> </w:t>
      </w:r>
      <w:r w:rsidRPr="000315B4">
        <w:rPr>
          <w:sz w:val="24"/>
          <w:szCs w:val="24"/>
        </w:rPr>
        <w:t>Demographic, endoscopic and histologic characteristics of the study population</w:t>
      </w:r>
      <w:bookmarkEnd w:id="96"/>
      <w:r w:rsidRPr="000315B4">
        <w:rPr>
          <w:sz w:val="24"/>
          <w:szCs w:val="24"/>
        </w:rPr>
        <w:t xml:space="preserve"> </w:t>
      </w:r>
      <w:r w:rsidR="00292ED3" w:rsidRPr="00292ED3">
        <w:rPr>
          <w:i/>
          <w:sz w:val="24"/>
          <w:szCs w:val="24"/>
          <w:lang w:eastAsia="zh-CN"/>
        </w:rPr>
        <w:t>n</w:t>
      </w:r>
      <w:r w:rsidR="00292ED3">
        <w:rPr>
          <w:rFonts w:hint="eastAsia"/>
          <w:sz w:val="24"/>
          <w:szCs w:val="24"/>
          <w:lang w:eastAsia="zh-CN"/>
        </w:rPr>
        <w:t xml:space="preserve"> (%)</w:t>
      </w:r>
    </w:p>
    <w:tbl>
      <w:tblPr>
        <w:tblW w:w="1502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3"/>
        <w:gridCol w:w="3464"/>
        <w:gridCol w:w="2977"/>
        <w:gridCol w:w="4252"/>
      </w:tblGrid>
      <w:tr w:rsidR="00292ED3" w:rsidRPr="000315B4" w14:paraId="4BE56FA9" w14:textId="77777777" w:rsidTr="00292ED3">
        <w:trPr>
          <w:trHeight w:val="868"/>
        </w:trPr>
        <w:tc>
          <w:tcPr>
            <w:tcW w:w="4333" w:type="dxa"/>
            <w:shd w:val="clear" w:color="auto" w:fill="auto"/>
            <w:vAlign w:val="center"/>
            <w:hideMark/>
          </w:tcPr>
          <w:p w14:paraId="024C71DF" w14:textId="77777777" w:rsidR="001A3EEC" w:rsidRPr="00292ED3" w:rsidRDefault="001A3EEC" w:rsidP="007804E8">
            <w:pPr>
              <w:pStyle w:val="NoSpacing"/>
              <w:widowControl w:val="0"/>
              <w:adjustRightInd w:val="0"/>
              <w:snapToGrid w:val="0"/>
              <w:spacing w:line="360" w:lineRule="auto"/>
              <w:jc w:val="both"/>
              <w:rPr>
                <w:rFonts w:ascii="Book Antiqua" w:hAnsi="Book Antiqua"/>
                <w:b/>
                <w:sz w:val="24"/>
                <w:szCs w:val="24"/>
              </w:rPr>
            </w:pPr>
            <w:r w:rsidRPr="00292ED3">
              <w:rPr>
                <w:rFonts w:ascii="Book Antiqua" w:hAnsi="Book Antiqua"/>
                <w:b/>
                <w:sz w:val="24"/>
                <w:szCs w:val="24"/>
              </w:rPr>
              <w:t>Patient data</w:t>
            </w:r>
          </w:p>
        </w:tc>
        <w:tc>
          <w:tcPr>
            <w:tcW w:w="3464" w:type="dxa"/>
            <w:shd w:val="clear" w:color="auto" w:fill="auto"/>
            <w:vAlign w:val="center"/>
            <w:hideMark/>
          </w:tcPr>
          <w:p w14:paraId="49B92964" w14:textId="3F447288" w:rsidR="001A3EEC" w:rsidRPr="00292ED3" w:rsidRDefault="00292ED3" w:rsidP="00292ED3">
            <w:pPr>
              <w:pStyle w:val="NoSpacing"/>
              <w:widowControl w:val="0"/>
              <w:adjustRightInd w:val="0"/>
              <w:snapToGrid w:val="0"/>
              <w:spacing w:line="360" w:lineRule="auto"/>
              <w:jc w:val="center"/>
              <w:rPr>
                <w:rFonts w:ascii="Book Antiqua" w:hAnsi="Book Antiqua"/>
                <w:b/>
                <w:sz w:val="24"/>
                <w:szCs w:val="24"/>
              </w:rPr>
            </w:pPr>
            <w:r>
              <w:rPr>
                <w:rFonts w:ascii="Book Antiqua" w:hAnsi="Book Antiqua"/>
                <w:b/>
                <w:sz w:val="24"/>
                <w:szCs w:val="24"/>
              </w:rPr>
              <w:t>All sample</w:t>
            </w:r>
            <w:r>
              <w:rPr>
                <w:rFonts w:ascii="Book Antiqua" w:hAnsi="Book Antiqua" w:hint="eastAsia"/>
                <w:b/>
                <w:sz w:val="24"/>
                <w:szCs w:val="24"/>
                <w:lang w:eastAsia="zh-CN"/>
              </w:rPr>
              <w:t xml:space="preserve"> </w:t>
            </w:r>
            <w:r w:rsidR="001A3EEC" w:rsidRPr="00292ED3">
              <w:rPr>
                <w:rFonts w:ascii="Book Antiqua" w:hAnsi="Book Antiqua"/>
                <w:b/>
                <w:sz w:val="24"/>
                <w:szCs w:val="24"/>
              </w:rPr>
              <w:t>(</w:t>
            </w:r>
            <w:r w:rsidR="001A3EEC" w:rsidRPr="00292ED3">
              <w:rPr>
                <w:rFonts w:ascii="Book Antiqua" w:hAnsi="Book Antiqua"/>
                <w:b/>
                <w:i/>
                <w:sz w:val="24"/>
                <w:szCs w:val="24"/>
              </w:rPr>
              <w:t>n</w:t>
            </w:r>
            <w:r w:rsidRPr="00292ED3">
              <w:rPr>
                <w:rFonts w:ascii="Book Antiqua" w:hAnsi="Book Antiqua" w:hint="eastAsia"/>
                <w:b/>
                <w:sz w:val="24"/>
                <w:szCs w:val="24"/>
                <w:lang w:eastAsia="zh-CN"/>
              </w:rPr>
              <w:t xml:space="preserve"> </w:t>
            </w:r>
            <w:r w:rsidR="001A3EEC" w:rsidRPr="00292ED3">
              <w:rPr>
                <w:rFonts w:ascii="Book Antiqua" w:hAnsi="Book Antiqua"/>
                <w:b/>
                <w:sz w:val="24"/>
                <w:szCs w:val="24"/>
              </w:rPr>
              <w:t>=</w:t>
            </w:r>
            <w:r w:rsidRPr="00292ED3">
              <w:rPr>
                <w:rFonts w:ascii="Book Antiqua" w:hAnsi="Book Antiqua" w:hint="eastAsia"/>
                <w:b/>
                <w:sz w:val="24"/>
                <w:szCs w:val="24"/>
                <w:lang w:eastAsia="zh-CN"/>
              </w:rPr>
              <w:t xml:space="preserve"> </w:t>
            </w:r>
            <w:r w:rsidR="001A3EEC" w:rsidRPr="00292ED3">
              <w:rPr>
                <w:rFonts w:ascii="Book Antiqua" w:hAnsi="Book Antiqua"/>
                <w:b/>
                <w:sz w:val="24"/>
                <w:szCs w:val="24"/>
              </w:rPr>
              <w:t>386)</w:t>
            </w:r>
          </w:p>
        </w:tc>
        <w:tc>
          <w:tcPr>
            <w:tcW w:w="2977" w:type="dxa"/>
            <w:shd w:val="clear" w:color="auto" w:fill="auto"/>
            <w:vAlign w:val="center"/>
          </w:tcPr>
          <w:p w14:paraId="5F75AFB4" w14:textId="28D7C7CB" w:rsidR="001A3EEC" w:rsidRPr="00292ED3" w:rsidRDefault="00292ED3" w:rsidP="00292ED3">
            <w:pPr>
              <w:pStyle w:val="NoSpacing"/>
              <w:widowControl w:val="0"/>
              <w:adjustRightInd w:val="0"/>
              <w:snapToGrid w:val="0"/>
              <w:spacing w:line="360" w:lineRule="auto"/>
              <w:jc w:val="center"/>
              <w:rPr>
                <w:rFonts w:ascii="Book Antiqua" w:hAnsi="Book Antiqua"/>
                <w:b/>
                <w:sz w:val="24"/>
                <w:szCs w:val="24"/>
              </w:rPr>
            </w:pPr>
            <w:r>
              <w:rPr>
                <w:rFonts w:ascii="Book Antiqua" w:hAnsi="Book Antiqua"/>
                <w:b/>
                <w:sz w:val="24"/>
                <w:szCs w:val="24"/>
              </w:rPr>
              <w:t xml:space="preserve">HGD </w:t>
            </w:r>
            <w:r w:rsidR="001A3EEC" w:rsidRPr="00292ED3">
              <w:rPr>
                <w:rFonts w:ascii="Book Antiqua" w:hAnsi="Book Antiqua"/>
                <w:b/>
                <w:sz w:val="24"/>
                <w:szCs w:val="24"/>
              </w:rPr>
              <w:t>(</w:t>
            </w:r>
            <w:r w:rsidR="001A3EEC" w:rsidRPr="00292ED3">
              <w:rPr>
                <w:rFonts w:ascii="Book Antiqua" w:hAnsi="Book Antiqua"/>
                <w:b/>
                <w:i/>
                <w:sz w:val="24"/>
                <w:szCs w:val="24"/>
              </w:rPr>
              <w:t>n</w:t>
            </w:r>
            <w:r w:rsidRPr="00292ED3">
              <w:rPr>
                <w:rFonts w:ascii="Book Antiqua" w:hAnsi="Book Antiqua" w:hint="eastAsia"/>
                <w:b/>
                <w:sz w:val="24"/>
                <w:szCs w:val="24"/>
                <w:lang w:eastAsia="zh-CN"/>
              </w:rPr>
              <w:t xml:space="preserve"> </w:t>
            </w:r>
            <w:r w:rsidR="001A3EEC" w:rsidRPr="00292ED3">
              <w:rPr>
                <w:rFonts w:ascii="Book Antiqua" w:hAnsi="Book Antiqua"/>
                <w:b/>
                <w:sz w:val="24"/>
                <w:szCs w:val="24"/>
              </w:rPr>
              <w:t>=</w:t>
            </w:r>
            <w:r w:rsidRPr="00292ED3">
              <w:rPr>
                <w:rFonts w:ascii="Book Antiqua" w:hAnsi="Book Antiqua" w:hint="eastAsia"/>
                <w:b/>
                <w:sz w:val="24"/>
                <w:szCs w:val="24"/>
                <w:lang w:eastAsia="zh-CN"/>
              </w:rPr>
              <w:t xml:space="preserve"> </w:t>
            </w:r>
            <w:r w:rsidR="001A3EEC" w:rsidRPr="00292ED3">
              <w:rPr>
                <w:rFonts w:ascii="Book Antiqua" w:hAnsi="Book Antiqua"/>
                <w:b/>
                <w:sz w:val="24"/>
                <w:szCs w:val="24"/>
              </w:rPr>
              <w:t>12)</w:t>
            </w:r>
          </w:p>
        </w:tc>
        <w:tc>
          <w:tcPr>
            <w:tcW w:w="4252" w:type="dxa"/>
            <w:shd w:val="clear" w:color="auto" w:fill="auto"/>
            <w:vAlign w:val="center"/>
          </w:tcPr>
          <w:p w14:paraId="40E27D15" w14:textId="79187263" w:rsidR="001A3EEC" w:rsidRPr="00292ED3" w:rsidRDefault="001A3EEC" w:rsidP="00292ED3">
            <w:pPr>
              <w:pStyle w:val="NoSpacing"/>
              <w:widowControl w:val="0"/>
              <w:adjustRightInd w:val="0"/>
              <w:snapToGrid w:val="0"/>
              <w:spacing w:line="360" w:lineRule="auto"/>
              <w:jc w:val="center"/>
              <w:rPr>
                <w:rFonts w:ascii="Book Antiqua" w:hAnsi="Book Antiqua"/>
                <w:b/>
                <w:sz w:val="24"/>
                <w:szCs w:val="24"/>
              </w:rPr>
            </w:pPr>
            <w:r w:rsidRPr="00292ED3">
              <w:rPr>
                <w:rFonts w:ascii="Book Antiqua" w:hAnsi="Book Antiqua"/>
                <w:b/>
                <w:sz w:val="24"/>
                <w:szCs w:val="24"/>
              </w:rPr>
              <w:t>Non-HGD (</w:t>
            </w:r>
            <w:r w:rsidRPr="00292ED3">
              <w:rPr>
                <w:rFonts w:ascii="Book Antiqua" w:hAnsi="Book Antiqua"/>
                <w:b/>
                <w:i/>
                <w:sz w:val="24"/>
                <w:szCs w:val="24"/>
              </w:rPr>
              <w:t>n</w:t>
            </w:r>
            <w:r w:rsidR="00292ED3" w:rsidRPr="00292ED3">
              <w:rPr>
                <w:rFonts w:ascii="Book Antiqua" w:hAnsi="Book Antiqua" w:hint="eastAsia"/>
                <w:b/>
                <w:sz w:val="24"/>
                <w:szCs w:val="24"/>
                <w:lang w:eastAsia="zh-CN"/>
              </w:rPr>
              <w:t xml:space="preserve"> </w:t>
            </w:r>
            <w:r w:rsidRPr="00292ED3">
              <w:rPr>
                <w:rFonts w:ascii="Book Antiqua" w:hAnsi="Book Antiqua"/>
                <w:b/>
                <w:sz w:val="24"/>
                <w:szCs w:val="24"/>
              </w:rPr>
              <w:t>=</w:t>
            </w:r>
            <w:r w:rsidR="00292ED3" w:rsidRPr="00292ED3">
              <w:rPr>
                <w:rFonts w:ascii="Book Antiqua" w:hAnsi="Book Antiqua" w:hint="eastAsia"/>
                <w:b/>
                <w:sz w:val="24"/>
                <w:szCs w:val="24"/>
                <w:lang w:eastAsia="zh-CN"/>
              </w:rPr>
              <w:t xml:space="preserve"> </w:t>
            </w:r>
            <w:r w:rsidRPr="00292ED3">
              <w:rPr>
                <w:rFonts w:ascii="Book Antiqua" w:hAnsi="Book Antiqua"/>
                <w:b/>
                <w:sz w:val="24"/>
                <w:szCs w:val="24"/>
              </w:rPr>
              <w:t>367)</w:t>
            </w:r>
          </w:p>
        </w:tc>
      </w:tr>
      <w:tr w:rsidR="00292ED3" w:rsidRPr="000315B4" w14:paraId="395EE31F" w14:textId="77777777" w:rsidTr="00292ED3">
        <w:trPr>
          <w:trHeight w:val="301"/>
        </w:trPr>
        <w:tc>
          <w:tcPr>
            <w:tcW w:w="4333" w:type="dxa"/>
            <w:shd w:val="clear" w:color="auto" w:fill="auto"/>
            <w:vAlign w:val="center"/>
            <w:hideMark/>
          </w:tcPr>
          <w:p w14:paraId="3BF988DA" w14:textId="77777777" w:rsidR="001A3EEC" w:rsidRPr="000315B4" w:rsidRDefault="001A3EEC" w:rsidP="007804E8">
            <w:pPr>
              <w:pStyle w:val="NoSpacing"/>
              <w:widowControl w:val="0"/>
              <w:adjustRightInd w:val="0"/>
              <w:snapToGrid w:val="0"/>
              <w:spacing w:line="360" w:lineRule="auto"/>
              <w:jc w:val="both"/>
              <w:rPr>
                <w:rFonts w:ascii="Book Antiqua" w:hAnsi="Book Antiqua"/>
                <w:sz w:val="24"/>
                <w:szCs w:val="24"/>
              </w:rPr>
            </w:pPr>
            <w:r w:rsidRPr="000315B4">
              <w:rPr>
                <w:rFonts w:ascii="Book Antiqua" w:hAnsi="Book Antiqua"/>
                <w:sz w:val="24"/>
                <w:szCs w:val="24"/>
              </w:rPr>
              <w:t>Age at study inclusion</w:t>
            </w:r>
          </w:p>
        </w:tc>
        <w:tc>
          <w:tcPr>
            <w:tcW w:w="3464" w:type="dxa"/>
            <w:shd w:val="clear" w:color="auto" w:fill="auto"/>
            <w:vAlign w:val="center"/>
            <w:hideMark/>
          </w:tcPr>
          <w:p w14:paraId="6F03E098"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r w:rsidRPr="000315B4">
              <w:rPr>
                <w:rFonts w:ascii="Book Antiqua" w:hAnsi="Book Antiqua"/>
                <w:sz w:val="24"/>
                <w:szCs w:val="24"/>
              </w:rPr>
              <w:t>60.0 (13.1) 61.1, [18.4-89.6]</w:t>
            </w:r>
          </w:p>
        </w:tc>
        <w:tc>
          <w:tcPr>
            <w:tcW w:w="2977" w:type="dxa"/>
            <w:vAlign w:val="center"/>
          </w:tcPr>
          <w:p w14:paraId="02CC196A"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r w:rsidRPr="000315B4">
              <w:rPr>
                <w:rFonts w:ascii="Book Antiqua" w:hAnsi="Book Antiqua"/>
                <w:sz w:val="24"/>
                <w:szCs w:val="24"/>
              </w:rPr>
              <w:t>66.3 (12.8) 66.6, [42.4-85.8]</w:t>
            </w:r>
          </w:p>
        </w:tc>
        <w:tc>
          <w:tcPr>
            <w:tcW w:w="4252" w:type="dxa"/>
            <w:vAlign w:val="center"/>
          </w:tcPr>
          <w:p w14:paraId="6AF7A416"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r w:rsidRPr="000315B4">
              <w:rPr>
                <w:rFonts w:ascii="Book Antiqua" w:hAnsi="Book Antiqua"/>
                <w:sz w:val="24"/>
                <w:szCs w:val="24"/>
              </w:rPr>
              <w:t>59.8 (13.2) 60.6, [18.4-89.6]</w:t>
            </w:r>
          </w:p>
        </w:tc>
      </w:tr>
      <w:tr w:rsidR="00292ED3" w:rsidRPr="000315B4" w14:paraId="3BEC6A2B" w14:textId="77777777" w:rsidTr="00292ED3">
        <w:trPr>
          <w:trHeight w:val="289"/>
        </w:trPr>
        <w:tc>
          <w:tcPr>
            <w:tcW w:w="4333" w:type="dxa"/>
            <w:shd w:val="clear" w:color="auto" w:fill="auto"/>
            <w:vAlign w:val="center"/>
            <w:hideMark/>
          </w:tcPr>
          <w:p w14:paraId="083BE1E0" w14:textId="41EE1EC9" w:rsidR="001A3EEC" w:rsidRPr="000315B4" w:rsidRDefault="001A3EEC" w:rsidP="00292ED3">
            <w:pPr>
              <w:pStyle w:val="NoSpacing"/>
              <w:widowControl w:val="0"/>
              <w:adjustRightInd w:val="0"/>
              <w:snapToGrid w:val="0"/>
              <w:spacing w:line="360" w:lineRule="auto"/>
              <w:jc w:val="both"/>
              <w:rPr>
                <w:rFonts w:ascii="Book Antiqua" w:hAnsi="Book Antiqua"/>
                <w:sz w:val="24"/>
                <w:szCs w:val="24"/>
              </w:rPr>
            </w:pPr>
            <w:r w:rsidRPr="000315B4">
              <w:rPr>
                <w:rFonts w:ascii="Book Antiqua" w:hAnsi="Book Antiqua"/>
                <w:sz w:val="24"/>
                <w:szCs w:val="24"/>
              </w:rPr>
              <w:t xml:space="preserve">Gender </w:t>
            </w:r>
            <w:r w:rsidR="00292ED3">
              <w:rPr>
                <w:rFonts w:ascii="Book Antiqua" w:hAnsi="Book Antiqua" w:hint="eastAsia"/>
                <w:sz w:val="24"/>
                <w:szCs w:val="24"/>
                <w:lang w:eastAsia="zh-CN"/>
              </w:rPr>
              <w:t>-</w:t>
            </w:r>
            <w:r w:rsidRPr="000315B4">
              <w:rPr>
                <w:rFonts w:ascii="Book Antiqua" w:hAnsi="Book Antiqua"/>
                <w:sz w:val="24"/>
                <w:szCs w:val="24"/>
              </w:rPr>
              <w:t xml:space="preserve"> male</w:t>
            </w:r>
          </w:p>
        </w:tc>
        <w:tc>
          <w:tcPr>
            <w:tcW w:w="3464" w:type="dxa"/>
            <w:shd w:val="clear" w:color="auto" w:fill="auto"/>
            <w:vAlign w:val="center"/>
            <w:hideMark/>
          </w:tcPr>
          <w:p w14:paraId="7C54F808" w14:textId="494883A6"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Pr>
            </w:pPr>
            <w:r>
              <w:rPr>
                <w:rFonts w:ascii="Book Antiqua" w:hAnsi="Book Antiqua"/>
                <w:sz w:val="24"/>
                <w:szCs w:val="24"/>
              </w:rPr>
              <w:t>268 (69.43</w:t>
            </w:r>
            <w:r w:rsidR="001A3EEC" w:rsidRPr="000315B4">
              <w:rPr>
                <w:rFonts w:ascii="Book Antiqua" w:hAnsi="Book Antiqua"/>
                <w:sz w:val="24"/>
                <w:szCs w:val="24"/>
              </w:rPr>
              <w:t>)</w:t>
            </w:r>
          </w:p>
        </w:tc>
        <w:tc>
          <w:tcPr>
            <w:tcW w:w="2977" w:type="dxa"/>
            <w:vAlign w:val="center"/>
          </w:tcPr>
          <w:p w14:paraId="62BC4ACF" w14:textId="62535B3D"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tl/>
              </w:rPr>
            </w:pPr>
            <w:r>
              <w:rPr>
                <w:rFonts w:ascii="Book Antiqua" w:hAnsi="Book Antiqua"/>
                <w:sz w:val="24"/>
                <w:szCs w:val="24"/>
              </w:rPr>
              <w:t>9 (75</w:t>
            </w:r>
            <w:r w:rsidR="001A3EEC" w:rsidRPr="000315B4">
              <w:rPr>
                <w:rFonts w:ascii="Book Antiqua" w:hAnsi="Book Antiqua"/>
                <w:sz w:val="24"/>
                <w:szCs w:val="24"/>
              </w:rPr>
              <w:t>)</w:t>
            </w:r>
          </w:p>
        </w:tc>
        <w:tc>
          <w:tcPr>
            <w:tcW w:w="4252" w:type="dxa"/>
            <w:vAlign w:val="center"/>
          </w:tcPr>
          <w:p w14:paraId="6C8EC36F" w14:textId="47F73400"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tl/>
              </w:rPr>
            </w:pPr>
            <w:r>
              <w:rPr>
                <w:rFonts w:ascii="Book Antiqua" w:hAnsi="Book Antiqua"/>
                <w:sz w:val="24"/>
                <w:szCs w:val="24"/>
              </w:rPr>
              <w:t>253 (68.94</w:t>
            </w:r>
            <w:r w:rsidR="001A3EEC" w:rsidRPr="000315B4">
              <w:rPr>
                <w:rFonts w:ascii="Book Antiqua" w:hAnsi="Book Antiqua"/>
                <w:sz w:val="24"/>
                <w:szCs w:val="24"/>
              </w:rPr>
              <w:t>)</w:t>
            </w:r>
          </w:p>
        </w:tc>
      </w:tr>
      <w:tr w:rsidR="00292ED3" w:rsidRPr="000315B4" w14:paraId="513769A1" w14:textId="77777777" w:rsidTr="00292ED3">
        <w:trPr>
          <w:trHeight w:val="289"/>
        </w:trPr>
        <w:tc>
          <w:tcPr>
            <w:tcW w:w="4333" w:type="dxa"/>
            <w:shd w:val="clear" w:color="auto" w:fill="auto"/>
            <w:vAlign w:val="center"/>
            <w:hideMark/>
          </w:tcPr>
          <w:p w14:paraId="77B1BC60" w14:textId="77777777" w:rsidR="001A3EEC" w:rsidRPr="000315B4" w:rsidRDefault="001A3EEC" w:rsidP="007804E8">
            <w:pPr>
              <w:pStyle w:val="NoSpacing"/>
              <w:widowControl w:val="0"/>
              <w:adjustRightInd w:val="0"/>
              <w:snapToGrid w:val="0"/>
              <w:spacing w:line="360" w:lineRule="auto"/>
              <w:jc w:val="both"/>
              <w:rPr>
                <w:rFonts w:ascii="Book Antiqua" w:hAnsi="Book Antiqua"/>
                <w:sz w:val="24"/>
                <w:szCs w:val="24"/>
              </w:rPr>
            </w:pPr>
            <w:r w:rsidRPr="000315B4">
              <w:rPr>
                <w:rFonts w:ascii="Book Antiqua" w:hAnsi="Book Antiqua"/>
                <w:sz w:val="24"/>
                <w:szCs w:val="24"/>
              </w:rPr>
              <w:t>Number of endoscopies per patient</w:t>
            </w:r>
          </w:p>
        </w:tc>
        <w:tc>
          <w:tcPr>
            <w:tcW w:w="3464" w:type="dxa"/>
            <w:shd w:val="clear" w:color="auto" w:fill="auto"/>
            <w:vAlign w:val="center"/>
            <w:hideMark/>
          </w:tcPr>
          <w:p w14:paraId="78949706" w14:textId="4E8CC2AF"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r w:rsidRPr="000315B4">
              <w:rPr>
                <w:rFonts w:ascii="Book Antiqua" w:hAnsi="Book Antiqua"/>
                <w:sz w:val="24"/>
                <w:szCs w:val="24"/>
              </w:rPr>
              <w:t>2.5 (2.0)</w:t>
            </w:r>
            <w:r w:rsidR="00292ED3">
              <w:rPr>
                <w:rFonts w:ascii="Book Antiqua" w:hAnsi="Book Antiqua" w:hint="eastAsia"/>
                <w:sz w:val="24"/>
                <w:szCs w:val="24"/>
                <w:lang w:eastAsia="zh-CN"/>
              </w:rPr>
              <w:t xml:space="preserve"> </w:t>
            </w:r>
            <w:r w:rsidRPr="000315B4">
              <w:rPr>
                <w:rFonts w:ascii="Book Antiqua" w:hAnsi="Book Antiqua"/>
                <w:sz w:val="24"/>
                <w:szCs w:val="24"/>
              </w:rPr>
              <w:t>[2, 1-17]</w:t>
            </w:r>
          </w:p>
        </w:tc>
        <w:tc>
          <w:tcPr>
            <w:tcW w:w="2977" w:type="dxa"/>
            <w:vAlign w:val="center"/>
          </w:tcPr>
          <w:p w14:paraId="7772AD99"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r w:rsidRPr="000315B4">
              <w:rPr>
                <w:rFonts w:ascii="Book Antiqua" w:hAnsi="Book Antiqua"/>
                <w:sz w:val="24"/>
                <w:szCs w:val="24"/>
              </w:rPr>
              <w:t>6.6 (2.6) [7, 3-11]</w:t>
            </w:r>
          </w:p>
        </w:tc>
        <w:tc>
          <w:tcPr>
            <w:tcW w:w="4252" w:type="dxa"/>
            <w:vAlign w:val="center"/>
          </w:tcPr>
          <w:p w14:paraId="057AC07F" w14:textId="3669FB25"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lang w:eastAsia="zh-CN"/>
              </w:rPr>
            </w:pPr>
            <w:r w:rsidRPr="000315B4">
              <w:rPr>
                <w:rFonts w:ascii="Book Antiqua" w:hAnsi="Book Antiqua"/>
                <w:sz w:val="24"/>
                <w:szCs w:val="24"/>
              </w:rPr>
              <w:t>2.4 (1.7) [2, 1-10]</w:t>
            </w:r>
            <w:r w:rsidR="00292ED3">
              <w:rPr>
                <w:rFonts w:ascii="Book Antiqua" w:hAnsi="Book Antiqua" w:hint="eastAsia"/>
                <w:sz w:val="24"/>
                <w:szCs w:val="24"/>
                <w:vertAlign w:val="superscript"/>
                <w:lang w:eastAsia="zh-CN"/>
              </w:rPr>
              <w:t>b</w:t>
            </w:r>
          </w:p>
        </w:tc>
      </w:tr>
      <w:tr w:rsidR="00292ED3" w:rsidRPr="000315B4" w14:paraId="4E57F7E2" w14:textId="77777777" w:rsidTr="00292ED3">
        <w:trPr>
          <w:trHeight w:val="289"/>
        </w:trPr>
        <w:tc>
          <w:tcPr>
            <w:tcW w:w="4333" w:type="dxa"/>
            <w:shd w:val="clear" w:color="auto" w:fill="auto"/>
            <w:vAlign w:val="center"/>
          </w:tcPr>
          <w:p w14:paraId="55DC26BF"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Patients with multiple endoscopies</w:t>
            </w:r>
          </w:p>
        </w:tc>
        <w:tc>
          <w:tcPr>
            <w:tcW w:w="3464" w:type="dxa"/>
            <w:shd w:val="clear" w:color="auto" w:fill="auto"/>
            <w:vAlign w:val="center"/>
          </w:tcPr>
          <w:p w14:paraId="79C73E62" w14:textId="77777777" w:rsidR="001A3EEC" w:rsidRPr="000315B4" w:rsidRDefault="00BD7250" w:rsidP="00292ED3">
            <w:pPr>
              <w:pStyle w:val="NoSpacing"/>
              <w:widowControl w:val="0"/>
              <w:adjustRightInd w:val="0"/>
              <w:snapToGrid w:val="0"/>
              <w:spacing w:line="360" w:lineRule="auto"/>
              <w:jc w:val="center"/>
              <w:rPr>
                <w:rFonts w:ascii="Book Antiqua" w:hAnsi="Book Antiqua"/>
                <w:sz w:val="24"/>
                <w:szCs w:val="24"/>
              </w:rPr>
            </w:pPr>
            <w:r w:rsidRPr="000315B4">
              <w:rPr>
                <w:rFonts w:ascii="Book Antiqua" w:hAnsi="Book Antiqua"/>
                <w:sz w:val="24"/>
                <w:szCs w:val="24"/>
              </w:rPr>
              <w:t>245 (63.47%)</w:t>
            </w:r>
          </w:p>
        </w:tc>
        <w:tc>
          <w:tcPr>
            <w:tcW w:w="2977" w:type="dxa"/>
            <w:shd w:val="clear" w:color="auto" w:fill="auto"/>
            <w:vAlign w:val="center"/>
          </w:tcPr>
          <w:p w14:paraId="6BB11D00" w14:textId="5C08A083"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r w:rsidRPr="000315B4">
              <w:rPr>
                <w:rFonts w:ascii="Book Antiqua" w:hAnsi="Book Antiqua"/>
                <w:sz w:val="24"/>
                <w:szCs w:val="24"/>
              </w:rPr>
              <w:t>1</w:t>
            </w:r>
            <w:r w:rsidR="00292ED3">
              <w:rPr>
                <w:rFonts w:ascii="Book Antiqua" w:hAnsi="Book Antiqua"/>
                <w:sz w:val="24"/>
                <w:szCs w:val="24"/>
              </w:rPr>
              <w:t>2 (100</w:t>
            </w:r>
            <w:r w:rsidRPr="000315B4">
              <w:rPr>
                <w:rFonts w:ascii="Book Antiqua" w:hAnsi="Book Antiqua"/>
                <w:sz w:val="24"/>
                <w:szCs w:val="24"/>
              </w:rPr>
              <w:t>)</w:t>
            </w:r>
          </w:p>
        </w:tc>
        <w:tc>
          <w:tcPr>
            <w:tcW w:w="4252" w:type="dxa"/>
            <w:shd w:val="clear" w:color="auto" w:fill="auto"/>
            <w:vAlign w:val="center"/>
          </w:tcPr>
          <w:p w14:paraId="04B27C52" w14:textId="6607B0D3" w:rsidR="001A3EEC" w:rsidRPr="000315B4" w:rsidRDefault="00292ED3" w:rsidP="00292ED3">
            <w:pPr>
              <w:pStyle w:val="NoSpacing"/>
              <w:widowControl w:val="0"/>
              <w:adjustRightInd w:val="0"/>
              <w:snapToGrid w:val="0"/>
              <w:spacing w:line="360" w:lineRule="auto"/>
              <w:jc w:val="center"/>
              <w:rPr>
                <w:rFonts w:ascii="Book Antiqua" w:hAnsi="Book Antiqua"/>
                <w:caps/>
                <w:sz w:val="24"/>
                <w:szCs w:val="24"/>
                <w:vertAlign w:val="superscript"/>
                <w:lang w:eastAsia="zh-CN"/>
              </w:rPr>
            </w:pPr>
            <w:r>
              <w:rPr>
                <w:rFonts w:ascii="Book Antiqua" w:hAnsi="Book Antiqua"/>
                <w:sz w:val="24"/>
                <w:szCs w:val="24"/>
              </w:rPr>
              <w:t>227 (61.9</w:t>
            </w:r>
            <w:r w:rsidR="001A3EEC" w:rsidRPr="000315B4">
              <w:rPr>
                <w:rFonts w:ascii="Book Antiqua" w:hAnsi="Book Antiqua"/>
                <w:sz w:val="24"/>
                <w:szCs w:val="24"/>
              </w:rPr>
              <w:t>)</w:t>
            </w:r>
            <w:r>
              <w:rPr>
                <w:rFonts w:ascii="Book Antiqua" w:hAnsi="Book Antiqua" w:hint="eastAsia"/>
                <w:sz w:val="24"/>
                <w:szCs w:val="24"/>
                <w:vertAlign w:val="superscript"/>
                <w:lang w:eastAsia="zh-CN"/>
              </w:rPr>
              <w:t>a</w:t>
            </w:r>
          </w:p>
        </w:tc>
      </w:tr>
      <w:tr w:rsidR="00292ED3" w:rsidRPr="000315B4" w14:paraId="7F35D6BC" w14:textId="77777777" w:rsidTr="00292ED3">
        <w:trPr>
          <w:trHeight w:val="289"/>
        </w:trPr>
        <w:tc>
          <w:tcPr>
            <w:tcW w:w="4333" w:type="dxa"/>
            <w:shd w:val="clear" w:color="auto" w:fill="auto"/>
            <w:vAlign w:val="center"/>
          </w:tcPr>
          <w:p w14:paraId="1FCD6561" w14:textId="77777777" w:rsidR="001A3EEC" w:rsidRPr="000315B4" w:rsidRDefault="001A3EEC" w:rsidP="007804E8">
            <w:pPr>
              <w:pStyle w:val="NoSpacing"/>
              <w:widowControl w:val="0"/>
              <w:adjustRightInd w:val="0"/>
              <w:snapToGrid w:val="0"/>
              <w:spacing w:line="360" w:lineRule="auto"/>
              <w:jc w:val="both"/>
              <w:rPr>
                <w:rFonts w:ascii="Book Antiqua" w:hAnsi="Book Antiqua"/>
                <w:sz w:val="24"/>
                <w:szCs w:val="24"/>
              </w:rPr>
            </w:pPr>
            <w:r w:rsidRPr="000315B4">
              <w:rPr>
                <w:rFonts w:ascii="Book Antiqua" w:hAnsi="Book Antiqua"/>
                <w:sz w:val="24"/>
                <w:szCs w:val="24"/>
              </w:rPr>
              <w:t>Circumferential extent of BE (cm)</w:t>
            </w:r>
          </w:p>
        </w:tc>
        <w:tc>
          <w:tcPr>
            <w:tcW w:w="3464" w:type="dxa"/>
            <w:shd w:val="clear" w:color="auto" w:fill="auto"/>
            <w:vAlign w:val="center"/>
          </w:tcPr>
          <w:p w14:paraId="25B710A2"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r w:rsidRPr="000315B4">
              <w:rPr>
                <w:rFonts w:ascii="Book Antiqua" w:hAnsi="Book Antiqua"/>
                <w:sz w:val="24"/>
                <w:szCs w:val="24"/>
              </w:rPr>
              <w:t>3.3 (3.3) [2, 0-19]</w:t>
            </w:r>
          </w:p>
        </w:tc>
        <w:tc>
          <w:tcPr>
            <w:tcW w:w="2977" w:type="dxa"/>
            <w:vAlign w:val="center"/>
          </w:tcPr>
          <w:p w14:paraId="7B05DAE2"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r w:rsidRPr="000315B4">
              <w:rPr>
                <w:rFonts w:ascii="Book Antiqua" w:hAnsi="Book Antiqua"/>
                <w:sz w:val="24"/>
                <w:szCs w:val="24"/>
              </w:rPr>
              <w:t>4.5 (2.92) [4.5, 1-11]</w:t>
            </w:r>
          </w:p>
        </w:tc>
        <w:tc>
          <w:tcPr>
            <w:tcW w:w="4252" w:type="dxa"/>
            <w:vAlign w:val="center"/>
          </w:tcPr>
          <w:p w14:paraId="2AAB0D9C"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r w:rsidRPr="000315B4">
              <w:rPr>
                <w:rFonts w:ascii="Book Antiqua" w:hAnsi="Book Antiqua"/>
                <w:sz w:val="24"/>
                <w:szCs w:val="24"/>
              </w:rPr>
              <w:t>3.2 (3.23) [2, 0-19]</w:t>
            </w:r>
          </w:p>
        </w:tc>
      </w:tr>
      <w:tr w:rsidR="00292ED3" w:rsidRPr="000315B4" w14:paraId="7460DD9D" w14:textId="77777777" w:rsidTr="00292ED3">
        <w:trPr>
          <w:trHeight w:val="289"/>
        </w:trPr>
        <w:tc>
          <w:tcPr>
            <w:tcW w:w="4333" w:type="dxa"/>
            <w:shd w:val="clear" w:color="auto" w:fill="auto"/>
            <w:vAlign w:val="center"/>
          </w:tcPr>
          <w:p w14:paraId="4F7BEBEC" w14:textId="77777777" w:rsidR="001A3EEC" w:rsidRPr="000315B4" w:rsidRDefault="001A3EEC" w:rsidP="007804E8">
            <w:pPr>
              <w:pStyle w:val="NoSpacing"/>
              <w:widowControl w:val="0"/>
              <w:adjustRightInd w:val="0"/>
              <w:snapToGrid w:val="0"/>
              <w:spacing w:line="360" w:lineRule="auto"/>
              <w:jc w:val="both"/>
              <w:rPr>
                <w:rFonts w:ascii="Book Antiqua" w:hAnsi="Book Antiqua"/>
                <w:sz w:val="24"/>
                <w:szCs w:val="24"/>
              </w:rPr>
            </w:pPr>
            <w:r w:rsidRPr="000315B4">
              <w:rPr>
                <w:rFonts w:ascii="Book Antiqua" w:hAnsi="Book Antiqua"/>
                <w:sz w:val="24"/>
                <w:szCs w:val="24"/>
              </w:rPr>
              <w:t>Maximal extent of BE (cm)</w:t>
            </w:r>
          </w:p>
        </w:tc>
        <w:tc>
          <w:tcPr>
            <w:tcW w:w="3464" w:type="dxa"/>
            <w:shd w:val="clear" w:color="auto" w:fill="auto"/>
            <w:vAlign w:val="center"/>
          </w:tcPr>
          <w:p w14:paraId="60169FDD"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r w:rsidRPr="000315B4">
              <w:rPr>
                <w:rFonts w:ascii="Book Antiqua" w:hAnsi="Book Antiqua"/>
                <w:sz w:val="24"/>
                <w:szCs w:val="24"/>
              </w:rPr>
              <w:t>4.4 (3.2) [3, 0.2-20]</w:t>
            </w:r>
          </w:p>
        </w:tc>
        <w:tc>
          <w:tcPr>
            <w:tcW w:w="2977" w:type="dxa"/>
            <w:vAlign w:val="center"/>
          </w:tcPr>
          <w:p w14:paraId="5EFFC709"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r w:rsidRPr="000315B4">
              <w:rPr>
                <w:rFonts w:ascii="Book Antiqua" w:hAnsi="Book Antiqua"/>
                <w:sz w:val="24"/>
                <w:szCs w:val="24"/>
              </w:rPr>
              <w:t>6.0 (3.22) [6, 2-14]</w:t>
            </w:r>
          </w:p>
        </w:tc>
        <w:tc>
          <w:tcPr>
            <w:tcW w:w="4252" w:type="dxa"/>
            <w:vAlign w:val="center"/>
          </w:tcPr>
          <w:p w14:paraId="158397BD"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vertAlign w:val="superscript"/>
              </w:rPr>
            </w:pPr>
            <w:r w:rsidRPr="000315B4">
              <w:rPr>
                <w:rFonts w:ascii="Book Antiqua" w:hAnsi="Book Antiqua"/>
                <w:sz w:val="24"/>
                <w:szCs w:val="24"/>
              </w:rPr>
              <w:t>4.25 (3.17) [3, 0.2-20]</w:t>
            </w:r>
            <w:r w:rsidRPr="000315B4">
              <w:rPr>
                <w:rFonts w:ascii="Book Antiqua" w:hAnsi="Book Antiqua"/>
                <w:sz w:val="24"/>
                <w:szCs w:val="24"/>
                <w:vertAlign w:val="superscript"/>
              </w:rPr>
              <w:t>a</w:t>
            </w:r>
          </w:p>
        </w:tc>
      </w:tr>
      <w:tr w:rsidR="00292ED3" w:rsidRPr="000315B4" w14:paraId="61B21E01" w14:textId="77777777" w:rsidTr="00292ED3">
        <w:trPr>
          <w:trHeight w:val="289"/>
        </w:trPr>
        <w:tc>
          <w:tcPr>
            <w:tcW w:w="4333" w:type="dxa"/>
            <w:shd w:val="clear" w:color="auto" w:fill="auto"/>
            <w:vAlign w:val="center"/>
          </w:tcPr>
          <w:p w14:paraId="4322B377" w14:textId="77777777" w:rsidR="001A3EEC" w:rsidRPr="000315B4" w:rsidRDefault="001A3EEC" w:rsidP="007804E8">
            <w:pPr>
              <w:pStyle w:val="NoSpacing"/>
              <w:widowControl w:val="0"/>
              <w:adjustRightInd w:val="0"/>
              <w:snapToGrid w:val="0"/>
              <w:spacing w:line="360" w:lineRule="auto"/>
              <w:jc w:val="both"/>
              <w:rPr>
                <w:rFonts w:ascii="Book Antiqua" w:hAnsi="Book Antiqua"/>
                <w:sz w:val="24"/>
                <w:szCs w:val="24"/>
              </w:rPr>
            </w:pPr>
            <w:r w:rsidRPr="000315B4">
              <w:rPr>
                <w:rFonts w:ascii="Book Antiqua" w:hAnsi="Book Antiqua"/>
                <w:sz w:val="24"/>
                <w:szCs w:val="24"/>
              </w:rPr>
              <w:t>Presence of endoscopic abnormalities</w:t>
            </w:r>
          </w:p>
        </w:tc>
        <w:tc>
          <w:tcPr>
            <w:tcW w:w="3464" w:type="dxa"/>
            <w:shd w:val="clear" w:color="auto" w:fill="auto"/>
            <w:vAlign w:val="center"/>
          </w:tcPr>
          <w:p w14:paraId="254BB792" w14:textId="2C695E4A"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r w:rsidRPr="000315B4">
              <w:rPr>
                <w:rFonts w:ascii="Book Antiqua" w:hAnsi="Book Antiqua"/>
                <w:sz w:val="24"/>
                <w:szCs w:val="24"/>
              </w:rPr>
              <w:t>56</w:t>
            </w:r>
            <w:r w:rsidR="00292ED3">
              <w:rPr>
                <w:rFonts w:ascii="Book Antiqua" w:hAnsi="Book Antiqua"/>
                <w:sz w:val="24"/>
                <w:szCs w:val="24"/>
              </w:rPr>
              <w:t xml:space="preserve"> (14.51</w:t>
            </w:r>
            <w:r w:rsidRPr="000315B4">
              <w:rPr>
                <w:rFonts w:ascii="Book Antiqua" w:hAnsi="Book Antiqua"/>
                <w:sz w:val="24"/>
                <w:szCs w:val="24"/>
              </w:rPr>
              <w:t>)</w:t>
            </w:r>
          </w:p>
        </w:tc>
        <w:tc>
          <w:tcPr>
            <w:tcW w:w="2977" w:type="dxa"/>
            <w:vAlign w:val="center"/>
          </w:tcPr>
          <w:p w14:paraId="64CE1F9F" w14:textId="48E39EB4"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Pr>
            </w:pPr>
            <w:r>
              <w:rPr>
                <w:rFonts w:ascii="Book Antiqua" w:hAnsi="Book Antiqua"/>
                <w:sz w:val="24"/>
                <w:szCs w:val="24"/>
              </w:rPr>
              <w:t>8 (66.67</w:t>
            </w:r>
            <w:r w:rsidR="001A3EEC" w:rsidRPr="000315B4">
              <w:rPr>
                <w:rFonts w:ascii="Book Antiqua" w:hAnsi="Book Antiqua"/>
                <w:sz w:val="24"/>
                <w:szCs w:val="24"/>
              </w:rPr>
              <w:t>)</w:t>
            </w:r>
          </w:p>
        </w:tc>
        <w:tc>
          <w:tcPr>
            <w:tcW w:w="4252" w:type="dxa"/>
            <w:vAlign w:val="center"/>
          </w:tcPr>
          <w:p w14:paraId="52A010D2" w14:textId="2F0A64AF"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vertAlign w:val="superscript"/>
                <w:lang w:eastAsia="zh-CN"/>
              </w:rPr>
            </w:pPr>
            <w:r>
              <w:rPr>
                <w:rFonts w:ascii="Book Antiqua" w:hAnsi="Book Antiqua"/>
                <w:sz w:val="24"/>
                <w:szCs w:val="24"/>
              </w:rPr>
              <w:t>44 (11.99</w:t>
            </w:r>
            <w:r w:rsidR="001A3EEC" w:rsidRPr="000315B4">
              <w:rPr>
                <w:rFonts w:ascii="Book Antiqua" w:hAnsi="Book Antiqua"/>
                <w:sz w:val="24"/>
                <w:szCs w:val="24"/>
              </w:rPr>
              <w:t>)</w:t>
            </w:r>
            <w:r>
              <w:rPr>
                <w:rFonts w:ascii="Book Antiqua" w:hAnsi="Book Antiqua" w:hint="eastAsia"/>
                <w:sz w:val="24"/>
                <w:szCs w:val="24"/>
                <w:vertAlign w:val="superscript"/>
                <w:lang w:eastAsia="zh-CN"/>
              </w:rPr>
              <w:t>b</w:t>
            </w:r>
          </w:p>
        </w:tc>
      </w:tr>
      <w:tr w:rsidR="00292ED3" w:rsidRPr="000315B4" w14:paraId="25CE4993" w14:textId="77777777" w:rsidTr="00292ED3">
        <w:trPr>
          <w:trHeight w:val="289"/>
        </w:trPr>
        <w:tc>
          <w:tcPr>
            <w:tcW w:w="4333" w:type="dxa"/>
            <w:shd w:val="clear" w:color="auto" w:fill="auto"/>
            <w:vAlign w:val="center"/>
          </w:tcPr>
          <w:p w14:paraId="093604C7" w14:textId="01B28333" w:rsidR="001A3EEC" w:rsidRPr="000315B4" w:rsidRDefault="001A3EEC" w:rsidP="007804E8">
            <w:pPr>
              <w:pStyle w:val="NoSpacing"/>
              <w:widowControl w:val="0"/>
              <w:adjustRightInd w:val="0"/>
              <w:snapToGrid w:val="0"/>
              <w:spacing w:line="360" w:lineRule="auto"/>
              <w:jc w:val="both"/>
              <w:rPr>
                <w:rFonts w:ascii="Book Antiqua" w:hAnsi="Book Antiqua"/>
                <w:sz w:val="24"/>
                <w:szCs w:val="24"/>
              </w:rPr>
            </w:pPr>
            <w:r w:rsidRPr="000315B4">
              <w:rPr>
                <w:rFonts w:ascii="Book Antiqua" w:hAnsi="Book Antiqua"/>
                <w:sz w:val="24"/>
                <w:szCs w:val="24"/>
              </w:rPr>
              <w:t>Ultra-short BE segment (BE</w:t>
            </w:r>
            <w:r w:rsidR="00292ED3">
              <w:rPr>
                <w:rFonts w:ascii="Book Antiqua" w:hAnsi="Book Antiqua" w:hint="eastAsia"/>
                <w:sz w:val="24"/>
                <w:szCs w:val="24"/>
                <w:lang w:eastAsia="zh-CN"/>
              </w:rPr>
              <w:t xml:space="preserve"> </w:t>
            </w:r>
            <w:r w:rsidRPr="000315B4">
              <w:rPr>
                <w:rFonts w:ascii="Book Antiqua" w:hAnsi="Book Antiqua"/>
                <w:sz w:val="24"/>
                <w:szCs w:val="24"/>
              </w:rPr>
              <w:t>&lt; 1</w:t>
            </w:r>
            <w:r w:rsidR="005C23CB">
              <w:rPr>
                <w:rFonts w:ascii="Book Antiqua" w:hAnsi="Book Antiqua" w:hint="eastAsia"/>
                <w:sz w:val="24"/>
                <w:szCs w:val="24"/>
                <w:lang w:eastAsia="zh-CN"/>
              </w:rPr>
              <w:t xml:space="preserve"> </w:t>
            </w:r>
            <w:r w:rsidRPr="000315B4">
              <w:rPr>
                <w:rFonts w:ascii="Book Antiqua" w:hAnsi="Book Antiqua"/>
                <w:sz w:val="24"/>
                <w:szCs w:val="24"/>
              </w:rPr>
              <w:t>cm)</w:t>
            </w:r>
          </w:p>
        </w:tc>
        <w:tc>
          <w:tcPr>
            <w:tcW w:w="3464" w:type="dxa"/>
            <w:shd w:val="clear" w:color="auto" w:fill="auto"/>
            <w:vAlign w:val="center"/>
          </w:tcPr>
          <w:p w14:paraId="7861F5CB" w14:textId="53EFF715"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Pr>
            </w:pPr>
            <w:r>
              <w:rPr>
                <w:rFonts w:ascii="Book Antiqua" w:hAnsi="Book Antiqua"/>
                <w:sz w:val="24"/>
                <w:szCs w:val="24"/>
              </w:rPr>
              <w:t>28 (7.43</w:t>
            </w:r>
            <w:r w:rsidR="001A3EEC" w:rsidRPr="000315B4">
              <w:rPr>
                <w:rFonts w:ascii="Book Antiqua" w:hAnsi="Book Antiqua"/>
                <w:sz w:val="24"/>
                <w:szCs w:val="24"/>
              </w:rPr>
              <w:t>)</w:t>
            </w:r>
          </w:p>
        </w:tc>
        <w:tc>
          <w:tcPr>
            <w:tcW w:w="2977" w:type="dxa"/>
            <w:vAlign w:val="center"/>
          </w:tcPr>
          <w:p w14:paraId="611F7317" w14:textId="088D3182"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Pr>
            </w:pPr>
            <w:r>
              <w:rPr>
                <w:rFonts w:ascii="Book Antiqua" w:hAnsi="Book Antiqua"/>
                <w:sz w:val="24"/>
                <w:szCs w:val="24"/>
              </w:rPr>
              <w:t>0 (0</w:t>
            </w:r>
            <w:r w:rsidR="001A3EEC" w:rsidRPr="000315B4">
              <w:rPr>
                <w:rFonts w:ascii="Book Antiqua" w:hAnsi="Book Antiqua"/>
                <w:sz w:val="24"/>
                <w:szCs w:val="24"/>
              </w:rPr>
              <w:t>)</w:t>
            </w:r>
          </w:p>
        </w:tc>
        <w:tc>
          <w:tcPr>
            <w:tcW w:w="4252" w:type="dxa"/>
            <w:vAlign w:val="center"/>
          </w:tcPr>
          <w:p w14:paraId="0E8F2D6C" w14:textId="1C7907A7"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Pr>
            </w:pPr>
            <w:r>
              <w:rPr>
                <w:rFonts w:ascii="Book Antiqua" w:hAnsi="Book Antiqua"/>
                <w:sz w:val="24"/>
                <w:szCs w:val="24"/>
              </w:rPr>
              <w:t>28 (7.8</w:t>
            </w:r>
            <w:r w:rsidR="001A3EEC" w:rsidRPr="000315B4">
              <w:rPr>
                <w:rFonts w:ascii="Book Antiqua" w:hAnsi="Book Antiqua"/>
                <w:sz w:val="24"/>
                <w:szCs w:val="24"/>
              </w:rPr>
              <w:t>)</w:t>
            </w:r>
          </w:p>
        </w:tc>
      </w:tr>
      <w:tr w:rsidR="00292ED3" w:rsidRPr="000315B4" w14:paraId="4B4A11F8" w14:textId="77777777" w:rsidTr="00292ED3">
        <w:trPr>
          <w:trHeight w:val="289"/>
        </w:trPr>
        <w:tc>
          <w:tcPr>
            <w:tcW w:w="4333" w:type="dxa"/>
            <w:shd w:val="clear" w:color="auto" w:fill="auto"/>
            <w:vAlign w:val="center"/>
          </w:tcPr>
          <w:p w14:paraId="75E94EDC" w14:textId="542A01FC" w:rsidR="001A3EEC" w:rsidRPr="000315B4" w:rsidRDefault="001A3EEC" w:rsidP="007804E8">
            <w:pPr>
              <w:pStyle w:val="NoSpacing"/>
              <w:widowControl w:val="0"/>
              <w:adjustRightInd w:val="0"/>
              <w:snapToGrid w:val="0"/>
              <w:spacing w:line="360" w:lineRule="auto"/>
              <w:jc w:val="both"/>
              <w:rPr>
                <w:rFonts w:ascii="Book Antiqua" w:hAnsi="Book Antiqua"/>
                <w:sz w:val="24"/>
                <w:szCs w:val="24"/>
              </w:rPr>
            </w:pPr>
            <w:r w:rsidRPr="000315B4">
              <w:rPr>
                <w:rFonts w:ascii="Book Antiqua" w:hAnsi="Book Antiqua"/>
                <w:sz w:val="24"/>
                <w:szCs w:val="24"/>
              </w:rPr>
              <w:t>Short BE segment (1</w:t>
            </w:r>
            <w:r w:rsidR="005C23CB">
              <w:rPr>
                <w:rFonts w:ascii="Book Antiqua" w:hAnsi="Book Antiqua" w:hint="eastAsia"/>
                <w:sz w:val="24"/>
                <w:szCs w:val="24"/>
                <w:lang w:eastAsia="zh-CN"/>
              </w:rPr>
              <w:t xml:space="preserve"> </w:t>
            </w:r>
            <w:r w:rsidRPr="000315B4">
              <w:rPr>
                <w:rFonts w:ascii="Book Antiqua" w:hAnsi="Book Antiqua"/>
                <w:sz w:val="24"/>
                <w:szCs w:val="24"/>
              </w:rPr>
              <w:t>cm</w:t>
            </w:r>
            <w:r w:rsidR="00292ED3">
              <w:rPr>
                <w:rFonts w:ascii="Book Antiqua" w:hAnsi="Book Antiqua" w:hint="eastAsia"/>
                <w:sz w:val="24"/>
                <w:szCs w:val="24"/>
                <w:lang w:eastAsia="zh-CN"/>
              </w:rPr>
              <w:t xml:space="preserve"> </w:t>
            </w:r>
            <w:r w:rsidRPr="000315B4">
              <w:rPr>
                <w:rFonts w:ascii="Book Antiqua" w:hAnsi="Book Antiqua"/>
                <w:sz w:val="24"/>
                <w:szCs w:val="24"/>
              </w:rPr>
              <w:t>≤</w:t>
            </w:r>
            <w:r w:rsidR="00292ED3">
              <w:rPr>
                <w:rFonts w:ascii="Book Antiqua" w:hAnsi="Book Antiqua" w:hint="eastAsia"/>
                <w:sz w:val="24"/>
                <w:szCs w:val="24"/>
                <w:lang w:eastAsia="zh-CN"/>
              </w:rPr>
              <w:t xml:space="preserve"> </w:t>
            </w:r>
            <w:r w:rsidRPr="000315B4">
              <w:rPr>
                <w:rFonts w:ascii="Book Antiqua" w:hAnsi="Book Antiqua"/>
                <w:sz w:val="24"/>
                <w:szCs w:val="24"/>
              </w:rPr>
              <w:t>BE</w:t>
            </w:r>
            <w:r w:rsidR="00292ED3">
              <w:rPr>
                <w:rFonts w:ascii="Book Antiqua" w:hAnsi="Book Antiqua" w:hint="eastAsia"/>
                <w:sz w:val="24"/>
                <w:szCs w:val="24"/>
                <w:lang w:eastAsia="zh-CN"/>
              </w:rPr>
              <w:t xml:space="preserve"> </w:t>
            </w:r>
            <w:r w:rsidRPr="000315B4">
              <w:rPr>
                <w:rFonts w:ascii="Book Antiqua" w:hAnsi="Book Antiqua"/>
                <w:sz w:val="24"/>
                <w:szCs w:val="24"/>
              </w:rPr>
              <w:t>&lt;</w:t>
            </w:r>
            <w:r w:rsidR="00292ED3">
              <w:rPr>
                <w:rFonts w:ascii="Book Antiqua" w:hAnsi="Book Antiqua" w:hint="eastAsia"/>
                <w:sz w:val="24"/>
                <w:szCs w:val="24"/>
                <w:lang w:eastAsia="zh-CN"/>
              </w:rPr>
              <w:t xml:space="preserve"> </w:t>
            </w:r>
            <w:r w:rsidRPr="000315B4">
              <w:rPr>
                <w:rFonts w:ascii="Book Antiqua" w:hAnsi="Book Antiqua"/>
                <w:sz w:val="24"/>
                <w:szCs w:val="24"/>
              </w:rPr>
              <w:t>3</w:t>
            </w:r>
            <w:r w:rsidR="005C23CB">
              <w:rPr>
                <w:rFonts w:ascii="Book Antiqua" w:hAnsi="Book Antiqua" w:hint="eastAsia"/>
                <w:sz w:val="24"/>
                <w:szCs w:val="24"/>
                <w:lang w:eastAsia="zh-CN"/>
              </w:rPr>
              <w:t xml:space="preserve"> </w:t>
            </w:r>
            <w:r w:rsidRPr="000315B4">
              <w:rPr>
                <w:rFonts w:ascii="Book Antiqua" w:hAnsi="Book Antiqua"/>
                <w:sz w:val="24"/>
                <w:szCs w:val="24"/>
              </w:rPr>
              <w:t>cm)</w:t>
            </w:r>
          </w:p>
        </w:tc>
        <w:tc>
          <w:tcPr>
            <w:tcW w:w="3464" w:type="dxa"/>
            <w:shd w:val="clear" w:color="auto" w:fill="auto"/>
            <w:vAlign w:val="center"/>
          </w:tcPr>
          <w:p w14:paraId="1283528C" w14:textId="6CB09E69"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Pr>
            </w:pPr>
            <w:r>
              <w:rPr>
                <w:rFonts w:ascii="Book Antiqua" w:hAnsi="Book Antiqua"/>
                <w:sz w:val="24"/>
                <w:szCs w:val="24"/>
              </w:rPr>
              <w:t>124 (32.89</w:t>
            </w:r>
            <w:r w:rsidR="001A3EEC" w:rsidRPr="000315B4">
              <w:rPr>
                <w:rFonts w:ascii="Book Antiqua" w:hAnsi="Book Antiqua"/>
                <w:sz w:val="24"/>
                <w:szCs w:val="24"/>
              </w:rPr>
              <w:t>)</w:t>
            </w:r>
          </w:p>
        </w:tc>
        <w:tc>
          <w:tcPr>
            <w:tcW w:w="2977" w:type="dxa"/>
            <w:vAlign w:val="center"/>
          </w:tcPr>
          <w:p w14:paraId="53028BD1" w14:textId="404A7356"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Pr>
            </w:pPr>
            <w:r>
              <w:rPr>
                <w:rFonts w:ascii="Book Antiqua" w:hAnsi="Book Antiqua"/>
                <w:sz w:val="24"/>
                <w:szCs w:val="24"/>
              </w:rPr>
              <w:t>2 (18.18</w:t>
            </w:r>
            <w:r w:rsidR="001A3EEC" w:rsidRPr="000315B4">
              <w:rPr>
                <w:rFonts w:ascii="Book Antiqua" w:hAnsi="Book Antiqua"/>
                <w:sz w:val="24"/>
                <w:szCs w:val="24"/>
              </w:rPr>
              <w:t>)</w:t>
            </w:r>
          </w:p>
        </w:tc>
        <w:tc>
          <w:tcPr>
            <w:tcW w:w="4252" w:type="dxa"/>
            <w:vAlign w:val="center"/>
          </w:tcPr>
          <w:p w14:paraId="23BAAB4B" w14:textId="31DD42F6"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Pr>
            </w:pPr>
            <w:r>
              <w:rPr>
                <w:rFonts w:ascii="Book Antiqua" w:hAnsi="Book Antiqua"/>
                <w:sz w:val="24"/>
                <w:szCs w:val="24"/>
              </w:rPr>
              <w:t>122 (33.98</w:t>
            </w:r>
            <w:r w:rsidR="001A3EEC" w:rsidRPr="000315B4">
              <w:rPr>
                <w:rFonts w:ascii="Book Antiqua" w:hAnsi="Book Antiqua"/>
                <w:sz w:val="24"/>
                <w:szCs w:val="24"/>
              </w:rPr>
              <w:t>)</w:t>
            </w:r>
          </w:p>
        </w:tc>
      </w:tr>
      <w:tr w:rsidR="00292ED3" w:rsidRPr="000315B4" w14:paraId="0778A05D" w14:textId="77777777" w:rsidTr="00292ED3">
        <w:trPr>
          <w:trHeight w:val="289"/>
        </w:trPr>
        <w:tc>
          <w:tcPr>
            <w:tcW w:w="4333" w:type="dxa"/>
            <w:shd w:val="clear" w:color="auto" w:fill="auto"/>
            <w:vAlign w:val="center"/>
          </w:tcPr>
          <w:p w14:paraId="73A039FF" w14:textId="6A9AFD02" w:rsidR="001A3EEC" w:rsidRPr="000315B4" w:rsidRDefault="001A3EEC" w:rsidP="007804E8">
            <w:pPr>
              <w:pStyle w:val="NoSpacing"/>
              <w:widowControl w:val="0"/>
              <w:adjustRightInd w:val="0"/>
              <w:snapToGrid w:val="0"/>
              <w:spacing w:line="360" w:lineRule="auto"/>
              <w:jc w:val="both"/>
              <w:rPr>
                <w:rFonts w:ascii="Book Antiqua" w:hAnsi="Book Antiqua"/>
                <w:sz w:val="24"/>
                <w:szCs w:val="24"/>
              </w:rPr>
            </w:pPr>
            <w:r w:rsidRPr="000315B4">
              <w:rPr>
                <w:rFonts w:ascii="Book Antiqua" w:hAnsi="Book Antiqua"/>
                <w:sz w:val="24"/>
                <w:szCs w:val="24"/>
              </w:rPr>
              <w:t>Long BE segment (BE</w:t>
            </w:r>
            <w:r w:rsidR="00292ED3">
              <w:rPr>
                <w:rFonts w:ascii="Book Antiqua" w:hAnsi="Book Antiqua" w:hint="eastAsia"/>
                <w:sz w:val="24"/>
                <w:szCs w:val="24"/>
                <w:lang w:eastAsia="zh-CN"/>
              </w:rPr>
              <w:t xml:space="preserve"> </w:t>
            </w:r>
            <w:r w:rsidRPr="000315B4">
              <w:rPr>
                <w:rFonts w:ascii="Book Antiqua" w:hAnsi="Book Antiqua"/>
                <w:sz w:val="24"/>
                <w:szCs w:val="24"/>
              </w:rPr>
              <w:t>≥ 3</w:t>
            </w:r>
            <w:r w:rsidR="005C23CB">
              <w:rPr>
                <w:rFonts w:ascii="Book Antiqua" w:hAnsi="Book Antiqua" w:hint="eastAsia"/>
                <w:sz w:val="24"/>
                <w:szCs w:val="24"/>
                <w:lang w:eastAsia="zh-CN"/>
              </w:rPr>
              <w:t xml:space="preserve"> </w:t>
            </w:r>
            <w:r w:rsidRPr="000315B4">
              <w:rPr>
                <w:rFonts w:ascii="Book Antiqua" w:hAnsi="Book Antiqua"/>
                <w:sz w:val="24"/>
                <w:szCs w:val="24"/>
              </w:rPr>
              <w:t>cm)</w:t>
            </w:r>
          </w:p>
        </w:tc>
        <w:tc>
          <w:tcPr>
            <w:tcW w:w="3464" w:type="dxa"/>
            <w:shd w:val="clear" w:color="auto" w:fill="auto"/>
            <w:vAlign w:val="center"/>
          </w:tcPr>
          <w:p w14:paraId="64DDE2D9" w14:textId="4DCB27F1"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Pr>
            </w:pPr>
            <w:r>
              <w:rPr>
                <w:rFonts w:ascii="Book Antiqua" w:hAnsi="Book Antiqua"/>
                <w:sz w:val="24"/>
                <w:szCs w:val="24"/>
              </w:rPr>
              <w:t>225 (59.68</w:t>
            </w:r>
            <w:r w:rsidR="001A3EEC" w:rsidRPr="000315B4">
              <w:rPr>
                <w:rFonts w:ascii="Book Antiqua" w:hAnsi="Book Antiqua"/>
                <w:sz w:val="24"/>
                <w:szCs w:val="24"/>
              </w:rPr>
              <w:t>)</w:t>
            </w:r>
          </w:p>
        </w:tc>
        <w:tc>
          <w:tcPr>
            <w:tcW w:w="2977" w:type="dxa"/>
            <w:vAlign w:val="center"/>
          </w:tcPr>
          <w:p w14:paraId="2F54785F" w14:textId="062310AA"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Pr>
            </w:pPr>
            <w:r>
              <w:rPr>
                <w:rFonts w:ascii="Book Antiqua" w:hAnsi="Book Antiqua"/>
                <w:sz w:val="24"/>
                <w:szCs w:val="24"/>
              </w:rPr>
              <w:t>9 (81.82</w:t>
            </w:r>
            <w:r w:rsidR="001A3EEC" w:rsidRPr="000315B4">
              <w:rPr>
                <w:rFonts w:ascii="Book Antiqua" w:hAnsi="Book Antiqua"/>
                <w:sz w:val="24"/>
                <w:szCs w:val="24"/>
              </w:rPr>
              <w:t>)</w:t>
            </w:r>
          </w:p>
        </w:tc>
        <w:tc>
          <w:tcPr>
            <w:tcW w:w="4252" w:type="dxa"/>
            <w:vAlign w:val="center"/>
          </w:tcPr>
          <w:p w14:paraId="569AB0AC" w14:textId="462AD8C7"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Pr>
            </w:pPr>
            <w:r>
              <w:rPr>
                <w:rFonts w:ascii="Book Antiqua" w:hAnsi="Book Antiqua"/>
                <w:sz w:val="24"/>
                <w:szCs w:val="24"/>
              </w:rPr>
              <w:t>209 (58.22</w:t>
            </w:r>
            <w:r w:rsidR="001A3EEC" w:rsidRPr="000315B4">
              <w:rPr>
                <w:rFonts w:ascii="Book Antiqua" w:hAnsi="Book Antiqua"/>
                <w:sz w:val="24"/>
                <w:szCs w:val="24"/>
              </w:rPr>
              <w:t>)</w:t>
            </w:r>
          </w:p>
        </w:tc>
      </w:tr>
      <w:tr w:rsidR="00292ED3" w:rsidRPr="000315B4" w14:paraId="31D4A9A5" w14:textId="77777777" w:rsidTr="00292ED3">
        <w:trPr>
          <w:trHeight w:val="289"/>
        </w:trPr>
        <w:tc>
          <w:tcPr>
            <w:tcW w:w="15026" w:type="dxa"/>
            <w:gridSpan w:val="4"/>
            <w:shd w:val="clear" w:color="auto" w:fill="auto"/>
            <w:vAlign w:val="center"/>
          </w:tcPr>
          <w:p w14:paraId="39ACB626" w14:textId="77777777" w:rsidR="00BD7250" w:rsidRPr="000315B4" w:rsidRDefault="00BD7250" w:rsidP="007804E8">
            <w:pPr>
              <w:pStyle w:val="NoSpacing"/>
              <w:widowControl w:val="0"/>
              <w:adjustRightInd w:val="0"/>
              <w:snapToGrid w:val="0"/>
              <w:spacing w:line="360" w:lineRule="auto"/>
              <w:jc w:val="both"/>
              <w:rPr>
                <w:rFonts w:ascii="Book Antiqua" w:hAnsi="Book Antiqua"/>
                <w:sz w:val="24"/>
                <w:szCs w:val="24"/>
              </w:rPr>
            </w:pPr>
            <w:r w:rsidRPr="000315B4">
              <w:rPr>
                <w:rFonts w:ascii="Book Antiqua" w:hAnsi="Book Antiqua"/>
                <w:sz w:val="24"/>
                <w:szCs w:val="24"/>
              </w:rPr>
              <w:t>Worst degree of dysplasia</w:t>
            </w:r>
          </w:p>
        </w:tc>
      </w:tr>
      <w:tr w:rsidR="00292ED3" w:rsidRPr="000315B4" w14:paraId="5EF82EC2" w14:textId="77777777" w:rsidTr="00292ED3">
        <w:trPr>
          <w:trHeight w:val="289"/>
        </w:trPr>
        <w:tc>
          <w:tcPr>
            <w:tcW w:w="4333" w:type="dxa"/>
            <w:shd w:val="clear" w:color="auto" w:fill="auto"/>
          </w:tcPr>
          <w:p w14:paraId="467CF09D" w14:textId="77777777" w:rsidR="001A3EEC" w:rsidRPr="000315B4" w:rsidRDefault="001A3EEC" w:rsidP="007804E8">
            <w:pPr>
              <w:pStyle w:val="NoSpacing"/>
              <w:widowControl w:val="0"/>
              <w:adjustRightInd w:val="0"/>
              <w:snapToGrid w:val="0"/>
              <w:spacing w:line="360" w:lineRule="auto"/>
              <w:jc w:val="both"/>
              <w:rPr>
                <w:rFonts w:ascii="Book Antiqua" w:hAnsi="Book Antiqua"/>
                <w:sz w:val="24"/>
                <w:szCs w:val="24"/>
              </w:rPr>
            </w:pPr>
            <w:r w:rsidRPr="000315B4">
              <w:rPr>
                <w:rFonts w:ascii="Book Antiqua" w:hAnsi="Book Antiqua"/>
                <w:sz w:val="24"/>
                <w:szCs w:val="24"/>
              </w:rPr>
              <w:t>Esophageal adenocarcinoma</w:t>
            </w:r>
          </w:p>
        </w:tc>
        <w:tc>
          <w:tcPr>
            <w:tcW w:w="3464" w:type="dxa"/>
            <w:shd w:val="clear" w:color="auto" w:fill="auto"/>
            <w:vAlign w:val="center"/>
          </w:tcPr>
          <w:p w14:paraId="4227906D" w14:textId="202E809A"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Pr>
            </w:pPr>
            <w:r>
              <w:rPr>
                <w:rFonts w:ascii="Book Antiqua" w:hAnsi="Book Antiqua"/>
                <w:sz w:val="24"/>
                <w:szCs w:val="24"/>
              </w:rPr>
              <w:t>6 (1.6</w:t>
            </w:r>
            <w:r w:rsidR="003479BE" w:rsidRPr="000315B4">
              <w:rPr>
                <w:rFonts w:ascii="Book Antiqua" w:hAnsi="Book Antiqua"/>
                <w:sz w:val="24"/>
                <w:szCs w:val="24"/>
              </w:rPr>
              <w:t>)</w:t>
            </w:r>
          </w:p>
        </w:tc>
        <w:tc>
          <w:tcPr>
            <w:tcW w:w="2977" w:type="dxa"/>
            <w:vAlign w:val="center"/>
          </w:tcPr>
          <w:p w14:paraId="02DC73D4"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p>
        </w:tc>
        <w:tc>
          <w:tcPr>
            <w:tcW w:w="4252" w:type="dxa"/>
            <w:vAlign w:val="center"/>
          </w:tcPr>
          <w:p w14:paraId="5E543167"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p>
        </w:tc>
      </w:tr>
      <w:tr w:rsidR="00292ED3" w:rsidRPr="000315B4" w14:paraId="38052EAF" w14:textId="77777777" w:rsidTr="00292ED3">
        <w:trPr>
          <w:trHeight w:val="289"/>
        </w:trPr>
        <w:tc>
          <w:tcPr>
            <w:tcW w:w="4333" w:type="dxa"/>
            <w:shd w:val="clear" w:color="auto" w:fill="auto"/>
          </w:tcPr>
          <w:p w14:paraId="7226C05C" w14:textId="77777777" w:rsidR="001A3EEC" w:rsidRPr="000315B4" w:rsidRDefault="001A3EEC" w:rsidP="007804E8">
            <w:pPr>
              <w:pStyle w:val="NoSpacing"/>
              <w:widowControl w:val="0"/>
              <w:adjustRightInd w:val="0"/>
              <w:snapToGrid w:val="0"/>
              <w:spacing w:line="360" w:lineRule="auto"/>
              <w:jc w:val="both"/>
              <w:rPr>
                <w:rFonts w:ascii="Book Antiqua" w:hAnsi="Book Antiqua"/>
                <w:sz w:val="24"/>
                <w:szCs w:val="24"/>
              </w:rPr>
            </w:pPr>
            <w:r w:rsidRPr="000315B4">
              <w:rPr>
                <w:rFonts w:ascii="Book Antiqua" w:hAnsi="Book Antiqua"/>
                <w:sz w:val="24"/>
                <w:szCs w:val="24"/>
              </w:rPr>
              <w:t xml:space="preserve">Intramucosal carcinoma </w:t>
            </w:r>
          </w:p>
        </w:tc>
        <w:tc>
          <w:tcPr>
            <w:tcW w:w="3464" w:type="dxa"/>
            <w:shd w:val="clear" w:color="auto" w:fill="auto"/>
            <w:vAlign w:val="center"/>
          </w:tcPr>
          <w:p w14:paraId="53AE7B3D" w14:textId="626ECBF6"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Pr>
            </w:pPr>
            <w:r>
              <w:rPr>
                <w:rFonts w:ascii="Book Antiqua" w:hAnsi="Book Antiqua"/>
                <w:sz w:val="24"/>
                <w:szCs w:val="24"/>
              </w:rPr>
              <w:t>1 (0.3</w:t>
            </w:r>
            <w:r w:rsidR="003479BE" w:rsidRPr="000315B4">
              <w:rPr>
                <w:rFonts w:ascii="Book Antiqua" w:hAnsi="Book Antiqua"/>
                <w:sz w:val="24"/>
                <w:szCs w:val="24"/>
              </w:rPr>
              <w:t>)</w:t>
            </w:r>
          </w:p>
        </w:tc>
        <w:tc>
          <w:tcPr>
            <w:tcW w:w="2977" w:type="dxa"/>
            <w:vAlign w:val="center"/>
          </w:tcPr>
          <w:p w14:paraId="67BAA9B3"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p>
        </w:tc>
        <w:tc>
          <w:tcPr>
            <w:tcW w:w="4252" w:type="dxa"/>
            <w:vAlign w:val="center"/>
          </w:tcPr>
          <w:p w14:paraId="7F0D305C"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p>
        </w:tc>
      </w:tr>
      <w:tr w:rsidR="00292ED3" w:rsidRPr="000315B4" w14:paraId="17927D29" w14:textId="77777777" w:rsidTr="00292ED3">
        <w:trPr>
          <w:trHeight w:val="289"/>
        </w:trPr>
        <w:tc>
          <w:tcPr>
            <w:tcW w:w="4333" w:type="dxa"/>
            <w:shd w:val="clear" w:color="auto" w:fill="auto"/>
            <w:vAlign w:val="center"/>
          </w:tcPr>
          <w:p w14:paraId="39DCD3C1" w14:textId="77777777" w:rsidR="001A3EEC" w:rsidRPr="000315B4" w:rsidRDefault="001A3EEC" w:rsidP="007804E8">
            <w:pPr>
              <w:pStyle w:val="NoSpacing"/>
              <w:widowControl w:val="0"/>
              <w:adjustRightInd w:val="0"/>
              <w:snapToGrid w:val="0"/>
              <w:spacing w:line="360" w:lineRule="auto"/>
              <w:jc w:val="both"/>
              <w:rPr>
                <w:rFonts w:ascii="Book Antiqua" w:hAnsi="Book Antiqua"/>
                <w:sz w:val="24"/>
                <w:szCs w:val="24"/>
              </w:rPr>
            </w:pPr>
            <w:r w:rsidRPr="000315B4">
              <w:rPr>
                <w:rFonts w:ascii="Book Antiqua" w:hAnsi="Book Antiqua"/>
                <w:sz w:val="24"/>
                <w:szCs w:val="24"/>
              </w:rPr>
              <w:t>High grade dysplasia</w:t>
            </w:r>
          </w:p>
        </w:tc>
        <w:tc>
          <w:tcPr>
            <w:tcW w:w="3464" w:type="dxa"/>
            <w:shd w:val="clear" w:color="auto" w:fill="auto"/>
            <w:vAlign w:val="center"/>
          </w:tcPr>
          <w:p w14:paraId="67B46755" w14:textId="4F9387AA"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r w:rsidRPr="000315B4">
              <w:rPr>
                <w:rFonts w:ascii="Book Antiqua" w:hAnsi="Book Antiqua"/>
                <w:sz w:val="24"/>
                <w:szCs w:val="24"/>
              </w:rPr>
              <w:t>12 (3.1)</w:t>
            </w:r>
          </w:p>
        </w:tc>
        <w:tc>
          <w:tcPr>
            <w:tcW w:w="2977" w:type="dxa"/>
            <w:vAlign w:val="center"/>
          </w:tcPr>
          <w:p w14:paraId="0EED0804"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p>
        </w:tc>
        <w:tc>
          <w:tcPr>
            <w:tcW w:w="4252" w:type="dxa"/>
            <w:vAlign w:val="center"/>
          </w:tcPr>
          <w:p w14:paraId="365936A7"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p>
        </w:tc>
      </w:tr>
      <w:tr w:rsidR="00292ED3" w:rsidRPr="000315B4" w14:paraId="2C0DD70B" w14:textId="77777777" w:rsidTr="00292ED3">
        <w:trPr>
          <w:trHeight w:val="289"/>
        </w:trPr>
        <w:tc>
          <w:tcPr>
            <w:tcW w:w="4333" w:type="dxa"/>
            <w:shd w:val="clear" w:color="auto" w:fill="auto"/>
            <w:vAlign w:val="center"/>
          </w:tcPr>
          <w:p w14:paraId="69D85539" w14:textId="77777777" w:rsidR="001A3EEC" w:rsidRPr="000315B4" w:rsidRDefault="001A3EEC" w:rsidP="007804E8">
            <w:pPr>
              <w:pStyle w:val="NoSpacing"/>
              <w:widowControl w:val="0"/>
              <w:adjustRightInd w:val="0"/>
              <w:snapToGrid w:val="0"/>
              <w:spacing w:line="360" w:lineRule="auto"/>
              <w:jc w:val="both"/>
              <w:rPr>
                <w:rFonts w:ascii="Book Antiqua" w:hAnsi="Book Antiqua"/>
                <w:sz w:val="24"/>
                <w:szCs w:val="24"/>
              </w:rPr>
            </w:pPr>
            <w:r w:rsidRPr="000315B4">
              <w:rPr>
                <w:rFonts w:ascii="Book Antiqua" w:hAnsi="Book Antiqua"/>
                <w:sz w:val="24"/>
                <w:szCs w:val="24"/>
              </w:rPr>
              <w:t>Low grade dysplasia</w:t>
            </w:r>
          </w:p>
        </w:tc>
        <w:tc>
          <w:tcPr>
            <w:tcW w:w="3464" w:type="dxa"/>
            <w:shd w:val="clear" w:color="auto" w:fill="auto"/>
            <w:vAlign w:val="center"/>
          </w:tcPr>
          <w:p w14:paraId="2B4A68EA" w14:textId="4782DE03" w:rsidR="001A3EEC" w:rsidRPr="000315B4" w:rsidRDefault="00292ED3" w:rsidP="00292ED3">
            <w:pPr>
              <w:pStyle w:val="NoSpacing"/>
              <w:widowControl w:val="0"/>
              <w:adjustRightInd w:val="0"/>
              <w:snapToGrid w:val="0"/>
              <w:spacing w:line="360" w:lineRule="auto"/>
              <w:jc w:val="center"/>
              <w:rPr>
                <w:rFonts w:ascii="Book Antiqua" w:hAnsi="Book Antiqua"/>
                <w:sz w:val="24"/>
                <w:szCs w:val="24"/>
              </w:rPr>
            </w:pPr>
            <w:r>
              <w:rPr>
                <w:rFonts w:ascii="Book Antiqua" w:hAnsi="Book Antiqua"/>
                <w:sz w:val="24"/>
                <w:szCs w:val="24"/>
              </w:rPr>
              <w:t>19 (4.9</w:t>
            </w:r>
            <w:r w:rsidR="001A3EEC" w:rsidRPr="000315B4">
              <w:rPr>
                <w:rFonts w:ascii="Book Antiqua" w:hAnsi="Book Antiqua"/>
                <w:sz w:val="24"/>
                <w:szCs w:val="24"/>
              </w:rPr>
              <w:t>)</w:t>
            </w:r>
          </w:p>
        </w:tc>
        <w:tc>
          <w:tcPr>
            <w:tcW w:w="2977" w:type="dxa"/>
            <w:vAlign w:val="center"/>
          </w:tcPr>
          <w:p w14:paraId="60A7A07D"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p>
        </w:tc>
        <w:tc>
          <w:tcPr>
            <w:tcW w:w="4252" w:type="dxa"/>
            <w:vAlign w:val="center"/>
          </w:tcPr>
          <w:p w14:paraId="19C4C031" w14:textId="77777777" w:rsidR="001A3EEC" w:rsidRPr="000315B4" w:rsidRDefault="001A3EEC" w:rsidP="00292ED3">
            <w:pPr>
              <w:pStyle w:val="NoSpacing"/>
              <w:widowControl w:val="0"/>
              <w:adjustRightInd w:val="0"/>
              <w:snapToGrid w:val="0"/>
              <w:spacing w:line="360" w:lineRule="auto"/>
              <w:jc w:val="center"/>
              <w:rPr>
                <w:rFonts w:ascii="Book Antiqua" w:hAnsi="Book Antiqua"/>
                <w:sz w:val="24"/>
                <w:szCs w:val="24"/>
              </w:rPr>
            </w:pPr>
          </w:p>
        </w:tc>
      </w:tr>
    </w:tbl>
    <w:p w14:paraId="49E48374" w14:textId="0EBAE828" w:rsidR="001A3EEC" w:rsidRPr="000315B4" w:rsidRDefault="00350DD4" w:rsidP="007804E8">
      <w:pPr>
        <w:widowControl w:val="0"/>
        <w:adjustRightInd w:val="0"/>
        <w:snapToGrid w:val="0"/>
        <w:spacing w:line="360" w:lineRule="auto"/>
        <w:jc w:val="both"/>
        <w:rPr>
          <w:sz w:val="24"/>
          <w:szCs w:val="24"/>
          <w:lang w:eastAsia="zh-CN"/>
        </w:rPr>
      </w:pPr>
      <w:r w:rsidRPr="000315B4">
        <w:rPr>
          <w:sz w:val="24"/>
          <w:szCs w:val="24"/>
        </w:rPr>
        <w:t xml:space="preserve">Continuous variables were presented as mean (SD) and [median range]. Categorical variables are presented as </w:t>
      </w:r>
      <w:r w:rsidRPr="00C47C94">
        <w:rPr>
          <w:i/>
          <w:sz w:val="24"/>
          <w:szCs w:val="24"/>
        </w:rPr>
        <w:t>n</w:t>
      </w:r>
      <w:r w:rsidRPr="000315B4">
        <w:rPr>
          <w:sz w:val="24"/>
          <w:szCs w:val="24"/>
        </w:rPr>
        <w:t xml:space="preserve"> (%).</w:t>
      </w:r>
      <w:r w:rsidR="00C47C94">
        <w:rPr>
          <w:rFonts w:hint="eastAsia"/>
          <w:sz w:val="24"/>
          <w:szCs w:val="24"/>
          <w:lang w:eastAsia="zh-CN"/>
        </w:rPr>
        <w:t xml:space="preserve"> </w:t>
      </w:r>
      <w:r w:rsidR="001A3EEC" w:rsidRPr="000315B4">
        <w:rPr>
          <w:sz w:val="24"/>
          <w:szCs w:val="24"/>
        </w:rPr>
        <w:t xml:space="preserve">Statistical difference refers to the HGD and non-HGD groups. </w:t>
      </w:r>
      <w:r w:rsidR="001A3EEC" w:rsidRPr="000315B4">
        <w:rPr>
          <w:sz w:val="24"/>
          <w:szCs w:val="24"/>
          <w:vertAlign w:val="superscript"/>
        </w:rPr>
        <w:t>a</w:t>
      </w:r>
      <w:r w:rsidR="00292ED3" w:rsidRPr="00292ED3">
        <w:rPr>
          <w:i/>
          <w:sz w:val="24"/>
          <w:szCs w:val="24"/>
        </w:rPr>
        <w:t>P</w:t>
      </w:r>
      <w:r w:rsidR="00292ED3">
        <w:rPr>
          <w:rFonts w:hint="eastAsia"/>
          <w:sz w:val="24"/>
          <w:szCs w:val="24"/>
          <w:lang w:eastAsia="zh-CN"/>
        </w:rPr>
        <w:t xml:space="preserve"> </w:t>
      </w:r>
      <w:r w:rsidR="001A3EEC" w:rsidRPr="000315B4">
        <w:rPr>
          <w:sz w:val="24"/>
          <w:szCs w:val="24"/>
        </w:rPr>
        <w:t>&lt;</w:t>
      </w:r>
      <w:r w:rsidR="00292ED3">
        <w:rPr>
          <w:rFonts w:hint="eastAsia"/>
          <w:sz w:val="24"/>
          <w:szCs w:val="24"/>
          <w:lang w:eastAsia="zh-CN"/>
        </w:rPr>
        <w:t xml:space="preserve"> </w:t>
      </w:r>
      <w:r w:rsidR="001A3EEC" w:rsidRPr="000315B4">
        <w:rPr>
          <w:sz w:val="24"/>
          <w:szCs w:val="24"/>
        </w:rPr>
        <w:t>0.01</w:t>
      </w:r>
      <w:r w:rsidR="00C47C94">
        <w:rPr>
          <w:rFonts w:hint="eastAsia"/>
          <w:sz w:val="24"/>
          <w:szCs w:val="24"/>
          <w:lang w:eastAsia="zh-CN"/>
        </w:rPr>
        <w:t>;</w:t>
      </w:r>
      <w:r w:rsidR="001A3EEC" w:rsidRPr="000315B4">
        <w:rPr>
          <w:sz w:val="24"/>
          <w:szCs w:val="24"/>
        </w:rPr>
        <w:t xml:space="preserve"> </w:t>
      </w:r>
      <w:r w:rsidR="001A3EEC" w:rsidRPr="000315B4">
        <w:rPr>
          <w:sz w:val="24"/>
          <w:szCs w:val="24"/>
          <w:vertAlign w:val="superscript"/>
        </w:rPr>
        <w:t>b</w:t>
      </w:r>
      <w:r w:rsidR="00292ED3" w:rsidRPr="00292ED3">
        <w:rPr>
          <w:i/>
          <w:sz w:val="24"/>
          <w:szCs w:val="24"/>
        </w:rPr>
        <w:t>P</w:t>
      </w:r>
      <w:r w:rsidR="00292ED3">
        <w:rPr>
          <w:rFonts w:hint="eastAsia"/>
          <w:sz w:val="24"/>
          <w:szCs w:val="24"/>
          <w:lang w:eastAsia="zh-CN"/>
        </w:rPr>
        <w:t xml:space="preserve"> </w:t>
      </w:r>
      <w:r w:rsidR="001A3EEC" w:rsidRPr="000315B4">
        <w:rPr>
          <w:sz w:val="24"/>
          <w:szCs w:val="24"/>
        </w:rPr>
        <w:t>&lt;</w:t>
      </w:r>
      <w:r w:rsidR="00292ED3">
        <w:rPr>
          <w:rFonts w:hint="eastAsia"/>
          <w:sz w:val="24"/>
          <w:szCs w:val="24"/>
          <w:lang w:eastAsia="zh-CN"/>
        </w:rPr>
        <w:t xml:space="preserve"> </w:t>
      </w:r>
      <w:r w:rsidR="001A3EEC" w:rsidRPr="000315B4">
        <w:rPr>
          <w:sz w:val="24"/>
          <w:szCs w:val="24"/>
        </w:rPr>
        <w:t>0.001. BE</w:t>
      </w:r>
      <w:r w:rsidR="00C47C94">
        <w:rPr>
          <w:rFonts w:hint="eastAsia"/>
          <w:sz w:val="24"/>
          <w:szCs w:val="24"/>
          <w:lang w:eastAsia="zh-CN"/>
        </w:rPr>
        <w:t>:</w:t>
      </w:r>
      <w:r w:rsidR="001A3EEC" w:rsidRPr="000315B4">
        <w:rPr>
          <w:sz w:val="24"/>
          <w:szCs w:val="24"/>
        </w:rPr>
        <w:t xml:space="preserve"> Barrett’s esophagus; HGD</w:t>
      </w:r>
      <w:r w:rsidR="00C47C94">
        <w:rPr>
          <w:rFonts w:hint="eastAsia"/>
          <w:sz w:val="24"/>
          <w:szCs w:val="24"/>
          <w:lang w:eastAsia="zh-CN"/>
        </w:rPr>
        <w:t>:</w:t>
      </w:r>
      <w:r w:rsidR="001A3EEC" w:rsidRPr="000315B4">
        <w:rPr>
          <w:sz w:val="24"/>
          <w:szCs w:val="24"/>
        </w:rPr>
        <w:t xml:space="preserve"> </w:t>
      </w:r>
      <w:r w:rsidR="00C47C94" w:rsidRPr="000315B4">
        <w:rPr>
          <w:sz w:val="24"/>
          <w:szCs w:val="24"/>
        </w:rPr>
        <w:t xml:space="preserve">High </w:t>
      </w:r>
      <w:r w:rsidR="001A3EEC" w:rsidRPr="000315B4">
        <w:rPr>
          <w:sz w:val="24"/>
          <w:szCs w:val="24"/>
        </w:rPr>
        <w:lastRenderedPageBreak/>
        <w:t>grade dysplasia; Non-HGD</w:t>
      </w:r>
      <w:r w:rsidR="00C47C94">
        <w:rPr>
          <w:rFonts w:hint="eastAsia"/>
          <w:sz w:val="24"/>
          <w:szCs w:val="24"/>
          <w:lang w:eastAsia="zh-CN"/>
        </w:rPr>
        <w:t>:</w:t>
      </w:r>
      <w:r w:rsidR="001A3EEC" w:rsidRPr="000315B4">
        <w:rPr>
          <w:sz w:val="24"/>
          <w:szCs w:val="24"/>
        </w:rPr>
        <w:t xml:space="preserve"> </w:t>
      </w:r>
      <w:r w:rsidR="00C47C94" w:rsidRPr="000315B4">
        <w:rPr>
          <w:sz w:val="24"/>
          <w:szCs w:val="24"/>
        </w:rPr>
        <w:t xml:space="preserve">Low </w:t>
      </w:r>
      <w:r w:rsidR="001A3EEC" w:rsidRPr="000315B4">
        <w:rPr>
          <w:sz w:val="24"/>
          <w:szCs w:val="24"/>
        </w:rPr>
        <w:t>grade or without dysplasia</w:t>
      </w:r>
      <w:r w:rsidR="00C47C94">
        <w:rPr>
          <w:rFonts w:hint="eastAsia"/>
          <w:sz w:val="24"/>
          <w:szCs w:val="24"/>
          <w:lang w:eastAsia="zh-CN"/>
        </w:rPr>
        <w:t>.</w:t>
      </w:r>
    </w:p>
    <w:p w14:paraId="5E93DBD2"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br w:type="page"/>
      </w:r>
    </w:p>
    <w:p w14:paraId="55AA3C0A" w14:textId="77777777" w:rsidR="00C47C94" w:rsidRDefault="00C47C94" w:rsidP="007804E8">
      <w:pPr>
        <w:pStyle w:val="Subtitle"/>
        <w:widowControl w:val="0"/>
        <w:adjustRightInd w:val="0"/>
        <w:snapToGrid w:val="0"/>
        <w:spacing w:line="360" w:lineRule="auto"/>
        <w:jc w:val="both"/>
        <w:rPr>
          <w:sz w:val="24"/>
          <w:szCs w:val="24"/>
        </w:rPr>
        <w:sectPr w:rsidR="00C47C94" w:rsidSect="00292ED3">
          <w:pgSz w:w="15840" w:h="12240" w:orient="landscape"/>
          <w:pgMar w:top="1440" w:right="1440" w:bottom="1440" w:left="1440" w:header="720" w:footer="720" w:gutter="0"/>
          <w:cols w:space="720"/>
          <w:docGrid w:linePitch="360"/>
        </w:sectPr>
      </w:pPr>
      <w:bookmarkStart w:id="97" w:name="_Toc520148916"/>
    </w:p>
    <w:p w14:paraId="6964E998" w14:textId="3148CE03" w:rsidR="001A3EEC" w:rsidRPr="000315B4" w:rsidRDefault="001A3EEC" w:rsidP="007804E8">
      <w:pPr>
        <w:pStyle w:val="Subtitle"/>
        <w:widowControl w:val="0"/>
        <w:adjustRightInd w:val="0"/>
        <w:snapToGrid w:val="0"/>
        <w:spacing w:line="360" w:lineRule="auto"/>
        <w:jc w:val="both"/>
        <w:rPr>
          <w:sz w:val="24"/>
          <w:szCs w:val="24"/>
          <w:lang w:eastAsia="zh-CN"/>
        </w:rPr>
      </w:pPr>
      <w:r w:rsidRPr="000315B4">
        <w:rPr>
          <w:sz w:val="24"/>
          <w:szCs w:val="24"/>
        </w:rPr>
        <w:lastRenderedPageBreak/>
        <w:t>Table 2</w:t>
      </w:r>
      <w:r w:rsidR="00C47C94">
        <w:rPr>
          <w:rFonts w:hint="eastAsia"/>
          <w:sz w:val="24"/>
          <w:szCs w:val="24"/>
          <w:lang w:eastAsia="zh-CN"/>
        </w:rPr>
        <w:t xml:space="preserve"> </w:t>
      </w:r>
      <w:r w:rsidRPr="000315B4">
        <w:rPr>
          <w:sz w:val="24"/>
          <w:szCs w:val="24"/>
        </w:rPr>
        <w:t>Overall cancer cases, stratified to pre-study and incident cases</w:t>
      </w:r>
      <w:bookmarkEnd w:id="97"/>
      <w:r w:rsidR="007133EC">
        <w:rPr>
          <w:rFonts w:hint="eastAsia"/>
          <w:sz w:val="24"/>
          <w:szCs w:val="24"/>
          <w:lang w:eastAsia="zh-CN"/>
        </w:rPr>
        <w:t xml:space="preserve"> </w:t>
      </w:r>
      <w:r w:rsidR="007133EC" w:rsidRPr="007133EC">
        <w:rPr>
          <w:i/>
          <w:sz w:val="24"/>
          <w:szCs w:val="24"/>
        </w:rPr>
        <w:t>n</w:t>
      </w:r>
      <w:r w:rsidR="007133EC" w:rsidRPr="00C47C94">
        <w:rPr>
          <w:sz w:val="24"/>
          <w:szCs w:val="24"/>
        </w:rPr>
        <w:t xml:space="preserve"> (%)</w:t>
      </w:r>
    </w:p>
    <w:tbl>
      <w:tblPr>
        <w:tblW w:w="11624" w:type="dxa"/>
        <w:tblInd w:w="-1026"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835"/>
        <w:gridCol w:w="2977"/>
        <w:gridCol w:w="2835"/>
        <w:gridCol w:w="2977"/>
      </w:tblGrid>
      <w:tr w:rsidR="001A3EEC" w:rsidRPr="000315B4" w14:paraId="5FA624FB" w14:textId="77777777" w:rsidTr="00C47C94">
        <w:trPr>
          <w:trHeight w:val="630"/>
        </w:trPr>
        <w:tc>
          <w:tcPr>
            <w:tcW w:w="2835" w:type="dxa"/>
            <w:tcBorders>
              <w:top w:val="single" w:sz="12" w:space="0" w:color="000000"/>
              <w:left w:val="nil"/>
              <w:bottom w:val="single" w:sz="12" w:space="0" w:color="auto"/>
            </w:tcBorders>
            <w:shd w:val="clear" w:color="auto" w:fill="auto"/>
            <w:vAlign w:val="center"/>
            <w:hideMark/>
          </w:tcPr>
          <w:p w14:paraId="5F62520B" w14:textId="77777777" w:rsidR="001A3EEC" w:rsidRPr="000315B4" w:rsidRDefault="001A3EEC" w:rsidP="007804E8">
            <w:pPr>
              <w:widowControl w:val="0"/>
              <w:adjustRightInd w:val="0"/>
              <w:snapToGrid w:val="0"/>
              <w:spacing w:line="360" w:lineRule="auto"/>
              <w:jc w:val="both"/>
              <w:rPr>
                <w:sz w:val="24"/>
                <w:szCs w:val="24"/>
                <w:rtl/>
              </w:rPr>
            </w:pPr>
          </w:p>
        </w:tc>
        <w:tc>
          <w:tcPr>
            <w:tcW w:w="2977" w:type="dxa"/>
            <w:tcBorders>
              <w:top w:val="single" w:sz="12" w:space="0" w:color="000000"/>
              <w:bottom w:val="single" w:sz="12" w:space="0" w:color="auto"/>
            </w:tcBorders>
            <w:shd w:val="clear" w:color="auto" w:fill="auto"/>
            <w:vAlign w:val="center"/>
            <w:hideMark/>
          </w:tcPr>
          <w:p w14:paraId="59F26A6D" w14:textId="64C55C11" w:rsidR="001A3EEC" w:rsidRPr="00C47C94" w:rsidRDefault="001A3EEC" w:rsidP="007133EC">
            <w:pPr>
              <w:widowControl w:val="0"/>
              <w:adjustRightInd w:val="0"/>
              <w:snapToGrid w:val="0"/>
              <w:spacing w:line="360" w:lineRule="auto"/>
              <w:jc w:val="center"/>
              <w:rPr>
                <w:b/>
                <w:sz w:val="24"/>
                <w:szCs w:val="24"/>
              </w:rPr>
            </w:pPr>
            <w:r w:rsidRPr="00C47C94">
              <w:rPr>
                <w:b/>
                <w:sz w:val="24"/>
                <w:szCs w:val="24"/>
              </w:rPr>
              <w:t xml:space="preserve">Pre-study cancers </w:t>
            </w:r>
          </w:p>
        </w:tc>
        <w:tc>
          <w:tcPr>
            <w:tcW w:w="2835" w:type="dxa"/>
            <w:tcBorders>
              <w:top w:val="single" w:sz="12" w:space="0" w:color="000000"/>
              <w:bottom w:val="single" w:sz="12" w:space="0" w:color="auto"/>
            </w:tcBorders>
            <w:shd w:val="clear" w:color="auto" w:fill="auto"/>
            <w:vAlign w:val="center"/>
          </w:tcPr>
          <w:p w14:paraId="43E9D028" w14:textId="51142601" w:rsidR="001A3EEC" w:rsidRPr="00C47C94" w:rsidRDefault="00C47C94" w:rsidP="007133EC">
            <w:pPr>
              <w:widowControl w:val="0"/>
              <w:adjustRightInd w:val="0"/>
              <w:snapToGrid w:val="0"/>
              <w:spacing w:line="360" w:lineRule="auto"/>
              <w:jc w:val="center"/>
              <w:rPr>
                <w:b/>
                <w:sz w:val="24"/>
                <w:szCs w:val="24"/>
              </w:rPr>
            </w:pPr>
            <w:r>
              <w:rPr>
                <w:b/>
                <w:sz w:val="24"/>
                <w:szCs w:val="24"/>
              </w:rPr>
              <w:t>Incident</w:t>
            </w:r>
            <w:r>
              <w:rPr>
                <w:rFonts w:hint="eastAsia"/>
                <w:b/>
                <w:sz w:val="24"/>
                <w:szCs w:val="24"/>
                <w:lang w:eastAsia="zh-CN"/>
              </w:rPr>
              <w:t xml:space="preserve"> </w:t>
            </w:r>
            <w:r w:rsidR="001A3EEC" w:rsidRPr="00C47C94">
              <w:rPr>
                <w:b/>
                <w:sz w:val="24"/>
                <w:szCs w:val="24"/>
              </w:rPr>
              <w:t>cancers</w:t>
            </w:r>
          </w:p>
        </w:tc>
        <w:tc>
          <w:tcPr>
            <w:tcW w:w="2977" w:type="dxa"/>
            <w:tcBorders>
              <w:top w:val="single" w:sz="12" w:space="0" w:color="000000"/>
              <w:bottom w:val="single" w:sz="12" w:space="0" w:color="auto"/>
              <w:right w:val="nil"/>
            </w:tcBorders>
            <w:shd w:val="clear" w:color="auto" w:fill="auto"/>
            <w:vAlign w:val="center"/>
          </w:tcPr>
          <w:p w14:paraId="7BE37255" w14:textId="49CD5319" w:rsidR="001A3EEC" w:rsidRPr="00C47C94" w:rsidRDefault="00C47C94" w:rsidP="00C47C94">
            <w:pPr>
              <w:widowControl w:val="0"/>
              <w:adjustRightInd w:val="0"/>
              <w:snapToGrid w:val="0"/>
              <w:spacing w:line="360" w:lineRule="auto"/>
              <w:jc w:val="center"/>
              <w:rPr>
                <w:b/>
                <w:sz w:val="24"/>
                <w:szCs w:val="24"/>
              </w:rPr>
            </w:pPr>
            <w:r>
              <w:rPr>
                <w:b/>
                <w:sz w:val="24"/>
                <w:szCs w:val="24"/>
              </w:rPr>
              <w:t xml:space="preserve">Lifetime </w:t>
            </w:r>
            <w:r w:rsidR="001A3EEC" w:rsidRPr="00C47C94">
              <w:rPr>
                <w:b/>
                <w:sz w:val="24"/>
                <w:szCs w:val="24"/>
              </w:rPr>
              <w:t>cancers</w:t>
            </w:r>
          </w:p>
        </w:tc>
      </w:tr>
      <w:tr w:rsidR="00BD7250" w:rsidRPr="000315B4" w14:paraId="6F99156F" w14:textId="77777777" w:rsidTr="00C47C94">
        <w:trPr>
          <w:trHeight w:val="300"/>
        </w:trPr>
        <w:tc>
          <w:tcPr>
            <w:tcW w:w="2835" w:type="dxa"/>
            <w:tcBorders>
              <w:top w:val="single" w:sz="12" w:space="0" w:color="auto"/>
              <w:left w:val="nil"/>
            </w:tcBorders>
            <w:shd w:val="clear" w:color="auto" w:fill="auto"/>
            <w:noWrap/>
            <w:vAlign w:val="bottom"/>
            <w:hideMark/>
          </w:tcPr>
          <w:p w14:paraId="03E5A600"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Esophagus</w:t>
            </w:r>
          </w:p>
        </w:tc>
        <w:tc>
          <w:tcPr>
            <w:tcW w:w="2977" w:type="dxa"/>
            <w:tcBorders>
              <w:top w:val="single" w:sz="12" w:space="0" w:color="auto"/>
            </w:tcBorders>
            <w:shd w:val="clear" w:color="auto" w:fill="auto"/>
            <w:noWrap/>
            <w:vAlign w:val="center"/>
          </w:tcPr>
          <w:p w14:paraId="1C1E084C"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2 (0.5)</w:t>
            </w:r>
            <w:r w:rsidR="003479BE" w:rsidRPr="000315B4">
              <w:rPr>
                <w:sz w:val="24"/>
                <w:szCs w:val="24"/>
                <w:vertAlign w:val="superscript"/>
              </w:rPr>
              <w:t xml:space="preserve"> 2</w:t>
            </w:r>
          </w:p>
        </w:tc>
        <w:tc>
          <w:tcPr>
            <w:tcW w:w="2835" w:type="dxa"/>
            <w:tcBorders>
              <w:top w:val="single" w:sz="12" w:space="0" w:color="auto"/>
            </w:tcBorders>
            <w:shd w:val="clear" w:color="auto" w:fill="auto"/>
            <w:vAlign w:val="bottom"/>
          </w:tcPr>
          <w:p w14:paraId="47310B39"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4 (1)</w:t>
            </w:r>
          </w:p>
        </w:tc>
        <w:tc>
          <w:tcPr>
            <w:tcW w:w="2977" w:type="dxa"/>
            <w:tcBorders>
              <w:top w:val="single" w:sz="12" w:space="0" w:color="auto"/>
              <w:right w:val="nil"/>
            </w:tcBorders>
            <w:shd w:val="clear" w:color="auto" w:fill="auto"/>
            <w:vAlign w:val="bottom"/>
          </w:tcPr>
          <w:p w14:paraId="3F886BB7"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6 (1.6)</w:t>
            </w:r>
          </w:p>
        </w:tc>
      </w:tr>
      <w:tr w:rsidR="001A30D4" w:rsidRPr="000315B4" w14:paraId="6730F228" w14:textId="77777777" w:rsidTr="00C47C94">
        <w:trPr>
          <w:trHeight w:val="288"/>
        </w:trPr>
        <w:tc>
          <w:tcPr>
            <w:tcW w:w="2835" w:type="dxa"/>
            <w:tcBorders>
              <w:left w:val="nil"/>
            </w:tcBorders>
            <w:shd w:val="clear" w:color="auto" w:fill="auto"/>
            <w:noWrap/>
            <w:vAlign w:val="bottom"/>
            <w:hideMark/>
          </w:tcPr>
          <w:p w14:paraId="5ED827E0"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Cardia</w:t>
            </w:r>
          </w:p>
        </w:tc>
        <w:tc>
          <w:tcPr>
            <w:tcW w:w="2977" w:type="dxa"/>
            <w:shd w:val="clear" w:color="auto" w:fill="auto"/>
            <w:noWrap/>
            <w:vAlign w:val="center"/>
          </w:tcPr>
          <w:p w14:paraId="257EB396"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2 (0.5)</w:t>
            </w:r>
          </w:p>
        </w:tc>
        <w:tc>
          <w:tcPr>
            <w:tcW w:w="2835" w:type="dxa"/>
            <w:shd w:val="clear" w:color="auto" w:fill="auto"/>
            <w:vAlign w:val="bottom"/>
          </w:tcPr>
          <w:p w14:paraId="08BC5AF6"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3 (0.8)</w:t>
            </w:r>
          </w:p>
        </w:tc>
        <w:tc>
          <w:tcPr>
            <w:tcW w:w="2977" w:type="dxa"/>
            <w:tcBorders>
              <w:right w:val="nil"/>
            </w:tcBorders>
            <w:shd w:val="clear" w:color="auto" w:fill="auto"/>
            <w:vAlign w:val="bottom"/>
          </w:tcPr>
          <w:p w14:paraId="3CFA3E33"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5 (1.3)</w:t>
            </w:r>
          </w:p>
        </w:tc>
      </w:tr>
      <w:tr w:rsidR="001A30D4" w:rsidRPr="000315B4" w14:paraId="01C765A3" w14:textId="77777777" w:rsidTr="00C47C94">
        <w:trPr>
          <w:trHeight w:val="288"/>
        </w:trPr>
        <w:tc>
          <w:tcPr>
            <w:tcW w:w="2835" w:type="dxa"/>
            <w:tcBorders>
              <w:left w:val="nil"/>
            </w:tcBorders>
            <w:shd w:val="clear" w:color="auto" w:fill="auto"/>
            <w:noWrap/>
            <w:vAlign w:val="bottom"/>
            <w:hideMark/>
          </w:tcPr>
          <w:p w14:paraId="5BC6DB3F"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Stomach</w:t>
            </w:r>
          </w:p>
        </w:tc>
        <w:tc>
          <w:tcPr>
            <w:tcW w:w="2977" w:type="dxa"/>
            <w:shd w:val="clear" w:color="auto" w:fill="auto"/>
            <w:noWrap/>
            <w:vAlign w:val="center"/>
          </w:tcPr>
          <w:p w14:paraId="76D5DD3F"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3 (0.8)</w:t>
            </w:r>
          </w:p>
        </w:tc>
        <w:tc>
          <w:tcPr>
            <w:tcW w:w="2835" w:type="dxa"/>
            <w:shd w:val="clear" w:color="auto" w:fill="auto"/>
            <w:vAlign w:val="bottom"/>
          </w:tcPr>
          <w:p w14:paraId="0595A02B"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0 (</w:t>
            </w:r>
            <w:r w:rsidRPr="000315B4">
              <w:rPr>
                <w:sz w:val="24"/>
                <w:szCs w:val="24"/>
                <w:rtl/>
              </w:rPr>
              <w:t>0</w:t>
            </w:r>
            <w:r w:rsidRPr="000315B4">
              <w:rPr>
                <w:sz w:val="24"/>
                <w:szCs w:val="24"/>
              </w:rPr>
              <w:t>)</w:t>
            </w:r>
          </w:p>
        </w:tc>
        <w:tc>
          <w:tcPr>
            <w:tcW w:w="2977" w:type="dxa"/>
            <w:tcBorders>
              <w:right w:val="nil"/>
            </w:tcBorders>
            <w:shd w:val="clear" w:color="auto" w:fill="auto"/>
            <w:vAlign w:val="bottom"/>
          </w:tcPr>
          <w:p w14:paraId="582E42D9"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3 (0.8)</w:t>
            </w:r>
          </w:p>
        </w:tc>
      </w:tr>
      <w:tr w:rsidR="001A30D4" w:rsidRPr="000315B4" w14:paraId="047B8F91" w14:textId="77777777" w:rsidTr="00C47C94">
        <w:trPr>
          <w:trHeight w:val="288"/>
        </w:trPr>
        <w:tc>
          <w:tcPr>
            <w:tcW w:w="2835" w:type="dxa"/>
            <w:tcBorders>
              <w:left w:val="nil"/>
            </w:tcBorders>
            <w:shd w:val="clear" w:color="auto" w:fill="auto"/>
            <w:noWrap/>
            <w:vAlign w:val="bottom"/>
            <w:hideMark/>
          </w:tcPr>
          <w:p w14:paraId="5992D9C8"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Colorectal cancer</w:t>
            </w:r>
          </w:p>
        </w:tc>
        <w:tc>
          <w:tcPr>
            <w:tcW w:w="2977" w:type="dxa"/>
            <w:shd w:val="clear" w:color="auto" w:fill="auto"/>
            <w:noWrap/>
            <w:vAlign w:val="center"/>
          </w:tcPr>
          <w:p w14:paraId="71B9B701"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9 (2.3)</w:t>
            </w:r>
          </w:p>
        </w:tc>
        <w:tc>
          <w:tcPr>
            <w:tcW w:w="2835" w:type="dxa"/>
            <w:shd w:val="clear" w:color="auto" w:fill="auto"/>
            <w:vAlign w:val="bottom"/>
          </w:tcPr>
          <w:p w14:paraId="7CAEA10A"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1 (0.</w:t>
            </w:r>
            <w:r w:rsidRPr="000315B4">
              <w:rPr>
                <w:sz w:val="24"/>
                <w:szCs w:val="24"/>
                <w:rtl/>
              </w:rPr>
              <w:t>3</w:t>
            </w:r>
            <w:r w:rsidRPr="000315B4">
              <w:rPr>
                <w:sz w:val="24"/>
                <w:szCs w:val="24"/>
              </w:rPr>
              <w:t>)</w:t>
            </w:r>
          </w:p>
        </w:tc>
        <w:tc>
          <w:tcPr>
            <w:tcW w:w="2977" w:type="dxa"/>
            <w:tcBorders>
              <w:right w:val="nil"/>
            </w:tcBorders>
            <w:shd w:val="clear" w:color="auto" w:fill="auto"/>
            <w:vAlign w:val="bottom"/>
          </w:tcPr>
          <w:p w14:paraId="5264EA41"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10 (2.6)</w:t>
            </w:r>
          </w:p>
        </w:tc>
      </w:tr>
      <w:tr w:rsidR="00BD7250" w:rsidRPr="000315B4" w14:paraId="3497C422" w14:textId="77777777" w:rsidTr="00C47C94">
        <w:trPr>
          <w:trHeight w:val="288"/>
        </w:trPr>
        <w:tc>
          <w:tcPr>
            <w:tcW w:w="2835" w:type="dxa"/>
            <w:tcBorders>
              <w:left w:val="nil"/>
            </w:tcBorders>
            <w:shd w:val="clear" w:color="auto" w:fill="auto"/>
            <w:noWrap/>
            <w:vAlign w:val="bottom"/>
            <w:hideMark/>
          </w:tcPr>
          <w:p w14:paraId="133F59E3"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Small intestine</w:t>
            </w:r>
          </w:p>
        </w:tc>
        <w:tc>
          <w:tcPr>
            <w:tcW w:w="2977" w:type="dxa"/>
            <w:tcBorders>
              <w:bottom w:val="nil"/>
            </w:tcBorders>
            <w:shd w:val="clear" w:color="auto" w:fill="auto"/>
            <w:noWrap/>
            <w:vAlign w:val="center"/>
          </w:tcPr>
          <w:p w14:paraId="00681363"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1 (0.</w:t>
            </w:r>
            <w:r w:rsidRPr="000315B4">
              <w:rPr>
                <w:sz w:val="24"/>
                <w:szCs w:val="24"/>
                <w:rtl/>
              </w:rPr>
              <w:t>3</w:t>
            </w:r>
            <w:r w:rsidRPr="000315B4">
              <w:rPr>
                <w:sz w:val="24"/>
                <w:szCs w:val="24"/>
              </w:rPr>
              <w:t>)</w:t>
            </w:r>
          </w:p>
        </w:tc>
        <w:tc>
          <w:tcPr>
            <w:tcW w:w="2835" w:type="dxa"/>
            <w:shd w:val="clear" w:color="auto" w:fill="auto"/>
            <w:vAlign w:val="bottom"/>
          </w:tcPr>
          <w:p w14:paraId="33BC801A"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0 (</w:t>
            </w:r>
            <w:r w:rsidRPr="000315B4">
              <w:rPr>
                <w:sz w:val="24"/>
                <w:szCs w:val="24"/>
                <w:rtl/>
              </w:rPr>
              <w:t>0</w:t>
            </w:r>
            <w:r w:rsidRPr="000315B4">
              <w:rPr>
                <w:sz w:val="24"/>
                <w:szCs w:val="24"/>
              </w:rPr>
              <w:t>)</w:t>
            </w:r>
          </w:p>
        </w:tc>
        <w:tc>
          <w:tcPr>
            <w:tcW w:w="2977" w:type="dxa"/>
            <w:tcBorders>
              <w:right w:val="nil"/>
            </w:tcBorders>
            <w:shd w:val="clear" w:color="auto" w:fill="auto"/>
            <w:vAlign w:val="bottom"/>
          </w:tcPr>
          <w:p w14:paraId="618B35B1"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1 (0.3)</w:t>
            </w:r>
          </w:p>
        </w:tc>
      </w:tr>
      <w:tr w:rsidR="00BD7250" w:rsidRPr="000315B4" w14:paraId="2516A0A4" w14:textId="77777777" w:rsidTr="00C47C94">
        <w:trPr>
          <w:trHeight w:val="288"/>
        </w:trPr>
        <w:tc>
          <w:tcPr>
            <w:tcW w:w="2835" w:type="dxa"/>
            <w:tcBorders>
              <w:left w:val="nil"/>
            </w:tcBorders>
            <w:shd w:val="clear" w:color="auto" w:fill="auto"/>
            <w:noWrap/>
            <w:vAlign w:val="bottom"/>
            <w:hideMark/>
          </w:tcPr>
          <w:p w14:paraId="3D4C175B"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Cholangiocarcinoma</w:t>
            </w:r>
          </w:p>
        </w:tc>
        <w:tc>
          <w:tcPr>
            <w:tcW w:w="2977" w:type="dxa"/>
            <w:tcBorders>
              <w:top w:val="nil"/>
              <w:bottom w:val="nil"/>
            </w:tcBorders>
            <w:shd w:val="clear" w:color="auto" w:fill="auto"/>
            <w:noWrap/>
            <w:vAlign w:val="center"/>
          </w:tcPr>
          <w:p w14:paraId="2B28D115"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1 (0.</w:t>
            </w:r>
            <w:r w:rsidRPr="000315B4">
              <w:rPr>
                <w:sz w:val="24"/>
                <w:szCs w:val="24"/>
                <w:rtl/>
              </w:rPr>
              <w:t>3</w:t>
            </w:r>
            <w:r w:rsidRPr="000315B4">
              <w:rPr>
                <w:sz w:val="24"/>
                <w:szCs w:val="24"/>
              </w:rPr>
              <w:t>)</w:t>
            </w:r>
          </w:p>
        </w:tc>
        <w:tc>
          <w:tcPr>
            <w:tcW w:w="2835" w:type="dxa"/>
            <w:shd w:val="clear" w:color="auto" w:fill="auto"/>
            <w:vAlign w:val="bottom"/>
          </w:tcPr>
          <w:p w14:paraId="57E9CFFE"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0 (</w:t>
            </w:r>
            <w:r w:rsidRPr="000315B4">
              <w:rPr>
                <w:sz w:val="24"/>
                <w:szCs w:val="24"/>
                <w:rtl/>
              </w:rPr>
              <w:t>0</w:t>
            </w:r>
            <w:r w:rsidRPr="000315B4">
              <w:rPr>
                <w:sz w:val="24"/>
                <w:szCs w:val="24"/>
              </w:rPr>
              <w:t>)</w:t>
            </w:r>
          </w:p>
        </w:tc>
        <w:tc>
          <w:tcPr>
            <w:tcW w:w="2977" w:type="dxa"/>
            <w:tcBorders>
              <w:right w:val="nil"/>
            </w:tcBorders>
            <w:shd w:val="clear" w:color="auto" w:fill="auto"/>
            <w:vAlign w:val="bottom"/>
          </w:tcPr>
          <w:p w14:paraId="3FDD3A69"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1 (0.3)</w:t>
            </w:r>
          </w:p>
        </w:tc>
      </w:tr>
      <w:tr w:rsidR="00BD7250" w:rsidRPr="000315B4" w14:paraId="371B565D" w14:textId="77777777" w:rsidTr="00C47C94">
        <w:trPr>
          <w:trHeight w:val="288"/>
        </w:trPr>
        <w:tc>
          <w:tcPr>
            <w:tcW w:w="2835" w:type="dxa"/>
            <w:tcBorders>
              <w:left w:val="nil"/>
            </w:tcBorders>
            <w:shd w:val="clear" w:color="auto" w:fill="auto"/>
            <w:noWrap/>
            <w:vAlign w:val="bottom"/>
            <w:hideMark/>
          </w:tcPr>
          <w:p w14:paraId="701D8CE4"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Pancreas</w:t>
            </w:r>
          </w:p>
        </w:tc>
        <w:tc>
          <w:tcPr>
            <w:tcW w:w="2977" w:type="dxa"/>
            <w:tcBorders>
              <w:top w:val="nil"/>
            </w:tcBorders>
            <w:shd w:val="clear" w:color="auto" w:fill="auto"/>
            <w:noWrap/>
            <w:vAlign w:val="center"/>
          </w:tcPr>
          <w:p w14:paraId="38B2F473"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0 (0)</w:t>
            </w:r>
          </w:p>
        </w:tc>
        <w:tc>
          <w:tcPr>
            <w:tcW w:w="2835" w:type="dxa"/>
            <w:shd w:val="clear" w:color="auto" w:fill="auto"/>
            <w:vAlign w:val="bottom"/>
          </w:tcPr>
          <w:p w14:paraId="4458AFBA"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2 (0.5)</w:t>
            </w:r>
          </w:p>
        </w:tc>
        <w:tc>
          <w:tcPr>
            <w:tcW w:w="2977" w:type="dxa"/>
            <w:tcBorders>
              <w:right w:val="nil"/>
            </w:tcBorders>
            <w:shd w:val="clear" w:color="auto" w:fill="auto"/>
            <w:vAlign w:val="bottom"/>
          </w:tcPr>
          <w:p w14:paraId="195A4525"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2 (0.5)</w:t>
            </w:r>
          </w:p>
        </w:tc>
      </w:tr>
      <w:tr w:rsidR="001A30D4" w:rsidRPr="000315B4" w14:paraId="3F69FF84" w14:textId="77777777" w:rsidTr="00C47C94">
        <w:trPr>
          <w:trHeight w:val="288"/>
        </w:trPr>
        <w:tc>
          <w:tcPr>
            <w:tcW w:w="2835" w:type="dxa"/>
            <w:tcBorders>
              <w:left w:val="nil"/>
            </w:tcBorders>
            <w:shd w:val="clear" w:color="auto" w:fill="auto"/>
            <w:noWrap/>
            <w:vAlign w:val="bottom"/>
            <w:hideMark/>
          </w:tcPr>
          <w:p w14:paraId="2ECCF0EC"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Bladder</w:t>
            </w:r>
          </w:p>
        </w:tc>
        <w:tc>
          <w:tcPr>
            <w:tcW w:w="2977" w:type="dxa"/>
            <w:shd w:val="clear" w:color="auto" w:fill="auto"/>
            <w:noWrap/>
            <w:vAlign w:val="center"/>
          </w:tcPr>
          <w:p w14:paraId="07435DFD"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5 (1.3)</w:t>
            </w:r>
          </w:p>
        </w:tc>
        <w:tc>
          <w:tcPr>
            <w:tcW w:w="2835" w:type="dxa"/>
            <w:shd w:val="clear" w:color="auto" w:fill="auto"/>
            <w:vAlign w:val="bottom"/>
          </w:tcPr>
          <w:p w14:paraId="3E7954A1"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4 (1)</w:t>
            </w:r>
          </w:p>
        </w:tc>
        <w:tc>
          <w:tcPr>
            <w:tcW w:w="2977" w:type="dxa"/>
            <w:tcBorders>
              <w:right w:val="nil"/>
            </w:tcBorders>
            <w:shd w:val="clear" w:color="auto" w:fill="auto"/>
            <w:vAlign w:val="bottom"/>
          </w:tcPr>
          <w:p w14:paraId="4FB07449"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9 (2.3)</w:t>
            </w:r>
          </w:p>
        </w:tc>
      </w:tr>
      <w:tr w:rsidR="001A30D4" w:rsidRPr="000315B4" w14:paraId="7F7B09BF" w14:textId="77777777" w:rsidTr="00C47C94">
        <w:trPr>
          <w:trHeight w:val="288"/>
        </w:trPr>
        <w:tc>
          <w:tcPr>
            <w:tcW w:w="2835" w:type="dxa"/>
            <w:tcBorders>
              <w:left w:val="nil"/>
            </w:tcBorders>
            <w:shd w:val="clear" w:color="auto" w:fill="auto"/>
            <w:noWrap/>
            <w:vAlign w:val="bottom"/>
            <w:hideMark/>
          </w:tcPr>
          <w:p w14:paraId="607C537A"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Prostate</w:t>
            </w:r>
          </w:p>
        </w:tc>
        <w:tc>
          <w:tcPr>
            <w:tcW w:w="2977" w:type="dxa"/>
            <w:shd w:val="clear" w:color="auto" w:fill="auto"/>
            <w:noWrap/>
            <w:vAlign w:val="center"/>
          </w:tcPr>
          <w:p w14:paraId="1C9B5813"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11 (2.8)</w:t>
            </w:r>
          </w:p>
        </w:tc>
        <w:tc>
          <w:tcPr>
            <w:tcW w:w="2835" w:type="dxa"/>
            <w:shd w:val="clear" w:color="auto" w:fill="auto"/>
            <w:vAlign w:val="bottom"/>
          </w:tcPr>
          <w:p w14:paraId="0E8E81D5"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0 (</w:t>
            </w:r>
            <w:r w:rsidRPr="000315B4">
              <w:rPr>
                <w:sz w:val="24"/>
                <w:szCs w:val="24"/>
                <w:rtl/>
              </w:rPr>
              <w:t>0</w:t>
            </w:r>
            <w:r w:rsidRPr="000315B4">
              <w:rPr>
                <w:sz w:val="24"/>
                <w:szCs w:val="24"/>
              </w:rPr>
              <w:t>)</w:t>
            </w:r>
          </w:p>
        </w:tc>
        <w:tc>
          <w:tcPr>
            <w:tcW w:w="2977" w:type="dxa"/>
            <w:tcBorders>
              <w:right w:val="nil"/>
            </w:tcBorders>
            <w:shd w:val="clear" w:color="auto" w:fill="auto"/>
            <w:vAlign w:val="bottom"/>
          </w:tcPr>
          <w:p w14:paraId="0C179350"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11 (2.8)</w:t>
            </w:r>
          </w:p>
        </w:tc>
      </w:tr>
      <w:tr w:rsidR="001A30D4" w:rsidRPr="000315B4" w14:paraId="4E7EA175" w14:textId="77777777" w:rsidTr="00C47C94">
        <w:trPr>
          <w:trHeight w:val="288"/>
        </w:trPr>
        <w:tc>
          <w:tcPr>
            <w:tcW w:w="2835" w:type="dxa"/>
            <w:tcBorders>
              <w:left w:val="nil"/>
            </w:tcBorders>
            <w:shd w:val="clear" w:color="auto" w:fill="auto"/>
            <w:noWrap/>
            <w:vAlign w:val="bottom"/>
            <w:hideMark/>
          </w:tcPr>
          <w:p w14:paraId="2E31F29A"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Kidney</w:t>
            </w:r>
          </w:p>
        </w:tc>
        <w:tc>
          <w:tcPr>
            <w:tcW w:w="2977" w:type="dxa"/>
            <w:shd w:val="clear" w:color="auto" w:fill="auto"/>
            <w:noWrap/>
            <w:vAlign w:val="center"/>
          </w:tcPr>
          <w:p w14:paraId="4D34CE7E"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2 (0.5)</w:t>
            </w:r>
          </w:p>
        </w:tc>
        <w:tc>
          <w:tcPr>
            <w:tcW w:w="2835" w:type="dxa"/>
            <w:shd w:val="clear" w:color="auto" w:fill="auto"/>
            <w:vAlign w:val="bottom"/>
          </w:tcPr>
          <w:p w14:paraId="7DE29BB9"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2 (0.5)</w:t>
            </w:r>
          </w:p>
        </w:tc>
        <w:tc>
          <w:tcPr>
            <w:tcW w:w="2977" w:type="dxa"/>
            <w:tcBorders>
              <w:right w:val="nil"/>
            </w:tcBorders>
            <w:shd w:val="clear" w:color="auto" w:fill="auto"/>
            <w:vAlign w:val="bottom"/>
          </w:tcPr>
          <w:p w14:paraId="797D143F"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4 (1)</w:t>
            </w:r>
          </w:p>
        </w:tc>
      </w:tr>
      <w:tr w:rsidR="001A30D4" w:rsidRPr="000315B4" w14:paraId="7040DD2D" w14:textId="77777777" w:rsidTr="00C47C94">
        <w:trPr>
          <w:trHeight w:val="288"/>
        </w:trPr>
        <w:tc>
          <w:tcPr>
            <w:tcW w:w="2835" w:type="dxa"/>
            <w:tcBorders>
              <w:left w:val="nil"/>
            </w:tcBorders>
            <w:shd w:val="clear" w:color="auto" w:fill="auto"/>
            <w:noWrap/>
            <w:vAlign w:val="bottom"/>
            <w:hideMark/>
          </w:tcPr>
          <w:p w14:paraId="6B04E6FC"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Hematologic cancer</w:t>
            </w:r>
          </w:p>
        </w:tc>
        <w:tc>
          <w:tcPr>
            <w:tcW w:w="2977" w:type="dxa"/>
            <w:shd w:val="clear" w:color="auto" w:fill="auto"/>
            <w:noWrap/>
            <w:vAlign w:val="center"/>
          </w:tcPr>
          <w:p w14:paraId="361E3773"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8 (2.07)</w:t>
            </w:r>
          </w:p>
        </w:tc>
        <w:tc>
          <w:tcPr>
            <w:tcW w:w="2835" w:type="dxa"/>
            <w:shd w:val="clear" w:color="auto" w:fill="auto"/>
            <w:vAlign w:val="bottom"/>
          </w:tcPr>
          <w:p w14:paraId="404211D1"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4 (1)</w:t>
            </w:r>
          </w:p>
        </w:tc>
        <w:tc>
          <w:tcPr>
            <w:tcW w:w="2977" w:type="dxa"/>
            <w:tcBorders>
              <w:right w:val="nil"/>
            </w:tcBorders>
            <w:shd w:val="clear" w:color="auto" w:fill="auto"/>
            <w:vAlign w:val="bottom"/>
          </w:tcPr>
          <w:p w14:paraId="41B24D00"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12 (3.1)</w:t>
            </w:r>
          </w:p>
        </w:tc>
      </w:tr>
      <w:tr w:rsidR="001A30D4" w:rsidRPr="000315B4" w14:paraId="50771B23" w14:textId="77777777" w:rsidTr="00C47C94">
        <w:trPr>
          <w:trHeight w:val="288"/>
        </w:trPr>
        <w:tc>
          <w:tcPr>
            <w:tcW w:w="2835" w:type="dxa"/>
            <w:tcBorders>
              <w:left w:val="nil"/>
            </w:tcBorders>
            <w:shd w:val="clear" w:color="auto" w:fill="auto"/>
            <w:noWrap/>
            <w:vAlign w:val="bottom"/>
            <w:hideMark/>
          </w:tcPr>
          <w:p w14:paraId="037201EF"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Skin</w:t>
            </w:r>
          </w:p>
        </w:tc>
        <w:tc>
          <w:tcPr>
            <w:tcW w:w="2977" w:type="dxa"/>
            <w:shd w:val="clear" w:color="auto" w:fill="auto"/>
            <w:noWrap/>
            <w:vAlign w:val="center"/>
          </w:tcPr>
          <w:p w14:paraId="47C0E798"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4 (1)</w:t>
            </w:r>
          </w:p>
        </w:tc>
        <w:tc>
          <w:tcPr>
            <w:tcW w:w="2835" w:type="dxa"/>
            <w:shd w:val="clear" w:color="auto" w:fill="auto"/>
            <w:vAlign w:val="bottom"/>
          </w:tcPr>
          <w:p w14:paraId="4E818DC8"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2 (0.5)</w:t>
            </w:r>
          </w:p>
        </w:tc>
        <w:tc>
          <w:tcPr>
            <w:tcW w:w="2977" w:type="dxa"/>
            <w:tcBorders>
              <w:right w:val="nil"/>
            </w:tcBorders>
            <w:shd w:val="clear" w:color="auto" w:fill="auto"/>
            <w:vAlign w:val="bottom"/>
          </w:tcPr>
          <w:p w14:paraId="5B290A25"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6 (1.6)</w:t>
            </w:r>
          </w:p>
        </w:tc>
      </w:tr>
      <w:tr w:rsidR="001A30D4" w:rsidRPr="000315B4" w14:paraId="71B1D4DD" w14:textId="77777777" w:rsidTr="00C47C94">
        <w:trPr>
          <w:trHeight w:val="288"/>
        </w:trPr>
        <w:tc>
          <w:tcPr>
            <w:tcW w:w="2835" w:type="dxa"/>
            <w:tcBorders>
              <w:left w:val="nil"/>
            </w:tcBorders>
            <w:shd w:val="clear" w:color="auto" w:fill="auto"/>
            <w:noWrap/>
            <w:vAlign w:val="bottom"/>
            <w:hideMark/>
          </w:tcPr>
          <w:p w14:paraId="0458E490"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Breast</w:t>
            </w:r>
          </w:p>
        </w:tc>
        <w:tc>
          <w:tcPr>
            <w:tcW w:w="2977" w:type="dxa"/>
            <w:shd w:val="clear" w:color="auto" w:fill="auto"/>
            <w:noWrap/>
            <w:vAlign w:val="center"/>
          </w:tcPr>
          <w:p w14:paraId="6145096E"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4 (1)</w:t>
            </w:r>
          </w:p>
        </w:tc>
        <w:tc>
          <w:tcPr>
            <w:tcW w:w="2835" w:type="dxa"/>
            <w:shd w:val="clear" w:color="auto" w:fill="auto"/>
            <w:vAlign w:val="bottom"/>
          </w:tcPr>
          <w:p w14:paraId="3087A5BE"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2 (0.5)</w:t>
            </w:r>
          </w:p>
        </w:tc>
        <w:tc>
          <w:tcPr>
            <w:tcW w:w="2977" w:type="dxa"/>
            <w:tcBorders>
              <w:right w:val="nil"/>
            </w:tcBorders>
            <w:shd w:val="clear" w:color="auto" w:fill="auto"/>
            <w:vAlign w:val="bottom"/>
          </w:tcPr>
          <w:p w14:paraId="5EEE2943"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6 (1.6)</w:t>
            </w:r>
          </w:p>
        </w:tc>
      </w:tr>
      <w:tr w:rsidR="001A30D4" w:rsidRPr="000315B4" w14:paraId="3EDE627A" w14:textId="77777777" w:rsidTr="00C47C94">
        <w:trPr>
          <w:trHeight w:val="288"/>
        </w:trPr>
        <w:tc>
          <w:tcPr>
            <w:tcW w:w="2835" w:type="dxa"/>
            <w:tcBorders>
              <w:left w:val="nil"/>
            </w:tcBorders>
            <w:shd w:val="clear" w:color="auto" w:fill="auto"/>
            <w:noWrap/>
            <w:vAlign w:val="bottom"/>
            <w:hideMark/>
          </w:tcPr>
          <w:p w14:paraId="4E402735"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Thyroid</w:t>
            </w:r>
          </w:p>
        </w:tc>
        <w:tc>
          <w:tcPr>
            <w:tcW w:w="2977" w:type="dxa"/>
            <w:shd w:val="clear" w:color="auto" w:fill="auto"/>
            <w:noWrap/>
            <w:vAlign w:val="center"/>
          </w:tcPr>
          <w:p w14:paraId="0E2CFF16"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3 (0.8)</w:t>
            </w:r>
          </w:p>
        </w:tc>
        <w:tc>
          <w:tcPr>
            <w:tcW w:w="2835" w:type="dxa"/>
            <w:shd w:val="clear" w:color="auto" w:fill="auto"/>
            <w:vAlign w:val="bottom"/>
          </w:tcPr>
          <w:p w14:paraId="6F42B8DE"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0 (</w:t>
            </w:r>
            <w:r w:rsidRPr="000315B4">
              <w:rPr>
                <w:sz w:val="24"/>
                <w:szCs w:val="24"/>
                <w:rtl/>
              </w:rPr>
              <w:t>0</w:t>
            </w:r>
            <w:r w:rsidRPr="000315B4">
              <w:rPr>
                <w:sz w:val="24"/>
                <w:szCs w:val="24"/>
              </w:rPr>
              <w:t>)</w:t>
            </w:r>
          </w:p>
        </w:tc>
        <w:tc>
          <w:tcPr>
            <w:tcW w:w="2977" w:type="dxa"/>
            <w:tcBorders>
              <w:right w:val="nil"/>
            </w:tcBorders>
            <w:shd w:val="clear" w:color="auto" w:fill="auto"/>
            <w:vAlign w:val="bottom"/>
          </w:tcPr>
          <w:p w14:paraId="6DBB2098"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3 (0.8)</w:t>
            </w:r>
          </w:p>
        </w:tc>
      </w:tr>
      <w:tr w:rsidR="001A30D4" w:rsidRPr="000315B4" w14:paraId="78E09B88" w14:textId="77777777" w:rsidTr="00C47C94">
        <w:trPr>
          <w:trHeight w:val="288"/>
        </w:trPr>
        <w:tc>
          <w:tcPr>
            <w:tcW w:w="2835" w:type="dxa"/>
            <w:tcBorders>
              <w:left w:val="nil"/>
            </w:tcBorders>
            <w:shd w:val="clear" w:color="auto" w:fill="auto"/>
            <w:noWrap/>
            <w:vAlign w:val="bottom"/>
            <w:hideMark/>
          </w:tcPr>
          <w:p w14:paraId="7474B484"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Lung</w:t>
            </w:r>
          </w:p>
        </w:tc>
        <w:tc>
          <w:tcPr>
            <w:tcW w:w="2977" w:type="dxa"/>
            <w:shd w:val="clear" w:color="auto" w:fill="auto"/>
            <w:noWrap/>
            <w:vAlign w:val="center"/>
          </w:tcPr>
          <w:p w14:paraId="3C3E0FC2"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0 (0)</w:t>
            </w:r>
          </w:p>
        </w:tc>
        <w:tc>
          <w:tcPr>
            <w:tcW w:w="2835" w:type="dxa"/>
            <w:shd w:val="clear" w:color="auto" w:fill="auto"/>
            <w:vAlign w:val="bottom"/>
          </w:tcPr>
          <w:p w14:paraId="33EF5D38"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2 (0.5)</w:t>
            </w:r>
          </w:p>
        </w:tc>
        <w:tc>
          <w:tcPr>
            <w:tcW w:w="2977" w:type="dxa"/>
            <w:tcBorders>
              <w:right w:val="nil"/>
            </w:tcBorders>
            <w:shd w:val="clear" w:color="auto" w:fill="auto"/>
            <w:vAlign w:val="bottom"/>
          </w:tcPr>
          <w:p w14:paraId="00D7FBB9"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2 (0.5)</w:t>
            </w:r>
          </w:p>
        </w:tc>
      </w:tr>
      <w:tr w:rsidR="001A30D4" w:rsidRPr="000315B4" w14:paraId="62AE536D" w14:textId="77777777" w:rsidTr="00C47C94">
        <w:trPr>
          <w:trHeight w:val="288"/>
        </w:trPr>
        <w:tc>
          <w:tcPr>
            <w:tcW w:w="2835" w:type="dxa"/>
            <w:tcBorders>
              <w:left w:val="nil"/>
            </w:tcBorders>
            <w:shd w:val="clear" w:color="auto" w:fill="auto"/>
            <w:noWrap/>
            <w:vAlign w:val="bottom"/>
            <w:hideMark/>
          </w:tcPr>
          <w:p w14:paraId="5BBB9A81"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Kaposi</w:t>
            </w:r>
          </w:p>
        </w:tc>
        <w:tc>
          <w:tcPr>
            <w:tcW w:w="2977" w:type="dxa"/>
            <w:shd w:val="clear" w:color="auto" w:fill="auto"/>
            <w:noWrap/>
            <w:vAlign w:val="center"/>
          </w:tcPr>
          <w:p w14:paraId="47233409"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0 (0)</w:t>
            </w:r>
          </w:p>
        </w:tc>
        <w:tc>
          <w:tcPr>
            <w:tcW w:w="2835" w:type="dxa"/>
            <w:shd w:val="clear" w:color="auto" w:fill="auto"/>
            <w:vAlign w:val="bottom"/>
          </w:tcPr>
          <w:p w14:paraId="2C9009B3"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1 (0.3)</w:t>
            </w:r>
          </w:p>
        </w:tc>
        <w:tc>
          <w:tcPr>
            <w:tcW w:w="2977" w:type="dxa"/>
            <w:tcBorders>
              <w:right w:val="nil"/>
            </w:tcBorders>
            <w:shd w:val="clear" w:color="auto" w:fill="auto"/>
            <w:vAlign w:val="bottom"/>
          </w:tcPr>
          <w:p w14:paraId="2CD0D5FF"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1 (0.3)</w:t>
            </w:r>
          </w:p>
        </w:tc>
      </w:tr>
      <w:tr w:rsidR="001A30D4" w:rsidRPr="000315B4" w14:paraId="06EDCD79" w14:textId="77777777" w:rsidTr="00C47C94">
        <w:trPr>
          <w:trHeight w:val="288"/>
        </w:trPr>
        <w:tc>
          <w:tcPr>
            <w:tcW w:w="2835" w:type="dxa"/>
            <w:tcBorders>
              <w:left w:val="nil"/>
            </w:tcBorders>
            <w:shd w:val="clear" w:color="auto" w:fill="auto"/>
            <w:noWrap/>
            <w:vAlign w:val="bottom"/>
            <w:hideMark/>
          </w:tcPr>
          <w:p w14:paraId="54C37ADA"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Laryngeal</w:t>
            </w:r>
          </w:p>
        </w:tc>
        <w:tc>
          <w:tcPr>
            <w:tcW w:w="2977" w:type="dxa"/>
            <w:shd w:val="clear" w:color="auto" w:fill="auto"/>
            <w:noWrap/>
            <w:vAlign w:val="center"/>
          </w:tcPr>
          <w:p w14:paraId="6A4CD981"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3 (0.8)</w:t>
            </w:r>
          </w:p>
        </w:tc>
        <w:tc>
          <w:tcPr>
            <w:tcW w:w="2835" w:type="dxa"/>
            <w:shd w:val="clear" w:color="auto" w:fill="auto"/>
            <w:vAlign w:val="bottom"/>
          </w:tcPr>
          <w:p w14:paraId="214121AD"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0 (0)</w:t>
            </w:r>
          </w:p>
        </w:tc>
        <w:tc>
          <w:tcPr>
            <w:tcW w:w="2977" w:type="dxa"/>
            <w:tcBorders>
              <w:right w:val="nil"/>
            </w:tcBorders>
            <w:shd w:val="clear" w:color="auto" w:fill="auto"/>
            <w:vAlign w:val="bottom"/>
          </w:tcPr>
          <w:p w14:paraId="5AB5AE55"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3 (0.8)</w:t>
            </w:r>
          </w:p>
        </w:tc>
      </w:tr>
      <w:tr w:rsidR="001A30D4" w:rsidRPr="000315B4" w14:paraId="0931822E" w14:textId="77777777" w:rsidTr="00C47C94">
        <w:trPr>
          <w:trHeight w:val="288"/>
        </w:trPr>
        <w:tc>
          <w:tcPr>
            <w:tcW w:w="2835" w:type="dxa"/>
            <w:tcBorders>
              <w:left w:val="nil"/>
            </w:tcBorders>
            <w:shd w:val="clear" w:color="auto" w:fill="auto"/>
            <w:noWrap/>
            <w:vAlign w:val="bottom"/>
            <w:hideMark/>
          </w:tcPr>
          <w:p w14:paraId="6BF03F38"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Cervical</w:t>
            </w:r>
          </w:p>
        </w:tc>
        <w:tc>
          <w:tcPr>
            <w:tcW w:w="2977" w:type="dxa"/>
            <w:shd w:val="clear" w:color="auto" w:fill="auto"/>
            <w:noWrap/>
            <w:vAlign w:val="center"/>
          </w:tcPr>
          <w:p w14:paraId="7AB6443F"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1 (0.</w:t>
            </w:r>
            <w:r w:rsidRPr="000315B4">
              <w:rPr>
                <w:sz w:val="24"/>
                <w:szCs w:val="24"/>
                <w:rtl/>
              </w:rPr>
              <w:t>3</w:t>
            </w:r>
            <w:r w:rsidRPr="000315B4">
              <w:rPr>
                <w:sz w:val="24"/>
                <w:szCs w:val="24"/>
              </w:rPr>
              <w:t>)</w:t>
            </w:r>
          </w:p>
        </w:tc>
        <w:tc>
          <w:tcPr>
            <w:tcW w:w="2835" w:type="dxa"/>
            <w:shd w:val="clear" w:color="auto" w:fill="auto"/>
            <w:vAlign w:val="bottom"/>
          </w:tcPr>
          <w:p w14:paraId="3D651D4C"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0 (0)</w:t>
            </w:r>
          </w:p>
        </w:tc>
        <w:tc>
          <w:tcPr>
            <w:tcW w:w="2977" w:type="dxa"/>
            <w:tcBorders>
              <w:right w:val="nil"/>
            </w:tcBorders>
            <w:shd w:val="clear" w:color="auto" w:fill="auto"/>
            <w:vAlign w:val="bottom"/>
          </w:tcPr>
          <w:p w14:paraId="6B21C28D"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1 (0.3)</w:t>
            </w:r>
          </w:p>
        </w:tc>
      </w:tr>
      <w:tr w:rsidR="001A30D4" w:rsidRPr="000315B4" w14:paraId="5E26802F" w14:textId="77777777" w:rsidTr="00C47C94">
        <w:trPr>
          <w:trHeight w:val="20"/>
        </w:trPr>
        <w:tc>
          <w:tcPr>
            <w:tcW w:w="2835" w:type="dxa"/>
            <w:tcBorders>
              <w:left w:val="nil"/>
            </w:tcBorders>
            <w:shd w:val="clear" w:color="auto" w:fill="auto"/>
            <w:vAlign w:val="center"/>
            <w:hideMark/>
          </w:tcPr>
          <w:p w14:paraId="4B5BC200"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Any type of cancer</w:t>
            </w:r>
          </w:p>
        </w:tc>
        <w:tc>
          <w:tcPr>
            <w:tcW w:w="2977" w:type="dxa"/>
            <w:shd w:val="clear" w:color="auto" w:fill="auto"/>
            <w:vAlign w:val="center"/>
          </w:tcPr>
          <w:p w14:paraId="1A2E690C"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59 (15.3)</w:t>
            </w:r>
          </w:p>
        </w:tc>
        <w:tc>
          <w:tcPr>
            <w:tcW w:w="2835" w:type="dxa"/>
            <w:shd w:val="clear" w:color="auto" w:fill="auto"/>
            <w:vAlign w:val="center"/>
          </w:tcPr>
          <w:p w14:paraId="0180AC2F"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27 (7)</w:t>
            </w:r>
          </w:p>
        </w:tc>
        <w:tc>
          <w:tcPr>
            <w:tcW w:w="2977" w:type="dxa"/>
            <w:tcBorders>
              <w:right w:val="nil"/>
            </w:tcBorders>
            <w:shd w:val="clear" w:color="auto" w:fill="auto"/>
            <w:vAlign w:val="center"/>
          </w:tcPr>
          <w:p w14:paraId="405A2ABE"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86 in 75 (19.4) patients</w:t>
            </w:r>
            <w:r w:rsidRPr="000315B4">
              <w:rPr>
                <w:sz w:val="24"/>
                <w:szCs w:val="24"/>
                <w:vertAlign w:val="superscript"/>
              </w:rPr>
              <w:t>1</w:t>
            </w:r>
          </w:p>
        </w:tc>
      </w:tr>
      <w:tr w:rsidR="001A30D4" w:rsidRPr="000315B4" w14:paraId="0F7CA6E2" w14:textId="77777777" w:rsidTr="00C47C94">
        <w:trPr>
          <w:trHeight w:val="20"/>
        </w:trPr>
        <w:tc>
          <w:tcPr>
            <w:tcW w:w="2835" w:type="dxa"/>
            <w:tcBorders>
              <w:left w:val="nil"/>
            </w:tcBorders>
            <w:shd w:val="clear" w:color="auto" w:fill="auto"/>
            <w:vAlign w:val="center"/>
          </w:tcPr>
          <w:p w14:paraId="0610631E"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BE cancer</w:t>
            </w:r>
          </w:p>
        </w:tc>
        <w:tc>
          <w:tcPr>
            <w:tcW w:w="2977" w:type="dxa"/>
            <w:shd w:val="clear" w:color="auto" w:fill="auto"/>
            <w:vAlign w:val="center"/>
          </w:tcPr>
          <w:p w14:paraId="3DB739C9" w14:textId="2B41EB65" w:rsidR="001A3EEC" w:rsidRPr="000315B4" w:rsidRDefault="001A3EEC" w:rsidP="00C47C94">
            <w:pPr>
              <w:widowControl w:val="0"/>
              <w:adjustRightInd w:val="0"/>
              <w:snapToGrid w:val="0"/>
              <w:spacing w:line="360" w:lineRule="auto"/>
              <w:jc w:val="center"/>
              <w:rPr>
                <w:sz w:val="24"/>
                <w:szCs w:val="24"/>
              </w:rPr>
            </w:pPr>
            <w:r w:rsidRPr="000315B4">
              <w:rPr>
                <w:sz w:val="24"/>
                <w:szCs w:val="24"/>
              </w:rPr>
              <w:t>3 (0.8)</w:t>
            </w:r>
          </w:p>
        </w:tc>
        <w:tc>
          <w:tcPr>
            <w:tcW w:w="2835" w:type="dxa"/>
            <w:shd w:val="clear" w:color="auto" w:fill="auto"/>
            <w:vAlign w:val="center"/>
          </w:tcPr>
          <w:p w14:paraId="39309D3A"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7 (1.8)</w:t>
            </w:r>
          </w:p>
        </w:tc>
        <w:tc>
          <w:tcPr>
            <w:tcW w:w="2977" w:type="dxa"/>
            <w:tcBorders>
              <w:right w:val="nil"/>
            </w:tcBorders>
            <w:shd w:val="clear" w:color="auto" w:fill="auto"/>
            <w:vAlign w:val="center"/>
          </w:tcPr>
          <w:p w14:paraId="190C7F4F" w14:textId="1AF05397" w:rsidR="001A3EEC" w:rsidRPr="000315B4" w:rsidRDefault="001A3EEC" w:rsidP="00C47C94">
            <w:pPr>
              <w:widowControl w:val="0"/>
              <w:adjustRightInd w:val="0"/>
              <w:snapToGrid w:val="0"/>
              <w:spacing w:line="360" w:lineRule="auto"/>
              <w:jc w:val="center"/>
              <w:rPr>
                <w:sz w:val="24"/>
                <w:szCs w:val="24"/>
              </w:rPr>
            </w:pPr>
            <w:r w:rsidRPr="000315B4">
              <w:rPr>
                <w:sz w:val="24"/>
                <w:szCs w:val="24"/>
              </w:rPr>
              <w:t>10 in 10 (2.6) patients</w:t>
            </w:r>
          </w:p>
        </w:tc>
      </w:tr>
      <w:tr w:rsidR="001A30D4" w:rsidRPr="000315B4" w14:paraId="22FD5F87" w14:textId="77777777" w:rsidTr="00C47C94">
        <w:trPr>
          <w:trHeight w:val="20"/>
        </w:trPr>
        <w:tc>
          <w:tcPr>
            <w:tcW w:w="2835" w:type="dxa"/>
            <w:tcBorders>
              <w:left w:val="nil"/>
              <w:bottom w:val="single" w:sz="12" w:space="0" w:color="000000"/>
            </w:tcBorders>
            <w:shd w:val="clear" w:color="auto" w:fill="auto"/>
            <w:vAlign w:val="center"/>
          </w:tcPr>
          <w:p w14:paraId="3C1AF3E2"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Non-BE cancers</w:t>
            </w:r>
          </w:p>
        </w:tc>
        <w:tc>
          <w:tcPr>
            <w:tcW w:w="2977" w:type="dxa"/>
            <w:tcBorders>
              <w:bottom w:val="single" w:sz="12" w:space="0" w:color="000000"/>
            </w:tcBorders>
            <w:shd w:val="clear" w:color="auto" w:fill="auto"/>
            <w:vAlign w:val="center"/>
          </w:tcPr>
          <w:p w14:paraId="710AFF63"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56 (14.5)</w:t>
            </w:r>
          </w:p>
        </w:tc>
        <w:tc>
          <w:tcPr>
            <w:tcW w:w="2835" w:type="dxa"/>
            <w:tcBorders>
              <w:bottom w:val="single" w:sz="12" w:space="0" w:color="000000"/>
            </w:tcBorders>
            <w:shd w:val="clear" w:color="auto" w:fill="auto"/>
            <w:vAlign w:val="center"/>
          </w:tcPr>
          <w:p w14:paraId="4DF47472" w14:textId="77777777" w:rsidR="001A3EEC" w:rsidRPr="000315B4" w:rsidRDefault="001A3EEC" w:rsidP="00C47C94">
            <w:pPr>
              <w:widowControl w:val="0"/>
              <w:adjustRightInd w:val="0"/>
              <w:snapToGrid w:val="0"/>
              <w:spacing w:line="360" w:lineRule="auto"/>
              <w:jc w:val="center"/>
              <w:rPr>
                <w:sz w:val="24"/>
                <w:szCs w:val="24"/>
              </w:rPr>
            </w:pPr>
            <w:r w:rsidRPr="000315B4">
              <w:rPr>
                <w:sz w:val="24"/>
                <w:szCs w:val="24"/>
              </w:rPr>
              <w:t>20 (5.2)</w:t>
            </w:r>
          </w:p>
        </w:tc>
        <w:tc>
          <w:tcPr>
            <w:tcW w:w="2977" w:type="dxa"/>
            <w:tcBorders>
              <w:bottom w:val="single" w:sz="12" w:space="0" w:color="000000"/>
              <w:right w:val="nil"/>
            </w:tcBorders>
            <w:shd w:val="clear" w:color="auto" w:fill="auto"/>
            <w:vAlign w:val="center"/>
          </w:tcPr>
          <w:p w14:paraId="36242071" w14:textId="10C38FCA" w:rsidR="001A3EEC" w:rsidRPr="000315B4" w:rsidRDefault="001A3EEC" w:rsidP="00C47C94">
            <w:pPr>
              <w:widowControl w:val="0"/>
              <w:adjustRightInd w:val="0"/>
              <w:snapToGrid w:val="0"/>
              <w:spacing w:line="360" w:lineRule="auto"/>
              <w:jc w:val="center"/>
              <w:rPr>
                <w:sz w:val="24"/>
                <w:szCs w:val="24"/>
              </w:rPr>
            </w:pPr>
            <w:r w:rsidRPr="000315B4">
              <w:rPr>
                <w:sz w:val="24"/>
                <w:szCs w:val="24"/>
              </w:rPr>
              <w:t>76 in 65 (16.8) patients</w:t>
            </w:r>
          </w:p>
        </w:tc>
      </w:tr>
    </w:tbl>
    <w:p w14:paraId="42F6878F" w14:textId="3CF22C46" w:rsidR="001A3EEC" w:rsidRPr="000315B4" w:rsidRDefault="00C47C94" w:rsidP="007804E8">
      <w:pPr>
        <w:widowControl w:val="0"/>
        <w:adjustRightInd w:val="0"/>
        <w:snapToGrid w:val="0"/>
        <w:spacing w:line="360" w:lineRule="auto"/>
        <w:jc w:val="both"/>
        <w:rPr>
          <w:sz w:val="24"/>
          <w:szCs w:val="24"/>
          <w:lang w:eastAsia="zh-CN"/>
        </w:rPr>
      </w:pPr>
      <w:r>
        <w:rPr>
          <w:sz w:val="24"/>
          <w:szCs w:val="24"/>
          <w:vertAlign w:val="superscript"/>
        </w:rPr>
        <w:t>1</w:t>
      </w:r>
      <w:r w:rsidR="001A3EEC" w:rsidRPr="000315B4">
        <w:rPr>
          <w:sz w:val="24"/>
          <w:szCs w:val="24"/>
        </w:rPr>
        <w:t>There were 9 patients with 2 lifetime cancers, and one with 3 cancer cases</w:t>
      </w:r>
      <w:r>
        <w:rPr>
          <w:rFonts w:hint="eastAsia"/>
          <w:sz w:val="24"/>
          <w:szCs w:val="24"/>
          <w:lang w:eastAsia="zh-CN"/>
        </w:rPr>
        <w:t>;</w:t>
      </w:r>
      <w:r w:rsidR="001A3EEC" w:rsidRPr="000315B4">
        <w:rPr>
          <w:sz w:val="24"/>
          <w:szCs w:val="24"/>
        </w:rPr>
        <w:t xml:space="preserve"> </w:t>
      </w:r>
      <w:r w:rsidR="001A3EEC" w:rsidRPr="000315B4">
        <w:rPr>
          <w:sz w:val="24"/>
          <w:szCs w:val="24"/>
          <w:vertAlign w:val="superscript"/>
        </w:rPr>
        <w:t>2</w:t>
      </w:r>
      <w:r w:rsidR="001A3EEC" w:rsidRPr="000315B4">
        <w:rPr>
          <w:sz w:val="24"/>
          <w:szCs w:val="24"/>
        </w:rPr>
        <w:t>One patient had a pre-study diagnosis of esophageal squamous cell carcinoma (</w:t>
      </w:r>
      <w:r w:rsidRPr="000315B4">
        <w:rPr>
          <w:sz w:val="24"/>
          <w:szCs w:val="24"/>
        </w:rPr>
        <w:t>thus</w:t>
      </w:r>
      <w:r w:rsidR="001A615E" w:rsidRPr="000315B4">
        <w:rPr>
          <w:sz w:val="24"/>
          <w:szCs w:val="24"/>
        </w:rPr>
        <w:t>, not counted as BE</w:t>
      </w:r>
      <w:r w:rsidR="007861CF" w:rsidRPr="000315B4">
        <w:rPr>
          <w:sz w:val="24"/>
          <w:szCs w:val="24"/>
        </w:rPr>
        <w:t xml:space="preserve"> </w:t>
      </w:r>
      <w:r w:rsidR="001A615E" w:rsidRPr="000315B4">
        <w:rPr>
          <w:sz w:val="24"/>
          <w:szCs w:val="24"/>
        </w:rPr>
        <w:t xml:space="preserve">related and </w:t>
      </w:r>
      <w:r w:rsidR="001A3EEC" w:rsidRPr="000315B4">
        <w:rPr>
          <w:sz w:val="24"/>
          <w:szCs w:val="24"/>
        </w:rPr>
        <w:t>not included in the outcome analysis</w:t>
      </w:r>
      <w:r w:rsidR="001A615E" w:rsidRPr="000315B4">
        <w:rPr>
          <w:sz w:val="24"/>
          <w:szCs w:val="24"/>
        </w:rPr>
        <w:t xml:space="preserve"> for non-BE</w:t>
      </w:r>
      <w:r w:rsidR="000A057B" w:rsidRPr="000315B4">
        <w:rPr>
          <w:sz w:val="24"/>
          <w:szCs w:val="24"/>
        </w:rPr>
        <w:t xml:space="preserve"> cancer free survival</w:t>
      </w:r>
      <w:r>
        <w:rPr>
          <w:sz w:val="24"/>
          <w:szCs w:val="24"/>
        </w:rPr>
        <w:t xml:space="preserve">). </w:t>
      </w:r>
      <w:r w:rsidR="001A3EEC" w:rsidRPr="000315B4">
        <w:rPr>
          <w:sz w:val="24"/>
          <w:szCs w:val="24"/>
        </w:rPr>
        <w:t>BE</w:t>
      </w:r>
      <w:r>
        <w:rPr>
          <w:rFonts w:hint="eastAsia"/>
          <w:sz w:val="24"/>
          <w:szCs w:val="24"/>
          <w:lang w:eastAsia="zh-CN"/>
        </w:rPr>
        <w:t>:</w:t>
      </w:r>
      <w:r w:rsidR="001A3EEC" w:rsidRPr="000315B4">
        <w:rPr>
          <w:sz w:val="24"/>
          <w:szCs w:val="24"/>
        </w:rPr>
        <w:t xml:space="preserve"> Barrett’s esophagus</w:t>
      </w:r>
      <w:r>
        <w:rPr>
          <w:rFonts w:hint="eastAsia"/>
          <w:sz w:val="24"/>
          <w:szCs w:val="24"/>
          <w:lang w:eastAsia="zh-CN"/>
        </w:rPr>
        <w:t>.</w:t>
      </w:r>
    </w:p>
    <w:p w14:paraId="6022667F" w14:textId="77777777" w:rsidR="00C47C94" w:rsidRDefault="00C47C94">
      <w:pPr>
        <w:spacing w:after="160" w:line="259" w:lineRule="auto"/>
        <w:rPr>
          <w:b/>
          <w:bCs/>
          <w:sz w:val="24"/>
          <w:szCs w:val="24"/>
        </w:rPr>
      </w:pPr>
      <w:bookmarkStart w:id="98" w:name="_Toc520148917"/>
      <w:r>
        <w:rPr>
          <w:sz w:val="24"/>
          <w:szCs w:val="24"/>
        </w:rPr>
        <w:br w:type="page"/>
      </w:r>
    </w:p>
    <w:p w14:paraId="06BB3EB6" w14:textId="5967F8A8" w:rsidR="001A3EEC" w:rsidRPr="000315B4" w:rsidRDefault="001A3EEC" w:rsidP="007804E8">
      <w:pPr>
        <w:pStyle w:val="Subtitle"/>
        <w:widowControl w:val="0"/>
        <w:adjustRightInd w:val="0"/>
        <w:snapToGrid w:val="0"/>
        <w:spacing w:line="360" w:lineRule="auto"/>
        <w:jc w:val="both"/>
        <w:rPr>
          <w:sz w:val="24"/>
          <w:szCs w:val="24"/>
          <w:lang w:eastAsia="zh-CN"/>
        </w:rPr>
      </w:pPr>
      <w:r w:rsidRPr="000315B4">
        <w:rPr>
          <w:sz w:val="24"/>
          <w:szCs w:val="24"/>
        </w:rPr>
        <w:lastRenderedPageBreak/>
        <w:t>Table 3</w:t>
      </w:r>
      <w:r w:rsidR="00C47C94">
        <w:rPr>
          <w:rFonts w:hint="eastAsia"/>
          <w:sz w:val="24"/>
          <w:szCs w:val="24"/>
          <w:lang w:eastAsia="zh-CN"/>
        </w:rPr>
        <w:t xml:space="preserve"> </w:t>
      </w:r>
      <w:r w:rsidRPr="000315B4">
        <w:rPr>
          <w:sz w:val="24"/>
          <w:szCs w:val="24"/>
        </w:rPr>
        <w:t>Univariate and multivariable</w:t>
      </w:r>
      <w:r w:rsidR="00C47C94">
        <w:rPr>
          <w:rFonts w:hint="eastAsia"/>
          <w:sz w:val="24"/>
          <w:szCs w:val="24"/>
          <w:lang w:eastAsia="zh-CN"/>
        </w:rPr>
        <w:t xml:space="preserve"> </w:t>
      </w:r>
      <w:r w:rsidRPr="000315B4">
        <w:rPr>
          <w:sz w:val="24"/>
          <w:szCs w:val="24"/>
        </w:rPr>
        <w:t>Cox regression for the prediction of non-</w:t>
      </w:r>
      <w:r w:rsidR="00C47C94" w:rsidRPr="00C47C94">
        <w:t xml:space="preserve"> </w:t>
      </w:r>
      <w:r w:rsidR="00C47C94" w:rsidRPr="00C47C94">
        <w:rPr>
          <w:sz w:val="24"/>
          <w:szCs w:val="24"/>
        </w:rPr>
        <w:t>Barrett’s esophagus</w:t>
      </w:r>
      <w:r w:rsidRPr="000315B4">
        <w:rPr>
          <w:sz w:val="24"/>
          <w:szCs w:val="24"/>
        </w:rPr>
        <w:t xml:space="preserve"> cancers</w:t>
      </w:r>
      <w:bookmarkEnd w:id="98"/>
    </w:p>
    <w:tbl>
      <w:tblPr>
        <w:tblW w:w="10349" w:type="dxa"/>
        <w:tblInd w:w="-743" w:type="dxa"/>
        <w:tblBorders>
          <w:top w:val="single" w:sz="4" w:space="0" w:color="auto"/>
          <w:left w:val="single" w:sz="12" w:space="0" w:color="000000"/>
          <w:bottom w:val="single" w:sz="12" w:space="0" w:color="auto"/>
          <w:right w:val="single" w:sz="12" w:space="0" w:color="auto"/>
        </w:tblBorders>
        <w:tblLayout w:type="fixed"/>
        <w:tblLook w:val="04A0" w:firstRow="1" w:lastRow="0" w:firstColumn="1" w:lastColumn="0" w:noHBand="0" w:noVBand="1"/>
      </w:tblPr>
      <w:tblGrid>
        <w:gridCol w:w="4839"/>
        <w:gridCol w:w="2126"/>
        <w:gridCol w:w="3384"/>
      </w:tblGrid>
      <w:tr w:rsidR="001A3EEC" w:rsidRPr="005C23CB" w14:paraId="3B70B4B9" w14:textId="77777777" w:rsidTr="005C23CB">
        <w:trPr>
          <w:trHeight w:val="340"/>
        </w:trPr>
        <w:tc>
          <w:tcPr>
            <w:tcW w:w="4839" w:type="dxa"/>
            <w:tcBorders>
              <w:top w:val="single" w:sz="12" w:space="0" w:color="auto"/>
              <w:left w:val="nil"/>
              <w:bottom w:val="single" w:sz="12" w:space="0" w:color="auto"/>
            </w:tcBorders>
            <w:shd w:val="clear" w:color="auto" w:fill="auto"/>
            <w:noWrap/>
            <w:vAlign w:val="center"/>
          </w:tcPr>
          <w:p w14:paraId="586183B6" w14:textId="65E62586" w:rsidR="001A3EEC" w:rsidRPr="005C23CB" w:rsidRDefault="005C23CB" w:rsidP="007804E8">
            <w:pPr>
              <w:widowControl w:val="0"/>
              <w:adjustRightInd w:val="0"/>
              <w:snapToGrid w:val="0"/>
              <w:spacing w:line="360" w:lineRule="auto"/>
              <w:jc w:val="both"/>
              <w:rPr>
                <w:b/>
                <w:sz w:val="24"/>
                <w:szCs w:val="24"/>
              </w:rPr>
            </w:pPr>
            <w:r w:rsidRPr="005C23CB">
              <w:rPr>
                <w:b/>
                <w:i/>
                <w:sz w:val="24"/>
                <w:szCs w:val="24"/>
              </w:rPr>
              <w:t>n</w:t>
            </w:r>
            <w:r w:rsidRPr="005C23CB">
              <w:rPr>
                <w:rFonts w:hint="eastAsia"/>
                <w:b/>
                <w:sz w:val="24"/>
                <w:szCs w:val="24"/>
                <w:lang w:eastAsia="zh-CN"/>
              </w:rPr>
              <w:t xml:space="preserve"> </w:t>
            </w:r>
            <w:r w:rsidR="001A3EEC" w:rsidRPr="005C23CB">
              <w:rPr>
                <w:b/>
                <w:sz w:val="24"/>
                <w:szCs w:val="24"/>
              </w:rPr>
              <w:t>=</w:t>
            </w:r>
            <w:r w:rsidRPr="005C23CB">
              <w:rPr>
                <w:rFonts w:hint="eastAsia"/>
                <w:b/>
                <w:sz w:val="24"/>
                <w:szCs w:val="24"/>
                <w:lang w:eastAsia="zh-CN"/>
              </w:rPr>
              <w:t xml:space="preserve"> </w:t>
            </w:r>
            <w:r w:rsidR="001A3EEC" w:rsidRPr="005C23CB">
              <w:rPr>
                <w:b/>
                <w:sz w:val="24"/>
                <w:szCs w:val="24"/>
              </w:rPr>
              <w:t>379 (excluding EAC and IMC)</w:t>
            </w:r>
          </w:p>
        </w:tc>
        <w:tc>
          <w:tcPr>
            <w:tcW w:w="2126" w:type="dxa"/>
            <w:tcBorders>
              <w:top w:val="single" w:sz="12" w:space="0" w:color="auto"/>
              <w:bottom w:val="single" w:sz="12" w:space="0" w:color="auto"/>
            </w:tcBorders>
            <w:shd w:val="clear" w:color="auto" w:fill="auto"/>
            <w:vAlign w:val="center"/>
          </w:tcPr>
          <w:p w14:paraId="3006D4C7" w14:textId="5FEFB795" w:rsidR="001A3EEC" w:rsidRPr="005C23CB" w:rsidRDefault="001A3EEC" w:rsidP="005C23CB">
            <w:pPr>
              <w:widowControl w:val="0"/>
              <w:adjustRightInd w:val="0"/>
              <w:snapToGrid w:val="0"/>
              <w:spacing w:line="360" w:lineRule="auto"/>
              <w:jc w:val="both"/>
              <w:rPr>
                <w:b/>
                <w:sz w:val="24"/>
                <w:szCs w:val="24"/>
                <w:lang w:eastAsia="zh-CN"/>
              </w:rPr>
            </w:pPr>
            <w:r w:rsidRPr="005C23CB">
              <w:rPr>
                <w:b/>
                <w:sz w:val="24"/>
                <w:szCs w:val="24"/>
              </w:rPr>
              <w:t xml:space="preserve">HR </w:t>
            </w:r>
            <w:r w:rsidR="005C23CB">
              <w:rPr>
                <w:rFonts w:hint="eastAsia"/>
                <w:b/>
                <w:sz w:val="24"/>
                <w:szCs w:val="24"/>
                <w:lang w:eastAsia="zh-CN"/>
              </w:rPr>
              <w:t>(</w:t>
            </w:r>
            <w:r w:rsidRPr="005C23CB">
              <w:rPr>
                <w:b/>
                <w:sz w:val="24"/>
                <w:szCs w:val="24"/>
              </w:rPr>
              <w:t>95%CI</w:t>
            </w:r>
            <w:r w:rsidR="005C23CB">
              <w:rPr>
                <w:rFonts w:hint="eastAsia"/>
                <w:b/>
                <w:sz w:val="24"/>
                <w:szCs w:val="24"/>
                <w:lang w:eastAsia="zh-CN"/>
              </w:rPr>
              <w:t>)</w:t>
            </w:r>
          </w:p>
        </w:tc>
        <w:tc>
          <w:tcPr>
            <w:tcW w:w="3384" w:type="dxa"/>
            <w:tcBorders>
              <w:top w:val="single" w:sz="12" w:space="0" w:color="auto"/>
              <w:bottom w:val="single" w:sz="12" w:space="0" w:color="auto"/>
              <w:right w:val="nil"/>
            </w:tcBorders>
            <w:shd w:val="clear" w:color="auto" w:fill="auto"/>
            <w:vAlign w:val="center"/>
          </w:tcPr>
          <w:p w14:paraId="111DB335" w14:textId="091CE8DA" w:rsidR="001A3EEC" w:rsidRPr="005C23CB" w:rsidRDefault="001A3EEC" w:rsidP="005C23CB">
            <w:pPr>
              <w:widowControl w:val="0"/>
              <w:adjustRightInd w:val="0"/>
              <w:snapToGrid w:val="0"/>
              <w:spacing w:line="360" w:lineRule="auto"/>
              <w:jc w:val="both"/>
              <w:rPr>
                <w:b/>
                <w:sz w:val="24"/>
                <w:szCs w:val="24"/>
                <w:lang w:eastAsia="zh-CN"/>
              </w:rPr>
            </w:pPr>
            <w:r w:rsidRPr="005C23CB">
              <w:rPr>
                <w:b/>
                <w:sz w:val="24"/>
                <w:szCs w:val="24"/>
              </w:rPr>
              <w:t xml:space="preserve">Adjusted HR </w:t>
            </w:r>
            <w:r w:rsidR="005C23CB">
              <w:rPr>
                <w:rFonts w:hint="eastAsia"/>
                <w:b/>
                <w:sz w:val="24"/>
                <w:szCs w:val="24"/>
                <w:lang w:eastAsia="zh-CN"/>
              </w:rPr>
              <w:t>(</w:t>
            </w:r>
            <w:r w:rsidRPr="005C23CB">
              <w:rPr>
                <w:b/>
                <w:sz w:val="24"/>
                <w:szCs w:val="24"/>
              </w:rPr>
              <w:t>95%CI</w:t>
            </w:r>
            <w:r w:rsidR="005C23CB">
              <w:rPr>
                <w:rFonts w:hint="eastAsia"/>
                <w:b/>
                <w:sz w:val="24"/>
                <w:szCs w:val="24"/>
                <w:lang w:eastAsia="zh-CN"/>
              </w:rPr>
              <w:t>)</w:t>
            </w:r>
          </w:p>
        </w:tc>
      </w:tr>
      <w:tr w:rsidR="001A3EEC" w:rsidRPr="000315B4" w14:paraId="74B09383" w14:textId="77777777" w:rsidTr="005C23CB">
        <w:trPr>
          <w:trHeight w:val="340"/>
        </w:trPr>
        <w:tc>
          <w:tcPr>
            <w:tcW w:w="4839" w:type="dxa"/>
            <w:tcBorders>
              <w:top w:val="single" w:sz="12" w:space="0" w:color="auto"/>
              <w:left w:val="nil"/>
            </w:tcBorders>
            <w:shd w:val="clear" w:color="auto" w:fill="auto"/>
            <w:vAlign w:val="center"/>
            <w:hideMark/>
          </w:tcPr>
          <w:p w14:paraId="6DD1E715" w14:textId="4563E848" w:rsidR="001A3EEC" w:rsidRPr="000315B4" w:rsidRDefault="005C23CB" w:rsidP="007804E8">
            <w:pPr>
              <w:widowControl w:val="0"/>
              <w:adjustRightInd w:val="0"/>
              <w:snapToGrid w:val="0"/>
              <w:spacing w:line="360" w:lineRule="auto"/>
              <w:jc w:val="both"/>
              <w:rPr>
                <w:sz w:val="24"/>
                <w:szCs w:val="24"/>
                <w:vertAlign w:val="superscript"/>
              </w:rPr>
            </w:pPr>
            <w:r>
              <w:rPr>
                <w:sz w:val="24"/>
                <w:szCs w:val="24"/>
              </w:rPr>
              <w:t>Age at study inclusion</w:t>
            </w:r>
            <w:r w:rsidR="001A3EEC" w:rsidRPr="000315B4">
              <w:rPr>
                <w:sz w:val="24"/>
                <w:szCs w:val="24"/>
                <w:vertAlign w:val="superscript"/>
              </w:rPr>
              <w:t>1</w:t>
            </w:r>
          </w:p>
        </w:tc>
        <w:tc>
          <w:tcPr>
            <w:tcW w:w="2126" w:type="dxa"/>
            <w:tcBorders>
              <w:top w:val="single" w:sz="12" w:space="0" w:color="auto"/>
            </w:tcBorders>
            <w:shd w:val="clear" w:color="auto" w:fill="auto"/>
            <w:vAlign w:val="center"/>
          </w:tcPr>
          <w:p w14:paraId="289B1494" w14:textId="5524EF81"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1.11 </w:t>
            </w:r>
            <w:r w:rsidR="005C23CB">
              <w:rPr>
                <w:sz w:val="24"/>
                <w:szCs w:val="24"/>
              </w:rPr>
              <w:t>(</w:t>
            </w:r>
            <w:r w:rsidRPr="000315B4">
              <w:rPr>
                <w:sz w:val="24"/>
                <w:szCs w:val="24"/>
              </w:rPr>
              <w:t>0.99-1.24</w:t>
            </w:r>
            <w:r w:rsidR="005C23CB">
              <w:rPr>
                <w:sz w:val="24"/>
                <w:szCs w:val="24"/>
              </w:rPr>
              <w:t>)</w:t>
            </w:r>
          </w:p>
        </w:tc>
        <w:tc>
          <w:tcPr>
            <w:tcW w:w="3384" w:type="dxa"/>
            <w:tcBorders>
              <w:top w:val="single" w:sz="12" w:space="0" w:color="auto"/>
              <w:right w:val="nil"/>
            </w:tcBorders>
            <w:shd w:val="clear" w:color="auto" w:fill="auto"/>
            <w:vAlign w:val="center"/>
          </w:tcPr>
          <w:p w14:paraId="607146A8" w14:textId="2BCEABAF" w:rsidR="001A3EEC" w:rsidRPr="000315B4" w:rsidRDefault="001A3EEC" w:rsidP="005C23CB">
            <w:pPr>
              <w:widowControl w:val="0"/>
              <w:adjustRightInd w:val="0"/>
              <w:snapToGrid w:val="0"/>
              <w:spacing w:line="360" w:lineRule="auto"/>
              <w:jc w:val="center"/>
              <w:rPr>
                <w:rFonts w:cstheme="majorBidi"/>
                <w:sz w:val="24"/>
                <w:szCs w:val="24"/>
              </w:rPr>
            </w:pPr>
            <w:r w:rsidRPr="000315B4">
              <w:rPr>
                <w:sz w:val="24"/>
                <w:szCs w:val="24"/>
              </w:rPr>
              <w:t xml:space="preserve">1.07 </w:t>
            </w:r>
            <w:r w:rsidR="005C23CB">
              <w:rPr>
                <w:sz w:val="24"/>
                <w:szCs w:val="24"/>
              </w:rPr>
              <w:t>(</w:t>
            </w:r>
            <w:r w:rsidRPr="000315B4">
              <w:rPr>
                <w:sz w:val="24"/>
                <w:szCs w:val="24"/>
              </w:rPr>
              <w:t>0.95-1.21</w:t>
            </w:r>
            <w:r w:rsidR="005C23CB">
              <w:rPr>
                <w:sz w:val="24"/>
                <w:szCs w:val="24"/>
              </w:rPr>
              <w:t>)</w:t>
            </w:r>
          </w:p>
        </w:tc>
      </w:tr>
      <w:tr w:rsidR="001A3EEC" w:rsidRPr="000315B4" w14:paraId="5C07F1B7" w14:textId="77777777" w:rsidTr="005C23CB">
        <w:trPr>
          <w:trHeight w:val="340"/>
        </w:trPr>
        <w:tc>
          <w:tcPr>
            <w:tcW w:w="4839" w:type="dxa"/>
            <w:tcBorders>
              <w:left w:val="nil"/>
            </w:tcBorders>
            <w:shd w:val="clear" w:color="auto" w:fill="auto"/>
            <w:vAlign w:val="center"/>
            <w:hideMark/>
          </w:tcPr>
          <w:p w14:paraId="35180BCA" w14:textId="7724655F" w:rsidR="001A3EEC" w:rsidRPr="000315B4" w:rsidRDefault="001A3EEC" w:rsidP="005C23CB">
            <w:pPr>
              <w:widowControl w:val="0"/>
              <w:adjustRightInd w:val="0"/>
              <w:snapToGrid w:val="0"/>
              <w:spacing w:line="360" w:lineRule="auto"/>
              <w:jc w:val="both"/>
              <w:rPr>
                <w:sz w:val="24"/>
                <w:szCs w:val="24"/>
              </w:rPr>
            </w:pPr>
            <w:r w:rsidRPr="000315B4">
              <w:rPr>
                <w:sz w:val="24"/>
                <w:szCs w:val="24"/>
              </w:rPr>
              <w:t xml:space="preserve">Gender </w:t>
            </w:r>
            <w:r w:rsidR="005C23CB">
              <w:rPr>
                <w:rFonts w:hint="eastAsia"/>
                <w:sz w:val="24"/>
                <w:szCs w:val="24"/>
                <w:lang w:eastAsia="zh-CN"/>
              </w:rPr>
              <w:t>-</w:t>
            </w:r>
            <w:r w:rsidRPr="000315B4">
              <w:rPr>
                <w:sz w:val="24"/>
                <w:szCs w:val="24"/>
              </w:rPr>
              <w:t xml:space="preserve"> male</w:t>
            </w:r>
          </w:p>
        </w:tc>
        <w:tc>
          <w:tcPr>
            <w:tcW w:w="2126" w:type="dxa"/>
            <w:shd w:val="clear" w:color="auto" w:fill="auto"/>
            <w:vAlign w:val="center"/>
          </w:tcPr>
          <w:p w14:paraId="76892051" w14:textId="539E1E70"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2.19 </w:t>
            </w:r>
            <w:r w:rsidR="005C23CB">
              <w:rPr>
                <w:sz w:val="24"/>
                <w:szCs w:val="24"/>
              </w:rPr>
              <w:t>(</w:t>
            </w:r>
            <w:r w:rsidRPr="000315B4">
              <w:rPr>
                <w:sz w:val="24"/>
                <w:szCs w:val="24"/>
              </w:rPr>
              <w:t>0.63-7.55</w:t>
            </w:r>
            <w:r w:rsidR="005C23CB">
              <w:rPr>
                <w:sz w:val="24"/>
                <w:szCs w:val="24"/>
              </w:rPr>
              <w:t>)</w:t>
            </w:r>
          </w:p>
        </w:tc>
        <w:tc>
          <w:tcPr>
            <w:tcW w:w="3384" w:type="dxa"/>
            <w:tcBorders>
              <w:right w:val="nil"/>
            </w:tcBorders>
            <w:shd w:val="clear" w:color="auto" w:fill="auto"/>
            <w:vAlign w:val="center"/>
          </w:tcPr>
          <w:p w14:paraId="05A9BEC3" w14:textId="77777777" w:rsidR="001A3EEC" w:rsidRPr="000315B4" w:rsidRDefault="001A3EEC" w:rsidP="005C23CB">
            <w:pPr>
              <w:widowControl w:val="0"/>
              <w:adjustRightInd w:val="0"/>
              <w:snapToGrid w:val="0"/>
              <w:spacing w:line="360" w:lineRule="auto"/>
              <w:jc w:val="center"/>
              <w:rPr>
                <w:sz w:val="24"/>
                <w:szCs w:val="24"/>
              </w:rPr>
            </w:pPr>
          </w:p>
        </w:tc>
      </w:tr>
      <w:tr w:rsidR="001A3EEC" w:rsidRPr="000315B4" w14:paraId="4AE8FEE0" w14:textId="77777777" w:rsidTr="005C23CB">
        <w:trPr>
          <w:trHeight w:val="340"/>
        </w:trPr>
        <w:tc>
          <w:tcPr>
            <w:tcW w:w="4839" w:type="dxa"/>
            <w:tcBorders>
              <w:left w:val="nil"/>
            </w:tcBorders>
            <w:shd w:val="clear" w:color="auto" w:fill="auto"/>
            <w:vAlign w:val="center"/>
            <w:hideMark/>
          </w:tcPr>
          <w:p w14:paraId="37D0E022"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Number of endoscopies per patient</w:t>
            </w:r>
          </w:p>
        </w:tc>
        <w:tc>
          <w:tcPr>
            <w:tcW w:w="2126" w:type="dxa"/>
            <w:shd w:val="clear" w:color="auto" w:fill="auto"/>
            <w:vAlign w:val="center"/>
          </w:tcPr>
          <w:p w14:paraId="63334C58" w14:textId="21676744"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0.82 </w:t>
            </w:r>
            <w:r w:rsidR="005C23CB">
              <w:rPr>
                <w:sz w:val="24"/>
                <w:szCs w:val="24"/>
              </w:rPr>
              <w:t>(</w:t>
            </w:r>
            <w:r w:rsidRPr="000315B4">
              <w:rPr>
                <w:sz w:val="24"/>
                <w:szCs w:val="24"/>
              </w:rPr>
              <w:t>0.59-1.12</w:t>
            </w:r>
            <w:r w:rsidR="005C23CB">
              <w:rPr>
                <w:sz w:val="24"/>
                <w:szCs w:val="24"/>
              </w:rPr>
              <w:t>)</w:t>
            </w:r>
          </w:p>
        </w:tc>
        <w:tc>
          <w:tcPr>
            <w:tcW w:w="3384" w:type="dxa"/>
            <w:tcBorders>
              <w:right w:val="nil"/>
            </w:tcBorders>
            <w:shd w:val="clear" w:color="auto" w:fill="auto"/>
            <w:vAlign w:val="center"/>
          </w:tcPr>
          <w:p w14:paraId="4204BD8F" w14:textId="4728F353" w:rsidR="001A3EEC" w:rsidRPr="000315B4" w:rsidRDefault="001A3EEC" w:rsidP="005C23CB">
            <w:pPr>
              <w:widowControl w:val="0"/>
              <w:adjustRightInd w:val="0"/>
              <w:snapToGrid w:val="0"/>
              <w:spacing w:line="360" w:lineRule="auto"/>
              <w:jc w:val="center"/>
              <w:rPr>
                <w:rFonts w:cstheme="majorBidi"/>
                <w:sz w:val="24"/>
                <w:szCs w:val="24"/>
              </w:rPr>
            </w:pPr>
            <w:r w:rsidRPr="000315B4">
              <w:rPr>
                <w:sz w:val="24"/>
                <w:szCs w:val="24"/>
              </w:rPr>
              <w:t xml:space="preserve">0.72 </w:t>
            </w:r>
            <w:r w:rsidR="005C23CB">
              <w:rPr>
                <w:sz w:val="24"/>
                <w:szCs w:val="24"/>
              </w:rPr>
              <w:t>(</w:t>
            </w:r>
            <w:r w:rsidRPr="000315B4">
              <w:rPr>
                <w:sz w:val="24"/>
                <w:szCs w:val="24"/>
              </w:rPr>
              <w:t>0.50-1.03</w:t>
            </w:r>
            <w:r w:rsidR="005C23CB">
              <w:rPr>
                <w:sz w:val="24"/>
                <w:szCs w:val="24"/>
              </w:rPr>
              <w:t>)</w:t>
            </w:r>
          </w:p>
        </w:tc>
      </w:tr>
      <w:tr w:rsidR="001A3EEC" w:rsidRPr="000315B4" w14:paraId="4DC052FC" w14:textId="77777777" w:rsidTr="005C23CB">
        <w:trPr>
          <w:trHeight w:val="340"/>
        </w:trPr>
        <w:tc>
          <w:tcPr>
            <w:tcW w:w="4839" w:type="dxa"/>
            <w:tcBorders>
              <w:left w:val="nil"/>
            </w:tcBorders>
            <w:shd w:val="clear" w:color="auto" w:fill="auto"/>
            <w:noWrap/>
            <w:vAlign w:val="center"/>
            <w:hideMark/>
          </w:tcPr>
          <w:p w14:paraId="6786AEBD"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Presence of endoscopic abnormalities</w:t>
            </w:r>
          </w:p>
        </w:tc>
        <w:tc>
          <w:tcPr>
            <w:tcW w:w="2126" w:type="dxa"/>
            <w:shd w:val="clear" w:color="auto" w:fill="auto"/>
            <w:vAlign w:val="center"/>
          </w:tcPr>
          <w:p w14:paraId="34EA80EC" w14:textId="1C44AC42"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1.19 </w:t>
            </w:r>
            <w:r w:rsidR="005C23CB">
              <w:rPr>
                <w:sz w:val="24"/>
                <w:szCs w:val="24"/>
              </w:rPr>
              <w:t>(</w:t>
            </w:r>
            <w:r w:rsidRPr="000315B4">
              <w:rPr>
                <w:sz w:val="24"/>
                <w:szCs w:val="24"/>
              </w:rPr>
              <w:t>0.34-4.09</w:t>
            </w:r>
            <w:r w:rsidR="005C23CB">
              <w:rPr>
                <w:sz w:val="24"/>
                <w:szCs w:val="24"/>
              </w:rPr>
              <w:t>)</w:t>
            </w:r>
          </w:p>
        </w:tc>
        <w:tc>
          <w:tcPr>
            <w:tcW w:w="3384" w:type="dxa"/>
            <w:tcBorders>
              <w:right w:val="nil"/>
            </w:tcBorders>
            <w:shd w:val="clear" w:color="auto" w:fill="auto"/>
            <w:vAlign w:val="center"/>
          </w:tcPr>
          <w:p w14:paraId="2360A5AB" w14:textId="77777777" w:rsidR="001A3EEC" w:rsidRPr="000315B4" w:rsidRDefault="001A3EEC" w:rsidP="005C23CB">
            <w:pPr>
              <w:widowControl w:val="0"/>
              <w:adjustRightInd w:val="0"/>
              <w:snapToGrid w:val="0"/>
              <w:spacing w:line="360" w:lineRule="auto"/>
              <w:jc w:val="center"/>
              <w:rPr>
                <w:sz w:val="24"/>
                <w:szCs w:val="24"/>
              </w:rPr>
            </w:pPr>
          </w:p>
        </w:tc>
      </w:tr>
      <w:tr w:rsidR="001A3EEC" w:rsidRPr="000315B4" w14:paraId="26276575" w14:textId="77777777" w:rsidTr="005C23CB">
        <w:trPr>
          <w:trHeight w:val="340"/>
        </w:trPr>
        <w:tc>
          <w:tcPr>
            <w:tcW w:w="4839" w:type="dxa"/>
            <w:tcBorders>
              <w:left w:val="nil"/>
            </w:tcBorders>
            <w:shd w:val="clear" w:color="auto" w:fill="auto"/>
            <w:noWrap/>
            <w:vAlign w:val="center"/>
            <w:hideMark/>
          </w:tcPr>
          <w:p w14:paraId="663C5A6C"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Circumferential extent of BE (cm)</w:t>
            </w:r>
          </w:p>
        </w:tc>
        <w:tc>
          <w:tcPr>
            <w:tcW w:w="2126" w:type="dxa"/>
            <w:shd w:val="clear" w:color="auto" w:fill="auto"/>
            <w:vAlign w:val="center"/>
          </w:tcPr>
          <w:p w14:paraId="3465C903" w14:textId="0725497D"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0.99 </w:t>
            </w:r>
            <w:r w:rsidR="005C23CB">
              <w:rPr>
                <w:sz w:val="24"/>
                <w:szCs w:val="24"/>
              </w:rPr>
              <w:t>(</w:t>
            </w:r>
            <w:r w:rsidRPr="000315B4">
              <w:rPr>
                <w:sz w:val="24"/>
                <w:szCs w:val="24"/>
              </w:rPr>
              <w:t>0.79-1.26</w:t>
            </w:r>
            <w:r w:rsidR="005C23CB">
              <w:rPr>
                <w:sz w:val="24"/>
                <w:szCs w:val="24"/>
              </w:rPr>
              <w:t>)</w:t>
            </w:r>
          </w:p>
        </w:tc>
        <w:tc>
          <w:tcPr>
            <w:tcW w:w="3384" w:type="dxa"/>
            <w:tcBorders>
              <w:right w:val="nil"/>
            </w:tcBorders>
            <w:shd w:val="clear" w:color="auto" w:fill="auto"/>
            <w:vAlign w:val="center"/>
          </w:tcPr>
          <w:p w14:paraId="3FDD4185" w14:textId="77777777" w:rsidR="001A3EEC" w:rsidRPr="000315B4" w:rsidRDefault="001A3EEC" w:rsidP="005C23CB">
            <w:pPr>
              <w:widowControl w:val="0"/>
              <w:adjustRightInd w:val="0"/>
              <w:snapToGrid w:val="0"/>
              <w:spacing w:line="360" w:lineRule="auto"/>
              <w:jc w:val="center"/>
              <w:rPr>
                <w:sz w:val="24"/>
                <w:szCs w:val="24"/>
              </w:rPr>
            </w:pPr>
          </w:p>
        </w:tc>
      </w:tr>
      <w:tr w:rsidR="001A3EEC" w:rsidRPr="000315B4" w14:paraId="33B459D5" w14:textId="77777777" w:rsidTr="005C23CB">
        <w:trPr>
          <w:trHeight w:val="340"/>
        </w:trPr>
        <w:tc>
          <w:tcPr>
            <w:tcW w:w="4839" w:type="dxa"/>
            <w:tcBorders>
              <w:left w:val="nil"/>
            </w:tcBorders>
            <w:shd w:val="clear" w:color="auto" w:fill="auto"/>
            <w:noWrap/>
            <w:vAlign w:val="center"/>
            <w:hideMark/>
          </w:tcPr>
          <w:p w14:paraId="506C00AF"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Maximal extent of BE (cm)</w:t>
            </w:r>
          </w:p>
        </w:tc>
        <w:tc>
          <w:tcPr>
            <w:tcW w:w="2126" w:type="dxa"/>
            <w:shd w:val="clear" w:color="auto" w:fill="auto"/>
            <w:vAlign w:val="center"/>
          </w:tcPr>
          <w:p w14:paraId="5A6328D7" w14:textId="37C3380A" w:rsidR="001A3EEC" w:rsidRPr="000315B4" w:rsidRDefault="001A3EEC" w:rsidP="005C23CB">
            <w:pPr>
              <w:widowControl w:val="0"/>
              <w:adjustRightInd w:val="0"/>
              <w:snapToGrid w:val="0"/>
              <w:spacing w:line="360" w:lineRule="auto"/>
              <w:jc w:val="center"/>
              <w:rPr>
                <w:b/>
                <w:bCs/>
                <w:sz w:val="24"/>
                <w:szCs w:val="24"/>
              </w:rPr>
            </w:pPr>
            <w:r w:rsidRPr="000315B4">
              <w:rPr>
                <w:sz w:val="24"/>
                <w:szCs w:val="24"/>
              </w:rPr>
              <w:t xml:space="preserve">1.06 </w:t>
            </w:r>
            <w:r w:rsidR="005C23CB">
              <w:rPr>
                <w:sz w:val="24"/>
                <w:szCs w:val="24"/>
              </w:rPr>
              <w:t>(</w:t>
            </w:r>
            <w:r w:rsidRPr="000315B4">
              <w:rPr>
                <w:sz w:val="24"/>
                <w:szCs w:val="24"/>
              </w:rPr>
              <w:t>0.92-1.23</w:t>
            </w:r>
            <w:r w:rsidR="005C23CB">
              <w:rPr>
                <w:sz w:val="24"/>
                <w:szCs w:val="24"/>
              </w:rPr>
              <w:t>)</w:t>
            </w:r>
          </w:p>
        </w:tc>
        <w:tc>
          <w:tcPr>
            <w:tcW w:w="3384" w:type="dxa"/>
            <w:tcBorders>
              <w:right w:val="nil"/>
            </w:tcBorders>
            <w:shd w:val="clear" w:color="auto" w:fill="auto"/>
            <w:vAlign w:val="center"/>
          </w:tcPr>
          <w:p w14:paraId="2922B632" w14:textId="77777777" w:rsidR="001A3EEC" w:rsidRPr="000315B4" w:rsidRDefault="001A3EEC" w:rsidP="005C23CB">
            <w:pPr>
              <w:widowControl w:val="0"/>
              <w:adjustRightInd w:val="0"/>
              <w:snapToGrid w:val="0"/>
              <w:spacing w:line="360" w:lineRule="auto"/>
              <w:jc w:val="center"/>
              <w:rPr>
                <w:sz w:val="24"/>
                <w:szCs w:val="24"/>
              </w:rPr>
            </w:pPr>
          </w:p>
        </w:tc>
      </w:tr>
      <w:tr w:rsidR="001A3EEC" w:rsidRPr="000315B4" w14:paraId="0E86B9C6" w14:textId="77777777" w:rsidTr="005C23CB">
        <w:trPr>
          <w:trHeight w:val="340"/>
        </w:trPr>
        <w:tc>
          <w:tcPr>
            <w:tcW w:w="4839" w:type="dxa"/>
            <w:tcBorders>
              <w:left w:val="nil"/>
            </w:tcBorders>
            <w:shd w:val="clear" w:color="auto" w:fill="auto"/>
            <w:noWrap/>
            <w:vAlign w:val="center"/>
          </w:tcPr>
          <w:p w14:paraId="28E706AA" w14:textId="4A28F628" w:rsidR="001A3EEC" w:rsidRPr="000315B4" w:rsidRDefault="001A3EEC" w:rsidP="007804E8">
            <w:pPr>
              <w:widowControl w:val="0"/>
              <w:adjustRightInd w:val="0"/>
              <w:snapToGrid w:val="0"/>
              <w:spacing w:line="360" w:lineRule="auto"/>
              <w:jc w:val="both"/>
              <w:rPr>
                <w:sz w:val="24"/>
                <w:szCs w:val="24"/>
              </w:rPr>
            </w:pPr>
            <w:r w:rsidRPr="000315B4">
              <w:rPr>
                <w:sz w:val="24"/>
                <w:szCs w:val="24"/>
              </w:rPr>
              <w:t>Ultra-short segment (BE</w:t>
            </w:r>
            <w:r w:rsidR="005C23CB">
              <w:rPr>
                <w:rFonts w:hint="eastAsia"/>
                <w:sz w:val="24"/>
                <w:szCs w:val="24"/>
                <w:lang w:eastAsia="zh-CN"/>
              </w:rPr>
              <w:t xml:space="preserve"> </w:t>
            </w:r>
            <w:r w:rsidRPr="000315B4">
              <w:rPr>
                <w:sz w:val="24"/>
                <w:szCs w:val="24"/>
              </w:rPr>
              <w:t>&lt; 1</w:t>
            </w:r>
            <w:r w:rsidR="005C23CB">
              <w:rPr>
                <w:rFonts w:hint="eastAsia"/>
                <w:sz w:val="24"/>
                <w:szCs w:val="24"/>
                <w:lang w:eastAsia="zh-CN"/>
              </w:rPr>
              <w:t xml:space="preserve"> </w:t>
            </w:r>
            <w:r w:rsidRPr="000315B4">
              <w:rPr>
                <w:sz w:val="24"/>
                <w:szCs w:val="24"/>
              </w:rPr>
              <w:t>cm)</w:t>
            </w:r>
          </w:p>
        </w:tc>
        <w:tc>
          <w:tcPr>
            <w:tcW w:w="2126" w:type="dxa"/>
            <w:shd w:val="clear" w:color="auto" w:fill="auto"/>
            <w:vAlign w:val="center"/>
          </w:tcPr>
          <w:p w14:paraId="41F769C5" w14:textId="77777777" w:rsidR="001A3EEC" w:rsidRPr="000315B4" w:rsidRDefault="001A3EEC" w:rsidP="005C23CB">
            <w:pPr>
              <w:widowControl w:val="0"/>
              <w:adjustRightInd w:val="0"/>
              <w:snapToGrid w:val="0"/>
              <w:spacing w:line="360" w:lineRule="auto"/>
              <w:jc w:val="center"/>
              <w:rPr>
                <w:sz w:val="24"/>
                <w:szCs w:val="24"/>
              </w:rPr>
            </w:pPr>
            <w:r w:rsidRPr="000315B4">
              <w:rPr>
                <w:sz w:val="24"/>
                <w:szCs w:val="24"/>
              </w:rPr>
              <w:t>1</w:t>
            </w:r>
          </w:p>
        </w:tc>
        <w:tc>
          <w:tcPr>
            <w:tcW w:w="3384" w:type="dxa"/>
            <w:tcBorders>
              <w:right w:val="nil"/>
            </w:tcBorders>
            <w:shd w:val="clear" w:color="auto" w:fill="auto"/>
            <w:vAlign w:val="center"/>
          </w:tcPr>
          <w:p w14:paraId="4BA18561" w14:textId="77777777" w:rsidR="001A3EEC" w:rsidRPr="000315B4" w:rsidRDefault="001A3EEC" w:rsidP="005C23CB">
            <w:pPr>
              <w:widowControl w:val="0"/>
              <w:adjustRightInd w:val="0"/>
              <w:snapToGrid w:val="0"/>
              <w:spacing w:line="360" w:lineRule="auto"/>
              <w:jc w:val="center"/>
              <w:rPr>
                <w:sz w:val="24"/>
                <w:szCs w:val="24"/>
              </w:rPr>
            </w:pPr>
          </w:p>
        </w:tc>
      </w:tr>
      <w:tr w:rsidR="001A3EEC" w:rsidRPr="000315B4" w14:paraId="13014F13" w14:textId="77777777" w:rsidTr="005C23CB">
        <w:trPr>
          <w:trHeight w:val="340"/>
        </w:trPr>
        <w:tc>
          <w:tcPr>
            <w:tcW w:w="4839" w:type="dxa"/>
            <w:tcBorders>
              <w:left w:val="nil"/>
            </w:tcBorders>
            <w:shd w:val="clear" w:color="auto" w:fill="auto"/>
            <w:noWrap/>
            <w:vAlign w:val="center"/>
            <w:hideMark/>
          </w:tcPr>
          <w:p w14:paraId="6191AB1B" w14:textId="59A36A0F" w:rsidR="001A3EEC" w:rsidRPr="000315B4" w:rsidRDefault="001A3EEC" w:rsidP="007804E8">
            <w:pPr>
              <w:widowControl w:val="0"/>
              <w:adjustRightInd w:val="0"/>
              <w:snapToGrid w:val="0"/>
              <w:spacing w:line="360" w:lineRule="auto"/>
              <w:jc w:val="both"/>
              <w:rPr>
                <w:sz w:val="24"/>
                <w:szCs w:val="24"/>
              </w:rPr>
            </w:pPr>
            <w:r w:rsidRPr="000315B4">
              <w:rPr>
                <w:sz w:val="24"/>
                <w:szCs w:val="24"/>
              </w:rPr>
              <w:t>Short segment (1</w:t>
            </w:r>
            <w:r w:rsidR="005C23CB">
              <w:rPr>
                <w:rFonts w:hint="eastAsia"/>
                <w:sz w:val="24"/>
                <w:szCs w:val="24"/>
                <w:lang w:eastAsia="zh-CN"/>
              </w:rPr>
              <w:t xml:space="preserve"> </w:t>
            </w:r>
            <w:r w:rsidRPr="000315B4">
              <w:rPr>
                <w:sz w:val="24"/>
                <w:szCs w:val="24"/>
              </w:rPr>
              <w:t>cm</w:t>
            </w:r>
            <w:r w:rsidR="005C23CB">
              <w:rPr>
                <w:rFonts w:hint="eastAsia"/>
                <w:sz w:val="24"/>
                <w:szCs w:val="24"/>
                <w:lang w:eastAsia="zh-CN"/>
              </w:rPr>
              <w:t xml:space="preserve"> </w:t>
            </w:r>
            <w:r w:rsidRPr="000315B4">
              <w:rPr>
                <w:sz w:val="24"/>
                <w:szCs w:val="24"/>
              </w:rPr>
              <w:t>≤</w:t>
            </w:r>
            <w:r w:rsidR="005C23CB">
              <w:rPr>
                <w:rFonts w:hint="eastAsia"/>
                <w:sz w:val="24"/>
                <w:szCs w:val="24"/>
                <w:lang w:eastAsia="zh-CN"/>
              </w:rPr>
              <w:t xml:space="preserve"> </w:t>
            </w:r>
            <w:r w:rsidRPr="000315B4">
              <w:rPr>
                <w:sz w:val="24"/>
                <w:szCs w:val="24"/>
              </w:rPr>
              <w:t>BE</w:t>
            </w:r>
            <w:r w:rsidR="005C23CB">
              <w:rPr>
                <w:rFonts w:hint="eastAsia"/>
                <w:sz w:val="24"/>
                <w:szCs w:val="24"/>
                <w:lang w:eastAsia="zh-CN"/>
              </w:rPr>
              <w:t xml:space="preserve"> </w:t>
            </w:r>
            <w:r w:rsidRPr="000315B4">
              <w:rPr>
                <w:sz w:val="24"/>
                <w:szCs w:val="24"/>
              </w:rPr>
              <w:t>&lt;</w:t>
            </w:r>
            <w:r w:rsidR="005C23CB">
              <w:rPr>
                <w:rFonts w:hint="eastAsia"/>
                <w:sz w:val="24"/>
                <w:szCs w:val="24"/>
                <w:lang w:eastAsia="zh-CN"/>
              </w:rPr>
              <w:t xml:space="preserve"> </w:t>
            </w:r>
            <w:r w:rsidRPr="000315B4">
              <w:rPr>
                <w:sz w:val="24"/>
                <w:szCs w:val="24"/>
              </w:rPr>
              <w:t>3</w:t>
            </w:r>
            <w:r w:rsidR="005C23CB">
              <w:rPr>
                <w:rFonts w:hint="eastAsia"/>
                <w:sz w:val="24"/>
                <w:szCs w:val="24"/>
                <w:lang w:eastAsia="zh-CN"/>
              </w:rPr>
              <w:t xml:space="preserve"> </w:t>
            </w:r>
            <w:r w:rsidRPr="000315B4">
              <w:rPr>
                <w:sz w:val="24"/>
                <w:szCs w:val="24"/>
              </w:rPr>
              <w:t>cm)</w:t>
            </w:r>
          </w:p>
        </w:tc>
        <w:tc>
          <w:tcPr>
            <w:tcW w:w="2126" w:type="dxa"/>
            <w:shd w:val="clear" w:color="auto" w:fill="auto"/>
            <w:vAlign w:val="center"/>
          </w:tcPr>
          <w:p w14:paraId="2C5E2445" w14:textId="3D532CDC"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0.96 </w:t>
            </w:r>
            <w:r w:rsidR="005C23CB">
              <w:rPr>
                <w:sz w:val="24"/>
                <w:szCs w:val="24"/>
              </w:rPr>
              <w:t>(</w:t>
            </w:r>
            <w:r w:rsidRPr="000315B4">
              <w:rPr>
                <w:sz w:val="24"/>
                <w:szCs w:val="24"/>
              </w:rPr>
              <w:t>0.11-8.24</w:t>
            </w:r>
            <w:r w:rsidR="005C23CB">
              <w:rPr>
                <w:sz w:val="24"/>
                <w:szCs w:val="24"/>
              </w:rPr>
              <w:t>)</w:t>
            </w:r>
          </w:p>
        </w:tc>
        <w:tc>
          <w:tcPr>
            <w:tcW w:w="3384" w:type="dxa"/>
            <w:tcBorders>
              <w:right w:val="nil"/>
            </w:tcBorders>
            <w:shd w:val="clear" w:color="auto" w:fill="auto"/>
            <w:vAlign w:val="center"/>
          </w:tcPr>
          <w:p w14:paraId="32A22F67" w14:textId="77777777" w:rsidR="001A3EEC" w:rsidRPr="000315B4" w:rsidRDefault="001A3EEC" w:rsidP="005C23CB">
            <w:pPr>
              <w:widowControl w:val="0"/>
              <w:adjustRightInd w:val="0"/>
              <w:snapToGrid w:val="0"/>
              <w:spacing w:line="360" w:lineRule="auto"/>
              <w:jc w:val="center"/>
              <w:rPr>
                <w:sz w:val="24"/>
                <w:szCs w:val="24"/>
              </w:rPr>
            </w:pPr>
          </w:p>
        </w:tc>
      </w:tr>
      <w:tr w:rsidR="001A3EEC" w:rsidRPr="000315B4" w14:paraId="7B3B1DA2" w14:textId="77777777" w:rsidTr="005C23CB">
        <w:trPr>
          <w:trHeight w:val="340"/>
        </w:trPr>
        <w:tc>
          <w:tcPr>
            <w:tcW w:w="4839" w:type="dxa"/>
            <w:tcBorders>
              <w:left w:val="nil"/>
            </w:tcBorders>
            <w:shd w:val="clear" w:color="auto" w:fill="auto"/>
            <w:noWrap/>
            <w:vAlign w:val="center"/>
            <w:hideMark/>
          </w:tcPr>
          <w:p w14:paraId="34433869" w14:textId="207843DC" w:rsidR="001A3EEC" w:rsidRPr="000315B4" w:rsidRDefault="001A3EEC" w:rsidP="007804E8">
            <w:pPr>
              <w:widowControl w:val="0"/>
              <w:adjustRightInd w:val="0"/>
              <w:snapToGrid w:val="0"/>
              <w:spacing w:line="360" w:lineRule="auto"/>
              <w:jc w:val="both"/>
              <w:rPr>
                <w:sz w:val="24"/>
                <w:szCs w:val="24"/>
              </w:rPr>
            </w:pPr>
            <w:r w:rsidRPr="000315B4">
              <w:rPr>
                <w:sz w:val="24"/>
                <w:szCs w:val="24"/>
              </w:rPr>
              <w:t>Long segment (BE</w:t>
            </w:r>
            <w:r w:rsidR="005C23CB">
              <w:rPr>
                <w:rFonts w:hint="eastAsia"/>
                <w:sz w:val="24"/>
                <w:szCs w:val="24"/>
                <w:lang w:eastAsia="zh-CN"/>
              </w:rPr>
              <w:t xml:space="preserve"> </w:t>
            </w:r>
            <w:r w:rsidRPr="000315B4">
              <w:rPr>
                <w:sz w:val="24"/>
                <w:szCs w:val="24"/>
              </w:rPr>
              <w:t>≥ 3</w:t>
            </w:r>
            <w:r w:rsidR="005C23CB">
              <w:rPr>
                <w:rFonts w:hint="eastAsia"/>
                <w:sz w:val="24"/>
                <w:szCs w:val="24"/>
                <w:lang w:eastAsia="zh-CN"/>
              </w:rPr>
              <w:t xml:space="preserve"> </w:t>
            </w:r>
            <w:r w:rsidRPr="000315B4">
              <w:rPr>
                <w:sz w:val="24"/>
                <w:szCs w:val="24"/>
              </w:rPr>
              <w:t>cm)</w:t>
            </w:r>
          </w:p>
        </w:tc>
        <w:tc>
          <w:tcPr>
            <w:tcW w:w="2126" w:type="dxa"/>
            <w:shd w:val="clear" w:color="auto" w:fill="auto"/>
            <w:vAlign w:val="center"/>
          </w:tcPr>
          <w:p w14:paraId="11D7E9F1" w14:textId="280C159E"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0.99 </w:t>
            </w:r>
            <w:r w:rsidR="005C23CB">
              <w:rPr>
                <w:sz w:val="24"/>
                <w:szCs w:val="24"/>
              </w:rPr>
              <w:t>(</w:t>
            </w:r>
            <w:r w:rsidRPr="000315B4">
              <w:rPr>
                <w:sz w:val="24"/>
                <w:szCs w:val="24"/>
              </w:rPr>
              <w:t>0.13-7.85</w:t>
            </w:r>
            <w:r w:rsidR="005C23CB">
              <w:rPr>
                <w:sz w:val="24"/>
                <w:szCs w:val="24"/>
              </w:rPr>
              <w:t>)</w:t>
            </w:r>
          </w:p>
        </w:tc>
        <w:tc>
          <w:tcPr>
            <w:tcW w:w="3384" w:type="dxa"/>
            <w:tcBorders>
              <w:right w:val="nil"/>
            </w:tcBorders>
            <w:shd w:val="clear" w:color="auto" w:fill="auto"/>
            <w:vAlign w:val="center"/>
          </w:tcPr>
          <w:p w14:paraId="23367534" w14:textId="77777777" w:rsidR="001A3EEC" w:rsidRPr="000315B4" w:rsidRDefault="001A3EEC" w:rsidP="005C23CB">
            <w:pPr>
              <w:widowControl w:val="0"/>
              <w:adjustRightInd w:val="0"/>
              <w:snapToGrid w:val="0"/>
              <w:spacing w:line="360" w:lineRule="auto"/>
              <w:jc w:val="center"/>
              <w:rPr>
                <w:sz w:val="24"/>
                <w:szCs w:val="24"/>
              </w:rPr>
            </w:pPr>
          </w:p>
        </w:tc>
      </w:tr>
      <w:tr w:rsidR="001A3EEC" w:rsidRPr="000315B4" w14:paraId="355E514C" w14:textId="77777777" w:rsidTr="005C23CB">
        <w:trPr>
          <w:trHeight w:val="340"/>
        </w:trPr>
        <w:tc>
          <w:tcPr>
            <w:tcW w:w="4839" w:type="dxa"/>
            <w:tcBorders>
              <w:left w:val="nil"/>
            </w:tcBorders>
            <w:shd w:val="clear" w:color="auto" w:fill="auto"/>
            <w:noWrap/>
            <w:vAlign w:val="center"/>
            <w:hideMark/>
          </w:tcPr>
          <w:p w14:paraId="25ECD693"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Pre-study cancer history</w:t>
            </w:r>
          </w:p>
        </w:tc>
        <w:tc>
          <w:tcPr>
            <w:tcW w:w="2126" w:type="dxa"/>
            <w:shd w:val="clear" w:color="auto" w:fill="auto"/>
            <w:vAlign w:val="center"/>
          </w:tcPr>
          <w:p w14:paraId="09F08FA9" w14:textId="6B8ABC05"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2.58 </w:t>
            </w:r>
            <w:r w:rsidR="005C23CB">
              <w:rPr>
                <w:sz w:val="24"/>
                <w:szCs w:val="24"/>
              </w:rPr>
              <w:t>(</w:t>
            </w:r>
            <w:r w:rsidRPr="000315B4">
              <w:rPr>
                <w:sz w:val="24"/>
                <w:szCs w:val="24"/>
              </w:rPr>
              <w:t>0.92-7.25</w:t>
            </w:r>
            <w:r w:rsidR="005C23CB">
              <w:rPr>
                <w:sz w:val="24"/>
                <w:szCs w:val="24"/>
              </w:rPr>
              <w:t>)</w:t>
            </w:r>
          </w:p>
        </w:tc>
        <w:tc>
          <w:tcPr>
            <w:tcW w:w="3384" w:type="dxa"/>
            <w:tcBorders>
              <w:right w:val="nil"/>
            </w:tcBorders>
            <w:shd w:val="clear" w:color="auto" w:fill="auto"/>
            <w:vAlign w:val="center"/>
          </w:tcPr>
          <w:p w14:paraId="6CC3FA18" w14:textId="174F0FB5" w:rsidR="001A3EEC" w:rsidRPr="000315B4" w:rsidRDefault="001A3EEC" w:rsidP="005C23CB">
            <w:pPr>
              <w:widowControl w:val="0"/>
              <w:adjustRightInd w:val="0"/>
              <w:snapToGrid w:val="0"/>
              <w:spacing w:line="360" w:lineRule="auto"/>
              <w:jc w:val="center"/>
              <w:rPr>
                <w:rFonts w:cstheme="majorBidi"/>
                <w:sz w:val="24"/>
                <w:szCs w:val="24"/>
              </w:rPr>
            </w:pPr>
            <w:r w:rsidRPr="000315B4">
              <w:rPr>
                <w:sz w:val="24"/>
                <w:szCs w:val="24"/>
              </w:rPr>
              <w:t xml:space="preserve">2.12 </w:t>
            </w:r>
            <w:r w:rsidR="005C23CB">
              <w:rPr>
                <w:sz w:val="24"/>
                <w:szCs w:val="24"/>
              </w:rPr>
              <w:t>(</w:t>
            </w:r>
            <w:r w:rsidRPr="000315B4">
              <w:rPr>
                <w:sz w:val="24"/>
                <w:szCs w:val="24"/>
              </w:rPr>
              <w:t>0.73-6.17</w:t>
            </w:r>
            <w:r w:rsidR="005C23CB">
              <w:rPr>
                <w:sz w:val="24"/>
                <w:szCs w:val="24"/>
              </w:rPr>
              <w:t>)</w:t>
            </w:r>
          </w:p>
        </w:tc>
      </w:tr>
      <w:tr w:rsidR="001A3EEC" w:rsidRPr="000315B4" w14:paraId="4B5B2561" w14:textId="77777777" w:rsidTr="005C23CB">
        <w:trPr>
          <w:trHeight w:val="340"/>
        </w:trPr>
        <w:tc>
          <w:tcPr>
            <w:tcW w:w="4839" w:type="dxa"/>
            <w:tcBorders>
              <w:left w:val="nil"/>
              <w:bottom w:val="single" w:sz="12" w:space="0" w:color="auto"/>
            </w:tcBorders>
            <w:shd w:val="clear" w:color="auto" w:fill="auto"/>
            <w:noWrap/>
            <w:vAlign w:val="center"/>
            <w:hideMark/>
          </w:tcPr>
          <w:p w14:paraId="7E619DB5" w14:textId="382D5EDD" w:rsidR="001A3EEC" w:rsidRPr="000315B4" w:rsidRDefault="001A3EEC" w:rsidP="007804E8">
            <w:pPr>
              <w:widowControl w:val="0"/>
              <w:adjustRightInd w:val="0"/>
              <w:snapToGrid w:val="0"/>
              <w:spacing w:line="360" w:lineRule="auto"/>
              <w:jc w:val="both"/>
              <w:rPr>
                <w:sz w:val="24"/>
                <w:szCs w:val="24"/>
              </w:rPr>
            </w:pPr>
            <w:r w:rsidRPr="000315B4">
              <w:rPr>
                <w:sz w:val="24"/>
                <w:szCs w:val="24"/>
              </w:rPr>
              <w:t xml:space="preserve">HGD </w:t>
            </w:r>
            <w:r w:rsidRPr="005C23CB">
              <w:rPr>
                <w:i/>
                <w:sz w:val="24"/>
                <w:szCs w:val="24"/>
              </w:rPr>
              <w:t>vs</w:t>
            </w:r>
            <w:r w:rsidRPr="000315B4">
              <w:rPr>
                <w:sz w:val="24"/>
                <w:szCs w:val="24"/>
              </w:rPr>
              <w:t xml:space="preserve"> non-HGD</w:t>
            </w:r>
          </w:p>
        </w:tc>
        <w:tc>
          <w:tcPr>
            <w:tcW w:w="2126" w:type="dxa"/>
            <w:tcBorders>
              <w:bottom w:val="single" w:sz="12" w:space="0" w:color="auto"/>
            </w:tcBorders>
            <w:shd w:val="clear" w:color="auto" w:fill="auto"/>
            <w:vAlign w:val="center"/>
          </w:tcPr>
          <w:p w14:paraId="01EC2570" w14:textId="4110140F" w:rsidR="001A3EEC" w:rsidRPr="000315B4" w:rsidRDefault="001A3EEC" w:rsidP="005C23CB">
            <w:pPr>
              <w:widowControl w:val="0"/>
              <w:adjustRightInd w:val="0"/>
              <w:snapToGrid w:val="0"/>
              <w:spacing w:line="360" w:lineRule="auto"/>
              <w:jc w:val="center"/>
              <w:rPr>
                <w:b/>
                <w:bCs/>
                <w:sz w:val="24"/>
                <w:szCs w:val="24"/>
              </w:rPr>
            </w:pPr>
            <w:r w:rsidRPr="000315B4">
              <w:rPr>
                <w:sz w:val="24"/>
                <w:szCs w:val="24"/>
              </w:rPr>
              <w:t xml:space="preserve">3.40 </w:t>
            </w:r>
            <w:r w:rsidR="005C23CB">
              <w:rPr>
                <w:sz w:val="24"/>
                <w:szCs w:val="24"/>
              </w:rPr>
              <w:t>(</w:t>
            </w:r>
            <w:r w:rsidRPr="000315B4">
              <w:rPr>
                <w:sz w:val="24"/>
                <w:szCs w:val="24"/>
              </w:rPr>
              <w:t>0.78-14.84</w:t>
            </w:r>
            <w:r w:rsidR="005C23CB">
              <w:rPr>
                <w:sz w:val="24"/>
                <w:szCs w:val="24"/>
              </w:rPr>
              <w:t>)</w:t>
            </w:r>
          </w:p>
        </w:tc>
        <w:tc>
          <w:tcPr>
            <w:tcW w:w="3384" w:type="dxa"/>
            <w:tcBorders>
              <w:bottom w:val="single" w:sz="12" w:space="0" w:color="auto"/>
              <w:right w:val="nil"/>
            </w:tcBorders>
            <w:shd w:val="clear" w:color="auto" w:fill="auto"/>
            <w:vAlign w:val="center"/>
          </w:tcPr>
          <w:p w14:paraId="5B64F6C1" w14:textId="0CF899B5" w:rsidR="001A3EEC" w:rsidRPr="000315B4" w:rsidRDefault="001A3EEC" w:rsidP="005C23CB">
            <w:pPr>
              <w:widowControl w:val="0"/>
              <w:adjustRightInd w:val="0"/>
              <w:snapToGrid w:val="0"/>
              <w:spacing w:line="360" w:lineRule="auto"/>
              <w:jc w:val="center"/>
              <w:rPr>
                <w:rFonts w:cstheme="majorBidi"/>
                <w:sz w:val="24"/>
                <w:szCs w:val="24"/>
                <w:vertAlign w:val="superscript"/>
              </w:rPr>
            </w:pPr>
            <w:r w:rsidRPr="000315B4">
              <w:rPr>
                <w:sz w:val="24"/>
                <w:szCs w:val="24"/>
              </w:rPr>
              <w:t xml:space="preserve">8.32 </w:t>
            </w:r>
            <w:r w:rsidR="005C23CB">
              <w:rPr>
                <w:sz w:val="24"/>
                <w:szCs w:val="24"/>
              </w:rPr>
              <w:t>(</w:t>
            </w:r>
            <w:r w:rsidRPr="000315B4">
              <w:rPr>
                <w:sz w:val="24"/>
                <w:szCs w:val="24"/>
              </w:rPr>
              <w:t>1.35-51.33</w:t>
            </w:r>
            <w:r w:rsidR="005C23CB">
              <w:rPr>
                <w:sz w:val="24"/>
                <w:szCs w:val="24"/>
              </w:rPr>
              <w:t>)</w:t>
            </w:r>
            <w:r w:rsidRPr="000315B4">
              <w:rPr>
                <w:sz w:val="24"/>
                <w:szCs w:val="24"/>
                <w:vertAlign w:val="superscript"/>
              </w:rPr>
              <w:t>a</w:t>
            </w:r>
          </w:p>
        </w:tc>
      </w:tr>
    </w:tbl>
    <w:p w14:paraId="02B5CDDD" w14:textId="0CF90CB3" w:rsidR="001A3EEC" w:rsidRPr="000315B4" w:rsidRDefault="001A3EEC" w:rsidP="007804E8">
      <w:pPr>
        <w:widowControl w:val="0"/>
        <w:adjustRightInd w:val="0"/>
        <w:snapToGrid w:val="0"/>
        <w:spacing w:line="360" w:lineRule="auto"/>
        <w:jc w:val="both"/>
        <w:rPr>
          <w:sz w:val="24"/>
          <w:szCs w:val="24"/>
          <w:lang w:eastAsia="zh-CN"/>
        </w:rPr>
      </w:pPr>
      <w:r w:rsidRPr="000315B4">
        <w:rPr>
          <w:sz w:val="24"/>
          <w:szCs w:val="24"/>
          <w:vertAlign w:val="superscript"/>
        </w:rPr>
        <w:t>a</w:t>
      </w:r>
      <w:r w:rsidR="005C23CB" w:rsidRPr="005C23CB">
        <w:rPr>
          <w:i/>
          <w:sz w:val="24"/>
          <w:szCs w:val="24"/>
        </w:rPr>
        <w:t>P</w:t>
      </w:r>
      <w:r w:rsidR="005C23CB">
        <w:rPr>
          <w:rFonts w:hint="eastAsia"/>
          <w:i/>
          <w:sz w:val="24"/>
          <w:szCs w:val="24"/>
          <w:lang w:eastAsia="zh-CN"/>
        </w:rPr>
        <w:t xml:space="preserve"> </w:t>
      </w:r>
      <w:r w:rsidRPr="000315B4">
        <w:rPr>
          <w:sz w:val="24"/>
          <w:szCs w:val="24"/>
        </w:rPr>
        <w:t>&lt;</w:t>
      </w:r>
      <w:r w:rsidR="005C23CB">
        <w:rPr>
          <w:rFonts w:hint="eastAsia"/>
          <w:sz w:val="24"/>
          <w:szCs w:val="24"/>
          <w:lang w:eastAsia="zh-CN"/>
        </w:rPr>
        <w:t xml:space="preserve"> </w:t>
      </w:r>
      <w:r w:rsidRPr="000315B4">
        <w:rPr>
          <w:sz w:val="24"/>
          <w:szCs w:val="24"/>
        </w:rPr>
        <w:t xml:space="preserve">0.05; </w:t>
      </w:r>
      <w:r w:rsidRPr="000315B4">
        <w:rPr>
          <w:sz w:val="24"/>
          <w:szCs w:val="24"/>
          <w:vertAlign w:val="superscript"/>
        </w:rPr>
        <w:t>1</w:t>
      </w:r>
      <w:r w:rsidRPr="000315B4">
        <w:rPr>
          <w:sz w:val="24"/>
          <w:szCs w:val="24"/>
        </w:rPr>
        <w:t>For a 3-year increase. BE</w:t>
      </w:r>
      <w:r w:rsidR="005C23CB">
        <w:rPr>
          <w:rFonts w:hint="eastAsia"/>
          <w:sz w:val="24"/>
          <w:szCs w:val="24"/>
          <w:lang w:eastAsia="zh-CN"/>
        </w:rPr>
        <w:t>:</w:t>
      </w:r>
      <w:r w:rsidRPr="000315B4">
        <w:rPr>
          <w:sz w:val="24"/>
          <w:szCs w:val="24"/>
        </w:rPr>
        <w:t xml:space="preserve"> Barrett’s esophagus; HGD</w:t>
      </w:r>
      <w:r w:rsidR="005C23CB">
        <w:rPr>
          <w:rFonts w:hint="eastAsia"/>
          <w:sz w:val="24"/>
          <w:szCs w:val="24"/>
          <w:lang w:eastAsia="zh-CN"/>
        </w:rPr>
        <w:t>:</w:t>
      </w:r>
      <w:r w:rsidRPr="000315B4">
        <w:rPr>
          <w:sz w:val="24"/>
          <w:szCs w:val="24"/>
        </w:rPr>
        <w:t xml:space="preserve"> </w:t>
      </w:r>
      <w:r w:rsidR="005C23CB" w:rsidRPr="000315B4">
        <w:rPr>
          <w:sz w:val="24"/>
          <w:szCs w:val="24"/>
        </w:rPr>
        <w:t xml:space="preserve">High </w:t>
      </w:r>
      <w:r w:rsidRPr="000315B4">
        <w:rPr>
          <w:sz w:val="24"/>
          <w:szCs w:val="24"/>
        </w:rPr>
        <w:t>grade dysplasia; Non-HGD</w:t>
      </w:r>
      <w:r w:rsidR="005C23CB">
        <w:rPr>
          <w:rFonts w:hint="eastAsia"/>
          <w:sz w:val="24"/>
          <w:szCs w:val="24"/>
          <w:lang w:eastAsia="zh-CN"/>
        </w:rPr>
        <w:t>:</w:t>
      </w:r>
      <w:r w:rsidRPr="000315B4">
        <w:rPr>
          <w:sz w:val="24"/>
          <w:szCs w:val="24"/>
        </w:rPr>
        <w:t xml:space="preserve"> </w:t>
      </w:r>
      <w:r w:rsidR="005C23CB" w:rsidRPr="000315B4">
        <w:rPr>
          <w:sz w:val="24"/>
          <w:szCs w:val="24"/>
        </w:rPr>
        <w:t xml:space="preserve">Low </w:t>
      </w:r>
      <w:r w:rsidRPr="000315B4">
        <w:rPr>
          <w:sz w:val="24"/>
          <w:szCs w:val="24"/>
        </w:rPr>
        <w:t>grade or without dysplasia</w:t>
      </w:r>
      <w:r w:rsidR="005C23CB">
        <w:rPr>
          <w:rFonts w:hint="eastAsia"/>
          <w:sz w:val="24"/>
          <w:szCs w:val="24"/>
          <w:lang w:eastAsia="zh-CN"/>
        </w:rPr>
        <w:t>.</w:t>
      </w:r>
    </w:p>
    <w:p w14:paraId="13A73FAD" w14:textId="73B15B59" w:rsidR="001A3EEC" w:rsidRPr="000315B4" w:rsidRDefault="001A3EEC" w:rsidP="007804E8">
      <w:pPr>
        <w:pStyle w:val="Subtitle"/>
        <w:widowControl w:val="0"/>
        <w:adjustRightInd w:val="0"/>
        <w:snapToGrid w:val="0"/>
        <w:spacing w:line="360" w:lineRule="auto"/>
        <w:jc w:val="both"/>
        <w:rPr>
          <w:sz w:val="24"/>
          <w:szCs w:val="24"/>
          <w:lang w:eastAsia="zh-CN"/>
        </w:rPr>
      </w:pPr>
      <w:r w:rsidRPr="000315B4">
        <w:rPr>
          <w:sz w:val="24"/>
          <w:szCs w:val="24"/>
          <w:rtl/>
        </w:rPr>
        <w:br w:type="page"/>
      </w:r>
      <w:bookmarkStart w:id="99" w:name="_Toc520148918"/>
      <w:r w:rsidRPr="000315B4">
        <w:rPr>
          <w:sz w:val="24"/>
          <w:szCs w:val="24"/>
        </w:rPr>
        <w:lastRenderedPageBreak/>
        <w:t>Table 4</w:t>
      </w:r>
      <w:r w:rsidR="005C23CB">
        <w:rPr>
          <w:rFonts w:hint="eastAsia"/>
          <w:sz w:val="24"/>
          <w:szCs w:val="24"/>
          <w:lang w:eastAsia="zh-CN"/>
        </w:rPr>
        <w:t xml:space="preserve"> </w:t>
      </w:r>
      <w:r w:rsidRPr="000315B4">
        <w:rPr>
          <w:sz w:val="24"/>
          <w:szCs w:val="24"/>
        </w:rPr>
        <w:t>Univariate and multivariable Cox regression for the prediction of any cancer</w:t>
      </w:r>
      <w:bookmarkEnd w:id="99"/>
    </w:p>
    <w:tbl>
      <w:tblPr>
        <w:tblW w:w="10204" w:type="dxa"/>
        <w:tblInd w:w="-743" w:type="dxa"/>
        <w:tblBorders>
          <w:top w:val="single" w:sz="4" w:space="0" w:color="auto"/>
          <w:left w:val="single" w:sz="12" w:space="0" w:color="000000"/>
          <w:bottom w:val="single" w:sz="12" w:space="0" w:color="auto"/>
          <w:right w:val="single" w:sz="12" w:space="0" w:color="auto"/>
        </w:tblBorders>
        <w:tblLayout w:type="fixed"/>
        <w:tblLook w:val="04A0" w:firstRow="1" w:lastRow="0" w:firstColumn="1" w:lastColumn="0" w:noHBand="0" w:noVBand="1"/>
      </w:tblPr>
      <w:tblGrid>
        <w:gridCol w:w="5048"/>
        <w:gridCol w:w="2218"/>
        <w:gridCol w:w="2938"/>
      </w:tblGrid>
      <w:tr w:rsidR="001A3EEC" w:rsidRPr="000315B4" w14:paraId="665146B8" w14:textId="77777777" w:rsidTr="00D7460F">
        <w:trPr>
          <w:trHeight w:val="350"/>
        </w:trPr>
        <w:tc>
          <w:tcPr>
            <w:tcW w:w="5048" w:type="dxa"/>
            <w:tcBorders>
              <w:top w:val="single" w:sz="12" w:space="0" w:color="auto"/>
              <w:left w:val="nil"/>
              <w:bottom w:val="single" w:sz="12" w:space="0" w:color="auto"/>
            </w:tcBorders>
            <w:shd w:val="clear" w:color="auto" w:fill="auto"/>
            <w:noWrap/>
            <w:vAlign w:val="center"/>
          </w:tcPr>
          <w:p w14:paraId="12427FA8" w14:textId="3348591E" w:rsidR="001A3EEC" w:rsidRPr="005C23CB" w:rsidRDefault="005C23CB" w:rsidP="007804E8">
            <w:pPr>
              <w:widowControl w:val="0"/>
              <w:adjustRightInd w:val="0"/>
              <w:snapToGrid w:val="0"/>
              <w:spacing w:line="360" w:lineRule="auto"/>
              <w:jc w:val="both"/>
              <w:rPr>
                <w:b/>
                <w:sz w:val="24"/>
                <w:szCs w:val="24"/>
              </w:rPr>
            </w:pPr>
            <w:r w:rsidRPr="005C23CB">
              <w:rPr>
                <w:b/>
                <w:i/>
                <w:sz w:val="24"/>
                <w:szCs w:val="24"/>
              </w:rPr>
              <w:t>n</w:t>
            </w:r>
            <w:r w:rsidRPr="005C23CB">
              <w:rPr>
                <w:rFonts w:hint="eastAsia"/>
                <w:b/>
                <w:sz w:val="24"/>
                <w:szCs w:val="24"/>
                <w:lang w:eastAsia="zh-CN"/>
              </w:rPr>
              <w:t xml:space="preserve"> </w:t>
            </w:r>
            <w:r w:rsidR="001A3EEC" w:rsidRPr="005C23CB">
              <w:rPr>
                <w:b/>
                <w:sz w:val="24"/>
                <w:szCs w:val="24"/>
              </w:rPr>
              <w:t>= 386 (including EAC and IMC)</w:t>
            </w:r>
          </w:p>
        </w:tc>
        <w:tc>
          <w:tcPr>
            <w:tcW w:w="2218" w:type="dxa"/>
            <w:tcBorders>
              <w:top w:val="single" w:sz="12" w:space="0" w:color="auto"/>
              <w:bottom w:val="single" w:sz="12" w:space="0" w:color="auto"/>
            </w:tcBorders>
            <w:shd w:val="clear" w:color="auto" w:fill="auto"/>
            <w:vAlign w:val="center"/>
          </w:tcPr>
          <w:p w14:paraId="1C28162B" w14:textId="617B8242" w:rsidR="001A3EEC" w:rsidRPr="005C23CB" w:rsidRDefault="001A3EEC" w:rsidP="005C23CB">
            <w:pPr>
              <w:widowControl w:val="0"/>
              <w:adjustRightInd w:val="0"/>
              <w:snapToGrid w:val="0"/>
              <w:spacing w:line="360" w:lineRule="auto"/>
              <w:jc w:val="center"/>
              <w:rPr>
                <w:b/>
                <w:sz w:val="24"/>
                <w:szCs w:val="24"/>
              </w:rPr>
            </w:pPr>
            <w:r w:rsidRPr="005C23CB">
              <w:rPr>
                <w:b/>
                <w:sz w:val="24"/>
                <w:szCs w:val="24"/>
              </w:rPr>
              <w:t xml:space="preserve">HR </w:t>
            </w:r>
            <w:r w:rsidR="005C23CB">
              <w:rPr>
                <w:b/>
                <w:sz w:val="24"/>
                <w:szCs w:val="24"/>
              </w:rPr>
              <w:t>(</w:t>
            </w:r>
            <w:r w:rsidRPr="005C23CB">
              <w:rPr>
                <w:b/>
                <w:sz w:val="24"/>
                <w:szCs w:val="24"/>
              </w:rPr>
              <w:t>95%CI</w:t>
            </w:r>
            <w:r w:rsidR="005C23CB">
              <w:rPr>
                <w:b/>
                <w:sz w:val="24"/>
                <w:szCs w:val="24"/>
              </w:rPr>
              <w:t>)</w:t>
            </w:r>
          </w:p>
        </w:tc>
        <w:tc>
          <w:tcPr>
            <w:tcW w:w="2938" w:type="dxa"/>
            <w:tcBorders>
              <w:top w:val="single" w:sz="12" w:space="0" w:color="auto"/>
              <w:bottom w:val="single" w:sz="12" w:space="0" w:color="auto"/>
              <w:right w:val="nil"/>
            </w:tcBorders>
            <w:shd w:val="clear" w:color="auto" w:fill="auto"/>
            <w:vAlign w:val="center"/>
          </w:tcPr>
          <w:p w14:paraId="48E723B2" w14:textId="0B21EB13" w:rsidR="001A3EEC" w:rsidRPr="005C23CB" w:rsidRDefault="001A3EEC" w:rsidP="005C23CB">
            <w:pPr>
              <w:widowControl w:val="0"/>
              <w:adjustRightInd w:val="0"/>
              <w:snapToGrid w:val="0"/>
              <w:spacing w:line="360" w:lineRule="auto"/>
              <w:jc w:val="center"/>
              <w:rPr>
                <w:b/>
                <w:sz w:val="24"/>
                <w:szCs w:val="24"/>
              </w:rPr>
            </w:pPr>
            <w:r w:rsidRPr="005C23CB">
              <w:rPr>
                <w:b/>
                <w:sz w:val="24"/>
                <w:szCs w:val="24"/>
              </w:rPr>
              <w:t xml:space="preserve">Adjusted HR </w:t>
            </w:r>
            <w:r w:rsidR="005C23CB">
              <w:rPr>
                <w:b/>
                <w:sz w:val="24"/>
                <w:szCs w:val="24"/>
              </w:rPr>
              <w:t>(</w:t>
            </w:r>
            <w:r w:rsidRPr="005C23CB">
              <w:rPr>
                <w:b/>
                <w:sz w:val="24"/>
                <w:szCs w:val="24"/>
              </w:rPr>
              <w:t>95%CI</w:t>
            </w:r>
            <w:r w:rsidR="005C23CB">
              <w:rPr>
                <w:b/>
                <w:sz w:val="24"/>
                <w:szCs w:val="24"/>
              </w:rPr>
              <w:t>)</w:t>
            </w:r>
          </w:p>
        </w:tc>
      </w:tr>
      <w:tr w:rsidR="001A3EEC" w:rsidRPr="000315B4" w14:paraId="104DE667" w14:textId="77777777" w:rsidTr="00D7460F">
        <w:trPr>
          <w:trHeight w:val="350"/>
        </w:trPr>
        <w:tc>
          <w:tcPr>
            <w:tcW w:w="5048" w:type="dxa"/>
            <w:tcBorders>
              <w:top w:val="single" w:sz="12" w:space="0" w:color="auto"/>
              <w:left w:val="nil"/>
            </w:tcBorders>
            <w:shd w:val="clear" w:color="auto" w:fill="auto"/>
            <w:vAlign w:val="center"/>
            <w:hideMark/>
          </w:tcPr>
          <w:p w14:paraId="5712DFA1" w14:textId="5B93816B" w:rsidR="001A3EEC" w:rsidRPr="000315B4" w:rsidRDefault="001A3EEC" w:rsidP="007804E8">
            <w:pPr>
              <w:widowControl w:val="0"/>
              <w:adjustRightInd w:val="0"/>
              <w:snapToGrid w:val="0"/>
              <w:spacing w:line="360" w:lineRule="auto"/>
              <w:jc w:val="both"/>
              <w:rPr>
                <w:sz w:val="24"/>
                <w:szCs w:val="24"/>
              </w:rPr>
            </w:pPr>
            <w:r w:rsidRPr="000315B4">
              <w:rPr>
                <w:sz w:val="24"/>
                <w:szCs w:val="24"/>
              </w:rPr>
              <w:t>Age at study inclusion</w:t>
            </w:r>
            <w:r w:rsidR="00FB7301" w:rsidRPr="000315B4">
              <w:rPr>
                <w:sz w:val="24"/>
                <w:szCs w:val="24"/>
                <w:vertAlign w:val="superscript"/>
              </w:rPr>
              <w:t>1</w:t>
            </w:r>
          </w:p>
        </w:tc>
        <w:tc>
          <w:tcPr>
            <w:tcW w:w="2218" w:type="dxa"/>
            <w:tcBorders>
              <w:top w:val="single" w:sz="12" w:space="0" w:color="auto"/>
            </w:tcBorders>
            <w:shd w:val="clear" w:color="auto" w:fill="auto"/>
            <w:vAlign w:val="center"/>
          </w:tcPr>
          <w:p w14:paraId="0A19F4B7" w14:textId="0CD059AE"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1.09 </w:t>
            </w:r>
            <w:r w:rsidR="005C23CB">
              <w:rPr>
                <w:sz w:val="24"/>
                <w:szCs w:val="24"/>
              </w:rPr>
              <w:t>(</w:t>
            </w:r>
            <w:r w:rsidRPr="000315B4">
              <w:rPr>
                <w:sz w:val="24"/>
                <w:szCs w:val="24"/>
              </w:rPr>
              <w:t>0.99-1.20</w:t>
            </w:r>
            <w:r w:rsidR="005C23CB">
              <w:rPr>
                <w:sz w:val="24"/>
                <w:szCs w:val="24"/>
              </w:rPr>
              <w:t>)</w:t>
            </w:r>
          </w:p>
        </w:tc>
        <w:tc>
          <w:tcPr>
            <w:tcW w:w="2938" w:type="dxa"/>
            <w:tcBorders>
              <w:top w:val="single" w:sz="12" w:space="0" w:color="auto"/>
              <w:right w:val="nil"/>
            </w:tcBorders>
            <w:shd w:val="clear" w:color="auto" w:fill="auto"/>
            <w:vAlign w:val="center"/>
          </w:tcPr>
          <w:p w14:paraId="20CDC010" w14:textId="56DE545D"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1.08 </w:t>
            </w:r>
            <w:r w:rsidR="005C23CB">
              <w:rPr>
                <w:sz w:val="24"/>
                <w:szCs w:val="24"/>
              </w:rPr>
              <w:t>(</w:t>
            </w:r>
            <w:r w:rsidRPr="000315B4">
              <w:rPr>
                <w:sz w:val="24"/>
                <w:szCs w:val="24"/>
              </w:rPr>
              <w:t>0.97-1.21</w:t>
            </w:r>
            <w:r w:rsidR="005C23CB">
              <w:rPr>
                <w:sz w:val="24"/>
                <w:szCs w:val="24"/>
              </w:rPr>
              <w:t>)</w:t>
            </w:r>
          </w:p>
        </w:tc>
      </w:tr>
      <w:tr w:rsidR="001A3EEC" w:rsidRPr="000315B4" w14:paraId="0882B3B1" w14:textId="77777777" w:rsidTr="00D7460F">
        <w:trPr>
          <w:trHeight w:val="350"/>
        </w:trPr>
        <w:tc>
          <w:tcPr>
            <w:tcW w:w="5048" w:type="dxa"/>
            <w:tcBorders>
              <w:left w:val="nil"/>
            </w:tcBorders>
            <w:shd w:val="clear" w:color="auto" w:fill="auto"/>
            <w:vAlign w:val="center"/>
            <w:hideMark/>
          </w:tcPr>
          <w:p w14:paraId="178CC6ED" w14:textId="58301597" w:rsidR="001A3EEC" w:rsidRPr="000315B4" w:rsidRDefault="001A3EEC" w:rsidP="005C23CB">
            <w:pPr>
              <w:widowControl w:val="0"/>
              <w:adjustRightInd w:val="0"/>
              <w:snapToGrid w:val="0"/>
              <w:spacing w:line="360" w:lineRule="auto"/>
              <w:jc w:val="both"/>
              <w:rPr>
                <w:sz w:val="24"/>
                <w:szCs w:val="24"/>
              </w:rPr>
            </w:pPr>
            <w:r w:rsidRPr="000315B4">
              <w:rPr>
                <w:sz w:val="24"/>
                <w:szCs w:val="24"/>
              </w:rPr>
              <w:t xml:space="preserve">Gender </w:t>
            </w:r>
            <w:r w:rsidR="005C23CB">
              <w:rPr>
                <w:rFonts w:hint="eastAsia"/>
                <w:sz w:val="24"/>
                <w:szCs w:val="24"/>
                <w:lang w:eastAsia="zh-CN"/>
              </w:rPr>
              <w:t>-</w:t>
            </w:r>
            <w:r w:rsidRPr="000315B4">
              <w:rPr>
                <w:sz w:val="24"/>
                <w:szCs w:val="24"/>
              </w:rPr>
              <w:t xml:space="preserve"> male</w:t>
            </w:r>
          </w:p>
        </w:tc>
        <w:tc>
          <w:tcPr>
            <w:tcW w:w="2218" w:type="dxa"/>
            <w:shd w:val="clear" w:color="auto" w:fill="auto"/>
            <w:vAlign w:val="center"/>
          </w:tcPr>
          <w:p w14:paraId="0EB82CD8" w14:textId="757CFFF0"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2.29 </w:t>
            </w:r>
            <w:r w:rsidR="005C23CB">
              <w:rPr>
                <w:sz w:val="24"/>
                <w:szCs w:val="24"/>
              </w:rPr>
              <w:t>(</w:t>
            </w:r>
            <w:r w:rsidRPr="000315B4">
              <w:rPr>
                <w:sz w:val="24"/>
                <w:szCs w:val="24"/>
              </w:rPr>
              <w:t>0.79-6.67</w:t>
            </w:r>
            <w:r w:rsidR="005C23CB">
              <w:rPr>
                <w:sz w:val="24"/>
                <w:szCs w:val="24"/>
              </w:rPr>
              <w:t>)</w:t>
            </w:r>
          </w:p>
        </w:tc>
        <w:tc>
          <w:tcPr>
            <w:tcW w:w="2938" w:type="dxa"/>
            <w:tcBorders>
              <w:right w:val="nil"/>
            </w:tcBorders>
            <w:shd w:val="clear" w:color="auto" w:fill="auto"/>
            <w:vAlign w:val="center"/>
          </w:tcPr>
          <w:p w14:paraId="4A9D1D87" w14:textId="77777777" w:rsidR="001A3EEC" w:rsidRPr="000315B4" w:rsidRDefault="001A3EEC" w:rsidP="005C23CB">
            <w:pPr>
              <w:widowControl w:val="0"/>
              <w:adjustRightInd w:val="0"/>
              <w:snapToGrid w:val="0"/>
              <w:spacing w:line="360" w:lineRule="auto"/>
              <w:jc w:val="center"/>
              <w:rPr>
                <w:sz w:val="24"/>
                <w:szCs w:val="24"/>
              </w:rPr>
            </w:pPr>
          </w:p>
        </w:tc>
      </w:tr>
      <w:tr w:rsidR="001A3EEC" w:rsidRPr="000315B4" w14:paraId="0691F297" w14:textId="77777777" w:rsidTr="00D7460F">
        <w:trPr>
          <w:trHeight w:val="350"/>
        </w:trPr>
        <w:tc>
          <w:tcPr>
            <w:tcW w:w="5048" w:type="dxa"/>
            <w:tcBorders>
              <w:left w:val="nil"/>
            </w:tcBorders>
            <w:shd w:val="clear" w:color="auto" w:fill="auto"/>
            <w:vAlign w:val="center"/>
            <w:hideMark/>
          </w:tcPr>
          <w:p w14:paraId="19343324"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Number of endoscopies per patient</w:t>
            </w:r>
          </w:p>
        </w:tc>
        <w:tc>
          <w:tcPr>
            <w:tcW w:w="2218" w:type="dxa"/>
            <w:shd w:val="clear" w:color="auto" w:fill="auto"/>
            <w:vAlign w:val="center"/>
          </w:tcPr>
          <w:p w14:paraId="029ABB82" w14:textId="055C0984"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1.11 </w:t>
            </w:r>
            <w:r w:rsidR="005C23CB">
              <w:rPr>
                <w:sz w:val="24"/>
                <w:szCs w:val="24"/>
              </w:rPr>
              <w:t>(</w:t>
            </w:r>
            <w:r w:rsidRPr="000315B4">
              <w:rPr>
                <w:sz w:val="24"/>
                <w:szCs w:val="24"/>
              </w:rPr>
              <w:t>0.96-1.29</w:t>
            </w:r>
            <w:r w:rsidR="005C23CB">
              <w:rPr>
                <w:sz w:val="24"/>
                <w:szCs w:val="24"/>
              </w:rPr>
              <w:t>)</w:t>
            </w:r>
          </w:p>
        </w:tc>
        <w:tc>
          <w:tcPr>
            <w:tcW w:w="2938" w:type="dxa"/>
            <w:tcBorders>
              <w:right w:val="nil"/>
            </w:tcBorders>
            <w:shd w:val="clear" w:color="auto" w:fill="auto"/>
            <w:vAlign w:val="center"/>
          </w:tcPr>
          <w:p w14:paraId="05180C06" w14:textId="29C8CE78"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0.99 </w:t>
            </w:r>
            <w:r w:rsidR="005C23CB">
              <w:rPr>
                <w:sz w:val="24"/>
                <w:szCs w:val="24"/>
              </w:rPr>
              <w:t>(</w:t>
            </w:r>
            <w:r w:rsidRPr="000315B4">
              <w:rPr>
                <w:sz w:val="24"/>
                <w:szCs w:val="24"/>
              </w:rPr>
              <w:t>0.82-1.21</w:t>
            </w:r>
            <w:r w:rsidR="005C23CB">
              <w:rPr>
                <w:sz w:val="24"/>
                <w:szCs w:val="24"/>
              </w:rPr>
              <w:t>)</w:t>
            </w:r>
          </w:p>
        </w:tc>
      </w:tr>
      <w:tr w:rsidR="001A3EEC" w:rsidRPr="000315B4" w14:paraId="14ACF6F0" w14:textId="77777777" w:rsidTr="00D7460F">
        <w:trPr>
          <w:trHeight w:val="350"/>
        </w:trPr>
        <w:tc>
          <w:tcPr>
            <w:tcW w:w="5048" w:type="dxa"/>
            <w:tcBorders>
              <w:left w:val="nil"/>
            </w:tcBorders>
            <w:shd w:val="clear" w:color="auto" w:fill="auto"/>
            <w:noWrap/>
            <w:vAlign w:val="center"/>
            <w:hideMark/>
          </w:tcPr>
          <w:p w14:paraId="28143C00"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Presence of endoscopic abnormalities</w:t>
            </w:r>
          </w:p>
        </w:tc>
        <w:tc>
          <w:tcPr>
            <w:tcW w:w="2218" w:type="dxa"/>
            <w:shd w:val="clear" w:color="auto" w:fill="auto"/>
            <w:vAlign w:val="center"/>
          </w:tcPr>
          <w:p w14:paraId="2B4E9C94" w14:textId="44816E9E"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2.27 </w:t>
            </w:r>
            <w:r w:rsidR="005C23CB">
              <w:rPr>
                <w:sz w:val="24"/>
                <w:szCs w:val="24"/>
              </w:rPr>
              <w:t>(</w:t>
            </w:r>
            <w:r w:rsidRPr="000315B4">
              <w:rPr>
                <w:sz w:val="24"/>
                <w:szCs w:val="24"/>
              </w:rPr>
              <w:t>0.95-5.44</w:t>
            </w:r>
            <w:r w:rsidR="005C23CB">
              <w:rPr>
                <w:sz w:val="24"/>
                <w:szCs w:val="24"/>
              </w:rPr>
              <w:t>)</w:t>
            </w:r>
          </w:p>
        </w:tc>
        <w:tc>
          <w:tcPr>
            <w:tcW w:w="2938" w:type="dxa"/>
            <w:tcBorders>
              <w:right w:val="nil"/>
            </w:tcBorders>
            <w:shd w:val="clear" w:color="auto" w:fill="auto"/>
            <w:vAlign w:val="center"/>
          </w:tcPr>
          <w:p w14:paraId="01D99EC7" w14:textId="77777777" w:rsidR="001A3EEC" w:rsidRPr="000315B4" w:rsidRDefault="001A3EEC" w:rsidP="005C23CB">
            <w:pPr>
              <w:widowControl w:val="0"/>
              <w:adjustRightInd w:val="0"/>
              <w:snapToGrid w:val="0"/>
              <w:spacing w:line="360" w:lineRule="auto"/>
              <w:jc w:val="center"/>
              <w:rPr>
                <w:sz w:val="24"/>
                <w:szCs w:val="24"/>
              </w:rPr>
            </w:pPr>
          </w:p>
        </w:tc>
      </w:tr>
      <w:tr w:rsidR="001A3EEC" w:rsidRPr="000315B4" w14:paraId="018B63F3" w14:textId="77777777" w:rsidTr="00D7460F">
        <w:trPr>
          <w:trHeight w:val="350"/>
        </w:trPr>
        <w:tc>
          <w:tcPr>
            <w:tcW w:w="5048" w:type="dxa"/>
            <w:tcBorders>
              <w:left w:val="nil"/>
            </w:tcBorders>
            <w:shd w:val="clear" w:color="auto" w:fill="auto"/>
            <w:noWrap/>
            <w:vAlign w:val="center"/>
            <w:hideMark/>
          </w:tcPr>
          <w:p w14:paraId="4A8A02F9"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Circumferential extent of BE (cm)</w:t>
            </w:r>
          </w:p>
        </w:tc>
        <w:tc>
          <w:tcPr>
            <w:tcW w:w="2218" w:type="dxa"/>
            <w:shd w:val="clear" w:color="auto" w:fill="auto"/>
            <w:vAlign w:val="center"/>
          </w:tcPr>
          <w:p w14:paraId="2BA0D443" w14:textId="4A68DF4B"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1.10 </w:t>
            </w:r>
            <w:r w:rsidR="005C23CB">
              <w:rPr>
                <w:sz w:val="24"/>
                <w:szCs w:val="24"/>
              </w:rPr>
              <w:t>(</w:t>
            </w:r>
            <w:r w:rsidRPr="000315B4">
              <w:rPr>
                <w:sz w:val="24"/>
                <w:szCs w:val="24"/>
              </w:rPr>
              <w:t>0.96-1.26</w:t>
            </w:r>
            <w:r w:rsidR="005C23CB">
              <w:rPr>
                <w:sz w:val="24"/>
                <w:szCs w:val="24"/>
              </w:rPr>
              <w:t>)</w:t>
            </w:r>
          </w:p>
        </w:tc>
        <w:tc>
          <w:tcPr>
            <w:tcW w:w="2938" w:type="dxa"/>
            <w:tcBorders>
              <w:right w:val="nil"/>
            </w:tcBorders>
            <w:shd w:val="clear" w:color="auto" w:fill="auto"/>
            <w:vAlign w:val="center"/>
          </w:tcPr>
          <w:p w14:paraId="53FBE4F5" w14:textId="77777777" w:rsidR="001A3EEC" w:rsidRPr="000315B4" w:rsidRDefault="001A3EEC" w:rsidP="005C23CB">
            <w:pPr>
              <w:widowControl w:val="0"/>
              <w:adjustRightInd w:val="0"/>
              <w:snapToGrid w:val="0"/>
              <w:spacing w:line="360" w:lineRule="auto"/>
              <w:jc w:val="center"/>
              <w:rPr>
                <w:sz w:val="24"/>
                <w:szCs w:val="24"/>
              </w:rPr>
            </w:pPr>
          </w:p>
        </w:tc>
      </w:tr>
      <w:tr w:rsidR="001A3EEC" w:rsidRPr="000315B4" w14:paraId="71E23ED3" w14:textId="77777777" w:rsidTr="00D7460F">
        <w:trPr>
          <w:trHeight w:val="350"/>
        </w:trPr>
        <w:tc>
          <w:tcPr>
            <w:tcW w:w="5048" w:type="dxa"/>
            <w:tcBorders>
              <w:left w:val="nil"/>
            </w:tcBorders>
            <w:shd w:val="clear" w:color="auto" w:fill="auto"/>
            <w:noWrap/>
            <w:vAlign w:val="center"/>
            <w:hideMark/>
          </w:tcPr>
          <w:p w14:paraId="5B8605B1"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Maximal extent of BE (cm)</w:t>
            </w:r>
          </w:p>
        </w:tc>
        <w:tc>
          <w:tcPr>
            <w:tcW w:w="2218" w:type="dxa"/>
            <w:shd w:val="clear" w:color="auto" w:fill="auto"/>
            <w:vAlign w:val="center"/>
          </w:tcPr>
          <w:p w14:paraId="3F953BC8" w14:textId="300D1A30" w:rsidR="001A3EEC" w:rsidRPr="000315B4" w:rsidRDefault="001A3EEC" w:rsidP="005C23CB">
            <w:pPr>
              <w:widowControl w:val="0"/>
              <w:adjustRightInd w:val="0"/>
              <w:snapToGrid w:val="0"/>
              <w:spacing w:line="360" w:lineRule="auto"/>
              <w:jc w:val="center"/>
              <w:rPr>
                <w:sz w:val="24"/>
                <w:szCs w:val="24"/>
                <w:vertAlign w:val="superscript"/>
              </w:rPr>
            </w:pPr>
            <w:r w:rsidRPr="000315B4">
              <w:rPr>
                <w:sz w:val="24"/>
                <w:szCs w:val="24"/>
              </w:rPr>
              <w:t xml:space="preserve">1.12 </w:t>
            </w:r>
            <w:r w:rsidR="005C23CB">
              <w:rPr>
                <w:sz w:val="24"/>
                <w:szCs w:val="24"/>
              </w:rPr>
              <w:t>(</w:t>
            </w:r>
            <w:r w:rsidRPr="000315B4">
              <w:rPr>
                <w:sz w:val="24"/>
                <w:szCs w:val="24"/>
              </w:rPr>
              <w:t>1.008-1.</w:t>
            </w:r>
            <w:r w:rsidR="00FB7301" w:rsidRPr="000315B4">
              <w:rPr>
                <w:sz w:val="24"/>
                <w:szCs w:val="24"/>
              </w:rPr>
              <w:t>24</w:t>
            </w:r>
            <w:r w:rsidR="005C23CB">
              <w:rPr>
                <w:sz w:val="24"/>
                <w:szCs w:val="24"/>
              </w:rPr>
              <w:t>)</w:t>
            </w:r>
            <w:r w:rsidR="00FB7301" w:rsidRPr="000315B4">
              <w:rPr>
                <w:sz w:val="24"/>
                <w:szCs w:val="24"/>
                <w:vertAlign w:val="superscript"/>
              </w:rPr>
              <w:t>a</w:t>
            </w:r>
          </w:p>
        </w:tc>
        <w:tc>
          <w:tcPr>
            <w:tcW w:w="2938" w:type="dxa"/>
            <w:tcBorders>
              <w:right w:val="nil"/>
            </w:tcBorders>
            <w:shd w:val="clear" w:color="auto" w:fill="auto"/>
            <w:vAlign w:val="center"/>
          </w:tcPr>
          <w:p w14:paraId="5B233CD9" w14:textId="3DB418F6"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1.13 </w:t>
            </w:r>
            <w:r w:rsidR="005C23CB">
              <w:rPr>
                <w:sz w:val="24"/>
                <w:szCs w:val="24"/>
              </w:rPr>
              <w:t>(</w:t>
            </w:r>
            <w:r w:rsidRPr="000315B4">
              <w:rPr>
                <w:sz w:val="24"/>
                <w:szCs w:val="24"/>
              </w:rPr>
              <w:t>1.000-1.27</w:t>
            </w:r>
            <w:r w:rsidR="005C23CB">
              <w:rPr>
                <w:sz w:val="24"/>
                <w:szCs w:val="24"/>
              </w:rPr>
              <w:t>)</w:t>
            </w:r>
          </w:p>
        </w:tc>
      </w:tr>
      <w:tr w:rsidR="001A3EEC" w:rsidRPr="000315B4" w14:paraId="49ED1145" w14:textId="77777777" w:rsidTr="00D7460F">
        <w:trPr>
          <w:trHeight w:val="350"/>
        </w:trPr>
        <w:tc>
          <w:tcPr>
            <w:tcW w:w="5048" w:type="dxa"/>
            <w:tcBorders>
              <w:left w:val="nil"/>
            </w:tcBorders>
            <w:shd w:val="clear" w:color="auto" w:fill="auto"/>
            <w:noWrap/>
            <w:vAlign w:val="center"/>
          </w:tcPr>
          <w:p w14:paraId="0F91175F" w14:textId="47B9151A" w:rsidR="001A3EEC" w:rsidRPr="000315B4" w:rsidRDefault="001A3EEC" w:rsidP="007804E8">
            <w:pPr>
              <w:widowControl w:val="0"/>
              <w:adjustRightInd w:val="0"/>
              <w:snapToGrid w:val="0"/>
              <w:spacing w:line="360" w:lineRule="auto"/>
              <w:jc w:val="both"/>
              <w:rPr>
                <w:sz w:val="24"/>
                <w:szCs w:val="24"/>
              </w:rPr>
            </w:pPr>
            <w:r w:rsidRPr="000315B4">
              <w:rPr>
                <w:sz w:val="24"/>
                <w:szCs w:val="24"/>
              </w:rPr>
              <w:t>Ultra-short segment (BE</w:t>
            </w:r>
            <w:r w:rsidR="005C23CB">
              <w:rPr>
                <w:rFonts w:hint="eastAsia"/>
                <w:sz w:val="24"/>
                <w:szCs w:val="24"/>
                <w:lang w:eastAsia="zh-CN"/>
              </w:rPr>
              <w:t xml:space="preserve"> </w:t>
            </w:r>
            <w:r w:rsidRPr="000315B4">
              <w:rPr>
                <w:sz w:val="24"/>
                <w:szCs w:val="24"/>
              </w:rPr>
              <w:t>&lt; 1cm)</w:t>
            </w:r>
          </w:p>
        </w:tc>
        <w:tc>
          <w:tcPr>
            <w:tcW w:w="2218" w:type="dxa"/>
            <w:shd w:val="clear" w:color="auto" w:fill="auto"/>
            <w:vAlign w:val="center"/>
          </w:tcPr>
          <w:p w14:paraId="4C3A4E95" w14:textId="77777777" w:rsidR="001A3EEC" w:rsidRPr="000315B4" w:rsidRDefault="001A3EEC" w:rsidP="005C23CB">
            <w:pPr>
              <w:widowControl w:val="0"/>
              <w:adjustRightInd w:val="0"/>
              <w:snapToGrid w:val="0"/>
              <w:spacing w:line="360" w:lineRule="auto"/>
              <w:jc w:val="center"/>
              <w:rPr>
                <w:sz w:val="24"/>
                <w:szCs w:val="24"/>
              </w:rPr>
            </w:pPr>
            <w:r w:rsidRPr="000315B4">
              <w:rPr>
                <w:sz w:val="24"/>
                <w:szCs w:val="24"/>
              </w:rPr>
              <w:t>1</w:t>
            </w:r>
          </w:p>
        </w:tc>
        <w:tc>
          <w:tcPr>
            <w:tcW w:w="2938" w:type="dxa"/>
            <w:tcBorders>
              <w:right w:val="nil"/>
            </w:tcBorders>
            <w:shd w:val="clear" w:color="auto" w:fill="auto"/>
            <w:vAlign w:val="center"/>
          </w:tcPr>
          <w:p w14:paraId="73E5975F" w14:textId="77777777" w:rsidR="001A3EEC" w:rsidRPr="000315B4" w:rsidRDefault="001A3EEC" w:rsidP="005C23CB">
            <w:pPr>
              <w:widowControl w:val="0"/>
              <w:adjustRightInd w:val="0"/>
              <w:snapToGrid w:val="0"/>
              <w:spacing w:line="360" w:lineRule="auto"/>
              <w:jc w:val="center"/>
              <w:rPr>
                <w:sz w:val="24"/>
                <w:szCs w:val="24"/>
              </w:rPr>
            </w:pPr>
          </w:p>
        </w:tc>
      </w:tr>
      <w:tr w:rsidR="001A3EEC" w:rsidRPr="000315B4" w14:paraId="23134292" w14:textId="77777777" w:rsidTr="00D7460F">
        <w:trPr>
          <w:trHeight w:val="350"/>
        </w:trPr>
        <w:tc>
          <w:tcPr>
            <w:tcW w:w="5048" w:type="dxa"/>
            <w:tcBorders>
              <w:left w:val="nil"/>
            </w:tcBorders>
            <w:shd w:val="clear" w:color="auto" w:fill="auto"/>
            <w:noWrap/>
            <w:vAlign w:val="center"/>
            <w:hideMark/>
          </w:tcPr>
          <w:p w14:paraId="26BC645A" w14:textId="7FBF4F08" w:rsidR="001A3EEC" w:rsidRPr="000315B4" w:rsidRDefault="001A3EEC" w:rsidP="007804E8">
            <w:pPr>
              <w:widowControl w:val="0"/>
              <w:adjustRightInd w:val="0"/>
              <w:snapToGrid w:val="0"/>
              <w:spacing w:line="360" w:lineRule="auto"/>
              <w:jc w:val="both"/>
              <w:rPr>
                <w:sz w:val="24"/>
                <w:szCs w:val="24"/>
              </w:rPr>
            </w:pPr>
            <w:r w:rsidRPr="000315B4">
              <w:rPr>
                <w:sz w:val="24"/>
                <w:szCs w:val="24"/>
              </w:rPr>
              <w:t>Short segment (1</w:t>
            </w:r>
            <w:r w:rsidR="005C23CB">
              <w:rPr>
                <w:rFonts w:hint="eastAsia"/>
                <w:sz w:val="24"/>
                <w:szCs w:val="24"/>
                <w:lang w:eastAsia="zh-CN"/>
              </w:rPr>
              <w:t xml:space="preserve"> </w:t>
            </w:r>
            <w:r w:rsidRPr="000315B4">
              <w:rPr>
                <w:sz w:val="24"/>
                <w:szCs w:val="24"/>
              </w:rPr>
              <w:t>cm</w:t>
            </w:r>
            <w:r w:rsidR="005C23CB">
              <w:rPr>
                <w:rFonts w:hint="eastAsia"/>
                <w:sz w:val="24"/>
                <w:szCs w:val="24"/>
                <w:lang w:eastAsia="zh-CN"/>
              </w:rPr>
              <w:t xml:space="preserve"> </w:t>
            </w:r>
            <w:r w:rsidRPr="000315B4">
              <w:rPr>
                <w:sz w:val="24"/>
                <w:szCs w:val="24"/>
              </w:rPr>
              <w:t>≤</w:t>
            </w:r>
            <w:r w:rsidR="005C23CB">
              <w:rPr>
                <w:rFonts w:hint="eastAsia"/>
                <w:sz w:val="24"/>
                <w:szCs w:val="24"/>
                <w:lang w:eastAsia="zh-CN"/>
              </w:rPr>
              <w:t xml:space="preserve"> </w:t>
            </w:r>
            <w:r w:rsidRPr="000315B4">
              <w:rPr>
                <w:sz w:val="24"/>
                <w:szCs w:val="24"/>
              </w:rPr>
              <w:t>BE</w:t>
            </w:r>
            <w:r w:rsidR="005C23CB">
              <w:rPr>
                <w:rFonts w:hint="eastAsia"/>
                <w:sz w:val="24"/>
                <w:szCs w:val="24"/>
                <w:lang w:eastAsia="zh-CN"/>
              </w:rPr>
              <w:t xml:space="preserve"> </w:t>
            </w:r>
            <w:r w:rsidRPr="000315B4">
              <w:rPr>
                <w:sz w:val="24"/>
                <w:szCs w:val="24"/>
              </w:rPr>
              <w:t>&lt;</w:t>
            </w:r>
            <w:r w:rsidR="005C23CB">
              <w:rPr>
                <w:rFonts w:hint="eastAsia"/>
                <w:sz w:val="24"/>
                <w:szCs w:val="24"/>
                <w:lang w:eastAsia="zh-CN"/>
              </w:rPr>
              <w:t xml:space="preserve"> </w:t>
            </w:r>
            <w:r w:rsidRPr="000315B4">
              <w:rPr>
                <w:sz w:val="24"/>
                <w:szCs w:val="24"/>
              </w:rPr>
              <w:t>3</w:t>
            </w:r>
            <w:r w:rsidR="005C23CB">
              <w:rPr>
                <w:rFonts w:hint="eastAsia"/>
                <w:sz w:val="24"/>
                <w:szCs w:val="24"/>
                <w:lang w:eastAsia="zh-CN"/>
              </w:rPr>
              <w:t xml:space="preserve"> </w:t>
            </w:r>
            <w:r w:rsidRPr="000315B4">
              <w:rPr>
                <w:sz w:val="24"/>
                <w:szCs w:val="24"/>
              </w:rPr>
              <w:t>cm)</w:t>
            </w:r>
          </w:p>
        </w:tc>
        <w:tc>
          <w:tcPr>
            <w:tcW w:w="2218" w:type="dxa"/>
            <w:shd w:val="clear" w:color="auto" w:fill="auto"/>
            <w:vAlign w:val="center"/>
          </w:tcPr>
          <w:p w14:paraId="246293D5" w14:textId="2D059A95"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0.97 </w:t>
            </w:r>
            <w:r w:rsidR="005C23CB">
              <w:rPr>
                <w:sz w:val="24"/>
                <w:szCs w:val="24"/>
              </w:rPr>
              <w:t>(</w:t>
            </w:r>
            <w:r w:rsidRPr="000315B4">
              <w:rPr>
                <w:sz w:val="24"/>
                <w:szCs w:val="24"/>
              </w:rPr>
              <w:t>0.11-8.30</w:t>
            </w:r>
            <w:r w:rsidR="005C23CB">
              <w:rPr>
                <w:sz w:val="24"/>
                <w:szCs w:val="24"/>
              </w:rPr>
              <w:t>)</w:t>
            </w:r>
          </w:p>
        </w:tc>
        <w:tc>
          <w:tcPr>
            <w:tcW w:w="2938" w:type="dxa"/>
            <w:tcBorders>
              <w:right w:val="nil"/>
            </w:tcBorders>
            <w:shd w:val="clear" w:color="auto" w:fill="auto"/>
            <w:vAlign w:val="center"/>
          </w:tcPr>
          <w:p w14:paraId="74CE22A0" w14:textId="77777777" w:rsidR="001A3EEC" w:rsidRPr="000315B4" w:rsidRDefault="001A3EEC" w:rsidP="005C23CB">
            <w:pPr>
              <w:widowControl w:val="0"/>
              <w:adjustRightInd w:val="0"/>
              <w:snapToGrid w:val="0"/>
              <w:spacing w:line="360" w:lineRule="auto"/>
              <w:jc w:val="center"/>
              <w:rPr>
                <w:sz w:val="24"/>
                <w:szCs w:val="24"/>
              </w:rPr>
            </w:pPr>
          </w:p>
        </w:tc>
      </w:tr>
      <w:tr w:rsidR="001A3EEC" w:rsidRPr="000315B4" w14:paraId="023B313C" w14:textId="77777777" w:rsidTr="00D7460F">
        <w:trPr>
          <w:trHeight w:val="350"/>
        </w:trPr>
        <w:tc>
          <w:tcPr>
            <w:tcW w:w="5048" w:type="dxa"/>
            <w:tcBorders>
              <w:left w:val="nil"/>
            </w:tcBorders>
            <w:shd w:val="clear" w:color="auto" w:fill="auto"/>
            <w:noWrap/>
            <w:vAlign w:val="center"/>
            <w:hideMark/>
          </w:tcPr>
          <w:p w14:paraId="34EDAAFD" w14:textId="32E3044E" w:rsidR="001A3EEC" w:rsidRPr="000315B4" w:rsidRDefault="001A3EEC" w:rsidP="007804E8">
            <w:pPr>
              <w:widowControl w:val="0"/>
              <w:adjustRightInd w:val="0"/>
              <w:snapToGrid w:val="0"/>
              <w:spacing w:line="360" w:lineRule="auto"/>
              <w:jc w:val="both"/>
              <w:rPr>
                <w:sz w:val="24"/>
                <w:szCs w:val="24"/>
              </w:rPr>
            </w:pPr>
            <w:r w:rsidRPr="000315B4">
              <w:rPr>
                <w:sz w:val="24"/>
                <w:szCs w:val="24"/>
              </w:rPr>
              <w:t>Long segment (BE</w:t>
            </w:r>
            <w:r w:rsidR="005C23CB">
              <w:rPr>
                <w:rFonts w:hint="eastAsia"/>
                <w:sz w:val="24"/>
                <w:szCs w:val="24"/>
                <w:lang w:eastAsia="zh-CN"/>
              </w:rPr>
              <w:t xml:space="preserve"> </w:t>
            </w:r>
            <w:r w:rsidRPr="000315B4">
              <w:rPr>
                <w:sz w:val="24"/>
                <w:szCs w:val="24"/>
              </w:rPr>
              <w:t>≥ 3</w:t>
            </w:r>
            <w:r w:rsidR="005C23CB">
              <w:rPr>
                <w:rFonts w:hint="eastAsia"/>
                <w:sz w:val="24"/>
                <w:szCs w:val="24"/>
                <w:lang w:eastAsia="zh-CN"/>
              </w:rPr>
              <w:t xml:space="preserve"> </w:t>
            </w:r>
            <w:r w:rsidRPr="000315B4">
              <w:rPr>
                <w:sz w:val="24"/>
                <w:szCs w:val="24"/>
              </w:rPr>
              <w:t>cm)</w:t>
            </w:r>
          </w:p>
        </w:tc>
        <w:tc>
          <w:tcPr>
            <w:tcW w:w="2218" w:type="dxa"/>
            <w:shd w:val="clear" w:color="auto" w:fill="auto"/>
            <w:vAlign w:val="center"/>
          </w:tcPr>
          <w:p w14:paraId="1CC57E7C" w14:textId="10EA8857"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1.77 </w:t>
            </w:r>
            <w:r w:rsidR="005C23CB">
              <w:rPr>
                <w:sz w:val="24"/>
                <w:szCs w:val="24"/>
              </w:rPr>
              <w:t>(</w:t>
            </w:r>
            <w:r w:rsidRPr="000315B4">
              <w:rPr>
                <w:sz w:val="24"/>
                <w:szCs w:val="24"/>
              </w:rPr>
              <w:t>0.23-13.34</w:t>
            </w:r>
            <w:r w:rsidR="005C23CB">
              <w:rPr>
                <w:sz w:val="24"/>
                <w:szCs w:val="24"/>
              </w:rPr>
              <w:t>)</w:t>
            </w:r>
          </w:p>
        </w:tc>
        <w:tc>
          <w:tcPr>
            <w:tcW w:w="2938" w:type="dxa"/>
            <w:tcBorders>
              <w:right w:val="nil"/>
            </w:tcBorders>
            <w:shd w:val="clear" w:color="auto" w:fill="auto"/>
            <w:vAlign w:val="center"/>
          </w:tcPr>
          <w:p w14:paraId="5F9214F7" w14:textId="77777777" w:rsidR="001A3EEC" w:rsidRPr="000315B4" w:rsidRDefault="001A3EEC" w:rsidP="005C23CB">
            <w:pPr>
              <w:widowControl w:val="0"/>
              <w:adjustRightInd w:val="0"/>
              <w:snapToGrid w:val="0"/>
              <w:spacing w:line="360" w:lineRule="auto"/>
              <w:jc w:val="center"/>
              <w:rPr>
                <w:sz w:val="24"/>
                <w:szCs w:val="24"/>
              </w:rPr>
            </w:pPr>
          </w:p>
        </w:tc>
      </w:tr>
      <w:tr w:rsidR="001A3EEC" w:rsidRPr="000315B4" w14:paraId="551EC14F" w14:textId="77777777" w:rsidTr="00D7460F">
        <w:trPr>
          <w:trHeight w:val="350"/>
        </w:trPr>
        <w:tc>
          <w:tcPr>
            <w:tcW w:w="5048" w:type="dxa"/>
            <w:tcBorders>
              <w:left w:val="nil"/>
            </w:tcBorders>
            <w:shd w:val="clear" w:color="auto" w:fill="auto"/>
            <w:noWrap/>
            <w:vAlign w:val="center"/>
            <w:hideMark/>
          </w:tcPr>
          <w:p w14:paraId="33DC74AF" w14:textId="77777777" w:rsidR="001A3EEC" w:rsidRPr="000315B4" w:rsidRDefault="001A3EEC" w:rsidP="007804E8">
            <w:pPr>
              <w:widowControl w:val="0"/>
              <w:adjustRightInd w:val="0"/>
              <w:snapToGrid w:val="0"/>
              <w:spacing w:line="360" w:lineRule="auto"/>
              <w:jc w:val="both"/>
              <w:rPr>
                <w:sz w:val="24"/>
                <w:szCs w:val="24"/>
              </w:rPr>
            </w:pPr>
            <w:r w:rsidRPr="000315B4">
              <w:rPr>
                <w:sz w:val="24"/>
                <w:szCs w:val="24"/>
              </w:rPr>
              <w:t>Pre-study cancer history</w:t>
            </w:r>
          </w:p>
        </w:tc>
        <w:tc>
          <w:tcPr>
            <w:tcW w:w="2218" w:type="dxa"/>
            <w:shd w:val="clear" w:color="auto" w:fill="auto"/>
            <w:vAlign w:val="center"/>
          </w:tcPr>
          <w:p w14:paraId="2B7525A9" w14:textId="2BA86C71"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2.15 </w:t>
            </w:r>
            <w:r w:rsidR="005C23CB">
              <w:rPr>
                <w:sz w:val="24"/>
                <w:szCs w:val="24"/>
              </w:rPr>
              <w:t>(</w:t>
            </w:r>
            <w:r w:rsidRPr="000315B4">
              <w:rPr>
                <w:sz w:val="24"/>
                <w:szCs w:val="24"/>
              </w:rPr>
              <w:t>0.86-5.39</w:t>
            </w:r>
            <w:r w:rsidR="005C23CB">
              <w:rPr>
                <w:sz w:val="24"/>
                <w:szCs w:val="24"/>
              </w:rPr>
              <w:t>)</w:t>
            </w:r>
          </w:p>
        </w:tc>
        <w:tc>
          <w:tcPr>
            <w:tcW w:w="2938" w:type="dxa"/>
            <w:tcBorders>
              <w:right w:val="nil"/>
            </w:tcBorders>
            <w:shd w:val="clear" w:color="auto" w:fill="auto"/>
            <w:vAlign w:val="center"/>
          </w:tcPr>
          <w:p w14:paraId="483284D5" w14:textId="77777777" w:rsidR="001A3EEC" w:rsidRPr="000315B4" w:rsidRDefault="001A3EEC" w:rsidP="005C23CB">
            <w:pPr>
              <w:widowControl w:val="0"/>
              <w:adjustRightInd w:val="0"/>
              <w:snapToGrid w:val="0"/>
              <w:spacing w:line="360" w:lineRule="auto"/>
              <w:jc w:val="center"/>
              <w:rPr>
                <w:sz w:val="24"/>
                <w:szCs w:val="24"/>
              </w:rPr>
            </w:pPr>
          </w:p>
        </w:tc>
      </w:tr>
      <w:tr w:rsidR="001A3EEC" w:rsidRPr="000315B4" w14:paraId="49C9E945" w14:textId="77777777" w:rsidTr="00D7460F">
        <w:trPr>
          <w:trHeight w:val="350"/>
        </w:trPr>
        <w:tc>
          <w:tcPr>
            <w:tcW w:w="5048" w:type="dxa"/>
            <w:tcBorders>
              <w:left w:val="nil"/>
              <w:bottom w:val="single" w:sz="12" w:space="0" w:color="auto"/>
            </w:tcBorders>
            <w:shd w:val="clear" w:color="auto" w:fill="auto"/>
            <w:noWrap/>
            <w:vAlign w:val="center"/>
            <w:hideMark/>
          </w:tcPr>
          <w:p w14:paraId="17EADD0D" w14:textId="40D014E8" w:rsidR="001A3EEC" w:rsidRPr="000315B4" w:rsidRDefault="001A3EEC" w:rsidP="007804E8">
            <w:pPr>
              <w:widowControl w:val="0"/>
              <w:adjustRightInd w:val="0"/>
              <w:snapToGrid w:val="0"/>
              <w:spacing w:line="360" w:lineRule="auto"/>
              <w:jc w:val="both"/>
              <w:rPr>
                <w:sz w:val="24"/>
                <w:szCs w:val="24"/>
              </w:rPr>
            </w:pPr>
            <w:r w:rsidRPr="000315B4">
              <w:rPr>
                <w:sz w:val="24"/>
                <w:szCs w:val="24"/>
              </w:rPr>
              <w:t xml:space="preserve">HGD </w:t>
            </w:r>
            <w:r w:rsidRPr="005C23CB">
              <w:rPr>
                <w:i/>
                <w:sz w:val="24"/>
                <w:szCs w:val="24"/>
              </w:rPr>
              <w:t>vs</w:t>
            </w:r>
            <w:r w:rsidRPr="000315B4">
              <w:rPr>
                <w:sz w:val="24"/>
                <w:szCs w:val="24"/>
              </w:rPr>
              <w:t xml:space="preserve"> non-HGD</w:t>
            </w:r>
          </w:p>
        </w:tc>
        <w:tc>
          <w:tcPr>
            <w:tcW w:w="2218" w:type="dxa"/>
            <w:tcBorders>
              <w:bottom w:val="single" w:sz="12" w:space="0" w:color="auto"/>
            </w:tcBorders>
            <w:shd w:val="clear" w:color="auto" w:fill="auto"/>
            <w:vAlign w:val="center"/>
          </w:tcPr>
          <w:p w14:paraId="282EFE09" w14:textId="09BED4C9"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6.33 </w:t>
            </w:r>
            <w:r w:rsidR="005C23CB">
              <w:rPr>
                <w:sz w:val="24"/>
                <w:szCs w:val="24"/>
              </w:rPr>
              <w:t>(</w:t>
            </w:r>
            <w:r w:rsidRPr="000315B4">
              <w:rPr>
                <w:sz w:val="24"/>
                <w:szCs w:val="24"/>
              </w:rPr>
              <w:t>2.37-16.91</w:t>
            </w:r>
            <w:r w:rsidR="005C23CB">
              <w:rPr>
                <w:sz w:val="24"/>
                <w:szCs w:val="24"/>
              </w:rPr>
              <w:t>)</w:t>
            </w:r>
            <w:r w:rsidRPr="000315B4">
              <w:rPr>
                <w:sz w:val="24"/>
                <w:szCs w:val="24"/>
                <w:vertAlign w:val="superscript"/>
              </w:rPr>
              <w:t>b</w:t>
            </w:r>
          </w:p>
        </w:tc>
        <w:tc>
          <w:tcPr>
            <w:tcW w:w="2938" w:type="dxa"/>
            <w:tcBorders>
              <w:bottom w:val="single" w:sz="12" w:space="0" w:color="auto"/>
              <w:right w:val="nil"/>
            </w:tcBorders>
            <w:shd w:val="clear" w:color="auto" w:fill="auto"/>
            <w:vAlign w:val="center"/>
          </w:tcPr>
          <w:p w14:paraId="2DD46F98" w14:textId="78F5E7F3" w:rsidR="001A3EEC" w:rsidRPr="000315B4" w:rsidRDefault="001A3EEC" w:rsidP="005C23CB">
            <w:pPr>
              <w:widowControl w:val="0"/>
              <w:adjustRightInd w:val="0"/>
              <w:snapToGrid w:val="0"/>
              <w:spacing w:line="360" w:lineRule="auto"/>
              <w:jc w:val="center"/>
              <w:rPr>
                <w:sz w:val="24"/>
                <w:szCs w:val="24"/>
              </w:rPr>
            </w:pPr>
            <w:r w:rsidRPr="000315B4">
              <w:rPr>
                <w:sz w:val="24"/>
                <w:szCs w:val="24"/>
              </w:rPr>
              <w:t xml:space="preserve">4.28 </w:t>
            </w:r>
            <w:r w:rsidR="005C23CB">
              <w:rPr>
                <w:sz w:val="24"/>
                <w:szCs w:val="24"/>
              </w:rPr>
              <w:t>(</w:t>
            </w:r>
            <w:r w:rsidRPr="000315B4">
              <w:rPr>
                <w:sz w:val="24"/>
                <w:szCs w:val="24"/>
              </w:rPr>
              <w:t>1.17-15.76</w:t>
            </w:r>
            <w:r w:rsidR="005C23CB">
              <w:rPr>
                <w:sz w:val="24"/>
                <w:szCs w:val="24"/>
              </w:rPr>
              <w:t>)</w:t>
            </w:r>
            <w:r w:rsidRPr="000315B4">
              <w:rPr>
                <w:sz w:val="24"/>
                <w:szCs w:val="24"/>
                <w:vertAlign w:val="superscript"/>
              </w:rPr>
              <w:t>a</w:t>
            </w:r>
          </w:p>
        </w:tc>
      </w:tr>
    </w:tbl>
    <w:p w14:paraId="6206C7BE" w14:textId="743359EC" w:rsidR="001A3EEC" w:rsidRPr="000315B4" w:rsidRDefault="001A3EEC" w:rsidP="007804E8">
      <w:pPr>
        <w:widowControl w:val="0"/>
        <w:adjustRightInd w:val="0"/>
        <w:snapToGrid w:val="0"/>
        <w:spacing w:line="360" w:lineRule="auto"/>
        <w:jc w:val="both"/>
        <w:rPr>
          <w:sz w:val="24"/>
          <w:szCs w:val="24"/>
          <w:lang w:eastAsia="zh-CN"/>
        </w:rPr>
      </w:pPr>
      <w:r w:rsidRPr="000315B4">
        <w:rPr>
          <w:sz w:val="24"/>
          <w:szCs w:val="24"/>
          <w:vertAlign w:val="superscript"/>
        </w:rPr>
        <w:t>a</w:t>
      </w:r>
      <w:r w:rsidR="005C23CB" w:rsidRPr="005C23CB">
        <w:rPr>
          <w:i/>
          <w:sz w:val="24"/>
          <w:szCs w:val="24"/>
        </w:rPr>
        <w:t>P</w:t>
      </w:r>
      <w:r w:rsidR="005C23CB">
        <w:rPr>
          <w:rFonts w:hint="eastAsia"/>
          <w:i/>
          <w:sz w:val="24"/>
          <w:szCs w:val="24"/>
          <w:lang w:eastAsia="zh-CN"/>
        </w:rPr>
        <w:t xml:space="preserve"> </w:t>
      </w:r>
      <w:r w:rsidRPr="000315B4">
        <w:rPr>
          <w:sz w:val="24"/>
          <w:szCs w:val="24"/>
        </w:rPr>
        <w:t>&lt;</w:t>
      </w:r>
      <w:r w:rsidR="005C23CB">
        <w:rPr>
          <w:rFonts w:hint="eastAsia"/>
          <w:sz w:val="24"/>
          <w:szCs w:val="24"/>
          <w:lang w:eastAsia="zh-CN"/>
        </w:rPr>
        <w:t xml:space="preserve"> </w:t>
      </w:r>
      <w:r w:rsidRPr="000315B4">
        <w:rPr>
          <w:sz w:val="24"/>
          <w:szCs w:val="24"/>
        </w:rPr>
        <w:t xml:space="preserve">0.05, </w:t>
      </w:r>
      <w:r w:rsidRPr="000315B4">
        <w:rPr>
          <w:sz w:val="24"/>
          <w:szCs w:val="24"/>
          <w:vertAlign w:val="superscript"/>
        </w:rPr>
        <w:t>b</w:t>
      </w:r>
      <w:r w:rsidR="005C23CB" w:rsidRPr="005C23CB">
        <w:rPr>
          <w:i/>
          <w:sz w:val="24"/>
          <w:szCs w:val="24"/>
        </w:rPr>
        <w:t>P</w:t>
      </w:r>
      <w:r w:rsidR="005C23CB">
        <w:rPr>
          <w:rFonts w:hint="eastAsia"/>
          <w:i/>
          <w:sz w:val="24"/>
          <w:szCs w:val="24"/>
          <w:lang w:eastAsia="zh-CN"/>
        </w:rPr>
        <w:t xml:space="preserve"> </w:t>
      </w:r>
      <w:r w:rsidRPr="000315B4">
        <w:rPr>
          <w:sz w:val="24"/>
          <w:szCs w:val="24"/>
        </w:rPr>
        <w:t>&lt;</w:t>
      </w:r>
      <w:r w:rsidR="005C23CB">
        <w:rPr>
          <w:rFonts w:hint="eastAsia"/>
          <w:sz w:val="24"/>
          <w:szCs w:val="24"/>
          <w:lang w:eastAsia="zh-CN"/>
        </w:rPr>
        <w:t xml:space="preserve"> </w:t>
      </w:r>
      <w:r w:rsidRPr="000315B4">
        <w:rPr>
          <w:sz w:val="24"/>
          <w:szCs w:val="24"/>
        </w:rPr>
        <w:t xml:space="preserve">0.01. </w:t>
      </w:r>
      <w:r w:rsidRPr="000315B4">
        <w:rPr>
          <w:sz w:val="24"/>
          <w:szCs w:val="24"/>
          <w:vertAlign w:val="superscript"/>
        </w:rPr>
        <w:t>1</w:t>
      </w:r>
      <w:r w:rsidRPr="000315B4">
        <w:rPr>
          <w:sz w:val="24"/>
          <w:szCs w:val="24"/>
        </w:rPr>
        <w:t>For a 3-year increase. BE</w:t>
      </w:r>
      <w:r w:rsidR="005C23CB">
        <w:rPr>
          <w:rFonts w:hint="eastAsia"/>
          <w:sz w:val="24"/>
          <w:szCs w:val="24"/>
          <w:lang w:eastAsia="zh-CN"/>
        </w:rPr>
        <w:t xml:space="preserve">: </w:t>
      </w:r>
      <w:r w:rsidRPr="000315B4">
        <w:rPr>
          <w:sz w:val="24"/>
          <w:szCs w:val="24"/>
        </w:rPr>
        <w:t>Barrett’s esophagus; EAC</w:t>
      </w:r>
      <w:r w:rsidR="005C23CB">
        <w:rPr>
          <w:rFonts w:hint="eastAsia"/>
          <w:sz w:val="24"/>
          <w:szCs w:val="24"/>
          <w:lang w:eastAsia="zh-CN"/>
        </w:rPr>
        <w:t>:</w:t>
      </w:r>
      <w:r w:rsidRPr="000315B4">
        <w:rPr>
          <w:sz w:val="24"/>
          <w:szCs w:val="24"/>
        </w:rPr>
        <w:t xml:space="preserve"> </w:t>
      </w:r>
      <w:r w:rsidR="005C23CB" w:rsidRPr="000315B4">
        <w:rPr>
          <w:sz w:val="24"/>
          <w:szCs w:val="24"/>
        </w:rPr>
        <w:t xml:space="preserve">Esophageal </w:t>
      </w:r>
      <w:r w:rsidRPr="000315B4">
        <w:rPr>
          <w:sz w:val="24"/>
          <w:szCs w:val="24"/>
        </w:rPr>
        <w:t>adenocarcinoma; IMC</w:t>
      </w:r>
      <w:r w:rsidR="005C23CB">
        <w:rPr>
          <w:rFonts w:hint="eastAsia"/>
          <w:sz w:val="24"/>
          <w:szCs w:val="24"/>
          <w:lang w:eastAsia="zh-CN"/>
        </w:rPr>
        <w:t>:</w:t>
      </w:r>
      <w:r w:rsidRPr="000315B4">
        <w:rPr>
          <w:sz w:val="24"/>
          <w:szCs w:val="24"/>
        </w:rPr>
        <w:t xml:space="preserve"> </w:t>
      </w:r>
      <w:r w:rsidR="005C23CB" w:rsidRPr="000315B4">
        <w:rPr>
          <w:sz w:val="24"/>
          <w:szCs w:val="24"/>
        </w:rPr>
        <w:t xml:space="preserve">Intramucosal </w:t>
      </w:r>
      <w:r w:rsidRPr="000315B4">
        <w:rPr>
          <w:sz w:val="24"/>
          <w:szCs w:val="24"/>
        </w:rPr>
        <w:t>carcinoma; HGD</w:t>
      </w:r>
      <w:r w:rsidR="005C23CB">
        <w:rPr>
          <w:rFonts w:hint="eastAsia"/>
          <w:sz w:val="24"/>
          <w:szCs w:val="24"/>
          <w:lang w:eastAsia="zh-CN"/>
        </w:rPr>
        <w:t>:</w:t>
      </w:r>
      <w:r w:rsidRPr="000315B4">
        <w:rPr>
          <w:sz w:val="24"/>
          <w:szCs w:val="24"/>
        </w:rPr>
        <w:t xml:space="preserve"> </w:t>
      </w:r>
      <w:r w:rsidR="005C23CB" w:rsidRPr="000315B4">
        <w:rPr>
          <w:sz w:val="24"/>
          <w:szCs w:val="24"/>
        </w:rPr>
        <w:t xml:space="preserve">High </w:t>
      </w:r>
      <w:r w:rsidRPr="000315B4">
        <w:rPr>
          <w:sz w:val="24"/>
          <w:szCs w:val="24"/>
        </w:rPr>
        <w:t>grade dysplasia; Non-HGD</w:t>
      </w:r>
      <w:r w:rsidR="005C23CB">
        <w:rPr>
          <w:rFonts w:hint="eastAsia"/>
          <w:sz w:val="24"/>
          <w:szCs w:val="24"/>
          <w:lang w:eastAsia="zh-CN"/>
        </w:rPr>
        <w:t>:</w:t>
      </w:r>
      <w:r w:rsidRPr="000315B4">
        <w:rPr>
          <w:sz w:val="24"/>
          <w:szCs w:val="24"/>
        </w:rPr>
        <w:t xml:space="preserve"> </w:t>
      </w:r>
      <w:r w:rsidR="005C23CB" w:rsidRPr="000315B4">
        <w:rPr>
          <w:sz w:val="24"/>
          <w:szCs w:val="24"/>
        </w:rPr>
        <w:t xml:space="preserve">Low </w:t>
      </w:r>
      <w:r w:rsidRPr="000315B4">
        <w:rPr>
          <w:sz w:val="24"/>
          <w:szCs w:val="24"/>
        </w:rPr>
        <w:t>grade or without dysplasia</w:t>
      </w:r>
      <w:r w:rsidR="005C23CB">
        <w:rPr>
          <w:rFonts w:hint="eastAsia"/>
          <w:sz w:val="24"/>
          <w:szCs w:val="24"/>
          <w:lang w:eastAsia="zh-CN"/>
        </w:rPr>
        <w:t>.</w:t>
      </w:r>
    </w:p>
    <w:p w14:paraId="3929AF65" w14:textId="77777777" w:rsidR="00007844" w:rsidRPr="000315B4" w:rsidRDefault="00007844" w:rsidP="007804E8">
      <w:pPr>
        <w:widowControl w:val="0"/>
        <w:adjustRightInd w:val="0"/>
        <w:snapToGrid w:val="0"/>
        <w:spacing w:line="360" w:lineRule="auto"/>
        <w:jc w:val="both"/>
        <w:rPr>
          <w:sz w:val="24"/>
          <w:szCs w:val="24"/>
          <w:lang w:eastAsia="zh-CN"/>
        </w:rPr>
      </w:pPr>
    </w:p>
    <w:p w14:paraId="39190B09" w14:textId="77777777" w:rsidR="00007844" w:rsidRPr="000315B4" w:rsidRDefault="00007844" w:rsidP="007804E8">
      <w:pPr>
        <w:widowControl w:val="0"/>
        <w:adjustRightInd w:val="0"/>
        <w:snapToGrid w:val="0"/>
        <w:spacing w:line="360" w:lineRule="auto"/>
        <w:jc w:val="both"/>
        <w:rPr>
          <w:sz w:val="24"/>
          <w:szCs w:val="24"/>
          <w:lang w:eastAsia="zh-CN"/>
        </w:rPr>
      </w:pPr>
    </w:p>
    <w:sectPr w:rsidR="00007844" w:rsidRPr="000315B4" w:rsidSect="00C47C9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AABEB" w16cid:durableId="1F36E8FC"/>
  <w16cid:commentId w16cid:paraId="6EA250F4" w16cid:durableId="1F36E8FD"/>
  <w16cid:commentId w16cid:paraId="380707B3" w16cid:durableId="1F36E8FE"/>
  <w16cid:commentId w16cid:paraId="41A13EE6" w16cid:durableId="1F36E8FF"/>
  <w16cid:commentId w16cid:paraId="573BE91C" w16cid:durableId="1F36E900"/>
  <w16cid:commentId w16cid:paraId="239EDE44" w16cid:durableId="1F36E901"/>
  <w16cid:commentId w16cid:paraId="47791E8E" w16cid:durableId="1F36E9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6555D" w14:textId="77777777" w:rsidR="00D25281" w:rsidRDefault="00D25281" w:rsidP="00BD7250">
      <w:r>
        <w:separator/>
      </w:r>
    </w:p>
  </w:endnote>
  <w:endnote w:type="continuationSeparator" w:id="0">
    <w:p w14:paraId="30BC6336" w14:textId="77777777" w:rsidR="00D25281" w:rsidRDefault="00D25281" w:rsidP="00BD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99662" w14:textId="77777777" w:rsidR="00D25281" w:rsidRDefault="00D25281" w:rsidP="00BD7250">
      <w:r>
        <w:separator/>
      </w:r>
    </w:p>
  </w:footnote>
  <w:footnote w:type="continuationSeparator" w:id="0">
    <w:p w14:paraId="71A86DEB" w14:textId="77777777" w:rsidR="00D25281" w:rsidRDefault="00D25281" w:rsidP="00BD7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25369"/>
    <w:multiLevelType w:val="hybridMultilevel"/>
    <w:tmpl w:val="8CF8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96144"/>
    <w:multiLevelType w:val="hybridMultilevel"/>
    <w:tmpl w:val="6136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027BB"/>
    <w:multiLevelType w:val="hybridMultilevel"/>
    <w:tmpl w:val="ECCE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B7536"/>
    <w:multiLevelType w:val="hybridMultilevel"/>
    <w:tmpl w:val="B670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EF"/>
    <w:rsid w:val="00000299"/>
    <w:rsid w:val="0000179C"/>
    <w:rsid w:val="00001EE1"/>
    <w:rsid w:val="000031CB"/>
    <w:rsid w:val="00003E6F"/>
    <w:rsid w:val="00005047"/>
    <w:rsid w:val="00006FC2"/>
    <w:rsid w:val="000074F4"/>
    <w:rsid w:val="00007844"/>
    <w:rsid w:val="000105B9"/>
    <w:rsid w:val="00010F7D"/>
    <w:rsid w:val="00011E3F"/>
    <w:rsid w:val="00012B98"/>
    <w:rsid w:val="00013E46"/>
    <w:rsid w:val="000140C4"/>
    <w:rsid w:val="00014B03"/>
    <w:rsid w:val="00014DD9"/>
    <w:rsid w:val="00016628"/>
    <w:rsid w:val="00017D62"/>
    <w:rsid w:val="000203DB"/>
    <w:rsid w:val="00021B7D"/>
    <w:rsid w:val="00022A5A"/>
    <w:rsid w:val="00023FA7"/>
    <w:rsid w:val="00024600"/>
    <w:rsid w:val="0002675D"/>
    <w:rsid w:val="00027572"/>
    <w:rsid w:val="000315B4"/>
    <w:rsid w:val="000316F4"/>
    <w:rsid w:val="00031D0A"/>
    <w:rsid w:val="00033AD4"/>
    <w:rsid w:val="00037B33"/>
    <w:rsid w:val="00040486"/>
    <w:rsid w:val="0004070B"/>
    <w:rsid w:val="00041F90"/>
    <w:rsid w:val="00046B66"/>
    <w:rsid w:val="00050206"/>
    <w:rsid w:val="00050DEB"/>
    <w:rsid w:val="000518D5"/>
    <w:rsid w:val="0005722C"/>
    <w:rsid w:val="00060E8F"/>
    <w:rsid w:val="00063C53"/>
    <w:rsid w:val="00063E53"/>
    <w:rsid w:val="000656C5"/>
    <w:rsid w:val="00066C14"/>
    <w:rsid w:val="00067E9F"/>
    <w:rsid w:val="0007195C"/>
    <w:rsid w:val="00072FD2"/>
    <w:rsid w:val="000739DD"/>
    <w:rsid w:val="000748A7"/>
    <w:rsid w:val="00080DE6"/>
    <w:rsid w:val="000838B8"/>
    <w:rsid w:val="00083A7B"/>
    <w:rsid w:val="00083E25"/>
    <w:rsid w:val="00084FE3"/>
    <w:rsid w:val="000852BF"/>
    <w:rsid w:val="00085473"/>
    <w:rsid w:val="00085547"/>
    <w:rsid w:val="00085A9C"/>
    <w:rsid w:val="00085F3E"/>
    <w:rsid w:val="00086B79"/>
    <w:rsid w:val="00095841"/>
    <w:rsid w:val="00097552"/>
    <w:rsid w:val="000A057B"/>
    <w:rsid w:val="000A0656"/>
    <w:rsid w:val="000A06F3"/>
    <w:rsid w:val="000A0BE1"/>
    <w:rsid w:val="000A4180"/>
    <w:rsid w:val="000A4DD5"/>
    <w:rsid w:val="000A6758"/>
    <w:rsid w:val="000B3553"/>
    <w:rsid w:val="000B45EB"/>
    <w:rsid w:val="000B6C21"/>
    <w:rsid w:val="000B755C"/>
    <w:rsid w:val="000B799E"/>
    <w:rsid w:val="000C1299"/>
    <w:rsid w:val="000C250A"/>
    <w:rsid w:val="000C255A"/>
    <w:rsid w:val="000C4635"/>
    <w:rsid w:val="000C49B2"/>
    <w:rsid w:val="000C5403"/>
    <w:rsid w:val="000C6A9A"/>
    <w:rsid w:val="000C7450"/>
    <w:rsid w:val="000D5D92"/>
    <w:rsid w:val="000D6D00"/>
    <w:rsid w:val="000D6EB9"/>
    <w:rsid w:val="000D7EBB"/>
    <w:rsid w:val="000E1D79"/>
    <w:rsid w:val="000E1DFC"/>
    <w:rsid w:val="000E4639"/>
    <w:rsid w:val="000E4A59"/>
    <w:rsid w:val="000E4AD8"/>
    <w:rsid w:val="000E5349"/>
    <w:rsid w:val="000E5444"/>
    <w:rsid w:val="000E76C2"/>
    <w:rsid w:val="000E79FC"/>
    <w:rsid w:val="000F084D"/>
    <w:rsid w:val="000F1D8A"/>
    <w:rsid w:val="000F2799"/>
    <w:rsid w:val="000F2A3F"/>
    <w:rsid w:val="000F2EF5"/>
    <w:rsid w:val="000F30FD"/>
    <w:rsid w:val="000F587D"/>
    <w:rsid w:val="000F65A5"/>
    <w:rsid w:val="000F7D80"/>
    <w:rsid w:val="000F7FFB"/>
    <w:rsid w:val="00102645"/>
    <w:rsid w:val="001055BA"/>
    <w:rsid w:val="00107000"/>
    <w:rsid w:val="001100A5"/>
    <w:rsid w:val="001104AB"/>
    <w:rsid w:val="00115BED"/>
    <w:rsid w:val="0012022C"/>
    <w:rsid w:val="00121A25"/>
    <w:rsid w:val="001228FA"/>
    <w:rsid w:val="00123391"/>
    <w:rsid w:val="00123950"/>
    <w:rsid w:val="00124119"/>
    <w:rsid w:val="00126E49"/>
    <w:rsid w:val="00130AB3"/>
    <w:rsid w:val="00130B65"/>
    <w:rsid w:val="00131602"/>
    <w:rsid w:val="0013744E"/>
    <w:rsid w:val="00137CB2"/>
    <w:rsid w:val="00142BF4"/>
    <w:rsid w:val="001430CC"/>
    <w:rsid w:val="00143613"/>
    <w:rsid w:val="00144C40"/>
    <w:rsid w:val="00145501"/>
    <w:rsid w:val="00147C60"/>
    <w:rsid w:val="00150FD5"/>
    <w:rsid w:val="0015185C"/>
    <w:rsid w:val="00151F97"/>
    <w:rsid w:val="001605B0"/>
    <w:rsid w:val="001613BE"/>
    <w:rsid w:val="00161A86"/>
    <w:rsid w:val="001641DA"/>
    <w:rsid w:val="00164BEB"/>
    <w:rsid w:val="0016610F"/>
    <w:rsid w:val="001667F2"/>
    <w:rsid w:val="0016712D"/>
    <w:rsid w:val="0016753C"/>
    <w:rsid w:val="00170E49"/>
    <w:rsid w:val="001746C3"/>
    <w:rsid w:val="00175841"/>
    <w:rsid w:val="00176D33"/>
    <w:rsid w:val="00180816"/>
    <w:rsid w:val="00181C4F"/>
    <w:rsid w:val="00186F60"/>
    <w:rsid w:val="0019462D"/>
    <w:rsid w:val="00194749"/>
    <w:rsid w:val="001968CA"/>
    <w:rsid w:val="001A12B4"/>
    <w:rsid w:val="001A1EF7"/>
    <w:rsid w:val="001A21AB"/>
    <w:rsid w:val="001A30D4"/>
    <w:rsid w:val="001A3EEC"/>
    <w:rsid w:val="001A4058"/>
    <w:rsid w:val="001A456F"/>
    <w:rsid w:val="001A5408"/>
    <w:rsid w:val="001A5E8C"/>
    <w:rsid w:val="001A615E"/>
    <w:rsid w:val="001A69ED"/>
    <w:rsid w:val="001B4999"/>
    <w:rsid w:val="001B6FBF"/>
    <w:rsid w:val="001C586C"/>
    <w:rsid w:val="001C6989"/>
    <w:rsid w:val="001D0B52"/>
    <w:rsid w:val="001D3556"/>
    <w:rsid w:val="001D5626"/>
    <w:rsid w:val="001D5BD8"/>
    <w:rsid w:val="001D6537"/>
    <w:rsid w:val="001D659F"/>
    <w:rsid w:val="001D7535"/>
    <w:rsid w:val="001E62E7"/>
    <w:rsid w:val="001E7F9E"/>
    <w:rsid w:val="001F0446"/>
    <w:rsid w:val="001F0ED4"/>
    <w:rsid w:val="001F1F0B"/>
    <w:rsid w:val="001F4AF4"/>
    <w:rsid w:val="001F4B12"/>
    <w:rsid w:val="001F5DDC"/>
    <w:rsid w:val="001F62A0"/>
    <w:rsid w:val="001F64E1"/>
    <w:rsid w:val="001F6EB6"/>
    <w:rsid w:val="001F78F2"/>
    <w:rsid w:val="00205D62"/>
    <w:rsid w:val="00205F25"/>
    <w:rsid w:val="00213E54"/>
    <w:rsid w:val="00215070"/>
    <w:rsid w:val="002159BC"/>
    <w:rsid w:val="00215D5D"/>
    <w:rsid w:val="0022305F"/>
    <w:rsid w:val="0022347D"/>
    <w:rsid w:val="00223618"/>
    <w:rsid w:val="002245B4"/>
    <w:rsid w:val="002265CD"/>
    <w:rsid w:val="00226BB9"/>
    <w:rsid w:val="002275EF"/>
    <w:rsid w:val="00232568"/>
    <w:rsid w:val="00232C5E"/>
    <w:rsid w:val="00234061"/>
    <w:rsid w:val="002352F9"/>
    <w:rsid w:val="00240CE8"/>
    <w:rsid w:val="00243AE0"/>
    <w:rsid w:val="002606EC"/>
    <w:rsid w:val="00261A70"/>
    <w:rsid w:val="00262771"/>
    <w:rsid w:val="00262A58"/>
    <w:rsid w:val="00263CE9"/>
    <w:rsid w:val="002664ED"/>
    <w:rsid w:val="0027040E"/>
    <w:rsid w:val="002705C8"/>
    <w:rsid w:val="002731A8"/>
    <w:rsid w:val="00273AEF"/>
    <w:rsid w:val="002743D7"/>
    <w:rsid w:val="00281107"/>
    <w:rsid w:val="002820A6"/>
    <w:rsid w:val="00282CC5"/>
    <w:rsid w:val="00283334"/>
    <w:rsid w:val="00283660"/>
    <w:rsid w:val="00284CCC"/>
    <w:rsid w:val="00285073"/>
    <w:rsid w:val="00286C7C"/>
    <w:rsid w:val="00287D9B"/>
    <w:rsid w:val="0029219C"/>
    <w:rsid w:val="00292ED3"/>
    <w:rsid w:val="00293532"/>
    <w:rsid w:val="00293C68"/>
    <w:rsid w:val="00296C6C"/>
    <w:rsid w:val="002A1006"/>
    <w:rsid w:val="002A1139"/>
    <w:rsid w:val="002A2BF5"/>
    <w:rsid w:val="002A3278"/>
    <w:rsid w:val="002A484F"/>
    <w:rsid w:val="002A7387"/>
    <w:rsid w:val="002A7DBF"/>
    <w:rsid w:val="002B0948"/>
    <w:rsid w:val="002B157A"/>
    <w:rsid w:val="002B193F"/>
    <w:rsid w:val="002B207D"/>
    <w:rsid w:val="002B38D3"/>
    <w:rsid w:val="002C088F"/>
    <w:rsid w:val="002C235D"/>
    <w:rsid w:val="002C27F3"/>
    <w:rsid w:val="002C2B1E"/>
    <w:rsid w:val="002C2E7B"/>
    <w:rsid w:val="002C3CCA"/>
    <w:rsid w:val="002C4704"/>
    <w:rsid w:val="002C4F4F"/>
    <w:rsid w:val="002D3CD2"/>
    <w:rsid w:val="002D5449"/>
    <w:rsid w:val="002E0412"/>
    <w:rsid w:val="002E2809"/>
    <w:rsid w:val="002E401B"/>
    <w:rsid w:val="002E5D8C"/>
    <w:rsid w:val="002E5F0C"/>
    <w:rsid w:val="002E66E6"/>
    <w:rsid w:val="002F1AF3"/>
    <w:rsid w:val="002F3C2F"/>
    <w:rsid w:val="002F6E8E"/>
    <w:rsid w:val="002F72C6"/>
    <w:rsid w:val="00300D55"/>
    <w:rsid w:val="003032BF"/>
    <w:rsid w:val="00303CD1"/>
    <w:rsid w:val="00306D44"/>
    <w:rsid w:val="00307B66"/>
    <w:rsid w:val="00310D3A"/>
    <w:rsid w:val="0031148D"/>
    <w:rsid w:val="00317EEA"/>
    <w:rsid w:val="00317FB7"/>
    <w:rsid w:val="003205D4"/>
    <w:rsid w:val="0032094D"/>
    <w:rsid w:val="00320E2F"/>
    <w:rsid w:val="0032340D"/>
    <w:rsid w:val="00323723"/>
    <w:rsid w:val="00323905"/>
    <w:rsid w:val="00323BD5"/>
    <w:rsid w:val="00324F09"/>
    <w:rsid w:val="003257C9"/>
    <w:rsid w:val="00325EA7"/>
    <w:rsid w:val="00325EEC"/>
    <w:rsid w:val="00327805"/>
    <w:rsid w:val="00330198"/>
    <w:rsid w:val="00331D43"/>
    <w:rsid w:val="0033240B"/>
    <w:rsid w:val="00332C0B"/>
    <w:rsid w:val="00336A4C"/>
    <w:rsid w:val="00340603"/>
    <w:rsid w:val="003474E6"/>
    <w:rsid w:val="003479BE"/>
    <w:rsid w:val="00350BD1"/>
    <w:rsid w:val="00350C4F"/>
    <w:rsid w:val="00350DD4"/>
    <w:rsid w:val="003545D3"/>
    <w:rsid w:val="003601FA"/>
    <w:rsid w:val="00360833"/>
    <w:rsid w:val="00360988"/>
    <w:rsid w:val="003614B0"/>
    <w:rsid w:val="00363946"/>
    <w:rsid w:val="00364499"/>
    <w:rsid w:val="003647DA"/>
    <w:rsid w:val="00367B6F"/>
    <w:rsid w:val="00367E97"/>
    <w:rsid w:val="00370E85"/>
    <w:rsid w:val="003758C3"/>
    <w:rsid w:val="0037606E"/>
    <w:rsid w:val="003772B8"/>
    <w:rsid w:val="00377F42"/>
    <w:rsid w:val="00380656"/>
    <w:rsid w:val="0038270F"/>
    <w:rsid w:val="003835D1"/>
    <w:rsid w:val="00383820"/>
    <w:rsid w:val="00383AA6"/>
    <w:rsid w:val="0038502F"/>
    <w:rsid w:val="00387CC1"/>
    <w:rsid w:val="003934C1"/>
    <w:rsid w:val="00396EC8"/>
    <w:rsid w:val="003A0C66"/>
    <w:rsid w:val="003A74F5"/>
    <w:rsid w:val="003B26D7"/>
    <w:rsid w:val="003B2C43"/>
    <w:rsid w:val="003B2FE3"/>
    <w:rsid w:val="003B359A"/>
    <w:rsid w:val="003B5024"/>
    <w:rsid w:val="003B601C"/>
    <w:rsid w:val="003B6B32"/>
    <w:rsid w:val="003B748D"/>
    <w:rsid w:val="003B783F"/>
    <w:rsid w:val="003C17DA"/>
    <w:rsid w:val="003C3DDB"/>
    <w:rsid w:val="003C7125"/>
    <w:rsid w:val="003D1774"/>
    <w:rsid w:val="003D18BC"/>
    <w:rsid w:val="003D2AEC"/>
    <w:rsid w:val="003D2D76"/>
    <w:rsid w:val="003D46A9"/>
    <w:rsid w:val="003D6754"/>
    <w:rsid w:val="003E5189"/>
    <w:rsid w:val="003E523B"/>
    <w:rsid w:val="003E5CCE"/>
    <w:rsid w:val="003E65DD"/>
    <w:rsid w:val="003E67D8"/>
    <w:rsid w:val="003E727A"/>
    <w:rsid w:val="003E7991"/>
    <w:rsid w:val="003F0C44"/>
    <w:rsid w:val="003F309A"/>
    <w:rsid w:val="003F4A29"/>
    <w:rsid w:val="003F650B"/>
    <w:rsid w:val="003F6A8A"/>
    <w:rsid w:val="003F7D86"/>
    <w:rsid w:val="00401051"/>
    <w:rsid w:val="0040149A"/>
    <w:rsid w:val="00405402"/>
    <w:rsid w:val="00406285"/>
    <w:rsid w:val="004068F2"/>
    <w:rsid w:val="00414200"/>
    <w:rsid w:val="004157A4"/>
    <w:rsid w:val="0041778E"/>
    <w:rsid w:val="0041779D"/>
    <w:rsid w:val="00421868"/>
    <w:rsid w:val="0042433F"/>
    <w:rsid w:val="00425006"/>
    <w:rsid w:val="004264F7"/>
    <w:rsid w:val="004269AE"/>
    <w:rsid w:val="00427F07"/>
    <w:rsid w:val="00427F9F"/>
    <w:rsid w:val="00430645"/>
    <w:rsid w:val="00435624"/>
    <w:rsid w:val="00435E91"/>
    <w:rsid w:val="00435FD5"/>
    <w:rsid w:val="0043676A"/>
    <w:rsid w:val="0043799B"/>
    <w:rsid w:val="00441F6A"/>
    <w:rsid w:val="00442004"/>
    <w:rsid w:val="00445657"/>
    <w:rsid w:val="00446D8D"/>
    <w:rsid w:val="004529A4"/>
    <w:rsid w:val="004536A1"/>
    <w:rsid w:val="00453B23"/>
    <w:rsid w:val="004569A4"/>
    <w:rsid w:val="00457341"/>
    <w:rsid w:val="004577A9"/>
    <w:rsid w:val="00460DF4"/>
    <w:rsid w:val="0046328E"/>
    <w:rsid w:val="00464C8F"/>
    <w:rsid w:val="00465311"/>
    <w:rsid w:val="00465E37"/>
    <w:rsid w:val="004669DD"/>
    <w:rsid w:val="004732DB"/>
    <w:rsid w:val="004740D0"/>
    <w:rsid w:val="00474590"/>
    <w:rsid w:val="00483AEA"/>
    <w:rsid w:val="00483CAE"/>
    <w:rsid w:val="00484376"/>
    <w:rsid w:val="00484BC7"/>
    <w:rsid w:val="004871DD"/>
    <w:rsid w:val="00487A98"/>
    <w:rsid w:val="00487D52"/>
    <w:rsid w:val="0049160F"/>
    <w:rsid w:val="00491824"/>
    <w:rsid w:val="004919BD"/>
    <w:rsid w:val="00496578"/>
    <w:rsid w:val="00496857"/>
    <w:rsid w:val="00496D90"/>
    <w:rsid w:val="004973E2"/>
    <w:rsid w:val="004A05D0"/>
    <w:rsid w:val="004A19F9"/>
    <w:rsid w:val="004A22B1"/>
    <w:rsid w:val="004B03D7"/>
    <w:rsid w:val="004B0FD0"/>
    <w:rsid w:val="004B2262"/>
    <w:rsid w:val="004B31A1"/>
    <w:rsid w:val="004B7687"/>
    <w:rsid w:val="004C2DB0"/>
    <w:rsid w:val="004C4B68"/>
    <w:rsid w:val="004C55D3"/>
    <w:rsid w:val="004D10DB"/>
    <w:rsid w:val="004D4224"/>
    <w:rsid w:val="004D6C11"/>
    <w:rsid w:val="004E1106"/>
    <w:rsid w:val="004E1323"/>
    <w:rsid w:val="004E2922"/>
    <w:rsid w:val="004E2A3E"/>
    <w:rsid w:val="004E3100"/>
    <w:rsid w:val="004E3209"/>
    <w:rsid w:val="004E34A0"/>
    <w:rsid w:val="004E4C16"/>
    <w:rsid w:val="004E5BFB"/>
    <w:rsid w:val="004E622F"/>
    <w:rsid w:val="004E656C"/>
    <w:rsid w:val="004E7FB7"/>
    <w:rsid w:val="004F44C0"/>
    <w:rsid w:val="004F4987"/>
    <w:rsid w:val="004F5DF4"/>
    <w:rsid w:val="004F6ECC"/>
    <w:rsid w:val="0050279A"/>
    <w:rsid w:val="00505094"/>
    <w:rsid w:val="00506B9B"/>
    <w:rsid w:val="005079EA"/>
    <w:rsid w:val="00510043"/>
    <w:rsid w:val="00510754"/>
    <w:rsid w:val="00515F41"/>
    <w:rsid w:val="00516955"/>
    <w:rsid w:val="00521190"/>
    <w:rsid w:val="005213E3"/>
    <w:rsid w:val="00526C22"/>
    <w:rsid w:val="00527BDC"/>
    <w:rsid w:val="005329F2"/>
    <w:rsid w:val="00536ABB"/>
    <w:rsid w:val="00537026"/>
    <w:rsid w:val="00540238"/>
    <w:rsid w:val="00540CB2"/>
    <w:rsid w:val="00541C8F"/>
    <w:rsid w:val="00542A8A"/>
    <w:rsid w:val="00544633"/>
    <w:rsid w:val="0054499C"/>
    <w:rsid w:val="00544A95"/>
    <w:rsid w:val="005453C0"/>
    <w:rsid w:val="0054698A"/>
    <w:rsid w:val="00546D04"/>
    <w:rsid w:val="00547F70"/>
    <w:rsid w:val="0055069A"/>
    <w:rsid w:val="005525DF"/>
    <w:rsid w:val="005534B3"/>
    <w:rsid w:val="00553DCF"/>
    <w:rsid w:val="00554DF0"/>
    <w:rsid w:val="00555BC1"/>
    <w:rsid w:val="005609E5"/>
    <w:rsid w:val="0056218D"/>
    <w:rsid w:val="0056236A"/>
    <w:rsid w:val="00562564"/>
    <w:rsid w:val="0056339E"/>
    <w:rsid w:val="00564218"/>
    <w:rsid w:val="00565277"/>
    <w:rsid w:val="00565403"/>
    <w:rsid w:val="00565D44"/>
    <w:rsid w:val="005664EA"/>
    <w:rsid w:val="005668F8"/>
    <w:rsid w:val="005672C4"/>
    <w:rsid w:val="00567BC2"/>
    <w:rsid w:val="005739E6"/>
    <w:rsid w:val="00574647"/>
    <w:rsid w:val="00575760"/>
    <w:rsid w:val="0058023E"/>
    <w:rsid w:val="00582ABB"/>
    <w:rsid w:val="00582CD8"/>
    <w:rsid w:val="00584BAD"/>
    <w:rsid w:val="005856F6"/>
    <w:rsid w:val="00585F40"/>
    <w:rsid w:val="005860BB"/>
    <w:rsid w:val="00586165"/>
    <w:rsid w:val="00586C6D"/>
    <w:rsid w:val="0058733A"/>
    <w:rsid w:val="005914DF"/>
    <w:rsid w:val="00592A06"/>
    <w:rsid w:val="00593B31"/>
    <w:rsid w:val="005949B1"/>
    <w:rsid w:val="00597D54"/>
    <w:rsid w:val="005A10AB"/>
    <w:rsid w:val="005A1150"/>
    <w:rsid w:val="005A36C5"/>
    <w:rsid w:val="005A7CEE"/>
    <w:rsid w:val="005B2CC3"/>
    <w:rsid w:val="005B405E"/>
    <w:rsid w:val="005B55DD"/>
    <w:rsid w:val="005B6CB1"/>
    <w:rsid w:val="005C23CB"/>
    <w:rsid w:val="005C5B5F"/>
    <w:rsid w:val="005D12DA"/>
    <w:rsid w:val="005D262B"/>
    <w:rsid w:val="005D2B49"/>
    <w:rsid w:val="005D48C9"/>
    <w:rsid w:val="005D6089"/>
    <w:rsid w:val="005D624F"/>
    <w:rsid w:val="005D6EE6"/>
    <w:rsid w:val="005E1A8B"/>
    <w:rsid w:val="005E2925"/>
    <w:rsid w:val="005E2962"/>
    <w:rsid w:val="005E29C5"/>
    <w:rsid w:val="005E29F6"/>
    <w:rsid w:val="005E60A4"/>
    <w:rsid w:val="005E61DD"/>
    <w:rsid w:val="005F2793"/>
    <w:rsid w:val="005F42F8"/>
    <w:rsid w:val="005F6038"/>
    <w:rsid w:val="005F6383"/>
    <w:rsid w:val="00600A70"/>
    <w:rsid w:val="00601731"/>
    <w:rsid w:val="006035B8"/>
    <w:rsid w:val="00604AD3"/>
    <w:rsid w:val="00604C78"/>
    <w:rsid w:val="00606102"/>
    <w:rsid w:val="00612194"/>
    <w:rsid w:val="006124B7"/>
    <w:rsid w:val="00614816"/>
    <w:rsid w:val="00616D61"/>
    <w:rsid w:val="00624BA0"/>
    <w:rsid w:val="00624C8B"/>
    <w:rsid w:val="00625320"/>
    <w:rsid w:val="00627858"/>
    <w:rsid w:val="00632355"/>
    <w:rsid w:val="006406F0"/>
    <w:rsid w:val="0064229B"/>
    <w:rsid w:val="00642483"/>
    <w:rsid w:val="00643AB7"/>
    <w:rsid w:val="006444D9"/>
    <w:rsid w:val="006450BF"/>
    <w:rsid w:val="00646978"/>
    <w:rsid w:val="00647E9B"/>
    <w:rsid w:val="00650610"/>
    <w:rsid w:val="00651E03"/>
    <w:rsid w:val="00653DF3"/>
    <w:rsid w:val="00654293"/>
    <w:rsid w:val="00660169"/>
    <w:rsid w:val="00663389"/>
    <w:rsid w:val="00665AEF"/>
    <w:rsid w:val="006666B0"/>
    <w:rsid w:val="00670B35"/>
    <w:rsid w:val="00671026"/>
    <w:rsid w:val="00674B88"/>
    <w:rsid w:val="00675195"/>
    <w:rsid w:val="00676A13"/>
    <w:rsid w:val="00676AF3"/>
    <w:rsid w:val="00677A09"/>
    <w:rsid w:val="00682CD0"/>
    <w:rsid w:val="00687F38"/>
    <w:rsid w:val="006908F1"/>
    <w:rsid w:val="006916B0"/>
    <w:rsid w:val="006926C8"/>
    <w:rsid w:val="0069458E"/>
    <w:rsid w:val="00696C46"/>
    <w:rsid w:val="006A1C70"/>
    <w:rsid w:val="006A4EC3"/>
    <w:rsid w:val="006A554D"/>
    <w:rsid w:val="006A59FC"/>
    <w:rsid w:val="006A6AB9"/>
    <w:rsid w:val="006B09A4"/>
    <w:rsid w:val="006B2B65"/>
    <w:rsid w:val="006B2CF2"/>
    <w:rsid w:val="006B4B44"/>
    <w:rsid w:val="006B5FEF"/>
    <w:rsid w:val="006B6A63"/>
    <w:rsid w:val="006C4874"/>
    <w:rsid w:val="006C7462"/>
    <w:rsid w:val="006C7F6A"/>
    <w:rsid w:val="006D126C"/>
    <w:rsid w:val="006D1381"/>
    <w:rsid w:val="006D1A8F"/>
    <w:rsid w:val="006D5B18"/>
    <w:rsid w:val="006D78B9"/>
    <w:rsid w:val="006D7ADB"/>
    <w:rsid w:val="006E07DA"/>
    <w:rsid w:val="006E0E16"/>
    <w:rsid w:val="006E246B"/>
    <w:rsid w:val="006E3126"/>
    <w:rsid w:val="006E32AE"/>
    <w:rsid w:val="006E4FDD"/>
    <w:rsid w:val="006F0308"/>
    <w:rsid w:val="006F32AC"/>
    <w:rsid w:val="006F3EEB"/>
    <w:rsid w:val="006F413D"/>
    <w:rsid w:val="006F468E"/>
    <w:rsid w:val="006F5ED1"/>
    <w:rsid w:val="006F68E2"/>
    <w:rsid w:val="00703DF8"/>
    <w:rsid w:val="00704C3B"/>
    <w:rsid w:val="00705DF3"/>
    <w:rsid w:val="00710FD7"/>
    <w:rsid w:val="00712B13"/>
    <w:rsid w:val="00712E4B"/>
    <w:rsid w:val="007133EC"/>
    <w:rsid w:val="00713CD0"/>
    <w:rsid w:val="00714C2E"/>
    <w:rsid w:val="00715DDC"/>
    <w:rsid w:val="00716457"/>
    <w:rsid w:val="007227F5"/>
    <w:rsid w:val="00723696"/>
    <w:rsid w:val="007257A3"/>
    <w:rsid w:val="00726ACF"/>
    <w:rsid w:val="00730583"/>
    <w:rsid w:val="00731F08"/>
    <w:rsid w:val="00731FA0"/>
    <w:rsid w:val="00733001"/>
    <w:rsid w:val="0073392A"/>
    <w:rsid w:val="00735180"/>
    <w:rsid w:val="00736AD9"/>
    <w:rsid w:val="00737266"/>
    <w:rsid w:val="007440AE"/>
    <w:rsid w:val="00744119"/>
    <w:rsid w:val="00744CA9"/>
    <w:rsid w:val="007458A2"/>
    <w:rsid w:val="00747529"/>
    <w:rsid w:val="00751AFC"/>
    <w:rsid w:val="00756EFB"/>
    <w:rsid w:val="0075715B"/>
    <w:rsid w:val="0075789D"/>
    <w:rsid w:val="00763091"/>
    <w:rsid w:val="00766585"/>
    <w:rsid w:val="007715FB"/>
    <w:rsid w:val="00772F52"/>
    <w:rsid w:val="007744B1"/>
    <w:rsid w:val="00775857"/>
    <w:rsid w:val="007804E8"/>
    <w:rsid w:val="00781471"/>
    <w:rsid w:val="00782BB0"/>
    <w:rsid w:val="00784192"/>
    <w:rsid w:val="007861CF"/>
    <w:rsid w:val="0078777B"/>
    <w:rsid w:val="00790D2E"/>
    <w:rsid w:val="00790EC4"/>
    <w:rsid w:val="007933E9"/>
    <w:rsid w:val="00794B97"/>
    <w:rsid w:val="007957C6"/>
    <w:rsid w:val="00795E16"/>
    <w:rsid w:val="00795E8E"/>
    <w:rsid w:val="00796284"/>
    <w:rsid w:val="007A006B"/>
    <w:rsid w:val="007A00F0"/>
    <w:rsid w:val="007A675E"/>
    <w:rsid w:val="007A7F55"/>
    <w:rsid w:val="007B1BCD"/>
    <w:rsid w:val="007B53D7"/>
    <w:rsid w:val="007B7A11"/>
    <w:rsid w:val="007C1EA5"/>
    <w:rsid w:val="007C4E9A"/>
    <w:rsid w:val="007C50B7"/>
    <w:rsid w:val="007C6457"/>
    <w:rsid w:val="007D1D19"/>
    <w:rsid w:val="007D2E3A"/>
    <w:rsid w:val="007D3119"/>
    <w:rsid w:val="007D4289"/>
    <w:rsid w:val="007D46D3"/>
    <w:rsid w:val="007D4AC1"/>
    <w:rsid w:val="007E1E0B"/>
    <w:rsid w:val="007E218B"/>
    <w:rsid w:val="007E380F"/>
    <w:rsid w:val="007E5AAC"/>
    <w:rsid w:val="007E68B7"/>
    <w:rsid w:val="007E78FA"/>
    <w:rsid w:val="007E7EE6"/>
    <w:rsid w:val="007F2232"/>
    <w:rsid w:val="007F2D90"/>
    <w:rsid w:val="007F3D22"/>
    <w:rsid w:val="00803188"/>
    <w:rsid w:val="008104ED"/>
    <w:rsid w:val="00813881"/>
    <w:rsid w:val="008168EF"/>
    <w:rsid w:val="00817A9C"/>
    <w:rsid w:val="0082010A"/>
    <w:rsid w:val="0082013B"/>
    <w:rsid w:val="00822B98"/>
    <w:rsid w:val="00822D42"/>
    <w:rsid w:val="008247D9"/>
    <w:rsid w:val="00825238"/>
    <w:rsid w:val="0082580C"/>
    <w:rsid w:val="00830AAB"/>
    <w:rsid w:val="00831210"/>
    <w:rsid w:val="00832516"/>
    <w:rsid w:val="00836A32"/>
    <w:rsid w:val="0084092C"/>
    <w:rsid w:val="00841DF0"/>
    <w:rsid w:val="0084591F"/>
    <w:rsid w:val="00846404"/>
    <w:rsid w:val="00850D74"/>
    <w:rsid w:val="00851282"/>
    <w:rsid w:val="0085217A"/>
    <w:rsid w:val="00853E07"/>
    <w:rsid w:val="00854E24"/>
    <w:rsid w:val="008571DA"/>
    <w:rsid w:val="00857586"/>
    <w:rsid w:val="00860367"/>
    <w:rsid w:val="00860567"/>
    <w:rsid w:val="00860E92"/>
    <w:rsid w:val="00863870"/>
    <w:rsid w:val="0086406E"/>
    <w:rsid w:val="00864A3F"/>
    <w:rsid w:val="0087217E"/>
    <w:rsid w:val="00874B24"/>
    <w:rsid w:val="00877706"/>
    <w:rsid w:val="0088039F"/>
    <w:rsid w:val="00880DA3"/>
    <w:rsid w:val="00881FF3"/>
    <w:rsid w:val="00882040"/>
    <w:rsid w:val="00883C1A"/>
    <w:rsid w:val="00890D08"/>
    <w:rsid w:val="00892855"/>
    <w:rsid w:val="00892A55"/>
    <w:rsid w:val="008932BA"/>
    <w:rsid w:val="00893B80"/>
    <w:rsid w:val="00895D6D"/>
    <w:rsid w:val="008973AE"/>
    <w:rsid w:val="008A1CCE"/>
    <w:rsid w:val="008A1F8F"/>
    <w:rsid w:val="008A293C"/>
    <w:rsid w:val="008A6865"/>
    <w:rsid w:val="008B0B75"/>
    <w:rsid w:val="008B32B3"/>
    <w:rsid w:val="008B47B1"/>
    <w:rsid w:val="008B5E2B"/>
    <w:rsid w:val="008B7C05"/>
    <w:rsid w:val="008C4317"/>
    <w:rsid w:val="008C447C"/>
    <w:rsid w:val="008C6429"/>
    <w:rsid w:val="008C7117"/>
    <w:rsid w:val="008C7F97"/>
    <w:rsid w:val="008D0BA8"/>
    <w:rsid w:val="008D11B1"/>
    <w:rsid w:val="008D279A"/>
    <w:rsid w:val="008D2867"/>
    <w:rsid w:val="008D5AF0"/>
    <w:rsid w:val="008D666A"/>
    <w:rsid w:val="008D75AA"/>
    <w:rsid w:val="008D7892"/>
    <w:rsid w:val="008D7ED7"/>
    <w:rsid w:val="008E0B68"/>
    <w:rsid w:val="008E0E32"/>
    <w:rsid w:val="008E1A8F"/>
    <w:rsid w:val="008E40AC"/>
    <w:rsid w:val="008E413D"/>
    <w:rsid w:val="008E58B1"/>
    <w:rsid w:val="008E6C63"/>
    <w:rsid w:val="008E7E61"/>
    <w:rsid w:val="008F0168"/>
    <w:rsid w:val="008F148B"/>
    <w:rsid w:val="008F3853"/>
    <w:rsid w:val="008F3FA4"/>
    <w:rsid w:val="008F45E3"/>
    <w:rsid w:val="008F5D4F"/>
    <w:rsid w:val="009018AD"/>
    <w:rsid w:val="0090265E"/>
    <w:rsid w:val="00903391"/>
    <w:rsid w:val="00903B41"/>
    <w:rsid w:val="009042F3"/>
    <w:rsid w:val="0090573A"/>
    <w:rsid w:val="0090795F"/>
    <w:rsid w:val="00907AE0"/>
    <w:rsid w:val="009106A5"/>
    <w:rsid w:val="009120FF"/>
    <w:rsid w:val="00912348"/>
    <w:rsid w:val="009154C0"/>
    <w:rsid w:val="00921804"/>
    <w:rsid w:val="0092220D"/>
    <w:rsid w:val="00922C57"/>
    <w:rsid w:val="00923513"/>
    <w:rsid w:val="00925354"/>
    <w:rsid w:val="00926B40"/>
    <w:rsid w:val="00930660"/>
    <w:rsid w:val="00932CA1"/>
    <w:rsid w:val="0093673A"/>
    <w:rsid w:val="00937BBC"/>
    <w:rsid w:val="00937C31"/>
    <w:rsid w:val="00941639"/>
    <w:rsid w:val="00944564"/>
    <w:rsid w:val="00945DAC"/>
    <w:rsid w:val="009470CA"/>
    <w:rsid w:val="00950865"/>
    <w:rsid w:val="00952076"/>
    <w:rsid w:val="00953E0B"/>
    <w:rsid w:val="00954C94"/>
    <w:rsid w:val="0095540D"/>
    <w:rsid w:val="00961BBE"/>
    <w:rsid w:val="00962D0E"/>
    <w:rsid w:val="0096436D"/>
    <w:rsid w:val="009658B0"/>
    <w:rsid w:val="009671DD"/>
    <w:rsid w:val="00970406"/>
    <w:rsid w:val="00972259"/>
    <w:rsid w:val="00972734"/>
    <w:rsid w:val="00973005"/>
    <w:rsid w:val="00974E2C"/>
    <w:rsid w:val="00976FDD"/>
    <w:rsid w:val="0098215E"/>
    <w:rsid w:val="00982C2C"/>
    <w:rsid w:val="00983FFF"/>
    <w:rsid w:val="00987502"/>
    <w:rsid w:val="00990A6D"/>
    <w:rsid w:val="00990A84"/>
    <w:rsid w:val="00992F1E"/>
    <w:rsid w:val="009939B1"/>
    <w:rsid w:val="00993DA6"/>
    <w:rsid w:val="009945F8"/>
    <w:rsid w:val="009947D1"/>
    <w:rsid w:val="009A1E3A"/>
    <w:rsid w:val="009A2623"/>
    <w:rsid w:val="009A2930"/>
    <w:rsid w:val="009A2C45"/>
    <w:rsid w:val="009A77DD"/>
    <w:rsid w:val="009B0037"/>
    <w:rsid w:val="009B2ED6"/>
    <w:rsid w:val="009B43F0"/>
    <w:rsid w:val="009B70E6"/>
    <w:rsid w:val="009C18BD"/>
    <w:rsid w:val="009C602D"/>
    <w:rsid w:val="009C616A"/>
    <w:rsid w:val="009C6E18"/>
    <w:rsid w:val="009C7981"/>
    <w:rsid w:val="009D1731"/>
    <w:rsid w:val="009D2244"/>
    <w:rsid w:val="009D2BF0"/>
    <w:rsid w:val="009D4A26"/>
    <w:rsid w:val="009D7C27"/>
    <w:rsid w:val="009E06FE"/>
    <w:rsid w:val="009E2849"/>
    <w:rsid w:val="009E2B09"/>
    <w:rsid w:val="009E4082"/>
    <w:rsid w:val="009E4708"/>
    <w:rsid w:val="009E73A0"/>
    <w:rsid w:val="009F0756"/>
    <w:rsid w:val="009F0AD5"/>
    <w:rsid w:val="009F4A93"/>
    <w:rsid w:val="00A02781"/>
    <w:rsid w:val="00A0401C"/>
    <w:rsid w:val="00A070B5"/>
    <w:rsid w:val="00A07E97"/>
    <w:rsid w:val="00A113A6"/>
    <w:rsid w:val="00A1345C"/>
    <w:rsid w:val="00A1431A"/>
    <w:rsid w:val="00A15993"/>
    <w:rsid w:val="00A172E9"/>
    <w:rsid w:val="00A174F4"/>
    <w:rsid w:val="00A176A1"/>
    <w:rsid w:val="00A20318"/>
    <w:rsid w:val="00A20886"/>
    <w:rsid w:val="00A2389C"/>
    <w:rsid w:val="00A2564B"/>
    <w:rsid w:val="00A267E1"/>
    <w:rsid w:val="00A30EA2"/>
    <w:rsid w:val="00A3254E"/>
    <w:rsid w:val="00A34B3F"/>
    <w:rsid w:val="00A36A7F"/>
    <w:rsid w:val="00A37257"/>
    <w:rsid w:val="00A4135E"/>
    <w:rsid w:val="00A4278E"/>
    <w:rsid w:val="00A434B5"/>
    <w:rsid w:val="00A4569B"/>
    <w:rsid w:val="00A52543"/>
    <w:rsid w:val="00A529A8"/>
    <w:rsid w:val="00A5462C"/>
    <w:rsid w:val="00A55095"/>
    <w:rsid w:val="00A560BD"/>
    <w:rsid w:val="00A60649"/>
    <w:rsid w:val="00A60ED4"/>
    <w:rsid w:val="00A623D1"/>
    <w:rsid w:val="00A62513"/>
    <w:rsid w:val="00A66450"/>
    <w:rsid w:val="00A668BC"/>
    <w:rsid w:val="00A713AA"/>
    <w:rsid w:val="00A7159A"/>
    <w:rsid w:val="00A7511A"/>
    <w:rsid w:val="00A754C8"/>
    <w:rsid w:val="00A818FE"/>
    <w:rsid w:val="00A81FCF"/>
    <w:rsid w:val="00A826DB"/>
    <w:rsid w:val="00A8502A"/>
    <w:rsid w:val="00A8630E"/>
    <w:rsid w:val="00A86AB3"/>
    <w:rsid w:val="00A9098D"/>
    <w:rsid w:val="00A9355B"/>
    <w:rsid w:val="00A94CFE"/>
    <w:rsid w:val="00A979E9"/>
    <w:rsid w:val="00AA097F"/>
    <w:rsid w:val="00AA4A6F"/>
    <w:rsid w:val="00AA6F42"/>
    <w:rsid w:val="00AA7431"/>
    <w:rsid w:val="00AB06B3"/>
    <w:rsid w:val="00AB23CC"/>
    <w:rsid w:val="00AB62D4"/>
    <w:rsid w:val="00AB6630"/>
    <w:rsid w:val="00AB7B87"/>
    <w:rsid w:val="00AC302E"/>
    <w:rsid w:val="00AC6BFB"/>
    <w:rsid w:val="00AD0B8C"/>
    <w:rsid w:val="00AD1479"/>
    <w:rsid w:val="00AD1C78"/>
    <w:rsid w:val="00AD25D0"/>
    <w:rsid w:val="00AD3F8C"/>
    <w:rsid w:val="00AD4A63"/>
    <w:rsid w:val="00AE5933"/>
    <w:rsid w:val="00AE734C"/>
    <w:rsid w:val="00AE73B3"/>
    <w:rsid w:val="00AE770A"/>
    <w:rsid w:val="00AE7B25"/>
    <w:rsid w:val="00AF0A24"/>
    <w:rsid w:val="00AF2590"/>
    <w:rsid w:val="00AF6464"/>
    <w:rsid w:val="00AF67FB"/>
    <w:rsid w:val="00B016B8"/>
    <w:rsid w:val="00B02439"/>
    <w:rsid w:val="00B0252A"/>
    <w:rsid w:val="00B03185"/>
    <w:rsid w:val="00B03B79"/>
    <w:rsid w:val="00B03E9F"/>
    <w:rsid w:val="00B042F9"/>
    <w:rsid w:val="00B05007"/>
    <w:rsid w:val="00B05CAD"/>
    <w:rsid w:val="00B11A6B"/>
    <w:rsid w:val="00B11EAD"/>
    <w:rsid w:val="00B1326D"/>
    <w:rsid w:val="00B136C4"/>
    <w:rsid w:val="00B15D94"/>
    <w:rsid w:val="00B20CCB"/>
    <w:rsid w:val="00B20F08"/>
    <w:rsid w:val="00B21406"/>
    <w:rsid w:val="00B23717"/>
    <w:rsid w:val="00B24EFA"/>
    <w:rsid w:val="00B250AA"/>
    <w:rsid w:val="00B265E7"/>
    <w:rsid w:val="00B27685"/>
    <w:rsid w:val="00B30BBF"/>
    <w:rsid w:val="00B31A33"/>
    <w:rsid w:val="00B332D1"/>
    <w:rsid w:val="00B36671"/>
    <w:rsid w:val="00B37E11"/>
    <w:rsid w:val="00B4163D"/>
    <w:rsid w:val="00B43000"/>
    <w:rsid w:val="00B46471"/>
    <w:rsid w:val="00B47F58"/>
    <w:rsid w:val="00B512AB"/>
    <w:rsid w:val="00B53D19"/>
    <w:rsid w:val="00B5653D"/>
    <w:rsid w:val="00B56EDC"/>
    <w:rsid w:val="00B60B1C"/>
    <w:rsid w:val="00B626D6"/>
    <w:rsid w:val="00B629B2"/>
    <w:rsid w:val="00B6375D"/>
    <w:rsid w:val="00B64CD2"/>
    <w:rsid w:val="00B66E37"/>
    <w:rsid w:val="00B7125C"/>
    <w:rsid w:val="00B73D15"/>
    <w:rsid w:val="00B74159"/>
    <w:rsid w:val="00B750BA"/>
    <w:rsid w:val="00B75E3B"/>
    <w:rsid w:val="00B8294F"/>
    <w:rsid w:val="00B84F60"/>
    <w:rsid w:val="00B8676D"/>
    <w:rsid w:val="00B86881"/>
    <w:rsid w:val="00B86A64"/>
    <w:rsid w:val="00B932B2"/>
    <w:rsid w:val="00B93E5D"/>
    <w:rsid w:val="00B94233"/>
    <w:rsid w:val="00B942F4"/>
    <w:rsid w:val="00B94F0B"/>
    <w:rsid w:val="00B9532F"/>
    <w:rsid w:val="00B9575F"/>
    <w:rsid w:val="00B96F4D"/>
    <w:rsid w:val="00B9770A"/>
    <w:rsid w:val="00BA01F2"/>
    <w:rsid w:val="00BA0384"/>
    <w:rsid w:val="00BA2172"/>
    <w:rsid w:val="00BA2E0B"/>
    <w:rsid w:val="00BA42F8"/>
    <w:rsid w:val="00BA4ABD"/>
    <w:rsid w:val="00BA716E"/>
    <w:rsid w:val="00BB0491"/>
    <w:rsid w:val="00BB0A94"/>
    <w:rsid w:val="00BB3E7A"/>
    <w:rsid w:val="00BB4534"/>
    <w:rsid w:val="00BB7878"/>
    <w:rsid w:val="00BC5CD8"/>
    <w:rsid w:val="00BD0B6A"/>
    <w:rsid w:val="00BD6767"/>
    <w:rsid w:val="00BD7250"/>
    <w:rsid w:val="00BE23BD"/>
    <w:rsid w:val="00BE4048"/>
    <w:rsid w:val="00BE4BBA"/>
    <w:rsid w:val="00BE5829"/>
    <w:rsid w:val="00BE7ACA"/>
    <w:rsid w:val="00BE7AEE"/>
    <w:rsid w:val="00BE7BE5"/>
    <w:rsid w:val="00BE7F40"/>
    <w:rsid w:val="00BF0491"/>
    <w:rsid w:val="00BF2D65"/>
    <w:rsid w:val="00BF2D6D"/>
    <w:rsid w:val="00BF365F"/>
    <w:rsid w:val="00BF3F39"/>
    <w:rsid w:val="00BF5928"/>
    <w:rsid w:val="00BF60B5"/>
    <w:rsid w:val="00BF66FF"/>
    <w:rsid w:val="00BF7CF2"/>
    <w:rsid w:val="00BF7D1F"/>
    <w:rsid w:val="00C023F9"/>
    <w:rsid w:val="00C034C3"/>
    <w:rsid w:val="00C05E01"/>
    <w:rsid w:val="00C11810"/>
    <w:rsid w:val="00C1383A"/>
    <w:rsid w:val="00C14AFA"/>
    <w:rsid w:val="00C15294"/>
    <w:rsid w:val="00C20725"/>
    <w:rsid w:val="00C2175F"/>
    <w:rsid w:val="00C22E00"/>
    <w:rsid w:val="00C23E36"/>
    <w:rsid w:val="00C24850"/>
    <w:rsid w:val="00C24F8A"/>
    <w:rsid w:val="00C26FBC"/>
    <w:rsid w:val="00C27687"/>
    <w:rsid w:val="00C301BC"/>
    <w:rsid w:val="00C31685"/>
    <w:rsid w:val="00C326EF"/>
    <w:rsid w:val="00C33042"/>
    <w:rsid w:val="00C350AE"/>
    <w:rsid w:val="00C36EFC"/>
    <w:rsid w:val="00C373FE"/>
    <w:rsid w:val="00C423CF"/>
    <w:rsid w:val="00C42862"/>
    <w:rsid w:val="00C44279"/>
    <w:rsid w:val="00C4465E"/>
    <w:rsid w:val="00C47C94"/>
    <w:rsid w:val="00C509FC"/>
    <w:rsid w:val="00C50BEC"/>
    <w:rsid w:val="00C53983"/>
    <w:rsid w:val="00C64A62"/>
    <w:rsid w:val="00C71E03"/>
    <w:rsid w:val="00C71EEF"/>
    <w:rsid w:val="00C72A66"/>
    <w:rsid w:val="00C7375C"/>
    <w:rsid w:val="00C73984"/>
    <w:rsid w:val="00C73E0F"/>
    <w:rsid w:val="00C76198"/>
    <w:rsid w:val="00C76ABB"/>
    <w:rsid w:val="00C77064"/>
    <w:rsid w:val="00C77347"/>
    <w:rsid w:val="00C77CE8"/>
    <w:rsid w:val="00C80E32"/>
    <w:rsid w:val="00C81198"/>
    <w:rsid w:val="00C85D09"/>
    <w:rsid w:val="00C908EB"/>
    <w:rsid w:val="00C91174"/>
    <w:rsid w:val="00C91BDA"/>
    <w:rsid w:val="00C94B97"/>
    <w:rsid w:val="00C95550"/>
    <w:rsid w:val="00C96A92"/>
    <w:rsid w:val="00C97643"/>
    <w:rsid w:val="00C978DC"/>
    <w:rsid w:val="00CA06D5"/>
    <w:rsid w:val="00CA0AF5"/>
    <w:rsid w:val="00CA0F24"/>
    <w:rsid w:val="00CA129F"/>
    <w:rsid w:val="00CA284E"/>
    <w:rsid w:val="00CA3094"/>
    <w:rsid w:val="00CA38B3"/>
    <w:rsid w:val="00CA49D3"/>
    <w:rsid w:val="00CA4E59"/>
    <w:rsid w:val="00CA6C66"/>
    <w:rsid w:val="00CA75FF"/>
    <w:rsid w:val="00CB1F52"/>
    <w:rsid w:val="00CC1129"/>
    <w:rsid w:val="00CC1216"/>
    <w:rsid w:val="00CC2FBE"/>
    <w:rsid w:val="00CC3281"/>
    <w:rsid w:val="00CC4506"/>
    <w:rsid w:val="00CC5749"/>
    <w:rsid w:val="00CC66EA"/>
    <w:rsid w:val="00CC7DD5"/>
    <w:rsid w:val="00CD0A21"/>
    <w:rsid w:val="00CD2110"/>
    <w:rsid w:val="00CD42D3"/>
    <w:rsid w:val="00CD79C8"/>
    <w:rsid w:val="00CE2394"/>
    <w:rsid w:val="00CE4B68"/>
    <w:rsid w:val="00CF2FA6"/>
    <w:rsid w:val="00CF3803"/>
    <w:rsid w:val="00CF3F1F"/>
    <w:rsid w:val="00CF4013"/>
    <w:rsid w:val="00CF5567"/>
    <w:rsid w:val="00D01923"/>
    <w:rsid w:val="00D03108"/>
    <w:rsid w:val="00D116FD"/>
    <w:rsid w:val="00D1331F"/>
    <w:rsid w:val="00D1430A"/>
    <w:rsid w:val="00D154B4"/>
    <w:rsid w:val="00D21297"/>
    <w:rsid w:val="00D2214B"/>
    <w:rsid w:val="00D22839"/>
    <w:rsid w:val="00D22FD0"/>
    <w:rsid w:val="00D241D9"/>
    <w:rsid w:val="00D25281"/>
    <w:rsid w:val="00D26DCC"/>
    <w:rsid w:val="00D31692"/>
    <w:rsid w:val="00D33C6C"/>
    <w:rsid w:val="00D33F10"/>
    <w:rsid w:val="00D35DD4"/>
    <w:rsid w:val="00D37029"/>
    <w:rsid w:val="00D40040"/>
    <w:rsid w:val="00D412D7"/>
    <w:rsid w:val="00D431BA"/>
    <w:rsid w:val="00D43934"/>
    <w:rsid w:val="00D46A17"/>
    <w:rsid w:val="00D500C6"/>
    <w:rsid w:val="00D5165C"/>
    <w:rsid w:val="00D52909"/>
    <w:rsid w:val="00D52AA8"/>
    <w:rsid w:val="00D531C6"/>
    <w:rsid w:val="00D533BE"/>
    <w:rsid w:val="00D54B5F"/>
    <w:rsid w:val="00D56DD3"/>
    <w:rsid w:val="00D577B7"/>
    <w:rsid w:val="00D60E0B"/>
    <w:rsid w:val="00D63539"/>
    <w:rsid w:val="00D63596"/>
    <w:rsid w:val="00D641B0"/>
    <w:rsid w:val="00D64FAF"/>
    <w:rsid w:val="00D74123"/>
    <w:rsid w:val="00D7460F"/>
    <w:rsid w:val="00D803C4"/>
    <w:rsid w:val="00D818D3"/>
    <w:rsid w:val="00D8249C"/>
    <w:rsid w:val="00D85A6F"/>
    <w:rsid w:val="00D861A3"/>
    <w:rsid w:val="00D86256"/>
    <w:rsid w:val="00D9049C"/>
    <w:rsid w:val="00D93926"/>
    <w:rsid w:val="00D93A2C"/>
    <w:rsid w:val="00D960CF"/>
    <w:rsid w:val="00D96DD3"/>
    <w:rsid w:val="00DA2094"/>
    <w:rsid w:val="00DA2AB9"/>
    <w:rsid w:val="00DA52B9"/>
    <w:rsid w:val="00DA61A3"/>
    <w:rsid w:val="00DA6443"/>
    <w:rsid w:val="00DA75F7"/>
    <w:rsid w:val="00DB062E"/>
    <w:rsid w:val="00DB2165"/>
    <w:rsid w:val="00DB2778"/>
    <w:rsid w:val="00DB5291"/>
    <w:rsid w:val="00DB7A1D"/>
    <w:rsid w:val="00DC474F"/>
    <w:rsid w:val="00DC7E6C"/>
    <w:rsid w:val="00DC7EAD"/>
    <w:rsid w:val="00DD050D"/>
    <w:rsid w:val="00DD37CB"/>
    <w:rsid w:val="00DD487B"/>
    <w:rsid w:val="00DD618B"/>
    <w:rsid w:val="00DE01EA"/>
    <w:rsid w:val="00DE0231"/>
    <w:rsid w:val="00DE1EA4"/>
    <w:rsid w:val="00DE362E"/>
    <w:rsid w:val="00DE4152"/>
    <w:rsid w:val="00DE650B"/>
    <w:rsid w:val="00DF0B0B"/>
    <w:rsid w:val="00DF434E"/>
    <w:rsid w:val="00DF7A08"/>
    <w:rsid w:val="00E0289F"/>
    <w:rsid w:val="00E03953"/>
    <w:rsid w:val="00E04519"/>
    <w:rsid w:val="00E06595"/>
    <w:rsid w:val="00E072AD"/>
    <w:rsid w:val="00E114C3"/>
    <w:rsid w:val="00E11A0A"/>
    <w:rsid w:val="00E13C98"/>
    <w:rsid w:val="00E14DF9"/>
    <w:rsid w:val="00E16B80"/>
    <w:rsid w:val="00E17834"/>
    <w:rsid w:val="00E17F61"/>
    <w:rsid w:val="00E2072F"/>
    <w:rsid w:val="00E209B4"/>
    <w:rsid w:val="00E2127F"/>
    <w:rsid w:val="00E21F06"/>
    <w:rsid w:val="00E23745"/>
    <w:rsid w:val="00E25247"/>
    <w:rsid w:val="00E2538E"/>
    <w:rsid w:val="00E30703"/>
    <w:rsid w:val="00E322FF"/>
    <w:rsid w:val="00E32717"/>
    <w:rsid w:val="00E331FC"/>
    <w:rsid w:val="00E33CDA"/>
    <w:rsid w:val="00E34794"/>
    <w:rsid w:val="00E34CE7"/>
    <w:rsid w:val="00E3526F"/>
    <w:rsid w:val="00E3660A"/>
    <w:rsid w:val="00E372C7"/>
    <w:rsid w:val="00E40D43"/>
    <w:rsid w:val="00E41396"/>
    <w:rsid w:val="00E414F5"/>
    <w:rsid w:val="00E43EC5"/>
    <w:rsid w:val="00E43F9F"/>
    <w:rsid w:val="00E451F3"/>
    <w:rsid w:val="00E454A1"/>
    <w:rsid w:val="00E45A20"/>
    <w:rsid w:val="00E46C75"/>
    <w:rsid w:val="00E50231"/>
    <w:rsid w:val="00E532F2"/>
    <w:rsid w:val="00E545F6"/>
    <w:rsid w:val="00E54D1C"/>
    <w:rsid w:val="00E55BFF"/>
    <w:rsid w:val="00E57B7B"/>
    <w:rsid w:val="00E60186"/>
    <w:rsid w:val="00E629F1"/>
    <w:rsid w:val="00E632F3"/>
    <w:rsid w:val="00E633AF"/>
    <w:rsid w:val="00E67BFB"/>
    <w:rsid w:val="00E701DB"/>
    <w:rsid w:val="00E708D4"/>
    <w:rsid w:val="00E72DEA"/>
    <w:rsid w:val="00E75521"/>
    <w:rsid w:val="00E75966"/>
    <w:rsid w:val="00E768D6"/>
    <w:rsid w:val="00E77779"/>
    <w:rsid w:val="00E82F7C"/>
    <w:rsid w:val="00E839B2"/>
    <w:rsid w:val="00E83EEB"/>
    <w:rsid w:val="00E847B0"/>
    <w:rsid w:val="00E9173A"/>
    <w:rsid w:val="00E91F38"/>
    <w:rsid w:val="00E93614"/>
    <w:rsid w:val="00E96E11"/>
    <w:rsid w:val="00EA2EF8"/>
    <w:rsid w:val="00EA45B8"/>
    <w:rsid w:val="00EA518D"/>
    <w:rsid w:val="00EA6A9D"/>
    <w:rsid w:val="00EB5906"/>
    <w:rsid w:val="00EB788A"/>
    <w:rsid w:val="00EC2DFA"/>
    <w:rsid w:val="00EC41DE"/>
    <w:rsid w:val="00EC5B48"/>
    <w:rsid w:val="00EC5F35"/>
    <w:rsid w:val="00ED1612"/>
    <w:rsid w:val="00ED42EC"/>
    <w:rsid w:val="00ED5103"/>
    <w:rsid w:val="00ED6B83"/>
    <w:rsid w:val="00ED7863"/>
    <w:rsid w:val="00EE5AA2"/>
    <w:rsid w:val="00EE6350"/>
    <w:rsid w:val="00EE6633"/>
    <w:rsid w:val="00EE768C"/>
    <w:rsid w:val="00EF0811"/>
    <w:rsid w:val="00EF0D12"/>
    <w:rsid w:val="00EF1E26"/>
    <w:rsid w:val="00EF2017"/>
    <w:rsid w:val="00EF617C"/>
    <w:rsid w:val="00EF6CA4"/>
    <w:rsid w:val="00F04953"/>
    <w:rsid w:val="00F05EA5"/>
    <w:rsid w:val="00F06A0C"/>
    <w:rsid w:val="00F1239E"/>
    <w:rsid w:val="00F13B78"/>
    <w:rsid w:val="00F169CB"/>
    <w:rsid w:val="00F1710F"/>
    <w:rsid w:val="00F17824"/>
    <w:rsid w:val="00F20AF8"/>
    <w:rsid w:val="00F211AD"/>
    <w:rsid w:val="00F2375D"/>
    <w:rsid w:val="00F23D11"/>
    <w:rsid w:val="00F23F98"/>
    <w:rsid w:val="00F24737"/>
    <w:rsid w:val="00F24845"/>
    <w:rsid w:val="00F25820"/>
    <w:rsid w:val="00F25A9E"/>
    <w:rsid w:val="00F267AB"/>
    <w:rsid w:val="00F301C7"/>
    <w:rsid w:val="00F30A69"/>
    <w:rsid w:val="00F319CC"/>
    <w:rsid w:val="00F3474D"/>
    <w:rsid w:val="00F3481F"/>
    <w:rsid w:val="00F3526A"/>
    <w:rsid w:val="00F35727"/>
    <w:rsid w:val="00F36CD0"/>
    <w:rsid w:val="00F3747E"/>
    <w:rsid w:val="00F41E19"/>
    <w:rsid w:val="00F41ED6"/>
    <w:rsid w:val="00F421CB"/>
    <w:rsid w:val="00F42A04"/>
    <w:rsid w:val="00F42E49"/>
    <w:rsid w:val="00F43AD4"/>
    <w:rsid w:val="00F445D0"/>
    <w:rsid w:val="00F47DA8"/>
    <w:rsid w:val="00F514EC"/>
    <w:rsid w:val="00F51861"/>
    <w:rsid w:val="00F55FA3"/>
    <w:rsid w:val="00F574C6"/>
    <w:rsid w:val="00F5782A"/>
    <w:rsid w:val="00F578BC"/>
    <w:rsid w:val="00F57BA0"/>
    <w:rsid w:val="00F608A2"/>
    <w:rsid w:val="00F612F3"/>
    <w:rsid w:val="00F61929"/>
    <w:rsid w:val="00F62E89"/>
    <w:rsid w:val="00F66955"/>
    <w:rsid w:val="00F66AC7"/>
    <w:rsid w:val="00F66DB1"/>
    <w:rsid w:val="00F741C0"/>
    <w:rsid w:val="00F751A0"/>
    <w:rsid w:val="00F7766E"/>
    <w:rsid w:val="00F82444"/>
    <w:rsid w:val="00F825FF"/>
    <w:rsid w:val="00F843E4"/>
    <w:rsid w:val="00F84F96"/>
    <w:rsid w:val="00F86D18"/>
    <w:rsid w:val="00F90BA9"/>
    <w:rsid w:val="00F91DCD"/>
    <w:rsid w:val="00F9232F"/>
    <w:rsid w:val="00F933E0"/>
    <w:rsid w:val="00FA0C65"/>
    <w:rsid w:val="00FA1435"/>
    <w:rsid w:val="00FA149E"/>
    <w:rsid w:val="00FA2B4B"/>
    <w:rsid w:val="00FA5B13"/>
    <w:rsid w:val="00FB2200"/>
    <w:rsid w:val="00FB22AF"/>
    <w:rsid w:val="00FB2655"/>
    <w:rsid w:val="00FB4EBD"/>
    <w:rsid w:val="00FB7301"/>
    <w:rsid w:val="00FB755F"/>
    <w:rsid w:val="00FC0328"/>
    <w:rsid w:val="00FC0391"/>
    <w:rsid w:val="00FC201B"/>
    <w:rsid w:val="00FC4F49"/>
    <w:rsid w:val="00FC5F5D"/>
    <w:rsid w:val="00FC7FB0"/>
    <w:rsid w:val="00FD132E"/>
    <w:rsid w:val="00FD3A82"/>
    <w:rsid w:val="00FD4112"/>
    <w:rsid w:val="00FD5062"/>
    <w:rsid w:val="00FD5F5E"/>
    <w:rsid w:val="00FD750F"/>
    <w:rsid w:val="00FE439F"/>
    <w:rsid w:val="00FE7EBE"/>
    <w:rsid w:val="00FF17DC"/>
    <w:rsid w:val="00FF5BD9"/>
    <w:rsid w:val="00FF6D8E"/>
    <w:rsid w:val="00FF78D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1AEFF"/>
  <w15:docId w15:val="{3F22A432-F6E6-41AA-9AF2-C17F3DB0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250"/>
    <w:pPr>
      <w:spacing w:after="0" w:line="240" w:lineRule="auto"/>
    </w:pPr>
    <w:rPr>
      <w:rFonts w:ascii="Book Antiqua" w:hAnsi="Book Antiqua" w:cstheme="minorHAnsi"/>
    </w:rPr>
  </w:style>
  <w:style w:type="paragraph" w:styleId="Heading1">
    <w:name w:val="heading 1"/>
    <w:basedOn w:val="Normal"/>
    <w:next w:val="Normal"/>
    <w:link w:val="Heading1Char"/>
    <w:uiPriority w:val="9"/>
    <w:qFormat/>
    <w:rsid w:val="00A560BD"/>
    <w:pPr>
      <w:keepNext/>
      <w:keepLines/>
      <w:spacing w:before="240"/>
      <w:outlineLvl w:val="0"/>
    </w:pPr>
    <w:rPr>
      <w:rFonts w:asciiTheme="majorHAnsi" w:eastAsiaTheme="majorEastAsia" w:hAnsiTheme="majorHAnsi" w:cstheme="majorHAnsi"/>
      <w:color w:val="2F5496" w:themeColor="accent1" w:themeShade="BF"/>
      <w:sz w:val="32"/>
      <w:szCs w:val="32"/>
    </w:rPr>
  </w:style>
  <w:style w:type="paragraph" w:styleId="Heading2">
    <w:name w:val="heading 2"/>
    <w:basedOn w:val="Normal"/>
    <w:next w:val="Normal"/>
    <w:link w:val="Heading2Char"/>
    <w:uiPriority w:val="9"/>
    <w:unhideWhenUsed/>
    <w:qFormat/>
    <w:rsid w:val="00C71E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51A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0BD"/>
    <w:rPr>
      <w:rFonts w:asciiTheme="majorHAnsi" w:eastAsiaTheme="majorEastAsia" w:hAnsiTheme="majorHAnsi" w:cstheme="majorHAnsi"/>
      <w:color w:val="2F5496" w:themeColor="accent1" w:themeShade="BF"/>
      <w:sz w:val="32"/>
      <w:szCs w:val="32"/>
    </w:rPr>
  </w:style>
  <w:style w:type="paragraph" w:styleId="Quote">
    <w:name w:val="Quote"/>
    <w:basedOn w:val="Normal"/>
    <w:next w:val="Normal"/>
    <w:link w:val="QuoteChar"/>
    <w:uiPriority w:val="29"/>
    <w:qFormat/>
    <w:rsid w:val="00C71E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1EEF"/>
    <w:rPr>
      <w:rFonts w:cstheme="minorHAnsi"/>
      <w:i/>
      <w:iCs/>
      <w:color w:val="404040" w:themeColor="text1" w:themeTint="BF"/>
    </w:rPr>
  </w:style>
  <w:style w:type="character" w:styleId="IntenseEmphasis">
    <w:name w:val="Intense Emphasis"/>
    <w:basedOn w:val="DefaultParagraphFont"/>
    <w:uiPriority w:val="21"/>
    <w:qFormat/>
    <w:rsid w:val="00C71EEF"/>
    <w:rPr>
      <w:i/>
      <w:iCs/>
      <w:color w:val="4472C4" w:themeColor="accent1"/>
    </w:rPr>
  </w:style>
  <w:style w:type="character" w:styleId="Emphasis">
    <w:name w:val="Emphasis"/>
    <w:uiPriority w:val="20"/>
    <w:qFormat/>
    <w:rsid w:val="0022305F"/>
    <w:rPr>
      <w:b/>
      <w:bCs/>
    </w:rPr>
  </w:style>
  <w:style w:type="character" w:styleId="SubtleEmphasis">
    <w:name w:val="Subtle Emphasis"/>
    <w:basedOn w:val="DefaultParagraphFont"/>
    <w:uiPriority w:val="19"/>
    <w:qFormat/>
    <w:rsid w:val="00C71EEF"/>
    <w:rPr>
      <w:i/>
      <w:iCs/>
      <w:color w:val="404040" w:themeColor="text1" w:themeTint="BF"/>
    </w:rPr>
  </w:style>
  <w:style w:type="character" w:customStyle="1" w:styleId="Heading2Char">
    <w:name w:val="Heading 2 Char"/>
    <w:basedOn w:val="DefaultParagraphFont"/>
    <w:link w:val="Heading2"/>
    <w:uiPriority w:val="9"/>
    <w:rsid w:val="00C71EEF"/>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BD7250"/>
    <w:rPr>
      <w:b/>
      <w:bCs/>
    </w:rPr>
  </w:style>
  <w:style w:type="character" w:customStyle="1" w:styleId="SubtitleChar">
    <w:name w:val="Subtitle Char"/>
    <w:basedOn w:val="DefaultParagraphFont"/>
    <w:link w:val="Subtitle"/>
    <w:uiPriority w:val="11"/>
    <w:rsid w:val="00BD7250"/>
    <w:rPr>
      <w:rFonts w:ascii="Book Antiqua" w:hAnsi="Book Antiqua" w:cstheme="minorHAnsi"/>
      <w:b/>
      <w:bCs/>
    </w:rPr>
  </w:style>
  <w:style w:type="character" w:styleId="CommentReference">
    <w:name w:val="annotation reference"/>
    <w:basedOn w:val="DefaultParagraphFont"/>
    <w:semiHidden/>
    <w:unhideWhenUsed/>
    <w:rsid w:val="005B2CC3"/>
    <w:rPr>
      <w:sz w:val="16"/>
      <w:szCs w:val="16"/>
    </w:rPr>
  </w:style>
  <w:style w:type="paragraph" w:styleId="CommentText">
    <w:name w:val="annotation text"/>
    <w:basedOn w:val="Normal"/>
    <w:link w:val="CommentTextChar"/>
    <w:unhideWhenUsed/>
    <w:qFormat/>
    <w:rsid w:val="005B2CC3"/>
    <w:rPr>
      <w:sz w:val="20"/>
      <w:szCs w:val="20"/>
    </w:rPr>
  </w:style>
  <w:style w:type="character" w:customStyle="1" w:styleId="CommentTextChar">
    <w:name w:val="Comment Text Char"/>
    <w:basedOn w:val="DefaultParagraphFont"/>
    <w:link w:val="CommentText"/>
    <w:rsid w:val="005B2CC3"/>
    <w:rPr>
      <w:rFonts w:cstheme="minorHAnsi"/>
      <w:sz w:val="20"/>
      <w:szCs w:val="20"/>
    </w:rPr>
  </w:style>
  <w:style w:type="paragraph" w:styleId="CommentSubject">
    <w:name w:val="annotation subject"/>
    <w:basedOn w:val="CommentText"/>
    <w:next w:val="CommentText"/>
    <w:link w:val="CommentSubjectChar"/>
    <w:uiPriority w:val="99"/>
    <w:semiHidden/>
    <w:unhideWhenUsed/>
    <w:rsid w:val="005B2CC3"/>
    <w:rPr>
      <w:b/>
      <w:bCs/>
    </w:rPr>
  </w:style>
  <w:style w:type="character" w:customStyle="1" w:styleId="CommentSubjectChar">
    <w:name w:val="Comment Subject Char"/>
    <w:basedOn w:val="CommentTextChar"/>
    <w:link w:val="CommentSubject"/>
    <w:uiPriority w:val="99"/>
    <w:semiHidden/>
    <w:rsid w:val="005B2CC3"/>
    <w:rPr>
      <w:rFonts w:cstheme="minorHAnsi"/>
      <w:b/>
      <w:bCs/>
      <w:sz w:val="20"/>
      <w:szCs w:val="20"/>
    </w:rPr>
  </w:style>
  <w:style w:type="paragraph" w:styleId="BalloonText">
    <w:name w:val="Balloon Text"/>
    <w:basedOn w:val="Normal"/>
    <w:link w:val="BalloonTextChar"/>
    <w:uiPriority w:val="99"/>
    <w:semiHidden/>
    <w:unhideWhenUsed/>
    <w:rsid w:val="005B2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C3"/>
    <w:rPr>
      <w:rFonts w:ascii="Segoe UI" w:hAnsi="Segoe UI" w:cs="Segoe UI"/>
      <w:sz w:val="18"/>
      <w:szCs w:val="18"/>
    </w:rPr>
  </w:style>
  <w:style w:type="paragraph" w:styleId="Revision">
    <w:name w:val="Revision"/>
    <w:hidden/>
    <w:uiPriority w:val="99"/>
    <w:semiHidden/>
    <w:rsid w:val="007D4289"/>
    <w:pPr>
      <w:spacing w:after="0" w:line="240" w:lineRule="auto"/>
    </w:pPr>
    <w:rPr>
      <w:rFonts w:cstheme="minorHAnsi"/>
    </w:rPr>
  </w:style>
  <w:style w:type="character" w:styleId="Hyperlink">
    <w:name w:val="Hyperlink"/>
    <w:basedOn w:val="DefaultParagraphFont"/>
    <w:uiPriority w:val="99"/>
    <w:unhideWhenUsed/>
    <w:rsid w:val="00E847B0"/>
    <w:rPr>
      <w:color w:val="0563C1" w:themeColor="hyperlink"/>
      <w:u w:val="single"/>
    </w:rPr>
  </w:style>
  <w:style w:type="character" w:customStyle="1" w:styleId="UnresolvedMention1">
    <w:name w:val="Unresolved Mention1"/>
    <w:basedOn w:val="DefaultParagraphFont"/>
    <w:uiPriority w:val="99"/>
    <w:semiHidden/>
    <w:unhideWhenUsed/>
    <w:rsid w:val="00E847B0"/>
    <w:rPr>
      <w:color w:val="808080"/>
      <w:shd w:val="clear" w:color="auto" w:fill="E6E6E6"/>
    </w:rPr>
  </w:style>
  <w:style w:type="paragraph" w:styleId="ListParagraph">
    <w:name w:val="List Paragraph"/>
    <w:basedOn w:val="Normal"/>
    <w:uiPriority w:val="34"/>
    <w:qFormat/>
    <w:rsid w:val="004871DD"/>
    <w:pPr>
      <w:ind w:left="720"/>
      <w:contextualSpacing/>
    </w:pPr>
  </w:style>
  <w:style w:type="character" w:customStyle="1" w:styleId="UnresolvedMention2">
    <w:name w:val="Unresolved Mention2"/>
    <w:basedOn w:val="DefaultParagraphFont"/>
    <w:uiPriority w:val="99"/>
    <w:semiHidden/>
    <w:unhideWhenUsed/>
    <w:rsid w:val="006D126C"/>
    <w:rPr>
      <w:color w:val="808080"/>
      <w:shd w:val="clear" w:color="auto" w:fill="E6E6E6"/>
    </w:rPr>
  </w:style>
  <w:style w:type="character" w:customStyle="1" w:styleId="Heading4Char">
    <w:name w:val="Heading 4 Char"/>
    <w:basedOn w:val="DefaultParagraphFont"/>
    <w:link w:val="Heading4"/>
    <w:uiPriority w:val="9"/>
    <w:semiHidden/>
    <w:rsid w:val="00751AFC"/>
    <w:rPr>
      <w:rFonts w:asciiTheme="majorHAnsi" w:eastAsiaTheme="majorEastAsia" w:hAnsiTheme="majorHAnsi" w:cstheme="majorBidi"/>
      <w:i/>
      <w:iCs/>
      <w:color w:val="2F5496" w:themeColor="accent1" w:themeShade="BF"/>
    </w:rPr>
  </w:style>
  <w:style w:type="character" w:customStyle="1" w:styleId="UnresolvedMention3">
    <w:name w:val="Unresolved Mention3"/>
    <w:basedOn w:val="DefaultParagraphFont"/>
    <w:uiPriority w:val="99"/>
    <w:semiHidden/>
    <w:unhideWhenUsed/>
    <w:rsid w:val="00A176A1"/>
    <w:rPr>
      <w:color w:val="808080"/>
      <w:shd w:val="clear" w:color="auto" w:fill="E6E6E6"/>
    </w:rPr>
  </w:style>
  <w:style w:type="character" w:customStyle="1" w:styleId="UnresolvedMention4">
    <w:name w:val="Unresolved Mention4"/>
    <w:basedOn w:val="DefaultParagraphFont"/>
    <w:uiPriority w:val="99"/>
    <w:semiHidden/>
    <w:unhideWhenUsed/>
    <w:rsid w:val="00B20F08"/>
    <w:rPr>
      <w:color w:val="808080"/>
      <w:shd w:val="clear" w:color="auto" w:fill="E6E6E6"/>
    </w:rPr>
  </w:style>
  <w:style w:type="paragraph" w:styleId="Header">
    <w:name w:val="header"/>
    <w:basedOn w:val="Normal"/>
    <w:link w:val="HeaderChar"/>
    <w:uiPriority w:val="99"/>
    <w:unhideWhenUsed/>
    <w:rsid w:val="008973AE"/>
    <w:pPr>
      <w:tabs>
        <w:tab w:val="center" w:pos="4680"/>
        <w:tab w:val="right" w:pos="9360"/>
      </w:tabs>
    </w:pPr>
  </w:style>
  <w:style w:type="character" w:customStyle="1" w:styleId="HeaderChar">
    <w:name w:val="Header Char"/>
    <w:basedOn w:val="DefaultParagraphFont"/>
    <w:link w:val="Header"/>
    <w:uiPriority w:val="99"/>
    <w:rsid w:val="008973AE"/>
    <w:rPr>
      <w:rFonts w:cstheme="minorHAnsi"/>
    </w:rPr>
  </w:style>
  <w:style w:type="paragraph" w:styleId="Footer">
    <w:name w:val="footer"/>
    <w:basedOn w:val="Normal"/>
    <w:link w:val="FooterChar"/>
    <w:uiPriority w:val="99"/>
    <w:unhideWhenUsed/>
    <w:rsid w:val="008973AE"/>
    <w:pPr>
      <w:tabs>
        <w:tab w:val="center" w:pos="4680"/>
        <w:tab w:val="right" w:pos="9360"/>
      </w:tabs>
    </w:pPr>
  </w:style>
  <w:style w:type="character" w:customStyle="1" w:styleId="FooterChar">
    <w:name w:val="Footer Char"/>
    <w:basedOn w:val="DefaultParagraphFont"/>
    <w:link w:val="Footer"/>
    <w:uiPriority w:val="99"/>
    <w:rsid w:val="008973AE"/>
    <w:rPr>
      <w:rFonts w:cstheme="minorHAnsi"/>
    </w:rPr>
  </w:style>
  <w:style w:type="character" w:customStyle="1" w:styleId="UnresolvedMention5">
    <w:name w:val="Unresolved Mention5"/>
    <w:basedOn w:val="DefaultParagraphFont"/>
    <w:uiPriority w:val="99"/>
    <w:semiHidden/>
    <w:unhideWhenUsed/>
    <w:rsid w:val="008973AE"/>
    <w:rPr>
      <w:color w:val="808080"/>
      <w:shd w:val="clear" w:color="auto" w:fill="E6E6E6"/>
    </w:rPr>
  </w:style>
  <w:style w:type="paragraph" w:styleId="NoSpacing">
    <w:name w:val="No Spacing"/>
    <w:uiPriority w:val="1"/>
    <w:qFormat/>
    <w:rsid w:val="00BD7250"/>
    <w:pPr>
      <w:spacing w:after="0" w:line="240" w:lineRule="auto"/>
    </w:pPr>
    <w:rPr>
      <w:rFonts w:cstheme="minorHAnsi"/>
    </w:rPr>
  </w:style>
  <w:style w:type="paragraph" w:styleId="Title">
    <w:name w:val="Title"/>
    <w:basedOn w:val="Normal"/>
    <w:next w:val="Normal"/>
    <w:link w:val="TitleChar"/>
    <w:uiPriority w:val="10"/>
    <w:qFormat/>
    <w:rsid w:val="00CC11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129"/>
    <w:rPr>
      <w:rFonts w:asciiTheme="majorHAnsi" w:eastAsiaTheme="majorEastAsia" w:hAnsiTheme="majorHAnsi" w:cstheme="majorBidi"/>
      <w:spacing w:val="-10"/>
      <w:kern w:val="28"/>
      <w:sz w:val="56"/>
      <w:szCs w:val="56"/>
    </w:rPr>
  </w:style>
  <w:style w:type="character" w:styleId="Strong">
    <w:name w:val="Strong"/>
    <w:uiPriority w:val="22"/>
    <w:qFormat/>
    <w:rsid w:val="00007844"/>
    <w:rPr>
      <w:rFonts w:cs="Times New Roman"/>
      <w:b/>
    </w:rPr>
  </w:style>
  <w:style w:type="character" w:customStyle="1" w:styleId="Char">
    <w:name w:val="纯文本 Char"/>
    <w:link w:val="PlainText1"/>
    <w:rsid w:val="00007844"/>
    <w:rPr>
      <w:rFonts w:ascii="SimSun" w:hAnsi="Courier New" w:cs="Courier New"/>
      <w:szCs w:val="21"/>
    </w:rPr>
  </w:style>
  <w:style w:type="paragraph" w:customStyle="1" w:styleId="PlainText1">
    <w:name w:val="Plain Text1"/>
    <w:basedOn w:val="Normal"/>
    <w:link w:val="Char"/>
    <w:rsid w:val="00007844"/>
    <w:pPr>
      <w:widowControl w:val="0"/>
      <w:jc w:val="both"/>
    </w:pPr>
    <w:rPr>
      <w:rFonts w:ascii="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5013">
      <w:bodyDiv w:val="1"/>
      <w:marLeft w:val="0"/>
      <w:marRight w:val="0"/>
      <w:marTop w:val="0"/>
      <w:marBottom w:val="0"/>
      <w:divBdr>
        <w:top w:val="none" w:sz="0" w:space="0" w:color="auto"/>
        <w:left w:val="none" w:sz="0" w:space="0" w:color="auto"/>
        <w:bottom w:val="none" w:sz="0" w:space="0" w:color="auto"/>
        <w:right w:val="none" w:sz="0" w:space="0" w:color="auto"/>
      </w:divBdr>
      <w:divsChild>
        <w:div w:id="2002807636">
          <w:marLeft w:val="0"/>
          <w:marRight w:val="0"/>
          <w:marTop w:val="0"/>
          <w:marBottom w:val="0"/>
          <w:divBdr>
            <w:top w:val="none" w:sz="0" w:space="0" w:color="auto"/>
            <w:left w:val="none" w:sz="0" w:space="0" w:color="auto"/>
            <w:bottom w:val="none" w:sz="0" w:space="0" w:color="auto"/>
            <w:right w:val="none" w:sz="0" w:space="0" w:color="auto"/>
          </w:divBdr>
          <w:divsChild>
            <w:div w:id="1033269382">
              <w:marLeft w:val="0"/>
              <w:marRight w:val="0"/>
              <w:marTop w:val="0"/>
              <w:marBottom w:val="0"/>
              <w:divBdr>
                <w:top w:val="none" w:sz="0" w:space="0" w:color="auto"/>
                <w:left w:val="none" w:sz="0" w:space="0" w:color="auto"/>
                <w:bottom w:val="none" w:sz="0" w:space="0" w:color="auto"/>
                <w:right w:val="none" w:sz="0" w:space="0" w:color="auto"/>
              </w:divBdr>
              <w:divsChild>
                <w:div w:id="1038821540">
                  <w:marLeft w:val="0"/>
                  <w:marRight w:val="0"/>
                  <w:marTop w:val="0"/>
                  <w:marBottom w:val="0"/>
                  <w:divBdr>
                    <w:top w:val="none" w:sz="0" w:space="0" w:color="auto"/>
                    <w:left w:val="none" w:sz="0" w:space="0" w:color="auto"/>
                    <w:bottom w:val="none" w:sz="0" w:space="0" w:color="auto"/>
                    <w:right w:val="none" w:sz="0" w:space="0" w:color="auto"/>
                  </w:divBdr>
                  <w:divsChild>
                    <w:div w:id="1875194268">
                      <w:marLeft w:val="0"/>
                      <w:marRight w:val="0"/>
                      <w:marTop w:val="0"/>
                      <w:marBottom w:val="0"/>
                      <w:divBdr>
                        <w:top w:val="none" w:sz="0" w:space="0" w:color="auto"/>
                        <w:left w:val="none" w:sz="0" w:space="0" w:color="auto"/>
                        <w:bottom w:val="none" w:sz="0" w:space="0" w:color="auto"/>
                        <w:right w:val="none" w:sz="0" w:space="0" w:color="auto"/>
                      </w:divBdr>
                      <w:divsChild>
                        <w:div w:id="196698842">
                          <w:marLeft w:val="0"/>
                          <w:marRight w:val="0"/>
                          <w:marTop w:val="0"/>
                          <w:marBottom w:val="0"/>
                          <w:divBdr>
                            <w:top w:val="none" w:sz="0" w:space="0" w:color="auto"/>
                            <w:left w:val="none" w:sz="0" w:space="0" w:color="auto"/>
                            <w:bottom w:val="none" w:sz="0" w:space="0" w:color="auto"/>
                            <w:right w:val="none" w:sz="0" w:space="0" w:color="auto"/>
                          </w:divBdr>
                          <w:divsChild>
                            <w:div w:id="1418212543">
                              <w:marLeft w:val="0"/>
                              <w:marRight w:val="0"/>
                              <w:marTop w:val="0"/>
                              <w:marBottom w:val="0"/>
                              <w:divBdr>
                                <w:top w:val="none" w:sz="0" w:space="0" w:color="auto"/>
                                <w:left w:val="none" w:sz="0" w:space="0" w:color="auto"/>
                                <w:bottom w:val="none" w:sz="0" w:space="0" w:color="auto"/>
                                <w:right w:val="none" w:sz="0" w:space="0" w:color="auto"/>
                              </w:divBdr>
                              <w:divsChild>
                                <w:div w:id="207422643">
                                  <w:marLeft w:val="0"/>
                                  <w:marRight w:val="0"/>
                                  <w:marTop w:val="0"/>
                                  <w:marBottom w:val="0"/>
                                  <w:divBdr>
                                    <w:top w:val="none" w:sz="0" w:space="0" w:color="auto"/>
                                    <w:left w:val="none" w:sz="0" w:space="0" w:color="auto"/>
                                    <w:bottom w:val="none" w:sz="0" w:space="0" w:color="auto"/>
                                    <w:right w:val="none" w:sz="0" w:space="0" w:color="auto"/>
                                  </w:divBdr>
                                  <w:divsChild>
                                    <w:div w:id="1640107640">
                                      <w:marLeft w:val="0"/>
                                      <w:marRight w:val="0"/>
                                      <w:marTop w:val="0"/>
                                      <w:marBottom w:val="0"/>
                                      <w:divBdr>
                                        <w:top w:val="none" w:sz="0" w:space="0" w:color="auto"/>
                                        <w:left w:val="none" w:sz="0" w:space="0" w:color="auto"/>
                                        <w:bottom w:val="none" w:sz="0" w:space="0" w:color="auto"/>
                                        <w:right w:val="none" w:sz="0" w:space="0" w:color="auto"/>
                                      </w:divBdr>
                                    </w:div>
                                    <w:div w:id="1806311990">
                                      <w:marLeft w:val="0"/>
                                      <w:marRight w:val="0"/>
                                      <w:marTop w:val="0"/>
                                      <w:marBottom w:val="0"/>
                                      <w:divBdr>
                                        <w:top w:val="none" w:sz="0" w:space="0" w:color="auto"/>
                                        <w:left w:val="none" w:sz="0" w:space="0" w:color="auto"/>
                                        <w:bottom w:val="none" w:sz="0" w:space="0" w:color="auto"/>
                                        <w:right w:val="none" w:sz="0" w:space="0" w:color="auto"/>
                                      </w:divBdr>
                                      <w:divsChild>
                                        <w:div w:id="180242804">
                                          <w:marLeft w:val="0"/>
                                          <w:marRight w:val="0"/>
                                          <w:marTop w:val="0"/>
                                          <w:marBottom w:val="0"/>
                                          <w:divBdr>
                                            <w:top w:val="none" w:sz="0" w:space="0" w:color="auto"/>
                                            <w:left w:val="none" w:sz="0" w:space="0" w:color="auto"/>
                                            <w:bottom w:val="none" w:sz="0" w:space="0" w:color="auto"/>
                                            <w:right w:val="none" w:sz="0" w:space="0" w:color="auto"/>
                                          </w:divBdr>
                                        </w:div>
                                        <w:div w:id="657808340">
                                          <w:marLeft w:val="0"/>
                                          <w:marRight w:val="0"/>
                                          <w:marTop w:val="0"/>
                                          <w:marBottom w:val="0"/>
                                          <w:divBdr>
                                            <w:top w:val="none" w:sz="0" w:space="0" w:color="auto"/>
                                            <w:left w:val="none" w:sz="0" w:space="0" w:color="auto"/>
                                            <w:bottom w:val="none" w:sz="0" w:space="0" w:color="auto"/>
                                            <w:right w:val="none" w:sz="0" w:space="0" w:color="auto"/>
                                          </w:divBdr>
                                          <w:divsChild>
                                            <w:div w:id="3773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9483">
                                  <w:marLeft w:val="0"/>
                                  <w:marRight w:val="0"/>
                                  <w:marTop w:val="0"/>
                                  <w:marBottom w:val="0"/>
                                  <w:divBdr>
                                    <w:top w:val="none" w:sz="0" w:space="0" w:color="auto"/>
                                    <w:left w:val="none" w:sz="0" w:space="0" w:color="auto"/>
                                    <w:bottom w:val="none" w:sz="0" w:space="0" w:color="auto"/>
                                    <w:right w:val="none" w:sz="0" w:space="0" w:color="auto"/>
                                  </w:divBdr>
                                  <w:divsChild>
                                    <w:div w:id="2091847390">
                                      <w:marLeft w:val="0"/>
                                      <w:marRight w:val="0"/>
                                      <w:marTop w:val="0"/>
                                      <w:marBottom w:val="0"/>
                                      <w:divBdr>
                                        <w:top w:val="none" w:sz="0" w:space="0" w:color="auto"/>
                                        <w:left w:val="none" w:sz="0" w:space="0" w:color="auto"/>
                                        <w:bottom w:val="none" w:sz="0" w:space="0" w:color="auto"/>
                                        <w:right w:val="none" w:sz="0" w:space="0" w:color="auto"/>
                                      </w:divBdr>
                                      <w:divsChild>
                                        <w:div w:id="16486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46317">
      <w:bodyDiv w:val="1"/>
      <w:marLeft w:val="0"/>
      <w:marRight w:val="0"/>
      <w:marTop w:val="0"/>
      <w:marBottom w:val="0"/>
      <w:divBdr>
        <w:top w:val="none" w:sz="0" w:space="0" w:color="auto"/>
        <w:left w:val="none" w:sz="0" w:space="0" w:color="auto"/>
        <w:bottom w:val="none" w:sz="0" w:space="0" w:color="auto"/>
        <w:right w:val="none" w:sz="0" w:space="0" w:color="auto"/>
      </w:divBdr>
      <w:divsChild>
        <w:div w:id="1215266769">
          <w:marLeft w:val="0"/>
          <w:marRight w:val="0"/>
          <w:marTop w:val="0"/>
          <w:marBottom w:val="0"/>
          <w:divBdr>
            <w:top w:val="none" w:sz="0" w:space="0" w:color="auto"/>
            <w:left w:val="none" w:sz="0" w:space="0" w:color="auto"/>
            <w:bottom w:val="none" w:sz="0" w:space="0" w:color="auto"/>
            <w:right w:val="none" w:sz="0" w:space="0" w:color="auto"/>
          </w:divBdr>
          <w:divsChild>
            <w:div w:id="833112284">
              <w:marLeft w:val="0"/>
              <w:marRight w:val="0"/>
              <w:marTop w:val="0"/>
              <w:marBottom w:val="0"/>
              <w:divBdr>
                <w:top w:val="none" w:sz="0" w:space="0" w:color="auto"/>
                <w:left w:val="none" w:sz="0" w:space="0" w:color="auto"/>
                <w:bottom w:val="none" w:sz="0" w:space="0" w:color="auto"/>
                <w:right w:val="none" w:sz="0" w:space="0" w:color="auto"/>
              </w:divBdr>
              <w:divsChild>
                <w:div w:id="255990654">
                  <w:marLeft w:val="0"/>
                  <w:marRight w:val="0"/>
                  <w:marTop w:val="0"/>
                  <w:marBottom w:val="0"/>
                  <w:divBdr>
                    <w:top w:val="none" w:sz="0" w:space="0" w:color="auto"/>
                    <w:left w:val="none" w:sz="0" w:space="0" w:color="auto"/>
                    <w:bottom w:val="none" w:sz="0" w:space="0" w:color="auto"/>
                    <w:right w:val="none" w:sz="0" w:space="0" w:color="auto"/>
                  </w:divBdr>
                  <w:divsChild>
                    <w:div w:id="853114359">
                      <w:marLeft w:val="0"/>
                      <w:marRight w:val="0"/>
                      <w:marTop w:val="0"/>
                      <w:marBottom w:val="0"/>
                      <w:divBdr>
                        <w:top w:val="none" w:sz="0" w:space="0" w:color="auto"/>
                        <w:left w:val="none" w:sz="0" w:space="0" w:color="auto"/>
                        <w:bottom w:val="none" w:sz="0" w:space="0" w:color="auto"/>
                        <w:right w:val="none" w:sz="0" w:space="0" w:color="auto"/>
                      </w:divBdr>
                      <w:divsChild>
                        <w:div w:id="1040203682">
                          <w:marLeft w:val="0"/>
                          <w:marRight w:val="0"/>
                          <w:marTop w:val="0"/>
                          <w:marBottom w:val="0"/>
                          <w:divBdr>
                            <w:top w:val="none" w:sz="0" w:space="0" w:color="auto"/>
                            <w:left w:val="none" w:sz="0" w:space="0" w:color="auto"/>
                            <w:bottom w:val="none" w:sz="0" w:space="0" w:color="auto"/>
                            <w:right w:val="none" w:sz="0" w:space="0" w:color="auto"/>
                          </w:divBdr>
                          <w:divsChild>
                            <w:div w:id="911424104">
                              <w:marLeft w:val="0"/>
                              <w:marRight w:val="0"/>
                              <w:marTop w:val="0"/>
                              <w:marBottom w:val="0"/>
                              <w:divBdr>
                                <w:top w:val="none" w:sz="0" w:space="0" w:color="auto"/>
                                <w:left w:val="none" w:sz="0" w:space="0" w:color="auto"/>
                                <w:bottom w:val="none" w:sz="0" w:space="0" w:color="auto"/>
                                <w:right w:val="none" w:sz="0" w:space="0" w:color="auto"/>
                              </w:divBdr>
                              <w:divsChild>
                                <w:div w:id="640230067">
                                  <w:marLeft w:val="0"/>
                                  <w:marRight w:val="0"/>
                                  <w:marTop w:val="0"/>
                                  <w:marBottom w:val="0"/>
                                  <w:divBdr>
                                    <w:top w:val="none" w:sz="0" w:space="0" w:color="auto"/>
                                    <w:left w:val="none" w:sz="0" w:space="0" w:color="auto"/>
                                    <w:bottom w:val="none" w:sz="0" w:space="0" w:color="auto"/>
                                    <w:right w:val="none" w:sz="0" w:space="0" w:color="auto"/>
                                  </w:divBdr>
                                </w:div>
                              </w:divsChild>
                            </w:div>
                            <w:div w:id="1173957062">
                              <w:marLeft w:val="0"/>
                              <w:marRight w:val="0"/>
                              <w:marTop w:val="0"/>
                              <w:marBottom w:val="0"/>
                              <w:divBdr>
                                <w:top w:val="none" w:sz="0" w:space="0" w:color="auto"/>
                                <w:left w:val="none" w:sz="0" w:space="0" w:color="auto"/>
                                <w:bottom w:val="none" w:sz="0" w:space="0" w:color="auto"/>
                                <w:right w:val="none" w:sz="0" w:space="0" w:color="auto"/>
                              </w:divBdr>
                              <w:divsChild>
                                <w:div w:id="748649025">
                                  <w:marLeft w:val="0"/>
                                  <w:marRight w:val="0"/>
                                  <w:marTop w:val="0"/>
                                  <w:marBottom w:val="0"/>
                                  <w:divBdr>
                                    <w:top w:val="none" w:sz="0" w:space="0" w:color="auto"/>
                                    <w:left w:val="none" w:sz="0" w:space="0" w:color="auto"/>
                                    <w:bottom w:val="none" w:sz="0" w:space="0" w:color="auto"/>
                                    <w:right w:val="none" w:sz="0" w:space="0" w:color="auto"/>
                                  </w:divBdr>
                                  <w:divsChild>
                                    <w:div w:id="7341512">
                                      <w:marLeft w:val="0"/>
                                      <w:marRight w:val="0"/>
                                      <w:marTop w:val="0"/>
                                      <w:marBottom w:val="0"/>
                                      <w:divBdr>
                                        <w:top w:val="none" w:sz="0" w:space="0" w:color="auto"/>
                                        <w:left w:val="none" w:sz="0" w:space="0" w:color="auto"/>
                                        <w:bottom w:val="none" w:sz="0" w:space="0" w:color="auto"/>
                                        <w:right w:val="none" w:sz="0" w:space="0" w:color="auto"/>
                                      </w:divBdr>
                                    </w:div>
                                    <w:div w:id="864901556">
                                      <w:marLeft w:val="0"/>
                                      <w:marRight w:val="0"/>
                                      <w:marTop w:val="0"/>
                                      <w:marBottom w:val="0"/>
                                      <w:divBdr>
                                        <w:top w:val="none" w:sz="0" w:space="0" w:color="auto"/>
                                        <w:left w:val="none" w:sz="0" w:space="0" w:color="auto"/>
                                        <w:bottom w:val="none" w:sz="0" w:space="0" w:color="auto"/>
                                        <w:right w:val="none" w:sz="0" w:space="0" w:color="auto"/>
                                      </w:divBdr>
                                      <w:divsChild>
                                        <w:div w:id="1939484967">
                                          <w:marLeft w:val="0"/>
                                          <w:marRight w:val="0"/>
                                          <w:marTop w:val="0"/>
                                          <w:marBottom w:val="0"/>
                                          <w:divBdr>
                                            <w:top w:val="none" w:sz="0" w:space="0" w:color="auto"/>
                                            <w:left w:val="none" w:sz="0" w:space="0" w:color="auto"/>
                                            <w:bottom w:val="none" w:sz="0" w:space="0" w:color="auto"/>
                                            <w:right w:val="none" w:sz="0" w:space="0" w:color="auto"/>
                                          </w:divBdr>
                                        </w:div>
                                      </w:divsChild>
                                    </w:div>
                                    <w:div w:id="1234239991">
                                      <w:marLeft w:val="0"/>
                                      <w:marRight w:val="0"/>
                                      <w:marTop w:val="0"/>
                                      <w:marBottom w:val="0"/>
                                      <w:divBdr>
                                        <w:top w:val="none" w:sz="0" w:space="0" w:color="auto"/>
                                        <w:left w:val="none" w:sz="0" w:space="0" w:color="auto"/>
                                        <w:bottom w:val="none" w:sz="0" w:space="0" w:color="auto"/>
                                        <w:right w:val="none" w:sz="0" w:space="0" w:color="auto"/>
                                      </w:divBdr>
                                    </w:div>
                                    <w:div w:id="1342467955">
                                      <w:marLeft w:val="0"/>
                                      <w:marRight w:val="0"/>
                                      <w:marTop w:val="0"/>
                                      <w:marBottom w:val="0"/>
                                      <w:divBdr>
                                        <w:top w:val="none" w:sz="0" w:space="0" w:color="auto"/>
                                        <w:left w:val="none" w:sz="0" w:space="0" w:color="auto"/>
                                        <w:bottom w:val="none" w:sz="0" w:space="0" w:color="auto"/>
                                        <w:right w:val="none" w:sz="0" w:space="0" w:color="auto"/>
                                      </w:divBdr>
                                    </w:div>
                                    <w:div w:id="1379010673">
                                      <w:marLeft w:val="0"/>
                                      <w:marRight w:val="0"/>
                                      <w:marTop w:val="0"/>
                                      <w:marBottom w:val="0"/>
                                      <w:divBdr>
                                        <w:top w:val="none" w:sz="0" w:space="0" w:color="auto"/>
                                        <w:left w:val="none" w:sz="0" w:space="0" w:color="auto"/>
                                        <w:bottom w:val="none" w:sz="0" w:space="0" w:color="auto"/>
                                        <w:right w:val="none" w:sz="0" w:space="0" w:color="auto"/>
                                      </w:divBdr>
                                    </w:div>
                                    <w:div w:id="1397362229">
                                      <w:marLeft w:val="0"/>
                                      <w:marRight w:val="0"/>
                                      <w:marTop w:val="0"/>
                                      <w:marBottom w:val="0"/>
                                      <w:divBdr>
                                        <w:top w:val="none" w:sz="0" w:space="0" w:color="auto"/>
                                        <w:left w:val="none" w:sz="0" w:space="0" w:color="auto"/>
                                        <w:bottom w:val="none" w:sz="0" w:space="0" w:color="auto"/>
                                        <w:right w:val="none" w:sz="0" w:space="0" w:color="auto"/>
                                      </w:divBdr>
                                    </w:div>
                                    <w:div w:id="1773165540">
                                      <w:marLeft w:val="0"/>
                                      <w:marRight w:val="0"/>
                                      <w:marTop w:val="0"/>
                                      <w:marBottom w:val="0"/>
                                      <w:divBdr>
                                        <w:top w:val="none" w:sz="0" w:space="0" w:color="auto"/>
                                        <w:left w:val="none" w:sz="0" w:space="0" w:color="auto"/>
                                        <w:bottom w:val="none" w:sz="0" w:space="0" w:color="auto"/>
                                        <w:right w:val="none" w:sz="0" w:space="0" w:color="auto"/>
                                      </w:divBdr>
                                    </w:div>
                                  </w:divsChild>
                                </w:div>
                                <w:div w:id="1090156597">
                                  <w:marLeft w:val="0"/>
                                  <w:marRight w:val="0"/>
                                  <w:marTop w:val="0"/>
                                  <w:marBottom w:val="0"/>
                                  <w:divBdr>
                                    <w:top w:val="none" w:sz="0" w:space="0" w:color="auto"/>
                                    <w:left w:val="none" w:sz="0" w:space="0" w:color="auto"/>
                                    <w:bottom w:val="none" w:sz="0" w:space="0" w:color="auto"/>
                                    <w:right w:val="none" w:sz="0" w:space="0" w:color="auto"/>
                                  </w:divBdr>
                                </w:div>
                                <w:div w:id="1733232877">
                                  <w:marLeft w:val="0"/>
                                  <w:marRight w:val="0"/>
                                  <w:marTop w:val="0"/>
                                  <w:marBottom w:val="0"/>
                                  <w:divBdr>
                                    <w:top w:val="none" w:sz="0" w:space="0" w:color="auto"/>
                                    <w:left w:val="none" w:sz="0" w:space="0" w:color="auto"/>
                                    <w:bottom w:val="none" w:sz="0" w:space="0" w:color="auto"/>
                                    <w:right w:val="none" w:sz="0" w:space="0" w:color="auto"/>
                                  </w:divBdr>
                                </w:div>
                              </w:divsChild>
                            </w:div>
                            <w:div w:id="1513185672">
                              <w:marLeft w:val="0"/>
                              <w:marRight w:val="0"/>
                              <w:marTop w:val="0"/>
                              <w:marBottom w:val="0"/>
                              <w:divBdr>
                                <w:top w:val="none" w:sz="0" w:space="0" w:color="auto"/>
                                <w:left w:val="none" w:sz="0" w:space="0" w:color="auto"/>
                                <w:bottom w:val="none" w:sz="0" w:space="0" w:color="auto"/>
                                <w:right w:val="none" w:sz="0" w:space="0" w:color="auto"/>
                              </w:divBdr>
                              <w:divsChild>
                                <w:div w:id="1573614322">
                                  <w:marLeft w:val="0"/>
                                  <w:marRight w:val="0"/>
                                  <w:marTop w:val="0"/>
                                  <w:marBottom w:val="0"/>
                                  <w:divBdr>
                                    <w:top w:val="none" w:sz="0" w:space="0" w:color="auto"/>
                                    <w:left w:val="none" w:sz="0" w:space="0" w:color="auto"/>
                                    <w:bottom w:val="none" w:sz="0" w:space="0" w:color="auto"/>
                                    <w:right w:val="none" w:sz="0" w:space="0" w:color="auto"/>
                                  </w:divBdr>
                                  <w:divsChild>
                                    <w:div w:id="87503097">
                                      <w:marLeft w:val="0"/>
                                      <w:marRight w:val="0"/>
                                      <w:marTop w:val="0"/>
                                      <w:marBottom w:val="0"/>
                                      <w:divBdr>
                                        <w:top w:val="none" w:sz="0" w:space="0" w:color="auto"/>
                                        <w:left w:val="none" w:sz="0" w:space="0" w:color="auto"/>
                                        <w:bottom w:val="none" w:sz="0" w:space="0" w:color="auto"/>
                                        <w:right w:val="none" w:sz="0" w:space="0" w:color="auto"/>
                                      </w:divBdr>
                                    </w:div>
                                    <w:div w:id="13545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94228">
      <w:bodyDiv w:val="1"/>
      <w:marLeft w:val="0"/>
      <w:marRight w:val="0"/>
      <w:marTop w:val="0"/>
      <w:marBottom w:val="0"/>
      <w:divBdr>
        <w:top w:val="none" w:sz="0" w:space="0" w:color="auto"/>
        <w:left w:val="none" w:sz="0" w:space="0" w:color="auto"/>
        <w:bottom w:val="none" w:sz="0" w:space="0" w:color="auto"/>
        <w:right w:val="none" w:sz="0" w:space="0" w:color="auto"/>
      </w:divBdr>
      <w:divsChild>
        <w:div w:id="1532646687">
          <w:marLeft w:val="0"/>
          <w:marRight w:val="0"/>
          <w:marTop w:val="0"/>
          <w:marBottom w:val="0"/>
          <w:divBdr>
            <w:top w:val="none" w:sz="0" w:space="0" w:color="auto"/>
            <w:left w:val="none" w:sz="0" w:space="0" w:color="auto"/>
            <w:bottom w:val="none" w:sz="0" w:space="0" w:color="auto"/>
            <w:right w:val="none" w:sz="0" w:space="0" w:color="auto"/>
          </w:divBdr>
          <w:divsChild>
            <w:div w:id="6171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8621">
      <w:bodyDiv w:val="1"/>
      <w:marLeft w:val="0"/>
      <w:marRight w:val="0"/>
      <w:marTop w:val="0"/>
      <w:marBottom w:val="0"/>
      <w:divBdr>
        <w:top w:val="none" w:sz="0" w:space="0" w:color="auto"/>
        <w:left w:val="none" w:sz="0" w:space="0" w:color="auto"/>
        <w:bottom w:val="none" w:sz="0" w:space="0" w:color="auto"/>
        <w:right w:val="none" w:sz="0" w:space="0" w:color="auto"/>
      </w:divBdr>
      <w:divsChild>
        <w:div w:id="773089879">
          <w:marLeft w:val="0"/>
          <w:marRight w:val="0"/>
          <w:marTop w:val="0"/>
          <w:marBottom w:val="0"/>
          <w:divBdr>
            <w:top w:val="none" w:sz="0" w:space="0" w:color="auto"/>
            <w:left w:val="none" w:sz="0" w:space="0" w:color="auto"/>
            <w:bottom w:val="none" w:sz="0" w:space="0" w:color="auto"/>
            <w:right w:val="none" w:sz="0" w:space="0" w:color="auto"/>
          </w:divBdr>
          <w:divsChild>
            <w:div w:id="20008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482">
      <w:bodyDiv w:val="1"/>
      <w:marLeft w:val="0"/>
      <w:marRight w:val="0"/>
      <w:marTop w:val="0"/>
      <w:marBottom w:val="0"/>
      <w:divBdr>
        <w:top w:val="none" w:sz="0" w:space="0" w:color="auto"/>
        <w:left w:val="none" w:sz="0" w:space="0" w:color="auto"/>
        <w:bottom w:val="none" w:sz="0" w:space="0" w:color="auto"/>
        <w:right w:val="none" w:sz="0" w:space="0" w:color="auto"/>
      </w:divBdr>
      <w:divsChild>
        <w:div w:id="1608081637">
          <w:marLeft w:val="0"/>
          <w:marRight w:val="0"/>
          <w:marTop w:val="0"/>
          <w:marBottom w:val="0"/>
          <w:divBdr>
            <w:top w:val="none" w:sz="0" w:space="0" w:color="auto"/>
            <w:left w:val="none" w:sz="0" w:space="0" w:color="auto"/>
            <w:bottom w:val="none" w:sz="0" w:space="0" w:color="auto"/>
            <w:right w:val="none" w:sz="0" w:space="0" w:color="auto"/>
          </w:divBdr>
          <w:divsChild>
            <w:div w:id="1302423742">
              <w:marLeft w:val="0"/>
              <w:marRight w:val="0"/>
              <w:marTop w:val="0"/>
              <w:marBottom w:val="0"/>
              <w:divBdr>
                <w:top w:val="none" w:sz="0" w:space="0" w:color="auto"/>
                <w:left w:val="none" w:sz="0" w:space="0" w:color="auto"/>
                <w:bottom w:val="none" w:sz="0" w:space="0" w:color="auto"/>
                <w:right w:val="none" w:sz="0" w:space="0" w:color="auto"/>
              </w:divBdr>
              <w:divsChild>
                <w:div w:id="1109659214">
                  <w:marLeft w:val="0"/>
                  <w:marRight w:val="0"/>
                  <w:marTop w:val="0"/>
                  <w:marBottom w:val="0"/>
                  <w:divBdr>
                    <w:top w:val="none" w:sz="0" w:space="0" w:color="auto"/>
                    <w:left w:val="none" w:sz="0" w:space="0" w:color="auto"/>
                    <w:bottom w:val="none" w:sz="0" w:space="0" w:color="auto"/>
                    <w:right w:val="none" w:sz="0" w:space="0" w:color="auto"/>
                  </w:divBdr>
                  <w:divsChild>
                    <w:div w:id="2011055801">
                      <w:marLeft w:val="0"/>
                      <w:marRight w:val="0"/>
                      <w:marTop w:val="0"/>
                      <w:marBottom w:val="0"/>
                      <w:divBdr>
                        <w:top w:val="none" w:sz="0" w:space="0" w:color="auto"/>
                        <w:left w:val="none" w:sz="0" w:space="0" w:color="auto"/>
                        <w:bottom w:val="none" w:sz="0" w:space="0" w:color="auto"/>
                        <w:right w:val="none" w:sz="0" w:space="0" w:color="auto"/>
                      </w:divBdr>
                      <w:divsChild>
                        <w:div w:id="898177342">
                          <w:marLeft w:val="0"/>
                          <w:marRight w:val="0"/>
                          <w:marTop w:val="0"/>
                          <w:marBottom w:val="0"/>
                          <w:divBdr>
                            <w:top w:val="none" w:sz="0" w:space="0" w:color="auto"/>
                            <w:left w:val="none" w:sz="0" w:space="0" w:color="auto"/>
                            <w:bottom w:val="none" w:sz="0" w:space="0" w:color="auto"/>
                            <w:right w:val="none" w:sz="0" w:space="0" w:color="auto"/>
                          </w:divBdr>
                          <w:divsChild>
                            <w:div w:id="359598315">
                              <w:marLeft w:val="0"/>
                              <w:marRight w:val="0"/>
                              <w:marTop w:val="0"/>
                              <w:marBottom w:val="0"/>
                              <w:divBdr>
                                <w:top w:val="none" w:sz="0" w:space="0" w:color="auto"/>
                                <w:left w:val="none" w:sz="0" w:space="0" w:color="auto"/>
                                <w:bottom w:val="none" w:sz="0" w:space="0" w:color="auto"/>
                                <w:right w:val="none" w:sz="0" w:space="0" w:color="auto"/>
                              </w:divBdr>
                              <w:divsChild>
                                <w:div w:id="1410998021">
                                  <w:marLeft w:val="0"/>
                                  <w:marRight w:val="0"/>
                                  <w:marTop w:val="0"/>
                                  <w:marBottom w:val="0"/>
                                  <w:divBdr>
                                    <w:top w:val="none" w:sz="0" w:space="0" w:color="auto"/>
                                    <w:left w:val="none" w:sz="0" w:space="0" w:color="auto"/>
                                    <w:bottom w:val="none" w:sz="0" w:space="0" w:color="auto"/>
                                    <w:right w:val="none" w:sz="0" w:space="0" w:color="auto"/>
                                  </w:divBdr>
                                  <w:divsChild>
                                    <w:div w:id="2083134715">
                                      <w:marLeft w:val="0"/>
                                      <w:marRight w:val="0"/>
                                      <w:marTop w:val="0"/>
                                      <w:marBottom w:val="0"/>
                                      <w:divBdr>
                                        <w:top w:val="none" w:sz="0" w:space="0" w:color="auto"/>
                                        <w:left w:val="none" w:sz="0" w:space="0" w:color="auto"/>
                                        <w:bottom w:val="none" w:sz="0" w:space="0" w:color="auto"/>
                                        <w:right w:val="none" w:sz="0" w:space="0" w:color="auto"/>
                                      </w:divBdr>
                                      <w:divsChild>
                                        <w:div w:id="905455775">
                                          <w:marLeft w:val="0"/>
                                          <w:marRight w:val="0"/>
                                          <w:marTop w:val="0"/>
                                          <w:marBottom w:val="0"/>
                                          <w:divBdr>
                                            <w:top w:val="none" w:sz="0" w:space="0" w:color="auto"/>
                                            <w:left w:val="none" w:sz="0" w:space="0" w:color="auto"/>
                                            <w:bottom w:val="none" w:sz="0" w:space="0" w:color="auto"/>
                                            <w:right w:val="none" w:sz="0" w:space="0" w:color="auto"/>
                                          </w:divBdr>
                                          <w:divsChild>
                                            <w:div w:id="224268200">
                                              <w:marLeft w:val="0"/>
                                              <w:marRight w:val="0"/>
                                              <w:marTop w:val="0"/>
                                              <w:marBottom w:val="0"/>
                                              <w:divBdr>
                                                <w:top w:val="none" w:sz="0" w:space="0" w:color="auto"/>
                                                <w:left w:val="none" w:sz="0" w:space="0" w:color="auto"/>
                                                <w:bottom w:val="none" w:sz="0" w:space="0" w:color="auto"/>
                                                <w:right w:val="none" w:sz="0" w:space="0" w:color="auto"/>
                                              </w:divBdr>
                                              <w:divsChild>
                                                <w:div w:id="1092551994">
                                                  <w:marLeft w:val="0"/>
                                                  <w:marRight w:val="0"/>
                                                  <w:marTop w:val="0"/>
                                                  <w:marBottom w:val="0"/>
                                                  <w:divBdr>
                                                    <w:top w:val="none" w:sz="0" w:space="0" w:color="auto"/>
                                                    <w:left w:val="none" w:sz="0" w:space="0" w:color="auto"/>
                                                    <w:bottom w:val="none" w:sz="0" w:space="0" w:color="auto"/>
                                                    <w:right w:val="none" w:sz="0" w:space="0" w:color="auto"/>
                                                  </w:divBdr>
                                                  <w:divsChild>
                                                    <w:div w:id="72358852">
                                                      <w:marLeft w:val="0"/>
                                                      <w:marRight w:val="0"/>
                                                      <w:marTop w:val="0"/>
                                                      <w:marBottom w:val="0"/>
                                                      <w:divBdr>
                                                        <w:top w:val="none" w:sz="0" w:space="0" w:color="auto"/>
                                                        <w:left w:val="none" w:sz="0" w:space="0" w:color="auto"/>
                                                        <w:bottom w:val="none" w:sz="0" w:space="0" w:color="auto"/>
                                                        <w:right w:val="none" w:sz="0" w:space="0" w:color="auto"/>
                                                      </w:divBdr>
                                                      <w:divsChild>
                                                        <w:div w:id="2009599314">
                                                          <w:marLeft w:val="0"/>
                                                          <w:marRight w:val="0"/>
                                                          <w:marTop w:val="0"/>
                                                          <w:marBottom w:val="0"/>
                                                          <w:divBdr>
                                                            <w:top w:val="none" w:sz="0" w:space="0" w:color="auto"/>
                                                            <w:left w:val="none" w:sz="0" w:space="0" w:color="auto"/>
                                                            <w:bottom w:val="none" w:sz="0" w:space="0" w:color="auto"/>
                                                            <w:right w:val="none" w:sz="0" w:space="0" w:color="auto"/>
                                                          </w:divBdr>
                                                          <w:divsChild>
                                                            <w:div w:id="1836527155">
                                                              <w:marLeft w:val="0"/>
                                                              <w:marRight w:val="0"/>
                                                              <w:marTop w:val="0"/>
                                                              <w:marBottom w:val="0"/>
                                                              <w:divBdr>
                                                                <w:top w:val="none" w:sz="0" w:space="0" w:color="auto"/>
                                                                <w:left w:val="none" w:sz="0" w:space="0" w:color="auto"/>
                                                                <w:bottom w:val="none" w:sz="0" w:space="0" w:color="auto"/>
                                                                <w:right w:val="none" w:sz="0" w:space="0" w:color="auto"/>
                                                              </w:divBdr>
                                                              <w:divsChild>
                                                                <w:div w:id="1448622687">
                                                                  <w:marLeft w:val="0"/>
                                                                  <w:marRight w:val="0"/>
                                                                  <w:marTop w:val="0"/>
                                                                  <w:marBottom w:val="0"/>
                                                                  <w:divBdr>
                                                                    <w:top w:val="none" w:sz="0" w:space="0" w:color="auto"/>
                                                                    <w:left w:val="none" w:sz="0" w:space="0" w:color="auto"/>
                                                                    <w:bottom w:val="none" w:sz="0" w:space="0" w:color="auto"/>
                                                                    <w:right w:val="none" w:sz="0" w:space="0" w:color="auto"/>
                                                                  </w:divBdr>
                                                                  <w:divsChild>
                                                                    <w:div w:id="1595017062">
                                                                      <w:marLeft w:val="0"/>
                                                                      <w:marRight w:val="0"/>
                                                                      <w:marTop w:val="0"/>
                                                                      <w:marBottom w:val="0"/>
                                                                      <w:divBdr>
                                                                        <w:top w:val="none" w:sz="0" w:space="0" w:color="auto"/>
                                                                        <w:left w:val="none" w:sz="0" w:space="0" w:color="auto"/>
                                                                        <w:bottom w:val="none" w:sz="0" w:space="0" w:color="auto"/>
                                                                        <w:right w:val="none" w:sz="0" w:space="0" w:color="auto"/>
                                                                      </w:divBdr>
                                                                      <w:divsChild>
                                                                        <w:div w:id="805855538">
                                                                          <w:marLeft w:val="0"/>
                                                                          <w:marRight w:val="0"/>
                                                                          <w:marTop w:val="0"/>
                                                                          <w:marBottom w:val="0"/>
                                                                          <w:divBdr>
                                                                            <w:top w:val="none" w:sz="0" w:space="0" w:color="auto"/>
                                                                            <w:left w:val="none" w:sz="0" w:space="0" w:color="auto"/>
                                                                            <w:bottom w:val="none" w:sz="0" w:space="0" w:color="auto"/>
                                                                            <w:right w:val="none" w:sz="0" w:space="0" w:color="auto"/>
                                                                          </w:divBdr>
                                                                          <w:divsChild>
                                                                            <w:div w:id="2013489040">
                                                                              <w:marLeft w:val="0"/>
                                                                              <w:marRight w:val="0"/>
                                                                              <w:marTop w:val="0"/>
                                                                              <w:marBottom w:val="0"/>
                                                                              <w:divBdr>
                                                                                <w:top w:val="none" w:sz="0" w:space="0" w:color="auto"/>
                                                                                <w:left w:val="none" w:sz="0" w:space="0" w:color="auto"/>
                                                                                <w:bottom w:val="none" w:sz="0" w:space="0" w:color="auto"/>
                                                                                <w:right w:val="none" w:sz="0" w:space="0" w:color="auto"/>
                                                                              </w:divBdr>
                                                                              <w:divsChild>
                                                                                <w:div w:id="1443187697">
                                                                                  <w:marLeft w:val="0"/>
                                                                                  <w:marRight w:val="0"/>
                                                                                  <w:marTop w:val="0"/>
                                                                                  <w:marBottom w:val="0"/>
                                                                                  <w:divBdr>
                                                                                    <w:top w:val="none" w:sz="0" w:space="0" w:color="auto"/>
                                                                                    <w:left w:val="none" w:sz="0" w:space="0" w:color="auto"/>
                                                                                    <w:bottom w:val="none" w:sz="0" w:space="0" w:color="auto"/>
                                                                                    <w:right w:val="none" w:sz="0" w:space="0" w:color="auto"/>
                                                                                  </w:divBdr>
                                                                                  <w:divsChild>
                                                                                    <w:div w:id="1544977118">
                                                                                      <w:marLeft w:val="0"/>
                                                                                      <w:marRight w:val="0"/>
                                                                                      <w:marTop w:val="0"/>
                                                                                      <w:marBottom w:val="0"/>
                                                                                      <w:divBdr>
                                                                                        <w:top w:val="none" w:sz="0" w:space="0" w:color="auto"/>
                                                                                        <w:left w:val="none" w:sz="0" w:space="0" w:color="auto"/>
                                                                                        <w:bottom w:val="none" w:sz="0" w:space="0" w:color="auto"/>
                                                                                        <w:right w:val="none" w:sz="0" w:space="0" w:color="auto"/>
                                                                                      </w:divBdr>
                                                                                      <w:divsChild>
                                                                                        <w:div w:id="1676298935">
                                                                                          <w:marLeft w:val="0"/>
                                                                                          <w:marRight w:val="0"/>
                                                                                          <w:marTop w:val="0"/>
                                                                                          <w:marBottom w:val="0"/>
                                                                                          <w:divBdr>
                                                                                            <w:top w:val="none" w:sz="0" w:space="0" w:color="auto"/>
                                                                                            <w:left w:val="none" w:sz="0" w:space="0" w:color="auto"/>
                                                                                            <w:bottom w:val="none" w:sz="0" w:space="0" w:color="auto"/>
                                                                                            <w:right w:val="none" w:sz="0" w:space="0" w:color="auto"/>
                                                                                          </w:divBdr>
                                                                                          <w:divsChild>
                                                                                            <w:div w:id="1880628018">
                                                                                              <w:marLeft w:val="0"/>
                                                                                              <w:marRight w:val="120"/>
                                                                                              <w:marTop w:val="0"/>
                                                                                              <w:marBottom w:val="150"/>
                                                                                              <w:divBdr>
                                                                                                <w:top w:val="single" w:sz="2" w:space="0" w:color="EFEFEF"/>
                                                                                                <w:left w:val="single" w:sz="6" w:space="0" w:color="EFEFEF"/>
                                                                                                <w:bottom w:val="single" w:sz="6" w:space="0" w:color="E2E2E2"/>
                                                                                                <w:right w:val="single" w:sz="6" w:space="0" w:color="EFEFEF"/>
                                                                                              </w:divBdr>
                                                                                              <w:divsChild>
                                                                                                <w:div w:id="658463113">
                                                                                                  <w:marLeft w:val="0"/>
                                                                                                  <w:marRight w:val="0"/>
                                                                                                  <w:marTop w:val="0"/>
                                                                                                  <w:marBottom w:val="0"/>
                                                                                                  <w:divBdr>
                                                                                                    <w:top w:val="none" w:sz="0" w:space="0" w:color="auto"/>
                                                                                                    <w:left w:val="none" w:sz="0" w:space="0" w:color="auto"/>
                                                                                                    <w:bottom w:val="none" w:sz="0" w:space="0" w:color="auto"/>
                                                                                                    <w:right w:val="none" w:sz="0" w:space="0" w:color="auto"/>
                                                                                                  </w:divBdr>
                                                                                                  <w:divsChild>
                                                                                                    <w:div w:id="2060588818">
                                                                                                      <w:marLeft w:val="0"/>
                                                                                                      <w:marRight w:val="0"/>
                                                                                                      <w:marTop w:val="0"/>
                                                                                                      <w:marBottom w:val="0"/>
                                                                                                      <w:divBdr>
                                                                                                        <w:top w:val="none" w:sz="0" w:space="0" w:color="auto"/>
                                                                                                        <w:left w:val="none" w:sz="0" w:space="0" w:color="auto"/>
                                                                                                        <w:bottom w:val="none" w:sz="0" w:space="0" w:color="auto"/>
                                                                                                        <w:right w:val="none" w:sz="0" w:space="0" w:color="auto"/>
                                                                                                      </w:divBdr>
                                                                                                      <w:divsChild>
                                                                                                        <w:div w:id="888416872">
                                                                                                          <w:marLeft w:val="0"/>
                                                                                                          <w:marRight w:val="0"/>
                                                                                                          <w:marTop w:val="0"/>
                                                                                                          <w:marBottom w:val="0"/>
                                                                                                          <w:divBdr>
                                                                                                            <w:top w:val="none" w:sz="0" w:space="0" w:color="auto"/>
                                                                                                            <w:left w:val="none" w:sz="0" w:space="0" w:color="auto"/>
                                                                                                            <w:bottom w:val="none" w:sz="0" w:space="0" w:color="auto"/>
                                                                                                            <w:right w:val="none" w:sz="0" w:space="0" w:color="auto"/>
                                                                                                          </w:divBdr>
                                                                                                          <w:divsChild>
                                                                                                            <w:div w:id="697505538">
                                                                                                              <w:marLeft w:val="0"/>
                                                                                                              <w:marRight w:val="0"/>
                                                                                                              <w:marTop w:val="0"/>
                                                                                                              <w:marBottom w:val="0"/>
                                                                                                              <w:divBdr>
                                                                                                                <w:top w:val="none" w:sz="0" w:space="0" w:color="auto"/>
                                                                                                                <w:left w:val="none" w:sz="0" w:space="0" w:color="auto"/>
                                                                                                                <w:bottom w:val="none" w:sz="0" w:space="0" w:color="auto"/>
                                                                                                                <w:right w:val="none" w:sz="0" w:space="0" w:color="auto"/>
                                                                                                              </w:divBdr>
                                                                                                              <w:divsChild>
                                                                                                                <w:div w:id="1772776093">
                                                                                                                  <w:marLeft w:val="0"/>
                                                                                                                  <w:marRight w:val="0"/>
                                                                                                                  <w:marTop w:val="0"/>
                                                                                                                  <w:marBottom w:val="0"/>
                                                                                                                  <w:divBdr>
                                                                                                                    <w:top w:val="single" w:sz="2" w:space="4" w:color="D8D8D8"/>
                                                                                                                    <w:left w:val="single" w:sz="2" w:space="0" w:color="D8D8D8"/>
                                                                                                                    <w:bottom w:val="single" w:sz="2" w:space="4" w:color="D8D8D8"/>
                                                                                                                    <w:right w:val="single" w:sz="2" w:space="0" w:color="D8D8D8"/>
                                                                                                                  </w:divBdr>
                                                                                                                  <w:divsChild>
                                                                                                                    <w:div w:id="240333800">
                                                                                                                      <w:marLeft w:val="225"/>
                                                                                                                      <w:marRight w:val="225"/>
                                                                                                                      <w:marTop w:val="75"/>
                                                                                                                      <w:marBottom w:val="75"/>
                                                                                                                      <w:divBdr>
                                                                                                                        <w:top w:val="none" w:sz="0" w:space="0" w:color="auto"/>
                                                                                                                        <w:left w:val="none" w:sz="0" w:space="0" w:color="auto"/>
                                                                                                                        <w:bottom w:val="none" w:sz="0" w:space="0" w:color="auto"/>
                                                                                                                        <w:right w:val="none" w:sz="0" w:space="0" w:color="auto"/>
                                                                                                                      </w:divBdr>
                                                                                                                      <w:divsChild>
                                                                                                                        <w:div w:id="2045979558">
                                                                                                                          <w:marLeft w:val="0"/>
                                                                                                                          <w:marRight w:val="0"/>
                                                                                                                          <w:marTop w:val="0"/>
                                                                                                                          <w:marBottom w:val="0"/>
                                                                                                                          <w:divBdr>
                                                                                                                            <w:top w:val="single" w:sz="6" w:space="0" w:color="auto"/>
                                                                                                                            <w:left w:val="single" w:sz="6" w:space="0" w:color="auto"/>
                                                                                                                            <w:bottom w:val="single" w:sz="6" w:space="0" w:color="auto"/>
                                                                                                                            <w:right w:val="single" w:sz="6" w:space="0" w:color="auto"/>
                                                                                                                          </w:divBdr>
                                                                                                                          <w:divsChild>
                                                                                                                            <w:div w:id="1783960377">
                                                                                                                              <w:marLeft w:val="0"/>
                                                                                                                              <w:marRight w:val="0"/>
                                                                                                                              <w:marTop w:val="0"/>
                                                                                                                              <w:marBottom w:val="0"/>
                                                                                                                              <w:divBdr>
                                                                                                                                <w:top w:val="none" w:sz="0" w:space="0" w:color="auto"/>
                                                                                                                                <w:left w:val="none" w:sz="0" w:space="0" w:color="auto"/>
                                                                                                                                <w:bottom w:val="none" w:sz="0" w:space="0" w:color="auto"/>
                                                                                                                                <w:right w:val="none" w:sz="0" w:space="0" w:color="auto"/>
                                                                                                                              </w:divBdr>
                                                                                                                              <w:divsChild>
                                                                                                                                <w:div w:id="10651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talk@tlvmc.gov.i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AD99-B561-483B-8648-84EE72A8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41100</Words>
  <Characters>234274</Characters>
  <Application>Microsoft Office Word</Application>
  <DocSecurity>0</DocSecurity>
  <Lines>1952</Lines>
  <Paragraphs>549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TASMC</Company>
  <LinksUpToDate>false</LinksUpToDate>
  <CharactersWithSpaces>274825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 Bar</dc:creator>
  <cp:lastModifiedBy>Na Ma</cp:lastModifiedBy>
  <cp:revision>3</cp:revision>
  <dcterms:created xsi:type="dcterms:W3CDTF">2018-10-05T17:14:00Z</dcterms:created>
  <dcterms:modified xsi:type="dcterms:W3CDTF">2018-10-05T17:14:00Z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b98ee6ed-6809-3484-b746-d3112b831f4e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http://csl.mendeley.com/styles/469005341/circulation</vt:lpwstr>
  </property>
  <property fmtid="{D5CDD505-2E9C-101B-9397-08002B2CF9AE}" pid="7" name="Mendeley Recent Style Name 1_1">
    <vt:lpwstr>Circulation - Nir Bar</vt:lpwstr>
  </property>
  <property fmtid="{D5CDD505-2E9C-101B-9397-08002B2CF9AE}" pid="8" name="Mendeley Recent Style Id 2_1">
    <vt:lpwstr>http://www.zotero.org/styles/harvard1</vt:lpwstr>
  </property>
  <property fmtid="{D5CDD505-2E9C-101B-9397-08002B2CF9AE}" pid="9" name="Mendeley Recent Style Name 2_1">
    <vt:lpwstr>Harvard Reference format 1 (author-date)</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http://www.zotero.org/styles/modern-language-association</vt:lpwstr>
  </property>
  <property fmtid="{D5CDD505-2E9C-101B-9397-08002B2CF9AE}" pid="15" name="Mendeley Recent Style Name 5_1">
    <vt:lpwstr>Modern Language Association 7th edition</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http://www.zotero.org/styles/the-american-journal-of-gastroenterology</vt:lpwstr>
  </property>
  <property fmtid="{D5CDD505-2E9C-101B-9397-08002B2CF9AE}" pid="19" name="Mendeley Recent Style Name 7_1">
    <vt:lpwstr>The American Journal of Gastroenterology</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