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3" w:rsidRPr="00617CD2" w:rsidRDefault="008C5103" w:rsidP="005A2B8B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617CD2">
        <w:rPr>
          <w:rFonts w:ascii="Book Antiqua" w:eastAsia="Times New Roman" w:hAnsi="Book Antiqua"/>
          <w:b/>
          <w:color w:val="0033CC"/>
          <w:sz w:val="24"/>
        </w:rPr>
        <w:t>Name of journal:</w:t>
      </w:r>
      <w:r w:rsidRPr="00617CD2">
        <w:rPr>
          <w:rFonts w:ascii="Book Antiqua" w:eastAsia="Times New Roman" w:hAnsi="Book Antiqua"/>
          <w:b/>
          <w:color w:val="000000"/>
          <w:sz w:val="24"/>
        </w:rPr>
        <w:t xml:space="preserve"> </w:t>
      </w:r>
      <w:bookmarkStart w:id="0" w:name="OLE_LINK718"/>
      <w:bookmarkStart w:id="1" w:name="OLE_LINK719"/>
      <w:r w:rsidRPr="00617CD2">
        <w:rPr>
          <w:rFonts w:ascii="Book Antiqua" w:eastAsia="Times New Roman" w:hAnsi="Book Antiqua"/>
          <w:i/>
          <w:color w:val="000000"/>
          <w:sz w:val="24"/>
        </w:rPr>
        <w:t xml:space="preserve">World Journal of </w:t>
      </w:r>
      <w:bookmarkEnd w:id="0"/>
      <w:bookmarkEnd w:id="1"/>
      <w:r w:rsidRPr="00617CD2">
        <w:rPr>
          <w:rFonts w:ascii="Book Antiqua" w:hAnsi="Book Antiqua" w:cs="Times New Roman"/>
          <w:i/>
          <w:sz w:val="24"/>
          <w:szCs w:val="24"/>
        </w:rPr>
        <w:t>Dermatology</w:t>
      </w:r>
    </w:p>
    <w:p w:rsidR="008C5103" w:rsidRPr="00617CD2" w:rsidRDefault="008C5103" w:rsidP="005A2B8B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/>
          <w:sz w:val="24"/>
          <w:lang w:eastAsia="zh-CN"/>
        </w:rPr>
      </w:pPr>
      <w:r w:rsidRPr="00617CD2">
        <w:rPr>
          <w:rFonts w:ascii="Book Antiqua" w:hAnsi="Book Antiqua" w:cs="Arial"/>
          <w:b/>
          <w:color w:val="0033CC"/>
          <w:sz w:val="24"/>
        </w:rPr>
        <w:t>ESPS Manuscript NO:</w:t>
      </w:r>
      <w:r w:rsidRPr="00617CD2">
        <w:rPr>
          <w:rFonts w:ascii="Book Antiqua" w:hAnsi="Book Antiqua" w:cs="Arial"/>
          <w:b/>
          <w:color w:val="222222"/>
          <w:sz w:val="24"/>
        </w:rPr>
        <w:t xml:space="preserve"> </w:t>
      </w:r>
      <w:r w:rsidRPr="00617CD2">
        <w:rPr>
          <w:rFonts w:ascii="Book Antiqua" w:hAnsi="Book Antiqua" w:cs="Arial"/>
          <w:b/>
          <w:color w:val="222222"/>
          <w:sz w:val="24"/>
          <w:lang w:eastAsia="zh-CN"/>
        </w:rPr>
        <w:t>4118</w:t>
      </w:r>
    </w:p>
    <w:p w:rsidR="008C5103" w:rsidRPr="00617CD2" w:rsidRDefault="008C5103" w:rsidP="005A2B8B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lang w:eastAsia="zh-CN"/>
        </w:rPr>
      </w:pPr>
      <w:bookmarkStart w:id="2" w:name="OLE_LINK1617"/>
      <w:bookmarkStart w:id="3" w:name="OLE_LINK1618"/>
      <w:bookmarkStart w:id="4" w:name="OLE_LINK1966"/>
      <w:bookmarkStart w:id="5" w:name="OLE_LINK2328"/>
      <w:bookmarkStart w:id="6" w:name="OLE_LINK2329"/>
      <w:bookmarkStart w:id="7" w:name="OLE_LINK2330"/>
      <w:bookmarkStart w:id="8" w:name="OLE_LINK2335"/>
      <w:bookmarkStart w:id="9" w:name="OLE_LINK2357"/>
      <w:bookmarkStart w:id="10" w:name="OLE_LINK2358"/>
      <w:r w:rsidRPr="00617CD2">
        <w:rPr>
          <w:rFonts w:ascii="Book Antiqua" w:hAnsi="Book Antiqua"/>
          <w:b/>
          <w:color w:val="0033CC"/>
          <w:sz w:val="24"/>
        </w:rPr>
        <w:t>Columns:</w:t>
      </w:r>
      <w:r w:rsidRPr="00617CD2">
        <w:rPr>
          <w:rFonts w:ascii="Book Antiqua" w:hAnsi="Book Antiqua"/>
          <w:b/>
          <w:color w:val="000000"/>
          <w:sz w:val="24"/>
        </w:rPr>
        <w:t xml:space="preserve"> </w:t>
      </w:r>
      <w:r w:rsidRPr="00617CD2">
        <w:rPr>
          <w:rFonts w:ascii="Book Antiqua" w:hAnsi="Book Antiqua"/>
          <w:b/>
          <w:color w:val="000000"/>
          <w:sz w:val="24"/>
          <w:lang w:eastAsia="zh-CN"/>
        </w:rPr>
        <w:t>EDITORIAL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1F12A3" w:rsidRPr="00617CD2" w:rsidRDefault="001F12A3" w:rsidP="005A2B8B">
      <w:pPr>
        <w:snapToGrid w:val="0"/>
        <w:spacing w:after="0" w:line="360" w:lineRule="auto"/>
        <w:ind w:left="720" w:firstLine="720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761FCD" w:rsidRPr="00617CD2" w:rsidRDefault="000922A5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17CD2">
        <w:rPr>
          <w:rFonts w:ascii="Book Antiqua" w:hAnsi="Book Antiqua" w:cs="Times New Roman"/>
          <w:b/>
          <w:sz w:val="24"/>
          <w:szCs w:val="24"/>
          <w:lang w:val="en-US"/>
        </w:rPr>
        <w:t xml:space="preserve">Metabolic co-morbidities and psoriasis: </w:t>
      </w:r>
      <w:r w:rsidR="003B434C" w:rsidRPr="00617CD2">
        <w:rPr>
          <w:rFonts w:ascii="Book Antiqua" w:hAnsi="Book Antiqua" w:cs="Times New Roman"/>
          <w:b/>
          <w:sz w:val="24"/>
          <w:szCs w:val="24"/>
          <w:lang w:val="en-US"/>
        </w:rPr>
        <w:t>T</w:t>
      </w:r>
      <w:r w:rsidR="008502B1" w:rsidRPr="00617CD2">
        <w:rPr>
          <w:rFonts w:ascii="Book Antiqua" w:hAnsi="Book Antiqua" w:cs="Times New Roman"/>
          <w:b/>
          <w:sz w:val="24"/>
          <w:szCs w:val="24"/>
          <w:lang w:val="en-US"/>
        </w:rPr>
        <w:t>he chicken or the egg</w:t>
      </w:r>
      <w:r w:rsidRPr="00617CD2">
        <w:rPr>
          <w:rFonts w:ascii="Book Antiqua" w:hAnsi="Book Antiqua" w:cs="Times New Roman"/>
          <w:b/>
          <w:sz w:val="24"/>
          <w:szCs w:val="24"/>
          <w:lang w:val="en-US"/>
        </w:rPr>
        <w:t>?</w:t>
      </w:r>
    </w:p>
    <w:p w:rsidR="005B0A96" w:rsidRPr="00617CD2" w:rsidRDefault="005B0A96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1F12A3" w:rsidRPr="00617CD2" w:rsidRDefault="005B0A96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617CD2">
        <w:rPr>
          <w:rFonts w:ascii="Book Antiqua" w:hAnsi="Book Antiqua" w:cs="Times New Roman"/>
          <w:b/>
          <w:sz w:val="24"/>
          <w:szCs w:val="24"/>
          <w:lang w:val="en-US"/>
        </w:rPr>
        <w:t>Dalamaga</w:t>
      </w:r>
      <w:proofErr w:type="spellEnd"/>
      <w:r w:rsidRPr="00617CD2">
        <w:rPr>
          <w:rFonts w:ascii="Book Antiqua" w:hAnsi="Book Antiqua" w:cs="Times New Roman"/>
          <w:b/>
          <w:sz w:val="24"/>
          <w:szCs w:val="24"/>
          <w:lang w:val="en-US"/>
        </w:rPr>
        <w:t xml:space="preserve"> M</w:t>
      </w:r>
      <w:r w:rsidR="006103FB" w:rsidRPr="00617CD2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="006103FB" w:rsidRPr="00617CD2">
        <w:rPr>
          <w:rFonts w:ascii="Book Antiqua" w:hAnsi="Book Antiqua" w:cs="Times New Roman"/>
          <w:b/>
          <w:i/>
          <w:sz w:val="24"/>
          <w:szCs w:val="24"/>
          <w:lang w:val="en-US" w:eastAsia="zh-CN"/>
        </w:rPr>
        <w:t>et al</w:t>
      </w:r>
      <w:r w:rsidR="006103FB" w:rsidRPr="00617CD2">
        <w:rPr>
          <w:rFonts w:ascii="Book Antiqua" w:hAnsi="Book Antiqua" w:cs="Times New Roman"/>
          <w:b/>
          <w:sz w:val="24"/>
          <w:szCs w:val="24"/>
          <w:lang w:val="en-US" w:eastAsia="zh-CN"/>
        </w:rPr>
        <w:t>.</w:t>
      </w:r>
      <w:r w:rsidR="001F12A3" w:rsidRPr="00617CD2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0922A5" w:rsidRPr="00617CD2">
        <w:rPr>
          <w:rFonts w:ascii="Book Antiqua" w:hAnsi="Book Antiqua" w:cs="Times New Roman"/>
          <w:sz w:val="24"/>
          <w:szCs w:val="24"/>
          <w:lang w:val="en-US"/>
        </w:rPr>
        <w:t>Metabolic co-morbidities</w:t>
      </w:r>
      <w:r w:rsidR="001F12A3" w:rsidRPr="00617CD2">
        <w:rPr>
          <w:rFonts w:ascii="Book Antiqua" w:hAnsi="Book Antiqua" w:cs="Times New Roman"/>
          <w:sz w:val="24"/>
          <w:szCs w:val="24"/>
          <w:lang w:val="en-US"/>
        </w:rPr>
        <w:t xml:space="preserve"> and psoriasis</w:t>
      </w:r>
    </w:p>
    <w:p w:rsidR="001F12A3" w:rsidRPr="00617CD2" w:rsidRDefault="001F12A3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:rsidR="00DA0A24" w:rsidRPr="00617CD2" w:rsidRDefault="00DA0A24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Maria </w:t>
      </w:r>
      <w:proofErr w:type="spellStart"/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>Dalamaga</w:t>
      </w:r>
      <w:proofErr w:type="spellEnd"/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="001F12A3" w:rsidRPr="00617CD2">
        <w:rPr>
          <w:rFonts w:ascii="Book Antiqua" w:eastAsia="Calibri" w:hAnsi="Book Antiqua" w:cs="Times New Roman"/>
          <w:sz w:val="24"/>
          <w:szCs w:val="24"/>
          <w:lang w:val="en-US"/>
        </w:rPr>
        <w:t>Evangelia</w:t>
      </w:r>
      <w:proofErr w:type="spellEnd"/>
      <w:r w:rsidR="001F12A3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1F12A3" w:rsidRPr="00617CD2">
        <w:rPr>
          <w:rFonts w:ascii="Book Antiqua" w:eastAsia="Calibri" w:hAnsi="Book Antiqua" w:cs="Times New Roman"/>
          <w:sz w:val="24"/>
          <w:szCs w:val="24"/>
          <w:lang w:val="en-US"/>
        </w:rPr>
        <w:t>Papadavid</w:t>
      </w:r>
      <w:proofErr w:type="spellEnd"/>
    </w:p>
    <w:p w:rsidR="008C5103" w:rsidRPr="00617CD2" w:rsidRDefault="008C5103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1F12A3" w:rsidRPr="00617CD2" w:rsidRDefault="001F12A3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Maria </w:t>
      </w:r>
      <w:proofErr w:type="spellStart"/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>Dalamaga</w:t>
      </w:r>
      <w:proofErr w:type="spellEnd"/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, </w:t>
      </w:r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>Department of Clinical Biochemistry, Medical School, University of Athens, “</w:t>
      </w:r>
      <w:proofErr w:type="spellStart"/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>Attikon</w:t>
      </w:r>
      <w:proofErr w:type="spellEnd"/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>” General University Hospital, 12462 Athens, Greece</w:t>
      </w:r>
    </w:p>
    <w:p w:rsidR="008C5103" w:rsidRPr="00617CD2" w:rsidRDefault="008C5103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DA0A24" w:rsidRPr="00617CD2" w:rsidRDefault="001F12A3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>Evangelia</w:t>
      </w:r>
      <w:proofErr w:type="spellEnd"/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>Papadavid</w:t>
      </w:r>
      <w:proofErr w:type="spellEnd"/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>,</w:t>
      </w:r>
      <w:r w:rsidR="007D7021"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="00DA0A24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Department of </w:t>
      </w:r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>Dermatology</w:t>
      </w:r>
      <w:r w:rsidR="00DA0A24" w:rsidRPr="00617CD2">
        <w:rPr>
          <w:rFonts w:ascii="Book Antiqua" w:eastAsia="Calibri" w:hAnsi="Book Antiqua" w:cs="Times New Roman"/>
          <w:sz w:val="24"/>
          <w:szCs w:val="24"/>
          <w:lang w:val="en-US"/>
        </w:rPr>
        <w:t>, Medical School, University of Athens, “</w:t>
      </w:r>
      <w:proofErr w:type="spellStart"/>
      <w:r w:rsidR="00DA0A24" w:rsidRPr="00617CD2">
        <w:rPr>
          <w:rFonts w:ascii="Book Antiqua" w:eastAsia="Calibri" w:hAnsi="Book Antiqua" w:cs="Times New Roman"/>
          <w:sz w:val="24"/>
          <w:szCs w:val="24"/>
          <w:lang w:val="en-US"/>
        </w:rPr>
        <w:t>Attikon</w:t>
      </w:r>
      <w:proofErr w:type="spellEnd"/>
      <w:r w:rsidR="00DA0A24" w:rsidRPr="00617CD2">
        <w:rPr>
          <w:rFonts w:ascii="Book Antiqua" w:eastAsia="Calibri" w:hAnsi="Book Antiqua" w:cs="Times New Roman"/>
          <w:sz w:val="24"/>
          <w:szCs w:val="24"/>
          <w:lang w:val="en-US"/>
        </w:rPr>
        <w:t>” General University Hospital, 12462 Athens, Greece</w:t>
      </w:r>
    </w:p>
    <w:p w:rsidR="008C5103" w:rsidRPr="00617CD2" w:rsidRDefault="008C5103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D7021" w:rsidRPr="00617CD2" w:rsidRDefault="007D7021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>Author</w:t>
      </w:r>
      <w:r w:rsidR="006103FB"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contri</w:t>
      </w: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butions: </w:t>
      </w:r>
      <w:proofErr w:type="spellStart"/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>Dalamaga</w:t>
      </w:r>
      <w:proofErr w:type="spellEnd"/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 M designed the editorial and wrote the manuscript</w:t>
      </w:r>
      <w:r w:rsidR="006103FB" w:rsidRPr="00617CD2">
        <w:rPr>
          <w:rFonts w:ascii="Book Antiqua" w:hAnsi="Book Antiqua" w:cs="Times New Roman"/>
          <w:sz w:val="24"/>
          <w:szCs w:val="24"/>
          <w:lang w:val="en-US" w:eastAsia="zh-CN"/>
        </w:rPr>
        <w:t xml:space="preserve">; </w:t>
      </w:r>
      <w:proofErr w:type="spellStart"/>
      <w:r w:rsidR="006F128D" w:rsidRPr="00617CD2">
        <w:rPr>
          <w:rFonts w:ascii="Book Antiqua" w:eastAsia="Calibri" w:hAnsi="Book Antiqua" w:cs="Times New Roman"/>
          <w:sz w:val="24"/>
          <w:szCs w:val="24"/>
          <w:lang w:val="en-US"/>
        </w:rPr>
        <w:t>Papadavid</w:t>
      </w:r>
      <w:proofErr w:type="spellEnd"/>
      <w:r w:rsidR="006F128D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 E reviewed the manuscript</w:t>
      </w:r>
      <w:r w:rsidR="00761FCD" w:rsidRPr="00617CD2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:rsidR="008C5103" w:rsidRPr="00617CD2" w:rsidRDefault="008C5103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8C5103" w:rsidRPr="00617CD2" w:rsidRDefault="007D7021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Correspondence to: </w:t>
      </w:r>
      <w:r w:rsidRPr="00617CD2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Maria </w:t>
      </w:r>
      <w:proofErr w:type="spellStart"/>
      <w:r w:rsidRPr="00617CD2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Dalamaga</w:t>
      </w:r>
      <w:proofErr w:type="spellEnd"/>
      <w:r w:rsidRPr="00617CD2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, MD, PhD, MS, MPH, Assistant Professor, 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/>
        </w:rPr>
        <w:t>Department of Clinical Biochemistry, Medical School, University of Athens, “</w:t>
      </w:r>
      <w:proofErr w:type="spellStart"/>
      <w:r w:rsidRPr="00617CD2">
        <w:rPr>
          <w:rFonts w:ascii="Book Antiqua" w:eastAsia="Times New Roman" w:hAnsi="Book Antiqua" w:cs="Times New Roman"/>
          <w:sz w:val="24"/>
          <w:szCs w:val="24"/>
          <w:lang w:val="en-US"/>
        </w:rPr>
        <w:t>Attikon</w:t>
      </w:r>
      <w:proofErr w:type="spellEnd"/>
      <w:r w:rsidRPr="00617CD2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” General University Hospital, </w:t>
      </w:r>
      <w:r w:rsidR="006103FB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1 Rimini street, </w:t>
      </w:r>
      <w:proofErr w:type="spellStart"/>
      <w:r w:rsidRPr="00617CD2">
        <w:rPr>
          <w:rFonts w:ascii="Book Antiqua" w:eastAsia="Times New Roman" w:hAnsi="Book Antiqua" w:cs="Times New Roman"/>
          <w:sz w:val="24"/>
          <w:szCs w:val="24"/>
          <w:lang w:val="en-US"/>
        </w:rPr>
        <w:t>Karyotaki</w:t>
      </w:r>
      <w:proofErr w:type="spellEnd"/>
      <w:r w:rsidRPr="00617CD2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29, 15344 Athens, Greece. </w:t>
      </w:r>
      <w:hyperlink r:id="rId9" w:history="1">
        <w:r w:rsidRPr="00617CD2">
          <w:rPr>
            <w:rStyle w:val="a3"/>
            <w:rFonts w:ascii="Book Antiqua" w:eastAsia="Times New Roman" w:hAnsi="Book Antiqua" w:cs="Times New Roman"/>
            <w:sz w:val="24"/>
            <w:szCs w:val="24"/>
            <w:lang w:val="en-US"/>
          </w:rPr>
          <w:t>madalamaga@med.uoa.gr</w:t>
        </w:r>
      </w:hyperlink>
      <w:r w:rsidRPr="00617CD2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</w:p>
    <w:p w:rsidR="00AA2F7F" w:rsidRPr="00617CD2" w:rsidRDefault="00AA2F7F" w:rsidP="005A2B8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lang w:eastAsia="zh-CN"/>
        </w:rPr>
      </w:pPr>
      <w:bookmarkStart w:id="11" w:name="OLE_LINK65"/>
      <w:bookmarkStart w:id="12" w:name="OLE_LINK106"/>
      <w:bookmarkStart w:id="13" w:name="OLE_LINK331"/>
      <w:bookmarkStart w:id="14" w:name="OLE_LINK2444"/>
      <w:bookmarkStart w:id="15" w:name="OLE_LINK2772"/>
    </w:p>
    <w:bookmarkEnd w:id="11"/>
    <w:bookmarkEnd w:id="12"/>
    <w:bookmarkEnd w:id="13"/>
    <w:bookmarkEnd w:id="14"/>
    <w:bookmarkEnd w:id="15"/>
    <w:p w:rsidR="00C00DEE" w:rsidRPr="00617CD2" w:rsidRDefault="00C00DEE" w:rsidP="005A2B8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lang w:eastAsia="zh-CN"/>
        </w:rPr>
      </w:pPr>
      <w:r w:rsidRPr="00617CD2">
        <w:rPr>
          <w:rFonts w:ascii="Book Antiqua" w:hAnsi="Book Antiqua"/>
          <w:b/>
          <w:bCs/>
          <w:color w:val="000000"/>
          <w:sz w:val="24"/>
        </w:rPr>
        <w:t xml:space="preserve">Telephone: </w:t>
      </w:r>
      <w:r w:rsidRPr="00617CD2">
        <w:rPr>
          <w:rFonts w:ascii="Book Antiqua" w:hAnsi="Book Antiqua"/>
          <w:bCs/>
          <w:color w:val="000000"/>
          <w:sz w:val="24"/>
        </w:rPr>
        <w:t>+30-210-5831915</w:t>
      </w:r>
      <w:r w:rsidR="00F40FBF" w:rsidRPr="00617CD2">
        <w:rPr>
          <w:rFonts w:ascii="Book Antiqua" w:hAnsi="Book Antiqua"/>
          <w:b/>
          <w:bCs/>
          <w:color w:val="000000"/>
          <w:sz w:val="24"/>
        </w:rPr>
        <w:t xml:space="preserve"> </w:t>
      </w:r>
      <w:r w:rsidR="00F40FBF" w:rsidRPr="00617CD2">
        <w:rPr>
          <w:rFonts w:ascii="Book Antiqua" w:hAnsi="Book Antiqua"/>
          <w:b/>
          <w:bCs/>
          <w:color w:val="000000"/>
          <w:sz w:val="24"/>
          <w:lang w:eastAsia="zh-CN"/>
        </w:rPr>
        <w:t xml:space="preserve">   </w:t>
      </w:r>
      <w:r w:rsidRPr="00617CD2">
        <w:rPr>
          <w:rFonts w:ascii="Book Antiqua" w:hAnsi="Book Antiqua"/>
          <w:b/>
          <w:bCs/>
          <w:color w:val="000000"/>
          <w:sz w:val="24"/>
        </w:rPr>
        <w:t xml:space="preserve">Fax: </w:t>
      </w:r>
      <w:r w:rsidRPr="00617CD2">
        <w:rPr>
          <w:rFonts w:ascii="Book Antiqua" w:hAnsi="Book Antiqua"/>
          <w:bCs/>
          <w:color w:val="000000"/>
          <w:sz w:val="24"/>
        </w:rPr>
        <w:t>+30-210-6082467</w:t>
      </w:r>
    </w:p>
    <w:p w:rsidR="008C5103" w:rsidRPr="00617CD2" w:rsidRDefault="005B0A96" w:rsidP="005A2B8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Received: </w:t>
      </w:r>
      <w:r w:rsidR="00C00DEE" w:rsidRPr="00617CD2">
        <w:rPr>
          <w:rFonts w:ascii="Book Antiqua" w:hAnsi="Book Antiqua" w:cs="Times New Roman"/>
          <w:sz w:val="24"/>
          <w:szCs w:val="24"/>
          <w:lang w:val="en-US" w:eastAsia="zh-CN"/>
        </w:rPr>
        <w:t>June 15, 2013</w:t>
      </w:r>
      <w:r w:rsidR="00F40FBF" w:rsidRPr="00617CD2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F40FBF"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</w:t>
      </w:r>
      <w:r w:rsidR="00F40FBF" w:rsidRPr="00617CD2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>Revised:</w:t>
      </w:r>
      <w:r w:rsidR="00C00DEE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C00DEE" w:rsidRPr="00617CD2">
        <w:rPr>
          <w:rFonts w:ascii="Book Antiqua" w:hAnsi="Book Antiqua" w:cs="Times New Roman"/>
          <w:sz w:val="24"/>
          <w:szCs w:val="24"/>
          <w:lang w:val="en-US" w:eastAsia="zh-CN"/>
        </w:rPr>
        <w:t>September 25, 2013</w:t>
      </w:r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</w:p>
    <w:p w:rsidR="005B0A96" w:rsidRPr="00617CD2" w:rsidRDefault="005B0A96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>Accepted:</w:t>
      </w:r>
      <w:r w:rsidR="00F40FBF"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bookmarkStart w:id="16" w:name="OLE_LINK5"/>
      <w:bookmarkStart w:id="17" w:name="OLE_LINK6"/>
      <w:bookmarkStart w:id="18" w:name="OLE_LINK7"/>
      <w:r w:rsidR="00166802" w:rsidRPr="00CA5964">
        <w:rPr>
          <w:rFonts w:ascii="Book Antiqua" w:hAnsi="Book Antiqua"/>
          <w:sz w:val="24"/>
          <w:szCs w:val="24"/>
        </w:rPr>
        <w:t>October 17, 2013</w:t>
      </w:r>
      <w:bookmarkStart w:id="19" w:name="_GoBack"/>
      <w:bookmarkEnd w:id="16"/>
      <w:bookmarkEnd w:id="17"/>
      <w:bookmarkEnd w:id="18"/>
      <w:bookmarkEnd w:id="19"/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Published online:</w:t>
      </w:r>
    </w:p>
    <w:p w:rsidR="00696D9A" w:rsidRPr="00617CD2" w:rsidRDefault="00696D9A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br w:type="page"/>
      </w:r>
    </w:p>
    <w:p w:rsidR="00DA0A24" w:rsidRPr="00617CD2" w:rsidRDefault="005E7154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lastRenderedPageBreak/>
        <w:t>Abstract</w:t>
      </w:r>
    </w:p>
    <w:p w:rsidR="00BC19BD" w:rsidRPr="00617CD2" w:rsidRDefault="007A11BA" w:rsidP="005A2B8B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Accumulating evidence supports that psoriasis may be a potential multisystem inflammatory disease associated with a range of co-morbidities </w:t>
      </w:r>
      <w:r w:rsidR="0044136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showing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 overlapping pathology and an important health impact such as metabolic diseases. </w:t>
      </w:r>
      <w:r w:rsidR="009168A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ab/>
        <w:t>Psoriasis is associated with an increased risk of obesity, metabolic syndrome</w:t>
      </w:r>
      <w:r w:rsidR="00D8551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(Mets)</w:t>
      </w:r>
      <w:r w:rsidR="009168A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diabetes mellitus type 2, following a “dose-response” relationship from mild to severe psoriasis. </w:t>
      </w:r>
      <w:r w:rsidR="00E153F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Conversely, recent evidence from large prospective studies suggests that obesity constitutes a risk factor for psoriasis and psoriatic arthritis. </w:t>
      </w:r>
      <w:r w:rsidR="00AA0D1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Also</w:t>
      </w:r>
      <w:r w:rsidR="00E153F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a </w:t>
      </w:r>
      <w:proofErr w:type="spellStart"/>
      <w:r w:rsidR="00E153F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dyslipidemic</w:t>
      </w:r>
      <w:proofErr w:type="spellEnd"/>
      <w:r w:rsidR="00E153F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profile may precede psoriasis onset. Both obesity, </w:t>
      </w:r>
      <w:r w:rsidR="00D8551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Mets</w:t>
      </w:r>
      <w:r w:rsidR="00E153F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psoriasis, characterized as chronic inflammatory states, stem from a shared underlying pathophysiology exhibiting common genetic predisposition </w:t>
      </w:r>
      <w:r w:rsidR="00AA0D1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and </w:t>
      </w:r>
      <w:r w:rsidR="00E153F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risk factors such as high caloric intake, physical inactivity and psychological stress. </w:t>
      </w:r>
      <w:r w:rsidR="00F6769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Excess weight may potentiate the inflammation of psoriasis through the deregulation of </w:t>
      </w:r>
      <w:proofErr w:type="spellStart"/>
      <w:r w:rsidR="00F6769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adipocytokines</w:t>
      </w:r>
      <w:proofErr w:type="spellEnd"/>
      <w:r w:rsidR="00F6769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while, at the same time, it may help the development of </w:t>
      </w:r>
      <w:r w:rsidR="00D8551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Mets</w:t>
      </w:r>
      <w:r w:rsidR="00F6769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Interestingly, recent translational data has shown that psoriasis, through increased T-helper inflammatory cytokines in skin and </w:t>
      </w:r>
      <w:proofErr w:type="gramStart"/>
      <w:r w:rsidR="00F6769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sera,</w:t>
      </w:r>
      <w:proofErr w:type="gramEnd"/>
      <w:r w:rsidR="00F6769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may exert a plethora of effects on insulin regulation and lipid metabolism. </w:t>
      </w:r>
      <w:r w:rsidR="00177F7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Larger population-based prospective cohort and longitudinal studies are needed</w:t>
      </w:r>
      <w:r w:rsidR="00177F70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</w:t>
      </w:r>
      <w:r w:rsidR="00177F7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to unravel the association between psoriasis and metabolic co-morbidities. The recognition of the intricate complex interplay between psoriasis and metabolic co-morbidities may help dermatologists to be aware of associated metabolic co-morbidities in order to screen for metabolic diseases and manage holistically and effectively the psoriatic patient.</w:t>
      </w:r>
    </w:p>
    <w:p w:rsidR="003B434C" w:rsidRPr="00617CD2" w:rsidRDefault="003B434C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5B0A96" w:rsidRPr="00617CD2" w:rsidRDefault="005B0A96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© 2013 </w:t>
      </w:r>
      <w:proofErr w:type="spellStart"/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>Baishideng</w:t>
      </w:r>
      <w:proofErr w:type="spellEnd"/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t>. All rights reserved.</w:t>
      </w:r>
    </w:p>
    <w:p w:rsidR="003B434C" w:rsidRPr="00617CD2" w:rsidRDefault="003B434C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5E7154" w:rsidRPr="00617CD2" w:rsidRDefault="005E7154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Key words: </w:t>
      </w:r>
      <w:r w:rsidR="003B434C" w:rsidRPr="00617CD2">
        <w:rPr>
          <w:rFonts w:ascii="Book Antiqua" w:eastAsia="Calibri" w:hAnsi="Book Antiqua" w:cs="Times New Roman"/>
          <w:sz w:val="24"/>
          <w:szCs w:val="24"/>
          <w:lang w:val="en-US"/>
        </w:rPr>
        <w:t>P</w:t>
      </w:r>
      <w:r w:rsidR="007C154A" w:rsidRPr="00617CD2">
        <w:rPr>
          <w:rFonts w:ascii="Book Antiqua" w:eastAsia="Calibri" w:hAnsi="Book Antiqua" w:cs="Times New Roman"/>
          <w:sz w:val="24"/>
          <w:szCs w:val="24"/>
          <w:lang w:val="en-US"/>
        </w:rPr>
        <w:t>soriasis;</w:t>
      </w:r>
      <w:r w:rsidR="003B434C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 O</w:t>
      </w:r>
      <w:r w:rsidR="007C154A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besity; </w:t>
      </w:r>
      <w:r w:rsidR="003B434C" w:rsidRPr="00617CD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="007C154A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etabolic syndrome; </w:t>
      </w:r>
      <w:proofErr w:type="gramStart"/>
      <w:r w:rsidR="003B434C" w:rsidRPr="00617CD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="00853C31" w:rsidRPr="00617CD2">
        <w:rPr>
          <w:rFonts w:ascii="Book Antiqua" w:eastAsia="Calibri" w:hAnsi="Book Antiqua" w:cs="Times New Roman"/>
          <w:sz w:val="24"/>
          <w:szCs w:val="24"/>
          <w:lang w:val="en-US"/>
        </w:rPr>
        <w:t>etabolic</w:t>
      </w:r>
      <w:proofErr w:type="gramEnd"/>
      <w:r w:rsidR="00853C31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 co-morbidities; </w:t>
      </w:r>
      <w:r w:rsidR="003B434C" w:rsidRPr="00617CD2">
        <w:rPr>
          <w:rFonts w:ascii="Book Antiqua" w:eastAsia="Calibri" w:hAnsi="Book Antiqua" w:cs="Times New Roman"/>
          <w:sz w:val="24"/>
          <w:szCs w:val="24"/>
          <w:lang w:val="en-US"/>
        </w:rPr>
        <w:t>D</w:t>
      </w:r>
      <w:r w:rsidR="00696D9A" w:rsidRPr="00617CD2">
        <w:rPr>
          <w:rFonts w:ascii="Book Antiqua" w:eastAsia="Calibri" w:hAnsi="Book Antiqua" w:cs="Times New Roman"/>
          <w:sz w:val="24"/>
          <w:szCs w:val="24"/>
          <w:lang w:val="en-US"/>
        </w:rPr>
        <w:t xml:space="preserve">iabetes mellitus; </w:t>
      </w:r>
      <w:r w:rsidR="003B434C" w:rsidRPr="00617CD2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r w:rsidR="00696D9A" w:rsidRPr="00617CD2">
        <w:rPr>
          <w:rFonts w:ascii="Book Antiqua" w:eastAsia="Calibri" w:hAnsi="Book Antiqua" w:cs="Times New Roman"/>
          <w:sz w:val="24"/>
          <w:szCs w:val="24"/>
          <w:lang w:val="en-US"/>
        </w:rPr>
        <w:t>nsulin resistance</w:t>
      </w:r>
    </w:p>
    <w:p w:rsidR="005E7154" w:rsidRPr="00617CD2" w:rsidRDefault="005E7154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617CD2">
        <w:rPr>
          <w:rFonts w:ascii="Book Antiqua" w:eastAsia="Calibri" w:hAnsi="Book Antiqua" w:cs="Times New Roman"/>
          <w:sz w:val="24"/>
          <w:szCs w:val="24"/>
          <w:lang w:val="en-US"/>
        </w:rPr>
        <w:br w:type="page"/>
      </w:r>
    </w:p>
    <w:p w:rsidR="005B0A96" w:rsidRPr="00617CD2" w:rsidRDefault="005B0A96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617CD2">
        <w:rPr>
          <w:rFonts w:ascii="Book Antiqua" w:eastAsia="Calibri" w:hAnsi="Book Antiqua" w:cs="Times New Roman"/>
          <w:b/>
          <w:sz w:val="24"/>
          <w:szCs w:val="24"/>
          <w:lang w:val="en-US"/>
        </w:rPr>
        <w:lastRenderedPageBreak/>
        <w:t xml:space="preserve">Core tip: </w:t>
      </w:r>
      <w:r w:rsidR="003E7325" w:rsidRPr="00617CD2">
        <w:rPr>
          <w:rFonts w:ascii="Book Antiqua" w:eastAsia="Calibri" w:hAnsi="Book Antiqua" w:cs="Times New Roman"/>
          <w:sz w:val="24"/>
          <w:szCs w:val="24"/>
          <w:lang w:val="en-US"/>
        </w:rPr>
        <w:t>Psoriasis is associated with an increased risk of obesity, metabolic syndrome (Mets) and diabetes mellitu</w:t>
      </w:r>
      <w:r w:rsidR="003B434C" w:rsidRPr="00617CD2">
        <w:rPr>
          <w:rFonts w:ascii="Book Antiqua" w:eastAsia="Calibri" w:hAnsi="Book Antiqua" w:cs="Times New Roman"/>
          <w:sz w:val="24"/>
          <w:szCs w:val="24"/>
          <w:lang w:val="en-US"/>
        </w:rPr>
        <w:t>s type 2</w:t>
      </w:r>
      <w:r w:rsidR="003E7325" w:rsidRPr="00617CD2">
        <w:rPr>
          <w:rFonts w:ascii="Book Antiqua" w:eastAsia="Calibri" w:hAnsi="Book Antiqua" w:cs="Times New Roman"/>
          <w:sz w:val="24"/>
          <w:szCs w:val="24"/>
          <w:lang w:val="en-US"/>
        </w:rPr>
        <w:t>, following a “dose-response” relationship from mild to severe psoriasis. Conversely, recent evidence from large prospective studies suggests that obesity constitutes a risk factor for psoriasis and psoriatic arthritis.</w:t>
      </w:r>
      <w:r w:rsidR="003E732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3E7325" w:rsidRPr="00617CD2">
        <w:rPr>
          <w:rFonts w:ascii="Book Antiqua" w:eastAsia="Calibri" w:hAnsi="Book Antiqua" w:cs="Times New Roman"/>
          <w:sz w:val="24"/>
          <w:szCs w:val="24"/>
          <w:lang w:val="en-US"/>
        </w:rPr>
        <w:t>Both obesity, Mets and psoriasis, characterized as chronic inflammatory states, stem from a shared underlying pathophysiology exhibiting common genetic predisposition and risk factors such as high caloric intake, physical inactivity and psychological stress.</w:t>
      </w:r>
      <w:r w:rsidR="003E732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3E7325" w:rsidRPr="00617CD2">
        <w:rPr>
          <w:rFonts w:ascii="Book Antiqua" w:eastAsia="Calibri" w:hAnsi="Book Antiqua" w:cs="Times New Roman"/>
          <w:sz w:val="24"/>
          <w:szCs w:val="24"/>
          <w:lang w:val="en-US"/>
        </w:rPr>
        <w:t>Larger population-based prospective cohort and longitudinal studies are needed to unravel the association between psoriasis and metabolic co-morbidities.</w:t>
      </w:r>
    </w:p>
    <w:p w:rsidR="005B0A96" w:rsidRPr="00617CD2" w:rsidRDefault="005B0A96" w:rsidP="005A2B8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5A2B8B" w:rsidRPr="00617CD2" w:rsidRDefault="005B0A96" w:rsidP="005A2B8B">
      <w:pPr>
        <w:adjustRightInd w:val="0"/>
        <w:snapToGrid w:val="0"/>
        <w:spacing w:after="0" w:line="360" w:lineRule="auto"/>
        <w:rPr>
          <w:rFonts w:ascii="Book Antiqua" w:hAnsi="Book Antiqua"/>
          <w:i/>
          <w:snapToGrid w:val="0"/>
          <w:sz w:val="24"/>
        </w:rPr>
      </w:pPr>
      <w:proofErr w:type="spellStart"/>
      <w:r w:rsidRPr="00617CD2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Dalamaga</w:t>
      </w:r>
      <w:proofErr w:type="spellEnd"/>
      <w:r w:rsidRPr="00617CD2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617CD2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Papadavid</w:t>
      </w:r>
      <w:proofErr w:type="spellEnd"/>
      <w:r w:rsidRPr="00617CD2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E.</w:t>
      </w:r>
      <w:r w:rsidRPr="00617CD2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617CD2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Metabolic co-morbidities and psoriasis: </w:t>
      </w:r>
      <w:r w:rsidR="003B434C" w:rsidRPr="00617CD2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T</w:t>
      </w:r>
      <w:r w:rsidRPr="00617CD2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he chicken or the egg? </w:t>
      </w:r>
      <w:bookmarkStart w:id="20" w:name="OLE_LINK1547"/>
      <w:bookmarkStart w:id="21" w:name="OLE_LINK1548"/>
      <w:bookmarkStart w:id="22" w:name="OLE_LINK1824"/>
      <w:bookmarkStart w:id="23" w:name="OLE_LINK1825"/>
      <w:bookmarkStart w:id="24" w:name="OLE_LINK1945"/>
      <w:bookmarkStart w:id="25" w:name="OLE_LINK1826"/>
      <w:bookmarkStart w:id="26" w:name="OLE_LINK1921"/>
      <w:bookmarkStart w:id="27" w:name="OLE_LINK1912"/>
      <w:bookmarkStart w:id="28" w:name="OLE_LINK1974"/>
      <w:bookmarkStart w:id="29" w:name="OLE_LINK1975"/>
      <w:bookmarkStart w:id="30" w:name="OLE_LINK1946"/>
      <w:bookmarkStart w:id="31" w:name="OLE_LINK1998"/>
      <w:bookmarkStart w:id="32" w:name="OLE_LINK2000"/>
      <w:bookmarkStart w:id="33" w:name="OLE_LINK1944"/>
      <w:bookmarkStart w:id="34" w:name="OLE_LINK2001"/>
      <w:bookmarkStart w:id="35" w:name="OLE_LINK2307"/>
      <w:bookmarkStart w:id="36" w:name="OLE_LINK2453"/>
      <w:bookmarkStart w:id="37" w:name="OLE_LINK2454"/>
      <w:bookmarkStart w:id="38" w:name="OLE_LINK2228"/>
      <w:bookmarkStart w:id="39" w:name="OLE_LINK2346"/>
      <w:bookmarkStart w:id="40" w:name="OLE_LINK2389"/>
      <w:bookmarkStart w:id="41" w:name="OLE_LINK2550"/>
      <w:bookmarkStart w:id="42" w:name="OLE_LINK2551"/>
      <w:bookmarkStart w:id="43" w:name="OLE_LINK2394"/>
      <w:bookmarkStart w:id="44" w:name="OLE_LINK2860"/>
      <w:bookmarkStart w:id="45" w:name="OLE_LINK2644"/>
      <w:bookmarkStart w:id="46" w:name="OLE_LINK2879"/>
      <w:bookmarkStart w:id="47" w:name="OLE_LINK2880"/>
      <w:bookmarkStart w:id="48" w:name="OLE_LINK2966"/>
      <w:bookmarkStart w:id="49" w:name="OLE_LINK2967"/>
      <w:bookmarkStart w:id="50" w:name="OLE_LINK2589"/>
      <w:bookmarkStart w:id="51" w:name="OLE_LINK2590"/>
      <w:bookmarkStart w:id="52" w:name="OLE_LINK206"/>
      <w:r w:rsidR="005A2B8B" w:rsidRPr="00617CD2">
        <w:rPr>
          <w:rFonts w:ascii="Book Antiqua" w:hAnsi="Book Antiqua"/>
          <w:i/>
          <w:snapToGrid w:val="0"/>
          <w:sz w:val="24"/>
        </w:rPr>
        <w:t xml:space="preserve">World J </w:t>
      </w:r>
      <w:bookmarkStart w:id="53" w:name="OLE_LINK308"/>
      <w:bookmarkStart w:id="54" w:name="OLE_LINK309"/>
      <w:r w:rsidR="005A2B8B" w:rsidRPr="00617CD2">
        <w:rPr>
          <w:rFonts w:ascii="Book Antiqua" w:hAnsi="Book Antiqua"/>
          <w:i/>
          <w:snapToGrid w:val="0"/>
          <w:sz w:val="24"/>
        </w:rPr>
        <w:t>Dermatology</w:t>
      </w:r>
      <w:bookmarkEnd w:id="53"/>
      <w:bookmarkEnd w:id="54"/>
      <w:r w:rsidR="005A2B8B" w:rsidRPr="00617CD2">
        <w:rPr>
          <w:rFonts w:ascii="Book Antiqua" w:hAnsi="Book Antiqua"/>
          <w:i/>
          <w:snapToGrid w:val="0"/>
          <w:sz w:val="24"/>
        </w:rPr>
        <w:t xml:space="preserve"> </w:t>
      </w:r>
      <w:r w:rsidR="005A2B8B" w:rsidRPr="00617CD2">
        <w:rPr>
          <w:rFonts w:ascii="Book Antiqua" w:hAnsi="Book Antiqua"/>
          <w:snapToGrid w:val="0"/>
          <w:sz w:val="24"/>
        </w:rPr>
        <w:t>2013</w:t>
      </w:r>
      <w:r w:rsidR="005A2B8B" w:rsidRPr="00617CD2">
        <w:rPr>
          <w:rFonts w:ascii="Book Antiqua" w:hAnsi="Book Antiqua"/>
          <w:i/>
          <w:snapToGrid w:val="0"/>
          <w:sz w:val="24"/>
        </w:rPr>
        <w:t>;</w:t>
      </w:r>
    </w:p>
    <w:p w:rsidR="005A2B8B" w:rsidRPr="00617CD2" w:rsidRDefault="005A2B8B" w:rsidP="005A2B8B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55" w:name="OLE_LINK404"/>
      <w:bookmarkStart w:id="56" w:name="OLE_LINK405"/>
      <w:bookmarkStart w:id="57" w:name="OLE_LINK406"/>
      <w:bookmarkStart w:id="58" w:name="OLE_LINK407"/>
      <w:bookmarkStart w:id="59" w:name="OLE_LINK629"/>
      <w:bookmarkStart w:id="60" w:name="OLE_LINK630"/>
      <w:bookmarkStart w:id="61" w:name="OLE_LINK1908"/>
      <w:bookmarkStart w:id="62" w:name="OLE_LINK1864"/>
      <w:bookmarkStart w:id="63" w:name="OLE_LINK2809"/>
      <w:bookmarkStart w:id="64" w:name="OLE_LINK2930"/>
      <w:bookmarkStart w:id="65" w:name="OLE_LINK2296"/>
      <w:bookmarkStart w:id="66" w:name="OLE_LINK2297"/>
      <w:bookmarkStart w:id="67" w:name="OLE_LINK401"/>
      <w:bookmarkStart w:id="68" w:name="OLE_LINK402"/>
      <w:bookmarkStart w:id="69" w:name="OLE_LINK99"/>
      <w:bookmarkStart w:id="70" w:name="OLE_LINK100"/>
      <w:bookmarkStart w:id="71" w:name="OLE_LINK271"/>
      <w:bookmarkStart w:id="72" w:name="OLE_LINK272"/>
      <w:bookmarkStart w:id="73" w:name="OLE_LINK300"/>
      <w:bookmarkStart w:id="74" w:name="OLE_LINK302"/>
      <w:bookmarkStart w:id="75" w:name="OLE_LINK449"/>
      <w:bookmarkStart w:id="76" w:name="OLE_LINK450"/>
      <w:bookmarkStart w:id="77" w:name="OLE_LINK456"/>
      <w:bookmarkStart w:id="78" w:name="OLE_LINK705"/>
      <w:bookmarkStart w:id="79" w:name="OLE_LINK522"/>
      <w:bookmarkStart w:id="80" w:name="OLE_LINK621"/>
      <w:bookmarkStart w:id="81" w:name="OLE_LINK1242"/>
      <w:bookmarkStart w:id="82" w:name="OLE_LINK1102"/>
      <w:bookmarkStart w:id="83" w:name="OLE_LINK1103"/>
      <w:bookmarkStart w:id="84" w:name="OLE_LINK1546"/>
      <w:bookmarkStart w:id="85" w:name="OLE_LINK2014"/>
      <w:bookmarkStart w:id="86" w:name="OLE_LINK2015"/>
      <w:bookmarkStart w:id="87" w:name="OLE_LINK2138"/>
      <w:bookmarkStart w:id="88" w:name="OLE_LINK2139"/>
      <w:bookmarkStart w:id="89" w:name="OLE_LINK2202"/>
      <w:bookmarkStart w:id="90" w:name="OLE_LINK2203"/>
      <w:bookmarkStart w:id="91" w:name="OLE_LINK2205"/>
      <w:bookmarkStart w:id="92" w:name="OLE_LINK2206"/>
      <w:bookmarkStart w:id="93" w:name="OLE_LINK2485"/>
      <w:bookmarkStart w:id="94" w:name="OLE_LINK2398"/>
      <w:bookmarkEnd w:id="20"/>
      <w:bookmarkEnd w:id="21"/>
      <w:r w:rsidRPr="00617CD2">
        <w:rPr>
          <w:rFonts w:ascii="Book Antiqua" w:hAnsi="Book Antiqua"/>
          <w:b/>
          <w:bCs/>
          <w:sz w:val="24"/>
          <w:szCs w:val="24"/>
        </w:rPr>
        <w:t>Available from:</w:t>
      </w:r>
      <w:r w:rsidRPr="00617CD2">
        <w:rPr>
          <w:rFonts w:ascii="Book Antiqua" w:hAnsi="Book Antiqua"/>
          <w:sz w:val="24"/>
          <w:szCs w:val="24"/>
        </w:rPr>
        <w:t xml:space="preserve"> </w:t>
      </w:r>
      <w:bookmarkEnd w:id="55"/>
      <w:bookmarkEnd w:id="56"/>
      <w:r w:rsidRPr="00617CD2">
        <w:rPr>
          <w:rFonts w:ascii="Book Antiqua" w:hAnsi="Book Antiqua"/>
          <w:color w:val="000000"/>
          <w:sz w:val="24"/>
          <w:szCs w:val="24"/>
        </w:rPr>
        <w:t>URL: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7CD2">
        <w:rPr>
          <w:rFonts w:ascii="Book Antiqua" w:hAnsi="Book Antiqua"/>
          <w:color w:val="000000"/>
          <w:sz w:val="24"/>
          <w:szCs w:val="24"/>
        </w:rPr>
        <w:t xml:space="preserve"> </w:t>
      </w:r>
      <w:bookmarkEnd w:id="65"/>
      <w:bookmarkEnd w:id="66"/>
      <w:r w:rsidRPr="00617CD2">
        <w:rPr>
          <w:rFonts w:ascii="Book Antiqua" w:hAnsi="Book Antiqua"/>
          <w:color w:val="000000"/>
          <w:sz w:val="24"/>
          <w:szCs w:val="24"/>
        </w:rPr>
        <w:t>http://</w:t>
      </w:r>
      <w:bookmarkEnd w:id="67"/>
      <w:bookmarkEnd w:id="68"/>
      <w:r w:rsidRPr="00617CD2">
        <w:rPr>
          <w:rFonts w:ascii="Book Antiqua" w:hAnsi="Book Antiqua"/>
          <w:color w:val="000000"/>
          <w:sz w:val="24"/>
          <w:szCs w:val="24"/>
        </w:rPr>
        <w:t>www.wjgnet.com/esps/</w:t>
      </w:r>
      <w:r w:rsidR="00F40FBF" w:rsidRPr="00617CD2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5B0A96" w:rsidRPr="00617CD2" w:rsidRDefault="005A2B8B" w:rsidP="005A2B8B">
      <w:pPr>
        <w:widowControl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bookmarkStart w:id="95" w:name="OLE_LINK399"/>
      <w:bookmarkStart w:id="96" w:name="OLE_LINK400"/>
      <w:bookmarkStart w:id="97" w:name="OLE_LINK494"/>
      <w:bookmarkStart w:id="98" w:name="OLE_LINK495"/>
      <w:bookmarkStart w:id="99" w:name="OLE_LINK607"/>
      <w:bookmarkStart w:id="100" w:name="OLE_LINK608"/>
      <w:bookmarkStart w:id="101" w:name="OLE_LINK609"/>
      <w:bookmarkStart w:id="102" w:name="OLE_LINK727"/>
      <w:bookmarkStart w:id="103" w:name="OLE_LINK853"/>
      <w:bookmarkStart w:id="104" w:name="OLE_LINK585"/>
      <w:bookmarkStart w:id="105" w:name="OLE_LINK689"/>
      <w:bookmarkStart w:id="106" w:name="OLE_LINK539"/>
      <w:bookmarkEnd w:id="69"/>
      <w:bookmarkEnd w:id="70"/>
      <w:bookmarkEnd w:id="71"/>
      <w:bookmarkEnd w:id="72"/>
      <w:bookmarkEnd w:id="73"/>
      <w:bookmarkEnd w:id="74"/>
      <w:r w:rsidRPr="00617CD2">
        <w:rPr>
          <w:rFonts w:ascii="Book Antiqua" w:hAnsi="Book Antiqua" w:cs="Times New Roman"/>
          <w:b/>
          <w:bCs/>
          <w:kern w:val="2"/>
          <w:sz w:val="24"/>
          <w:szCs w:val="24"/>
        </w:rPr>
        <w:t xml:space="preserve">DOI: </w:t>
      </w:r>
      <w:r w:rsidRPr="00617CD2">
        <w:rPr>
          <w:rFonts w:ascii="Book Antiqua" w:hAnsi="Book Antiqua" w:cs="Times New Roman"/>
          <w:bCs/>
          <w:kern w:val="2"/>
          <w:sz w:val="24"/>
          <w:szCs w:val="24"/>
        </w:rPr>
        <w:t>http://dx.doi.org/10.</w:t>
      </w:r>
      <w:r w:rsidRPr="00617CD2">
        <w:rPr>
          <w:rFonts w:ascii="Book Antiqua" w:hAnsi="Book Antiqua" w:cs="Times New Roman"/>
          <w:bCs/>
          <w:kern w:val="2"/>
          <w:sz w:val="24"/>
          <w:szCs w:val="24"/>
          <w:lang w:eastAsia="zh-CN"/>
        </w:rPr>
        <w:t>5314</w:t>
      </w:r>
      <w:r w:rsidRPr="00617CD2">
        <w:rPr>
          <w:rFonts w:ascii="Book Antiqua" w:hAnsi="Book Antiqua" w:cs="Times New Roman"/>
          <w:bCs/>
          <w:kern w:val="2"/>
          <w:sz w:val="24"/>
          <w:szCs w:val="24"/>
        </w:rPr>
        <w:t>/wj</w:t>
      </w:r>
      <w:r w:rsidRPr="00617CD2">
        <w:rPr>
          <w:rFonts w:ascii="Book Antiqua" w:hAnsi="Book Antiqua" w:cs="Times New Roman"/>
          <w:bCs/>
          <w:kern w:val="2"/>
          <w:sz w:val="24"/>
          <w:szCs w:val="24"/>
          <w:lang w:eastAsia="zh-CN"/>
        </w:rPr>
        <w:t>d</w:t>
      </w:r>
      <w:r w:rsidRPr="00617CD2">
        <w:rPr>
          <w:rFonts w:ascii="Book Antiqua" w:hAnsi="Book Antiqua" w:cs="Times New Roman"/>
          <w:bCs/>
          <w:kern w:val="2"/>
          <w:sz w:val="24"/>
          <w:szCs w:val="24"/>
        </w:rPr>
        <w:t>.v.i0.0000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5B0A96" w:rsidRPr="00617CD2" w:rsidRDefault="005B0A96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</w:p>
    <w:p w:rsidR="005B0A96" w:rsidRPr="00617CD2" w:rsidRDefault="005B0A96" w:rsidP="005A2B8B">
      <w:pPr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</w:p>
    <w:p w:rsidR="005B0A96" w:rsidRPr="00617CD2" w:rsidRDefault="005B0A96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br w:type="page"/>
      </w:r>
    </w:p>
    <w:p w:rsidR="005A2B8B" w:rsidRPr="00617CD2" w:rsidRDefault="005A2B8B" w:rsidP="005A2B8B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617CD2">
        <w:rPr>
          <w:rFonts w:ascii="Book Antiqua" w:hAnsi="Book Antiqua" w:cs="Arial"/>
          <w:b/>
          <w:sz w:val="24"/>
          <w:szCs w:val="24"/>
          <w:lang w:val="en-US" w:eastAsia="zh-CN"/>
        </w:rPr>
        <w:lastRenderedPageBreak/>
        <w:t>INTRODUCTION</w:t>
      </w:r>
    </w:p>
    <w:p w:rsidR="00D6153B" w:rsidRPr="00617CD2" w:rsidRDefault="00896D12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Psoriasis </w:t>
      </w:r>
      <w:r w:rsidR="005D6C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is a 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chronic, systemic, </w:t>
      </w:r>
      <w:r w:rsidR="0062400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T-cell 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immune-mediated inflammatory </w:t>
      </w:r>
      <w:r w:rsidR="005D6C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skin disorder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characterized by </w:t>
      </w:r>
      <w:r w:rsidR="005D6C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dermal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joint </w:t>
      </w: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manifestations</w:t>
      </w:r>
      <w:r w:rsidR="00780D8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80D8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</w:t>
      </w:r>
      <w:r w:rsidR="005A2B8B" w:rsidRPr="00617CD2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,</w:t>
      </w:r>
      <w:r w:rsidR="00780D8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2]</w:t>
      </w:r>
      <w:r w:rsidR="005D6C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 The</w:t>
      </w:r>
      <w:r w:rsidR="00215D0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prevalence</w:t>
      </w:r>
      <w:r w:rsidR="005D6C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of psoriasis</w:t>
      </w:r>
      <w:r w:rsidR="00215D0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varies approximately from 0.1</w:t>
      </w:r>
      <w:r w:rsidR="005A2B8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%</w:t>
      </w:r>
      <w:r w:rsidR="00215D0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to 3</w:t>
      </w:r>
      <w:r w:rsidR="005A2B8B" w:rsidRPr="00617CD2">
        <w:rPr>
          <w:rFonts w:ascii="Book Antiqua" w:hAnsi="Book Antiqua" w:cs="Arial"/>
          <w:sz w:val="24"/>
          <w:szCs w:val="24"/>
          <w:lang w:val="en-US" w:eastAsia="zh-CN"/>
        </w:rPr>
        <w:t>.0</w:t>
      </w:r>
      <w:r w:rsidR="00215D0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% </w:t>
      </w:r>
      <w:r w:rsidR="00A5456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worldwide,</w:t>
      </w:r>
      <w:r w:rsidR="00215D0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with a me</w:t>
      </w:r>
      <w:r w:rsidR="005D6C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an prevalence rate of 1.90% in W</w:t>
      </w:r>
      <w:r w:rsidR="00215D0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estern countries</w:t>
      </w:r>
      <w:r w:rsidR="00027C6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a lower prevalence </w:t>
      </w:r>
      <w:proofErr w:type="gramStart"/>
      <w:r w:rsidR="00027C6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elsewhere</w:t>
      </w:r>
      <w:r w:rsidR="00215D0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80D8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3</w:t>
      </w:r>
      <w:r w:rsidR="00215D0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215D0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</w:p>
    <w:p w:rsidR="00896D12" w:rsidRPr="00617CD2" w:rsidRDefault="005D6C35" w:rsidP="005A2B8B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Its </w:t>
      </w:r>
      <w:r w:rsidR="00D6153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etiology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is</w:t>
      </w:r>
      <w:r w:rsidR="00D6153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unknown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; however, the interplay </w:t>
      </w:r>
      <w:r w:rsidR="00D6153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between genetic susceptibility and exogenous environmental factors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plays an important </w:t>
      </w: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role</w:t>
      </w:r>
      <w:r w:rsidR="00941CA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941CA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2]</w:t>
      </w:r>
      <w:r w:rsidR="00D6153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Several </w:t>
      </w:r>
      <w:r w:rsidR="006837C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human leukocyte antigen (HLA)</w:t>
      </w:r>
      <w:r w:rsidR="00D6153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alleles </w:t>
      </w:r>
      <w:r w:rsidR="00E1335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including HLA-</w:t>
      </w:r>
      <w:proofErr w:type="spellStart"/>
      <w:r w:rsidR="00E1335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Cw</w:t>
      </w:r>
      <w:proofErr w:type="spellEnd"/>
      <w:r w:rsidR="00E1335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*0602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non-HLA related genes</w:t>
      </w:r>
      <w:r w:rsidRPr="00617CD2">
        <w:rPr>
          <w:rFonts w:ascii="Book Antiqua" w:hAnsi="Book Antiqua"/>
          <w:sz w:val="24"/>
          <w:szCs w:val="24"/>
          <w:lang w:val="en-US"/>
        </w:rPr>
        <w:t xml:space="preserve"> 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such as </w:t>
      </w:r>
      <w:r w:rsidR="005C6D5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interleukin</w:t>
      </w:r>
      <w:r w:rsidR="005C6D54" w:rsidRPr="00617CD2">
        <w:rPr>
          <w:rFonts w:ascii="Book Antiqua" w:hAnsi="Book Antiqua" w:cs="Arial"/>
          <w:sz w:val="24"/>
          <w:szCs w:val="24"/>
          <w:lang w:val="en-US" w:eastAsia="zh-CN"/>
        </w:rPr>
        <w:t xml:space="preserve"> (</w:t>
      </w:r>
      <w:r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>IL</w:t>
      </w:r>
      <w:r w:rsidR="005C6D54" w:rsidRPr="00617CD2">
        <w:rPr>
          <w:rFonts w:ascii="Book Antiqua" w:hAnsi="Book Antiqua" w:cs="Arial"/>
          <w:sz w:val="24"/>
          <w:szCs w:val="24"/>
          <w:lang w:val="en-US" w:eastAsia="zh-CN"/>
        </w:rPr>
        <w:t>)</w:t>
      </w:r>
      <w:r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>-12B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</w:t>
      </w:r>
      <w:r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>IL-23R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genes</w:t>
      </w:r>
      <w:r w:rsidR="00E1335A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are associated with psoriasis </w:t>
      </w: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risk</w:t>
      </w:r>
      <w:r w:rsidR="00B46FA2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B46FA2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1,4]</w:t>
      </w:r>
      <w:r w:rsidR="005427B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</w:p>
    <w:p w:rsidR="006837C4" w:rsidRPr="00617CD2" w:rsidRDefault="006837C4" w:rsidP="005A2B8B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F41553" w:rsidRPr="00617CD2" w:rsidRDefault="00F41553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P</w:t>
      </w:r>
      <w:r w:rsidR="005D56D7"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SORIASIS AS A CHRONIC INFLAMMATORY DISEASE</w:t>
      </w:r>
    </w:p>
    <w:p w:rsidR="005427B7" w:rsidRPr="00617CD2" w:rsidRDefault="00AA37C5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There is accumulating evidence that the characteristic T</w:t>
      </w:r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-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h</w:t>
      </w:r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elper (</w:t>
      </w:r>
      <w:proofErr w:type="spellStart"/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Th</w:t>
      </w:r>
      <w:proofErr w:type="spellEnd"/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)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-1 chronic inflammation seen in the psoriatic plaque may be connected with the systemic chronic inflammatory p</w:t>
      </w:r>
      <w:r w:rsidR="009A300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rocess seen in atherosclerosis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insulin resistance through various inflammatory mediators and </w:t>
      </w: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cells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227B8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5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The contribution of T cells to psoriasis pathophysiology shows the extent of its systemic involvement. 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Indeed, Th</w:t>
      </w:r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-1, Th-17 and Th-22 cell populations are expanded and enhanced to secrete inflammatory cytokines, comprising tumor necrosis factor-</w:t>
      </w:r>
      <w:r w:rsidR="00233C9B" w:rsidRPr="00617CD2">
        <w:rPr>
          <w:rFonts w:ascii="Book Antiqua" w:eastAsia="Times New Roman" w:hAnsi="Book Antiqua" w:cs="Arial"/>
          <w:sz w:val="24"/>
          <w:szCs w:val="24"/>
          <w:lang w:eastAsia="el-GR"/>
        </w:rPr>
        <w:t>α</w:t>
      </w:r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(TNF-</w:t>
      </w:r>
      <w:r w:rsidR="00233C9B" w:rsidRPr="00617CD2">
        <w:rPr>
          <w:rFonts w:ascii="Book Antiqua" w:eastAsia="Times New Roman" w:hAnsi="Book Antiqua" w:cs="Arial"/>
          <w:sz w:val="24"/>
          <w:szCs w:val="24"/>
          <w:lang w:eastAsia="el-GR"/>
        </w:rPr>
        <w:t>α</w:t>
      </w:r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), IL-17 and IL-22</w:t>
      </w:r>
      <w:r w:rsidR="00233C9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r w:rsidR="00227B8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</w:t>
      </w:r>
      <w:r w:rsidR="005C6D54" w:rsidRPr="00617CD2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,</w:t>
      </w:r>
      <w:r w:rsidR="00227B8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2]</w:t>
      </w:r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 The psoriatic inflammatory pathology may play a role in immune and metabolic changes that contribute to the perpetuation of psoriasis and the development of co-</w:t>
      </w:r>
      <w:proofErr w:type="gramStart"/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morbidities</w:t>
      </w:r>
      <w:r w:rsidR="00233C9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5C6D5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3,</w:t>
      </w:r>
      <w:r w:rsidR="00227B8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6</w:t>
      </w:r>
      <w:r w:rsidR="00233C9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233C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717D1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In contrast to rheumatoid arthritis, psoriasis is not a systematic disease </w:t>
      </w:r>
      <w:r w:rsidR="00717D14"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>per se</w:t>
      </w:r>
      <w:r w:rsidR="00717D1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with multi-organ involvement (except joints); however, accumulating medical evidence supports the assertion that psoriasis may be a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potential </w:t>
      </w:r>
      <w:r w:rsidR="00717D1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multisystem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inflammatory disease associated with a range of co</w:t>
      </w:r>
      <w:r w:rsidR="00C06A9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-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morbidities exhibiting an overlapping pathology</w:t>
      </w:r>
      <w:r w:rsidR="00717D1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</w:t>
      </w:r>
      <w:r w:rsidR="00423B2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n important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health </w:t>
      </w:r>
      <w:r w:rsidR="00423B2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impact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such as metabolic diseases, cardiovascular disease</w:t>
      </w:r>
      <w:r w:rsidR="00B362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(CVD)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autoimmune disease, psychiatric disorders, </w:t>
      </w:r>
      <w:r w:rsidR="002556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malignancy, chronic obstructive pulmonary disease and sleep apnea</w:t>
      </w:r>
      <w:r w:rsidR="00255606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r w:rsidR="005C6D5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2,</w:t>
      </w:r>
      <w:r w:rsidR="007B771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7</w:t>
      </w:r>
      <w:r w:rsidR="005C6D54" w:rsidRPr="00617CD2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,</w:t>
      </w:r>
      <w:r w:rsidR="007B771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8</w:t>
      </w:r>
      <w:r w:rsidR="00255606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2556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</w:p>
    <w:p w:rsidR="00F41553" w:rsidRPr="00617CD2" w:rsidRDefault="00F41553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lastRenderedPageBreak/>
        <w:t>P</w:t>
      </w:r>
      <w:r w:rsidR="005D56D7"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SORIASIS AND THE RISK OF METABOLIC CO-MORBIDITIES</w:t>
      </w:r>
    </w:p>
    <w:p w:rsidR="00090B9B" w:rsidRPr="00617CD2" w:rsidRDefault="00295B12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Metabolic diseases such as obesity, </w:t>
      </w:r>
      <w:r w:rsidR="007A535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insulin resistance, 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metabolic syndrome (Mets), diabetes type 2</w:t>
      </w:r>
      <w:r w:rsidR="0020526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(t2DM)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dyslipidemia occur at a higher frequency</w:t>
      </w:r>
      <w:r w:rsidR="0020526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in </w:t>
      </w:r>
      <w:proofErr w:type="spellStart"/>
      <w:r w:rsidR="0020526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psoriatics</w:t>
      </w:r>
      <w:proofErr w:type="spellEnd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than </w:t>
      </w:r>
      <w:r w:rsidR="0020526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general </w:t>
      </w: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population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5C6D5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3,</w:t>
      </w:r>
      <w:r w:rsidR="00765EF7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9-12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583AC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Indeed, substantial evidence shows that psoriasis is associated with an increased risk of </w:t>
      </w:r>
      <w:proofErr w:type="gramStart"/>
      <w:r w:rsidR="00583AC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obesity</w:t>
      </w:r>
      <w:r w:rsidR="00583AC7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5C6D5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3,</w:t>
      </w:r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9</w:t>
      </w:r>
      <w:r w:rsidR="00583AC7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583AC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 Obesity is more common in psoriatic arthritis (</w:t>
      </w:r>
      <w:proofErr w:type="spellStart"/>
      <w:r w:rsidR="00583AC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PsA</w:t>
      </w:r>
      <w:proofErr w:type="spellEnd"/>
      <w:r w:rsidR="00583AC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) than in rheumatoid </w:t>
      </w:r>
      <w:proofErr w:type="gramStart"/>
      <w:r w:rsidR="00583AC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arthritis</w:t>
      </w:r>
      <w:r w:rsidR="00583AC7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11</w:t>
      </w:r>
      <w:r w:rsidR="00583AC7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583AC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Central or abdominal obesity represents an important component of Mets along with impaired glucose tolerance, elevated blood pressure and dyslipidemia. </w:t>
      </w:r>
      <w:r w:rsidR="005953A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A recent meta-analysis has provided further evidence that psoriatic patients present a higher prevalence of Mets than the general </w:t>
      </w:r>
      <w:proofErr w:type="gramStart"/>
      <w:r w:rsidR="005953A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population</w:t>
      </w:r>
      <w:r w:rsidR="005953AC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13</w:t>
      </w:r>
      <w:r w:rsidR="005953AC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5953A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 particular, the prevalence of Mets in psoriatic patients is higher than that of the general population, being 40% in the U</w:t>
      </w:r>
      <w:r w:rsidR="005C6D54" w:rsidRPr="00617CD2">
        <w:rPr>
          <w:rFonts w:ascii="Book Antiqua" w:hAnsi="Book Antiqua" w:cs="Arial"/>
          <w:sz w:val="24"/>
          <w:szCs w:val="24"/>
          <w:lang w:val="en-US" w:eastAsia="zh-CN"/>
        </w:rPr>
        <w:t>nited States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27.4% in </w:t>
      </w:r>
      <w:proofErr w:type="gramStart"/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Japan</w:t>
      </w:r>
      <w:r w:rsidR="0051504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515044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9]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Additionally, patients with </w:t>
      </w:r>
      <w:proofErr w:type="spellStart"/>
      <w:r w:rsidR="005953A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PsA</w:t>
      </w:r>
      <w:proofErr w:type="spellEnd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present significantly higher prevalence of Mets compared to the general </w:t>
      </w: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population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3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090B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Whether the connection between Mets, obesity and psoriasis is valid for the full spectrum of psoriasis patients or only </w:t>
      </w:r>
      <w:r w:rsidR="005E6F9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for </w:t>
      </w:r>
      <w:r w:rsidR="00090B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those with more severe psoriasis remains controversial. </w:t>
      </w:r>
      <w:r w:rsidR="00CF5B3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N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one</w:t>
      </w:r>
      <w:r w:rsidR="00CF5B3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theless</w:t>
      </w:r>
      <w:r w:rsidR="00090B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 psoriasis was independently associated with Mets and followed a “dose-response” relationship from mild to severe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proofErr w:type="gramStart"/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psoriasis</w:t>
      </w:r>
      <w:r w:rsidR="00090B9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C1526C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10</w:t>
      </w:r>
      <w:r w:rsidR="00C1526C" w:rsidRPr="00617CD2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,</w:t>
      </w:r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11</w:t>
      </w:r>
      <w:r w:rsidR="00090B9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090B9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="000A33E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Also, 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o</w:t>
      </w:r>
      <w:r w:rsidR="000A33E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besity as expressed by the</w:t>
      </w:r>
      <w:r w:rsidR="00C1526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body mass ind</w:t>
      </w:r>
      <w:r w:rsidR="000A33E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ex (BMI) was </w:t>
      </w:r>
      <w:r w:rsidR="000F180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positively</w:t>
      </w:r>
      <w:r w:rsidR="000A33E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associated wi</w:t>
      </w:r>
      <w:r w:rsidR="00C1526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th psoriasis area and severity in</w:t>
      </w:r>
      <w:r w:rsidR="000A33E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dex (PASI) </w:t>
      </w:r>
      <w:proofErr w:type="gramStart"/>
      <w:r w:rsidR="000A33E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score</w:t>
      </w:r>
      <w:r w:rsidR="000A33E0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10-13</w:t>
      </w:r>
      <w:r w:rsidR="000A33E0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0A33E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B362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The parameters defining Mets go hand in hand with an elevated risk for t2DM and CVD while emerging data indi</w:t>
      </w:r>
      <w:r w:rsidR="00BF1BA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cate</w:t>
      </w:r>
      <w:r w:rsidR="00B362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that psoriasis could be an independent risk factor for </w:t>
      </w:r>
      <w:proofErr w:type="gramStart"/>
      <w:r w:rsidR="0076024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CVD</w:t>
      </w:r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6</w:t>
      </w:r>
      <w:r w:rsidR="00B36235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B3623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4E551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Psoria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sis</w:t>
      </w:r>
      <w:r w:rsidR="004E551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patients demonstrate more frequently insulin resistance compared to healthy controls when challenged with oral glucose tolerance test and present an increased </w:t>
      </w:r>
      <w:r w:rsidR="00BF1BA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risk</w:t>
      </w:r>
      <w:r w:rsidR="004E551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of t2DM, particularly female </w:t>
      </w:r>
      <w:proofErr w:type="gramStart"/>
      <w:r w:rsidR="004E551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patients</w:t>
      </w:r>
      <w:r w:rsidR="004E5518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C1526C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6,</w:t>
      </w:r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12</w:t>
      </w:r>
      <w:r w:rsidR="004E5518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4E551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="00F40FB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BF1BA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The adjusted risk ratios for t2DM risk following psoriasis vary between 1.08 and 3.61</w:t>
      </w:r>
      <w:r w:rsidR="00BF1BA5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12</w:t>
      </w:r>
      <w:r w:rsidR="00BF1BA5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561A5D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</w:t>
      </w:r>
      <w:r w:rsidR="00BF1BA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being somewhat stronger in Asian than in European and American </w:t>
      </w:r>
      <w:proofErr w:type="gramStart"/>
      <w:r w:rsidR="00BF1BA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studies</w:t>
      </w:r>
      <w:r w:rsidR="00BF1BA5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12</w:t>
      </w:r>
      <w:r w:rsidR="00BF1BA5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BF1BA5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C968C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The risk of t2DM increases in patients with psoriasis and </w:t>
      </w:r>
      <w:proofErr w:type="spellStart"/>
      <w:r w:rsidR="00C968C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PsA</w:t>
      </w:r>
      <w:proofErr w:type="spellEnd"/>
      <w:r w:rsidR="00C968C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with BMI, psoriasis severity and duration </w:t>
      </w:r>
      <w:r w:rsidR="00C968C3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11</w:t>
      </w:r>
      <w:r w:rsidR="00C968C3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C968C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="00F40FB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525F6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Finally, psoria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sis</w:t>
      </w:r>
      <w:r w:rsidR="00525F6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patients are at increased risk for non-alcoholic fatty liver disease and liver fibrosis compared to healthy </w:t>
      </w:r>
      <w:proofErr w:type="gramStart"/>
      <w:r w:rsidR="00525F6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controls</w:t>
      </w:r>
      <w:r w:rsidR="00525F69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10</w:t>
      </w:r>
      <w:r w:rsidR="00525F69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525F6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</w:p>
    <w:p w:rsidR="00A532A2" w:rsidRPr="00617CD2" w:rsidRDefault="00451E84" w:rsidP="00F86729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lastRenderedPageBreak/>
        <w:t xml:space="preserve">Both psoriasis and 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metabolic co-morbidities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share common genetic predispositio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n. For example, the psoriasis genetic risk loci </w:t>
      </w:r>
      <w:r w:rsidR="007C0ED3"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>PSORS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2</w:t>
      </w:r>
      <w:r w:rsidR="00F86729" w:rsidRPr="00617CD2">
        <w:rPr>
          <w:rFonts w:ascii="Book Antiqua" w:hAnsi="Book Antiqua" w:cs="Arial"/>
          <w:sz w:val="24"/>
          <w:szCs w:val="24"/>
          <w:lang w:val="en-US" w:eastAsia="zh-CN"/>
        </w:rPr>
        <w:t>-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4 and </w:t>
      </w:r>
      <w:r w:rsidR="007C0ED3"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>CDKAL1</w:t>
      </w:r>
      <w:r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 xml:space="preserve"> 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are associated with susceptibility of </w:t>
      </w:r>
      <w:proofErr w:type="gramStart"/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t2DM</w:t>
      </w:r>
      <w:r w:rsidR="007C0ED3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12</w:t>
      </w:r>
      <w:r w:rsidR="007C0ED3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="00F40FB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Furthermore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psoriasis and metabolic co-morbidities share common risk factors such as smoking, </w:t>
      </w:r>
      <w:r w:rsidR="00A028D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weight gain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physical inactivity and psychological </w:t>
      </w: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stress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9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proofErr w:type="spellStart"/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</w:t>
      </w:r>
      <w:r w:rsidR="00BD53B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soriatics</w:t>
      </w:r>
      <w:proofErr w:type="spellEnd"/>
      <w:r w:rsidR="00BD53B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are more likely to lead unhealthy lifestyles and to present psychological impairment suffering thus, from obesity, Mets, </w:t>
      </w:r>
      <w:r w:rsidR="00A028D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t2DM</w:t>
      </w:r>
      <w:r w:rsidR="00BD53B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anxiety and</w:t>
      </w:r>
      <w:r w:rsidR="00BD53B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depression as a result. </w:t>
      </w:r>
      <w:r w:rsidR="00A028D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Moreover, </w:t>
      </w:r>
      <w:r w:rsidR="00A532A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severe psoriasis greatly affects patients and is associated with habits (</w:t>
      </w:r>
      <w:r w:rsidR="00F86729"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>i.e.,</w:t>
      </w:r>
      <w:r w:rsidR="00A532A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eating, smoking, alcohol) and states of mind (</w:t>
      </w:r>
      <w:r w:rsidR="00F86729" w:rsidRPr="00617CD2">
        <w:rPr>
          <w:rFonts w:ascii="Book Antiqua" w:eastAsia="Times New Roman" w:hAnsi="Book Antiqua" w:cs="Arial"/>
          <w:i/>
          <w:sz w:val="24"/>
          <w:szCs w:val="24"/>
          <w:lang w:val="en-US" w:eastAsia="el-GR"/>
        </w:rPr>
        <w:t>i.e.,</w:t>
      </w:r>
      <w:r w:rsidR="00A532A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depression) that may represent risk factors for metabolic co-</w:t>
      </w:r>
      <w:proofErr w:type="gramStart"/>
      <w:r w:rsidR="00A532A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morbidities</w:t>
      </w:r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76024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8]</w:t>
      </w:r>
      <w:r w:rsidR="00A532A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Hence, all these </w:t>
      </w:r>
      <w:r w:rsidR="00A532A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genetic,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lifestyle parameters and the underlying chronic systemic psoriatic inflammation may contribute</w:t>
      </w:r>
      <w:r w:rsidR="0051504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in tandem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to an increased risk for 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metabolic co-morbidities and CVD.</w:t>
      </w:r>
      <w:r w:rsidR="00BD53BB" w:rsidRPr="00617CD2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F86729" w:rsidRPr="00617CD2" w:rsidRDefault="00F86729" w:rsidP="00F86729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027C64" w:rsidRPr="00617CD2" w:rsidRDefault="00027C64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M</w:t>
      </w:r>
      <w:r w:rsidR="00463987"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ETABOLIC DISEASES AND THE RISK OF PSORIASIS</w:t>
      </w:r>
    </w:p>
    <w:p w:rsidR="00291568" w:rsidRPr="00617CD2" w:rsidRDefault="00291568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Although there is a strong association between psoriasis and metabolic diseases, the etiology of this link remains enigmatic. Whether excess weight is a </w:t>
      </w:r>
      <w:r w:rsidR="002D07C0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predisposing factor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or a manifestation of psoriasis is still controversial. Recent evidence from large prospective studies suggests that obesity </w:t>
      </w:r>
      <w:r w:rsidR="007661D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constitutes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 risk factor for psoriasis</w:t>
      </w:r>
      <w:r w:rsidR="003447C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</w:t>
      </w:r>
      <w:proofErr w:type="spellStart"/>
      <w:r w:rsidR="003447CC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PsA</w:t>
      </w:r>
      <w:proofErr w:type="spellEnd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development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B60C6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6,11,</w:t>
      </w:r>
      <w:r w:rsidR="00021866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14</w:t>
      </w:r>
      <w:r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="00F40FB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Additional data ha</w:t>
      </w:r>
      <w:r w:rsidR="0002186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ve</w:t>
      </w:r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revealed that a </w:t>
      </w:r>
      <w:proofErr w:type="spellStart"/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dyslipidemic</w:t>
      </w:r>
      <w:proofErr w:type="spellEnd"/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profile characterized by elevated triglycerides, total and </w:t>
      </w:r>
      <w:r w:rsidR="00B60C6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low-density lipoprotein</w:t>
      </w:r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cholesterol as well as </w:t>
      </w:r>
      <w:r w:rsidR="007200C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decreased</w:t>
      </w:r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B60C6B" w:rsidRPr="00617CD2">
        <w:rPr>
          <w:rFonts w:ascii="Book Antiqua" w:hAnsi="Book Antiqua" w:cs="Arial"/>
          <w:sz w:val="24"/>
          <w:szCs w:val="24"/>
          <w:lang w:val="en-US" w:eastAsia="zh-CN"/>
        </w:rPr>
        <w:t>high</w:t>
      </w:r>
      <w:r w:rsidR="00B60C6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-density lipoprotein</w:t>
      </w:r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levels precedes psoriasis </w:t>
      </w:r>
      <w:proofErr w:type="gramStart"/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onset</w:t>
      </w:r>
      <w:r w:rsidR="001F72C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B60C6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9,</w:t>
      </w:r>
      <w:r w:rsidR="001D0BC5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15</w:t>
      </w:r>
      <w:r w:rsidR="001F72CB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1F72C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7200C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Whether obesity and its metabolic complications are the causes or the effects of psoriasis, the obese state may exacerbate the severity of psoriasis as confirmed in a number of cross-sectional studies whereas increased BMI co</w:t>
      </w:r>
      <w:r w:rsidR="007661D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rrelates positively with</w:t>
      </w:r>
      <w:r w:rsidR="007200C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PASI and psoriasis </w:t>
      </w:r>
      <w:proofErr w:type="gramStart"/>
      <w:r w:rsidR="007200C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area</w:t>
      </w:r>
      <w:r w:rsidR="007200C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C82D7F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6</w:t>
      </w:r>
      <w:r w:rsidR="007200CE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7200C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</w:p>
    <w:p w:rsidR="000A33E0" w:rsidRPr="00617CD2" w:rsidRDefault="005D56D7" w:rsidP="00F40FBF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Both 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obesity</w:t>
      </w:r>
      <w:proofErr w:type="gramEnd"/>
      <w:r w:rsidR="00175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Mets and psoriasis, characterized as chronic inflammatory states, stem from a shared underlying </w:t>
      </w:r>
      <w:r w:rsidR="007C0ED3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pathophysiology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="00F40FB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Apart from its </w:t>
      </w:r>
      <w:r w:rsidR="00AE2EE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energy 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storage function, adipose tissue </w:t>
      </w:r>
      <w:r w:rsidR="00AE2EE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is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AE2EE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 genuine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endocrine organ secreting several bioactive </w:t>
      </w:r>
      <w:proofErr w:type="spellStart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adipocytokines</w:t>
      </w:r>
      <w:proofErr w:type="spellEnd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regulating physiological and pathological processes, </w:t>
      </w:r>
      <w:r w:rsidR="00AE2EE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lastRenderedPageBreak/>
        <w:t>including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appetite, insulin sensitivity and resistance, immunity, </w:t>
      </w:r>
      <w:r w:rsidR="00AE2EE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and 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inflammation</w:t>
      </w:r>
      <w:r w:rsidR="00732449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r w:rsidR="00C82D7F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16-19</w:t>
      </w:r>
      <w:r w:rsidR="00732449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="00F40FB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Increased adiposity</w:t>
      </w:r>
      <w:r w:rsidR="00707931" w:rsidRPr="00617CD2">
        <w:rPr>
          <w:rFonts w:ascii="Book Antiqua" w:hAnsi="Book Antiqua"/>
          <w:sz w:val="24"/>
          <w:szCs w:val="24"/>
          <w:lang w:val="en-US"/>
        </w:rPr>
        <w:t xml:space="preserve"> f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ollowing weight gain is associated with elevated levels of </w:t>
      </w:r>
      <w:proofErr w:type="spellStart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adipocytokines</w:t>
      </w:r>
      <w:proofErr w:type="spellEnd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comprising </w:t>
      </w:r>
      <w:r w:rsidR="0089565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TNF-</w:t>
      </w:r>
      <w:r w:rsidR="0089565E" w:rsidRPr="00617CD2">
        <w:rPr>
          <w:rFonts w:ascii="Book Antiqua" w:eastAsia="Times New Roman" w:hAnsi="Book Antiqua" w:cs="Arial"/>
          <w:sz w:val="24"/>
          <w:szCs w:val="24"/>
          <w:lang w:eastAsia="el-GR"/>
        </w:rPr>
        <w:t>α</w:t>
      </w:r>
      <w:r w:rsidR="0089565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IL-6, </w:t>
      </w:r>
      <w:proofErr w:type="spellStart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leptin</w:t>
      </w:r>
      <w:proofErr w:type="spellEnd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</w:t>
      </w:r>
      <w:proofErr w:type="spellStart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resistin</w:t>
      </w:r>
      <w:proofErr w:type="spellEnd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</w:t>
      </w:r>
      <w:proofErr w:type="spellStart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visfatin</w:t>
      </w:r>
      <w:proofErr w:type="spellEnd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and decreased levels of </w:t>
      </w:r>
      <w:proofErr w:type="spellStart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adiponectin</w:t>
      </w:r>
      <w:proofErr w:type="spellEnd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that may promote </w:t>
      </w:r>
      <w:r w:rsidR="0089565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immune 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stimulation, leading to both Th1 and Th17 immune responses and impairing the function of T regulatory </w:t>
      </w:r>
      <w:proofErr w:type="gramStart"/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cells</w:t>
      </w:r>
      <w:r w:rsidR="00F55872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F55872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16-18]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89565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 parallel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 t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he </w:t>
      </w:r>
      <w:proofErr w:type="spellStart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etiopathogenesis</w:t>
      </w:r>
      <w:proofErr w:type="spellEnd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of Mets is attributed to </w:t>
      </w:r>
      <w:proofErr w:type="spellStart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hyperinsulinemia</w:t>
      </w:r>
      <w:proofErr w:type="spellEnd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insulin resistance mediated by </w:t>
      </w:r>
      <w:proofErr w:type="spellStart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adipocytokines</w:t>
      </w:r>
      <w:proofErr w:type="spellEnd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such as 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TNF-α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</w:t>
      </w:r>
      <w:proofErr w:type="spellStart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leptin</w:t>
      </w:r>
      <w:proofErr w:type="spellEnd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</w:t>
      </w:r>
      <w:proofErr w:type="spellStart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adiponectin</w:t>
      </w:r>
      <w:proofErr w:type="spellEnd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</w:t>
      </w:r>
      <w:proofErr w:type="spellStart"/>
      <w:proofErr w:type="gramStart"/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resistin</w:t>
      </w:r>
      <w:proofErr w:type="spellEnd"/>
      <w:r w:rsidR="00732449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F40FBF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9,</w:t>
      </w:r>
      <w:r w:rsidR="00C82D7F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18-20</w:t>
      </w:r>
      <w:r w:rsidR="00732449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]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It seems that 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o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besity may potentiate the inflammation of psoriasis while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at the same time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707931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it 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may 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help the development of M</w:t>
      </w:r>
      <w:r w:rsidR="00732449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ets</w:t>
      </w:r>
      <w:r w:rsidR="00451E8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89565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Hence</w:t>
      </w:r>
      <w:r w:rsidR="009072B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, </w:t>
      </w:r>
      <w:proofErr w:type="spellStart"/>
      <w:r w:rsidR="009072B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adipocytokines</w:t>
      </w:r>
      <w:proofErr w:type="spellEnd"/>
      <w:r w:rsidR="009072B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may </w:t>
      </w:r>
      <w:r w:rsidR="0089565E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be</w:t>
      </w:r>
      <w:r w:rsidR="009072B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 missing link in the association between metabolic co-morbidities</w:t>
      </w:r>
      <w:r w:rsidR="009731EB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psoriasis,</w:t>
      </w:r>
      <w:r w:rsidR="009072B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could be used as potential biomarkers for assessing disease severity and risk of co-</w:t>
      </w:r>
      <w:proofErr w:type="gramStart"/>
      <w:r w:rsidR="009072B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morbidities</w:t>
      </w:r>
      <w:r w:rsidR="00C82D7F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</w:t>
      </w:r>
      <w:proofErr w:type="gramEnd"/>
      <w:r w:rsidR="00C82D7F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20]</w:t>
      </w:r>
      <w:r w:rsidR="009072B8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. </w:t>
      </w:r>
      <w:r w:rsidR="009712BD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Conversely</w:t>
      </w:r>
      <w:r w:rsidR="00ED03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 it is now recognized from translational data that psoriasis</w:t>
      </w:r>
      <w:r w:rsidR="0032445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</w:t>
      </w:r>
      <w:r w:rsidR="00ED03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as a chronic inflammatory systemic disease through TNF-</w:t>
      </w:r>
      <w:r w:rsidR="00ED0306" w:rsidRPr="00617CD2">
        <w:rPr>
          <w:rFonts w:ascii="Book Antiqua" w:eastAsia="Times New Roman" w:hAnsi="Book Antiqua" w:cs="Arial"/>
          <w:sz w:val="24"/>
          <w:szCs w:val="24"/>
          <w:lang w:eastAsia="el-GR"/>
        </w:rPr>
        <w:t>α</w:t>
      </w:r>
      <w:r w:rsidR="00ED03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and T-helper inflammatory cytokines</w:t>
      </w:r>
      <w:r w:rsidR="0032445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that are </w:t>
      </w:r>
      <w:r w:rsidR="00ED03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increased in skin and sera</w:t>
      </w:r>
      <w:r w:rsidR="009712BD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,</w:t>
      </w:r>
      <w:r w:rsidR="00ED03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may exert a plethora of effects on insulin regulation and lipid metabolism</w:t>
      </w:r>
      <w:r w:rsidR="009712BD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which are important in the pathophysiology of metabolic co-morbidities</w:t>
      </w:r>
      <w:r w:rsidR="00C82D7F" w:rsidRPr="00617CD2">
        <w:rPr>
          <w:rFonts w:ascii="Book Antiqua" w:eastAsia="Times New Roman" w:hAnsi="Book Antiqua" w:cs="Arial"/>
          <w:sz w:val="24"/>
          <w:szCs w:val="24"/>
          <w:vertAlign w:val="superscript"/>
          <w:lang w:val="en-US" w:eastAsia="el-GR"/>
        </w:rPr>
        <w:t>[9-11]</w:t>
      </w:r>
      <w:r w:rsidR="00ED03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.</w:t>
      </w:r>
      <w:r w:rsidR="00F40FB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  <w:r w:rsidR="00ED0306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</w:t>
      </w:r>
    </w:p>
    <w:p w:rsidR="00F40FBF" w:rsidRPr="00617CD2" w:rsidRDefault="00F40FBF" w:rsidP="00F40FBF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F41553" w:rsidRPr="00617CD2" w:rsidRDefault="00F35514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U</w:t>
      </w:r>
      <w:r w:rsidR="00E82957"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NRAVELING THE VICIOUS CYCLE OF PSORIASIS AND METABOLIC CO-MORBIDITIES</w:t>
      </w:r>
    </w:p>
    <w:p w:rsidR="009731EB" w:rsidRPr="00617CD2" w:rsidRDefault="009731EB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A vicious cycle is established whereby weight gain and Mets may play a pivotal role in psoriasis, and</w:t>
      </w:r>
      <w:r w:rsidR="00324452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as psoriasis progresses in severity and chronicity, obesity and metabolic co-morbidities may be more pronounced due to enhanced caloric intake, physical inactivity and unhealthy habits caused by psychological factors in psoriasis and </w:t>
      </w:r>
      <w:proofErr w:type="spellStart"/>
      <w:proofErr w:type="gramStart"/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PsA</w:t>
      </w:r>
      <w:proofErr w:type="spellEnd"/>
      <w:r w:rsidR="00C82D7F" w:rsidRPr="00617CD2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el-GR"/>
        </w:rPr>
        <w:t>[</w:t>
      </w:r>
      <w:proofErr w:type="gramEnd"/>
      <w:r w:rsidR="00C82D7F" w:rsidRPr="00617CD2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el-GR"/>
        </w:rPr>
        <w:t>21</w:t>
      </w:r>
      <w:r w:rsidR="00F40FBF" w:rsidRPr="00617CD2">
        <w:rPr>
          <w:rFonts w:ascii="Book Antiqua" w:hAnsi="Book Antiqua" w:cs="Times New Roman"/>
          <w:sz w:val="24"/>
          <w:szCs w:val="24"/>
          <w:vertAlign w:val="superscript"/>
          <w:lang w:val="en-US" w:eastAsia="zh-CN"/>
        </w:rPr>
        <w:t>,</w:t>
      </w:r>
      <w:r w:rsidR="00806A38" w:rsidRPr="00617CD2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el-GR"/>
        </w:rPr>
        <w:t>22</w:t>
      </w:r>
      <w:r w:rsidR="00C82D7F" w:rsidRPr="00617CD2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el-GR"/>
        </w:rPr>
        <w:t>]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. </w:t>
      </w:r>
    </w:p>
    <w:p w:rsidR="00907B9B" w:rsidRPr="00617CD2" w:rsidRDefault="00907B9B" w:rsidP="00F40FBF">
      <w:pPr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Times New Roman"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In order to unmask the association between psoriasis</w:t>
      </w:r>
      <w:r w:rsidR="00EF11CC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and </w:t>
      </w:r>
      <w:r w:rsidR="00EF11CC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metabolic co-morbidities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, </w:t>
      </w:r>
      <w:r w:rsidR="00EF11CC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vidence</w:t>
      </w:r>
      <w:r w:rsidR="00EF11CC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is needed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from adequately powered, large, long-term, </w:t>
      </w:r>
      <w:r w:rsidR="00535AC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population-based 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prospective cohort</w:t>
      </w:r>
      <w:r w:rsidR="00EF11CC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and longitudinal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studies taking into account in multivariable statistical analyses important parameters such as anthropometric variables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(</w:t>
      </w:r>
      <w:r w:rsidR="00F86729" w:rsidRPr="00617CD2">
        <w:rPr>
          <w:rFonts w:ascii="Book Antiqua" w:eastAsia="Times New Roman" w:hAnsi="Book Antiqua" w:cs="Times New Roman"/>
          <w:i/>
          <w:sz w:val="24"/>
          <w:szCs w:val="24"/>
          <w:lang w:val="en-US" w:eastAsia="el-GR"/>
        </w:rPr>
        <w:t>i.e.,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BMI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waist circumference),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metabolic factors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lastRenderedPageBreak/>
        <w:t>(</w:t>
      </w:r>
      <w:r w:rsidR="00F86729" w:rsidRPr="00617CD2">
        <w:rPr>
          <w:rFonts w:ascii="Book Antiqua" w:eastAsia="Times New Roman" w:hAnsi="Book Antiqua" w:cs="Times New Roman"/>
          <w:i/>
          <w:sz w:val="24"/>
          <w:szCs w:val="24"/>
          <w:lang w:val="en-US" w:eastAsia="el-GR"/>
        </w:rPr>
        <w:t>i.e.,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glucose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insulin, homeostasis model assessment scores),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habits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(</w:t>
      </w:r>
      <w:r w:rsidR="007D0D0C">
        <w:rPr>
          <w:rFonts w:ascii="Book Antiqua" w:eastAsia="Times New Roman" w:hAnsi="Book Antiqua" w:cs="Times New Roman"/>
          <w:i/>
          <w:sz w:val="24"/>
          <w:szCs w:val="24"/>
          <w:lang w:val="en-US" w:eastAsia="el-GR"/>
        </w:rPr>
        <w:t>i.e.</w:t>
      </w:r>
      <w:r w:rsidR="00D012DA"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 smoking, alcohol)</w:t>
      </w:r>
      <w:r w:rsidRPr="00617CD2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 xml:space="preserve"> and psoriasis systematic treatment.</w:t>
      </w:r>
    </w:p>
    <w:p w:rsidR="00907B9B" w:rsidRPr="00617CD2" w:rsidRDefault="00253545" w:rsidP="00F40FBF">
      <w:pPr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  <w:lang w:val="en-US" w:eastAsia="el-GR"/>
        </w:rPr>
      </w:pP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The recognition of the intricate complex interplay between psoriasis and metabolic co-morbidities may help dermatologists to be aware of associated metabolic co-morbidities in order to screen for metabolic diseases and manage holistically and effectively the psoriatic patient. Lifestyle interventions, </w:t>
      </w:r>
      <w:r w:rsidR="00936D6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diet, physical activity and </w:t>
      </w:r>
      <w:r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management of metabolic co-morbidities may be beneficial</w:t>
      </w:r>
      <w:r w:rsidR="00936D6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for psoriasis patients by improving both their </w:t>
      </w:r>
      <w:r w:rsidR="005D56D7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physical and psychological well </w:t>
      </w:r>
      <w:r w:rsidR="00936D6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being and </w:t>
      </w:r>
      <w:r w:rsidR="00324452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>prolonging</w:t>
      </w:r>
      <w:r w:rsidR="00936D64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their lifespan. More studies are also needed to study the effect of psoriasis systemic therapies on metabolic co-morbidities and to unravel the mechanisms of the underlying association between psoriasis and metabolic co-morbidities.</w:t>
      </w:r>
      <w:r w:rsidR="00F40FBF" w:rsidRPr="00617CD2">
        <w:rPr>
          <w:rFonts w:ascii="Book Antiqua" w:eastAsia="Times New Roman" w:hAnsi="Book Antiqua" w:cs="Arial"/>
          <w:sz w:val="24"/>
          <w:szCs w:val="24"/>
          <w:lang w:val="en-US" w:eastAsia="el-GR"/>
        </w:rPr>
        <w:t xml:space="preserve">   </w:t>
      </w:r>
    </w:p>
    <w:p w:rsidR="00F41553" w:rsidRPr="00617CD2" w:rsidRDefault="00F41553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</w:pPr>
    </w:p>
    <w:p w:rsidR="003E64C5" w:rsidRPr="00617CD2" w:rsidRDefault="0037587E" w:rsidP="00617CD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</w:pPr>
      <w:r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R</w:t>
      </w:r>
      <w:r w:rsidR="00A63413" w:rsidRPr="00617CD2"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  <w:t>EFERENCES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Reich K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concept of psoriasis as a systemic inflammation: implications for disease management.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26 </w:t>
      </w:r>
      <w:proofErr w:type="spellStart"/>
      <w:r w:rsidRPr="00617CD2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617CD2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2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3-11 [PMID: 22356630 DOI: 10.1111/j.1468-3083.2011.04410.x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Nestle FO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Kaplan DH, Barker J. Psoriasis.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361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496-509 [PMID: 19641206 DOI: 10.1056/NEJMra0804595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Chu TW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, Tsai TF.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Psoriasis and cardiovascular comorbidities with emphasis in Asia.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G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Ital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147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189-202 [PMID: 22481582]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 Y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Begovich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AB. Unraveling the genetics of complex diseases: susceptibility genes for rheumatoid arthritis and psoriasis.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Semin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318-327 [PMID: 19446472]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Griffiths CE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, Barker JN.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Pathogenesis and clinical features of psoriasis.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370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263-271 [PMID: 17658397]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Gottlieb AB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Dann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Comorbidities in patients with psoriasis.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Med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122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1150.e1-1150.e9 [PMID: 19958894]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Papadavid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Vlami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Dalamaga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Giatrakou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Theodoropoulos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Gyftopoulos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Stavrianeas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Papiris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Rigopoulos D. Sleep apnea as a comorbidity in obese psoriasis patients: a cross-sectional study. Do psoriasis characteristics and metabolic parameters play a role?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820-826 [PMID: 22620285 DOI: 10.1111/j.1468-3083.2012.04580.x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Dalamaga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Papadavid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Vlami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K. Unmasking the Janus face of the association between psoriasis, metabolic syndrome and obstructive sleep apnea.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Sleep Breath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449-450 [PMID: 22821224 DOI: 10.1007/s11325-012-0749-4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9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Takahashi H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Iizuka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H. Psoriasis and metabolic syndrome.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39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212-218 [PMID: 22035413 DOI: 10.1111/j.1346-8138.2011.01408.x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Kim N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Thrash B,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Menter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Comorbidities in psoriasis patients.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Semin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Cutan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10-15 [PMID: 20430302 DOI: 10.1016/j.sder.2010.01.002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Johnsson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McInnes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IB,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Sattar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Cardiovascular and metabolic risks in psoriasis and psoriatic arthritis: pragmatic clinical management based on available evidence.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Ann Rheum Dis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71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480-483 [PMID: 22294632 DOI: 10.1136/annrheumdis-2011-200567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Cheng J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Kuai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Zhang L, Yang X,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Qiu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Psoriasis increased the risk of diabetes: a meta-analysis.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Res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304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119-125 [PMID: 22210176 DOI: 10.1007/s00403-011-1200-6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Armstrong AW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Harskamp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CT, Armstrong EJ. Psoriasis and metabolic syndrome: a systematic review and meta-analysis of observational studies.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68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654-662 [PMID: 23360868 DOI: 10.1016/j.jaad.2012.08.015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Setty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AR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Curhan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Choi HK.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Obesity, waist circumference, weight change, and the risk of psoriasis in women: Nurses' Health Study II.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Arch Intern Med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2007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167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1670-1675 [PMID: 17698691]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Mallbris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Granath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Hamsten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Ståhle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Psoriasis is associated with lipid abnormalities at the onset of skin disease.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54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614-621 [PMID: 16546581]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Dalamaga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Diakopoulos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KN,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Mantzoros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role of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adiponectin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cancer: a review of current evidence.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Endocr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547-594 [PMID: 22547160 DOI: 10.1210/er.2011-1015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Ziemke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Mantzoros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CS.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Adiponectin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insulin resistance: lessons from translational research.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Nutr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91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258S-261S [PMID: 19906806 DOI: 10.3945/ajcn.2009.28449C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Moon HS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Dalamaga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Kim SY,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Polyzos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SA,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Hamnvik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OP,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Magkos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Paruthi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Mantzoros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CS.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Leptin's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role in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lipodystrophic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nonlipodystrophic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insulin-resistant and diabetic individuals.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Endocr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377-412 [PMID: 23475416 DOI: 10.1210/er.2012-1053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Dalamaga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Chou SH, Shields K,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Papageorgiou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Polyzos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SA,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Mantzoros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CS.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Leptin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at the intersection of neuroendocrinology and metabolism: current evidence and therapeutic perspectives.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Cell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29-42 [PMID: 23770129 DOI: 10.1016/j.cmet.2013.05.010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proofErr w:type="spellStart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Gerdes</w:t>
      </w:r>
      <w:proofErr w:type="spellEnd"/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Rostami-Yazdi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Mrowietz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U.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Adipokines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psoriasis.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81-87 [PMID: 21255085 DOI: 10.1111/j.1600-0625.2010.01210.x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Wilson PB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Bohjanen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KA, Ingraham SJ, Leon AS.</w:t>
      </w:r>
      <w:proofErr w:type="gram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Psoriasis and physical activity: a review. </w:t>
      </w:r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17CD2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17CD2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1345-1353 [PMID: 22385402 DOI: 10.1111/j.1468-3083.2012.04494.x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617CD2" w:rsidRPr="00617CD2" w:rsidRDefault="00617CD2" w:rsidP="00617CD2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617CD2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Dalamaga</w:t>
      </w:r>
      <w:proofErr w:type="spellEnd"/>
      <w:r w:rsidRPr="00617CD2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M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Papadavid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</w:t>
      </w:r>
      <w:proofErr w:type="spellStart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Adipocytokines</w:t>
      </w:r>
      <w:proofErr w:type="spellEnd"/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psoriasis: Insights into mechanisms linking obesity and inflammation to psoriasis. </w:t>
      </w:r>
      <w:r w:rsidRPr="00617CD2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World J </w:t>
      </w:r>
      <w:proofErr w:type="spellStart"/>
      <w:r w:rsidRPr="00617CD2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Dermatol</w:t>
      </w:r>
      <w:proofErr w:type="spellEnd"/>
      <w:r w:rsidRPr="00617CD2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2013; </w:t>
      </w:r>
      <w:r w:rsidRPr="00617CD2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2</w:t>
      </w:r>
      <w:r w:rsidRPr="00617CD2">
        <w:rPr>
          <w:rFonts w:ascii="Book Antiqua" w:eastAsia="宋体" w:hAnsi="Book Antiqua" w:cs="宋体"/>
          <w:sz w:val="24"/>
          <w:szCs w:val="24"/>
          <w:lang w:val="en-US" w:eastAsia="zh-CN"/>
        </w:rPr>
        <w:t>: 27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-31 [DOI: 10.5314/wjd.v2.i4.27]</w:t>
      </w:r>
    </w:p>
    <w:p w:rsidR="00617CD2" w:rsidRPr="00617CD2" w:rsidRDefault="00617CD2" w:rsidP="00617CD2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3E64C5" w:rsidRPr="00617CD2" w:rsidRDefault="003E64C5" w:rsidP="005A2B8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</w:pPr>
    </w:p>
    <w:p w:rsidR="00F40FBF" w:rsidRPr="00617CD2" w:rsidRDefault="00F40FBF" w:rsidP="00F40FBF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  <w:bookmarkStart w:id="107" w:name="OLE_LINK874"/>
      <w:bookmarkStart w:id="108" w:name="OLE_LINK875"/>
      <w:bookmarkStart w:id="109" w:name="OLE_LINK347"/>
      <w:bookmarkStart w:id="110" w:name="OLE_LINK384"/>
      <w:bookmarkStart w:id="111" w:name="OLE_LINK557"/>
      <w:bookmarkStart w:id="112" w:name="OLE_LINK558"/>
      <w:bookmarkStart w:id="113" w:name="OLE_LINK631"/>
      <w:bookmarkStart w:id="114" w:name="OLE_LINK632"/>
      <w:bookmarkStart w:id="115" w:name="OLE_LINK386"/>
      <w:bookmarkStart w:id="116" w:name="OLE_LINK431"/>
      <w:bookmarkStart w:id="117" w:name="OLE_LINK564"/>
      <w:bookmarkStart w:id="118" w:name="OLE_LINK493"/>
      <w:bookmarkStart w:id="119" w:name="OLE_LINK442"/>
      <w:bookmarkStart w:id="120" w:name="OLE_LINK551"/>
      <w:bookmarkStart w:id="121" w:name="OLE_LINK668"/>
      <w:bookmarkStart w:id="122" w:name="OLE_LINK669"/>
      <w:bookmarkStart w:id="123" w:name="OLE_LINK725"/>
      <w:bookmarkStart w:id="124" w:name="OLE_LINK489"/>
      <w:bookmarkStart w:id="125" w:name="OLE_LINK602"/>
      <w:bookmarkStart w:id="126" w:name="OLE_LINK658"/>
      <w:bookmarkStart w:id="127" w:name="OLE_LINK747"/>
      <w:bookmarkStart w:id="128" w:name="OLE_LINK897"/>
      <w:bookmarkStart w:id="129" w:name="OLE_LINK1138"/>
      <w:bookmarkStart w:id="130" w:name="OLE_LINK1139"/>
      <w:bookmarkStart w:id="131" w:name="OLE_LINK882"/>
      <w:bookmarkStart w:id="132" w:name="OLE_LINK1095"/>
      <w:bookmarkStart w:id="133" w:name="OLE_LINK1305"/>
      <w:bookmarkStart w:id="134" w:name="OLE_LINK1390"/>
      <w:bookmarkStart w:id="135" w:name="OLE_LINK964"/>
      <w:bookmarkStart w:id="136" w:name="OLE_LINK1190"/>
      <w:bookmarkStart w:id="137" w:name="OLE_LINK1314"/>
      <w:bookmarkStart w:id="138" w:name="OLE_LINK1031"/>
      <w:bookmarkStart w:id="139" w:name="OLE_LINK1092"/>
      <w:bookmarkStart w:id="140" w:name="OLE_LINK1258"/>
      <w:bookmarkStart w:id="141" w:name="OLE_LINK1259"/>
      <w:bookmarkStart w:id="142" w:name="OLE_LINK1337"/>
      <w:bookmarkStart w:id="143" w:name="OLE_LINK1338"/>
      <w:bookmarkStart w:id="144" w:name="OLE_LINK1363"/>
      <w:bookmarkStart w:id="145" w:name="OLE_LINK1364"/>
      <w:bookmarkStart w:id="146" w:name="OLE_LINK86"/>
      <w:bookmarkStart w:id="147" w:name="OLE_LINK1595"/>
      <w:bookmarkStart w:id="148" w:name="OLE_LINK1613"/>
      <w:bookmarkStart w:id="149" w:name="OLE_LINK1708"/>
      <w:bookmarkStart w:id="150" w:name="OLE_LINK1774"/>
      <w:bookmarkStart w:id="151" w:name="OLE_LINK1872"/>
      <w:bookmarkStart w:id="152" w:name="OLE_LINK1899"/>
      <w:bookmarkStart w:id="153" w:name="OLE_LINK1492"/>
      <w:bookmarkStart w:id="154" w:name="OLE_LINK1497"/>
      <w:bookmarkStart w:id="155" w:name="OLE_LINK1498"/>
      <w:bookmarkStart w:id="156" w:name="OLE_LINK1589"/>
      <w:bookmarkStart w:id="157" w:name="OLE_LINK1666"/>
      <w:bookmarkStart w:id="158" w:name="OLE_LINK1752"/>
      <w:bookmarkStart w:id="159" w:name="OLE_LINK1616"/>
      <w:bookmarkStart w:id="160" w:name="OLE_LINK1696"/>
      <w:bookmarkStart w:id="161" w:name="OLE_LINK1855"/>
      <w:bookmarkStart w:id="162" w:name="OLE_LINK1942"/>
      <w:bookmarkStart w:id="163" w:name="OLE_LINK1943"/>
      <w:bookmarkStart w:id="164" w:name="OLE_LINK1573"/>
      <w:bookmarkStart w:id="165" w:name="OLE_LINK1574"/>
      <w:bookmarkStart w:id="166" w:name="OLE_LINK1575"/>
      <w:bookmarkStart w:id="167" w:name="OLE_LINK1739"/>
      <w:bookmarkStart w:id="168" w:name="OLE_LINK1761"/>
      <w:bookmarkStart w:id="169" w:name="OLE_LINK1743"/>
      <w:bookmarkStart w:id="170" w:name="OLE_LINK1841"/>
      <w:bookmarkStart w:id="171" w:name="OLE_LINK1858"/>
      <w:bookmarkStart w:id="172" w:name="OLE_LINK1890"/>
      <w:bookmarkStart w:id="173" w:name="OLE_LINK1915"/>
      <w:bookmarkStart w:id="174" w:name="OLE_LINK1980"/>
      <w:bookmarkStart w:id="175" w:name="OLE_LINK1883"/>
      <w:bookmarkStart w:id="176" w:name="OLE_LINK1935"/>
      <w:bookmarkStart w:id="177" w:name="OLE_LINK1936"/>
      <w:bookmarkStart w:id="178" w:name="OLE_LINK1952"/>
      <w:bookmarkStart w:id="179" w:name="OLE_LINK1953"/>
      <w:bookmarkStart w:id="180" w:name="OLE_LINK1999"/>
      <w:bookmarkStart w:id="181" w:name="OLE_LINK2050"/>
      <w:bookmarkStart w:id="182" w:name="OLE_LINK1862"/>
      <w:bookmarkStart w:id="183" w:name="OLE_LINK1963"/>
      <w:bookmarkStart w:id="184" w:name="OLE_LINK2052"/>
      <w:bookmarkStart w:id="185" w:name="OLE_LINK1906"/>
      <w:bookmarkStart w:id="186" w:name="OLE_LINK2031"/>
      <w:bookmarkStart w:id="187" w:name="OLE_LINK2032"/>
      <w:bookmarkStart w:id="188" w:name="OLE_LINK1907"/>
      <w:bookmarkStart w:id="189" w:name="OLE_LINK2004"/>
      <w:bookmarkStart w:id="190" w:name="OLE_LINK2238"/>
      <w:bookmarkStart w:id="191" w:name="OLE_LINK2239"/>
      <w:bookmarkStart w:id="192" w:name="OLE_LINK2163"/>
      <w:bookmarkStart w:id="193" w:name="OLE_LINK2207"/>
      <w:bookmarkStart w:id="194" w:name="OLE_LINK2341"/>
      <w:bookmarkStart w:id="195" w:name="OLE_LINK2417"/>
      <w:bookmarkStart w:id="196" w:name="OLE_LINK2509"/>
      <w:bookmarkStart w:id="197" w:name="OLE_LINK2510"/>
      <w:bookmarkStart w:id="198" w:name="OLE_LINK2511"/>
      <w:bookmarkStart w:id="199" w:name="OLE_LINK2512"/>
      <w:bookmarkStart w:id="200" w:name="OLE_LINK2513"/>
      <w:bookmarkStart w:id="201" w:name="OLE_LINK2514"/>
      <w:bookmarkStart w:id="202" w:name="OLE_LINK2515"/>
      <w:bookmarkStart w:id="203" w:name="OLE_LINK2516"/>
      <w:bookmarkStart w:id="204" w:name="OLE_LINK2517"/>
      <w:bookmarkStart w:id="205" w:name="OLE_LINK2518"/>
      <w:bookmarkStart w:id="206" w:name="OLE_LINK2519"/>
      <w:bookmarkStart w:id="207" w:name="OLE_LINK2520"/>
      <w:bookmarkStart w:id="208" w:name="OLE_LINK2521"/>
      <w:bookmarkStart w:id="209" w:name="OLE_LINK2522"/>
      <w:bookmarkStart w:id="210" w:name="OLE_LINK2523"/>
      <w:bookmarkStart w:id="211" w:name="OLE_LINK2524"/>
      <w:bookmarkStart w:id="212" w:name="OLE_LINK2051"/>
      <w:bookmarkStart w:id="213" w:name="OLE_LINK2109"/>
      <w:bookmarkStart w:id="214" w:name="OLE_LINK2165"/>
      <w:bookmarkStart w:id="215" w:name="OLE_LINK2385"/>
      <w:bookmarkStart w:id="216" w:name="OLE_LINK2593"/>
      <w:bookmarkStart w:id="217" w:name="OLE_LINK2332"/>
      <w:bookmarkStart w:id="218" w:name="OLE_LINK2448"/>
      <w:bookmarkStart w:id="219" w:name="OLE_LINK2525"/>
      <w:bookmarkStart w:id="220" w:name="OLE_LINK2506"/>
      <w:bookmarkStart w:id="221" w:name="OLE_LINK2507"/>
      <w:bookmarkStart w:id="222" w:name="OLE_LINK2291"/>
      <w:bookmarkStart w:id="223" w:name="OLE_LINK2294"/>
      <w:bookmarkStart w:id="224" w:name="OLE_LINK2298"/>
      <w:bookmarkStart w:id="225" w:name="OLE_LINK2300"/>
      <w:bookmarkStart w:id="226" w:name="OLE_LINK2301"/>
      <w:bookmarkStart w:id="227" w:name="OLE_LINK2546"/>
      <w:bookmarkStart w:id="228" w:name="OLE_LINK2756"/>
      <w:bookmarkStart w:id="229" w:name="OLE_LINK2757"/>
      <w:bookmarkStart w:id="230" w:name="OLE_LINK2736"/>
      <w:bookmarkStart w:id="231" w:name="OLE_LINK2923"/>
      <w:bookmarkStart w:id="232" w:name="OLE_LINK2974"/>
      <w:bookmarkStart w:id="233" w:name="OLE_LINK3125"/>
      <w:bookmarkStart w:id="234" w:name="OLE_LINK3218"/>
      <w:bookmarkStart w:id="235" w:name="OLE_LINK2575"/>
      <w:bookmarkStart w:id="236" w:name="OLE_LINK2687"/>
      <w:bookmarkStart w:id="237" w:name="OLE_LINK2688"/>
      <w:bookmarkStart w:id="238" w:name="OLE_LINK2700"/>
      <w:bookmarkStart w:id="239" w:name="OLE_LINK2576"/>
      <w:bookmarkStart w:id="240" w:name="OLE_LINK2674"/>
      <w:bookmarkStart w:id="241" w:name="OLE_LINK2738"/>
      <w:bookmarkStart w:id="242" w:name="OLE_LINK2983"/>
      <w:bookmarkStart w:id="243" w:name="OLE_LINK76"/>
      <w:bookmarkStart w:id="244" w:name="OLE_LINK115"/>
      <w:bookmarkStart w:id="245" w:name="OLE_LINK155"/>
      <w:r w:rsidRPr="00617CD2">
        <w:rPr>
          <w:rFonts w:ascii="Book Antiqua" w:hAnsi="Book Antiqua" w:cs="Tahoma"/>
          <w:b/>
          <w:color w:val="000000"/>
          <w:sz w:val="24"/>
        </w:rPr>
        <w:t>P-Reviewer</w:t>
      </w:r>
      <w:r w:rsidR="00A213E8" w:rsidRPr="00617CD2">
        <w:rPr>
          <w:rFonts w:ascii="Book Antiqua" w:hAnsi="Book Antiqua" w:cs="Tahoma"/>
          <w:b/>
          <w:color w:val="000000"/>
          <w:sz w:val="24"/>
          <w:lang w:eastAsia="zh-CN"/>
        </w:rPr>
        <w:t xml:space="preserve">s </w:t>
      </w:r>
      <w:r w:rsidR="00A213E8" w:rsidRPr="00617CD2">
        <w:rPr>
          <w:rFonts w:ascii="Book Antiqua" w:hAnsi="Book Antiqua" w:cs="Tahoma"/>
          <w:color w:val="000000"/>
          <w:sz w:val="24"/>
          <w:lang w:eastAsia="zh-CN"/>
        </w:rPr>
        <w:t>Buechler C, Sakata N</w:t>
      </w:r>
      <w:r w:rsidRPr="00617CD2">
        <w:rPr>
          <w:rFonts w:ascii="Book Antiqua" w:hAnsi="Book Antiqua" w:cs="Tahoma"/>
          <w:b/>
          <w:color w:val="000000"/>
          <w:sz w:val="24"/>
        </w:rPr>
        <w:t xml:space="preserve"> S-Editor </w:t>
      </w:r>
      <w:r w:rsidRPr="00617CD2">
        <w:rPr>
          <w:rFonts w:ascii="Book Antiqua" w:hAnsi="Book Antiqua" w:cs="Tahoma"/>
          <w:color w:val="000000"/>
          <w:sz w:val="24"/>
        </w:rPr>
        <w:t xml:space="preserve">Gou SX </w:t>
      </w:r>
      <w:r w:rsidRPr="00617CD2">
        <w:rPr>
          <w:rFonts w:ascii="Book Antiqua" w:hAnsi="Book Antiqua" w:cs="Tahoma"/>
          <w:b/>
          <w:color w:val="000000"/>
          <w:sz w:val="24"/>
        </w:rPr>
        <w:t xml:space="preserve">  L-Editor    E-Edito</w:t>
      </w:r>
      <w:bookmarkEnd w:id="107"/>
      <w:bookmarkEnd w:id="108"/>
      <w:r w:rsidRPr="00617CD2">
        <w:rPr>
          <w:rFonts w:ascii="Book Antiqua" w:hAnsi="Book Antiqua" w:cs="Tahoma"/>
          <w:b/>
          <w:color w:val="000000"/>
          <w:sz w:val="24"/>
        </w:rPr>
        <w:t>r</w:t>
      </w:r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p w:rsidR="003E64C5" w:rsidRPr="00617CD2" w:rsidRDefault="003E64C5" w:rsidP="00F40FBF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n-US" w:eastAsia="el-GR"/>
        </w:rPr>
      </w:pPr>
    </w:p>
    <w:sectPr w:rsidR="003E64C5" w:rsidRPr="00617CD2" w:rsidSect="00DE703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F2" w:rsidRDefault="00A769F2" w:rsidP="00A83977">
      <w:pPr>
        <w:spacing w:after="0" w:line="240" w:lineRule="auto"/>
      </w:pPr>
      <w:r>
        <w:separator/>
      </w:r>
    </w:p>
  </w:endnote>
  <w:endnote w:type="continuationSeparator" w:id="0">
    <w:p w:rsidR="00A769F2" w:rsidRDefault="00A769F2" w:rsidP="00A8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F2" w:rsidRDefault="00A769F2" w:rsidP="00A83977">
      <w:pPr>
        <w:spacing w:after="0" w:line="240" w:lineRule="auto"/>
      </w:pPr>
      <w:r>
        <w:separator/>
      </w:r>
    </w:p>
  </w:footnote>
  <w:footnote w:type="continuationSeparator" w:id="0">
    <w:p w:rsidR="00A769F2" w:rsidRDefault="00A769F2" w:rsidP="00A8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522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77" w:rsidRDefault="00D81057">
        <w:pPr>
          <w:pStyle w:val="a4"/>
          <w:jc w:val="right"/>
        </w:pPr>
        <w:r>
          <w:fldChar w:fldCharType="begin"/>
        </w:r>
        <w:r w:rsidR="00A83977">
          <w:instrText xml:space="preserve"> PAGE   \* MERGEFORMAT </w:instrText>
        </w:r>
        <w:r>
          <w:fldChar w:fldCharType="separate"/>
        </w:r>
        <w:r w:rsidR="001668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3977" w:rsidRDefault="00A839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ED0"/>
    <w:multiLevelType w:val="hybridMultilevel"/>
    <w:tmpl w:val="2E0AA1E2"/>
    <w:lvl w:ilvl="0" w:tplc="026C2E18">
      <w:start w:val="1"/>
      <w:numFmt w:val="decimal"/>
      <w:lvlText w:val="%1."/>
      <w:lvlJc w:val="left"/>
      <w:pPr>
        <w:ind w:left="-492" w:hanging="360"/>
      </w:pPr>
      <w:rPr>
        <w:rFonts w:hint="default"/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C984B46"/>
    <w:multiLevelType w:val="hybridMultilevel"/>
    <w:tmpl w:val="2E0AA1E2"/>
    <w:lvl w:ilvl="0" w:tplc="026C2E18">
      <w:start w:val="1"/>
      <w:numFmt w:val="decimal"/>
      <w:lvlText w:val="%1."/>
      <w:lvlJc w:val="left"/>
      <w:pPr>
        <w:ind w:left="-492" w:hanging="360"/>
      </w:pPr>
      <w:rPr>
        <w:rFonts w:hint="default"/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DB21BC4"/>
    <w:multiLevelType w:val="hybridMultilevel"/>
    <w:tmpl w:val="71041434"/>
    <w:lvl w:ilvl="0" w:tplc="026C2E18">
      <w:start w:val="1"/>
      <w:numFmt w:val="decimal"/>
      <w:lvlText w:val="%1."/>
      <w:lvlJc w:val="left"/>
      <w:pPr>
        <w:ind w:left="-492" w:hanging="360"/>
      </w:pPr>
      <w:rPr>
        <w:rFonts w:hint="default"/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A607C0F"/>
    <w:multiLevelType w:val="hybridMultilevel"/>
    <w:tmpl w:val="5C6ABCD6"/>
    <w:lvl w:ilvl="0" w:tplc="ED16E7FE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BB46B3C"/>
    <w:multiLevelType w:val="hybridMultilevel"/>
    <w:tmpl w:val="A0D0F302"/>
    <w:lvl w:ilvl="0" w:tplc="3056B4D2">
      <w:start w:val="1"/>
      <w:numFmt w:val="decimal"/>
      <w:lvlText w:val="%1."/>
      <w:lvlJc w:val="left"/>
      <w:pPr>
        <w:ind w:left="-492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CC908BB"/>
    <w:multiLevelType w:val="hybridMultilevel"/>
    <w:tmpl w:val="6396D8CE"/>
    <w:lvl w:ilvl="0" w:tplc="026C2E18">
      <w:start w:val="1"/>
      <w:numFmt w:val="decimal"/>
      <w:lvlText w:val="%1."/>
      <w:lvlJc w:val="left"/>
      <w:pPr>
        <w:ind w:left="-492" w:hanging="360"/>
      </w:pPr>
      <w:rPr>
        <w:rFonts w:hint="default"/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24"/>
    <w:rsid w:val="00006369"/>
    <w:rsid w:val="00021866"/>
    <w:rsid w:val="00023548"/>
    <w:rsid w:val="00027C64"/>
    <w:rsid w:val="00033FAE"/>
    <w:rsid w:val="00056D2F"/>
    <w:rsid w:val="00080700"/>
    <w:rsid w:val="00084091"/>
    <w:rsid w:val="00090B9B"/>
    <w:rsid w:val="000922A5"/>
    <w:rsid w:val="000A33E0"/>
    <w:rsid w:val="000F062C"/>
    <w:rsid w:val="000F180F"/>
    <w:rsid w:val="001365B1"/>
    <w:rsid w:val="00166802"/>
    <w:rsid w:val="00175449"/>
    <w:rsid w:val="00175CD8"/>
    <w:rsid w:val="00177F70"/>
    <w:rsid w:val="00190DE5"/>
    <w:rsid w:val="00194155"/>
    <w:rsid w:val="00194A3D"/>
    <w:rsid w:val="001B619E"/>
    <w:rsid w:val="001C6E8A"/>
    <w:rsid w:val="001D07F7"/>
    <w:rsid w:val="001D0BC5"/>
    <w:rsid w:val="001E0105"/>
    <w:rsid w:val="001F12A3"/>
    <w:rsid w:val="001F47B8"/>
    <w:rsid w:val="001F72CB"/>
    <w:rsid w:val="0020526C"/>
    <w:rsid w:val="00215D0E"/>
    <w:rsid w:val="00216667"/>
    <w:rsid w:val="00227B84"/>
    <w:rsid w:val="00233C9B"/>
    <w:rsid w:val="002467F7"/>
    <w:rsid w:val="00253545"/>
    <w:rsid w:val="0025378C"/>
    <w:rsid w:val="00255606"/>
    <w:rsid w:val="002659BC"/>
    <w:rsid w:val="00282C26"/>
    <w:rsid w:val="00286B82"/>
    <w:rsid w:val="00291568"/>
    <w:rsid w:val="0029192B"/>
    <w:rsid w:val="00294EF5"/>
    <w:rsid w:val="00295B12"/>
    <w:rsid w:val="002D07C0"/>
    <w:rsid w:val="002D33F8"/>
    <w:rsid w:val="002D6E7D"/>
    <w:rsid w:val="002E3BE7"/>
    <w:rsid w:val="00304237"/>
    <w:rsid w:val="00323DF3"/>
    <w:rsid w:val="00324452"/>
    <w:rsid w:val="003447CC"/>
    <w:rsid w:val="003453BF"/>
    <w:rsid w:val="0037587E"/>
    <w:rsid w:val="00381CCB"/>
    <w:rsid w:val="003A514E"/>
    <w:rsid w:val="003B434C"/>
    <w:rsid w:val="003C4620"/>
    <w:rsid w:val="003E4446"/>
    <w:rsid w:val="003E64C5"/>
    <w:rsid w:val="003E7325"/>
    <w:rsid w:val="003F2FB3"/>
    <w:rsid w:val="003F5EFA"/>
    <w:rsid w:val="00423B29"/>
    <w:rsid w:val="00441360"/>
    <w:rsid w:val="00451CBB"/>
    <w:rsid w:val="00451E84"/>
    <w:rsid w:val="004521B9"/>
    <w:rsid w:val="00454725"/>
    <w:rsid w:val="00463987"/>
    <w:rsid w:val="004B103C"/>
    <w:rsid w:val="004D0B4E"/>
    <w:rsid w:val="004E5518"/>
    <w:rsid w:val="005014BA"/>
    <w:rsid w:val="00515044"/>
    <w:rsid w:val="00525F69"/>
    <w:rsid w:val="0053093D"/>
    <w:rsid w:val="005328D1"/>
    <w:rsid w:val="0053480E"/>
    <w:rsid w:val="00535ACA"/>
    <w:rsid w:val="005427B7"/>
    <w:rsid w:val="00561A5D"/>
    <w:rsid w:val="00564F3F"/>
    <w:rsid w:val="005724A8"/>
    <w:rsid w:val="00583AC7"/>
    <w:rsid w:val="005953AC"/>
    <w:rsid w:val="00595F05"/>
    <w:rsid w:val="00597D19"/>
    <w:rsid w:val="005A2B8B"/>
    <w:rsid w:val="005B0A96"/>
    <w:rsid w:val="005C6D54"/>
    <w:rsid w:val="005C7DA7"/>
    <w:rsid w:val="005D178E"/>
    <w:rsid w:val="005D45AC"/>
    <w:rsid w:val="005D56D7"/>
    <w:rsid w:val="005D6C35"/>
    <w:rsid w:val="005E15D5"/>
    <w:rsid w:val="005E36C6"/>
    <w:rsid w:val="005E6F9C"/>
    <w:rsid w:val="005E7154"/>
    <w:rsid w:val="005E7ED3"/>
    <w:rsid w:val="00602555"/>
    <w:rsid w:val="006057FF"/>
    <w:rsid w:val="006103FB"/>
    <w:rsid w:val="006106C5"/>
    <w:rsid w:val="00617CD2"/>
    <w:rsid w:val="00624007"/>
    <w:rsid w:val="00643516"/>
    <w:rsid w:val="00647D0D"/>
    <w:rsid w:val="00650636"/>
    <w:rsid w:val="00663568"/>
    <w:rsid w:val="00663C21"/>
    <w:rsid w:val="00663E9D"/>
    <w:rsid w:val="00682ADF"/>
    <w:rsid w:val="006837C4"/>
    <w:rsid w:val="006849E8"/>
    <w:rsid w:val="00696D9A"/>
    <w:rsid w:val="006A075F"/>
    <w:rsid w:val="006B3719"/>
    <w:rsid w:val="006C1DC2"/>
    <w:rsid w:val="006C7305"/>
    <w:rsid w:val="006D4E32"/>
    <w:rsid w:val="006F128D"/>
    <w:rsid w:val="006F56BE"/>
    <w:rsid w:val="00704657"/>
    <w:rsid w:val="00707931"/>
    <w:rsid w:val="007144CC"/>
    <w:rsid w:val="00717D14"/>
    <w:rsid w:val="007200CE"/>
    <w:rsid w:val="00727869"/>
    <w:rsid w:val="00731CFD"/>
    <w:rsid w:val="00732449"/>
    <w:rsid w:val="0076024E"/>
    <w:rsid w:val="00761FCD"/>
    <w:rsid w:val="00765EF7"/>
    <w:rsid w:val="007661DB"/>
    <w:rsid w:val="00771DED"/>
    <w:rsid w:val="00773B91"/>
    <w:rsid w:val="007764E3"/>
    <w:rsid w:val="00780D8B"/>
    <w:rsid w:val="007A11BA"/>
    <w:rsid w:val="007A535E"/>
    <w:rsid w:val="007B771B"/>
    <w:rsid w:val="007B7F4E"/>
    <w:rsid w:val="007C0ED3"/>
    <w:rsid w:val="007C154A"/>
    <w:rsid w:val="007D0D0C"/>
    <w:rsid w:val="007D1E6C"/>
    <w:rsid w:val="007D7021"/>
    <w:rsid w:val="00801D6A"/>
    <w:rsid w:val="00806A38"/>
    <w:rsid w:val="00830C9F"/>
    <w:rsid w:val="008502B1"/>
    <w:rsid w:val="00853C31"/>
    <w:rsid w:val="00854337"/>
    <w:rsid w:val="0089565E"/>
    <w:rsid w:val="00896D12"/>
    <w:rsid w:val="008A230C"/>
    <w:rsid w:val="008A3F91"/>
    <w:rsid w:val="008A5C55"/>
    <w:rsid w:val="008C1FB0"/>
    <w:rsid w:val="008C3F8B"/>
    <w:rsid w:val="008C5103"/>
    <w:rsid w:val="009072B8"/>
    <w:rsid w:val="00907B9B"/>
    <w:rsid w:val="009168AB"/>
    <w:rsid w:val="00924323"/>
    <w:rsid w:val="00924E29"/>
    <w:rsid w:val="00930DE1"/>
    <w:rsid w:val="00936D64"/>
    <w:rsid w:val="00941CAE"/>
    <w:rsid w:val="00961B1D"/>
    <w:rsid w:val="009712BD"/>
    <w:rsid w:val="009731EB"/>
    <w:rsid w:val="009A300F"/>
    <w:rsid w:val="009B048D"/>
    <w:rsid w:val="009E3D1F"/>
    <w:rsid w:val="00A028D2"/>
    <w:rsid w:val="00A213E8"/>
    <w:rsid w:val="00A23DD9"/>
    <w:rsid w:val="00A532A2"/>
    <w:rsid w:val="00A54566"/>
    <w:rsid w:val="00A63413"/>
    <w:rsid w:val="00A678DF"/>
    <w:rsid w:val="00A769F2"/>
    <w:rsid w:val="00A83977"/>
    <w:rsid w:val="00AA0D1E"/>
    <w:rsid w:val="00AA1DE3"/>
    <w:rsid w:val="00AA2F7F"/>
    <w:rsid w:val="00AA37C5"/>
    <w:rsid w:val="00AA7F5D"/>
    <w:rsid w:val="00AB2BE4"/>
    <w:rsid w:val="00AD0FD8"/>
    <w:rsid w:val="00AD7CE2"/>
    <w:rsid w:val="00AE2EEE"/>
    <w:rsid w:val="00AF2013"/>
    <w:rsid w:val="00AF2406"/>
    <w:rsid w:val="00B0295B"/>
    <w:rsid w:val="00B05BC8"/>
    <w:rsid w:val="00B16A58"/>
    <w:rsid w:val="00B36235"/>
    <w:rsid w:val="00B46FA2"/>
    <w:rsid w:val="00B50D95"/>
    <w:rsid w:val="00B60C6B"/>
    <w:rsid w:val="00B85C11"/>
    <w:rsid w:val="00B96B46"/>
    <w:rsid w:val="00BA57E5"/>
    <w:rsid w:val="00BC19BD"/>
    <w:rsid w:val="00BC7F6D"/>
    <w:rsid w:val="00BD53BB"/>
    <w:rsid w:val="00BF1BA5"/>
    <w:rsid w:val="00BF738D"/>
    <w:rsid w:val="00C00DEE"/>
    <w:rsid w:val="00C014E8"/>
    <w:rsid w:val="00C06A94"/>
    <w:rsid w:val="00C1526C"/>
    <w:rsid w:val="00C44DBB"/>
    <w:rsid w:val="00C81DE9"/>
    <w:rsid w:val="00C82D7F"/>
    <w:rsid w:val="00C95B14"/>
    <w:rsid w:val="00C968C3"/>
    <w:rsid w:val="00CA69A6"/>
    <w:rsid w:val="00CF5B36"/>
    <w:rsid w:val="00D012DA"/>
    <w:rsid w:val="00D1278A"/>
    <w:rsid w:val="00D6153B"/>
    <w:rsid w:val="00D72ABE"/>
    <w:rsid w:val="00D81057"/>
    <w:rsid w:val="00D85519"/>
    <w:rsid w:val="00DA0A24"/>
    <w:rsid w:val="00DB071A"/>
    <w:rsid w:val="00DE1101"/>
    <w:rsid w:val="00DE6AA8"/>
    <w:rsid w:val="00DE703A"/>
    <w:rsid w:val="00E02EF2"/>
    <w:rsid w:val="00E1335A"/>
    <w:rsid w:val="00E153FF"/>
    <w:rsid w:val="00E37694"/>
    <w:rsid w:val="00E5004A"/>
    <w:rsid w:val="00E82957"/>
    <w:rsid w:val="00ED0306"/>
    <w:rsid w:val="00ED72BE"/>
    <w:rsid w:val="00EE07A8"/>
    <w:rsid w:val="00EE09A4"/>
    <w:rsid w:val="00EF11CC"/>
    <w:rsid w:val="00F35514"/>
    <w:rsid w:val="00F40FBF"/>
    <w:rsid w:val="00F41553"/>
    <w:rsid w:val="00F55872"/>
    <w:rsid w:val="00F6053F"/>
    <w:rsid w:val="00F6769A"/>
    <w:rsid w:val="00F735DD"/>
    <w:rsid w:val="00F77C9E"/>
    <w:rsid w:val="00F86729"/>
    <w:rsid w:val="00F9315E"/>
    <w:rsid w:val="00F95AE1"/>
    <w:rsid w:val="00FA4464"/>
    <w:rsid w:val="00FB1FE0"/>
    <w:rsid w:val="00FB35F5"/>
    <w:rsid w:val="00FE25EF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021"/>
    <w:rPr>
      <w:color w:val="0000FF" w:themeColor="hyperlink"/>
      <w:u w:val="single"/>
    </w:rPr>
  </w:style>
  <w:style w:type="paragraph" w:styleId="a4">
    <w:name w:val="header"/>
    <w:basedOn w:val="a"/>
    <w:link w:val="HeaderChar"/>
    <w:uiPriority w:val="99"/>
    <w:unhideWhenUsed/>
    <w:rsid w:val="00A83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A83977"/>
  </w:style>
  <w:style w:type="paragraph" w:styleId="a5">
    <w:name w:val="footer"/>
    <w:basedOn w:val="a"/>
    <w:link w:val="FooterChar"/>
    <w:uiPriority w:val="99"/>
    <w:unhideWhenUsed/>
    <w:rsid w:val="00A83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A83977"/>
  </w:style>
  <w:style w:type="paragraph" w:styleId="a6">
    <w:name w:val="List Paragraph"/>
    <w:basedOn w:val="a"/>
    <w:uiPriority w:val="34"/>
    <w:qFormat/>
    <w:rsid w:val="00780D8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B0A96"/>
    <w:rPr>
      <w:sz w:val="16"/>
      <w:szCs w:val="16"/>
    </w:rPr>
  </w:style>
  <w:style w:type="paragraph" w:styleId="a8">
    <w:name w:val="annotation text"/>
    <w:basedOn w:val="a"/>
    <w:link w:val="CommentTextChar"/>
    <w:uiPriority w:val="99"/>
    <w:semiHidden/>
    <w:unhideWhenUsed/>
    <w:rsid w:val="005B0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8"/>
    <w:uiPriority w:val="99"/>
    <w:semiHidden/>
    <w:rsid w:val="005B0A96"/>
    <w:rPr>
      <w:sz w:val="20"/>
      <w:szCs w:val="20"/>
    </w:rPr>
  </w:style>
  <w:style w:type="paragraph" w:styleId="a9">
    <w:name w:val="annotation subject"/>
    <w:basedOn w:val="a8"/>
    <w:next w:val="a8"/>
    <w:link w:val="CommentSubjectChar"/>
    <w:uiPriority w:val="99"/>
    <w:semiHidden/>
    <w:unhideWhenUsed/>
    <w:rsid w:val="005B0A96"/>
    <w:rPr>
      <w:b/>
      <w:bCs/>
    </w:rPr>
  </w:style>
  <w:style w:type="character" w:customStyle="1" w:styleId="CommentSubjectChar">
    <w:name w:val="Comment Subject Char"/>
    <w:basedOn w:val="CommentTextChar"/>
    <w:link w:val="a9"/>
    <w:uiPriority w:val="99"/>
    <w:semiHidden/>
    <w:rsid w:val="005B0A96"/>
    <w:rPr>
      <w:b/>
      <w:bCs/>
      <w:sz w:val="20"/>
      <w:szCs w:val="20"/>
    </w:rPr>
  </w:style>
  <w:style w:type="paragraph" w:styleId="aa">
    <w:name w:val="Balloon Text"/>
    <w:basedOn w:val="a"/>
    <w:link w:val="BalloonTextChar"/>
    <w:uiPriority w:val="99"/>
    <w:semiHidden/>
    <w:unhideWhenUsed/>
    <w:rsid w:val="005B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rsid w:val="005B0A96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8C5103"/>
    <w:pPr>
      <w:spacing w:after="0" w:line="240" w:lineRule="atLeast"/>
    </w:pPr>
    <w:rPr>
      <w:rFonts w:ascii="Century" w:eastAsia="宋体" w:hAnsi="Century" w:cs="宋体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021"/>
    <w:rPr>
      <w:color w:val="0000FF" w:themeColor="hyperlink"/>
      <w:u w:val="single"/>
    </w:rPr>
  </w:style>
  <w:style w:type="paragraph" w:styleId="a4">
    <w:name w:val="header"/>
    <w:basedOn w:val="a"/>
    <w:link w:val="HeaderChar"/>
    <w:uiPriority w:val="99"/>
    <w:unhideWhenUsed/>
    <w:rsid w:val="00A83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A83977"/>
  </w:style>
  <w:style w:type="paragraph" w:styleId="a5">
    <w:name w:val="footer"/>
    <w:basedOn w:val="a"/>
    <w:link w:val="FooterChar"/>
    <w:uiPriority w:val="99"/>
    <w:unhideWhenUsed/>
    <w:rsid w:val="00A83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A83977"/>
  </w:style>
  <w:style w:type="paragraph" w:styleId="a6">
    <w:name w:val="List Paragraph"/>
    <w:basedOn w:val="a"/>
    <w:uiPriority w:val="34"/>
    <w:qFormat/>
    <w:rsid w:val="00780D8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B0A96"/>
    <w:rPr>
      <w:sz w:val="16"/>
      <w:szCs w:val="16"/>
    </w:rPr>
  </w:style>
  <w:style w:type="paragraph" w:styleId="a8">
    <w:name w:val="annotation text"/>
    <w:basedOn w:val="a"/>
    <w:link w:val="CommentTextChar"/>
    <w:uiPriority w:val="99"/>
    <w:semiHidden/>
    <w:unhideWhenUsed/>
    <w:rsid w:val="005B0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8"/>
    <w:uiPriority w:val="99"/>
    <w:semiHidden/>
    <w:rsid w:val="005B0A96"/>
    <w:rPr>
      <w:sz w:val="20"/>
      <w:szCs w:val="20"/>
    </w:rPr>
  </w:style>
  <w:style w:type="paragraph" w:styleId="a9">
    <w:name w:val="annotation subject"/>
    <w:basedOn w:val="a8"/>
    <w:next w:val="a8"/>
    <w:link w:val="CommentSubjectChar"/>
    <w:uiPriority w:val="99"/>
    <w:semiHidden/>
    <w:unhideWhenUsed/>
    <w:rsid w:val="005B0A96"/>
    <w:rPr>
      <w:b/>
      <w:bCs/>
    </w:rPr>
  </w:style>
  <w:style w:type="character" w:customStyle="1" w:styleId="CommentSubjectChar">
    <w:name w:val="Comment Subject Char"/>
    <w:basedOn w:val="CommentTextChar"/>
    <w:link w:val="a9"/>
    <w:uiPriority w:val="99"/>
    <w:semiHidden/>
    <w:rsid w:val="005B0A96"/>
    <w:rPr>
      <w:b/>
      <w:bCs/>
      <w:sz w:val="20"/>
      <w:szCs w:val="20"/>
    </w:rPr>
  </w:style>
  <w:style w:type="paragraph" w:styleId="aa">
    <w:name w:val="Balloon Text"/>
    <w:basedOn w:val="a"/>
    <w:link w:val="BalloonTextChar"/>
    <w:uiPriority w:val="99"/>
    <w:semiHidden/>
    <w:unhideWhenUsed/>
    <w:rsid w:val="005B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rsid w:val="005B0A96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8C5103"/>
    <w:pPr>
      <w:spacing w:after="0" w:line="240" w:lineRule="atLeast"/>
    </w:pPr>
    <w:rPr>
      <w:rFonts w:ascii="Century" w:eastAsia="宋体" w:hAnsi="Century" w:cs="宋体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2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30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11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5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937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7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43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4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4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5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dalamaga@med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426B-E84B-4D77-B50F-CD8FDBC9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LS Ma</cp:lastModifiedBy>
  <cp:revision>2</cp:revision>
  <cp:lastPrinted>2013-06-14T15:54:00Z</cp:lastPrinted>
  <dcterms:created xsi:type="dcterms:W3CDTF">2013-10-16T23:41:00Z</dcterms:created>
  <dcterms:modified xsi:type="dcterms:W3CDTF">2013-10-16T23:41:00Z</dcterms:modified>
</cp:coreProperties>
</file>