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4005CA" w:rsidRDefault="002E4B5C">
            <w:pPr>
              <w:spacing w:line="360" w:lineRule="auto"/>
              <w:rPr>
                <w:rFonts w:ascii="Book Antiqua" w:hAnsi="Book Antiqua"/>
                <w:color w:val="000000"/>
                <w:sz w:val="24"/>
                <w:szCs w:val="24"/>
              </w:rPr>
            </w:pPr>
            <w:r>
              <w:rPr>
                <w:rFonts w:ascii="Book Antiqua" w:hAnsi="Book Antiqua"/>
                <w:color w:val="000000"/>
                <w:sz w:val="24"/>
                <w:szCs w:val="24"/>
              </w:rPr>
              <w:t>Portal vein thrombosis in cirrhotic patients - it is always the small pieces that make the big picture</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4005CA" w:rsidRDefault="002E4B5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Irina </w:t>
            </w:r>
            <w:proofErr w:type="spellStart"/>
            <w:r>
              <w:rPr>
                <w:rFonts w:ascii="Book Antiqua" w:hAnsi="Book Antiqua" w:cs="Book Antiqua"/>
                <w:color w:val="000000"/>
                <w:sz w:val="24"/>
                <w:szCs w:val="24"/>
              </w:rPr>
              <w:t>Girleanu</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Anca</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Trifan</w:t>
            </w:r>
            <w:proofErr w:type="spellEnd"/>
            <w:r>
              <w:rPr>
                <w:rFonts w:ascii="Book Antiqua" w:hAnsi="Book Antiqua" w:cs="Book Antiqua"/>
                <w:color w:val="000000"/>
                <w:sz w:val="24"/>
                <w:szCs w:val="24"/>
              </w:rPr>
              <w:t xml:space="preserve">, Carol </w:t>
            </w:r>
            <w:proofErr w:type="spellStart"/>
            <w:r>
              <w:rPr>
                <w:rFonts w:ascii="Book Antiqua" w:hAnsi="Book Antiqua" w:cs="Book Antiqua"/>
                <w:color w:val="000000"/>
                <w:sz w:val="24"/>
                <w:szCs w:val="24"/>
              </w:rPr>
              <w:t>Stanciu</w:t>
            </w:r>
            <w:proofErr w:type="spellEnd"/>
            <w:r>
              <w:rPr>
                <w:rFonts w:ascii="Book Antiqua" w:hAnsi="Book Antiqua" w:cs="Book Antiqua"/>
                <w:color w:val="000000"/>
                <w:sz w:val="24"/>
                <w:szCs w:val="24"/>
              </w:rPr>
              <w:t xml:space="preserve"> and </w:t>
            </w:r>
            <w:proofErr w:type="spellStart"/>
            <w:r>
              <w:rPr>
                <w:rFonts w:ascii="Book Antiqua" w:hAnsi="Book Antiqua" w:cs="Book Antiqua"/>
                <w:color w:val="000000"/>
                <w:sz w:val="24"/>
                <w:szCs w:val="24"/>
              </w:rPr>
              <w:t>Catalin</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Sfarti</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4005CA" w:rsidRDefault="002E4B5C">
            <w:pPr>
              <w:pStyle w:val="af4"/>
              <w:spacing w:line="360" w:lineRule="auto"/>
              <w:rPr>
                <w:rFonts w:ascii="Book Antiqua" w:hAnsi="Book Antiqua"/>
                <w:sz w:val="24"/>
                <w:szCs w:val="24"/>
                <w:lang w:val="zh-CN"/>
              </w:rPr>
            </w:pPr>
            <w:proofErr w:type="spellStart"/>
            <w:r w:rsidRPr="00FE1855">
              <w:rPr>
                <w:rFonts w:ascii="Book Antiqua" w:hAnsi="Book Antiqua"/>
                <w:sz w:val="24"/>
                <w:szCs w:val="24"/>
              </w:rPr>
              <w:t>Gîrleanu</w:t>
            </w:r>
            <w:proofErr w:type="spellEnd"/>
            <w:r w:rsidRPr="00FE1855">
              <w:rPr>
                <w:rFonts w:ascii="Book Antiqua" w:hAnsi="Book Antiqua"/>
                <w:sz w:val="24"/>
                <w:szCs w:val="24"/>
              </w:rPr>
              <w:t xml:space="preserve"> I, </w:t>
            </w:r>
            <w:proofErr w:type="spellStart"/>
            <w:r w:rsidRPr="00FE1855">
              <w:rPr>
                <w:rFonts w:ascii="Book Antiqua" w:hAnsi="Book Antiqua"/>
                <w:sz w:val="24"/>
                <w:szCs w:val="24"/>
              </w:rPr>
              <w:t>Trifan</w:t>
            </w:r>
            <w:proofErr w:type="spellEnd"/>
            <w:r w:rsidRPr="00FE1855">
              <w:rPr>
                <w:rFonts w:ascii="Book Antiqua" w:hAnsi="Book Antiqua"/>
                <w:sz w:val="24"/>
                <w:szCs w:val="24"/>
              </w:rPr>
              <w:t xml:space="preserve"> A, </w:t>
            </w:r>
            <w:proofErr w:type="spellStart"/>
            <w:r w:rsidRPr="00FE1855">
              <w:rPr>
                <w:rFonts w:ascii="Book Antiqua" w:hAnsi="Book Antiqua"/>
                <w:sz w:val="24"/>
                <w:szCs w:val="24"/>
              </w:rPr>
              <w:t>Stanciu</w:t>
            </w:r>
            <w:proofErr w:type="spellEnd"/>
            <w:r w:rsidRPr="00FE1855">
              <w:rPr>
                <w:rFonts w:ascii="Book Antiqua" w:hAnsi="Book Antiqua"/>
                <w:sz w:val="24"/>
                <w:szCs w:val="24"/>
              </w:rPr>
              <w:t xml:space="preserve"> C, </w:t>
            </w:r>
            <w:proofErr w:type="spellStart"/>
            <w:proofErr w:type="gramStart"/>
            <w:r w:rsidRPr="00FE1855">
              <w:rPr>
                <w:rFonts w:ascii="Book Antiqua" w:hAnsi="Book Antiqua"/>
                <w:sz w:val="24"/>
                <w:szCs w:val="24"/>
              </w:rPr>
              <w:t>Sfarti</w:t>
            </w:r>
            <w:proofErr w:type="spellEnd"/>
            <w:proofErr w:type="gramEnd"/>
            <w:r w:rsidRPr="00FE1855">
              <w:rPr>
                <w:rFonts w:ascii="Book Antiqua" w:hAnsi="Book Antiqua"/>
                <w:sz w:val="24"/>
                <w:szCs w:val="24"/>
              </w:rPr>
              <w:t xml:space="preserve"> C. Portal vein thrombosis in cirrhotic patients - it is always the small pieces that make the big picture. </w:t>
            </w:r>
            <w:r>
              <w:rPr>
                <w:rFonts w:ascii="Book Antiqua" w:hAnsi="Book Antiqua"/>
                <w:sz w:val="24"/>
                <w:szCs w:val="24"/>
                <w:lang w:val="zh-CN"/>
              </w:rPr>
              <w:t xml:space="preserve">World J Gastroenterol 2018; 24(39): </w:t>
            </w:r>
            <w:r>
              <w:rPr>
                <w:rFonts w:ascii="Book Antiqua" w:hAnsi="Book Antiqua"/>
                <w:sz w:val="24"/>
                <w:szCs w:val="24"/>
                <w:lang w:val="zh-CN"/>
              </w:rPr>
              <w:t>4419-4427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4005CA" w:rsidRDefault="002E4B5C">
            <w:pPr>
              <w:pStyle w:val="af3"/>
              <w:spacing w:line="360" w:lineRule="auto"/>
              <w:rPr>
                <w:rFonts w:ascii="Book Antiqua" w:hAnsi="Book Antiqua"/>
                <w:b w:val="0"/>
                <w:bCs w:val="0"/>
                <w:sz w:val="24"/>
                <w:szCs w:val="24"/>
                <w:lang w:val="en-US"/>
              </w:rPr>
            </w:pPr>
            <w:r w:rsidRPr="00FE1855">
              <w:rPr>
                <w:rFonts w:ascii="Book Antiqua" w:hAnsi="Book Antiqua"/>
                <w:b w:val="0"/>
                <w:sz w:val="24"/>
                <w:szCs w:val="24"/>
                <w:lang w:val="en-US"/>
              </w:rPr>
              <w:t>http://www.wjgnet.com/1007-9327/full/v24/i39/4419.htm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4005CA" w:rsidRDefault="002E4B5C">
            <w:pPr>
              <w:pStyle w:val="af3"/>
              <w:spacing w:line="360" w:lineRule="auto"/>
              <w:rPr>
                <w:rFonts w:ascii="Book Antiqua" w:hAnsi="Book Antiqua"/>
                <w:b w:val="0"/>
                <w:bCs w:val="0"/>
                <w:sz w:val="24"/>
                <w:szCs w:val="24"/>
                <w:lang w:val="en-US"/>
              </w:rPr>
            </w:pPr>
            <w:r w:rsidRPr="00FE1855">
              <w:rPr>
                <w:rFonts w:ascii="Book Antiqua" w:hAnsi="Book Antiqua"/>
                <w:b w:val="0"/>
                <w:sz w:val="24"/>
                <w:szCs w:val="24"/>
                <w:lang w:val="en-US"/>
              </w:rPr>
              <w:t>http://dx.doi.org/10.3748/wjg.v24.i39.4419</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4005CA" w:rsidRDefault="002E4B5C">
            <w:pPr>
              <w:pStyle w:val="ad"/>
              <w:spacing w:line="360" w:lineRule="auto"/>
              <w:rPr>
                <w:rFonts w:ascii="Book Antiqua" w:hAnsi="Book Antiqua"/>
                <w:color w:val="000000"/>
                <w:sz w:val="24"/>
                <w:szCs w:val="24"/>
                <w:lang w:val="zh-CN"/>
              </w:rPr>
            </w:pPr>
            <w:r w:rsidRPr="00FE1855">
              <w:rPr>
                <w:rFonts w:ascii="Book Antiqua" w:hAnsi="Book Antiqua"/>
                <w:color w:val="000000"/>
                <w:sz w:val="24"/>
                <w:szCs w:val="24"/>
              </w:rPr>
              <w:t>This article is an open-access article which was selected by an in-house editor and fully peer-reviewed by external reviewers.</w:t>
            </w:r>
            <w:r w:rsidRPr="00FE1855">
              <w:rPr>
                <w:rFonts w:ascii="Book Antiqua" w:hAnsi="Book Antiqua"/>
                <w:color w:val="000000"/>
                <w:sz w:val="24"/>
                <w:szCs w:val="24"/>
              </w:rPr>
              <w:t xml:space="preserve"> It is distributed in accordance with the Creative Commons Attribution Non Commercial (CC BY-NC 4.0) license, which permits others to distribute, remix, adapt, build upon this work non-commercially, and license their derivative works on different terms, pr</w:t>
            </w:r>
            <w:r w:rsidRPr="00FE1855">
              <w:rPr>
                <w:rFonts w:ascii="Book Antiqua" w:hAnsi="Book Antiqua"/>
                <w:color w:val="000000"/>
                <w:sz w:val="24"/>
                <w:szCs w:val="24"/>
              </w:rPr>
              <w:t xml:space="preserve">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4005CA" w:rsidRDefault="002E4B5C">
            <w:pPr>
              <w:pStyle w:val="E-1"/>
              <w:spacing w:line="360" w:lineRule="auto"/>
              <w:rPr>
                <w:rFonts w:ascii="Book Antiqua" w:hAnsi="Book Antiqua"/>
                <w:bCs/>
                <w:sz w:val="24"/>
                <w:szCs w:val="24"/>
              </w:rPr>
            </w:pPr>
            <w:r>
              <w:rPr>
                <w:rFonts w:ascii="Book Antiqua" w:hAnsi="Book Antiqua"/>
                <w:sz w:val="24"/>
                <w:szCs w:val="24"/>
              </w:rPr>
              <w:t xml:space="preserve">Portal vein thrombosis is a frequent and serious complication in patients with liver cirrhosis. The new classification </w:t>
            </w:r>
            <w:r>
              <w:rPr>
                <w:rFonts w:ascii="Book Antiqua" w:hAnsi="Book Antiqua"/>
                <w:sz w:val="24"/>
                <w:szCs w:val="24"/>
              </w:rPr>
              <w:t xml:space="preserve">needs to be validated and should contain the pattern of thrombus </w:t>
            </w:r>
            <w:r>
              <w:rPr>
                <w:rFonts w:ascii="Book Antiqua" w:hAnsi="Book Antiqua"/>
                <w:sz w:val="24"/>
                <w:szCs w:val="24"/>
              </w:rPr>
              <w:lastRenderedPageBreak/>
              <w:t xml:space="preserve">evolution and the status of liver cirrhosis- compensated or decompensated. The two main risk factors - reduced portal flow velocity and the </w:t>
            </w:r>
            <w:proofErr w:type="spellStart"/>
            <w:r>
              <w:rPr>
                <w:rFonts w:ascii="Book Antiqua" w:hAnsi="Book Antiqua"/>
                <w:sz w:val="24"/>
                <w:szCs w:val="24"/>
              </w:rPr>
              <w:t>hypercoagulable</w:t>
            </w:r>
            <w:proofErr w:type="spellEnd"/>
            <w:r>
              <w:rPr>
                <w:rFonts w:ascii="Book Antiqua" w:hAnsi="Book Antiqua"/>
                <w:sz w:val="24"/>
                <w:szCs w:val="24"/>
              </w:rPr>
              <w:t xml:space="preserve"> state should be addressed more exte</w:t>
            </w:r>
            <w:r>
              <w:rPr>
                <w:rFonts w:ascii="Book Antiqua" w:hAnsi="Book Antiqua"/>
                <w:sz w:val="24"/>
                <w:szCs w:val="24"/>
              </w:rPr>
              <w:t xml:space="preserve">nsively in large studies, considering the stage of liver disease. The anticoagulant treatment could be considered in </w:t>
            </w:r>
            <w:proofErr w:type="spellStart"/>
            <w:r>
              <w:rPr>
                <w:rFonts w:ascii="Book Antiqua" w:hAnsi="Book Antiqua"/>
                <w:sz w:val="24"/>
                <w:szCs w:val="24"/>
              </w:rPr>
              <w:t>cirrhotics</w:t>
            </w:r>
            <w:proofErr w:type="spellEnd"/>
            <w:r>
              <w:rPr>
                <w:rFonts w:ascii="Book Antiqua" w:hAnsi="Book Antiqua"/>
                <w:sz w:val="24"/>
                <w:szCs w:val="24"/>
              </w:rPr>
              <w:t xml:space="preserve"> with portal vein thrombosis. The end-points of the anticoagulant treatment should consider the recanalization, </w:t>
            </w:r>
            <w:proofErr w:type="spellStart"/>
            <w:r>
              <w:rPr>
                <w:rFonts w:ascii="Book Antiqua" w:hAnsi="Book Antiqua"/>
                <w:sz w:val="24"/>
                <w:szCs w:val="24"/>
              </w:rPr>
              <w:t>decompensation</w:t>
            </w:r>
            <w:proofErr w:type="spellEnd"/>
            <w:r>
              <w:rPr>
                <w:rFonts w:ascii="Book Antiqua" w:hAnsi="Book Antiqua"/>
                <w:sz w:val="24"/>
                <w:szCs w:val="24"/>
              </w:rPr>
              <w:t>, a</w:t>
            </w:r>
            <w:r>
              <w:rPr>
                <w:rFonts w:ascii="Book Antiqua" w:hAnsi="Book Antiqua"/>
                <w:sz w:val="24"/>
                <w:szCs w:val="24"/>
              </w:rPr>
              <w:t>nd the mortality rates.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4005CA" w:rsidRDefault="002E4B5C">
            <w:pPr>
              <w:pStyle w:val="E-1"/>
              <w:spacing w:line="360" w:lineRule="auto"/>
              <w:rPr>
                <w:rFonts w:ascii="Book Antiqua" w:hAnsi="Book Antiqua"/>
                <w:spacing w:val="-4"/>
                <w:sz w:val="24"/>
                <w:szCs w:val="24"/>
              </w:rPr>
            </w:pPr>
            <w:r>
              <w:rPr>
                <w:rFonts w:ascii="Book Antiqua" w:hAnsi="Book Antiqua"/>
                <w:sz w:val="24"/>
                <w:szCs w:val="24"/>
              </w:rPr>
              <w:t>Portal vein thrombosis, Liver cirrhosis, Classification, Risk factors,  and Anticoagulation</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4005CA" w:rsidRDefault="002E4B5C">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4005CA" w:rsidRDefault="002E4B5C">
            <w:pPr>
              <w:pStyle w:val="af3"/>
              <w:spacing w:line="360" w:lineRule="auto"/>
              <w:rPr>
                <w:rFonts w:ascii="Book Antiqua" w:hAnsi="Book Antiqua"/>
                <w:b w:val="0"/>
                <w:i/>
                <w:sz w:val="24"/>
                <w:szCs w:val="24"/>
                <w:lang w:val="en-US"/>
              </w:rPr>
            </w:pPr>
            <w:r>
              <w:rPr>
                <w:rFonts w:ascii="Book Antiqua" w:hAnsi="Book Antiqua"/>
                <w:b w:val="0"/>
                <w:sz w:val="24"/>
                <w:szCs w:val="24"/>
              </w:rPr>
              <w:t xml:space="preserve">World </w:t>
            </w:r>
            <w:r>
              <w:rPr>
                <w:rFonts w:ascii="Book Antiqua" w:hAnsi="Book Antiqua"/>
                <w:b w:val="0"/>
                <w:sz w:val="24"/>
                <w:szCs w:val="24"/>
              </w:rPr>
              <w:t>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4005CA" w:rsidRDefault="002E4B5C">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4005CA" w:rsidRDefault="002E4B5C">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4005CA" w:rsidRDefault="002E4B5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FE1855" w:rsidRDefault="00FE1855" w:rsidP="00B657F9">
      <w:pPr>
        <w:rPr>
          <w:rFonts w:hint="eastAsia"/>
        </w:rPr>
      </w:pPr>
    </w:p>
    <w:p w:rsidR="00FE1855" w:rsidRDefault="00FE1855" w:rsidP="00B657F9">
      <w:pPr>
        <w:rPr>
          <w:rFonts w:hint="eastAsia"/>
        </w:rPr>
      </w:pPr>
    </w:p>
    <w:p w:rsidR="00FE1855" w:rsidRDefault="00FE1855" w:rsidP="00B657F9">
      <w:pPr>
        <w:rPr>
          <w:rFonts w:hint="eastAsia"/>
        </w:rPr>
      </w:pPr>
    </w:p>
    <w:p w:rsidR="00FE1855" w:rsidRDefault="00FE1855" w:rsidP="00B657F9">
      <w:pPr>
        <w:rPr>
          <w:rFonts w:hint="eastAsia"/>
        </w:rPr>
      </w:pPr>
    </w:p>
    <w:p w:rsidR="00FE1855" w:rsidRDefault="00FE1855" w:rsidP="00B657F9">
      <w:pPr>
        <w:rPr>
          <w:rFonts w:hint="eastAsia"/>
        </w:rPr>
      </w:pPr>
    </w:p>
    <w:p w:rsidR="00FE1855" w:rsidRDefault="00FE1855" w:rsidP="00B657F9">
      <w:pPr>
        <w:rPr>
          <w:rFonts w:hint="eastAsia"/>
        </w:rPr>
      </w:pPr>
    </w:p>
    <w:p w:rsidR="00FE1855" w:rsidRDefault="00FE1855" w:rsidP="00B657F9">
      <w:pPr>
        <w:rPr>
          <w:rFonts w:hint="eastAsia"/>
        </w:rPr>
      </w:pPr>
    </w:p>
    <w:p w:rsidR="00FE1855" w:rsidRDefault="00FE1855" w:rsidP="00B657F9">
      <w:pPr>
        <w:rPr>
          <w:rFonts w:hint="eastAsia"/>
        </w:rPr>
      </w:pPr>
    </w:p>
    <w:p w:rsidR="00FE1855" w:rsidRPr="000937AF" w:rsidRDefault="00FE1855" w:rsidP="00FE1855">
      <w:r>
        <w:lastRenderedPageBreak/>
        <w:t xml:space="preserve">Ms. </w:t>
      </w:r>
      <w:proofErr w:type="spellStart"/>
      <w:r>
        <w:t>wjg</w:t>
      </w:r>
      <w:proofErr w:type="spellEnd"/>
      <w:r>
        <w:t xml:space="preserve">/20XX                                                    </w:t>
      </w:r>
      <w:r w:rsidRPr="000937AF">
        <w:t>EDITORIAL</w:t>
      </w:r>
    </w:p>
    <w:p w:rsidR="00FE1855" w:rsidRDefault="00FE1855" w:rsidP="00FE1855">
      <w:pPr>
        <w:rPr>
          <w:rFonts w:hint="eastAsia"/>
        </w:rPr>
      </w:pPr>
    </w:p>
    <w:p w:rsidR="00FE1855" w:rsidRPr="000937AF" w:rsidRDefault="00FE1855" w:rsidP="00FE1855">
      <w:pPr>
        <w:pStyle w:val="af3"/>
        <w:rPr>
          <w:lang w:val="en-US"/>
        </w:rPr>
      </w:pPr>
      <w:r w:rsidRPr="000937AF">
        <w:rPr>
          <w:lang w:val="en-US"/>
        </w:rPr>
        <w:t>Portal vein thrombosis in cirrhotic patients - it is always the small pieces that make the big picture</w:t>
      </w:r>
    </w:p>
    <w:p w:rsidR="00FE1855" w:rsidRDefault="00FE1855" w:rsidP="00FE1855">
      <w:pPr>
        <w:rPr>
          <w:rFonts w:hint="eastAsia"/>
        </w:rPr>
      </w:pPr>
    </w:p>
    <w:p w:rsidR="00FE1855" w:rsidRPr="000937AF" w:rsidRDefault="00FE1855" w:rsidP="00FE1855">
      <w:pPr>
        <w:pStyle w:val="af5"/>
        <w:rPr>
          <w:lang w:val="en-US"/>
        </w:rPr>
      </w:pPr>
      <w:r w:rsidRPr="000937AF">
        <w:rPr>
          <w:lang w:val="en-US"/>
        </w:rPr>
        <w:t xml:space="preserve">Irina </w:t>
      </w:r>
      <w:proofErr w:type="spellStart"/>
      <w:r w:rsidRPr="000937AF">
        <w:rPr>
          <w:lang w:val="en-US"/>
        </w:rPr>
        <w:t>Gîrleanu</w:t>
      </w:r>
      <w:proofErr w:type="spellEnd"/>
      <w:r w:rsidRPr="000937AF">
        <w:rPr>
          <w:lang w:val="en-US"/>
        </w:rPr>
        <w:t xml:space="preserve">, </w:t>
      </w:r>
      <w:proofErr w:type="spellStart"/>
      <w:r w:rsidRPr="000937AF">
        <w:rPr>
          <w:lang w:val="en-US"/>
        </w:rPr>
        <w:t>Anca</w:t>
      </w:r>
      <w:proofErr w:type="spellEnd"/>
      <w:r w:rsidRPr="000937AF">
        <w:rPr>
          <w:lang w:val="en-US"/>
        </w:rPr>
        <w:t xml:space="preserve"> </w:t>
      </w:r>
      <w:proofErr w:type="spellStart"/>
      <w:r w:rsidRPr="000937AF">
        <w:rPr>
          <w:lang w:val="en-US"/>
        </w:rPr>
        <w:t>Trifan</w:t>
      </w:r>
      <w:proofErr w:type="spellEnd"/>
      <w:r w:rsidRPr="000937AF">
        <w:rPr>
          <w:lang w:val="en-US"/>
        </w:rPr>
        <w:t xml:space="preserve">, Carol </w:t>
      </w:r>
      <w:proofErr w:type="spellStart"/>
      <w:r w:rsidRPr="000937AF">
        <w:rPr>
          <w:lang w:val="en-US"/>
        </w:rPr>
        <w:t>Stanciu</w:t>
      </w:r>
      <w:proofErr w:type="spellEnd"/>
      <w:r w:rsidRPr="000937AF">
        <w:rPr>
          <w:lang w:val="en-US"/>
        </w:rPr>
        <w:t xml:space="preserve">, </w:t>
      </w:r>
      <w:proofErr w:type="spellStart"/>
      <w:r w:rsidRPr="000937AF">
        <w:rPr>
          <w:lang w:val="en-US"/>
        </w:rPr>
        <w:t>Cătălin</w:t>
      </w:r>
      <w:proofErr w:type="spellEnd"/>
      <w:r w:rsidRPr="000937AF">
        <w:rPr>
          <w:lang w:val="en-US"/>
        </w:rPr>
        <w:t xml:space="preserve"> </w:t>
      </w:r>
      <w:proofErr w:type="spellStart"/>
      <w:r w:rsidRPr="000937AF">
        <w:rPr>
          <w:lang w:val="en-US"/>
        </w:rPr>
        <w:t>Sfarti</w:t>
      </w:r>
      <w:proofErr w:type="spellEnd"/>
    </w:p>
    <w:p w:rsidR="00FE1855" w:rsidRDefault="00FE1855" w:rsidP="00FE1855">
      <w:pPr>
        <w:rPr>
          <w:rFonts w:hint="eastAsia"/>
        </w:rPr>
      </w:pPr>
    </w:p>
    <w:p w:rsidR="00FE1855" w:rsidRPr="000937AF" w:rsidRDefault="00FE1855" w:rsidP="00FE1855">
      <w:pPr>
        <w:pStyle w:val="af6"/>
      </w:pPr>
      <w:r>
        <w:rPr>
          <w:rFonts w:ascii="Tahoma" w:hAnsi="Tahoma" w:cs="Tahoma"/>
        </w:rPr>
        <w:t xml:space="preserve">Irina </w:t>
      </w:r>
      <w:proofErr w:type="spellStart"/>
      <w:r>
        <w:rPr>
          <w:rFonts w:ascii="Tahoma" w:hAnsi="Tahoma" w:cs="Tahoma"/>
        </w:rPr>
        <w:t>Gîrleanu</w:t>
      </w:r>
      <w:proofErr w:type="spellEnd"/>
      <w:r>
        <w:rPr>
          <w:rFonts w:ascii="Tahoma" w:hAnsi="Tahoma" w:cs="Tahoma"/>
        </w:rPr>
        <w:t xml:space="preserve">, </w:t>
      </w:r>
      <w:proofErr w:type="spellStart"/>
      <w:r>
        <w:rPr>
          <w:rFonts w:ascii="Tahoma" w:hAnsi="Tahoma" w:cs="Tahoma"/>
        </w:rPr>
        <w:t>Anca</w:t>
      </w:r>
      <w:proofErr w:type="spellEnd"/>
      <w:r>
        <w:rPr>
          <w:rFonts w:ascii="Tahoma" w:hAnsi="Tahoma" w:cs="Tahoma"/>
        </w:rPr>
        <w:t xml:space="preserve"> </w:t>
      </w:r>
      <w:proofErr w:type="spellStart"/>
      <w:r>
        <w:rPr>
          <w:rFonts w:ascii="Tahoma" w:hAnsi="Tahoma" w:cs="Tahoma"/>
        </w:rPr>
        <w:t>Trifan</w:t>
      </w:r>
      <w:proofErr w:type="spellEnd"/>
      <w:r>
        <w:rPr>
          <w:rFonts w:ascii="Tahoma" w:hAnsi="Tahoma" w:cs="Tahoma"/>
        </w:rPr>
        <w:t xml:space="preserve">, Carol </w:t>
      </w:r>
      <w:proofErr w:type="spellStart"/>
      <w:r>
        <w:rPr>
          <w:rFonts w:ascii="Tahoma" w:hAnsi="Tahoma" w:cs="Tahoma"/>
        </w:rPr>
        <w:t>Stanciu</w:t>
      </w:r>
      <w:proofErr w:type="spellEnd"/>
      <w:r>
        <w:rPr>
          <w:rFonts w:ascii="Tahoma" w:hAnsi="Tahoma" w:cs="Tahoma"/>
        </w:rPr>
        <w:t xml:space="preserve">, </w:t>
      </w:r>
      <w:proofErr w:type="spellStart"/>
      <w:r>
        <w:rPr>
          <w:rFonts w:ascii="Tahoma" w:hAnsi="Tahoma" w:cs="Tahoma"/>
        </w:rPr>
        <w:t>Cătălin</w:t>
      </w:r>
      <w:proofErr w:type="spellEnd"/>
      <w:r>
        <w:rPr>
          <w:rFonts w:ascii="Tahoma" w:hAnsi="Tahoma" w:cs="Tahoma"/>
        </w:rPr>
        <w:t xml:space="preserve"> </w:t>
      </w:r>
      <w:proofErr w:type="spellStart"/>
      <w:r>
        <w:rPr>
          <w:rFonts w:ascii="Tahoma" w:hAnsi="Tahoma" w:cs="Tahoma"/>
        </w:rPr>
        <w:t>Sfarti</w:t>
      </w:r>
      <w:proofErr w:type="spellEnd"/>
      <w:r>
        <w:rPr>
          <w:rFonts w:ascii="Tahoma" w:hAnsi="Tahoma" w:cs="Tahoma"/>
        </w:rPr>
        <w:t xml:space="preserve">, </w:t>
      </w:r>
      <w:r>
        <w:t>Department of Gastroenterology, “</w:t>
      </w:r>
      <w:proofErr w:type="spellStart"/>
      <w:r>
        <w:t>Grigore</w:t>
      </w:r>
      <w:proofErr w:type="spellEnd"/>
      <w:r>
        <w:t xml:space="preserve"> T </w:t>
      </w:r>
      <w:proofErr w:type="spellStart"/>
      <w:r>
        <w:t>Popa</w:t>
      </w:r>
      <w:proofErr w:type="spellEnd"/>
      <w:r>
        <w:t xml:space="preserve">” University of Medicine and Pharmacy, </w:t>
      </w:r>
      <w:proofErr w:type="spellStart"/>
      <w:r>
        <w:t>Ia</w:t>
      </w:r>
      <w:proofErr w:type="spellEnd"/>
      <w:r>
        <w:rPr>
          <w:rFonts w:ascii="Tahoma" w:hAnsi="Tahoma" w:cs="Tahoma"/>
          <w:sz w:val="17"/>
          <w:szCs w:val="17"/>
          <w:lang w:val="ro-RO"/>
        </w:rPr>
        <w:t>ș</w:t>
      </w:r>
      <w:r>
        <w:rPr>
          <w:lang w:val="ro-RO"/>
        </w:rPr>
        <w:t>i</w:t>
      </w:r>
      <w:r w:rsidRPr="000937AF">
        <w:t xml:space="preserve"> </w:t>
      </w:r>
      <w:r>
        <w:rPr>
          <w:lang w:val="ro-RO"/>
        </w:rPr>
        <w:t>700115, Romania</w:t>
      </w:r>
      <w:r w:rsidRPr="000937AF">
        <w:t xml:space="preserve"> </w:t>
      </w:r>
    </w:p>
    <w:p w:rsidR="00FE1855" w:rsidRDefault="00FE1855" w:rsidP="00FE1855">
      <w:pPr>
        <w:pStyle w:val="af6"/>
        <w:rPr>
          <w:lang w:val="ro-RO"/>
        </w:rPr>
      </w:pPr>
      <w:r>
        <w:rPr>
          <w:rFonts w:ascii="Tahoma" w:hAnsi="Tahoma" w:cs="Tahoma"/>
        </w:rPr>
        <w:t xml:space="preserve">Irina </w:t>
      </w:r>
      <w:proofErr w:type="spellStart"/>
      <w:r>
        <w:rPr>
          <w:rFonts w:ascii="Tahoma" w:hAnsi="Tahoma" w:cs="Tahoma"/>
        </w:rPr>
        <w:t>Gîrleanu</w:t>
      </w:r>
      <w:proofErr w:type="spellEnd"/>
      <w:r>
        <w:rPr>
          <w:rFonts w:ascii="Tahoma" w:hAnsi="Tahoma" w:cs="Tahoma"/>
        </w:rPr>
        <w:t xml:space="preserve">, </w:t>
      </w:r>
      <w:proofErr w:type="spellStart"/>
      <w:r>
        <w:rPr>
          <w:rFonts w:ascii="Tahoma" w:hAnsi="Tahoma" w:cs="Tahoma"/>
        </w:rPr>
        <w:t>Anca</w:t>
      </w:r>
      <w:proofErr w:type="spellEnd"/>
      <w:r>
        <w:rPr>
          <w:rFonts w:ascii="Tahoma" w:hAnsi="Tahoma" w:cs="Tahoma"/>
        </w:rPr>
        <w:t xml:space="preserve"> </w:t>
      </w:r>
      <w:proofErr w:type="spellStart"/>
      <w:r>
        <w:rPr>
          <w:rFonts w:ascii="Tahoma" w:hAnsi="Tahoma" w:cs="Tahoma"/>
        </w:rPr>
        <w:t>Trifan</w:t>
      </w:r>
      <w:proofErr w:type="spellEnd"/>
      <w:r>
        <w:rPr>
          <w:rFonts w:ascii="Tahoma" w:hAnsi="Tahoma" w:cs="Tahoma"/>
        </w:rPr>
        <w:t xml:space="preserve">, Carol </w:t>
      </w:r>
      <w:proofErr w:type="spellStart"/>
      <w:r>
        <w:rPr>
          <w:rFonts w:ascii="Tahoma" w:hAnsi="Tahoma" w:cs="Tahoma"/>
        </w:rPr>
        <w:t>Stanciu</w:t>
      </w:r>
      <w:proofErr w:type="spellEnd"/>
      <w:r>
        <w:rPr>
          <w:rFonts w:ascii="Tahoma" w:hAnsi="Tahoma" w:cs="Tahoma"/>
        </w:rPr>
        <w:t xml:space="preserve">, </w:t>
      </w:r>
      <w:proofErr w:type="spellStart"/>
      <w:r>
        <w:rPr>
          <w:rFonts w:ascii="Tahoma" w:hAnsi="Tahoma" w:cs="Tahoma"/>
        </w:rPr>
        <w:t>Cătălin</w:t>
      </w:r>
      <w:proofErr w:type="spellEnd"/>
      <w:r>
        <w:rPr>
          <w:rFonts w:ascii="Tahoma" w:hAnsi="Tahoma" w:cs="Tahoma"/>
        </w:rPr>
        <w:t xml:space="preserve"> </w:t>
      </w:r>
      <w:proofErr w:type="spellStart"/>
      <w:r>
        <w:rPr>
          <w:rFonts w:ascii="Tahoma" w:hAnsi="Tahoma" w:cs="Tahoma"/>
        </w:rPr>
        <w:t>Sfarti</w:t>
      </w:r>
      <w:proofErr w:type="spellEnd"/>
      <w:r>
        <w:rPr>
          <w:rFonts w:ascii="Tahoma" w:hAnsi="Tahoma" w:cs="Tahoma"/>
        </w:rPr>
        <w:t>,</w:t>
      </w:r>
      <w:r>
        <w:t xml:space="preserve"> Institute of Gastroenterology and </w:t>
      </w:r>
      <w:proofErr w:type="spellStart"/>
      <w:r>
        <w:t>Hepatology</w:t>
      </w:r>
      <w:proofErr w:type="spellEnd"/>
      <w:r>
        <w:t xml:space="preserve">, “St. </w:t>
      </w:r>
      <w:proofErr w:type="spellStart"/>
      <w:r>
        <w:t>Spiridon</w:t>
      </w:r>
      <w:proofErr w:type="spellEnd"/>
      <w:r>
        <w:t xml:space="preserve">” University Hospital, </w:t>
      </w:r>
      <w:proofErr w:type="spellStart"/>
      <w:r>
        <w:t>Ia</w:t>
      </w:r>
      <w:proofErr w:type="spellEnd"/>
      <w:r>
        <w:rPr>
          <w:rFonts w:ascii="Tahoma" w:hAnsi="Tahoma" w:cs="Tahoma"/>
          <w:sz w:val="17"/>
          <w:szCs w:val="17"/>
          <w:lang w:val="ro-RO"/>
        </w:rPr>
        <w:t>ș</w:t>
      </w:r>
      <w:r>
        <w:rPr>
          <w:lang w:val="ro-RO"/>
        </w:rPr>
        <w:t>i</w:t>
      </w:r>
      <w:r w:rsidRPr="000937AF">
        <w:t xml:space="preserve"> </w:t>
      </w:r>
      <w:r>
        <w:rPr>
          <w:lang w:val="ro-RO"/>
        </w:rPr>
        <w:t>700115, Romania</w:t>
      </w:r>
    </w:p>
    <w:p w:rsidR="00FE1855" w:rsidRDefault="00FE1855" w:rsidP="00FE1855">
      <w:pPr>
        <w:pStyle w:val="af6"/>
      </w:pPr>
      <w:r w:rsidRPr="000937AF">
        <w:rPr>
          <w:rFonts w:ascii="Tahoma" w:hAnsi="Tahoma" w:cs="Tahoma"/>
          <w:spacing w:val="0"/>
        </w:rPr>
        <w:t>Author contributions:</w:t>
      </w:r>
      <w:r>
        <w:t xml:space="preserve"> G</w:t>
      </w:r>
      <w:r>
        <w:rPr>
          <w:lang w:val="ro-RO"/>
        </w:rPr>
        <w:t>î</w:t>
      </w:r>
      <w:proofErr w:type="spellStart"/>
      <w:r>
        <w:t>rleanu</w:t>
      </w:r>
      <w:proofErr w:type="spellEnd"/>
      <w:r>
        <w:t xml:space="preserve"> I, </w:t>
      </w:r>
      <w:proofErr w:type="spellStart"/>
      <w:r>
        <w:t>Stanciu</w:t>
      </w:r>
      <w:proofErr w:type="spellEnd"/>
      <w:r>
        <w:t xml:space="preserve"> C, </w:t>
      </w:r>
      <w:proofErr w:type="spellStart"/>
      <w:r>
        <w:t>Sfarti</w:t>
      </w:r>
      <w:proofErr w:type="spellEnd"/>
      <w:r>
        <w:t xml:space="preserve"> C and </w:t>
      </w:r>
      <w:proofErr w:type="spellStart"/>
      <w:r>
        <w:t>Trifan</w:t>
      </w:r>
      <w:proofErr w:type="spellEnd"/>
      <w:r>
        <w:t xml:space="preserve"> A conceived and design the editorial; </w:t>
      </w:r>
      <w:proofErr w:type="spellStart"/>
      <w:r>
        <w:t>Gîrleanu</w:t>
      </w:r>
      <w:proofErr w:type="spellEnd"/>
      <w:r>
        <w:t xml:space="preserve"> I and </w:t>
      </w:r>
      <w:proofErr w:type="spellStart"/>
      <w:r>
        <w:t>Sfarti</w:t>
      </w:r>
      <w:proofErr w:type="spellEnd"/>
      <w:r>
        <w:t xml:space="preserve"> C wrote and revised the manuscript; </w:t>
      </w:r>
      <w:proofErr w:type="spellStart"/>
      <w:r>
        <w:t>Trifan</w:t>
      </w:r>
      <w:proofErr w:type="spellEnd"/>
      <w:r>
        <w:t xml:space="preserve"> A and </w:t>
      </w:r>
      <w:proofErr w:type="spellStart"/>
      <w:r>
        <w:t>Stanciu</w:t>
      </w:r>
      <w:proofErr w:type="spellEnd"/>
      <w:r>
        <w:t xml:space="preserve"> C critically revised the manuscript for important intellectual content and gave the final approval of the version to be published; all authors approved the final version of the manuscript. </w:t>
      </w:r>
    </w:p>
    <w:p w:rsidR="00FE1855" w:rsidRDefault="00FE1855" w:rsidP="00FE1855">
      <w:pPr>
        <w:pStyle w:val="af6"/>
        <w:rPr>
          <w:lang w:val="ro-RO"/>
        </w:rPr>
      </w:pPr>
      <w:r w:rsidRPr="000937AF">
        <w:rPr>
          <w:rFonts w:ascii="Tahoma" w:hAnsi="Tahoma" w:cs="Tahoma"/>
          <w:spacing w:val="0"/>
        </w:rPr>
        <w:t>Correspondence to:</w:t>
      </w:r>
      <w:r>
        <w:t xml:space="preserve"> </w:t>
      </w:r>
      <w:proofErr w:type="spellStart"/>
      <w:r>
        <w:rPr>
          <w:rFonts w:ascii="Tahoma" w:hAnsi="Tahoma" w:cs="Tahoma"/>
        </w:rPr>
        <w:t>Anca</w:t>
      </w:r>
      <w:proofErr w:type="spellEnd"/>
      <w:r>
        <w:rPr>
          <w:rFonts w:ascii="Tahoma" w:hAnsi="Tahoma" w:cs="Tahoma"/>
        </w:rPr>
        <w:t xml:space="preserve"> </w:t>
      </w:r>
      <w:proofErr w:type="spellStart"/>
      <w:r>
        <w:rPr>
          <w:rFonts w:ascii="Tahoma" w:hAnsi="Tahoma" w:cs="Tahoma"/>
        </w:rPr>
        <w:t>Trifan</w:t>
      </w:r>
      <w:proofErr w:type="spellEnd"/>
      <w:r>
        <w:rPr>
          <w:rFonts w:ascii="Tahoma" w:hAnsi="Tahoma" w:cs="Tahoma"/>
        </w:rPr>
        <w:t>, MD, Doctor</w:t>
      </w:r>
      <w:r w:rsidRPr="000937AF">
        <w:rPr>
          <w:rFonts w:ascii="Tahoma" w:hAnsi="Tahoma" w:cs="Tahoma"/>
        </w:rPr>
        <w:t xml:space="preserve">, </w:t>
      </w:r>
      <w:r>
        <w:rPr>
          <w:rFonts w:ascii="Tahoma" w:hAnsi="Tahoma" w:cs="Tahoma"/>
        </w:rPr>
        <w:t xml:space="preserve">Professor, </w:t>
      </w:r>
      <w:r>
        <w:t>Department of Gastroenterology, “</w:t>
      </w:r>
      <w:proofErr w:type="spellStart"/>
      <w:r>
        <w:t>Grigore</w:t>
      </w:r>
      <w:proofErr w:type="spellEnd"/>
      <w:r>
        <w:t xml:space="preserve"> T </w:t>
      </w:r>
      <w:proofErr w:type="spellStart"/>
      <w:r>
        <w:t>Popa</w:t>
      </w:r>
      <w:proofErr w:type="spellEnd"/>
      <w:r>
        <w:t>” University of Medicine and Pharmacy,</w:t>
      </w:r>
      <w:r w:rsidRPr="000937AF">
        <w:t xml:space="preserve"> </w:t>
      </w:r>
      <w:r>
        <w:t xml:space="preserve">16 </w:t>
      </w:r>
      <w:proofErr w:type="spellStart"/>
      <w:r>
        <w:t>Universit</w:t>
      </w:r>
      <w:proofErr w:type="spellEnd"/>
      <w:r>
        <w:rPr>
          <w:lang w:val="ro-RO"/>
        </w:rPr>
        <w:t xml:space="preserve">atii St, </w:t>
      </w:r>
      <w:proofErr w:type="spellStart"/>
      <w:r>
        <w:t>Ia</w:t>
      </w:r>
      <w:proofErr w:type="spellEnd"/>
      <w:r>
        <w:rPr>
          <w:rFonts w:ascii="Tahoma" w:hAnsi="Tahoma" w:cs="Tahoma"/>
          <w:sz w:val="17"/>
          <w:szCs w:val="17"/>
          <w:lang w:val="ro-RO"/>
        </w:rPr>
        <w:t>ș</w:t>
      </w:r>
      <w:r>
        <w:rPr>
          <w:lang w:val="ro-RO"/>
        </w:rPr>
        <w:t>i</w:t>
      </w:r>
      <w:r w:rsidRPr="000937AF">
        <w:t xml:space="preserve"> </w:t>
      </w:r>
      <w:r>
        <w:rPr>
          <w:lang w:val="ro-RO"/>
        </w:rPr>
        <w:t>700115, Romania. ancatrifan@yahoo.com</w:t>
      </w:r>
    </w:p>
    <w:p w:rsidR="00FE1855" w:rsidRDefault="00FE1855" w:rsidP="00FE1855">
      <w:pPr>
        <w:pStyle w:val="af6"/>
      </w:pPr>
      <w:r w:rsidRPr="000937AF">
        <w:rPr>
          <w:rFonts w:ascii="Tahoma" w:hAnsi="Tahoma" w:cs="Tahoma"/>
          <w:spacing w:val="0"/>
        </w:rPr>
        <w:t>Telephone:</w:t>
      </w:r>
      <w:r>
        <w:t xml:space="preserve"> +40-72-6108428</w:t>
      </w:r>
      <w:r>
        <w:rPr>
          <w:rFonts w:hint="eastAsia"/>
        </w:rPr>
        <w:t xml:space="preserve">   </w:t>
      </w:r>
      <w:r w:rsidRPr="000937AF">
        <w:rPr>
          <w:rFonts w:ascii="Tahoma" w:hAnsi="Tahoma" w:cs="Tahoma"/>
          <w:spacing w:val="0"/>
        </w:rPr>
        <w:t>Fax:</w:t>
      </w:r>
      <w:r>
        <w:t xml:space="preserve"> +40-23-2211820</w:t>
      </w:r>
    </w:p>
    <w:p w:rsidR="00FE1855" w:rsidRDefault="00FE1855" w:rsidP="00FE1855">
      <w:pPr>
        <w:pStyle w:val="af6"/>
      </w:pPr>
      <w:r>
        <w:rPr>
          <w:rFonts w:ascii="Tahoma" w:hAnsi="Tahoma" w:cs="Tahoma"/>
        </w:rPr>
        <w:t>Received:</w:t>
      </w:r>
      <w:r>
        <w:t xml:space="preserve"> </w:t>
      </w:r>
      <w:r w:rsidRPr="000937AF">
        <w:t>July 27, 2018</w:t>
      </w:r>
      <w:r>
        <w:rPr>
          <w:rFonts w:hint="eastAsia"/>
        </w:rPr>
        <w:t xml:space="preserve">   </w:t>
      </w:r>
      <w:r>
        <w:rPr>
          <w:rFonts w:ascii="Tahoma" w:hAnsi="Tahoma" w:cs="Tahoma"/>
        </w:rPr>
        <w:t>Revised:</w:t>
      </w:r>
      <w:r>
        <w:t xml:space="preserve"> </w:t>
      </w:r>
      <w:r w:rsidRPr="000937AF">
        <w:t>September 2, 2018</w:t>
      </w:r>
      <w:r>
        <w:rPr>
          <w:rFonts w:hint="eastAsia"/>
        </w:rPr>
        <w:t xml:space="preserve">   </w:t>
      </w:r>
      <w:r>
        <w:rPr>
          <w:rFonts w:ascii="Tahoma" w:hAnsi="Tahoma" w:cs="Tahoma"/>
        </w:rPr>
        <w:t>Accepted:</w:t>
      </w:r>
      <w:r>
        <w:t xml:space="preserve"> October 5, 2018</w:t>
      </w:r>
    </w:p>
    <w:p w:rsidR="00FE1855" w:rsidRPr="000937AF" w:rsidRDefault="00FE1855" w:rsidP="00FE1855">
      <w:pPr>
        <w:pStyle w:val="NormalParagraphStyle"/>
        <w:suppressAutoHyphens/>
        <w:rPr>
          <w:lang w:val="en-US"/>
        </w:rPr>
      </w:pPr>
      <w:r w:rsidRPr="000937AF">
        <w:rPr>
          <w:rFonts w:ascii="Tahoma" w:cs="Tahoma"/>
          <w:sz w:val="18"/>
          <w:szCs w:val="18"/>
          <w:lang w:val="en-US"/>
        </w:rPr>
        <w:t xml:space="preserve">Published online: </w:t>
      </w:r>
      <w:r w:rsidRPr="000937AF">
        <w:rPr>
          <w:rFonts w:ascii="Times New Roman" w:hAnsi="Times New Roman" w:cs="Times New Roman"/>
          <w:sz w:val="18"/>
          <w:szCs w:val="18"/>
          <w:lang w:val="en-US"/>
        </w:rPr>
        <w:t>October 21, 2018</w:t>
      </w:r>
    </w:p>
    <w:p w:rsidR="00FE1855" w:rsidRPr="000937AF" w:rsidRDefault="00FE1855" w:rsidP="00FE1855">
      <w:pPr>
        <w:pStyle w:val="NormalParagraphStyle"/>
        <w:rPr>
          <w:rFonts w:ascii="Century Gothic" w:hAnsi="Century Gothic" w:cs="Century Gothic"/>
          <w:b/>
          <w:bCs/>
          <w:spacing w:val="12"/>
          <w:lang w:val="en-US"/>
        </w:rPr>
      </w:pPr>
    </w:p>
    <w:p w:rsidR="00FE1855" w:rsidRPr="000937AF" w:rsidRDefault="00FE1855" w:rsidP="00FE1855">
      <w:pPr>
        <w:pStyle w:val="NormalParagraphStyle"/>
        <w:rPr>
          <w:rFonts w:ascii="Century Gothic" w:hAnsi="Century Gothic" w:cs="Century Gothic"/>
          <w:b/>
          <w:bCs/>
          <w:spacing w:val="12"/>
          <w:lang w:val="en-US"/>
        </w:rPr>
      </w:pPr>
    </w:p>
    <w:p w:rsidR="00FE1855" w:rsidRPr="000937AF" w:rsidRDefault="00FE1855" w:rsidP="00FE1855">
      <w:pPr>
        <w:pStyle w:val="NormalParagraphStyle"/>
        <w:rPr>
          <w:rFonts w:ascii="Century Gothic" w:hAnsi="Century Gothic" w:cs="Century Gothic"/>
          <w:b/>
          <w:bCs/>
          <w:spacing w:val="12"/>
          <w:lang w:val="en-US"/>
        </w:rPr>
      </w:pPr>
      <w:r w:rsidRPr="000937AF">
        <w:rPr>
          <w:rFonts w:ascii="Century Gothic" w:hAnsi="Century Gothic" w:cs="Century Gothic"/>
          <w:b/>
          <w:bCs/>
          <w:spacing w:val="12"/>
          <w:lang w:val="en-US"/>
        </w:rPr>
        <w:t>Abstract</w:t>
      </w:r>
    </w:p>
    <w:p w:rsidR="00FE1855" w:rsidRDefault="00FE1855" w:rsidP="00FE1855">
      <w:pPr>
        <w:pStyle w:val="E-1"/>
        <w:rPr>
          <w:spacing w:val="-2"/>
        </w:rPr>
      </w:pPr>
      <w:r>
        <w:rPr>
          <w:spacing w:val="-2"/>
        </w:rPr>
        <w:t>Portal vein thrombosis (</w:t>
      </w:r>
      <w:proofErr w:type="spellStart"/>
      <w:r>
        <w:rPr>
          <w:spacing w:val="-2"/>
        </w:rPr>
        <w:t>PVT</w:t>
      </w:r>
      <w:proofErr w:type="spellEnd"/>
      <w:r>
        <w:rPr>
          <w:spacing w:val="-2"/>
        </w:rPr>
        <w:t xml:space="preserve">) </w:t>
      </w:r>
      <w:r>
        <w:rPr>
          <w:spacing w:val="-2"/>
          <w:lang w:val="ro-RO"/>
        </w:rPr>
        <w:t xml:space="preserve">is a frequent and serious complication in patients with liver cirrhosis </w:t>
      </w:r>
      <w:r>
        <w:rPr>
          <w:spacing w:val="-2"/>
        </w:rPr>
        <w:t>(LC). Recently, a new</w:t>
      </w:r>
      <w:r w:rsidRPr="000937AF">
        <w:rPr>
          <w:spacing w:val="-2"/>
        </w:rPr>
        <w:t xml:space="preserve"> </w:t>
      </w:r>
      <w:r>
        <w:rPr>
          <w:spacing w:val="-2"/>
        </w:rPr>
        <w:t xml:space="preserve">classification of </w:t>
      </w:r>
      <w:proofErr w:type="spellStart"/>
      <w:r>
        <w:rPr>
          <w:spacing w:val="-2"/>
        </w:rPr>
        <w:t>PVT</w:t>
      </w:r>
      <w:proofErr w:type="spellEnd"/>
      <w:r>
        <w:rPr>
          <w:spacing w:val="-2"/>
        </w:rPr>
        <w:t xml:space="preserve"> was proposed, although the functional component was not completed included. The status of liver disease (compensated/decompensated) should be added to this classification. Reduced portal flow velocity and the acquired </w:t>
      </w:r>
      <w:proofErr w:type="spellStart"/>
      <w:r>
        <w:rPr>
          <w:spacing w:val="-2"/>
        </w:rPr>
        <w:t>hypercoagulable</w:t>
      </w:r>
      <w:proofErr w:type="spellEnd"/>
      <w:r>
        <w:rPr>
          <w:spacing w:val="-2"/>
        </w:rPr>
        <w:t xml:space="preserve"> status associated with LC are the main risk factors for </w:t>
      </w:r>
      <w:proofErr w:type="spellStart"/>
      <w:r>
        <w:rPr>
          <w:spacing w:val="-2"/>
        </w:rPr>
        <w:t>PVT</w:t>
      </w:r>
      <w:proofErr w:type="spellEnd"/>
      <w:r>
        <w:rPr>
          <w:spacing w:val="-2"/>
        </w:rPr>
        <w:t xml:space="preserve"> development, although endothelial dysfunction may play an important role that needs to be further evaluated. The European Association for the Study of the Liver and the American Association for the Study of Liver Disease recommend that the anticoagulant treatment should be consider in cirrhotic patients with PVT. Low molecular weight heparin and vitamin K antagonists proved their efficacy and relatively safety in </w:t>
      </w:r>
      <w:proofErr w:type="spellStart"/>
      <w:r>
        <w:rPr>
          <w:spacing w:val="-2"/>
        </w:rPr>
        <w:t>PVT</w:t>
      </w:r>
      <w:proofErr w:type="spellEnd"/>
      <w:r>
        <w:rPr>
          <w:spacing w:val="-2"/>
        </w:rPr>
        <w:t xml:space="preserve"> treatment, although in addition to recanalization rates, more complex end-points such as mortality and </w:t>
      </w:r>
      <w:proofErr w:type="spellStart"/>
      <w:r>
        <w:rPr>
          <w:spacing w:val="-2"/>
        </w:rPr>
        <w:t>decompensation</w:t>
      </w:r>
      <w:proofErr w:type="spellEnd"/>
      <w:r>
        <w:rPr>
          <w:spacing w:val="-2"/>
        </w:rPr>
        <w:t xml:space="preserve"> rate should be evaluated. </w:t>
      </w:r>
      <w:r>
        <w:rPr>
          <w:spacing w:val="-2"/>
          <w:lang w:val="en-GB"/>
        </w:rPr>
        <w:t xml:space="preserve">The new oral anticoagulant therapies offers the advantage of oral administration in the absence of laboratory monitoring, however, there are a few reports regarding their use in cirrhotic patients, most of them referring to compensated isolated cases. </w:t>
      </w:r>
      <w:proofErr w:type="spellStart"/>
      <w:r>
        <w:rPr>
          <w:spacing w:val="-2"/>
        </w:rPr>
        <w:t>Transjugular</w:t>
      </w:r>
      <w:proofErr w:type="spellEnd"/>
      <w:r>
        <w:rPr>
          <w:spacing w:val="-2"/>
        </w:rPr>
        <w:t xml:space="preserve"> intrahepatic </w:t>
      </w:r>
      <w:proofErr w:type="spellStart"/>
      <w:r>
        <w:rPr>
          <w:spacing w:val="-2"/>
        </w:rPr>
        <w:t>portosystemic</w:t>
      </w:r>
      <w:proofErr w:type="spellEnd"/>
      <w:r>
        <w:rPr>
          <w:spacing w:val="-2"/>
        </w:rPr>
        <w:t xml:space="preserve"> shunt could be an alternative if thrombosis progresses despite </w:t>
      </w:r>
      <w:proofErr w:type="spellStart"/>
      <w:r>
        <w:rPr>
          <w:spacing w:val="-2"/>
        </w:rPr>
        <w:t>anticoagulatant</w:t>
      </w:r>
      <w:proofErr w:type="spellEnd"/>
      <w:r>
        <w:rPr>
          <w:spacing w:val="-2"/>
        </w:rPr>
        <w:t xml:space="preserve"> therapy and/or when </w:t>
      </w:r>
      <w:proofErr w:type="spellStart"/>
      <w:r>
        <w:rPr>
          <w:spacing w:val="-2"/>
        </w:rPr>
        <w:t>PVT</w:t>
      </w:r>
      <w:proofErr w:type="spellEnd"/>
      <w:r>
        <w:rPr>
          <w:spacing w:val="-2"/>
        </w:rPr>
        <w:t xml:space="preserve"> is associated with portal hypertension complications. The aim of this editorial is to discuss the different aspects of pathophysiology, clinical relevance, diagnosis and management of </w:t>
      </w:r>
      <w:proofErr w:type="spellStart"/>
      <w:r>
        <w:rPr>
          <w:spacing w:val="-2"/>
        </w:rPr>
        <w:t>PVT</w:t>
      </w:r>
      <w:proofErr w:type="spellEnd"/>
      <w:r>
        <w:rPr>
          <w:spacing w:val="-2"/>
        </w:rPr>
        <w:t xml:space="preserve"> </w:t>
      </w:r>
      <w:r>
        <w:rPr>
          <w:spacing w:val="-2"/>
        </w:rPr>
        <w:lastRenderedPageBreak/>
        <w:t>in patients with LC.</w:t>
      </w:r>
    </w:p>
    <w:p w:rsidR="00FE1855" w:rsidRDefault="00FE1855" w:rsidP="00FE1855">
      <w:pPr>
        <w:pStyle w:val="E-1"/>
      </w:pPr>
    </w:p>
    <w:p w:rsidR="00FE1855" w:rsidRPr="000937AF" w:rsidRDefault="00FE1855" w:rsidP="00FE1855">
      <w:pPr>
        <w:pStyle w:val="E-1"/>
      </w:pPr>
      <w:r>
        <w:rPr>
          <w:rFonts w:ascii="Times New Roman" w:hAnsi="Times New Roman" w:cs="Times New Roman"/>
          <w:b/>
          <w:bCs/>
        </w:rPr>
        <w:t>Key words:</w:t>
      </w:r>
      <w:r>
        <w:rPr>
          <w:b/>
          <w:bCs/>
        </w:rPr>
        <w:t xml:space="preserve"> </w:t>
      </w:r>
      <w:r>
        <w:t>Portal vein thrombosis; Liver cirrhosis; Classification; Risk factors; Anticoagulation</w:t>
      </w:r>
    </w:p>
    <w:p w:rsidR="00FE1855" w:rsidRPr="000937AF" w:rsidRDefault="00FE1855" w:rsidP="00FE1855">
      <w:pPr>
        <w:pStyle w:val="E-1"/>
      </w:pPr>
    </w:p>
    <w:p w:rsidR="00FE1855" w:rsidRDefault="00FE1855" w:rsidP="00FE1855">
      <w:pPr>
        <w:pStyle w:val="af4"/>
      </w:pPr>
      <w:proofErr w:type="spellStart"/>
      <w:r>
        <w:t>Gîrleanu</w:t>
      </w:r>
      <w:proofErr w:type="spellEnd"/>
      <w:r>
        <w:t xml:space="preserve"> I, </w:t>
      </w:r>
      <w:proofErr w:type="spellStart"/>
      <w:r>
        <w:t>Trifan</w:t>
      </w:r>
      <w:proofErr w:type="spellEnd"/>
      <w:r>
        <w:t xml:space="preserve"> A, </w:t>
      </w:r>
      <w:proofErr w:type="spellStart"/>
      <w:r>
        <w:t>Stanciu</w:t>
      </w:r>
      <w:proofErr w:type="spellEnd"/>
      <w:r>
        <w:t xml:space="preserve"> C, </w:t>
      </w:r>
      <w:proofErr w:type="spellStart"/>
      <w:proofErr w:type="gramStart"/>
      <w:r>
        <w:t>Sfarti</w:t>
      </w:r>
      <w:proofErr w:type="spellEnd"/>
      <w:proofErr w:type="gramEnd"/>
      <w:r>
        <w:t xml:space="preserve"> C. Portal vein thrombosis in cirrhotic patients</w:t>
      </w:r>
      <w:r w:rsidRPr="000937AF">
        <w:t xml:space="preserve"> </w:t>
      </w:r>
      <w:r>
        <w:t xml:space="preserve">- it is always the small pieces that make the big picture. </w:t>
      </w:r>
      <w:r>
        <w:rPr>
          <w:i/>
          <w:iCs/>
        </w:rPr>
        <w:t xml:space="preserve">World J </w:t>
      </w:r>
      <w:proofErr w:type="spellStart"/>
      <w:r>
        <w:rPr>
          <w:i/>
          <w:iCs/>
        </w:rPr>
        <w:t>Gastroenterol</w:t>
      </w:r>
      <w:proofErr w:type="spellEnd"/>
      <w:r>
        <w:t xml:space="preserve"> 2018; 24(39): 4419-</w:t>
      </w:r>
      <w:proofErr w:type="gramStart"/>
      <w:r>
        <w:t>4427  Available</w:t>
      </w:r>
      <w:proofErr w:type="gramEnd"/>
      <w:r>
        <w:t xml:space="preserve"> from: URL: http://www.wjgnet.com/1007-9327/full/v24/i39/4419.htm  </w:t>
      </w:r>
      <w:proofErr w:type="spellStart"/>
      <w:r>
        <w:t>DOI</w:t>
      </w:r>
      <w:proofErr w:type="spellEnd"/>
      <w:r>
        <w:t>: http://dx.doi.org/10.3748/wjg.v24.i39.4419</w:t>
      </w:r>
    </w:p>
    <w:p w:rsidR="00FE1855" w:rsidRPr="000937AF" w:rsidRDefault="00FE1855" w:rsidP="00FE1855">
      <w:pPr>
        <w:pStyle w:val="E-1"/>
      </w:pPr>
    </w:p>
    <w:p w:rsidR="00FE1855" w:rsidRDefault="00FE1855" w:rsidP="00FE1855">
      <w:pPr>
        <w:pStyle w:val="E-1"/>
        <w:rPr>
          <w:spacing w:val="-2"/>
        </w:rPr>
      </w:pPr>
      <w:r>
        <w:rPr>
          <w:rFonts w:ascii="Times New Roman" w:hAnsi="Times New Roman" w:cs="Times New Roman"/>
          <w:b/>
          <w:bCs/>
          <w:spacing w:val="-2"/>
        </w:rPr>
        <w:t>Core tip:</w:t>
      </w:r>
      <w:r>
        <w:rPr>
          <w:b/>
          <w:bCs/>
          <w:spacing w:val="-2"/>
        </w:rPr>
        <w:t xml:space="preserve"> </w:t>
      </w:r>
      <w:r>
        <w:rPr>
          <w:spacing w:val="-2"/>
        </w:rPr>
        <w:t xml:space="preserve">Portal vein thrombosis </w:t>
      </w:r>
      <w:r>
        <w:rPr>
          <w:spacing w:val="-2"/>
          <w:lang w:val="ro-RO"/>
        </w:rPr>
        <w:t xml:space="preserve">is a frequent and serious complication in patients with liver cirrhosis. The </w:t>
      </w:r>
      <w:r>
        <w:rPr>
          <w:spacing w:val="-2"/>
        </w:rPr>
        <w:t xml:space="preserve">new classification needs to be validated and should contain the pattern of thrombus evolution and the status of liver cirrhosis- compensated or decompensated. The two main risk factors - reduced portal flow velocity and the </w:t>
      </w:r>
      <w:proofErr w:type="spellStart"/>
      <w:r>
        <w:rPr>
          <w:spacing w:val="-2"/>
        </w:rPr>
        <w:t>hypercoagulable</w:t>
      </w:r>
      <w:proofErr w:type="spellEnd"/>
      <w:r>
        <w:rPr>
          <w:spacing w:val="-2"/>
        </w:rPr>
        <w:t xml:space="preserve"> state should be addressed more extensively in large studies, considering the stage of liver disease. </w:t>
      </w:r>
      <w:r>
        <w:rPr>
          <w:spacing w:val="-2"/>
          <w:lang w:val="en-GB"/>
        </w:rPr>
        <w:t xml:space="preserve">The anticoagulant treatment could be considered in </w:t>
      </w:r>
      <w:proofErr w:type="spellStart"/>
      <w:r>
        <w:rPr>
          <w:spacing w:val="-2"/>
          <w:lang w:val="en-GB"/>
        </w:rPr>
        <w:t>cirrhotics</w:t>
      </w:r>
      <w:proofErr w:type="spellEnd"/>
      <w:r>
        <w:rPr>
          <w:spacing w:val="-2"/>
          <w:lang w:val="en-GB"/>
        </w:rPr>
        <w:t xml:space="preserve"> with portal vein thrombosis. </w:t>
      </w:r>
      <w:r>
        <w:rPr>
          <w:spacing w:val="-2"/>
        </w:rPr>
        <w:t xml:space="preserve">The end-points of the anticoagulant treatment should consider the recanalization, </w:t>
      </w:r>
      <w:proofErr w:type="spellStart"/>
      <w:r>
        <w:rPr>
          <w:spacing w:val="-2"/>
        </w:rPr>
        <w:t>decompensation</w:t>
      </w:r>
      <w:proofErr w:type="spellEnd"/>
      <w:r>
        <w:rPr>
          <w:spacing w:val="-2"/>
        </w:rPr>
        <w:t xml:space="preserve">, and the mortality rates. </w:t>
      </w:r>
    </w:p>
    <w:p w:rsidR="00FE1855" w:rsidRDefault="00FE1855" w:rsidP="00FE1855">
      <w:pPr>
        <w:pStyle w:val="af4"/>
      </w:pPr>
    </w:p>
    <w:p w:rsidR="00FE1855" w:rsidRDefault="00FE1855" w:rsidP="00FE1855">
      <w:pPr>
        <w:pStyle w:val="af4"/>
      </w:pPr>
    </w:p>
    <w:p w:rsidR="00FE1855" w:rsidRPr="000937AF" w:rsidRDefault="00FE1855" w:rsidP="00FE1855">
      <w:pPr>
        <w:pStyle w:val="af7"/>
        <w:ind w:left="5250"/>
        <w:rPr>
          <w:lang w:val="en-US"/>
        </w:rPr>
      </w:pPr>
    </w:p>
    <w:p w:rsidR="00FE1855" w:rsidRPr="000937AF" w:rsidRDefault="00FE1855" w:rsidP="00FE1855">
      <w:pPr>
        <w:pStyle w:val="af7"/>
        <w:ind w:left="5250"/>
        <w:rPr>
          <w:lang w:val="en-US"/>
        </w:rPr>
      </w:pPr>
    </w:p>
    <w:p w:rsidR="00FE1855" w:rsidRPr="000937AF" w:rsidRDefault="00FE1855" w:rsidP="00A26AAC">
      <w:pPr>
        <w:pStyle w:val="af7"/>
        <w:rPr>
          <w:u w:val="single"/>
          <w:lang w:val="en-US"/>
        </w:rPr>
      </w:pPr>
      <w:r w:rsidRPr="000937AF">
        <w:rPr>
          <w:u w:val="single"/>
          <w:lang w:val="en-US"/>
        </w:rPr>
        <w:t>INTRODUCTION</w:t>
      </w:r>
    </w:p>
    <w:p w:rsidR="00FE1855" w:rsidRDefault="00FE1855" w:rsidP="00FE1855">
      <w:pPr>
        <w:pStyle w:val="af8"/>
        <w:rPr>
          <w:spacing w:val="-11"/>
        </w:rPr>
      </w:pPr>
      <w:r>
        <w:rPr>
          <w:spacing w:val="-11"/>
        </w:rPr>
        <w:t>Portal vein thrombosis (</w:t>
      </w:r>
      <w:proofErr w:type="spellStart"/>
      <w:r>
        <w:rPr>
          <w:spacing w:val="-11"/>
        </w:rPr>
        <w:t>PVT</w:t>
      </w:r>
      <w:proofErr w:type="spellEnd"/>
      <w:r>
        <w:rPr>
          <w:spacing w:val="-11"/>
        </w:rPr>
        <w:t xml:space="preserve">) </w:t>
      </w:r>
      <w:r>
        <w:rPr>
          <w:spacing w:val="-11"/>
          <w:lang w:val="ro-RO"/>
        </w:rPr>
        <w:t xml:space="preserve">is a frequent and serious complication in patients with liver cirrhosis </w:t>
      </w:r>
      <w:r>
        <w:rPr>
          <w:spacing w:val="-11"/>
        </w:rPr>
        <w:t xml:space="preserve">(LC).The prevalence of </w:t>
      </w:r>
      <w:proofErr w:type="spellStart"/>
      <w:r>
        <w:rPr>
          <w:spacing w:val="-11"/>
        </w:rPr>
        <w:t>PVT</w:t>
      </w:r>
      <w:proofErr w:type="spellEnd"/>
      <w:r>
        <w:rPr>
          <w:spacing w:val="-11"/>
        </w:rPr>
        <w:t xml:space="preserve"> in patients with LC ranges from 0.6% to 26%</w:t>
      </w:r>
      <w:r>
        <w:rPr>
          <w:spacing w:val="-11"/>
          <w:vertAlign w:val="superscript"/>
        </w:rPr>
        <w:t>[1]</w:t>
      </w:r>
      <w:r>
        <w:rPr>
          <w:spacing w:val="-11"/>
        </w:rPr>
        <w:t xml:space="preserve"> compared to 0.7 -1/100000 in the general population</w:t>
      </w:r>
      <w:r>
        <w:rPr>
          <w:spacing w:val="-11"/>
          <w:vertAlign w:val="superscript"/>
        </w:rPr>
        <w:t>[2]</w:t>
      </w:r>
      <w:r>
        <w:rPr>
          <w:spacing w:val="-11"/>
        </w:rPr>
        <w:t xml:space="preserve">. </w:t>
      </w:r>
      <w:proofErr w:type="spellStart"/>
      <w:r>
        <w:rPr>
          <w:spacing w:val="-11"/>
        </w:rPr>
        <w:t>PVT</w:t>
      </w:r>
      <w:proofErr w:type="spellEnd"/>
      <w:r>
        <w:rPr>
          <w:spacing w:val="-11"/>
        </w:rPr>
        <w:t xml:space="preserve"> has been increasingly diagnosed in LC using noninvasive imaging techniques such as ultrasound (US), computed tomography (CT) or magnetic resonance imaging (MRI), with the highest prevalence at the time of liver </w:t>
      </w:r>
      <w:proofErr w:type="gramStart"/>
      <w:r>
        <w:rPr>
          <w:spacing w:val="-11"/>
        </w:rPr>
        <w:t>transplantation</w:t>
      </w:r>
      <w:r>
        <w:rPr>
          <w:spacing w:val="-11"/>
          <w:vertAlign w:val="superscript"/>
        </w:rPr>
        <w:t>[</w:t>
      </w:r>
      <w:proofErr w:type="gramEnd"/>
      <w:r>
        <w:rPr>
          <w:spacing w:val="-11"/>
          <w:vertAlign w:val="superscript"/>
        </w:rPr>
        <w:t>3]</w:t>
      </w:r>
      <w:r>
        <w:rPr>
          <w:spacing w:val="-11"/>
        </w:rPr>
        <w:t>.</w:t>
      </w:r>
      <w:r w:rsidRPr="000937AF">
        <w:rPr>
          <w:spacing w:val="-11"/>
        </w:rPr>
        <w:t xml:space="preserve"> </w:t>
      </w:r>
      <w:proofErr w:type="spellStart"/>
      <w:r>
        <w:rPr>
          <w:spacing w:val="-11"/>
        </w:rPr>
        <w:t>PVT</w:t>
      </w:r>
      <w:proofErr w:type="spellEnd"/>
      <w:r>
        <w:rPr>
          <w:spacing w:val="-11"/>
        </w:rPr>
        <w:t xml:space="preserve"> mechanisms in cirrhotic patients shifted from a </w:t>
      </w:r>
      <w:proofErr w:type="spellStart"/>
      <w:r>
        <w:rPr>
          <w:spacing w:val="-11"/>
        </w:rPr>
        <w:t>hypocoagulable</w:t>
      </w:r>
      <w:proofErr w:type="spellEnd"/>
      <w:r>
        <w:rPr>
          <w:spacing w:val="-11"/>
        </w:rPr>
        <w:t xml:space="preserve"> state, due to thrombocytopenia and decreased coagulation factors levels, towards an acquired </w:t>
      </w:r>
      <w:proofErr w:type="spellStart"/>
      <w:r>
        <w:rPr>
          <w:spacing w:val="-11"/>
        </w:rPr>
        <w:t>hypercoagulable</w:t>
      </w:r>
      <w:proofErr w:type="spellEnd"/>
      <w:r>
        <w:rPr>
          <w:spacing w:val="-11"/>
        </w:rPr>
        <w:t xml:space="preserve"> state characterized by decreased protein C, protein S and </w:t>
      </w:r>
      <w:proofErr w:type="spellStart"/>
      <w:r>
        <w:rPr>
          <w:spacing w:val="-11"/>
        </w:rPr>
        <w:t>antithrombin</w:t>
      </w:r>
      <w:proofErr w:type="spellEnd"/>
      <w:r>
        <w:rPr>
          <w:spacing w:val="-11"/>
        </w:rPr>
        <w:t xml:space="preserve"> III levels and increased factor VIII </w:t>
      </w:r>
      <w:proofErr w:type="gramStart"/>
      <w:r>
        <w:rPr>
          <w:spacing w:val="-11"/>
        </w:rPr>
        <w:t>levels</w:t>
      </w:r>
      <w:r>
        <w:rPr>
          <w:spacing w:val="-11"/>
          <w:vertAlign w:val="superscript"/>
        </w:rPr>
        <w:t>[</w:t>
      </w:r>
      <w:proofErr w:type="gramEnd"/>
      <w:r>
        <w:rPr>
          <w:spacing w:val="-11"/>
          <w:vertAlign w:val="superscript"/>
        </w:rPr>
        <w:t>4]</w:t>
      </w:r>
      <w:r>
        <w:rPr>
          <w:spacing w:val="-11"/>
        </w:rPr>
        <w:t>.</w:t>
      </w:r>
    </w:p>
    <w:p w:rsidR="00FE1855" w:rsidRDefault="00FE1855" w:rsidP="00FE1855">
      <w:pPr>
        <w:pStyle w:val="10"/>
      </w:pPr>
      <w:proofErr w:type="spellStart"/>
      <w:r>
        <w:t>PVT</w:t>
      </w:r>
      <w:proofErr w:type="spellEnd"/>
      <w:r>
        <w:t xml:space="preserve"> clinical presentation in cirrhotic patients is </w:t>
      </w:r>
      <w:proofErr w:type="spellStart"/>
      <w:r>
        <w:t>heterogenous</w:t>
      </w:r>
      <w:proofErr w:type="spellEnd"/>
      <w:r>
        <w:t xml:space="preserve"> ranging from incidental diagnosis by US during routine follow-up screening for hepatocellular carcinoma (</w:t>
      </w:r>
      <w:proofErr w:type="spellStart"/>
      <w:r>
        <w:t>HCC</w:t>
      </w:r>
      <w:proofErr w:type="spellEnd"/>
      <w:r>
        <w:t xml:space="preserve">) to life-threatening complications such esophageal/gastric </w:t>
      </w:r>
      <w:proofErr w:type="spellStart"/>
      <w:r>
        <w:t>variceal</w:t>
      </w:r>
      <w:proofErr w:type="spellEnd"/>
      <w:r>
        <w:t xml:space="preserve"> bleeding or intestinal </w:t>
      </w:r>
      <w:proofErr w:type="gramStart"/>
      <w:r>
        <w:t>infarction</w:t>
      </w:r>
      <w:r>
        <w:rPr>
          <w:vertAlign w:val="superscript"/>
        </w:rPr>
        <w:t>[</w:t>
      </w:r>
      <w:proofErr w:type="gramEnd"/>
      <w:r>
        <w:rPr>
          <w:vertAlign w:val="superscript"/>
        </w:rPr>
        <w:t>5]</w:t>
      </w:r>
      <w:r>
        <w:t xml:space="preserve">. </w:t>
      </w:r>
    </w:p>
    <w:p w:rsidR="00FE1855" w:rsidRDefault="00FE1855" w:rsidP="00FE1855">
      <w:pPr>
        <w:pStyle w:val="10"/>
        <w:rPr>
          <w:spacing w:val="-11"/>
        </w:rPr>
      </w:pPr>
      <w:r>
        <w:rPr>
          <w:spacing w:val="-11"/>
        </w:rPr>
        <w:t xml:space="preserve">The diagnosis of </w:t>
      </w:r>
      <w:proofErr w:type="spellStart"/>
      <w:r>
        <w:rPr>
          <w:spacing w:val="-11"/>
        </w:rPr>
        <w:t>PVT</w:t>
      </w:r>
      <w:proofErr w:type="spellEnd"/>
      <w:r>
        <w:rPr>
          <w:spacing w:val="-11"/>
        </w:rPr>
        <w:t xml:space="preserve"> is based on imaging techniques: Doppler US the first choice method (widely available, cheap, without irradiation) or contrast enhanced US. Contrast enhanced CT and MRI are superior to Doppler US for the assessment of thrombotic extension to venous branches difficult to be assessed by US </w:t>
      </w:r>
      <w:proofErr w:type="gramStart"/>
      <w:r>
        <w:rPr>
          <w:spacing w:val="-11"/>
        </w:rPr>
        <w:t>exam</w:t>
      </w:r>
      <w:r>
        <w:rPr>
          <w:spacing w:val="-11"/>
          <w:vertAlign w:val="superscript"/>
        </w:rPr>
        <w:t>[</w:t>
      </w:r>
      <w:proofErr w:type="gramEnd"/>
      <w:r>
        <w:rPr>
          <w:spacing w:val="-11"/>
          <w:vertAlign w:val="superscript"/>
        </w:rPr>
        <w:t>6]</w:t>
      </w:r>
      <w:r>
        <w:rPr>
          <w:spacing w:val="-11"/>
        </w:rPr>
        <w:t xml:space="preserve">. The optimal treatment of nonmalignant </w:t>
      </w:r>
      <w:proofErr w:type="spellStart"/>
      <w:r>
        <w:rPr>
          <w:spacing w:val="-11"/>
        </w:rPr>
        <w:t>PVT</w:t>
      </w:r>
      <w:proofErr w:type="spellEnd"/>
      <w:r>
        <w:rPr>
          <w:spacing w:val="-11"/>
        </w:rPr>
        <w:t xml:space="preserve"> in cirrhotic patients remains an unmet need. The European Association for the Study of the Liver (</w:t>
      </w:r>
      <w:proofErr w:type="spellStart"/>
      <w:r>
        <w:rPr>
          <w:spacing w:val="-11"/>
        </w:rPr>
        <w:t>EASL</w:t>
      </w:r>
      <w:proofErr w:type="spellEnd"/>
      <w:proofErr w:type="gramStart"/>
      <w:r>
        <w:rPr>
          <w:spacing w:val="-11"/>
        </w:rPr>
        <w:t>)</w:t>
      </w:r>
      <w:r>
        <w:rPr>
          <w:spacing w:val="-11"/>
          <w:vertAlign w:val="superscript"/>
        </w:rPr>
        <w:t>[</w:t>
      </w:r>
      <w:proofErr w:type="gramEnd"/>
      <w:r>
        <w:rPr>
          <w:spacing w:val="-11"/>
          <w:vertAlign w:val="superscript"/>
        </w:rPr>
        <w:t>7]</w:t>
      </w:r>
      <w:r>
        <w:rPr>
          <w:spacing w:val="-11"/>
        </w:rPr>
        <w:t xml:space="preserve"> guideline for vascular diseases of the liver, the American Association of the Study of the Liver Diseases (</w:t>
      </w:r>
      <w:proofErr w:type="spellStart"/>
      <w:r>
        <w:rPr>
          <w:spacing w:val="-11"/>
        </w:rPr>
        <w:t>AASLD</w:t>
      </w:r>
      <w:proofErr w:type="spellEnd"/>
      <w:r>
        <w:rPr>
          <w:spacing w:val="-11"/>
        </w:rPr>
        <w:t>)</w:t>
      </w:r>
      <w:r>
        <w:rPr>
          <w:spacing w:val="-11"/>
          <w:vertAlign w:val="superscript"/>
        </w:rPr>
        <w:t>[6]</w:t>
      </w:r>
      <w:r>
        <w:rPr>
          <w:spacing w:val="-11"/>
        </w:rPr>
        <w:t xml:space="preserve"> and </w:t>
      </w:r>
      <w:proofErr w:type="spellStart"/>
      <w:r>
        <w:rPr>
          <w:spacing w:val="-11"/>
        </w:rPr>
        <w:t>BAVENO</w:t>
      </w:r>
      <w:proofErr w:type="spellEnd"/>
      <w:r>
        <w:rPr>
          <w:spacing w:val="-11"/>
        </w:rPr>
        <w:t xml:space="preserve"> VI consensus</w:t>
      </w:r>
      <w:r>
        <w:rPr>
          <w:spacing w:val="-11"/>
          <w:vertAlign w:val="superscript"/>
        </w:rPr>
        <w:t>[8]</w:t>
      </w:r>
      <w:r>
        <w:rPr>
          <w:spacing w:val="-11"/>
        </w:rPr>
        <w:t xml:space="preserve"> recommend that the anticoagulant treatment should be considered, without </w:t>
      </w:r>
      <w:r>
        <w:rPr>
          <w:spacing w:val="-11"/>
        </w:rPr>
        <w:lastRenderedPageBreak/>
        <w:t xml:space="preserve">any strong clinical evidence The aim of this editorial is to discuss the different aspects of pathophysiology, clinical relevance, diagnosis and management of non-malignant </w:t>
      </w:r>
      <w:proofErr w:type="spellStart"/>
      <w:r>
        <w:rPr>
          <w:spacing w:val="-11"/>
        </w:rPr>
        <w:t>PVT</w:t>
      </w:r>
      <w:proofErr w:type="spellEnd"/>
      <w:r>
        <w:rPr>
          <w:spacing w:val="-11"/>
        </w:rPr>
        <w:t xml:space="preserve"> in patients with LC.</w:t>
      </w:r>
    </w:p>
    <w:p w:rsidR="00FE1855" w:rsidRPr="000937AF" w:rsidRDefault="00FE1855" w:rsidP="00FE1855">
      <w:pPr>
        <w:pStyle w:val="af7"/>
        <w:ind w:left="5250"/>
        <w:rPr>
          <w:lang w:val="en-US"/>
        </w:rPr>
      </w:pPr>
    </w:p>
    <w:p w:rsidR="00FE1855" w:rsidRPr="000937AF" w:rsidRDefault="00FE1855" w:rsidP="00A26AAC">
      <w:pPr>
        <w:pStyle w:val="af7"/>
        <w:rPr>
          <w:u w:val="single"/>
          <w:lang w:val="en-US"/>
        </w:rPr>
      </w:pPr>
      <w:r w:rsidRPr="000937AF">
        <w:rPr>
          <w:u w:val="single"/>
          <w:lang w:val="en-US"/>
        </w:rPr>
        <w:t>DEFINITIONS AND CLASSIFICATIONS: OLD AND NEW</w:t>
      </w:r>
    </w:p>
    <w:p w:rsidR="00FE1855" w:rsidRPr="000937AF" w:rsidRDefault="00FE1855" w:rsidP="00FE1855">
      <w:pPr>
        <w:pStyle w:val="af8"/>
      </w:pPr>
      <w:proofErr w:type="spellStart"/>
      <w:r>
        <w:t>PVT</w:t>
      </w:r>
      <w:proofErr w:type="spellEnd"/>
      <w:r>
        <w:t xml:space="preserve"> refers to partial or complete occlusion of the portal vein trunk which can includes its right and/or left intrahepatic branches, with the possibility to extend either to the superior mesenteric vein or to the splenic vein. </w:t>
      </w:r>
    </w:p>
    <w:p w:rsidR="00FE1855" w:rsidRDefault="00FE1855" w:rsidP="00FE1855">
      <w:pPr>
        <w:pStyle w:val="10"/>
      </w:pPr>
      <w:proofErr w:type="spellStart"/>
      <w:r>
        <w:t>PVT</w:t>
      </w:r>
      <w:proofErr w:type="spellEnd"/>
      <w:r>
        <w:t xml:space="preserve"> includes two different entities: the first one is acute </w:t>
      </w:r>
      <w:proofErr w:type="spellStart"/>
      <w:r>
        <w:t>PVT</w:t>
      </w:r>
      <w:proofErr w:type="spellEnd"/>
      <w:r>
        <w:t xml:space="preserve"> defined by the sudden formation of a thrombus within portal vein and often involving mesenteric or splenic veins, and the second is chronic </w:t>
      </w:r>
      <w:proofErr w:type="spellStart"/>
      <w:r>
        <w:t>PVT</w:t>
      </w:r>
      <w:proofErr w:type="spellEnd"/>
      <w:r>
        <w:t xml:space="preserve"> (also known as </w:t>
      </w:r>
      <w:proofErr w:type="spellStart"/>
      <w:r>
        <w:t>cavernoma</w:t>
      </w:r>
      <w:proofErr w:type="spellEnd"/>
      <w:r>
        <w:t xml:space="preserve">). The </w:t>
      </w:r>
      <w:proofErr w:type="spellStart"/>
      <w:r>
        <w:t>AASLD</w:t>
      </w:r>
      <w:proofErr w:type="spellEnd"/>
      <w:r>
        <w:t xml:space="preserve"> defined acute </w:t>
      </w:r>
      <w:proofErr w:type="spellStart"/>
      <w:r>
        <w:t>PVT</w:t>
      </w:r>
      <w:proofErr w:type="spellEnd"/>
      <w:r>
        <w:t xml:space="preserve"> as the sudden formation of a thrombus within the portal vein lumen, and chronic </w:t>
      </w:r>
      <w:proofErr w:type="spellStart"/>
      <w:r>
        <w:t>PVT</w:t>
      </w:r>
      <w:proofErr w:type="spellEnd"/>
      <w:r>
        <w:t xml:space="preserve"> as the replacement of the obstructed portion is replaced network of collaterals resulting in the </w:t>
      </w:r>
      <w:proofErr w:type="spellStart"/>
      <w:r>
        <w:t>cavernomatous</w:t>
      </w:r>
      <w:proofErr w:type="spellEnd"/>
      <w:r>
        <w:t xml:space="preserve"> transformation of the portal </w:t>
      </w:r>
      <w:proofErr w:type="gramStart"/>
      <w:r>
        <w:t>vein</w:t>
      </w:r>
      <w:r>
        <w:rPr>
          <w:vertAlign w:val="superscript"/>
        </w:rPr>
        <w:t>[</w:t>
      </w:r>
      <w:proofErr w:type="gramEnd"/>
      <w:r>
        <w:rPr>
          <w:vertAlign w:val="superscript"/>
        </w:rPr>
        <w:t>6]</w:t>
      </w:r>
      <w:r>
        <w:t xml:space="preserve">. The </w:t>
      </w:r>
      <w:proofErr w:type="spellStart"/>
      <w:r>
        <w:t>EASL</w:t>
      </w:r>
      <w:proofErr w:type="spellEnd"/>
      <w:r>
        <w:t xml:space="preserve"> defined recent </w:t>
      </w:r>
      <w:proofErr w:type="spellStart"/>
      <w:r>
        <w:t>PVT</w:t>
      </w:r>
      <w:proofErr w:type="spellEnd"/>
      <w:r>
        <w:t xml:space="preserve"> as a recent formation of a thrombus within the portal vein and/or right or left branches, while chronic </w:t>
      </w:r>
      <w:proofErr w:type="spellStart"/>
      <w:r>
        <w:t>PVT</w:t>
      </w:r>
      <w:proofErr w:type="spellEnd"/>
      <w:r>
        <w:t xml:space="preserve"> is characterized by the absence of recanalization and development of </w:t>
      </w:r>
      <w:proofErr w:type="spellStart"/>
      <w:r>
        <w:t>porto</w:t>
      </w:r>
      <w:proofErr w:type="spellEnd"/>
      <w:r>
        <w:t xml:space="preserve">-portal collaterals resulting in a </w:t>
      </w:r>
      <w:proofErr w:type="spellStart"/>
      <w:r>
        <w:t>cavernomatous</w:t>
      </w:r>
      <w:proofErr w:type="spellEnd"/>
      <w:r>
        <w:t xml:space="preserve"> transformation of the portal </w:t>
      </w:r>
      <w:proofErr w:type="gramStart"/>
      <w:r>
        <w:t>vein</w:t>
      </w:r>
      <w:r>
        <w:rPr>
          <w:vertAlign w:val="superscript"/>
        </w:rPr>
        <w:t>[</w:t>
      </w:r>
      <w:proofErr w:type="gramEnd"/>
      <w:r>
        <w:rPr>
          <w:vertAlign w:val="superscript"/>
        </w:rPr>
        <w:t>7]</w:t>
      </w:r>
      <w:r>
        <w:t xml:space="preserve">. </w:t>
      </w:r>
    </w:p>
    <w:p w:rsidR="00FE1855" w:rsidRDefault="00FE1855" w:rsidP="00FE1855">
      <w:pPr>
        <w:pStyle w:val="10"/>
      </w:pPr>
      <w:r>
        <w:t xml:space="preserve">These definitions, otherwise simple and easily interpreted, are based only on anatomic findings, lacking any clinically significant consequences of thrombotic occlusion of the portal vein such as portal hypertension and ascites. Taking into account this aspect, </w:t>
      </w:r>
      <w:proofErr w:type="spellStart"/>
      <w:r>
        <w:t>Sarin</w:t>
      </w:r>
      <w:proofErr w:type="spellEnd"/>
      <w:r>
        <w:t xml:space="preserve"> </w:t>
      </w:r>
      <w:r>
        <w:rPr>
          <w:i/>
          <w:iCs/>
        </w:rPr>
        <w:t xml:space="preserve">et </w:t>
      </w:r>
      <w:proofErr w:type="gramStart"/>
      <w:r>
        <w:rPr>
          <w:i/>
          <w:iCs/>
        </w:rPr>
        <w:t>al</w:t>
      </w:r>
      <w:r>
        <w:rPr>
          <w:vertAlign w:val="superscript"/>
        </w:rPr>
        <w:t>[</w:t>
      </w:r>
      <w:proofErr w:type="gramEnd"/>
      <w:r>
        <w:rPr>
          <w:vertAlign w:val="superscript"/>
        </w:rPr>
        <w:t>9]</w:t>
      </w:r>
      <w:r>
        <w:t xml:space="preserve"> proposed that </w:t>
      </w:r>
      <w:proofErr w:type="spellStart"/>
      <w:r>
        <w:t>PVT</w:t>
      </w:r>
      <w:proofErr w:type="spellEnd"/>
      <w:r>
        <w:t xml:space="preserve"> should be defined as a clinical syndrome presenting itself either as an incidental finding or with variable signs and symptoms such as: abdominal pain, new onset of ascites, </w:t>
      </w:r>
      <w:proofErr w:type="spellStart"/>
      <w:r>
        <w:t>variceal</w:t>
      </w:r>
      <w:proofErr w:type="spellEnd"/>
      <w:r>
        <w:t xml:space="preserve"> bleeding or intestinal infarction. </w:t>
      </w:r>
    </w:p>
    <w:p w:rsidR="00FE1855" w:rsidRDefault="00FE1855" w:rsidP="00FE1855">
      <w:pPr>
        <w:pStyle w:val="10"/>
      </w:pPr>
      <w:r>
        <w:t>During the past two decades at least eight classi</w:t>
      </w:r>
      <w:r>
        <w:softHyphen/>
        <w:t xml:space="preserve">fications of </w:t>
      </w:r>
      <w:proofErr w:type="spellStart"/>
      <w:r>
        <w:t>PVT</w:t>
      </w:r>
      <w:proofErr w:type="spellEnd"/>
      <w:r>
        <w:t xml:space="preserve"> have been proposed; the first one by </w:t>
      </w:r>
      <w:proofErr w:type="spellStart"/>
      <w:r>
        <w:t>Stieber</w:t>
      </w:r>
      <w:proofErr w:type="spellEnd"/>
      <w:r>
        <w:t xml:space="preserve"> </w:t>
      </w:r>
      <w:r>
        <w:rPr>
          <w:i/>
          <w:iCs/>
        </w:rPr>
        <w:t>et al</w:t>
      </w:r>
      <w:r>
        <w:rPr>
          <w:vertAlign w:val="superscript"/>
        </w:rPr>
        <w:t>[10]</w:t>
      </w:r>
      <w:r>
        <w:rPr>
          <w:i/>
          <w:iCs/>
          <w:vertAlign w:val="superscript"/>
        </w:rPr>
        <w:t xml:space="preserve"> </w:t>
      </w:r>
      <w:r>
        <w:t xml:space="preserve">in 1991, another by </w:t>
      </w:r>
      <w:proofErr w:type="spellStart"/>
      <w:r>
        <w:t>Yerdel</w:t>
      </w:r>
      <w:proofErr w:type="spellEnd"/>
      <w:r>
        <w:t xml:space="preserve"> </w:t>
      </w:r>
      <w:r>
        <w:rPr>
          <w:i/>
          <w:iCs/>
        </w:rPr>
        <w:t>et al</w:t>
      </w:r>
      <w:r>
        <w:rPr>
          <w:vertAlign w:val="superscript"/>
        </w:rPr>
        <w:t>[11]</w:t>
      </w:r>
      <w:r>
        <w:t xml:space="preserve"> in 2000, and the last by de </w:t>
      </w:r>
      <w:proofErr w:type="spellStart"/>
      <w:r>
        <w:t>Franchis</w:t>
      </w:r>
      <w:proofErr w:type="spellEnd"/>
      <w:r>
        <w:t xml:space="preserve"> (</w:t>
      </w:r>
      <w:proofErr w:type="spellStart"/>
      <w:r>
        <w:t>Baveno</w:t>
      </w:r>
      <w:proofErr w:type="spellEnd"/>
      <w:r>
        <w:t xml:space="preserve"> VI classification) in 2015 (Table 1). All these classifications have several limitations: they are purely anatomic, with no functional relevance, or clear delineation between acute and chronic forms, no etiology assessment and, no clinical therapeutic decisiveness. </w:t>
      </w:r>
    </w:p>
    <w:p w:rsidR="00FE1855" w:rsidRDefault="00FE1855" w:rsidP="00FE1855">
      <w:pPr>
        <w:pStyle w:val="10"/>
        <w:rPr>
          <w:spacing w:val="-11"/>
        </w:rPr>
      </w:pPr>
      <w:proofErr w:type="spellStart"/>
      <w:r>
        <w:rPr>
          <w:spacing w:val="-11"/>
        </w:rPr>
        <w:t>Sarin</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9]</w:t>
      </w:r>
      <w:r>
        <w:rPr>
          <w:spacing w:val="-11"/>
        </w:rPr>
        <w:t xml:space="preserve"> have proposed a new classification of </w:t>
      </w:r>
      <w:proofErr w:type="spellStart"/>
      <w:r>
        <w:rPr>
          <w:spacing w:val="-11"/>
        </w:rPr>
        <w:t>PVT</w:t>
      </w:r>
      <w:proofErr w:type="spellEnd"/>
      <w:r>
        <w:rPr>
          <w:spacing w:val="-11"/>
        </w:rPr>
        <w:t xml:space="preserve"> in cirrhosis which is an </w:t>
      </w:r>
      <w:proofErr w:type="spellStart"/>
      <w:r>
        <w:rPr>
          <w:spacing w:val="-11"/>
        </w:rPr>
        <w:t>anatomico</w:t>
      </w:r>
      <w:proofErr w:type="spellEnd"/>
      <w:r>
        <w:rPr>
          <w:spacing w:val="-11"/>
        </w:rPr>
        <w:t xml:space="preserve">-functional classification including the site of </w:t>
      </w:r>
      <w:proofErr w:type="spellStart"/>
      <w:r>
        <w:rPr>
          <w:spacing w:val="-11"/>
        </w:rPr>
        <w:t>PVT</w:t>
      </w:r>
      <w:proofErr w:type="spellEnd"/>
      <w:r>
        <w:rPr>
          <w:spacing w:val="-11"/>
        </w:rPr>
        <w:t xml:space="preserve">, degree of portal venous system occlusion, extend of </w:t>
      </w:r>
      <w:proofErr w:type="spellStart"/>
      <w:r>
        <w:rPr>
          <w:spacing w:val="-11"/>
        </w:rPr>
        <w:t>PVT</w:t>
      </w:r>
      <w:proofErr w:type="spellEnd"/>
      <w:r>
        <w:rPr>
          <w:spacing w:val="-11"/>
        </w:rPr>
        <w:t xml:space="preserve">, duration and presentation (recent, chronic asymptomatic, symptomatic), type and presence of underlying liver disease (cirrhotic, non-cirrhotic, post-transplant, </w:t>
      </w:r>
      <w:proofErr w:type="spellStart"/>
      <w:r>
        <w:rPr>
          <w:spacing w:val="-11"/>
        </w:rPr>
        <w:t>HCC</w:t>
      </w:r>
      <w:proofErr w:type="spellEnd"/>
      <w:r>
        <w:rPr>
          <w:spacing w:val="-11"/>
        </w:rPr>
        <w:t xml:space="preserve">) (Table 2). </w:t>
      </w:r>
    </w:p>
    <w:p w:rsidR="00FE1855" w:rsidRDefault="00FE1855" w:rsidP="00FE1855">
      <w:pPr>
        <w:pStyle w:val="10"/>
      </w:pPr>
      <w:r>
        <w:t xml:space="preserve">The prognostic value and the influence of this new classification in therapeutic decision </w:t>
      </w:r>
      <w:proofErr w:type="gramStart"/>
      <w:r>
        <w:t>remains</w:t>
      </w:r>
      <w:proofErr w:type="gramEnd"/>
      <w:r>
        <w:t xml:space="preserve"> to be confirmed by future prospective studies. In our opinion it is important to add the pattern of </w:t>
      </w:r>
      <w:proofErr w:type="spellStart"/>
      <w:r>
        <w:t>PVT</w:t>
      </w:r>
      <w:proofErr w:type="spellEnd"/>
      <w:r>
        <w:t xml:space="preserve"> evolution (spontaneous recanalization, extension or stable) with or without anticoagulant treatment, and the status of the liver cirrhosis (compensated or decompensated) in order to personalize the therapeutic approach.</w:t>
      </w:r>
    </w:p>
    <w:p w:rsidR="00FE1855" w:rsidRPr="000937AF" w:rsidRDefault="00FE1855" w:rsidP="00FE1855">
      <w:pPr>
        <w:pStyle w:val="af7"/>
        <w:ind w:left="5250"/>
        <w:rPr>
          <w:lang w:val="en-US"/>
        </w:rPr>
      </w:pPr>
    </w:p>
    <w:p w:rsidR="00FE1855" w:rsidRPr="000937AF" w:rsidRDefault="00FE1855" w:rsidP="00A26AAC">
      <w:pPr>
        <w:pStyle w:val="af7"/>
        <w:rPr>
          <w:u w:val="single"/>
          <w:lang w:val="en-US"/>
        </w:rPr>
      </w:pPr>
      <w:r w:rsidRPr="000937AF">
        <w:rPr>
          <w:u w:val="single"/>
          <w:lang w:val="en-US"/>
        </w:rPr>
        <w:t xml:space="preserve">PREVALENCE AND PREDICTORS FOR NON-MALIGNANT </w:t>
      </w:r>
      <w:proofErr w:type="spellStart"/>
      <w:r w:rsidRPr="000937AF">
        <w:rPr>
          <w:u w:val="single"/>
          <w:lang w:val="en-US"/>
        </w:rPr>
        <w:t>PVT</w:t>
      </w:r>
      <w:proofErr w:type="spellEnd"/>
      <w:r w:rsidRPr="000937AF">
        <w:rPr>
          <w:u w:val="single"/>
          <w:lang w:val="en-US"/>
        </w:rPr>
        <w:t xml:space="preserve">: ETIOLOGY OF LIVER </w:t>
      </w:r>
      <w:r w:rsidRPr="000937AF">
        <w:rPr>
          <w:u w:val="single"/>
          <w:lang w:val="en-US"/>
        </w:rPr>
        <w:lastRenderedPageBreak/>
        <w:t>CIRRHOSIS</w:t>
      </w:r>
    </w:p>
    <w:p w:rsidR="00FE1855" w:rsidRDefault="00FE1855" w:rsidP="00FE1855">
      <w:pPr>
        <w:pStyle w:val="af8"/>
      </w:pPr>
      <w:proofErr w:type="spellStart"/>
      <w:r>
        <w:t>PVT</w:t>
      </w:r>
      <w:proofErr w:type="spellEnd"/>
      <w:r>
        <w:t xml:space="preserve"> prevalence is estimated 0.6</w:t>
      </w:r>
      <w:r w:rsidRPr="000937AF">
        <w:t>%</w:t>
      </w:r>
      <w:r>
        <w:t xml:space="preserve">-26% in patients with liver cirrhosis, increasing proportionally with LC </w:t>
      </w:r>
      <w:proofErr w:type="gramStart"/>
      <w:r>
        <w:t>severity</w:t>
      </w:r>
      <w:r>
        <w:rPr>
          <w:vertAlign w:val="superscript"/>
        </w:rPr>
        <w:t>[</w:t>
      </w:r>
      <w:proofErr w:type="gramEnd"/>
      <w:r>
        <w:rPr>
          <w:vertAlign w:val="superscript"/>
        </w:rPr>
        <w:t>1]</w:t>
      </w:r>
      <w:r>
        <w:t>. In patients with compensated cirrhosis reported prevalence ranges from 1% to 8</w:t>
      </w:r>
      <w:r w:rsidRPr="000937AF">
        <w:t>%</w:t>
      </w:r>
      <w:r>
        <w:t xml:space="preserve">-26% in candidates for </w:t>
      </w:r>
      <w:proofErr w:type="gramStart"/>
      <w:r>
        <w:t>LT</w:t>
      </w:r>
      <w:r>
        <w:rPr>
          <w:vertAlign w:val="superscript"/>
        </w:rPr>
        <w:t>[</w:t>
      </w:r>
      <w:proofErr w:type="gramEnd"/>
      <w:r>
        <w:rPr>
          <w:vertAlign w:val="superscript"/>
        </w:rPr>
        <w:t>3,4]</w:t>
      </w:r>
      <w:r>
        <w:t xml:space="preserve">. However, there are few studies that reported </w:t>
      </w:r>
      <w:proofErr w:type="spellStart"/>
      <w:r>
        <w:t>PVT</w:t>
      </w:r>
      <w:proofErr w:type="spellEnd"/>
      <w:r>
        <w:t xml:space="preserve"> incidence in LC. Thus, </w:t>
      </w:r>
      <w:proofErr w:type="spellStart"/>
      <w:r>
        <w:t>Nery</w:t>
      </w:r>
      <w:proofErr w:type="spellEnd"/>
      <w:r>
        <w:t xml:space="preserve"> </w:t>
      </w:r>
      <w:r>
        <w:rPr>
          <w:i/>
          <w:iCs/>
        </w:rPr>
        <w:t xml:space="preserve">et </w:t>
      </w:r>
      <w:proofErr w:type="gramStart"/>
      <w:r>
        <w:rPr>
          <w:i/>
          <w:iCs/>
        </w:rPr>
        <w:t>al</w:t>
      </w:r>
      <w:r>
        <w:rPr>
          <w:vertAlign w:val="superscript"/>
        </w:rPr>
        <w:t>[</w:t>
      </w:r>
      <w:proofErr w:type="gramEnd"/>
      <w:r>
        <w:rPr>
          <w:vertAlign w:val="superscript"/>
        </w:rPr>
        <w:t>12]</w:t>
      </w:r>
      <w:r>
        <w:t xml:space="preserve"> demonstrated a 5-year cumulative </w:t>
      </w:r>
      <w:proofErr w:type="spellStart"/>
      <w:r>
        <w:t>PVT</w:t>
      </w:r>
      <w:proofErr w:type="spellEnd"/>
      <w:r>
        <w:t xml:space="preserve"> incidence in LC of 10.7%, while Maruyama </w:t>
      </w:r>
      <w:r>
        <w:rPr>
          <w:i/>
          <w:iCs/>
        </w:rPr>
        <w:t>et al</w:t>
      </w:r>
      <w:r>
        <w:rPr>
          <w:vertAlign w:val="superscript"/>
        </w:rPr>
        <w:t>[13]</w:t>
      </w:r>
      <w:r>
        <w:t xml:space="preserve"> performed a retrospective analysis on 150 patients with LC followed up for a median period of 66 </w:t>
      </w:r>
      <w:proofErr w:type="spellStart"/>
      <w:r>
        <w:t>mo</w:t>
      </w:r>
      <w:proofErr w:type="spellEnd"/>
      <w:r>
        <w:t xml:space="preserve"> and reported a 12.8% cumulative overall incidence of </w:t>
      </w:r>
      <w:proofErr w:type="spellStart"/>
      <w:r>
        <w:t>PVT</w:t>
      </w:r>
      <w:proofErr w:type="spellEnd"/>
      <w:r>
        <w:t xml:space="preserve"> at 1 year, 18.6% at 3 years, 20% at 5 years, and 38.7% at 8</w:t>
      </w:r>
      <w:r w:rsidRPr="000937AF">
        <w:t>-</w:t>
      </w:r>
      <w:r>
        <w:t xml:space="preserve">10 years. </w:t>
      </w:r>
    </w:p>
    <w:p w:rsidR="00FE1855" w:rsidRDefault="00FE1855" w:rsidP="00FE1855">
      <w:pPr>
        <w:pStyle w:val="10"/>
        <w:rPr>
          <w:spacing w:val="-11"/>
        </w:rPr>
      </w:pPr>
      <w:r>
        <w:rPr>
          <w:spacing w:val="-11"/>
        </w:rPr>
        <w:t xml:space="preserve">Multiple studies evaluated the predictive factors for </w:t>
      </w:r>
      <w:proofErr w:type="spellStart"/>
      <w:r>
        <w:rPr>
          <w:spacing w:val="-11"/>
        </w:rPr>
        <w:t>PVT</w:t>
      </w:r>
      <w:proofErr w:type="spellEnd"/>
      <w:r>
        <w:rPr>
          <w:spacing w:val="-11"/>
        </w:rPr>
        <w:t xml:space="preserve"> development in cirrhotic patients. Prior </w:t>
      </w:r>
      <w:proofErr w:type="spellStart"/>
      <w:r>
        <w:rPr>
          <w:spacing w:val="-11"/>
        </w:rPr>
        <w:t>PVT</w:t>
      </w:r>
      <w:proofErr w:type="spellEnd"/>
      <w:r>
        <w:rPr>
          <w:spacing w:val="-11"/>
          <w:vertAlign w:val="superscript"/>
        </w:rPr>
        <w:t>[12]</w:t>
      </w:r>
      <w:r>
        <w:rPr>
          <w:spacing w:val="-11"/>
        </w:rPr>
        <w:t>, severe liver disease (Child-Pugh class A and B)</w:t>
      </w:r>
      <w:r>
        <w:rPr>
          <w:spacing w:val="-11"/>
          <w:vertAlign w:val="superscript"/>
        </w:rPr>
        <w:t>[14]</w:t>
      </w:r>
      <w:r>
        <w:rPr>
          <w:spacing w:val="-11"/>
        </w:rPr>
        <w:t xml:space="preserve">, </w:t>
      </w:r>
      <w:proofErr w:type="spellStart"/>
      <w:r>
        <w:rPr>
          <w:spacing w:val="-11"/>
        </w:rPr>
        <w:t>hypercoagulable</w:t>
      </w:r>
      <w:proofErr w:type="spellEnd"/>
      <w:r>
        <w:rPr>
          <w:spacing w:val="-11"/>
        </w:rPr>
        <w:t xml:space="preserve"> status</w:t>
      </w:r>
      <w:r>
        <w:rPr>
          <w:spacing w:val="-11"/>
          <w:vertAlign w:val="superscript"/>
        </w:rPr>
        <w:t>[15-17]</w:t>
      </w:r>
      <w:r>
        <w:rPr>
          <w:spacing w:val="-11"/>
        </w:rPr>
        <w:t>, recent surgical or invasive interventions of the abdomen</w:t>
      </w:r>
      <w:r>
        <w:rPr>
          <w:spacing w:val="-11"/>
          <w:vertAlign w:val="superscript"/>
        </w:rPr>
        <w:t>[18]</w:t>
      </w:r>
      <w:r>
        <w:rPr>
          <w:spacing w:val="-11"/>
        </w:rPr>
        <w:t>, portal flow velocity &lt;</w:t>
      </w:r>
      <w:r w:rsidRPr="000937AF">
        <w:rPr>
          <w:spacing w:val="-11"/>
        </w:rPr>
        <w:t xml:space="preserve"> </w:t>
      </w:r>
      <w:r>
        <w:rPr>
          <w:spacing w:val="-11"/>
        </w:rPr>
        <w:t>15 cm/s</w:t>
      </w:r>
      <w:r>
        <w:rPr>
          <w:spacing w:val="-11"/>
          <w:vertAlign w:val="superscript"/>
        </w:rPr>
        <w:t>[16]</w:t>
      </w:r>
      <w:r>
        <w:rPr>
          <w:spacing w:val="-11"/>
        </w:rPr>
        <w:t xml:space="preserve">, and </w:t>
      </w:r>
      <w:proofErr w:type="spellStart"/>
      <w:r>
        <w:rPr>
          <w:spacing w:val="-11"/>
        </w:rPr>
        <w:t>HCC</w:t>
      </w:r>
      <w:proofErr w:type="spellEnd"/>
      <w:r>
        <w:rPr>
          <w:spacing w:val="-11"/>
          <w:vertAlign w:val="superscript"/>
        </w:rPr>
        <w:t>[12]</w:t>
      </w:r>
      <w:r>
        <w:rPr>
          <w:spacing w:val="-11"/>
        </w:rPr>
        <w:t xml:space="preserve">, were described as having predictive value for </w:t>
      </w:r>
      <w:proofErr w:type="spellStart"/>
      <w:r>
        <w:rPr>
          <w:spacing w:val="-11"/>
        </w:rPr>
        <w:t>PVT</w:t>
      </w:r>
      <w:proofErr w:type="spellEnd"/>
      <w:r>
        <w:rPr>
          <w:spacing w:val="-11"/>
        </w:rPr>
        <w:t xml:space="preserve"> development in cirrhotic patients. In a recent Italian national multicenter study, including 753 cirrhotic patients, </w:t>
      </w:r>
      <w:proofErr w:type="spellStart"/>
      <w:r>
        <w:rPr>
          <w:spacing w:val="-11"/>
        </w:rPr>
        <w:t>Violi</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19]</w:t>
      </w:r>
      <w:r>
        <w:rPr>
          <w:spacing w:val="-11"/>
        </w:rPr>
        <w:t>, demonstrated that previous portal vein thrombosis, Child-Pugh class B</w:t>
      </w:r>
      <w:r w:rsidRPr="000937AF">
        <w:rPr>
          <w:spacing w:val="-11"/>
        </w:rPr>
        <w:t xml:space="preserve"> </w:t>
      </w:r>
      <w:r>
        <w:rPr>
          <w:spacing w:val="-11"/>
        </w:rPr>
        <w:t>and</w:t>
      </w:r>
      <w:r w:rsidRPr="000937AF">
        <w:rPr>
          <w:spacing w:val="-11"/>
        </w:rPr>
        <w:t xml:space="preserve"> </w:t>
      </w:r>
      <w:r>
        <w:rPr>
          <w:spacing w:val="-11"/>
        </w:rPr>
        <w:t xml:space="preserve">C, </w:t>
      </w:r>
      <w:proofErr w:type="spellStart"/>
      <w:r>
        <w:rPr>
          <w:spacing w:val="-11"/>
        </w:rPr>
        <w:t>HCC</w:t>
      </w:r>
      <w:proofErr w:type="spellEnd"/>
      <w:r>
        <w:rPr>
          <w:spacing w:val="-11"/>
        </w:rPr>
        <w:t>, prior upper gastrointestinal bleeding, and older age were independently associated with the presence of PVT.</w:t>
      </w:r>
    </w:p>
    <w:p w:rsidR="00FE1855" w:rsidRDefault="00FE1855" w:rsidP="00FE1855">
      <w:pPr>
        <w:pStyle w:val="10"/>
        <w:rPr>
          <w:spacing w:val="-10"/>
        </w:rPr>
      </w:pPr>
      <w:r>
        <w:rPr>
          <w:spacing w:val="-10"/>
        </w:rPr>
        <w:t xml:space="preserve">The influence of cirrhosis </w:t>
      </w:r>
      <w:proofErr w:type="spellStart"/>
      <w:r>
        <w:rPr>
          <w:spacing w:val="-10"/>
        </w:rPr>
        <w:t>ethiology</w:t>
      </w:r>
      <w:proofErr w:type="spellEnd"/>
      <w:r>
        <w:rPr>
          <w:spacing w:val="-10"/>
        </w:rPr>
        <w:t xml:space="preserve"> on development </w:t>
      </w:r>
      <w:r>
        <w:rPr>
          <w:spacing w:val="-16"/>
        </w:rPr>
        <w:t xml:space="preserve">of </w:t>
      </w:r>
      <w:proofErr w:type="spellStart"/>
      <w:r>
        <w:rPr>
          <w:spacing w:val="-16"/>
        </w:rPr>
        <w:t>PVT</w:t>
      </w:r>
      <w:proofErr w:type="spellEnd"/>
      <w:r>
        <w:rPr>
          <w:spacing w:val="-16"/>
        </w:rPr>
        <w:t xml:space="preserve"> has not been yet clearly defined. </w:t>
      </w:r>
      <w:proofErr w:type="spellStart"/>
      <w:r>
        <w:rPr>
          <w:spacing w:val="-16"/>
        </w:rPr>
        <w:t>Nonami</w:t>
      </w:r>
      <w:proofErr w:type="spellEnd"/>
      <w:r>
        <w:rPr>
          <w:spacing w:val="-16"/>
        </w:rPr>
        <w:t xml:space="preserve"> </w:t>
      </w:r>
      <w:r>
        <w:rPr>
          <w:i/>
          <w:iCs/>
          <w:spacing w:val="-16"/>
        </w:rPr>
        <w:t xml:space="preserve">et </w:t>
      </w:r>
      <w:proofErr w:type="gramStart"/>
      <w:r>
        <w:rPr>
          <w:i/>
          <w:iCs/>
          <w:spacing w:val="-10"/>
        </w:rPr>
        <w:t>al</w:t>
      </w:r>
      <w:r>
        <w:rPr>
          <w:spacing w:val="-10"/>
          <w:vertAlign w:val="superscript"/>
        </w:rPr>
        <w:t>[</w:t>
      </w:r>
      <w:proofErr w:type="gramEnd"/>
      <w:r>
        <w:rPr>
          <w:spacing w:val="-10"/>
          <w:vertAlign w:val="superscript"/>
        </w:rPr>
        <w:t>20]</w:t>
      </w:r>
      <w:r>
        <w:rPr>
          <w:spacing w:val="-10"/>
        </w:rPr>
        <w:t xml:space="preserve"> in a research on 885 candidates for LT with </w:t>
      </w:r>
      <w:proofErr w:type="spellStart"/>
      <w:r>
        <w:rPr>
          <w:spacing w:val="-10"/>
        </w:rPr>
        <w:t>PVT</w:t>
      </w:r>
      <w:proofErr w:type="spellEnd"/>
      <w:r>
        <w:rPr>
          <w:spacing w:val="-10"/>
        </w:rPr>
        <w:t xml:space="preserve"> de</w:t>
      </w:r>
      <w:r>
        <w:rPr>
          <w:spacing w:val="-10"/>
        </w:rPr>
        <w:softHyphen/>
        <w:t xml:space="preserve">monstrated that alcoholic and hepatitis B virus related cirrhosis were found to be the most frequent etiologies of LC. The association between </w:t>
      </w:r>
      <w:proofErr w:type="spellStart"/>
      <w:r>
        <w:rPr>
          <w:spacing w:val="-10"/>
        </w:rPr>
        <w:t>PVT</w:t>
      </w:r>
      <w:proofErr w:type="spellEnd"/>
      <w:r>
        <w:rPr>
          <w:spacing w:val="-10"/>
        </w:rPr>
        <w:t xml:space="preserve"> and alcoholic etiology was recently confirmed by </w:t>
      </w:r>
      <w:proofErr w:type="spellStart"/>
      <w:r>
        <w:rPr>
          <w:spacing w:val="-10"/>
        </w:rPr>
        <w:t>Scheiner</w:t>
      </w:r>
      <w:proofErr w:type="spellEnd"/>
      <w:r>
        <w:rPr>
          <w:spacing w:val="-10"/>
        </w:rPr>
        <w:t xml:space="preserve"> </w:t>
      </w:r>
      <w:r>
        <w:rPr>
          <w:i/>
          <w:iCs/>
          <w:spacing w:val="-10"/>
        </w:rPr>
        <w:t xml:space="preserve">et </w:t>
      </w:r>
      <w:proofErr w:type="gramStart"/>
      <w:r>
        <w:rPr>
          <w:i/>
          <w:iCs/>
          <w:spacing w:val="-10"/>
        </w:rPr>
        <w:t>al</w:t>
      </w:r>
      <w:r>
        <w:rPr>
          <w:spacing w:val="-10"/>
          <w:vertAlign w:val="superscript"/>
        </w:rPr>
        <w:t>[</w:t>
      </w:r>
      <w:proofErr w:type="gramEnd"/>
      <w:r>
        <w:rPr>
          <w:spacing w:val="-10"/>
          <w:vertAlign w:val="superscript"/>
        </w:rPr>
        <w:t>21]</w:t>
      </w:r>
      <w:r>
        <w:rPr>
          <w:spacing w:val="-10"/>
        </w:rPr>
        <w:t xml:space="preserve">. Cruz </w:t>
      </w:r>
      <w:r>
        <w:rPr>
          <w:i/>
          <w:iCs/>
          <w:spacing w:val="-10"/>
        </w:rPr>
        <w:t>et al</w:t>
      </w:r>
      <w:r>
        <w:rPr>
          <w:spacing w:val="-10"/>
          <w:vertAlign w:val="superscript"/>
        </w:rPr>
        <w:t>[22]</w:t>
      </w:r>
      <w:r>
        <w:rPr>
          <w:spacing w:val="-10"/>
        </w:rPr>
        <w:t xml:space="preserve"> demonstrated that non-alcoholic </w:t>
      </w:r>
      <w:proofErr w:type="spellStart"/>
      <w:r>
        <w:rPr>
          <w:spacing w:val="-10"/>
        </w:rPr>
        <w:t>steato</w:t>
      </w:r>
      <w:proofErr w:type="spellEnd"/>
      <w:r>
        <w:rPr>
          <w:spacing w:val="-10"/>
        </w:rPr>
        <w:t xml:space="preserve">-hepatitis was more frequently associated with </w:t>
      </w:r>
      <w:proofErr w:type="spellStart"/>
      <w:r>
        <w:rPr>
          <w:spacing w:val="-10"/>
        </w:rPr>
        <w:t>PVT</w:t>
      </w:r>
      <w:proofErr w:type="spellEnd"/>
      <w:r>
        <w:rPr>
          <w:spacing w:val="-10"/>
        </w:rPr>
        <w:t xml:space="preserve"> (40.48%), followed by hepatitis C virus (23.81%) and autoimmune hepatitis (19.05%), all of these etiologies being characterized by a significant pro-inflammatory status. By contrast, in another study with 199 candidates for LT, no relation was found between the etiology of liver disease and </w:t>
      </w:r>
      <w:proofErr w:type="spellStart"/>
      <w:r>
        <w:rPr>
          <w:spacing w:val="-10"/>
        </w:rPr>
        <w:t>PVT</w:t>
      </w:r>
      <w:proofErr w:type="spellEnd"/>
      <w:r>
        <w:rPr>
          <w:spacing w:val="-10"/>
        </w:rPr>
        <w:t xml:space="preserve"> </w:t>
      </w:r>
      <w:proofErr w:type="gramStart"/>
      <w:r>
        <w:rPr>
          <w:spacing w:val="-10"/>
        </w:rPr>
        <w:t>prevalence</w:t>
      </w:r>
      <w:r>
        <w:rPr>
          <w:spacing w:val="-10"/>
          <w:vertAlign w:val="superscript"/>
        </w:rPr>
        <w:t>[</w:t>
      </w:r>
      <w:proofErr w:type="gramEnd"/>
      <w:r>
        <w:rPr>
          <w:spacing w:val="-10"/>
          <w:vertAlign w:val="superscript"/>
        </w:rPr>
        <w:t>23]</w:t>
      </w:r>
      <w:r>
        <w:rPr>
          <w:spacing w:val="-10"/>
        </w:rPr>
        <w:t xml:space="preserve">. </w:t>
      </w:r>
    </w:p>
    <w:p w:rsidR="00FE1855" w:rsidRPr="000937AF" w:rsidRDefault="00FE1855" w:rsidP="00FE1855">
      <w:pPr>
        <w:pStyle w:val="af7"/>
        <w:ind w:left="5250"/>
        <w:rPr>
          <w:lang w:val="en-US"/>
        </w:rPr>
      </w:pPr>
    </w:p>
    <w:p w:rsidR="00FE1855" w:rsidRPr="000937AF" w:rsidRDefault="00FE1855" w:rsidP="00A26AAC">
      <w:pPr>
        <w:pStyle w:val="af7"/>
        <w:rPr>
          <w:u w:val="single"/>
          <w:lang w:val="en-US"/>
        </w:rPr>
      </w:pPr>
      <w:r w:rsidRPr="000937AF">
        <w:rPr>
          <w:u w:val="single"/>
          <w:lang w:val="en-US"/>
        </w:rPr>
        <w:t xml:space="preserve">MECHANISMS LEADING TO </w:t>
      </w:r>
      <w:proofErr w:type="spellStart"/>
      <w:r w:rsidRPr="000937AF">
        <w:rPr>
          <w:u w:val="single"/>
          <w:lang w:val="en-US"/>
        </w:rPr>
        <w:t>PVT</w:t>
      </w:r>
      <w:proofErr w:type="spellEnd"/>
      <w:r w:rsidRPr="000937AF">
        <w:rPr>
          <w:u w:val="single"/>
          <w:lang w:val="en-US"/>
        </w:rPr>
        <w:t xml:space="preserve"> IN LIVER CIRRHOSIS</w:t>
      </w:r>
    </w:p>
    <w:p w:rsidR="00FE1855" w:rsidRDefault="00FE1855" w:rsidP="00FE1855">
      <w:pPr>
        <w:pStyle w:val="af8"/>
        <w:rPr>
          <w:spacing w:val="-11"/>
        </w:rPr>
      </w:pPr>
      <w:r>
        <w:rPr>
          <w:spacing w:val="-11"/>
        </w:rPr>
        <w:t xml:space="preserve">The </w:t>
      </w:r>
      <w:proofErr w:type="spellStart"/>
      <w:r>
        <w:rPr>
          <w:spacing w:val="-11"/>
        </w:rPr>
        <w:t>physiopathological</w:t>
      </w:r>
      <w:proofErr w:type="spellEnd"/>
      <w:r>
        <w:rPr>
          <w:spacing w:val="-11"/>
        </w:rPr>
        <w:t xml:space="preserve"> mechanisms of </w:t>
      </w:r>
      <w:proofErr w:type="spellStart"/>
      <w:r>
        <w:rPr>
          <w:spacing w:val="-11"/>
        </w:rPr>
        <w:t>PVT</w:t>
      </w:r>
      <w:proofErr w:type="spellEnd"/>
      <w:r>
        <w:rPr>
          <w:spacing w:val="-11"/>
        </w:rPr>
        <w:t xml:space="preserve"> remain controversial, although many of them have been by now demonstrated. Even if, the interest in LC associated </w:t>
      </w:r>
      <w:proofErr w:type="spellStart"/>
      <w:r>
        <w:rPr>
          <w:spacing w:val="-11"/>
        </w:rPr>
        <w:t>PVT</w:t>
      </w:r>
      <w:proofErr w:type="spellEnd"/>
      <w:r>
        <w:rPr>
          <w:spacing w:val="-11"/>
        </w:rPr>
        <w:t xml:space="preserve"> have been increasing during these last years, considering the complex tests, such as the global test for coagulation assessment -thrombin generation assays or </w:t>
      </w:r>
      <w:proofErr w:type="spellStart"/>
      <w:r>
        <w:rPr>
          <w:spacing w:val="-11"/>
        </w:rPr>
        <w:t>thrombelastometry</w:t>
      </w:r>
      <w:proofErr w:type="spellEnd"/>
      <w:r>
        <w:rPr>
          <w:spacing w:val="-11"/>
        </w:rPr>
        <w:t xml:space="preserve"> used to characterize </w:t>
      </w:r>
      <w:proofErr w:type="spellStart"/>
      <w:r>
        <w:rPr>
          <w:spacing w:val="-11"/>
        </w:rPr>
        <w:t>PVT</w:t>
      </w:r>
      <w:proofErr w:type="spellEnd"/>
      <w:r>
        <w:rPr>
          <w:spacing w:val="-11"/>
          <w:vertAlign w:val="superscript"/>
        </w:rPr>
        <w:t>[24-26]</w:t>
      </w:r>
      <w:r>
        <w:rPr>
          <w:spacing w:val="-11"/>
        </w:rPr>
        <w:t xml:space="preserve"> in cirrhotic patients, there are still a lot of missing pieces from the big picture of PVT.</w:t>
      </w:r>
    </w:p>
    <w:p w:rsidR="00FE1855" w:rsidRDefault="00FE1855" w:rsidP="00FE1855">
      <w:pPr>
        <w:pStyle w:val="10"/>
      </w:pPr>
      <w:proofErr w:type="spellStart"/>
      <w:r>
        <w:t>PVT</w:t>
      </w:r>
      <w:proofErr w:type="spellEnd"/>
      <w:r>
        <w:t xml:space="preserve"> is a disease with multifactorial causes and, in some particular cases it is triggered by a genetic predisposition. The components of Virchow’s triad (venous stasis, </w:t>
      </w:r>
      <w:proofErr w:type="spellStart"/>
      <w:r>
        <w:t>hypercoagulable</w:t>
      </w:r>
      <w:proofErr w:type="spellEnd"/>
      <w:r>
        <w:t xml:space="preserve"> state and endothelial dysfunction) are recognized as the main factors involved in </w:t>
      </w:r>
      <w:proofErr w:type="spellStart"/>
      <w:r>
        <w:t>PVT</w:t>
      </w:r>
      <w:proofErr w:type="spellEnd"/>
      <w:r>
        <w:t xml:space="preserve"> development in cirrhotic </w:t>
      </w:r>
      <w:proofErr w:type="gramStart"/>
      <w:r>
        <w:t>patients</w:t>
      </w:r>
      <w:r>
        <w:rPr>
          <w:vertAlign w:val="superscript"/>
        </w:rPr>
        <w:t>[</w:t>
      </w:r>
      <w:proofErr w:type="gramEnd"/>
      <w:r>
        <w:rPr>
          <w:vertAlign w:val="superscript"/>
        </w:rPr>
        <w:t>4,13,15,16]</w:t>
      </w:r>
      <w:r>
        <w:t>.</w:t>
      </w:r>
    </w:p>
    <w:p w:rsidR="00FE1855" w:rsidRDefault="00FE1855" w:rsidP="00FE1855">
      <w:pPr>
        <w:pStyle w:val="10"/>
        <w:rPr>
          <w:spacing w:val="-11"/>
        </w:rPr>
      </w:pPr>
      <w:r>
        <w:rPr>
          <w:spacing w:val="-11"/>
        </w:rPr>
        <w:t xml:space="preserve">Reduced portal flow velocity was admitted to be as the most important risk factor for </w:t>
      </w:r>
      <w:proofErr w:type="spellStart"/>
      <w:r>
        <w:rPr>
          <w:spacing w:val="-11"/>
        </w:rPr>
        <w:t>PVT</w:t>
      </w:r>
      <w:proofErr w:type="spellEnd"/>
      <w:r>
        <w:rPr>
          <w:spacing w:val="-11"/>
        </w:rPr>
        <w:t xml:space="preserve"> development in LC, although this parameter varies significantly according </w:t>
      </w:r>
      <w:r>
        <w:rPr>
          <w:spacing w:val="-13"/>
        </w:rPr>
        <w:t xml:space="preserve">to the degree of liver disease </w:t>
      </w:r>
      <w:proofErr w:type="gramStart"/>
      <w:r>
        <w:rPr>
          <w:spacing w:val="-13"/>
        </w:rPr>
        <w:t>severity</w:t>
      </w:r>
      <w:r>
        <w:rPr>
          <w:spacing w:val="-13"/>
          <w:vertAlign w:val="superscript"/>
        </w:rPr>
        <w:t>[</w:t>
      </w:r>
      <w:proofErr w:type="gramEnd"/>
      <w:r>
        <w:rPr>
          <w:spacing w:val="-13"/>
          <w:vertAlign w:val="superscript"/>
        </w:rPr>
        <w:t>16,19]</w:t>
      </w:r>
      <w:r>
        <w:rPr>
          <w:spacing w:val="-13"/>
        </w:rPr>
        <w:t xml:space="preserve">. </w:t>
      </w:r>
      <w:proofErr w:type="spellStart"/>
      <w:r>
        <w:rPr>
          <w:spacing w:val="-13"/>
        </w:rPr>
        <w:t>Zocco</w:t>
      </w:r>
      <w:proofErr w:type="spellEnd"/>
      <w:r>
        <w:rPr>
          <w:spacing w:val="-13"/>
        </w:rPr>
        <w:t xml:space="preserve"> </w:t>
      </w:r>
      <w:r>
        <w:rPr>
          <w:i/>
          <w:iCs/>
          <w:spacing w:val="-13"/>
        </w:rPr>
        <w:t xml:space="preserve">et </w:t>
      </w:r>
      <w:proofErr w:type="gramStart"/>
      <w:r>
        <w:rPr>
          <w:i/>
          <w:iCs/>
          <w:spacing w:val="-11"/>
        </w:rPr>
        <w:t>al</w:t>
      </w:r>
      <w:r>
        <w:rPr>
          <w:spacing w:val="-11"/>
          <w:vertAlign w:val="superscript"/>
        </w:rPr>
        <w:t>[</w:t>
      </w:r>
      <w:proofErr w:type="gramEnd"/>
      <w:r>
        <w:rPr>
          <w:spacing w:val="-11"/>
          <w:vertAlign w:val="superscript"/>
        </w:rPr>
        <w:t>16]</w:t>
      </w:r>
      <w:r>
        <w:rPr>
          <w:spacing w:val="-11"/>
        </w:rPr>
        <w:t xml:space="preserve"> demonstrated for the first time that portal vein velocity under 15 cm/s predisposes to </w:t>
      </w:r>
      <w:proofErr w:type="spellStart"/>
      <w:r>
        <w:rPr>
          <w:spacing w:val="-11"/>
        </w:rPr>
        <w:t>PVT</w:t>
      </w:r>
      <w:proofErr w:type="spellEnd"/>
      <w:r>
        <w:rPr>
          <w:spacing w:val="-11"/>
        </w:rPr>
        <w:t xml:space="preserve"> development and, recently, </w:t>
      </w:r>
      <w:r>
        <w:rPr>
          <w:spacing w:val="-11"/>
        </w:rPr>
        <w:lastRenderedPageBreak/>
        <w:t xml:space="preserve">Stine </w:t>
      </w:r>
      <w:r>
        <w:rPr>
          <w:i/>
          <w:iCs/>
          <w:spacing w:val="-11"/>
        </w:rPr>
        <w:t>et al</w:t>
      </w:r>
      <w:r>
        <w:rPr>
          <w:spacing w:val="-11"/>
          <w:vertAlign w:val="superscript"/>
        </w:rPr>
        <w:t>[27]</w:t>
      </w:r>
      <w:r>
        <w:rPr>
          <w:spacing w:val="-11"/>
        </w:rPr>
        <w:t xml:space="preserve"> confirmed these results in a match case-control study. This theory started a long-debated argument that non-selective </w:t>
      </w:r>
      <w:r>
        <w:rPr>
          <w:rFonts w:ascii="Symbol" w:hAnsi="Symbol" w:cs="Symbol"/>
          <w:spacing w:val="-11"/>
        </w:rPr>
        <w:t></w:t>
      </w:r>
      <w:r>
        <w:rPr>
          <w:spacing w:val="-11"/>
        </w:rPr>
        <w:t>-blockers (</w:t>
      </w:r>
      <w:proofErr w:type="spellStart"/>
      <w:r>
        <w:rPr>
          <w:spacing w:val="-11"/>
        </w:rPr>
        <w:t>NSBBs</w:t>
      </w:r>
      <w:proofErr w:type="spellEnd"/>
      <w:r>
        <w:rPr>
          <w:spacing w:val="-11"/>
        </w:rPr>
        <w:t xml:space="preserve">) may induce </w:t>
      </w:r>
      <w:proofErr w:type="spellStart"/>
      <w:r>
        <w:rPr>
          <w:spacing w:val="-11"/>
        </w:rPr>
        <w:t>PVT</w:t>
      </w:r>
      <w:proofErr w:type="spellEnd"/>
      <w:r>
        <w:rPr>
          <w:spacing w:val="-11"/>
        </w:rPr>
        <w:t xml:space="preserve"> in liver cirrhosis. In a small study on 56 patients with liver cirrhosis, evaluated for </w:t>
      </w:r>
      <w:proofErr w:type="spellStart"/>
      <w:r>
        <w:rPr>
          <w:spacing w:val="-11"/>
        </w:rPr>
        <w:t>PVT</w:t>
      </w:r>
      <w:proofErr w:type="spellEnd"/>
      <w:r>
        <w:rPr>
          <w:spacing w:val="-11"/>
        </w:rPr>
        <w:t xml:space="preserve"> every 6 </w:t>
      </w:r>
      <w:proofErr w:type="spellStart"/>
      <w:r>
        <w:rPr>
          <w:spacing w:val="-11"/>
        </w:rPr>
        <w:t>mo</w:t>
      </w:r>
      <w:proofErr w:type="spellEnd"/>
      <w:r>
        <w:rPr>
          <w:spacing w:val="-11"/>
        </w:rPr>
        <w:t xml:space="preserve">, </w:t>
      </w:r>
      <w:proofErr w:type="spellStart"/>
      <w:r>
        <w:rPr>
          <w:spacing w:val="-11"/>
        </w:rPr>
        <w:t>Zampino</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28]</w:t>
      </w:r>
      <w:r>
        <w:rPr>
          <w:spacing w:val="-11"/>
        </w:rPr>
        <w:t xml:space="preserve"> demonstrated that the use of </w:t>
      </w:r>
      <w:proofErr w:type="spellStart"/>
      <w:r>
        <w:rPr>
          <w:spacing w:val="-11"/>
        </w:rPr>
        <w:t>NSBBs</w:t>
      </w:r>
      <w:proofErr w:type="spellEnd"/>
      <w:r>
        <w:rPr>
          <w:spacing w:val="-11"/>
        </w:rPr>
        <w:t xml:space="preserve"> could be an independent predictor for </w:t>
      </w:r>
      <w:proofErr w:type="spellStart"/>
      <w:r>
        <w:rPr>
          <w:spacing w:val="-11"/>
        </w:rPr>
        <w:t>PVT</w:t>
      </w:r>
      <w:proofErr w:type="spellEnd"/>
      <w:r>
        <w:rPr>
          <w:spacing w:val="-11"/>
        </w:rPr>
        <w:t xml:space="preserve"> development, although no other study has yet confirmed this hypothesis. </w:t>
      </w:r>
    </w:p>
    <w:p w:rsidR="00FE1855" w:rsidRDefault="00FE1855" w:rsidP="00FE1855">
      <w:pPr>
        <w:pStyle w:val="10"/>
      </w:pPr>
      <w:r>
        <w:rPr>
          <w:lang w:val="en-GB"/>
        </w:rPr>
        <w:t>Liver cirrhosis is associated with profound and complex coagulation defects, involving platelets number and function,</w:t>
      </w:r>
      <w:r>
        <w:t xml:space="preserve"> </w:t>
      </w:r>
      <w:r>
        <w:rPr>
          <w:lang w:val="en-GB"/>
        </w:rPr>
        <w:t xml:space="preserve">pro- and anticoagulant factors, as well as </w:t>
      </w:r>
      <w:proofErr w:type="spellStart"/>
      <w:r>
        <w:rPr>
          <w:lang w:val="en-GB"/>
        </w:rPr>
        <w:t>fibrinolytic</w:t>
      </w:r>
      <w:proofErr w:type="spellEnd"/>
      <w:r>
        <w:rPr>
          <w:lang w:val="en-GB"/>
        </w:rPr>
        <w:t xml:space="preserve"> </w:t>
      </w:r>
      <w:proofErr w:type="gramStart"/>
      <w:r>
        <w:rPr>
          <w:lang w:val="en-GB"/>
        </w:rPr>
        <w:t>system</w:t>
      </w:r>
      <w:r>
        <w:rPr>
          <w:vertAlign w:val="superscript"/>
          <w:lang w:val="en-GB"/>
        </w:rPr>
        <w:t>[</w:t>
      </w:r>
      <w:proofErr w:type="gramEnd"/>
      <w:r>
        <w:rPr>
          <w:vertAlign w:val="superscript"/>
          <w:lang w:val="en-GB"/>
        </w:rPr>
        <w:t>4]</w:t>
      </w:r>
      <w:r>
        <w:rPr>
          <w:lang w:val="en-GB"/>
        </w:rPr>
        <w:t>.</w:t>
      </w:r>
    </w:p>
    <w:p w:rsidR="00FE1855" w:rsidRDefault="00FE1855" w:rsidP="00FE1855">
      <w:pPr>
        <w:pStyle w:val="10"/>
      </w:pPr>
      <w:r>
        <w:t xml:space="preserve">It’s a </w:t>
      </w:r>
      <w:proofErr w:type="spellStart"/>
      <w:r>
        <w:t>well known</w:t>
      </w:r>
      <w:proofErr w:type="spellEnd"/>
      <w:r>
        <w:t xml:space="preserve"> fact that patients diagnosed with LC present thrombocytopenia, mostly secondary to increased splenic destruction, but also due to </w:t>
      </w:r>
      <w:proofErr w:type="spellStart"/>
      <w:r>
        <w:t>thrombopoetin</w:t>
      </w:r>
      <w:proofErr w:type="spellEnd"/>
      <w:r>
        <w:t xml:space="preserve"> </w:t>
      </w:r>
      <w:proofErr w:type="gramStart"/>
      <w:r>
        <w:t>deficiency</w:t>
      </w:r>
      <w:r>
        <w:rPr>
          <w:vertAlign w:val="superscript"/>
        </w:rPr>
        <w:t>[</w:t>
      </w:r>
      <w:proofErr w:type="gramEnd"/>
      <w:r>
        <w:rPr>
          <w:vertAlign w:val="superscript"/>
        </w:rPr>
        <w:t>29]</w:t>
      </w:r>
      <w:r>
        <w:t xml:space="preserve">. Although the platelet number is low, their function is not impaired, moreover platelet </w:t>
      </w:r>
      <w:proofErr w:type="spellStart"/>
      <w:r>
        <w:t>hyperreactivity</w:t>
      </w:r>
      <w:proofErr w:type="spellEnd"/>
      <w:r>
        <w:t xml:space="preserve"> is associated with increased levels of von </w:t>
      </w:r>
      <w:proofErr w:type="spellStart"/>
      <w:r>
        <w:t>Willebrand</w:t>
      </w:r>
      <w:proofErr w:type="spellEnd"/>
      <w:r>
        <w:t xml:space="preserve"> factor and factor </w:t>
      </w:r>
      <w:proofErr w:type="gramStart"/>
      <w:r>
        <w:t>VIII</w:t>
      </w:r>
      <w:r>
        <w:rPr>
          <w:vertAlign w:val="superscript"/>
        </w:rPr>
        <w:t>[</w:t>
      </w:r>
      <w:proofErr w:type="gramEnd"/>
      <w:r>
        <w:rPr>
          <w:vertAlign w:val="superscript"/>
        </w:rPr>
        <w:t>30]</w:t>
      </w:r>
      <w:r>
        <w:t xml:space="preserve">. </w:t>
      </w:r>
    </w:p>
    <w:p w:rsidR="00FE1855" w:rsidRDefault="00FE1855" w:rsidP="00FE1855">
      <w:pPr>
        <w:pStyle w:val="10"/>
        <w:rPr>
          <w:spacing w:val="-11"/>
        </w:rPr>
      </w:pPr>
      <w:r>
        <w:rPr>
          <w:spacing w:val="-11"/>
        </w:rPr>
        <w:t xml:space="preserve">There is growing evidence that hypercoagulability is an important part of the hematological spectrum in cirrhosis. </w:t>
      </w:r>
      <w:proofErr w:type="spellStart"/>
      <w:r>
        <w:rPr>
          <w:spacing w:val="-11"/>
        </w:rPr>
        <w:t>Tripodi</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25]</w:t>
      </w:r>
      <w:r>
        <w:rPr>
          <w:spacing w:val="-11"/>
        </w:rPr>
        <w:t xml:space="preserve"> demonstrated, using global hemostasis assays, that in cirrhotic patients there is a normal or even increased thrombin generation. Liver cirrhosis is characterized by a decrease in </w:t>
      </w:r>
      <w:proofErr w:type="spellStart"/>
      <w:r>
        <w:rPr>
          <w:spacing w:val="-11"/>
        </w:rPr>
        <w:t>procoagulant</w:t>
      </w:r>
      <w:proofErr w:type="spellEnd"/>
      <w:r>
        <w:rPr>
          <w:spacing w:val="-11"/>
        </w:rPr>
        <w:t xml:space="preserve"> factors (fibrinogen, factor II, V, X, VII, IX, XI, XII) and anticoagulant factors (protein C, protein S and </w:t>
      </w:r>
      <w:proofErr w:type="spellStart"/>
      <w:r>
        <w:rPr>
          <w:spacing w:val="-11"/>
        </w:rPr>
        <w:t>antithrombin</w:t>
      </w:r>
      <w:proofErr w:type="spellEnd"/>
      <w:r>
        <w:rPr>
          <w:spacing w:val="-11"/>
        </w:rPr>
        <w:t xml:space="preserve"> III</w:t>
      </w:r>
      <w:proofErr w:type="gramStart"/>
      <w:r>
        <w:rPr>
          <w:spacing w:val="-11"/>
        </w:rPr>
        <w:t>)</w:t>
      </w:r>
      <w:r>
        <w:rPr>
          <w:spacing w:val="-11"/>
          <w:vertAlign w:val="superscript"/>
        </w:rPr>
        <w:t>[</w:t>
      </w:r>
      <w:proofErr w:type="gramEnd"/>
      <w:r>
        <w:rPr>
          <w:spacing w:val="-11"/>
          <w:vertAlign w:val="superscript"/>
        </w:rPr>
        <w:t>4,31</w:t>
      </w:r>
      <w:r w:rsidRPr="000937AF">
        <w:rPr>
          <w:spacing w:val="-11"/>
          <w:vertAlign w:val="superscript"/>
        </w:rPr>
        <w:t>,32</w:t>
      </w:r>
      <w:r>
        <w:rPr>
          <w:spacing w:val="-11"/>
          <w:vertAlign w:val="superscript"/>
        </w:rPr>
        <w:t>]</w:t>
      </w:r>
      <w:r>
        <w:rPr>
          <w:spacing w:val="-11"/>
        </w:rPr>
        <w:t xml:space="preserve">. In another study </w:t>
      </w:r>
      <w:proofErr w:type="spellStart"/>
      <w:r>
        <w:rPr>
          <w:spacing w:val="-11"/>
        </w:rPr>
        <w:t>Tripodi</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33]</w:t>
      </w:r>
      <w:r>
        <w:rPr>
          <w:i/>
          <w:iCs/>
          <w:spacing w:val="-11"/>
        </w:rPr>
        <w:t xml:space="preserve"> </w:t>
      </w:r>
      <w:r>
        <w:rPr>
          <w:spacing w:val="-11"/>
        </w:rPr>
        <w:t xml:space="preserve">confirmed that protein C deficiency is the most important factor that contributes to the </w:t>
      </w:r>
      <w:proofErr w:type="spellStart"/>
      <w:r>
        <w:rPr>
          <w:spacing w:val="-11"/>
        </w:rPr>
        <w:t>procoagulant</w:t>
      </w:r>
      <w:proofErr w:type="spellEnd"/>
      <w:r>
        <w:rPr>
          <w:spacing w:val="-11"/>
        </w:rPr>
        <w:t xml:space="preserve"> status in LC. </w:t>
      </w:r>
      <w:proofErr w:type="spellStart"/>
      <w:r>
        <w:rPr>
          <w:spacing w:val="-11"/>
        </w:rPr>
        <w:t>Rossetto</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34]</w:t>
      </w:r>
      <w:r>
        <w:rPr>
          <w:i/>
          <w:iCs/>
          <w:spacing w:val="-11"/>
        </w:rPr>
        <w:t xml:space="preserve"> </w:t>
      </w:r>
      <w:r>
        <w:rPr>
          <w:spacing w:val="-11"/>
        </w:rPr>
        <w:t xml:space="preserve">performed a more complex analysis of the coagulation cascade in </w:t>
      </w:r>
      <w:proofErr w:type="spellStart"/>
      <w:r>
        <w:rPr>
          <w:spacing w:val="-11"/>
        </w:rPr>
        <w:t>cirrhotics</w:t>
      </w:r>
      <w:proofErr w:type="spellEnd"/>
      <w:r>
        <w:rPr>
          <w:spacing w:val="-11"/>
        </w:rPr>
        <w:t xml:space="preserve"> with </w:t>
      </w:r>
      <w:proofErr w:type="spellStart"/>
      <w:r>
        <w:rPr>
          <w:spacing w:val="-11"/>
        </w:rPr>
        <w:t>PVT</w:t>
      </w:r>
      <w:proofErr w:type="spellEnd"/>
      <w:r>
        <w:rPr>
          <w:spacing w:val="-11"/>
        </w:rPr>
        <w:t xml:space="preserve"> and demonstrated that the complex factor </w:t>
      </w:r>
      <w:proofErr w:type="spellStart"/>
      <w:r>
        <w:rPr>
          <w:spacing w:val="-11"/>
        </w:rPr>
        <w:t>VIIa-antithrombin</w:t>
      </w:r>
      <w:proofErr w:type="spellEnd"/>
      <w:r>
        <w:rPr>
          <w:spacing w:val="-11"/>
        </w:rPr>
        <w:t xml:space="preserve"> was significantly higher in </w:t>
      </w:r>
      <w:proofErr w:type="spellStart"/>
      <w:r>
        <w:rPr>
          <w:spacing w:val="-11"/>
        </w:rPr>
        <w:t>PVT</w:t>
      </w:r>
      <w:proofErr w:type="spellEnd"/>
      <w:r>
        <w:rPr>
          <w:spacing w:val="-11"/>
        </w:rPr>
        <w:t xml:space="preserve"> patients compared to healthy volunteers. These data were not confirmed by two recent studies conducted by Chen </w:t>
      </w:r>
      <w:r>
        <w:rPr>
          <w:i/>
          <w:iCs/>
          <w:spacing w:val="-11"/>
        </w:rPr>
        <w:t>et al</w:t>
      </w:r>
      <w:r>
        <w:rPr>
          <w:spacing w:val="-11"/>
          <w:vertAlign w:val="superscript"/>
        </w:rPr>
        <w:t>[35]</w:t>
      </w:r>
      <w:r>
        <w:rPr>
          <w:i/>
          <w:iCs/>
          <w:spacing w:val="-11"/>
        </w:rPr>
        <w:t xml:space="preserve"> </w:t>
      </w:r>
      <w:r>
        <w:rPr>
          <w:spacing w:val="-11"/>
        </w:rPr>
        <w:t xml:space="preserve">and Tang W </w:t>
      </w:r>
      <w:r>
        <w:rPr>
          <w:i/>
          <w:iCs/>
          <w:spacing w:val="-11"/>
        </w:rPr>
        <w:t>et al</w:t>
      </w:r>
      <w:r>
        <w:rPr>
          <w:spacing w:val="-11"/>
          <w:vertAlign w:val="superscript"/>
        </w:rPr>
        <w:t>[36]</w:t>
      </w:r>
      <w:r>
        <w:rPr>
          <w:spacing w:val="-11"/>
        </w:rPr>
        <w:t xml:space="preserve">, the results of their case-control analysis concluded that there was no difference regarding the pro- and anticoagulant factors between patients with and without </w:t>
      </w:r>
      <w:proofErr w:type="spellStart"/>
      <w:r>
        <w:rPr>
          <w:spacing w:val="-11"/>
        </w:rPr>
        <w:t>PVT</w:t>
      </w:r>
      <w:proofErr w:type="spellEnd"/>
      <w:r>
        <w:rPr>
          <w:spacing w:val="-11"/>
        </w:rPr>
        <w:t xml:space="preserve"> matched for age, sex and Child-Pugh score. </w:t>
      </w:r>
    </w:p>
    <w:p w:rsidR="00FE1855" w:rsidRDefault="00FE1855" w:rsidP="00FE1855">
      <w:pPr>
        <w:pStyle w:val="10"/>
        <w:rPr>
          <w:spacing w:val="-11"/>
        </w:rPr>
      </w:pPr>
      <w:r>
        <w:rPr>
          <w:spacing w:val="-11"/>
        </w:rPr>
        <w:t xml:space="preserve">The </w:t>
      </w:r>
      <w:proofErr w:type="spellStart"/>
      <w:r>
        <w:rPr>
          <w:spacing w:val="-11"/>
        </w:rPr>
        <w:t>fibrinolytic</w:t>
      </w:r>
      <w:proofErr w:type="spellEnd"/>
      <w:r>
        <w:rPr>
          <w:spacing w:val="-11"/>
        </w:rPr>
        <w:t xml:space="preserve"> system also is involved in </w:t>
      </w:r>
      <w:proofErr w:type="spellStart"/>
      <w:r>
        <w:rPr>
          <w:spacing w:val="-11"/>
        </w:rPr>
        <w:t>PVT</w:t>
      </w:r>
      <w:proofErr w:type="spellEnd"/>
      <w:r>
        <w:rPr>
          <w:spacing w:val="-11"/>
        </w:rPr>
        <w:t xml:space="preserve"> development in cirrhotic patients. LC is characterized by increased tissue-type plasminogen activator and plasminogen activator inhibitor-1 levels, and decreased plasminogen, alpha 2-antiplasmin and thrombin-</w:t>
      </w:r>
      <w:proofErr w:type="spellStart"/>
      <w:r>
        <w:rPr>
          <w:spacing w:val="-11"/>
        </w:rPr>
        <w:t>activable</w:t>
      </w:r>
      <w:proofErr w:type="spellEnd"/>
      <w:r>
        <w:rPr>
          <w:spacing w:val="-11"/>
        </w:rPr>
        <w:t xml:space="preserve"> fibrinolysis inhibitor </w:t>
      </w:r>
      <w:proofErr w:type="gramStart"/>
      <w:r>
        <w:rPr>
          <w:spacing w:val="-11"/>
        </w:rPr>
        <w:t>levels</w:t>
      </w:r>
      <w:r>
        <w:rPr>
          <w:spacing w:val="-11"/>
          <w:vertAlign w:val="superscript"/>
        </w:rPr>
        <w:t>[</w:t>
      </w:r>
      <w:proofErr w:type="gramEnd"/>
      <w:r>
        <w:rPr>
          <w:spacing w:val="-11"/>
          <w:vertAlign w:val="superscript"/>
        </w:rPr>
        <w:t>37]</w:t>
      </w:r>
      <w:r>
        <w:rPr>
          <w:spacing w:val="-11"/>
        </w:rPr>
        <w:t xml:space="preserve">. This abnormalities in the </w:t>
      </w:r>
      <w:proofErr w:type="spellStart"/>
      <w:r>
        <w:rPr>
          <w:spacing w:val="-11"/>
        </w:rPr>
        <w:t>fibrinolytic</w:t>
      </w:r>
      <w:proofErr w:type="spellEnd"/>
      <w:r>
        <w:rPr>
          <w:spacing w:val="-11"/>
        </w:rPr>
        <w:t xml:space="preserve"> cascade could explain the spontaneous recanalization of </w:t>
      </w:r>
      <w:proofErr w:type="spellStart"/>
      <w:r>
        <w:rPr>
          <w:spacing w:val="-11"/>
        </w:rPr>
        <w:t>PVT</w:t>
      </w:r>
      <w:proofErr w:type="spellEnd"/>
      <w:r>
        <w:rPr>
          <w:spacing w:val="-11"/>
        </w:rPr>
        <w:t xml:space="preserve"> as described in almost a quarter of the cirrhotic </w:t>
      </w:r>
      <w:proofErr w:type="gramStart"/>
      <w:r>
        <w:rPr>
          <w:spacing w:val="-11"/>
        </w:rPr>
        <w:t>patients</w:t>
      </w:r>
      <w:r>
        <w:rPr>
          <w:spacing w:val="-11"/>
          <w:vertAlign w:val="superscript"/>
        </w:rPr>
        <w:t>[</w:t>
      </w:r>
      <w:proofErr w:type="gramEnd"/>
      <w:r>
        <w:rPr>
          <w:spacing w:val="-11"/>
          <w:vertAlign w:val="superscript"/>
        </w:rPr>
        <w:t>38]</w:t>
      </w:r>
      <w:r>
        <w:rPr>
          <w:spacing w:val="-11"/>
        </w:rPr>
        <w:t xml:space="preserve">. </w:t>
      </w:r>
    </w:p>
    <w:p w:rsidR="00FE1855" w:rsidRPr="000937AF" w:rsidRDefault="00FE1855" w:rsidP="00FE1855">
      <w:pPr>
        <w:pStyle w:val="10"/>
      </w:pPr>
      <w:r>
        <w:t xml:space="preserve">Inherited </w:t>
      </w:r>
      <w:proofErr w:type="spellStart"/>
      <w:r>
        <w:t>thrombophilic</w:t>
      </w:r>
      <w:proofErr w:type="spellEnd"/>
      <w:r>
        <w:t xml:space="preserve"> disorders are reported in up to 70% of patients with cirrhosis and PVT. The most important genetic abnormalities are factor II mutation (G20210A), factor V mutation and the homozygous polymorphisms of </w:t>
      </w:r>
      <w:proofErr w:type="spellStart"/>
      <w:r>
        <w:t>methylenetetrahydrofolate</w:t>
      </w:r>
      <w:proofErr w:type="spellEnd"/>
      <w:r>
        <w:t xml:space="preserve"> </w:t>
      </w:r>
      <w:proofErr w:type="spellStart"/>
      <w:r>
        <w:t>reductase</w:t>
      </w:r>
      <w:proofErr w:type="spellEnd"/>
      <w:r>
        <w:t xml:space="preserve"> (</w:t>
      </w:r>
      <w:proofErr w:type="spellStart"/>
      <w:r>
        <w:t>MTHFR</w:t>
      </w:r>
      <w:proofErr w:type="spellEnd"/>
      <w:r>
        <w:t>) C677T gene mutation</w:t>
      </w:r>
      <w:r>
        <w:rPr>
          <w:vertAlign w:val="superscript"/>
        </w:rPr>
        <w:t>[39,40]</w:t>
      </w:r>
      <w:r>
        <w:t xml:space="preserve">. </w:t>
      </w:r>
      <w:r>
        <w:rPr>
          <w:lang w:val="en-GB"/>
        </w:rPr>
        <w:t xml:space="preserve">D’Amico </w:t>
      </w:r>
      <w:r>
        <w:rPr>
          <w:i/>
          <w:iCs/>
          <w:lang w:val="en-GB"/>
        </w:rPr>
        <w:t xml:space="preserve">et </w:t>
      </w:r>
      <w:proofErr w:type="gramStart"/>
      <w:r>
        <w:rPr>
          <w:i/>
          <w:iCs/>
          <w:lang w:val="en-GB"/>
        </w:rPr>
        <w:t>al</w:t>
      </w:r>
      <w:r>
        <w:rPr>
          <w:vertAlign w:val="superscript"/>
          <w:lang w:val="en-GB"/>
        </w:rPr>
        <w:t>[</w:t>
      </w:r>
      <w:proofErr w:type="gramEnd"/>
      <w:r>
        <w:rPr>
          <w:vertAlign w:val="superscript"/>
          <w:lang w:val="en-GB"/>
        </w:rPr>
        <w:t>17]</w:t>
      </w:r>
      <w:r>
        <w:rPr>
          <w:lang w:val="en-GB"/>
        </w:rPr>
        <w:t xml:space="preserve"> confirmed the influence of </w:t>
      </w:r>
      <w:proofErr w:type="spellStart"/>
      <w:r>
        <w:rPr>
          <w:lang w:val="en-GB"/>
        </w:rPr>
        <w:t>MTHFR</w:t>
      </w:r>
      <w:proofErr w:type="spellEnd"/>
      <w:r>
        <w:rPr>
          <w:lang w:val="en-GB"/>
        </w:rPr>
        <w:t xml:space="preserve"> gene mutation in PVT pathogenesis along with the plasminogen activator inhibitor-type 1 4G-4G mutation. </w:t>
      </w:r>
      <w:proofErr w:type="gramStart"/>
      <w:r>
        <w:t>Although</w:t>
      </w:r>
      <w:r w:rsidRPr="000937AF">
        <w:t>,</w:t>
      </w:r>
      <w:r>
        <w:t xml:space="preserve"> it should be mentioned that the prospective longitudinal found studies no clear relationship between inherited factors and </w:t>
      </w:r>
      <w:proofErr w:type="spellStart"/>
      <w:r>
        <w:t>PVT</w:t>
      </w:r>
      <w:proofErr w:type="spellEnd"/>
      <w:r>
        <w:t xml:space="preserve"> development.</w:t>
      </w:r>
      <w:proofErr w:type="gramEnd"/>
    </w:p>
    <w:p w:rsidR="00FE1855" w:rsidRDefault="00FE1855" w:rsidP="00FE1855">
      <w:pPr>
        <w:pStyle w:val="10"/>
      </w:pPr>
      <w:r>
        <w:t xml:space="preserve">Other inherited </w:t>
      </w:r>
      <w:proofErr w:type="spellStart"/>
      <w:r>
        <w:t>prothrombotic</w:t>
      </w:r>
      <w:proofErr w:type="spellEnd"/>
      <w:r>
        <w:t xml:space="preserve"> conditions as </w:t>
      </w:r>
      <w:proofErr w:type="spellStart"/>
      <w:r>
        <w:t>hyperho</w:t>
      </w:r>
      <w:r>
        <w:softHyphen/>
        <w:t>mocysteinemia</w:t>
      </w:r>
      <w:proofErr w:type="spellEnd"/>
      <w:r>
        <w:rPr>
          <w:vertAlign w:val="superscript"/>
        </w:rPr>
        <w:t>[40]</w:t>
      </w:r>
      <w:r>
        <w:t xml:space="preserve"> </w:t>
      </w:r>
      <w:proofErr w:type="spellStart"/>
      <w:r>
        <w:t>antiphospholipid</w:t>
      </w:r>
      <w:proofErr w:type="spellEnd"/>
      <w:r>
        <w:t xml:space="preserve"> syndrome</w:t>
      </w:r>
      <w:r>
        <w:rPr>
          <w:vertAlign w:val="superscript"/>
        </w:rPr>
        <w:t>[41]</w:t>
      </w:r>
      <w:r>
        <w:t xml:space="preserve"> or </w:t>
      </w:r>
      <w:proofErr w:type="spellStart"/>
      <w:r>
        <w:t>myeloprolipherative</w:t>
      </w:r>
      <w:proofErr w:type="spellEnd"/>
      <w:r>
        <w:t xml:space="preserve"> disorders</w:t>
      </w:r>
      <w:r>
        <w:rPr>
          <w:vertAlign w:val="superscript"/>
        </w:rPr>
        <w:t>[42]</w:t>
      </w:r>
      <w:r>
        <w:t xml:space="preserve"> were evaluated, but did not proved as major risk factors for </w:t>
      </w:r>
      <w:proofErr w:type="spellStart"/>
      <w:r>
        <w:t>PVT</w:t>
      </w:r>
      <w:proofErr w:type="spellEnd"/>
      <w:r>
        <w:t xml:space="preserve"> development in </w:t>
      </w:r>
      <w:r>
        <w:lastRenderedPageBreak/>
        <w:t xml:space="preserve">cirrhotic patients. </w:t>
      </w:r>
    </w:p>
    <w:p w:rsidR="00FE1855" w:rsidRDefault="00FE1855" w:rsidP="00FE1855">
      <w:pPr>
        <w:pStyle w:val="10"/>
        <w:rPr>
          <w:spacing w:val="-11"/>
        </w:rPr>
      </w:pPr>
      <w:r>
        <w:rPr>
          <w:spacing w:val="-11"/>
        </w:rPr>
        <w:t xml:space="preserve">There is evidence that in cirrhotic patients, markers of endothelial dysfunction, including von </w:t>
      </w:r>
      <w:proofErr w:type="spellStart"/>
      <w:r>
        <w:rPr>
          <w:spacing w:val="-11"/>
        </w:rPr>
        <w:t>Willebrand</w:t>
      </w:r>
      <w:proofErr w:type="spellEnd"/>
      <w:r>
        <w:rPr>
          <w:spacing w:val="-11"/>
        </w:rPr>
        <w:t xml:space="preserve"> factor, P-</w:t>
      </w:r>
      <w:proofErr w:type="spellStart"/>
      <w:r>
        <w:rPr>
          <w:spacing w:val="-11"/>
        </w:rPr>
        <w:t>selectin</w:t>
      </w:r>
      <w:proofErr w:type="spellEnd"/>
      <w:r>
        <w:rPr>
          <w:spacing w:val="-11"/>
        </w:rPr>
        <w:t xml:space="preserve"> and </w:t>
      </w:r>
      <w:proofErr w:type="spellStart"/>
      <w:r>
        <w:rPr>
          <w:spacing w:val="-11"/>
        </w:rPr>
        <w:t>isoprostanes</w:t>
      </w:r>
      <w:proofErr w:type="spellEnd"/>
      <w:r>
        <w:rPr>
          <w:spacing w:val="-11"/>
        </w:rPr>
        <w:t xml:space="preserve">, are up-regulated, suggesting that endothelial cells may favor the </w:t>
      </w:r>
      <w:proofErr w:type="spellStart"/>
      <w:r>
        <w:rPr>
          <w:spacing w:val="-11"/>
        </w:rPr>
        <w:t>PVT</w:t>
      </w:r>
      <w:proofErr w:type="spellEnd"/>
      <w:r>
        <w:rPr>
          <w:spacing w:val="-11"/>
        </w:rPr>
        <w:t xml:space="preserve"> development in </w:t>
      </w:r>
      <w:proofErr w:type="gramStart"/>
      <w:r>
        <w:rPr>
          <w:spacing w:val="-11"/>
        </w:rPr>
        <w:t>cirrhosis</w:t>
      </w:r>
      <w:r>
        <w:rPr>
          <w:spacing w:val="-11"/>
          <w:vertAlign w:val="superscript"/>
        </w:rPr>
        <w:t>[</w:t>
      </w:r>
      <w:proofErr w:type="gramEnd"/>
      <w:r>
        <w:rPr>
          <w:spacing w:val="-11"/>
          <w:vertAlign w:val="superscript"/>
        </w:rPr>
        <w:t>4]</w:t>
      </w:r>
      <w:r>
        <w:rPr>
          <w:spacing w:val="-11"/>
        </w:rPr>
        <w:t xml:space="preserve">. Also, </w:t>
      </w:r>
      <w:proofErr w:type="spellStart"/>
      <w:r>
        <w:rPr>
          <w:spacing w:val="-11"/>
        </w:rPr>
        <w:t>Carnevale</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43]</w:t>
      </w:r>
      <w:r>
        <w:rPr>
          <w:spacing w:val="-11"/>
        </w:rPr>
        <w:t xml:space="preserve"> demonstrated that the lipopolysaccharide from </w:t>
      </w:r>
      <w:r>
        <w:rPr>
          <w:i/>
          <w:iCs/>
          <w:spacing w:val="-11"/>
        </w:rPr>
        <w:t xml:space="preserve">Escherichia coli </w:t>
      </w:r>
      <w:r>
        <w:rPr>
          <w:spacing w:val="-11"/>
        </w:rPr>
        <w:t xml:space="preserve">stimulates factor VIII production from the endothelial cells. </w:t>
      </w:r>
      <w:proofErr w:type="spellStart"/>
      <w:r>
        <w:rPr>
          <w:spacing w:val="-11"/>
        </w:rPr>
        <w:t>Endotoxemia</w:t>
      </w:r>
      <w:proofErr w:type="spellEnd"/>
      <w:r>
        <w:rPr>
          <w:spacing w:val="-11"/>
        </w:rPr>
        <w:t xml:space="preserve"> may play an important role in activating the clotting system in portal and systemic circulation and could represent an underlying mechanism for PVT. The bacterial translocation determines inflammation which leads to hemodynamic alterations and ultimately to an increase in portal </w:t>
      </w:r>
      <w:proofErr w:type="gramStart"/>
      <w:r>
        <w:rPr>
          <w:spacing w:val="-11"/>
        </w:rPr>
        <w:t>pressure</w:t>
      </w:r>
      <w:r>
        <w:rPr>
          <w:spacing w:val="-11"/>
          <w:vertAlign w:val="superscript"/>
        </w:rPr>
        <w:t>[</w:t>
      </w:r>
      <w:proofErr w:type="gramEnd"/>
      <w:r>
        <w:rPr>
          <w:spacing w:val="-11"/>
          <w:vertAlign w:val="superscript"/>
        </w:rPr>
        <w:t>44]</w:t>
      </w:r>
      <w:r>
        <w:rPr>
          <w:spacing w:val="-11"/>
        </w:rPr>
        <w:t xml:space="preserve">. There are studies that describe portal </w:t>
      </w:r>
      <w:proofErr w:type="spellStart"/>
      <w:r>
        <w:rPr>
          <w:spacing w:val="-11"/>
        </w:rPr>
        <w:t>endotoxemia</w:t>
      </w:r>
      <w:proofErr w:type="spellEnd"/>
      <w:r>
        <w:rPr>
          <w:spacing w:val="-11"/>
        </w:rPr>
        <w:t xml:space="preserve"> as a triggering factor of the coagulation cascade in cirrhotic patients, although a recent small study on 49 patients with cirrhosis found that </w:t>
      </w:r>
      <w:proofErr w:type="spellStart"/>
      <w:r>
        <w:rPr>
          <w:spacing w:val="-11"/>
        </w:rPr>
        <w:t>endotoxemia</w:t>
      </w:r>
      <w:proofErr w:type="spellEnd"/>
      <w:r>
        <w:rPr>
          <w:spacing w:val="-11"/>
        </w:rPr>
        <w:t xml:space="preserve"> and platelet activity were not associated to </w:t>
      </w:r>
      <w:proofErr w:type="spellStart"/>
      <w:r>
        <w:rPr>
          <w:spacing w:val="-11"/>
        </w:rPr>
        <w:t>PVT</w:t>
      </w:r>
      <w:proofErr w:type="spellEnd"/>
      <w:r>
        <w:rPr>
          <w:spacing w:val="-11"/>
          <w:vertAlign w:val="superscript"/>
        </w:rPr>
        <w:t>[45]</w:t>
      </w:r>
      <w:r>
        <w:rPr>
          <w:spacing w:val="-11"/>
        </w:rPr>
        <w:t xml:space="preserve">. Vascular endothelial dysfunction may play a role in the pathogenesis of PVT. All these risk factors could explain the favorable role of prophylactic administration of enoxaparin in delaying the hepatic </w:t>
      </w:r>
      <w:proofErr w:type="spellStart"/>
      <w:r>
        <w:rPr>
          <w:spacing w:val="-11"/>
        </w:rPr>
        <w:t>decompensation</w:t>
      </w:r>
      <w:proofErr w:type="spellEnd"/>
      <w:r>
        <w:rPr>
          <w:spacing w:val="-11"/>
        </w:rPr>
        <w:t xml:space="preserve"> and improving </w:t>
      </w:r>
      <w:proofErr w:type="gramStart"/>
      <w:r>
        <w:rPr>
          <w:spacing w:val="-11"/>
        </w:rPr>
        <w:t>survival</w:t>
      </w:r>
      <w:r>
        <w:rPr>
          <w:spacing w:val="-11"/>
          <w:vertAlign w:val="superscript"/>
        </w:rPr>
        <w:t>[</w:t>
      </w:r>
      <w:proofErr w:type="gramEnd"/>
      <w:r>
        <w:rPr>
          <w:spacing w:val="-11"/>
          <w:vertAlign w:val="superscript"/>
        </w:rPr>
        <w:t>46]</w:t>
      </w:r>
      <w:r>
        <w:rPr>
          <w:spacing w:val="-11"/>
        </w:rPr>
        <w:t>.</w:t>
      </w:r>
    </w:p>
    <w:p w:rsidR="00FE1855" w:rsidRDefault="00FE1855" w:rsidP="00FE1855">
      <w:pPr>
        <w:pStyle w:val="10"/>
      </w:pPr>
      <w:r>
        <w:t xml:space="preserve">The two main risk factors for </w:t>
      </w:r>
      <w:proofErr w:type="spellStart"/>
      <w:r>
        <w:t>PVT</w:t>
      </w:r>
      <w:proofErr w:type="spellEnd"/>
      <w:r>
        <w:t xml:space="preserve"> in LC-reduced portal flow velocity and the </w:t>
      </w:r>
      <w:proofErr w:type="spellStart"/>
      <w:r>
        <w:t>procoagulant</w:t>
      </w:r>
      <w:proofErr w:type="spellEnd"/>
      <w:r>
        <w:t xml:space="preserve"> status should be addressed more extensively in large studies, considering two different scenarios: compensated and decompensated liver disease. This discrimination could influence not only the understanding of the </w:t>
      </w:r>
      <w:proofErr w:type="spellStart"/>
      <w:r>
        <w:t>physiopathological</w:t>
      </w:r>
      <w:proofErr w:type="spellEnd"/>
      <w:r>
        <w:t xml:space="preserve"> mechanism of </w:t>
      </w:r>
      <w:proofErr w:type="spellStart"/>
      <w:r>
        <w:t>PVT</w:t>
      </w:r>
      <w:proofErr w:type="spellEnd"/>
      <w:r>
        <w:t xml:space="preserve"> development, but also the indication for a certain anticoagulant therapy.</w:t>
      </w:r>
    </w:p>
    <w:p w:rsidR="00FE1855" w:rsidRDefault="00FE1855" w:rsidP="00FE1855">
      <w:pPr>
        <w:pStyle w:val="10"/>
        <w:rPr>
          <w:spacing w:val="-11"/>
        </w:rPr>
      </w:pPr>
      <w:r>
        <w:rPr>
          <w:spacing w:val="-11"/>
        </w:rPr>
        <w:t xml:space="preserve">Obviously, data received while using the </w:t>
      </w:r>
      <w:r>
        <w:rPr>
          <w:i/>
          <w:iCs/>
          <w:spacing w:val="-11"/>
        </w:rPr>
        <w:t>in vitro</w:t>
      </w:r>
      <w:r>
        <w:rPr>
          <w:spacing w:val="-11"/>
        </w:rPr>
        <w:t xml:space="preserve"> complex coagulation assessment should be considered carefully and not used for </w:t>
      </w:r>
      <w:proofErr w:type="gramStart"/>
      <w:r>
        <w:rPr>
          <w:spacing w:val="-11"/>
        </w:rPr>
        <w:t>generalization</w:t>
      </w:r>
      <w:r>
        <w:rPr>
          <w:spacing w:val="-11"/>
          <w:vertAlign w:val="superscript"/>
        </w:rPr>
        <w:t>[</w:t>
      </w:r>
      <w:proofErr w:type="gramEnd"/>
      <w:r>
        <w:rPr>
          <w:spacing w:val="-11"/>
          <w:vertAlign w:val="superscript"/>
        </w:rPr>
        <w:t>25]</w:t>
      </w:r>
      <w:r>
        <w:rPr>
          <w:spacing w:val="-11"/>
        </w:rPr>
        <w:t xml:space="preserve">. Furthermore, data provided by the use of only one type of coagulation parameter should be partially considered, as there are several studies with different results in regard to pro- and anticoagulant factors levels in </w:t>
      </w:r>
      <w:proofErr w:type="spellStart"/>
      <w:proofErr w:type="gramStart"/>
      <w:r>
        <w:rPr>
          <w:spacing w:val="-11"/>
        </w:rPr>
        <w:t>PVT</w:t>
      </w:r>
      <w:proofErr w:type="spellEnd"/>
      <w:r>
        <w:rPr>
          <w:spacing w:val="-11"/>
          <w:vertAlign w:val="superscript"/>
        </w:rPr>
        <w:t>[</w:t>
      </w:r>
      <w:proofErr w:type="gramEnd"/>
      <w:r>
        <w:rPr>
          <w:spacing w:val="-11"/>
          <w:vertAlign w:val="superscript"/>
        </w:rPr>
        <w:t>35,36]</w:t>
      </w:r>
      <w:r>
        <w:rPr>
          <w:spacing w:val="-11"/>
        </w:rPr>
        <w:t>. As we advanced in understanding the underlying molecular mechanism of thrombosis, the coagulation investigation in cirrhotic patients becomes more complicated, time-consuming, and expensive, thus affordable only to</w:t>
      </w:r>
      <w:r w:rsidRPr="000937AF">
        <w:rPr>
          <w:spacing w:val="-11"/>
        </w:rPr>
        <w:t xml:space="preserve"> </w:t>
      </w:r>
      <w:r>
        <w:rPr>
          <w:spacing w:val="-11"/>
        </w:rPr>
        <w:t xml:space="preserve">large clinical laboratories. Unfortunately, this kind of comprehensive specific analysis of coagulation disorders in cirrhotic patients with </w:t>
      </w:r>
      <w:proofErr w:type="spellStart"/>
      <w:r>
        <w:rPr>
          <w:spacing w:val="-11"/>
        </w:rPr>
        <w:t>PVT</w:t>
      </w:r>
      <w:proofErr w:type="spellEnd"/>
      <w:r>
        <w:rPr>
          <w:spacing w:val="-11"/>
        </w:rPr>
        <w:t xml:space="preserve"> has not yet been conducted, while most of </w:t>
      </w:r>
      <w:proofErr w:type="spellStart"/>
      <w:r>
        <w:rPr>
          <w:spacing w:val="-11"/>
        </w:rPr>
        <w:t>PVT</w:t>
      </w:r>
      <w:proofErr w:type="spellEnd"/>
      <w:r>
        <w:rPr>
          <w:spacing w:val="-11"/>
        </w:rPr>
        <w:t xml:space="preserve"> and liver cirrhosis studies remain inconclusive, being based on a small sample size. </w:t>
      </w:r>
    </w:p>
    <w:p w:rsidR="00FE1855" w:rsidRDefault="00FE1855" w:rsidP="00FE1855">
      <w:pPr>
        <w:pStyle w:val="10"/>
        <w:rPr>
          <w:spacing w:val="-11"/>
        </w:rPr>
      </w:pPr>
      <w:r>
        <w:rPr>
          <w:spacing w:val="-11"/>
        </w:rPr>
        <w:t xml:space="preserve">The screening for underlying </w:t>
      </w:r>
      <w:proofErr w:type="spellStart"/>
      <w:r>
        <w:rPr>
          <w:spacing w:val="-11"/>
        </w:rPr>
        <w:t>thrombophilic</w:t>
      </w:r>
      <w:proofErr w:type="spellEnd"/>
      <w:r>
        <w:rPr>
          <w:spacing w:val="-11"/>
        </w:rPr>
        <w:t xml:space="preserve"> con</w:t>
      </w:r>
      <w:r>
        <w:rPr>
          <w:spacing w:val="-11"/>
        </w:rPr>
        <w:softHyphen/>
        <w:t xml:space="preserve">ditions should be considered especially in patients with compensated liver disease in whom the vascular component of the Virchow’s triad is not so important. A special category of cirrhotic patients with </w:t>
      </w:r>
      <w:proofErr w:type="spellStart"/>
      <w:r>
        <w:rPr>
          <w:spacing w:val="-11"/>
        </w:rPr>
        <w:t>PVT</w:t>
      </w:r>
      <w:proofErr w:type="spellEnd"/>
      <w:r>
        <w:rPr>
          <w:spacing w:val="-11"/>
        </w:rPr>
        <w:t xml:space="preserve"> is represented by those patients in whom </w:t>
      </w:r>
      <w:proofErr w:type="spellStart"/>
      <w:r>
        <w:rPr>
          <w:spacing w:val="-11"/>
        </w:rPr>
        <w:t>PVT</w:t>
      </w:r>
      <w:proofErr w:type="spellEnd"/>
      <w:r>
        <w:rPr>
          <w:spacing w:val="-11"/>
        </w:rPr>
        <w:t xml:space="preserve"> extends despite the administration of anticoagulant therapy or reappears after spontaneous recanalization. In such patients there are other risk factors which should be identified such as endothelial dysfunction, genetic </w:t>
      </w:r>
      <w:proofErr w:type="spellStart"/>
      <w:r>
        <w:rPr>
          <w:spacing w:val="-11"/>
        </w:rPr>
        <w:t>thrombophilic</w:t>
      </w:r>
      <w:proofErr w:type="spellEnd"/>
      <w:r>
        <w:rPr>
          <w:spacing w:val="-11"/>
        </w:rPr>
        <w:t xml:space="preserve"> disorders or undiagnosed </w:t>
      </w:r>
      <w:proofErr w:type="spellStart"/>
      <w:r>
        <w:rPr>
          <w:spacing w:val="-11"/>
        </w:rPr>
        <w:t>neoplasia</w:t>
      </w:r>
      <w:proofErr w:type="spellEnd"/>
      <w:r>
        <w:rPr>
          <w:spacing w:val="-11"/>
        </w:rPr>
        <w:t xml:space="preserve"> that could predispose to PVT. </w:t>
      </w:r>
    </w:p>
    <w:p w:rsidR="00FE1855" w:rsidRPr="000937AF" w:rsidRDefault="00FE1855" w:rsidP="00FE1855">
      <w:pPr>
        <w:pStyle w:val="af7"/>
        <w:ind w:left="5250"/>
        <w:rPr>
          <w:lang w:val="en-US"/>
        </w:rPr>
      </w:pPr>
    </w:p>
    <w:p w:rsidR="00FE1855" w:rsidRPr="000937AF" w:rsidRDefault="00FE1855" w:rsidP="00A26AAC">
      <w:pPr>
        <w:pStyle w:val="af7"/>
        <w:rPr>
          <w:u w:val="single"/>
          <w:lang w:val="en-US"/>
        </w:rPr>
      </w:pPr>
      <w:r w:rsidRPr="000937AF">
        <w:rPr>
          <w:u w:val="single"/>
          <w:lang w:val="en-US"/>
        </w:rPr>
        <w:t xml:space="preserve">WHEN AND HOW TO TREAT </w:t>
      </w:r>
      <w:proofErr w:type="spellStart"/>
      <w:r w:rsidRPr="000937AF">
        <w:rPr>
          <w:u w:val="single"/>
          <w:lang w:val="en-US"/>
        </w:rPr>
        <w:t>PVT</w:t>
      </w:r>
      <w:proofErr w:type="spellEnd"/>
      <w:r w:rsidRPr="000937AF">
        <w:rPr>
          <w:u w:val="single"/>
          <w:lang w:val="en-US"/>
        </w:rPr>
        <w:t xml:space="preserve"> IN LIVER CIRRHOSIS</w:t>
      </w:r>
    </w:p>
    <w:p w:rsidR="00FE1855" w:rsidRDefault="00FE1855" w:rsidP="00FE1855">
      <w:pPr>
        <w:pStyle w:val="af8"/>
      </w:pPr>
      <w:r>
        <w:lastRenderedPageBreak/>
        <w:t xml:space="preserve">The main goal of </w:t>
      </w:r>
      <w:proofErr w:type="spellStart"/>
      <w:r>
        <w:t>PVT</w:t>
      </w:r>
      <w:proofErr w:type="spellEnd"/>
      <w:r>
        <w:t xml:space="preserve"> treatment is to restore the portal blood flow and prevent the thrombus extension. </w:t>
      </w:r>
    </w:p>
    <w:p w:rsidR="00FE1855" w:rsidRDefault="00FE1855" w:rsidP="00FE1855">
      <w:pPr>
        <w:pStyle w:val="10"/>
      </w:pPr>
      <w:r>
        <w:t xml:space="preserve">The </w:t>
      </w:r>
      <w:proofErr w:type="spellStart"/>
      <w:r>
        <w:t>Baveno</w:t>
      </w:r>
      <w:proofErr w:type="spellEnd"/>
      <w:r>
        <w:t xml:space="preserve"> VI Consensus</w:t>
      </w:r>
      <w:r>
        <w:rPr>
          <w:vertAlign w:val="superscript"/>
        </w:rPr>
        <w:t>[8]</w:t>
      </w:r>
      <w:r>
        <w:t xml:space="preserve">, published in 2015, recommends the anticoagulant treatment in cirrhotic patients with </w:t>
      </w:r>
      <w:proofErr w:type="spellStart"/>
      <w:r>
        <w:t>PVT</w:t>
      </w:r>
      <w:proofErr w:type="spellEnd"/>
      <w:r>
        <w:t xml:space="preserve"> who are potential candidates for</w:t>
      </w:r>
      <w:r w:rsidRPr="000937AF">
        <w:t xml:space="preserve"> </w:t>
      </w:r>
      <w:r>
        <w:t>LT, while no recommendation is made for non-candidates, thus highlighting the need for individualized treatment and randomized trials on the benefit/risk ratio of anticoagulation in cirrhotic patients.</w:t>
      </w:r>
    </w:p>
    <w:p w:rsidR="00FE1855" w:rsidRDefault="00FE1855" w:rsidP="00FE1855">
      <w:pPr>
        <w:pStyle w:val="10"/>
      </w:pPr>
      <w:r>
        <w:t xml:space="preserve">The </w:t>
      </w:r>
      <w:proofErr w:type="spellStart"/>
      <w:r>
        <w:t>EASL</w:t>
      </w:r>
      <w:proofErr w:type="spellEnd"/>
      <w:r>
        <w:t xml:space="preserve"> 2015</w:t>
      </w:r>
      <w:r>
        <w:rPr>
          <w:vertAlign w:val="superscript"/>
        </w:rPr>
        <w:t>[7]</w:t>
      </w:r>
      <w:r>
        <w:t xml:space="preserve"> and 2018</w:t>
      </w:r>
      <w:r>
        <w:rPr>
          <w:vertAlign w:val="superscript"/>
        </w:rPr>
        <w:t>[47]</w:t>
      </w:r>
      <w:r>
        <w:t xml:space="preserve"> guidelines for vascular diseases of the liver and for the management of patients with decompensated liver cirrhosis state that anticoagulant treatment must be considered in cirrhotic patients with </w:t>
      </w:r>
      <w:proofErr w:type="spellStart"/>
      <w:r>
        <w:t>PVT</w:t>
      </w:r>
      <w:proofErr w:type="spellEnd"/>
      <w:r>
        <w:t xml:space="preserve"> following the implementation of an adequate prophylaxis for gastrointestinal bleeding,</w:t>
      </w:r>
      <w:r w:rsidRPr="000937AF">
        <w:t xml:space="preserve"> </w:t>
      </w:r>
      <w:r>
        <w:t xml:space="preserve">while in 2009 the </w:t>
      </w:r>
      <w:proofErr w:type="spellStart"/>
      <w:proofErr w:type="gramStart"/>
      <w:r>
        <w:t>AASLD</w:t>
      </w:r>
      <w:proofErr w:type="spellEnd"/>
      <w:r>
        <w:rPr>
          <w:vertAlign w:val="superscript"/>
        </w:rPr>
        <w:t>[</w:t>
      </w:r>
      <w:proofErr w:type="gramEnd"/>
      <w:r>
        <w:rPr>
          <w:vertAlign w:val="superscript"/>
        </w:rPr>
        <w:t>6]</w:t>
      </w:r>
      <w:r>
        <w:t xml:space="preserve"> recommended at least three months of anticoagulant use in the treatment of </w:t>
      </w:r>
      <w:proofErr w:type="spellStart"/>
      <w:r>
        <w:t>PVT</w:t>
      </w:r>
      <w:proofErr w:type="spellEnd"/>
      <w:r>
        <w:t xml:space="preserve">, irrespective of the presence of cirrhosis. </w:t>
      </w:r>
    </w:p>
    <w:p w:rsidR="00FE1855" w:rsidRDefault="00FE1855" w:rsidP="00FE1855">
      <w:pPr>
        <w:pStyle w:val="10"/>
      </w:pPr>
      <w:proofErr w:type="gramStart"/>
      <w:r>
        <w:t xml:space="preserve">Although the guidelines accepted the anticoagulant treatment or TIPS as therapeutic option for </w:t>
      </w:r>
      <w:proofErr w:type="spellStart"/>
      <w:r>
        <w:t>PVT</w:t>
      </w:r>
      <w:proofErr w:type="spellEnd"/>
      <w:r>
        <w:t xml:space="preserve"> in LC not all centers accepted the idea in the daily clinical practice, so that to treat or not to treat </w:t>
      </w:r>
      <w:proofErr w:type="spellStart"/>
      <w:r>
        <w:t>PVT</w:t>
      </w:r>
      <w:proofErr w:type="spellEnd"/>
      <w:r>
        <w:t xml:space="preserve"> in LC it still remains an open issue.</w:t>
      </w:r>
      <w:proofErr w:type="gramEnd"/>
    </w:p>
    <w:p w:rsidR="00FE1855" w:rsidRPr="000937AF" w:rsidRDefault="00FE1855" w:rsidP="00FE1855">
      <w:pPr>
        <w:pStyle w:val="af9"/>
        <w:rPr>
          <w:lang w:val="en-US"/>
        </w:rPr>
      </w:pPr>
    </w:p>
    <w:p w:rsidR="00FE1855" w:rsidRPr="000937AF" w:rsidRDefault="00FE1855" w:rsidP="00FE1855">
      <w:pPr>
        <w:pStyle w:val="af9"/>
        <w:rPr>
          <w:b w:val="0"/>
          <w:bCs w:val="0"/>
          <w:lang w:val="en-US"/>
        </w:rPr>
      </w:pPr>
      <w:r w:rsidRPr="000937AF">
        <w:rPr>
          <w:lang w:val="en-US"/>
        </w:rPr>
        <w:t>Low-molecular-weight heparin and vitamin K antagonists</w:t>
      </w:r>
    </w:p>
    <w:p w:rsidR="00FE1855" w:rsidRDefault="00FE1855" w:rsidP="00FE1855">
      <w:pPr>
        <w:pStyle w:val="af8"/>
        <w:rPr>
          <w:spacing w:val="-11"/>
        </w:rPr>
      </w:pPr>
      <w:r>
        <w:rPr>
          <w:spacing w:val="-11"/>
        </w:rPr>
        <w:t xml:space="preserve">The uncertainty regarding the real efficacy of an anticoagulant treatment derives from the data reporting the natural history of </w:t>
      </w:r>
      <w:proofErr w:type="spellStart"/>
      <w:r>
        <w:rPr>
          <w:spacing w:val="-11"/>
        </w:rPr>
        <w:t>PVT</w:t>
      </w:r>
      <w:proofErr w:type="spellEnd"/>
      <w:r>
        <w:rPr>
          <w:spacing w:val="-11"/>
        </w:rPr>
        <w:t xml:space="preserve"> in LC. </w:t>
      </w:r>
      <w:r>
        <w:rPr>
          <w:spacing w:val="-11"/>
          <w:lang w:val="en-GB"/>
        </w:rPr>
        <w:t xml:space="preserve">Studies evaluating the anticoagulant treatment have reported that spontaneous recanalization of the portal vein in the absence of anticoagulant treatment is </w:t>
      </w:r>
      <w:proofErr w:type="gramStart"/>
      <w:r>
        <w:rPr>
          <w:spacing w:val="-11"/>
          <w:lang w:val="en-GB"/>
        </w:rPr>
        <w:t>unusual</w:t>
      </w:r>
      <w:r>
        <w:rPr>
          <w:spacing w:val="-11"/>
          <w:vertAlign w:val="superscript"/>
        </w:rPr>
        <w:t>[</w:t>
      </w:r>
      <w:proofErr w:type="gramEnd"/>
      <w:r>
        <w:rPr>
          <w:spacing w:val="-11"/>
          <w:vertAlign w:val="superscript"/>
        </w:rPr>
        <w:t>12,13]</w:t>
      </w:r>
      <w:r>
        <w:rPr>
          <w:spacing w:val="-11"/>
          <w:lang w:val="en-GB"/>
        </w:rPr>
        <w:t xml:space="preserve">. In the study by </w:t>
      </w:r>
      <w:proofErr w:type="spellStart"/>
      <w:r>
        <w:rPr>
          <w:spacing w:val="-11"/>
          <w:lang w:val="en-GB"/>
        </w:rPr>
        <w:t>Francoz</w:t>
      </w:r>
      <w:proofErr w:type="spellEnd"/>
      <w:r>
        <w:rPr>
          <w:spacing w:val="-11"/>
          <w:lang w:val="en-GB"/>
        </w:rPr>
        <w:t xml:space="preserve"> </w:t>
      </w:r>
      <w:r>
        <w:rPr>
          <w:i/>
          <w:iCs/>
          <w:spacing w:val="-11"/>
          <w:lang w:val="en-GB"/>
        </w:rPr>
        <w:t xml:space="preserve">et </w:t>
      </w:r>
      <w:proofErr w:type="gramStart"/>
      <w:r>
        <w:rPr>
          <w:i/>
          <w:iCs/>
          <w:spacing w:val="-11"/>
          <w:lang w:val="en-GB"/>
        </w:rPr>
        <w:t>al</w:t>
      </w:r>
      <w:r>
        <w:rPr>
          <w:spacing w:val="-11"/>
          <w:vertAlign w:val="superscript"/>
        </w:rPr>
        <w:t>[</w:t>
      </w:r>
      <w:proofErr w:type="gramEnd"/>
      <w:r>
        <w:rPr>
          <w:spacing w:val="-11"/>
          <w:vertAlign w:val="superscript"/>
        </w:rPr>
        <w:t>4</w:t>
      </w:r>
      <w:r w:rsidRPr="000937AF">
        <w:rPr>
          <w:spacing w:val="-11"/>
          <w:vertAlign w:val="superscript"/>
        </w:rPr>
        <w:t>8</w:t>
      </w:r>
      <w:r>
        <w:rPr>
          <w:spacing w:val="-11"/>
          <w:vertAlign w:val="superscript"/>
        </w:rPr>
        <w:t>]</w:t>
      </w:r>
      <w:r>
        <w:rPr>
          <w:spacing w:val="-11"/>
          <w:lang w:val="en-GB"/>
        </w:rPr>
        <w:t xml:space="preserve"> no patient achieved recanalization in the absence of anticoagulation, while 42% achieved recanalization while under anticoagulant therapy. </w:t>
      </w:r>
      <w:proofErr w:type="spellStart"/>
      <w:r>
        <w:rPr>
          <w:spacing w:val="-11"/>
          <w:lang w:val="en-GB"/>
        </w:rPr>
        <w:t>Senzolo</w:t>
      </w:r>
      <w:proofErr w:type="spellEnd"/>
      <w:r>
        <w:rPr>
          <w:spacing w:val="-11"/>
          <w:lang w:val="en-GB"/>
        </w:rPr>
        <w:t xml:space="preserve"> </w:t>
      </w:r>
      <w:r>
        <w:rPr>
          <w:i/>
          <w:iCs/>
          <w:spacing w:val="-11"/>
          <w:lang w:val="en-GB"/>
        </w:rPr>
        <w:t xml:space="preserve">et </w:t>
      </w:r>
      <w:proofErr w:type="gramStart"/>
      <w:r>
        <w:rPr>
          <w:i/>
          <w:iCs/>
          <w:spacing w:val="-11"/>
          <w:lang w:val="en-GB"/>
        </w:rPr>
        <w:t>al</w:t>
      </w:r>
      <w:r>
        <w:rPr>
          <w:spacing w:val="-11"/>
          <w:vertAlign w:val="superscript"/>
        </w:rPr>
        <w:t>[</w:t>
      </w:r>
      <w:proofErr w:type="gramEnd"/>
      <w:r>
        <w:rPr>
          <w:spacing w:val="-11"/>
          <w:vertAlign w:val="superscript"/>
        </w:rPr>
        <w:t>4</w:t>
      </w:r>
      <w:r w:rsidRPr="000937AF">
        <w:rPr>
          <w:spacing w:val="-11"/>
          <w:vertAlign w:val="superscript"/>
        </w:rPr>
        <w:t>9</w:t>
      </w:r>
      <w:r>
        <w:rPr>
          <w:spacing w:val="-11"/>
          <w:vertAlign w:val="superscript"/>
        </w:rPr>
        <w:t>]</w:t>
      </w:r>
      <w:r>
        <w:rPr>
          <w:spacing w:val="-11"/>
          <w:lang w:val="en-GB"/>
        </w:rPr>
        <w:t xml:space="preserve"> reported thrombus progression in 75% of patients who did not receive anticoagulant treatment, compared to only 15% of treated patients. There are limited studies reporting on the use of anticoagulation for PVT in patients with cirrhosis. In all these studies, complete recanalization has been described in 33%</w:t>
      </w:r>
      <w:r w:rsidRPr="000937AF">
        <w:rPr>
          <w:spacing w:val="-11"/>
        </w:rPr>
        <w:t>-</w:t>
      </w:r>
      <w:r>
        <w:rPr>
          <w:spacing w:val="-11"/>
          <w:lang w:val="en-GB"/>
        </w:rPr>
        <w:t>45% of cases, while partial portal vein recanalization was observed in 15%</w:t>
      </w:r>
      <w:r w:rsidRPr="000937AF">
        <w:rPr>
          <w:spacing w:val="-11"/>
        </w:rPr>
        <w:t>-</w:t>
      </w:r>
      <w:r>
        <w:rPr>
          <w:spacing w:val="-11"/>
          <w:lang w:val="en-GB"/>
        </w:rPr>
        <w:t xml:space="preserve">35% of </w:t>
      </w:r>
      <w:proofErr w:type="gramStart"/>
      <w:r>
        <w:rPr>
          <w:spacing w:val="-11"/>
          <w:lang w:val="en-GB"/>
        </w:rPr>
        <w:t>cases</w:t>
      </w:r>
      <w:r>
        <w:rPr>
          <w:spacing w:val="-11"/>
          <w:vertAlign w:val="superscript"/>
        </w:rPr>
        <w:t>[</w:t>
      </w:r>
      <w:proofErr w:type="gramEnd"/>
      <w:r>
        <w:rPr>
          <w:spacing w:val="-11"/>
          <w:vertAlign w:val="superscript"/>
        </w:rPr>
        <w:t>48-53]</w:t>
      </w:r>
      <w:r>
        <w:rPr>
          <w:spacing w:val="-11"/>
          <w:lang w:val="en-GB"/>
        </w:rPr>
        <w:t xml:space="preserve">. </w:t>
      </w:r>
      <w:r>
        <w:rPr>
          <w:spacing w:val="-11"/>
        </w:rPr>
        <w:t>Small sample size is one of the major problems of nearly all such investigations.</w:t>
      </w:r>
      <w:r w:rsidRPr="000937AF">
        <w:rPr>
          <w:spacing w:val="-11"/>
        </w:rPr>
        <w:t xml:space="preserve"> </w:t>
      </w:r>
      <w:r>
        <w:rPr>
          <w:spacing w:val="-11"/>
        </w:rPr>
        <w:t>The most cited side effect was the bleeding from different sites: gastrointestinal (</w:t>
      </w:r>
      <w:proofErr w:type="spellStart"/>
      <w:r>
        <w:rPr>
          <w:spacing w:val="-11"/>
        </w:rPr>
        <w:t>variceal</w:t>
      </w:r>
      <w:proofErr w:type="spellEnd"/>
      <w:r>
        <w:rPr>
          <w:spacing w:val="-11"/>
        </w:rPr>
        <w:t xml:space="preserve"> bleeding, </w:t>
      </w:r>
      <w:proofErr w:type="spellStart"/>
      <w:r>
        <w:rPr>
          <w:spacing w:val="-11"/>
        </w:rPr>
        <w:t>postligation</w:t>
      </w:r>
      <w:proofErr w:type="spellEnd"/>
      <w:r>
        <w:rPr>
          <w:spacing w:val="-11"/>
        </w:rPr>
        <w:t xml:space="preserve"> ulcer, peptic ulcer), </w:t>
      </w:r>
      <w:proofErr w:type="spellStart"/>
      <w:r>
        <w:rPr>
          <w:spacing w:val="-11"/>
        </w:rPr>
        <w:t>intracerebral</w:t>
      </w:r>
      <w:proofErr w:type="spellEnd"/>
      <w:r>
        <w:rPr>
          <w:spacing w:val="-11"/>
        </w:rPr>
        <w:t xml:space="preserve"> hemorrhages, epistaxis and </w:t>
      </w:r>
      <w:proofErr w:type="gramStart"/>
      <w:r>
        <w:rPr>
          <w:spacing w:val="-11"/>
        </w:rPr>
        <w:t>hematuria</w:t>
      </w:r>
      <w:r>
        <w:rPr>
          <w:spacing w:val="-11"/>
          <w:vertAlign w:val="superscript"/>
        </w:rPr>
        <w:t>[</w:t>
      </w:r>
      <w:proofErr w:type="gramEnd"/>
      <w:r>
        <w:rPr>
          <w:spacing w:val="-11"/>
          <w:vertAlign w:val="superscript"/>
        </w:rPr>
        <w:t>48-53]</w:t>
      </w:r>
      <w:r>
        <w:rPr>
          <w:spacing w:val="-11"/>
        </w:rPr>
        <w:t xml:space="preserve">. </w:t>
      </w:r>
    </w:p>
    <w:p w:rsidR="00FE1855" w:rsidRDefault="00FE1855" w:rsidP="00FE1855">
      <w:pPr>
        <w:pStyle w:val="10"/>
      </w:pPr>
      <w:r>
        <w:t xml:space="preserve">In order to overcome the small sample size bias and increase the efficacy and safeness of the anticoagulant treatment in patients with </w:t>
      </w:r>
      <w:proofErr w:type="spellStart"/>
      <w:r>
        <w:t>PVT</w:t>
      </w:r>
      <w:proofErr w:type="spellEnd"/>
      <w:r>
        <w:t xml:space="preserve"> and LC, two meta-analysis have recently been published</w:t>
      </w:r>
      <w:r>
        <w:rPr>
          <w:vertAlign w:val="superscript"/>
        </w:rPr>
        <w:t>[54,55]</w:t>
      </w:r>
      <w:r>
        <w:t xml:space="preserve">. Qi </w:t>
      </w:r>
      <w:r>
        <w:rPr>
          <w:i/>
          <w:iCs/>
        </w:rPr>
        <w:t xml:space="preserve">et </w:t>
      </w:r>
      <w:proofErr w:type="gramStart"/>
      <w:r>
        <w:rPr>
          <w:i/>
          <w:iCs/>
        </w:rPr>
        <w:t>al</w:t>
      </w:r>
      <w:r>
        <w:rPr>
          <w:vertAlign w:val="superscript"/>
        </w:rPr>
        <w:t>[</w:t>
      </w:r>
      <w:proofErr w:type="gramEnd"/>
      <w:r>
        <w:rPr>
          <w:vertAlign w:val="superscript"/>
        </w:rPr>
        <w:t>54]</w:t>
      </w:r>
      <w:r>
        <w:t xml:space="preserve"> concluded in 2015 that anticoagulation could achieve a relatively high rate of portal vein recanalization in cirrhotic patients with </w:t>
      </w:r>
      <w:proofErr w:type="spellStart"/>
      <w:r>
        <w:t>PVT</w:t>
      </w:r>
      <w:proofErr w:type="spellEnd"/>
      <w:r>
        <w:t>, information</w:t>
      </w:r>
      <w:r w:rsidRPr="000937AF">
        <w:t xml:space="preserve"> </w:t>
      </w:r>
      <w:r>
        <w:t xml:space="preserve">confirmed by another meta-analysis published by </w:t>
      </w:r>
      <w:proofErr w:type="spellStart"/>
      <w:r>
        <w:t>Loffredo</w:t>
      </w:r>
      <w:proofErr w:type="spellEnd"/>
      <w:r>
        <w:t xml:space="preserve"> </w:t>
      </w:r>
      <w:r>
        <w:rPr>
          <w:i/>
          <w:iCs/>
        </w:rPr>
        <w:t>et al</w:t>
      </w:r>
      <w:r>
        <w:rPr>
          <w:vertAlign w:val="superscript"/>
        </w:rPr>
        <w:t>[55]</w:t>
      </w:r>
      <w:r>
        <w:t xml:space="preserve"> in 2017.</w:t>
      </w:r>
    </w:p>
    <w:p w:rsidR="00FE1855" w:rsidRDefault="00FE1855" w:rsidP="00FE1855">
      <w:pPr>
        <w:pStyle w:val="10"/>
        <w:rPr>
          <w:spacing w:val="-11"/>
        </w:rPr>
      </w:pPr>
      <w:r>
        <w:rPr>
          <w:spacing w:val="-11"/>
        </w:rPr>
        <w:t xml:space="preserve">The attendant optimism is, at least in part, based on the relatively safeness of the anticoagulant treatment, including the </w:t>
      </w:r>
      <w:proofErr w:type="spellStart"/>
      <w:r>
        <w:rPr>
          <w:spacing w:val="-11"/>
        </w:rPr>
        <w:t>pleiomorphic</w:t>
      </w:r>
      <w:proofErr w:type="spellEnd"/>
      <w:r>
        <w:rPr>
          <w:spacing w:val="-11"/>
        </w:rPr>
        <w:t xml:space="preserve"> effect of reducing </w:t>
      </w:r>
      <w:proofErr w:type="spellStart"/>
      <w:r>
        <w:rPr>
          <w:spacing w:val="-11"/>
        </w:rPr>
        <w:t>fibrogenesis</w:t>
      </w:r>
      <w:proofErr w:type="spellEnd"/>
      <w:r>
        <w:rPr>
          <w:spacing w:val="-11"/>
        </w:rPr>
        <w:t xml:space="preserve"> by thrombin </w:t>
      </w:r>
      <w:proofErr w:type="gramStart"/>
      <w:r>
        <w:rPr>
          <w:spacing w:val="-11"/>
        </w:rPr>
        <w:t>antagonism</w:t>
      </w:r>
      <w:r>
        <w:rPr>
          <w:spacing w:val="-11"/>
          <w:vertAlign w:val="superscript"/>
        </w:rPr>
        <w:t>[</w:t>
      </w:r>
      <w:proofErr w:type="gramEnd"/>
      <w:r>
        <w:rPr>
          <w:spacing w:val="-11"/>
          <w:vertAlign w:val="superscript"/>
        </w:rPr>
        <w:t>56]</w:t>
      </w:r>
      <w:r>
        <w:rPr>
          <w:spacing w:val="-11"/>
        </w:rPr>
        <w:t xml:space="preserve">. For a better evaluation of the anticoagulant </w:t>
      </w:r>
      <w:r>
        <w:rPr>
          <w:spacing w:val="-11"/>
        </w:rPr>
        <w:lastRenderedPageBreak/>
        <w:t xml:space="preserve">treatment in patients with LC other end-points should be established such as short-term and long-term mortality and </w:t>
      </w:r>
      <w:proofErr w:type="spellStart"/>
      <w:r>
        <w:rPr>
          <w:spacing w:val="-11"/>
        </w:rPr>
        <w:t>decompensation</w:t>
      </w:r>
      <w:proofErr w:type="spellEnd"/>
      <w:r>
        <w:rPr>
          <w:spacing w:val="-11"/>
        </w:rPr>
        <w:t xml:space="preserve"> or further </w:t>
      </w:r>
      <w:proofErr w:type="spellStart"/>
      <w:r>
        <w:rPr>
          <w:spacing w:val="-11"/>
        </w:rPr>
        <w:t>decompensation</w:t>
      </w:r>
      <w:proofErr w:type="spellEnd"/>
      <w:r>
        <w:rPr>
          <w:spacing w:val="-11"/>
        </w:rPr>
        <w:t xml:space="preserve"> rate. Achieving </w:t>
      </w:r>
      <w:proofErr w:type="spellStart"/>
      <w:r>
        <w:rPr>
          <w:spacing w:val="-11"/>
        </w:rPr>
        <w:t>PVT</w:t>
      </w:r>
      <w:proofErr w:type="spellEnd"/>
      <w:r>
        <w:rPr>
          <w:spacing w:val="-11"/>
        </w:rPr>
        <w:t xml:space="preserve"> recanalization is only one of the goals of anticoagulant therapy in </w:t>
      </w:r>
      <w:proofErr w:type="spellStart"/>
      <w:r>
        <w:rPr>
          <w:spacing w:val="-11"/>
        </w:rPr>
        <w:t>cirrhotics</w:t>
      </w:r>
      <w:proofErr w:type="spellEnd"/>
      <w:r>
        <w:rPr>
          <w:spacing w:val="-11"/>
        </w:rPr>
        <w:t xml:space="preserve"> with </w:t>
      </w:r>
      <w:proofErr w:type="spellStart"/>
      <w:r>
        <w:rPr>
          <w:spacing w:val="-11"/>
        </w:rPr>
        <w:t>PVT</w:t>
      </w:r>
      <w:proofErr w:type="spellEnd"/>
      <w:r>
        <w:rPr>
          <w:spacing w:val="-11"/>
        </w:rPr>
        <w:t>, and it is far more important</w:t>
      </w:r>
      <w:r w:rsidRPr="000937AF">
        <w:rPr>
          <w:spacing w:val="-11"/>
        </w:rPr>
        <w:t xml:space="preserve"> </w:t>
      </w:r>
      <w:r>
        <w:rPr>
          <w:spacing w:val="-11"/>
        </w:rPr>
        <w:t xml:space="preserve">to document the real impact of recanalization on LC evolution in order to confirm the benefits of this controversial treatment. </w:t>
      </w:r>
    </w:p>
    <w:p w:rsidR="00FE1855" w:rsidRDefault="00FE1855" w:rsidP="00FE1855">
      <w:pPr>
        <w:pStyle w:val="10"/>
        <w:rPr>
          <w:spacing w:val="-11"/>
        </w:rPr>
      </w:pPr>
      <w:r>
        <w:rPr>
          <w:spacing w:val="-11"/>
        </w:rPr>
        <w:t>If the anticoagulant treatment is the first thera</w:t>
      </w:r>
      <w:r>
        <w:rPr>
          <w:spacing w:val="-11"/>
        </w:rPr>
        <w:softHyphen/>
        <w:t xml:space="preserve">peutic option for cirrhotic patients with </w:t>
      </w:r>
      <w:proofErr w:type="spellStart"/>
      <w:r>
        <w:rPr>
          <w:spacing w:val="-11"/>
        </w:rPr>
        <w:t>PVT</w:t>
      </w:r>
      <w:proofErr w:type="spellEnd"/>
      <w:r>
        <w:rPr>
          <w:spacing w:val="-11"/>
        </w:rPr>
        <w:t xml:space="preserve">, the ideal </w:t>
      </w:r>
      <w:proofErr w:type="spellStart"/>
      <w:r>
        <w:rPr>
          <w:spacing w:val="-11"/>
        </w:rPr>
        <w:t>anticoagulanthas</w:t>
      </w:r>
      <w:proofErr w:type="spellEnd"/>
      <w:r>
        <w:rPr>
          <w:spacing w:val="-11"/>
        </w:rPr>
        <w:t xml:space="preserve"> not been developed yet. Low-molecular-weight heparin (</w:t>
      </w:r>
      <w:proofErr w:type="spellStart"/>
      <w:r>
        <w:rPr>
          <w:spacing w:val="-11"/>
        </w:rPr>
        <w:t>LMWH</w:t>
      </w:r>
      <w:proofErr w:type="spellEnd"/>
      <w:r>
        <w:rPr>
          <w:spacing w:val="-11"/>
        </w:rPr>
        <w:t>) and vitamin K antagonists (</w:t>
      </w:r>
      <w:proofErr w:type="spellStart"/>
      <w:r>
        <w:rPr>
          <w:spacing w:val="-11"/>
        </w:rPr>
        <w:t>VKAs</w:t>
      </w:r>
      <w:proofErr w:type="spellEnd"/>
      <w:r>
        <w:rPr>
          <w:spacing w:val="-11"/>
        </w:rPr>
        <w:t xml:space="preserve">) are the anticoagulant drugs recommended for </w:t>
      </w:r>
      <w:proofErr w:type="spellStart"/>
      <w:r>
        <w:rPr>
          <w:spacing w:val="-11"/>
        </w:rPr>
        <w:t>PVT</w:t>
      </w:r>
      <w:proofErr w:type="spellEnd"/>
      <w:r>
        <w:rPr>
          <w:spacing w:val="-11"/>
        </w:rPr>
        <w:t xml:space="preserve"> treatment, but they have some</w:t>
      </w:r>
      <w:r w:rsidRPr="000937AF">
        <w:rPr>
          <w:spacing w:val="-11"/>
        </w:rPr>
        <w:t xml:space="preserve"> </w:t>
      </w:r>
      <w:r>
        <w:rPr>
          <w:spacing w:val="-11"/>
        </w:rPr>
        <w:t>disadvantages:</w:t>
      </w:r>
      <w:r w:rsidRPr="000937AF">
        <w:rPr>
          <w:spacing w:val="-11"/>
        </w:rPr>
        <w:t xml:space="preserve"> </w:t>
      </w:r>
      <w:r>
        <w:rPr>
          <w:spacing w:val="-11"/>
        </w:rPr>
        <w:t xml:space="preserve">efficacy of </w:t>
      </w:r>
      <w:proofErr w:type="spellStart"/>
      <w:r>
        <w:rPr>
          <w:spacing w:val="-11"/>
        </w:rPr>
        <w:t>LMWH</w:t>
      </w:r>
      <w:proofErr w:type="spellEnd"/>
      <w:r>
        <w:rPr>
          <w:spacing w:val="-11"/>
        </w:rPr>
        <w:t xml:space="preserve"> may be significantly decreased (up to 40%) due to lower levels of </w:t>
      </w:r>
      <w:proofErr w:type="spellStart"/>
      <w:r>
        <w:rPr>
          <w:spacing w:val="-11"/>
        </w:rPr>
        <w:t>antithrombin</w:t>
      </w:r>
      <w:proofErr w:type="spellEnd"/>
      <w:r>
        <w:rPr>
          <w:spacing w:val="-11"/>
        </w:rPr>
        <w:t xml:space="preserve"> III synthesis by the liver, and the coagulopathy secondary to liver disease frequently results in an elevated International Normalized Ratio (</w:t>
      </w:r>
      <w:proofErr w:type="spellStart"/>
      <w:r>
        <w:rPr>
          <w:spacing w:val="-11"/>
        </w:rPr>
        <w:t>INR</w:t>
      </w:r>
      <w:proofErr w:type="spellEnd"/>
      <w:r>
        <w:rPr>
          <w:spacing w:val="-11"/>
        </w:rPr>
        <w:t xml:space="preserve">) and thus utilizing the </w:t>
      </w:r>
      <w:proofErr w:type="spellStart"/>
      <w:r>
        <w:rPr>
          <w:spacing w:val="-11"/>
        </w:rPr>
        <w:t>INR</w:t>
      </w:r>
      <w:proofErr w:type="spellEnd"/>
      <w:r>
        <w:rPr>
          <w:spacing w:val="-11"/>
        </w:rPr>
        <w:t xml:space="preserve"> to guide dosing of </w:t>
      </w:r>
      <w:proofErr w:type="spellStart"/>
      <w:r>
        <w:rPr>
          <w:spacing w:val="-11"/>
        </w:rPr>
        <w:t>VKAs</w:t>
      </w:r>
      <w:proofErr w:type="spellEnd"/>
      <w:r>
        <w:rPr>
          <w:spacing w:val="-11"/>
        </w:rPr>
        <w:t xml:space="preserve"> is particularly </w:t>
      </w:r>
      <w:proofErr w:type="gramStart"/>
      <w:r>
        <w:rPr>
          <w:spacing w:val="-11"/>
        </w:rPr>
        <w:t>challenging</w:t>
      </w:r>
      <w:r>
        <w:rPr>
          <w:spacing w:val="-11"/>
          <w:vertAlign w:val="superscript"/>
        </w:rPr>
        <w:t>[</w:t>
      </w:r>
      <w:proofErr w:type="gramEnd"/>
      <w:r>
        <w:rPr>
          <w:spacing w:val="-11"/>
          <w:vertAlign w:val="superscript"/>
        </w:rPr>
        <w:t>6-8]</w:t>
      </w:r>
      <w:r>
        <w:rPr>
          <w:spacing w:val="-11"/>
        </w:rPr>
        <w:t>.</w:t>
      </w:r>
    </w:p>
    <w:p w:rsidR="00FE1855" w:rsidRPr="000937AF" w:rsidRDefault="00FE1855" w:rsidP="00FE1855">
      <w:pPr>
        <w:pStyle w:val="af9"/>
        <w:rPr>
          <w:lang w:val="en-US"/>
        </w:rPr>
      </w:pPr>
    </w:p>
    <w:p w:rsidR="00FE1855" w:rsidRPr="000937AF" w:rsidRDefault="00FE1855" w:rsidP="00FE1855">
      <w:pPr>
        <w:pStyle w:val="af9"/>
        <w:rPr>
          <w:lang w:val="en-US"/>
        </w:rPr>
      </w:pPr>
      <w:r w:rsidRPr="000937AF">
        <w:rPr>
          <w:lang w:val="en-US"/>
        </w:rPr>
        <w:t xml:space="preserve">Direct oral anticoagulants and </w:t>
      </w:r>
      <w:proofErr w:type="spellStart"/>
      <w:r w:rsidRPr="000937AF">
        <w:rPr>
          <w:lang w:val="en-US"/>
        </w:rPr>
        <w:t>PVT</w:t>
      </w:r>
      <w:proofErr w:type="spellEnd"/>
      <w:r w:rsidRPr="000937AF">
        <w:rPr>
          <w:lang w:val="en-US"/>
        </w:rPr>
        <w:t xml:space="preserve"> treatment</w:t>
      </w:r>
    </w:p>
    <w:p w:rsidR="00FE1855" w:rsidRDefault="00FE1855" w:rsidP="00FE1855">
      <w:pPr>
        <w:pStyle w:val="af8"/>
        <w:rPr>
          <w:spacing w:val="-11"/>
          <w:lang w:val="en-GB"/>
        </w:rPr>
      </w:pPr>
      <w:r>
        <w:rPr>
          <w:spacing w:val="-11"/>
          <w:lang w:val="en-GB"/>
        </w:rPr>
        <w:t>The direct oral anticoagulants (</w:t>
      </w:r>
      <w:proofErr w:type="spellStart"/>
      <w:r>
        <w:rPr>
          <w:spacing w:val="-11"/>
          <w:lang w:val="en-GB"/>
        </w:rPr>
        <w:t>DOACs</w:t>
      </w:r>
      <w:proofErr w:type="spellEnd"/>
      <w:r>
        <w:rPr>
          <w:spacing w:val="-11"/>
          <w:lang w:val="en-GB"/>
        </w:rPr>
        <w:t>) - thrombin inhibitors (</w:t>
      </w:r>
      <w:proofErr w:type="spellStart"/>
      <w:r>
        <w:rPr>
          <w:spacing w:val="-11"/>
          <w:lang w:val="en-GB"/>
        </w:rPr>
        <w:t>dabigatran</w:t>
      </w:r>
      <w:proofErr w:type="spellEnd"/>
      <w:r>
        <w:rPr>
          <w:spacing w:val="-11"/>
          <w:lang w:val="en-GB"/>
        </w:rPr>
        <w:t>) and activated factor X inhibitors (</w:t>
      </w:r>
      <w:proofErr w:type="spellStart"/>
      <w:r>
        <w:rPr>
          <w:spacing w:val="-11"/>
          <w:lang w:val="en-GB"/>
        </w:rPr>
        <w:t>rivaroxaban</w:t>
      </w:r>
      <w:proofErr w:type="spellEnd"/>
      <w:r>
        <w:rPr>
          <w:spacing w:val="-11"/>
          <w:lang w:val="en-GB"/>
        </w:rPr>
        <w:t xml:space="preserve">, </w:t>
      </w:r>
      <w:proofErr w:type="spellStart"/>
      <w:r>
        <w:rPr>
          <w:spacing w:val="-11"/>
          <w:lang w:val="en-GB"/>
        </w:rPr>
        <w:t>apixaban</w:t>
      </w:r>
      <w:proofErr w:type="spellEnd"/>
      <w:r>
        <w:rPr>
          <w:spacing w:val="-11"/>
          <w:lang w:val="en-GB"/>
        </w:rPr>
        <w:t xml:space="preserve"> or </w:t>
      </w:r>
      <w:proofErr w:type="spellStart"/>
      <w:r>
        <w:rPr>
          <w:spacing w:val="-11"/>
          <w:lang w:val="en-GB"/>
        </w:rPr>
        <w:t>edoxaban</w:t>
      </w:r>
      <w:proofErr w:type="spellEnd"/>
      <w:r>
        <w:rPr>
          <w:spacing w:val="-11"/>
          <w:lang w:val="en-GB"/>
        </w:rPr>
        <w:t xml:space="preserve">) overcame the numerous drawbacks of traditional anticoagulants and proved their efficacy and </w:t>
      </w:r>
      <w:proofErr w:type="spellStart"/>
      <w:r>
        <w:rPr>
          <w:spacing w:val="-11"/>
          <w:lang w:val="en-GB"/>
        </w:rPr>
        <w:t>saffness</w:t>
      </w:r>
      <w:proofErr w:type="spellEnd"/>
      <w:r>
        <w:rPr>
          <w:spacing w:val="-11"/>
          <w:lang w:val="en-GB"/>
        </w:rPr>
        <w:t xml:space="preserve"> in stroke prophylaxis in </w:t>
      </w:r>
      <w:proofErr w:type="spellStart"/>
      <w:r>
        <w:rPr>
          <w:spacing w:val="-11"/>
          <w:lang w:val="en-GB"/>
        </w:rPr>
        <w:t>nonvalvular</w:t>
      </w:r>
      <w:proofErr w:type="spellEnd"/>
      <w:r>
        <w:rPr>
          <w:spacing w:val="-11"/>
          <w:lang w:val="en-GB"/>
        </w:rPr>
        <w:t xml:space="preserve"> atrial fibrillation, venous </w:t>
      </w:r>
      <w:proofErr w:type="spellStart"/>
      <w:r>
        <w:rPr>
          <w:spacing w:val="-11"/>
          <w:lang w:val="en-GB"/>
        </w:rPr>
        <w:t>thrombembolism</w:t>
      </w:r>
      <w:proofErr w:type="spellEnd"/>
      <w:r>
        <w:rPr>
          <w:spacing w:val="-11"/>
          <w:lang w:val="en-GB"/>
        </w:rPr>
        <w:t xml:space="preserve"> prophylaxis in orthopaedic patients, and the treatment of acute pulmonary embolism and deep vein thrombosis</w:t>
      </w:r>
      <w:r>
        <w:rPr>
          <w:spacing w:val="-11"/>
          <w:vertAlign w:val="superscript"/>
          <w:lang w:val="en-GB"/>
        </w:rPr>
        <w:t>[57]</w:t>
      </w:r>
      <w:r>
        <w:rPr>
          <w:spacing w:val="-11"/>
          <w:lang w:val="en-GB"/>
        </w:rPr>
        <w:t xml:space="preserve">. </w:t>
      </w:r>
      <w:proofErr w:type="spellStart"/>
      <w:r>
        <w:rPr>
          <w:spacing w:val="-11"/>
          <w:lang w:val="en-GB"/>
        </w:rPr>
        <w:t>DOACs</w:t>
      </w:r>
      <w:proofErr w:type="spellEnd"/>
      <w:r>
        <w:rPr>
          <w:spacing w:val="-11"/>
          <w:lang w:val="en-GB"/>
        </w:rPr>
        <w:t xml:space="preserve"> offer the advantage of oral administration, the absence of laboratory monitoring, and an </w:t>
      </w:r>
      <w:proofErr w:type="spellStart"/>
      <w:r>
        <w:rPr>
          <w:spacing w:val="-11"/>
          <w:lang w:val="en-GB"/>
        </w:rPr>
        <w:t>antithrombin</w:t>
      </w:r>
      <w:proofErr w:type="spellEnd"/>
      <w:r>
        <w:rPr>
          <w:spacing w:val="-11"/>
          <w:lang w:val="en-GB"/>
        </w:rPr>
        <w:t xml:space="preserve"> III independent mechanism of action. </w:t>
      </w:r>
      <w:proofErr w:type="spellStart"/>
      <w:r>
        <w:rPr>
          <w:spacing w:val="-11"/>
          <w:lang w:val="en-GB"/>
        </w:rPr>
        <w:t>Rivaroxaban</w:t>
      </w:r>
      <w:proofErr w:type="spellEnd"/>
      <w:r>
        <w:rPr>
          <w:spacing w:val="-11"/>
          <w:lang w:val="en-GB"/>
        </w:rPr>
        <w:t xml:space="preserve"> and </w:t>
      </w:r>
      <w:proofErr w:type="spellStart"/>
      <w:r>
        <w:rPr>
          <w:spacing w:val="-11"/>
          <w:lang w:val="en-GB"/>
        </w:rPr>
        <w:t>apixaban</w:t>
      </w:r>
      <w:proofErr w:type="spellEnd"/>
      <w:r>
        <w:rPr>
          <w:spacing w:val="-11"/>
          <w:lang w:val="en-GB"/>
        </w:rPr>
        <w:t xml:space="preserve"> are 67% metabolized in the liver, with half-lives of 5-9 h</w:t>
      </w:r>
      <w:r w:rsidRPr="000937AF">
        <w:rPr>
          <w:spacing w:val="-11"/>
        </w:rPr>
        <w:t xml:space="preserve"> </w:t>
      </w:r>
      <w:r>
        <w:rPr>
          <w:spacing w:val="-11"/>
          <w:lang w:val="en-GB"/>
        </w:rPr>
        <w:t xml:space="preserve">and 12 h </w:t>
      </w:r>
      <w:proofErr w:type="gramStart"/>
      <w:r>
        <w:rPr>
          <w:spacing w:val="-11"/>
          <w:lang w:val="en-GB"/>
        </w:rPr>
        <w:t>respectively</w:t>
      </w:r>
      <w:r>
        <w:rPr>
          <w:spacing w:val="-11"/>
          <w:vertAlign w:val="superscript"/>
          <w:lang w:val="en-GB"/>
        </w:rPr>
        <w:t>[</w:t>
      </w:r>
      <w:proofErr w:type="gramEnd"/>
      <w:r>
        <w:rPr>
          <w:spacing w:val="-11"/>
          <w:vertAlign w:val="superscript"/>
          <w:lang w:val="en-GB"/>
        </w:rPr>
        <w:t>58]</w:t>
      </w:r>
      <w:r>
        <w:rPr>
          <w:spacing w:val="-11"/>
          <w:lang w:val="en-GB"/>
        </w:rPr>
        <w:t xml:space="preserve">, their concentration depending on the plasma bounding proteins. </w:t>
      </w:r>
      <w:proofErr w:type="spellStart"/>
      <w:r>
        <w:rPr>
          <w:spacing w:val="-11"/>
          <w:lang w:val="en-GB"/>
        </w:rPr>
        <w:t>Edoxaban</w:t>
      </w:r>
      <w:proofErr w:type="spellEnd"/>
      <w:r>
        <w:rPr>
          <w:spacing w:val="-11"/>
          <w:lang w:val="en-GB"/>
        </w:rPr>
        <w:t xml:space="preserve"> is 50% metabolized by the liver with a half-live of 10</w:t>
      </w:r>
      <w:r w:rsidRPr="000937AF">
        <w:rPr>
          <w:spacing w:val="-11"/>
        </w:rPr>
        <w:t>-</w:t>
      </w:r>
      <w:r>
        <w:rPr>
          <w:spacing w:val="-11"/>
          <w:lang w:val="en-GB"/>
        </w:rPr>
        <w:t xml:space="preserve">15 </w:t>
      </w:r>
      <w:proofErr w:type="gramStart"/>
      <w:r>
        <w:rPr>
          <w:spacing w:val="-11"/>
          <w:lang w:val="en-GB"/>
        </w:rPr>
        <w:t>h</w:t>
      </w:r>
      <w:r>
        <w:rPr>
          <w:spacing w:val="-11"/>
          <w:vertAlign w:val="superscript"/>
          <w:lang w:val="en-GB"/>
        </w:rPr>
        <w:t>[</w:t>
      </w:r>
      <w:proofErr w:type="gramEnd"/>
      <w:r>
        <w:rPr>
          <w:spacing w:val="-11"/>
          <w:vertAlign w:val="superscript"/>
          <w:lang w:val="en-GB"/>
        </w:rPr>
        <w:t>58]</w:t>
      </w:r>
      <w:r>
        <w:rPr>
          <w:spacing w:val="-11"/>
          <w:lang w:val="en-GB"/>
        </w:rPr>
        <w:t xml:space="preserve">. </w:t>
      </w:r>
      <w:proofErr w:type="spellStart"/>
      <w:r>
        <w:rPr>
          <w:spacing w:val="-11"/>
          <w:lang w:val="en-GB"/>
        </w:rPr>
        <w:t>Dabigatran</w:t>
      </w:r>
      <w:proofErr w:type="spellEnd"/>
      <w:r>
        <w:rPr>
          <w:spacing w:val="-11"/>
          <w:lang w:val="en-GB"/>
        </w:rPr>
        <w:t xml:space="preserve"> has limited hepatic metabolism, minimal binding to plasma proteins, and longer half-life (12-14 h</w:t>
      </w:r>
      <w:proofErr w:type="gramStart"/>
      <w:r>
        <w:rPr>
          <w:spacing w:val="-11"/>
          <w:lang w:val="en-GB"/>
        </w:rPr>
        <w:t>)</w:t>
      </w:r>
      <w:r>
        <w:rPr>
          <w:spacing w:val="-11"/>
          <w:vertAlign w:val="superscript"/>
          <w:lang w:val="en-GB"/>
        </w:rPr>
        <w:t>[</w:t>
      </w:r>
      <w:proofErr w:type="gramEnd"/>
      <w:r>
        <w:rPr>
          <w:spacing w:val="-11"/>
          <w:vertAlign w:val="superscript"/>
          <w:lang w:val="en-GB"/>
        </w:rPr>
        <w:t>57]</w:t>
      </w:r>
      <w:r>
        <w:rPr>
          <w:spacing w:val="-11"/>
          <w:lang w:val="en-GB"/>
        </w:rPr>
        <w:t xml:space="preserve">. Another advantages of </w:t>
      </w:r>
      <w:proofErr w:type="spellStart"/>
      <w:r>
        <w:rPr>
          <w:spacing w:val="-11"/>
          <w:lang w:val="en-GB"/>
        </w:rPr>
        <w:t>dabigatran</w:t>
      </w:r>
      <w:proofErr w:type="spellEnd"/>
      <w:r>
        <w:rPr>
          <w:spacing w:val="-11"/>
          <w:lang w:val="en-GB"/>
        </w:rPr>
        <w:t xml:space="preserve"> is the development of an antidote</w:t>
      </w:r>
      <w:r w:rsidRPr="000937AF">
        <w:rPr>
          <w:spacing w:val="-11"/>
        </w:rPr>
        <w:t xml:space="preserve"> - </w:t>
      </w:r>
      <w:proofErr w:type="spellStart"/>
      <w:r>
        <w:rPr>
          <w:spacing w:val="-11"/>
          <w:lang w:val="en-GB"/>
        </w:rPr>
        <w:t>idarucizumab</w:t>
      </w:r>
      <w:proofErr w:type="spellEnd"/>
      <w:r>
        <w:rPr>
          <w:spacing w:val="-11"/>
          <w:lang w:val="en-GB"/>
        </w:rPr>
        <w:t xml:space="preserve"> - monoclonal inhibitor </w:t>
      </w:r>
      <w:proofErr w:type="gramStart"/>
      <w:r>
        <w:rPr>
          <w:spacing w:val="-11"/>
          <w:lang w:val="en-GB"/>
        </w:rPr>
        <w:t>antibody</w:t>
      </w:r>
      <w:r>
        <w:rPr>
          <w:spacing w:val="-11"/>
          <w:vertAlign w:val="superscript"/>
          <w:lang w:val="en-GB"/>
        </w:rPr>
        <w:t>[</w:t>
      </w:r>
      <w:proofErr w:type="gramEnd"/>
      <w:r>
        <w:rPr>
          <w:spacing w:val="-11"/>
          <w:vertAlign w:val="superscript"/>
          <w:lang w:val="en-GB"/>
        </w:rPr>
        <w:t>59]</w:t>
      </w:r>
      <w:r>
        <w:rPr>
          <w:spacing w:val="-11"/>
          <w:lang w:val="en-GB"/>
        </w:rPr>
        <w:t>.</w:t>
      </w:r>
    </w:p>
    <w:p w:rsidR="00FE1855" w:rsidRDefault="00FE1855" w:rsidP="00FE1855">
      <w:pPr>
        <w:pStyle w:val="10"/>
      </w:pPr>
      <w:r>
        <w:rPr>
          <w:lang w:val="en-GB"/>
        </w:rPr>
        <w:t xml:space="preserve">However, there are few reports regarding their use in cirrhotic patients, most of which in compensated isolated cases. </w:t>
      </w:r>
      <w:proofErr w:type="spellStart"/>
      <w:r>
        <w:t>Rivaroxaban</w:t>
      </w:r>
      <w:proofErr w:type="spellEnd"/>
      <w:r>
        <w:t xml:space="preserve"> is the most studied </w:t>
      </w:r>
      <w:proofErr w:type="spellStart"/>
      <w:r>
        <w:t>DOACs</w:t>
      </w:r>
      <w:proofErr w:type="spellEnd"/>
      <w:r>
        <w:t xml:space="preserve"> for the treatment of </w:t>
      </w:r>
      <w:proofErr w:type="spellStart"/>
      <w:proofErr w:type="gramStart"/>
      <w:r>
        <w:t>PVT</w:t>
      </w:r>
      <w:proofErr w:type="spellEnd"/>
      <w:r>
        <w:rPr>
          <w:vertAlign w:val="superscript"/>
        </w:rPr>
        <w:t>[</w:t>
      </w:r>
      <w:proofErr w:type="gramEnd"/>
      <w:r>
        <w:rPr>
          <w:vertAlign w:val="superscript"/>
        </w:rPr>
        <w:t>60]</w:t>
      </w:r>
      <w:r>
        <w:t xml:space="preserve">. There is little scientific evidence regarding the use of </w:t>
      </w:r>
      <w:proofErr w:type="spellStart"/>
      <w:r>
        <w:t>DOACs</w:t>
      </w:r>
      <w:proofErr w:type="spellEnd"/>
      <w:r>
        <w:t xml:space="preserve"> in cirrhosis with or without </w:t>
      </w:r>
      <w:proofErr w:type="spellStart"/>
      <w:r>
        <w:t>PVT</w:t>
      </w:r>
      <w:proofErr w:type="spellEnd"/>
      <w:r>
        <w:t xml:space="preserve">, and even fewer well-designed prospective studies </w:t>
      </w:r>
    </w:p>
    <w:p w:rsidR="00FE1855" w:rsidRDefault="00FE1855" w:rsidP="00FE1855">
      <w:pPr>
        <w:pStyle w:val="10"/>
        <w:rPr>
          <w:spacing w:val="-10"/>
        </w:rPr>
      </w:pPr>
      <w:r>
        <w:rPr>
          <w:spacing w:val="-10"/>
        </w:rPr>
        <w:t xml:space="preserve">In the </w:t>
      </w:r>
      <w:proofErr w:type="spellStart"/>
      <w:r>
        <w:rPr>
          <w:spacing w:val="-10"/>
        </w:rPr>
        <w:t>VALDIG</w:t>
      </w:r>
      <w:proofErr w:type="spellEnd"/>
      <w:r>
        <w:rPr>
          <w:spacing w:val="-10"/>
        </w:rPr>
        <w:t xml:space="preserve"> study, major bleeding requiring discontinuation of </w:t>
      </w:r>
      <w:proofErr w:type="spellStart"/>
      <w:r>
        <w:rPr>
          <w:spacing w:val="-10"/>
        </w:rPr>
        <w:t>DOACs</w:t>
      </w:r>
      <w:proofErr w:type="spellEnd"/>
      <w:r>
        <w:rPr>
          <w:spacing w:val="-10"/>
        </w:rPr>
        <w:t xml:space="preserve"> was seen in two of 258 (0.71%) patients without cirrhosis and in one of 36 (2.7%) patients with </w:t>
      </w:r>
      <w:proofErr w:type="gramStart"/>
      <w:r>
        <w:rPr>
          <w:spacing w:val="-10"/>
        </w:rPr>
        <w:t>cirrhosis</w:t>
      </w:r>
      <w:r>
        <w:rPr>
          <w:spacing w:val="-10"/>
          <w:vertAlign w:val="superscript"/>
        </w:rPr>
        <w:t>[</w:t>
      </w:r>
      <w:proofErr w:type="gramEnd"/>
      <w:r>
        <w:rPr>
          <w:spacing w:val="-10"/>
          <w:vertAlign w:val="superscript"/>
        </w:rPr>
        <w:t>61]</w:t>
      </w:r>
      <w:r>
        <w:rPr>
          <w:spacing w:val="-10"/>
        </w:rPr>
        <w:t xml:space="preserve">. </w:t>
      </w:r>
      <w:proofErr w:type="spellStart"/>
      <w:r>
        <w:rPr>
          <w:spacing w:val="-10"/>
        </w:rPr>
        <w:t>Intagliata</w:t>
      </w:r>
      <w:proofErr w:type="spellEnd"/>
      <w:r>
        <w:rPr>
          <w:spacing w:val="-10"/>
        </w:rPr>
        <w:t xml:space="preserve"> </w:t>
      </w:r>
      <w:r>
        <w:rPr>
          <w:i/>
          <w:iCs/>
          <w:spacing w:val="-10"/>
        </w:rPr>
        <w:t xml:space="preserve">et </w:t>
      </w:r>
      <w:proofErr w:type="gramStart"/>
      <w:r>
        <w:rPr>
          <w:i/>
          <w:iCs/>
          <w:spacing w:val="-10"/>
        </w:rPr>
        <w:t>al</w:t>
      </w:r>
      <w:r>
        <w:rPr>
          <w:spacing w:val="-10"/>
          <w:vertAlign w:val="superscript"/>
        </w:rPr>
        <w:t>[</w:t>
      </w:r>
      <w:proofErr w:type="gramEnd"/>
      <w:r>
        <w:rPr>
          <w:spacing w:val="-10"/>
          <w:vertAlign w:val="superscript"/>
        </w:rPr>
        <w:t>62]</w:t>
      </w:r>
      <w:r>
        <w:rPr>
          <w:spacing w:val="-10"/>
        </w:rPr>
        <w:t xml:space="preserve"> retrospectively evaluated class Child-Pugh A and B cirrhotic patients having received </w:t>
      </w:r>
      <w:proofErr w:type="spellStart"/>
      <w:r>
        <w:rPr>
          <w:spacing w:val="-10"/>
        </w:rPr>
        <w:t>DOACs</w:t>
      </w:r>
      <w:proofErr w:type="spellEnd"/>
      <w:r>
        <w:rPr>
          <w:spacing w:val="-10"/>
        </w:rPr>
        <w:t xml:space="preserve"> treatment for different conditions. Two thirds of the patients received </w:t>
      </w:r>
      <w:proofErr w:type="spellStart"/>
      <w:r>
        <w:rPr>
          <w:spacing w:val="-10"/>
        </w:rPr>
        <w:t>DOACs</w:t>
      </w:r>
      <w:proofErr w:type="spellEnd"/>
      <w:r>
        <w:rPr>
          <w:spacing w:val="-10"/>
        </w:rPr>
        <w:t xml:space="preserve"> for </w:t>
      </w:r>
      <w:proofErr w:type="spellStart"/>
      <w:r>
        <w:rPr>
          <w:spacing w:val="-10"/>
        </w:rPr>
        <w:t>PVT</w:t>
      </w:r>
      <w:proofErr w:type="spellEnd"/>
      <w:r>
        <w:rPr>
          <w:spacing w:val="-10"/>
        </w:rPr>
        <w:t xml:space="preserve"> treatment. There are no data reported on the recanalization rate. Major bleeding events occurred in 5% of the patients and a paradoxically </w:t>
      </w:r>
      <w:proofErr w:type="spellStart"/>
      <w:r>
        <w:rPr>
          <w:spacing w:val="-10"/>
        </w:rPr>
        <w:t>PVT</w:t>
      </w:r>
      <w:proofErr w:type="spellEnd"/>
      <w:r>
        <w:rPr>
          <w:spacing w:val="-10"/>
        </w:rPr>
        <w:t xml:space="preserve"> recurrence during the anticoagulant treatment was described. In </w:t>
      </w:r>
      <w:r>
        <w:rPr>
          <w:spacing w:val="-7"/>
        </w:rPr>
        <w:t xml:space="preserve">a clinical trial assessing the efficacy of </w:t>
      </w:r>
      <w:proofErr w:type="spellStart"/>
      <w:r>
        <w:rPr>
          <w:spacing w:val="-7"/>
        </w:rPr>
        <w:t>VKAs</w:t>
      </w:r>
      <w:proofErr w:type="spellEnd"/>
      <w:r>
        <w:rPr>
          <w:spacing w:val="-7"/>
        </w:rPr>
        <w:t xml:space="preserve">, </w:t>
      </w:r>
      <w:proofErr w:type="spellStart"/>
      <w:r>
        <w:rPr>
          <w:spacing w:val="-7"/>
        </w:rPr>
        <w:t>Hafany</w:t>
      </w:r>
      <w:proofErr w:type="spellEnd"/>
      <w:r>
        <w:rPr>
          <w:spacing w:val="-7"/>
        </w:rPr>
        <w:t xml:space="preserve"> </w:t>
      </w:r>
      <w:r>
        <w:rPr>
          <w:i/>
          <w:iCs/>
          <w:spacing w:val="-7"/>
        </w:rPr>
        <w:t xml:space="preserve">et </w:t>
      </w:r>
      <w:proofErr w:type="gramStart"/>
      <w:r>
        <w:rPr>
          <w:i/>
          <w:iCs/>
          <w:spacing w:val="-11"/>
        </w:rPr>
        <w:t>al</w:t>
      </w:r>
      <w:r>
        <w:rPr>
          <w:spacing w:val="-11"/>
          <w:vertAlign w:val="superscript"/>
        </w:rPr>
        <w:t>[</w:t>
      </w:r>
      <w:proofErr w:type="gramEnd"/>
      <w:r>
        <w:rPr>
          <w:spacing w:val="-11"/>
          <w:vertAlign w:val="superscript"/>
        </w:rPr>
        <w:t>63]</w:t>
      </w:r>
      <w:r>
        <w:rPr>
          <w:spacing w:val="-11"/>
        </w:rPr>
        <w:t xml:space="preserve"> compared the </w:t>
      </w:r>
      <w:proofErr w:type="spellStart"/>
      <w:r>
        <w:rPr>
          <w:spacing w:val="-11"/>
        </w:rPr>
        <w:t>DOAC</w:t>
      </w:r>
      <w:proofErr w:type="spellEnd"/>
      <w:r>
        <w:rPr>
          <w:spacing w:val="-11"/>
        </w:rPr>
        <w:t xml:space="preserve"> </w:t>
      </w:r>
      <w:proofErr w:type="spellStart"/>
      <w:r>
        <w:rPr>
          <w:spacing w:val="-11"/>
        </w:rPr>
        <w:t>rivaroxaban</w:t>
      </w:r>
      <w:proofErr w:type="spellEnd"/>
      <w:r>
        <w:rPr>
          <w:spacing w:val="-11"/>
        </w:rPr>
        <w:t xml:space="preserve"> with warfarin in </w:t>
      </w:r>
      <w:r>
        <w:rPr>
          <w:spacing w:val="-10"/>
        </w:rPr>
        <w:t xml:space="preserve">80 patients with virus C compensated cirrhosis. They reported </w:t>
      </w:r>
      <w:proofErr w:type="gramStart"/>
      <w:r>
        <w:rPr>
          <w:spacing w:val="-10"/>
        </w:rPr>
        <w:t>a</w:t>
      </w:r>
      <w:proofErr w:type="gramEnd"/>
      <w:r>
        <w:rPr>
          <w:spacing w:val="-10"/>
        </w:rPr>
        <w:t xml:space="preserve"> 85% recanalization rate, in contrast with </w:t>
      </w:r>
      <w:r>
        <w:rPr>
          <w:spacing w:val="-10"/>
        </w:rPr>
        <w:lastRenderedPageBreak/>
        <w:t>the 45% in patients treated with warfarin, higher short-term survival rate and fewer</w:t>
      </w:r>
      <w:r w:rsidRPr="000937AF">
        <w:rPr>
          <w:spacing w:val="-10"/>
        </w:rPr>
        <w:t xml:space="preserve"> </w:t>
      </w:r>
      <w:r>
        <w:rPr>
          <w:spacing w:val="-10"/>
        </w:rPr>
        <w:t xml:space="preserve">gastrointestinal bleeding events in patients treated with </w:t>
      </w:r>
      <w:proofErr w:type="spellStart"/>
      <w:r>
        <w:rPr>
          <w:spacing w:val="-10"/>
        </w:rPr>
        <w:t>DOACs</w:t>
      </w:r>
      <w:proofErr w:type="spellEnd"/>
      <w:r>
        <w:rPr>
          <w:spacing w:val="-10"/>
        </w:rPr>
        <w:t xml:space="preserve">. </w:t>
      </w:r>
      <w:proofErr w:type="spellStart"/>
      <w:r>
        <w:rPr>
          <w:spacing w:val="-10"/>
        </w:rPr>
        <w:t>Nagaoki</w:t>
      </w:r>
      <w:proofErr w:type="spellEnd"/>
      <w:r>
        <w:rPr>
          <w:spacing w:val="-10"/>
        </w:rPr>
        <w:t xml:space="preserve"> </w:t>
      </w:r>
      <w:r>
        <w:rPr>
          <w:i/>
          <w:iCs/>
          <w:spacing w:val="-10"/>
        </w:rPr>
        <w:t xml:space="preserve">et </w:t>
      </w:r>
      <w:proofErr w:type="gramStart"/>
      <w:r>
        <w:rPr>
          <w:i/>
          <w:iCs/>
          <w:spacing w:val="-10"/>
        </w:rPr>
        <w:t>al</w:t>
      </w:r>
      <w:r>
        <w:rPr>
          <w:spacing w:val="-10"/>
          <w:vertAlign w:val="superscript"/>
        </w:rPr>
        <w:t>[</w:t>
      </w:r>
      <w:proofErr w:type="gramEnd"/>
      <w:r>
        <w:rPr>
          <w:spacing w:val="-10"/>
          <w:vertAlign w:val="superscript"/>
        </w:rPr>
        <w:t xml:space="preserve">64] </w:t>
      </w:r>
      <w:r>
        <w:rPr>
          <w:spacing w:val="-10"/>
        </w:rPr>
        <w:t xml:space="preserve">compared </w:t>
      </w:r>
      <w:proofErr w:type="spellStart"/>
      <w:r>
        <w:rPr>
          <w:spacing w:val="-10"/>
        </w:rPr>
        <w:t>edoxaban</w:t>
      </w:r>
      <w:proofErr w:type="spellEnd"/>
      <w:r>
        <w:rPr>
          <w:spacing w:val="-10"/>
        </w:rPr>
        <w:t xml:space="preserve"> and warfarin in cirrhotic patients with </w:t>
      </w:r>
      <w:proofErr w:type="spellStart"/>
      <w:r>
        <w:rPr>
          <w:spacing w:val="-10"/>
        </w:rPr>
        <w:t>PVT</w:t>
      </w:r>
      <w:proofErr w:type="spellEnd"/>
      <w:r>
        <w:rPr>
          <w:spacing w:val="-10"/>
        </w:rPr>
        <w:t xml:space="preserve"> and, concluded that </w:t>
      </w:r>
      <w:proofErr w:type="spellStart"/>
      <w:r>
        <w:rPr>
          <w:spacing w:val="-10"/>
        </w:rPr>
        <w:t>edoxaban</w:t>
      </w:r>
      <w:proofErr w:type="spellEnd"/>
      <w:r>
        <w:rPr>
          <w:spacing w:val="-10"/>
        </w:rPr>
        <w:t xml:space="preserve"> is an effective anticoagulant treatment, although most of the events involving the gastrointestinal bleeding were associated with the administration of </w:t>
      </w:r>
      <w:proofErr w:type="spellStart"/>
      <w:r>
        <w:rPr>
          <w:spacing w:val="-10"/>
        </w:rPr>
        <w:t>edoxaban</w:t>
      </w:r>
      <w:proofErr w:type="spellEnd"/>
      <w:r>
        <w:rPr>
          <w:spacing w:val="-10"/>
        </w:rPr>
        <w:t xml:space="preserve">(15% </w:t>
      </w:r>
      <w:proofErr w:type="spellStart"/>
      <w:r>
        <w:rPr>
          <w:i/>
          <w:iCs/>
          <w:spacing w:val="-10"/>
        </w:rPr>
        <w:t>vs</w:t>
      </w:r>
      <w:proofErr w:type="spellEnd"/>
      <w:r>
        <w:rPr>
          <w:i/>
          <w:iCs/>
          <w:spacing w:val="-10"/>
        </w:rPr>
        <w:t xml:space="preserve"> </w:t>
      </w:r>
      <w:r>
        <w:rPr>
          <w:spacing w:val="-10"/>
        </w:rPr>
        <w:t>7%).</w:t>
      </w:r>
    </w:p>
    <w:p w:rsidR="00FE1855" w:rsidRDefault="00FE1855" w:rsidP="00FE1855">
      <w:pPr>
        <w:pStyle w:val="10"/>
      </w:pPr>
      <w:r>
        <w:t xml:space="preserve">The recent literature does not establish with certainty the role of </w:t>
      </w:r>
      <w:proofErr w:type="spellStart"/>
      <w:r>
        <w:t>DOACs</w:t>
      </w:r>
      <w:proofErr w:type="spellEnd"/>
      <w:r>
        <w:t xml:space="preserve"> in treating </w:t>
      </w:r>
      <w:proofErr w:type="spellStart"/>
      <w:r>
        <w:t>PVT</w:t>
      </w:r>
      <w:proofErr w:type="spellEnd"/>
      <w:r>
        <w:t xml:space="preserve"> in cirrhotic patients, and further large clinical trials are needed confirm if the </w:t>
      </w:r>
      <w:proofErr w:type="spellStart"/>
      <w:r>
        <w:t>DOACs</w:t>
      </w:r>
      <w:proofErr w:type="spellEnd"/>
      <w:r>
        <w:t xml:space="preserve"> can be used effectively and safely in Child-Pugh A or B liver cirrhosis. </w:t>
      </w:r>
    </w:p>
    <w:p w:rsidR="00FE1855" w:rsidRPr="000937AF" w:rsidRDefault="00FE1855" w:rsidP="00FE1855">
      <w:pPr>
        <w:pStyle w:val="af9"/>
        <w:rPr>
          <w:lang w:val="en-US"/>
        </w:rPr>
      </w:pPr>
    </w:p>
    <w:p w:rsidR="00FE1855" w:rsidRPr="000937AF" w:rsidRDefault="00FE1855" w:rsidP="00FE1855">
      <w:pPr>
        <w:pStyle w:val="af9"/>
        <w:rPr>
          <w:lang w:val="en-US"/>
        </w:rPr>
      </w:pPr>
      <w:proofErr w:type="spellStart"/>
      <w:r w:rsidRPr="000937AF">
        <w:rPr>
          <w:lang w:val="en-US"/>
        </w:rPr>
        <w:t>Transjugular</w:t>
      </w:r>
      <w:proofErr w:type="spellEnd"/>
      <w:r w:rsidRPr="000937AF">
        <w:rPr>
          <w:lang w:val="en-US"/>
        </w:rPr>
        <w:t xml:space="preserve"> intrahepatic </w:t>
      </w:r>
      <w:proofErr w:type="spellStart"/>
      <w:r w:rsidRPr="000937AF">
        <w:rPr>
          <w:lang w:val="en-US"/>
        </w:rPr>
        <w:t>portosystemic</w:t>
      </w:r>
      <w:proofErr w:type="spellEnd"/>
      <w:r w:rsidRPr="000937AF">
        <w:rPr>
          <w:lang w:val="en-US"/>
        </w:rPr>
        <w:t xml:space="preserve"> shunt</w:t>
      </w:r>
    </w:p>
    <w:p w:rsidR="00FE1855" w:rsidRDefault="00FE1855" w:rsidP="00FE1855">
      <w:pPr>
        <w:pStyle w:val="af8"/>
        <w:rPr>
          <w:spacing w:val="-12"/>
          <w:lang w:val="en-GB"/>
        </w:rPr>
      </w:pPr>
      <w:r>
        <w:rPr>
          <w:spacing w:val="-12"/>
        </w:rPr>
        <w:t xml:space="preserve">Classically considered contraindicated in </w:t>
      </w:r>
      <w:proofErr w:type="spellStart"/>
      <w:r>
        <w:rPr>
          <w:spacing w:val="-12"/>
        </w:rPr>
        <w:t>PVT</w:t>
      </w:r>
      <w:proofErr w:type="spellEnd"/>
      <w:r>
        <w:rPr>
          <w:spacing w:val="-12"/>
        </w:rPr>
        <w:t>, TIPS could be an alternative particularly if thrombosis pro</w:t>
      </w:r>
      <w:r>
        <w:rPr>
          <w:spacing w:val="-12"/>
        </w:rPr>
        <w:softHyphen/>
        <w:t xml:space="preserve">gresses despite satisfactory anticoagulation and/or when </w:t>
      </w:r>
      <w:proofErr w:type="spellStart"/>
      <w:r>
        <w:rPr>
          <w:spacing w:val="-12"/>
        </w:rPr>
        <w:t>PVT</w:t>
      </w:r>
      <w:proofErr w:type="spellEnd"/>
      <w:r>
        <w:rPr>
          <w:spacing w:val="-12"/>
        </w:rPr>
        <w:t xml:space="preserve"> is associated with severe portal hypertension </w:t>
      </w:r>
      <w:proofErr w:type="gramStart"/>
      <w:r>
        <w:rPr>
          <w:spacing w:val="-12"/>
        </w:rPr>
        <w:t>complications</w:t>
      </w:r>
      <w:r>
        <w:rPr>
          <w:spacing w:val="-12"/>
          <w:vertAlign w:val="superscript"/>
        </w:rPr>
        <w:t>[</w:t>
      </w:r>
      <w:proofErr w:type="gramEnd"/>
      <w:r>
        <w:rPr>
          <w:spacing w:val="-12"/>
          <w:vertAlign w:val="superscript"/>
        </w:rPr>
        <w:t>1,48]</w:t>
      </w:r>
      <w:r>
        <w:rPr>
          <w:spacing w:val="-12"/>
        </w:rPr>
        <w:t xml:space="preserve">. </w:t>
      </w:r>
      <w:r>
        <w:rPr>
          <w:spacing w:val="-12"/>
          <w:lang w:val="en-GB"/>
        </w:rPr>
        <w:t xml:space="preserve">However, in such cases, TIPS is expected to be technically challenging with a higher failure </w:t>
      </w:r>
      <w:proofErr w:type="gramStart"/>
      <w:r>
        <w:rPr>
          <w:spacing w:val="-12"/>
          <w:lang w:val="en-GB"/>
        </w:rPr>
        <w:t>rate</w:t>
      </w:r>
      <w:r>
        <w:rPr>
          <w:spacing w:val="-12"/>
          <w:vertAlign w:val="superscript"/>
          <w:lang w:val="en-GB"/>
        </w:rPr>
        <w:t>[</w:t>
      </w:r>
      <w:proofErr w:type="gramEnd"/>
      <w:r>
        <w:rPr>
          <w:spacing w:val="-12"/>
          <w:vertAlign w:val="superscript"/>
          <w:lang w:val="en-GB"/>
        </w:rPr>
        <w:t>48,65]</w:t>
      </w:r>
      <w:r>
        <w:rPr>
          <w:spacing w:val="-12"/>
          <w:lang w:val="en-GB"/>
        </w:rPr>
        <w:t xml:space="preserve"> and should be attempted only in experienced centres. TIPS</w:t>
      </w:r>
      <w:r>
        <w:rPr>
          <w:spacing w:val="-12"/>
        </w:rPr>
        <w:t xml:space="preserve"> may be a treatment option in patients with acute PVT. In chronic </w:t>
      </w:r>
      <w:proofErr w:type="spellStart"/>
      <w:r>
        <w:rPr>
          <w:spacing w:val="-12"/>
        </w:rPr>
        <w:t>PVT</w:t>
      </w:r>
      <w:proofErr w:type="spellEnd"/>
      <w:r>
        <w:rPr>
          <w:spacing w:val="-12"/>
        </w:rPr>
        <w:t xml:space="preserve"> or portal </w:t>
      </w:r>
      <w:proofErr w:type="spellStart"/>
      <w:r>
        <w:rPr>
          <w:spacing w:val="-12"/>
        </w:rPr>
        <w:t>cavernoma</w:t>
      </w:r>
      <w:proofErr w:type="spellEnd"/>
      <w:r>
        <w:rPr>
          <w:spacing w:val="-12"/>
        </w:rPr>
        <w:t xml:space="preserve"> TIPS is unsuccessful if the lumen of </w:t>
      </w:r>
      <w:proofErr w:type="spellStart"/>
      <w:r>
        <w:rPr>
          <w:spacing w:val="-12"/>
        </w:rPr>
        <w:t>thrombosed</w:t>
      </w:r>
      <w:proofErr w:type="spellEnd"/>
      <w:r>
        <w:rPr>
          <w:spacing w:val="-12"/>
        </w:rPr>
        <w:t xml:space="preserve"> portal vein is not </w:t>
      </w:r>
      <w:proofErr w:type="spellStart"/>
      <w:r>
        <w:rPr>
          <w:spacing w:val="-12"/>
        </w:rPr>
        <w:t>catheterizable</w:t>
      </w:r>
      <w:proofErr w:type="spellEnd"/>
      <w:r>
        <w:rPr>
          <w:spacing w:val="-12"/>
        </w:rPr>
        <w:t xml:space="preserve"> and </w:t>
      </w:r>
      <w:proofErr w:type="spellStart"/>
      <w:r>
        <w:rPr>
          <w:spacing w:val="-12"/>
        </w:rPr>
        <w:t>cavernomatous</w:t>
      </w:r>
      <w:proofErr w:type="spellEnd"/>
      <w:r>
        <w:rPr>
          <w:spacing w:val="-12"/>
        </w:rPr>
        <w:t xml:space="preserve"> vein is not amenable to dilatation.</w:t>
      </w:r>
    </w:p>
    <w:p w:rsidR="00FE1855" w:rsidRPr="000937AF" w:rsidRDefault="00FE1855" w:rsidP="00FE1855">
      <w:pPr>
        <w:pStyle w:val="af7"/>
        <w:ind w:left="5250"/>
        <w:rPr>
          <w:lang w:val="en-US"/>
        </w:rPr>
      </w:pPr>
    </w:p>
    <w:p w:rsidR="00FE1855" w:rsidRPr="000937AF" w:rsidRDefault="00FE1855" w:rsidP="00A26AAC">
      <w:pPr>
        <w:pStyle w:val="af7"/>
        <w:rPr>
          <w:u w:val="single"/>
          <w:lang w:val="en-US"/>
        </w:rPr>
      </w:pPr>
      <w:r w:rsidRPr="000937AF">
        <w:rPr>
          <w:u w:val="single"/>
          <w:lang w:val="en-US"/>
        </w:rPr>
        <w:t>FUTURES PERSPECTIVES: UNMET NEEDS</w:t>
      </w:r>
    </w:p>
    <w:p w:rsidR="00FE1855" w:rsidRDefault="00FE1855" w:rsidP="00FE1855">
      <w:pPr>
        <w:pStyle w:val="af8"/>
      </w:pPr>
      <w:r>
        <w:t xml:space="preserve">Although new data on the mechanisms of </w:t>
      </w:r>
      <w:proofErr w:type="spellStart"/>
      <w:r>
        <w:t>PVT</w:t>
      </w:r>
      <w:proofErr w:type="spellEnd"/>
      <w:r>
        <w:t xml:space="preserve"> development in cirrhotic patients was published and a new complex classification is proposed, there are still a lot of puzzle pieces missing in the big picture of PVT.</w:t>
      </w:r>
    </w:p>
    <w:p w:rsidR="00FE1855" w:rsidRDefault="00FE1855" w:rsidP="00FE1855">
      <w:pPr>
        <w:pStyle w:val="10"/>
        <w:rPr>
          <w:spacing w:val="-13"/>
        </w:rPr>
      </w:pPr>
      <w:r>
        <w:rPr>
          <w:spacing w:val="-13"/>
        </w:rPr>
        <w:t xml:space="preserve">The prognostic value of the new </w:t>
      </w:r>
      <w:proofErr w:type="spellStart"/>
      <w:r>
        <w:rPr>
          <w:spacing w:val="-13"/>
        </w:rPr>
        <w:t>PVT</w:t>
      </w:r>
      <w:proofErr w:type="spellEnd"/>
      <w:r>
        <w:rPr>
          <w:spacing w:val="-13"/>
        </w:rPr>
        <w:t xml:space="preserve"> classification remains to be confirmed by future prospective studies, without omitting the pattern of </w:t>
      </w:r>
      <w:proofErr w:type="spellStart"/>
      <w:r>
        <w:rPr>
          <w:spacing w:val="-13"/>
        </w:rPr>
        <w:t>PVT</w:t>
      </w:r>
      <w:proofErr w:type="spellEnd"/>
      <w:r>
        <w:rPr>
          <w:spacing w:val="-13"/>
        </w:rPr>
        <w:t xml:space="preserve"> evolution and the status of the liver cirrhosis (compensated or decompensated).</w:t>
      </w:r>
    </w:p>
    <w:p w:rsidR="00FE1855" w:rsidRDefault="00FE1855" w:rsidP="00FE1855">
      <w:pPr>
        <w:pStyle w:val="10"/>
      </w:pPr>
      <w:r>
        <w:t xml:space="preserve">Controversies persist regarding the mechanism leading to </w:t>
      </w:r>
      <w:proofErr w:type="spellStart"/>
      <w:r>
        <w:t>PVT</w:t>
      </w:r>
      <w:proofErr w:type="spellEnd"/>
      <w:r>
        <w:t xml:space="preserve"> in LC. The influence of each previously described risk factor, in the pathogenesis of </w:t>
      </w:r>
      <w:proofErr w:type="spellStart"/>
      <w:r>
        <w:t>PVT</w:t>
      </w:r>
      <w:proofErr w:type="spellEnd"/>
      <w:r>
        <w:t xml:space="preserve"> needs to be demonstrated. The role of </w:t>
      </w:r>
      <w:proofErr w:type="spellStart"/>
      <w:r>
        <w:t>microbiota</w:t>
      </w:r>
      <w:proofErr w:type="spellEnd"/>
      <w:r>
        <w:t xml:space="preserve"> and the influence of </w:t>
      </w:r>
      <w:proofErr w:type="spellStart"/>
      <w:r>
        <w:t>endotoxinemia</w:t>
      </w:r>
      <w:proofErr w:type="spellEnd"/>
      <w:r>
        <w:t xml:space="preserve"> in the development of </w:t>
      </w:r>
      <w:proofErr w:type="spellStart"/>
      <w:r>
        <w:t>PVT</w:t>
      </w:r>
      <w:proofErr w:type="spellEnd"/>
      <w:r>
        <w:t xml:space="preserve"> in compensated LC must</w:t>
      </w:r>
      <w:r w:rsidRPr="000937AF">
        <w:t xml:space="preserve"> </w:t>
      </w:r>
      <w:r>
        <w:t xml:space="preserve">also to be addressed. The natural history of </w:t>
      </w:r>
      <w:proofErr w:type="spellStart"/>
      <w:r>
        <w:t>PVT</w:t>
      </w:r>
      <w:proofErr w:type="spellEnd"/>
      <w:r>
        <w:t xml:space="preserve"> should be described in large multicenter studies in order to identify predictors for spontaneous recanalization and risk factors for </w:t>
      </w:r>
      <w:proofErr w:type="spellStart"/>
      <w:r>
        <w:t>rethrombosis</w:t>
      </w:r>
      <w:proofErr w:type="spellEnd"/>
      <w:r>
        <w:t>. Updated complex and global dynamic coagulation tests should be developed and validated to</w:t>
      </w:r>
      <w:r w:rsidRPr="000937AF">
        <w:t xml:space="preserve"> </w:t>
      </w:r>
      <w:r>
        <w:t xml:space="preserve">assess the coagulation disorders in cirrhotic patients with </w:t>
      </w:r>
      <w:proofErr w:type="spellStart"/>
      <w:r>
        <w:t>PVT</w:t>
      </w:r>
      <w:proofErr w:type="spellEnd"/>
      <w:r>
        <w:t xml:space="preserve"> and even anticoagulant therapy monitoring. </w:t>
      </w:r>
    </w:p>
    <w:p w:rsidR="00FE1855" w:rsidRDefault="00FE1855" w:rsidP="00FE1855">
      <w:pPr>
        <w:pStyle w:val="10"/>
      </w:pPr>
      <w:r>
        <w:t xml:space="preserve">The ideal anticoagulant treatment of </w:t>
      </w:r>
      <w:proofErr w:type="spellStart"/>
      <w:r>
        <w:t>PVT</w:t>
      </w:r>
      <w:proofErr w:type="spellEnd"/>
      <w:r>
        <w:t xml:space="preserve"> in cirrhotic patients is not yet described. </w:t>
      </w:r>
      <w:proofErr w:type="spellStart"/>
      <w:r>
        <w:t>DOACs</w:t>
      </w:r>
      <w:proofErr w:type="spellEnd"/>
      <w:r>
        <w:t xml:space="preserve"> are used off label for </w:t>
      </w:r>
      <w:proofErr w:type="spellStart"/>
      <w:r>
        <w:t>PVT</w:t>
      </w:r>
      <w:proofErr w:type="spellEnd"/>
      <w:r>
        <w:t xml:space="preserve"> treatment in LC despite the lack of randomized control trials confirming the safety and efficacy. The end-points of these studies should also include short-term and long-term mortality rates together with </w:t>
      </w:r>
      <w:proofErr w:type="spellStart"/>
      <w:r>
        <w:t>decompensation</w:t>
      </w:r>
      <w:proofErr w:type="spellEnd"/>
      <w:r>
        <w:t xml:space="preserve"> outcomes. </w:t>
      </w:r>
    </w:p>
    <w:p w:rsidR="00FE1855" w:rsidRDefault="00FE1855" w:rsidP="00FE1855">
      <w:pPr>
        <w:pStyle w:val="10"/>
      </w:pPr>
      <w:r>
        <w:t xml:space="preserve">No doubt, many advances have been made during the last decade regarding different aspects of </w:t>
      </w:r>
      <w:proofErr w:type="spellStart"/>
      <w:r>
        <w:t>PVT</w:t>
      </w:r>
      <w:proofErr w:type="spellEnd"/>
      <w:r>
        <w:t xml:space="preserve"> pathophysiology and treatment in cirrhotic patients, although this complication of liver cirrhosis still has more questions than answers. </w:t>
      </w:r>
    </w:p>
    <w:p w:rsidR="00FE1855" w:rsidRPr="000937AF" w:rsidRDefault="00FE1855" w:rsidP="00FE1855">
      <w:pPr>
        <w:pStyle w:val="af7"/>
        <w:ind w:left="5250"/>
        <w:rPr>
          <w:lang w:val="en-US"/>
        </w:rPr>
      </w:pPr>
    </w:p>
    <w:p w:rsidR="00FE1855" w:rsidRPr="000937AF" w:rsidRDefault="00FE1855" w:rsidP="00A26AAC">
      <w:pPr>
        <w:pStyle w:val="af7"/>
        <w:rPr>
          <w:lang w:val="en-US"/>
        </w:rPr>
      </w:pPr>
      <w:bookmarkStart w:id="0" w:name="_GoBack"/>
      <w:bookmarkEnd w:id="0"/>
      <w:r w:rsidRPr="000937AF">
        <w:rPr>
          <w:lang w:val="en-US"/>
        </w:rPr>
        <w:t>REFERENCES</w:t>
      </w:r>
    </w:p>
    <w:p w:rsidR="00FE1855" w:rsidRDefault="00FE1855" w:rsidP="00FE1855">
      <w:pPr>
        <w:pStyle w:val="-1"/>
      </w:pPr>
      <w:r>
        <w:t>1</w:t>
      </w:r>
      <w:r>
        <w:tab/>
      </w:r>
      <w:proofErr w:type="spellStart"/>
      <w:r>
        <w:rPr>
          <w:b/>
          <w:bCs/>
        </w:rPr>
        <w:t>Tsochatzis</w:t>
      </w:r>
      <w:proofErr w:type="spellEnd"/>
      <w:r>
        <w:rPr>
          <w:b/>
          <w:bCs/>
        </w:rPr>
        <w:t xml:space="preserve"> </w:t>
      </w:r>
      <w:proofErr w:type="spellStart"/>
      <w:r>
        <w:rPr>
          <w:b/>
          <w:bCs/>
        </w:rPr>
        <w:t>EA</w:t>
      </w:r>
      <w:proofErr w:type="spellEnd"/>
      <w:r>
        <w:t xml:space="preserve">, </w:t>
      </w:r>
      <w:proofErr w:type="spellStart"/>
      <w:r>
        <w:t>Senzolo</w:t>
      </w:r>
      <w:proofErr w:type="spellEnd"/>
      <w:r>
        <w:t xml:space="preserve"> M, </w:t>
      </w:r>
      <w:proofErr w:type="spellStart"/>
      <w:r>
        <w:t>Germani</w:t>
      </w:r>
      <w:proofErr w:type="spellEnd"/>
      <w:r>
        <w:t xml:space="preserve"> G, </w:t>
      </w:r>
      <w:proofErr w:type="spellStart"/>
      <w:proofErr w:type="gramStart"/>
      <w:r>
        <w:t>Gatt</w:t>
      </w:r>
      <w:proofErr w:type="spellEnd"/>
      <w:proofErr w:type="gramEnd"/>
      <w:r>
        <w:t xml:space="preserve"> A, Burroughs AK. Systematic review: portal vein thrombosis in cirrhosis.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2010; </w:t>
      </w:r>
      <w:r>
        <w:rPr>
          <w:b/>
          <w:bCs/>
        </w:rPr>
        <w:t>31</w:t>
      </w:r>
      <w:r>
        <w:t>: 366-374 [</w:t>
      </w:r>
      <w:proofErr w:type="spellStart"/>
      <w:r>
        <w:t>PMID</w:t>
      </w:r>
      <w:proofErr w:type="spellEnd"/>
      <w:r>
        <w:t xml:space="preserve">: 19863496 </w:t>
      </w:r>
      <w:proofErr w:type="spellStart"/>
      <w:r>
        <w:t>DOI</w:t>
      </w:r>
      <w:proofErr w:type="spellEnd"/>
      <w:r>
        <w:t>: 10.1111/j.1365-2036.2009.04182.x]</w:t>
      </w:r>
    </w:p>
    <w:p w:rsidR="00FE1855" w:rsidRDefault="00FE1855" w:rsidP="00FE1855">
      <w:pPr>
        <w:pStyle w:val="-1"/>
      </w:pPr>
      <w:r>
        <w:t>2</w:t>
      </w:r>
      <w:r>
        <w:tab/>
      </w:r>
      <w:proofErr w:type="spellStart"/>
      <w:r>
        <w:rPr>
          <w:b/>
          <w:bCs/>
        </w:rPr>
        <w:t>Rajani</w:t>
      </w:r>
      <w:proofErr w:type="spellEnd"/>
      <w:r>
        <w:rPr>
          <w:b/>
          <w:bCs/>
        </w:rPr>
        <w:t xml:space="preserve"> R</w:t>
      </w:r>
      <w:r>
        <w:t xml:space="preserve">, </w:t>
      </w:r>
      <w:proofErr w:type="spellStart"/>
      <w:r>
        <w:t>Björnsson</w:t>
      </w:r>
      <w:proofErr w:type="spellEnd"/>
      <w:r>
        <w:t xml:space="preserve"> E, </w:t>
      </w:r>
      <w:proofErr w:type="spellStart"/>
      <w:r>
        <w:t>Bergquist</w:t>
      </w:r>
      <w:proofErr w:type="spellEnd"/>
      <w:r>
        <w:t xml:space="preserve"> A, </w:t>
      </w:r>
      <w:proofErr w:type="spellStart"/>
      <w:r>
        <w:t>Danielsson</w:t>
      </w:r>
      <w:proofErr w:type="spellEnd"/>
      <w:r>
        <w:t xml:space="preserve"> A, </w:t>
      </w:r>
      <w:proofErr w:type="spellStart"/>
      <w:r>
        <w:t>Gustavsson</w:t>
      </w:r>
      <w:proofErr w:type="spellEnd"/>
      <w:r>
        <w:t xml:space="preserve"> A, Grip O, </w:t>
      </w:r>
      <w:proofErr w:type="spellStart"/>
      <w:r>
        <w:t>Melin</w:t>
      </w:r>
      <w:proofErr w:type="spellEnd"/>
      <w:r>
        <w:t xml:space="preserve"> T, </w:t>
      </w:r>
      <w:proofErr w:type="spellStart"/>
      <w:r>
        <w:t>Sangfelt</w:t>
      </w:r>
      <w:proofErr w:type="spellEnd"/>
      <w:r>
        <w:t xml:space="preserve"> P, </w:t>
      </w:r>
      <w:proofErr w:type="spellStart"/>
      <w:r>
        <w:t>Wallerstedt</w:t>
      </w:r>
      <w:proofErr w:type="spellEnd"/>
      <w:r>
        <w:t xml:space="preserve"> S, </w:t>
      </w:r>
      <w:proofErr w:type="spellStart"/>
      <w:r>
        <w:t>Almer</w:t>
      </w:r>
      <w:proofErr w:type="spellEnd"/>
      <w:r>
        <w:t xml:space="preserve"> S. The epidemiology and clinical features of portal vein thrombosis: a </w:t>
      </w:r>
      <w:proofErr w:type="spellStart"/>
      <w:r>
        <w:t>multicentre</w:t>
      </w:r>
      <w:proofErr w:type="spellEnd"/>
      <w:r>
        <w:t xml:space="preserve"> study.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2010; </w:t>
      </w:r>
      <w:r>
        <w:rPr>
          <w:b/>
          <w:bCs/>
        </w:rPr>
        <w:t>32</w:t>
      </w:r>
      <w:r>
        <w:t>: 1154-1162 [</w:t>
      </w:r>
      <w:proofErr w:type="spellStart"/>
      <w:r>
        <w:t>PMID</w:t>
      </w:r>
      <w:proofErr w:type="spellEnd"/>
      <w:r>
        <w:t xml:space="preserve">: 21039677 </w:t>
      </w:r>
      <w:proofErr w:type="spellStart"/>
      <w:r>
        <w:t>DOI</w:t>
      </w:r>
      <w:proofErr w:type="spellEnd"/>
      <w:r>
        <w:t>: 10.1111/j.1365-2036.2010.04454.x]</w:t>
      </w:r>
    </w:p>
    <w:p w:rsidR="00FE1855" w:rsidRDefault="00FE1855" w:rsidP="00FE1855">
      <w:pPr>
        <w:pStyle w:val="-1"/>
      </w:pPr>
      <w:r>
        <w:t>3</w:t>
      </w:r>
      <w:r>
        <w:tab/>
      </w:r>
      <w:proofErr w:type="spellStart"/>
      <w:r>
        <w:rPr>
          <w:b/>
          <w:bCs/>
        </w:rPr>
        <w:t>Francoz</w:t>
      </w:r>
      <w:proofErr w:type="spellEnd"/>
      <w:r>
        <w:rPr>
          <w:b/>
          <w:bCs/>
        </w:rPr>
        <w:t xml:space="preserve"> C</w:t>
      </w:r>
      <w:r>
        <w:t xml:space="preserve">, Valla D, Durand F. Portal vein thrombosis, cirrhosis, and liver transplantation. </w:t>
      </w:r>
      <w:r>
        <w:rPr>
          <w:i/>
          <w:iCs/>
        </w:rPr>
        <w:t xml:space="preserve">J </w:t>
      </w:r>
      <w:proofErr w:type="spellStart"/>
      <w:r>
        <w:rPr>
          <w:i/>
          <w:iCs/>
        </w:rPr>
        <w:t>Hepatol</w:t>
      </w:r>
      <w:proofErr w:type="spellEnd"/>
      <w:r>
        <w:t xml:space="preserve"> 2012; </w:t>
      </w:r>
      <w:r>
        <w:rPr>
          <w:b/>
          <w:bCs/>
        </w:rPr>
        <w:t>57</w:t>
      </w:r>
      <w:r>
        <w:t>: 203-212 [</w:t>
      </w:r>
      <w:proofErr w:type="spellStart"/>
      <w:r>
        <w:t>PMID</w:t>
      </w:r>
      <w:proofErr w:type="spellEnd"/>
      <w:r>
        <w:t xml:space="preserve">: 22446690 </w:t>
      </w:r>
      <w:proofErr w:type="spellStart"/>
      <w:r>
        <w:t>DOI</w:t>
      </w:r>
      <w:proofErr w:type="spellEnd"/>
      <w:r>
        <w:t>: 10.1016/j.jhep.2011.12.034]</w:t>
      </w:r>
    </w:p>
    <w:p w:rsidR="00FE1855" w:rsidRDefault="00FE1855" w:rsidP="00FE1855">
      <w:pPr>
        <w:pStyle w:val="-1"/>
      </w:pPr>
      <w:r>
        <w:t>4</w:t>
      </w:r>
      <w:r>
        <w:tab/>
      </w:r>
      <w:proofErr w:type="spellStart"/>
      <w:r>
        <w:rPr>
          <w:b/>
          <w:bCs/>
        </w:rPr>
        <w:t>Tripodi</w:t>
      </w:r>
      <w:proofErr w:type="spellEnd"/>
      <w:r>
        <w:rPr>
          <w:b/>
          <w:bCs/>
        </w:rPr>
        <w:t xml:space="preserve"> A</w:t>
      </w:r>
      <w:r>
        <w:t xml:space="preserve">, </w:t>
      </w:r>
      <w:proofErr w:type="spellStart"/>
      <w:r>
        <w:t>Mannucci</w:t>
      </w:r>
      <w:proofErr w:type="spellEnd"/>
      <w:r>
        <w:t xml:space="preserve"> PM. </w:t>
      </w:r>
      <w:proofErr w:type="gramStart"/>
      <w:r>
        <w:t>The coagulopathy of chronic liver disease.</w:t>
      </w:r>
      <w:proofErr w:type="gramEnd"/>
      <w:r>
        <w:t xml:space="preserve"> </w:t>
      </w:r>
      <w:r>
        <w:rPr>
          <w:i/>
          <w:iCs/>
        </w:rPr>
        <w:t xml:space="preserve">N </w:t>
      </w:r>
      <w:proofErr w:type="spellStart"/>
      <w:r>
        <w:rPr>
          <w:i/>
          <w:iCs/>
        </w:rPr>
        <w:t>Engl</w:t>
      </w:r>
      <w:proofErr w:type="spellEnd"/>
      <w:r>
        <w:rPr>
          <w:i/>
          <w:iCs/>
        </w:rPr>
        <w:t xml:space="preserve"> J Med</w:t>
      </w:r>
      <w:r>
        <w:t xml:space="preserve"> 2011; </w:t>
      </w:r>
      <w:r>
        <w:rPr>
          <w:b/>
          <w:bCs/>
        </w:rPr>
        <w:t>365</w:t>
      </w:r>
      <w:r>
        <w:t>: 147-156 [</w:t>
      </w:r>
      <w:proofErr w:type="spellStart"/>
      <w:r>
        <w:t>PMID</w:t>
      </w:r>
      <w:proofErr w:type="spellEnd"/>
      <w:r>
        <w:t xml:space="preserve">: 21751907 </w:t>
      </w:r>
      <w:proofErr w:type="spellStart"/>
      <w:r>
        <w:t>DOI</w:t>
      </w:r>
      <w:proofErr w:type="spellEnd"/>
      <w:r>
        <w:t>: 10.1056/NEJMra1011170]</w:t>
      </w:r>
    </w:p>
    <w:p w:rsidR="00FE1855" w:rsidRDefault="00FE1855" w:rsidP="00FE1855">
      <w:pPr>
        <w:pStyle w:val="-1"/>
      </w:pPr>
      <w:r>
        <w:t>5</w:t>
      </w:r>
      <w:r>
        <w:tab/>
      </w:r>
      <w:proofErr w:type="spellStart"/>
      <w:r>
        <w:rPr>
          <w:b/>
          <w:bCs/>
        </w:rPr>
        <w:t>Cagin</w:t>
      </w:r>
      <w:proofErr w:type="spellEnd"/>
      <w:r>
        <w:rPr>
          <w:b/>
          <w:bCs/>
        </w:rPr>
        <w:t xml:space="preserve"> </w:t>
      </w:r>
      <w:proofErr w:type="spellStart"/>
      <w:r>
        <w:rPr>
          <w:b/>
          <w:bCs/>
        </w:rPr>
        <w:t>YF</w:t>
      </w:r>
      <w:proofErr w:type="spellEnd"/>
      <w:r>
        <w:t xml:space="preserve">, </w:t>
      </w:r>
      <w:proofErr w:type="spellStart"/>
      <w:r>
        <w:t>Atayan</w:t>
      </w:r>
      <w:proofErr w:type="spellEnd"/>
      <w:r>
        <w:t xml:space="preserve"> Y, </w:t>
      </w:r>
      <w:proofErr w:type="spellStart"/>
      <w:r>
        <w:t>Erdogan</w:t>
      </w:r>
      <w:proofErr w:type="spellEnd"/>
      <w:r>
        <w:t xml:space="preserve"> MA, </w:t>
      </w:r>
      <w:proofErr w:type="spellStart"/>
      <w:r>
        <w:t>Dagtekin</w:t>
      </w:r>
      <w:proofErr w:type="spellEnd"/>
      <w:r>
        <w:t xml:space="preserve"> F, </w:t>
      </w:r>
      <w:proofErr w:type="spellStart"/>
      <w:r>
        <w:t>Colak</w:t>
      </w:r>
      <w:proofErr w:type="spellEnd"/>
      <w:r>
        <w:t xml:space="preserve"> C. Incidence and clinical presentation of portal vein thrombosis in cirrhotic patients. </w:t>
      </w:r>
      <w:proofErr w:type="spellStart"/>
      <w:r>
        <w:rPr>
          <w:i/>
          <w:iCs/>
        </w:rPr>
        <w:t>Hepatobiliary</w:t>
      </w:r>
      <w:proofErr w:type="spellEnd"/>
      <w:r>
        <w:rPr>
          <w:i/>
          <w:iCs/>
        </w:rPr>
        <w:t xml:space="preserve"> </w:t>
      </w:r>
      <w:proofErr w:type="spellStart"/>
      <w:r>
        <w:rPr>
          <w:i/>
          <w:iCs/>
        </w:rPr>
        <w:t>Pancreat</w:t>
      </w:r>
      <w:proofErr w:type="spellEnd"/>
      <w:r>
        <w:rPr>
          <w:i/>
          <w:iCs/>
        </w:rPr>
        <w:t xml:space="preserve"> Dis </w:t>
      </w:r>
      <w:proofErr w:type="spellStart"/>
      <w:r>
        <w:rPr>
          <w:i/>
          <w:iCs/>
        </w:rPr>
        <w:t>Int</w:t>
      </w:r>
      <w:proofErr w:type="spellEnd"/>
      <w:r>
        <w:t xml:space="preserve"> 2016; </w:t>
      </w:r>
      <w:r>
        <w:rPr>
          <w:b/>
          <w:bCs/>
        </w:rPr>
        <w:t>15</w:t>
      </w:r>
      <w:r>
        <w:t>: 499-503 [</w:t>
      </w:r>
      <w:proofErr w:type="spellStart"/>
      <w:r>
        <w:t>PMID</w:t>
      </w:r>
      <w:proofErr w:type="spellEnd"/>
      <w:r>
        <w:t>: 27733319]</w:t>
      </w:r>
    </w:p>
    <w:p w:rsidR="00FE1855" w:rsidRDefault="00FE1855" w:rsidP="00FE1855">
      <w:pPr>
        <w:pStyle w:val="-1"/>
      </w:pPr>
      <w:r>
        <w:t>6</w:t>
      </w:r>
      <w:r>
        <w:tab/>
      </w:r>
      <w:proofErr w:type="spellStart"/>
      <w:r>
        <w:rPr>
          <w:b/>
          <w:bCs/>
        </w:rPr>
        <w:t>DeLeve</w:t>
      </w:r>
      <w:proofErr w:type="spellEnd"/>
      <w:r>
        <w:rPr>
          <w:b/>
          <w:bCs/>
        </w:rPr>
        <w:t xml:space="preserve"> LD</w:t>
      </w:r>
      <w:r>
        <w:t>, Valla DC, Garcia-</w:t>
      </w:r>
      <w:proofErr w:type="spellStart"/>
      <w:r>
        <w:t>Tsao</w:t>
      </w:r>
      <w:proofErr w:type="spellEnd"/>
      <w:r>
        <w:t xml:space="preserve"> G; American Association for the Study Liver Diseases. </w:t>
      </w:r>
      <w:proofErr w:type="gramStart"/>
      <w:r>
        <w:t>Vascular disorders of the liver.</w:t>
      </w:r>
      <w:proofErr w:type="gramEnd"/>
      <w:r>
        <w:t xml:space="preserve"> </w:t>
      </w:r>
      <w:proofErr w:type="spellStart"/>
      <w:r>
        <w:rPr>
          <w:i/>
          <w:iCs/>
        </w:rPr>
        <w:t>Hepatology</w:t>
      </w:r>
      <w:proofErr w:type="spellEnd"/>
      <w:r>
        <w:t xml:space="preserve"> 2009; </w:t>
      </w:r>
      <w:r>
        <w:rPr>
          <w:b/>
          <w:bCs/>
        </w:rPr>
        <w:t>49</w:t>
      </w:r>
      <w:r>
        <w:t>: 1729-1764 [</w:t>
      </w:r>
      <w:proofErr w:type="spellStart"/>
      <w:r>
        <w:t>PMID</w:t>
      </w:r>
      <w:proofErr w:type="spellEnd"/>
      <w:r>
        <w:t xml:space="preserve">: 19399912 </w:t>
      </w:r>
      <w:proofErr w:type="spellStart"/>
      <w:r>
        <w:t>DOI</w:t>
      </w:r>
      <w:proofErr w:type="spellEnd"/>
      <w:r>
        <w:t>: 10.1002/hep.22772]</w:t>
      </w:r>
    </w:p>
    <w:p w:rsidR="00FE1855" w:rsidRDefault="00FE1855" w:rsidP="00FE1855">
      <w:pPr>
        <w:pStyle w:val="-1"/>
      </w:pPr>
      <w:r>
        <w:t>7</w:t>
      </w:r>
      <w:r>
        <w:tab/>
      </w:r>
      <w:r>
        <w:rPr>
          <w:b/>
          <w:bCs/>
        </w:rPr>
        <w:t xml:space="preserve">European Association for the Study of the Liver. </w:t>
      </w:r>
      <w:proofErr w:type="spellStart"/>
      <w:r>
        <w:t>EASL</w:t>
      </w:r>
      <w:proofErr w:type="spellEnd"/>
      <w:r>
        <w:t xml:space="preserve"> Clinical Practice Guidelines: Vascular diseases of the liver. </w:t>
      </w:r>
      <w:r>
        <w:rPr>
          <w:i/>
          <w:iCs/>
        </w:rPr>
        <w:t xml:space="preserve">J </w:t>
      </w:r>
      <w:proofErr w:type="spellStart"/>
      <w:r>
        <w:rPr>
          <w:i/>
          <w:iCs/>
        </w:rPr>
        <w:t>Hepatol</w:t>
      </w:r>
      <w:proofErr w:type="spellEnd"/>
      <w:r>
        <w:t xml:space="preserve"> 2016; </w:t>
      </w:r>
      <w:r>
        <w:rPr>
          <w:b/>
          <w:bCs/>
        </w:rPr>
        <w:t>64</w:t>
      </w:r>
      <w:r>
        <w:t>: 179-202 [</w:t>
      </w:r>
      <w:proofErr w:type="spellStart"/>
      <w:r>
        <w:t>PMID</w:t>
      </w:r>
      <w:proofErr w:type="spellEnd"/>
      <w:r>
        <w:t xml:space="preserve">: 26516032 </w:t>
      </w:r>
      <w:proofErr w:type="spellStart"/>
      <w:r>
        <w:t>DOI</w:t>
      </w:r>
      <w:proofErr w:type="spellEnd"/>
      <w:r>
        <w:t>: 10.1016/j.jhep.2015.07.040]</w:t>
      </w:r>
    </w:p>
    <w:p w:rsidR="00FE1855" w:rsidRDefault="00FE1855" w:rsidP="00FE1855">
      <w:pPr>
        <w:pStyle w:val="-1"/>
      </w:pPr>
      <w:r>
        <w:t>8</w:t>
      </w:r>
      <w:r>
        <w:tab/>
      </w:r>
      <w:r>
        <w:rPr>
          <w:b/>
          <w:bCs/>
        </w:rPr>
        <w:t xml:space="preserve">de </w:t>
      </w:r>
      <w:proofErr w:type="spellStart"/>
      <w:r>
        <w:rPr>
          <w:b/>
          <w:bCs/>
        </w:rPr>
        <w:t>Franchis</w:t>
      </w:r>
      <w:proofErr w:type="spellEnd"/>
      <w:r>
        <w:rPr>
          <w:b/>
          <w:bCs/>
        </w:rPr>
        <w:t xml:space="preserve"> R</w:t>
      </w:r>
      <w:r w:rsidRPr="000937AF">
        <w:t>,</w:t>
      </w:r>
      <w:r>
        <w:t xml:space="preserve"> </w:t>
      </w:r>
      <w:proofErr w:type="spellStart"/>
      <w:r>
        <w:t>Baveno</w:t>
      </w:r>
      <w:proofErr w:type="spellEnd"/>
      <w:r>
        <w:t xml:space="preserve"> VI Faculty. Expanding consensus in portal hypertension: Report of the </w:t>
      </w:r>
      <w:proofErr w:type="spellStart"/>
      <w:r>
        <w:t>Baveno</w:t>
      </w:r>
      <w:proofErr w:type="spellEnd"/>
      <w:r>
        <w:t xml:space="preserve"> VI Consensus Workshop: Stratifying risk and individualizing care for portal hypertension. </w:t>
      </w:r>
      <w:r>
        <w:rPr>
          <w:i/>
          <w:iCs/>
        </w:rPr>
        <w:t xml:space="preserve">J </w:t>
      </w:r>
      <w:proofErr w:type="spellStart"/>
      <w:r>
        <w:rPr>
          <w:i/>
          <w:iCs/>
        </w:rPr>
        <w:t>Hepatol</w:t>
      </w:r>
      <w:proofErr w:type="spellEnd"/>
      <w:r>
        <w:t xml:space="preserve"> 2015; </w:t>
      </w:r>
      <w:r>
        <w:rPr>
          <w:b/>
          <w:bCs/>
        </w:rPr>
        <w:t>63</w:t>
      </w:r>
      <w:r>
        <w:t>: 743-752 [</w:t>
      </w:r>
      <w:proofErr w:type="spellStart"/>
      <w:r>
        <w:t>PMID</w:t>
      </w:r>
      <w:proofErr w:type="spellEnd"/>
      <w:r>
        <w:t xml:space="preserve">: 26047908 </w:t>
      </w:r>
      <w:proofErr w:type="spellStart"/>
      <w:r>
        <w:t>DOI</w:t>
      </w:r>
      <w:proofErr w:type="spellEnd"/>
      <w:r>
        <w:t>: 10.1016/j.jhep.2015.05.022]</w:t>
      </w:r>
    </w:p>
    <w:p w:rsidR="00FE1855" w:rsidRDefault="00FE1855" w:rsidP="00FE1855">
      <w:pPr>
        <w:pStyle w:val="-1"/>
      </w:pPr>
      <w:r>
        <w:t>9</w:t>
      </w:r>
      <w:r>
        <w:tab/>
      </w:r>
      <w:proofErr w:type="spellStart"/>
      <w:r>
        <w:rPr>
          <w:b/>
          <w:bCs/>
        </w:rPr>
        <w:t>Sarin</w:t>
      </w:r>
      <w:proofErr w:type="spellEnd"/>
      <w:r>
        <w:rPr>
          <w:b/>
          <w:bCs/>
        </w:rPr>
        <w:t xml:space="preserve"> SK</w:t>
      </w:r>
      <w:r>
        <w:t xml:space="preserve">, Philips CA, </w:t>
      </w:r>
      <w:proofErr w:type="spellStart"/>
      <w:r>
        <w:t>Kamath</w:t>
      </w:r>
      <w:proofErr w:type="spellEnd"/>
      <w:r>
        <w:t xml:space="preserve"> PS, </w:t>
      </w:r>
      <w:proofErr w:type="spellStart"/>
      <w:r>
        <w:t>Choudhury</w:t>
      </w:r>
      <w:proofErr w:type="spellEnd"/>
      <w:r>
        <w:t xml:space="preserve"> A, Maruyama H, </w:t>
      </w:r>
      <w:proofErr w:type="spellStart"/>
      <w:r>
        <w:t>Nery</w:t>
      </w:r>
      <w:proofErr w:type="spellEnd"/>
      <w:r>
        <w:t xml:space="preserve"> </w:t>
      </w:r>
      <w:proofErr w:type="spellStart"/>
      <w:r>
        <w:t>FG</w:t>
      </w:r>
      <w:proofErr w:type="spellEnd"/>
      <w:r>
        <w:t xml:space="preserve">, Valla DC. Toward a Comprehensive New Classification of Portal Vein Thrombosis in Patients </w:t>
      </w:r>
      <w:proofErr w:type="gramStart"/>
      <w:r>
        <w:t>With</w:t>
      </w:r>
      <w:proofErr w:type="gramEnd"/>
      <w:r>
        <w:t xml:space="preserve"> Cirrhosis. </w:t>
      </w:r>
      <w:r>
        <w:rPr>
          <w:i/>
          <w:iCs/>
        </w:rPr>
        <w:t>Gastroenterology</w:t>
      </w:r>
      <w:r>
        <w:t xml:space="preserve"> 2016; </w:t>
      </w:r>
      <w:r>
        <w:rPr>
          <w:b/>
          <w:bCs/>
        </w:rPr>
        <w:t>151</w:t>
      </w:r>
      <w:r>
        <w:t>: 574-577.e3 [</w:t>
      </w:r>
      <w:proofErr w:type="spellStart"/>
      <w:r>
        <w:t>PMID</w:t>
      </w:r>
      <w:proofErr w:type="spellEnd"/>
      <w:r>
        <w:t xml:space="preserve">: 27575821 </w:t>
      </w:r>
      <w:proofErr w:type="spellStart"/>
      <w:r>
        <w:t>DOI</w:t>
      </w:r>
      <w:proofErr w:type="spellEnd"/>
      <w:r>
        <w:t>: 10.1053/j.gastro.2016.08.033]</w:t>
      </w:r>
    </w:p>
    <w:p w:rsidR="00FE1855" w:rsidRDefault="00FE1855" w:rsidP="00FE1855">
      <w:pPr>
        <w:pStyle w:val="-1"/>
      </w:pPr>
      <w:r>
        <w:t>10</w:t>
      </w:r>
      <w:r>
        <w:tab/>
      </w:r>
      <w:proofErr w:type="spellStart"/>
      <w:r>
        <w:rPr>
          <w:b/>
          <w:bCs/>
        </w:rPr>
        <w:t>Stieber</w:t>
      </w:r>
      <w:proofErr w:type="spellEnd"/>
      <w:r>
        <w:rPr>
          <w:b/>
          <w:bCs/>
        </w:rPr>
        <w:t xml:space="preserve"> AC</w:t>
      </w:r>
      <w:r>
        <w:t xml:space="preserve">, </w:t>
      </w:r>
      <w:proofErr w:type="spellStart"/>
      <w:r>
        <w:t>Zetti</w:t>
      </w:r>
      <w:proofErr w:type="spellEnd"/>
      <w:r>
        <w:t xml:space="preserve"> G, </w:t>
      </w:r>
      <w:proofErr w:type="spellStart"/>
      <w:r>
        <w:t>Todo</w:t>
      </w:r>
      <w:proofErr w:type="spellEnd"/>
      <w:r>
        <w:t xml:space="preserve"> S, </w:t>
      </w:r>
      <w:proofErr w:type="spellStart"/>
      <w:r>
        <w:t>Tzakis</w:t>
      </w:r>
      <w:proofErr w:type="spellEnd"/>
      <w:r>
        <w:t xml:space="preserve"> AG, Fung </w:t>
      </w:r>
      <w:proofErr w:type="spellStart"/>
      <w:r>
        <w:t>JJ</w:t>
      </w:r>
      <w:proofErr w:type="spellEnd"/>
      <w:r>
        <w:t xml:space="preserve">, Marino I, </w:t>
      </w:r>
      <w:proofErr w:type="spellStart"/>
      <w:r>
        <w:t>Casavilla</w:t>
      </w:r>
      <w:proofErr w:type="spellEnd"/>
      <w:r>
        <w:t xml:space="preserve"> A, Selby RR, </w:t>
      </w:r>
      <w:proofErr w:type="spellStart"/>
      <w:r>
        <w:t>Starzl</w:t>
      </w:r>
      <w:proofErr w:type="spellEnd"/>
      <w:r>
        <w:t xml:space="preserve"> </w:t>
      </w:r>
      <w:proofErr w:type="spellStart"/>
      <w:r>
        <w:t>TE</w:t>
      </w:r>
      <w:proofErr w:type="spellEnd"/>
      <w:r>
        <w:t xml:space="preserve">. </w:t>
      </w:r>
      <w:proofErr w:type="gramStart"/>
      <w:r>
        <w:t>The spectrum of portal vein thrombosis in liver transplantation.</w:t>
      </w:r>
      <w:proofErr w:type="gramEnd"/>
      <w:r>
        <w:t xml:space="preserve"> </w:t>
      </w:r>
      <w:r>
        <w:rPr>
          <w:i/>
          <w:iCs/>
        </w:rPr>
        <w:t xml:space="preserve">Ann </w:t>
      </w:r>
      <w:proofErr w:type="spellStart"/>
      <w:r>
        <w:rPr>
          <w:i/>
          <w:iCs/>
        </w:rPr>
        <w:t>Surg</w:t>
      </w:r>
      <w:proofErr w:type="spellEnd"/>
      <w:r>
        <w:t xml:space="preserve"> 1991; </w:t>
      </w:r>
      <w:r>
        <w:rPr>
          <w:b/>
          <w:bCs/>
        </w:rPr>
        <w:t>213</w:t>
      </w:r>
      <w:r>
        <w:t>: 199-206 [</w:t>
      </w:r>
      <w:proofErr w:type="spellStart"/>
      <w:r>
        <w:t>PMID</w:t>
      </w:r>
      <w:proofErr w:type="spellEnd"/>
      <w:r>
        <w:t>: 1998400]</w:t>
      </w:r>
    </w:p>
    <w:p w:rsidR="00FE1855" w:rsidRDefault="00FE1855" w:rsidP="00FE1855">
      <w:pPr>
        <w:pStyle w:val="-1"/>
      </w:pPr>
      <w:r>
        <w:t>11</w:t>
      </w:r>
      <w:r>
        <w:tab/>
      </w:r>
      <w:proofErr w:type="spellStart"/>
      <w:r>
        <w:rPr>
          <w:b/>
          <w:bCs/>
        </w:rPr>
        <w:t>Yerdel</w:t>
      </w:r>
      <w:proofErr w:type="spellEnd"/>
      <w:r>
        <w:rPr>
          <w:b/>
          <w:bCs/>
        </w:rPr>
        <w:t xml:space="preserve"> MA</w:t>
      </w:r>
      <w:r>
        <w:t xml:space="preserve">, </w:t>
      </w:r>
      <w:proofErr w:type="spellStart"/>
      <w:r>
        <w:t>Gunson</w:t>
      </w:r>
      <w:proofErr w:type="spellEnd"/>
      <w:r>
        <w:t xml:space="preserve"> B, </w:t>
      </w:r>
      <w:proofErr w:type="spellStart"/>
      <w:r>
        <w:t>Mirza</w:t>
      </w:r>
      <w:proofErr w:type="spellEnd"/>
      <w:r>
        <w:t xml:space="preserve"> D, </w:t>
      </w:r>
      <w:proofErr w:type="spellStart"/>
      <w:r>
        <w:t>Karayalçin</w:t>
      </w:r>
      <w:proofErr w:type="spellEnd"/>
      <w:r>
        <w:t xml:space="preserve"> K, </w:t>
      </w:r>
      <w:proofErr w:type="spellStart"/>
      <w:r>
        <w:t>Olliff</w:t>
      </w:r>
      <w:proofErr w:type="spellEnd"/>
      <w:r>
        <w:t xml:space="preserve"> S, </w:t>
      </w:r>
      <w:proofErr w:type="spellStart"/>
      <w:r>
        <w:t>Buckels</w:t>
      </w:r>
      <w:proofErr w:type="spellEnd"/>
      <w:r>
        <w:t xml:space="preserve"> J, Mayer D, McMaster P, </w:t>
      </w:r>
      <w:proofErr w:type="spellStart"/>
      <w:r>
        <w:t>Pirenne</w:t>
      </w:r>
      <w:proofErr w:type="spellEnd"/>
      <w:r>
        <w:t xml:space="preserve"> J. Portal vein thrombosis in adults undergoing liver transplantation: risk factors, screening, management, and outcome. </w:t>
      </w:r>
      <w:r>
        <w:rPr>
          <w:i/>
          <w:iCs/>
        </w:rPr>
        <w:t>Transplantation</w:t>
      </w:r>
      <w:r>
        <w:t xml:space="preserve"> 2000; </w:t>
      </w:r>
      <w:r>
        <w:rPr>
          <w:b/>
          <w:bCs/>
        </w:rPr>
        <w:t>69</w:t>
      </w:r>
      <w:r>
        <w:t>: 1873-1881 [</w:t>
      </w:r>
      <w:proofErr w:type="spellStart"/>
      <w:r>
        <w:t>PMID</w:t>
      </w:r>
      <w:proofErr w:type="spellEnd"/>
      <w:r>
        <w:t>: 10830225]</w:t>
      </w:r>
    </w:p>
    <w:p w:rsidR="00FE1855" w:rsidRDefault="00FE1855" w:rsidP="00FE1855">
      <w:pPr>
        <w:pStyle w:val="-1"/>
      </w:pPr>
      <w:r>
        <w:t>12</w:t>
      </w:r>
      <w:r>
        <w:tab/>
      </w:r>
      <w:proofErr w:type="spellStart"/>
      <w:r>
        <w:rPr>
          <w:b/>
          <w:bCs/>
        </w:rPr>
        <w:t>Nery</w:t>
      </w:r>
      <w:proofErr w:type="spellEnd"/>
      <w:r>
        <w:rPr>
          <w:b/>
          <w:bCs/>
        </w:rPr>
        <w:t xml:space="preserve"> F</w:t>
      </w:r>
      <w:r>
        <w:t xml:space="preserve">, </w:t>
      </w:r>
      <w:proofErr w:type="spellStart"/>
      <w:r>
        <w:t>Chevret</w:t>
      </w:r>
      <w:proofErr w:type="spellEnd"/>
      <w:r>
        <w:t xml:space="preserve"> S, </w:t>
      </w:r>
      <w:proofErr w:type="spellStart"/>
      <w:r>
        <w:t>Condat</w:t>
      </w:r>
      <w:proofErr w:type="spellEnd"/>
      <w:r>
        <w:t xml:space="preserve"> B, de </w:t>
      </w:r>
      <w:proofErr w:type="spellStart"/>
      <w:r>
        <w:t>Raucourt</w:t>
      </w:r>
      <w:proofErr w:type="spellEnd"/>
      <w:r>
        <w:t xml:space="preserve"> E, </w:t>
      </w:r>
      <w:proofErr w:type="spellStart"/>
      <w:r>
        <w:t>Boudaoud</w:t>
      </w:r>
      <w:proofErr w:type="spellEnd"/>
      <w:r>
        <w:t xml:space="preserve"> L, </w:t>
      </w:r>
      <w:proofErr w:type="spellStart"/>
      <w:r>
        <w:t>Rautou</w:t>
      </w:r>
      <w:proofErr w:type="spellEnd"/>
      <w:r>
        <w:t xml:space="preserve"> PE, </w:t>
      </w:r>
      <w:proofErr w:type="spellStart"/>
      <w:r>
        <w:t>Plessier</w:t>
      </w:r>
      <w:proofErr w:type="spellEnd"/>
      <w:r>
        <w:t xml:space="preserve"> A, </w:t>
      </w:r>
      <w:proofErr w:type="spellStart"/>
      <w:r>
        <w:t>Roulot</w:t>
      </w:r>
      <w:proofErr w:type="spellEnd"/>
      <w:r>
        <w:t xml:space="preserve"> D, </w:t>
      </w:r>
      <w:proofErr w:type="spellStart"/>
      <w:r>
        <w:t>Chaffaut</w:t>
      </w:r>
      <w:proofErr w:type="spellEnd"/>
      <w:r>
        <w:t xml:space="preserve"> C, </w:t>
      </w:r>
      <w:proofErr w:type="spellStart"/>
      <w:r>
        <w:t>Bourcier</w:t>
      </w:r>
      <w:proofErr w:type="spellEnd"/>
      <w:r>
        <w:t xml:space="preserve"> V, </w:t>
      </w:r>
      <w:proofErr w:type="spellStart"/>
      <w:r>
        <w:t>Trinchet</w:t>
      </w:r>
      <w:proofErr w:type="spellEnd"/>
      <w:r>
        <w:t xml:space="preserve"> </w:t>
      </w:r>
      <w:proofErr w:type="spellStart"/>
      <w:r>
        <w:t>JC</w:t>
      </w:r>
      <w:proofErr w:type="spellEnd"/>
      <w:r>
        <w:t xml:space="preserve">, Valla DC; </w:t>
      </w:r>
      <w:proofErr w:type="spellStart"/>
      <w:r>
        <w:t>Groupe</w:t>
      </w:r>
      <w:proofErr w:type="spellEnd"/>
      <w:r>
        <w:t xml:space="preserve"> </w:t>
      </w:r>
      <w:proofErr w:type="spellStart"/>
      <w:r>
        <w:t>d’Etude</w:t>
      </w:r>
      <w:proofErr w:type="spellEnd"/>
      <w:r>
        <w:t xml:space="preserve"> et de </w:t>
      </w:r>
      <w:proofErr w:type="spellStart"/>
      <w:r>
        <w:t>Traitement</w:t>
      </w:r>
      <w:proofErr w:type="spellEnd"/>
      <w:r>
        <w:t xml:space="preserve"> du </w:t>
      </w:r>
      <w:proofErr w:type="spellStart"/>
      <w:r>
        <w:t>Carcinome</w:t>
      </w:r>
      <w:proofErr w:type="spellEnd"/>
      <w:r>
        <w:t xml:space="preserve"> </w:t>
      </w:r>
      <w:proofErr w:type="spellStart"/>
      <w:r>
        <w:t>Hépatocellulaire</w:t>
      </w:r>
      <w:proofErr w:type="spellEnd"/>
      <w:r>
        <w:t xml:space="preserve">. Causes and consequences of portal vein thrombosis in 1,243 patients with cirrhosis: results of a longitudinal study. </w:t>
      </w:r>
      <w:proofErr w:type="spellStart"/>
      <w:r>
        <w:rPr>
          <w:i/>
          <w:iCs/>
        </w:rPr>
        <w:t>Hepatology</w:t>
      </w:r>
      <w:proofErr w:type="spellEnd"/>
      <w:r>
        <w:t xml:space="preserve"> 2015; </w:t>
      </w:r>
      <w:r>
        <w:rPr>
          <w:b/>
          <w:bCs/>
        </w:rPr>
        <w:t>61</w:t>
      </w:r>
      <w:r>
        <w:t>: 660-667 [</w:t>
      </w:r>
      <w:proofErr w:type="spellStart"/>
      <w:r>
        <w:t>PMID</w:t>
      </w:r>
      <w:proofErr w:type="spellEnd"/>
      <w:r>
        <w:t xml:space="preserve">: 25284616 </w:t>
      </w:r>
      <w:proofErr w:type="spellStart"/>
      <w:r>
        <w:t>DOI</w:t>
      </w:r>
      <w:proofErr w:type="spellEnd"/>
      <w:r>
        <w:t>: 10.1002/hep.27546]</w:t>
      </w:r>
    </w:p>
    <w:p w:rsidR="00FE1855" w:rsidRDefault="00FE1855" w:rsidP="00FE1855">
      <w:pPr>
        <w:pStyle w:val="-1"/>
      </w:pPr>
      <w:r>
        <w:t>13</w:t>
      </w:r>
      <w:r>
        <w:tab/>
      </w:r>
      <w:r>
        <w:rPr>
          <w:b/>
          <w:bCs/>
        </w:rPr>
        <w:t>Maruyama H</w:t>
      </w:r>
      <w:r>
        <w:t xml:space="preserve">, </w:t>
      </w:r>
      <w:proofErr w:type="spellStart"/>
      <w:r>
        <w:t>Okugawa</w:t>
      </w:r>
      <w:proofErr w:type="spellEnd"/>
      <w:r>
        <w:t xml:space="preserve"> H, Takahashi M, Yokosuka O. De novo portal vein thrombosis in virus-related cirrhosis: predictive factors and long-term outcomes. </w:t>
      </w:r>
      <w:r>
        <w:rPr>
          <w:i/>
          <w:iCs/>
        </w:rPr>
        <w:t xml:space="preserve">Am J </w:t>
      </w:r>
      <w:proofErr w:type="spellStart"/>
      <w:r>
        <w:rPr>
          <w:i/>
          <w:iCs/>
        </w:rPr>
        <w:t>Gastroenterol</w:t>
      </w:r>
      <w:proofErr w:type="spellEnd"/>
      <w:r>
        <w:t xml:space="preserve"> 2013; </w:t>
      </w:r>
      <w:r>
        <w:rPr>
          <w:b/>
          <w:bCs/>
        </w:rPr>
        <w:t>108</w:t>
      </w:r>
      <w:r>
        <w:t>: 568-574 [</w:t>
      </w:r>
      <w:proofErr w:type="spellStart"/>
      <w:r>
        <w:t>PMID</w:t>
      </w:r>
      <w:proofErr w:type="spellEnd"/>
      <w:r>
        <w:t xml:space="preserve">: 23381015 </w:t>
      </w:r>
      <w:proofErr w:type="spellStart"/>
      <w:r>
        <w:t>DOI</w:t>
      </w:r>
      <w:proofErr w:type="spellEnd"/>
      <w:r>
        <w:t>: 10.1038/ajg.2012.452]</w:t>
      </w:r>
    </w:p>
    <w:p w:rsidR="00FE1855" w:rsidRDefault="00FE1855" w:rsidP="00FE1855">
      <w:pPr>
        <w:pStyle w:val="-1"/>
      </w:pPr>
      <w:r>
        <w:t>14</w:t>
      </w:r>
      <w:r>
        <w:tab/>
      </w:r>
      <w:r>
        <w:rPr>
          <w:b/>
          <w:bCs/>
        </w:rPr>
        <w:t>Chen H</w:t>
      </w:r>
      <w:r>
        <w:t xml:space="preserve">, </w:t>
      </w:r>
      <w:proofErr w:type="spellStart"/>
      <w:r>
        <w:t>Trilok</w:t>
      </w:r>
      <w:proofErr w:type="spellEnd"/>
      <w:r>
        <w:t xml:space="preserve"> G, Wang F, Qi X, Xiao J, Yang C. </w:t>
      </w:r>
      <w:proofErr w:type="gramStart"/>
      <w:r>
        <w:t>A single hospital study on portal vein thrombosis in cirrhotic patients - clinical characteristics &amp;amp; risk factors.</w:t>
      </w:r>
      <w:proofErr w:type="gramEnd"/>
      <w:r>
        <w:t xml:space="preserve"> </w:t>
      </w:r>
      <w:r>
        <w:rPr>
          <w:i/>
          <w:iCs/>
        </w:rPr>
        <w:t>Indian J Med Res</w:t>
      </w:r>
      <w:r>
        <w:t xml:space="preserve"> 2014; </w:t>
      </w:r>
      <w:r>
        <w:rPr>
          <w:b/>
          <w:bCs/>
        </w:rPr>
        <w:t>139</w:t>
      </w:r>
      <w:r>
        <w:t>: 260-266 [</w:t>
      </w:r>
      <w:proofErr w:type="spellStart"/>
      <w:r>
        <w:t>PMID</w:t>
      </w:r>
      <w:proofErr w:type="spellEnd"/>
      <w:r>
        <w:t>: 24718401]</w:t>
      </w:r>
    </w:p>
    <w:p w:rsidR="00FE1855" w:rsidRDefault="00FE1855" w:rsidP="00FE1855">
      <w:pPr>
        <w:pStyle w:val="-1"/>
      </w:pPr>
      <w:r>
        <w:t>15</w:t>
      </w:r>
      <w:r>
        <w:tab/>
      </w:r>
      <w:proofErr w:type="spellStart"/>
      <w:r>
        <w:rPr>
          <w:b/>
          <w:bCs/>
        </w:rPr>
        <w:t>Amitrano</w:t>
      </w:r>
      <w:proofErr w:type="spellEnd"/>
      <w:r>
        <w:rPr>
          <w:b/>
          <w:bCs/>
        </w:rPr>
        <w:t xml:space="preserve"> L</w:t>
      </w:r>
      <w:r>
        <w:t xml:space="preserve">, </w:t>
      </w:r>
      <w:proofErr w:type="spellStart"/>
      <w:r>
        <w:t>Guardascione</w:t>
      </w:r>
      <w:proofErr w:type="spellEnd"/>
      <w:r>
        <w:t xml:space="preserve"> MA, Brancaccio V, </w:t>
      </w:r>
      <w:proofErr w:type="spellStart"/>
      <w:r>
        <w:t>Margaglione</w:t>
      </w:r>
      <w:proofErr w:type="spellEnd"/>
      <w:r>
        <w:t xml:space="preserve"> M, </w:t>
      </w:r>
      <w:proofErr w:type="spellStart"/>
      <w:r>
        <w:t>Manguso</w:t>
      </w:r>
      <w:proofErr w:type="spellEnd"/>
      <w:r>
        <w:t xml:space="preserve"> F, </w:t>
      </w:r>
      <w:proofErr w:type="spellStart"/>
      <w:r>
        <w:t>Iannaccone</w:t>
      </w:r>
      <w:proofErr w:type="spellEnd"/>
      <w:r>
        <w:t xml:space="preserve"> L, </w:t>
      </w:r>
      <w:proofErr w:type="spellStart"/>
      <w:r>
        <w:t>Grandone</w:t>
      </w:r>
      <w:proofErr w:type="spellEnd"/>
      <w:r>
        <w:t xml:space="preserve"> E, </w:t>
      </w:r>
      <w:proofErr w:type="spellStart"/>
      <w:r>
        <w:t>Balzano</w:t>
      </w:r>
      <w:proofErr w:type="spellEnd"/>
      <w:r>
        <w:t xml:space="preserve"> A. Risk factors and clinical presentation of portal vein thrombosis in patients with liver cirrhosis. </w:t>
      </w:r>
      <w:r>
        <w:rPr>
          <w:i/>
          <w:iCs/>
        </w:rPr>
        <w:t xml:space="preserve">J </w:t>
      </w:r>
      <w:proofErr w:type="spellStart"/>
      <w:r>
        <w:rPr>
          <w:i/>
          <w:iCs/>
        </w:rPr>
        <w:t>Hepatol</w:t>
      </w:r>
      <w:proofErr w:type="spellEnd"/>
      <w:r>
        <w:t xml:space="preserve"> 2004; </w:t>
      </w:r>
      <w:r>
        <w:rPr>
          <w:b/>
          <w:bCs/>
        </w:rPr>
        <w:t>40</w:t>
      </w:r>
      <w:r>
        <w:t>: 736-741 [</w:t>
      </w:r>
      <w:proofErr w:type="spellStart"/>
      <w:r>
        <w:t>PMID</w:t>
      </w:r>
      <w:proofErr w:type="spellEnd"/>
      <w:r>
        <w:t xml:space="preserve">: 15094219 </w:t>
      </w:r>
      <w:proofErr w:type="spellStart"/>
      <w:r>
        <w:t>DOI</w:t>
      </w:r>
      <w:proofErr w:type="spellEnd"/>
      <w:r>
        <w:t>: 10.1016/j.jhep.2004.01.001]</w:t>
      </w:r>
    </w:p>
    <w:p w:rsidR="00FE1855" w:rsidRDefault="00FE1855" w:rsidP="00FE1855">
      <w:pPr>
        <w:pStyle w:val="-1"/>
      </w:pPr>
      <w:r>
        <w:t>16</w:t>
      </w:r>
      <w:r>
        <w:tab/>
      </w:r>
      <w:proofErr w:type="spellStart"/>
      <w:r>
        <w:rPr>
          <w:b/>
          <w:bCs/>
        </w:rPr>
        <w:t>Zocco</w:t>
      </w:r>
      <w:proofErr w:type="spellEnd"/>
      <w:r>
        <w:rPr>
          <w:b/>
          <w:bCs/>
        </w:rPr>
        <w:t xml:space="preserve"> MA</w:t>
      </w:r>
      <w:r>
        <w:t xml:space="preserve">, Di </w:t>
      </w:r>
      <w:proofErr w:type="spellStart"/>
      <w:r>
        <w:t>Stasio</w:t>
      </w:r>
      <w:proofErr w:type="spellEnd"/>
      <w:r>
        <w:t xml:space="preserve"> E, De </w:t>
      </w:r>
      <w:proofErr w:type="spellStart"/>
      <w:r>
        <w:t>Cristofaro</w:t>
      </w:r>
      <w:proofErr w:type="spellEnd"/>
      <w:r>
        <w:t xml:space="preserve"> R, Novi M, </w:t>
      </w:r>
      <w:proofErr w:type="spellStart"/>
      <w:r>
        <w:t>Ainora</w:t>
      </w:r>
      <w:proofErr w:type="spellEnd"/>
      <w:r>
        <w:t xml:space="preserve"> ME, </w:t>
      </w:r>
      <w:proofErr w:type="spellStart"/>
      <w:r>
        <w:t>Ponziani</w:t>
      </w:r>
      <w:proofErr w:type="spellEnd"/>
      <w:r>
        <w:t xml:space="preserve"> F, </w:t>
      </w:r>
      <w:proofErr w:type="spellStart"/>
      <w:r>
        <w:t>Riccardi</w:t>
      </w:r>
      <w:proofErr w:type="spellEnd"/>
      <w:r>
        <w:t xml:space="preserve"> L, </w:t>
      </w:r>
      <w:proofErr w:type="spellStart"/>
      <w:r>
        <w:t>Lancellotti</w:t>
      </w:r>
      <w:proofErr w:type="spellEnd"/>
      <w:r>
        <w:t xml:space="preserve"> S, </w:t>
      </w:r>
      <w:proofErr w:type="spellStart"/>
      <w:r>
        <w:t>Santoliquido</w:t>
      </w:r>
      <w:proofErr w:type="spellEnd"/>
      <w:r>
        <w:t xml:space="preserve"> A, Flore R, </w:t>
      </w:r>
      <w:proofErr w:type="spellStart"/>
      <w:r>
        <w:t>Pompili</w:t>
      </w:r>
      <w:proofErr w:type="spellEnd"/>
      <w:r>
        <w:t xml:space="preserve"> M, </w:t>
      </w:r>
      <w:proofErr w:type="spellStart"/>
      <w:r>
        <w:t>Rapaccini</w:t>
      </w:r>
      <w:proofErr w:type="spellEnd"/>
      <w:r>
        <w:t xml:space="preserve"> GL, </w:t>
      </w:r>
      <w:proofErr w:type="spellStart"/>
      <w:r>
        <w:t>Tondi</w:t>
      </w:r>
      <w:proofErr w:type="spellEnd"/>
      <w:r>
        <w:t xml:space="preserve"> P, </w:t>
      </w:r>
      <w:proofErr w:type="spellStart"/>
      <w:r>
        <w:t>Gasbarrini</w:t>
      </w:r>
      <w:proofErr w:type="spellEnd"/>
      <w:r>
        <w:t xml:space="preserve"> GB, </w:t>
      </w:r>
      <w:proofErr w:type="spellStart"/>
      <w:r>
        <w:t>Landolfi</w:t>
      </w:r>
      <w:proofErr w:type="spellEnd"/>
      <w:r>
        <w:t xml:space="preserve"> R, </w:t>
      </w:r>
      <w:proofErr w:type="spellStart"/>
      <w:r>
        <w:t>Gasbarrini</w:t>
      </w:r>
      <w:proofErr w:type="spellEnd"/>
      <w:r>
        <w:t xml:space="preserve"> A. Thrombotic risk factors in patients with liver cirrhosis: correlation with MELD scoring system and portal vein thrombosis development. </w:t>
      </w:r>
      <w:r>
        <w:rPr>
          <w:i/>
          <w:iCs/>
        </w:rPr>
        <w:t xml:space="preserve">J </w:t>
      </w:r>
      <w:proofErr w:type="spellStart"/>
      <w:r>
        <w:rPr>
          <w:i/>
          <w:iCs/>
        </w:rPr>
        <w:t>Hepatol</w:t>
      </w:r>
      <w:proofErr w:type="spellEnd"/>
      <w:r>
        <w:t xml:space="preserve"> 2009; </w:t>
      </w:r>
      <w:r>
        <w:rPr>
          <w:b/>
          <w:bCs/>
        </w:rPr>
        <w:t>51</w:t>
      </w:r>
      <w:r>
        <w:t>: 682-689 [</w:t>
      </w:r>
      <w:proofErr w:type="spellStart"/>
      <w:r>
        <w:t>PMID</w:t>
      </w:r>
      <w:proofErr w:type="spellEnd"/>
      <w:r>
        <w:t xml:space="preserve">: 19464747 </w:t>
      </w:r>
      <w:proofErr w:type="spellStart"/>
      <w:r>
        <w:t>DOI</w:t>
      </w:r>
      <w:proofErr w:type="spellEnd"/>
      <w:r>
        <w:t xml:space="preserve">: </w:t>
      </w:r>
      <w:r>
        <w:lastRenderedPageBreak/>
        <w:t>10.1016/j.jhep.2009.03.013]</w:t>
      </w:r>
    </w:p>
    <w:p w:rsidR="00FE1855" w:rsidRDefault="00FE1855" w:rsidP="00FE1855">
      <w:pPr>
        <w:pStyle w:val="-1"/>
      </w:pPr>
      <w:r>
        <w:t>17</w:t>
      </w:r>
      <w:r>
        <w:tab/>
      </w:r>
      <w:r>
        <w:rPr>
          <w:b/>
          <w:bCs/>
        </w:rPr>
        <w:t>D’Amico M</w:t>
      </w:r>
      <w:r>
        <w:t xml:space="preserve">, Pasta F, Pasta L. </w:t>
      </w:r>
      <w:proofErr w:type="spellStart"/>
      <w:r>
        <w:t>Thrombophilic</w:t>
      </w:r>
      <w:proofErr w:type="spellEnd"/>
      <w:r>
        <w:t xml:space="preserve"> genetic factors PAI-1 4G-4G and </w:t>
      </w:r>
      <w:proofErr w:type="spellStart"/>
      <w:r>
        <w:t>MTHFR</w:t>
      </w:r>
      <w:proofErr w:type="spellEnd"/>
      <w:r>
        <w:t xml:space="preserve"> 677TT as risk factors of alcohol, cryptogenic liver cirrhosis and portal vein thrombosis, in a Caucasian population. </w:t>
      </w:r>
      <w:r>
        <w:rPr>
          <w:i/>
          <w:iCs/>
        </w:rPr>
        <w:t>Gene</w:t>
      </w:r>
      <w:r>
        <w:t xml:space="preserve"> 2015; </w:t>
      </w:r>
      <w:r>
        <w:rPr>
          <w:b/>
          <w:bCs/>
        </w:rPr>
        <w:t>568</w:t>
      </w:r>
      <w:r>
        <w:t>: 85-88 [</w:t>
      </w:r>
      <w:proofErr w:type="spellStart"/>
      <w:r>
        <w:t>PMID</w:t>
      </w:r>
      <w:proofErr w:type="spellEnd"/>
      <w:r>
        <w:t xml:space="preserve">: 25987440 </w:t>
      </w:r>
      <w:proofErr w:type="spellStart"/>
      <w:r>
        <w:t>DOI</w:t>
      </w:r>
      <w:proofErr w:type="spellEnd"/>
      <w:r>
        <w:t>: 10.1016/j.gene.2015.05.034]</w:t>
      </w:r>
    </w:p>
    <w:p w:rsidR="00FE1855" w:rsidRDefault="00FE1855" w:rsidP="00FE1855">
      <w:pPr>
        <w:pStyle w:val="-1"/>
      </w:pPr>
      <w:r>
        <w:t>18</w:t>
      </w:r>
      <w:r>
        <w:tab/>
      </w:r>
      <w:r>
        <w:rPr>
          <w:b/>
          <w:bCs/>
        </w:rPr>
        <w:t>Li MX</w:t>
      </w:r>
      <w:r>
        <w:t xml:space="preserve">, Zhang </w:t>
      </w:r>
      <w:proofErr w:type="spellStart"/>
      <w:r>
        <w:t>XF</w:t>
      </w:r>
      <w:proofErr w:type="spellEnd"/>
      <w:r>
        <w:t xml:space="preserve">, Liu </w:t>
      </w:r>
      <w:proofErr w:type="spellStart"/>
      <w:r>
        <w:t>ZW</w:t>
      </w:r>
      <w:proofErr w:type="spellEnd"/>
      <w:r>
        <w:t xml:space="preserve">, </w:t>
      </w:r>
      <w:proofErr w:type="spellStart"/>
      <w:r>
        <w:t>Lv</w:t>
      </w:r>
      <w:proofErr w:type="spellEnd"/>
      <w:r>
        <w:t xml:space="preserve"> Y. Risk factors and clinical characteristics of portal vein thrombosis after </w:t>
      </w:r>
      <w:proofErr w:type="spellStart"/>
      <w:r>
        <w:t>splenectomy</w:t>
      </w:r>
      <w:proofErr w:type="spellEnd"/>
      <w:r>
        <w:t xml:space="preserve"> in patients with liver cirrhosis. </w:t>
      </w:r>
      <w:proofErr w:type="spellStart"/>
      <w:r>
        <w:rPr>
          <w:i/>
          <w:iCs/>
        </w:rPr>
        <w:t>Hepatobiliary</w:t>
      </w:r>
      <w:proofErr w:type="spellEnd"/>
      <w:r>
        <w:rPr>
          <w:i/>
          <w:iCs/>
        </w:rPr>
        <w:t xml:space="preserve"> </w:t>
      </w:r>
      <w:proofErr w:type="spellStart"/>
      <w:r>
        <w:rPr>
          <w:i/>
          <w:iCs/>
        </w:rPr>
        <w:t>Pancreat</w:t>
      </w:r>
      <w:proofErr w:type="spellEnd"/>
      <w:r>
        <w:rPr>
          <w:i/>
          <w:iCs/>
        </w:rPr>
        <w:t xml:space="preserve"> Dis </w:t>
      </w:r>
      <w:proofErr w:type="spellStart"/>
      <w:r>
        <w:rPr>
          <w:i/>
          <w:iCs/>
        </w:rPr>
        <w:t>Int</w:t>
      </w:r>
      <w:proofErr w:type="spellEnd"/>
      <w:r>
        <w:t xml:space="preserve"> 2013; </w:t>
      </w:r>
      <w:r>
        <w:rPr>
          <w:b/>
          <w:bCs/>
        </w:rPr>
        <w:t>12</w:t>
      </w:r>
      <w:r>
        <w:t>: 512-519 [</w:t>
      </w:r>
      <w:proofErr w:type="spellStart"/>
      <w:r>
        <w:t>PMID</w:t>
      </w:r>
      <w:proofErr w:type="spellEnd"/>
      <w:r>
        <w:t>: 24103282]</w:t>
      </w:r>
    </w:p>
    <w:p w:rsidR="00FE1855" w:rsidRDefault="00FE1855" w:rsidP="00FE1855">
      <w:pPr>
        <w:pStyle w:val="-1"/>
      </w:pPr>
      <w:r>
        <w:t>19</w:t>
      </w:r>
      <w:r>
        <w:tab/>
      </w:r>
      <w:proofErr w:type="spellStart"/>
      <w:r>
        <w:rPr>
          <w:b/>
          <w:bCs/>
        </w:rPr>
        <w:t>Violi</w:t>
      </w:r>
      <w:proofErr w:type="spellEnd"/>
      <w:r>
        <w:rPr>
          <w:b/>
          <w:bCs/>
        </w:rPr>
        <w:t xml:space="preserve"> F</w:t>
      </w:r>
      <w:r>
        <w:t xml:space="preserve">, </w:t>
      </w:r>
      <w:proofErr w:type="spellStart"/>
      <w:r>
        <w:t>Corazza</w:t>
      </w:r>
      <w:proofErr w:type="spellEnd"/>
      <w:r>
        <w:t xml:space="preserve"> GR, Caldwell </w:t>
      </w:r>
      <w:proofErr w:type="spellStart"/>
      <w:r>
        <w:t>SH</w:t>
      </w:r>
      <w:proofErr w:type="spellEnd"/>
      <w:r>
        <w:t xml:space="preserve">, </w:t>
      </w:r>
      <w:proofErr w:type="spellStart"/>
      <w:r>
        <w:t>Perticone</w:t>
      </w:r>
      <w:proofErr w:type="spellEnd"/>
      <w:r>
        <w:t xml:space="preserve"> F, </w:t>
      </w:r>
      <w:proofErr w:type="spellStart"/>
      <w:r>
        <w:t>Gatta</w:t>
      </w:r>
      <w:proofErr w:type="spellEnd"/>
      <w:r>
        <w:t xml:space="preserve"> A, Angelico M, </w:t>
      </w:r>
      <w:proofErr w:type="spellStart"/>
      <w:r>
        <w:t>Farcomeni</w:t>
      </w:r>
      <w:proofErr w:type="spellEnd"/>
      <w:r>
        <w:t xml:space="preserve"> A, </w:t>
      </w:r>
      <w:proofErr w:type="spellStart"/>
      <w:r>
        <w:t>Masotti</w:t>
      </w:r>
      <w:proofErr w:type="spellEnd"/>
      <w:r>
        <w:t xml:space="preserve"> M, </w:t>
      </w:r>
      <w:proofErr w:type="spellStart"/>
      <w:r>
        <w:t>Napoleone</w:t>
      </w:r>
      <w:proofErr w:type="spellEnd"/>
      <w:r>
        <w:t xml:space="preserve"> L, </w:t>
      </w:r>
      <w:proofErr w:type="spellStart"/>
      <w:r>
        <w:t>Vestri</w:t>
      </w:r>
      <w:proofErr w:type="spellEnd"/>
      <w:r>
        <w:t xml:space="preserve"> A, </w:t>
      </w:r>
      <w:proofErr w:type="spellStart"/>
      <w:r>
        <w:t>Raparelli</w:t>
      </w:r>
      <w:proofErr w:type="spellEnd"/>
      <w:r>
        <w:t xml:space="preserve"> V, </w:t>
      </w:r>
      <w:proofErr w:type="spellStart"/>
      <w:r>
        <w:t>Basili</w:t>
      </w:r>
      <w:proofErr w:type="spellEnd"/>
      <w:r>
        <w:t xml:space="preserve"> S; PRO-LIVER Collaborators. Portal vein thrombosis relevance on liver cirrhosis: Italian Venous Thrombotic Events Registry. </w:t>
      </w:r>
      <w:r>
        <w:rPr>
          <w:i/>
          <w:iCs/>
        </w:rPr>
        <w:t xml:space="preserve">Intern </w:t>
      </w:r>
      <w:proofErr w:type="spellStart"/>
      <w:r>
        <w:rPr>
          <w:i/>
          <w:iCs/>
        </w:rPr>
        <w:t>Emerg</w:t>
      </w:r>
      <w:proofErr w:type="spellEnd"/>
      <w:r>
        <w:rPr>
          <w:i/>
          <w:iCs/>
        </w:rPr>
        <w:t xml:space="preserve"> Med</w:t>
      </w:r>
      <w:r>
        <w:t xml:space="preserve"> 2016; </w:t>
      </w:r>
      <w:r>
        <w:rPr>
          <w:b/>
          <w:bCs/>
        </w:rPr>
        <w:t>11</w:t>
      </w:r>
      <w:r>
        <w:t>: 1059-1066 [</w:t>
      </w:r>
      <w:proofErr w:type="spellStart"/>
      <w:r>
        <w:t>PMID</w:t>
      </w:r>
      <w:proofErr w:type="spellEnd"/>
      <w:r>
        <w:t xml:space="preserve">: 27026379 </w:t>
      </w:r>
      <w:proofErr w:type="spellStart"/>
      <w:r>
        <w:t>DOI</w:t>
      </w:r>
      <w:proofErr w:type="spellEnd"/>
      <w:r>
        <w:t>: 10.1007/s11739-016-1416-8]</w:t>
      </w:r>
    </w:p>
    <w:p w:rsidR="00FE1855" w:rsidRDefault="00FE1855" w:rsidP="00FE1855">
      <w:pPr>
        <w:pStyle w:val="-1"/>
      </w:pPr>
      <w:r>
        <w:t>20</w:t>
      </w:r>
      <w:r>
        <w:tab/>
      </w:r>
      <w:proofErr w:type="spellStart"/>
      <w:r>
        <w:rPr>
          <w:b/>
          <w:bCs/>
        </w:rPr>
        <w:t>Nonami</w:t>
      </w:r>
      <w:proofErr w:type="spellEnd"/>
      <w:r>
        <w:rPr>
          <w:b/>
          <w:bCs/>
        </w:rPr>
        <w:t xml:space="preserve"> T</w:t>
      </w:r>
      <w:r>
        <w:t xml:space="preserve">, Yokoyama I, </w:t>
      </w:r>
      <w:proofErr w:type="spellStart"/>
      <w:r>
        <w:t>Iwatsuki</w:t>
      </w:r>
      <w:proofErr w:type="spellEnd"/>
      <w:r>
        <w:t xml:space="preserve"> S, </w:t>
      </w:r>
      <w:proofErr w:type="spellStart"/>
      <w:r>
        <w:t>Starzl</w:t>
      </w:r>
      <w:proofErr w:type="spellEnd"/>
      <w:r>
        <w:t xml:space="preserve"> </w:t>
      </w:r>
      <w:proofErr w:type="spellStart"/>
      <w:r>
        <w:t>TE</w:t>
      </w:r>
      <w:proofErr w:type="spellEnd"/>
      <w:r>
        <w:t xml:space="preserve">. </w:t>
      </w:r>
      <w:proofErr w:type="gramStart"/>
      <w:r>
        <w:t>The incidence of portal vein thrombosis at liver transplantation.</w:t>
      </w:r>
      <w:proofErr w:type="gramEnd"/>
      <w:r>
        <w:t xml:space="preserve"> </w:t>
      </w:r>
      <w:proofErr w:type="spellStart"/>
      <w:r>
        <w:rPr>
          <w:i/>
          <w:iCs/>
        </w:rPr>
        <w:t>Hepatology</w:t>
      </w:r>
      <w:proofErr w:type="spellEnd"/>
      <w:r>
        <w:t xml:space="preserve"> 1992; </w:t>
      </w:r>
      <w:r>
        <w:rPr>
          <w:b/>
          <w:bCs/>
        </w:rPr>
        <w:t>16</w:t>
      </w:r>
      <w:r>
        <w:t>: 1195-1198 [</w:t>
      </w:r>
      <w:proofErr w:type="spellStart"/>
      <w:r>
        <w:t>PMID</w:t>
      </w:r>
      <w:proofErr w:type="spellEnd"/>
      <w:r>
        <w:t>: 1427658]</w:t>
      </w:r>
    </w:p>
    <w:p w:rsidR="00FE1855" w:rsidRDefault="00FE1855" w:rsidP="00FE1855">
      <w:pPr>
        <w:pStyle w:val="-1"/>
      </w:pPr>
      <w:r>
        <w:t>21</w:t>
      </w:r>
      <w:r>
        <w:tab/>
      </w:r>
      <w:proofErr w:type="spellStart"/>
      <w:r>
        <w:rPr>
          <w:b/>
          <w:bCs/>
        </w:rPr>
        <w:t>Scheiner</w:t>
      </w:r>
      <w:proofErr w:type="spellEnd"/>
      <w:r>
        <w:rPr>
          <w:b/>
          <w:bCs/>
        </w:rPr>
        <w:t xml:space="preserve"> B</w:t>
      </w:r>
      <w:r>
        <w:t xml:space="preserve">, </w:t>
      </w:r>
      <w:proofErr w:type="spellStart"/>
      <w:r>
        <w:t>Stammet</w:t>
      </w:r>
      <w:proofErr w:type="spellEnd"/>
      <w:r>
        <w:t xml:space="preserve"> PR, </w:t>
      </w:r>
      <w:proofErr w:type="spellStart"/>
      <w:r>
        <w:t>Pokorny</w:t>
      </w:r>
      <w:proofErr w:type="spellEnd"/>
      <w:r>
        <w:t xml:space="preserve"> S, </w:t>
      </w:r>
      <w:proofErr w:type="spellStart"/>
      <w:r>
        <w:t>Bucsics</w:t>
      </w:r>
      <w:proofErr w:type="spellEnd"/>
      <w:r>
        <w:t xml:space="preserve"> T, </w:t>
      </w:r>
      <w:proofErr w:type="spellStart"/>
      <w:r>
        <w:t>Schwabl</w:t>
      </w:r>
      <w:proofErr w:type="spellEnd"/>
      <w:r>
        <w:t xml:space="preserve"> P, </w:t>
      </w:r>
      <w:proofErr w:type="spellStart"/>
      <w:r>
        <w:t>Brichta</w:t>
      </w:r>
      <w:proofErr w:type="spellEnd"/>
      <w:r>
        <w:t xml:space="preserve"> A, </w:t>
      </w:r>
      <w:proofErr w:type="spellStart"/>
      <w:r>
        <w:t>Thaler</w:t>
      </w:r>
      <w:proofErr w:type="spellEnd"/>
      <w:r>
        <w:t xml:space="preserve"> J, </w:t>
      </w:r>
      <w:proofErr w:type="spellStart"/>
      <w:r>
        <w:t>Lampichler</w:t>
      </w:r>
      <w:proofErr w:type="spellEnd"/>
      <w:r>
        <w:t xml:space="preserve"> K, Ba-</w:t>
      </w:r>
      <w:proofErr w:type="spellStart"/>
      <w:r>
        <w:t>Ssalamah</w:t>
      </w:r>
      <w:proofErr w:type="spellEnd"/>
      <w:r>
        <w:t xml:space="preserve"> A, Ay C, </w:t>
      </w:r>
      <w:proofErr w:type="spellStart"/>
      <w:r>
        <w:t>Ferlitsch</w:t>
      </w:r>
      <w:proofErr w:type="spellEnd"/>
      <w:r>
        <w:t xml:space="preserve"> A, </w:t>
      </w:r>
      <w:proofErr w:type="spellStart"/>
      <w:r>
        <w:t>Trauner</w:t>
      </w:r>
      <w:proofErr w:type="spellEnd"/>
      <w:r>
        <w:t xml:space="preserve"> M, </w:t>
      </w:r>
      <w:proofErr w:type="spellStart"/>
      <w:r>
        <w:t>Mandorfer</w:t>
      </w:r>
      <w:proofErr w:type="spellEnd"/>
      <w:r>
        <w:t xml:space="preserve"> M, </w:t>
      </w:r>
      <w:proofErr w:type="spellStart"/>
      <w:r>
        <w:t>Reiberger</w:t>
      </w:r>
      <w:proofErr w:type="spellEnd"/>
      <w:r>
        <w:t xml:space="preserve"> T. Anticoagulation in non-malignant portal vein thrombosis is safe and improves hepatic function. </w:t>
      </w:r>
      <w:r>
        <w:rPr>
          <w:i/>
          <w:iCs/>
        </w:rPr>
        <w:t xml:space="preserve">Wien </w:t>
      </w:r>
      <w:proofErr w:type="spellStart"/>
      <w:r>
        <w:rPr>
          <w:i/>
          <w:iCs/>
        </w:rPr>
        <w:t>Klin</w:t>
      </w:r>
      <w:proofErr w:type="spellEnd"/>
      <w:r>
        <w:rPr>
          <w:i/>
          <w:iCs/>
        </w:rPr>
        <w:t xml:space="preserve"> </w:t>
      </w:r>
      <w:proofErr w:type="spellStart"/>
      <w:r>
        <w:rPr>
          <w:i/>
          <w:iCs/>
        </w:rPr>
        <w:t>Wochenschr</w:t>
      </w:r>
      <w:proofErr w:type="spellEnd"/>
      <w:r>
        <w:t xml:space="preserve"> 2018; [</w:t>
      </w:r>
      <w:proofErr w:type="spellStart"/>
      <w:r>
        <w:t>PMID</w:t>
      </w:r>
      <w:proofErr w:type="spellEnd"/>
      <w:r>
        <w:t xml:space="preserve">: 29916054 </w:t>
      </w:r>
      <w:proofErr w:type="spellStart"/>
      <w:r>
        <w:t>DOI</w:t>
      </w:r>
      <w:proofErr w:type="spellEnd"/>
      <w:r>
        <w:t>: 10.1007/s00508-018-1351-y]</w:t>
      </w:r>
    </w:p>
    <w:p w:rsidR="00FE1855" w:rsidRDefault="00FE1855" w:rsidP="00FE1855">
      <w:pPr>
        <w:pStyle w:val="-1"/>
      </w:pPr>
      <w:r>
        <w:t>22</w:t>
      </w:r>
      <w:r>
        <w:tab/>
      </w:r>
      <w:r>
        <w:rPr>
          <w:b/>
          <w:bCs/>
        </w:rPr>
        <w:t>Cruz-Ramón V</w:t>
      </w:r>
      <w:r>
        <w:t>, Chinchilla-</w:t>
      </w:r>
      <w:proofErr w:type="spellStart"/>
      <w:r>
        <w:t>López</w:t>
      </w:r>
      <w:proofErr w:type="spellEnd"/>
      <w:r>
        <w:t xml:space="preserve"> P, </w:t>
      </w:r>
      <w:proofErr w:type="spellStart"/>
      <w:r>
        <w:t>Ramírez</w:t>
      </w:r>
      <w:proofErr w:type="spellEnd"/>
      <w:r>
        <w:t>-Pérez O, Aguilar-</w:t>
      </w:r>
      <w:proofErr w:type="spellStart"/>
      <w:r>
        <w:t>Olivos</w:t>
      </w:r>
      <w:proofErr w:type="spellEnd"/>
      <w:r>
        <w:t xml:space="preserve"> NE, Alva-</w:t>
      </w:r>
      <w:proofErr w:type="spellStart"/>
      <w:r>
        <w:t>López</w:t>
      </w:r>
      <w:proofErr w:type="spellEnd"/>
      <w:r>
        <w:t xml:space="preserve"> LF, </w:t>
      </w:r>
      <w:proofErr w:type="spellStart"/>
      <w:r>
        <w:t>Fajardo-Ordoñez</w:t>
      </w:r>
      <w:proofErr w:type="spellEnd"/>
      <w:r>
        <w:t xml:space="preserve"> E, </w:t>
      </w:r>
      <w:proofErr w:type="spellStart"/>
      <w:r>
        <w:t>Ponciano</w:t>
      </w:r>
      <w:proofErr w:type="spellEnd"/>
      <w:r>
        <w:t xml:space="preserve">-Rodríguez G, Northup PG, </w:t>
      </w:r>
      <w:proofErr w:type="spellStart"/>
      <w:r>
        <w:t>Intagliata</w:t>
      </w:r>
      <w:proofErr w:type="spellEnd"/>
      <w:r>
        <w:t xml:space="preserve"> N, Caldwell </w:t>
      </w:r>
      <w:proofErr w:type="spellStart"/>
      <w:r>
        <w:t>SH</w:t>
      </w:r>
      <w:proofErr w:type="spellEnd"/>
      <w:r>
        <w:t xml:space="preserve">, Qi X, Méndez-Sánchez N. Thrombosis of the Portal Venous System in Cirrhotic vs. Non-Cirrhotic Patients. </w:t>
      </w:r>
      <w:r>
        <w:rPr>
          <w:i/>
          <w:iCs/>
        </w:rPr>
        <w:t xml:space="preserve">Ann </w:t>
      </w:r>
      <w:proofErr w:type="spellStart"/>
      <w:r>
        <w:rPr>
          <w:i/>
          <w:iCs/>
        </w:rPr>
        <w:t>Hepatol</w:t>
      </w:r>
      <w:proofErr w:type="spellEnd"/>
      <w:r>
        <w:t xml:space="preserve"> 2018; </w:t>
      </w:r>
      <w:r>
        <w:rPr>
          <w:b/>
          <w:bCs/>
        </w:rPr>
        <w:t>17</w:t>
      </w:r>
      <w:r>
        <w:t>: 476-481 [</w:t>
      </w:r>
      <w:proofErr w:type="spellStart"/>
      <w:r>
        <w:t>PMID</w:t>
      </w:r>
      <w:proofErr w:type="spellEnd"/>
      <w:r>
        <w:t xml:space="preserve">: 29735798 </w:t>
      </w:r>
      <w:proofErr w:type="spellStart"/>
      <w:r>
        <w:t>DOI</w:t>
      </w:r>
      <w:proofErr w:type="spellEnd"/>
      <w:r>
        <w:t>: 10.5604/01.3001.0011.7392]</w:t>
      </w:r>
    </w:p>
    <w:p w:rsidR="00FE1855" w:rsidRDefault="00FE1855" w:rsidP="00FE1855">
      <w:pPr>
        <w:pStyle w:val="-1"/>
      </w:pPr>
      <w:r>
        <w:t>23</w:t>
      </w:r>
      <w:r>
        <w:tab/>
      </w:r>
      <w:r>
        <w:rPr>
          <w:b/>
          <w:bCs/>
        </w:rPr>
        <w:t xml:space="preserve">Hernández </w:t>
      </w:r>
      <w:proofErr w:type="spellStart"/>
      <w:r>
        <w:rPr>
          <w:b/>
          <w:bCs/>
        </w:rPr>
        <w:t>Conde</w:t>
      </w:r>
      <w:proofErr w:type="spellEnd"/>
      <w:r>
        <w:rPr>
          <w:b/>
          <w:bCs/>
        </w:rPr>
        <w:t xml:space="preserve"> M</w:t>
      </w:r>
      <w:r>
        <w:t xml:space="preserve">, </w:t>
      </w:r>
      <w:proofErr w:type="spellStart"/>
      <w:r>
        <w:t>Llop</w:t>
      </w:r>
      <w:proofErr w:type="spellEnd"/>
      <w:r>
        <w:t xml:space="preserve"> Herrera E, de la Revilla Negro J, Pons </w:t>
      </w:r>
      <w:proofErr w:type="spellStart"/>
      <w:r>
        <w:t>Renedo</w:t>
      </w:r>
      <w:proofErr w:type="spellEnd"/>
      <w:r>
        <w:t xml:space="preserve"> F, </w:t>
      </w:r>
      <w:proofErr w:type="spellStart"/>
      <w:r>
        <w:t>Fernández</w:t>
      </w:r>
      <w:proofErr w:type="spellEnd"/>
      <w:r>
        <w:t xml:space="preserve"> </w:t>
      </w:r>
      <w:proofErr w:type="spellStart"/>
      <w:r>
        <w:t>Puga</w:t>
      </w:r>
      <w:proofErr w:type="spellEnd"/>
      <w:r>
        <w:t xml:space="preserve"> N, </w:t>
      </w:r>
      <w:proofErr w:type="spellStart"/>
      <w:r>
        <w:t>Martínez</w:t>
      </w:r>
      <w:proofErr w:type="spellEnd"/>
      <w:r>
        <w:t xml:space="preserve"> </w:t>
      </w:r>
      <w:proofErr w:type="spellStart"/>
      <w:r>
        <w:t>Porras</w:t>
      </w:r>
      <w:proofErr w:type="spellEnd"/>
      <w:r>
        <w:t xml:space="preserve"> </w:t>
      </w:r>
      <w:proofErr w:type="spellStart"/>
      <w:r>
        <w:t>JL</w:t>
      </w:r>
      <w:proofErr w:type="spellEnd"/>
      <w:r>
        <w:t xml:space="preserve">, </w:t>
      </w:r>
      <w:proofErr w:type="spellStart"/>
      <w:r>
        <w:t>Trapero</w:t>
      </w:r>
      <w:proofErr w:type="spellEnd"/>
      <w:r>
        <w:t xml:space="preserve"> </w:t>
      </w:r>
      <w:proofErr w:type="spellStart"/>
      <w:r>
        <w:t>Marugan</w:t>
      </w:r>
      <w:proofErr w:type="spellEnd"/>
      <w:r>
        <w:t xml:space="preserve"> M, </w:t>
      </w:r>
      <w:proofErr w:type="spellStart"/>
      <w:r>
        <w:t>Cuervas</w:t>
      </w:r>
      <w:proofErr w:type="spellEnd"/>
      <w:r>
        <w:t xml:space="preserve">-Mons V, Sánchez </w:t>
      </w:r>
      <w:proofErr w:type="spellStart"/>
      <w:r>
        <w:t>Turrión</w:t>
      </w:r>
      <w:proofErr w:type="spellEnd"/>
      <w:r>
        <w:t xml:space="preserve"> V, </w:t>
      </w:r>
      <w:proofErr w:type="spellStart"/>
      <w:r>
        <w:t>Calleja</w:t>
      </w:r>
      <w:proofErr w:type="spellEnd"/>
      <w:r>
        <w:t xml:space="preserve"> </w:t>
      </w:r>
      <w:proofErr w:type="spellStart"/>
      <w:r>
        <w:t>Panero</w:t>
      </w:r>
      <w:proofErr w:type="spellEnd"/>
      <w:r>
        <w:t xml:space="preserve"> JL. </w:t>
      </w:r>
      <w:proofErr w:type="gramStart"/>
      <w:r>
        <w:t>Prevalence and outcome of portal thrombosis in a cohort of cirrhotic patients undergoing liver transplantation.</w:t>
      </w:r>
      <w:proofErr w:type="gramEnd"/>
      <w:r>
        <w:t xml:space="preserve"> </w:t>
      </w:r>
      <w:r>
        <w:rPr>
          <w:i/>
          <w:iCs/>
        </w:rPr>
        <w:t xml:space="preserve">Rev </w:t>
      </w:r>
      <w:proofErr w:type="spellStart"/>
      <w:proofErr w:type="gramStart"/>
      <w:r>
        <w:rPr>
          <w:i/>
          <w:iCs/>
        </w:rPr>
        <w:t>Esp</w:t>
      </w:r>
      <w:proofErr w:type="spellEnd"/>
      <w:proofErr w:type="gramEnd"/>
      <w:r>
        <w:rPr>
          <w:i/>
          <w:iCs/>
        </w:rPr>
        <w:t xml:space="preserve"> </w:t>
      </w:r>
      <w:proofErr w:type="spellStart"/>
      <w:r>
        <w:rPr>
          <w:i/>
          <w:iCs/>
        </w:rPr>
        <w:t>Enferm</w:t>
      </w:r>
      <w:proofErr w:type="spellEnd"/>
      <w:r>
        <w:rPr>
          <w:i/>
          <w:iCs/>
        </w:rPr>
        <w:t xml:space="preserve"> Dig</w:t>
      </w:r>
      <w:r>
        <w:t xml:space="preserve"> 2016; </w:t>
      </w:r>
      <w:r>
        <w:rPr>
          <w:b/>
          <w:bCs/>
        </w:rPr>
        <w:t>108</w:t>
      </w:r>
      <w:r>
        <w:t>: 716-720 [</w:t>
      </w:r>
      <w:proofErr w:type="spellStart"/>
      <w:r>
        <w:t>PMID</w:t>
      </w:r>
      <w:proofErr w:type="spellEnd"/>
      <w:r>
        <w:t xml:space="preserve">: 27756145 </w:t>
      </w:r>
      <w:proofErr w:type="spellStart"/>
      <w:r>
        <w:t>DOI</w:t>
      </w:r>
      <w:proofErr w:type="spellEnd"/>
      <w:r>
        <w:t>: 10.17235/reed.2016.4211/2016]</w:t>
      </w:r>
    </w:p>
    <w:p w:rsidR="00FE1855" w:rsidRDefault="00FE1855" w:rsidP="00FE1855">
      <w:pPr>
        <w:pStyle w:val="-1"/>
      </w:pPr>
      <w:r>
        <w:t>24</w:t>
      </w:r>
      <w:r>
        <w:tab/>
      </w:r>
      <w:proofErr w:type="spellStart"/>
      <w:r>
        <w:rPr>
          <w:b/>
          <w:bCs/>
        </w:rPr>
        <w:t>Chaireti</w:t>
      </w:r>
      <w:proofErr w:type="spellEnd"/>
      <w:r>
        <w:rPr>
          <w:b/>
          <w:bCs/>
        </w:rPr>
        <w:t xml:space="preserve"> R</w:t>
      </w:r>
      <w:r>
        <w:t xml:space="preserve">, </w:t>
      </w:r>
      <w:proofErr w:type="spellStart"/>
      <w:r>
        <w:t>Rajani</w:t>
      </w:r>
      <w:proofErr w:type="spellEnd"/>
      <w:r>
        <w:t xml:space="preserve"> R, </w:t>
      </w:r>
      <w:proofErr w:type="spellStart"/>
      <w:r>
        <w:t>Bergquist</w:t>
      </w:r>
      <w:proofErr w:type="spellEnd"/>
      <w:r>
        <w:t xml:space="preserve"> A, </w:t>
      </w:r>
      <w:proofErr w:type="spellStart"/>
      <w:r>
        <w:t>Melin</w:t>
      </w:r>
      <w:proofErr w:type="spellEnd"/>
      <w:r>
        <w:t xml:space="preserve"> T, </w:t>
      </w:r>
      <w:proofErr w:type="spellStart"/>
      <w:r>
        <w:t>Friis-Liby</w:t>
      </w:r>
      <w:proofErr w:type="spellEnd"/>
      <w:r>
        <w:t xml:space="preserve"> IL, </w:t>
      </w:r>
      <w:proofErr w:type="spellStart"/>
      <w:r>
        <w:t>Kapraali</w:t>
      </w:r>
      <w:proofErr w:type="spellEnd"/>
      <w:r>
        <w:t xml:space="preserve"> M, </w:t>
      </w:r>
      <w:proofErr w:type="spellStart"/>
      <w:r>
        <w:t>Kechagias</w:t>
      </w:r>
      <w:proofErr w:type="spellEnd"/>
      <w:r>
        <w:t xml:space="preserve"> S, </w:t>
      </w:r>
      <w:proofErr w:type="spellStart"/>
      <w:r>
        <w:t>Lindahl</w:t>
      </w:r>
      <w:proofErr w:type="spellEnd"/>
      <w:r>
        <w:t xml:space="preserve"> TL, </w:t>
      </w:r>
      <w:proofErr w:type="spellStart"/>
      <w:r>
        <w:t>Almer</w:t>
      </w:r>
      <w:proofErr w:type="spellEnd"/>
      <w:r>
        <w:t xml:space="preserve"> S. Increased thrombin generation in splanchnic vein thrombosis is related to the presence of liver cirrhosis and not to the thrombotic event. </w:t>
      </w:r>
      <w:proofErr w:type="spellStart"/>
      <w:r>
        <w:rPr>
          <w:i/>
          <w:iCs/>
        </w:rPr>
        <w:t>Thromb</w:t>
      </w:r>
      <w:proofErr w:type="spellEnd"/>
      <w:r>
        <w:rPr>
          <w:i/>
          <w:iCs/>
        </w:rPr>
        <w:t xml:space="preserve"> Res</w:t>
      </w:r>
      <w:r>
        <w:t xml:space="preserve"> 2014; </w:t>
      </w:r>
      <w:r>
        <w:rPr>
          <w:b/>
          <w:bCs/>
        </w:rPr>
        <w:t>134</w:t>
      </w:r>
      <w:r>
        <w:t>: 455-461 [</w:t>
      </w:r>
      <w:proofErr w:type="spellStart"/>
      <w:r>
        <w:t>PMID</w:t>
      </w:r>
      <w:proofErr w:type="spellEnd"/>
      <w:r>
        <w:t xml:space="preserve">: 24913997 </w:t>
      </w:r>
      <w:proofErr w:type="spellStart"/>
      <w:r>
        <w:t>DOI</w:t>
      </w:r>
      <w:proofErr w:type="spellEnd"/>
      <w:r>
        <w:t>: 10.1016/j.thromres.2014.05.012]</w:t>
      </w:r>
    </w:p>
    <w:p w:rsidR="00FE1855" w:rsidRDefault="00FE1855" w:rsidP="00FE1855">
      <w:pPr>
        <w:pStyle w:val="-1"/>
      </w:pPr>
      <w:r>
        <w:t>25</w:t>
      </w:r>
      <w:r>
        <w:tab/>
      </w:r>
      <w:proofErr w:type="spellStart"/>
      <w:r>
        <w:rPr>
          <w:b/>
          <w:bCs/>
        </w:rPr>
        <w:t>Tripodi</w:t>
      </w:r>
      <w:proofErr w:type="spellEnd"/>
      <w:r>
        <w:rPr>
          <w:b/>
          <w:bCs/>
        </w:rPr>
        <w:t xml:space="preserve"> A</w:t>
      </w:r>
      <w:r>
        <w:t xml:space="preserve">, Salerno F, </w:t>
      </w:r>
      <w:proofErr w:type="spellStart"/>
      <w:r>
        <w:t>Chantarangkul</w:t>
      </w:r>
      <w:proofErr w:type="spellEnd"/>
      <w:r>
        <w:t xml:space="preserve"> V, </w:t>
      </w:r>
      <w:proofErr w:type="spellStart"/>
      <w:r>
        <w:t>Clerici</w:t>
      </w:r>
      <w:proofErr w:type="spellEnd"/>
      <w:r>
        <w:t xml:space="preserve"> M, </w:t>
      </w:r>
      <w:proofErr w:type="spellStart"/>
      <w:r>
        <w:t>Cazzaniga</w:t>
      </w:r>
      <w:proofErr w:type="spellEnd"/>
      <w:r>
        <w:t xml:space="preserve"> M, </w:t>
      </w:r>
      <w:proofErr w:type="spellStart"/>
      <w:r>
        <w:t>Primignani</w:t>
      </w:r>
      <w:proofErr w:type="spellEnd"/>
      <w:r>
        <w:t xml:space="preserve"> M, </w:t>
      </w:r>
      <w:proofErr w:type="spellStart"/>
      <w:r>
        <w:t>Mannuccio</w:t>
      </w:r>
      <w:proofErr w:type="spellEnd"/>
      <w:r>
        <w:t xml:space="preserve"> </w:t>
      </w:r>
      <w:proofErr w:type="spellStart"/>
      <w:r>
        <w:t>Mannucci</w:t>
      </w:r>
      <w:proofErr w:type="spellEnd"/>
      <w:r>
        <w:t xml:space="preserve"> P. Evidence of normal thrombin generation in cirrhosis despite abnormal conventional coagulation tests. </w:t>
      </w:r>
      <w:proofErr w:type="spellStart"/>
      <w:r>
        <w:rPr>
          <w:i/>
          <w:iCs/>
        </w:rPr>
        <w:t>Hepatology</w:t>
      </w:r>
      <w:proofErr w:type="spellEnd"/>
      <w:r>
        <w:t xml:space="preserve"> 2005; </w:t>
      </w:r>
      <w:r>
        <w:rPr>
          <w:b/>
          <w:bCs/>
        </w:rPr>
        <w:t>41</w:t>
      </w:r>
      <w:r>
        <w:t>: 553-558 [</w:t>
      </w:r>
      <w:proofErr w:type="spellStart"/>
      <w:r>
        <w:t>PMID</w:t>
      </w:r>
      <w:proofErr w:type="spellEnd"/>
      <w:r>
        <w:t xml:space="preserve">: 15726661 </w:t>
      </w:r>
      <w:proofErr w:type="spellStart"/>
      <w:r>
        <w:t>DOI</w:t>
      </w:r>
      <w:proofErr w:type="spellEnd"/>
      <w:r>
        <w:t>: 10.1002/hep.20569]</w:t>
      </w:r>
    </w:p>
    <w:p w:rsidR="00FE1855" w:rsidRDefault="00FE1855" w:rsidP="00FE1855">
      <w:pPr>
        <w:pStyle w:val="-1"/>
      </w:pPr>
      <w:r>
        <w:t>26</w:t>
      </w:r>
      <w:r>
        <w:tab/>
      </w:r>
      <w:proofErr w:type="spellStart"/>
      <w:r>
        <w:rPr>
          <w:b/>
          <w:bCs/>
        </w:rPr>
        <w:t>Rossetto</w:t>
      </w:r>
      <w:proofErr w:type="spellEnd"/>
      <w:r>
        <w:rPr>
          <w:b/>
          <w:bCs/>
        </w:rPr>
        <w:t xml:space="preserve"> V</w:t>
      </w:r>
      <w:r>
        <w:t xml:space="preserve">, </w:t>
      </w:r>
      <w:proofErr w:type="spellStart"/>
      <w:r>
        <w:t>Spiezia</w:t>
      </w:r>
      <w:proofErr w:type="spellEnd"/>
      <w:r>
        <w:t xml:space="preserve"> L, </w:t>
      </w:r>
      <w:proofErr w:type="spellStart"/>
      <w:r>
        <w:t>Senzolo</w:t>
      </w:r>
      <w:proofErr w:type="spellEnd"/>
      <w:r>
        <w:t xml:space="preserve"> M, Rodriguez-Castro KI, </w:t>
      </w:r>
      <w:proofErr w:type="spellStart"/>
      <w:r>
        <w:t>Maggiolo</w:t>
      </w:r>
      <w:proofErr w:type="spellEnd"/>
      <w:r>
        <w:t xml:space="preserve"> S, </w:t>
      </w:r>
      <w:proofErr w:type="spellStart"/>
      <w:r>
        <w:t>Simioni</w:t>
      </w:r>
      <w:proofErr w:type="spellEnd"/>
      <w:r>
        <w:t xml:space="preserve"> P. Whole blood rotation </w:t>
      </w:r>
      <w:proofErr w:type="spellStart"/>
      <w:r>
        <w:t>thromboelastometry</w:t>
      </w:r>
      <w:proofErr w:type="spellEnd"/>
      <w:r>
        <w:t xml:space="preserve"> (</w:t>
      </w:r>
      <w:proofErr w:type="spellStart"/>
      <w:r>
        <w:t>ROTEM</w:t>
      </w:r>
      <w:proofErr w:type="spellEnd"/>
      <w:r>
        <w:t xml:space="preserve">®) profiles in subjects with non-neoplastic portal vein thrombosis. </w:t>
      </w:r>
      <w:proofErr w:type="spellStart"/>
      <w:r>
        <w:rPr>
          <w:i/>
          <w:iCs/>
        </w:rPr>
        <w:t>Thromb</w:t>
      </w:r>
      <w:proofErr w:type="spellEnd"/>
      <w:r>
        <w:rPr>
          <w:i/>
          <w:iCs/>
        </w:rPr>
        <w:t xml:space="preserve"> Res</w:t>
      </w:r>
      <w:r>
        <w:t xml:space="preserve"> 2013; </w:t>
      </w:r>
      <w:r>
        <w:rPr>
          <w:b/>
          <w:bCs/>
        </w:rPr>
        <w:t>132</w:t>
      </w:r>
      <w:r>
        <w:t>: e131-e134 [</w:t>
      </w:r>
      <w:proofErr w:type="spellStart"/>
      <w:r>
        <w:t>PMID</w:t>
      </w:r>
      <w:proofErr w:type="spellEnd"/>
      <w:r>
        <w:t xml:space="preserve">: 23810655 </w:t>
      </w:r>
      <w:proofErr w:type="spellStart"/>
      <w:r>
        <w:t>DOI</w:t>
      </w:r>
      <w:proofErr w:type="spellEnd"/>
      <w:r>
        <w:t>: 10.1016/j.thromres.2013.06.009]</w:t>
      </w:r>
    </w:p>
    <w:p w:rsidR="00FE1855" w:rsidRDefault="00FE1855" w:rsidP="00FE1855">
      <w:pPr>
        <w:pStyle w:val="-1"/>
      </w:pPr>
      <w:r>
        <w:t>27</w:t>
      </w:r>
      <w:r>
        <w:tab/>
      </w:r>
      <w:r>
        <w:rPr>
          <w:b/>
          <w:bCs/>
        </w:rPr>
        <w:t>Stine JG</w:t>
      </w:r>
      <w:r>
        <w:t xml:space="preserve">, Wang J, Shah PM, Argo </w:t>
      </w:r>
      <w:proofErr w:type="spellStart"/>
      <w:r>
        <w:t>CK</w:t>
      </w:r>
      <w:proofErr w:type="spellEnd"/>
      <w:r>
        <w:t xml:space="preserve">, </w:t>
      </w:r>
      <w:proofErr w:type="spellStart"/>
      <w:r>
        <w:t>Intagliata</w:t>
      </w:r>
      <w:proofErr w:type="spellEnd"/>
      <w:r>
        <w:t xml:space="preserve"> N, </w:t>
      </w:r>
      <w:proofErr w:type="spellStart"/>
      <w:r>
        <w:t>Uflacker</w:t>
      </w:r>
      <w:proofErr w:type="spellEnd"/>
      <w:r>
        <w:t xml:space="preserve"> A, Caldwell </w:t>
      </w:r>
      <w:proofErr w:type="spellStart"/>
      <w:r>
        <w:t>SH</w:t>
      </w:r>
      <w:proofErr w:type="spellEnd"/>
      <w:r>
        <w:t xml:space="preserve">, Northup PG. Decreased portal vein velocity is predictive of the development of portal vein thrombosis: A matched case-control study. </w:t>
      </w:r>
      <w:r>
        <w:rPr>
          <w:i/>
          <w:iCs/>
        </w:rPr>
        <w:t xml:space="preserve">Liver </w:t>
      </w:r>
      <w:proofErr w:type="spellStart"/>
      <w:r>
        <w:rPr>
          <w:i/>
          <w:iCs/>
        </w:rPr>
        <w:t>Int</w:t>
      </w:r>
      <w:proofErr w:type="spellEnd"/>
      <w:r>
        <w:t xml:space="preserve"> 2018; </w:t>
      </w:r>
      <w:r>
        <w:rPr>
          <w:b/>
          <w:bCs/>
        </w:rPr>
        <w:t>38</w:t>
      </w:r>
      <w:r>
        <w:t>: 94-101 [</w:t>
      </w:r>
      <w:proofErr w:type="spellStart"/>
      <w:r>
        <w:t>PMID</w:t>
      </w:r>
      <w:proofErr w:type="spellEnd"/>
      <w:r>
        <w:t xml:space="preserve">: 28632958 </w:t>
      </w:r>
      <w:proofErr w:type="spellStart"/>
      <w:r>
        <w:t>DOI</w:t>
      </w:r>
      <w:proofErr w:type="spellEnd"/>
      <w:r>
        <w:t>: 10.1111/liv.13500]</w:t>
      </w:r>
    </w:p>
    <w:p w:rsidR="00FE1855" w:rsidRDefault="00FE1855" w:rsidP="00FE1855">
      <w:pPr>
        <w:pStyle w:val="-1"/>
      </w:pPr>
      <w:r>
        <w:t>28</w:t>
      </w:r>
      <w:r>
        <w:tab/>
      </w:r>
      <w:proofErr w:type="spellStart"/>
      <w:r>
        <w:rPr>
          <w:b/>
          <w:bCs/>
        </w:rPr>
        <w:t>Zampino</w:t>
      </w:r>
      <w:proofErr w:type="spellEnd"/>
      <w:r>
        <w:rPr>
          <w:b/>
          <w:bCs/>
        </w:rPr>
        <w:t xml:space="preserve"> R</w:t>
      </w:r>
      <w:r>
        <w:t xml:space="preserve">, </w:t>
      </w:r>
      <w:proofErr w:type="spellStart"/>
      <w:r>
        <w:t>Lebano</w:t>
      </w:r>
      <w:proofErr w:type="spellEnd"/>
      <w:r>
        <w:t xml:space="preserve"> R, Coppola N, </w:t>
      </w:r>
      <w:proofErr w:type="spellStart"/>
      <w:r>
        <w:t>Macera</w:t>
      </w:r>
      <w:proofErr w:type="spellEnd"/>
      <w:r>
        <w:t xml:space="preserve"> M, </w:t>
      </w:r>
      <w:proofErr w:type="spellStart"/>
      <w:r>
        <w:t>Grandone</w:t>
      </w:r>
      <w:proofErr w:type="spellEnd"/>
      <w:r>
        <w:t xml:space="preserve"> A, </w:t>
      </w:r>
      <w:proofErr w:type="spellStart"/>
      <w:r>
        <w:t>Rinaldi</w:t>
      </w:r>
      <w:proofErr w:type="spellEnd"/>
      <w:r>
        <w:t xml:space="preserve"> L, De </w:t>
      </w:r>
      <w:proofErr w:type="spellStart"/>
      <w:r>
        <w:t>Sio</w:t>
      </w:r>
      <w:proofErr w:type="spellEnd"/>
      <w:r>
        <w:t xml:space="preserve"> I, </w:t>
      </w:r>
      <w:proofErr w:type="spellStart"/>
      <w:r>
        <w:t>Tufano</w:t>
      </w:r>
      <w:proofErr w:type="spellEnd"/>
      <w:r>
        <w:t xml:space="preserve"> A, </w:t>
      </w:r>
      <w:proofErr w:type="spellStart"/>
      <w:r>
        <w:t>Stornaiuolo</w:t>
      </w:r>
      <w:proofErr w:type="spellEnd"/>
      <w:r>
        <w:t xml:space="preserve"> G, </w:t>
      </w:r>
      <w:proofErr w:type="spellStart"/>
      <w:r>
        <w:t>Adinolfi</w:t>
      </w:r>
      <w:proofErr w:type="spellEnd"/>
      <w:r>
        <w:t xml:space="preserve"> LE, Durante-</w:t>
      </w:r>
      <w:proofErr w:type="spellStart"/>
      <w:r>
        <w:t>Mangoni</w:t>
      </w:r>
      <w:proofErr w:type="spellEnd"/>
      <w:r>
        <w:t xml:space="preserve"> E, Battista </w:t>
      </w:r>
      <w:proofErr w:type="spellStart"/>
      <w:r>
        <w:t>GG</w:t>
      </w:r>
      <w:proofErr w:type="spellEnd"/>
      <w:r>
        <w:t xml:space="preserve">, </w:t>
      </w:r>
      <w:proofErr w:type="spellStart"/>
      <w:r>
        <w:t>Niglio</w:t>
      </w:r>
      <w:proofErr w:type="spellEnd"/>
      <w:r>
        <w:t xml:space="preserve"> A. The use of nonselective beta blockers is a risk factor for portal vein thrombosis in cirrhotic patients. </w:t>
      </w:r>
      <w:r>
        <w:rPr>
          <w:i/>
          <w:iCs/>
        </w:rPr>
        <w:t xml:space="preserve">Saudi J </w:t>
      </w:r>
      <w:proofErr w:type="spellStart"/>
      <w:r>
        <w:rPr>
          <w:i/>
          <w:iCs/>
        </w:rPr>
        <w:t>Gastroenterol</w:t>
      </w:r>
      <w:proofErr w:type="spellEnd"/>
      <w:r>
        <w:t xml:space="preserve"> 2018; </w:t>
      </w:r>
      <w:r>
        <w:rPr>
          <w:b/>
          <w:bCs/>
        </w:rPr>
        <w:t>24</w:t>
      </w:r>
      <w:r>
        <w:t>: 25-29 [</w:t>
      </w:r>
      <w:proofErr w:type="spellStart"/>
      <w:r>
        <w:t>PMID</w:t>
      </w:r>
      <w:proofErr w:type="spellEnd"/>
      <w:r>
        <w:t xml:space="preserve">: 29451181 </w:t>
      </w:r>
      <w:proofErr w:type="spellStart"/>
      <w:r>
        <w:t>DOI</w:t>
      </w:r>
      <w:proofErr w:type="spellEnd"/>
      <w:r>
        <w:t>: 10.4103/sjg.SJG_100_17]</w:t>
      </w:r>
    </w:p>
    <w:p w:rsidR="00FE1855" w:rsidRDefault="00FE1855" w:rsidP="00FE1855">
      <w:pPr>
        <w:pStyle w:val="-1"/>
      </w:pPr>
      <w:r>
        <w:t>29</w:t>
      </w:r>
      <w:r>
        <w:tab/>
      </w:r>
      <w:proofErr w:type="spellStart"/>
      <w:r>
        <w:rPr>
          <w:b/>
          <w:bCs/>
        </w:rPr>
        <w:t>Pradella</w:t>
      </w:r>
      <w:proofErr w:type="spellEnd"/>
      <w:r>
        <w:rPr>
          <w:b/>
          <w:bCs/>
        </w:rPr>
        <w:t xml:space="preserve"> P</w:t>
      </w:r>
      <w:r>
        <w:t xml:space="preserve">, </w:t>
      </w:r>
      <w:proofErr w:type="spellStart"/>
      <w:r>
        <w:t>Bonetto</w:t>
      </w:r>
      <w:proofErr w:type="spellEnd"/>
      <w:r>
        <w:t xml:space="preserve"> S, </w:t>
      </w:r>
      <w:proofErr w:type="spellStart"/>
      <w:r>
        <w:t>Turchetto</w:t>
      </w:r>
      <w:proofErr w:type="spellEnd"/>
      <w:r>
        <w:t xml:space="preserve"> S, </w:t>
      </w:r>
      <w:proofErr w:type="spellStart"/>
      <w:r>
        <w:t>Uxa</w:t>
      </w:r>
      <w:proofErr w:type="spellEnd"/>
      <w:r>
        <w:t xml:space="preserve"> L, </w:t>
      </w:r>
      <w:proofErr w:type="spellStart"/>
      <w:r>
        <w:t>Comar</w:t>
      </w:r>
      <w:proofErr w:type="spellEnd"/>
      <w:r>
        <w:t xml:space="preserve"> C, </w:t>
      </w:r>
      <w:proofErr w:type="spellStart"/>
      <w:r>
        <w:t>Zorat</w:t>
      </w:r>
      <w:proofErr w:type="spellEnd"/>
      <w:r>
        <w:t xml:space="preserve"> F, De Angelis V, </w:t>
      </w:r>
      <w:proofErr w:type="spellStart"/>
      <w:r>
        <w:t>Pozzato</w:t>
      </w:r>
      <w:proofErr w:type="spellEnd"/>
      <w:r>
        <w:t xml:space="preserve"> G. Platelet production and destruction in liver cirrhosis. </w:t>
      </w:r>
      <w:r>
        <w:rPr>
          <w:i/>
          <w:iCs/>
        </w:rPr>
        <w:t xml:space="preserve">J </w:t>
      </w:r>
      <w:proofErr w:type="spellStart"/>
      <w:r>
        <w:rPr>
          <w:i/>
          <w:iCs/>
        </w:rPr>
        <w:t>Hepatol</w:t>
      </w:r>
      <w:proofErr w:type="spellEnd"/>
      <w:r>
        <w:t xml:space="preserve"> 2011; </w:t>
      </w:r>
      <w:r>
        <w:rPr>
          <w:b/>
          <w:bCs/>
        </w:rPr>
        <w:t>54</w:t>
      </w:r>
      <w:r>
        <w:t>: 894-900 [</w:t>
      </w:r>
      <w:proofErr w:type="spellStart"/>
      <w:r>
        <w:t>PMID</w:t>
      </w:r>
      <w:proofErr w:type="spellEnd"/>
      <w:r>
        <w:t xml:space="preserve">: 21145808 </w:t>
      </w:r>
      <w:proofErr w:type="spellStart"/>
      <w:r>
        <w:t>DOI</w:t>
      </w:r>
      <w:proofErr w:type="spellEnd"/>
      <w:r>
        <w:t>: 10.1016/j.jhep.2010.08.018]</w:t>
      </w:r>
    </w:p>
    <w:p w:rsidR="00FE1855" w:rsidRDefault="00FE1855" w:rsidP="00FE1855">
      <w:pPr>
        <w:pStyle w:val="-1"/>
      </w:pPr>
      <w:r>
        <w:t>30</w:t>
      </w:r>
      <w:r>
        <w:tab/>
      </w:r>
      <w:proofErr w:type="spellStart"/>
      <w:r>
        <w:rPr>
          <w:b/>
          <w:bCs/>
        </w:rPr>
        <w:t>Lisman</w:t>
      </w:r>
      <w:proofErr w:type="spellEnd"/>
      <w:r>
        <w:rPr>
          <w:b/>
          <w:bCs/>
        </w:rPr>
        <w:t xml:space="preserve"> T</w:t>
      </w:r>
      <w:r>
        <w:t xml:space="preserve">, Porte RJ. </w:t>
      </w:r>
      <w:proofErr w:type="gramStart"/>
      <w:r>
        <w:t>Platelet function</w:t>
      </w:r>
      <w:proofErr w:type="gramEnd"/>
      <w:r>
        <w:t xml:space="preserve"> in patients with cirrhosis. </w:t>
      </w:r>
      <w:r>
        <w:rPr>
          <w:i/>
          <w:iCs/>
        </w:rPr>
        <w:t xml:space="preserve">J </w:t>
      </w:r>
      <w:proofErr w:type="spellStart"/>
      <w:r>
        <w:rPr>
          <w:i/>
          <w:iCs/>
        </w:rPr>
        <w:t>Hepatol</w:t>
      </w:r>
      <w:proofErr w:type="spellEnd"/>
      <w:r>
        <w:t xml:space="preserve"> 2012; </w:t>
      </w:r>
      <w:r>
        <w:rPr>
          <w:b/>
          <w:bCs/>
        </w:rPr>
        <w:t>56</w:t>
      </w:r>
      <w:r>
        <w:t>: 993-</w:t>
      </w:r>
      <w:r w:rsidRPr="000937AF">
        <w:t>99</w:t>
      </w:r>
      <w:r>
        <w:t>4; author reply 994-</w:t>
      </w:r>
      <w:r w:rsidRPr="000937AF">
        <w:t>99</w:t>
      </w:r>
      <w:r>
        <w:t>5 [</w:t>
      </w:r>
      <w:proofErr w:type="spellStart"/>
      <w:r>
        <w:t>PMID</w:t>
      </w:r>
      <w:proofErr w:type="spellEnd"/>
      <w:r>
        <w:t xml:space="preserve">: 22424439 </w:t>
      </w:r>
      <w:proofErr w:type="spellStart"/>
      <w:r>
        <w:t>DOI</w:t>
      </w:r>
      <w:proofErr w:type="spellEnd"/>
      <w:r>
        <w:t>: 10.1016/j.jhep.2011.08.013]</w:t>
      </w:r>
    </w:p>
    <w:p w:rsidR="00FE1855" w:rsidRDefault="00FE1855" w:rsidP="00FE1855">
      <w:pPr>
        <w:pStyle w:val="-1"/>
      </w:pPr>
      <w:r>
        <w:t>31</w:t>
      </w:r>
      <w:r>
        <w:tab/>
      </w:r>
      <w:r>
        <w:rPr>
          <w:b/>
          <w:bCs/>
        </w:rPr>
        <w:t xml:space="preserve">Caldwell </w:t>
      </w:r>
      <w:proofErr w:type="spellStart"/>
      <w:r>
        <w:rPr>
          <w:b/>
          <w:bCs/>
        </w:rPr>
        <w:t>SH</w:t>
      </w:r>
      <w:proofErr w:type="spellEnd"/>
      <w:r>
        <w:t xml:space="preserve">, </w:t>
      </w:r>
      <w:proofErr w:type="spellStart"/>
      <w:r>
        <w:t>Sanyal</w:t>
      </w:r>
      <w:proofErr w:type="spellEnd"/>
      <w:r>
        <w:t xml:space="preserve"> </w:t>
      </w:r>
      <w:proofErr w:type="spellStart"/>
      <w:r>
        <w:t>AJ</w:t>
      </w:r>
      <w:proofErr w:type="spellEnd"/>
      <w:r>
        <w:t xml:space="preserve">. Coagulation disorders and bleeding in liver disease: future directions. </w:t>
      </w:r>
      <w:proofErr w:type="spellStart"/>
      <w:r>
        <w:rPr>
          <w:i/>
          <w:iCs/>
        </w:rPr>
        <w:t>Clin</w:t>
      </w:r>
      <w:proofErr w:type="spellEnd"/>
      <w:r>
        <w:rPr>
          <w:i/>
          <w:iCs/>
        </w:rPr>
        <w:t xml:space="preserve"> Liver Dis</w:t>
      </w:r>
      <w:r>
        <w:t xml:space="preserve"> 2009; </w:t>
      </w:r>
      <w:r>
        <w:rPr>
          <w:b/>
          <w:bCs/>
        </w:rPr>
        <w:t>13</w:t>
      </w:r>
      <w:r>
        <w:t>: 155-157 [</w:t>
      </w:r>
      <w:proofErr w:type="spellStart"/>
      <w:r>
        <w:t>PMID</w:t>
      </w:r>
      <w:proofErr w:type="spellEnd"/>
      <w:r>
        <w:t xml:space="preserve">: 19150319 </w:t>
      </w:r>
      <w:proofErr w:type="spellStart"/>
      <w:r>
        <w:t>DOI</w:t>
      </w:r>
      <w:proofErr w:type="spellEnd"/>
      <w:r>
        <w:t>: 10.1016/j.cld.2008.09.011]</w:t>
      </w:r>
    </w:p>
    <w:p w:rsidR="00FE1855" w:rsidRDefault="00FE1855" w:rsidP="00FE1855">
      <w:pPr>
        <w:pStyle w:val="-1"/>
      </w:pPr>
      <w:r>
        <w:lastRenderedPageBreak/>
        <w:t>32</w:t>
      </w:r>
      <w:r>
        <w:tab/>
      </w:r>
      <w:r>
        <w:rPr>
          <w:b/>
          <w:bCs/>
        </w:rPr>
        <w:t xml:space="preserve">Saner </w:t>
      </w:r>
      <w:proofErr w:type="spellStart"/>
      <w:r>
        <w:rPr>
          <w:b/>
          <w:bCs/>
        </w:rPr>
        <w:t>FH</w:t>
      </w:r>
      <w:proofErr w:type="spellEnd"/>
      <w:r>
        <w:t xml:space="preserve">, </w:t>
      </w:r>
      <w:proofErr w:type="spellStart"/>
      <w:r>
        <w:t>Gieseler</w:t>
      </w:r>
      <w:proofErr w:type="spellEnd"/>
      <w:r>
        <w:t xml:space="preserve"> </w:t>
      </w:r>
      <w:proofErr w:type="spellStart"/>
      <w:r>
        <w:t>RK</w:t>
      </w:r>
      <w:proofErr w:type="spellEnd"/>
      <w:r>
        <w:t xml:space="preserve">, </w:t>
      </w:r>
      <w:proofErr w:type="spellStart"/>
      <w:r>
        <w:t>Akız</w:t>
      </w:r>
      <w:proofErr w:type="spellEnd"/>
      <w:r>
        <w:t xml:space="preserve"> H, </w:t>
      </w:r>
      <w:proofErr w:type="spellStart"/>
      <w:r>
        <w:t>Canbay</w:t>
      </w:r>
      <w:proofErr w:type="spellEnd"/>
      <w:r>
        <w:t xml:space="preserve"> A, </w:t>
      </w:r>
      <w:proofErr w:type="spellStart"/>
      <w:r>
        <w:t>Görlinger</w:t>
      </w:r>
      <w:proofErr w:type="spellEnd"/>
      <w:r>
        <w:t xml:space="preserve"> K. Delicate balance of bleeding and thrombosis in end-stage liver disease and liver transplantation. </w:t>
      </w:r>
      <w:r>
        <w:rPr>
          <w:i/>
          <w:iCs/>
        </w:rPr>
        <w:t>Digestion</w:t>
      </w:r>
      <w:r>
        <w:t xml:space="preserve"> 2013; </w:t>
      </w:r>
      <w:r>
        <w:rPr>
          <w:b/>
          <w:bCs/>
        </w:rPr>
        <w:t>88</w:t>
      </w:r>
      <w:r>
        <w:t>: 135-144 [</w:t>
      </w:r>
      <w:proofErr w:type="spellStart"/>
      <w:r>
        <w:t>PMID</w:t>
      </w:r>
      <w:proofErr w:type="spellEnd"/>
      <w:r>
        <w:t xml:space="preserve">: 24008288 </w:t>
      </w:r>
      <w:proofErr w:type="spellStart"/>
      <w:r>
        <w:t>DOI</w:t>
      </w:r>
      <w:proofErr w:type="spellEnd"/>
      <w:r>
        <w:t>: 10.1159/000354400]</w:t>
      </w:r>
    </w:p>
    <w:p w:rsidR="00FE1855" w:rsidRDefault="00FE1855" w:rsidP="00FE1855">
      <w:pPr>
        <w:pStyle w:val="-1"/>
      </w:pPr>
      <w:r>
        <w:t>33</w:t>
      </w:r>
      <w:r>
        <w:tab/>
      </w:r>
      <w:proofErr w:type="spellStart"/>
      <w:r>
        <w:rPr>
          <w:b/>
          <w:bCs/>
        </w:rPr>
        <w:t>Tripodi</w:t>
      </w:r>
      <w:proofErr w:type="spellEnd"/>
      <w:r>
        <w:rPr>
          <w:b/>
          <w:bCs/>
        </w:rPr>
        <w:t xml:space="preserve"> A</w:t>
      </w:r>
      <w:r>
        <w:t xml:space="preserve">, </w:t>
      </w:r>
      <w:proofErr w:type="spellStart"/>
      <w:r>
        <w:t>Primignani</w:t>
      </w:r>
      <w:proofErr w:type="spellEnd"/>
      <w:r>
        <w:t xml:space="preserve"> M, Lemma L, </w:t>
      </w:r>
      <w:proofErr w:type="spellStart"/>
      <w:r>
        <w:t>Chantarangkul</w:t>
      </w:r>
      <w:proofErr w:type="spellEnd"/>
      <w:r>
        <w:t xml:space="preserve"> V, </w:t>
      </w:r>
      <w:proofErr w:type="spellStart"/>
      <w:proofErr w:type="gramStart"/>
      <w:r>
        <w:t>Mannucci</w:t>
      </w:r>
      <w:proofErr w:type="spellEnd"/>
      <w:proofErr w:type="gramEnd"/>
      <w:r>
        <w:t xml:space="preserve"> PM. Evidence that low protein C contributes to the </w:t>
      </w:r>
      <w:proofErr w:type="spellStart"/>
      <w:r>
        <w:t>procoagulant</w:t>
      </w:r>
      <w:proofErr w:type="spellEnd"/>
      <w:r>
        <w:t xml:space="preserve"> imbalance in cirrhosis. </w:t>
      </w:r>
      <w:r>
        <w:rPr>
          <w:i/>
          <w:iCs/>
        </w:rPr>
        <w:t xml:space="preserve">J </w:t>
      </w:r>
      <w:proofErr w:type="spellStart"/>
      <w:r>
        <w:rPr>
          <w:i/>
          <w:iCs/>
        </w:rPr>
        <w:t>Hepatol</w:t>
      </w:r>
      <w:proofErr w:type="spellEnd"/>
      <w:r>
        <w:t xml:space="preserve"> 2013; </w:t>
      </w:r>
      <w:r>
        <w:rPr>
          <w:b/>
          <w:bCs/>
        </w:rPr>
        <w:t>59</w:t>
      </w:r>
      <w:r>
        <w:t>: 265-270 [</w:t>
      </w:r>
      <w:proofErr w:type="spellStart"/>
      <w:r>
        <w:t>PMID</w:t>
      </w:r>
      <w:proofErr w:type="spellEnd"/>
      <w:r>
        <w:t xml:space="preserve">: 23583273 </w:t>
      </w:r>
      <w:proofErr w:type="spellStart"/>
      <w:r>
        <w:t>DOI</w:t>
      </w:r>
      <w:proofErr w:type="spellEnd"/>
      <w:r>
        <w:t>: 10.1016/j.jhep.2013.03.036]</w:t>
      </w:r>
    </w:p>
    <w:p w:rsidR="00FE1855" w:rsidRDefault="00FE1855" w:rsidP="00FE1855">
      <w:pPr>
        <w:pStyle w:val="-1"/>
      </w:pPr>
      <w:r>
        <w:t>34</w:t>
      </w:r>
      <w:r>
        <w:tab/>
      </w:r>
      <w:proofErr w:type="spellStart"/>
      <w:r>
        <w:rPr>
          <w:b/>
          <w:bCs/>
        </w:rPr>
        <w:t>Rossetto</w:t>
      </w:r>
      <w:proofErr w:type="spellEnd"/>
      <w:r>
        <w:rPr>
          <w:b/>
          <w:bCs/>
        </w:rPr>
        <w:t xml:space="preserve"> V</w:t>
      </w:r>
      <w:r>
        <w:t xml:space="preserve">, </w:t>
      </w:r>
      <w:proofErr w:type="spellStart"/>
      <w:r>
        <w:t>Spiezia</w:t>
      </w:r>
      <w:proofErr w:type="spellEnd"/>
      <w:r>
        <w:t xml:space="preserve"> L, </w:t>
      </w:r>
      <w:proofErr w:type="spellStart"/>
      <w:r>
        <w:t>Senzolo</w:t>
      </w:r>
      <w:proofErr w:type="spellEnd"/>
      <w:r>
        <w:t xml:space="preserve"> M, Rodriguez K, </w:t>
      </w:r>
      <w:proofErr w:type="spellStart"/>
      <w:r>
        <w:t>Gavasso</w:t>
      </w:r>
      <w:proofErr w:type="spellEnd"/>
      <w:r>
        <w:t xml:space="preserve"> S, </w:t>
      </w:r>
      <w:proofErr w:type="spellStart"/>
      <w:r>
        <w:t>Woodhams</w:t>
      </w:r>
      <w:proofErr w:type="spellEnd"/>
      <w:r>
        <w:t xml:space="preserve"> B, </w:t>
      </w:r>
      <w:proofErr w:type="spellStart"/>
      <w:r>
        <w:t>Simioni</w:t>
      </w:r>
      <w:proofErr w:type="spellEnd"/>
      <w:r>
        <w:t xml:space="preserve"> P. Factor </w:t>
      </w:r>
      <w:proofErr w:type="spellStart"/>
      <w:r>
        <w:t>VIIa-antithrombin</w:t>
      </w:r>
      <w:proofErr w:type="spellEnd"/>
      <w:r>
        <w:t xml:space="preserve"> complexes in patients with non-neoplastic portal vein thrombosis with and without cirrhosis. </w:t>
      </w:r>
      <w:proofErr w:type="spellStart"/>
      <w:r>
        <w:rPr>
          <w:i/>
          <w:iCs/>
        </w:rPr>
        <w:t>Int</w:t>
      </w:r>
      <w:proofErr w:type="spellEnd"/>
      <w:r>
        <w:rPr>
          <w:i/>
          <w:iCs/>
        </w:rPr>
        <w:t xml:space="preserve"> J Lab </w:t>
      </w:r>
      <w:proofErr w:type="spellStart"/>
      <w:r>
        <w:rPr>
          <w:i/>
          <w:iCs/>
        </w:rPr>
        <w:t>Hematol</w:t>
      </w:r>
      <w:proofErr w:type="spellEnd"/>
      <w:r>
        <w:t xml:space="preserve"> 2013; </w:t>
      </w:r>
      <w:r>
        <w:rPr>
          <w:b/>
          <w:bCs/>
        </w:rPr>
        <w:t>35</w:t>
      </w:r>
      <w:r>
        <w:t>: 101-105 [</w:t>
      </w:r>
      <w:proofErr w:type="spellStart"/>
      <w:r>
        <w:t>PMID</w:t>
      </w:r>
      <w:proofErr w:type="spellEnd"/>
      <w:r>
        <w:t xml:space="preserve">: 22958499 </w:t>
      </w:r>
      <w:proofErr w:type="spellStart"/>
      <w:r>
        <w:t>DOI</w:t>
      </w:r>
      <w:proofErr w:type="spellEnd"/>
      <w:r>
        <w:t>: 10.1111/ijlh.12003]</w:t>
      </w:r>
    </w:p>
    <w:p w:rsidR="00FE1855" w:rsidRDefault="00FE1855" w:rsidP="00FE1855">
      <w:pPr>
        <w:pStyle w:val="-1"/>
      </w:pPr>
      <w:r>
        <w:t>35</w:t>
      </w:r>
      <w:r>
        <w:tab/>
      </w:r>
      <w:r>
        <w:rPr>
          <w:b/>
          <w:bCs/>
        </w:rPr>
        <w:t>Chen H</w:t>
      </w:r>
      <w:r>
        <w:t xml:space="preserve">, Qi X, He C, Yin Z, Fan D, Han G. Coagulation imbalance may not contribute to the development of portal vein thrombosis in patients with cirrhosis. </w:t>
      </w:r>
      <w:proofErr w:type="spellStart"/>
      <w:r>
        <w:rPr>
          <w:i/>
          <w:iCs/>
        </w:rPr>
        <w:t>Thromb</w:t>
      </w:r>
      <w:proofErr w:type="spellEnd"/>
      <w:r>
        <w:rPr>
          <w:i/>
          <w:iCs/>
        </w:rPr>
        <w:t xml:space="preserve"> Res </w:t>
      </w:r>
      <w:r>
        <w:t xml:space="preserve">2013; </w:t>
      </w:r>
      <w:r>
        <w:rPr>
          <w:b/>
          <w:bCs/>
        </w:rPr>
        <w:t>131</w:t>
      </w:r>
      <w:r>
        <w:t>: 173-177 [</w:t>
      </w:r>
      <w:proofErr w:type="spellStart"/>
      <w:r>
        <w:t>PMID</w:t>
      </w:r>
      <w:proofErr w:type="spellEnd"/>
      <w:r>
        <w:t xml:space="preserve">: 23157737 </w:t>
      </w:r>
      <w:proofErr w:type="spellStart"/>
      <w:r>
        <w:t>DOI</w:t>
      </w:r>
      <w:proofErr w:type="spellEnd"/>
      <w:r>
        <w:t>: 10.1016/j.thromres.2012.11.003]</w:t>
      </w:r>
    </w:p>
    <w:p w:rsidR="00FE1855" w:rsidRDefault="00FE1855" w:rsidP="00FE1855">
      <w:pPr>
        <w:pStyle w:val="-1"/>
      </w:pPr>
      <w:r>
        <w:t>36</w:t>
      </w:r>
      <w:r>
        <w:tab/>
      </w:r>
      <w:r>
        <w:rPr>
          <w:b/>
          <w:bCs/>
        </w:rPr>
        <w:t>Tang W</w:t>
      </w:r>
      <w:r>
        <w:t xml:space="preserve">, Wang Y, Zhao X, Wang X, Zhang T, </w:t>
      </w:r>
      <w:proofErr w:type="spellStart"/>
      <w:r>
        <w:t>Ou</w:t>
      </w:r>
      <w:proofErr w:type="spellEnd"/>
      <w:r>
        <w:t xml:space="preserve"> X, </w:t>
      </w:r>
      <w:proofErr w:type="spellStart"/>
      <w:r>
        <w:t>Shou</w:t>
      </w:r>
      <w:proofErr w:type="spellEnd"/>
      <w:r>
        <w:t xml:space="preserve"> W, You H, </w:t>
      </w:r>
      <w:proofErr w:type="spellStart"/>
      <w:r>
        <w:t>Jia</w:t>
      </w:r>
      <w:proofErr w:type="spellEnd"/>
      <w:r>
        <w:t xml:space="preserve"> J. </w:t>
      </w:r>
      <w:proofErr w:type="spellStart"/>
      <w:r>
        <w:t>Procoagulant</w:t>
      </w:r>
      <w:proofErr w:type="spellEnd"/>
      <w:r>
        <w:t xml:space="preserve"> imbalance aggravated with falling liver function reserve, but not associated with the presence of portal vein thrombosis in cirrhosis. </w:t>
      </w:r>
      <w:proofErr w:type="spellStart"/>
      <w:r>
        <w:rPr>
          <w:i/>
          <w:iCs/>
        </w:rPr>
        <w:t>Eur</w:t>
      </w:r>
      <w:proofErr w:type="spellEnd"/>
      <w:r>
        <w:rPr>
          <w:i/>
          <w:iCs/>
        </w:rPr>
        <w:t xml:space="preserve"> J </w:t>
      </w:r>
      <w:proofErr w:type="spellStart"/>
      <w:r>
        <w:rPr>
          <w:i/>
          <w:iCs/>
        </w:rPr>
        <w:t>Gastroenterol</w:t>
      </w:r>
      <w:proofErr w:type="spellEnd"/>
      <w:r>
        <w:rPr>
          <w:i/>
          <w:iCs/>
        </w:rPr>
        <w:t xml:space="preserve"> </w:t>
      </w:r>
      <w:proofErr w:type="spellStart"/>
      <w:r>
        <w:rPr>
          <w:i/>
          <w:iCs/>
        </w:rPr>
        <w:t>Hepatol</w:t>
      </w:r>
      <w:proofErr w:type="spellEnd"/>
      <w:r>
        <w:t xml:space="preserve"> 2015; </w:t>
      </w:r>
      <w:r>
        <w:rPr>
          <w:b/>
          <w:bCs/>
        </w:rPr>
        <w:t>27</w:t>
      </w:r>
      <w:r>
        <w:t>: 672-678 [</w:t>
      </w:r>
      <w:proofErr w:type="spellStart"/>
      <w:r>
        <w:t>PMID</w:t>
      </w:r>
      <w:proofErr w:type="spellEnd"/>
      <w:r>
        <w:t xml:space="preserve">: 25923942 </w:t>
      </w:r>
      <w:proofErr w:type="spellStart"/>
      <w:r>
        <w:t>DOI</w:t>
      </w:r>
      <w:proofErr w:type="spellEnd"/>
      <w:r>
        <w:t>: 10.1097/MEG.0000000000000352]</w:t>
      </w:r>
    </w:p>
    <w:p w:rsidR="00FE1855" w:rsidRDefault="00FE1855" w:rsidP="00FE1855">
      <w:pPr>
        <w:pStyle w:val="-1"/>
      </w:pPr>
      <w:r>
        <w:t>37</w:t>
      </w:r>
      <w:r>
        <w:tab/>
      </w:r>
      <w:proofErr w:type="spellStart"/>
      <w:r>
        <w:rPr>
          <w:b/>
          <w:bCs/>
        </w:rPr>
        <w:t>Violi</w:t>
      </w:r>
      <w:proofErr w:type="spellEnd"/>
      <w:r>
        <w:rPr>
          <w:b/>
          <w:bCs/>
        </w:rPr>
        <w:t xml:space="preserve"> F</w:t>
      </w:r>
      <w:r>
        <w:t xml:space="preserve">, Ferro D. Clotting activation and </w:t>
      </w:r>
      <w:proofErr w:type="spellStart"/>
      <w:r>
        <w:t>hyperfibrinolysis</w:t>
      </w:r>
      <w:proofErr w:type="spellEnd"/>
      <w:r>
        <w:t xml:space="preserve"> in cirrhosis: implication for bleeding and thrombosis. </w:t>
      </w:r>
      <w:proofErr w:type="spellStart"/>
      <w:r>
        <w:rPr>
          <w:i/>
          <w:iCs/>
        </w:rPr>
        <w:t>Semin</w:t>
      </w:r>
      <w:proofErr w:type="spellEnd"/>
      <w:r>
        <w:rPr>
          <w:i/>
          <w:iCs/>
        </w:rPr>
        <w:t xml:space="preserve"> </w:t>
      </w:r>
      <w:proofErr w:type="spellStart"/>
      <w:r>
        <w:rPr>
          <w:i/>
          <w:iCs/>
        </w:rPr>
        <w:t>Thromb</w:t>
      </w:r>
      <w:proofErr w:type="spellEnd"/>
      <w:r>
        <w:rPr>
          <w:i/>
          <w:iCs/>
        </w:rPr>
        <w:t xml:space="preserve"> </w:t>
      </w:r>
      <w:proofErr w:type="spellStart"/>
      <w:r>
        <w:rPr>
          <w:i/>
          <w:iCs/>
        </w:rPr>
        <w:t>Hemost</w:t>
      </w:r>
      <w:proofErr w:type="spellEnd"/>
      <w:r>
        <w:t xml:space="preserve"> 2013; </w:t>
      </w:r>
      <w:r>
        <w:rPr>
          <w:b/>
          <w:bCs/>
        </w:rPr>
        <w:t>39</w:t>
      </w:r>
      <w:r>
        <w:t>: 426-433 [</w:t>
      </w:r>
      <w:proofErr w:type="spellStart"/>
      <w:r>
        <w:t>PMID</w:t>
      </w:r>
      <w:proofErr w:type="spellEnd"/>
      <w:r>
        <w:t xml:space="preserve">: 23487343 </w:t>
      </w:r>
      <w:proofErr w:type="spellStart"/>
      <w:r>
        <w:t>DOI</w:t>
      </w:r>
      <w:proofErr w:type="spellEnd"/>
      <w:r>
        <w:t>: 10.1055/s-0033-1334144]</w:t>
      </w:r>
    </w:p>
    <w:p w:rsidR="00FE1855" w:rsidRDefault="00FE1855" w:rsidP="00FE1855">
      <w:pPr>
        <w:pStyle w:val="-1"/>
      </w:pPr>
      <w:r>
        <w:t>38</w:t>
      </w:r>
      <w:r>
        <w:tab/>
      </w:r>
      <w:proofErr w:type="spellStart"/>
      <w:r>
        <w:rPr>
          <w:b/>
          <w:bCs/>
        </w:rPr>
        <w:t>Girleanu</w:t>
      </w:r>
      <w:proofErr w:type="spellEnd"/>
      <w:r>
        <w:rPr>
          <w:b/>
          <w:bCs/>
        </w:rPr>
        <w:t xml:space="preserve"> I</w:t>
      </w:r>
      <w:r>
        <w:t xml:space="preserve">, </w:t>
      </w:r>
      <w:proofErr w:type="spellStart"/>
      <w:r>
        <w:t>Stanciu</w:t>
      </w:r>
      <w:proofErr w:type="spellEnd"/>
      <w:r>
        <w:t xml:space="preserve"> C, </w:t>
      </w:r>
      <w:proofErr w:type="spellStart"/>
      <w:r>
        <w:t>Cojocariu</w:t>
      </w:r>
      <w:proofErr w:type="spellEnd"/>
      <w:r>
        <w:t xml:space="preserve"> C, </w:t>
      </w:r>
      <w:proofErr w:type="spellStart"/>
      <w:r>
        <w:t>Boiculese</w:t>
      </w:r>
      <w:proofErr w:type="spellEnd"/>
      <w:r>
        <w:t xml:space="preserve"> L, </w:t>
      </w:r>
      <w:proofErr w:type="spellStart"/>
      <w:r>
        <w:t>Singeap</w:t>
      </w:r>
      <w:proofErr w:type="spellEnd"/>
      <w:r>
        <w:t xml:space="preserve"> AM, </w:t>
      </w:r>
      <w:proofErr w:type="spellStart"/>
      <w:r>
        <w:t>Trifan</w:t>
      </w:r>
      <w:proofErr w:type="spellEnd"/>
      <w:r>
        <w:t xml:space="preserve"> A. Natural course of nonmalignant partial portal vein thrombosis in cirrhotic patients. </w:t>
      </w:r>
      <w:r>
        <w:rPr>
          <w:i/>
          <w:iCs/>
        </w:rPr>
        <w:t xml:space="preserve">Saudi J </w:t>
      </w:r>
      <w:proofErr w:type="spellStart"/>
      <w:r>
        <w:rPr>
          <w:i/>
          <w:iCs/>
        </w:rPr>
        <w:t>Gastroenterol</w:t>
      </w:r>
      <w:proofErr w:type="spellEnd"/>
      <w:r>
        <w:t xml:space="preserve"> 2014; </w:t>
      </w:r>
      <w:r>
        <w:rPr>
          <w:b/>
          <w:bCs/>
        </w:rPr>
        <w:t>20</w:t>
      </w:r>
      <w:r>
        <w:t>: 288-292 [</w:t>
      </w:r>
      <w:proofErr w:type="spellStart"/>
      <w:r>
        <w:t>PMID</w:t>
      </w:r>
      <w:proofErr w:type="spellEnd"/>
      <w:r>
        <w:t xml:space="preserve">: 25253363 </w:t>
      </w:r>
      <w:proofErr w:type="spellStart"/>
      <w:r>
        <w:t>DOI</w:t>
      </w:r>
      <w:proofErr w:type="spellEnd"/>
      <w:r>
        <w:t>: 10.4103/1319-3767.141687]</w:t>
      </w:r>
    </w:p>
    <w:p w:rsidR="00FE1855" w:rsidRDefault="00FE1855" w:rsidP="00FE1855">
      <w:pPr>
        <w:pStyle w:val="-1"/>
      </w:pPr>
      <w:r>
        <w:t>39</w:t>
      </w:r>
      <w:r>
        <w:tab/>
      </w:r>
      <w:proofErr w:type="spellStart"/>
      <w:r>
        <w:rPr>
          <w:b/>
          <w:bCs/>
        </w:rPr>
        <w:t>Amitrano</w:t>
      </w:r>
      <w:proofErr w:type="spellEnd"/>
      <w:r>
        <w:rPr>
          <w:b/>
          <w:bCs/>
        </w:rPr>
        <w:t xml:space="preserve"> L</w:t>
      </w:r>
      <w:r>
        <w:t xml:space="preserve">, </w:t>
      </w:r>
      <w:proofErr w:type="spellStart"/>
      <w:r>
        <w:t>Guardascione</w:t>
      </w:r>
      <w:proofErr w:type="spellEnd"/>
      <w:r>
        <w:t xml:space="preserve"> MA, Ames PR, </w:t>
      </w:r>
      <w:proofErr w:type="spellStart"/>
      <w:r>
        <w:t>Margaglione</w:t>
      </w:r>
      <w:proofErr w:type="spellEnd"/>
      <w:r>
        <w:t xml:space="preserve"> M, </w:t>
      </w:r>
      <w:proofErr w:type="spellStart"/>
      <w:r>
        <w:t>Iannaccone</w:t>
      </w:r>
      <w:proofErr w:type="spellEnd"/>
      <w:r>
        <w:t xml:space="preserve"> L, Brancaccio V, </w:t>
      </w:r>
      <w:proofErr w:type="spellStart"/>
      <w:r>
        <w:t>Balzano</w:t>
      </w:r>
      <w:proofErr w:type="spellEnd"/>
      <w:r>
        <w:t xml:space="preserve"> A. Increased plasma </w:t>
      </w:r>
      <w:proofErr w:type="spellStart"/>
      <w:r>
        <w:t>prothrombin</w:t>
      </w:r>
      <w:proofErr w:type="spellEnd"/>
      <w:r>
        <w:t xml:space="preserve"> concentration in cirrhotic patients with portal vein thrombosis and </w:t>
      </w:r>
      <w:proofErr w:type="spellStart"/>
      <w:r>
        <w:t>prothrombin</w:t>
      </w:r>
      <w:proofErr w:type="spellEnd"/>
      <w:r>
        <w:t xml:space="preserve"> G20210A mutation. </w:t>
      </w:r>
      <w:proofErr w:type="spellStart"/>
      <w:r>
        <w:rPr>
          <w:i/>
          <w:iCs/>
        </w:rPr>
        <w:t>Thromb</w:t>
      </w:r>
      <w:proofErr w:type="spellEnd"/>
      <w:r>
        <w:rPr>
          <w:i/>
          <w:iCs/>
        </w:rPr>
        <w:t xml:space="preserve"> </w:t>
      </w:r>
      <w:proofErr w:type="spellStart"/>
      <w:r>
        <w:rPr>
          <w:i/>
          <w:iCs/>
        </w:rPr>
        <w:t>Haemost</w:t>
      </w:r>
      <w:proofErr w:type="spellEnd"/>
      <w:r>
        <w:t xml:space="preserve"> 2006; </w:t>
      </w:r>
      <w:r>
        <w:rPr>
          <w:b/>
          <w:bCs/>
        </w:rPr>
        <w:t>95</w:t>
      </w:r>
      <w:r>
        <w:t>: 221-223 [</w:t>
      </w:r>
      <w:proofErr w:type="spellStart"/>
      <w:r>
        <w:t>PMID</w:t>
      </w:r>
      <w:proofErr w:type="spellEnd"/>
      <w:r>
        <w:t xml:space="preserve">: 16493481 </w:t>
      </w:r>
      <w:proofErr w:type="spellStart"/>
      <w:r>
        <w:t>DOI</w:t>
      </w:r>
      <w:proofErr w:type="spellEnd"/>
      <w:r>
        <w:t>: 10.1160/TH05-08-0555]</w:t>
      </w:r>
    </w:p>
    <w:p w:rsidR="00FE1855" w:rsidRDefault="00FE1855" w:rsidP="00FE1855">
      <w:pPr>
        <w:pStyle w:val="-1"/>
      </w:pPr>
      <w:r>
        <w:t>40</w:t>
      </w:r>
      <w:r>
        <w:tab/>
      </w:r>
      <w:r>
        <w:rPr>
          <w:b/>
          <w:bCs/>
        </w:rPr>
        <w:t>Ventura P</w:t>
      </w:r>
      <w:r>
        <w:t xml:space="preserve">, </w:t>
      </w:r>
      <w:proofErr w:type="spellStart"/>
      <w:r>
        <w:t>Venturelli</w:t>
      </w:r>
      <w:proofErr w:type="spellEnd"/>
      <w:r>
        <w:t xml:space="preserve"> G, </w:t>
      </w:r>
      <w:proofErr w:type="spellStart"/>
      <w:r>
        <w:t>Marcacci</w:t>
      </w:r>
      <w:proofErr w:type="spellEnd"/>
      <w:r>
        <w:t xml:space="preserve"> M, </w:t>
      </w:r>
      <w:proofErr w:type="spellStart"/>
      <w:r>
        <w:t>Fiorini</w:t>
      </w:r>
      <w:proofErr w:type="spellEnd"/>
      <w:r>
        <w:t xml:space="preserve"> M, </w:t>
      </w:r>
      <w:proofErr w:type="spellStart"/>
      <w:r>
        <w:t>Marchini</w:t>
      </w:r>
      <w:proofErr w:type="spellEnd"/>
      <w:r>
        <w:t xml:space="preserve"> S, </w:t>
      </w:r>
      <w:proofErr w:type="spellStart"/>
      <w:r>
        <w:t>Cuoghi</w:t>
      </w:r>
      <w:proofErr w:type="spellEnd"/>
      <w:r>
        <w:t xml:space="preserve"> C, </w:t>
      </w:r>
      <w:proofErr w:type="spellStart"/>
      <w:r>
        <w:t>Pietrangelo</w:t>
      </w:r>
      <w:proofErr w:type="spellEnd"/>
      <w:r>
        <w:t xml:space="preserve"> A. </w:t>
      </w:r>
      <w:proofErr w:type="spellStart"/>
      <w:r>
        <w:t>Hyperhomocysteinemia</w:t>
      </w:r>
      <w:proofErr w:type="spellEnd"/>
      <w:r>
        <w:t xml:space="preserve"> and </w:t>
      </w:r>
      <w:proofErr w:type="spellStart"/>
      <w:r>
        <w:t>MTHFR</w:t>
      </w:r>
      <w:proofErr w:type="spellEnd"/>
      <w:r>
        <w:t xml:space="preserve"> C677T polymorphism in patients with portal vein thrombosis complicating liver cirrhosis. </w:t>
      </w:r>
      <w:proofErr w:type="spellStart"/>
      <w:r>
        <w:rPr>
          <w:i/>
          <w:iCs/>
        </w:rPr>
        <w:t>Thromb</w:t>
      </w:r>
      <w:proofErr w:type="spellEnd"/>
      <w:r>
        <w:rPr>
          <w:i/>
          <w:iCs/>
        </w:rPr>
        <w:t xml:space="preserve"> Res</w:t>
      </w:r>
      <w:r>
        <w:t xml:space="preserve"> 2016; </w:t>
      </w:r>
      <w:r>
        <w:rPr>
          <w:b/>
          <w:bCs/>
        </w:rPr>
        <w:t>141</w:t>
      </w:r>
      <w:r>
        <w:t>: 189-195 [</w:t>
      </w:r>
      <w:proofErr w:type="spellStart"/>
      <w:r>
        <w:t>PMID</w:t>
      </w:r>
      <w:proofErr w:type="spellEnd"/>
      <w:r>
        <w:t xml:space="preserve">: 27065203 </w:t>
      </w:r>
      <w:proofErr w:type="spellStart"/>
      <w:r>
        <w:t>DOI</w:t>
      </w:r>
      <w:proofErr w:type="spellEnd"/>
      <w:r>
        <w:t>: 10.1016/j.thromres.2016.03.024]</w:t>
      </w:r>
    </w:p>
    <w:p w:rsidR="00FE1855" w:rsidRDefault="00FE1855" w:rsidP="00FE1855">
      <w:pPr>
        <w:pStyle w:val="-1"/>
      </w:pPr>
      <w:r>
        <w:t>41</w:t>
      </w:r>
      <w:r>
        <w:tab/>
      </w:r>
      <w:proofErr w:type="spellStart"/>
      <w:r>
        <w:rPr>
          <w:b/>
          <w:bCs/>
        </w:rPr>
        <w:t>Amitrano</w:t>
      </w:r>
      <w:proofErr w:type="spellEnd"/>
      <w:r>
        <w:rPr>
          <w:b/>
          <w:bCs/>
        </w:rPr>
        <w:t xml:space="preserve"> L</w:t>
      </w:r>
      <w:r>
        <w:t xml:space="preserve">, Ames PR, </w:t>
      </w:r>
      <w:proofErr w:type="spellStart"/>
      <w:r>
        <w:t>Guardascione</w:t>
      </w:r>
      <w:proofErr w:type="spellEnd"/>
      <w:r>
        <w:t xml:space="preserve"> MA, Lopez </w:t>
      </w:r>
      <w:proofErr w:type="spellStart"/>
      <w:r>
        <w:t>LR</w:t>
      </w:r>
      <w:proofErr w:type="spellEnd"/>
      <w:r>
        <w:t xml:space="preserve">, </w:t>
      </w:r>
      <w:proofErr w:type="spellStart"/>
      <w:r>
        <w:t>Menchise</w:t>
      </w:r>
      <w:proofErr w:type="spellEnd"/>
      <w:r>
        <w:t xml:space="preserve"> A, Brancaccio V, </w:t>
      </w:r>
      <w:proofErr w:type="spellStart"/>
      <w:r>
        <w:t>Iannaccone</w:t>
      </w:r>
      <w:proofErr w:type="spellEnd"/>
      <w:r>
        <w:t xml:space="preserve"> L, </w:t>
      </w:r>
      <w:proofErr w:type="spellStart"/>
      <w:r>
        <w:t>Balzano</w:t>
      </w:r>
      <w:proofErr w:type="spellEnd"/>
      <w:r>
        <w:t xml:space="preserve"> A. </w:t>
      </w:r>
      <w:proofErr w:type="spellStart"/>
      <w:r>
        <w:t>Antiphospholipid</w:t>
      </w:r>
      <w:proofErr w:type="spellEnd"/>
      <w:r>
        <w:t xml:space="preserve"> antibodies and </w:t>
      </w:r>
      <w:proofErr w:type="spellStart"/>
      <w:r>
        <w:t>antiphospholipid</w:t>
      </w:r>
      <w:proofErr w:type="spellEnd"/>
      <w:r>
        <w:t xml:space="preserve"> syndrome: role in portal vein thrombosis in patients with and without liver cirrhosis. </w:t>
      </w:r>
      <w:proofErr w:type="spellStart"/>
      <w:r>
        <w:rPr>
          <w:i/>
          <w:iCs/>
        </w:rPr>
        <w:t>Clin</w:t>
      </w:r>
      <w:proofErr w:type="spellEnd"/>
      <w:r>
        <w:rPr>
          <w:i/>
          <w:iCs/>
        </w:rPr>
        <w:t xml:space="preserve"> </w:t>
      </w:r>
      <w:proofErr w:type="spellStart"/>
      <w:r>
        <w:rPr>
          <w:i/>
          <w:iCs/>
        </w:rPr>
        <w:t>Appl</w:t>
      </w:r>
      <w:proofErr w:type="spellEnd"/>
      <w:r>
        <w:rPr>
          <w:i/>
          <w:iCs/>
        </w:rPr>
        <w:t xml:space="preserve"> </w:t>
      </w:r>
      <w:proofErr w:type="spellStart"/>
      <w:r>
        <w:rPr>
          <w:i/>
          <w:iCs/>
        </w:rPr>
        <w:t>Thromb</w:t>
      </w:r>
      <w:proofErr w:type="spellEnd"/>
      <w:r>
        <w:rPr>
          <w:i/>
          <w:iCs/>
        </w:rPr>
        <w:t xml:space="preserve"> </w:t>
      </w:r>
      <w:proofErr w:type="spellStart"/>
      <w:r>
        <w:rPr>
          <w:i/>
          <w:iCs/>
        </w:rPr>
        <w:t>Hemost</w:t>
      </w:r>
      <w:proofErr w:type="spellEnd"/>
      <w:r>
        <w:t xml:space="preserve"> 2011; </w:t>
      </w:r>
      <w:r>
        <w:rPr>
          <w:b/>
          <w:bCs/>
        </w:rPr>
        <w:t>17</w:t>
      </w:r>
      <w:r>
        <w:t>: 367-370 [</w:t>
      </w:r>
      <w:proofErr w:type="spellStart"/>
      <w:r>
        <w:t>PMID</w:t>
      </w:r>
      <w:proofErr w:type="spellEnd"/>
      <w:r>
        <w:t xml:space="preserve">: 20530055 </w:t>
      </w:r>
      <w:proofErr w:type="spellStart"/>
      <w:r>
        <w:t>DOI</w:t>
      </w:r>
      <w:proofErr w:type="spellEnd"/>
      <w:r>
        <w:t>: 10.1177/1076029610369797]</w:t>
      </w:r>
    </w:p>
    <w:p w:rsidR="00FE1855" w:rsidRDefault="00FE1855" w:rsidP="00FE1855">
      <w:pPr>
        <w:pStyle w:val="-1"/>
      </w:pPr>
      <w:r>
        <w:t>42</w:t>
      </w:r>
      <w:r>
        <w:tab/>
      </w:r>
      <w:proofErr w:type="spellStart"/>
      <w:r>
        <w:rPr>
          <w:b/>
          <w:bCs/>
        </w:rPr>
        <w:t>Smalberg</w:t>
      </w:r>
      <w:proofErr w:type="spellEnd"/>
      <w:r>
        <w:rPr>
          <w:b/>
          <w:bCs/>
        </w:rPr>
        <w:t xml:space="preserve"> </w:t>
      </w:r>
      <w:proofErr w:type="spellStart"/>
      <w:r>
        <w:rPr>
          <w:b/>
          <w:bCs/>
        </w:rPr>
        <w:t>JH</w:t>
      </w:r>
      <w:proofErr w:type="spellEnd"/>
      <w:r>
        <w:t xml:space="preserve">, </w:t>
      </w:r>
      <w:proofErr w:type="spellStart"/>
      <w:r>
        <w:t>Arends</w:t>
      </w:r>
      <w:proofErr w:type="spellEnd"/>
      <w:r>
        <w:t xml:space="preserve"> </w:t>
      </w:r>
      <w:proofErr w:type="spellStart"/>
      <w:r>
        <w:t>LR</w:t>
      </w:r>
      <w:proofErr w:type="spellEnd"/>
      <w:r>
        <w:t xml:space="preserve">, Valla DC, </w:t>
      </w:r>
      <w:proofErr w:type="spellStart"/>
      <w:r>
        <w:t>Kiladjian</w:t>
      </w:r>
      <w:proofErr w:type="spellEnd"/>
      <w:r>
        <w:t xml:space="preserve"> </w:t>
      </w:r>
      <w:proofErr w:type="spellStart"/>
      <w:r>
        <w:t>JJ</w:t>
      </w:r>
      <w:proofErr w:type="spellEnd"/>
      <w:r>
        <w:t xml:space="preserve">, Janssen HL, </w:t>
      </w:r>
      <w:proofErr w:type="spellStart"/>
      <w:r>
        <w:t>Leebeek</w:t>
      </w:r>
      <w:proofErr w:type="spellEnd"/>
      <w:r>
        <w:t xml:space="preserve"> FW. </w:t>
      </w:r>
      <w:proofErr w:type="spellStart"/>
      <w:r>
        <w:t>Myeloproliferative</w:t>
      </w:r>
      <w:proofErr w:type="spellEnd"/>
      <w:r>
        <w:t xml:space="preserve"> neoplasms in Budd-</w:t>
      </w:r>
      <w:proofErr w:type="spellStart"/>
      <w:r>
        <w:t>Chiari</w:t>
      </w:r>
      <w:proofErr w:type="spellEnd"/>
      <w:r>
        <w:t xml:space="preserve"> syndrome and portal vein thrombosis: a meta-analysis. </w:t>
      </w:r>
      <w:r>
        <w:rPr>
          <w:i/>
          <w:iCs/>
        </w:rPr>
        <w:t>Blood</w:t>
      </w:r>
      <w:r>
        <w:t xml:space="preserve"> 2012; </w:t>
      </w:r>
      <w:r>
        <w:rPr>
          <w:b/>
          <w:bCs/>
        </w:rPr>
        <w:t>120</w:t>
      </w:r>
      <w:r>
        <w:t>: 4921-4928 [</w:t>
      </w:r>
      <w:proofErr w:type="spellStart"/>
      <w:r>
        <w:t>PMID</w:t>
      </w:r>
      <w:proofErr w:type="spellEnd"/>
      <w:r>
        <w:t xml:space="preserve">: 23043069 </w:t>
      </w:r>
      <w:proofErr w:type="spellStart"/>
      <w:r>
        <w:t>DOI</w:t>
      </w:r>
      <w:proofErr w:type="spellEnd"/>
      <w:r>
        <w:t>: 10.1182/blood-2011-09-376517]</w:t>
      </w:r>
    </w:p>
    <w:p w:rsidR="00FE1855" w:rsidRDefault="00FE1855" w:rsidP="00FE1855">
      <w:pPr>
        <w:pStyle w:val="-1"/>
      </w:pPr>
      <w:r>
        <w:t>43</w:t>
      </w:r>
      <w:r>
        <w:tab/>
      </w:r>
      <w:proofErr w:type="spellStart"/>
      <w:r>
        <w:rPr>
          <w:b/>
          <w:bCs/>
        </w:rPr>
        <w:t>Carnevale</w:t>
      </w:r>
      <w:proofErr w:type="spellEnd"/>
      <w:r>
        <w:rPr>
          <w:b/>
          <w:bCs/>
        </w:rPr>
        <w:t xml:space="preserve"> R</w:t>
      </w:r>
      <w:r>
        <w:t xml:space="preserve">, </w:t>
      </w:r>
      <w:proofErr w:type="spellStart"/>
      <w:r>
        <w:t>Raparelli</w:t>
      </w:r>
      <w:proofErr w:type="spellEnd"/>
      <w:r>
        <w:t xml:space="preserve"> V, </w:t>
      </w:r>
      <w:proofErr w:type="spellStart"/>
      <w:r>
        <w:t>Nocella</w:t>
      </w:r>
      <w:proofErr w:type="spellEnd"/>
      <w:r>
        <w:t xml:space="preserve"> C, </w:t>
      </w:r>
      <w:proofErr w:type="spellStart"/>
      <w:r>
        <w:t>Bartimoccia</w:t>
      </w:r>
      <w:proofErr w:type="spellEnd"/>
      <w:r>
        <w:t xml:space="preserve"> S, Novo M, </w:t>
      </w:r>
      <w:proofErr w:type="spellStart"/>
      <w:r>
        <w:t>Severino</w:t>
      </w:r>
      <w:proofErr w:type="spellEnd"/>
      <w:r>
        <w:t xml:space="preserve"> A, De Falco E, </w:t>
      </w:r>
      <w:proofErr w:type="spellStart"/>
      <w:r>
        <w:t>Cammisotto</w:t>
      </w:r>
      <w:proofErr w:type="spellEnd"/>
      <w:r>
        <w:t xml:space="preserve"> V, Pasquale C, </w:t>
      </w:r>
      <w:proofErr w:type="spellStart"/>
      <w:r>
        <w:t>Crescioli</w:t>
      </w:r>
      <w:proofErr w:type="spellEnd"/>
      <w:r>
        <w:t xml:space="preserve"> C, </w:t>
      </w:r>
      <w:proofErr w:type="spellStart"/>
      <w:r>
        <w:t>Scavalli</w:t>
      </w:r>
      <w:proofErr w:type="spellEnd"/>
      <w:r>
        <w:t xml:space="preserve"> AS, </w:t>
      </w:r>
      <w:proofErr w:type="spellStart"/>
      <w:r>
        <w:t>Riggio</w:t>
      </w:r>
      <w:proofErr w:type="spellEnd"/>
      <w:r>
        <w:t xml:space="preserve"> O, </w:t>
      </w:r>
      <w:proofErr w:type="spellStart"/>
      <w:r>
        <w:t>Basili</w:t>
      </w:r>
      <w:proofErr w:type="spellEnd"/>
      <w:r>
        <w:t xml:space="preserve"> S, </w:t>
      </w:r>
      <w:proofErr w:type="spellStart"/>
      <w:r>
        <w:t>Violi</w:t>
      </w:r>
      <w:proofErr w:type="spellEnd"/>
      <w:r>
        <w:t xml:space="preserve"> F. Gut-derived endotoxin stimulates factor VIII secretion from endothelial cells. </w:t>
      </w:r>
      <w:proofErr w:type="gramStart"/>
      <w:r>
        <w:t>Implications for hypercoagulability in cirrhosis.</w:t>
      </w:r>
      <w:proofErr w:type="gramEnd"/>
      <w:r>
        <w:t xml:space="preserve"> </w:t>
      </w:r>
      <w:r>
        <w:rPr>
          <w:i/>
          <w:iCs/>
        </w:rPr>
        <w:t xml:space="preserve">J </w:t>
      </w:r>
      <w:proofErr w:type="spellStart"/>
      <w:r>
        <w:rPr>
          <w:i/>
          <w:iCs/>
        </w:rPr>
        <w:t>Hepatol</w:t>
      </w:r>
      <w:proofErr w:type="spellEnd"/>
      <w:r>
        <w:t xml:space="preserve"> 2017; </w:t>
      </w:r>
      <w:r>
        <w:rPr>
          <w:b/>
          <w:bCs/>
        </w:rPr>
        <w:t>67</w:t>
      </w:r>
      <w:r>
        <w:t>: 950-956 [</w:t>
      </w:r>
      <w:proofErr w:type="spellStart"/>
      <w:r>
        <w:t>PMID</w:t>
      </w:r>
      <w:proofErr w:type="spellEnd"/>
      <w:r>
        <w:t xml:space="preserve">: 28716745 </w:t>
      </w:r>
      <w:proofErr w:type="spellStart"/>
      <w:r>
        <w:t>DOI</w:t>
      </w:r>
      <w:proofErr w:type="spellEnd"/>
      <w:r>
        <w:t>: 10.1016/j.jhep.2017.07.002]</w:t>
      </w:r>
    </w:p>
    <w:p w:rsidR="00FE1855" w:rsidRDefault="00FE1855" w:rsidP="00FE1855">
      <w:pPr>
        <w:pStyle w:val="-1"/>
      </w:pPr>
      <w:r>
        <w:t>44</w:t>
      </w:r>
      <w:r>
        <w:tab/>
      </w:r>
      <w:r>
        <w:rPr>
          <w:b/>
          <w:bCs/>
        </w:rPr>
        <w:t>Fukui H</w:t>
      </w:r>
      <w:r>
        <w:t xml:space="preserve">. Gut-liver axis in liver cirrhosis: How to manage leaky gut and </w:t>
      </w:r>
      <w:proofErr w:type="spellStart"/>
      <w:r>
        <w:t>endotoxemia</w:t>
      </w:r>
      <w:proofErr w:type="spellEnd"/>
      <w:r>
        <w:t xml:space="preserve">. </w:t>
      </w:r>
      <w:r>
        <w:rPr>
          <w:i/>
          <w:iCs/>
        </w:rPr>
        <w:t xml:space="preserve">World J </w:t>
      </w:r>
      <w:proofErr w:type="spellStart"/>
      <w:r>
        <w:rPr>
          <w:i/>
          <w:iCs/>
        </w:rPr>
        <w:t>Hepatol</w:t>
      </w:r>
      <w:proofErr w:type="spellEnd"/>
      <w:r>
        <w:t xml:space="preserve"> 2015; </w:t>
      </w:r>
      <w:r>
        <w:rPr>
          <w:b/>
          <w:bCs/>
        </w:rPr>
        <w:t>7</w:t>
      </w:r>
      <w:r>
        <w:t>: 425-442 [</w:t>
      </w:r>
      <w:proofErr w:type="spellStart"/>
      <w:r>
        <w:t>PMID</w:t>
      </w:r>
      <w:proofErr w:type="spellEnd"/>
      <w:r>
        <w:t xml:space="preserve">: 25848468 </w:t>
      </w:r>
      <w:proofErr w:type="spellStart"/>
      <w:r>
        <w:t>DOI</w:t>
      </w:r>
      <w:proofErr w:type="spellEnd"/>
      <w:r>
        <w:t>: 10.4254/wjh.v7.i3.425]</w:t>
      </w:r>
    </w:p>
    <w:p w:rsidR="00FE1855" w:rsidRDefault="00FE1855" w:rsidP="00FE1855">
      <w:pPr>
        <w:pStyle w:val="-1"/>
      </w:pPr>
      <w:r>
        <w:t>45</w:t>
      </w:r>
      <w:r>
        <w:tab/>
      </w:r>
      <w:proofErr w:type="spellStart"/>
      <w:r>
        <w:rPr>
          <w:b/>
          <w:bCs/>
        </w:rPr>
        <w:t>Wosiewicz</w:t>
      </w:r>
      <w:proofErr w:type="spellEnd"/>
      <w:r>
        <w:rPr>
          <w:b/>
          <w:bCs/>
        </w:rPr>
        <w:t xml:space="preserve"> P</w:t>
      </w:r>
      <w:r>
        <w:t xml:space="preserve">, </w:t>
      </w:r>
      <w:proofErr w:type="spellStart"/>
      <w:r>
        <w:t>Żorniak</w:t>
      </w:r>
      <w:proofErr w:type="spellEnd"/>
      <w:r>
        <w:t xml:space="preserve"> M, </w:t>
      </w:r>
      <w:proofErr w:type="spellStart"/>
      <w:r>
        <w:t>Hartleb</w:t>
      </w:r>
      <w:proofErr w:type="spellEnd"/>
      <w:r>
        <w:t xml:space="preserve"> M, </w:t>
      </w:r>
      <w:proofErr w:type="spellStart"/>
      <w:r>
        <w:t>Barański</w:t>
      </w:r>
      <w:proofErr w:type="spellEnd"/>
      <w:r>
        <w:t xml:space="preserve"> K, </w:t>
      </w:r>
      <w:proofErr w:type="spellStart"/>
      <w:r>
        <w:t>Hartleb</w:t>
      </w:r>
      <w:proofErr w:type="spellEnd"/>
      <w:r>
        <w:t xml:space="preserve"> M, </w:t>
      </w:r>
      <w:proofErr w:type="spellStart"/>
      <w:r>
        <w:t>Onyszczuk</w:t>
      </w:r>
      <w:proofErr w:type="spellEnd"/>
      <w:r>
        <w:t xml:space="preserve"> M, </w:t>
      </w:r>
      <w:proofErr w:type="spellStart"/>
      <w:r>
        <w:t>Pilch-Kowalczyk</w:t>
      </w:r>
      <w:proofErr w:type="spellEnd"/>
      <w:r>
        <w:t xml:space="preserve"> J, </w:t>
      </w:r>
      <w:proofErr w:type="spellStart"/>
      <w:r>
        <w:t>Kyrcz-Krzemień</w:t>
      </w:r>
      <w:proofErr w:type="spellEnd"/>
      <w:r>
        <w:t xml:space="preserve"> S. Portal vein thrombosis in cirrhosis is not associated with intestinal barrier disruption or increased platelet </w:t>
      </w:r>
      <w:proofErr w:type="spellStart"/>
      <w:r>
        <w:t>aggregability</w:t>
      </w:r>
      <w:proofErr w:type="spellEnd"/>
      <w:r>
        <w:t xml:space="preserve">. </w:t>
      </w:r>
      <w:proofErr w:type="spellStart"/>
      <w:r>
        <w:rPr>
          <w:i/>
          <w:iCs/>
        </w:rPr>
        <w:t>Clin</w:t>
      </w:r>
      <w:proofErr w:type="spellEnd"/>
      <w:r>
        <w:rPr>
          <w:i/>
          <w:iCs/>
        </w:rPr>
        <w:t xml:space="preserve"> Res </w:t>
      </w:r>
      <w:proofErr w:type="spellStart"/>
      <w:r>
        <w:rPr>
          <w:i/>
          <w:iCs/>
        </w:rPr>
        <w:t>Hepatol</w:t>
      </w:r>
      <w:proofErr w:type="spellEnd"/>
      <w:r>
        <w:rPr>
          <w:i/>
          <w:iCs/>
        </w:rPr>
        <w:t xml:space="preserve"> </w:t>
      </w:r>
      <w:proofErr w:type="spellStart"/>
      <w:r>
        <w:rPr>
          <w:i/>
          <w:iCs/>
        </w:rPr>
        <w:t>Gastroenterol</w:t>
      </w:r>
      <w:proofErr w:type="spellEnd"/>
      <w:r>
        <w:t xml:space="preserve"> 2016; </w:t>
      </w:r>
      <w:r>
        <w:rPr>
          <w:b/>
          <w:bCs/>
        </w:rPr>
        <w:t>40</w:t>
      </w:r>
      <w:r>
        <w:t>: 722-729 [</w:t>
      </w:r>
      <w:proofErr w:type="spellStart"/>
      <w:r>
        <w:t>PMID</w:t>
      </w:r>
      <w:proofErr w:type="spellEnd"/>
      <w:r>
        <w:t xml:space="preserve">: 27160816 </w:t>
      </w:r>
      <w:proofErr w:type="spellStart"/>
      <w:r>
        <w:t>DOI</w:t>
      </w:r>
      <w:proofErr w:type="spellEnd"/>
      <w:r>
        <w:t>: 10.1016/j.clinre.2016.03.008]</w:t>
      </w:r>
    </w:p>
    <w:p w:rsidR="00FE1855" w:rsidRDefault="00FE1855" w:rsidP="00FE1855">
      <w:pPr>
        <w:pStyle w:val="-1"/>
      </w:pPr>
      <w:r>
        <w:t>46</w:t>
      </w:r>
      <w:r>
        <w:tab/>
      </w:r>
      <w:r>
        <w:rPr>
          <w:b/>
          <w:bCs/>
        </w:rPr>
        <w:t>Villa E</w:t>
      </w:r>
      <w:r>
        <w:t xml:space="preserve">, </w:t>
      </w:r>
      <w:proofErr w:type="spellStart"/>
      <w:r>
        <w:t>Cammà</w:t>
      </w:r>
      <w:proofErr w:type="spellEnd"/>
      <w:r>
        <w:t xml:space="preserve"> C, Marietta M, </w:t>
      </w:r>
      <w:proofErr w:type="spellStart"/>
      <w:r>
        <w:t>Luongo</w:t>
      </w:r>
      <w:proofErr w:type="spellEnd"/>
      <w:r>
        <w:t xml:space="preserve"> M, </w:t>
      </w:r>
      <w:proofErr w:type="spellStart"/>
      <w:r>
        <w:t>Critelli</w:t>
      </w:r>
      <w:proofErr w:type="spellEnd"/>
      <w:r>
        <w:t xml:space="preserve"> R, </w:t>
      </w:r>
      <w:proofErr w:type="spellStart"/>
      <w:r>
        <w:t>Colopi</w:t>
      </w:r>
      <w:proofErr w:type="spellEnd"/>
      <w:r>
        <w:t xml:space="preserve"> S, Tata C, </w:t>
      </w:r>
      <w:proofErr w:type="spellStart"/>
      <w:r>
        <w:t>Zecchini</w:t>
      </w:r>
      <w:proofErr w:type="spellEnd"/>
      <w:r>
        <w:t xml:space="preserve"> R, </w:t>
      </w:r>
      <w:proofErr w:type="spellStart"/>
      <w:r>
        <w:t>Gitto</w:t>
      </w:r>
      <w:proofErr w:type="spellEnd"/>
      <w:r>
        <w:t xml:space="preserve"> S, </w:t>
      </w:r>
      <w:proofErr w:type="spellStart"/>
      <w:r>
        <w:t>Petta</w:t>
      </w:r>
      <w:proofErr w:type="spellEnd"/>
      <w:r>
        <w:t xml:space="preserve"> S, Lei B, </w:t>
      </w:r>
      <w:proofErr w:type="spellStart"/>
      <w:r>
        <w:t>Bernabucci</w:t>
      </w:r>
      <w:proofErr w:type="spellEnd"/>
      <w:r>
        <w:t xml:space="preserve"> V, </w:t>
      </w:r>
      <w:proofErr w:type="spellStart"/>
      <w:r>
        <w:t>Vukotic</w:t>
      </w:r>
      <w:proofErr w:type="spellEnd"/>
      <w:r>
        <w:t xml:space="preserve"> R, De Maria N, </w:t>
      </w:r>
      <w:proofErr w:type="spellStart"/>
      <w:r>
        <w:t>Schepis</w:t>
      </w:r>
      <w:proofErr w:type="spellEnd"/>
      <w:r>
        <w:t xml:space="preserve"> F, </w:t>
      </w:r>
      <w:proofErr w:type="spellStart"/>
      <w:r>
        <w:t>Karampatou</w:t>
      </w:r>
      <w:proofErr w:type="spellEnd"/>
      <w:r>
        <w:t xml:space="preserve"> A, </w:t>
      </w:r>
      <w:proofErr w:type="spellStart"/>
      <w:r>
        <w:t>Caporali</w:t>
      </w:r>
      <w:proofErr w:type="spellEnd"/>
      <w:r>
        <w:t xml:space="preserve"> C, </w:t>
      </w:r>
      <w:proofErr w:type="spellStart"/>
      <w:r>
        <w:t>Simoni</w:t>
      </w:r>
      <w:proofErr w:type="spellEnd"/>
      <w:r>
        <w:t xml:space="preserve"> L, Del </w:t>
      </w:r>
      <w:proofErr w:type="spellStart"/>
      <w:r>
        <w:t>Buono</w:t>
      </w:r>
      <w:proofErr w:type="spellEnd"/>
      <w:r>
        <w:t xml:space="preserve"> M, </w:t>
      </w:r>
      <w:proofErr w:type="spellStart"/>
      <w:r>
        <w:t>Zambotto</w:t>
      </w:r>
      <w:proofErr w:type="spellEnd"/>
      <w:r>
        <w:t xml:space="preserve"> B, </w:t>
      </w:r>
      <w:proofErr w:type="spellStart"/>
      <w:r>
        <w:t>Turola</w:t>
      </w:r>
      <w:proofErr w:type="spellEnd"/>
      <w:r>
        <w:t xml:space="preserve"> E, </w:t>
      </w:r>
      <w:proofErr w:type="spellStart"/>
      <w:r>
        <w:t>Fornaciari</w:t>
      </w:r>
      <w:proofErr w:type="spellEnd"/>
      <w:r>
        <w:t xml:space="preserve"> G, </w:t>
      </w:r>
      <w:proofErr w:type="spellStart"/>
      <w:r>
        <w:t>Schianchi</w:t>
      </w:r>
      <w:proofErr w:type="spellEnd"/>
      <w:r>
        <w:t xml:space="preserve"> S, Ferrari A, Valla D. Enoxaparin prevents portal vein thrombosis and liver </w:t>
      </w:r>
      <w:proofErr w:type="spellStart"/>
      <w:r>
        <w:t>decompensation</w:t>
      </w:r>
      <w:proofErr w:type="spellEnd"/>
      <w:r>
        <w:t xml:space="preserve"> in patients with advanced cirrhosis. </w:t>
      </w:r>
      <w:r>
        <w:rPr>
          <w:i/>
          <w:iCs/>
        </w:rPr>
        <w:t>Gastroenterology</w:t>
      </w:r>
      <w:r>
        <w:t xml:space="preserve"> 2012; </w:t>
      </w:r>
      <w:r>
        <w:rPr>
          <w:b/>
          <w:bCs/>
        </w:rPr>
        <w:t>143</w:t>
      </w:r>
      <w:r>
        <w:t>: 1253-1260.e4 [</w:t>
      </w:r>
      <w:proofErr w:type="spellStart"/>
      <w:r>
        <w:t>PMID</w:t>
      </w:r>
      <w:proofErr w:type="spellEnd"/>
      <w:r>
        <w:t xml:space="preserve">: 22819864 </w:t>
      </w:r>
      <w:proofErr w:type="spellStart"/>
      <w:r>
        <w:t>DOI</w:t>
      </w:r>
      <w:proofErr w:type="spellEnd"/>
      <w:r>
        <w:t>: 10.1053/j.gastro.2012.07.018]</w:t>
      </w:r>
    </w:p>
    <w:p w:rsidR="00FE1855" w:rsidRDefault="00FE1855" w:rsidP="00FE1855">
      <w:pPr>
        <w:pStyle w:val="-1"/>
      </w:pPr>
      <w:r>
        <w:lastRenderedPageBreak/>
        <w:t>47</w:t>
      </w:r>
      <w:r>
        <w:tab/>
      </w:r>
      <w:r>
        <w:rPr>
          <w:b/>
          <w:bCs/>
        </w:rPr>
        <w:t>European Association for the Study of the Liver</w:t>
      </w:r>
      <w:r>
        <w:t xml:space="preserve">. </w:t>
      </w:r>
      <w:proofErr w:type="gramStart"/>
      <w:r>
        <w:t>European Association for the Study of the Liver.</w:t>
      </w:r>
      <w:proofErr w:type="gramEnd"/>
      <w:r>
        <w:t xml:space="preserve"> </w:t>
      </w:r>
      <w:proofErr w:type="spellStart"/>
      <w:r>
        <w:t>EASL</w:t>
      </w:r>
      <w:proofErr w:type="spellEnd"/>
      <w:r>
        <w:t xml:space="preserve"> Clinical Practice Guidelines for the management of patients with decompensated cirrhosis. </w:t>
      </w:r>
      <w:r>
        <w:rPr>
          <w:i/>
          <w:iCs/>
        </w:rPr>
        <w:t xml:space="preserve">J </w:t>
      </w:r>
      <w:proofErr w:type="spellStart"/>
      <w:r>
        <w:rPr>
          <w:i/>
          <w:iCs/>
        </w:rPr>
        <w:t>Hepatol</w:t>
      </w:r>
      <w:proofErr w:type="spellEnd"/>
      <w:r>
        <w:t xml:space="preserve"> 2018; </w:t>
      </w:r>
      <w:r>
        <w:rPr>
          <w:b/>
          <w:bCs/>
        </w:rPr>
        <w:t>69</w:t>
      </w:r>
      <w:r>
        <w:t>: 406-460 [</w:t>
      </w:r>
      <w:proofErr w:type="spellStart"/>
      <w:r>
        <w:t>PMID</w:t>
      </w:r>
      <w:proofErr w:type="spellEnd"/>
      <w:r>
        <w:t xml:space="preserve">: 29653741 </w:t>
      </w:r>
      <w:proofErr w:type="spellStart"/>
      <w:r>
        <w:t>DOI</w:t>
      </w:r>
      <w:proofErr w:type="spellEnd"/>
      <w:r>
        <w:t>: 10.1016/j.jhep.2018.03.024]</w:t>
      </w:r>
    </w:p>
    <w:p w:rsidR="00FE1855" w:rsidRDefault="00FE1855" w:rsidP="00FE1855">
      <w:pPr>
        <w:pStyle w:val="-1"/>
      </w:pPr>
      <w:r>
        <w:t>48</w:t>
      </w:r>
      <w:r>
        <w:tab/>
      </w:r>
      <w:proofErr w:type="spellStart"/>
      <w:r>
        <w:rPr>
          <w:b/>
          <w:bCs/>
        </w:rPr>
        <w:t>Francoz</w:t>
      </w:r>
      <w:proofErr w:type="spellEnd"/>
      <w:r>
        <w:rPr>
          <w:b/>
          <w:bCs/>
        </w:rPr>
        <w:t xml:space="preserve"> C</w:t>
      </w:r>
      <w:r>
        <w:t xml:space="preserve">, </w:t>
      </w:r>
      <w:proofErr w:type="spellStart"/>
      <w:r>
        <w:t>Belghiti</w:t>
      </w:r>
      <w:proofErr w:type="spellEnd"/>
      <w:r>
        <w:t xml:space="preserve"> J, </w:t>
      </w:r>
      <w:proofErr w:type="spellStart"/>
      <w:r>
        <w:t>Vilgrain</w:t>
      </w:r>
      <w:proofErr w:type="spellEnd"/>
      <w:r>
        <w:t xml:space="preserve"> V, </w:t>
      </w:r>
      <w:proofErr w:type="spellStart"/>
      <w:r>
        <w:t>Sommacale</w:t>
      </w:r>
      <w:proofErr w:type="spellEnd"/>
      <w:r>
        <w:t xml:space="preserve"> D, </w:t>
      </w:r>
      <w:proofErr w:type="spellStart"/>
      <w:r>
        <w:t>Paradis</w:t>
      </w:r>
      <w:proofErr w:type="spellEnd"/>
      <w:r>
        <w:t xml:space="preserve"> V, </w:t>
      </w:r>
      <w:proofErr w:type="spellStart"/>
      <w:r>
        <w:t>Condat</w:t>
      </w:r>
      <w:proofErr w:type="spellEnd"/>
      <w:r>
        <w:t xml:space="preserve"> B, </w:t>
      </w:r>
      <w:proofErr w:type="spellStart"/>
      <w:r>
        <w:t>Denninger</w:t>
      </w:r>
      <w:proofErr w:type="spellEnd"/>
      <w:r>
        <w:t xml:space="preserve"> MH, </w:t>
      </w:r>
      <w:proofErr w:type="spellStart"/>
      <w:r>
        <w:t>Sauvanet</w:t>
      </w:r>
      <w:proofErr w:type="spellEnd"/>
      <w:r>
        <w:t xml:space="preserve"> A, Valla D, Durand F. Splanchnic vein thrombosis in candidates for liver transplantation: usefulness of screening and anticoagulation. </w:t>
      </w:r>
      <w:r>
        <w:rPr>
          <w:i/>
          <w:iCs/>
        </w:rPr>
        <w:t>Gut</w:t>
      </w:r>
      <w:r>
        <w:t xml:space="preserve"> 2005; </w:t>
      </w:r>
      <w:r>
        <w:rPr>
          <w:b/>
          <w:bCs/>
        </w:rPr>
        <w:t>54</w:t>
      </w:r>
      <w:r>
        <w:t>: 691-697 [</w:t>
      </w:r>
      <w:proofErr w:type="spellStart"/>
      <w:r>
        <w:t>PMID</w:t>
      </w:r>
      <w:proofErr w:type="spellEnd"/>
      <w:r>
        <w:t xml:space="preserve">: 15831918 </w:t>
      </w:r>
      <w:proofErr w:type="spellStart"/>
      <w:r>
        <w:t>DOI</w:t>
      </w:r>
      <w:proofErr w:type="spellEnd"/>
      <w:r>
        <w:t>: 10.1136/gut.2004.042796]</w:t>
      </w:r>
    </w:p>
    <w:p w:rsidR="00FE1855" w:rsidRDefault="00FE1855" w:rsidP="00FE1855">
      <w:pPr>
        <w:pStyle w:val="-1"/>
      </w:pPr>
      <w:r>
        <w:t>49</w:t>
      </w:r>
      <w:r>
        <w:tab/>
      </w:r>
      <w:proofErr w:type="spellStart"/>
      <w:r>
        <w:rPr>
          <w:b/>
          <w:bCs/>
        </w:rPr>
        <w:t>Senzolo</w:t>
      </w:r>
      <w:proofErr w:type="spellEnd"/>
      <w:r>
        <w:rPr>
          <w:b/>
          <w:bCs/>
        </w:rPr>
        <w:t xml:space="preserve"> M</w:t>
      </w:r>
      <w:r>
        <w:t xml:space="preserve">, M </w:t>
      </w:r>
      <w:proofErr w:type="spellStart"/>
      <w:r>
        <w:t>Sartori</w:t>
      </w:r>
      <w:proofErr w:type="spellEnd"/>
      <w:r>
        <w:t xml:space="preserve"> T, </w:t>
      </w:r>
      <w:proofErr w:type="spellStart"/>
      <w:r>
        <w:t>Rossetto</w:t>
      </w:r>
      <w:proofErr w:type="spellEnd"/>
      <w:r>
        <w:t xml:space="preserve"> V, </w:t>
      </w:r>
      <w:proofErr w:type="spellStart"/>
      <w:r>
        <w:t>Burra</w:t>
      </w:r>
      <w:proofErr w:type="spellEnd"/>
      <w:r>
        <w:t xml:space="preserve"> P, </w:t>
      </w:r>
      <w:proofErr w:type="spellStart"/>
      <w:r>
        <w:t>Cillo</w:t>
      </w:r>
      <w:proofErr w:type="spellEnd"/>
      <w:r>
        <w:t xml:space="preserve"> U, </w:t>
      </w:r>
      <w:proofErr w:type="spellStart"/>
      <w:r>
        <w:t>Boccagni</w:t>
      </w:r>
      <w:proofErr w:type="spellEnd"/>
      <w:r>
        <w:t xml:space="preserve"> P, </w:t>
      </w:r>
      <w:proofErr w:type="spellStart"/>
      <w:r>
        <w:t>Gasparini</w:t>
      </w:r>
      <w:proofErr w:type="spellEnd"/>
      <w:r>
        <w:t xml:space="preserve"> D, </w:t>
      </w:r>
      <w:proofErr w:type="spellStart"/>
      <w:r>
        <w:t>Miotto</w:t>
      </w:r>
      <w:proofErr w:type="spellEnd"/>
      <w:r>
        <w:t xml:space="preserve"> D, </w:t>
      </w:r>
      <w:proofErr w:type="spellStart"/>
      <w:r>
        <w:t>Simioni</w:t>
      </w:r>
      <w:proofErr w:type="spellEnd"/>
      <w:r>
        <w:t xml:space="preserve"> P, </w:t>
      </w:r>
      <w:proofErr w:type="spellStart"/>
      <w:r>
        <w:t>Tsochatzis</w:t>
      </w:r>
      <w:proofErr w:type="spellEnd"/>
      <w:r>
        <w:t xml:space="preserve"> E, A Burroughs K. Prospective evaluation of anticoagulation and </w:t>
      </w:r>
      <w:proofErr w:type="spellStart"/>
      <w:r>
        <w:t>transjugular</w:t>
      </w:r>
      <w:proofErr w:type="spellEnd"/>
      <w:r>
        <w:t xml:space="preserve"> intrahepatic </w:t>
      </w:r>
      <w:proofErr w:type="spellStart"/>
      <w:r>
        <w:t>portosystemic</w:t>
      </w:r>
      <w:proofErr w:type="spellEnd"/>
      <w:r>
        <w:t xml:space="preserve"> shunt for the management of portal vein thrombosis in cirrhosis. </w:t>
      </w:r>
      <w:r>
        <w:rPr>
          <w:i/>
          <w:iCs/>
        </w:rPr>
        <w:t xml:space="preserve">Liver </w:t>
      </w:r>
      <w:proofErr w:type="spellStart"/>
      <w:r>
        <w:rPr>
          <w:i/>
          <w:iCs/>
        </w:rPr>
        <w:t>Int</w:t>
      </w:r>
      <w:proofErr w:type="spellEnd"/>
      <w:r>
        <w:t xml:space="preserve"> 2012; </w:t>
      </w:r>
      <w:r>
        <w:rPr>
          <w:b/>
          <w:bCs/>
        </w:rPr>
        <w:t>32</w:t>
      </w:r>
      <w:r>
        <w:t>: 919-927 [</w:t>
      </w:r>
      <w:proofErr w:type="spellStart"/>
      <w:r>
        <w:t>PMID</w:t>
      </w:r>
      <w:proofErr w:type="spellEnd"/>
      <w:r>
        <w:t xml:space="preserve">: 22435854 </w:t>
      </w:r>
      <w:proofErr w:type="spellStart"/>
      <w:r>
        <w:t>DOI</w:t>
      </w:r>
      <w:proofErr w:type="spellEnd"/>
      <w:r>
        <w:t>: 10.1111/j.1478-3231.2012.02785.x]</w:t>
      </w:r>
    </w:p>
    <w:p w:rsidR="00FE1855" w:rsidRDefault="00FE1855" w:rsidP="00FE1855">
      <w:pPr>
        <w:pStyle w:val="-1"/>
      </w:pPr>
      <w:r>
        <w:t>50</w:t>
      </w:r>
      <w:r>
        <w:tab/>
      </w:r>
      <w:r>
        <w:rPr>
          <w:b/>
          <w:bCs/>
        </w:rPr>
        <w:t xml:space="preserve">Werner </w:t>
      </w:r>
      <w:proofErr w:type="spellStart"/>
      <w:r>
        <w:rPr>
          <w:b/>
          <w:bCs/>
        </w:rPr>
        <w:t>KT</w:t>
      </w:r>
      <w:proofErr w:type="spellEnd"/>
      <w:r>
        <w:t xml:space="preserve">, </w:t>
      </w:r>
      <w:proofErr w:type="spellStart"/>
      <w:r>
        <w:t>Sando</w:t>
      </w:r>
      <w:proofErr w:type="spellEnd"/>
      <w:r>
        <w:t xml:space="preserve"> S, Carey </w:t>
      </w:r>
      <w:proofErr w:type="spellStart"/>
      <w:r>
        <w:t>EJ</w:t>
      </w:r>
      <w:proofErr w:type="spellEnd"/>
      <w:r>
        <w:t xml:space="preserve">, Vargas HE, Byrne </w:t>
      </w:r>
      <w:proofErr w:type="spellStart"/>
      <w:r>
        <w:t>TJ</w:t>
      </w:r>
      <w:proofErr w:type="spellEnd"/>
      <w:r>
        <w:t xml:space="preserve">, Douglas DD, Harrison ME, </w:t>
      </w:r>
      <w:proofErr w:type="spellStart"/>
      <w:r>
        <w:t>Rakela</w:t>
      </w:r>
      <w:proofErr w:type="spellEnd"/>
      <w:r>
        <w:t xml:space="preserve"> J, </w:t>
      </w:r>
      <w:proofErr w:type="spellStart"/>
      <w:r>
        <w:t>Aqel</w:t>
      </w:r>
      <w:proofErr w:type="spellEnd"/>
      <w:r>
        <w:t xml:space="preserve"> BA. Portal vein thrombosis in patients with end stage liver disease awaiting liver transplantation: outcome of anticoagulation. </w:t>
      </w:r>
      <w:r>
        <w:rPr>
          <w:i/>
          <w:iCs/>
        </w:rPr>
        <w:t xml:space="preserve">Dig Dis </w:t>
      </w:r>
      <w:proofErr w:type="spellStart"/>
      <w:r>
        <w:rPr>
          <w:i/>
          <w:iCs/>
        </w:rPr>
        <w:t>Sci</w:t>
      </w:r>
      <w:proofErr w:type="spellEnd"/>
      <w:r>
        <w:t xml:space="preserve"> 2013; </w:t>
      </w:r>
      <w:r>
        <w:rPr>
          <w:b/>
          <w:bCs/>
        </w:rPr>
        <w:t>58</w:t>
      </w:r>
      <w:r>
        <w:t>: 1776-1780 [</w:t>
      </w:r>
      <w:proofErr w:type="spellStart"/>
      <w:r>
        <w:t>PMID</w:t>
      </w:r>
      <w:proofErr w:type="spellEnd"/>
      <w:r>
        <w:t xml:space="preserve">: 23314858 </w:t>
      </w:r>
      <w:proofErr w:type="spellStart"/>
      <w:r>
        <w:t>DOI</w:t>
      </w:r>
      <w:proofErr w:type="spellEnd"/>
      <w:r>
        <w:t>: 10.1007/s10620-012-2548-y]</w:t>
      </w:r>
    </w:p>
    <w:p w:rsidR="00FE1855" w:rsidRDefault="00FE1855" w:rsidP="00FE1855">
      <w:pPr>
        <w:pStyle w:val="-1"/>
      </w:pPr>
      <w:r>
        <w:t>51</w:t>
      </w:r>
      <w:r>
        <w:tab/>
      </w:r>
      <w:proofErr w:type="spellStart"/>
      <w:r>
        <w:rPr>
          <w:b/>
          <w:bCs/>
        </w:rPr>
        <w:t>Amitrano</w:t>
      </w:r>
      <w:proofErr w:type="spellEnd"/>
      <w:r>
        <w:rPr>
          <w:b/>
          <w:bCs/>
        </w:rPr>
        <w:t xml:space="preserve"> L</w:t>
      </w:r>
      <w:r>
        <w:t xml:space="preserve">, </w:t>
      </w:r>
      <w:proofErr w:type="spellStart"/>
      <w:r>
        <w:t>Guardascione</w:t>
      </w:r>
      <w:proofErr w:type="spellEnd"/>
      <w:r>
        <w:t xml:space="preserve"> MA, </w:t>
      </w:r>
      <w:proofErr w:type="spellStart"/>
      <w:r>
        <w:t>Menchise</w:t>
      </w:r>
      <w:proofErr w:type="spellEnd"/>
      <w:r>
        <w:t xml:space="preserve"> A, Martino R, </w:t>
      </w:r>
      <w:proofErr w:type="spellStart"/>
      <w:r>
        <w:t>Scaglione</w:t>
      </w:r>
      <w:proofErr w:type="spellEnd"/>
      <w:r>
        <w:t xml:space="preserve"> M, </w:t>
      </w:r>
      <w:proofErr w:type="spellStart"/>
      <w:r>
        <w:t>Giovine</w:t>
      </w:r>
      <w:proofErr w:type="spellEnd"/>
      <w:r>
        <w:t xml:space="preserve"> S, Romano L, </w:t>
      </w:r>
      <w:proofErr w:type="spellStart"/>
      <w:r>
        <w:t>Balzano</w:t>
      </w:r>
      <w:proofErr w:type="spellEnd"/>
      <w:r>
        <w:t xml:space="preserve"> A. Safety and efficacy of anticoagulation therapy with low molecular weight heparin for portal vein thrombosis in patients with liver cirrhosis. </w:t>
      </w:r>
      <w:r>
        <w:rPr>
          <w:i/>
          <w:iCs/>
        </w:rPr>
        <w:t xml:space="preserve">J </w:t>
      </w:r>
      <w:proofErr w:type="spellStart"/>
      <w:r>
        <w:rPr>
          <w:i/>
          <w:iCs/>
        </w:rPr>
        <w:t>Clin</w:t>
      </w:r>
      <w:proofErr w:type="spellEnd"/>
      <w:r>
        <w:rPr>
          <w:i/>
          <w:iCs/>
        </w:rPr>
        <w:t xml:space="preserve"> </w:t>
      </w:r>
      <w:proofErr w:type="spellStart"/>
      <w:r>
        <w:rPr>
          <w:i/>
          <w:iCs/>
        </w:rPr>
        <w:t>Gastroenterol</w:t>
      </w:r>
      <w:proofErr w:type="spellEnd"/>
      <w:r>
        <w:t xml:space="preserve"> 2010; </w:t>
      </w:r>
      <w:r>
        <w:rPr>
          <w:b/>
          <w:bCs/>
        </w:rPr>
        <w:t>44</w:t>
      </w:r>
      <w:r>
        <w:t>: 448-451 [</w:t>
      </w:r>
      <w:proofErr w:type="spellStart"/>
      <w:r>
        <w:t>PMID</w:t>
      </w:r>
      <w:proofErr w:type="spellEnd"/>
      <w:r>
        <w:t xml:space="preserve">: 19730112 </w:t>
      </w:r>
      <w:proofErr w:type="spellStart"/>
      <w:r>
        <w:t>DOI</w:t>
      </w:r>
      <w:proofErr w:type="spellEnd"/>
      <w:r>
        <w:t>: 10.1097/MCG.0b013e3181b3ab44]</w:t>
      </w:r>
    </w:p>
    <w:p w:rsidR="00FE1855" w:rsidRDefault="00FE1855" w:rsidP="00FE1855">
      <w:pPr>
        <w:pStyle w:val="-1"/>
        <w:rPr>
          <w:spacing w:val="-2"/>
        </w:rPr>
      </w:pPr>
      <w:r>
        <w:rPr>
          <w:spacing w:val="-2"/>
        </w:rPr>
        <w:t>52</w:t>
      </w:r>
      <w:r>
        <w:rPr>
          <w:spacing w:val="-2"/>
        </w:rPr>
        <w:tab/>
      </w:r>
      <w:r>
        <w:rPr>
          <w:b/>
          <w:bCs/>
          <w:spacing w:val="-2"/>
        </w:rPr>
        <w:t>Chen H</w:t>
      </w:r>
      <w:r>
        <w:rPr>
          <w:spacing w:val="-2"/>
        </w:rPr>
        <w:t xml:space="preserve">, Liu L, Qi X, He C, Wu F, Fan D, Han G. Efficacy and safety of anticoagulation in more advanced portal vein thrombosis in patients with liver cirrhosis. </w:t>
      </w:r>
      <w:proofErr w:type="spellStart"/>
      <w:r>
        <w:rPr>
          <w:i/>
          <w:iCs/>
          <w:spacing w:val="-2"/>
        </w:rPr>
        <w:t>Eur</w:t>
      </w:r>
      <w:proofErr w:type="spellEnd"/>
      <w:r>
        <w:rPr>
          <w:i/>
          <w:iCs/>
          <w:spacing w:val="-2"/>
        </w:rPr>
        <w:t xml:space="preserve"> J </w:t>
      </w:r>
      <w:proofErr w:type="spellStart"/>
      <w:r>
        <w:rPr>
          <w:i/>
          <w:iCs/>
          <w:spacing w:val="-2"/>
        </w:rPr>
        <w:t>Gastroenterol</w:t>
      </w:r>
      <w:proofErr w:type="spellEnd"/>
      <w:r>
        <w:rPr>
          <w:i/>
          <w:iCs/>
          <w:spacing w:val="-2"/>
        </w:rPr>
        <w:t xml:space="preserve"> </w:t>
      </w:r>
      <w:proofErr w:type="spellStart"/>
      <w:r>
        <w:rPr>
          <w:i/>
          <w:iCs/>
          <w:spacing w:val="-2"/>
        </w:rPr>
        <w:t>Hepatol</w:t>
      </w:r>
      <w:proofErr w:type="spellEnd"/>
      <w:r>
        <w:rPr>
          <w:spacing w:val="-2"/>
        </w:rPr>
        <w:t xml:space="preserve"> 2016; </w:t>
      </w:r>
      <w:r>
        <w:rPr>
          <w:b/>
          <w:bCs/>
          <w:spacing w:val="-2"/>
        </w:rPr>
        <w:t>28</w:t>
      </w:r>
      <w:r>
        <w:rPr>
          <w:spacing w:val="-2"/>
        </w:rPr>
        <w:t>: 82-89 [</w:t>
      </w:r>
      <w:proofErr w:type="spellStart"/>
      <w:r>
        <w:rPr>
          <w:spacing w:val="-2"/>
        </w:rPr>
        <w:t>PMID</w:t>
      </w:r>
      <w:proofErr w:type="spellEnd"/>
      <w:r>
        <w:rPr>
          <w:spacing w:val="-2"/>
        </w:rPr>
        <w:t xml:space="preserve">: 26513611 </w:t>
      </w:r>
      <w:proofErr w:type="spellStart"/>
      <w:r>
        <w:rPr>
          <w:spacing w:val="-2"/>
        </w:rPr>
        <w:t>DOI</w:t>
      </w:r>
      <w:proofErr w:type="spellEnd"/>
      <w:r>
        <w:rPr>
          <w:spacing w:val="-2"/>
        </w:rPr>
        <w:t>: 10.1097/MEG.0000000000000482]</w:t>
      </w:r>
    </w:p>
    <w:p w:rsidR="00FE1855" w:rsidRDefault="00FE1855" w:rsidP="00FE1855">
      <w:pPr>
        <w:pStyle w:val="-1"/>
      </w:pPr>
      <w:r>
        <w:t>53</w:t>
      </w:r>
      <w:r>
        <w:tab/>
      </w:r>
      <w:proofErr w:type="spellStart"/>
      <w:r>
        <w:rPr>
          <w:b/>
          <w:bCs/>
        </w:rPr>
        <w:t>Dell’Era</w:t>
      </w:r>
      <w:proofErr w:type="spellEnd"/>
      <w:r>
        <w:rPr>
          <w:b/>
          <w:bCs/>
        </w:rPr>
        <w:t xml:space="preserve"> A</w:t>
      </w:r>
      <w:r>
        <w:t xml:space="preserve">, </w:t>
      </w:r>
      <w:proofErr w:type="spellStart"/>
      <w:r>
        <w:t>Iannuzzi</w:t>
      </w:r>
      <w:proofErr w:type="spellEnd"/>
      <w:r>
        <w:t xml:space="preserve"> F, </w:t>
      </w:r>
      <w:proofErr w:type="spellStart"/>
      <w:r>
        <w:t>Fabris</w:t>
      </w:r>
      <w:proofErr w:type="spellEnd"/>
      <w:r>
        <w:t xml:space="preserve"> FM, Fontana P, </w:t>
      </w:r>
      <w:proofErr w:type="spellStart"/>
      <w:r>
        <w:t>Reati</w:t>
      </w:r>
      <w:proofErr w:type="spellEnd"/>
      <w:r>
        <w:t xml:space="preserve"> R, </w:t>
      </w:r>
      <w:proofErr w:type="spellStart"/>
      <w:r>
        <w:t>Grillo</w:t>
      </w:r>
      <w:proofErr w:type="spellEnd"/>
      <w:r>
        <w:t xml:space="preserve"> P, </w:t>
      </w:r>
      <w:proofErr w:type="spellStart"/>
      <w:r>
        <w:t>Aghemo</w:t>
      </w:r>
      <w:proofErr w:type="spellEnd"/>
      <w:r>
        <w:t xml:space="preserve"> A, de </w:t>
      </w:r>
      <w:proofErr w:type="spellStart"/>
      <w:r>
        <w:t>Franchis</w:t>
      </w:r>
      <w:proofErr w:type="spellEnd"/>
      <w:r>
        <w:t xml:space="preserve"> R, </w:t>
      </w:r>
      <w:proofErr w:type="spellStart"/>
      <w:r>
        <w:t>Primignani</w:t>
      </w:r>
      <w:proofErr w:type="spellEnd"/>
      <w:r>
        <w:t xml:space="preserve"> M. Impact of portal vein thrombosis on the efficacy of endoscopic </w:t>
      </w:r>
      <w:proofErr w:type="spellStart"/>
      <w:r>
        <w:t>variceal</w:t>
      </w:r>
      <w:proofErr w:type="spellEnd"/>
      <w:r>
        <w:t xml:space="preserve"> band ligation. </w:t>
      </w:r>
      <w:r>
        <w:rPr>
          <w:i/>
          <w:iCs/>
        </w:rPr>
        <w:t>Dig Liver Dis</w:t>
      </w:r>
      <w:r>
        <w:t xml:space="preserve"> 2014; </w:t>
      </w:r>
      <w:r>
        <w:rPr>
          <w:b/>
          <w:bCs/>
        </w:rPr>
        <w:t>46</w:t>
      </w:r>
      <w:r>
        <w:t>: 152-156 [</w:t>
      </w:r>
      <w:proofErr w:type="spellStart"/>
      <w:r>
        <w:t>PMID</w:t>
      </w:r>
      <w:proofErr w:type="spellEnd"/>
      <w:r>
        <w:t xml:space="preserve">: 24084343 </w:t>
      </w:r>
      <w:proofErr w:type="spellStart"/>
      <w:r>
        <w:t>DOI</w:t>
      </w:r>
      <w:proofErr w:type="spellEnd"/>
      <w:r>
        <w:t>: 10.1016/j.dld.2013.08.138]</w:t>
      </w:r>
    </w:p>
    <w:p w:rsidR="00FE1855" w:rsidRDefault="00FE1855" w:rsidP="00FE1855">
      <w:pPr>
        <w:pStyle w:val="-1"/>
      </w:pPr>
      <w:r>
        <w:t>54</w:t>
      </w:r>
      <w:r>
        <w:tab/>
      </w:r>
      <w:r>
        <w:rPr>
          <w:b/>
          <w:bCs/>
        </w:rPr>
        <w:t>Qi X</w:t>
      </w:r>
      <w:r>
        <w:t xml:space="preserve">, De Stefano V, Li H, Dai J, </w:t>
      </w:r>
      <w:proofErr w:type="spellStart"/>
      <w:r>
        <w:t>Guo</w:t>
      </w:r>
      <w:proofErr w:type="spellEnd"/>
      <w:r>
        <w:t xml:space="preserve"> X, Fan D. Anticoagulation for the treatment of portal vein thrombosis in liver cirrhosis: a systematic review and meta-analysis of observational studies. </w:t>
      </w:r>
      <w:proofErr w:type="spellStart"/>
      <w:r>
        <w:rPr>
          <w:i/>
          <w:iCs/>
        </w:rPr>
        <w:t>Eur</w:t>
      </w:r>
      <w:proofErr w:type="spellEnd"/>
      <w:r>
        <w:rPr>
          <w:i/>
          <w:iCs/>
        </w:rPr>
        <w:t xml:space="preserve"> J Intern Med</w:t>
      </w:r>
      <w:r>
        <w:t xml:space="preserve"> 2015; </w:t>
      </w:r>
      <w:r>
        <w:rPr>
          <w:b/>
          <w:bCs/>
        </w:rPr>
        <w:t>26</w:t>
      </w:r>
      <w:r>
        <w:t>: 23-29 [</w:t>
      </w:r>
      <w:proofErr w:type="spellStart"/>
      <w:r>
        <w:t>PMID</w:t>
      </w:r>
      <w:proofErr w:type="spellEnd"/>
      <w:r>
        <w:t xml:space="preserve">: 25566699 </w:t>
      </w:r>
      <w:proofErr w:type="spellStart"/>
      <w:r>
        <w:t>DOI</w:t>
      </w:r>
      <w:proofErr w:type="spellEnd"/>
      <w:r>
        <w:t>: 10.1016/j.ejim.2014.12.002]</w:t>
      </w:r>
    </w:p>
    <w:p w:rsidR="00FE1855" w:rsidRDefault="00FE1855" w:rsidP="00FE1855">
      <w:pPr>
        <w:pStyle w:val="-1"/>
        <w:rPr>
          <w:spacing w:val="-3"/>
        </w:rPr>
      </w:pPr>
      <w:r>
        <w:rPr>
          <w:spacing w:val="-3"/>
        </w:rPr>
        <w:t>55</w:t>
      </w:r>
      <w:r>
        <w:rPr>
          <w:spacing w:val="-3"/>
        </w:rPr>
        <w:tab/>
      </w:r>
      <w:proofErr w:type="spellStart"/>
      <w:r>
        <w:rPr>
          <w:b/>
          <w:bCs/>
          <w:spacing w:val="-3"/>
        </w:rPr>
        <w:t>Loffredo</w:t>
      </w:r>
      <w:proofErr w:type="spellEnd"/>
      <w:r>
        <w:rPr>
          <w:b/>
          <w:bCs/>
          <w:spacing w:val="-3"/>
        </w:rPr>
        <w:t xml:space="preserve"> L</w:t>
      </w:r>
      <w:r>
        <w:rPr>
          <w:spacing w:val="-3"/>
        </w:rPr>
        <w:t xml:space="preserve">, </w:t>
      </w:r>
      <w:proofErr w:type="spellStart"/>
      <w:r>
        <w:rPr>
          <w:spacing w:val="-3"/>
        </w:rPr>
        <w:t>Pastori</w:t>
      </w:r>
      <w:proofErr w:type="spellEnd"/>
      <w:r>
        <w:rPr>
          <w:spacing w:val="-3"/>
        </w:rPr>
        <w:t xml:space="preserve"> D, </w:t>
      </w:r>
      <w:proofErr w:type="spellStart"/>
      <w:r>
        <w:rPr>
          <w:spacing w:val="-3"/>
        </w:rPr>
        <w:t>Farcomeni</w:t>
      </w:r>
      <w:proofErr w:type="spellEnd"/>
      <w:r>
        <w:rPr>
          <w:spacing w:val="-3"/>
        </w:rPr>
        <w:t xml:space="preserve"> A, </w:t>
      </w:r>
      <w:proofErr w:type="spellStart"/>
      <w:r>
        <w:rPr>
          <w:spacing w:val="-3"/>
        </w:rPr>
        <w:t>Violi</w:t>
      </w:r>
      <w:proofErr w:type="spellEnd"/>
      <w:r>
        <w:rPr>
          <w:spacing w:val="-3"/>
        </w:rPr>
        <w:t xml:space="preserve"> F. Effects of Anticoagulants in Patients With Cirrhosis and Portal Vein Thrombosis: A Systematic Review and Meta-analysis. </w:t>
      </w:r>
      <w:r>
        <w:rPr>
          <w:i/>
          <w:iCs/>
          <w:spacing w:val="-3"/>
        </w:rPr>
        <w:t>Gastroenterology</w:t>
      </w:r>
      <w:r>
        <w:rPr>
          <w:spacing w:val="-3"/>
        </w:rPr>
        <w:t xml:space="preserve"> 2017; </w:t>
      </w:r>
      <w:r>
        <w:rPr>
          <w:b/>
          <w:bCs/>
          <w:spacing w:val="-3"/>
        </w:rPr>
        <w:t>153</w:t>
      </w:r>
      <w:r>
        <w:rPr>
          <w:spacing w:val="-3"/>
        </w:rPr>
        <w:t>: 480-487.e1 [</w:t>
      </w:r>
      <w:proofErr w:type="spellStart"/>
      <w:r>
        <w:rPr>
          <w:spacing w:val="-3"/>
        </w:rPr>
        <w:t>PMID</w:t>
      </w:r>
      <w:proofErr w:type="spellEnd"/>
      <w:r>
        <w:rPr>
          <w:spacing w:val="-3"/>
        </w:rPr>
        <w:t xml:space="preserve">: 28479379 </w:t>
      </w:r>
      <w:proofErr w:type="spellStart"/>
      <w:r>
        <w:rPr>
          <w:spacing w:val="-3"/>
        </w:rPr>
        <w:t>DOI</w:t>
      </w:r>
      <w:proofErr w:type="spellEnd"/>
      <w:r>
        <w:rPr>
          <w:spacing w:val="-3"/>
        </w:rPr>
        <w:t>: 10.1053/j.gastro.2017.04.042]</w:t>
      </w:r>
    </w:p>
    <w:p w:rsidR="00FE1855" w:rsidRDefault="00FE1855" w:rsidP="00FE1855">
      <w:pPr>
        <w:pStyle w:val="-1"/>
      </w:pPr>
      <w:r>
        <w:t>56</w:t>
      </w:r>
      <w:r>
        <w:tab/>
      </w:r>
      <w:proofErr w:type="spellStart"/>
      <w:r>
        <w:rPr>
          <w:b/>
          <w:bCs/>
        </w:rPr>
        <w:t>Dhar</w:t>
      </w:r>
      <w:proofErr w:type="spellEnd"/>
      <w:r>
        <w:rPr>
          <w:b/>
          <w:bCs/>
        </w:rPr>
        <w:t xml:space="preserve"> A</w:t>
      </w:r>
      <w:r>
        <w:t xml:space="preserve">, </w:t>
      </w:r>
      <w:proofErr w:type="spellStart"/>
      <w:r>
        <w:t>Sadiq</w:t>
      </w:r>
      <w:proofErr w:type="spellEnd"/>
      <w:r>
        <w:t xml:space="preserve"> F, </w:t>
      </w:r>
      <w:proofErr w:type="spellStart"/>
      <w:r>
        <w:t>Anstee</w:t>
      </w:r>
      <w:proofErr w:type="spellEnd"/>
      <w:r>
        <w:t xml:space="preserve"> QM, </w:t>
      </w:r>
      <w:proofErr w:type="spellStart"/>
      <w:r>
        <w:t>Levene</w:t>
      </w:r>
      <w:proofErr w:type="spellEnd"/>
      <w:r>
        <w:t xml:space="preserve"> AP, </w:t>
      </w:r>
      <w:proofErr w:type="spellStart"/>
      <w:r>
        <w:t>Goldin</w:t>
      </w:r>
      <w:proofErr w:type="spellEnd"/>
      <w:r>
        <w:t xml:space="preserve"> RD, </w:t>
      </w:r>
      <w:proofErr w:type="spellStart"/>
      <w:r>
        <w:t>Thursz</w:t>
      </w:r>
      <w:proofErr w:type="spellEnd"/>
      <w:r>
        <w:t xml:space="preserve"> MR. Thrombin and factor </w:t>
      </w:r>
      <w:proofErr w:type="spellStart"/>
      <w:r>
        <w:t>Xa</w:t>
      </w:r>
      <w:proofErr w:type="spellEnd"/>
      <w:r>
        <w:t xml:space="preserve"> link the coagulation system with liver fibrosis. </w:t>
      </w:r>
      <w:r>
        <w:rPr>
          <w:i/>
          <w:iCs/>
        </w:rPr>
        <w:t xml:space="preserve">BMC </w:t>
      </w:r>
      <w:proofErr w:type="spellStart"/>
      <w:r>
        <w:rPr>
          <w:i/>
          <w:iCs/>
        </w:rPr>
        <w:t>Gastroenterol</w:t>
      </w:r>
      <w:proofErr w:type="spellEnd"/>
      <w:r>
        <w:t xml:space="preserve"> 2018; </w:t>
      </w:r>
      <w:r>
        <w:rPr>
          <w:b/>
          <w:bCs/>
        </w:rPr>
        <w:t>18</w:t>
      </w:r>
      <w:r>
        <w:t>: 60 [</w:t>
      </w:r>
      <w:proofErr w:type="spellStart"/>
      <w:r>
        <w:t>PMID</w:t>
      </w:r>
      <w:proofErr w:type="spellEnd"/>
      <w:r>
        <w:t xml:space="preserve">: 29739329 </w:t>
      </w:r>
      <w:proofErr w:type="spellStart"/>
      <w:r>
        <w:t>DOI</w:t>
      </w:r>
      <w:proofErr w:type="spellEnd"/>
      <w:r>
        <w:t>: 10.1186/s12876-018-0789-8]</w:t>
      </w:r>
    </w:p>
    <w:p w:rsidR="00FE1855" w:rsidRDefault="00FE1855" w:rsidP="00FE1855">
      <w:pPr>
        <w:pStyle w:val="-1"/>
      </w:pPr>
      <w:r>
        <w:t>57</w:t>
      </w:r>
      <w:r>
        <w:tab/>
      </w:r>
      <w:proofErr w:type="spellStart"/>
      <w:r>
        <w:rPr>
          <w:b/>
          <w:bCs/>
        </w:rPr>
        <w:t>Ageno</w:t>
      </w:r>
      <w:proofErr w:type="spellEnd"/>
      <w:r>
        <w:rPr>
          <w:b/>
          <w:bCs/>
        </w:rPr>
        <w:t xml:space="preserve"> W</w:t>
      </w:r>
      <w:r>
        <w:t xml:space="preserve">, Gallus AS, </w:t>
      </w:r>
      <w:proofErr w:type="spellStart"/>
      <w:r>
        <w:t>Wittkowsky</w:t>
      </w:r>
      <w:proofErr w:type="spellEnd"/>
      <w:r>
        <w:t xml:space="preserve"> A, </w:t>
      </w:r>
      <w:proofErr w:type="spellStart"/>
      <w:r>
        <w:t>Crowther</w:t>
      </w:r>
      <w:proofErr w:type="spellEnd"/>
      <w:r>
        <w:t xml:space="preserve"> M, </w:t>
      </w:r>
      <w:proofErr w:type="spellStart"/>
      <w:r>
        <w:t>Hylek</w:t>
      </w:r>
      <w:proofErr w:type="spellEnd"/>
      <w:r>
        <w:t xml:space="preserve"> </w:t>
      </w:r>
      <w:proofErr w:type="spellStart"/>
      <w:r>
        <w:t>EM</w:t>
      </w:r>
      <w:proofErr w:type="spellEnd"/>
      <w:r>
        <w:t xml:space="preserve">, </w:t>
      </w:r>
      <w:proofErr w:type="spellStart"/>
      <w:r>
        <w:t>Palareti</w:t>
      </w:r>
      <w:proofErr w:type="spellEnd"/>
      <w:r>
        <w:t xml:space="preserve"> G. Oral anticoagulant therapy: Antithrombotic Therapy and Prevention of Thrombosis, 9th </w:t>
      </w:r>
      <w:proofErr w:type="spellStart"/>
      <w:r>
        <w:t>ed</w:t>
      </w:r>
      <w:proofErr w:type="spellEnd"/>
      <w:r>
        <w:t xml:space="preserve">: American College of Chest Physicians Evidence-Based Clinical Practice Guidelines. </w:t>
      </w:r>
      <w:r>
        <w:rPr>
          <w:i/>
          <w:iCs/>
        </w:rPr>
        <w:t>Chest</w:t>
      </w:r>
      <w:r>
        <w:t xml:space="preserve"> 2012; </w:t>
      </w:r>
      <w:r>
        <w:rPr>
          <w:b/>
          <w:bCs/>
        </w:rPr>
        <w:t>141</w:t>
      </w:r>
      <w:r>
        <w:t>: e44S-e88S [</w:t>
      </w:r>
      <w:proofErr w:type="spellStart"/>
      <w:r>
        <w:t>PMID</w:t>
      </w:r>
      <w:proofErr w:type="spellEnd"/>
      <w:r>
        <w:t xml:space="preserve">: 22315269 </w:t>
      </w:r>
      <w:proofErr w:type="spellStart"/>
      <w:r>
        <w:t>DOI</w:t>
      </w:r>
      <w:proofErr w:type="spellEnd"/>
      <w:r>
        <w:t>: 10.1378/chest.11-2292]</w:t>
      </w:r>
    </w:p>
    <w:p w:rsidR="00FE1855" w:rsidRDefault="00FE1855" w:rsidP="00FE1855">
      <w:pPr>
        <w:pStyle w:val="-1"/>
      </w:pPr>
      <w:r>
        <w:t>58</w:t>
      </w:r>
      <w:r>
        <w:tab/>
      </w:r>
      <w:proofErr w:type="spellStart"/>
      <w:r>
        <w:rPr>
          <w:b/>
          <w:bCs/>
        </w:rPr>
        <w:t>DeWald</w:t>
      </w:r>
      <w:proofErr w:type="spellEnd"/>
      <w:r>
        <w:rPr>
          <w:b/>
          <w:bCs/>
        </w:rPr>
        <w:t xml:space="preserve"> TA</w:t>
      </w:r>
      <w:r>
        <w:t xml:space="preserve">, Becker RC. </w:t>
      </w:r>
      <w:proofErr w:type="gramStart"/>
      <w:r>
        <w:t>The pharmacology of novel oral anticoagulants.</w:t>
      </w:r>
      <w:proofErr w:type="gramEnd"/>
      <w:r>
        <w:t xml:space="preserve"> </w:t>
      </w:r>
      <w:r>
        <w:rPr>
          <w:i/>
          <w:iCs/>
        </w:rPr>
        <w:t xml:space="preserve">J </w:t>
      </w:r>
      <w:proofErr w:type="spellStart"/>
      <w:r>
        <w:rPr>
          <w:i/>
          <w:iCs/>
        </w:rPr>
        <w:t>Thromb</w:t>
      </w:r>
      <w:proofErr w:type="spellEnd"/>
      <w:r>
        <w:rPr>
          <w:i/>
          <w:iCs/>
        </w:rPr>
        <w:t xml:space="preserve"> Thrombolysis</w:t>
      </w:r>
      <w:r>
        <w:t xml:space="preserve"> 2014; </w:t>
      </w:r>
      <w:r>
        <w:rPr>
          <w:b/>
          <w:bCs/>
        </w:rPr>
        <w:t>37</w:t>
      </w:r>
      <w:r>
        <w:t>: 217-233 [</w:t>
      </w:r>
      <w:proofErr w:type="spellStart"/>
      <w:r>
        <w:t>PMID</w:t>
      </w:r>
      <w:proofErr w:type="spellEnd"/>
      <w:r>
        <w:t xml:space="preserve">: 23860880 </w:t>
      </w:r>
      <w:proofErr w:type="spellStart"/>
      <w:r>
        <w:t>DOI</w:t>
      </w:r>
      <w:proofErr w:type="spellEnd"/>
      <w:r>
        <w:t>: 10.1007/s11239-013-0967-z]</w:t>
      </w:r>
    </w:p>
    <w:p w:rsidR="00FE1855" w:rsidRDefault="00FE1855" w:rsidP="00FE1855">
      <w:pPr>
        <w:pStyle w:val="-1"/>
      </w:pPr>
      <w:r>
        <w:t>59</w:t>
      </w:r>
      <w:r>
        <w:tab/>
      </w:r>
      <w:r>
        <w:rPr>
          <w:b/>
          <w:bCs/>
        </w:rPr>
        <w:t>Hu TY</w:t>
      </w:r>
      <w:r>
        <w:t xml:space="preserve">, </w:t>
      </w:r>
      <w:proofErr w:type="spellStart"/>
      <w:r>
        <w:t>Vaidya</w:t>
      </w:r>
      <w:proofErr w:type="spellEnd"/>
      <w:r>
        <w:t xml:space="preserve"> VR, </w:t>
      </w:r>
      <w:proofErr w:type="spellStart"/>
      <w:r>
        <w:t>Asirvatham</w:t>
      </w:r>
      <w:proofErr w:type="spellEnd"/>
      <w:r>
        <w:t xml:space="preserve"> </w:t>
      </w:r>
      <w:proofErr w:type="spellStart"/>
      <w:r>
        <w:t>SJ</w:t>
      </w:r>
      <w:proofErr w:type="spellEnd"/>
      <w:r>
        <w:t xml:space="preserve">. </w:t>
      </w:r>
      <w:proofErr w:type="gramStart"/>
      <w:r>
        <w:t xml:space="preserve">Reversing anticoagulant effects of novel oral anticoagulants: role of </w:t>
      </w:r>
      <w:proofErr w:type="spellStart"/>
      <w:r>
        <w:t>ciraparantag</w:t>
      </w:r>
      <w:proofErr w:type="spellEnd"/>
      <w:r>
        <w:t xml:space="preserve">, </w:t>
      </w:r>
      <w:proofErr w:type="spellStart"/>
      <w:r>
        <w:t>andexanet</w:t>
      </w:r>
      <w:proofErr w:type="spellEnd"/>
      <w:r>
        <w:t xml:space="preserve"> </w:t>
      </w:r>
      <w:proofErr w:type="spellStart"/>
      <w:r>
        <w:t>alfa</w:t>
      </w:r>
      <w:proofErr w:type="spellEnd"/>
      <w:r>
        <w:t xml:space="preserve">, and </w:t>
      </w:r>
      <w:proofErr w:type="spellStart"/>
      <w:r>
        <w:t>idarucizumab</w:t>
      </w:r>
      <w:proofErr w:type="spellEnd"/>
      <w:r>
        <w:t>.</w:t>
      </w:r>
      <w:proofErr w:type="gramEnd"/>
      <w:r>
        <w:t xml:space="preserve"> </w:t>
      </w:r>
      <w:proofErr w:type="spellStart"/>
      <w:r>
        <w:rPr>
          <w:i/>
          <w:iCs/>
        </w:rPr>
        <w:t>Vasc</w:t>
      </w:r>
      <w:proofErr w:type="spellEnd"/>
      <w:r>
        <w:rPr>
          <w:i/>
          <w:iCs/>
        </w:rPr>
        <w:t xml:space="preserve"> Health Risk </w:t>
      </w:r>
      <w:proofErr w:type="spellStart"/>
      <w:r>
        <w:rPr>
          <w:i/>
          <w:iCs/>
        </w:rPr>
        <w:t>Manag</w:t>
      </w:r>
      <w:proofErr w:type="spellEnd"/>
      <w:r>
        <w:t xml:space="preserve"> 2016; </w:t>
      </w:r>
      <w:r>
        <w:rPr>
          <w:b/>
          <w:bCs/>
        </w:rPr>
        <w:t>12</w:t>
      </w:r>
      <w:r>
        <w:t>: 35-44 [</w:t>
      </w:r>
      <w:proofErr w:type="spellStart"/>
      <w:r>
        <w:t>PMID</w:t>
      </w:r>
      <w:proofErr w:type="spellEnd"/>
      <w:r>
        <w:t xml:space="preserve">: 26937198 </w:t>
      </w:r>
      <w:proofErr w:type="spellStart"/>
      <w:r>
        <w:t>DOI</w:t>
      </w:r>
      <w:proofErr w:type="spellEnd"/>
      <w:r>
        <w:t>: 10.2147/VHRM.S89130]</w:t>
      </w:r>
    </w:p>
    <w:p w:rsidR="00FE1855" w:rsidRDefault="00FE1855" w:rsidP="00FE1855">
      <w:pPr>
        <w:pStyle w:val="-1"/>
        <w:rPr>
          <w:spacing w:val="-3"/>
        </w:rPr>
      </w:pPr>
      <w:r>
        <w:rPr>
          <w:spacing w:val="-3"/>
        </w:rPr>
        <w:t>60</w:t>
      </w:r>
      <w:r>
        <w:rPr>
          <w:spacing w:val="-3"/>
        </w:rPr>
        <w:tab/>
      </w:r>
      <w:proofErr w:type="spellStart"/>
      <w:r>
        <w:rPr>
          <w:b/>
          <w:bCs/>
          <w:spacing w:val="-3"/>
        </w:rPr>
        <w:t>Priyanka</w:t>
      </w:r>
      <w:proofErr w:type="spellEnd"/>
      <w:r>
        <w:rPr>
          <w:b/>
          <w:bCs/>
          <w:spacing w:val="-3"/>
        </w:rPr>
        <w:t xml:space="preserve"> P</w:t>
      </w:r>
      <w:r>
        <w:rPr>
          <w:spacing w:val="-3"/>
        </w:rPr>
        <w:t xml:space="preserve">, </w:t>
      </w:r>
      <w:proofErr w:type="spellStart"/>
      <w:r>
        <w:rPr>
          <w:spacing w:val="-3"/>
        </w:rPr>
        <w:t>Kupec</w:t>
      </w:r>
      <w:proofErr w:type="spellEnd"/>
      <w:r>
        <w:rPr>
          <w:spacing w:val="-3"/>
        </w:rPr>
        <w:t xml:space="preserve"> JT, </w:t>
      </w:r>
      <w:proofErr w:type="spellStart"/>
      <w:r>
        <w:rPr>
          <w:spacing w:val="-3"/>
        </w:rPr>
        <w:t>Krafft</w:t>
      </w:r>
      <w:proofErr w:type="spellEnd"/>
      <w:r>
        <w:rPr>
          <w:spacing w:val="-3"/>
        </w:rPr>
        <w:t xml:space="preserve"> M, Shah NA, Reynolds </w:t>
      </w:r>
      <w:proofErr w:type="spellStart"/>
      <w:r>
        <w:rPr>
          <w:spacing w:val="-3"/>
        </w:rPr>
        <w:t>GJ</w:t>
      </w:r>
      <w:proofErr w:type="spellEnd"/>
      <w:r>
        <w:rPr>
          <w:spacing w:val="-3"/>
        </w:rPr>
        <w:t xml:space="preserve">. </w:t>
      </w:r>
      <w:proofErr w:type="gramStart"/>
      <w:r>
        <w:rPr>
          <w:spacing w:val="-3"/>
        </w:rPr>
        <w:t>Newer Oral Anticoagulants in the Treatment of Acute Portal Vein Thrombosis in Patients with and without Cirrhosis.</w:t>
      </w:r>
      <w:proofErr w:type="gramEnd"/>
      <w:r>
        <w:rPr>
          <w:spacing w:val="-3"/>
        </w:rPr>
        <w:t xml:space="preserve"> </w:t>
      </w:r>
      <w:proofErr w:type="spellStart"/>
      <w:r>
        <w:rPr>
          <w:i/>
          <w:iCs/>
          <w:spacing w:val="-3"/>
        </w:rPr>
        <w:t>Int</w:t>
      </w:r>
      <w:proofErr w:type="spellEnd"/>
      <w:r>
        <w:rPr>
          <w:i/>
          <w:iCs/>
          <w:spacing w:val="-3"/>
        </w:rPr>
        <w:t xml:space="preserve"> J </w:t>
      </w:r>
      <w:proofErr w:type="spellStart"/>
      <w:r>
        <w:rPr>
          <w:i/>
          <w:iCs/>
          <w:spacing w:val="-3"/>
        </w:rPr>
        <w:t>Hepatol</w:t>
      </w:r>
      <w:proofErr w:type="spellEnd"/>
      <w:r>
        <w:rPr>
          <w:spacing w:val="-3"/>
        </w:rPr>
        <w:t xml:space="preserve"> 2018; </w:t>
      </w:r>
      <w:r>
        <w:rPr>
          <w:b/>
          <w:bCs/>
          <w:spacing w:val="-3"/>
        </w:rPr>
        <w:t>2018</w:t>
      </w:r>
      <w:r>
        <w:rPr>
          <w:spacing w:val="-3"/>
        </w:rPr>
        <w:t>: 8432781 [</w:t>
      </w:r>
      <w:proofErr w:type="spellStart"/>
      <w:r>
        <w:rPr>
          <w:spacing w:val="-3"/>
        </w:rPr>
        <w:t>PMID</w:t>
      </w:r>
      <w:proofErr w:type="spellEnd"/>
      <w:r>
        <w:rPr>
          <w:spacing w:val="-3"/>
        </w:rPr>
        <w:t xml:space="preserve">: 29973997 </w:t>
      </w:r>
      <w:proofErr w:type="spellStart"/>
      <w:r>
        <w:rPr>
          <w:spacing w:val="-3"/>
        </w:rPr>
        <w:t>DOI</w:t>
      </w:r>
      <w:proofErr w:type="spellEnd"/>
      <w:r>
        <w:rPr>
          <w:spacing w:val="-3"/>
        </w:rPr>
        <w:t>: 10.1155/2018/8432781]</w:t>
      </w:r>
    </w:p>
    <w:p w:rsidR="00FE1855" w:rsidRDefault="00FE1855" w:rsidP="00FE1855">
      <w:pPr>
        <w:pStyle w:val="-1"/>
      </w:pPr>
      <w:r>
        <w:t>61</w:t>
      </w:r>
      <w:r>
        <w:tab/>
      </w:r>
      <w:r>
        <w:rPr>
          <w:b/>
          <w:bCs/>
        </w:rPr>
        <w:t xml:space="preserve">De </w:t>
      </w:r>
      <w:proofErr w:type="spellStart"/>
      <w:r>
        <w:rPr>
          <w:b/>
          <w:bCs/>
        </w:rPr>
        <w:t>Gottardi</w:t>
      </w:r>
      <w:proofErr w:type="spellEnd"/>
      <w:r>
        <w:rPr>
          <w:b/>
          <w:bCs/>
        </w:rPr>
        <w:t xml:space="preserve"> A</w:t>
      </w:r>
      <w:r>
        <w:t xml:space="preserve">, </w:t>
      </w:r>
      <w:proofErr w:type="spellStart"/>
      <w:r>
        <w:t>Trebicka</w:t>
      </w:r>
      <w:proofErr w:type="spellEnd"/>
      <w:r>
        <w:t xml:space="preserve"> J, Klinger C, </w:t>
      </w:r>
      <w:proofErr w:type="spellStart"/>
      <w:r>
        <w:t>Plessier</w:t>
      </w:r>
      <w:proofErr w:type="spellEnd"/>
      <w:r>
        <w:t xml:space="preserve"> A, </w:t>
      </w:r>
      <w:proofErr w:type="spellStart"/>
      <w:r>
        <w:t>Seijo</w:t>
      </w:r>
      <w:proofErr w:type="spellEnd"/>
      <w:r>
        <w:t xml:space="preserve"> S, </w:t>
      </w:r>
      <w:proofErr w:type="spellStart"/>
      <w:r>
        <w:t>Terziroli</w:t>
      </w:r>
      <w:proofErr w:type="spellEnd"/>
      <w:r>
        <w:t xml:space="preserve"> B, Magenta L, </w:t>
      </w:r>
      <w:proofErr w:type="spellStart"/>
      <w:r>
        <w:t>Semela</w:t>
      </w:r>
      <w:proofErr w:type="spellEnd"/>
      <w:r>
        <w:t xml:space="preserve"> D, </w:t>
      </w:r>
      <w:proofErr w:type="spellStart"/>
      <w:r>
        <w:t>Buscarini</w:t>
      </w:r>
      <w:proofErr w:type="spellEnd"/>
      <w:r>
        <w:t xml:space="preserve"> E, </w:t>
      </w:r>
      <w:proofErr w:type="spellStart"/>
      <w:r>
        <w:t>Langlet</w:t>
      </w:r>
      <w:proofErr w:type="spellEnd"/>
      <w:r>
        <w:t xml:space="preserve"> P, </w:t>
      </w:r>
      <w:proofErr w:type="spellStart"/>
      <w:r>
        <w:t>Görtzen</w:t>
      </w:r>
      <w:proofErr w:type="spellEnd"/>
      <w:r>
        <w:t xml:space="preserve"> J, Puente A, </w:t>
      </w:r>
      <w:proofErr w:type="spellStart"/>
      <w:r>
        <w:t>Müllhaupt</w:t>
      </w:r>
      <w:proofErr w:type="spellEnd"/>
      <w:r>
        <w:t xml:space="preserve"> B, </w:t>
      </w:r>
      <w:proofErr w:type="spellStart"/>
      <w:r>
        <w:t>Navascuès</w:t>
      </w:r>
      <w:proofErr w:type="spellEnd"/>
      <w:r>
        <w:t xml:space="preserve"> C, </w:t>
      </w:r>
      <w:proofErr w:type="spellStart"/>
      <w:r>
        <w:t>Nery</w:t>
      </w:r>
      <w:proofErr w:type="spellEnd"/>
      <w:r>
        <w:t xml:space="preserve"> F, </w:t>
      </w:r>
      <w:proofErr w:type="spellStart"/>
      <w:r>
        <w:t>Deltenre</w:t>
      </w:r>
      <w:proofErr w:type="spellEnd"/>
      <w:r>
        <w:t xml:space="preserve"> P, </w:t>
      </w:r>
      <w:proofErr w:type="spellStart"/>
      <w:r>
        <w:t>Turon</w:t>
      </w:r>
      <w:proofErr w:type="spellEnd"/>
      <w:r>
        <w:t xml:space="preserve"> F, Engelmann C, </w:t>
      </w:r>
      <w:proofErr w:type="spellStart"/>
      <w:r>
        <w:t>Arya</w:t>
      </w:r>
      <w:proofErr w:type="spellEnd"/>
      <w:r>
        <w:t xml:space="preserve"> R, Caca K, Peck-</w:t>
      </w:r>
      <w:proofErr w:type="spellStart"/>
      <w:r>
        <w:t>Radosavljevic</w:t>
      </w:r>
      <w:proofErr w:type="spellEnd"/>
      <w:r>
        <w:t xml:space="preserve"> M, </w:t>
      </w:r>
      <w:proofErr w:type="spellStart"/>
      <w:r>
        <w:t>Leebeek</w:t>
      </w:r>
      <w:proofErr w:type="spellEnd"/>
      <w:r>
        <w:t xml:space="preserve"> </w:t>
      </w:r>
      <w:proofErr w:type="spellStart"/>
      <w:r>
        <w:t>FWG</w:t>
      </w:r>
      <w:proofErr w:type="spellEnd"/>
      <w:r>
        <w:t xml:space="preserve">, Valla D, Garcia-Pagan </w:t>
      </w:r>
      <w:proofErr w:type="spellStart"/>
      <w:r>
        <w:t>JC</w:t>
      </w:r>
      <w:proofErr w:type="spellEnd"/>
      <w:r>
        <w:t xml:space="preserve">; </w:t>
      </w:r>
      <w:proofErr w:type="spellStart"/>
      <w:r>
        <w:t>VALDIG</w:t>
      </w:r>
      <w:proofErr w:type="spellEnd"/>
      <w:r>
        <w:t xml:space="preserve"> Investigators. </w:t>
      </w:r>
      <w:proofErr w:type="gramStart"/>
      <w:r>
        <w:t>Antithrombotic treatment with direct-acting oral anticoagulants in patients with splanchnic vein thrombosis and cirrhosis.</w:t>
      </w:r>
      <w:proofErr w:type="gramEnd"/>
      <w:r>
        <w:t xml:space="preserve"> </w:t>
      </w:r>
      <w:r>
        <w:rPr>
          <w:i/>
          <w:iCs/>
        </w:rPr>
        <w:t xml:space="preserve">Liver </w:t>
      </w:r>
      <w:proofErr w:type="spellStart"/>
      <w:r>
        <w:rPr>
          <w:i/>
          <w:iCs/>
        </w:rPr>
        <w:t>Int</w:t>
      </w:r>
      <w:proofErr w:type="spellEnd"/>
      <w:r>
        <w:t xml:space="preserve"> 2017; </w:t>
      </w:r>
      <w:r>
        <w:rPr>
          <w:b/>
          <w:bCs/>
        </w:rPr>
        <w:t>37</w:t>
      </w:r>
      <w:r>
        <w:t>: 694-699 [</w:t>
      </w:r>
      <w:proofErr w:type="spellStart"/>
      <w:r>
        <w:t>PMID</w:t>
      </w:r>
      <w:proofErr w:type="spellEnd"/>
      <w:r>
        <w:t xml:space="preserve">: 27778440 </w:t>
      </w:r>
      <w:proofErr w:type="spellStart"/>
      <w:r>
        <w:t>DOI</w:t>
      </w:r>
      <w:proofErr w:type="spellEnd"/>
      <w:r>
        <w:t>: 10.1111/liv.13285]</w:t>
      </w:r>
    </w:p>
    <w:p w:rsidR="00FE1855" w:rsidRDefault="00FE1855" w:rsidP="00FE1855">
      <w:pPr>
        <w:pStyle w:val="-1"/>
      </w:pPr>
      <w:r>
        <w:t>62</w:t>
      </w:r>
      <w:r>
        <w:tab/>
      </w:r>
      <w:proofErr w:type="spellStart"/>
      <w:r>
        <w:rPr>
          <w:b/>
          <w:bCs/>
        </w:rPr>
        <w:t>Intagliata</w:t>
      </w:r>
      <w:proofErr w:type="spellEnd"/>
      <w:r>
        <w:rPr>
          <w:b/>
          <w:bCs/>
        </w:rPr>
        <w:t xml:space="preserve"> NM</w:t>
      </w:r>
      <w:r>
        <w:t xml:space="preserve">, Henry </w:t>
      </w:r>
      <w:proofErr w:type="spellStart"/>
      <w:r>
        <w:t>ZH</w:t>
      </w:r>
      <w:proofErr w:type="spellEnd"/>
      <w:r>
        <w:t xml:space="preserve">, Maitland H, Shah NL, Argo </w:t>
      </w:r>
      <w:proofErr w:type="spellStart"/>
      <w:r>
        <w:t>CK</w:t>
      </w:r>
      <w:proofErr w:type="spellEnd"/>
      <w:r>
        <w:t xml:space="preserve">, Northup PG, Caldwell SH. Direct Oral Anticoagulants in Cirrhosis Patients Pose Similar Risks of Bleeding When Compared to Traditional Anticoagulation. </w:t>
      </w:r>
      <w:r>
        <w:rPr>
          <w:i/>
          <w:iCs/>
        </w:rPr>
        <w:t xml:space="preserve">Dig Dis </w:t>
      </w:r>
      <w:proofErr w:type="spellStart"/>
      <w:r>
        <w:rPr>
          <w:i/>
          <w:iCs/>
        </w:rPr>
        <w:t>Sci</w:t>
      </w:r>
      <w:proofErr w:type="spellEnd"/>
      <w:r>
        <w:t xml:space="preserve"> 2016; </w:t>
      </w:r>
      <w:r>
        <w:rPr>
          <w:b/>
          <w:bCs/>
        </w:rPr>
        <w:t>61</w:t>
      </w:r>
      <w:r>
        <w:t>: 1721-1727 [</w:t>
      </w:r>
      <w:proofErr w:type="spellStart"/>
      <w:r>
        <w:t>PMID</w:t>
      </w:r>
      <w:proofErr w:type="spellEnd"/>
      <w:r>
        <w:t xml:space="preserve">: 26725062 </w:t>
      </w:r>
      <w:proofErr w:type="spellStart"/>
      <w:r>
        <w:t>DOI</w:t>
      </w:r>
      <w:proofErr w:type="spellEnd"/>
      <w:r>
        <w:t xml:space="preserve">: </w:t>
      </w:r>
      <w:r>
        <w:lastRenderedPageBreak/>
        <w:t>10.1007/s10620-015-4012-2]</w:t>
      </w:r>
    </w:p>
    <w:p w:rsidR="00FE1855" w:rsidRDefault="00FE1855" w:rsidP="00FE1855">
      <w:pPr>
        <w:pStyle w:val="-1"/>
      </w:pPr>
      <w:r>
        <w:t>63</w:t>
      </w:r>
      <w:r>
        <w:tab/>
      </w:r>
      <w:proofErr w:type="spellStart"/>
      <w:r>
        <w:rPr>
          <w:b/>
          <w:bCs/>
        </w:rPr>
        <w:t>Hanafy</w:t>
      </w:r>
      <w:proofErr w:type="spellEnd"/>
      <w:r>
        <w:rPr>
          <w:b/>
          <w:bCs/>
        </w:rPr>
        <w:t xml:space="preserve"> AS</w:t>
      </w:r>
      <w:r>
        <w:t xml:space="preserve">, </w:t>
      </w:r>
      <w:proofErr w:type="spellStart"/>
      <w:r>
        <w:t>Abd-Elsalam</w:t>
      </w:r>
      <w:proofErr w:type="spellEnd"/>
      <w:r>
        <w:t xml:space="preserve"> S, </w:t>
      </w:r>
      <w:proofErr w:type="spellStart"/>
      <w:r>
        <w:t>Dawoud</w:t>
      </w:r>
      <w:proofErr w:type="spellEnd"/>
      <w:r>
        <w:t xml:space="preserve"> MM. Randomized controlled trial of </w:t>
      </w:r>
      <w:proofErr w:type="spellStart"/>
      <w:r>
        <w:t>rivaroxaban</w:t>
      </w:r>
      <w:proofErr w:type="spellEnd"/>
      <w:r>
        <w:t xml:space="preserve"> versus warfarin in the management of acute non-neoplastic portal vein thrombosis. </w:t>
      </w:r>
      <w:proofErr w:type="spellStart"/>
      <w:r>
        <w:rPr>
          <w:i/>
          <w:iCs/>
        </w:rPr>
        <w:t>Vascul</w:t>
      </w:r>
      <w:proofErr w:type="spellEnd"/>
      <w:r>
        <w:rPr>
          <w:i/>
          <w:iCs/>
        </w:rPr>
        <w:t xml:space="preserve"> </w:t>
      </w:r>
      <w:proofErr w:type="spellStart"/>
      <w:r>
        <w:rPr>
          <w:i/>
          <w:iCs/>
        </w:rPr>
        <w:t>Pharmacol</w:t>
      </w:r>
      <w:proofErr w:type="spellEnd"/>
      <w:r>
        <w:t xml:space="preserve"> 2018 [</w:t>
      </w:r>
      <w:proofErr w:type="spellStart"/>
      <w:r>
        <w:t>PMID</w:t>
      </w:r>
      <w:proofErr w:type="spellEnd"/>
      <w:r>
        <w:t xml:space="preserve">: 29886103 </w:t>
      </w:r>
      <w:proofErr w:type="spellStart"/>
      <w:r>
        <w:t>DOI</w:t>
      </w:r>
      <w:proofErr w:type="spellEnd"/>
      <w:r>
        <w:t>: 10.1016/j.vph.2018.05.002]</w:t>
      </w:r>
    </w:p>
    <w:p w:rsidR="00FE1855" w:rsidRDefault="00FE1855" w:rsidP="00FE1855">
      <w:pPr>
        <w:pStyle w:val="-1"/>
      </w:pPr>
      <w:r>
        <w:t>64</w:t>
      </w:r>
      <w:r>
        <w:tab/>
      </w:r>
      <w:proofErr w:type="spellStart"/>
      <w:r>
        <w:rPr>
          <w:b/>
          <w:bCs/>
        </w:rPr>
        <w:t>Nagaoki</w:t>
      </w:r>
      <w:proofErr w:type="spellEnd"/>
      <w:r>
        <w:rPr>
          <w:b/>
          <w:bCs/>
        </w:rPr>
        <w:t xml:space="preserve"> Y</w:t>
      </w:r>
      <w:r>
        <w:t xml:space="preserve">, </w:t>
      </w:r>
      <w:proofErr w:type="spellStart"/>
      <w:r>
        <w:t>Aikata</w:t>
      </w:r>
      <w:proofErr w:type="spellEnd"/>
      <w:r>
        <w:t xml:space="preserve"> H, </w:t>
      </w:r>
      <w:proofErr w:type="spellStart"/>
      <w:r>
        <w:t>Daijyo</w:t>
      </w:r>
      <w:proofErr w:type="spellEnd"/>
      <w:r>
        <w:t xml:space="preserve"> K, </w:t>
      </w:r>
      <w:proofErr w:type="spellStart"/>
      <w:r>
        <w:t>Teraoka</w:t>
      </w:r>
      <w:proofErr w:type="spellEnd"/>
      <w:r>
        <w:t xml:space="preserve"> Y, Shinohara F, Nakamura Y, </w:t>
      </w:r>
      <w:proofErr w:type="spellStart"/>
      <w:r>
        <w:t>Hatooka</w:t>
      </w:r>
      <w:proofErr w:type="spellEnd"/>
      <w:r>
        <w:t xml:space="preserve"> M, </w:t>
      </w:r>
      <w:proofErr w:type="spellStart"/>
      <w:r>
        <w:t>Morio</w:t>
      </w:r>
      <w:proofErr w:type="spellEnd"/>
      <w:r>
        <w:t xml:space="preserve"> K, Nakahara T, </w:t>
      </w:r>
      <w:proofErr w:type="spellStart"/>
      <w:r>
        <w:t>Kawaoka</w:t>
      </w:r>
      <w:proofErr w:type="spellEnd"/>
      <w:r>
        <w:t xml:space="preserve"> T, </w:t>
      </w:r>
      <w:proofErr w:type="spellStart"/>
      <w:r>
        <w:t>Tsuge</w:t>
      </w:r>
      <w:proofErr w:type="spellEnd"/>
      <w:r>
        <w:t xml:space="preserve"> M, </w:t>
      </w:r>
      <w:proofErr w:type="spellStart"/>
      <w:r>
        <w:t>Hiramatsu</w:t>
      </w:r>
      <w:proofErr w:type="spellEnd"/>
      <w:r>
        <w:t xml:space="preserve"> A, Imamura M, Kawakami Y, Ochi H, </w:t>
      </w:r>
      <w:proofErr w:type="spellStart"/>
      <w:r>
        <w:t>Chayama</w:t>
      </w:r>
      <w:proofErr w:type="spellEnd"/>
      <w:r>
        <w:t xml:space="preserve"> K. Efficacy and safety of </w:t>
      </w:r>
      <w:proofErr w:type="spellStart"/>
      <w:r>
        <w:t>edoxaban</w:t>
      </w:r>
      <w:proofErr w:type="spellEnd"/>
      <w:r>
        <w:t xml:space="preserve"> for treatment of portal vein thrombosis following </w:t>
      </w:r>
      <w:proofErr w:type="spellStart"/>
      <w:r>
        <w:t>danaparoid</w:t>
      </w:r>
      <w:proofErr w:type="spellEnd"/>
      <w:r>
        <w:t xml:space="preserve"> sodium in patients with liver cirrhosis. </w:t>
      </w:r>
      <w:proofErr w:type="spellStart"/>
      <w:r>
        <w:rPr>
          <w:i/>
          <w:iCs/>
        </w:rPr>
        <w:t>Hepatol</w:t>
      </w:r>
      <w:proofErr w:type="spellEnd"/>
      <w:r>
        <w:rPr>
          <w:i/>
          <w:iCs/>
        </w:rPr>
        <w:t xml:space="preserve"> Res</w:t>
      </w:r>
      <w:r>
        <w:t xml:space="preserve"> 2018; </w:t>
      </w:r>
      <w:r>
        <w:rPr>
          <w:b/>
          <w:bCs/>
        </w:rPr>
        <w:t>48</w:t>
      </w:r>
      <w:r>
        <w:t>: 51-58 [</w:t>
      </w:r>
      <w:proofErr w:type="spellStart"/>
      <w:r>
        <w:t>PMID</w:t>
      </w:r>
      <w:proofErr w:type="spellEnd"/>
      <w:r>
        <w:t xml:space="preserve">: 28342265 </w:t>
      </w:r>
      <w:proofErr w:type="spellStart"/>
      <w:r>
        <w:t>DOI</w:t>
      </w:r>
      <w:proofErr w:type="spellEnd"/>
      <w:r>
        <w:t>: 10.1111/hepr.12895]</w:t>
      </w:r>
    </w:p>
    <w:p w:rsidR="00FE1855" w:rsidRDefault="00FE1855" w:rsidP="00FE1855">
      <w:pPr>
        <w:pStyle w:val="-1"/>
      </w:pPr>
      <w:r>
        <w:t>65</w:t>
      </w:r>
      <w:r>
        <w:tab/>
      </w:r>
      <w:proofErr w:type="spellStart"/>
      <w:r>
        <w:rPr>
          <w:b/>
          <w:bCs/>
        </w:rPr>
        <w:t>Lv</w:t>
      </w:r>
      <w:proofErr w:type="spellEnd"/>
      <w:r>
        <w:rPr>
          <w:b/>
          <w:bCs/>
        </w:rPr>
        <w:t xml:space="preserve"> Y</w:t>
      </w:r>
      <w:r>
        <w:t xml:space="preserve">, He C, Wang Z, </w:t>
      </w:r>
      <w:proofErr w:type="spellStart"/>
      <w:r>
        <w:t>Guo</w:t>
      </w:r>
      <w:proofErr w:type="spellEnd"/>
      <w:r>
        <w:t xml:space="preserve"> W, Wang J, </w:t>
      </w:r>
      <w:proofErr w:type="spellStart"/>
      <w:r>
        <w:t>Bai</w:t>
      </w:r>
      <w:proofErr w:type="spellEnd"/>
      <w:r>
        <w:t xml:space="preserve"> W, Zhang L, Wang Q, Liu H, </w:t>
      </w:r>
      <w:proofErr w:type="spellStart"/>
      <w:r>
        <w:t>Luo</w:t>
      </w:r>
      <w:proofErr w:type="spellEnd"/>
      <w:r>
        <w:t xml:space="preserve"> B, </w:t>
      </w:r>
      <w:proofErr w:type="spellStart"/>
      <w:r>
        <w:t>Niu</w:t>
      </w:r>
      <w:proofErr w:type="spellEnd"/>
      <w:r>
        <w:t xml:space="preserve"> J, Li K, Tie J, Yin Z, Fan D, Han G. Association of Nonmalignant Portal Vein Thrombosis and Outcomes after </w:t>
      </w:r>
      <w:proofErr w:type="spellStart"/>
      <w:r>
        <w:t>Transjugular</w:t>
      </w:r>
      <w:proofErr w:type="spellEnd"/>
      <w:r>
        <w:t xml:space="preserve"> Intrahepatic </w:t>
      </w:r>
      <w:proofErr w:type="spellStart"/>
      <w:r>
        <w:t>Portosystemic</w:t>
      </w:r>
      <w:proofErr w:type="spellEnd"/>
      <w:r>
        <w:t xml:space="preserve"> Shunt in Patients with Cirrhosis. </w:t>
      </w:r>
      <w:r>
        <w:rPr>
          <w:i/>
          <w:iCs/>
        </w:rPr>
        <w:t>Radiology</w:t>
      </w:r>
      <w:r>
        <w:t xml:space="preserve"> 2017; </w:t>
      </w:r>
      <w:r>
        <w:rPr>
          <w:b/>
          <w:bCs/>
        </w:rPr>
        <w:t>285</w:t>
      </w:r>
      <w:r>
        <w:t>: 999-1010 [</w:t>
      </w:r>
      <w:proofErr w:type="spellStart"/>
      <w:r>
        <w:t>PMID</w:t>
      </w:r>
      <w:proofErr w:type="spellEnd"/>
      <w:r>
        <w:t xml:space="preserve">: 28682164 </w:t>
      </w:r>
      <w:proofErr w:type="spellStart"/>
      <w:r>
        <w:t>DOI</w:t>
      </w:r>
      <w:proofErr w:type="spellEnd"/>
      <w:r>
        <w:t>: 10.1148/radiol.2017162266]</w:t>
      </w:r>
    </w:p>
    <w:p w:rsidR="00FE1855" w:rsidRDefault="00FE1855" w:rsidP="00FE1855">
      <w:pPr>
        <w:pStyle w:val="-1"/>
      </w:pPr>
    </w:p>
    <w:p w:rsidR="00FE1855" w:rsidRDefault="00FE1855" w:rsidP="00FE1855"/>
    <w:p w:rsidR="00FE1855" w:rsidRDefault="00FE1855" w:rsidP="00FE1855"/>
    <w:p w:rsidR="00FE1855" w:rsidRDefault="00FE1855" w:rsidP="00FE1855">
      <w:pPr>
        <w:rPr>
          <w:rFonts w:hint="eastAsia"/>
        </w:rPr>
      </w:pPr>
      <w:r>
        <w:t>Footnotes</w:t>
      </w:r>
    </w:p>
    <w:p w:rsidR="00FE1855" w:rsidRPr="000937AF" w:rsidRDefault="00FE1855" w:rsidP="00FE1855">
      <w:pPr>
        <w:pStyle w:val="af6"/>
      </w:pPr>
      <w:r>
        <w:rPr>
          <w:rFonts w:ascii="Tahoma" w:hAnsi="Tahoma" w:cs="Tahoma"/>
        </w:rPr>
        <w:t>Manuscript source:</w:t>
      </w:r>
      <w:r>
        <w:t xml:space="preserve"> Invited manuscript</w:t>
      </w:r>
    </w:p>
    <w:p w:rsidR="00FE1855" w:rsidRPr="000937AF" w:rsidRDefault="00FE1855" w:rsidP="00FE1855">
      <w:r w:rsidRPr="000937AF">
        <w:rPr>
          <w:b/>
        </w:rPr>
        <w:t>Specialty type:</w:t>
      </w:r>
      <w:r w:rsidRPr="000937AF">
        <w:t xml:space="preserve"> Gastroenterology and </w:t>
      </w:r>
      <w:proofErr w:type="spellStart"/>
      <w:r w:rsidRPr="000937AF">
        <w:t>hepatology</w:t>
      </w:r>
      <w:proofErr w:type="spellEnd"/>
    </w:p>
    <w:p w:rsidR="00FE1855" w:rsidRPr="000937AF" w:rsidRDefault="00FE1855" w:rsidP="00FE1855">
      <w:r w:rsidRPr="000937AF">
        <w:rPr>
          <w:b/>
        </w:rPr>
        <w:t xml:space="preserve">Country of origin: </w:t>
      </w:r>
      <w:r w:rsidRPr="000937AF">
        <w:t>Romania</w:t>
      </w:r>
    </w:p>
    <w:p w:rsidR="00FE1855" w:rsidRPr="000937AF" w:rsidRDefault="00FE1855" w:rsidP="00FE1855">
      <w:pPr>
        <w:rPr>
          <w:b/>
        </w:rPr>
      </w:pPr>
      <w:r w:rsidRPr="000937AF">
        <w:rPr>
          <w:b/>
        </w:rPr>
        <w:t>Peer-review report classification</w:t>
      </w:r>
    </w:p>
    <w:p w:rsidR="00FE1855" w:rsidRPr="000937AF" w:rsidRDefault="00FE1855" w:rsidP="00FE1855">
      <w:r w:rsidRPr="000937AF">
        <w:t xml:space="preserve">Grade </w:t>
      </w:r>
      <w:proofErr w:type="gramStart"/>
      <w:r w:rsidRPr="000937AF">
        <w:t>A</w:t>
      </w:r>
      <w:proofErr w:type="gramEnd"/>
      <w:r w:rsidRPr="000937AF">
        <w:t xml:space="preserve"> (Excellent): 0</w:t>
      </w:r>
    </w:p>
    <w:p w:rsidR="00FE1855" w:rsidRPr="000937AF" w:rsidRDefault="00FE1855" w:rsidP="00FE1855">
      <w:r w:rsidRPr="000937AF">
        <w:t>Grade B (Very good): 0</w:t>
      </w:r>
    </w:p>
    <w:p w:rsidR="00FE1855" w:rsidRPr="000937AF" w:rsidRDefault="00FE1855" w:rsidP="00FE1855">
      <w:r w:rsidRPr="000937AF">
        <w:t>Grade C (Good): C, C</w:t>
      </w:r>
    </w:p>
    <w:p w:rsidR="00FE1855" w:rsidRPr="000937AF" w:rsidRDefault="00FE1855" w:rsidP="00FE1855">
      <w:r w:rsidRPr="000937AF">
        <w:t>Grade D (Fair): 0</w:t>
      </w:r>
    </w:p>
    <w:p w:rsidR="00FE1855" w:rsidRPr="000937AF" w:rsidRDefault="00FE1855" w:rsidP="00FE1855">
      <w:r w:rsidRPr="000937AF">
        <w:t>Grade E (Poor): 0</w:t>
      </w:r>
    </w:p>
    <w:p w:rsidR="00FE1855" w:rsidRPr="000937AF" w:rsidRDefault="00FE1855" w:rsidP="00FE1855">
      <w:pPr>
        <w:pStyle w:val="af6"/>
      </w:pPr>
      <w:r>
        <w:rPr>
          <w:rFonts w:ascii="Tahoma" w:hAnsi="Tahoma" w:cs="Tahoma"/>
          <w:lang w:val="it-IT"/>
        </w:rPr>
        <w:t>Conflict-of-interest statement</w:t>
      </w:r>
      <w:r w:rsidRPr="000937AF">
        <w:rPr>
          <w:rFonts w:ascii="Tahoma" w:hAnsi="Tahoma" w:cs="Tahoma"/>
        </w:rPr>
        <w:t>:</w:t>
      </w:r>
      <w:r>
        <w:t xml:space="preserve"> The authors have no conflict of interest to declare.</w:t>
      </w:r>
    </w:p>
    <w:p w:rsidR="00FE1855" w:rsidRDefault="00FE1855" w:rsidP="00FE1855">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E1855" w:rsidRDefault="00FE1855" w:rsidP="00FE1855">
      <w:pPr>
        <w:pStyle w:val="af6"/>
      </w:pPr>
      <w:r>
        <w:rPr>
          <w:rFonts w:ascii="Tahoma" w:hAnsi="Tahoma" w:cs="Tahoma"/>
        </w:rPr>
        <w:t>Peer-review started:</w:t>
      </w:r>
      <w:r>
        <w:t xml:space="preserve"> </w:t>
      </w:r>
      <w:r w:rsidRPr="000937AF">
        <w:t>July 28, 2018</w:t>
      </w:r>
    </w:p>
    <w:p w:rsidR="00FE1855" w:rsidRDefault="00FE1855" w:rsidP="00FE1855">
      <w:pPr>
        <w:pStyle w:val="af6"/>
      </w:pPr>
      <w:r>
        <w:rPr>
          <w:rFonts w:ascii="Tahoma" w:hAnsi="Tahoma" w:cs="Tahoma"/>
        </w:rPr>
        <w:t>First decision:</w:t>
      </w:r>
      <w:r>
        <w:t xml:space="preserve"> </w:t>
      </w:r>
      <w:r w:rsidRPr="000937AF">
        <w:t>August 27, 2018</w:t>
      </w:r>
    </w:p>
    <w:p w:rsidR="00FE1855" w:rsidRDefault="00FE1855" w:rsidP="00FE1855">
      <w:pPr>
        <w:pStyle w:val="af6"/>
      </w:pPr>
      <w:r>
        <w:rPr>
          <w:rFonts w:ascii="Tahoma" w:hAnsi="Tahoma" w:cs="Tahoma"/>
        </w:rPr>
        <w:t>Article in press:</w:t>
      </w:r>
      <w:r>
        <w:t xml:space="preserve"> October 5, 2018</w:t>
      </w:r>
    </w:p>
    <w:p w:rsidR="00FE1855" w:rsidRPr="000937AF" w:rsidRDefault="00FE1855" w:rsidP="00FE1855">
      <w:pPr>
        <w:pStyle w:val="afa"/>
        <w:rPr>
          <w:rFonts w:ascii="Times New Roman" w:hAnsi="Times New Roman" w:cs="Times New Roman" w:hint="eastAsia"/>
        </w:rPr>
      </w:pPr>
      <w:r>
        <w:rPr>
          <w:b/>
          <w:bCs/>
          <w:spacing w:val="-1"/>
        </w:rPr>
        <w:t>P- Reviewer</w:t>
      </w:r>
      <w:r>
        <w:t>:</w:t>
      </w:r>
      <w:r>
        <w:rPr>
          <w:spacing w:val="-1"/>
        </w:rPr>
        <w:t xml:space="preserve"> Lutz P, Wu B    </w:t>
      </w:r>
      <w:r>
        <w:rPr>
          <w:b/>
          <w:bCs/>
        </w:rPr>
        <w:t>S- Editor</w:t>
      </w:r>
      <w:r>
        <w:t>:</w:t>
      </w:r>
      <w:r>
        <w:rPr>
          <w:b/>
          <w:bCs/>
        </w:rPr>
        <w:t xml:space="preserve"> </w:t>
      </w:r>
      <w:r>
        <w:rPr>
          <w:spacing w:val="-1"/>
        </w:rPr>
        <w:t xml:space="preserve">Wang </w:t>
      </w:r>
      <w:proofErr w:type="spellStart"/>
      <w:r>
        <w:rPr>
          <w:spacing w:val="-1"/>
        </w:rPr>
        <w:t>XJ</w:t>
      </w:r>
      <w:proofErr w:type="spellEnd"/>
      <w:r>
        <w:t xml:space="preserve">    </w:t>
      </w:r>
      <w:r>
        <w:rPr>
          <w:b/>
          <w:bCs/>
        </w:rPr>
        <w:t>L- Editor</w:t>
      </w:r>
      <w:r>
        <w:t xml:space="preserve">: A    </w:t>
      </w:r>
      <w:r>
        <w:rPr>
          <w:b/>
          <w:bCs/>
        </w:rPr>
        <w:t>E- Editor</w:t>
      </w:r>
      <w:r>
        <w:t>:</w:t>
      </w:r>
      <w:r>
        <w:rPr>
          <w:b/>
          <w:bCs/>
        </w:rPr>
        <w:t xml:space="preserve"> </w:t>
      </w:r>
      <w:r>
        <w:t>Huang Y</w:t>
      </w: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9525" t="9525" r="9525" b="952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FE1855" w:rsidRPr="000937AF" w:rsidRDefault="00FE1855" w:rsidP="00FE1855">
                            <w:pPr>
                              <w:rPr>
                                <w:b/>
                                <w:bCs/>
                                <w:vertAlign w:val="superscript"/>
                              </w:rPr>
                            </w:pPr>
                            <w:r w:rsidRPr="000937AF">
                              <w:rPr>
                                <w:b/>
                                <w:bCs/>
                              </w:rPr>
                              <w:t xml:space="preserve">Table </w:t>
                            </w:r>
                            <w:proofErr w:type="gramStart"/>
                            <w:r w:rsidRPr="000937AF">
                              <w:rPr>
                                <w:b/>
                                <w:bCs/>
                              </w:rPr>
                              <w:t>1  Portal</w:t>
                            </w:r>
                            <w:proofErr w:type="gramEnd"/>
                            <w:r w:rsidRPr="000937AF">
                              <w:rPr>
                                <w:b/>
                                <w:bCs/>
                              </w:rPr>
                              <w:t xml:space="preserve"> vein thrombosis - </w:t>
                            </w:r>
                            <w:proofErr w:type="spellStart"/>
                            <w:r w:rsidRPr="000937AF">
                              <w:rPr>
                                <w:b/>
                                <w:bCs/>
                              </w:rPr>
                              <w:t>Baveno</w:t>
                            </w:r>
                            <w:proofErr w:type="spellEnd"/>
                            <w:r w:rsidRPr="000937AF">
                              <w:rPr>
                                <w:b/>
                                <w:bCs/>
                              </w:rPr>
                              <w:t xml:space="preserve"> VI - classification</w:t>
                            </w:r>
                            <w:r w:rsidRPr="000937AF">
                              <w:rPr>
                                <w:b/>
                                <w:bCs/>
                                <w:vertAlign w:val="superscript"/>
                              </w:rPr>
                              <w:t>[8]</w:t>
                            </w:r>
                          </w:p>
                          <w:tbl>
                            <w:tblPr>
                              <w:tblW w:w="953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768"/>
                              <w:gridCol w:w="4769"/>
                            </w:tblGrid>
                            <w:tr w:rsidR="00FE1855" w:rsidRPr="000937AF">
                              <w:tblPrEx>
                                <w:tblCellMar>
                                  <w:top w:w="0" w:type="dxa"/>
                                  <w:left w:w="0" w:type="dxa"/>
                                  <w:bottom w:w="0" w:type="dxa"/>
                                  <w:right w:w="0" w:type="dxa"/>
                                </w:tblCellMar>
                              </w:tblPrEx>
                              <w:trPr>
                                <w:trHeight w:val="60"/>
                              </w:trPr>
                              <w:tc>
                                <w:tcPr>
                                  <w:tcW w:w="4768" w:type="dxa"/>
                                  <w:vMerge w:val="restart"/>
                                  <w:tcBorders>
                                    <w:top w:val="single" w:sz="6" w:space="0" w:color="000000"/>
                                    <w:bottom w:val="single" w:sz="6" w:space="0" w:color="000000"/>
                                  </w:tcBorders>
                                  <w:tcMar>
                                    <w:top w:w="28" w:type="dxa"/>
                                    <w:left w:w="28" w:type="dxa"/>
                                    <w:bottom w:w="28" w:type="dxa"/>
                                    <w:right w:w="28" w:type="dxa"/>
                                  </w:tcMar>
                                </w:tcPr>
                                <w:p w:rsidR="00FE1855" w:rsidRPr="000937AF" w:rsidRDefault="00FE1855">
                                  <w:pPr>
                                    <w:pStyle w:val="afb"/>
                                    <w:rPr>
                                      <w:lang w:val="en-US"/>
                                    </w:rPr>
                                  </w:pPr>
                                  <w:r w:rsidRPr="000937AF">
                                    <w:rPr>
                                      <w:lang w:val="en-US"/>
                                    </w:rPr>
                                    <w:t xml:space="preserve">Site of </w:t>
                                  </w:r>
                                  <w:proofErr w:type="spellStart"/>
                                  <w:r w:rsidRPr="000937AF">
                                    <w:rPr>
                                      <w:lang w:val="en-US"/>
                                    </w:rPr>
                                    <w:t>PVT</w:t>
                                  </w:r>
                                  <w:proofErr w:type="spellEnd"/>
                                  <w:r w:rsidRPr="000937AF">
                                    <w:rPr>
                                      <w:lang w:val="en-US"/>
                                    </w:rPr>
                                    <w:t xml:space="preserve"> </w:t>
                                  </w:r>
                                </w:p>
                                <w:p w:rsidR="00FE1855" w:rsidRPr="000937AF" w:rsidRDefault="00FE1855">
                                  <w:pPr>
                                    <w:pStyle w:val="afb"/>
                                  </w:pPr>
                                </w:p>
                              </w:tc>
                              <w:tc>
                                <w:tcPr>
                                  <w:tcW w:w="4769" w:type="dxa"/>
                                  <w:tcBorders>
                                    <w:top w:val="single" w:sz="6" w:space="0" w:color="000000"/>
                                    <w:bottom w:val="single" w:sz="6" w:space="0" w:color="000000"/>
                                  </w:tcBorders>
                                  <w:tcMar>
                                    <w:top w:w="28" w:type="dxa"/>
                                    <w:left w:w="28" w:type="dxa"/>
                                    <w:bottom w:w="28" w:type="dxa"/>
                                    <w:right w:w="28" w:type="dxa"/>
                                  </w:tcMar>
                                </w:tcPr>
                                <w:p w:rsidR="00FE1855" w:rsidRPr="000937AF" w:rsidRDefault="00FE1855">
                                  <w:pPr>
                                    <w:pStyle w:val="afb"/>
                                    <w:jc w:val="center"/>
                                    <w:rPr>
                                      <w:lang w:val="en-US"/>
                                    </w:rPr>
                                  </w:pPr>
                                  <w:r w:rsidRPr="000937AF">
                                    <w:rPr>
                                      <w:lang w:val="en-US"/>
                                    </w:rPr>
                                    <w:t>Type 1: Only trunk</w:t>
                                  </w:r>
                                </w:p>
                                <w:p w:rsidR="00FE1855" w:rsidRPr="000937AF" w:rsidRDefault="00FE1855">
                                  <w:pPr>
                                    <w:pStyle w:val="afb"/>
                                    <w:jc w:val="center"/>
                                  </w:pPr>
                                </w:p>
                              </w:tc>
                            </w:tr>
                            <w:tr w:rsidR="00FE1855" w:rsidRPr="000937AF">
                              <w:tblPrEx>
                                <w:tblCellMar>
                                  <w:top w:w="0" w:type="dxa"/>
                                  <w:left w:w="0" w:type="dxa"/>
                                  <w:bottom w:w="0" w:type="dxa"/>
                                  <w:right w:w="0" w:type="dxa"/>
                                </w:tblCellMar>
                              </w:tblPrEx>
                              <w:trPr>
                                <w:trHeight w:val="60"/>
                              </w:trPr>
                              <w:tc>
                                <w:tcPr>
                                  <w:tcW w:w="4768" w:type="dxa"/>
                                  <w:vMerge/>
                                  <w:tcBorders>
                                    <w:top w:val="single" w:sz="6" w:space="0" w:color="000000"/>
                                  </w:tcBorders>
                                </w:tcPr>
                                <w:p w:rsidR="00FE1855" w:rsidRPr="000937AF" w:rsidRDefault="00FE1855">
                                  <w:pPr>
                                    <w:pStyle w:val="Noparagraphstyle"/>
                                    <w:spacing w:line="240" w:lineRule="auto"/>
                                    <w:jc w:val="left"/>
                                    <w:textAlignment w:val="auto"/>
                                    <w:rPr>
                                      <w:color w:val="auto"/>
                                      <w:lang w:val="en-US"/>
                                    </w:rPr>
                                  </w:pPr>
                                </w:p>
                              </w:tc>
                              <w:tc>
                                <w:tcPr>
                                  <w:tcW w:w="4769" w:type="dxa"/>
                                  <w:tcBorders>
                                    <w:top w:val="single" w:sz="6" w:space="0" w:color="000000"/>
                                  </w:tcBorders>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Type 2: Only branch: 2a - one branch, 2b - both branches</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Type 3: Trunk and branches</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 xml:space="preserve">Presentation </w:t>
                                  </w:r>
                                </w:p>
                                <w:p w:rsidR="00FE1855" w:rsidRPr="000937AF" w:rsidRDefault="00FE1855">
                                  <w:pPr>
                                    <w:pStyle w:val="afb"/>
                                    <w:rPr>
                                      <w:b w:val="0"/>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R: Recent</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proofErr w:type="spellStart"/>
                                  <w:r w:rsidRPr="000937AF">
                                    <w:rPr>
                                      <w:b w:val="0"/>
                                      <w:lang w:val="en-US"/>
                                    </w:rPr>
                                    <w:t>Ch</w:t>
                                  </w:r>
                                  <w:proofErr w:type="spellEnd"/>
                                  <w:r w:rsidRPr="000937AF">
                                    <w:rPr>
                                      <w:b w:val="0"/>
                                      <w:lang w:val="en-US"/>
                                    </w:rPr>
                                    <w:t>: Chronic</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Type of underlying liver disease</w:t>
                                  </w:r>
                                </w:p>
                                <w:p w:rsidR="00FE1855" w:rsidRPr="000937AF" w:rsidRDefault="00FE1855">
                                  <w:pPr>
                                    <w:pStyle w:val="afb"/>
                                    <w:rPr>
                                      <w:b w:val="0"/>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C: Cirrhotic</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N: Non-cirrhotic liver disease</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 xml:space="preserve">H: </w:t>
                                  </w:r>
                                  <w:proofErr w:type="spellStart"/>
                                  <w:r w:rsidRPr="000937AF">
                                    <w:rPr>
                                      <w:b w:val="0"/>
                                      <w:lang w:val="en-US"/>
                                    </w:rPr>
                                    <w:t>HCC</w:t>
                                  </w:r>
                                  <w:proofErr w:type="spellEnd"/>
                                  <w:r w:rsidRPr="000937AF">
                                    <w:rPr>
                                      <w:b w:val="0"/>
                                      <w:lang w:val="en-US"/>
                                    </w:rPr>
                                    <w:t xml:space="preserve"> and other local malignancies</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L: Post-liver transplant</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A: Absence of underlying liver disease</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 xml:space="preserve">Degree of portal venous system occlusion </w:t>
                                  </w:r>
                                </w:p>
                                <w:p w:rsidR="00FE1855" w:rsidRPr="000937AF" w:rsidRDefault="00FE1855">
                                  <w:pPr>
                                    <w:pStyle w:val="afb"/>
                                    <w:rPr>
                                      <w:b w:val="0"/>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I: Incomplete: Flow visible in PV lumen through imaging</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T: Total: No flow visible in PV lumen on imaging</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 xml:space="preserve">Extent of PV system occlusion </w:t>
                                  </w:r>
                                </w:p>
                                <w:p w:rsidR="00FE1855" w:rsidRPr="000937AF" w:rsidRDefault="00FE1855">
                                  <w:pPr>
                                    <w:pStyle w:val="afb"/>
                                    <w:rPr>
                                      <w:b w:val="0"/>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Splenic vein (S)</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Mesenteric vein (M)</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Both (SM)</w:t>
                                  </w:r>
                                </w:p>
                                <w:p w:rsidR="00FE1855" w:rsidRPr="000937AF" w:rsidRDefault="00FE1855">
                                  <w:pPr>
                                    <w:pStyle w:val="afb"/>
                                    <w:jc w:val="center"/>
                                    <w:rPr>
                                      <w:b w:val="0"/>
                                    </w:rPr>
                                  </w:pPr>
                                </w:p>
                              </w:tc>
                            </w:tr>
                          </w:tbl>
                          <w:p w:rsidR="00FE1855" w:rsidRPr="0025426D" w:rsidRDefault="00FE1855" w:rsidP="00FE1855">
                            <w:pPr>
                              <w:pStyle w:val="afc"/>
                            </w:pPr>
                            <w:proofErr w:type="spellStart"/>
                            <w:r w:rsidRPr="000937AF">
                              <w:rPr>
                                <w:b w:val="0"/>
                              </w:rPr>
                              <w:t>PVT</w:t>
                            </w:r>
                            <w:proofErr w:type="spellEnd"/>
                            <w:r w:rsidRPr="000937AF">
                              <w:rPr>
                                <w:b w:val="0"/>
                              </w:rPr>
                              <w:t xml:space="preserve">: Portal vein thrombosis; </w:t>
                            </w:r>
                            <w:proofErr w:type="spellStart"/>
                            <w:r w:rsidRPr="000937AF">
                              <w:rPr>
                                <w:b w:val="0"/>
                              </w:rPr>
                              <w:t>HCC</w:t>
                            </w:r>
                            <w:proofErr w:type="spellEnd"/>
                            <w:r w:rsidRPr="000937AF">
                              <w:rPr>
                                <w:b w:val="0"/>
                              </w:rPr>
                              <w:t>: Hepatocellular carcinoma; PV: Portal vein.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">
                <v:textbox style="mso-fit-shape-to-text:t">
                  <w:txbxContent>
                    <w:p w:rsidR="00FE1855" w:rsidRPr="000937AF" w:rsidRDefault="00FE1855" w:rsidP="00FE1855">
                      <w:pPr>
                        <w:rPr>
                          <w:b/>
                          <w:bCs/>
                          <w:vertAlign w:val="superscript"/>
                        </w:rPr>
                      </w:pPr>
                      <w:r w:rsidRPr="000937AF">
                        <w:rPr>
                          <w:b/>
                          <w:bCs/>
                        </w:rPr>
                        <w:t xml:space="preserve">Table </w:t>
                      </w:r>
                      <w:proofErr w:type="gramStart"/>
                      <w:r w:rsidRPr="000937AF">
                        <w:rPr>
                          <w:b/>
                          <w:bCs/>
                        </w:rPr>
                        <w:t>1  Portal</w:t>
                      </w:r>
                      <w:proofErr w:type="gramEnd"/>
                      <w:r w:rsidRPr="000937AF">
                        <w:rPr>
                          <w:b/>
                          <w:bCs/>
                        </w:rPr>
                        <w:t xml:space="preserve"> vein thrombosis - </w:t>
                      </w:r>
                      <w:proofErr w:type="spellStart"/>
                      <w:r w:rsidRPr="000937AF">
                        <w:rPr>
                          <w:b/>
                          <w:bCs/>
                        </w:rPr>
                        <w:t>Baveno</w:t>
                      </w:r>
                      <w:proofErr w:type="spellEnd"/>
                      <w:r w:rsidRPr="000937AF">
                        <w:rPr>
                          <w:b/>
                          <w:bCs/>
                        </w:rPr>
                        <w:t xml:space="preserve"> VI - classification</w:t>
                      </w:r>
                      <w:r w:rsidRPr="000937AF">
                        <w:rPr>
                          <w:b/>
                          <w:bCs/>
                          <w:vertAlign w:val="superscript"/>
                        </w:rPr>
                        <w:t>[8]</w:t>
                      </w:r>
                    </w:p>
                    <w:tbl>
                      <w:tblPr>
                        <w:tblW w:w="953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768"/>
                        <w:gridCol w:w="4769"/>
                      </w:tblGrid>
                      <w:tr w:rsidR="00FE1855" w:rsidRPr="000937AF">
                        <w:tblPrEx>
                          <w:tblCellMar>
                            <w:top w:w="0" w:type="dxa"/>
                            <w:left w:w="0" w:type="dxa"/>
                            <w:bottom w:w="0" w:type="dxa"/>
                            <w:right w:w="0" w:type="dxa"/>
                          </w:tblCellMar>
                        </w:tblPrEx>
                        <w:trPr>
                          <w:trHeight w:val="60"/>
                        </w:trPr>
                        <w:tc>
                          <w:tcPr>
                            <w:tcW w:w="4768" w:type="dxa"/>
                            <w:vMerge w:val="restart"/>
                            <w:tcBorders>
                              <w:top w:val="single" w:sz="6" w:space="0" w:color="000000"/>
                              <w:bottom w:val="single" w:sz="6" w:space="0" w:color="000000"/>
                            </w:tcBorders>
                            <w:tcMar>
                              <w:top w:w="28" w:type="dxa"/>
                              <w:left w:w="28" w:type="dxa"/>
                              <w:bottom w:w="28" w:type="dxa"/>
                              <w:right w:w="28" w:type="dxa"/>
                            </w:tcMar>
                          </w:tcPr>
                          <w:p w:rsidR="00FE1855" w:rsidRPr="000937AF" w:rsidRDefault="00FE1855">
                            <w:pPr>
                              <w:pStyle w:val="afb"/>
                              <w:rPr>
                                <w:lang w:val="en-US"/>
                              </w:rPr>
                            </w:pPr>
                            <w:r w:rsidRPr="000937AF">
                              <w:rPr>
                                <w:lang w:val="en-US"/>
                              </w:rPr>
                              <w:t xml:space="preserve">Site of </w:t>
                            </w:r>
                            <w:proofErr w:type="spellStart"/>
                            <w:r w:rsidRPr="000937AF">
                              <w:rPr>
                                <w:lang w:val="en-US"/>
                              </w:rPr>
                              <w:t>PVT</w:t>
                            </w:r>
                            <w:proofErr w:type="spellEnd"/>
                            <w:r w:rsidRPr="000937AF">
                              <w:rPr>
                                <w:lang w:val="en-US"/>
                              </w:rPr>
                              <w:t xml:space="preserve"> </w:t>
                            </w:r>
                          </w:p>
                          <w:p w:rsidR="00FE1855" w:rsidRPr="000937AF" w:rsidRDefault="00FE1855">
                            <w:pPr>
                              <w:pStyle w:val="afb"/>
                            </w:pPr>
                          </w:p>
                        </w:tc>
                        <w:tc>
                          <w:tcPr>
                            <w:tcW w:w="4769" w:type="dxa"/>
                            <w:tcBorders>
                              <w:top w:val="single" w:sz="6" w:space="0" w:color="000000"/>
                              <w:bottom w:val="single" w:sz="6" w:space="0" w:color="000000"/>
                            </w:tcBorders>
                            <w:tcMar>
                              <w:top w:w="28" w:type="dxa"/>
                              <w:left w:w="28" w:type="dxa"/>
                              <w:bottom w:w="28" w:type="dxa"/>
                              <w:right w:w="28" w:type="dxa"/>
                            </w:tcMar>
                          </w:tcPr>
                          <w:p w:rsidR="00FE1855" w:rsidRPr="000937AF" w:rsidRDefault="00FE1855">
                            <w:pPr>
                              <w:pStyle w:val="afb"/>
                              <w:jc w:val="center"/>
                              <w:rPr>
                                <w:lang w:val="en-US"/>
                              </w:rPr>
                            </w:pPr>
                            <w:r w:rsidRPr="000937AF">
                              <w:rPr>
                                <w:lang w:val="en-US"/>
                              </w:rPr>
                              <w:t>Type 1: Only trunk</w:t>
                            </w:r>
                          </w:p>
                          <w:p w:rsidR="00FE1855" w:rsidRPr="000937AF" w:rsidRDefault="00FE1855">
                            <w:pPr>
                              <w:pStyle w:val="afb"/>
                              <w:jc w:val="center"/>
                            </w:pPr>
                          </w:p>
                        </w:tc>
                      </w:tr>
                      <w:tr w:rsidR="00FE1855" w:rsidRPr="000937AF">
                        <w:tblPrEx>
                          <w:tblCellMar>
                            <w:top w:w="0" w:type="dxa"/>
                            <w:left w:w="0" w:type="dxa"/>
                            <w:bottom w:w="0" w:type="dxa"/>
                            <w:right w:w="0" w:type="dxa"/>
                          </w:tblCellMar>
                        </w:tblPrEx>
                        <w:trPr>
                          <w:trHeight w:val="60"/>
                        </w:trPr>
                        <w:tc>
                          <w:tcPr>
                            <w:tcW w:w="4768" w:type="dxa"/>
                            <w:vMerge/>
                            <w:tcBorders>
                              <w:top w:val="single" w:sz="6" w:space="0" w:color="000000"/>
                            </w:tcBorders>
                          </w:tcPr>
                          <w:p w:rsidR="00FE1855" w:rsidRPr="000937AF" w:rsidRDefault="00FE1855">
                            <w:pPr>
                              <w:pStyle w:val="Noparagraphstyle"/>
                              <w:spacing w:line="240" w:lineRule="auto"/>
                              <w:jc w:val="left"/>
                              <w:textAlignment w:val="auto"/>
                              <w:rPr>
                                <w:color w:val="auto"/>
                                <w:lang w:val="en-US"/>
                              </w:rPr>
                            </w:pPr>
                          </w:p>
                        </w:tc>
                        <w:tc>
                          <w:tcPr>
                            <w:tcW w:w="4769" w:type="dxa"/>
                            <w:tcBorders>
                              <w:top w:val="single" w:sz="6" w:space="0" w:color="000000"/>
                            </w:tcBorders>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Type 2: Only branch: 2a - one branch, 2b - both branches</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Type 3: Trunk and branches</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 xml:space="preserve">Presentation </w:t>
                            </w:r>
                          </w:p>
                          <w:p w:rsidR="00FE1855" w:rsidRPr="000937AF" w:rsidRDefault="00FE1855">
                            <w:pPr>
                              <w:pStyle w:val="afb"/>
                              <w:rPr>
                                <w:b w:val="0"/>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R: Recent</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proofErr w:type="spellStart"/>
                            <w:r w:rsidRPr="000937AF">
                              <w:rPr>
                                <w:b w:val="0"/>
                                <w:lang w:val="en-US"/>
                              </w:rPr>
                              <w:t>Ch</w:t>
                            </w:r>
                            <w:proofErr w:type="spellEnd"/>
                            <w:r w:rsidRPr="000937AF">
                              <w:rPr>
                                <w:b w:val="0"/>
                                <w:lang w:val="en-US"/>
                              </w:rPr>
                              <w:t>: Chronic</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Type of underlying liver disease</w:t>
                            </w:r>
                          </w:p>
                          <w:p w:rsidR="00FE1855" w:rsidRPr="000937AF" w:rsidRDefault="00FE1855">
                            <w:pPr>
                              <w:pStyle w:val="afb"/>
                              <w:rPr>
                                <w:b w:val="0"/>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C: Cirrhotic</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N: Non-cirrhotic liver disease</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 xml:space="preserve">H: </w:t>
                            </w:r>
                            <w:proofErr w:type="spellStart"/>
                            <w:r w:rsidRPr="000937AF">
                              <w:rPr>
                                <w:b w:val="0"/>
                                <w:lang w:val="en-US"/>
                              </w:rPr>
                              <w:t>HCC</w:t>
                            </w:r>
                            <w:proofErr w:type="spellEnd"/>
                            <w:r w:rsidRPr="000937AF">
                              <w:rPr>
                                <w:b w:val="0"/>
                                <w:lang w:val="en-US"/>
                              </w:rPr>
                              <w:t xml:space="preserve"> and other local malignancies</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L: Post-liver transplant</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A: Absence of underlying liver disease</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 xml:space="preserve">Degree of portal venous system occlusion </w:t>
                            </w:r>
                          </w:p>
                          <w:p w:rsidR="00FE1855" w:rsidRPr="000937AF" w:rsidRDefault="00FE1855">
                            <w:pPr>
                              <w:pStyle w:val="afb"/>
                              <w:rPr>
                                <w:b w:val="0"/>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I: Incomplete: Flow visible in PV lumen through imaging</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T: Total: No flow visible in PV lumen on imaging</w:t>
                            </w:r>
                          </w:p>
                          <w:p w:rsidR="00FE1855" w:rsidRPr="000937AF" w:rsidRDefault="00FE1855">
                            <w:pPr>
                              <w:pStyle w:val="afb"/>
                              <w:jc w:val="center"/>
                              <w:rPr>
                                <w:b w:val="0"/>
                                <w:lang w:val="en-US"/>
                              </w:rPr>
                            </w:pPr>
                          </w:p>
                        </w:tc>
                      </w:tr>
                      <w:tr w:rsidR="00FE1855" w:rsidRPr="000937AF">
                        <w:tblPrEx>
                          <w:tblCellMar>
                            <w:top w:w="0" w:type="dxa"/>
                            <w:left w:w="0" w:type="dxa"/>
                            <w:bottom w:w="0" w:type="dxa"/>
                            <w:right w:w="0" w:type="dxa"/>
                          </w:tblCellMar>
                        </w:tblPrEx>
                        <w:trPr>
                          <w:trHeight w:val="60"/>
                        </w:trPr>
                        <w:tc>
                          <w:tcPr>
                            <w:tcW w:w="4768" w:type="dxa"/>
                            <w:vMerge w:val="restart"/>
                            <w:tcMar>
                              <w:top w:w="28" w:type="dxa"/>
                              <w:left w:w="28" w:type="dxa"/>
                              <w:bottom w:w="28" w:type="dxa"/>
                              <w:right w:w="28" w:type="dxa"/>
                            </w:tcMar>
                          </w:tcPr>
                          <w:p w:rsidR="00FE1855" w:rsidRPr="000937AF" w:rsidRDefault="00FE1855">
                            <w:pPr>
                              <w:pStyle w:val="afb"/>
                              <w:rPr>
                                <w:b w:val="0"/>
                                <w:lang w:val="en-US"/>
                              </w:rPr>
                            </w:pPr>
                            <w:r w:rsidRPr="000937AF">
                              <w:rPr>
                                <w:b w:val="0"/>
                                <w:lang w:val="en-US"/>
                              </w:rPr>
                              <w:t xml:space="preserve">Extent of PV system occlusion </w:t>
                            </w:r>
                          </w:p>
                          <w:p w:rsidR="00FE1855" w:rsidRPr="000937AF" w:rsidRDefault="00FE1855">
                            <w:pPr>
                              <w:pStyle w:val="afb"/>
                              <w:rPr>
                                <w:b w:val="0"/>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Splenic vein (S)</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Mesenteric vein (M)</w:t>
                            </w:r>
                          </w:p>
                          <w:p w:rsidR="00FE1855" w:rsidRPr="000937AF" w:rsidRDefault="00FE1855">
                            <w:pPr>
                              <w:pStyle w:val="afb"/>
                              <w:jc w:val="center"/>
                              <w:rPr>
                                <w:b w:val="0"/>
                              </w:rPr>
                            </w:pPr>
                          </w:p>
                        </w:tc>
                      </w:tr>
                      <w:tr w:rsidR="00FE1855" w:rsidRPr="000937AF">
                        <w:tblPrEx>
                          <w:tblCellMar>
                            <w:top w:w="0" w:type="dxa"/>
                            <w:left w:w="0" w:type="dxa"/>
                            <w:bottom w:w="0" w:type="dxa"/>
                            <w:right w:w="0" w:type="dxa"/>
                          </w:tblCellMar>
                        </w:tblPrEx>
                        <w:trPr>
                          <w:trHeight w:val="60"/>
                        </w:trPr>
                        <w:tc>
                          <w:tcPr>
                            <w:tcW w:w="4768" w:type="dxa"/>
                            <w:vMerge/>
                          </w:tcPr>
                          <w:p w:rsidR="00FE1855" w:rsidRPr="000937AF" w:rsidRDefault="00FE1855">
                            <w:pPr>
                              <w:pStyle w:val="Noparagraphstyle"/>
                              <w:spacing w:line="240" w:lineRule="auto"/>
                              <w:jc w:val="left"/>
                              <w:textAlignment w:val="auto"/>
                              <w:rPr>
                                <w:color w:val="auto"/>
                                <w:lang w:val="en-US"/>
                              </w:rPr>
                            </w:pPr>
                          </w:p>
                        </w:tc>
                        <w:tc>
                          <w:tcPr>
                            <w:tcW w:w="4769" w:type="dxa"/>
                            <w:tcMar>
                              <w:top w:w="28" w:type="dxa"/>
                              <w:left w:w="28" w:type="dxa"/>
                              <w:bottom w:w="28" w:type="dxa"/>
                              <w:right w:w="28" w:type="dxa"/>
                            </w:tcMar>
                          </w:tcPr>
                          <w:p w:rsidR="00FE1855" w:rsidRPr="000937AF" w:rsidRDefault="00FE1855">
                            <w:pPr>
                              <w:pStyle w:val="afb"/>
                              <w:jc w:val="center"/>
                              <w:rPr>
                                <w:b w:val="0"/>
                                <w:lang w:val="en-US"/>
                              </w:rPr>
                            </w:pPr>
                            <w:r w:rsidRPr="000937AF">
                              <w:rPr>
                                <w:b w:val="0"/>
                                <w:lang w:val="en-US"/>
                              </w:rPr>
                              <w:t>Both (SM)</w:t>
                            </w:r>
                          </w:p>
                          <w:p w:rsidR="00FE1855" w:rsidRPr="000937AF" w:rsidRDefault="00FE1855">
                            <w:pPr>
                              <w:pStyle w:val="afb"/>
                              <w:jc w:val="center"/>
                              <w:rPr>
                                <w:b w:val="0"/>
                              </w:rPr>
                            </w:pPr>
                          </w:p>
                        </w:tc>
                      </w:tr>
                    </w:tbl>
                    <w:p w:rsidR="00FE1855" w:rsidRPr="0025426D" w:rsidRDefault="00FE1855" w:rsidP="00FE1855">
                      <w:pPr>
                        <w:pStyle w:val="afc"/>
                      </w:pPr>
                      <w:proofErr w:type="spellStart"/>
                      <w:r w:rsidRPr="000937AF">
                        <w:rPr>
                          <w:b w:val="0"/>
                        </w:rPr>
                        <w:t>PVT</w:t>
                      </w:r>
                      <w:proofErr w:type="spellEnd"/>
                      <w:r w:rsidRPr="000937AF">
                        <w:rPr>
                          <w:b w:val="0"/>
                        </w:rPr>
                        <w:t xml:space="preserve">: Portal vein thrombosis; </w:t>
                      </w:r>
                      <w:proofErr w:type="spellStart"/>
                      <w:r w:rsidRPr="000937AF">
                        <w:rPr>
                          <w:b w:val="0"/>
                        </w:rPr>
                        <w:t>HCC</w:t>
                      </w:r>
                      <w:proofErr w:type="spellEnd"/>
                      <w:r w:rsidRPr="000937AF">
                        <w:rPr>
                          <w:b w:val="0"/>
                        </w:rPr>
                        <w:t>: Hepatocellular carcinoma; PV: Portal vein.</w:t>
                      </w:r>
                    </w:p>
                  </w:txbxContent>
                </v:textbox>
                <w10:wrap type="square"/>
              </v:shape>
            </w:pict>
          </mc:Fallback>
        </mc:AlternateContent>
      </w: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Default="00FE1855" w:rsidP="00FE1855">
      <w:pPr>
        <w:rPr>
          <w:rFonts w:hint="eastAsia"/>
        </w:rPr>
      </w:pPr>
    </w:p>
    <w:p w:rsidR="00FE1855" w:rsidRPr="000937AF" w:rsidRDefault="00FE1855" w:rsidP="00FE1855">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9525" t="9525" r="9525" b="952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FE1855" w:rsidRPr="000937AF" w:rsidRDefault="00FE1855" w:rsidP="00FE1855">
                            <w:pPr>
                              <w:rPr>
                                <w:b/>
                                <w:bCs/>
                                <w:vertAlign w:val="superscript"/>
                              </w:rPr>
                            </w:pPr>
                            <w:r w:rsidRPr="000937AF">
                              <w:rPr>
                                <w:b/>
                                <w:bCs/>
                              </w:rPr>
                              <w:t xml:space="preserve">Table </w:t>
                            </w:r>
                            <w:proofErr w:type="gramStart"/>
                            <w:r w:rsidRPr="000937AF">
                              <w:rPr>
                                <w:b/>
                                <w:bCs/>
                              </w:rPr>
                              <w:t xml:space="preserve">2  </w:t>
                            </w:r>
                            <w:proofErr w:type="spellStart"/>
                            <w:r w:rsidRPr="000937AF">
                              <w:rPr>
                                <w:b/>
                                <w:bCs/>
                              </w:rPr>
                              <w:t>Anatomico</w:t>
                            </w:r>
                            <w:proofErr w:type="spellEnd"/>
                            <w:proofErr w:type="gramEnd"/>
                            <w:r w:rsidRPr="000937AF">
                              <w:rPr>
                                <w:b/>
                                <w:bCs/>
                              </w:rPr>
                              <w:t>-functional classification of portal vein thrombosis in cirrhosis</w:t>
                            </w:r>
                            <w:r w:rsidRPr="000937AF">
                              <w:rPr>
                                <w:b/>
                                <w:bCs/>
                                <w:vertAlign w:val="superscript"/>
                              </w:rPr>
                              <w:t>[9]</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33"/>
                              <w:gridCol w:w="6691"/>
                            </w:tblGrid>
                            <w:tr w:rsidR="00FE1855" w:rsidRPr="000937AF">
                              <w:tblPrEx>
                                <w:tblCellMar>
                                  <w:top w:w="0" w:type="dxa"/>
                                  <w:left w:w="0" w:type="dxa"/>
                                  <w:bottom w:w="0" w:type="dxa"/>
                                  <w:right w:w="0" w:type="dxa"/>
                                </w:tblCellMar>
                              </w:tblPrEx>
                              <w:trPr>
                                <w:trHeight w:val="60"/>
                              </w:trPr>
                              <w:tc>
                                <w:tcPr>
                                  <w:tcW w:w="2833" w:type="dxa"/>
                                  <w:vMerge w:val="restart"/>
                                  <w:tcBorders>
                                    <w:top w:val="single" w:sz="6" w:space="0" w:color="000000"/>
                                    <w:bottom w:val="single" w:sz="6" w:space="0" w:color="000000"/>
                                  </w:tcBorders>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
                                      <w:bCs/>
                                      <w:color w:val="000000"/>
                                      <w:kern w:val="0"/>
                                      <w:sz w:val="14"/>
                                      <w:szCs w:val="14"/>
                                    </w:rPr>
                                  </w:pPr>
                                  <w:r w:rsidRPr="000937AF">
                                    <w:rPr>
                                      <w:rFonts w:ascii="Book Antiqua" w:hAnsi="Book Antiqua" w:cs="Book Antiqua"/>
                                      <w:b/>
                                      <w:bCs/>
                                      <w:color w:val="000000"/>
                                      <w:kern w:val="0"/>
                                      <w:sz w:val="14"/>
                                      <w:szCs w:val="14"/>
                                    </w:rPr>
                                    <w:t xml:space="preserve">Site of </w:t>
                                  </w:r>
                                  <w:proofErr w:type="spellStart"/>
                                  <w:r w:rsidRPr="000937AF">
                                    <w:rPr>
                                      <w:rFonts w:ascii="Book Antiqua" w:hAnsi="Book Antiqua" w:cs="Book Antiqua"/>
                                      <w:b/>
                                      <w:bCs/>
                                      <w:color w:val="000000"/>
                                      <w:kern w:val="0"/>
                                      <w:sz w:val="14"/>
                                      <w:szCs w:val="14"/>
                                    </w:rPr>
                                    <w:t>PVT</w:t>
                                  </w:r>
                                  <w:proofErr w:type="spellEnd"/>
                                  <w:r w:rsidRPr="000937AF">
                                    <w:rPr>
                                      <w:rFonts w:ascii="Book Antiqua" w:hAnsi="Book Antiqua" w:cs="Book Antiqua"/>
                                      <w:b/>
                                      <w:bCs/>
                                      <w:color w:val="000000"/>
                                      <w:kern w:val="0"/>
                                      <w:sz w:val="14"/>
                                      <w:szCs w:val="14"/>
                                    </w:rPr>
                                    <w:t xml:space="preserve"> </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
                                      <w:bCs/>
                                      <w:color w:val="000000"/>
                                      <w:kern w:val="0"/>
                                      <w:sz w:val="14"/>
                                      <w:szCs w:val="14"/>
                                      <w:lang w:val="zh-CN"/>
                                    </w:rPr>
                                  </w:pPr>
                                </w:p>
                              </w:tc>
                              <w:tc>
                                <w:tcPr>
                                  <w:tcW w:w="6691" w:type="dxa"/>
                                  <w:tcBorders>
                                    <w:top w:val="single" w:sz="6" w:space="0" w:color="000000"/>
                                    <w:bottom w:val="single" w:sz="6" w:space="0" w:color="000000"/>
                                  </w:tcBorders>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
                                      <w:bCs/>
                                      <w:color w:val="000000"/>
                                      <w:kern w:val="0"/>
                                      <w:sz w:val="14"/>
                                      <w:szCs w:val="14"/>
                                    </w:rPr>
                                  </w:pPr>
                                  <w:r w:rsidRPr="000937AF">
                                    <w:rPr>
                                      <w:rFonts w:ascii="Book Antiqua" w:hAnsi="Book Antiqua" w:cs="Book Antiqua"/>
                                      <w:b/>
                                      <w:bCs/>
                                      <w:color w:val="000000"/>
                                      <w:kern w:val="0"/>
                                      <w:sz w:val="14"/>
                                      <w:szCs w:val="14"/>
                                    </w:rPr>
                                    <w:t>Type 1: Only trunk</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Borders>
                                    <w:top w:val="single" w:sz="6" w:space="0" w:color="000000"/>
                                  </w:tcBorders>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Borders>
                                    <w:top w:val="single" w:sz="6" w:space="0" w:color="000000"/>
                                  </w:tcBorders>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Type 2: Only branch: 2a - one branch, 2b - both branches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Type 3: Trunk and branches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Duration and presentation</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R: Recent (first time detected in previously patent PV)</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Asymptomatic: (As)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 xml:space="preserve">Symptomatic: (S)- acute </w:t>
                                  </w:r>
                                  <w:proofErr w:type="spellStart"/>
                                  <w:r w:rsidRPr="000937AF">
                                    <w:rPr>
                                      <w:rFonts w:ascii="Book Antiqua" w:hAnsi="Book Antiqua" w:cs="Book Antiqua"/>
                                      <w:bCs/>
                                      <w:color w:val="000000"/>
                                      <w:kern w:val="0"/>
                                      <w:sz w:val="14"/>
                                      <w:szCs w:val="14"/>
                                    </w:rPr>
                                    <w:t>PVT</w:t>
                                  </w:r>
                                  <w:proofErr w:type="spellEnd"/>
                                  <w:r w:rsidRPr="000937AF">
                                    <w:rPr>
                                      <w:rFonts w:ascii="Book Antiqua" w:hAnsi="Book Antiqua" w:cs="Book Antiqua"/>
                                      <w:bCs/>
                                      <w:color w:val="000000"/>
                                      <w:kern w:val="0"/>
                                      <w:sz w:val="14"/>
                                      <w:szCs w:val="14"/>
                                    </w:rPr>
                                    <w:t xml:space="preserve"> features (with or without </w:t>
                                  </w:r>
                                  <w:proofErr w:type="spellStart"/>
                                  <w:r w:rsidRPr="000937AF">
                                    <w:rPr>
                                      <w:rFonts w:ascii="Book Antiqua" w:hAnsi="Book Antiqua" w:cs="Book Antiqua"/>
                                      <w:bCs/>
                                      <w:color w:val="000000"/>
                                      <w:kern w:val="0"/>
                                      <w:sz w:val="14"/>
                                      <w:szCs w:val="14"/>
                                    </w:rPr>
                                    <w:t>ABI</w:t>
                                  </w:r>
                                  <w:proofErr w:type="spellEnd"/>
                                  <w:r w:rsidRPr="000937AF">
                                    <w:rPr>
                                      <w:rFonts w:ascii="Book Antiqua" w:hAnsi="Book Antiqua" w:cs="Book Antiqua"/>
                                      <w:bCs/>
                                      <w:color w:val="000000"/>
                                      <w:kern w:val="0"/>
                                      <w:sz w:val="14"/>
                                      <w:szCs w:val="14"/>
                                    </w:rPr>
                                    <w:t>)</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roofErr w:type="spellStart"/>
                                  <w:r w:rsidRPr="000937AF">
                                    <w:rPr>
                                      <w:rFonts w:ascii="Book Antiqua" w:hAnsi="Book Antiqua" w:cs="Book Antiqua"/>
                                      <w:bCs/>
                                      <w:color w:val="000000"/>
                                      <w:kern w:val="0"/>
                                      <w:sz w:val="14"/>
                                      <w:szCs w:val="14"/>
                                    </w:rPr>
                                    <w:t>Ch</w:t>
                                  </w:r>
                                  <w:proofErr w:type="spellEnd"/>
                                  <w:r w:rsidRPr="000937AF">
                                    <w:rPr>
                                      <w:rFonts w:ascii="Book Antiqua" w:hAnsi="Book Antiqua" w:cs="Book Antiqua"/>
                                      <w:bCs/>
                                      <w:color w:val="000000"/>
                                      <w:kern w:val="0"/>
                                      <w:sz w:val="14"/>
                                      <w:szCs w:val="14"/>
                                    </w:rPr>
                                    <w:t xml:space="preserve">: Chronic (previously diagnosed </w:t>
                                  </w:r>
                                  <w:proofErr w:type="spellStart"/>
                                  <w:r w:rsidRPr="000937AF">
                                    <w:rPr>
                                      <w:rFonts w:ascii="Book Antiqua" w:hAnsi="Book Antiqua" w:cs="Book Antiqua"/>
                                      <w:bCs/>
                                      <w:color w:val="000000"/>
                                      <w:kern w:val="0"/>
                                      <w:sz w:val="14"/>
                                      <w:szCs w:val="14"/>
                                    </w:rPr>
                                    <w:t>PVT</w:t>
                                  </w:r>
                                  <w:proofErr w:type="spellEnd"/>
                                  <w:r w:rsidRPr="000937AF">
                                    <w:rPr>
                                      <w:rFonts w:ascii="Book Antiqua" w:hAnsi="Book Antiqua" w:cs="Book Antiqua"/>
                                      <w:bCs/>
                                      <w:color w:val="000000"/>
                                      <w:kern w:val="0"/>
                                      <w:sz w:val="14"/>
                                      <w:szCs w:val="14"/>
                                    </w:rPr>
                                    <w:t xml:space="preserve"> on follow-up, portal </w:t>
                                  </w:r>
                                  <w:proofErr w:type="spellStart"/>
                                  <w:r w:rsidRPr="000937AF">
                                    <w:rPr>
                                      <w:rFonts w:ascii="Book Antiqua" w:hAnsi="Book Antiqua" w:cs="Book Antiqua"/>
                                      <w:bCs/>
                                      <w:color w:val="000000"/>
                                      <w:kern w:val="0"/>
                                      <w:sz w:val="14"/>
                                      <w:szCs w:val="14"/>
                                    </w:rPr>
                                    <w:t>cavernoma</w:t>
                                  </w:r>
                                  <w:proofErr w:type="spellEnd"/>
                                  <w:r w:rsidRPr="000937AF">
                                    <w:rPr>
                                      <w:rFonts w:ascii="Book Antiqua" w:hAnsi="Book Antiqua" w:cs="Book Antiqua"/>
                                      <w:bCs/>
                                      <w:color w:val="000000"/>
                                      <w:kern w:val="0"/>
                                      <w:sz w:val="14"/>
                                      <w:szCs w:val="14"/>
                                    </w:rPr>
                                    <w:t xml:space="preserve"> and clinical features of </w:t>
                                  </w:r>
                                  <w:proofErr w:type="spellStart"/>
                                  <w:r w:rsidRPr="000937AF">
                                    <w:rPr>
                                      <w:rFonts w:ascii="Book Antiqua" w:hAnsi="Book Antiqua" w:cs="Book Antiqua"/>
                                      <w:bCs/>
                                      <w:color w:val="000000"/>
                                      <w:kern w:val="0"/>
                                      <w:sz w:val="14"/>
                                      <w:szCs w:val="14"/>
                                    </w:rPr>
                                    <w:t>PHT</w:t>
                                  </w:r>
                                  <w:proofErr w:type="spellEnd"/>
                                  <w:r w:rsidRPr="000937AF">
                                    <w:rPr>
                                      <w:rFonts w:ascii="Book Antiqua" w:hAnsi="Book Antiqua" w:cs="Book Antiqua"/>
                                      <w:bCs/>
                                      <w:color w:val="000000"/>
                                      <w:kern w:val="0"/>
                                      <w:sz w:val="14"/>
                                      <w:szCs w:val="14"/>
                                    </w:rPr>
                                    <w:t>)</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Asymptomatic</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Symptomatic: Features of portal hypertension</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Type of underlying liver disease</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Cirrhotic</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Non-cirrhotic liver disease</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roofErr w:type="spellStart"/>
                                  <w:r w:rsidRPr="000937AF">
                                    <w:rPr>
                                      <w:rFonts w:ascii="Book Antiqua" w:hAnsi="Book Antiqua" w:cs="Book Antiqua"/>
                                      <w:bCs/>
                                      <w:color w:val="000000"/>
                                      <w:kern w:val="0"/>
                                      <w:sz w:val="14"/>
                                      <w:szCs w:val="14"/>
                                    </w:rPr>
                                    <w:t>HCC</w:t>
                                  </w:r>
                                  <w:proofErr w:type="spellEnd"/>
                                  <w:r w:rsidRPr="000937AF">
                                    <w:rPr>
                                      <w:rFonts w:ascii="Book Antiqua" w:hAnsi="Book Antiqua" w:cs="Book Antiqua"/>
                                      <w:bCs/>
                                      <w:color w:val="000000"/>
                                      <w:kern w:val="0"/>
                                      <w:sz w:val="14"/>
                                      <w:szCs w:val="14"/>
                                    </w:rPr>
                                    <w:t xml:space="preserve"> and other local malignancies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Post-liver transplant</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Local malignancies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Associated conditions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Degree of portal venous system occlusion</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O: Occlusive: No flow visible in PV lumen on imaging/Doppler study</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 xml:space="preserve">NO: </w:t>
                                  </w:r>
                                  <w:proofErr w:type="spellStart"/>
                                  <w:r w:rsidRPr="000937AF">
                                    <w:rPr>
                                      <w:rFonts w:ascii="Book Antiqua" w:hAnsi="Book Antiqua" w:cs="Book Antiqua"/>
                                      <w:bCs/>
                                      <w:color w:val="000000"/>
                                      <w:kern w:val="0"/>
                                      <w:sz w:val="14"/>
                                      <w:szCs w:val="14"/>
                                    </w:rPr>
                                    <w:t>Nonocclusive</w:t>
                                  </w:r>
                                  <w:proofErr w:type="spellEnd"/>
                                  <w:r w:rsidRPr="000937AF">
                                    <w:rPr>
                                      <w:rFonts w:ascii="Book Antiqua" w:hAnsi="Book Antiqua" w:cs="Book Antiqua"/>
                                      <w:bCs/>
                                      <w:color w:val="000000"/>
                                      <w:kern w:val="0"/>
                                      <w:sz w:val="14"/>
                                      <w:szCs w:val="14"/>
                                    </w:rPr>
                                    <w:t>: Flow visible in PV lumen through imaging/Doppler study</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 xml:space="preserve">Extent of PV system occlusion </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Splenic vein (S)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Mesenteric vein (M)</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Both (SM)</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FE1855" w:rsidRPr="002A37A4" w:rsidRDefault="00FE1855" w:rsidP="00FE185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0937AF">
                              <w:rPr>
                                <w:rFonts w:ascii="Book Antiqua" w:hAnsi="Book Antiqua" w:cs="Book Antiqua"/>
                                <w:bCs/>
                                <w:color w:val="000000"/>
                                <w:kern w:val="0"/>
                                <w:sz w:val="14"/>
                                <w:szCs w:val="14"/>
                              </w:rPr>
                              <w:t>PVT</w:t>
                            </w:r>
                            <w:proofErr w:type="spellEnd"/>
                            <w:r w:rsidRPr="000937AF">
                              <w:rPr>
                                <w:rFonts w:ascii="Book Antiqua" w:hAnsi="Book Antiqua" w:cs="Book Antiqua"/>
                                <w:bCs/>
                                <w:color w:val="000000"/>
                                <w:kern w:val="0"/>
                                <w:sz w:val="14"/>
                                <w:szCs w:val="14"/>
                              </w:rPr>
                              <w:t xml:space="preserve">: Portal vein thrombosis; </w:t>
                            </w:r>
                            <w:proofErr w:type="spellStart"/>
                            <w:r w:rsidRPr="000937AF">
                              <w:rPr>
                                <w:rFonts w:ascii="Book Antiqua" w:hAnsi="Book Antiqua" w:cs="Book Antiqua"/>
                                <w:bCs/>
                                <w:color w:val="000000"/>
                                <w:kern w:val="0"/>
                                <w:sz w:val="14"/>
                                <w:szCs w:val="14"/>
                              </w:rPr>
                              <w:t>ABI</w:t>
                            </w:r>
                            <w:proofErr w:type="spellEnd"/>
                            <w:r w:rsidRPr="000937AF">
                              <w:rPr>
                                <w:rFonts w:ascii="Book Antiqua" w:hAnsi="Book Antiqua" w:cs="Book Antiqua"/>
                                <w:bCs/>
                                <w:color w:val="000000"/>
                                <w:kern w:val="0"/>
                                <w:sz w:val="14"/>
                                <w:szCs w:val="14"/>
                              </w:rPr>
                              <w:t xml:space="preserve">: Acute bowel infarction; </w:t>
                            </w:r>
                            <w:proofErr w:type="spellStart"/>
                            <w:r w:rsidRPr="000937AF">
                              <w:rPr>
                                <w:rFonts w:ascii="Book Antiqua" w:hAnsi="Book Antiqua" w:cs="Book Antiqua"/>
                                <w:bCs/>
                                <w:color w:val="000000"/>
                                <w:kern w:val="0"/>
                                <w:sz w:val="14"/>
                                <w:szCs w:val="14"/>
                              </w:rPr>
                              <w:t>PHT</w:t>
                            </w:r>
                            <w:proofErr w:type="spellEnd"/>
                            <w:r w:rsidRPr="000937AF">
                              <w:rPr>
                                <w:rFonts w:ascii="Book Antiqua" w:hAnsi="Book Antiqua" w:cs="Book Antiqua"/>
                                <w:bCs/>
                                <w:color w:val="000000"/>
                                <w:kern w:val="0"/>
                                <w:sz w:val="14"/>
                                <w:szCs w:val="14"/>
                              </w:rPr>
                              <w:t xml:space="preserve">: Portal hypertension; </w:t>
                            </w:r>
                            <w:proofErr w:type="spellStart"/>
                            <w:r w:rsidRPr="000937AF">
                              <w:rPr>
                                <w:rFonts w:ascii="Book Antiqua" w:hAnsi="Book Antiqua" w:cs="Book Antiqua"/>
                                <w:bCs/>
                                <w:color w:val="000000"/>
                                <w:kern w:val="0"/>
                                <w:sz w:val="14"/>
                                <w:szCs w:val="14"/>
                              </w:rPr>
                              <w:t>HCC</w:t>
                            </w:r>
                            <w:proofErr w:type="spellEnd"/>
                            <w:r w:rsidRPr="000937AF">
                              <w:rPr>
                                <w:rFonts w:ascii="Book Antiqua" w:hAnsi="Book Antiqua" w:cs="Book Antiqua"/>
                                <w:bCs/>
                                <w:color w:val="000000"/>
                                <w:kern w:val="0"/>
                                <w:sz w:val="14"/>
                                <w:szCs w:val="14"/>
                              </w:rPr>
                              <w:t>: Hepatocellular carcinoma; PV: Portal vein.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">
                <v:textbox style="mso-fit-shape-to-text:t">
                  <w:txbxContent>
                    <w:p w:rsidR="00FE1855" w:rsidRPr="000937AF" w:rsidRDefault="00FE1855" w:rsidP="00FE1855">
                      <w:pPr>
                        <w:rPr>
                          <w:b/>
                          <w:bCs/>
                          <w:vertAlign w:val="superscript"/>
                        </w:rPr>
                      </w:pPr>
                      <w:r w:rsidRPr="000937AF">
                        <w:rPr>
                          <w:b/>
                          <w:bCs/>
                        </w:rPr>
                        <w:t xml:space="preserve">Table </w:t>
                      </w:r>
                      <w:proofErr w:type="gramStart"/>
                      <w:r w:rsidRPr="000937AF">
                        <w:rPr>
                          <w:b/>
                          <w:bCs/>
                        </w:rPr>
                        <w:t xml:space="preserve">2  </w:t>
                      </w:r>
                      <w:proofErr w:type="spellStart"/>
                      <w:r w:rsidRPr="000937AF">
                        <w:rPr>
                          <w:b/>
                          <w:bCs/>
                        </w:rPr>
                        <w:t>Anatomico</w:t>
                      </w:r>
                      <w:proofErr w:type="spellEnd"/>
                      <w:proofErr w:type="gramEnd"/>
                      <w:r w:rsidRPr="000937AF">
                        <w:rPr>
                          <w:b/>
                          <w:bCs/>
                        </w:rPr>
                        <w:t>-functional classification of portal vein thrombosis in cirrhosis</w:t>
                      </w:r>
                      <w:r w:rsidRPr="000937AF">
                        <w:rPr>
                          <w:b/>
                          <w:bCs/>
                          <w:vertAlign w:val="superscript"/>
                        </w:rPr>
                        <w:t>[9]</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33"/>
                        <w:gridCol w:w="6691"/>
                      </w:tblGrid>
                      <w:tr w:rsidR="00FE1855" w:rsidRPr="000937AF">
                        <w:tblPrEx>
                          <w:tblCellMar>
                            <w:top w:w="0" w:type="dxa"/>
                            <w:left w:w="0" w:type="dxa"/>
                            <w:bottom w:w="0" w:type="dxa"/>
                            <w:right w:w="0" w:type="dxa"/>
                          </w:tblCellMar>
                        </w:tblPrEx>
                        <w:trPr>
                          <w:trHeight w:val="60"/>
                        </w:trPr>
                        <w:tc>
                          <w:tcPr>
                            <w:tcW w:w="2833" w:type="dxa"/>
                            <w:vMerge w:val="restart"/>
                            <w:tcBorders>
                              <w:top w:val="single" w:sz="6" w:space="0" w:color="000000"/>
                              <w:bottom w:val="single" w:sz="6" w:space="0" w:color="000000"/>
                            </w:tcBorders>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
                                <w:bCs/>
                                <w:color w:val="000000"/>
                                <w:kern w:val="0"/>
                                <w:sz w:val="14"/>
                                <w:szCs w:val="14"/>
                              </w:rPr>
                            </w:pPr>
                            <w:r w:rsidRPr="000937AF">
                              <w:rPr>
                                <w:rFonts w:ascii="Book Antiqua" w:hAnsi="Book Antiqua" w:cs="Book Antiqua"/>
                                <w:b/>
                                <w:bCs/>
                                <w:color w:val="000000"/>
                                <w:kern w:val="0"/>
                                <w:sz w:val="14"/>
                                <w:szCs w:val="14"/>
                              </w:rPr>
                              <w:t xml:space="preserve">Site of </w:t>
                            </w:r>
                            <w:proofErr w:type="spellStart"/>
                            <w:r w:rsidRPr="000937AF">
                              <w:rPr>
                                <w:rFonts w:ascii="Book Antiqua" w:hAnsi="Book Antiqua" w:cs="Book Antiqua"/>
                                <w:b/>
                                <w:bCs/>
                                <w:color w:val="000000"/>
                                <w:kern w:val="0"/>
                                <w:sz w:val="14"/>
                                <w:szCs w:val="14"/>
                              </w:rPr>
                              <w:t>PVT</w:t>
                            </w:r>
                            <w:proofErr w:type="spellEnd"/>
                            <w:r w:rsidRPr="000937AF">
                              <w:rPr>
                                <w:rFonts w:ascii="Book Antiqua" w:hAnsi="Book Antiqua" w:cs="Book Antiqua"/>
                                <w:b/>
                                <w:bCs/>
                                <w:color w:val="000000"/>
                                <w:kern w:val="0"/>
                                <w:sz w:val="14"/>
                                <w:szCs w:val="14"/>
                              </w:rPr>
                              <w:t xml:space="preserve"> </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
                                <w:bCs/>
                                <w:color w:val="000000"/>
                                <w:kern w:val="0"/>
                                <w:sz w:val="14"/>
                                <w:szCs w:val="14"/>
                                <w:lang w:val="zh-CN"/>
                              </w:rPr>
                            </w:pPr>
                          </w:p>
                        </w:tc>
                        <w:tc>
                          <w:tcPr>
                            <w:tcW w:w="6691" w:type="dxa"/>
                            <w:tcBorders>
                              <w:top w:val="single" w:sz="6" w:space="0" w:color="000000"/>
                              <w:bottom w:val="single" w:sz="6" w:space="0" w:color="000000"/>
                            </w:tcBorders>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
                                <w:bCs/>
                                <w:color w:val="000000"/>
                                <w:kern w:val="0"/>
                                <w:sz w:val="14"/>
                                <w:szCs w:val="14"/>
                              </w:rPr>
                            </w:pPr>
                            <w:r w:rsidRPr="000937AF">
                              <w:rPr>
                                <w:rFonts w:ascii="Book Antiqua" w:hAnsi="Book Antiqua" w:cs="Book Antiqua"/>
                                <w:b/>
                                <w:bCs/>
                                <w:color w:val="000000"/>
                                <w:kern w:val="0"/>
                                <w:sz w:val="14"/>
                                <w:szCs w:val="14"/>
                              </w:rPr>
                              <w:t>Type 1: Only trunk</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Borders>
                              <w:top w:val="single" w:sz="6" w:space="0" w:color="000000"/>
                            </w:tcBorders>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Borders>
                              <w:top w:val="single" w:sz="6" w:space="0" w:color="000000"/>
                            </w:tcBorders>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Type 2: Only branch: 2a - one branch, 2b - both branches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Type 3: Trunk and branches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Duration and presentation</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R: Recent (first time detected in previously patent PV)</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Asymptomatic: (As)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 xml:space="preserve">Symptomatic: (S)- acute </w:t>
                            </w:r>
                            <w:proofErr w:type="spellStart"/>
                            <w:r w:rsidRPr="000937AF">
                              <w:rPr>
                                <w:rFonts w:ascii="Book Antiqua" w:hAnsi="Book Antiqua" w:cs="Book Antiqua"/>
                                <w:bCs/>
                                <w:color w:val="000000"/>
                                <w:kern w:val="0"/>
                                <w:sz w:val="14"/>
                                <w:szCs w:val="14"/>
                              </w:rPr>
                              <w:t>PVT</w:t>
                            </w:r>
                            <w:proofErr w:type="spellEnd"/>
                            <w:r w:rsidRPr="000937AF">
                              <w:rPr>
                                <w:rFonts w:ascii="Book Antiqua" w:hAnsi="Book Antiqua" w:cs="Book Antiqua"/>
                                <w:bCs/>
                                <w:color w:val="000000"/>
                                <w:kern w:val="0"/>
                                <w:sz w:val="14"/>
                                <w:szCs w:val="14"/>
                              </w:rPr>
                              <w:t xml:space="preserve"> features (with or without </w:t>
                            </w:r>
                            <w:proofErr w:type="spellStart"/>
                            <w:r w:rsidRPr="000937AF">
                              <w:rPr>
                                <w:rFonts w:ascii="Book Antiqua" w:hAnsi="Book Antiqua" w:cs="Book Antiqua"/>
                                <w:bCs/>
                                <w:color w:val="000000"/>
                                <w:kern w:val="0"/>
                                <w:sz w:val="14"/>
                                <w:szCs w:val="14"/>
                              </w:rPr>
                              <w:t>ABI</w:t>
                            </w:r>
                            <w:proofErr w:type="spellEnd"/>
                            <w:r w:rsidRPr="000937AF">
                              <w:rPr>
                                <w:rFonts w:ascii="Book Antiqua" w:hAnsi="Book Antiqua" w:cs="Book Antiqua"/>
                                <w:bCs/>
                                <w:color w:val="000000"/>
                                <w:kern w:val="0"/>
                                <w:sz w:val="14"/>
                                <w:szCs w:val="14"/>
                              </w:rPr>
                              <w:t>)</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roofErr w:type="spellStart"/>
                            <w:r w:rsidRPr="000937AF">
                              <w:rPr>
                                <w:rFonts w:ascii="Book Antiqua" w:hAnsi="Book Antiqua" w:cs="Book Antiqua"/>
                                <w:bCs/>
                                <w:color w:val="000000"/>
                                <w:kern w:val="0"/>
                                <w:sz w:val="14"/>
                                <w:szCs w:val="14"/>
                              </w:rPr>
                              <w:t>Ch</w:t>
                            </w:r>
                            <w:proofErr w:type="spellEnd"/>
                            <w:r w:rsidRPr="000937AF">
                              <w:rPr>
                                <w:rFonts w:ascii="Book Antiqua" w:hAnsi="Book Antiqua" w:cs="Book Antiqua"/>
                                <w:bCs/>
                                <w:color w:val="000000"/>
                                <w:kern w:val="0"/>
                                <w:sz w:val="14"/>
                                <w:szCs w:val="14"/>
                              </w:rPr>
                              <w:t xml:space="preserve">: Chronic (previously diagnosed </w:t>
                            </w:r>
                            <w:proofErr w:type="spellStart"/>
                            <w:r w:rsidRPr="000937AF">
                              <w:rPr>
                                <w:rFonts w:ascii="Book Antiqua" w:hAnsi="Book Antiqua" w:cs="Book Antiqua"/>
                                <w:bCs/>
                                <w:color w:val="000000"/>
                                <w:kern w:val="0"/>
                                <w:sz w:val="14"/>
                                <w:szCs w:val="14"/>
                              </w:rPr>
                              <w:t>PVT</w:t>
                            </w:r>
                            <w:proofErr w:type="spellEnd"/>
                            <w:r w:rsidRPr="000937AF">
                              <w:rPr>
                                <w:rFonts w:ascii="Book Antiqua" w:hAnsi="Book Antiqua" w:cs="Book Antiqua"/>
                                <w:bCs/>
                                <w:color w:val="000000"/>
                                <w:kern w:val="0"/>
                                <w:sz w:val="14"/>
                                <w:szCs w:val="14"/>
                              </w:rPr>
                              <w:t xml:space="preserve"> on follow-up, portal </w:t>
                            </w:r>
                            <w:proofErr w:type="spellStart"/>
                            <w:r w:rsidRPr="000937AF">
                              <w:rPr>
                                <w:rFonts w:ascii="Book Antiqua" w:hAnsi="Book Antiqua" w:cs="Book Antiqua"/>
                                <w:bCs/>
                                <w:color w:val="000000"/>
                                <w:kern w:val="0"/>
                                <w:sz w:val="14"/>
                                <w:szCs w:val="14"/>
                              </w:rPr>
                              <w:t>cavernoma</w:t>
                            </w:r>
                            <w:proofErr w:type="spellEnd"/>
                            <w:r w:rsidRPr="000937AF">
                              <w:rPr>
                                <w:rFonts w:ascii="Book Antiqua" w:hAnsi="Book Antiqua" w:cs="Book Antiqua"/>
                                <w:bCs/>
                                <w:color w:val="000000"/>
                                <w:kern w:val="0"/>
                                <w:sz w:val="14"/>
                                <w:szCs w:val="14"/>
                              </w:rPr>
                              <w:t xml:space="preserve"> and clinical features of </w:t>
                            </w:r>
                            <w:proofErr w:type="spellStart"/>
                            <w:r w:rsidRPr="000937AF">
                              <w:rPr>
                                <w:rFonts w:ascii="Book Antiqua" w:hAnsi="Book Antiqua" w:cs="Book Antiqua"/>
                                <w:bCs/>
                                <w:color w:val="000000"/>
                                <w:kern w:val="0"/>
                                <w:sz w:val="14"/>
                                <w:szCs w:val="14"/>
                              </w:rPr>
                              <w:t>PHT</w:t>
                            </w:r>
                            <w:proofErr w:type="spellEnd"/>
                            <w:r w:rsidRPr="000937AF">
                              <w:rPr>
                                <w:rFonts w:ascii="Book Antiqua" w:hAnsi="Book Antiqua" w:cs="Book Antiqua"/>
                                <w:bCs/>
                                <w:color w:val="000000"/>
                                <w:kern w:val="0"/>
                                <w:sz w:val="14"/>
                                <w:szCs w:val="14"/>
                              </w:rPr>
                              <w:t>)</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Asymptomatic</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Symptomatic: Features of portal hypertension</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Type of underlying liver disease</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Cirrhotic</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Non-cirrhotic liver disease</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roofErr w:type="spellStart"/>
                            <w:r w:rsidRPr="000937AF">
                              <w:rPr>
                                <w:rFonts w:ascii="Book Antiqua" w:hAnsi="Book Antiqua" w:cs="Book Antiqua"/>
                                <w:bCs/>
                                <w:color w:val="000000"/>
                                <w:kern w:val="0"/>
                                <w:sz w:val="14"/>
                                <w:szCs w:val="14"/>
                              </w:rPr>
                              <w:t>HCC</w:t>
                            </w:r>
                            <w:proofErr w:type="spellEnd"/>
                            <w:r w:rsidRPr="000937AF">
                              <w:rPr>
                                <w:rFonts w:ascii="Book Antiqua" w:hAnsi="Book Antiqua" w:cs="Book Antiqua"/>
                                <w:bCs/>
                                <w:color w:val="000000"/>
                                <w:kern w:val="0"/>
                                <w:sz w:val="14"/>
                                <w:szCs w:val="14"/>
                              </w:rPr>
                              <w:t xml:space="preserve"> and other local malignancies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Post-liver transplant</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Local malignancies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Associated conditions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Degree of portal venous system occlusion</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O: Occlusive: No flow visible in PV lumen on imaging/Doppler study</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 xml:space="preserve">NO: </w:t>
                            </w:r>
                            <w:proofErr w:type="spellStart"/>
                            <w:r w:rsidRPr="000937AF">
                              <w:rPr>
                                <w:rFonts w:ascii="Book Antiqua" w:hAnsi="Book Antiqua" w:cs="Book Antiqua"/>
                                <w:bCs/>
                                <w:color w:val="000000"/>
                                <w:kern w:val="0"/>
                                <w:sz w:val="14"/>
                                <w:szCs w:val="14"/>
                              </w:rPr>
                              <w:t>Nonocclusive</w:t>
                            </w:r>
                            <w:proofErr w:type="spellEnd"/>
                            <w:r w:rsidRPr="000937AF">
                              <w:rPr>
                                <w:rFonts w:ascii="Book Antiqua" w:hAnsi="Book Antiqua" w:cs="Book Antiqua"/>
                                <w:bCs/>
                                <w:color w:val="000000"/>
                                <w:kern w:val="0"/>
                                <w:sz w:val="14"/>
                                <w:szCs w:val="14"/>
                              </w:rPr>
                              <w:t>: Flow visible in PV lumen through imaging/Doppler study</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FE1855" w:rsidRPr="000937AF">
                        <w:tblPrEx>
                          <w:tblCellMar>
                            <w:top w:w="0" w:type="dxa"/>
                            <w:left w:w="0" w:type="dxa"/>
                            <w:bottom w:w="0" w:type="dxa"/>
                            <w:right w:w="0" w:type="dxa"/>
                          </w:tblCellMar>
                        </w:tblPrEx>
                        <w:trPr>
                          <w:trHeight w:val="60"/>
                        </w:trPr>
                        <w:tc>
                          <w:tcPr>
                            <w:tcW w:w="2833" w:type="dxa"/>
                            <w:vMerge w:val="restart"/>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 xml:space="preserve">Extent of PV system occlusion </w:t>
                            </w:r>
                          </w:p>
                          <w:p w:rsidR="00FE1855" w:rsidRPr="000937AF" w:rsidRDefault="00FE1855" w:rsidP="000937A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Splenic vein (S)</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Mesenteric vein (M)</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FE1855" w:rsidRPr="000937AF">
                        <w:tblPrEx>
                          <w:tblCellMar>
                            <w:top w:w="0" w:type="dxa"/>
                            <w:left w:w="0" w:type="dxa"/>
                            <w:bottom w:w="0" w:type="dxa"/>
                            <w:right w:w="0" w:type="dxa"/>
                          </w:tblCellMar>
                        </w:tblPrEx>
                        <w:trPr>
                          <w:trHeight w:val="60"/>
                        </w:trPr>
                        <w:tc>
                          <w:tcPr>
                            <w:tcW w:w="2833" w:type="dxa"/>
                            <w:vMerge/>
                          </w:tcPr>
                          <w:p w:rsidR="00FE1855" w:rsidRPr="000937AF" w:rsidRDefault="00FE1855" w:rsidP="000937AF">
                            <w:pPr>
                              <w:autoSpaceDE w:val="0"/>
                              <w:autoSpaceDN w:val="0"/>
                              <w:adjustRightInd w:val="0"/>
                              <w:jc w:val="left"/>
                              <w:rPr>
                                <w:rFonts w:ascii="Book Antiqua" w:hAnsi="Book Antiqua"/>
                                <w:kern w:val="0"/>
                                <w:sz w:val="24"/>
                              </w:rPr>
                            </w:pPr>
                          </w:p>
                        </w:tc>
                        <w:tc>
                          <w:tcPr>
                            <w:tcW w:w="6691" w:type="dxa"/>
                            <w:tcMar>
                              <w:top w:w="28" w:type="dxa"/>
                              <w:left w:w="28" w:type="dxa"/>
                              <w:bottom w:w="28" w:type="dxa"/>
                              <w:right w:w="28" w:type="dxa"/>
                            </w:tcMar>
                          </w:tcPr>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0937AF">
                              <w:rPr>
                                <w:rFonts w:ascii="Book Antiqua" w:hAnsi="Book Antiqua" w:cs="Book Antiqua"/>
                                <w:bCs/>
                                <w:color w:val="000000"/>
                                <w:kern w:val="0"/>
                                <w:sz w:val="14"/>
                                <w:szCs w:val="14"/>
                              </w:rPr>
                              <w:t>Both (SM)</w:t>
                            </w:r>
                          </w:p>
                          <w:p w:rsidR="00FE1855" w:rsidRPr="000937AF" w:rsidRDefault="00FE1855" w:rsidP="000937A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FE1855" w:rsidRPr="002A37A4" w:rsidRDefault="00FE1855" w:rsidP="00FE185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0937AF">
                        <w:rPr>
                          <w:rFonts w:ascii="Book Antiqua" w:hAnsi="Book Antiqua" w:cs="Book Antiqua"/>
                          <w:bCs/>
                          <w:color w:val="000000"/>
                          <w:kern w:val="0"/>
                          <w:sz w:val="14"/>
                          <w:szCs w:val="14"/>
                        </w:rPr>
                        <w:t>PVT</w:t>
                      </w:r>
                      <w:proofErr w:type="spellEnd"/>
                      <w:r w:rsidRPr="000937AF">
                        <w:rPr>
                          <w:rFonts w:ascii="Book Antiqua" w:hAnsi="Book Antiqua" w:cs="Book Antiqua"/>
                          <w:bCs/>
                          <w:color w:val="000000"/>
                          <w:kern w:val="0"/>
                          <w:sz w:val="14"/>
                          <w:szCs w:val="14"/>
                        </w:rPr>
                        <w:t xml:space="preserve">: Portal vein thrombosis; </w:t>
                      </w:r>
                      <w:proofErr w:type="spellStart"/>
                      <w:r w:rsidRPr="000937AF">
                        <w:rPr>
                          <w:rFonts w:ascii="Book Antiqua" w:hAnsi="Book Antiqua" w:cs="Book Antiqua"/>
                          <w:bCs/>
                          <w:color w:val="000000"/>
                          <w:kern w:val="0"/>
                          <w:sz w:val="14"/>
                          <w:szCs w:val="14"/>
                        </w:rPr>
                        <w:t>ABI</w:t>
                      </w:r>
                      <w:proofErr w:type="spellEnd"/>
                      <w:r w:rsidRPr="000937AF">
                        <w:rPr>
                          <w:rFonts w:ascii="Book Antiqua" w:hAnsi="Book Antiqua" w:cs="Book Antiqua"/>
                          <w:bCs/>
                          <w:color w:val="000000"/>
                          <w:kern w:val="0"/>
                          <w:sz w:val="14"/>
                          <w:szCs w:val="14"/>
                        </w:rPr>
                        <w:t xml:space="preserve">: Acute bowel infarction; </w:t>
                      </w:r>
                      <w:proofErr w:type="spellStart"/>
                      <w:r w:rsidRPr="000937AF">
                        <w:rPr>
                          <w:rFonts w:ascii="Book Antiqua" w:hAnsi="Book Antiqua" w:cs="Book Antiqua"/>
                          <w:bCs/>
                          <w:color w:val="000000"/>
                          <w:kern w:val="0"/>
                          <w:sz w:val="14"/>
                          <w:szCs w:val="14"/>
                        </w:rPr>
                        <w:t>PHT</w:t>
                      </w:r>
                      <w:proofErr w:type="spellEnd"/>
                      <w:r w:rsidRPr="000937AF">
                        <w:rPr>
                          <w:rFonts w:ascii="Book Antiqua" w:hAnsi="Book Antiqua" w:cs="Book Antiqua"/>
                          <w:bCs/>
                          <w:color w:val="000000"/>
                          <w:kern w:val="0"/>
                          <w:sz w:val="14"/>
                          <w:szCs w:val="14"/>
                        </w:rPr>
                        <w:t xml:space="preserve">: Portal hypertension; </w:t>
                      </w:r>
                      <w:proofErr w:type="spellStart"/>
                      <w:r w:rsidRPr="000937AF">
                        <w:rPr>
                          <w:rFonts w:ascii="Book Antiqua" w:hAnsi="Book Antiqua" w:cs="Book Antiqua"/>
                          <w:bCs/>
                          <w:color w:val="000000"/>
                          <w:kern w:val="0"/>
                          <w:sz w:val="14"/>
                          <w:szCs w:val="14"/>
                        </w:rPr>
                        <w:t>HCC</w:t>
                      </w:r>
                      <w:proofErr w:type="spellEnd"/>
                      <w:r w:rsidRPr="000937AF">
                        <w:rPr>
                          <w:rFonts w:ascii="Book Antiqua" w:hAnsi="Book Antiqua" w:cs="Book Antiqua"/>
                          <w:bCs/>
                          <w:color w:val="000000"/>
                          <w:kern w:val="0"/>
                          <w:sz w:val="14"/>
                          <w:szCs w:val="14"/>
                        </w:rPr>
                        <w:t>: Hepatocellular carcinoma; PV: Portal vein.</w:t>
                      </w:r>
                    </w:p>
                  </w:txbxContent>
                </v:textbox>
                <w10:wrap type="square"/>
              </v:shape>
            </w:pict>
          </mc:Fallback>
        </mc:AlternateContent>
      </w:r>
    </w:p>
    <w:p w:rsidR="00FE1855" w:rsidRPr="00FE1855" w:rsidRDefault="00FE1855" w:rsidP="00B657F9"/>
    <w:sectPr w:rsidR="00FE1855" w:rsidRPr="00FE1855"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5C" w:rsidRDefault="002E4B5C">
      <w:r>
        <w:separator/>
      </w:r>
    </w:p>
  </w:endnote>
  <w:endnote w:type="continuationSeparator" w:id="0">
    <w:p w:rsidR="002E4B5C" w:rsidRDefault="002E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A26AAC">
          <w:rPr>
            <w:noProof/>
          </w:rPr>
          <w:t>18</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5C" w:rsidRDefault="002E4B5C">
      <w:r>
        <w:separator/>
      </w:r>
    </w:p>
  </w:footnote>
  <w:footnote w:type="continuationSeparator" w:id="0">
    <w:p w:rsidR="002E4B5C" w:rsidRDefault="002E4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E4B5C"/>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05CA"/>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26AAC"/>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1855"/>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FE1855"/>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FE1855"/>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rsid w:val="00FE1855"/>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FE1855"/>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FE1855"/>
    <w:pPr>
      <w:suppressAutoHyphens/>
    </w:pPr>
    <w:rPr>
      <w:rFonts w:ascii="Verdana" w:hAnsi="Verdana" w:cs="Verdana"/>
      <w:spacing w:val="-9"/>
      <w:sz w:val="18"/>
      <w:szCs w:val="18"/>
      <w:lang w:val="en-US"/>
    </w:rPr>
  </w:style>
  <w:style w:type="paragraph" w:customStyle="1" w:styleId="10">
    <w:name w:val="惓暥暥_1"/>
    <w:basedOn w:val="NormalParagraphStyle"/>
    <w:rsid w:val="00FE1855"/>
    <w:pPr>
      <w:suppressAutoHyphens/>
      <w:ind w:firstLine="283"/>
    </w:pPr>
    <w:rPr>
      <w:rFonts w:ascii="Verdana" w:hAnsi="Verdana" w:cs="Verdana"/>
      <w:spacing w:val="-9"/>
      <w:sz w:val="18"/>
      <w:szCs w:val="18"/>
      <w:lang w:val="en-US"/>
    </w:rPr>
  </w:style>
  <w:style w:type="paragraph" w:customStyle="1" w:styleId="af9">
    <w:name w:val="二级标题"/>
    <w:basedOn w:val="a"/>
    <w:rsid w:val="00FE1855"/>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rsid w:val="00FE1855"/>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FE1855"/>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FE1855"/>
    <w:pPr>
      <w:widowControl w:val="0"/>
      <w:autoSpaceDE w:val="0"/>
      <w:autoSpaceDN w:val="0"/>
      <w:adjustRightInd w:val="0"/>
      <w:spacing w:line="288" w:lineRule="auto"/>
      <w:jc w:val="both"/>
      <w:textAlignment w:val="center"/>
    </w:pPr>
    <w:rPr>
      <w:rFonts w:ascii="Book Antiqua" w:hAnsi="Book Antiqua"/>
      <w:color w:val="000000"/>
      <w:sz w:val="24"/>
      <w:szCs w:val="24"/>
      <w:lang w:val="zh-CN"/>
    </w:rPr>
  </w:style>
  <w:style w:type="paragraph" w:customStyle="1" w:styleId="afb">
    <w:name w:val="表格中文字"/>
    <w:basedOn w:val="a"/>
    <w:rsid w:val="00FE1855"/>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c">
    <w:name w:val="表注"/>
    <w:basedOn w:val="afb"/>
    <w:rsid w:val="00FE185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FE1855"/>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FE1855"/>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rsid w:val="00FE1855"/>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FE1855"/>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FE1855"/>
    <w:pPr>
      <w:suppressAutoHyphens/>
    </w:pPr>
    <w:rPr>
      <w:rFonts w:ascii="Verdana" w:hAnsi="Verdana" w:cs="Verdana"/>
      <w:spacing w:val="-9"/>
      <w:sz w:val="18"/>
      <w:szCs w:val="18"/>
      <w:lang w:val="en-US"/>
    </w:rPr>
  </w:style>
  <w:style w:type="paragraph" w:customStyle="1" w:styleId="10">
    <w:name w:val="惓暥暥_1"/>
    <w:basedOn w:val="NormalParagraphStyle"/>
    <w:rsid w:val="00FE1855"/>
    <w:pPr>
      <w:suppressAutoHyphens/>
      <w:ind w:firstLine="283"/>
    </w:pPr>
    <w:rPr>
      <w:rFonts w:ascii="Verdana" w:hAnsi="Verdana" w:cs="Verdana"/>
      <w:spacing w:val="-9"/>
      <w:sz w:val="18"/>
      <w:szCs w:val="18"/>
      <w:lang w:val="en-US"/>
    </w:rPr>
  </w:style>
  <w:style w:type="paragraph" w:customStyle="1" w:styleId="af9">
    <w:name w:val="二级标题"/>
    <w:basedOn w:val="a"/>
    <w:rsid w:val="00FE1855"/>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rsid w:val="00FE1855"/>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FE1855"/>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FE1855"/>
    <w:pPr>
      <w:widowControl w:val="0"/>
      <w:autoSpaceDE w:val="0"/>
      <w:autoSpaceDN w:val="0"/>
      <w:adjustRightInd w:val="0"/>
      <w:spacing w:line="288" w:lineRule="auto"/>
      <w:jc w:val="both"/>
      <w:textAlignment w:val="center"/>
    </w:pPr>
    <w:rPr>
      <w:rFonts w:ascii="Book Antiqua" w:hAnsi="Book Antiqua"/>
      <w:color w:val="000000"/>
      <w:sz w:val="24"/>
      <w:szCs w:val="24"/>
      <w:lang w:val="zh-CN"/>
    </w:rPr>
  </w:style>
  <w:style w:type="paragraph" w:customStyle="1" w:styleId="afb">
    <w:name w:val="表格中文字"/>
    <w:basedOn w:val="a"/>
    <w:rsid w:val="00FE1855"/>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c">
    <w:name w:val="表注"/>
    <w:basedOn w:val="afb"/>
    <w:rsid w:val="00FE185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AF77-091B-40FE-9E0C-29E19AFF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7378</Words>
  <Characters>42060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112</cp:revision>
  <cp:lastPrinted>2017-07-31T17:15:00Z</cp:lastPrinted>
  <dcterms:created xsi:type="dcterms:W3CDTF">2017-06-13T15:12:00Z</dcterms:created>
  <dcterms:modified xsi:type="dcterms:W3CDTF">2018-10-19T04:08:00Z</dcterms:modified>
</cp:coreProperties>
</file>