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D814C" w14:textId="77777777" w:rsidR="00063413" w:rsidRPr="00FE1156" w:rsidRDefault="00063413" w:rsidP="006119F2">
      <w:pPr>
        <w:pStyle w:val="1"/>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43"/>
      <w:bookmarkStart w:id="13" w:name="OLE_LINK636"/>
      <w:bookmarkStart w:id="14" w:name="OLE_LINK654"/>
      <w:bookmarkStart w:id="15" w:name="OLE_LINK849"/>
      <w:bookmarkStart w:id="16" w:name="OLE_LINK939"/>
      <w:bookmarkStart w:id="17" w:name="OLE_LINK1000"/>
      <w:bookmarkStart w:id="18" w:name="OLE_LINK1039"/>
      <w:bookmarkStart w:id="19" w:name="OLE_LINK1050"/>
      <w:bookmarkStart w:id="20" w:name="OLE_LINK1071"/>
      <w:bookmarkStart w:id="21" w:name="OLE_LINK255"/>
      <w:r w:rsidRPr="00FE1156">
        <w:rPr>
          <w:rFonts w:ascii="Book Antiqua" w:hAnsi="Book Antiqua" w:cs="Times New Roman"/>
          <w:b/>
          <w:color w:val="000000" w:themeColor="text1"/>
          <w:sz w:val="24"/>
          <w:szCs w:val="24"/>
          <w:highlight w:val="white"/>
          <w:lang w:val="en-US" w:eastAsia="zh-CN"/>
        </w:rPr>
        <w:t xml:space="preserve">Name of </w:t>
      </w:r>
      <w:r w:rsidRPr="00FE1156">
        <w:rPr>
          <w:rFonts w:ascii="Book Antiqua" w:hAnsi="Book Antiqua" w:cs="Times New Roman"/>
          <w:b/>
          <w:caps/>
          <w:color w:val="000000" w:themeColor="text1"/>
          <w:sz w:val="24"/>
          <w:szCs w:val="24"/>
          <w:highlight w:val="white"/>
          <w:lang w:val="en-US" w:eastAsia="zh-CN"/>
        </w:rPr>
        <w:t>j</w:t>
      </w:r>
      <w:r w:rsidRPr="00FE1156">
        <w:rPr>
          <w:rFonts w:ascii="Book Antiqua" w:hAnsi="Book Antiqua" w:cs="Times New Roman"/>
          <w:b/>
          <w:color w:val="000000" w:themeColor="text1"/>
          <w:sz w:val="24"/>
          <w:szCs w:val="24"/>
          <w:highlight w:val="white"/>
          <w:lang w:val="en-US" w:eastAsia="zh-CN"/>
        </w:rPr>
        <w:t xml:space="preserve">ournal: </w:t>
      </w:r>
      <w:bookmarkStart w:id="22" w:name="OLE_LINK718"/>
      <w:bookmarkStart w:id="23" w:name="OLE_LINK719"/>
      <w:r w:rsidRPr="00FE1156">
        <w:rPr>
          <w:rFonts w:ascii="Book Antiqua" w:hAnsi="Book Antiqua" w:cs="Times New Roman"/>
          <w:b/>
          <w:i/>
          <w:color w:val="000000" w:themeColor="text1"/>
          <w:sz w:val="24"/>
          <w:szCs w:val="24"/>
          <w:highlight w:val="white"/>
          <w:lang w:val="en-US" w:eastAsia="zh-CN"/>
        </w:rPr>
        <w:t>World Journal of Gastroenterology</w:t>
      </w:r>
      <w:bookmarkEnd w:id="22"/>
      <w:bookmarkEnd w:id="23"/>
    </w:p>
    <w:p w14:paraId="0C45FE21" w14:textId="38236098" w:rsidR="00063413" w:rsidRPr="00FE1156" w:rsidRDefault="00063413" w:rsidP="006119F2">
      <w:pPr>
        <w:pStyle w:val="1"/>
        <w:adjustRightInd w:val="0"/>
        <w:snapToGrid w:val="0"/>
        <w:spacing w:line="360" w:lineRule="auto"/>
        <w:jc w:val="both"/>
        <w:outlineLvl w:val="0"/>
        <w:rPr>
          <w:rFonts w:ascii="Book Antiqua" w:hAnsi="Book Antiqua" w:cs="Times New Roman"/>
          <w:b/>
          <w:i/>
          <w:color w:val="000000" w:themeColor="text1"/>
          <w:sz w:val="24"/>
          <w:szCs w:val="24"/>
          <w:highlight w:val="white"/>
          <w:lang w:val="en-US" w:eastAsia="zh-CN"/>
        </w:rPr>
      </w:pPr>
      <w:bookmarkStart w:id="24" w:name="OLE_LINK485"/>
      <w:bookmarkStart w:id="25" w:name="OLE_LINK486"/>
      <w:bookmarkStart w:id="26" w:name="OLE_LINK661"/>
      <w:bookmarkStart w:id="27" w:name="OLE_LINK768"/>
      <w:bookmarkStart w:id="28" w:name="OLE_LINK514"/>
      <w:bookmarkStart w:id="29" w:name="OLE_LINK515"/>
      <w:r w:rsidRPr="00FE1156">
        <w:rPr>
          <w:rFonts w:ascii="Book Antiqua" w:hAnsi="Book Antiqua" w:cs="Times New Roman"/>
          <w:b/>
          <w:color w:val="000000" w:themeColor="text1"/>
          <w:sz w:val="24"/>
          <w:szCs w:val="24"/>
          <w:highlight w:val="white"/>
          <w:lang w:eastAsia="zh-CN"/>
        </w:rPr>
        <w:t>Manuscript NO:</w:t>
      </w:r>
      <w:bookmarkEnd w:id="24"/>
      <w:bookmarkEnd w:id="25"/>
      <w:bookmarkEnd w:id="26"/>
      <w:bookmarkEnd w:id="27"/>
      <w:r w:rsidRPr="00FE1156">
        <w:rPr>
          <w:rFonts w:ascii="Book Antiqua" w:hAnsi="Book Antiqua" w:cs="Times New Roman"/>
          <w:b/>
          <w:color w:val="000000" w:themeColor="text1"/>
          <w:sz w:val="24"/>
          <w:szCs w:val="24"/>
          <w:highlight w:val="white"/>
          <w:lang w:eastAsia="zh-CN"/>
        </w:rPr>
        <w:t xml:space="preserve"> </w:t>
      </w:r>
      <w:r w:rsidR="00D85B20" w:rsidRPr="00FE1156">
        <w:rPr>
          <w:rFonts w:ascii="Book Antiqua" w:hAnsi="Book Antiqua" w:cs="Times New Roman"/>
          <w:b/>
          <w:color w:val="000000" w:themeColor="text1"/>
          <w:sz w:val="24"/>
          <w:szCs w:val="24"/>
          <w:highlight w:val="white"/>
          <w:lang w:eastAsia="zh-CN"/>
        </w:rPr>
        <w:t>41</w:t>
      </w:r>
      <w:r w:rsidR="00FE1156" w:rsidRPr="00FE1156">
        <w:rPr>
          <w:rFonts w:ascii="Book Antiqua" w:hAnsi="Book Antiqua" w:cs="Times New Roman"/>
          <w:b/>
          <w:color w:val="000000" w:themeColor="text1"/>
          <w:sz w:val="24"/>
          <w:szCs w:val="24"/>
          <w:highlight w:val="white"/>
          <w:lang w:eastAsia="zh-CN"/>
        </w:rPr>
        <w:t>3</w:t>
      </w:r>
      <w:r w:rsidR="00D85B20" w:rsidRPr="00FE1156">
        <w:rPr>
          <w:rFonts w:ascii="Book Antiqua" w:hAnsi="Book Antiqua" w:cs="Times New Roman"/>
          <w:b/>
          <w:color w:val="000000" w:themeColor="text1"/>
          <w:sz w:val="24"/>
          <w:szCs w:val="24"/>
          <w:highlight w:val="white"/>
          <w:lang w:eastAsia="zh-CN"/>
        </w:rPr>
        <w:t>25</w:t>
      </w:r>
    </w:p>
    <w:p w14:paraId="7432F055" w14:textId="403D7CA3" w:rsidR="00063413" w:rsidRPr="00FE1156" w:rsidRDefault="00063413" w:rsidP="006119F2">
      <w:pPr>
        <w:adjustRightInd w:val="0"/>
        <w:snapToGrid w:val="0"/>
        <w:spacing w:line="360" w:lineRule="auto"/>
        <w:outlineLvl w:val="0"/>
        <w:rPr>
          <w:rFonts w:ascii="Book Antiqua" w:hAnsi="Book Antiqua"/>
          <w:b/>
          <w:color w:val="000000" w:themeColor="text1"/>
          <w:sz w:val="24"/>
          <w:szCs w:val="24"/>
          <w:lang w:val="it-IT"/>
        </w:rPr>
      </w:pPr>
      <w:bookmarkStart w:id="30" w:name="OLE_LINK511"/>
      <w:bookmarkStart w:id="31" w:name="OLE_LINK512"/>
      <w:bookmarkEnd w:id="28"/>
      <w:bookmarkEnd w:id="29"/>
      <w:r w:rsidRPr="00FE1156">
        <w:rPr>
          <w:rFonts w:ascii="Book Antiqua" w:hAnsi="Book Antiqua"/>
          <w:b/>
          <w:color w:val="000000" w:themeColor="text1"/>
          <w:sz w:val="24"/>
          <w:szCs w:val="24"/>
          <w:highlight w:val="white"/>
          <w:lang w:val="it-IT"/>
        </w:rPr>
        <w:t xml:space="preserve">Manuscript </w:t>
      </w:r>
      <w:r w:rsidRPr="00FE1156">
        <w:rPr>
          <w:rFonts w:ascii="Book Antiqua" w:hAnsi="Book Antiqua"/>
          <w:b/>
          <w:caps/>
          <w:color w:val="000000" w:themeColor="text1"/>
          <w:sz w:val="24"/>
          <w:szCs w:val="24"/>
          <w:highlight w:val="white"/>
        </w:rPr>
        <w:t>t</w:t>
      </w:r>
      <w:r w:rsidRPr="00FE1156">
        <w:rPr>
          <w:rFonts w:ascii="Book Antiqua" w:hAnsi="Book Antiqua"/>
          <w:b/>
          <w:color w:val="000000" w:themeColor="text1"/>
          <w:sz w:val="24"/>
          <w:szCs w:val="24"/>
          <w:highlight w:val="white"/>
          <w:lang w:val="it-IT"/>
        </w:rPr>
        <w:t>ype</w:t>
      </w:r>
      <w:r w:rsidRPr="00FE1156">
        <w:rPr>
          <w:rFonts w:ascii="Book Antiqua" w:hAnsi="Book Antiqua"/>
          <w:b/>
          <w:color w:val="000000" w:themeColor="text1"/>
          <w:sz w:val="24"/>
          <w:szCs w:val="24"/>
          <w:lang w:val="it-IT"/>
        </w:rPr>
        <w:t>:</w:t>
      </w:r>
      <w:bookmarkEnd w:id="0"/>
      <w:bookmarkEnd w:id="1"/>
      <w:bookmarkEnd w:id="2"/>
      <w:bookmarkEnd w:id="3"/>
      <w:bookmarkEnd w:id="4"/>
      <w:bookmarkEnd w:id="5"/>
      <w:bookmarkEnd w:id="6"/>
      <w:bookmarkEnd w:id="7"/>
      <w:bookmarkEnd w:id="8"/>
      <w:bookmarkEnd w:id="9"/>
      <w:bookmarkEnd w:id="10"/>
      <w:bookmarkEnd w:id="11"/>
      <w:r w:rsidRPr="00FE1156">
        <w:rPr>
          <w:rFonts w:ascii="Book Antiqua" w:hAnsi="Book Antiqua"/>
          <w:b/>
          <w:color w:val="000000" w:themeColor="text1"/>
          <w:sz w:val="24"/>
          <w:szCs w:val="24"/>
          <w:lang w:val="it-IT"/>
        </w:rPr>
        <w:t xml:space="preserve"> </w:t>
      </w:r>
      <w:bookmarkStart w:id="32" w:name="OLE_LINK253"/>
      <w:bookmarkStart w:id="33" w:name="OLE_LINK301"/>
      <w:bookmarkStart w:id="34" w:name="OLE_LINK632"/>
      <w:bookmarkStart w:id="35" w:name="OLE_LINK703"/>
      <w:bookmarkStart w:id="36" w:name="OLE_LINK808"/>
      <w:bookmarkStart w:id="37" w:name="OLE_LINK871"/>
      <w:bookmarkStart w:id="38" w:name="OLE_LINK872"/>
      <w:bookmarkStart w:id="39" w:name="OLE_LINK874"/>
      <w:bookmarkStart w:id="40" w:name="OLE_LINK875"/>
      <w:bookmarkStart w:id="41" w:name="OLE_LINK1047"/>
      <w:bookmarkStart w:id="42" w:name="OLE_LINK963"/>
      <w:bookmarkStart w:id="43" w:name="OLE_LINK1389"/>
      <w:bookmarkStart w:id="44" w:name="OLE_LINK1390"/>
      <w:r w:rsidR="00FE1156" w:rsidRPr="00FE1156">
        <w:rPr>
          <w:rFonts w:ascii="Book Antiqua" w:hAnsi="Book Antiqua"/>
          <w:b/>
          <w:color w:val="000000" w:themeColor="text1"/>
          <w:sz w:val="24"/>
          <w:szCs w:val="24"/>
          <w:lang w:val="it-IT"/>
        </w:rPr>
        <w:t>ORIGINAL ARTICLE</w:t>
      </w:r>
      <w:bookmarkEnd w:id="32"/>
      <w:bookmarkEnd w:id="33"/>
      <w:bookmarkEnd w:id="34"/>
      <w:bookmarkEnd w:id="35"/>
      <w:bookmarkEnd w:id="36"/>
      <w:bookmarkEnd w:id="37"/>
      <w:bookmarkEnd w:id="38"/>
      <w:bookmarkEnd w:id="39"/>
      <w:bookmarkEnd w:id="40"/>
      <w:bookmarkEnd w:id="41"/>
      <w:bookmarkEnd w:id="42"/>
      <w:bookmarkEnd w:id="43"/>
      <w:bookmarkEnd w:id="44"/>
    </w:p>
    <w:bookmarkEnd w:id="12"/>
    <w:bookmarkEnd w:id="13"/>
    <w:bookmarkEnd w:id="14"/>
    <w:bookmarkEnd w:id="15"/>
    <w:bookmarkEnd w:id="16"/>
    <w:bookmarkEnd w:id="17"/>
    <w:bookmarkEnd w:id="18"/>
    <w:bookmarkEnd w:id="19"/>
    <w:bookmarkEnd w:id="20"/>
    <w:bookmarkEnd w:id="21"/>
    <w:bookmarkEnd w:id="30"/>
    <w:bookmarkEnd w:id="31"/>
    <w:p w14:paraId="613ADD7F" w14:textId="77777777" w:rsidR="00063413" w:rsidRDefault="00063413" w:rsidP="00FE1156">
      <w:pPr>
        <w:adjustRightInd w:val="0"/>
        <w:snapToGrid w:val="0"/>
        <w:spacing w:line="360" w:lineRule="auto"/>
        <w:rPr>
          <w:rFonts w:ascii="Book Antiqua" w:hAnsi="Book Antiqua" w:cs="Times New Roman"/>
          <w:b/>
          <w:color w:val="000000" w:themeColor="text1"/>
          <w:sz w:val="24"/>
          <w:szCs w:val="24"/>
        </w:rPr>
      </w:pPr>
    </w:p>
    <w:p w14:paraId="79C45EB1" w14:textId="2E6F3F40" w:rsidR="00B70F7E" w:rsidRPr="00B70F7E" w:rsidRDefault="00B70F7E" w:rsidP="006119F2">
      <w:pPr>
        <w:adjustRightInd w:val="0"/>
        <w:snapToGrid w:val="0"/>
        <w:spacing w:line="360" w:lineRule="auto"/>
        <w:outlineLvl w:val="0"/>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Basic Study</w:t>
      </w:r>
    </w:p>
    <w:p w14:paraId="609909F9" w14:textId="035D7DB7" w:rsidR="00063413" w:rsidRPr="00FE1156" w:rsidRDefault="004738B9" w:rsidP="00FE1156">
      <w:pPr>
        <w:adjustRightInd w:val="0"/>
        <w:snapToGrid w:val="0"/>
        <w:spacing w:line="360" w:lineRule="auto"/>
        <w:rPr>
          <w:rFonts w:ascii="Book Antiqua" w:hAnsi="Book Antiqua" w:cs="Times New Roman"/>
          <w:color w:val="000000" w:themeColor="text1"/>
          <w:sz w:val="24"/>
          <w:szCs w:val="24"/>
          <w:lang w:eastAsia="ja-JP"/>
        </w:rPr>
      </w:pPr>
      <w:bookmarkStart w:id="45" w:name="OLE_LINK270"/>
      <w:r w:rsidRPr="00FE1156">
        <w:rPr>
          <w:rFonts w:ascii="Book Antiqua" w:hAnsi="Book Antiqua" w:cs="Times New Roman"/>
          <w:b/>
          <w:color w:val="000000" w:themeColor="text1"/>
          <w:sz w:val="24"/>
          <w:szCs w:val="24"/>
          <w:lang w:val="pl-PL" w:eastAsia="ja-JP"/>
        </w:rPr>
        <w:t>Prognostic value of</w:t>
      </w:r>
      <w:r w:rsidR="00B70F7E" w:rsidRPr="00B70F7E">
        <w:t xml:space="preserve"> </w:t>
      </w:r>
      <w:r w:rsidR="00B70F7E" w:rsidRPr="00B70F7E">
        <w:rPr>
          <w:rFonts w:ascii="Book Antiqua" w:hAnsi="Book Antiqua" w:cs="Times New Roman"/>
          <w:b/>
          <w:color w:val="000000" w:themeColor="text1"/>
          <w:sz w:val="24"/>
          <w:szCs w:val="24"/>
          <w:lang w:val="pl-PL" w:eastAsia="ja-JP"/>
        </w:rPr>
        <w:t xml:space="preserve">sorting nexin </w:t>
      </w:r>
      <w:r w:rsidRPr="00FE1156">
        <w:rPr>
          <w:rFonts w:ascii="Book Antiqua" w:hAnsi="Book Antiqua" w:cs="Times New Roman"/>
          <w:b/>
          <w:color w:val="000000" w:themeColor="text1"/>
          <w:sz w:val="24"/>
          <w:szCs w:val="24"/>
          <w:lang w:val="pl-PL" w:eastAsia="ja-JP"/>
        </w:rPr>
        <w:t xml:space="preserve">10 weak expression in stomach adenocarcinoma revealed by </w:t>
      </w:r>
      <w:r w:rsidR="00B70F7E">
        <w:rPr>
          <w:rFonts w:ascii="Book Antiqua" w:hAnsi="Book Antiqua" w:cs="Times New Roman"/>
          <w:b/>
          <w:color w:val="000000" w:themeColor="text1"/>
          <w:sz w:val="24"/>
          <w:szCs w:val="24"/>
          <w:lang w:val="pl-PL" w:eastAsia="ja-JP"/>
        </w:rPr>
        <w:t>w</w:t>
      </w:r>
      <w:r w:rsidR="00B70F7E" w:rsidRPr="00B70F7E">
        <w:rPr>
          <w:rFonts w:ascii="Book Antiqua" w:hAnsi="Book Antiqua" w:cs="Times New Roman"/>
          <w:b/>
          <w:color w:val="000000" w:themeColor="text1"/>
          <w:sz w:val="24"/>
          <w:szCs w:val="24"/>
          <w:lang w:val="pl-PL" w:eastAsia="ja-JP"/>
        </w:rPr>
        <w:t>eighted gene co</w:t>
      </w:r>
      <w:r w:rsidR="006119F2">
        <w:rPr>
          <w:rFonts w:ascii="Book Antiqua" w:hAnsi="Book Antiqua" w:cs="Times New Roman"/>
          <w:b/>
          <w:color w:val="000000" w:themeColor="text1"/>
          <w:sz w:val="24"/>
          <w:szCs w:val="24"/>
          <w:lang w:val="pl-PL" w:eastAsia="ja-JP"/>
        </w:rPr>
        <w:t>-</w:t>
      </w:r>
      <w:r w:rsidR="00B70F7E" w:rsidRPr="00B70F7E">
        <w:rPr>
          <w:rFonts w:ascii="Book Antiqua" w:hAnsi="Book Antiqua" w:cs="Times New Roman"/>
          <w:b/>
          <w:color w:val="000000" w:themeColor="text1"/>
          <w:sz w:val="24"/>
          <w:szCs w:val="24"/>
          <w:lang w:val="pl-PL" w:eastAsia="ja-JP"/>
        </w:rPr>
        <w:t>expression network analysis</w:t>
      </w:r>
      <w:bookmarkEnd w:id="45"/>
      <w:r w:rsidRPr="00FE1156">
        <w:rPr>
          <w:rFonts w:ascii="Book Antiqua" w:hAnsi="Book Antiqua" w:cs="Times New Roman"/>
          <w:b/>
          <w:color w:val="000000" w:themeColor="text1"/>
          <w:sz w:val="24"/>
          <w:szCs w:val="24"/>
          <w:lang w:val="pl-PL" w:eastAsia="ja-JP"/>
        </w:rPr>
        <w:t xml:space="preserve"> </w:t>
      </w:r>
    </w:p>
    <w:p w14:paraId="47373A7E" w14:textId="77777777" w:rsidR="00B70F7E" w:rsidRDefault="00B70F7E" w:rsidP="00FE1156">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46" w:name="OLE_LINK217"/>
    </w:p>
    <w:p w14:paraId="7C90A34A" w14:textId="1A9BB0C0" w:rsidR="00063413" w:rsidRPr="00B70F7E" w:rsidRDefault="00B70F7E" w:rsidP="006119F2">
      <w:pPr>
        <w:pStyle w:val="1"/>
        <w:adjustRightInd w:val="0"/>
        <w:snapToGrid w:val="0"/>
        <w:spacing w:line="360" w:lineRule="auto"/>
        <w:jc w:val="both"/>
        <w:outlineLvl w:val="0"/>
        <w:rPr>
          <w:rFonts w:ascii="Book Antiqua" w:hAnsi="Book Antiqua" w:cs="Times New Roman"/>
          <w:color w:val="000000" w:themeColor="text1"/>
          <w:sz w:val="24"/>
          <w:szCs w:val="24"/>
          <w:lang w:val="en-US" w:eastAsia="zh-CN"/>
        </w:rPr>
      </w:pPr>
      <w:r w:rsidRPr="00B70F7E">
        <w:rPr>
          <w:rFonts w:ascii="Book Antiqua" w:hAnsi="Book Antiqua" w:cs="Times New Roman"/>
          <w:color w:val="000000" w:themeColor="text1"/>
          <w:sz w:val="24"/>
          <w:szCs w:val="24"/>
          <w:highlight w:val="white"/>
          <w:lang w:val="en-US" w:eastAsia="zh-CN"/>
        </w:rPr>
        <w:t xml:space="preserve">Zhang J </w:t>
      </w:r>
      <w:r w:rsidRPr="00B70F7E">
        <w:rPr>
          <w:rFonts w:ascii="Book Antiqua" w:hAnsi="Book Antiqua" w:cs="Times New Roman"/>
          <w:i/>
          <w:color w:val="000000" w:themeColor="text1"/>
          <w:sz w:val="24"/>
          <w:szCs w:val="24"/>
          <w:highlight w:val="white"/>
          <w:lang w:val="en-US" w:eastAsia="zh-CN"/>
        </w:rPr>
        <w:t>et al</w:t>
      </w:r>
      <w:r w:rsidRPr="00B70F7E">
        <w:rPr>
          <w:rFonts w:ascii="Book Antiqua" w:hAnsi="Book Antiqua" w:cs="Times New Roman"/>
          <w:color w:val="000000" w:themeColor="text1"/>
          <w:sz w:val="24"/>
          <w:szCs w:val="24"/>
          <w:highlight w:val="white"/>
          <w:lang w:val="en-US" w:eastAsia="zh-CN"/>
        </w:rPr>
        <w:t>.</w:t>
      </w:r>
      <w:r w:rsidR="00063413" w:rsidRPr="00B70F7E">
        <w:rPr>
          <w:rFonts w:ascii="Book Antiqua" w:hAnsi="Book Antiqua" w:cs="Times New Roman"/>
          <w:color w:val="000000" w:themeColor="text1"/>
          <w:sz w:val="24"/>
          <w:szCs w:val="24"/>
          <w:highlight w:val="white"/>
          <w:lang w:val="en-US" w:eastAsia="zh-CN"/>
        </w:rPr>
        <w:t xml:space="preserve"> </w:t>
      </w:r>
      <w:r w:rsidR="00095FDB" w:rsidRPr="00B70F7E">
        <w:rPr>
          <w:rFonts w:ascii="Book Antiqua" w:hAnsi="Book Antiqua" w:cs="Times New Roman"/>
          <w:color w:val="000000" w:themeColor="text1"/>
          <w:sz w:val="24"/>
          <w:szCs w:val="24"/>
          <w:lang w:val="en-US" w:eastAsia="zh-CN"/>
        </w:rPr>
        <w:t xml:space="preserve">Prognostic value of SNX10 in </w:t>
      </w:r>
      <w:bookmarkEnd w:id="46"/>
      <w:r w:rsidRPr="00B70F7E">
        <w:rPr>
          <w:rFonts w:ascii="Book Antiqua" w:hAnsi="Book Antiqua" w:cs="Times New Roman"/>
          <w:color w:val="000000" w:themeColor="text1"/>
          <w:sz w:val="24"/>
          <w:szCs w:val="24"/>
          <w:lang w:val="en-US" w:eastAsia="zh-CN"/>
        </w:rPr>
        <w:t>SA</w:t>
      </w:r>
    </w:p>
    <w:p w14:paraId="2F4C3BB7" w14:textId="77777777" w:rsidR="00B70F7E" w:rsidRPr="00FE1156" w:rsidRDefault="00B70F7E" w:rsidP="00FE1156">
      <w:pPr>
        <w:pStyle w:val="1"/>
        <w:adjustRightInd w:val="0"/>
        <w:snapToGrid w:val="0"/>
        <w:spacing w:line="360" w:lineRule="auto"/>
        <w:jc w:val="both"/>
        <w:rPr>
          <w:rFonts w:ascii="Book Antiqua" w:hAnsi="Book Antiqua"/>
          <w:color w:val="000000" w:themeColor="text1"/>
          <w:sz w:val="24"/>
          <w:szCs w:val="24"/>
        </w:rPr>
      </w:pPr>
    </w:p>
    <w:p w14:paraId="53D55846" w14:textId="12F910CD" w:rsidR="00CE110A" w:rsidRDefault="00CE110A" w:rsidP="00FE1156">
      <w:pPr>
        <w:adjustRightInd w:val="0"/>
        <w:snapToGrid w:val="0"/>
        <w:spacing w:line="360" w:lineRule="auto"/>
        <w:rPr>
          <w:rFonts w:ascii="Book Antiqua" w:hAnsi="Book Antiqua" w:cs="Times New Roman"/>
          <w:color w:val="000000" w:themeColor="text1"/>
          <w:sz w:val="24"/>
          <w:szCs w:val="24"/>
          <w:lang w:val="pl-PL" w:eastAsia="ja-JP"/>
        </w:rPr>
      </w:pPr>
      <w:r w:rsidRPr="00FE1156">
        <w:rPr>
          <w:rFonts w:ascii="Book Antiqua" w:hAnsi="Book Antiqua" w:cs="Times New Roman"/>
          <w:color w:val="000000" w:themeColor="text1"/>
          <w:sz w:val="24"/>
          <w:szCs w:val="24"/>
          <w:lang w:val="pl-PL" w:eastAsia="ja-JP"/>
        </w:rPr>
        <w:t xml:space="preserve">Jun Zhang, Yue Wu, </w:t>
      </w:r>
      <w:r w:rsidR="00B70F7E">
        <w:rPr>
          <w:rFonts w:ascii="Book Antiqua" w:hAnsi="Book Antiqua" w:cs="Times New Roman"/>
          <w:color w:val="000000" w:themeColor="text1"/>
          <w:sz w:val="24"/>
          <w:szCs w:val="24"/>
          <w:lang w:val="pl-PL" w:eastAsia="ja-JP"/>
        </w:rPr>
        <w:t>Hao-Y</w:t>
      </w:r>
      <w:r w:rsidR="00C066A1" w:rsidRPr="00FE1156">
        <w:rPr>
          <w:rFonts w:ascii="Book Antiqua" w:hAnsi="Book Antiqua" w:cs="Times New Roman"/>
          <w:color w:val="000000" w:themeColor="text1"/>
          <w:sz w:val="24"/>
          <w:szCs w:val="24"/>
          <w:lang w:val="pl-PL" w:eastAsia="ja-JP"/>
        </w:rPr>
        <w:t>i Jin</w:t>
      </w:r>
      <w:r w:rsidR="00C066A1" w:rsidRPr="00FE1156">
        <w:rPr>
          <w:rFonts w:ascii="Book Antiqua" w:hAnsi="Book Antiqua" w:cs="Times New Roman"/>
          <w:color w:val="000000" w:themeColor="text1"/>
          <w:sz w:val="24"/>
          <w:szCs w:val="24"/>
          <w:lang w:val="pl-PL"/>
        </w:rPr>
        <w:t>,</w:t>
      </w:r>
      <w:r w:rsidR="00C066A1" w:rsidRPr="00FE1156">
        <w:rPr>
          <w:rFonts w:ascii="Book Antiqua" w:hAnsi="Book Antiqua" w:cs="Times New Roman"/>
          <w:color w:val="000000" w:themeColor="text1"/>
          <w:sz w:val="24"/>
          <w:szCs w:val="24"/>
          <w:lang w:val="pl-PL" w:eastAsia="ja-JP"/>
        </w:rPr>
        <w:t xml:space="preserve"> </w:t>
      </w:r>
      <w:r w:rsidR="00B70F7E">
        <w:rPr>
          <w:rFonts w:ascii="Book Antiqua" w:hAnsi="Book Antiqua" w:cs="Times New Roman"/>
          <w:color w:val="000000" w:themeColor="text1"/>
          <w:sz w:val="24"/>
          <w:szCs w:val="24"/>
          <w:lang w:val="pl-PL" w:eastAsia="ja-JP"/>
        </w:rPr>
        <w:t>Shuai Guo, Zhe Dong, Zhi-C</w:t>
      </w:r>
      <w:r w:rsidRPr="00FE1156">
        <w:rPr>
          <w:rFonts w:ascii="Book Antiqua" w:hAnsi="Book Antiqua" w:cs="Times New Roman"/>
          <w:color w:val="000000" w:themeColor="text1"/>
          <w:sz w:val="24"/>
          <w:szCs w:val="24"/>
          <w:lang w:val="pl-PL" w:eastAsia="ja-JP"/>
        </w:rPr>
        <w:t>hao Zheng, Yue Wang, Yan Zhao</w:t>
      </w:r>
    </w:p>
    <w:p w14:paraId="78065007" w14:textId="77777777" w:rsidR="00B70F7E" w:rsidRPr="00FE1156" w:rsidRDefault="00B70F7E" w:rsidP="00FE1156">
      <w:pPr>
        <w:adjustRightInd w:val="0"/>
        <w:snapToGrid w:val="0"/>
        <w:spacing w:line="360" w:lineRule="auto"/>
        <w:rPr>
          <w:rFonts w:ascii="Book Antiqua" w:hAnsi="Book Antiqua"/>
          <w:color w:val="000000" w:themeColor="text1"/>
          <w:sz w:val="24"/>
          <w:szCs w:val="24"/>
          <w:lang w:val="pl-PL" w:eastAsia="ja-JP"/>
        </w:rPr>
      </w:pPr>
    </w:p>
    <w:p w14:paraId="3AA86227" w14:textId="68709260" w:rsidR="00CE110A" w:rsidRPr="00FE1156" w:rsidRDefault="00CE110A" w:rsidP="00FE1156">
      <w:pPr>
        <w:adjustRightInd w:val="0"/>
        <w:snapToGrid w:val="0"/>
        <w:spacing w:line="360" w:lineRule="auto"/>
        <w:rPr>
          <w:rFonts w:ascii="Book Antiqua" w:hAnsi="Book Antiqua"/>
          <w:color w:val="000000" w:themeColor="text1"/>
          <w:sz w:val="24"/>
          <w:szCs w:val="24"/>
        </w:rPr>
      </w:pPr>
      <w:r w:rsidRPr="00FE1156">
        <w:rPr>
          <w:rFonts w:ascii="Book Antiqua" w:hAnsi="Book Antiqua" w:cs="Times New Roman"/>
          <w:b/>
          <w:color w:val="000000" w:themeColor="text1"/>
          <w:sz w:val="24"/>
          <w:szCs w:val="24"/>
          <w:lang w:eastAsia="ja-JP"/>
        </w:rPr>
        <w:t>Jun Zhang, Shuai Guo,</w:t>
      </w:r>
      <w:r w:rsidRPr="00FE1156">
        <w:rPr>
          <w:rFonts w:ascii="Book Antiqua" w:hAnsi="Book Antiqua"/>
          <w:color w:val="000000" w:themeColor="text1"/>
          <w:sz w:val="24"/>
          <w:szCs w:val="24"/>
        </w:rPr>
        <w:t xml:space="preserve"> </w:t>
      </w:r>
      <w:r w:rsidR="00B70F7E">
        <w:rPr>
          <w:rFonts w:ascii="Book Antiqua" w:hAnsi="Book Antiqua" w:cs="Times New Roman"/>
          <w:b/>
          <w:color w:val="000000" w:themeColor="text1"/>
          <w:sz w:val="24"/>
          <w:szCs w:val="24"/>
          <w:lang w:eastAsia="ja-JP"/>
        </w:rPr>
        <w:t>Zhe Dong, Zhi-C</w:t>
      </w:r>
      <w:r w:rsidRPr="00FE1156">
        <w:rPr>
          <w:rFonts w:ascii="Book Antiqua" w:hAnsi="Book Antiqua" w:cs="Times New Roman"/>
          <w:b/>
          <w:color w:val="000000" w:themeColor="text1"/>
          <w:sz w:val="24"/>
          <w:szCs w:val="24"/>
          <w:lang w:eastAsia="ja-JP"/>
        </w:rPr>
        <w:t>hao Zheng, Yue Wang</w:t>
      </w:r>
      <w:r w:rsidRPr="00FE1156">
        <w:rPr>
          <w:rFonts w:ascii="Book Antiqua" w:eastAsia="SimSun" w:hAnsi="Book Antiqua" w:cs="Times New Roman"/>
          <w:b/>
          <w:color w:val="000000" w:themeColor="text1"/>
          <w:sz w:val="24"/>
          <w:szCs w:val="24"/>
        </w:rPr>
        <w:t>, Yan Zhao</w:t>
      </w:r>
      <w:r w:rsidRPr="00FE1156">
        <w:rPr>
          <w:rFonts w:ascii="Book Antiqua" w:eastAsia="SimSun"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 xml:space="preserve">Department of Gastric Cancer, </w:t>
      </w:r>
      <w:bookmarkStart w:id="47" w:name="OLE_LINK16"/>
      <w:r w:rsidR="00B70F7E">
        <w:rPr>
          <w:rFonts w:ascii="Book Antiqua" w:hAnsi="Book Antiqua" w:cs="Times New Roman"/>
          <w:color w:val="000000" w:themeColor="text1"/>
          <w:sz w:val="24"/>
          <w:szCs w:val="24"/>
        </w:rPr>
        <w:t>Liaoning Cancer Hospital and</w:t>
      </w:r>
      <w:r w:rsidRPr="00FE1156">
        <w:rPr>
          <w:rFonts w:ascii="Book Antiqua" w:hAnsi="Book Antiqua" w:cs="Times New Roman"/>
          <w:color w:val="000000" w:themeColor="text1"/>
          <w:sz w:val="24"/>
          <w:szCs w:val="24"/>
        </w:rPr>
        <w:t xml:space="preserve"> Institute (Cancer Hospital of China Medical University)</w:t>
      </w:r>
      <w:bookmarkEnd w:id="47"/>
      <w:r w:rsidR="00B70F7E">
        <w:rPr>
          <w:rFonts w:ascii="Book Antiqua" w:hAnsi="Book Antiqua" w:cs="Times New Roman"/>
          <w:color w:val="000000" w:themeColor="text1"/>
          <w:sz w:val="24"/>
          <w:szCs w:val="24"/>
        </w:rPr>
        <w:t>, Shenyang</w:t>
      </w:r>
      <w:r w:rsidRPr="00FE1156">
        <w:rPr>
          <w:rFonts w:ascii="Book Antiqua" w:hAnsi="Book Antiqua" w:cs="Times New Roman"/>
          <w:color w:val="000000" w:themeColor="text1"/>
          <w:sz w:val="24"/>
          <w:szCs w:val="24"/>
        </w:rPr>
        <w:t xml:space="preserve"> 110042, </w:t>
      </w:r>
      <w:r w:rsidR="00B70F7E">
        <w:rPr>
          <w:rFonts w:ascii="Book Antiqua" w:hAnsi="Book Antiqua" w:cs="Times New Roman"/>
          <w:color w:val="000000" w:themeColor="text1"/>
          <w:sz w:val="24"/>
          <w:szCs w:val="24"/>
        </w:rPr>
        <w:t xml:space="preserve">Liaoning Province, </w:t>
      </w:r>
      <w:r w:rsidRPr="00FE1156">
        <w:rPr>
          <w:rFonts w:ascii="Book Antiqua" w:hAnsi="Book Antiqua" w:cs="Times New Roman"/>
          <w:color w:val="000000" w:themeColor="text1"/>
          <w:sz w:val="24"/>
          <w:szCs w:val="24"/>
        </w:rPr>
        <w:t>China</w:t>
      </w:r>
    </w:p>
    <w:p w14:paraId="41AC4B96" w14:textId="77777777" w:rsidR="00B70F7E" w:rsidRDefault="00B70F7E" w:rsidP="00FE1156">
      <w:pPr>
        <w:adjustRightInd w:val="0"/>
        <w:snapToGrid w:val="0"/>
        <w:spacing w:line="360" w:lineRule="auto"/>
        <w:rPr>
          <w:rFonts w:ascii="Book Antiqua" w:hAnsi="Book Antiqua" w:cs="Times New Roman"/>
          <w:b/>
          <w:color w:val="000000" w:themeColor="text1"/>
          <w:sz w:val="24"/>
          <w:szCs w:val="24"/>
          <w:lang w:eastAsia="ja-JP"/>
        </w:rPr>
      </w:pPr>
    </w:p>
    <w:p w14:paraId="68CA3B25" w14:textId="3E8BB1D7" w:rsidR="00CE110A" w:rsidRPr="00FE1156" w:rsidRDefault="00CE110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lang w:eastAsia="ja-JP"/>
        </w:rPr>
        <w:t>Yue Wu</w:t>
      </w:r>
      <w:r w:rsidRPr="00FE1156">
        <w:rPr>
          <w:rFonts w:ascii="Book Antiqua" w:hAnsi="Book Antiqua" w:cs="Times New Roman"/>
          <w:color w:val="000000" w:themeColor="text1"/>
          <w:sz w:val="24"/>
          <w:szCs w:val="24"/>
          <w:lang w:eastAsia="ja-JP"/>
        </w:rPr>
        <w:t>,</w:t>
      </w:r>
      <w:r w:rsidRPr="00FE1156">
        <w:rPr>
          <w:rFonts w:ascii="Book Antiqua" w:hAnsi="Book Antiqua" w:cs="Times New Roman"/>
          <w:color w:val="000000" w:themeColor="text1"/>
          <w:sz w:val="24"/>
          <w:szCs w:val="24"/>
        </w:rPr>
        <w:t xml:space="preserve"> Department of Emergency, ShengJing Hospital of China Medical University,</w:t>
      </w:r>
      <w:r w:rsidR="00B70F7E" w:rsidRPr="00B70F7E">
        <w:rPr>
          <w:rFonts w:ascii="Book Antiqua" w:hAnsi="Book Antiqua" w:cs="Times New Roman"/>
          <w:color w:val="000000" w:themeColor="text1"/>
          <w:sz w:val="24"/>
          <w:szCs w:val="24"/>
        </w:rPr>
        <w:t xml:space="preserve"> </w:t>
      </w:r>
      <w:r w:rsidR="00B70F7E">
        <w:rPr>
          <w:rFonts w:ascii="Book Antiqua" w:hAnsi="Book Antiqua" w:cs="Times New Roman"/>
          <w:color w:val="000000" w:themeColor="text1"/>
          <w:sz w:val="24"/>
          <w:szCs w:val="24"/>
        </w:rPr>
        <w:t>Shenyang</w:t>
      </w:r>
      <w:r w:rsidR="00B70F7E" w:rsidRPr="00FE1156">
        <w:rPr>
          <w:rFonts w:ascii="Book Antiqua" w:hAnsi="Book Antiqua" w:cs="Times New Roman"/>
          <w:color w:val="000000" w:themeColor="text1"/>
          <w:sz w:val="24"/>
          <w:szCs w:val="24"/>
        </w:rPr>
        <w:t xml:space="preserve"> 110042, </w:t>
      </w:r>
      <w:r w:rsidR="00B70F7E">
        <w:rPr>
          <w:rFonts w:ascii="Book Antiqua" w:hAnsi="Book Antiqua" w:cs="Times New Roman"/>
          <w:color w:val="000000" w:themeColor="text1"/>
          <w:sz w:val="24"/>
          <w:szCs w:val="24"/>
        </w:rPr>
        <w:t>Liaoning Province,</w:t>
      </w:r>
      <w:r w:rsidRPr="00FE1156">
        <w:rPr>
          <w:rFonts w:ascii="Book Antiqua" w:hAnsi="Book Antiqua" w:cs="Times New Roman"/>
          <w:color w:val="000000" w:themeColor="text1"/>
          <w:sz w:val="24"/>
          <w:szCs w:val="24"/>
        </w:rPr>
        <w:t xml:space="preserve"> China</w:t>
      </w:r>
    </w:p>
    <w:p w14:paraId="54E95A3C" w14:textId="77777777" w:rsidR="00B70F7E" w:rsidRDefault="00B70F7E" w:rsidP="00FE1156">
      <w:pPr>
        <w:adjustRightInd w:val="0"/>
        <w:snapToGrid w:val="0"/>
        <w:spacing w:line="360" w:lineRule="auto"/>
        <w:rPr>
          <w:rFonts w:ascii="Book Antiqua" w:hAnsi="Book Antiqua" w:cs="Times New Roman"/>
          <w:b/>
          <w:color w:val="000000" w:themeColor="text1"/>
          <w:sz w:val="24"/>
          <w:szCs w:val="24"/>
          <w:lang w:eastAsia="ja-JP"/>
        </w:rPr>
      </w:pPr>
    </w:p>
    <w:p w14:paraId="4A62A30B" w14:textId="4A852E6B" w:rsidR="00063413" w:rsidRDefault="00B70F7E"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lang w:eastAsia="ja-JP"/>
        </w:rPr>
        <w:t>Hao-Y</w:t>
      </w:r>
      <w:r w:rsidR="00C066A1" w:rsidRPr="00FE1156">
        <w:rPr>
          <w:rFonts w:ascii="Book Antiqua" w:hAnsi="Book Antiqua" w:cs="Times New Roman"/>
          <w:b/>
          <w:color w:val="000000" w:themeColor="text1"/>
          <w:sz w:val="24"/>
          <w:szCs w:val="24"/>
          <w:lang w:eastAsia="ja-JP"/>
        </w:rPr>
        <w:t>i Jin</w:t>
      </w:r>
      <w:r w:rsidR="00C066A1" w:rsidRPr="00FE1156">
        <w:rPr>
          <w:rFonts w:ascii="Book Antiqua" w:hAnsi="Book Antiqua" w:cs="Times New Roman"/>
          <w:color w:val="000000" w:themeColor="text1"/>
          <w:sz w:val="24"/>
          <w:szCs w:val="24"/>
          <w:lang w:eastAsia="ja-JP"/>
        </w:rPr>
        <w:t>,</w:t>
      </w:r>
      <w:r w:rsidR="00C066A1" w:rsidRPr="00FE1156">
        <w:rPr>
          <w:rFonts w:ascii="Book Antiqua" w:hAnsi="Book Antiqua" w:cs="Times New Roman"/>
          <w:color w:val="000000" w:themeColor="text1"/>
          <w:sz w:val="24"/>
          <w:szCs w:val="24"/>
        </w:rPr>
        <w:t xml:space="preserve"> Pancreatic and Thyroid Surgery Department, Sheng Jing Hospital of China Medical University, </w:t>
      </w:r>
      <w:r>
        <w:rPr>
          <w:rFonts w:ascii="Book Antiqua" w:hAnsi="Book Antiqua" w:cs="Times New Roman"/>
          <w:color w:val="000000" w:themeColor="text1"/>
          <w:sz w:val="24"/>
          <w:szCs w:val="24"/>
        </w:rPr>
        <w:t>Shenyang</w:t>
      </w:r>
      <w:r w:rsidRPr="00FE1156">
        <w:rPr>
          <w:rFonts w:ascii="Book Antiqua" w:hAnsi="Book Antiqua" w:cs="Times New Roman"/>
          <w:color w:val="000000" w:themeColor="text1"/>
          <w:sz w:val="24"/>
          <w:szCs w:val="24"/>
        </w:rPr>
        <w:t xml:space="preserve"> 110042, </w:t>
      </w:r>
      <w:r>
        <w:rPr>
          <w:rFonts w:ascii="Book Antiqua" w:hAnsi="Book Antiqua" w:cs="Times New Roman"/>
          <w:color w:val="000000" w:themeColor="text1"/>
          <w:sz w:val="24"/>
          <w:szCs w:val="24"/>
        </w:rPr>
        <w:t>Liaoning Province,</w:t>
      </w:r>
      <w:r w:rsidR="00C066A1" w:rsidRPr="00FE1156">
        <w:rPr>
          <w:rFonts w:ascii="Book Antiqua" w:hAnsi="Book Antiqua" w:cs="Times New Roman"/>
          <w:color w:val="000000" w:themeColor="text1"/>
          <w:sz w:val="24"/>
          <w:szCs w:val="24"/>
        </w:rPr>
        <w:t xml:space="preserve"> China</w:t>
      </w:r>
    </w:p>
    <w:p w14:paraId="72529EB4" w14:textId="77777777" w:rsidR="00B70F7E" w:rsidRPr="00FE1156" w:rsidRDefault="00B70F7E" w:rsidP="00FE1156">
      <w:pPr>
        <w:adjustRightInd w:val="0"/>
        <w:snapToGrid w:val="0"/>
        <w:spacing w:line="360" w:lineRule="auto"/>
        <w:rPr>
          <w:rFonts w:ascii="Book Antiqua" w:hAnsi="Book Antiqua" w:cs="Times New Roman"/>
          <w:color w:val="000000" w:themeColor="text1"/>
          <w:sz w:val="24"/>
          <w:szCs w:val="24"/>
        </w:rPr>
      </w:pPr>
    </w:p>
    <w:p w14:paraId="263F3136" w14:textId="4CAFCC45" w:rsidR="005D731F" w:rsidRDefault="00063413" w:rsidP="00FE1156">
      <w:pPr>
        <w:adjustRightInd w:val="0"/>
        <w:snapToGrid w:val="0"/>
        <w:spacing w:line="360" w:lineRule="auto"/>
        <w:rPr>
          <w:rFonts w:ascii="Book Antiqua" w:eastAsia="SimSun" w:hAnsi="Book Antiqua" w:cs="Times New Roman"/>
          <w:snapToGrid w:val="0"/>
          <w:color w:val="000000" w:themeColor="text1"/>
          <w:kern w:val="0"/>
          <w:sz w:val="24"/>
          <w:szCs w:val="24"/>
          <w:lang w:eastAsia="en-US" w:bidi="en-US"/>
        </w:rPr>
      </w:pPr>
      <w:bookmarkStart w:id="48" w:name="OLE_LINK167"/>
      <w:bookmarkStart w:id="49" w:name="OLE_LINK170"/>
      <w:r w:rsidRPr="00FE1156">
        <w:rPr>
          <w:rFonts w:ascii="Book Antiqua" w:hAnsi="Book Antiqua"/>
          <w:b/>
          <w:color w:val="000000" w:themeColor="text1"/>
          <w:sz w:val="24"/>
          <w:szCs w:val="24"/>
        </w:rPr>
        <w:t xml:space="preserve">ORCID number: </w:t>
      </w:r>
      <w:bookmarkEnd w:id="48"/>
      <w:bookmarkEnd w:id="49"/>
      <w:r w:rsidR="005D731F" w:rsidRPr="00FE1156">
        <w:rPr>
          <w:rFonts w:ascii="Book Antiqua" w:eastAsia="SimSun" w:hAnsi="Book Antiqua" w:cs="Times New Roman"/>
          <w:snapToGrid w:val="0"/>
          <w:color w:val="000000" w:themeColor="text1"/>
          <w:kern w:val="0"/>
          <w:sz w:val="24"/>
          <w:szCs w:val="24"/>
          <w:lang w:eastAsia="en-US" w:bidi="en-US"/>
        </w:rPr>
        <w:t>Jun Zhang (0000-0003-1739-6462)</w:t>
      </w:r>
      <w:r w:rsidR="00B70F7E">
        <w:rPr>
          <w:rFonts w:ascii="Book Antiqua" w:eastAsia="SimSun" w:hAnsi="Book Antiqua" w:cs="Times New Roman"/>
          <w:snapToGrid w:val="0"/>
          <w:color w:val="000000" w:themeColor="text1"/>
          <w:kern w:val="0"/>
          <w:sz w:val="24"/>
          <w:szCs w:val="24"/>
          <w:lang w:eastAsia="en-US" w:bidi="en-US"/>
        </w:rPr>
        <w:t>;</w:t>
      </w:r>
      <w:r w:rsidR="00B70F7E">
        <w:rPr>
          <w:rFonts w:ascii="Book Antiqua" w:hAnsi="Book Antiqua"/>
          <w:b/>
          <w:color w:val="000000" w:themeColor="text1"/>
          <w:sz w:val="24"/>
          <w:szCs w:val="24"/>
        </w:rPr>
        <w:t xml:space="preserve"> </w:t>
      </w:r>
      <w:r w:rsidR="005D731F" w:rsidRPr="00FE1156">
        <w:rPr>
          <w:rFonts w:ascii="Book Antiqua" w:eastAsia="SimSun" w:hAnsi="Book Antiqua" w:cs="Times New Roman"/>
          <w:snapToGrid w:val="0"/>
          <w:color w:val="000000" w:themeColor="text1"/>
          <w:kern w:val="0"/>
          <w:sz w:val="24"/>
          <w:szCs w:val="24"/>
          <w:lang w:eastAsia="en-US" w:bidi="en-US"/>
        </w:rPr>
        <w:t>Yue Wu (0000-0002-2505-7842)</w:t>
      </w:r>
      <w:r w:rsidR="00B70F7E">
        <w:rPr>
          <w:rFonts w:ascii="Book Antiqua" w:eastAsia="SimSun" w:hAnsi="Book Antiqua" w:cs="Times New Roman"/>
          <w:snapToGrid w:val="0"/>
          <w:color w:val="000000" w:themeColor="text1"/>
          <w:kern w:val="0"/>
          <w:sz w:val="24"/>
          <w:szCs w:val="24"/>
          <w:lang w:eastAsia="en-US" w:bidi="en-US"/>
        </w:rPr>
        <w:t>; Hao-Y</w:t>
      </w:r>
      <w:r w:rsidR="005D731F" w:rsidRPr="00FE1156">
        <w:rPr>
          <w:rFonts w:ascii="Book Antiqua" w:eastAsia="SimSun" w:hAnsi="Book Antiqua" w:cs="Times New Roman"/>
          <w:snapToGrid w:val="0"/>
          <w:color w:val="000000" w:themeColor="text1"/>
          <w:kern w:val="0"/>
          <w:sz w:val="24"/>
          <w:szCs w:val="24"/>
          <w:lang w:eastAsia="en-US" w:bidi="en-US"/>
        </w:rPr>
        <w:t>i Jin (</w:t>
      </w:r>
      <w:r w:rsidR="00B70F7E">
        <w:rPr>
          <w:rFonts w:ascii="Book Antiqua" w:eastAsia="SimSun" w:hAnsi="Book Antiqua" w:cs="Times New Roman"/>
          <w:snapToGrid w:val="0"/>
          <w:color w:val="000000" w:themeColor="text1"/>
          <w:kern w:val="0"/>
          <w:sz w:val="24"/>
          <w:szCs w:val="24"/>
          <w:lang w:eastAsia="en-US" w:bidi="en-US"/>
        </w:rPr>
        <w:t>0000-0002-6685-1102</w:t>
      </w:r>
      <w:r w:rsidR="005D731F" w:rsidRPr="00FE1156">
        <w:rPr>
          <w:rFonts w:ascii="Book Antiqua" w:eastAsia="SimSun" w:hAnsi="Book Antiqua" w:cs="Times New Roman"/>
          <w:snapToGrid w:val="0"/>
          <w:color w:val="000000" w:themeColor="text1"/>
          <w:kern w:val="0"/>
          <w:sz w:val="24"/>
          <w:szCs w:val="24"/>
          <w:lang w:eastAsia="en-US" w:bidi="en-US"/>
        </w:rPr>
        <w:t>)</w:t>
      </w:r>
      <w:r w:rsidR="00B70F7E">
        <w:rPr>
          <w:rFonts w:ascii="Book Antiqua" w:eastAsia="SimSun" w:hAnsi="Book Antiqua" w:cs="Times New Roman"/>
          <w:snapToGrid w:val="0"/>
          <w:color w:val="000000" w:themeColor="text1"/>
          <w:kern w:val="0"/>
          <w:sz w:val="24"/>
          <w:szCs w:val="24"/>
          <w:lang w:eastAsia="en-US" w:bidi="en-US"/>
        </w:rPr>
        <w:t xml:space="preserve">; </w:t>
      </w:r>
      <w:r w:rsidR="005D731F" w:rsidRPr="00FE1156">
        <w:rPr>
          <w:rFonts w:ascii="Book Antiqua" w:eastAsia="SimSun" w:hAnsi="Book Antiqua" w:cs="Times New Roman"/>
          <w:snapToGrid w:val="0"/>
          <w:color w:val="000000" w:themeColor="text1"/>
          <w:kern w:val="0"/>
          <w:sz w:val="24"/>
          <w:szCs w:val="24"/>
          <w:lang w:eastAsia="en-US" w:bidi="en-US"/>
        </w:rPr>
        <w:t>Shuai Guo (0000-0002-7418-6915)</w:t>
      </w:r>
      <w:r w:rsidR="00B70F7E">
        <w:rPr>
          <w:rFonts w:ascii="Book Antiqua" w:eastAsia="SimSun" w:hAnsi="Book Antiqua" w:cs="Times New Roman"/>
          <w:snapToGrid w:val="0"/>
          <w:color w:val="000000" w:themeColor="text1"/>
          <w:kern w:val="0"/>
          <w:sz w:val="24"/>
          <w:szCs w:val="24"/>
          <w:lang w:eastAsia="en-US" w:bidi="en-US"/>
        </w:rPr>
        <w:t>;</w:t>
      </w:r>
      <w:r w:rsidR="00B70F7E">
        <w:rPr>
          <w:rFonts w:ascii="Book Antiqua" w:hAnsi="Book Antiqua"/>
          <w:b/>
          <w:color w:val="000000" w:themeColor="text1"/>
          <w:sz w:val="24"/>
          <w:szCs w:val="24"/>
        </w:rPr>
        <w:t xml:space="preserve"> </w:t>
      </w:r>
      <w:r w:rsidR="005D731F" w:rsidRPr="00FE1156">
        <w:rPr>
          <w:rFonts w:ascii="Book Antiqua" w:eastAsia="SimSun" w:hAnsi="Book Antiqua" w:cs="Times New Roman"/>
          <w:snapToGrid w:val="0"/>
          <w:color w:val="000000" w:themeColor="text1"/>
          <w:kern w:val="0"/>
          <w:sz w:val="24"/>
          <w:szCs w:val="24"/>
          <w:lang w:eastAsia="en-US" w:bidi="en-US"/>
        </w:rPr>
        <w:t>Zhe Dong (0000-0002-2181-8173)</w:t>
      </w:r>
      <w:r w:rsidR="00B70F7E">
        <w:rPr>
          <w:rFonts w:ascii="Book Antiqua" w:eastAsia="SimSun" w:hAnsi="Book Antiqua" w:cs="Times New Roman"/>
          <w:snapToGrid w:val="0"/>
          <w:color w:val="000000" w:themeColor="text1"/>
          <w:kern w:val="0"/>
          <w:sz w:val="24"/>
          <w:szCs w:val="24"/>
          <w:lang w:eastAsia="en-US" w:bidi="en-US"/>
        </w:rPr>
        <w:t>;</w:t>
      </w:r>
      <w:r w:rsidR="00B70F7E">
        <w:rPr>
          <w:rFonts w:ascii="Book Antiqua" w:hAnsi="Book Antiqua"/>
          <w:b/>
          <w:color w:val="000000" w:themeColor="text1"/>
          <w:sz w:val="24"/>
          <w:szCs w:val="24"/>
        </w:rPr>
        <w:t xml:space="preserve"> </w:t>
      </w:r>
      <w:r w:rsidR="00B70F7E">
        <w:rPr>
          <w:rFonts w:ascii="Book Antiqua" w:eastAsia="SimSun" w:hAnsi="Book Antiqua" w:cs="Times New Roman"/>
          <w:snapToGrid w:val="0"/>
          <w:color w:val="000000" w:themeColor="text1"/>
          <w:kern w:val="0"/>
          <w:sz w:val="24"/>
          <w:szCs w:val="24"/>
          <w:lang w:eastAsia="en-US" w:bidi="en-US"/>
        </w:rPr>
        <w:t>Zhi-C</w:t>
      </w:r>
      <w:r w:rsidR="005D731F" w:rsidRPr="00FE1156">
        <w:rPr>
          <w:rFonts w:ascii="Book Antiqua" w:eastAsia="SimSun" w:hAnsi="Book Antiqua" w:cs="Times New Roman"/>
          <w:snapToGrid w:val="0"/>
          <w:color w:val="000000" w:themeColor="text1"/>
          <w:kern w:val="0"/>
          <w:sz w:val="24"/>
          <w:szCs w:val="24"/>
          <w:lang w:eastAsia="en-US" w:bidi="en-US"/>
        </w:rPr>
        <w:t>hao Zheng (0000-0003-1939-8138)</w:t>
      </w:r>
      <w:r w:rsidR="00B70F7E">
        <w:rPr>
          <w:rFonts w:ascii="Book Antiqua" w:eastAsia="SimSun" w:hAnsi="Book Antiqua" w:cs="Times New Roman"/>
          <w:snapToGrid w:val="0"/>
          <w:color w:val="000000" w:themeColor="text1"/>
          <w:kern w:val="0"/>
          <w:sz w:val="24"/>
          <w:szCs w:val="24"/>
          <w:lang w:eastAsia="en-US" w:bidi="en-US"/>
        </w:rPr>
        <w:t>;</w:t>
      </w:r>
      <w:r w:rsidR="00B70F7E">
        <w:rPr>
          <w:rFonts w:ascii="Book Antiqua" w:hAnsi="Book Antiqua"/>
          <w:b/>
          <w:color w:val="000000" w:themeColor="text1"/>
          <w:sz w:val="24"/>
          <w:szCs w:val="24"/>
        </w:rPr>
        <w:t xml:space="preserve"> </w:t>
      </w:r>
      <w:r w:rsidR="005D731F" w:rsidRPr="00FE1156">
        <w:rPr>
          <w:rFonts w:ascii="Book Antiqua" w:eastAsia="SimSun" w:hAnsi="Book Antiqua" w:cs="Times New Roman"/>
          <w:snapToGrid w:val="0"/>
          <w:color w:val="000000" w:themeColor="text1"/>
          <w:kern w:val="0"/>
          <w:sz w:val="24"/>
          <w:szCs w:val="24"/>
          <w:lang w:eastAsia="en-US" w:bidi="en-US"/>
        </w:rPr>
        <w:t>Yue Wang (0000-0003-4536-9904)</w:t>
      </w:r>
      <w:r w:rsidR="00B70F7E">
        <w:rPr>
          <w:rFonts w:ascii="Book Antiqua" w:eastAsia="SimSun" w:hAnsi="Book Antiqua" w:cs="Times New Roman"/>
          <w:snapToGrid w:val="0"/>
          <w:color w:val="000000" w:themeColor="text1"/>
          <w:kern w:val="0"/>
          <w:sz w:val="24"/>
          <w:szCs w:val="24"/>
          <w:lang w:eastAsia="en-US" w:bidi="en-US"/>
        </w:rPr>
        <w:t>;</w:t>
      </w:r>
      <w:r w:rsidR="00B70F7E">
        <w:rPr>
          <w:rFonts w:ascii="Book Antiqua" w:hAnsi="Book Antiqua"/>
          <w:b/>
          <w:color w:val="000000" w:themeColor="text1"/>
          <w:sz w:val="24"/>
          <w:szCs w:val="24"/>
        </w:rPr>
        <w:t xml:space="preserve"> </w:t>
      </w:r>
      <w:r w:rsidR="005D731F" w:rsidRPr="00FE1156">
        <w:rPr>
          <w:rFonts w:ascii="Book Antiqua" w:eastAsia="SimSun" w:hAnsi="Book Antiqua" w:cs="Times New Roman"/>
          <w:snapToGrid w:val="0"/>
          <w:color w:val="000000" w:themeColor="text1"/>
          <w:kern w:val="0"/>
          <w:sz w:val="24"/>
          <w:szCs w:val="24"/>
          <w:lang w:eastAsia="en-US" w:bidi="en-US"/>
        </w:rPr>
        <w:t>Yan Zhao (0000-0002-7760-916X)</w:t>
      </w:r>
      <w:r w:rsidR="00B70F7E">
        <w:rPr>
          <w:rFonts w:ascii="Book Antiqua" w:eastAsia="SimSun" w:hAnsi="Book Antiqua" w:cs="Times New Roman"/>
          <w:snapToGrid w:val="0"/>
          <w:color w:val="000000" w:themeColor="text1"/>
          <w:kern w:val="0"/>
          <w:sz w:val="24"/>
          <w:szCs w:val="24"/>
          <w:lang w:eastAsia="en-US" w:bidi="en-US"/>
        </w:rPr>
        <w:t>.</w:t>
      </w:r>
    </w:p>
    <w:p w14:paraId="5677CAE6" w14:textId="77777777" w:rsidR="00B70F7E" w:rsidRPr="00B70F7E" w:rsidRDefault="00B70F7E" w:rsidP="00FE1156">
      <w:pPr>
        <w:adjustRightInd w:val="0"/>
        <w:snapToGrid w:val="0"/>
        <w:spacing w:line="360" w:lineRule="auto"/>
        <w:rPr>
          <w:rFonts w:ascii="Book Antiqua" w:hAnsi="Book Antiqua"/>
          <w:b/>
          <w:color w:val="000000" w:themeColor="text1"/>
          <w:sz w:val="24"/>
          <w:szCs w:val="24"/>
        </w:rPr>
      </w:pPr>
    </w:p>
    <w:p w14:paraId="6FF3E04E" w14:textId="1D5C34AE" w:rsidR="00CE110A" w:rsidRPr="00FE1156" w:rsidRDefault="00B70F7E"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Author c</w:t>
      </w:r>
      <w:r w:rsidR="00CE110A" w:rsidRPr="00FE1156">
        <w:rPr>
          <w:rFonts w:ascii="Book Antiqua" w:hAnsi="Book Antiqua" w:cs="Times New Roman"/>
          <w:b/>
          <w:color w:val="000000" w:themeColor="text1"/>
          <w:sz w:val="24"/>
          <w:szCs w:val="24"/>
        </w:rPr>
        <w:t xml:space="preserve">ontributions: </w:t>
      </w:r>
      <w:r w:rsidR="00CE110A" w:rsidRPr="00FE1156">
        <w:rPr>
          <w:rFonts w:ascii="Book Antiqua" w:eastAsia="SimSun" w:hAnsi="Book Antiqua" w:cs="Times New Roman"/>
          <w:snapToGrid w:val="0"/>
          <w:color w:val="000000" w:themeColor="text1"/>
          <w:kern w:val="0"/>
          <w:sz w:val="24"/>
          <w:szCs w:val="24"/>
          <w:lang w:eastAsia="en-US" w:bidi="en-US"/>
        </w:rPr>
        <w:t xml:space="preserve">Zhang J performed the majority of experiments and </w:t>
      </w:r>
      <w:r w:rsidR="00CE110A" w:rsidRPr="00FE1156">
        <w:rPr>
          <w:rFonts w:ascii="Book Antiqua" w:eastAsia="SimSun" w:hAnsi="Book Antiqua" w:cs="Times New Roman"/>
          <w:snapToGrid w:val="0"/>
          <w:color w:val="000000" w:themeColor="text1"/>
          <w:kern w:val="0"/>
          <w:sz w:val="24"/>
          <w:szCs w:val="24"/>
          <w:lang w:eastAsia="en-US" w:bidi="en-US"/>
        </w:rPr>
        <w:lastRenderedPageBreak/>
        <w:t>analyzed the data and drafted the manus</w:t>
      </w:r>
      <w:r w:rsidR="009336D9">
        <w:rPr>
          <w:rFonts w:ascii="Book Antiqua" w:eastAsia="SimSun" w:hAnsi="Book Antiqua" w:cs="Times New Roman"/>
          <w:snapToGrid w:val="0"/>
          <w:color w:val="000000" w:themeColor="text1"/>
          <w:kern w:val="0"/>
          <w:sz w:val="24"/>
          <w:szCs w:val="24"/>
          <w:lang w:eastAsia="en-US" w:bidi="en-US"/>
        </w:rPr>
        <w:t>cript; Zheng ZC</w:t>
      </w:r>
      <w:r w:rsidR="00CE110A" w:rsidRPr="00FE1156">
        <w:rPr>
          <w:rFonts w:ascii="Book Antiqua" w:eastAsia="SimSun" w:hAnsi="Book Antiqua" w:cs="Times New Roman"/>
          <w:snapToGrid w:val="0"/>
          <w:color w:val="000000" w:themeColor="text1"/>
          <w:kern w:val="0"/>
          <w:sz w:val="24"/>
          <w:szCs w:val="24"/>
          <w:lang w:eastAsia="en-US" w:bidi="en-US"/>
        </w:rPr>
        <w:t xml:space="preserve">, Zhao Y designed the research; Wu Y, Dong Z conducted the </w:t>
      </w:r>
      <w:r>
        <w:rPr>
          <w:rFonts w:ascii="Book Antiqua" w:eastAsia="SimSun" w:hAnsi="Book Antiqua" w:cs="Times New Roman"/>
          <w:snapToGrid w:val="0"/>
          <w:color w:val="000000" w:themeColor="text1"/>
          <w:kern w:val="0"/>
          <w:sz w:val="24"/>
          <w:szCs w:val="24"/>
          <w:lang w:eastAsia="en-US" w:bidi="en-US"/>
        </w:rPr>
        <w:t>i</w:t>
      </w:r>
      <w:r w:rsidRPr="00B70F7E">
        <w:rPr>
          <w:rFonts w:ascii="Book Antiqua" w:eastAsia="SimSun" w:hAnsi="Book Antiqua" w:cs="Times New Roman"/>
          <w:snapToGrid w:val="0"/>
          <w:color w:val="000000" w:themeColor="text1"/>
          <w:kern w:val="0"/>
          <w:sz w:val="24"/>
          <w:szCs w:val="24"/>
          <w:lang w:eastAsia="en-US" w:bidi="en-US"/>
        </w:rPr>
        <w:t>mmunohistochemistry</w:t>
      </w:r>
      <w:r w:rsidR="00CE110A" w:rsidRPr="00FE1156">
        <w:rPr>
          <w:rFonts w:ascii="Book Antiqua" w:eastAsia="SimSun" w:hAnsi="Book Antiqua" w:cs="Times New Roman"/>
          <w:snapToGrid w:val="0"/>
          <w:color w:val="000000" w:themeColor="text1"/>
          <w:kern w:val="0"/>
          <w:sz w:val="24"/>
          <w:szCs w:val="24"/>
          <w:lang w:eastAsia="en-US" w:bidi="en-US"/>
        </w:rPr>
        <w:t xml:space="preserve"> assays and assisted in writing the manuscript; Guo S, Wang Y collected and analyzed the data; </w:t>
      </w:r>
      <w:r w:rsidR="006B4DF9" w:rsidRPr="00FE1156">
        <w:rPr>
          <w:rFonts w:ascii="Book Antiqua" w:eastAsia="SimSun" w:hAnsi="Book Antiqua" w:cs="Times New Roman"/>
          <w:snapToGrid w:val="0"/>
          <w:color w:val="000000" w:themeColor="text1"/>
          <w:kern w:val="0"/>
          <w:sz w:val="24"/>
          <w:szCs w:val="24"/>
          <w:lang w:eastAsia="en-US" w:bidi="en-US"/>
        </w:rPr>
        <w:t>Zhao Y</w:t>
      </w:r>
      <w:r w:rsidR="00CE110A" w:rsidRPr="00FE1156">
        <w:rPr>
          <w:rFonts w:ascii="Book Antiqua" w:eastAsia="SimSun" w:hAnsi="Book Antiqua" w:cs="Times New Roman"/>
          <w:snapToGrid w:val="0"/>
          <w:color w:val="000000" w:themeColor="text1"/>
          <w:kern w:val="0"/>
          <w:sz w:val="24"/>
          <w:szCs w:val="24"/>
          <w:lang w:eastAsia="en-US" w:bidi="en-US"/>
        </w:rPr>
        <w:t xml:space="preserve"> provided critical revision of the manuscript for important intellectual content.</w:t>
      </w:r>
      <w:r w:rsidR="00C066A1" w:rsidRPr="00FE1156">
        <w:rPr>
          <w:rFonts w:ascii="Book Antiqua" w:eastAsia="SimSun" w:hAnsi="Book Antiqua" w:cs="Times New Roman"/>
          <w:snapToGrid w:val="0"/>
          <w:color w:val="000000" w:themeColor="text1"/>
          <w:kern w:val="0"/>
          <w:sz w:val="24"/>
          <w:szCs w:val="24"/>
          <w:lang w:eastAsia="en-US" w:bidi="en-US"/>
        </w:rPr>
        <w:t xml:space="preserve"> Jin HY provided critical revision of the manuscript for important intellectual content.</w:t>
      </w:r>
    </w:p>
    <w:p w14:paraId="591A45B7" w14:textId="77777777" w:rsidR="00B70F7E" w:rsidRDefault="00B70F7E" w:rsidP="00FE1156">
      <w:pPr>
        <w:adjustRightInd w:val="0"/>
        <w:snapToGrid w:val="0"/>
        <w:spacing w:line="360" w:lineRule="auto"/>
        <w:rPr>
          <w:rFonts w:ascii="Book Antiqua" w:hAnsi="Book Antiqua" w:cs="Times New Roman"/>
          <w:b/>
          <w:color w:val="000000" w:themeColor="text1"/>
          <w:sz w:val="24"/>
          <w:szCs w:val="24"/>
        </w:rPr>
      </w:pPr>
    </w:p>
    <w:p w14:paraId="79F0FCE7" w14:textId="6BE85ED3" w:rsidR="00CE110A" w:rsidRDefault="00CE110A" w:rsidP="006119F2">
      <w:pPr>
        <w:adjustRightInd w:val="0"/>
        <w:snapToGrid w:val="0"/>
        <w:spacing w:line="360" w:lineRule="auto"/>
        <w:outlineLvl w:val="0"/>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t>Supported by</w:t>
      </w:r>
      <w:r w:rsidR="00B70F7E">
        <w:rPr>
          <w:rFonts w:ascii="Book Antiqua" w:hAnsi="Book Antiqua" w:cs="Times New Roman"/>
          <w:color w:val="000000" w:themeColor="text1"/>
          <w:sz w:val="24"/>
          <w:szCs w:val="24"/>
        </w:rPr>
        <w:t xml:space="preserve"> Liaoning S&amp;T Project, No. 2015020269.</w:t>
      </w:r>
    </w:p>
    <w:p w14:paraId="32AE831B" w14:textId="77777777" w:rsidR="00B70F7E" w:rsidRPr="00FE1156" w:rsidRDefault="00B70F7E" w:rsidP="00FE1156">
      <w:pPr>
        <w:adjustRightInd w:val="0"/>
        <w:snapToGrid w:val="0"/>
        <w:spacing w:line="360" w:lineRule="auto"/>
        <w:rPr>
          <w:rFonts w:ascii="Book Antiqua" w:hAnsi="Book Antiqua" w:cs="Times New Roman"/>
          <w:color w:val="000000" w:themeColor="text1"/>
          <w:sz w:val="24"/>
          <w:szCs w:val="24"/>
        </w:rPr>
      </w:pPr>
    </w:p>
    <w:p w14:paraId="2D2331C4" w14:textId="6CFA0782" w:rsidR="00CE110A" w:rsidRPr="00FE1156" w:rsidRDefault="00CE110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t>Institutional review board statement:</w:t>
      </w:r>
      <w:r w:rsidRPr="00FE1156">
        <w:rPr>
          <w:rFonts w:ascii="Book Antiqua" w:hAnsi="Book Antiqua" w:cs="Times New Roman"/>
          <w:color w:val="000000" w:themeColor="text1"/>
          <w:sz w:val="24"/>
          <w:szCs w:val="24"/>
        </w:rPr>
        <w:t xml:space="preserve"> The study was reviewed and approved by the Faculty of Science Ethics Committee at Liaoning Cancer Hospital </w:t>
      </w:r>
      <w:r w:rsidR="00B70F7E">
        <w:rPr>
          <w:rFonts w:ascii="Book Antiqua" w:hAnsi="Book Antiqua" w:cs="Times New Roman"/>
          <w:color w:val="000000" w:themeColor="text1"/>
          <w:sz w:val="24"/>
          <w:szCs w:val="24"/>
        </w:rPr>
        <w:t>and</w:t>
      </w:r>
      <w:r w:rsidRPr="00FE1156">
        <w:rPr>
          <w:rFonts w:ascii="Book Antiqua" w:hAnsi="Book Antiqua" w:cs="Times New Roman"/>
          <w:color w:val="000000" w:themeColor="text1"/>
          <w:sz w:val="24"/>
          <w:szCs w:val="24"/>
        </w:rPr>
        <w:t xml:space="preserve"> Institute (Cancer Hospital of China Medical University)</w:t>
      </w:r>
      <w:r w:rsidR="00B70F7E">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(20150308-2)</w:t>
      </w:r>
      <w:r w:rsidR="00B70F7E">
        <w:rPr>
          <w:rFonts w:ascii="Book Antiqua" w:hAnsi="Book Antiqua" w:cs="Times New Roman"/>
          <w:color w:val="000000" w:themeColor="text1"/>
          <w:sz w:val="24"/>
          <w:szCs w:val="24"/>
        </w:rPr>
        <w:t>.</w:t>
      </w:r>
    </w:p>
    <w:p w14:paraId="3A38EBD1" w14:textId="41931074" w:rsidR="00CE110A" w:rsidRPr="00FE1156" w:rsidRDefault="00CE110A" w:rsidP="00FE1156">
      <w:pPr>
        <w:adjustRightInd w:val="0"/>
        <w:snapToGrid w:val="0"/>
        <w:spacing w:line="360" w:lineRule="auto"/>
        <w:rPr>
          <w:rFonts w:ascii="Book Antiqua" w:hAnsi="Book Antiqua" w:cs="Times New Roman"/>
          <w:color w:val="000000" w:themeColor="text1"/>
          <w:sz w:val="24"/>
          <w:szCs w:val="24"/>
        </w:rPr>
      </w:pPr>
    </w:p>
    <w:p w14:paraId="34BB92EF" w14:textId="77777777" w:rsidR="00CE110A" w:rsidRDefault="00CE110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t>Conflict-of-interest statement:</w:t>
      </w:r>
      <w:r w:rsidRPr="00FE1156">
        <w:rPr>
          <w:rFonts w:ascii="Book Antiqua" w:hAnsi="Book Antiqua" w:cs="Times New Roman"/>
          <w:color w:val="000000" w:themeColor="text1"/>
          <w:sz w:val="24"/>
          <w:szCs w:val="24"/>
        </w:rPr>
        <w:t xml:space="preserve"> The authors declare that there are no conflicts of interest related to this study.</w:t>
      </w:r>
    </w:p>
    <w:p w14:paraId="4EFEFDBD" w14:textId="77777777" w:rsidR="00B70F7E" w:rsidRPr="00FE1156" w:rsidRDefault="00B70F7E" w:rsidP="00FE1156">
      <w:pPr>
        <w:adjustRightInd w:val="0"/>
        <w:snapToGrid w:val="0"/>
        <w:spacing w:line="360" w:lineRule="auto"/>
        <w:rPr>
          <w:rFonts w:ascii="Book Antiqua" w:hAnsi="Book Antiqua" w:cs="Times New Roman"/>
          <w:color w:val="000000" w:themeColor="text1"/>
          <w:sz w:val="24"/>
          <w:szCs w:val="24"/>
        </w:rPr>
      </w:pPr>
    </w:p>
    <w:p w14:paraId="1B00A4C8" w14:textId="77777777" w:rsidR="00CE110A" w:rsidRDefault="00CE110A" w:rsidP="006119F2">
      <w:pPr>
        <w:adjustRightInd w:val="0"/>
        <w:snapToGrid w:val="0"/>
        <w:spacing w:line="360" w:lineRule="auto"/>
        <w:outlineLvl w:val="0"/>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t xml:space="preserve">Data sharing statement: </w:t>
      </w:r>
      <w:r w:rsidRPr="00FE1156">
        <w:rPr>
          <w:rFonts w:ascii="Book Antiqua" w:hAnsi="Book Antiqua" w:cs="Times New Roman"/>
          <w:color w:val="000000" w:themeColor="text1"/>
          <w:sz w:val="24"/>
          <w:szCs w:val="24"/>
        </w:rPr>
        <w:t>No additional data are available.</w:t>
      </w:r>
    </w:p>
    <w:p w14:paraId="27590AB6" w14:textId="77777777" w:rsidR="00B70F7E" w:rsidRPr="00FE1156" w:rsidRDefault="00B70F7E" w:rsidP="00FE1156">
      <w:pPr>
        <w:adjustRightInd w:val="0"/>
        <w:snapToGrid w:val="0"/>
        <w:spacing w:line="360" w:lineRule="auto"/>
        <w:rPr>
          <w:rFonts w:ascii="Book Antiqua" w:hAnsi="Book Antiqua" w:cs="Times New Roman"/>
          <w:color w:val="000000" w:themeColor="text1"/>
          <w:sz w:val="24"/>
          <w:szCs w:val="24"/>
        </w:rPr>
      </w:pPr>
    </w:p>
    <w:p w14:paraId="1DFCB3CC" w14:textId="0682C9E5" w:rsidR="00B70F7E" w:rsidRDefault="00626769" w:rsidP="00FE1156">
      <w:pPr>
        <w:adjustRightInd w:val="0"/>
        <w:snapToGrid w:val="0"/>
        <w:spacing w:line="360" w:lineRule="auto"/>
        <w:rPr>
          <w:rFonts w:ascii="Book Antiqua" w:hAnsi="Book Antiqua"/>
          <w:color w:val="000000" w:themeColor="text1"/>
          <w:sz w:val="24"/>
          <w:szCs w:val="24"/>
        </w:rPr>
      </w:pPr>
      <w:r w:rsidRPr="00FE1156">
        <w:rPr>
          <w:rFonts w:ascii="Book Antiqua" w:hAnsi="Book Antiqua"/>
          <w:b/>
          <w:bCs/>
          <w:color w:val="000000" w:themeColor="text1"/>
          <w:sz w:val="24"/>
          <w:szCs w:val="24"/>
        </w:rPr>
        <w:t>ARRIVE guidelines statement:</w:t>
      </w:r>
      <w:r w:rsidRPr="00FE1156">
        <w:rPr>
          <w:rStyle w:val="apple-converted-space"/>
          <w:rFonts w:ascii="Book Antiqua" w:hAnsi="Book Antiqua"/>
          <w:b/>
          <w:bCs/>
          <w:color w:val="000000" w:themeColor="text1"/>
          <w:sz w:val="24"/>
          <w:szCs w:val="24"/>
        </w:rPr>
        <w:t> </w:t>
      </w:r>
      <w:r w:rsidR="002F1E99" w:rsidRPr="00FE1156">
        <w:rPr>
          <w:rFonts w:ascii="Book Antiqua" w:hAnsi="Book Antiqua"/>
          <w:color w:val="000000" w:themeColor="text1"/>
          <w:sz w:val="24"/>
          <w:szCs w:val="24"/>
        </w:rPr>
        <w:t>The authors have read the ARRIVE guidelines, and the manuscript was prepared and revised according to the ARRIVE guidelines.</w:t>
      </w:r>
      <w:r w:rsidR="00D85B20" w:rsidRPr="00FE1156">
        <w:rPr>
          <w:rFonts w:ascii="Book Antiqua" w:hAnsi="Book Antiqua"/>
          <w:color w:val="000000" w:themeColor="text1"/>
          <w:sz w:val="24"/>
          <w:szCs w:val="24"/>
        </w:rPr>
        <w:t xml:space="preserve"> </w:t>
      </w:r>
    </w:p>
    <w:p w14:paraId="114989E8" w14:textId="77777777" w:rsidR="00B70F7E" w:rsidRDefault="00B70F7E" w:rsidP="00FE1156">
      <w:pPr>
        <w:adjustRightInd w:val="0"/>
        <w:snapToGrid w:val="0"/>
        <w:spacing w:line="360" w:lineRule="auto"/>
        <w:rPr>
          <w:rFonts w:ascii="Book Antiqua" w:hAnsi="Book Antiqua"/>
          <w:color w:val="000000" w:themeColor="text1"/>
          <w:sz w:val="24"/>
          <w:szCs w:val="24"/>
        </w:rPr>
      </w:pPr>
    </w:p>
    <w:p w14:paraId="0F4127F1" w14:textId="028A5E1F" w:rsidR="00CE110A" w:rsidRPr="00FE1156" w:rsidRDefault="00CE110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t xml:space="preserve">Open-Access: </w:t>
      </w:r>
      <w:r w:rsidRPr="00FE1156">
        <w:rPr>
          <w:rFonts w:ascii="Book Antiqua" w:hAnsi="Book Antiqua" w:cs="Times New Roman"/>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3C3710" w14:textId="77777777" w:rsidR="00B70F7E" w:rsidRDefault="00B70F7E" w:rsidP="00FE1156">
      <w:pPr>
        <w:adjustRightInd w:val="0"/>
        <w:snapToGrid w:val="0"/>
        <w:spacing w:line="360" w:lineRule="auto"/>
        <w:rPr>
          <w:rFonts w:ascii="Book Antiqua" w:hAnsi="Book Antiqua" w:cs="Times New Roman"/>
          <w:b/>
          <w:color w:val="000000" w:themeColor="text1"/>
          <w:sz w:val="24"/>
          <w:szCs w:val="24"/>
        </w:rPr>
      </w:pPr>
    </w:p>
    <w:p w14:paraId="51A5F043" w14:textId="77777777" w:rsidR="00CE110A" w:rsidRPr="00FE1156" w:rsidRDefault="00CE110A" w:rsidP="006119F2">
      <w:pPr>
        <w:adjustRightInd w:val="0"/>
        <w:snapToGrid w:val="0"/>
        <w:spacing w:line="360" w:lineRule="auto"/>
        <w:outlineLvl w:val="0"/>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lastRenderedPageBreak/>
        <w:t>Manuscript source:</w:t>
      </w:r>
      <w:r w:rsidRPr="00FE1156">
        <w:rPr>
          <w:rFonts w:ascii="Book Antiqua" w:hAnsi="Book Antiqua" w:cs="Times New Roman"/>
          <w:color w:val="000000" w:themeColor="text1"/>
          <w:sz w:val="24"/>
          <w:szCs w:val="24"/>
        </w:rPr>
        <w:t xml:space="preserve"> Unsolicited manuscript</w:t>
      </w:r>
    </w:p>
    <w:p w14:paraId="1A1950FC" w14:textId="77777777" w:rsidR="00B70F7E" w:rsidRDefault="00B70F7E" w:rsidP="00FE1156">
      <w:pPr>
        <w:adjustRightInd w:val="0"/>
        <w:snapToGrid w:val="0"/>
        <w:spacing w:line="360" w:lineRule="auto"/>
        <w:rPr>
          <w:rFonts w:ascii="Book Antiqua" w:hAnsi="Book Antiqua" w:cs="Times New Roman"/>
          <w:b/>
          <w:color w:val="000000" w:themeColor="text1"/>
          <w:sz w:val="24"/>
          <w:szCs w:val="24"/>
        </w:rPr>
      </w:pPr>
    </w:p>
    <w:p w14:paraId="0742A88A" w14:textId="1A337712" w:rsidR="00CE110A" w:rsidRPr="00FE1156" w:rsidRDefault="00CE110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t>Correspondence</w:t>
      </w:r>
      <w:r w:rsidR="00B70F7E">
        <w:rPr>
          <w:rFonts w:ascii="Book Antiqua" w:hAnsi="Book Antiqua" w:cs="Times New Roman"/>
          <w:b/>
          <w:color w:val="000000" w:themeColor="text1"/>
          <w:sz w:val="24"/>
          <w:szCs w:val="24"/>
        </w:rPr>
        <w:t xml:space="preserve"> to</w:t>
      </w:r>
      <w:r w:rsidRPr="00FE1156">
        <w:rPr>
          <w:rFonts w:ascii="Book Antiqua" w:hAnsi="Book Antiqua" w:cs="Times New Roman"/>
          <w:b/>
          <w:color w:val="000000" w:themeColor="text1"/>
          <w:sz w:val="24"/>
          <w:szCs w:val="24"/>
        </w:rPr>
        <w:t xml:space="preserve">: </w:t>
      </w:r>
      <w:r w:rsidRPr="00550ADC">
        <w:rPr>
          <w:rFonts w:ascii="Book Antiqua" w:hAnsi="Book Antiqua" w:cs="Times New Roman"/>
          <w:b/>
          <w:color w:val="000000" w:themeColor="text1"/>
          <w:sz w:val="24"/>
          <w:szCs w:val="24"/>
        </w:rPr>
        <w:t>Yan Zhao, PhD, Professor,</w:t>
      </w:r>
      <w:r w:rsidRPr="00FE1156">
        <w:rPr>
          <w:rFonts w:ascii="Book Antiqua" w:hAnsi="Book Antiqua" w:cs="Times New Roman"/>
          <w:color w:val="000000" w:themeColor="text1"/>
          <w:sz w:val="24"/>
          <w:szCs w:val="24"/>
        </w:rPr>
        <w:t xml:space="preserve"> </w:t>
      </w:r>
      <w:r w:rsidR="00A13E0C" w:rsidRPr="00A13E0C">
        <w:rPr>
          <w:rFonts w:ascii="Book Antiqua" w:hAnsi="Book Antiqua" w:cs="Times New Roman"/>
          <w:b/>
          <w:color w:val="000000" w:themeColor="text1"/>
          <w:sz w:val="24"/>
          <w:szCs w:val="24"/>
        </w:rPr>
        <w:t>Vice-President,</w:t>
      </w:r>
      <w:r w:rsidR="00A13E0C">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Department of Gastric Ca</w:t>
      </w:r>
      <w:r w:rsidR="00550ADC">
        <w:rPr>
          <w:rFonts w:ascii="Book Antiqua" w:hAnsi="Book Antiqua" w:cs="Times New Roman"/>
          <w:color w:val="000000" w:themeColor="text1"/>
          <w:sz w:val="24"/>
          <w:szCs w:val="24"/>
        </w:rPr>
        <w:t>ncer, Liaoning Cancer Hospital and</w:t>
      </w:r>
      <w:r w:rsidRPr="00FE1156">
        <w:rPr>
          <w:rFonts w:ascii="Book Antiqua" w:hAnsi="Book Antiqua" w:cs="Times New Roman"/>
          <w:color w:val="000000" w:themeColor="text1"/>
          <w:sz w:val="24"/>
          <w:szCs w:val="24"/>
        </w:rPr>
        <w:t xml:space="preserve"> Institute (Cancer Hospital of China Medical University)</w:t>
      </w:r>
      <w:r w:rsidR="00550ADC">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No. 44 Xiaoheyan Road, Dadong District, Shenyang</w:t>
      </w:r>
      <w:r w:rsidR="00550ADC">
        <w:rPr>
          <w:rFonts w:ascii="Book Antiqua" w:hAnsi="Book Antiqua" w:cs="Times New Roman"/>
          <w:color w:val="000000" w:themeColor="text1"/>
          <w:sz w:val="24"/>
          <w:szCs w:val="24"/>
        </w:rPr>
        <w:t xml:space="preserve"> </w:t>
      </w:r>
      <w:r w:rsidR="00550ADC" w:rsidRPr="00FE1156">
        <w:rPr>
          <w:rFonts w:ascii="Book Antiqua" w:hAnsi="Book Antiqua" w:cs="Times New Roman"/>
          <w:color w:val="000000" w:themeColor="text1"/>
          <w:sz w:val="24"/>
          <w:szCs w:val="24"/>
        </w:rPr>
        <w:t>110042</w:t>
      </w:r>
      <w:r w:rsidRPr="00FE1156">
        <w:rPr>
          <w:rFonts w:ascii="Book Antiqua" w:hAnsi="Book Antiqua" w:cs="Times New Roman"/>
          <w:color w:val="000000" w:themeColor="text1"/>
          <w:sz w:val="24"/>
          <w:szCs w:val="24"/>
        </w:rPr>
        <w:t>, Liaoning Province, China</w:t>
      </w:r>
      <w:r w:rsidR="00550ADC">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w:t>
      </w:r>
      <w:r w:rsidR="00550ADC" w:rsidRPr="00FE1156">
        <w:rPr>
          <w:rFonts w:ascii="Book Antiqua" w:hAnsi="Book Antiqua" w:cs="Times New Roman"/>
          <w:color w:val="000000" w:themeColor="text1"/>
          <w:sz w:val="24"/>
          <w:szCs w:val="24"/>
        </w:rPr>
        <w:t>zhaoyan@cancerhosp-ln-cmu.com</w:t>
      </w:r>
    </w:p>
    <w:p w14:paraId="2CF9CC7B" w14:textId="645CF6A9" w:rsidR="00CE110A" w:rsidRPr="00FE1156" w:rsidRDefault="00CE110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t>Telephone:</w:t>
      </w:r>
      <w:r w:rsidR="00550ADC">
        <w:rPr>
          <w:rFonts w:ascii="Book Antiqua" w:hAnsi="Book Antiqua" w:cs="Times New Roman"/>
          <w:color w:val="000000" w:themeColor="text1"/>
          <w:sz w:val="24"/>
          <w:szCs w:val="24"/>
        </w:rPr>
        <w:t xml:space="preserve"> +86-</w:t>
      </w:r>
      <w:r w:rsidRPr="00FE1156">
        <w:rPr>
          <w:rFonts w:ascii="Book Antiqua" w:hAnsi="Book Antiqua" w:cs="Times New Roman"/>
          <w:color w:val="000000" w:themeColor="text1"/>
          <w:sz w:val="24"/>
          <w:szCs w:val="24"/>
        </w:rPr>
        <w:t>24-31916823</w:t>
      </w:r>
    </w:p>
    <w:p w14:paraId="0626632E" w14:textId="2061D33D" w:rsidR="00CE110A" w:rsidRPr="00FE1156" w:rsidRDefault="00CE110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b/>
          <w:color w:val="000000" w:themeColor="text1"/>
          <w:sz w:val="24"/>
          <w:szCs w:val="24"/>
        </w:rPr>
        <w:t>Fax:</w:t>
      </w:r>
      <w:r w:rsidR="00550ADC">
        <w:rPr>
          <w:rFonts w:ascii="Book Antiqua" w:hAnsi="Book Antiqua" w:cs="Times New Roman"/>
          <w:color w:val="000000" w:themeColor="text1"/>
          <w:sz w:val="24"/>
          <w:szCs w:val="24"/>
        </w:rPr>
        <w:t xml:space="preserve"> +86-24-2431</w:t>
      </w:r>
      <w:r w:rsidRPr="00FE1156">
        <w:rPr>
          <w:rFonts w:ascii="Book Antiqua" w:hAnsi="Book Antiqua" w:cs="Times New Roman"/>
          <w:color w:val="000000" w:themeColor="text1"/>
          <w:sz w:val="24"/>
          <w:szCs w:val="24"/>
        </w:rPr>
        <w:t>5679</w:t>
      </w:r>
    </w:p>
    <w:p w14:paraId="63F19CE8" w14:textId="77777777" w:rsidR="00550ADC" w:rsidRPr="00550ADC" w:rsidRDefault="00550ADC" w:rsidP="00550ADC">
      <w:pPr>
        <w:widowControl/>
        <w:adjustRightInd w:val="0"/>
        <w:snapToGrid w:val="0"/>
        <w:spacing w:line="360" w:lineRule="auto"/>
        <w:rPr>
          <w:rFonts w:ascii="Book Antiqua" w:hAnsi="Book Antiqua" w:cs="Times New Roman"/>
          <w:b/>
          <w:color w:val="000000" w:themeColor="text1"/>
          <w:sz w:val="24"/>
          <w:szCs w:val="24"/>
        </w:rPr>
      </w:pPr>
    </w:p>
    <w:p w14:paraId="4BF9FE38" w14:textId="7666B6A4" w:rsidR="00550ADC" w:rsidRPr="00550ADC" w:rsidRDefault="00550ADC" w:rsidP="006119F2">
      <w:pPr>
        <w:adjustRightInd w:val="0"/>
        <w:snapToGrid w:val="0"/>
        <w:spacing w:line="360" w:lineRule="auto"/>
        <w:outlineLvl w:val="0"/>
        <w:rPr>
          <w:rFonts w:ascii="Book Antiqua" w:hAnsi="Book Antiqua"/>
          <w:b/>
          <w:sz w:val="24"/>
          <w:szCs w:val="24"/>
        </w:rPr>
      </w:pPr>
      <w:bookmarkStart w:id="50" w:name="OLE_LINK14"/>
      <w:bookmarkStart w:id="51" w:name="OLE_LINK51"/>
      <w:bookmarkStart w:id="52" w:name="OLE_LINK30"/>
      <w:r w:rsidRPr="00550ADC">
        <w:rPr>
          <w:rFonts w:ascii="Book Antiqua" w:hAnsi="Book Antiqua"/>
          <w:b/>
          <w:sz w:val="24"/>
          <w:szCs w:val="24"/>
        </w:rPr>
        <w:t xml:space="preserve">Received: </w:t>
      </w:r>
      <w:bookmarkStart w:id="53" w:name="OLE_LINK266"/>
      <w:bookmarkStart w:id="54" w:name="OLE_LINK267"/>
      <w:r w:rsidR="008B030D">
        <w:rPr>
          <w:rFonts w:ascii="Book Antiqua" w:hAnsi="Book Antiqua"/>
          <w:sz w:val="24"/>
          <w:szCs w:val="24"/>
        </w:rPr>
        <w:t>August 2</w:t>
      </w:r>
      <w:bookmarkEnd w:id="53"/>
      <w:bookmarkEnd w:id="54"/>
      <w:r w:rsidRPr="00550ADC">
        <w:rPr>
          <w:rFonts w:ascii="Book Antiqua" w:eastAsia="DengXian" w:hAnsi="Book Antiqua"/>
          <w:sz w:val="24"/>
          <w:szCs w:val="24"/>
        </w:rPr>
        <w:t>, 2018</w:t>
      </w:r>
      <w:r w:rsidRPr="00550ADC">
        <w:rPr>
          <w:rFonts w:ascii="Book Antiqua" w:hAnsi="Book Antiqua"/>
          <w:b/>
          <w:sz w:val="24"/>
          <w:szCs w:val="24"/>
        </w:rPr>
        <w:t xml:space="preserve">  </w:t>
      </w:r>
    </w:p>
    <w:p w14:paraId="509A8B13" w14:textId="67A9E746" w:rsidR="00550ADC" w:rsidRPr="00550ADC" w:rsidRDefault="00550ADC" w:rsidP="006119F2">
      <w:pPr>
        <w:adjustRightInd w:val="0"/>
        <w:snapToGrid w:val="0"/>
        <w:spacing w:line="360" w:lineRule="auto"/>
        <w:outlineLvl w:val="0"/>
        <w:rPr>
          <w:rFonts w:ascii="Book Antiqua" w:eastAsia="DengXian" w:hAnsi="Book Antiqua"/>
          <w:b/>
          <w:sz w:val="24"/>
          <w:szCs w:val="24"/>
        </w:rPr>
      </w:pPr>
      <w:r w:rsidRPr="00550ADC">
        <w:rPr>
          <w:rFonts w:ascii="Book Antiqua" w:hAnsi="Book Antiqua"/>
          <w:b/>
          <w:sz w:val="24"/>
          <w:szCs w:val="24"/>
        </w:rPr>
        <w:t>Peer-review started:</w:t>
      </w:r>
      <w:r w:rsidRPr="00550ADC">
        <w:rPr>
          <w:rFonts w:ascii="Book Antiqua" w:eastAsia="DengXian" w:hAnsi="Book Antiqua"/>
          <w:b/>
          <w:sz w:val="24"/>
          <w:szCs w:val="24"/>
        </w:rPr>
        <w:t xml:space="preserve"> </w:t>
      </w:r>
      <w:r w:rsidR="008B030D">
        <w:rPr>
          <w:rFonts w:ascii="Book Antiqua" w:hAnsi="Book Antiqua"/>
          <w:sz w:val="24"/>
          <w:szCs w:val="24"/>
        </w:rPr>
        <w:t>August 2</w:t>
      </w:r>
      <w:r w:rsidRPr="00550ADC">
        <w:rPr>
          <w:rFonts w:ascii="Book Antiqua" w:eastAsia="DengXian" w:hAnsi="Book Antiqua"/>
          <w:sz w:val="24"/>
          <w:szCs w:val="24"/>
        </w:rPr>
        <w:t>, 2018</w:t>
      </w:r>
    </w:p>
    <w:p w14:paraId="53D644D9" w14:textId="1B9D26FE" w:rsidR="00550ADC" w:rsidRPr="00550ADC" w:rsidRDefault="00550ADC" w:rsidP="006119F2">
      <w:pPr>
        <w:adjustRightInd w:val="0"/>
        <w:snapToGrid w:val="0"/>
        <w:spacing w:line="360" w:lineRule="auto"/>
        <w:outlineLvl w:val="0"/>
        <w:rPr>
          <w:rFonts w:ascii="Book Antiqua" w:eastAsia="DengXian" w:hAnsi="Book Antiqua"/>
          <w:b/>
          <w:sz w:val="24"/>
          <w:szCs w:val="24"/>
        </w:rPr>
      </w:pPr>
      <w:r w:rsidRPr="00550ADC">
        <w:rPr>
          <w:rFonts w:ascii="Book Antiqua" w:hAnsi="Book Antiqua"/>
          <w:b/>
          <w:sz w:val="24"/>
          <w:szCs w:val="24"/>
        </w:rPr>
        <w:t>First decision:</w:t>
      </w:r>
      <w:r w:rsidRPr="00550ADC">
        <w:rPr>
          <w:rFonts w:ascii="Book Antiqua" w:eastAsia="DengXian" w:hAnsi="Book Antiqua"/>
          <w:b/>
          <w:sz w:val="24"/>
          <w:szCs w:val="24"/>
        </w:rPr>
        <w:t xml:space="preserve"> </w:t>
      </w:r>
      <w:r w:rsidR="008B030D">
        <w:rPr>
          <w:rFonts w:ascii="Book Antiqua" w:hAnsi="Book Antiqua"/>
          <w:sz w:val="24"/>
          <w:szCs w:val="24"/>
        </w:rPr>
        <w:t>October 5</w:t>
      </w:r>
      <w:r w:rsidRPr="00550ADC">
        <w:rPr>
          <w:rFonts w:ascii="Book Antiqua" w:eastAsia="DengXian" w:hAnsi="Book Antiqua"/>
          <w:sz w:val="24"/>
          <w:szCs w:val="24"/>
        </w:rPr>
        <w:t>, 2018</w:t>
      </w:r>
    </w:p>
    <w:p w14:paraId="5E1C16B7" w14:textId="150E2CA1" w:rsidR="00550ADC" w:rsidRPr="00550ADC" w:rsidRDefault="00550ADC" w:rsidP="00550ADC">
      <w:pPr>
        <w:adjustRightInd w:val="0"/>
        <w:snapToGrid w:val="0"/>
        <w:spacing w:line="360" w:lineRule="auto"/>
        <w:rPr>
          <w:rFonts w:ascii="Book Antiqua" w:hAnsi="Book Antiqua"/>
          <w:b/>
          <w:sz w:val="24"/>
          <w:szCs w:val="24"/>
        </w:rPr>
      </w:pPr>
      <w:r w:rsidRPr="00550ADC">
        <w:rPr>
          <w:rFonts w:ascii="Book Antiqua" w:hAnsi="Book Antiqua"/>
          <w:b/>
          <w:sz w:val="24"/>
          <w:szCs w:val="24"/>
        </w:rPr>
        <w:t xml:space="preserve">Revised: </w:t>
      </w:r>
      <w:r w:rsidR="008B030D">
        <w:rPr>
          <w:rFonts w:ascii="Book Antiqua" w:hAnsi="Book Antiqua"/>
          <w:sz w:val="24"/>
          <w:szCs w:val="24"/>
        </w:rPr>
        <w:t>October 17</w:t>
      </w:r>
      <w:r w:rsidRPr="00550ADC">
        <w:rPr>
          <w:rFonts w:ascii="Book Antiqua" w:hAnsi="Book Antiqua"/>
          <w:sz w:val="24"/>
          <w:szCs w:val="24"/>
        </w:rPr>
        <w:t xml:space="preserve">, 2018 </w:t>
      </w:r>
    </w:p>
    <w:p w14:paraId="76A05B2B" w14:textId="4321A090" w:rsidR="00550ADC" w:rsidRPr="00550ADC" w:rsidRDefault="00550ADC" w:rsidP="006119F2">
      <w:pPr>
        <w:adjustRightInd w:val="0"/>
        <w:snapToGrid w:val="0"/>
        <w:spacing w:line="360" w:lineRule="auto"/>
        <w:outlineLvl w:val="0"/>
        <w:rPr>
          <w:rFonts w:ascii="Book Antiqua" w:hAnsi="Book Antiqua"/>
          <w:b/>
          <w:sz w:val="24"/>
          <w:szCs w:val="24"/>
        </w:rPr>
      </w:pPr>
      <w:r w:rsidRPr="00550ADC">
        <w:rPr>
          <w:rFonts w:ascii="Book Antiqua" w:hAnsi="Book Antiqua"/>
          <w:b/>
          <w:sz w:val="24"/>
          <w:szCs w:val="24"/>
        </w:rPr>
        <w:t>Accepted:</w:t>
      </w:r>
      <w:r w:rsidR="006C5715" w:rsidRPr="006C5715">
        <w:t xml:space="preserve"> </w:t>
      </w:r>
      <w:r w:rsidR="006C5715" w:rsidRPr="006C5715">
        <w:rPr>
          <w:rFonts w:ascii="Book Antiqua" w:hAnsi="Book Antiqua"/>
          <w:sz w:val="24"/>
          <w:szCs w:val="24"/>
        </w:rPr>
        <w:t>October 21, 2018</w:t>
      </w:r>
      <w:r w:rsidRPr="00550ADC">
        <w:rPr>
          <w:rFonts w:ascii="Book Antiqua" w:hAnsi="Book Antiqua"/>
          <w:b/>
          <w:sz w:val="24"/>
          <w:szCs w:val="24"/>
        </w:rPr>
        <w:t xml:space="preserve"> </w:t>
      </w:r>
    </w:p>
    <w:p w14:paraId="00D68805" w14:textId="77777777" w:rsidR="00550ADC" w:rsidRPr="00550ADC" w:rsidRDefault="00550ADC" w:rsidP="006119F2">
      <w:pPr>
        <w:adjustRightInd w:val="0"/>
        <w:snapToGrid w:val="0"/>
        <w:spacing w:line="360" w:lineRule="auto"/>
        <w:outlineLvl w:val="0"/>
        <w:rPr>
          <w:rFonts w:ascii="Book Antiqua" w:hAnsi="Book Antiqua"/>
          <w:b/>
          <w:sz w:val="24"/>
          <w:szCs w:val="24"/>
        </w:rPr>
      </w:pPr>
      <w:r w:rsidRPr="00550ADC">
        <w:rPr>
          <w:rFonts w:ascii="Book Antiqua" w:hAnsi="Book Antiqua"/>
          <w:b/>
          <w:sz w:val="24"/>
          <w:szCs w:val="24"/>
        </w:rPr>
        <w:t>Article in press:</w:t>
      </w:r>
    </w:p>
    <w:p w14:paraId="412CE3FC" w14:textId="77777777" w:rsidR="00550ADC" w:rsidRPr="00550ADC" w:rsidRDefault="00550ADC" w:rsidP="006119F2">
      <w:pPr>
        <w:adjustRightInd w:val="0"/>
        <w:snapToGrid w:val="0"/>
        <w:spacing w:line="360" w:lineRule="auto"/>
        <w:outlineLvl w:val="0"/>
        <w:rPr>
          <w:rFonts w:ascii="Book Antiqua" w:hAnsi="Book Antiqua"/>
          <w:color w:val="000000"/>
          <w:sz w:val="24"/>
          <w:szCs w:val="24"/>
        </w:rPr>
      </w:pPr>
      <w:r w:rsidRPr="00550ADC">
        <w:rPr>
          <w:rFonts w:ascii="Book Antiqua" w:hAnsi="Book Antiqua"/>
          <w:b/>
          <w:sz w:val="24"/>
          <w:szCs w:val="24"/>
        </w:rPr>
        <w:t>Published online:</w:t>
      </w:r>
      <w:bookmarkEnd w:id="50"/>
      <w:bookmarkEnd w:id="51"/>
    </w:p>
    <w:bookmarkEnd w:id="52"/>
    <w:p w14:paraId="5F36F60D" w14:textId="77777777" w:rsidR="00626769" w:rsidRPr="00550ADC" w:rsidRDefault="00626769" w:rsidP="00550ADC">
      <w:pPr>
        <w:widowControl/>
        <w:adjustRightInd w:val="0"/>
        <w:snapToGrid w:val="0"/>
        <w:spacing w:line="360" w:lineRule="auto"/>
        <w:rPr>
          <w:rFonts w:ascii="Book Antiqua" w:hAnsi="Book Antiqua" w:cs="Times New Roman"/>
          <w:b/>
          <w:color w:val="000000" w:themeColor="text1"/>
          <w:sz w:val="24"/>
          <w:szCs w:val="24"/>
        </w:rPr>
      </w:pPr>
      <w:r w:rsidRPr="00550ADC">
        <w:rPr>
          <w:rFonts w:ascii="Book Antiqua" w:hAnsi="Book Antiqua" w:cs="Times New Roman"/>
          <w:b/>
          <w:color w:val="000000" w:themeColor="text1"/>
          <w:sz w:val="24"/>
          <w:szCs w:val="24"/>
        </w:rPr>
        <w:br w:type="page"/>
      </w:r>
    </w:p>
    <w:p w14:paraId="41504BEC" w14:textId="77777777" w:rsidR="004738B9" w:rsidRPr="00FE1156" w:rsidRDefault="004738B9" w:rsidP="006119F2">
      <w:pPr>
        <w:adjustRightInd w:val="0"/>
        <w:snapToGrid w:val="0"/>
        <w:spacing w:line="360" w:lineRule="auto"/>
        <w:outlineLvl w:val="0"/>
        <w:rPr>
          <w:rFonts w:ascii="Book Antiqua" w:hAnsi="Book Antiqua" w:cs="Times New Roman"/>
          <w:color w:val="000000" w:themeColor="text1"/>
          <w:sz w:val="24"/>
          <w:szCs w:val="24"/>
          <w:u w:val="single"/>
        </w:rPr>
      </w:pPr>
      <w:r w:rsidRPr="00FE1156">
        <w:rPr>
          <w:rFonts w:ascii="Book Antiqua" w:hAnsi="Book Antiqua" w:cs="Times New Roman"/>
          <w:b/>
          <w:color w:val="000000" w:themeColor="text1"/>
          <w:sz w:val="24"/>
          <w:szCs w:val="24"/>
        </w:rPr>
        <w:lastRenderedPageBreak/>
        <w:t>Abstract</w:t>
      </w:r>
    </w:p>
    <w:p w14:paraId="407D6DA8"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AIM</w:t>
      </w:r>
    </w:p>
    <w:p w14:paraId="26E4A677" w14:textId="0F1B6135"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To detect significant clusters of co</w:t>
      </w:r>
      <w:r w:rsidR="006119F2">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expressed genes associated with tumorigenesis that might help to predict stomach adenocarcinoma (SA) prognosis.</w:t>
      </w:r>
    </w:p>
    <w:p w14:paraId="62772034" w14:textId="77777777" w:rsidR="006119F2" w:rsidRDefault="006119F2" w:rsidP="00FE1156">
      <w:pPr>
        <w:adjustRightInd w:val="0"/>
        <w:snapToGrid w:val="0"/>
        <w:spacing w:line="360" w:lineRule="auto"/>
        <w:rPr>
          <w:rFonts w:ascii="Book Antiqua" w:hAnsi="Book Antiqua" w:cs="Times New Roman"/>
          <w:b/>
          <w:i/>
          <w:color w:val="000000" w:themeColor="text1"/>
          <w:sz w:val="24"/>
          <w:szCs w:val="24"/>
        </w:rPr>
      </w:pPr>
    </w:p>
    <w:p w14:paraId="2CD2F44E"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 xml:space="preserve">METHODS </w:t>
      </w:r>
    </w:p>
    <w:p w14:paraId="33F31C58" w14:textId="0143B722" w:rsidR="004738B9" w:rsidRPr="00FE1156" w:rsidRDefault="004738B9" w:rsidP="00FE1156">
      <w:pPr>
        <w:adjustRightInd w:val="0"/>
        <w:snapToGrid w:val="0"/>
        <w:spacing w:line="360" w:lineRule="auto"/>
        <w:rPr>
          <w:rFonts w:ascii="Book Antiqua" w:hAnsi="Book Antiqua" w:cs="Times New Roman"/>
          <w:b/>
          <w:color w:val="000000" w:themeColor="text1"/>
          <w:sz w:val="24"/>
          <w:szCs w:val="24"/>
        </w:rPr>
      </w:pPr>
      <w:r w:rsidRPr="00FE1156">
        <w:rPr>
          <w:rFonts w:ascii="Book Antiqua" w:hAnsi="Book Antiqua" w:cs="Times New Roman"/>
          <w:color w:val="000000" w:themeColor="text1"/>
          <w:sz w:val="24"/>
          <w:szCs w:val="24"/>
        </w:rPr>
        <w:t>The Cancer Genome Atlas (TCGA) database was used to obtain RNA sequencing as well as complete clinical data of SA and adjacent normal tissues from patients. Weighted gene co</w:t>
      </w:r>
      <w:r w:rsidR="006119F2">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expression network analysis (WGCNA) was used to investigate the meaningful module along with hub genes. Expression of hub genes was analyzed in 362 paraffin-embedded SA biopsy tissues by immunohistochemical </w:t>
      </w:r>
      <w:r w:rsidR="000B75BE">
        <w:rPr>
          <w:rFonts w:ascii="Book Antiqua" w:hAnsi="Book Antiqua" w:cs="Times New Roman"/>
          <w:color w:val="000000" w:themeColor="text1"/>
          <w:sz w:val="24"/>
          <w:szCs w:val="24"/>
        </w:rPr>
        <w:t xml:space="preserve">(IHC) </w:t>
      </w:r>
      <w:r w:rsidRPr="00FE1156">
        <w:rPr>
          <w:rFonts w:ascii="Book Antiqua" w:hAnsi="Book Antiqua" w:cs="Times New Roman"/>
          <w:color w:val="000000" w:themeColor="text1"/>
          <w:sz w:val="24"/>
          <w:szCs w:val="24"/>
        </w:rPr>
        <w:t>staining. Patients were classified into two groups (according to expression of hub genes): weak-expression and overexpression groups. Correlation of biomarkers with clinicopathological factors indicated patient survival.</w:t>
      </w:r>
    </w:p>
    <w:p w14:paraId="68AEAE33" w14:textId="77777777" w:rsidR="006119F2" w:rsidRDefault="006119F2" w:rsidP="006119F2">
      <w:pPr>
        <w:adjustRightInd w:val="0"/>
        <w:snapToGrid w:val="0"/>
        <w:spacing w:line="360" w:lineRule="auto"/>
        <w:outlineLvl w:val="0"/>
        <w:rPr>
          <w:rFonts w:ascii="Book Antiqua" w:hAnsi="Book Antiqua" w:cs="Times New Roman"/>
          <w:b/>
          <w:i/>
          <w:color w:val="000000" w:themeColor="text1"/>
          <w:sz w:val="24"/>
          <w:szCs w:val="24"/>
        </w:rPr>
      </w:pPr>
    </w:p>
    <w:p w14:paraId="109324CD"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RESULTS</w:t>
      </w:r>
    </w:p>
    <w:p w14:paraId="77F7953A" w14:textId="2006A3C6"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Whole genome expression level screening identified 6231 differentially expressed genes (DEGs). Twenty-four co</w:t>
      </w:r>
      <w:r w:rsidR="006119F2">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expressed gene modules were identified using WGCNA. Pearson’s correlation analysis showed that the tan module was the most relevant to tumor stage (</w:t>
      </w:r>
      <w:r w:rsidRPr="00FE1156">
        <w:rPr>
          <w:rFonts w:ascii="Book Antiqua" w:hAnsi="Book Antiqua" w:cs="Times New Roman"/>
          <w:i/>
          <w:color w:val="000000" w:themeColor="text1"/>
          <w:sz w:val="24"/>
          <w:szCs w:val="24"/>
        </w:rPr>
        <w:t>r</w:t>
      </w:r>
      <w:r w:rsidRPr="00FE1156">
        <w:rPr>
          <w:rFonts w:ascii="Book Antiqua" w:hAnsi="Book Antiqua" w:cs="Times New Roman"/>
          <w:color w:val="000000" w:themeColor="text1"/>
          <w:sz w:val="24"/>
          <w:szCs w:val="24"/>
        </w:rPr>
        <w:t xml:space="preserve"> = 0.24, </w:t>
      </w:r>
      <w:r w:rsidRPr="00FE1156">
        <w:rPr>
          <w:rFonts w:ascii="Book Antiqua" w:hAnsi="Book Antiqua" w:cs="Times New Roman"/>
          <w:i/>
          <w:color w:val="000000" w:themeColor="text1"/>
          <w:sz w:val="24"/>
          <w:szCs w:val="24"/>
        </w:rPr>
        <w:t>P</w:t>
      </w:r>
      <w:r w:rsidRPr="00FE1156">
        <w:rPr>
          <w:rFonts w:ascii="Book Antiqua" w:hAnsi="Book Antiqua" w:cs="Times New Roman"/>
          <w:color w:val="000000" w:themeColor="text1"/>
          <w:sz w:val="24"/>
          <w:szCs w:val="24"/>
        </w:rPr>
        <w:t xml:space="preserve"> = 7 × 10</w:t>
      </w:r>
      <w:r w:rsidRPr="00FE1156">
        <w:rPr>
          <w:rFonts w:ascii="Book Antiqua" w:hAnsi="Book Antiqua" w:cs="Times New Roman"/>
          <w:color w:val="000000" w:themeColor="text1"/>
          <w:sz w:val="24"/>
          <w:szCs w:val="24"/>
          <w:vertAlign w:val="superscript"/>
        </w:rPr>
        <w:t>–6</w:t>
      </w:r>
      <w:r w:rsidRPr="00FE1156">
        <w:rPr>
          <w:rFonts w:ascii="Book Antiqua" w:hAnsi="Book Antiqua" w:cs="Times New Roman"/>
          <w:color w:val="000000" w:themeColor="text1"/>
          <w:sz w:val="24"/>
          <w:szCs w:val="24"/>
        </w:rPr>
        <w:t>). In addition, we detected sorting nexin (SNX)10 as the hub gene of the tan module. SNX10 expression was linked to T category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0.042, </w:t>
      </w:r>
      <w:r w:rsidRPr="006119F2">
        <w:rPr>
          <w:rFonts w:ascii="Book Antiqua" w:hAnsi="Book Antiqua" w:cs="Times New Roman"/>
          <w:i/>
          <w:color w:val="000000" w:themeColor="text1"/>
          <w:sz w:val="24"/>
          <w:szCs w:val="24"/>
        </w:rPr>
        <w:sym w:font="Symbol" w:char="F063"/>
      </w:r>
      <w:r w:rsidRPr="006119F2">
        <w:rPr>
          <w:rFonts w:ascii="Book Antiqua" w:hAnsi="Book Antiqua" w:cs="Times New Roman"/>
          <w:i/>
          <w:color w:val="000000" w:themeColor="text1"/>
          <w:sz w:val="24"/>
          <w:szCs w:val="24"/>
          <w:vertAlign w:val="superscript"/>
        </w:rPr>
        <w:t xml:space="preserve">2 </w:t>
      </w:r>
      <w:r w:rsidRPr="00FE1156">
        <w:rPr>
          <w:rFonts w:ascii="Book Antiqua" w:hAnsi="Book Antiqua" w:cs="Times New Roman"/>
          <w:color w:val="000000" w:themeColor="text1"/>
          <w:sz w:val="24"/>
          <w:szCs w:val="24"/>
        </w:rPr>
        <w:t>= 8.708), N category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0.000, </w:t>
      </w:r>
      <w:r w:rsidRPr="006119F2">
        <w:rPr>
          <w:rFonts w:ascii="Book Antiqua" w:hAnsi="Book Antiqua" w:cs="Times New Roman"/>
          <w:i/>
          <w:color w:val="000000" w:themeColor="text1"/>
          <w:sz w:val="24"/>
          <w:szCs w:val="24"/>
        </w:rPr>
        <w:sym w:font="Symbol" w:char="F063"/>
      </w:r>
      <w:r w:rsidRPr="006119F2">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vertAlign w:val="superscript"/>
        </w:rPr>
        <w:t xml:space="preserve"> </w:t>
      </w:r>
      <w:r w:rsidRPr="00FE1156">
        <w:rPr>
          <w:rFonts w:ascii="Book Antiqua" w:hAnsi="Book Antiqua" w:cs="Times New Roman"/>
          <w:color w:val="000000" w:themeColor="text1"/>
          <w:sz w:val="24"/>
          <w:szCs w:val="24"/>
        </w:rPr>
        <w:t>= 18.778), TNM stage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0.001,</w:t>
      </w:r>
      <w:r w:rsidRPr="006119F2">
        <w:rPr>
          <w:rFonts w:ascii="Book Antiqua" w:hAnsi="Book Antiqua" w:cs="Times New Roman"/>
          <w:i/>
          <w:color w:val="000000" w:themeColor="text1"/>
          <w:sz w:val="24"/>
          <w:szCs w:val="24"/>
        </w:rPr>
        <w:t xml:space="preserve"> </w:t>
      </w:r>
      <w:r w:rsidRPr="006119F2">
        <w:rPr>
          <w:rFonts w:ascii="Book Antiqua" w:hAnsi="Book Antiqua" w:cs="Times New Roman"/>
          <w:i/>
          <w:color w:val="000000" w:themeColor="text1"/>
          <w:sz w:val="24"/>
          <w:szCs w:val="24"/>
        </w:rPr>
        <w:sym w:font="Symbol" w:char="F063"/>
      </w:r>
      <w:r w:rsidRPr="006119F2">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vertAlign w:val="superscript"/>
        </w:rPr>
        <w:t xml:space="preserve"> </w:t>
      </w:r>
      <w:r w:rsidRPr="00FE1156">
        <w:rPr>
          <w:rFonts w:ascii="Book Antiqua" w:hAnsi="Book Antiqua" w:cs="Times New Roman"/>
          <w:color w:val="000000" w:themeColor="text1"/>
          <w:sz w:val="24"/>
          <w:szCs w:val="24"/>
        </w:rPr>
        <w:t>= 16.744) as well as tumor differentiation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0.000, </w:t>
      </w:r>
      <w:r w:rsidRPr="006119F2">
        <w:rPr>
          <w:rFonts w:ascii="Book Antiqua" w:hAnsi="Book Antiqua" w:cs="Times New Roman"/>
          <w:i/>
          <w:color w:val="000000" w:themeColor="text1"/>
          <w:sz w:val="24"/>
          <w:szCs w:val="24"/>
        </w:rPr>
        <w:sym w:font="Symbol" w:char="F063"/>
      </w:r>
      <w:r w:rsidRPr="006119F2">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vertAlign w:val="superscript"/>
        </w:rPr>
        <w:t xml:space="preserve"> </w:t>
      </w:r>
      <w:r w:rsidRPr="00FE1156">
        <w:rPr>
          <w:rFonts w:ascii="Book Antiqua" w:hAnsi="Book Antiqua" w:cs="Times New Roman"/>
          <w:color w:val="000000" w:themeColor="text1"/>
          <w:sz w:val="24"/>
          <w:szCs w:val="24"/>
        </w:rPr>
        <w:t xml:space="preserve">= 251.930). Patients with high SNX10 expression tended to have longer disease-free survival (DFS; 44.97 </w:t>
      </w:r>
      <w:r w:rsidR="006119F2">
        <w:rPr>
          <w:rFonts w:ascii="Book Antiqua" w:hAnsi="Book Antiqua" w:cs="Times New Roman"/>
          <w:color w:val="000000" w:themeColor="text1"/>
          <w:sz w:val="24"/>
          <w:szCs w:val="24"/>
        </w:rPr>
        <w:t xml:space="preserve">mo </w:t>
      </w:r>
      <w:r w:rsidRPr="00FE1156">
        <w:rPr>
          <w:rFonts w:ascii="Book Antiqua" w:hAnsi="Book Antiqua" w:cs="Times New Roman"/>
          <w:i/>
          <w:color w:val="000000" w:themeColor="text1"/>
          <w:sz w:val="24"/>
          <w:szCs w:val="24"/>
        </w:rPr>
        <w:t>vs</w:t>
      </w:r>
      <w:r w:rsidRPr="00FE1156">
        <w:rPr>
          <w:rFonts w:ascii="Book Antiqua" w:hAnsi="Book Antiqua" w:cs="Times New Roman"/>
          <w:color w:val="000000" w:themeColor="text1"/>
          <w:sz w:val="24"/>
          <w:szCs w:val="24"/>
        </w:rPr>
        <w:t xml:space="preserve"> 33.85 mo,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0.000) as well as </w:t>
      </w:r>
      <w:bookmarkStart w:id="55" w:name="OLE_LINK268"/>
      <w:r w:rsidRPr="00FE1156">
        <w:rPr>
          <w:rFonts w:ascii="Book Antiqua" w:hAnsi="Book Antiqua" w:cs="Times New Roman"/>
          <w:color w:val="000000" w:themeColor="text1"/>
          <w:sz w:val="24"/>
          <w:szCs w:val="24"/>
        </w:rPr>
        <w:t>overall survival</w:t>
      </w:r>
      <w:bookmarkEnd w:id="55"/>
      <w:r w:rsidRPr="00FE1156">
        <w:rPr>
          <w:rFonts w:ascii="Book Antiqua" w:hAnsi="Book Antiqua" w:cs="Times New Roman"/>
          <w:color w:val="000000" w:themeColor="text1"/>
          <w:sz w:val="24"/>
          <w:szCs w:val="24"/>
        </w:rPr>
        <w:t xml:space="preserve"> (OS; 49.95 </w:t>
      </w:r>
      <w:r w:rsidRPr="00FE1156">
        <w:rPr>
          <w:rFonts w:ascii="Book Antiqua" w:hAnsi="Book Antiqua" w:cs="Times New Roman"/>
          <w:i/>
          <w:color w:val="000000" w:themeColor="text1"/>
          <w:sz w:val="24"/>
          <w:szCs w:val="24"/>
        </w:rPr>
        <w:t>vs</w:t>
      </w:r>
      <w:r w:rsidRPr="00FE1156">
        <w:rPr>
          <w:rFonts w:ascii="Book Antiqua" w:hAnsi="Book Antiqua" w:cs="Times New Roman"/>
          <w:color w:val="000000" w:themeColor="text1"/>
          <w:sz w:val="24"/>
          <w:szCs w:val="24"/>
        </w:rPr>
        <w:t xml:space="preserve"> 40.84 mo,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0.000) in univariate analysis. Multivariate analysis showed that dismal prognosis could be precisely predicted clinicopathologically using SNX10 [DFS: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0.014, hazard ratio (HR) = 0.698, 95% confidence interval (CI): 0.524–0.930, OS: </w:t>
      </w:r>
      <w:r w:rsidRPr="00FE1156">
        <w:rPr>
          <w:rFonts w:ascii="Book Antiqua" w:hAnsi="Book Antiqua" w:cs="Times New Roman"/>
          <w:i/>
          <w:color w:val="000000" w:themeColor="text1"/>
          <w:sz w:val="24"/>
          <w:szCs w:val="24"/>
        </w:rPr>
        <w:t xml:space="preserve">P </w:t>
      </w:r>
      <w:r w:rsidR="006119F2">
        <w:rPr>
          <w:rFonts w:ascii="Book Antiqua" w:hAnsi="Book Antiqua" w:cs="Times New Roman"/>
          <w:color w:val="000000" w:themeColor="text1"/>
          <w:sz w:val="24"/>
          <w:szCs w:val="24"/>
        </w:rPr>
        <w:t xml:space="preserve">= </w:t>
      </w:r>
      <w:r w:rsidR="006119F2">
        <w:rPr>
          <w:rFonts w:ascii="Book Antiqua" w:hAnsi="Book Antiqua" w:cs="Times New Roman"/>
          <w:color w:val="000000" w:themeColor="text1"/>
          <w:sz w:val="24"/>
          <w:szCs w:val="24"/>
        </w:rPr>
        <w:lastRenderedPageBreak/>
        <w:t>0.017, HR = 0.704, 95%</w:t>
      </w:r>
      <w:r w:rsidRPr="00FE1156">
        <w:rPr>
          <w:rFonts w:ascii="Book Antiqua" w:hAnsi="Book Antiqua" w:cs="Times New Roman"/>
          <w:color w:val="000000" w:themeColor="text1"/>
          <w:sz w:val="24"/>
          <w:szCs w:val="24"/>
        </w:rPr>
        <w:t>CI: 0.528–0.940].</w:t>
      </w:r>
    </w:p>
    <w:p w14:paraId="39C5B427" w14:textId="77777777" w:rsidR="006119F2" w:rsidRDefault="006119F2" w:rsidP="006119F2">
      <w:pPr>
        <w:adjustRightInd w:val="0"/>
        <w:snapToGrid w:val="0"/>
        <w:spacing w:line="360" w:lineRule="auto"/>
        <w:outlineLvl w:val="0"/>
        <w:rPr>
          <w:rFonts w:ascii="Book Antiqua" w:hAnsi="Book Antiqua" w:cs="Times New Roman"/>
          <w:b/>
          <w:i/>
          <w:color w:val="000000" w:themeColor="text1"/>
          <w:sz w:val="24"/>
          <w:szCs w:val="24"/>
        </w:rPr>
      </w:pPr>
    </w:p>
    <w:p w14:paraId="7024BA38" w14:textId="77777777" w:rsidR="004738B9" w:rsidRPr="00FE1156" w:rsidRDefault="004738B9" w:rsidP="006119F2">
      <w:pPr>
        <w:adjustRightInd w:val="0"/>
        <w:snapToGrid w:val="0"/>
        <w:spacing w:line="360" w:lineRule="auto"/>
        <w:outlineLvl w:val="0"/>
        <w:rPr>
          <w:rFonts w:ascii="Book Antiqua" w:hAnsi="Book Antiqua" w:cs="Times New Roman"/>
          <w:b/>
          <w:color w:val="000000" w:themeColor="text1"/>
          <w:sz w:val="24"/>
          <w:szCs w:val="24"/>
        </w:rPr>
      </w:pPr>
      <w:r w:rsidRPr="00FE1156">
        <w:rPr>
          <w:rFonts w:ascii="Book Antiqua" w:hAnsi="Book Antiqua" w:cs="Times New Roman"/>
          <w:b/>
          <w:i/>
          <w:color w:val="000000" w:themeColor="text1"/>
          <w:sz w:val="24"/>
          <w:szCs w:val="24"/>
        </w:rPr>
        <w:t>CONCLUSION</w:t>
      </w:r>
    </w:p>
    <w:p w14:paraId="4C08E2C4"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This study provides a new technique for screening prognostic biomarkers of SA. Weak-expression of SNX10 is linked to poor prognosis, and is a suitable prognostic biomarker of SA.</w:t>
      </w:r>
    </w:p>
    <w:p w14:paraId="0BF04CC0" w14:textId="77777777" w:rsidR="004738B9" w:rsidRDefault="004738B9" w:rsidP="00FE1156">
      <w:pPr>
        <w:adjustRightInd w:val="0"/>
        <w:snapToGrid w:val="0"/>
        <w:spacing w:line="360" w:lineRule="auto"/>
        <w:rPr>
          <w:rFonts w:ascii="Book Antiqua" w:hAnsi="Book Antiqua" w:cs="Times New Roman"/>
          <w:b/>
          <w:color w:val="000000" w:themeColor="text1"/>
          <w:sz w:val="24"/>
          <w:szCs w:val="24"/>
        </w:rPr>
      </w:pPr>
    </w:p>
    <w:p w14:paraId="0D10FDAD" w14:textId="59DB7EA0" w:rsidR="005335B1" w:rsidRDefault="005335B1"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 xml:space="preserve">Key words: </w:t>
      </w:r>
      <w:r>
        <w:rPr>
          <w:rFonts w:ascii="Book Antiqua" w:hAnsi="Book Antiqua" w:cs="Times New Roman"/>
          <w:color w:val="000000" w:themeColor="text1"/>
          <w:sz w:val="24"/>
          <w:szCs w:val="24"/>
        </w:rPr>
        <w:t>Stomach adenocarcinoma</w:t>
      </w:r>
      <w:r w:rsidRPr="005335B1">
        <w:rPr>
          <w:rFonts w:ascii="Book Antiqua" w:hAnsi="Book Antiqua" w:cs="Times New Roman"/>
          <w:color w:val="000000" w:themeColor="text1"/>
          <w:sz w:val="24"/>
          <w:szCs w:val="24"/>
        </w:rPr>
        <w:t>; The Cancer Genome Atlas</w:t>
      </w:r>
      <w:r>
        <w:rPr>
          <w:rFonts w:ascii="Book Antiqua" w:hAnsi="Book Antiqua" w:cs="Times New Roman"/>
          <w:color w:val="000000" w:themeColor="text1"/>
          <w:sz w:val="24"/>
          <w:szCs w:val="24"/>
        </w:rPr>
        <w:t>; Weighted gene co-expression network a</w:t>
      </w:r>
      <w:r w:rsidRPr="005335B1">
        <w:rPr>
          <w:rFonts w:ascii="Book Antiqua" w:hAnsi="Book Antiqua" w:cs="Times New Roman"/>
          <w:color w:val="000000" w:themeColor="text1"/>
          <w:sz w:val="24"/>
          <w:szCs w:val="24"/>
        </w:rPr>
        <w:t>nalysis</w:t>
      </w:r>
      <w:r>
        <w:rPr>
          <w:rFonts w:ascii="Book Antiqua" w:hAnsi="Book Antiqua" w:cs="Times New Roman"/>
          <w:color w:val="000000" w:themeColor="text1"/>
          <w:sz w:val="24"/>
          <w:szCs w:val="24"/>
        </w:rPr>
        <w:t>; Sorting n</w:t>
      </w:r>
      <w:r w:rsidRPr="005335B1">
        <w:rPr>
          <w:rFonts w:ascii="Book Antiqua" w:hAnsi="Book Antiqua" w:cs="Times New Roman"/>
          <w:color w:val="000000" w:themeColor="text1"/>
          <w:sz w:val="24"/>
          <w:szCs w:val="24"/>
        </w:rPr>
        <w:t>exin 10</w:t>
      </w:r>
      <w:r>
        <w:rPr>
          <w:rFonts w:ascii="Book Antiqua" w:hAnsi="Book Antiqua" w:cs="Times New Roman"/>
          <w:color w:val="000000" w:themeColor="text1"/>
          <w:sz w:val="24"/>
          <w:szCs w:val="24"/>
        </w:rPr>
        <w:t>; Clinicop</w:t>
      </w:r>
      <w:r w:rsidR="00A13E0C">
        <w:rPr>
          <w:rFonts w:ascii="Book Antiqua" w:hAnsi="Book Antiqua" w:cs="Times New Roman"/>
          <w:color w:val="000000" w:themeColor="text1"/>
          <w:sz w:val="24"/>
          <w:szCs w:val="24"/>
        </w:rPr>
        <w:t>athological predictors; Disease-</w:t>
      </w:r>
      <w:r>
        <w:rPr>
          <w:rFonts w:ascii="Book Antiqua" w:hAnsi="Book Antiqua" w:cs="Times New Roman"/>
          <w:color w:val="000000" w:themeColor="text1"/>
          <w:sz w:val="24"/>
          <w:szCs w:val="24"/>
        </w:rPr>
        <w:t>free survival; O</w:t>
      </w:r>
      <w:r w:rsidRPr="005335B1">
        <w:rPr>
          <w:rFonts w:ascii="Book Antiqua" w:hAnsi="Book Antiqua" w:cs="Times New Roman"/>
          <w:color w:val="000000" w:themeColor="text1"/>
          <w:sz w:val="24"/>
          <w:szCs w:val="24"/>
        </w:rPr>
        <w:t>verall survival</w:t>
      </w:r>
    </w:p>
    <w:p w14:paraId="37533754" w14:textId="77777777" w:rsidR="005335B1" w:rsidRPr="005335B1" w:rsidRDefault="005335B1" w:rsidP="005335B1">
      <w:pPr>
        <w:adjustRightInd w:val="0"/>
        <w:snapToGrid w:val="0"/>
        <w:spacing w:line="360" w:lineRule="auto"/>
        <w:rPr>
          <w:rFonts w:ascii="Book Antiqua" w:hAnsi="Book Antiqua" w:cs="Times New Roman"/>
          <w:color w:val="000000" w:themeColor="text1"/>
          <w:sz w:val="24"/>
          <w:szCs w:val="24"/>
        </w:rPr>
      </w:pPr>
    </w:p>
    <w:p w14:paraId="0E7E7579" w14:textId="6337215C" w:rsidR="005335B1" w:rsidRDefault="005335B1" w:rsidP="005335B1">
      <w:pPr>
        <w:adjustRightInd w:val="0"/>
        <w:snapToGrid w:val="0"/>
        <w:spacing w:line="360" w:lineRule="auto"/>
        <w:rPr>
          <w:rFonts w:ascii="Book Antiqua" w:hAnsi="Book Antiqua"/>
          <w:sz w:val="24"/>
          <w:szCs w:val="24"/>
        </w:rPr>
      </w:pPr>
      <w:r w:rsidRPr="005335B1">
        <w:rPr>
          <w:rFonts w:ascii="Book Antiqua" w:hAnsi="Book Antiqua"/>
          <w:b/>
          <w:sz w:val="24"/>
          <w:szCs w:val="24"/>
        </w:rPr>
        <w:t xml:space="preserve">© The Author(s) 2018. </w:t>
      </w:r>
      <w:r w:rsidRPr="005335B1">
        <w:rPr>
          <w:rFonts w:ascii="Book Antiqua" w:hAnsi="Book Antiqua"/>
          <w:sz w:val="24"/>
          <w:szCs w:val="24"/>
        </w:rPr>
        <w:t>Published by Baishideng Publishing Group Inc. All rights reserved.</w:t>
      </w:r>
    </w:p>
    <w:p w14:paraId="2A4E0EAE" w14:textId="77777777" w:rsidR="005335B1" w:rsidRDefault="005335B1" w:rsidP="005335B1">
      <w:pPr>
        <w:adjustRightInd w:val="0"/>
        <w:snapToGrid w:val="0"/>
        <w:spacing w:line="360" w:lineRule="auto"/>
        <w:rPr>
          <w:rFonts w:ascii="Book Antiqua" w:hAnsi="Book Antiqua"/>
          <w:sz w:val="24"/>
          <w:szCs w:val="24"/>
        </w:rPr>
      </w:pPr>
    </w:p>
    <w:p w14:paraId="0F95E3CF" w14:textId="311C2465" w:rsidR="005335B1" w:rsidRDefault="005335B1" w:rsidP="005335B1">
      <w:pPr>
        <w:adjustRightInd w:val="0"/>
        <w:snapToGrid w:val="0"/>
        <w:spacing w:line="360" w:lineRule="auto"/>
        <w:rPr>
          <w:rFonts w:ascii="Book Antiqua" w:hAnsi="Book Antiqua"/>
          <w:sz w:val="24"/>
          <w:szCs w:val="24"/>
        </w:rPr>
      </w:pPr>
      <w:r>
        <w:rPr>
          <w:rFonts w:ascii="Book Antiqua" w:hAnsi="Book Antiqua"/>
          <w:b/>
          <w:sz w:val="24"/>
          <w:szCs w:val="24"/>
        </w:rPr>
        <w:t xml:space="preserve">Core tip: </w:t>
      </w:r>
      <w:r w:rsidR="009336D9" w:rsidRPr="009336D9">
        <w:rPr>
          <w:rFonts w:ascii="Book Antiqua" w:hAnsi="Book Antiqua"/>
          <w:sz w:val="24"/>
          <w:szCs w:val="24"/>
        </w:rPr>
        <w:t xml:space="preserve">This study used </w:t>
      </w:r>
      <w:r w:rsidR="009336D9" w:rsidRPr="00FE1156">
        <w:rPr>
          <w:rFonts w:ascii="Book Antiqua" w:hAnsi="Book Antiqua" w:cs="Times New Roman"/>
          <w:color w:val="000000" w:themeColor="text1"/>
          <w:sz w:val="24"/>
          <w:szCs w:val="24"/>
        </w:rPr>
        <w:t>The Cancer Genome Atlas (TCGA)</w:t>
      </w:r>
      <w:r w:rsidR="009336D9" w:rsidRPr="009336D9">
        <w:rPr>
          <w:rFonts w:ascii="Book Antiqua" w:hAnsi="Book Antiqua"/>
          <w:sz w:val="24"/>
          <w:szCs w:val="24"/>
        </w:rPr>
        <w:t xml:space="preserve"> and clinical data to identify </w:t>
      </w:r>
      <w:r w:rsidR="009336D9" w:rsidRPr="00FE1156">
        <w:rPr>
          <w:rFonts w:ascii="Book Antiqua" w:hAnsi="Book Antiqua" w:cs="Times New Roman"/>
          <w:color w:val="000000" w:themeColor="text1"/>
          <w:sz w:val="24"/>
          <w:szCs w:val="24"/>
        </w:rPr>
        <w:t>sorting nexin (SNX)10</w:t>
      </w:r>
      <w:r w:rsidR="009336D9" w:rsidRPr="009336D9">
        <w:rPr>
          <w:rFonts w:ascii="Book Antiqua" w:hAnsi="Book Antiqua"/>
          <w:sz w:val="24"/>
          <w:szCs w:val="24"/>
        </w:rPr>
        <w:t xml:space="preserve"> as associated with poor prognosis in stomach adenocarcinoma (SA). Firstly, we downloaded the TCGA-STAD RNA-seq data through R and identified the differentially expressed genes. </w:t>
      </w:r>
      <w:r w:rsidR="009336D9" w:rsidRPr="00FE1156">
        <w:rPr>
          <w:rFonts w:ascii="Book Antiqua" w:hAnsi="Book Antiqua" w:cs="Times New Roman"/>
          <w:color w:val="000000" w:themeColor="text1"/>
          <w:sz w:val="24"/>
          <w:szCs w:val="24"/>
        </w:rPr>
        <w:t>Weighted gene co</w:t>
      </w:r>
      <w:r w:rsidR="009336D9">
        <w:rPr>
          <w:rFonts w:ascii="Book Antiqua" w:hAnsi="Book Antiqua" w:cs="Times New Roman"/>
          <w:color w:val="000000" w:themeColor="text1"/>
          <w:sz w:val="24"/>
          <w:szCs w:val="24"/>
        </w:rPr>
        <w:t>-</w:t>
      </w:r>
      <w:r w:rsidR="009336D9" w:rsidRPr="00FE1156">
        <w:rPr>
          <w:rFonts w:ascii="Book Antiqua" w:hAnsi="Book Antiqua" w:cs="Times New Roman"/>
          <w:color w:val="000000" w:themeColor="text1"/>
          <w:sz w:val="24"/>
          <w:szCs w:val="24"/>
        </w:rPr>
        <w:t>expression network analysis</w:t>
      </w:r>
      <w:r w:rsidR="002F0135">
        <w:rPr>
          <w:rFonts w:ascii="Book Antiqua" w:hAnsi="Book Antiqua" w:cs="Times New Roman" w:hint="eastAsia"/>
          <w:color w:val="000000" w:themeColor="text1"/>
          <w:sz w:val="24"/>
          <w:szCs w:val="24"/>
        </w:rPr>
        <w:t xml:space="preserve"> </w:t>
      </w:r>
      <w:r w:rsidR="009336D9" w:rsidRPr="009336D9">
        <w:rPr>
          <w:rFonts w:ascii="Book Antiqua" w:hAnsi="Book Antiqua"/>
          <w:sz w:val="24"/>
          <w:szCs w:val="24"/>
        </w:rPr>
        <w:t>was used to clarify the connection between modules and clinical information. We then chose SNX10 as the hub-gene o</w:t>
      </w:r>
      <w:r w:rsidR="009336D9">
        <w:rPr>
          <w:rFonts w:ascii="Book Antiqua" w:hAnsi="Book Antiqua"/>
          <w:sz w:val="24"/>
          <w:szCs w:val="24"/>
        </w:rPr>
        <w:t xml:space="preserve">f tan-module after considering </w:t>
      </w:r>
      <w:r w:rsidR="009336D9" w:rsidRPr="009336D9">
        <w:rPr>
          <w:rFonts w:ascii="Book Antiqua" w:hAnsi="Book Antiqua"/>
          <w:sz w:val="24"/>
          <w:szCs w:val="24"/>
        </w:rPr>
        <w:t>module membership</w:t>
      </w:r>
      <w:r w:rsidR="000B75BE">
        <w:rPr>
          <w:rFonts w:ascii="Book Antiqua" w:hAnsi="Book Antiqua"/>
          <w:sz w:val="24"/>
          <w:szCs w:val="24"/>
        </w:rPr>
        <w:t xml:space="preserve"> (MM)</w:t>
      </w:r>
      <w:r w:rsidR="009336D9" w:rsidRPr="009336D9">
        <w:rPr>
          <w:rFonts w:ascii="Book Antiqua" w:hAnsi="Book Antiqua"/>
          <w:sz w:val="24"/>
          <w:szCs w:val="24"/>
        </w:rPr>
        <w:t xml:space="preserve">, genes with high gene significance, degree and </w:t>
      </w:r>
      <w:r w:rsidR="009336D9" w:rsidRPr="00FE1156">
        <w:rPr>
          <w:rFonts w:ascii="Book Antiqua" w:hAnsi="Book Antiqua" w:cs="Times New Roman"/>
          <w:color w:val="000000" w:themeColor="text1"/>
          <w:sz w:val="24"/>
          <w:szCs w:val="24"/>
        </w:rPr>
        <w:t xml:space="preserve">Molecular Complex Detection </w:t>
      </w:r>
      <w:r w:rsidR="009336D9" w:rsidRPr="009336D9">
        <w:rPr>
          <w:rFonts w:ascii="Book Antiqua" w:hAnsi="Book Antiqua"/>
          <w:sz w:val="24"/>
          <w:szCs w:val="24"/>
        </w:rPr>
        <w:t>scores. Our center’s data of SA was used to evaluate our hypothesis. Our findings demonstrated that weak-expression of SNX10 is linked to poor prognosis in SAs.</w:t>
      </w:r>
    </w:p>
    <w:p w14:paraId="2CDC1597" w14:textId="77777777" w:rsidR="009336D9" w:rsidRDefault="009336D9" w:rsidP="005335B1">
      <w:pPr>
        <w:adjustRightInd w:val="0"/>
        <w:snapToGrid w:val="0"/>
        <w:spacing w:line="360" w:lineRule="auto"/>
        <w:rPr>
          <w:rFonts w:ascii="Book Antiqua" w:hAnsi="Book Antiqua"/>
          <w:sz w:val="24"/>
          <w:szCs w:val="24"/>
        </w:rPr>
      </w:pPr>
    </w:p>
    <w:p w14:paraId="1235037F" w14:textId="050FAB1B" w:rsidR="009336D9" w:rsidRPr="009336D9" w:rsidRDefault="009336D9" w:rsidP="009336D9">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lang w:val="pl-PL" w:eastAsia="ja-JP"/>
        </w:rPr>
        <w:t>Zhang</w:t>
      </w:r>
      <w:r>
        <w:rPr>
          <w:rFonts w:ascii="Book Antiqua" w:hAnsi="Book Antiqua" w:cs="Times New Roman"/>
          <w:color w:val="000000" w:themeColor="text1"/>
          <w:sz w:val="24"/>
          <w:szCs w:val="24"/>
          <w:lang w:val="pl-PL" w:eastAsia="ja-JP"/>
        </w:rPr>
        <w:t xml:space="preserve"> J</w:t>
      </w:r>
      <w:r w:rsidRPr="00FE1156">
        <w:rPr>
          <w:rFonts w:ascii="Book Antiqua" w:hAnsi="Book Antiqua" w:cs="Times New Roman"/>
          <w:color w:val="000000" w:themeColor="text1"/>
          <w:sz w:val="24"/>
          <w:szCs w:val="24"/>
          <w:lang w:val="pl-PL" w:eastAsia="ja-JP"/>
        </w:rPr>
        <w:t>, Wu</w:t>
      </w:r>
      <w:r>
        <w:rPr>
          <w:rFonts w:ascii="Book Antiqua" w:hAnsi="Book Antiqua" w:cs="Times New Roman"/>
          <w:color w:val="000000" w:themeColor="text1"/>
          <w:sz w:val="24"/>
          <w:szCs w:val="24"/>
          <w:lang w:val="pl-PL" w:eastAsia="ja-JP"/>
        </w:rPr>
        <w:t xml:space="preserve"> Y</w:t>
      </w:r>
      <w:r w:rsidRPr="00FE1156">
        <w:rPr>
          <w:rFonts w:ascii="Book Antiqua" w:hAnsi="Book Antiqua" w:cs="Times New Roman"/>
          <w:color w:val="000000" w:themeColor="text1"/>
          <w:sz w:val="24"/>
          <w:szCs w:val="24"/>
          <w:lang w:val="pl-PL" w:eastAsia="ja-JP"/>
        </w:rPr>
        <w:t>, Jin</w:t>
      </w:r>
      <w:r>
        <w:rPr>
          <w:rFonts w:ascii="Book Antiqua" w:hAnsi="Book Antiqua" w:cs="Times New Roman"/>
          <w:color w:val="000000" w:themeColor="text1"/>
          <w:sz w:val="24"/>
          <w:szCs w:val="24"/>
          <w:lang w:val="pl-PL" w:eastAsia="ja-JP"/>
        </w:rPr>
        <w:t xml:space="preserve"> HY</w:t>
      </w:r>
      <w:r w:rsidRPr="00FE1156">
        <w:rPr>
          <w:rFonts w:ascii="Book Antiqua" w:hAnsi="Book Antiqua" w:cs="Times New Roman"/>
          <w:color w:val="000000" w:themeColor="text1"/>
          <w:sz w:val="24"/>
          <w:szCs w:val="24"/>
          <w:lang w:val="pl-PL"/>
        </w:rPr>
        <w:t>,</w:t>
      </w:r>
      <w:r w:rsidRPr="00FE1156">
        <w:rPr>
          <w:rFonts w:ascii="Book Antiqua" w:hAnsi="Book Antiqua" w:cs="Times New Roman"/>
          <w:color w:val="000000" w:themeColor="text1"/>
          <w:sz w:val="24"/>
          <w:szCs w:val="24"/>
          <w:lang w:val="pl-PL" w:eastAsia="ja-JP"/>
        </w:rPr>
        <w:t xml:space="preserve"> </w:t>
      </w:r>
      <w:r>
        <w:rPr>
          <w:rFonts w:ascii="Book Antiqua" w:hAnsi="Book Antiqua" w:cs="Times New Roman"/>
          <w:color w:val="000000" w:themeColor="text1"/>
          <w:sz w:val="24"/>
          <w:szCs w:val="24"/>
          <w:lang w:val="pl-PL" w:eastAsia="ja-JP"/>
        </w:rPr>
        <w:t xml:space="preserve">Guo S, Dong Z, </w:t>
      </w:r>
      <w:r w:rsidRPr="00FE1156">
        <w:rPr>
          <w:rFonts w:ascii="Book Antiqua" w:hAnsi="Book Antiqua" w:cs="Times New Roman"/>
          <w:color w:val="000000" w:themeColor="text1"/>
          <w:sz w:val="24"/>
          <w:szCs w:val="24"/>
          <w:lang w:val="pl-PL" w:eastAsia="ja-JP"/>
        </w:rPr>
        <w:t>Zheng</w:t>
      </w:r>
      <w:r>
        <w:rPr>
          <w:rFonts w:ascii="Book Antiqua" w:hAnsi="Book Antiqua" w:cs="Times New Roman"/>
          <w:color w:val="000000" w:themeColor="text1"/>
          <w:sz w:val="24"/>
          <w:szCs w:val="24"/>
          <w:lang w:val="pl-PL" w:eastAsia="ja-JP"/>
        </w:rPr>
        <w:t xml:space="preserve"> ZC</w:t>
      </w:r>
      <w:r w:rsidRPr="00FE1156">
        <w:rPr>
          <w:rFonts w:ascii="Book Antiqua" w:hAnsi="Book Antiqua" w:cs="Times New Roman"/>
          <w:color w:val="000000" w:themeColor="text1"/>
          <w:sz w:val="24"/>
          <w:szCs w:val="24"/>
          <w:lang w:val="pl-PL" w:eastAsia="ja-JP"/>
        </w:rPr>
        <w:t>, Wang</w:t>
      </w:r>
      <w:r>
        <w:rPr>
          <w:rFonts w:ascii="Book Antiqua" w:hAnsi="Book Antiqua" w:cs="Times New Roman"/>
          <w:color w:val="000000" w:themeColor="text1"/>
          <w:sz w:val="24"/>
          <w:szCs w:val="24"/>
          <w:lang w:val="pl-PL" w:eastAsia="ja-JP"/>
        </w:rPr>
        <w:t xml:space="preserve"> Y</w:t>
      </w:r>
      <w:r w:rsidRPr="00FE1156">
        <w:rPr>
          <w:rFonts w:ascii="Book Antiqua" w:hAnsi="Book Antiqua" w:cs="Times New Roman"/>
          <w:color w:val="000000" w:themeColor="text1"/>
          <w:sz w:val="24"/>
          <w:szCs w:val="24"/>
          <w:lang w:val="pl-PL" w:eastAsia="ja-JP"/>
        </w:rPr>
        <w:t>, Zhao</w:t>
      </w:r>
      <w:r>
        <w:rPr>
          <w:rFonts w:ascii="Book Antiqua" w:hAnsi="Book Antiqua" w:cs="Times New Roman"/>
          <w:color w:val="000000" w:themeColor="text1"/>
          <w:sz w:val="24"/>
          <w:szCs w:val="24"/>
          <w:lang w:val="pl-PL" w:eastAsia="ja-JP"/>
        </w:rPr>
        <w:t xml:space="preserve"> Y. </w:t>
      </w:r>
      <w:r w:rsidRPr="009336D9">
        <w:rPr>
          <w:rFonts w:ascii="Book Antiqua" w:hAnsi="Book Antiqua" w:cs="Times New Roman"/>
          <w:color w:val="000000" w:themeColor="text1"/>
          <w:sz w:val="24"/>
          <w:szCs w:val="24"/>
          <w:lang w:val="pl-PL" w:eastAsia="ja-JP"/>
        </w:rPr>
        <w:t>Prognostic value of sorting nexin 10 weak expression in stomach adenocarcinoma revealed by weighted gene co-expression network analysis</w:t>
      </w:r>
      <w:r>
        <w:rPr>
          <w:rFonts w:ascii="Book Antiqua" w:hAnsi="Book Antiqua" w:cs="Times New Roman"/>
          <w:color w:val="000000" w:themeColor="text1"/>
          <w:sz w:val="24"/>
          <w:szCs w:val="24"/>
          <w:lang w:val="pl-PL" w:eastAsia="ja-JP"/>
        </w:rPr>
        <w:t xml:space="preserve">. </w:t>
      </w:r>
      <w:bookmarkStart w:id="56" w:name="OLE_LINK1105"/>
      <w:bookmarkStart w:id="57" w:name="OLE_LINK1107"/>
      <w:r w:rsidRPr="009336D9">
        <w:rPr>
          <w:rFonts w:ascii="Book Antiqua" w:hAnsi="Book Antiqua"/>
          <w:i/>
          <w:color w:val="000000"/>
          <w:sz w:val="24"/>
          <w:szCs w:val="24"/>
        </w:rPr>
        <w:t xml:space="preserve">World J Gastroenterol </w:t>
      </w:r>
      <w:r w:rsidRPr="009336D9">
        <w:rPr>
          <w:rFonts w:ascii="Book Antiqua" w:hAnsi="Book Antiqua"/>
          <w:color w:val="000000"/>
          <w:sz w:val="24"/>
          <w:szCs w:val="24"/>
        </w:rPr>
        <w:t>201</w:t>
      </w:r>
      <w:r w:rsidRPr="009336D9">
        <w:rPr>
          <w:rFonts w:ascii="Book Antiqua" w:hAnsi="Book Antiqua" w:hint="eastAsia"/>
          <w:color w:val="000000"/>
          <w:sz w:val="24"/>
          <w:szCs w:val="24"/>
        </w:rPr>
        <w:t>8</w:t>
      </w:r>
      <w:r w:rsidRPr="009336D9">
        <w:rPr>
          <w:rFonts w:ascii="Book Antiqua" w:hAnsi="Book Antiqua"/>
          <w:color w:val="000000"/>
          <w:sz w:val="24"/>
          <w:szCs w:val="24"/>
        </w:rPr>
        <w:t>; In press</w:t>
      </w:r>
      <w:bookmarkEnd w:id="56"/>
      <w:bookmarkEnd w:id="57"/>
    </w:p>
    <w:p w14:paraId="4BEC43E0" w14:textId="77777777" w:rsidR="009336D9" w:rsidRDefault="009336D9">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1CBD2989" w14:textId="03115B68" w:rsidR="004738B9" w:rsidRPr="00FE1156" w:rsidRDefault="004738B9" w:rsidP="006119F2">
      <w:pPr>
        <w:adjustRightInd w:val="0"/>
        <w:snapToGrid w:val="0"/>
        <w:spacing w:line="360" w:lineRule="auto"/>
        <w:outlineLvl w:val="0"/>
        <w:rPr>
          <w:rFonts w:ascii="Book Antiqua" w:hAnsi="Book Antiqua" w:cs="Times New Roman"/>
          <w:b/>
          <w:color w:val="000000" w:themeColor="text1"/>
          <w:sz w:val="24"/>
          <w:szCs w:val="24"/>
        </w:rPr>
      </w:pPr>
      <w:r w:rsidRPr="00FE1156">
        <w:rPr>
          <w:rFonts w:ascii="Book Antiqua" w:hAnsi="Book Antiqua" w:cs="Times New Roman"/>
          <w:b/>
          <w:color w:val="000000" w:themeColor="text1"/>
          <w:sz w:val="24"/>
          <w:szCs w:val="24"/>
        </w:rPr>
        <w:lastRenderedPageBreak/>
        <w:t>INTRODUCTION</w:t>
      </w:r>
    </w:p>
    <w:p w14:paraId="1FEF20B2"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In spite of technological progress made in diagnosis and treatment, gastric cancer continues to be the fourth most prevalent cancer type with the second highest mortality</w:t>
      </w:r>
      <w:r w:rsidRPr="00FE1156">
        <w:rPr>
          <w:rFonts w:ascii="Book Antiqua" w:hAnsi="Book Antiqua" w:cs="Times New Roman"/>
          <w:noProof/>
          <w:color w:val="000000" w:themeColor="text1"/>
          <w:sz w:val="24"/>
          <w:szCs w:val="24"/>
          <w:vertAlign w:val="superscript"/>
        </w:rPr>
        <w:t>[1]</w:t>
      </w:r>
      <w:r w:rsidRPr="00FE1156">
        <w:rPr>
          <w:rFonts w:ascii="Book Antiqua" w:hAnsi="Book Antiqua" w:cs="Times New Roman"/>
          <w:color w:val="000000" w:themeColor="text1"/>
          <w:sz w:val="24"/>
          <w:szCs w:val="24"/>
        </w:rPr>
        <w:t>. The high occurrence of cancer-related death in stomach adenocarcinoma (SA) patients may be associated with specific biological characteristics of the disease, such as challenges associated with timely diagnosis, late clinical manifestation, and high frequency of invasion and metastasis</w:t>
      </w:r>
      <w:r w:rsidRPr="00FE1156">
        <w:rPr>
          <w:rFonts w:ascii="Book Antiqua" w:hAnsi="Book Antiqua" w:cs="Times New Roman"/>
          <w:noProof/>
          <w:color w:val="000000" w:themeColor="text1"/>
          <w:sz w:val="24"/>
          <w:szCs w:val="24"/>
          <w:vertAlign w:val="superscript"/>
        </w:rPr>
        <w:t>[2]</w:t>
      </w:r>
      <w:r w:rsidRPr="00FE1156">
        <w:rPr>
          <w:rFonts w:ascii="Book Antiqua" w:hAnsi="Book Antiqua" w:cs="Times New Roman"/>
          <w:color w:val="000000" w:themeColor="text1"/>
          <w:sz w:val="24"/>
          <w:szCs w:val="24"/>
        </w:rPr>
        <w:t>. Investigation of the underlying tumorigenesis and progression of SA, the most common pathological type of gastric cancer, is a precondition for developing new therapeutic agents</w:t>
      </w:r>
      <w:r w:rsidRPr="00FE1156">
        <w:rPr>
          <w:rFonts w:ascii="Book Antiqua" w:hAnsi="Book Antiqua" w:cs="Times New Roman"/>
          <w:noProof/>
          <w:color w:val="000000" w:themeColor="text1"/>
          <w:sz w:val="24"/>
          <w:szCs w:val="24"/>
          <w:vertAlign w:val="superscript"/>
        </w:rPr>
        <w:t>[3,4]</w:t>
      </w:r>
      <w:r w:rsidRPr="00FE1156">
        <w:rPr>
          <w:rFonts w:ascii="Book Antiqua" w:hAnsi="Book Antiqua" w:cs="Times New Roman"/>
          <w:color w:val="000000" w:themeColor="text1"/>
          <w:sz w:val="24"/>
          <w:szCs w:val="24"/>
        </w:rPr>
        <w:t>. Although some tumorigenesis and prognostic factors, including genes</w:t>
      </w:r>
      <w:r w:rsidRPr="00FE1156">
        <w:rPr>
          <w:rFonts w:ascii="Book Antiqua" w:hAnsi="Book Antiqua" w:cs="Times New Roman"/>
          <w:noProof/>
          <w:color w:val="000000" w:themeColor="text1"/>
          <w:sz w:val="24"/>
          <w:szCs w:val="24"/>
          <w:vertAlign w:val="superscript"/>
        </w:rPr>
        <w:t>[5,6]</w:t>
      </w:r>
      <w:r w:rsidRPr="00FE1156">
        <w:rPr>
          <w:rFonts w:ascii="Book Antiqua" w:hAnsi="Book Antiqua" w:cs="Times New Roman"/>
          <w:color w:val="000000" w:themeColor="text1"/>
          <w:sz w:val="24"/>
          <w:szCs w:val="24"/>
        </w:rPr>
        <w:t xml:space="preserve"> and tumor microenvironment, were evaluated </w:t>
      </w:r>
      <w:r w:rsidRPr="00FE1156">
        <w:rPr>
          <w:rFonts w:ascii="Book Antiqua" w:hAnsi="Book Antiqua" w:cs="Times New Roman"/>
          <w:noProof/>
          <w:color w:val="000000" w:themeColor="text1"/>
          <w:sz w:val="24"/>
          <w:szCs w:val="24"/>
          <w:vertAlign w:val="superscript"/>
        </w:rPr>
        <w:t>[7]</w:t>
      </w:r>
      <w:r w:rsidRPr="00FE1156">
        <w:rPr>
          <w:rFonts w:ascii="Book Antiqua" w:hAnsi="Book Antiqua" w:cs="Times New Roman"/>
          <w:color w:val="000000" w:themeColor="text1"/>
          <w:sz w:val="24"/>
          <w:szCs w:val="24"/>
        </w:rPr>
        <w:t>, the precise mechanisms and signaling pathways involved are still mostly unknown. Novel molecular biomarkers that can precisely indicate the stage of disease progression and clinical results could help to provide personalized treatment and better understand SA pathogenesis.</w:t>
      </w:r>
    </w:p>
    <w:p w14:paraId="33C621C9" w14:textId="6BC2D0AE" w:rsidR="004738B9" w:rsidRPr="00FE1156" w:rsidRDefault="00970D89"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t>Rapid technological development of biochips and next-generation sequencing (NGS) has opened up new dimensions in research of gene expression in medical oncology</w:t>
      </w:r>
      <w:r w:rsidR="004738B9" w:rsidRPr="00FE1156">
        <w:rPr>
          <w:rFonts w:ascii="Book Antiqua" w:hAnsi="Book Antiqua" w:cs="Times New Roman"/>
          <w:noProof/>
          <w:color w:val="000000" w:themeColor="text1"/>
          <w:sz w:val="24"/>
          <w:szCs w:val="24"/>
          <w:vertAlign w:val="superscript"/>
        </w:rPr>
        <w:t>[8]</w:t>
      </w:r>
      <w:r w:rsidR="004738B9" w:rsidRPr="00FE1156">
        <w:rPr>
          <w:rFonts w:ascii="Book Antiqua" w:hAnsi="Book Antiqua" w:cs="Times New Roman"/>
          <w:color w:val="000000" w:themeColor="text1"/>
          <w:sz w:val="24"/>
          <w:szCs w:val="24"/>
        </w:rPr>
        <w:t>. The Cancer Genome Atlas (TCGA) is a large unified compilation of multi-platform molecular profiles along with clinicopathological annotation data. TCGA offers facilities for structured analysis of potential molecular processes of various clinicopathological parameters linked to cancer</w:t>
      </w:r>
      <w:r w:rsidR="004738B9" w:rsidRPr="00FE1156">
        <w:rPr>
          <w:rFonts w:ascii="Book Antiqua" w:hAnsi="Book Antiqua" w:cs="Times New Roman"/>
          <w:noProof/>
          <w:color w:val="000000" w:themeColor="text1"/>
          <w:sz w:val="24"/>
          <w:szCs w:val="24"/>
          <w:vertAlign w:val="superscript"/>
        </w:rPr>
        <w:t>[9]</w:t>
      </w:r>
      <w:r w:rsidR="004738B9" w:rsidRPr="00FE1156">
        <w:rPr>
          <w:rFonts w:ascii="Book Antiqua" w:hAnsi="Book Antiqua" w:cs="Times New Roman"/>
          <w:color w:val="000000" w:themeColor="text1"/>
          <w:sz w:val="24"/>
          <w:szCs w:val="24"/>
        </w:rPr>
        <w:t>.</w:t>
      </w:r>
      <w:r w:rsidR="004738B9" w:rsidRPr="00FE1156" w:rsidDel="003A299C">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t>Weighted gene co-expression network analysis (WGCNA) was proposed for establishing co</w:t>
      </w:r>
      <w:r>
        <w:rPr>
          <w:rFonts w:ascii="Book Antiqua" w:hAnsi="Book Antiqua" w:cs="Times New Roman"/>
          <w:color w:val="000000" w:themeColor="text1"/>
          <w:sz w:val="24"/>
          <w:szCs w:val="24"/>
        </w:rPr>
        <w:t>-</w:t>
      </w:r>
      <w:r w:rsidR="004738B9" w:rsidRPr="00FE1156">
        <w:rPr>
          <w:rFonts w:ascii="Book Antiqua" w:hAnsi="Book Antiqua" w:cs="Times New Roman"/>
          <w:color w:val="000000" w:themeColor="text1"/>
          <w:sz w:val="24"/>
          <w:szCs w:val="24"/>
        </w:rPr>
        <w:t>expression modules or networks of genes to explore the correlation among different groups of genes and clinical features or within the groups</w:t>
      </w:r>
      <w:r w:rsidR="004738B9" w:rsidRPr="00FE1156">
        <w:rPr>
          <w:rFonts w:ascii="Book Antiqua" w:hAnsi="Book Antiqua" w:cs="Times New Roman"/>
          <w:noProof/>
          <w:color w:val="000000" w:themeColor="text1"/>
          <w:sz w:val="24"/>
          <w:szCs w:val="24"/>
          <w:vertAlign w:val="superscript"/>
        </w:rPr>
        <w:t>[10]</w:t>
      </w:r>
      <w:r w:rsidR="004738B9" w:rsidRPr="00FE1156">
        <w:rPr>
          <w:rFonts w:ascii="Book Antiqua" w:hAnsi="Book Antiqua" w:cs="Times New Roman"/>
          <w:color w:val="000000" w:themeColor="text1"/>
          <w:sz w:val="24"/>
          <w:szCs w:val="24"/>
        </w:rPr>
        <w:t>. These modules are built upon large gene expression profiles and differences between the centrally located genes (hub genes) that drive the crucial cellular signaling pathways of key cells</w:t>
      </w:r>
      <w:r>
        <w:rPr>
          <w:rFonts w:ascii="Book Antiqua" w:hAnsi="Book Antiqua" w:cs="Times New Roman"/>
          <w:noProof/>
          <w:color w:val="000000" w:themeColor="text1"/>
          <w:sz w:val="24"/>
          <w:szCs w:val="24"/>
          <w:vertAlign w:val="superscript"/>
        </w:rPr>
        <w:t>[11,</w:t>
      </w:r>
      <w:r w:rsidR="004738B9" w:rsidRPr="00FE1156">
        <w:rPr>
          <w:rFonts w:ascii="Book Antiqua" w:hAnsi="Book Antiqua" w:cs="Times New Roman"/>
          <w:noProof/>
          <w:color w:val="000000" w:themeColor="text1"/>
          <w:sz w:val="24"/>
          <w:szCs w:val="24"/>
          <w:vertAlign w:val="superscript"/>
        </w:rPr>
        <w:t>12]</w:t>
      </w:r>
      <w:r w:rsidR="004738B9" w:rsidRPr="00FE1156">
        <w:rPr>
          <w:rFonts w:ascii="Book Antiqua" w:hAnsi="Book Antiqua" w:cs="Times New Roman"/>
          <w:color w:val="000000" w:themeColor="text1"/>
          <w:sz w:val="24"/>
          <w:szCs w:val="24"/>
        </w:rPr>
        <w:t xml:space="preserve">. The WGCNA method provides a functional interpretation tool for systems biology and has led to new insights into the pathophysiology of SA. </w:t>
      </w:r>
    </w:p>
    <w:p w14:paraId="530ADCAF" w14:textId="5FBAE3E6" w:rsidR="004738B9" w:rsidRPr="00FE1156" w:rsidRDefault="00970D89"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t>In the present study, we used gene expression data from TCGA to create a co</w:t>
      </w:r>
      <w:r>
        <w:rPr>
          <w:rFonts w:ascii="Book Antiqua" w:hAnsi="Book Antiqua" w:cs="Times New Roman"/>
          <w:color w:val="000000" w:themeColor="text1"/>
          <w:sz w:val="24"/>
          <w:szCs w:val="24"/>
        </w:rPr>
        <w:t>-</w:t>
      </w:r>
      <w:r w:rsidR="004738B9" w:rsidRPr="00FE1156">
        <w:rPr>
          <w:rFonts w:ascii="Book Antiqua" w:hAnsi="Book Antiqua" w:cs="Times New Roman"/>
          <w:color w:val="000000" w:themeColor="text1"/>
          <w:sz w:val="24"/>
          <w:szCs w:val="24"/>
        </w:rPr>
        <w:t xml:space="preserve">expression network using differentially expressed genes (DEGs) related to </w:t>
      </w:r>
      <w:r w:rsidR="004738B9" w:rsidRPr="00FE1156">
        <w:rPr>
          <w:rFonts w:ascii="Book Antiqua" w:hAnsi="Book Antiqua" w:cs="Times New Roman"/>
          <w:color w:val="000000" w:themeColor="text1"/>
          <w:sz w:val="24"/>
          <w:szCs w:val="24"/>
        </w:rPr>
        <w:lastRenderedPageBreak/>
        <w:t xml:space="preserve">SA progression, and defined the gene clusters closely related to SA through WGCNA. Transcriptomics analysis enabled us to identify sorting nexin (SNX)10, a tumor suppressor, which showed overexpression in para-carcinoma tissues and </w:t>
      </w:r>
      <w:r w:rsidR="004738B9" w:rsidRPr="00FE1156">
        <w:rPr>
          <w:rFonts w:ascii="Book Antiqua" w:hAnsi="Book Antiqua"/>
          <w:color w:val="000000" w:themeColor="text1"/>
          <w:sz w:val="24"/>
          <w:szCs w:val="24"/>
        </w:rPr>
        <w:t xml:space="preserve">gastric epithelial cells (GSE-1) compared to that in SA tissue and cells. We </w:t>
      </w:r>
      <w:r w:rsidR="004738B9" w:rsidRPr="00FE1156">
        <w:rPr>
          <w:rFonts w:ascii="Book Antiqua" w:hAnsi="Book Antiqua" w:cs="Times New Roman"/>
          <w:color w:val="000000" w:themeColor="text1"/>
          <w:sz w:val="24"/>
          <w:szCs w:val="24"/>
        </w:rPr>
        <w:t xml:space="preserve">investigated the correlation between SNX10 expression and the related clinicopathological parameters in SA patients. The prognostic value of SNX10 in SA was also evaluated. </w:t>
      </w:r>
    </w:p>
    <w:p w14:paraId="62C0F60C" w14:textId="24087800" w:rsidR="004738B9" w:rsidRPr="00FE1156" w:rsidRDefault="00970D89"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t>Our research provides a novel and extensive application platform for the identification of SA-related genes, which may be useful to identify novel molecular targets and develop competent therapeutic strategies.</w:t>
      </w:r>
    </w:p>
    <w:p w14:paraId="1FAC0759" w14:textId="77777777" w:rsidR="004738B9" w:rsidRPr="00FE1156" w:rsidRDefault="004738B9" w:rsidP="00FE1156">
      <w:pPr>
        <w:adjustRightInd w:val="0"/>
        <w:snapToGrid w:val="0"/>
        <w:spacing w:line="360" w:lineRule="auto"/>
        <w:rPr>
          <w:rFonts w:ascii="Book Antiqua" w:hAnsi="Book Antiqua" w:cs="Times New Roman"/>
          <w:b/>
          <w:color w:val="000000" w:themeColor="text1"/>
          <w:sz w:val="24"/>
          <w:szCs w:val="24"/>
        </w:rPr>
      </w:pPr>
    </w:p>
    <w:p w14:paraId="25A2A4C5" w14:textId="77777777" w:rsidR="004738B9" w:rsidRPr="00FE1156" w:rsidRDefault="004738B9" w:rsidP="006119F2">
      <w:pPr>
        <w:adjustRightInd w:val="0"/>
        <w:snapToGrid w:val="0"/>
        <w:spacing w:line="360" w:lineRule="auto"/>
        <w:outlineLvl w:val="0"/>
        <w:rPr>
          <w:rFonts w:ascii="Book Antiqua" w:hAnsi="Book Antiqua" w:cs="Times New Roman"/>
          <w:b/>
          <w:color w:val="000000" w:themeColor="text1"/>
          <w:sz w:val="24"/>
          <w:szCs w:val="24"/>
        </w:rPr>
      </w:pPr>
      <w:r w:rsidRPr="00FE1156">
        <w:rPr>
          <w:rFonts w:ascii="Book Antiqua" w:hAnsi="Book Antiqua" w:cs="Times New Roman"/>
          <w:b/>
          <w:color w:val="000000" w:themeColor="text1"/>
          <w:sz w:val="24"/>
          <w:szCs w:val="24"/>
        </w:rPr>
        <w:t>MATERIALS AND METHODS</w:t>
      </w:r>
    </w:p>
    <w:p w14:paraId="6B97DF53"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TCGA gene expression profiles</w:t>
      </w:r>
    </w:p>
    <w:p w14:paraId="3C5F511D" w14:textId="73F04B40"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The RNA sequencing dataset and corresponding clinical records of SA patients were obtained from TCGA (</w:t>
      </w:r>
      <w:r w:rsidRPr="00FE1156">
        <w:rPr>
          <w:rFonts w:ascii="Book Antiqua" w:hAnsi="Book Antiqua"/>
          <w:color w:val="000000" w:themeColor="text1"/>
          <w:sz w:val="24"/>
          <w:szCs w:val="24"/>
        </w:rPr>
        <w:t>https://portal.gdc.cancer.gov/</w:t>
      </w:r>
      <w:r w:rsidRPr="00FE1156">
        <w:rPr>
          <w:rFonts w:ascii="Book Antiqua" w:hAnsi="Book Antiqua" w:cs="Times New Roman"/>
          <w:color w:val="000000" w:themeColor="text1"/>
          <w:sz w:val="24"/>
          <w:szCs w:val="24"/>
        </w:rPr>
        <w:t>, Project ID: TCGA-STAD). RTCGA Toolbox package in the R platform was used to download the raw dataset of RNA sequencing</w:t>
      </w:r>
      <w:r w:rsidRPr="00FE1156">
        <w:rPr>
          <w:rFonts w:ascii="Book Antiqua" w:hAnsi="Book Antiqua" w:cs="Times New Roman"/>
          <w:noProof/>
          <w:color w:val="000000" w:themeColor="text1"/>
          <w:sz w:val="24"/>
          <w:szCs w:val="24"/>
          <w:vertAlign w:val="superscript"/>
        </w:rPr>
        <w:t>[13]</w:t>
      </w:r>
      <w:r w:rsidRPr="00FE1156">
        <w:rPr>
          <w:rFonts w:ascii="Book Antiqua" w:hAnsi="Book Antiqua" w:cs="Times New Roman"/>
          <w:color w:val="000000" w:themeColor="text1"/>
          <w:sz w:val="24"/>
          <w:szCs w:val="24"/>
        </w:rPr>
        <w:t xml:space="preserve">. A total of 406 samples were available in TCGA, which included 375 tumor tissue and 31 normal tissue samples. Hub genes were identified from 375 tumor tissue samples (with complete clinical data) using WGCNA. </w:t>
      </w:r>
    </w:p>
    <w:p w14:paraId="2FB796FC"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p>
    <w:p w14:paraId="31280608"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Screening for DEGs</w:t>
      </w:r>
    </w:p>
    <w:p w14:paraId="677C3B7E" w14:textId="3228408D"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Differentially expressed RNAs were identified by package R</w:t>
      </w:r>
      <w:r w:rsidRPr="00FE1156">
        <w:rPr>
          <w:rFonts w:ascii="Book Antiqua" w:hAnsi="Book Antiqua" w:cs="Times New Roman"/>
          <w:noProof/>
          <w:color w:val="000000" w:themeColor="text1"/>
          <w:sz w:val="24"/>
          <w:szCs w:val="24"/>
          <w:vertAlign w:val="superscript"/>
        </w:rPr>
        <w:t>[14]</w:t>
      </w:r>
      <w:r w:rsidRPr="00FE1156">
        <w:rPr>
          <w:rFonts w:ascii="Book Antiqua" w:hAnsi="Book Antiqua" w:cs="Times New Roman"/>
          <w:color w:val="000000" w:themeColor="text1"/>
          <w:sz w:val="24"/>
          <w:szCs w:val="24"/>
        </w:rPr>
        <w:t>. Trimmed mean of M values was u</w:t>
      </w:r>
      <w:r w:rsidR="00970D89">
        <w:rPr>
          <w:rFonts w:ascii="Book Antiqua" w:hAnsi="Book Antiqua" w:cs="Times New Roman"/>
          <w:color w:val="000000" w:themeColor="text1"/>
          <w:sz w:val="24"/>
          <w:szCs w:val="24"/>
        </w:rPr>
        <w:t xml:space="preserve">sed to obtain gene read counts </w:t>
      </w:r>
      <w:r w:rsidRPr="00FE1156">
        <w:rPr>
          <w:rFonts w:ascii="Book Antiqua" w:hAnsi="Book Antiqua" w:cs="Times New Roman"/>
          <w:color w:val="000000" w:themeColor="text1"/>
          <w:sz w:val="24"/>
          <w:szCs w:val="24"/>
        </w:rPr>
        <w:t>with one scaling normalized factor</w:t>
      </w:r>
      <w:r w:rsidRPr="00FE1156">
        <w:rPr>
          <w:rFonts w:ascii="Book Antiqua" w:hAnsi="Book Antiqua" w:cs="Times New Roman"/>
          <w:noProof/>
          <w:color w:val="000000" w:themeColor="text1"/>
          <w:sz w:val="24"/>
          <w:szCs w:val="24"/>
          <w:vertAlign w:val="superscript"/>
        </w:rPr>
        <w:t>[15]</w:t>
      </w:r>
      <w:r w:rsidRPr="00FE1156">
        <w:rPr>
          <w:rFonts w:ascii="Book Antiqua" w:hAnsi="Book Antiqua" w:cs="Times New Roman"/>
          <w:color w:val="000000" w:themeColor="text1"/>
          <w:sz w:val="24"/>
          <w:szCs w:val="24"/>
        </w:rPr>
        <w:t xml:space="preserve">. We calculated the significance of RNAs using the negative binomial model followed by correction of </w:t>
      </w:r>
      <w:r w:rsidRPr="00FE1156">
        <w:rPr>
          <w:rFonts w:ascii="Book Antiqua" w:hAnsi="Book Antiqua" w:cs="Times New Roman"/>
          <w:i/>
          <w:color w:val="000000" w:themeColor="text1"/>
          <w:sz w:val="24"/>
          <w:szCs w:val="24"/>
        </w:rPr>
        <w:t>P</w:t>
      </w:r>
      <w:r w:rsidR="00970D89">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values by the Benjamini–Hochberg method</w:t>
      </w:r>
      <w:r w:rsidRPr="00FE1156">
        <w:rPr>
          <w:rFonts w:ascii="Book Antiqua" w:hAnsi="Book Antiqua" w:cs="Times New Roman"/>
          <w:noProof/>
          <w:color w:val="000000" w:themeColor="text1"/>
          <w:sz w:val="24"/>
          <w:szCs w:val="24"/>
          <w:vertAlign w:val="superscript"/>
        </w:rPr>
        <w:t>[16]</w:t>
      </w:r>
      <w:r w:rsidRPr="00FE1156">
        <w:rPr>
          <w:rFonts w:ascii="Book Antiqua" w:hAnsi="Book Antiqua" w:cs="Times New Roman"/>
          <w:noProof/>
          <w:color w:val="000000" w:themeColor="text1"/>
          <w:sz w:val="24"/>
          <w:szCs w:val="24"/>
        </w:rPr>
        <w:t>.</w:t>
      </w:r>
      <w:r w:rsidRPr="00FE1156">
        <w:rPr>
          <w:rFonts w:ascii="Book Antiqua" w:hAnsi="Book Antiqua" w:cs="Times New Roman"/>
          <w:color w:val="000000" w:themeColor="text1"/>
          <w:sz w:val="24"/>
          <w:szCs w:val="24"/>
        </w:rPr>
        <w:t xml:space="preserve"> Significantly expressed RNAs were identified using adjusted </w:t>
      </w:r>
      <w:r w:rsidRPr="00FE1156">
        <w:rPr>
          <w:rFonts w:ascii="Book Antiqua" w:hAnsi="Book Antiqua" w:cs="Times New Roman"/>
          <w:i/>
          <w:color w:val="000000" w:themeColor="text1"/>
          <w:sz w:val="24"/>
          <w:szCs w:val="24"/>
        </w:rPr>
        <w:t>P</w:t>
      </w:r>
      <w:r w:rsidRPr="00FE1156">
        <w:rPr>
          <w:rFonts w:ascii="Book Antiqua" w:hAnsi="Book Antiqua" w:cs="Times New Roman"/>
          <w:color w:val="000000" w:themeColor="text1"/>
          <w:sz w:val="24"/>
          <w:szCs w:val="24"/>
        </w:rPr>
        <w:t xml:space="preserve"> values of 0.05 and fold changes of 1.</w:t>
      </w:r>
    </w:p>
    <w:p w14:paraId="240341C4"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p>
    <w:p w14:paraId="5A7DE6BE" w14:textId="77777777" w:rsidR="00970D89" w:rsidRDefault="004738B9" w:rsidP="00FE1156">
      <w:pPr>
        <w:adjustRightInd w:val="0"/>
        <w:snapToGrid w:val="0"/>
        <w:spacing w:line="360" w:lineRule="auto"/>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Construction of WGCN</w:t>
      </w:r>
    </w:p>
    <w:p w14:paraId="2BFED2BF" w14:textId="30554C80" w:rsidR="004738B9" w:rsidRPr="00FE1156" w:rsidRDefault="00970D89"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WGCNA R package </w:t>
      </w:r>
      <w:r w:rsidR="004738B9" w:rsidRPr="00FE1156">
        <w:rPr>
          <w:rFonts w:ascii="Book Antiqua" w:hAnsi="Book Antiqua" w:cs="Times New Roman"/>
          <w:color w:val="000000" w:themeColor="text1"/>
          <w:sz w:val="24"/>
          <w:szCs w:val="24"/>
        </w:rPr>
        <w:t>was used to establish co</w:t>
      </w:r>
      <w:r>
        <w:rPr>
          <w:rFonts w:ascii="Book Antiqua" w:hAnsi="Book Antiqua" w:cs="Times New Roman"/>
          <w:color w:val="000000" w:themeColor="text1"/>
          <w:sz w:val="24"/>
          <w:szCs w:val="24"/>
        </w:rPr>
        <w:t>-</w:t>
      </w:r>
      <w:r w:rsidR="004738B9" w:rsidRPr="00FE1156">
        <w:rPr>
          <w:rFonts w:ascii="Book Antiqua" w:hAnsi="Book Antiqua" w:cs="Times New Roman"/>
          <w:color w:val="000000" w:themeColor="text1"/>
          <w:sz w:val="24"/>
          <w:szCs w:val="24"/>
        </w:rPr>
        <w:t>expression network of genes</w:t>
      </w:r>
      <w:r w:rsidR="004738B9" w:rsidRPr="00FE1156">
        <w:rPr>
          <w:rFonts w:ascii="Book Antiqua" w:hAnsi="Book Antiqua" w:cs="Times New Roman"/>
          <w:noProof/>
          <w:color w:val="000000" w:themeColor="text1"/>
          <w:sz w:val="24"/>
          <w:szCs w:val="24"/>
          <w:vertAlign w:val="superscript"/>
        </w:rPr>
        <w:t>[10]</w:t>
      </w:r>
      <w:r w:rsidR="004738B9" w:rsidRPr="00FE1156">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lastRenderedPageBreak/>
        <w:t>Towards this end, 375 tumor samples with expression of 6232 DEGs and related clinical data were used. The weighted adjacency matrix was created from a power function that was dependent on a soft-thresholding parameter gram, deep split was taken as 4, and for module dendrogram and merged modules we considered the cutoff line as 0.15. The network was visualized by Cytoscape 3.5.1</w:t>
      </w:r>
      <w:r w:rsidR="004738B9" w:rsidRPr="00FE1156">
        <w:rPr>
          <w:rFonts w:ascii="Book Antiqua" w:hAnsi="Book Antiqua" w:cs="Times New Roman"/>
          <w:noProof/>
          <w:color w:val="000000" w:themeColor="text1"/>
          <w:sz w:val="24"/>
          <w:szCs w:val="24"/>
          <w:vertAlign w:val="superscript"/>
        </w:rPr>
        <w:t>[17]</w:t>
      </w:r>
      <w:r w:rsidR="004738B9" w:rsidRPr="00FE1156">
        <w:rPr>
          <w:rFonts w:ascii="Book Antiqua" w:hAnsi="Book Antiqua" w:cs="Times New Roman"/>
          <w:color w:val="000000" w:themeColor="text1"/>
          <w:sz w:val="24"/>
          <w:szCs w:val="24"/>
        </w:rPr>
        <w:t>. The network module was filtered and studied in Cytoscape using Molecular Compgram, deep split was taken as 4, and for module dendrogram and merged modules we considered the cutoff line as 0.15. The network was visualized by Cytoscape 3.5.1</w:t>
      </w:r>
      <w:r w:rsidR="004738B9" w:rsidRPr="00FE1156">
        <w:rPr>
          <w:rFonts w:ascii="Book Antiqua" w:hAnsi="Book Antiqua" w:cs="Times New Roman"/>
          <w:noProof/>
          <w:color w:val="000000" w:themeColor="text1"/>
          <w:sz w:val="24"/>
          <w:szCs w:val="24"/>
          <w:vertAlign w:val="superscript"/>
        </w:rPr>
        <w:t>[17]</w:t>
      </w:r>
      <w:r w:rsidR="004738B9" w:rsidRPr="00FE1156">
        <w:rPr>
          <w:rFonts w:ascii="Book Antiqua" w:hAnsi="Book Antiqua" w:cs="Times New Roman"/>
          <w:color w:val="000000" w:themeColor="text1"/>
          <w:sz w:val="24"/>
          <w:szCs w:val="24"/>
        </w:rPr>
        <w:t>. The network module was filtered and studied in Cytoscape using Molecular Complex Detection (MCODE).</w:t>
      </w:r>
    </w:p>
    <w:p w14:paraId="69E7BB5B"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p>
    <w:p w14:paraId="7A0B8751"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Clinically significant module identification and module functional annotation</w:t>
      </w:r>
    </w:p>
    <w:p w14:paraId="275338E5" w14:textId="0A385357" w:rsidR="004738B9" w:rsidRPr="00FE1156" w:rsidRDefault="004738B9" w:rsidP="00FE1156">
      <w:pPr>
        <w:adjustRightInd w:val="0"/>
        <w:snapToGrid w:val="0"/>
        <w:spacing w:line="360" w:lineRule="auto"/>
        <w:rPr>
          <w:rFonts w:ascii="Book Antiqua" w:hAnsi="Book Antiqua"/>
          <w:color w:val="000000" w:themeColor="text1"/>
          <w:sz w:val="24"/>
          <w:szCs w:val="24"/>
        </w:rPr>
      </w:pPr>
      <w:r w:rsidRPr="00FE1156">
        <w:rPr>
          <w:rFonts w:ascii="Book Antiqua" w:hAnsi="Book Antiqua" w:cs="Times New Roman"/>
          <w:color w:val="000000" w:themeColor="text1"/>
          <w:sz w:val="24"/>
          <w:szCs w:val="24"/>
        </w:rPr>
        <w:t xml:space="preserve">We identified biologically significant modules using Pearson’s correlation test to evaluate the association between modules and clinical features. Age, tumor stage and tumor grade were chosen as clinical traits. The modules showing highest correlation with clinical features were chosen. </w:t>
      </w:r>
      <w:r w:rsidRPr="00FE1156">
        <w:rPr>
          <w:rFonts w:ascii="Book Antiqua" w:hAnsi="Book Antiqua"/>
          <w:color w:val="000000" w:themeColor="text1"/>
          <w:sz w:val="24"/>
          <w:szCs w:val="24"/>
        </w:rPr>
        <w:t>The Database for Annotation, Visualization and Integrated Discovery (DAVID) version 6.8 (https://david.ncifcrf.gov/)</w:t>
      </w:r>
      <w:r w:rsidRPr="00FE1156">
        <w:rPr>
          <w:rFonts w:ascii="Book Antiqua" w:hAnsi="Book Antiqua"/>
          <w:noProof/>
          <w:color w:val="000000" w:themeColor="text1"/>
          <w:sz w:val="24"/>
          <w:szCs w:val="24"/>
          <w:vertAlign w:val="superscript"/>
        </w:rPr>
        <w:t>[18]</w:t>
      </w:r>
      <w:r w:rsidRPr="00FE1156">
        <w:rPr>
          <w:rFonts w:ascii="Book Antiqua" w:hAnsi="Book Antiqua"/>
          <w:color w:val="000000" w:themeColor="text1"/>
          <w:sz w:val="24"/>
          <w:szCs w:val="24"/>
        </w:rPr>
        <w:t xml:space="preserve"> was used to categorize the gene data of the target module as follows: biological process FAT, cell component FAT, and molecular function FAT datasets of Gene Ontology (GO) functional</w:t>
      </w:r>
      <w:r w:rsidR="000B75BE">
        <w:rPr>
          <w:rFonts w:ascii="Book Antiqua" w:hAnsi="Book Antiqua"/>
          <w:noProof/>
          <w:color w:val="000000" w:themeColor="text1"/>
          <w:sz w:val="24"/>
          <w:szCs w:val="24"/>
          <w:vertAlign w:val="superscript"/>
        </w:rPr>
        <w:t>[19,</w:t>
      </w:r>
      <w:r w:rsidRPr="00FE1156">
        <w:rPr>
          <w:rFonts w:ascii="Book Antiqua" w:hAnsi="Book Antiqua"/>
          <w:noProof/>
          <w:color w:val="000000" w:themeColor="text1"/>
          <w:sz w:val="24"/>
          <w:szCs w:val="24"/>
          <w:vertAlign w:val="superscript"/>
        </w:rPr>
        <w:t xml:space="preserve">20] </w:t>
      </w:r>
      <w:r w:rsidRPr="00FE1156">
        <w:rPr>
          <w:rFonts w:ascii="Book Antiqua" w:hAnsi="Book Antiqua"/>
          <w:color w:val="000000" w:themeColor="text1"/>
          <w:sz w:val="24"/>
          <w:szCs w:val="24"/>
        </w:rPr>
        <w:t xml:space="preserve">and pathway enrichment analysis using </w:t>
      </w:r>
      <w:r w:rsidR="000B75BE" w:rsidRPr="00FE1156">
        <w:rPr>
          <w:rFonts w:ascii="Book Antiqua" w:hAnsi="Book Antiqua"/>
          <w:color w:val="000000" w:themeColor="text1"/>
          <w:sz w:val="24"/>
          <w:szCs w:val="24"/>
        </w:rPr>
        <w:t>Kyoto Encyclopedia of Genes and Genomes</w:t>
      </w:r>
      <w:r w:rsidRPr="00FE1156">
        <w:rPr>
          <w:rFonts w:ascii="Book Antiqua" w:hAnsi="Book Antiqua"/>
          <w:color w:val="000000" w:themeColor="text1"/>
          <w:sz w:val="24"/>
          <w:szCs w:val="24"/>
        </w:rPr>
        <w:t xml:space="preserve"> (</w:t>
      </w:r>
      <w:r w:rsidR="000B75BE" w:rsidRPr="00FE1156">
        <w:rPr>
          <w:rFonts w:ascii="Book Antiqua" w:hAnsi="Book Antiqua"/>
          <w:color w:val="000000" w:themeColor="text1"/>
          <w:sz w:val="24"/>
          <w:szCs w:val="24"/>
        </w:rPr>
        <w:t>KEGG</w:t>
      </w:r>
      <w:r w:rsidRPr="00FE1156">
        <w:rPr>
          <w:rFonts w:ascii="Book Antiqua" w:hAnsi="Book Antiqua"/>
          <w:color w:val="000000" w:themeColor="text1"/>
          <w:sz w:val="24"/>
          <w:szCs w:val="24"/>
        </w:rPr>
        <w:t>)</w:t>
      </w:r>
      <w:r w:rsidRPr="00FE1156">
        <w:rPr>
          <w:rFonts w:ascii="Book Antiqua" w:hAnsi="Book Antiqua"/>
          <w:noProof/>
          <w:color w:val="000000" w:themeColor="text1"/>
          <w:sz w:val="24"/>
          <w:szCs w:val="24"/>
          <w:vertAlign w:val="superscript"/>
        </w:rPr>
        <w:t>[21]</w:t>
      </w:r>
      <w:r w:rsidRPr="00FE1156">
        <w:rPr>
          <w:rFonts w:ascii="Book Antiqua" w:hAnsi="Book Antiqua"/>
          <w:color w:val="000000" w:themeColor="text1"/>
          <w:sz w:val="24"/>
          <w:szCs w:val="24"/>
        </w:rPr>
        <w:t>.</w:t>
      </w:r>
      <w:r w:rsidRPr="00FE1156">
        <w:rPr>
          <w:rFonts w:ascii="Book Antiqua" w:hAnsi="Book Antiqua"/>
          <w:i/>
          <w:color w:val="000000" w:themeColor="text1"/>
          <w:sz w:val="24"/>
          <w:szCs w:val="24"/>
        </w:rPr>
        <w:t xml:space="preserve"> P </w:t>
      </w:r>
      <w:r w:rsidRPr="00FE1156">
        <w:rPr>
          <w:rFonts w:ascii="Book Antiqua" w:hAnsi="Book Antiqua"/>
          <w:color w:val="000000" w:themeColor="text1"/>
          <w:sz w:val="24"/>
          <w:szCs w:val="24"/>
        </w:rPr>
        <w:t>&lt; 0.05 was considered statistically significant.</w:t>
      </w:r>
    </w:p>
    <w:p w14:paraId="3EBA7671"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p>
    <w:p w14:paraId="125EB14F"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Identification of hub genes</w:t>
      </w:r>
    </w:p>
    <w:p w14:paraId="55C4D886"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We calculated the gene significance (GS), high module membership (MM) and MCODE score for different genes in the modules of interest. Based on GS, MM and MCODE score, hub genes were identified.</w:t>
      </w:r>
    </w:p>
    <w:p w14:paraId="7BB368B0"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p>
    <w:p w14:paraId="2CC42A3D"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Ethics statement</w:t>
      </w:r>
    </w:p>
    <w:p w14:paraId="7C953B33" w14:textId="77777777" w:rsidR="004738B9" w:rsidRPr="00FE1156" w:rsidRDefault="004738B9" w:rsidP="00FE1156">
      <w:pPr>
        <w:autoSpaceDE w:val="0"/>
        <w:autoSpaceDN w:val="0"/>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lastRenderedPageBreak/>
        <w:t>The study was sanctioned by the Ethics Committee, Liaoning Cancer Hospital and Institute. Informed consent was obtained from each patient prior to surgery.</w:t>
      </w:r>
    </w:p>
    <w:p w14:paraId="040D19F4" w14:textId="77777777" w:rsidR="004738B9" w:rsidRPr="00FE1156" w:rsidRDefault="004738B9" w:rsidP="00FE1156">
      <w:pPr>
        <w:autoSpaceDE w:val="0"/>
        <w:autoSpaceDN w:val="0"/>
        <w:adjustRightInd w:val="0"/>
        <w:snapToGrid w:val="0"/>
        <w:spacing w:line="360" w:lineRule="auto"/>
        <w:rPr>
          <w:rFonts w:ascii="Book Antiqua" w:hAnsi="Book Antiqua" w:cs="Times New Roman"/>
          <w:b/>
          <w:i/>
          <w:color w:val="000000" w:themeColor="text1"/>
          <w:sz w:val="24"/>
          <w:szCs w:val="24"/>
        </w:rPr>
      </w:pPr>
    </w:p>
    <w:p w14:paraId="05A95406" w14:textId="77777777" w:rsidR="004738B9" w:rsidRPr="00FE1156" w:rsidRDefault="004738B9" w:rsidP="006119F2">
      <w:pPr>
        <w:autoSpaceDE w:val="0"/>
        <w:autoSpaceDN w:val="0"/>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 xml:space="preserve">Patients and tissue samples </w:t>
      </w:r>
    </w:p>
    <w:p w14:paraId="4C092E5D" w14:textId="77777777" w:rsidR="004738B9" w:rsidRPr="00FE1156" w:rsidRDefault="004738B9" w:rsidP="00FE1156">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FE1156">
        <w:rPr>
          <w:rFonts w:ascii="Book Antiqua" w:hAnsi="Book Antiqua" w:cs="Times New Roman"/>
          <w:color w:val="000000" w:themeColor="text1"/>
          <w:kern w:val="0"/>
          <w:sz w:val="24"/>
          <w:szCs w:val="24"/>
        </w:rPr>
        <w:t>The study cohort comprised 362 patients with SA who underwent gastrectomy at the Liaoning Cancer Hospital and Institute (Shenyang, China) from January 2010 to December 2012. All patients underwent D2 lymph node dissection and gastrectomy at the first consultation. None of the enrolled patients were treated with preoperative chemotherapy or radiotherapy. All patients yielded sufficient paraffin-embedded tumor specimens. Patients with absolute adenocarcinoma, mixed carcinoma or signet ring cell carcinoma were excluded. Tumor staging was done as per the criteria detailed in 8</w:t>
      </w:r>
      <w:r w:rsidRPr="00FE1156">
        <w:rPr>
          <w:rFonts w:ascii="Book Antiqua" w:hAnsi="Book Antiqua" w:cs="Times New Roman"/>
          <w:color w:val="000000" w:themeColor="text1"/>
          <w:kern w:val="0"/>
          <w:sz w:val="24"/>
          <w:szCs w:val="24"/>
          <w:vertAlign w:val="superscript"/>
        </w:rPr>
        <w:t>th</w:t>
      </w:r>
      <w:r w:rsidRPr="00FE1156">
        <w:rPr>
          <w:rFonts w:ascii="Book Antiqua" w:hAnsi="Book Antiqua" w:cs="Times New Roman"/>
          <w:color w:val="000000" w:themeColor="text1"/>
          <w:kern w:val="0"/>
          <w:sz w:val="24"/>
          <w:szCs w:val="24"/>
        </w:rPr>
        <w:t xml:space="preserve"> edition of the TNM Staging Manual of American Joint Committee on Cancer/Union International Control Center (2017). Average age of patients was 59 years (range 33</w:t>
      </w:r>
      <w:r w:rsidRPr="00FE1156">
        <w:rPr>
          <w:rFonts w:ascii="Book Antiqua" w:eastAsia="Helvetica" w:hAnsi="Book Antiqua" w:cs="Helvetica"/>
          <w:color w:val="000000" w:themeColor="text1"/>
          <w:kern w:val="0"/>
          <w:sz w:val="24"/>
          <w:szCs w:val="24"/>
        </w:rPr>
        <w:t>–</w:t>
      </w:r>
      <w:r w:rsidRPr="00FE1156">
        <w:rPr>
          <w:rFonts w:ascii="Book Antiqua" w:eastAsia="Helvetica" w:hAnsi="Book Antiqua" w:cs="Times New Roman"/>
          <w:color w:val="000000" w:themeColor="text1"/>
          <w:kern w:val="0"/>
          <w:sz w:val="24"/>
          <w:szCs w:val="24"/>
        </w:rPr>
        <w:t xml:space="preserve">80 </w:t>
      </w:r>
      <w:r w:rsidRPr="00FE1156">
        <w:rPr>
          <w:rFonts w:ascii="Book Antiqua" w:hAnsi="Book Antiqua" w:cs="Times New Roman"/>
          <w:color w:val="000000" w:themeColor="text1"/>
          <w:kern w:val="0"/>
          <w:sz w:val="24"/>
          <w:szCs w:val="24"/>
        </w:rPr>
        <w:t>years), and there were 248 men (68.5%) and 114 women (31.5%). Postoperative adjuvant chemotherapy was administered to patients with staging worse than IIA. The clinicopathological parameters analyzed included: age, gender, Bormann type, age, tumor size, tumor</w:t>
      </w:r>
      <w:r w:rsidRPr="00FE1156" w:rsidDel="005B5433">
        <w:rPr>
          <w:rFonts w:ascii="Book Antiqua" w:hAnsi="Book Antiqua" w:cs="Times New Roman"/>
          <w:color w:val="000000" w:themeColor="text1"/>
          <w:kern w:val="0"/>
          <w:sz w:val="24"/>
          <w:szCs w:val="24"/>
        </w:rPr>
        <w:t xml:space="preserve"> </w:t>
      </w:r>
      <w:r w:rsidRPr="00FE1156">
        <w:rPr>
          <w:rFonts w:ascii="Book Antiqua" w:hAnsi="Book Antiqua" w:cs="Times New Roman"/>
          <w:color w:val="000000" w:themeColor="text1"/>
          <w:kern w:val="0"/>
          <w:sz w:val="24"/>
          <w:szCs w:val="24"/>
        </w:rPr>
        <w:t xml:space="preserve">location, Lauren type, perineural invasion, tumor differentiation, T category, invasion of blood vessel, N category, and TNM stage (Table 1). </w:t>
      </w:r>
    </w:p>
    <w:p w14:paraId="17448ADE" w14:textId="455A06F2" w:rsidR="004738B9" w:rsidRPr="00FE1156" w:rsidRDefault="000B75BE" w:rsidP="00FE1156">
      <w:pPr>
        <w:autoSpaceDE w:val="0"/>
        <w:autoSpaceDN w:val="0"/>
        <w:adjustRightInd w:val="0"/>
        <w:snapToGrid w:val="0"/>
        <w:spacing w:line="360" w:lineRule="auto"/>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t xml:space="preserve">  </w:t>
      </w:r>
      <w:r w:rsidR="004738B9" w:rsidRPr="00FE1156">
        <w:rPr>
          <w:rFonts w:ascii="Book Antiqua" w:hAnsi="Book Antiqua" w:cs="Times New Roman"/>
          <w:color w:val="000000" w:themeColor="text1"/>
          <w:kern w:val="0"/>
          <w:sz w:val="24"/>
          <w:szCs w:val="24"/>
        </w:rPr>
        <w:t>Follow-up evaluation was conducted every 3–6 mo after surgery for 5 years, which included physical examination, pulmonary, abdominal, and pelvic computed tomography scan, blood count, endoscopy, and liver function tests. The dates of first evidence of recurrence and death were recorded for each case. Survival was estimated as the duration between operation and final follow-up or demise. The final date of investigation was May 1, 2018. The tenure between the resection date and diagnosis of first relapse was considered to be disease-free survival (DFS). Overall survival (OS) was calculated as the time between surgery and death.</w:t>
      </w:r>
    </w:p>
    <w:p w14:paraId="3B901B66" w14:textId="77777777" w:rsidR="004738B9" w:rsidRPr="00FE1156" w:rsidRDefault="004738B9" w:rsidP="00FE1156">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2277ED1A"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lastRenderedPageBreak/>
        <w:t xml:space="preserve">Immunohistochemistry </w:t>
      </w:r>
    </w:p>
    <w:p w14:paraId="6DCFB823" w14:textId="2791DDA3"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Five-μm thick tissue sections were fixed on theslides coated with poly-L-lysine. SNX10 antibody (Abcam, 1:150, Cambridge, </w:t>
      </w:r>
      <w:r w:rsidR="000B75BE">
        <w:rPr>
          <w:rFonts w:ascii="Book Antiqua" w:hAnsi="Book Antiqua" w:cs="Times New Roman"/>
          <w:color w:val="000000" w:themeColor="text1"/>
          <w:sz w:val="24"/>
          <w:szCs w:val="24"/>
        </w:rPr>
        <w:t>United Kingdom</w:t>
      </w:r>
      <w:r w:rsidRPr="00FE1156">
        <w:rPr>
          <w:rFonts w:ascii="Book Antiqua" w:hAnsi="Book Antiqua" w:cs="Times New Roman"/>
          <w:color w:val="000000" w:themeColor="text1"/>
          <w:sz w:val="24"/>
          <w:szCs w:val="24"/>
        </w:rPr>
        <w:t>) was used for immunostaining of sections, and visualized by treatment with suitable biotin-conjugated secondary antibodies and immmunoperoxidassed for immunostaining of sections, and visualized by treatment with suitable biotin-conjugated secondary antibodies and immmunoperoxidase detection involving diaminobenzidine (DAB) substrate (Boster, China) and the Vectastain ABC Elite kit (Linaris, Wertheim, Germany).</w:t>
      </w:r>
    </w:p>
    <w:p w14:paraId="54D811AC"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p>
    <w:p w14:paraId="002AD02D" w14:textId="15290AA7" w:rsidR="004738B9" w:rsidRPr="00FE1156" w:rsidRDefault="004738B9" w:rsidP="006119F2">
      <w:pPr>
        <w:adjustRightInd w:val="0"/>
        <w:snapToGrid w:val="0"/>
        <w:spacing w:line="360" w:lineRule="auto"/>
        <w:outlineLvl w:val="0"/>
        <w:rPr>
          <w:rFonts w:ascii="Book Antiqua" w:hAnsi="Book Antiqua" w:cs="Times New Roman"/>
          <w:color w:val="000000" w:themeColor="text1"/>
          <w:sz w:val="24"/>
          <w:szCs w:val="24"/>
        </w:rPr>
      </w:pPr>
      <w:r w:rsidRPr="00FE1156">
        <w:rPr>
          <w:rFonts w:ascii="Book Antiqua" w:hAnsi="Book Antiqua" w:cs="Times New Roman"/>
          <w:b/>
          <w:i/>
          <w:color w:val="000000" w:themeColor="text1"/>
          <w:sz w:val="24"/>
          <w:szCs w:val="24"/>
        </w:rPr>
        <w:t xml:space="preserve">Evaluation of </w:t>
      </w:r>
      <w:r w:rsidR="000B75BE">
        <w:rPr>
          <w:rFonts w:ascii="Book Antiqua" w:hAnsi="Book Antiqua" w:cs="Times New Roman"/>
          <w:b/>
          <w:i/>
          <w:color w:val="000000" w:themeColor="text1"/>
          <w:sz w:val="24"/>
          <w:szCs w:val="24"/>
        </w:rPr>
        <w:t>i</w:t>
      </w:r>
      <w:r w:rsidR="000B75BE" w:rsidRPr="000B75BE">
        <w:rPr>
          <w:rFonts w:ascii="Book Antiqua" w:hAnsi="Book Antiqua" w:cs="Times New Roman"/>
          <w:b/>
          <w:i/>
          <w:color w:val="000000" w:themeColor="text1"/>
          <w:sz w:val="24"/>
          <w:szCs w:val="24"/>
        </w:rPr>
        <w:t>mmunohistochemical</w:t>
      </w:r>
      <w:r w:rsidRPr="00FE1156">
        <w:rPr>
          <w:rFonts w:ascii="Book Antiqua" w:hAnsi="Book Antiqua" w:cs="Times New Roman"/>
          <w:b/>
          <w:i/>
          <w:color w:val="000000" w:themeColor="text1"/>
          <w:sz w:val="24"/>
          <w:szCs w:val="24"/>
        </w:rPr>
        <w:t xml:space="preserve"> staining</w:t>
      </w:r>
    </w:p>
    <w:p w14:paraId="0580F5EA" w14:textId="1AB1BD31"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Immunohistochemical</w:t>
      </w:r>
      <w:r w:rsidR="000B75BE">
        <w:rPr>
          <w:rFonts w:ascii="Book Antiqua" w:hAnsi="Book Antiqua" w:cs="Times New Roman"/>
          <w:color w:val="000000" w:themeColor="text1"/>
          <w:sz w:val="24"/>
          <w:szCs w:val="24"/>
        </w:rPr>
        <w:t xml:space="preserve"> (IHC)</w:t>
      </w:r>
      <w:r w:rsidRPr="00FE1156">
        <w:rPr>
          <w:rFonts w:ascii="Book Antiqua" w:hAnsi="Book Antiqua" w:cs="Times New Roman"/>
          <w:color w:val="000000" w:themeColor="text1"/>
          <w:sz w:val="24"/>
          <w:szCs w:val="24"/>
        </w:rPr>
        <w:t xml:space="preserve"> staining of SNX10 was independently scored by two pathologists. Staining intensity and the ratio of SNX10-positive cells were measured to obtain the final score. This ratio was enumerated as average percentage of SNX10-positive cells in five different fields of 200</w:t>
      </w:r>
      <w:r w:rsidR="000B75BE">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 magnification. The positive cells were scored as follows: 0, negative; 1, ≤ 10%positive cells; 2, 10</w:t>
      </w:r>
      <w:r w:rsidR="000B75BE">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–50% positive cells; 3, &gt; 50%and ≤ 75% positive cells; and 4, &gt; 75%positive cells. Staining intensity was scored between 0 and 3 (negative, weak, moderate, and strong). The final score was the product of the two individual scores. Median score of SNX10 = 4 served as the cut-off point. Patients were classified into either group showing overexpression or weak expression.</w:t>
      </w:r>
    </w:p>
    <w:p w14:paraId="3F66C1E4"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p>
    <w:p w14:paraId="64290C4C"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 xml:space="preserve">Cell culture </w:t>
      </w:r>
    </w:p>
    <w:p w14:paraId="15C9A9B6" w14:textId="03FE0E32"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GSE-1 is a human gastric epithelial cell line and SGC-7901 and BGC-823 are human gastric cancer cell lines. Cells were cultured in RPMI 1640 medium enriched with 10% fetal bovine serum (Invitrogen, Carlsbad, CA, </w:t>
      </w:r>
      <w:r w:rsidR="000B75BE">
        <w:rPr>
          <w:rFonts w:ascii="Book Antiqua" w:hAnsi="Book Antiqua" w:cs="Times New Roman"/>
          <w:color w:val="000000" w:themeColor="text1"/>
          <w:sz w:val="24"/>
          <w:szCs w:val="24"/>
        </w:rPr>
        <w:t>United States</w:t>
      </w:r>
      <w:r w:rsidRPr="00FE1156">
        <w:rPr>
          <w:rFonts w:ascii="Book Antiqua" w:hAnsi="Book Antiqua" w:cs="Times New Roman"/>
          <w:color w:val="000000" w:themeColor="text1"/>
          <w:sz w:val="24"/>
          <w:szCs w:val="24"/>
        </w:rPr>
        <w:t>), 100 U/mL penicillin, and 100 μg/mL streptomycin (Invitrogen) at a temperature of 37</w:t>
      </w:r>
      <w:r w:rsidR="000B75BE">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°C humidified with less than 5% CO</w:t>
      </w:r>
      <w:r w:rsidRPr="00FE1156">
        <w:rPr>
          <w:rFonts w:ascii="Book Antiqua" w:hAnsi="Book Antiqua" w:cs="Times New Roman"/>
          <w:color w:val="000000" w:themeColor="text1"/>
          <w:sz w:val="24"/>
          <w:szCs w:val="24"/>
          <w:vertAlign w:val="subscript"/>
        </w:rPr>
        <w:t>2</w:t>
      </w:r>
      <w:r w:rsidRPr="00FE1156">
        <w:rPr>
          <w:rFonts w:ascii="Book Antiqua" w:hAnsi="Book Antiqua" w:cs="Times New Roman"/>
          <w:color w:val="000000" w:themeColor="text1"/>
          <w:sz w:val="24"/>
          <w:szCs w:val="24"/>
        </w:rPr>
        <w:t xml:space="preserve">. Cells were obtained from China Medical University (Shenyang, China). All experiments were performed in triplicate with independent cell cultures. </w:t>
      </w:r>
    </w:p>
    <w:p w14:paraId="74806662"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p>
    <w:p w14:paraId="7CE4B170" w14:textId="2FBD15E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Real-time polymerase chain reaction</w:t>
      </w:r>
    </w:p>
    <w:p w14:paraId="6C780EFE" w14:textId="6A59A3A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Total cellular RNA was extracted by TRIzol (Invitrogen) cell separation reagent and the PURELINK miRNA Isolation Kit (Invitrogen). Promega miRNA First-Strand cDNA Core Kit (Promega, Madison, WI, </w:t>
      </w:r>
      <w:r w:rsidR="000B75BE">
        <w:rPr>
          <w:rFonts w:ascii="Book Antiqua" w:hAnsi="Book Antiqua" w:cs="Times New Roman"/>
          <w:color w:val="000000" w:themeColor="text1"/>
          <w:sz w:val="24"/>
          <w:szCs w:val="24"/>
        </w:rPr>
        <w:t>United States</w:t>
      </w:r>
      <w:r w:rsidRPr="00FE1156">
        <w:rPr>
          <w:rFonts w:ascii="Book Antiqua" w:hAnsi="Book Antiqua" w:cs="Times New Roman"/>
          <w:color w:val="000000" w:themeColor="text1"/>
          <w:sz w:val="24"/>
          <w:szCs w:val="24"/>
        </w:rPr>
        <w:t xml:space="preserve">) was used for reverse transcription of 500 ng RNA. </w:t>
      </w:r>
      <w:r w:rsidR="000B75BE" w:rsidRPr="000B75BE">
        <w:rPr>
          <w:rFonts w:ascii="Book Antiqua" w:hAnsi="Book Antiqua" w:cs="Times New Roman"/>
          <w:color w:val="000000" w:themeColor="text1"/>
          <w:sz w:val="24"/>
          <w:szCs w:val="24"/>
        </w:rPr>
        <w:t>Real-time polymerase chain reaction</w:t>
      </w:r>
      <w:r w:rsidRPr="00FE1156">
        <w:rPr>
          <w:rFonts w:ascii="Book Antiqua" w:hAnsi="Book Antiqua" w:cs="Times New Roman"/>
          <w:color w:val="000000" w:themeColor="text1"/>
          <w:sz w:val="24"/>
          <w:szCs w:val="24"/>
        </w:rPr>
        <w:t xml:space="preserve"> </w:t>
      </w:r>
      <w:r w:rsidR="000B75BE">
        <w:rPr>
          <w:rFonts w:ascii="Book Antiqua" w:hAnsi="Book Antiqua" w:cs="Times New Roman"/>
          <w:color w:val="000000" w:themeColor="text1"/>
          <w:sz w:val="24"/>
          <w:szCs w:val="24"/>
        </w:rPr>
        <w:t xml:space="preserve">(PCR) </w:t>
      </w:r>
      <w:r w:rsidRPr="00FE1156">
        <w:rPr>
          <w:rFonts w:ascii="Book Antiqua" w:hAnsi="Book Antiqua" w:cs="Times New Roman"/>
          <w:color w:val="000000" w:themeColor="text1"/>
          <w:sz w:val="24"/>
          <w:szCs w:val="24"/>
        </w:rPr>
        <w:t>(LightCycler 480; Roche AG, Basel, Switzerland) was performed using SYBR Master Mixture (Takara Bio, Kusatsu, Japan). Samples were run in triplicate. U6 DNA served as a loading control. Fold changes in mRNA expression between different cells were determined by 2</w:t>
      </w:r>
      <w:r w:rsidRPr="00FE1156">
        <w:rPr>
          <w:rFonts w:ascii="Book Antiqua" w:hAnsi="Book Antiqua" w:cs="Times New Roman"/>
          <w:color w:val="000000" w:themeColor="text1"/>
          <w:sz w:val="24"/>
          <w:szCs w:val="24"/>
          <w:vertAlign w:val="superscript"/>
        </w:rPr>
        <w:t>−ΔΔCT</w:t>
      </w:r>
      <w:r w:rsidRPr="00FE1156">
        <w:rPr>
          <w:rFonts w:ascii="Book Antiqua" w:hAnsi="Book Antiqua" w:cs="Times New Roman"/>
          <w:color w:val="000000" w:themeColor="text1"/>
          <w:sz w:val="24"/>
          <w:szCs w:val="24"/>
        </w:rPr>
        <w:t xml:space="preserve"> normalization. The following forward and reverse expression primers were used for SNX10: 5</w:t>
      </w:r>
      <w:r w:rsidRPr="00FE1156">
        <w:rPr>
          <w:rFonts w:ascii="Calibri" w:eastAsia="Calibri" w:hAnsi="Calibri" w:cs="Calibri"/>
          <w:color w:val="000000" w:themeColor="text1"/>
          <w:sz w:val="24"/>
          <w:szCs w:val="24"/>
        </w:rPr>
        <w:t>ʹ</w:t>
      </w:r>
      <w:r w:rsidRPr="00FE1156">
        <w:rPr>
          <w:rFonts w:ascii="Book Antiqua" w:hAnsi="Book Antiqua" w:cs="Times New Roman"/>
          <w:color w:val="000000" w:themeColor="text1"/>
          <w:sz w:val="24"/>
          <w:szCs w:val="24"/>
        </w:rPr>
        <w:t>-GAAGGTCACTGTCTGGATTA-3</w:t>
      </w:r>
      <w:r w:rsidRPr="00FE1156">
        <w:rPr>
          <w:rFonts w:ascii="Calibri" w:eastAsia="Calibri" w:hAnsi="Calibri" w:cs="Calibri"/>
          <w:color w:val="000000" w:themeColor="text1"/>
          <w:sz w:val="24"/>
          <w:szCs w:val="24"/>
        </w:rPr>
        <w:t>ʹ</w:t>
      </w:r>
      <w:r w:rsidRPr="00FE1156">
        <w:rPr>
          <w:rFonts w:ascii="Book Antiqua" w:hAnsi="Book Antiqua" w:cs="Times New Roman"/>
          <w:color w:val="000000" w:themeColor="text1"/>
          <w:sz w:val="24"/>
          <w:szCs w:val="24"/>
        </w:rPr>
        <w:t xml:space="preserve"> and 5</w:t>
      </w:r>
      <w:r w:rsidRPr="00FE1156">
        <w:rPr>
          <w:rFonts w:ascii="Calibri" w:eastAsia="Calibri" w:hAnsi="Calibri" w:cs="Calibri"/>
          <w:color w:val="000000" w:themeColor="text1"/>
          <w:sz w:val="24"/>
          <w:szCs w:val="24"/>
        </w:rPr>
        <w:t>ʹ</w:t>
      </w:r>
      <w:r w:rsidRPr="00FE1156">
        <w:rPr>
          <w:rFonts w:ascii="Book Antiqua" w:hAnsi="Book Antiqua" w:cs="Times New Roman"/>
          <w:color w:val="000000" w:themeColor="text1"/>
          <w:sz w:val="24"/>
          <w:szCs w:val="24"/>
        </w:rPr>
        <w:t>-GTCTGCGTCTGGTTGTAA-3</w:t>
      </w:r>
      <w:r w:rsidRPr="00FE1156">
        <w:rPr>
          <w:rFonts w:ascii="Calibri" w:eastAsia="Calibri" w:hAnsi="Calibri" w:cs="Calibri"/>
          <w:color w:val="000000" w:themeColor="text1"/>
          <w:sz w:val="24"/>
          <w:szCs w:val="24"/>
        </w:rPr>
        <w:t>ʹ</w:t>
      </w:r>
      <w:r w:rsidRPr="00FE1156">
        <w:rPr>
          <w:rFonts w:ascii="Book Antiqua" w:hAnsi="Book Antiqua" w:cs="Times New Roman"/>
          <w:color w:val="000000" w:themeColor="text1"/>
          <w:sz w:val="24"/>
          <w:szCs w:val="24"/>
        </w:rPr>
        <w:t xml:space="preserve">, respectively. </w:t>
      </w:r>
    </w:p>
    <w:p w14:paraId="54E42979"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p>
    <w:p w14:paraId="5017E2E5"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 xml:space="preserve">Western blotting </w:t>
      </w:r>
    </w:p>
    <w:p w14:paraId="3F684029" w14:textId="1B47E0FD" w:rsidR="004738B9" w:rsidRPr="00FE1156" w:rsidRDefault="000B75BE"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S</w:t>
      </w:r>
      <w:r w:rsidRPr="000B75BE">
        <w:rPr>
          <w:rFonts w:ascii="Book Antiqua" w:hAnsi="Book Antiqua" w:cs="Times New Roman"/>
          <w:color w:val="000000" w:themeColor="text1"/>
          <w:sz w:val="24"/>
          <w:szCs w:val="24"/>
        </w:rPr>
        <w:t xml:space="preserve">odium dodecyl sulfate polyacrylamide gel electrophoresis </w:t>
      </w:r>
      <w:r>
        <w:rPr>
          <w:rFonts w:ascii="Book Antiqua" w:hAnsi="Book Antiqua" w:cs="Times New Roman"/>
          <w:color w:val="000000" w:themeColor="text1"/>
          <w:sz w:val="24"/>
          <w:szCs w:val="24"/>
        </w:rPr>
        <w:t>(</w:t>
      </w:r>
      <w:r w:rsidR="004738B9" w:rsidRPr="00FE1156">
        <w:rPr>
          <w:rFonts w:ascii="Book Antiqua" w:hAnsi="Book Antiqua" w:cs="Times New Roman"/>
          <w:color w:val="000000" w:themeColor="text1"/>
          <w:sz w:val="24"/>
          <w:szCs w:val="24"/>
        </w:rPr>
        <w:t>SDS-PAGE</w:t>
      </w:r>
      <w:r>
        <w:rPr>
          <w:rFonts w:ascii="Book Antiqua" w:hAnsi="Book Antiqua" w:cs="Times New Roman"/>
          <w:color w:val="000000" w:themeColor="text1"/>
          <w:sz w:val="24"/>
          <w:szCs w:val="24"/>
        </w:rPr>
        <w:t>)</w:t>
      </w:r>
      <w:r w:rsidR="004738B9" w:rsidRPr="00FE1156">
        <w:rPr>
          <w:rFonts w:ascii="Book Antiqua" w:hAnsi="Book Antiqua" w:cs="Times New Roman"/>
          <w:color w:val="000000" w:themeColor="text1"/>
          <w:sz w:val="24"/>
          <w:szCs w:val="24"/>
        </w:rPr>
        <w:t xml:space="preserve"> (10</w:t>
      </w:r>
      <w:r>
        <w:rPr>
          <w:rFonts w:ascii="Book Antiqua" w:hAnsi="Book Antiqua" w:cs="Times New Roman"/>
          <w:color w:val="000000" w:themeColor="text1"/>
          <w:sz w:val="24"/>
          <w:szCs w:val="24"/>
        </w:rPr>
        <w:t>%</w:t>
      </w:r>
      <w:r w:rsidR="004738B9" w:rsidRPr="00FE1156">
        <w:rPr>
          <w:rFonts w:ascii="Book Antiqua" w:hAnsi="Book Antiqua" w:cs="Times New Roman"/>
          <w:color w:val="000000" w:themeColor="text1"/>
          <w:sz w:val="24"/>
          <w:szCs w:val="24"/>
        </w:rPr>
        <w:t>–15%) was used to resolve 20 μg cellular proteins and blotted onto polyvinylidende difluoride membranes. After transfer, the membranes were incubated in TBS-Tween buffer supplemented with 20 m</w:t>
      </w:r>
      <w:bookmarkStart w:id="58" w:name="OLE_LINK271"/>
      <w:r>
        <w:rPr>
          <w:rFonts w:ascii="Book Antiqua" w:hAnsi="Book Antiqua" w:cs="Times New Roman"/>
          <w:color w:val="000000" w:themeColor="text1"/>
          <w:sz w:val="24"/>
          <w:szCs w:val="24"/>
        </w:rPr>
        <w:t>mol/L</w:t>
      </w:r>
      <w:bookmarkEnd w:id="58"/>
      <w:r w:rsidR="004738B9" w:rsidRPr="00FE1156">
        <w:rPr>
          <w:rFonts w:ascii="Book Antiqua" w:hAnsi="Book Antiqua" w:cs="Times New Roman"/>
          <w:color w:val="000000" w:themeColor="text1"/>
          <w:sz w:val="24"/>
          <w:szCs w:val="24"/>
        </w:rPr>
        <w:t xml:space="preserve"> Tris–HCl, 5% nonfat milk, 150 m</w:t>
      </w:r>
      <w:r>
        <w:rPr>
          <w:rFonts w:ascii="Book Antiqua" w:hAnsi="Book Antiqua" w:cs="Times New Roman"/>
          <w:color w:val="000000" w:themeColor="text1"/>
          <w:sz w:val="24"/>
          <w:szCs w:val="24"/>
        </w:rPr>
        <w:t>mol/L</w:t>
      </w:r>
      <w:r w:rsidR="004738B9" w:rsidRPr="00FE1156">
        <w:rPr>
          <w:rFonts w:ascii="Book Antiqua" w:hAnsi="Book Antiqua" w:cs="Times New Roman"/>
          <w:color w:val="000000" w:themeColor="text1"/>
          <w:sz w:val="24"/>
          <w:szCs w:val="24"/>
        </w:rPr>
        <w:t xml:space="preserve"> NaCl, and 0.05% Tween-20 (pH 7.5) for 1 h at 21</w:t>
      </w:r>
      <w:r>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t xml:space="preserve">°C, followed by treatment with primary antibodies against SNX10 (1:200; Abcam), and β-actin (1:4000; Santa Cruz Biotechnology, Santa Cruz, CA, </w:t>
      </w:r>
      <w:r>
        <w:rPr>
          <w:rFonts w:ascii="Book Antiqua" w:hAnsi="Book Antiqua" w:cs="Times New Roman"/>
          <w:color w:val="000000" w:themeColor="text1"/>
          <w:sz w:val="24"/>
          <w:szCs w:val="24"/>
        </w:rPr>
        <w:t>United States</w:t>
      </w:r>
      <w:r w:rsidR="004738B9" w:rsidRPr="00FE1156">
        <w:rPr>
          <w:rFonts w:ascii="Book Antiqua" w:hAnsi="Book Antiqua" w:cs="Times New Roman"/>
          <w:color w:val="000000" w:themeColor="text1"/>
          <w:sz w:val="24"/>
          <w:szCs w:val="24"/>
        </w:rPr>
        <w:t>) overnight at 4</w:t>
      </w:r>
      <w:r>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t xml:space="preserve">°C, and finally incubated with secondary antibody (1:5000; Santa Cruz Biotechnology). β-Actin served as the endogenous loading control for protein quantity. The gray value of the expression of all proteins was measured using ImageJ (NIH, Bethesda, MD, </w:t>
      </w:r>
      <w:r>
        <w:rPr>
          <w:rFonts w:ascii="Book Antiqua" w:hAnsi="Book Antiqua" w:cs="Times New Roman"/>
          <w:color w:val="000000" w:themeColor="text1"/>
          <w:sz w:val="24"/>
          <w:szCs w:val="24"/>
        </w:rPr>
        <w:t>United States</w:t>
      </w:r>
      <w:r w:rsidR="004738B9" w:rsidRPr="00FE1156">
        <w:rPr>
          <w:rFonts w:ascii="Book Antiqua" w:hAnsi="Book Antiqua" w:cs="Times New Roman"/>
          <w:color w:val="000000" w:themeColor="text1"/>
          <w:sz w:val="24"/>
          <w:szCs w:val="24"/>
        </w:rPr>
        <w:t>). Data are presented as the mean of three independent observations.</w:t>
      </w:r>
    </w:p>
    <w:p w14:paraId="1D723DFD" w14:textId="77777777" w:rsidR="004738B9" w:rsidRPr="00FE1156" w:rsidRDefault="004738B9" w:rsidP="00FE1156">
      <w:pPr>
        <w:adjustRightInd w:val="0"/>
        <w:snapToGrid w:val="0"/>
        <w:spacing w:line="360" w:lineRule="auto"/>
        <w:rPr>
          <w:rFonts w:ascii="Book Antiqua" w:hAnsi="Book Antiqua" w:cs="Times New Roman"/>
          <w:b/>
          <w:color w:val="000000" w:themeColor="text1"/>
          <w:sz w:val="24"/>
          <w:szCs w:val="24"/>
        </w:rPr>
      </w:pPr>
    </w:p>
    <w:p w14:paraId="42C0C543"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Statistical analysis</w:t>
      </w:r>
    </w:p>
    <w:p w14:paraId="785C7793"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Statistical analysis was performed using SPSS version 22.0. One-way analysis of variance was used to compare the mean values between groups. Data from </w:t>
      </w:r>
      <w:r w:rsidRPr="00FE1156">
        <w:rPr>
          <w:rFonts w:ascii="Book Antiqua" w:hAnsi="Book Antiqua" w:cs="Times New Roman"/>
          <w:color w:val="000000" w:themeColor="text1"/>
          <w:sz w:val="24"/>
          <w:szCs w:val="24"/>
        </w:rPr>
        <w:lastRenderedPageBreak/>
        <w:t xml:space="preserve">the </w:t>
      </w:r>
      <w:r w:rsidRPr="000B75BE">
        <w:rPr>
          <w:rFonts w:ascii="Book Antiqua" w:hAnsi="Book Antiqua" w:cs="Times New Roman"/>
          <w:i/>
          <w:color w:val="000000" w:themeColor="text1"/>
          <w:sz w:val="24"/>
          <w:szCs w:val="24"/>
        </w:rPr>
        <w:sym w:font="Symbol" w:char="F063"/>
      </w:r>
      <w:r w:rsidRPr="000B75BE">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rPr>
        <w:t xml:space="preserve"> test or Fisher’s exact test reflected the correlation between clinicopathological variables and biomarkers (SNX10). Kaplan–Meier survival curves were generated from the data and univariate survival analysis was performed by log-rank test. We tested the effect of prognostic biomarkers on survival rate through Cox proportional hazards model. </w:t>
      </w:r>
    </w:p>
    <w:p w14:paraId="0E64333F"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p>
    <w:p w14:paraId="350EC0A5" w14:textId="77777777" w:rsidR="004738B9" w:rsidRPr="00FE1156" w:rsidRDefault="004738B9" w:rsidP="006119F2">
      <w:pPr>
        <w:adjustRightInd w:val="0"/>
        <w:snapToGrid w:val="0"/>
        <w:spacing w:line="360" w:lineRule="auto"/>
        <w:outlineLvl w:val="0"/>
        <w:rPr>
          <w:rFonts w:ascii="Book Antiqua" w:hAnsi="Book Antiqua" w:cs="Times New Roman"/>
          <w:b/>
          <w:color w:val="000000" w:themeColor="text1"/>
          <w:sz w:val="24"/>
          <w:szCs w:val="24"/>
        </w:rPr>
      </w:pPr>
      <w:r w:rsidRPr="00FE1156">
        <w:rPr>
          <w:rFonts w:ascii="Book Antiqua" w:hAnsi="Book Antiqua" w:cs="Times New Roman"/>
          <w:b/>
          <w:color w:val="000000" w:themeColor="text1"/>
          <w:sz w:val="24"/>
          <w:szCs w:val="24"/>
        </w:rPr>
        <w:t>RESULTS</w:t>
      </w:r>
    </w:p>
    <w:p w14:paraId="12013BBB"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Differentially expressed mRNAs in SA</w:t>
      </w:r>
    </w:p>
    <w:p w14:paraId="545D3AD7" w14:textId="60108D05"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DEG screening was carried out using </w:t>
      </w:r>
      <w:r w:rsidR="000B75BE">
        <w:rPr>
          <w:rFonts w:ascii="Book Antiqua" w:hAnsi="Book Antiqua" w:cs="Times New Roman"/>
          <w:color w:val="000000" w:themeColor="text1"/>
          <w:sz w:val="24"/>
          <w:szCs w:val="24"/>
        </w:rPr>
        <w:t>TCGA-STAD dataset including 124</w:t>
      </w:r>
      <w:r w:rsidRPr="00FE1156">
        <w:rPr>
          <w:rFonts w:ascii="Book Antiqua" w:hAnsi="Book Antiqua" w:cs="Times New Roman"/>
          <w:color w:val="000000" w:themeColor="text1"/>
          <w:sz w:val="24"/>
          <w:szCs w:val="24"/>
        </w:rPr>
        <w:t>375 SA samples and 31 para-carcinoma tissues. R language (Edge R) was used to estimate 6231 expression data sets.</w:t>
      </w:r>
      <w:r w:rsidR="000B75BE">
        <w:rPr>
          <w:rFonts w:ascii="Book Antiqua" w:hAnsi="Book Antiqua" w:cs="Times New Roman"/>
          <w:color w:val="000000" w:themeColor="text1"/>
          <w:sz w:val="24"/>
          <w:szCs w:val="24"/>
        </w:rPr>
        <w:t xml:space="preserve"> From the expression data of 24</w:t>
      </w:r>
      <w:r w:rsidRPr="00FE1156">
        <w:rPr>
          <w:rFonts w:ascii="Book Antiqua" w:hAnsi="Book Antiqua" w:cs="Times New Roman"/>
          <w:color w:val="000000" w:themeColor="text1"/>
          <w:sz w:val="24"/>
          <w:szCs w:val="24"/>
        </w:rPr>
        <w:t>991 mRNAs, 6231 differentially expressed mRNAs were identified (Figure 1), which were further investigated by WGCNA.</w:t>
      </w:r>
    </w:p>
    <w:p w14:paraId="17A73601"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p>
    <w:p w14:paraId="04CF8D6C"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WGCN construction</w:t>
      </w:r>
    </w:p>
    <w:p w14:paraId="29711F88" w14:textId="36C3BB81"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To clarify the functional modules in SA patients, the expression values of 6231 DEGs were included for constructing a co</w:t>
      </w:r>
      <w:r w:rsidR="000B75BE">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expression network with the WGCNA package. We selected β = 2 as the soft-thresholding power to construct a</w:t>
      </w:r>
      <w:r w:rsidR="00E41404">
        <w:rPr>
          <w:rFonts w:ascii="Book Antiqua" w:hAnsi="Book Antiqua" w:cs="Times New Roman"/>
          <w:color w:val="000000" w:themeColor="text1"/>
          <w:sz w:val="24"/>
          <w:szCs w:val="24"/>
        </w:rPr>
        <w:t xml:space="preserve"> scale-free network (Figure</w:t>
      </w:r>
      <w:r w:rsidR="000B75BE">
        <w:rPr>
          <w:rFonts w:ascii="Book Antiqua" w:hAnsi="Book Antiqua" w:cs="Times New Roman"/>
          <w:color w:val="000000" w:themeColor="text1"/>
          <w:sz w:val="24"/>
          <w:szCs w:val="24"/>
        </w:rPr>
        <w:t xml:space="preserve"> 2A and </w:t>
      </w:r>
      <w:r w:rsidRPr="00FE1156">
        <w:rPr>
          <w:rFonts w:ascii="Book Antiqua" w:hAnsi="Book Antiqua" w:cs="Times New Roman"/>
          <w:color w:val="000000" w:themeColor="text1"/>
          <w:sz w:val="24"/>
          <w:szCs w:val="24"/>
        </w:rPr>
        <w:t>B). Twenty-four distinct co</w:t>
      </w:r>
      <w:r w:rsidR="000B75BE">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expression modules were identified that contained 41–1038 genes per module (Figure 2C).</w:t>
      </w:r>
    </w:p>
    <w:p w14:paraId="73D38031"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p>
    <w:p w14:paraId="13E9C533"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Identifying key clinically significant modules</w:t>
      </w:r>
    </w:p>
    <w:p w14:paraId="0A3EF080" w14:textId="78A1FF89"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Biologically, the most relevant module has the highest association with clinical features of SA patients. The tan module had the highest association with tumor grade (</w:t>
      </w:r>
      <w:r w:rsidRPr="00FE1156">
        <w:rPr>
          <w:rFonts w:ascii="Book Antiqua" w:hAnsi="Book Antiqua" w:cs="Times New Roman"/>
          <w:i/>
          <w:color w:val="000000" w:themeColor="text1"/>
          <w:sz w:val="24"/>
          <w:szCs w:val="24"/>
        </w:rPr>
        <w:t>r</w:t>
      </w:r>
      <w:r w:rsidRPr="00FE1156">
        <w:rPr>
          <w:rFonts w:ascii="Book Antiqua" w:hAnsi="Book Antiqua" w:cs="Times New Roman"/>
          <w:color w:val="000000" w:themeColor="text1"/>
          <w:sz w:val="24"/>
          <w:szCs w:val="24"/>
        </w:rPr>
        <w:t xml:space="preserve"> = 0.24, </w:t>
      </w:r>
      <w:r w:rsidRPr="00FE1156">
        <w:rPr>
          <w:rFonts w:ascii="Book Antiqua" w:hAnsi="Book Antiqua" w:cs="Times New Roman"/>
          <w:i/>
          <w:color w:val="000000" w:themeColor="text1"/>
          <w:sz w:val="24"/>
          <w:szCs w:val="24"/>
        </w:rPr>
        <w:t>P</w:t>
      </w:r>
      <w:r w:rsidRPr="00FE1156">
        <w:rPr>
          <w:rFonts w:ascii="Book Antiqua" w:hAnsi="Book Antiqua" w:cs="Times New Roman"/>
          <w:color w:val="000000" w:themeColor="text1"/>
          <w:sz w:val="24"/>
          <w:szCs w:val="24"/>
        </w:rPr>
        <w:t xml:space="preserve"> = 7 × 10</w:t>
      </w:r>
      <w:r w:rsidRPr="00FE1156">
        <w:rPr>
          <w:rFonts w:ascii="Book Antiqua" w:hAnsi="Book Antiqua" w:cs="Times New Roman"/>
          <w:color w:val="000000" w:themeColor="text1"/>
          <w:sz w:val="24"/>
          <w:szCs w:val="24"/>
          <w:vertAlign w:val="superscript"/>
        </w:rPr>
        <w:t>–6</w:t>
      </w:r>
      <w:r w:rsidRPr="00FE1156">
        <w:rPr>
          <w:rFonts w:ascii="Book Antiqua" w:hAnsi="Book Antiqua" w:cs="Times New Roman"/>
          <w:color w:val="000000" w:themeColor="text1"/>
          <w:sz w:val="24"/>
          <w:szCs w:val="24"/>
        </w:rPr>
        <w:t>; Figure 3A) and was selected for subsequent analyses. The tan module also had the second-highest association with tumor stage (</w:t>
      </w:r>
      <w:r w:rsidRPr="00FE1156">
        <w:rPr>
          <w:rFonts w:ascii="Book Antiqua" w:hAnsi="Book Antiqua" w:cs="Times New Roman"/>
          <w:i/>
          <w:color w:val="000000" w:themeColor="text1"/>
          <w:sz w:val="24"/>
          <w:szCs w:val="24"/>
        </w:rPr>
        <w:t xml:space="preserve">r </w:t>
      </w:r>
      <w:r w:rsidRPr="00FE1156">
        <w:rPr>
          <w:rFonts w:ascii="Book Antiqua" w:hAnsi="Book Antiqua" w:cs="Times New Roman"/>
          <w:color w:val="000000" w:themeColor="text1"/>
          <w:sz w:val="24"/>
          <w:szCs w:val="24"/>
        </w:rPr>
        <w:t xml:space="preserve">= 0.11, </w:t>
      </w:r>
      <w:r w:rsidRPr="00FE1156">
        <w:rPr>
          <w:rFonts w:ascii="Book Antiqua" w:hAnsi="Book Antiqua" w:cs="Times New Roman"/>
          <w:i/>
          <w:color w:val="000000" w:themeColor="text1"/>
          <w:sz w:val="24"/>
          <w:szCs w:val="24"/>
        </w:rPr>
        <w:t>P</w:t>
      </w:r>
      <w:r w:rsidRPr="00FE1156">
        <w:rPr>
          <w:rFonts w:ascii="Book Antiqua" w:hAnsi="Book Antiqua" w:cs="Times New Roman"/>
          <w:color w:val="000000" w:themeColor="text1"/>
          <w:sz w:val="24"/>
          <w:szCs w:val="24"/>
        </w:rPr>
        <w:t xml:space="preserve"> = 0.03; Figure 3A). TOM plot function from the WGCNA package was used to generate a TOM plot (Figure 3B). Eigengene was treated as a representative profile to quantify module similarity. The dendrogram showed the correlation between modules (Figure 3C). The heat </w:t>
      </w:r>
      <w:r w:rsidRPr="00FE1156">
        <w:rPr>
          <w:rFonts w:ascii="Book Antiqua" w:hAnsi="Book Antiqua" w:cs="Times New Roman"/>
          <w:color w:val="000000" w:themeColor="text1"/>
          <w:sz w:val="24"/>
          <w:szCs w:val="24"/>
        </w:rPr>
        <w:lastRenderedPageBreak/>
        <w:t>map revealed eigengene adjacency of modules (Figure 3D). MM and GS data (</w:t>
      </w:r>
      <w:r w:rsidR="00C15A68">
        <w:rPr>
          <w:rFonts w:ascii="Book Antiqua" w:hAnsi="Book Antiqua" w:cs="Times New Roman"/>
          <w:color w:val="000000" w:themeColor="text1"/>
          <w:sz w:val="24"/>
          <w:szCs w:val="24"/>
        </w:rPr>
        <w:t xml:space="preserve">Supplementary Table </w:t>
      </w:r>
      <w:r w:rsidRPr="00FE1156">
        <w:rPr>
          <w:rFonts w:ascii="Book Antiqua" w:hAnsi="Book Antiqua" w:cs="Times New Roman"/>
          <w:color w:val="000000" w:themeColor="text1"/>
          <w:sz w:val="24"/>
          <w:szCs w:val="24"/>
        </w:rPr>
        <w:t>1) were exported for hub gene identification. Network analysis revealed that expression and regulation of tumor-related genes were altered in SA as opposed to non-tumor stomach tissues.</w:t>
      </w:r>
    </w:p>
    <w:p w14:paraId="2B9D101B"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p>
    <w:p w14:paraId="437F98BA"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Module functional annotation and hub genes identification</w:t>
      </w:r>
    </w:p>
    <w:p w14:paraId="1112E4E6" w14:textId="13DB3012"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All 93 DEGs in the tan module were submitted to the online database DAVID to identify representative GO terms and KEGG pathways</w:t>
      </w:r>
      <w:r w:rsidRPr="00FE1156">
        <w:rPr>
          <w:rFonts w:ascii="Book Antiqua" w:hAnsi="Book Antiqua" w:cs="Times New Roman"/>
          <w:noProof/>
          <w:color w:val="000000" w:themeColor="text1"/>
          <w:sz w:val="24"/>
          <w:szCs w:val="24"/>
          <w:vertAlign w:val="superscript"/>
        </w:rPr>
        <w:t>[22]</w:t>
      </w:r>
      <w:r w:rsidRPr="00FE1156">
        <w:rPr>
          <w:rFonts w:ascii="Book Antiqua" w:hAnsi="Book Antiqua" w:cs="Times New Roman"/>
          <w:color w:val="000000" w:themeColor="text1"/>
          <w:sz w:val="24"/>
          <w:szCs w:val="24"/>
        </w:rPr>
        <w:t xml:space="preserve"> for further elucidation of the functional properties of the</w:t>
      </w:r>
      <w:r w:rsidR="00C15A68">
        <w:rPr>
          <w:rFonts w:ascii="Book Antiqua" w:hAnsi="Book Antiqua" w:cs="Times New Roman"/>
          <w:color w:val="000000" w:themeColor="text1"/>
          <w:sz w:val="24"/>
          <w:szCs w:val="24"/>
        </w:rPr>
        <w:t xml:space="preserve"> DEGs. GO analysis showed that </w:t>
      </w:r>
      <w:r w:rsidRPr="00FE1156">
        <w:rPr>
          <w:rFonts w:ascii="Book Antiqua" w:hAnsi="Book Antiqua" w:cs="Times New Roman"/>
          <w:color w:val="000000" w:themeColor="text1"/>
          <w:sz w:val="24"/>
          <w:szCs w:val="24"/>
        </w:rPr>
        <w:t xml:space="preserve">the tan module contained biological processes focused on immune response, inflammatory response and defense response to virus infection; cellular components that were focused on the external side of the plasma membrane, extracellular space and cells; and molecular function mainly focused on chemokine activity (Figure 4A, </w:t>
      </w:r>
      <w:r w:rsidR="00C15A68">
        <w:rPr>
          <w:rFonts w:ascii="Book Antiqua" w:hAnsi="Book Antiqua" w:cs="Times New Roman"/>
          <w:color w:val="000000" w:themeColor="text1"/>
          <w:sz w:val="24"/>
          <w:szCs w:val="24"/>
        </w:rPr>
        <w:t xml:space="preserve">Supplementary Table </w:t>
      </w:r>
      <w:r w:rsidRPr="00FE1156">
        <w:rPr>
          <w:rFonts w:ascii="Book Antiqua" w:hAnsi="Book Antiqua" w:cs="Times New Roman"/>
          <w:color w:val="000000" w:themeColor="text1"/>
          <w:sz w:val="24"/>
          <w:szCs w:val="24"/>
        </w:rPr>
        <w:t xml:space="preserve">2). Figure 4B and </w:t>
      </w:r>
      <w:r w:rsidR="00C15A68">
        <w:rPr>
          <w:rFonts w:ascii="Book Antiqua" w:hAnsi="Book Antiqua" w:cs="Times New Roman"/>
          <w:color w:val="000000" w:themeColor="text1"/>
          <w:sz w:val="24"/>
          <w:szCs w:val="24"/>
        </w:rPr>
        <w:t xml:space="preserve">Supplementary Table </w:t>
      </w:r>
      <w:r w:rsidRPr="00FE1156">
        <w:rPr>
          <w:rFonts w:ascii="Book Antiqua" w:hAnsi="Book Antiqua" w:cs="Times New Roman"/>
          <w:color w:val="000000" w:themeColor="text1"/>
          <w:sz w:val="24"/>
          <w:szCs w:val="24"/>
        </w:rPr>
        <w:t>3 show the most significantly enriched pathways of the tan module following KEGG pathway analysis. The DEGs were enhanced in the cytokine–cytokine receptor interaction, osteoclast differentiation, and Toll-like receptor signaling pathway. GS in the tan module of weighted co</w:t>
      </w:r>
      <w:r w:rsidR="00C15A68">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expression was exported to Cytoscape software for WGCN construction (Figure 4C). We sorted the tan module DEGs according to MM, GS and MCODE. We selected the top 30 members of each group and took the intersection (Figure 4D, </w:t>
      </w:r>
      <w:r w:rsidR="00C15A68">
        <w:rPr>
          <w:rFonts w:ascii="Book Antiqua" w:hAnsi="Book Antiqua" w:cs="Times New Roman"/>
          <w:color w:val="000000" w:themeColor="text1"/>
          <w:sz w:val="24"/>
          <w:szCs w:val="24"/>
        </w:rPr>
        <w:t xml:space="preserve">Supplementary Table </w:t>
      </w:r>
      <w:r w:rsidRPr="00FE1156">
        <w:rPr>
          <w:rFonts w:ascii="Book Antiqua" w:hAnsi="Book Antiqua" w:cs="Times New Roman"/>
          <w:color w:val="000000" w:themeColor="text1"/>
          <w:sz w:val="24"/>
          <w:szCs w:val="24"/>
        </w:rPr>
        <w:t>1). SNX10 was identified as the hub gene.</w:t>
      </w:r>
    </w:p>
    <w:p w14:paraId="1CE4106B"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p>
    <w:p w14:paraId="74568992"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Expression of SNX10 in SA cells and specimens</w:t>
      </w:r>
    </w:p>
    <w:p w14:paraId="36E8A8CA" w14:textId="70FEF862"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olor w:val="000000" w:themeColor="text1"/>
          <w:sz w:val="24"/>
          <w:szCs w:val="24"/>
        </w:rPr>
        <w:t xml:space="preserve">Western blotting and real-time PCR showed that </w:t>
      </w:r>
      <w:r w:rsidRPr="00FE1156">
        <w:rPr>
          <w:rFonts w:ascii="Book Antiqua" w:hAnsi="Book Antiqua" w:cs="Times New Roman"/>
          <w:color w:val="000000" w:themeColor="text1"/>
          <w:sz w:val="24"/>
          <w:szCs w:val="24"/>
        </w:rPr>
        <w:t xml:space="preserve">SNX10 </w:t>
      </w:r>
      <w:r w:rsidRPr="00FE1156">
        <w:rPr>
          <w:rFonts w:ascii="Book Antiqua" w:hAnsi="Book Antiqua"/>
          <w:color w:val="000000" w:themeColor="text1"/>
          <w:sz w:val="24"/>
          <w:szCs w:val="24"/>
        </w:rPr>
        <w:t>was weakly expressed in BGC-823 and SGC-7901 cells relative to c</w:t>
      </w:r>
      <w:r w:rsidR="00C15A68">
        <w:rPr>
          <w:rFonts w:ascii="Book Antiqua" w:hAnsi="Book Antiqua"/>
          <w:color w:val="000000" w:themeColor="text1"/>
          <w:sz w:val="24"/>
          <w:szCs w:val="24"/>
        </w:rPr>
        <w:t xml:space="preserve">ontrol GES-1 cells (Figure 5A and </w:t>
      </w:r>
      <w:r w:rsidRPr="00FE1156">
        <w:rPr>
          <w:rFonts w:ascii="Book Antiqua" w:hAnsi="Book Antiqua"/>
          <w:color w:val="000000" w:themeColor="text1"/>
          <w:sz w:val="24"/>
          <w:szCs w:val="24"/>
        </w:rPr>
        <w:t>B,</w:t>
      </w:r>
      <w:r w:rsidRPr="00FE1156">
        <w:rPr>
          <w:rFonts w:ascii="Book Antiqua" w:hAnsi="Book Antiqua"/>
          <w:i/>
          <w:color w:val="000000" w:themeColor="text1"/>
          <w:sz w:val="24"/>
          <w:szCs w:val="24"/>
        </w:rPr>
        <w:t xml:space="preserve"> P </w:t>
      </w:r>
      <w:r w:rsidRPr="00FE1156">
        <w:rPr>
          <w:rFonts w:ascii="Book Antiqua" w:hAnsi="Book Antiqua"/>
          <w:color w:val="000000" w:themeColor="text1"/>
          <w:sz w:val="24"/>
          <w:szCs w:val="24"/>
        </w:rPr>
        <w:t xml:space="preserve">&lt; 0.05). </w:t>
      </w:r>
      <w:r w:rsidRPr="00FE1156">
        <w:rPr>
          <w:rFonts w:ascii="Book Antiqua" w:hAnsi="Book Antiqua" w:cs="Times New Roman"/>
          <w:color w:val="000000" w:themeColor="text1"/>
          <w:sz w:val="24"/>
          <w:szCs w:val="24"/>
        </w:rPr>
        <w:t xml:space="preserve">We examined levels of SNX10 by immunohistochemistry in 362 SA tissue samples to investigate the role of SNX10 in SA tissue. We found that 195 (53.9%) tissues showed weak SNX10 expression (Figure 5D), and 167 (46.1%) showed high expression (Figure 5E). </w:t>
      </w:r>
      <w:r w:rsidRPr="00FE1156">
        <w:rPr>
          <w:rFonts w:ascii="Book Antiqua" w:hAnsi="Book Antiqua" w:cs="Times New Roman"/>
          <w:color w:val="000000" w:themeColor="text1"/>
          <w:sz w:val="24"/>
          <w:szCs w:val="24"/>
        </w:rPr>
        <w:lastRenderedPageBreak/>
        <w:t>The corresponding negative results are shown in Figure 5C.</w:t>
      </w:r>
    </w:p>
    <w:p w14:paraId="16A025E0"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p>
    <w:p w14:paraId="18D9C9B6"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 xml:space="preserve">Correlations between clinicopathological factors and expression of SNX10 </w:t>
      </w:r>
    </w:p>
    <w:p w14:paraId="761BFB98" w14:textId="7777777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Table 2 summarizes the relationship between clinicopathological features and SNX10 expression. According to </w:t>
      </w:r>
      <w:r w:rsidRPr="00C15A68">
        <w:rPr>
          <w:rFonts w:ascii="Book Antiqua" w:hAnsi="Book Antiqua" w:cs="Times New Roman"/>
          <w:i/>
          <w:color w:val="000000" w:themeColor="text1"/>
          <w:sz w:val="24"/>
          <w:szCs w:val="24"/>
        </w:rPr>
        <w:sym w:font="Symbol" w:char="F063"/>
      </w:r>
      <w:r w:rsidRPr="00C15A68">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rPr>
        <w:t xml:space="preserve"> or Fisher’s exact test, expression of SNX10 was associated with T category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0.042, </w:t>
      </w:r>
      <w:r w:rsidRPr="00C15A68">
        <w:rPr>
          <w:rFonts w:ascii="Book Antiqua" w:hAnsi="Book Antiqua" w:cs="Times New Roman"/>
          <w:i/>
          <w:color w:val="000000" w:themeColor="text1"/>
          <w:sz w:val="24"/>
          <w:szCs w:val="24"/>
        </w:rPr>
        <w:sym w:font="Symbol" w:char="F063"/>
      </w:r>
      <w:r w:rsidRPr="00C15A68">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vertAlign w:val="superscript"/>
        </w:rPr>
        <w:t xml:space="preserve"> </w:t>
      </w:r>
      <w:r w:rsidRPr="00FE1156">
        <w:rPr>
          <w:rFonts w:ascii="Book Antiqua" w:hAnsi="Book Antiqua" w:cs="Times New Roman"/>
          <w:color w:val="000000" w:themeColor="text1"/>
          <w:sz w:val="24"/>
          <w:szCs w:val="24"/>
        </w:rPr>
        <w:t>= 8.708), N category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0.000, </w:t>
      </w:r>
      <w:r w:rsidRPr="00C15A68">
        <w:rPr>
          <w:rFonts w:ascii="Book Antiqua" w:hAnsi="Book Antiqua" w:cs="Times New Roman"/>
          <w:i/>
          <w:color w:val="000000" w:themeColor="text1"/>
          <w:sz w:val="24"/>
          <w:szCs w:val="24"/>
        </w:rPr>
        <w:sym w:font="Symbol" w:char="F063"/>
      </w:r>
      <w:r w:rsidRPr="00C15A68">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vertAlign w:val="superscript"/>
        </w:rPr>
        <w:t xml:space="preserve"> </w:t>
      </w:r>
      <w:r w:rsidRPr="00FE1156">
        <w:rPr>
          <w:rFonts w:ascii="Book Antiqua" w:hAnsi="Book Antiqua" w:cs="Times New Roman"/>
          <w:color w:val="000000" w:themeColor="text1"/>
          <w:sz w:val="24"/>
          <w:szCs w:val="24"/>
        </w:rPr>
        <w:t>= 18.778), TNM stage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0.001, </w:t>
      </w:r>
      <w:r w:rsidRPr="00C15A68">
        <w:rPr>
          <w:rFonts w:ascii="Book Antiqua" w:hAnsi="Book Antiqua" w:cs="Times New Roman"/>
          <w:i/>
          <w:color w:val="000000" w:themeColor="text1"/>
          <w:sz w:val="24"/>
          <w:szCs w:val="24"/>
        </w:rPr>
        <w:sym w:font="Symbol" w:char="F063"/>
      </w:r>
      <w:r w:rsidRPr="00C15A68">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vertAlign w:val="superscript"/>
        </w:rPr>
        <w:t xml:space="preserve"> </w:t>
      </w:r>
      <w:r w:rsidRPr="00FE1156">
        <w:rPr>
          <w:rFonts w:ascii="Book Antiqua" w:hAnsi="Book Antiqua" w:cs="Times New Roman"/>
          <w:color w:val="000000" w:themeColor="text1"/>
          <w:sz w:val="24"/>
          <w:szCs w:val="24"/>
        </w:rPr>
        <w:t>= 16.744) and tumor differentiation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0.0000, </w:t>
      </w:r>
      <w:r w:rsidRPr="00C15A68">
        <w:rPr>
          <w:rFonts w:ascii="Book Antiqua" w:hAnsi="Book Antiqua" w:cs="Times New Roman"/>
          <w:i/>
          <w:color w:val="000000" w:themeColor="text1"/>
          <w:sz w:val="24"/>
          <w:szCs w:val="24"/>
        </w:rPr>
        <w:sym w:font="Symbol" w:char="F063"/>
      </w:r>
      <w:r w:rsidRPr="00C15A68">
        <w:rPr>
          <w:rFonts w:ascii="Book Antiqua" w:hAnsi="Book Antiqua" w:cs="Times New Roman"/>
          <w:i/>
          <w:color w:val="000000" w:themeColor="text1"/>
          <w:sz w:val="24"/>
          <w:szCs w:val="24"/>
          <w:vertAlign w:val="superscript"/>
        </w:rPr>
        <w:t>2</w:t>
      </w:r>
      <w:r w:rsidRPr="00FE1156">
        <w:rPr>
          <w:rFonts w:ascii="Book Antiqua" w:hAnsi="Book Antiqua" w:cs="Times New Roman"/>
          <w:color w:val="000000" w:themeColor="text1"/>
          <w:sz w:val="24"/>
          <w:szCs w:val="24"/>
          <w:vertAlign w:val="superscript"/>
        </w:rPr>
        <w:t xml:space="preserve"> </w:t>
      </w:r>
      <w:r w:rsidRPr="00FE1156">
        <w:rPr>
          <w:rFonts w:ascii="Book Antiqua" w:hAnsi="Book Antiqua" w:cs="Times New Roman"/>
          <w:color w:val="000000" w:themeColor="text1"/>
          <w:sz w:val="24"/>
          <w:szCs w:val="24"/>
        </w:rPr>
        <w:t>= 251.930), which was consistent with our WGCNA forecast. The Pearson correlation between SNX10 and tumor differentiation was 0.834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0.000).</w:t>
      </w:r>
    </w:p>
    <w:p w14:paraId="2A8FE411" w14:textId="77777777" w:rsidR="004738B9" w:rsidRPr="00FE1156" w:rsidRDefault="004738B9" w:rsidP="00FE1156">
      <w:pPr>
        <w:adjustRightInd w:val="0"/>
        <w:snapToGrid w:val="0"/>
        <w:spacing w:line="360" w:lineRule="auto"/>
        <w:rPr>
          <w:rFonts w:ascii="Book Antiqua" w:hAnsi="Book Antiqua" w:cs="Times New Roman"/>
          <w:b/>
          <w:i/>
          <w:color w:val="000000" w:themeColor="text1"/>
          <w:sz w:val="24"/>
          <w:szCs w:val="24"/>
        </w:rPr>
      </w:pPr>
    </w:p>
    <w:p w14:paraId="6D2D1EBD" w14:textId="77777777" w:rsidR="004738B9" w:rsidRPr="00FE1156" w:rsidRDefault="004738B9" w:rsidP="006119F2">
      <w:pPr>
        <w:adjustRightInd w:val="0"/>
        <w:snapToGrid w:val="0"/>
        <w:spacing w:line="360" w:lineRule="auto"/>
        <w:outlineLvl w:val="0"/>
        <w:rPr>
          <w:rFonts w:ascii="Book Antiqua" w:hAnsi="Book Antiqua" w:cs="Times New Roman"/>
          <w:b/>
          <w:i/>
          <w:color w:val="000000" w:themeColor="text1"/>
          <w:sz w:val="24"/>
          <w:szCs w:val="24"/>
        </w:rPr>
      </w:pPr>
      <w:r w:rsidRPr="00FE1156">
        <w:rPr>
          <w:rFonts w:ascii="Book Antiqua" w:hAnsi="Book Antiqua" w:cs="Times New Roman"/>
          <w:b/>
          <w:i/>
          <w:color w:val="000000" w:themeColor="text1"/>
          <w:sz w:val="24"/>
          <w:szCs w:val="24"/>
        </w:rPr>
        <w:t>Univariate and multivariate analysis of SA patients</w:t>
      </w:r>
    </w:p>
    <w:p w14:paraId="77012C32" w14:textId="3F94F4A7"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Of the 362 patients, 345 had clinical follow-up data but 209 (57.7%) patients died before the end of follow-up. The median DFS was 33.0 mo (range 5–91 mo), and median OS was 45.50 mo (range 7–91 mo). Kaplan–Meier method and log-rank test were used to study the clinical outcomes and the clinicopathological factors. Patients with weak expression of SNX10 had longer DFS (44.97 </w:t>
      </w:r>
      <w:r w:rsidRPr="00FE1156">
        <w:rPr>
          <w:rFonts w:ascii="Book Antiqua" w:hAnsi="Book Antiqua" w:cs="Times New Roman"/>
          <w:i/>
          <w:color w:val="000000" w:themeColor="text1"/>
          <w:sz w:val="24"/>
          <w:szCs w:val="24"/>
        </w:rPr>
        <w:t>vs</w:t>
      </w:r>
      <w:r w:rsidRPr="00FE1156">
        <w:rPr>
          <w:rFonts w:ascii="Book Antiqua" w:hAnsi="Book Antiqua" w:cs="Times New Roman"/>
          <w:color w:val="000000" w:themeColor="text1"/>
          <w:sz w:val="24"/>
          <w:szCs w:val="24"/>
        </w:rPr>
        <w:t xml:space="preserve"> 33.85 mo,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&lt; 0.05) and OS (49.95 </w:t>
      </w:r>
      <w:r w:rsidR="00C15A68">
        <w:rPr>
          <w:rFonts w:ascii="Book Antiqua" w:hAnsi="Book Antiqua" w:cs="Times New Roman"/>
          <w:color w:val="000000" w:themeColor="text1"/>
          <w:sz w:val="24"/>
          <w:szCs w:val="24"/>
        </w:rPr>
        <w:t xml:space="preserve">mo </w:t>
      </w:r>
      <w:r w:rsidRPr="00FE1156">
        <w:rPr>
          <w:rFonts w:ascii="Book Antiqua" w:hAnsi="Book Antiqua" w:cs="Times New Roman"/>
          <w:i/>
          <w:color w:val="000000" w:themeColor="text1"/>
          <w:sz w:val="24"/>
          <w:szCs w:val="24"/>
        </w:rPr>
        <w:t>vs</w:t>
      </w:r>
      <w:r w:rsidRPr="00FE1156">
        <w:rPr>
          <w:rFonts w:ascii="Book Antiqua" w:hAnsi="Book Antiqua" w:cs="Times New Roman"/>
          <w:color w:val="000000" w:themeColor="text1"/>
          <w:sz w:val="24"/>
          <w:szCs w:val="24"/>
        </w:rPr>
        <w:t xml:space="preserve"> 40.84 mo,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&lt; 0</w:t>
      </w:r>
      <w:r w:rsidR="00E41404">
        <w:rPr>
          <w:rFonts w:ascii="Book Antiqua" w:hAnsi="Book Antiqua" w:cs="Times New Roman"/>
          <w:color w:val="000000" w:themeColor="text1"/>
          <w:sz w:val="24"/>
          <w:szCs w:val="24"/>
        </w:rPr>
        <w:t>.05) (Table 1, Figure</w:t>
      </w:r>
      <w:r w:rsidR="00C15A68">
        <w:rPr>
          <w:rFonts w:ascii="Book Antiqua" w:hAnsi="Book Antiqua" w:cs="Times New Roman"/>
          <w:color w:val="000000" w:themeColor="text1"/>
          <w:sz w:val="24"/>
          <w:szCs w:val="24"/>
        </w:rPr>
        <w:t xml:space="preserve"> 5F and </w:t>
      </w:r>
      <w:r w:rsidRPr="00FE1156">
        <w:rPr>
          <w:rFonts w:ascii="Book Antiqua" w:hAnsi="Book Antiqua" w:cs="Times New Roman"/>
          <w:color w:val="000000" w:themeColor="text1"/>
          <w:sz w:val="24"/>
          <w:szCs w:val="24"/>
        </w:rPr>
        <w:t xml:space="preserve">G). Clinicopathological parameters with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&lt; 0.05 in univariate analysis were used for multivariate analysis. Cox proportional hazards model was applied using a backward stepwise method. Higher TNM stage predicted shorter DFS and OS after adjusting for Bormann type, tumor size and other factors (DFS: </w:t>
      </w:r>
      <w:r w:rsidRPr="00FE1156">
        <w:rPr>
          <w:rFonts w:ascii="Book Antiqua" w:hAnsi="Book Antiqua" w:cs="Times New Roman"/>
          <w:i/>
          <w:color w:val="000000" w:themeColor="text1"/>
          <w:sz w:val="24"/>
          <w:szCs w:val="24"/>
        </w:rPr>
        <w:t xml:space="preserve">P </w:t>
      </w:r>
      <w:r w:rsidR="00C15A68">
        <w:rPr>
          <w:rFonts w:ascii="Book Antiqua" w:hAnsi="Book Antiqua" w:cs="Times New Roman"/>
          <w:color w:val="000000" w:themeColor="text1"/>
          <w:sz w:val="24"/>
          <w:szCs w:val="24"/>
        </w:rPr>
        <w:t>= 0.000, HR = 78.873, 95%</w:t>
      </w:r>
      <w:r w:rsidRPr="00FE1156">
        <w:rPr>
          <w:rFonts w:ascii="Book Antiqua" w:hAnsi="Book Antiqua" w:cs="Times New Roman"/>
          <w:color w:val="000000" w:themeColor="text1"/>
          <w:sz w:val="24"/>
          <w:szCs w:val="24"/>
        </w:rPr>
        <w:t xml:space="preserve">CI: 36.367–171.057; OS: </w:t>
      </w:r>
      <w:r w:rsidRPr="00FE1156">
        <w:rPr>
          <w:rFonts w:ascii="Book Antiqua" w:hAnsi="Book Antiqua" w:cs="Times New Roman"/>
          <w:i/>
          <w:color w:val="000000" w:themeColor="text1"/>
          <w:sz w:val="24"/>
          <w:szCs w:val="24"/>
        </w:rPr>
        <w:t xml:space="preserve">P </w:t>
      </w:r>
      <w:r w:rsidR="00C15A68">
        <w:rPr>
          <w:rFonts w:ascii="Book Antiqua" w:hAnsi="Book Antiqua" w:cs="Times New Roman"/>
          <w:color w:val="000000" w:themeColor="text1"/>
          <w:sz w:val="24"/>
          <w:szCs w:val="24"/>
        </w:rPr>
        <w:t>= 0.000, HR = 76.703, 95%</w:t>
      </w:r>
      <w:r w:rsidRPr="00FE1156">
        <w:rPr>
          <w:rFonts w:ascii="Book Antiqua" w:hAnsi="Book Antiqua" w:cs="Times New Roman"/>
          <w:color w:val="000000" w:themeColor="text1"/>
          <w:sz w:val="24"/>
          <w:szCs w:val="24"/>
        </w:rPr>
        <w:t xml:space="preserve">CI: 35.60–165.262; Table 3). Weak expression of SNX10 also served as an independent prognostic factor for prediction of DFS and OS (DFS: </w:t>
      </w:r>
      <w:r w:rsidRPr="00FE1156">
        <w:rPr>
          <w:rFonts w:ascii="Book Antiqua" w:hAnsi="Book Antiqua" w:cs="Times New Roman"/>
          <w:i/>
          <w:color w:val="000000" w:themeColor="text1"/>
          <w:sz w:val="24"/>
          <w:szCs w:val="24"/>
        </w:rPr>
        <w:t xml:space="preserve">P </w:t>
      </w:r>
      <w:r w:rsidRPr="00FE1156">
        <w:rPr>
          <w:rFonts w:ascii="Book Antiqua" w:hAnsi="Book Antiqua" w:cs="Times New Roman"/>
          <w:color w:val="000000" w:themeColor="text1"/>
          <w:sz w:val="24"/>
          <w:szCs w:val="24"/>
        </w:rPr>
        <w:t xml:space="preserve">= 0.014, HR = 0.698, 95%CI: 0.524–0.930; OS: </w:t>
      </w:r>
      <w:r w:rsidRPr="00FE1156">
        <w:rPr>
          <w:rFonts w:ascii="Book Antiqua" w:hAnsi="Book Antiqua" w:cs="Times New Roman"/>
          <w:i/>
          <w:color w:val="000000" w:themeColor="text1"/>
          <w:sz w:val="24"/>
          <w:szCs w:val="24"/>
        </w:rPr>
        <w:t xml:space="preserve">P </w:t>
      </w:r>
      <w:r w:rsidR="00C15A68">
        <w:rPr>
          <w:rFonts w:ascii="Book Antiqua" w:hAnsi="Book Antiqua" w:cs="Times New Roman"/>
          <w:color w:val="000000" w:themeColor="text1"/>
          <w:sz w:val="24"/>
          <w:szCs w:val="24"/>
        </w:rPr>
        <w:t>= 0.017, HR = 0.704, 95%</w:t>
      </w:r>
      <w:r w:rsidRPr="00FE1156">
        <w:rPr>
          <w:rFonts w:ascii="Book Antiqua" w:hAnsi="Book Antiqua" w:cs="Times New Roman"/>
          <w:color w:val="000000" w:themeColor="text1"/>
          <w:sz w:val="24"/>
          <w:szCs w:val="24"/>
        </w:rPr>
        <w:t>CI: 0.528–0.940; Table 3).</w:t>
      </w:r>
    </w:p>
    <w:p w14:paraId="03097DF8" w14:textId="77777777" w:rsidR="004738B9" w:rsidRPr="00FE1156" w:rsidRDefault="004738B9" w:rsidP="00FE1156">
      <w:pPr>
        <w:adjustRightInd w:val="0"/>
        <w:snapToGrid w:val="0"/>
        <w:spacing w:line="360" w:lineRule="auto"/>
        <w:rPr>
          <w:rFonts w:ascii="Book Antiqua" w:hAnsi="Book Antiqua" w:cs="Times New Roman"/>
          <w:b/>
          <w:color w:val="000000" w:themeColor="text1"/>
          <w:sz w:val="24"/>
          <w:szCs w:val="24"/>
        </w:rPr>
      </w:pPr>
    </w:p>
    <w:p w14:paraId="1E3233B1" w14:textId="77777777" w:rsidR="004738B9" w:rsidRPr="00FE1156" w:rsidRDefault="004738B9" w:rsidP="006119F2">
      <w:pPr>
        <w:adjustRightInd w:val="0"/>
        <w:snapToGrid w:val="0"/>
        <w:spacing w:line="360" w:lineRule="auto"/>
        <w:outlineLvl w:val="0"/>
        <w:rPr>
          <w:rFonts w:ascii="Book Antiqua" w:hAnsi="Book Antiqua" w:cs="Times New Roman"/>
          <w:b/>
          <w:color w:val="000000" w:themeColor="text1"/>
          <w:sz w:val="24"/>
          <w:szCs w:val="24"/>
        </w:rPr>
      </w:pPr>
      <w:r w:rsidRPr="00FE1156">
        <w:rPr>
          <w:rFonts w:ascii="Book Antiqua" w:hAnsi="Book Antiqua" w:cs="Times New Roman"/>
          <w:b/>
          <w:color w:val="000000" w:themeColor="text1"/>
          <w:sz w:val="24"/>
          <w:szCs w:val="24"/>
        </w:rPr>
        <w:t>DISCUSSION</w:t>
      </w:r>
    </w:p>
    <w:p w14:paraId="06F5C14F" w14:textId="7995545B" w:rsidR="004738B9" w:rsidRPr="00FE1156" w:rsidRDefault="004738B9"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The tumorigenesis and prognosis of SA are dependent on interaction of several factors, such as overexpression of oncogenes, silencing of tumor </w:t>
      </w:r>
      <w:r w:rsidRPr="00FE1156">
        <w:rPr>
          <w:rFonts w:ascii="Book Antiqua" w:hAnsi="Book Antiqua" w:cs="Times New Roman"/>
          <w:color w:val="000000" w:themeColor="text1"/>
          <w:sz w:val="24"/>
          <w:szCs w:val="24"/>
        </w:rPr>
        <w:lastRenderedPageBreak/>
        <w:t>suppressor genes, tumor biological characteristics, and clinical factors. According to the genetic factors in SA occurrence, development and prognosis, RNA sequencing could further help to study the function of genes at the whole genome level. As a systematic biology method to describe how clinical features associate with genes, WGCNA was applied to investigate co</w:t>
      </w:r>
      <w:r w:rsidR="00C15A68">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expression between SA tissue and normal samples. WGCNA, an algorithm for a scale-free network, is widely used in RNA-sequencing and profiling microarray analysis</w:t>
      </w:r>
      <w:r w:rsidRPr="00FE1156">
        <w:rPr>
          <w:rFonts w:ascii="Book Antiqua" w:hAnsi="Book Antiqua" w:cs="Times New Roman"/>
          <w:noProof/>
          <w:color w:val="000000" w:themeColor="text1"/>
          <w:sz w:val="24"/>
          <w:szCs w:val="24"/>
          <w:vertAlign w:val="superscript"/>
        </w:rPr>
        <w:t>[10]</w:t>
      </w:r>
      <w:r w:rsidRPr="00FE1156">
        <w:rPr>
          <w:rFonts w:ascii="Book Antiqua" w:hAnsi="Book Antiqua" w:cs="Times New Roman"/>
          <w:color w:val="000000" w:themeColor="text1"/>
          <w:sz w:val="24"/>
          <w:szCs w:val="24"/>
        </w:rPr>
        <w:t>. The clustering criteria of WGCNA are focused on biological significance, in contrast to the other clustering algorithms that use geometric distance between data for clustering. A module in WGCNA depicted a group of genes in different tissue samples with similar trends in physiological processes or expression. After module identification, WGCNA calculates the stability of the module and indicates how that correlates with clinical features. The characteristic of a scale-free network is that it highlights several special nodes whose connectivity is significantly greater than that of other general nodes. The special nodes are called hub genes. So, it is the correlation between the hub genes of interest and clinical features that can be used to reveal the main causes of disease progression.</w:t>
      </w:r>
    </w:p>
    <w:p w14:paraId="1D059A11" w14:textId="06CFFFDA" w:rsidR="004738B9" w:rsidRPr="00FE1156" w:rsidRDefault="00C15A68" w:rsidP="00FE1156">
      <w:pPr>
        <w:adjustRightInd w:val="0"/>
        <w:snapToGrid w:val="0"/>
        <w:spacing w:line="360" w:lineRule="auto"/>
        <w:rPr>
          <w:rFonts w:ascii="Book Antiqua" w:hAnsi="Book Antiqua"/>
          <w:color w:val="000000" w:themeColor="text1"/>
          <w:sz w:val="24"/>
          <w:szCs w:val="24"/>
        </w:rPr>
      </w:pPr>
      <w:r>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t xml:space="preserve">In the present study, DEGs were obtained by comparison between SA and normal </w:t>
      </w:r>
      <w:r w:rsidR="004738B9" w:rsidRPr="00FE1156">
        <w:rPr>
          <w:rFonts w:ascii="Book Antiqua" w:hAnsi="Book Antiqua"/>
          <w:color w:val="000000" w:themeColor="text1"/>
          <w:sz w:val="24"/>
          <w:szCs w:val="24"/>
        </w:rPr>
        <w:t xml:space="preserve">gastric epithelial </w:t>
      </w:r>
      <w:r w:rsidR="004738B9" w:rsidRPr="00FE1156">
        <w:rPr>
          <w:rFonts w:ascii="Book Antiqua" w:hAnsi="Book Antiqua" w:cs="Times New Roman"/>
          <w:color w:val="000000" w:themeColor="text1"/>
          <w:sz w:val="24"/>
          <w:szCs w:val="24"/>
        </w:rPr>
        <w:t>tissue samples. WGCNA identified 24 distinct co</w:t>
      </w:r>
      <w:r>
        <w:rPr>
          <w:rFonts w:ascii="Book Antiqua" w:hAnsi="Book Antiqua" w:cs="Times New Roman"/>
          <w:color w:val="000000" w:themeColor="text1"/>
          <w:sz w:val="24"/>
          <w:szCs w:val="24"/>
        </w:rPr>
        <w:t>-</w:t>
      </w:r>
      <w:r w:rsidR="004738B9" w:rsidRPr="00FE1156">
        <w:rPr>
          <w:rFonts w:ascii="Book Antiqua" w:hAnsi="Book Antiqua" w:cs="Times New Roman"/>
          <w:color w:val="000000" w:themeColor="text1"/>
          <w:sz w:val="24"/>
          <w:szCs w:val="24"/>
        </w:rPr>
        <w:t>expression modules from DEGs. The highest positive correlation between the tan module and tumor grade was found through the gene module related to clinical features. Comprehensive analysis of GS, MM, degree, and MCODE score, we inferred that SNX10 was the hub gene of the tan module. SNX10 is a member of the SNX family, which possesses an evolutionarily conserved PX or phosphoinositide-binding protein with a Phox homology domain. SNX10 is involved in different endosomal transport pathways by targeting endosomal membranes through the PX domain</w:t>
      </w:r>
      <w:r>
        <w:rPr>
          <w:rFonts w:ascii="Book Antiqua" w:hAnsi="Book Antiqua" w:cs="Times New Roman"/>
          <w:noProof/>
          <w:color w:val="000000" w:themeColor="text1"/>
          <w:sz w:val="24"/>
          <w:szCs w:val="24"/>
          <w:vertAlign w:val="superscript"/>
        </w:rPr>
        <w:t>[23,</w:t>
      </w:r>
      <w:r w:rsidR="004738B9" w:rsidRPr="00FE1156">
        <w:rPr>
          <w:rFonts w:ascii="Book Antiqua" w:hAnsi="Book Antiqua" w:cs="Times New Roman"/>
          <w:noProof/>
          <w:color w:val="000000" w:themeColor="text1"/>
          <w:sz w:val="24"/>
          <w:szCs w:val="24"/>
          <w:vertAlign w:val="superscript"/>
        </w:rPr>
        <w:t>24]</w:t>
      </w:r>
      <w:r w:rsidR="004738B9" w:rsidRPr="00FE1156">
        <w:rPr>
          <w:rFonts w:ascii="Book Antiqua" w:hAnsi="Book Antiqua" w:cs="Times New Roman"/>
          <w:color w:val="000000" w:themeColor="text1"/>
          <w:sz w:val="24"/>
          <w:szCs w:val="24"/>
        </w:rPr>
        <w:t>. SNX10 only has one PX domain, and is the most basic structured member of the SNX family. Even so, its biological function is still largely unknown. Loss of SNX10 function may be an important therapeutic strategy for inflammatory bowel disease</w:t>
      </w:r>
      <w:r w:rsidR="004738B9" w:rsidRPr="00FE1156">
        <w:rPr>
          <w:rFonts w:ascii="Book Antiqua" w:hAnsi="Book Antiqua" w:cs="Times New Roman"/>
          <w:noProof/>
          <w:color w:val="000000" w:themeColor="text1"/>
          <w:sz w:val="24"/>
          <w:szCs w:val="24"/>
          <w:vertAlign w:val="superscript"/>
        </w:rPr>
        <w:t>[25]</w:t>
      </w:r>
      <w:r w:rsidR="004738B9" w:rsidRPr="00FE1156">
        <w:rPr>
          <w:rFonts w:ascii="Book Antiqua" w:hAnsi="Book Antiqua" w:cs="Times New Roman"/>
          <w:color w:val="000000" w:themeColor="text1"/>
          <w:sz w:val="24"/>
          <w:szCs w:val="24"/>
        </w:rPr>
        <w:t xml:space="preserve">. </w:t>
      </w:r>
      <w:r w:rsidR="004738B9" w:rsidRPr="00FE1156">
        <w:rPr>
          <w:rFonts w:ascii="Book Antiqua" w:hAnsi="Book Antiqua" w:cs="Times New Roman"/>
          <w:noProof/>
          <w:color w:val="000000" w:themeColor="text1"/>
          <w:sz w:val="24"/>
          <w:szCs w:val="24"/>
        </w:rPr>
        <w:t xml:space="preserve">Chen </w:t>
      </w:r>
      <w:r w:rsidR="004738B9" w:rsidRPr="00FE1156">
        <w:rPr>
          <w:rFonts w:ascii="Book Antiqua" w:hAnsi="Book Antiqua" w:cs="Times New Roman"/>
          <w:i/>
          <w:color w:val="000000" w:themeColor="text1"/>
          <w:sz w:val="24"/>
          <w:szCs w:val="24"/>
        </w:rPr>
        <w:t xml:space="preserve">et </w:t>
      </w:r>
      <w:r w:rsidR="004738B9" w:rsidRPr="00FE1156">
        <w:rPr>
          <w:rFonts w:ascii="Book Antiqua" w:hAnsi="Book Antiqua" w:cs="Times New Roman"/>
          <w:i/>
          <w:color w:val="000000" w:themeColor="text1"/>
          <w:sz w:val="24"/>
          <w:szCs w:val="24"/>
        </w:rPr>
        <w:lastRenderedPageBreak/>
        <w:t>al</w:t>
      </w:r>
      <w:r w:rsidR="004738B9" w:rsidRPr="00FE1156">
        <w:rPr>
          <w:rFonts w:ascii="Book Antiqua" w:hAnsi="Book Antiqua" w:cs="Times New Roman"/>
          <w:noProof/>
          <w:color w:val="000000" w:themeColor="text1"/>
          <w:sz w:val="24"/>
          <w:szCs w:val="24"/>
          <w:vertAlign w:val="superscript"/>
        </w:rPr>
        <w:t xml:space="preserve">[26] </w:t>
      </w:r>
      <w:r w:rsidR="004738B9" w:rsidRPr="00FE1156">
        <w:rPr>
          <w:rFonts w:ascii="Book Antiqua" w:hAnsi="Book Antiqua" w:cs="Times New Roman"/>
          <w:color w:val="000000" w:themeColor="text1"/>
          <w:sz w:val="24"/>
          <w:szCs w:val="24"/>
        </w:rPr>
        <w:t>have suggested that SNX10 has interactions with V-ATPase. SNX10 has regulatory functions in membrane trafficking and endosomal stabilization, and SNX10 overdrive can lead to formation and accumulation of giant vacuoles that can be inhibited by brefeldin A</w:t>
      </w:r>
      <w:r w:rsidR="004738B9" w:rsidRPr="00FE1156">
        <w:rPr>
          <w:rFonts w:ascii="Book Antiqua" w:hAnsi="Book Antiqua" w:cs="Times New Roman"/>
          <w:noProof/>
          <w:color w:val="000000" w:themeColor="text1"/>
          <w:sz w:val="24"/>
          <w:szCs w:val="24"/>
          <w:vertAlign w:val="superscript"/>
        </w:rPr>
        <w:t>[27]</w:t>
      </w:r>
      <w:r w:rsidR="004738B9" w:rsidRPr="00FE1156">
        <w:rPr>
          <w:rFonts w:ascii="Book Antiqua" w:hAnsi="Book Antiqua" w:cs="Times New Roman"/>
          <w:color w:val="000000" w:themeColor="text1"/>
          <w:sz w:val="24"/>
          <w:szCs w:val="24"/>
        </w:rPr>
        <w:t xml:space="preserve">. Shen </w:t>
      </w:r>
      <w:r w:rsidR="004738B9" w:rsidRPr="00FE1156">
        <w:rPr>
          <w:rFonts w:ascii="Book Antiqua" w:hAnsi="Book Antiqua" w:cs="Times New Roman"/>
          <w:i/>
          <w:color w:val="000000" w:themeColor="text1"/>
          <w:sz w:val="24"/>
          <w:szCs w:val="24"/>
        </w:rPr>
        <w:t>et al</w:t>
      </w:r>
      <w:r w:rsidR="004738B9" w:rsidRPr="00FE1156">
        <w:rPr>
          <w:rFonts w:ascii="Book Antiqua" w:hAnsi="Book Antiqua" w:cs="Times New Roman"/>
          <w:noProof/>
          <w:color w:val="000000" w:themeColor="text1"/>
          <w:sz w:val="24"/>
          <w:szCs w:val="24"/>
          <w:vertAlign w:val="superscript"/>
        </w:rPr>
        <w:t xml:space="preserve">[28] </w:t>
      </w:r>
      <w:r w:rsidR="004738B9" w:rsidRPr="00FE1156">
        <w:rPr>
          <w:rFonts w:ascii="Book Antiqua" w:hAnsi="Book Antiqua" w:cs="Times New Roman"/>
          <w:noProof/>
          <w:color w:val="000000" w:themeColor="text1"/>
          <w:sz w:val="24"/>
          <w:szCs w:val="24"/>
        </w:rPr>
        <w:t xml:space="preserve">have </w:t>
      </w:r>
      <w:r w:rsidR="004738B9" w:rsidRPr="00FE1156">
        <w:rPr>
          <w:rFonts w:ascii="Book Antiqua" w:hAnsi="Book Antiqua" w:cs="Times New Roman"/>
          <w:color w:val="000000" w:themeColor="text1"/>
          <w:sz w:val="24"/>
          <w:szCs w:val="24"/>
        </w:rPr>
        <w:t>reported that SNX10 is significantly downregulated and acts as a suppressor in human colorectal cancer (CRC). It can increase activity of chaperone-mediated autophagy and decrease expression of p21</w:t>
      </w:r>
      <w:r w:rsidR="004738B9" w:rsidRPr="00FE1156">
        <w:rPr>
          <w:rFonts w:ascii="Book Antiqua" w:hAnsi="Book Antiqua" w:cs="Times New Roman"/>
          <w:color w:val="000000" w:themeColor="text1"/>
          <w:sz w:val="24"/>
          <w:szCs w:val="24"/>
          <w:vertAlign w:val="superscript"/>
        </w:rPr>
        <w:t>Cip1/WAF1</w:t>
      </w:r>
      <w:r w:rsidR="004738B9" w:rsidRPr="00FE1156">
        <w:rPr>
          <w:rFonts w:ascii="Book Antiqua" w:hAnsi="Book Antiqua" w:cs="Times New Roman"/>
          <w:color w:val="000000" w:themeColor="text1"/>
          <w:sz w:val="24"/>
          <w:szCs w:val="24"/>
        </w:rPr>
        <w:t>, thus regulating tumorigenesis and progression. Downregulation of SNX10 leads to loss of control of amino acid metabolism, which activates the mTOR signaling pathway and promotes tumorigenesis of CRC</w:t>
      </w:r>
      <w:r w:rsidR="004738B9" w:rsidRPr="00FE1156">
        <w:rPr>
          <w:rFonts w:ascii="Book Antiqua" w:hAnsi="Book Antiqua" w:cs="Times New Roman"/>
          <w:noProof/>
          <w:color w:val="000000" w:themeColor="text1"/>
          <w:sz w:val="24"/>
          <w:szCs w:val="24"/>
          <w:vertAlign w:val="superscript"/>
        </w:rPr>
        <w:t>[29]</w:t>
      </w:r>
      <w:r w:rsidR="004738B9" w:rsidRPr="00FE1156">
        <w:rPr>
          <w:rFonts w:ascii="Book Antiqua" w:hAnsi="Book Antiqua" w:cs="Times New Roman"/>
          <w:color w:val="000000" w:themeColor="text1"/>
          <w:sz w:val="24"/>
          <w:szCs w:val="24"/>
        </w:rPr>
        <w:t xml:space="preserve">. Gerber </w:t>
      </w:r>
      <w:r w:rsidR="004738B9" w:rsidRPr="00FE1156">
        <w:rPr>
          <w:rFonts w:ascii="Book Antiqua" w:hAnsi="Book Antiqua" w:cs="Times New Roman"/>
          <w:i/>
          <w:color w:val="000000" w:themeColor="text1"/>
          <w:sz w:val="24"/>
          <w:szCs w:val="24"/>
        </w:rPr>
        <w:t>et al</w:t>
      </w:r>
      <w:r w:rsidR="004738B9" w:rsidRPr="00FE1156">
        <w:rPr>
          <w:rFonts w:ascii="Book Antiqua" w:hAnsi="Book Antiqua" w:cs="Times New Roman"/>
          <w:noProof/>
          <w:color w:val="000000" w:themeColor="text1"/>
          <w:sz w:val="24"/>
          <w:szCs w:val="24"/>
          <w:vertAlign w:val="superscript"/>
        </w:rPr>
        <w:t xml:space="preserve">[30] </w:t>
      </w:r>
      <w:r w:rsidR="004738B9" w:rsidRPr="00FE1156">
        <w:rPr>
          <w:rFonts w:ascii="Book Antiqua" w:hAnsi="Book Antiqua" w:cs="Times New Roman"/>
          <w:noProof/>
          <w:color w:val="000000" w:themeColor="text1"/>
          <w:sz w:val="24"/>
          <w:szCs w:val="24"/>
        </w:rPr>
        <w:t xml:space="preserve">have </w:t>
      </w:r>
      <w:r w:rsidR="004738B9" w:rsidRPr="00FE1156">
        <w:rPr>
          <w:rFonts w:ascii="Book Antiqua" w:hAnsi="Book Antiqua" w:cs="Times New Roman"/>
          <w:color w:val="000000" w:themeColor="text1"/>
          <w:sz w:val="24"/>
          <w:szCs w:val="24"/>
        </w:rPr>
        <w:t>described two variants of SNX10 gene as candidates for susceptibility of CRC. In addition, SNX10 exhibits the characteristics of a suppressor gene and acts as a potential marker of hepatic carcinoma, which may be regulated by miRNA-30d</w:t>
      </w:r>
      <w:r w:rsidR="004738B9" w:rsidRPr="00FE1156">
        <w:rPr>
          <w:rFonts w:ascii="Book Antiqua" w:hAnsi="Book Antiqua" w:cs="Times New Roman"/>
          <w:noProof/>
          <w:color w:val="000000" w:themeColor="text1"/>
          <w:sz w:val="24"/>
          <w:szCs w:val="24"/>
          <w:vertAlign w:val="superscript"/>
        </w:rPr>
        <w:t>[31]</w:t>
      </w:r>
      <w:r w:rsidR="004738B9" w:rsidRPr="00FE1156">
        <w:rPr>
          <w:rFonts w:ascii="Book Antiqua" w:hAnsi="Book Antiqua" w:cs="Times New Roman"/>
          <w:color w:val="000000" w:themeColor="text1"/>
          <w:sz w:val="24"/>
          <w:szCs w:val="24"/>
        </w:rPr>
        <w:t xml:space="preserve">. These findings show that inhibition of SNX10 expression may be closely related to tumorigenesis and tumor progression, but its clinical significance in SA remains unclear. Through western blotting and real-time PCR, we have proved the differential expression of SNX10 in SA cells and </w:t>
      </w:r>
      <w:r w:rsidR="004738B9" w:rsidRPr="00FE1156">
        <w:rPr>
          <w:rFonts w:ascii="Book Antiqua" w:hAnsi="Book Antiqua"/>
          <w:color w:val="000000" w:themeColor="text1"/>
          <w:sz w:val="24"/>
          <w:szCs w:val="24"/>
        </w:rPr>
        <w:t xml:space="preserve">normal gastric epithelial cells shown by the bioinformatics analysis. We also confirmed the correlation between SNX10 and tumor grade based on the biopsy database in our center. Hence, this study is believed to be the first to confirm SNX10 as a prognostic factor for DFS and OS in SA patients. </w:t>
      </w:r>
    </w:p>
    <w:p w14:paraId="7AF431A6" w14:textId="60A38F98" w:rsidR="004738B9" w:rsidRPr="00FE1156" w:rsidRDefault="00C15A68"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738B9" w:rsidRPr="00FE1156">
        <w:rPr>
          <w:rFonts w:ascii="Book Antiqua" w:hAnsi="Book Antiqua" w:cs="Times New Roman"/>
          <w:color w:val="000000" w:themeColor="text1"/>
          <w:sz w:val="24"/>
          <w:szCs w:val="24"/>
        </w:rPr>
        <w:t>This study had some limitations. First, we did not analyze the effect of SNX10 on the phenotype of SA. The molecular regulatory mechanism of SNX10 also needs to be explored further in future studies. Second, this was a</w:t>
      </w:r>
      <w:r w:rsidR="004738B9" w:rsidRPr="00FE1156">
        <w:rPr>
          <w:rFonts w:ascii="Book Antiqua" w:hAnsi="Book Antiqua"/>
          <w:color w:val="000000" w:themeColor="text1"/>
          <w:sz w:val="24"/>
          <w:szCs w:val="24"/>
        </w:rPr>
        <w:t xml:space="preserve"> </w:t>
      </w:r>
      <w:r w:rsidR="004738B9" w:rsidRPr="00FE1156">
        <w:rPr>
          <w:rFonts w:ascii="Book Antiqua" w:hAnsi="Book Antiqua" w:cs="Times New Roman"/>
          <w:color w:val="000000" w:themeColor="text1"/>
          <w:sz w:val="24"/>
          <w:szCs w:val="24"/>
        </w:rPr>
        <w:t>single-center retrospective study. Further studies should be conducted to validate our findings and highlight the mechanistic impact of SX10 on SA tumorigenesis and progression. In addition, sample size needs to be increased for further statistical analysis.</w:t>
      </w:r>
    </w:p>
    <w:p w14:paraId="6167100D" w14:textId="25E74B0F" w:rsidR="00C15A68" w:rsidRDefault="004738B9" w:rsidP="00C15A68">
      <w:pPr>
        <w:widowControl/>
        <w:adjustRightInd w:val="0"/>
        <w:snapToGrid w:val="0"/>
        <w:spacing w:line="360" w:lineRule="auto"/>
        <w:ind w:firstLine="240"/>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In summary, WGCNA as well as other methods were used to study RNA sequencing and clinical data of SA patients from TCGA. We conclude that SNX10 is a hub gene associated with tumor grade and acts as an independent </w:t>
      </w:r>
      <w:r w:rsidRPr="00FE1156">
        <w:rPr>
          <w:rFonts w:ascii="Book Antiqua" w:hAnsi="Book Antiqua" w:cs="Times New Roman"/>
          <w:color w:val="000000" w:themeColor="text1"/>
          <w:sz w:val="24"/>
          <w:szCs w:val="24"/>
        </w:rPr>
        <w:lastRenderedPageBreak/>
        <w:t>prognostic factor for DFS and OS in SA patients. SNX10 has the potential to become a novel prognostic indicator contributing to personalized therapy. However, more experiments are needed to validate the clinical and biological functions of SNX10.</w:t>
      </w:r>
    </w:p>
    <w:p w14:paraId="35374B07" w14:textId="77777777" w:rsidR="00C15A68" w:rsidRDefault="00C15A68" w:rsidP="00C15A68">
      <w:pPr>
        <w:widowControl/>
        <w:adjustRightInd w:val="0"/>
        <w:snapToGrid w:val="0"/>
        <w:spacing w:line="360" w:lineRule="auto"/>
        <w:rPr>
          <w:rFonts w:ascii="Book Antiqua" w:hAnsi="Book Antiqua" w:cs="Times New Roman"/>
          <w:color w:val="000000" w:themeColor="text1"/>
          <w:sz w:val="24"/>
          <w:szCs w:val="24"/>
        </w:rPr>
      </w:pPr>
    </w:p>
    <w:p w14:paraId="55FA49F8" w14:textId="716236D8" w:rsidR="00204DFE" w:rsidRPr="00C15A68" w:rsidRDefault="00B4601A" w:rsidP="00C15A68">
      <w:pPr>
        <w:widowControl/>
        <w:adjustRightInd w:val="0"/>
        <w:snapToGrid w:val="0"/>
        <w:spacing w:line="360" w:lineRule="auto"/>
        <w:rPr>
          <w:rFonts w:ascii="Book Antiqua" w:hAnsi="Book Antiqua" w:cs="Times New Roman"/>
          <w:color w:val="000000" w:themeColor="text1"/>
          <w:sz w:val="24"/>
          <w:szCs w:val="24"/>
        </w:rPr>
      </w:pPr>
      <w:r>
        <w:rPr>
          <w:rFonts w:ascii="Book Antiqua" w:hAnsi="Book Antiqua" w:cs="Segoe UI"/>
          <w:b/>
          <w:caps/>
          <w:color w:val="000000" w:themeColor="text1"/>
          <w:sz w:val="24"/>
          <w:szCs w:val="24"/>
          <w:shd w:val="clear" w:color="auto" w:fill="FFFFFF"/>
        </w:rPr>
        <w:t>Article Highlights</w:t>
      </w:r>
    </w:p>
    <w:p w14:paraId="7DF4A507" w14:textId="77777777" w:rsidR="00204DFE" w:rsidRPr="00FE1156" w:rsidRDefault="00204DFE" w:rsidP="006119F2">
      <w:pPr>
        <w:adjustRightInd w:val="0"/>
        <w:snapToGrid w:val="0"/>
        <w:spacing w:line="360" w:lineRule="auto"/>
        <w:outlineLvl w:val="0"/>
        <w:rPr>
          <w:rFonts w:ascii="Book Antiqua" w:hAnsi="Book Antiqua"/>
          <w:b/>
          <w:i/>
          <w:color w:val="000000" w:themeColor="text1"/>
          <w:sz w:val="24"/>
          <w:szCs w:val="24"/>
        </w:rPr>
      </w:pPr>
      <w:r w:rsidRPr="00FE1156">
        <w:rPr>
          <w:rFonts w:ascii="Book Antiqua" w:hAnsi="Book Antiqua"/>
          <w:b/>
          <w:i/>
          <w:color w:val="000000" w:themeColor="text1"/>
          <w:sz w:val="24"/>
          <w:szCs w:val="24"/>
        </w:rPr>
        <w:t>Research background</w:t>
      </w:r>
    </w:p>
    <w:p w14:paraId="2D6BFA00" w14:textId="12765129" w:rsidR="00204DFE" w:rsidRPr="00FE1156" w:rsidRDefault="00204DFE"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Stomach adenocarcinoma (SA) is by far the most prevalent pathologic version of gastric cancer, whose prognosis is influenced by the complex gene interactions involved in tumor progression. Guidelines have identified the correlation between clinical prognosis and tumor stag</w:t>
      </w:r>
      <w:r w:rsidR="00C15A68">
        <w:rPr>
          <w:rFonts w:ascii="Book Antiqua" w:hAnsi="Book Antiqua" w:cs="Times New Roman"/>
          <w:color w:val="000000" w:themeColor="text1"/>
          <w:sz w:val="24"/>
          <w:szCs w:val="24"/>
        </w:rPr>
        <w:t>e and grade</w:t>
      </w:r>
      <w:r w:rsidRPr="00FE1156">
        <w:rPr>
          <w:rFonts w:ascii="Book Antiqua" w:hAnsi="Book Antiqua" w:cs="Times New Roman"/>
          <w:color w:val="000000" w:themeColor="text1"/>
          <w:sz w:val="24"/>
          <w:szCs w:val="24"/>
        </w:rPr>
        <w:t>.</w:t>
      </w:r>
      <w:r w:rsidR="00C15A68">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Detection of significant clusters of co-expressed genes or representative biomarkers associated with tumor stage or grade may prompt to highlight the mechanisms of tumorigenesis and tumor progression, and might be helpful to predict SA patient prognosis.</w:t>
      </w:r>
    </w:p>
    <w:p w14:paraId="601440CC" w14:textId="77777777" w:rsidR="00C15A68" w:rsidRDefault="00C15A68" w:rsidP="006119F2">
      <w:pPr>
        <w:adjustRightInd w:val="0"/>
        <w:snapToGrid w:val="0"/>
        <w:spacing w:line="360" w:lineRule="auto"/>
        <w:outlineLvl w:val="0"/>
        <w:rPr>
          <w:rFonts w:ascii="Book Antiqua" w:hAnsi="Book Antiqua"/>
          <w:b/>
          <w:i/>
          <w:color w:val="000000" w:themeColor="text1"/>
          <w:sz w:val="24"/>
          <w:szCs w:val="24"/>
        </w:rPr>
      </w:pPr>
    </w:p>
    <w:p w14:paraId="2262A09A" w14:textId="77777777" w:rsidR="00204DFE" w:rsidRPr="00FE1156" w:rsidRDefault="00204DFE" w:rsidP="006119F2">
      <w:pPr>
        <w:adjustRightInd w:val="0"/>
        <w:snapToGrid w:val="0"/>
        <w:spacing w:line="360" w:lineRule="auto"/>
        <w:outlineLvl w:val="0"/>
        <w:rPr>
          <w:rFonts w:ascii="Book Antiqua" w:hAnsi="Book Antiqua"/>
          <w:b/>
          <w:i/>
          <w:color w:val="000000" w:themeColor="text1"/>
          <w:sz w:val="24"/>
          <w:szCs w:val="24"/>
        </w:rPr>
      </w:pPr>
      <w:r w:rsidRPr="00FE1156">
        <w:rPr>
          <w:rFonts w:ascii="Book Antiqua" w:hAnsi="Book Antiqua"/>
          <w:b/>
          <w:i/>
          <w:color w:val="000000" w:themeColor="text1"/>
          <w:sz w:val="24"/>
          <w:szCs w:val="24"/>
        </w:rPr>
        <w:t>Research motivation</w:t>
      </w:r>
    </w:p>
    <w:p w14:paraId="3CB7FC2D" w14:textId="4F438A22" w:rsidR="00204DFE" w:rsidRPr="00FE1156" w:rsidRDefault="00204DFE" w:rsidP="00FE1156">
      <w:pPr>
        <w:adjustRightInd w:val="0"/>
        <w:snapToGrid w:val="0"/>
        <w:spacing w:line="360" w:lineRule="auto"/>
        <w:rPr>
          <w:rFonts w:ascii="Book Antiqua" w:eastAsia="SimSun" w:hAnsi="Book Antiqua" w:cs="Times New Roman"/>
          <w:color w:val="000000" w:themeColor="text1"/>
          <w:sz w:val="24"/>
          <w:szCs w:val="24"/>
        </w:rPr>
      </w:pPr>
      <w:r w:rsidRPr="00FE1156">
        <w:rPr>
          <w:rFonts w:ascii="Book Antiqua" w:hAnsi="Book Antiqua" w:cs="Times New Roman"/>
          <w:color w:val="000000" w:themeColor="text1"/>
          <w:sz w:val="24"/>
          <w:szCs w:val="24"/>
        </w:rPr>
        <w:t xml:space="preserve">To detect significant clusters of co-expressed genes associated with tumorigenesis, might helpful to predict </w:t>
      </w:r>
      <w:r w:rsidR="006119F2">
        <w:rPr>
          <w:rFonts w:ascii="Book Antiqua" w:hAnsi="Book Antiqua" w:cs="Times New Roman"/>
          <w:color w:val="000000" w:themeColor="text1"/>
          <w:sz w:val="24"/>
          <w:szCs w:val="24"/>
        </w:rPr>
        <w:t>SA</w:t>
      </w:r>
      <w:r w:rsidRPr="00FE1156">
        <w:rPr>
          <w:rFonts w:ascii="Book Antiqua" w:hAnsi="Book Antiqua" w:cs="Times New Roman"/>
          <w:color w:val="000000" w:themeColor="text1"/>
          <w:sz w:val="24"/>
          <w:szCs w:val="24"/>
        </w:rPr>
        <w:t xml:space="preserve"> patient prognosis. The </w:t>
      </w:r>
      <w:r w:rsidR="00C15A68">
        <w:rPr>
          <w:rFonts w:ascii="Book Antiqua" w:hAnsi="Book Antiqua" w:cs="Times New Roman"/>
          <w:color w:val="000000" w:themeColor="text1"/>
          <w:sz w:val="24"/>
          <w:szCs w:val="24"/>
        </w:rPr>
        <w:t>w</w:t>
      </w:r>
      <w:r w:rsidR="00C15A68" w:rsidRPr="00FE1156">
        <w:rPr>
          <w:rFonts w:ascii="Book Antiqua" w:hAnsi="Book Antiqua" w:cs="Times New Roman"/>
          <w:color w:val="000000" w:themeColor="text1"/>
          <w:sz w:val="24"/>
          <w:szCs w:val="24"/>
        </w:rPr>
        <w:t>eighted gene co</w:t>
      </w:r>
      <w:r w:rsidR="00C15A68">
        <w:rPr>
          <w:rFonts w:ascii="Book Antiqua" w:hAnsi="Book Antiqua" w:cs="Times New Roman"/>
          <w:color w:val="000000" w:themeColor="text1"/>
          <w:sz w:val="24"/>
          <w:szCs w:val="24"/>
        </w:rPr>
        <w:t>-</w:t>
      </w:r>
      <w:r w:rsidR="00C15A68" w:rsidRPr="00FE1156">
        <w:rPr>
          <w:rFonts w:ascii="Book Antiqua" w:hAnsi="Book Antiqua" w:cs="Times New Roman"/>
          <w:color w:val="000000" w:themeColor="text1"/>
          <w:sz w:val="24"/>
          <w:szCs w:val="24"/>
        </w:rPr>
        <w:t>expression network analysis (WGCNA)</w:t>
      </w:r>
      <w:r w:rsidRPr="00FE1156">
        <w:rPr>
          <w:rFonts w:ascii="Book Antiqua" w:hAnsi="Book Antiqua" w:cs="Times New Roman"/>
          <w:color w:val="000000" w:themeColor="text1"/>
          <w:sz w:val="24"/>
          <w:szCs w:val="24"/>
        </w:rPr>
        <w:t xml:space="preserve"> method provided a functional interpretation tool for system biology and led to new insights into the pathophysiology of SA. </w:t>
      </w:r>
    </w:p>
    <w:p w14:paraId="0406C714" w14:textId="77777777" w:rsidR="00C15A68" w:rsidRDefault="00C15A68" w:rsidP="006119F2">
      <w:pPr>
        <w:adjustRightInd w:val="0"/>
        <w:snapToGrid w:val="0"/>
        <w:spacing w:line="360" w:lineRule="auto"/>
        <w:outlineLvl w:val="0"/>
        <w:rPr>
          <w:rFonts w:ascii="Book Antiqua" w:hAnsi="Book Antiqua"/>
          <w:b/>
          <w:i/>
          <w:color w:val="000000" w:themeColor="text1"/>
          <w:sz w:val="24"/>
          <w:szCs w:val="24"/>
        </w:rPr>
      </w:pPr>
    </w:p>
    <w:p w14:paraId="79522814" w14:textId="77777777" w:rsidR="00204DFE" w:rsidRPr="00FE1156" w:rsidRDefault="00204DFE" w:rsidP="006119F2">
      <w:pPr>
        <w:adjustRightInd w:val="0"/>
        <w:snapToGrid w:val="0"/>
        <w:spacing w:line="360" w:lineRule="auto"/>
        <w:outlineLvl w:val="0"/>
        <w:rPr>
          <w:rFonts w:ascii="Book Antiqua" w:hAnsi="Book Antiqua"/>
          <w:b/>
          <w:i/>
          <w:color w:val="000000" w:themeColor="text1"/>
          <w:sz w:val="24"/>
          <w:szCs w:val="24"/>
        </w:rPr>
      </w:pPr>
      <w:r w:rsidRPr="00FE1156">
        <w:rPr>
          <w:rFonts w:ascii="Book Antiqua" w:hAnsi="Book Antiqua"/>
          <w:b/>
          <w:i/>
          <w:color w:val="000000" w:themeColor="text1"/>
          <w:sz w:val="24"/>
          <w:szCs w:val="24"/>
        </w:rPr>
        <w:t>Research objectives</w:t>
      </w:r>
    </w:p>
    <w:p w14:paraId="5FD89062" w14:textId="77777777" w:rsidR="00204DFE" w:rsidRPr="00FE1156" w:rsidRDefault="00204DFE" w:rsidP="00FE1156">
      <w:pPr>
        <w:widowControl/>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The aim of the present study is to reveal novel biomarker of SA. And evaluate the prognostic value of it in SA.</w:t>
      </w:r>
    </w:p>
    <w:p w14:paraId="1227E907" w14:textId="77777777" w:rsidR="00204DFE" w:rsidRPr="00FE1156" w:rsidRDefault="00204DFE" w:rsidP="00FE1156">
      <w:pPr>
        <w:adjustRightInd w:val="0"/>
        <w:snapToGrid w:val="0"/>
        <w:spacing w:line="360" w:lineRule="auto"/>
        <w:rPr>
          <w:rFonts w:ascii="Book Antiqua" w:hAnsi="Book Antiqua"/>
          <w:b/>
          <w:color w:val="000000" w:themeColor="text1"/>
          <w:sz w:val="24"/>
          <w:szCs w:val="24"/>
        </w:rPr>
      </w:pPr>
    </w:p>
    <w:p w14:paraId="20237AD3" w14:textId="77777777" w:rsidR="00204DFE" w:rsidRPr="00FE1156" w:rsidRDefault="00204DFE" w:rsidP="006119F2">
      <w:pPr>
        <w:adjustRightInd w:val="0"/>
        <w:snapToGrid w:val="0"/>
        <w:spacing w:line="360" w:lineRule="auto"/>
        <w:outlineLvl w:val="0"/>
        <w:rPr>
          <w:rFonts w:ascii="Book Antiqua" w:hAnsi="Book Antiqua"/>
          <w:b/>
          <w:i/>
          <w:color w:val="000000" w:themeColor="text1"/>
          <w:sz w:val="24"/>
          <w:szCs w:val="24"/>
        </w:rPr>
      </w:pPr>
      <w:r w:rsidRPr="00FE1156">
        <w:rPr>
          <w:rFonts w:ascii="Book Antiqua" w:hAnsi="Book Antiqua"/>
          <w:b/>
          <w:i/>
          <w:color w:val="000000" w:themeColor="text1"/>
          <w:sz w:val="24"/>
          <w:szCs w:val="24"/>
        </w:rPr>
        <w:t>Research methods</w:t>
      </w:r>
    </w:p>
    <w:p w14:paraId="0C2BBCDC" w14:textId="4C801B66" w:rsidR="00204DFE" w:rsidRPr="00FE1156" w:rsidRDefault="00204DFE" w:rsidP="00FE1156">
      <w:pPr>
        <w:adjustRightInd w:val="0"/>
        <w:snapToGrid w:val="0"/>
        <w:spacing w:line="360" w:lineRule="auto"/>
        <w:rPr>
          <w:rFonts w:ascii="Book Antiqua" w:hAnsi="Book Antiqua"/>
          <w:color w:val="000000" w:themeColor="text1"/>
          <w:sz w:val="24"/>
          <w:szCs w:val="24"/>
        </w:rPr>
      </w:pPr>
      <w:r w:rsidRPr="00FE1156">
        <w:rPr>
          <w:rFonts w:ascii="Book Antiqua" w:hAnsi="Book Antiqua"/>
          <w:color w:val="000000" w:themeColor="text1"/>
          <w:sz w:val="24"/>
          <w:szCs w:val="24"/>
        </w:rPr>
        <w:t xml:space="preserve">The RNA-seq dataset and clinical dataset of SA in </w:t>
      </w:r>
      <w:r w:rsidR="00C15A68" w:rsidRPr="00FE1156">
        <w:rPr>
          <w:rFonts w:ascii="Book Antiqua" w:hAnsi="Book Antiqua" w:cs="Times New Roman"/>
          <w:color w:val="000000" w:themeColor="text1"/>
          <w:sz w:val="24"/>
          <w:szCs w:val="24"/>
        </w:rPr>
        <w:t>The Cancer Genome Atlas (TCGA)</w:t>
      </w:r>
      <w:r w:rsidRPr="00FE1156">
        <w:rPr>
          <w:rFonts w:ascii="Book Antiqua" w:hAnsi="Book Antiqua"/>
          <w:color w:val="000000" w:themeColor="text1"/>
          <w:sz w:val="24"/>
          <w:szCs w:val="24"/>
        </w:rPr>
        <w:t xml:space="preserve"> were involved in this study. The WGCNA was used to identify meaningful module and hug-gene. A 326 patients’ database was used to </w:t>
      </w:r>
      <w:r w:rsidRPr="00FE1156">
        <w:rPr>
          <w:rFonts w:ascii="Book Antiqua" w:hAnsi="Book Antiqua"/>
          <w:color w:val="000000" w:themeColor="text1"/>
          <w:sz w:val="24"/>
          <w:szCs w:val="24"/>
        </w:rPr>
        <w:lastRenderedPageBreak/>
        <w:t xml:space="preserve">evaluate the clinical significance of hub-gene </w:t>
      </w:r>
      <w:r w:rsidRPr="00C15A68">
        <w:rPr>
          <w:rFonts w:ascii="Book Antiqua" w:hAnsi="Book Antiqua"/>
          <w:i/>
          <w:color w:val="000000" w:themeColor="text1"/>
          <w:sz w:val="24"/>
          <w:szCs w:val="24"/>
        </w:rPr>
        <w:t>via</w:t>
      </w:r>
      <w:r w:rsidRPr="00FE1156">
        <w:rPr>
          <w:rFonts w:ascii="Book Antiqua" w:hAnsi="Book Antiqua"/>
          <w:color w:val="000000" w:themeColor="text1"/>
          <w:sz w:val="24"/>
          <w:szCs w:val="24"/>
        </w:rPr>
        <w:t xml:space="preserve"> survival analysis. </w:t>
      </w:r>
    </w:p>
    <w:p w14:paraId="130FEC23" w14:textId="77777777" w:rsidR="00C15A68" w:rsidRDefault="00C15A68" w:rsidP="006119F2">
      <w:pPr>
        <w:adjustRightInd w:val="0"/>
        <w:snapToGrid w:val="0"/>
        <w:spacing w:line="360" w:lineRule="auto"/>
        <w:outlineLvl w:val="0"/>
        <w:rPr>
          <w:rFonts w:ascii="Book Antiqua" w:hAnsi="Book Antiqua"/>
          <w:b/>
          <w:i/>
          <w:color w:val="000000" w:themeColor="text1"/>
          <w:sz w:val="24"/>
          <w:szCs w:val="24"/>
        </w:rPr>
      </w:pPr>
    </w:p>
    <w:p w14:paraId="04F8ECFD" w14:textId="77777777" w:rsidR="00204DFE" w:rsidRPr="00FE1156" w:rsidRDefault="00204DFE" w:rsidP="006119F2">
      <w:pPr>
        <w:adjustRightInd w:val="0"/>
        <w:snapToGrid w:val="0"/>
        <w:spacing w:line="360" w:lineRule="auto"/>
        <w:outlineLvl w:val="0"/>
        <w:rPr>
          <w:rFonts w:ascii="Book Antiqua" w:hAnsi="Book Antiqua"/>
          <w:b/>
          <w:i/>
          <w:color w:val="000000" w:themeColor="text1"/>
          <w:sz w:val="24"/>
          <w:szCs w:val="24"/>
        </w:rPr>
      </w:pPr>
      <w:r w:rsidRPr="00FE1156">
        <w:rPr>
          <w:rFonts w:ascii="Book Antiqua" w:hAnsi="Book Antiqua"/>
          <w:b/>
          <w:i/>
          <w:color w:val="000000" w:themeColor="text1"/>
          <w:sz w:val="24"/>
          <w:szCs w:val="24"/>
        </w:rPr>
        <w:t>Research results</w:t>
      </w:r>
    </w:p>
    <w:p w14:paraId="5CA847B4" w14:textId="63A42D26" w:rsidR="00204DFE" w:rsidRPr="00FE1156" w:rsidRDefault="00204DFE" w:rsidP="00FE1156">
      <w:pPr>
        <w:adjustRightInd w:val="0"/>
        <w:snapToGrid w:val="0"/>
        <w:spacing w:line="360" w:lineRule="auto"/>
        <w:rPr>
          <w:rFonts w:ascii="Book Antiqua" w:hAnsi="Book Antiqua"/>
          <w:color w:val="000000" w:themeColor="text1"/>
          <w:sz w:val="24"/>
          <w:szCs w:val="24"/>
        </w:rPr>
      </w:pPr>
      <w:r w:rsidRPr="00FE1156">
        <w:rPr>
          <w:rFonts w:ascii="Book Antiqua" w:hAnsi="Book Antiqua" w:cs="SimSun"/>
          <w:color w:val="000000" w:themeColor="text1"/>
          <w:sz w:val="24"/>
          <w:szCs w:val="24"/>
        </w:rPr>
        <w:t>623</w:t>
      </w:r>
      <w:r w:rsidRPr="00FE1156">
        <w:rPr>
          <w:rFonts w:ascii="Book Antiqua" w:hAnsi="Book Antiqua"/>
          <w:color w:val="000000" w:themeColor="text1"/>
          <w:sz w:val="24"/>
          <w:szCs w:val="24"/>
        </w:rPr>
        <w:t>1</w:t>
      </w:r>
      <w:r w:rsidR="006119F2">
        <w:rPr>
          <w:rFonts w:ascii="Book Antiqua" w:hAnsi="Book Antiqua"/>
          <w:color w:val="000000" w:themeColor="text1"/>
          <w:sz w:val="24"/>
          <w:szCs w:val="24"/>
        </w:rPr>
        <w:t xml:space="preserve"> </w:t>
      </w:r>
      <w:r w:rsidRPr="00FE1156">
        <w:rPr>
          <w:rFonts w:ascii="Book Antiqua" w:hAnsi="Book Antiqua"/>
          <w:color w:val="000000" w:themeColor="text1"/>
          <w:sz w:val="24"/>
          <w:szCs w:val="24"/>
        </w:rPr>
        <w:t>differentially expressed genes</w:t>
      </w:r>
      <w:r w:rsidRPr="00FE1156">
        <w:rPr>
          <w:rFonts w:ascii="Book Antiqua" w:hAnsi="Book Antiqua" w:cs="SimSun"/>
          <w:color w:val="000000" w:themeColor="text1"/>
          <w:sz w:val="24"/>
          <w:szCs w:val="24"/>
        </w:rPr>
        <w:t xml:space="preserve"> </w:t>
      </w:r>
      <w:r w:rsidR="006119F2">
        <w:rPr>
          <w:rFonts w:ascii="Book Antiqua" w:hAnsi="Book Antiqua" w:cs="SimSun"/>
          <w:color w:val="000000" w:themeColor="text1"/>
          <w:sz w:val="24"/>
          <w:szCs w:val="24"/>
        </w:rPr>
        <w:t xml:space="preserve">(DEGs) </w:t>
      </w:r>
      <w:r w:rsidRPr="00FE1156">
        <w:rPr>
          <w:rFonts w:ascii="Book Antiqua" w:hAnsi="Book Antiqua" w:cs="SimSun"/>
          <w:color w:val="000000" w:themeColor="text1"/>
          <w:sz w:val="24"/>
          <w:szCs w:val="24"/>
        </w:rPr>
        <w:t>were obtained through whole genome expression level screening. 24 gene modules were identified using WGCNA which were observed to be co expressed.</w:t>
      </w:r>
      <w:r w:rsidRPr="00FE1156">
        <w:rPr>
          <w:rFonts w:ascii="Book Antiqua" w:hAnsi="Book Antiqua"/>
          <w:color w:val="000000" w:themeColor="text1"/>
          <w:sz w:val="24"/>
          <w:szCs w:val="24"/>
        </w:rPr>
        <w:t xml:space="preserve"> Pearson’s correlation analysis showed tan-module to be most relevant to stages of tumor. In addition, we detected SNX10 as the hub-gene of tan-module. SNX10 expression was linked to TNM stage and tumor differentiation. Patients with high SNX10 expression trended to have a longer disease-free survival </w:t>
      </w:r>
      <w:r w:rsidR="006119F2">
        <w:rPr>
          <w:rFonts w:ascii="Book Antiqua" w:hAnsi="Book Antiqua"/>
          <w:color w:val="000000" w:themeColor="text1"/>
          <w:sz w:val="24"/>
          <w:szCs w:val="24"/>
        </w:rPr>
        <w:t xml:space="preserve">(DFS) </w:t>
      </w:r>
      <w:r w:rsidRPr="00FE1156">
        <w:rPr>
          <w:rFonts w:ascii="Book Antiqua" w:hAnsi="Book Antiqua"/>
          <w:color w:val="000000" w:themeColor="text1"/>
          <w:sz w:val="24"/>
          <w:szCs w:val="24"/>
        </w:rPr>
        <w:t xml:space="preserve">and overall survival in univariate analysis. Multivariate analysis also showed that dismal prognosis could be precisely predicted clinicopathologically using SNX10. </w:t>
      </w:r>
      <w:r w:rsidRPr="00FE1156">
        <w:rPr>
          <w:rFonts w:ascii="Book Antiqua" w:hAnsi="Book Antiqua" w:cs="Times New Roman"/>
          <w:color w:val="000000" w:themeColor="text1"/>
          <w:sz w:val="24"/>
          <w:szCs w:val="24"/>
        </w:rPr>
        <w:t>However, more experiments are needed to validate the clinical and biological functions of SNX10.</w:t>
      </w:r>
    </w:p>
    <w:p w14:paraId="3ED39B28" w14:textId="77777777" w:rsidR="00204DFE" w:rsidRPr="00FE1156" w:rsidRDefault="00204DFE" w:rsidP="00FE1156">
      <w:pPr>
        <w:adjustRightInd w:val="0"/>
        <w:snapToGrid w:val="0"/>
        <w:spacing w:line="360" w:lineRule="auto"/>
        <w:rPr>
          <w:rFonts w:ascii="Book Antiqua" w:hAnsi="Book Antiqua" w:cs="Segoe UI"/>
          <w:color w:val="000000" w:themeColor="text1"/>
          <w:sz w:val="24"/>
          <w:szCs w:val="24"/>
          <w:shd w:val="clear" w:color="auto" w:fill="FFFFFF"/>
        </w:rPr>
      </w:pPr>
    </w:p>
    <w:p w14:paraId="56F43468" w14:textId="77777777" w:rsidR="00204DFE" w:rsidRPr="00FE1156" w:rsidRDefault="00204DFE" w:rsidP="006119F2">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FE1156">
        <w:rPr>
          <w:rFonts w:ascii="Book Antiqua" w:hAnsi="Book Antiqua"/>
          <w:b/>
          <w:i/>
          <w:color w:val="000000" w:themeColor="text1"/>
          <w:sz w:val="24"/>
          <w:szCs w:val="24"/>
        </w:rPr>
        <w:t>Research conclusions</w:t>
      </w:r>
    </w:p>
    <w:p w14:paraId="718B62AE" w14:textId="6CC0BB4C" w:rsidR="00204DFE" w:rsidRPr="00FE1156" w:rsidRDefault="00204DFE"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t>WGCNA as well as other metho</w:t>
      </w:r>
      <w:r w:rsidR="00C15A68">
        <w:rPr>
          <w:rFonts w:ascii="Book Antiqua" w:hAnsi="Book Antiqua" w:cs="Times New Roman"/>
          <w:color w:val="000000" w:themeColor="text1"/>
          <w:sz w:val="24"/>
          <w:szCs w:val="24"/>
        </w:rPr>
        <w:t>ds were employed to study RNA-</w:t>
      </w:r>
      <w:r w:rsidRPr="00FE1156">
        <w:rPr>
          <w:rFonts w:ascii="Book Antiqua" w:hAnsi="Book Antiqua" w:cs="Times New Roman"/>
          <w:color w:val="000000" w:themeColor="text1"/>
          <w:sz w:val="24"/>
          <w:szCs w:val="24"/>
        </w:rPr>
        <w:t xml:space="preserve">seq and clinical data of SA patients from TCGA. SNX10 was considered as a hub-gene associated with tumor grade and acted as an independent prognostic factor in SA patients’ </w:t>
      </w:r>
      <w:r w:rsidR="006119F2">
        <w:rPr>
          <w:rFonts w:ascii="Book Antiqua" w:hAnsi="Book Antiqua" w:cs="Times New Roman"/>
          <w:color w:val="000000" w:themeColor="text1"/>
          <w:sz w:val="24"/>
          <w:szCs w:val="24"/>
        </w:rPr>
        <w:t xml:space="preserve">DFS </w:t>
      </w:r>
      <w:r w:rsidRPr="00FE1156">
        <w:rPr>
          <w:rFonts w:ascii="Book Antiqua" w:hAnsi="Book Antiqua" w:cs="Times New Roman"/>
          <w:color w:val="000000" w:themeColor="text1"/>
          <w:sz w:val="24"/>
          <w:szCs w:val="24"/>
        </w:rPr>
        <w:t xml:space="preserve">as well as overall survival. It has the potential to become a novel prognostic indicator contributing to personalized therapy. </w:t>
      </w:r>
    </w:p>
    <w:p w14:paraId="0B559271" w14:textId="77777777" w:rsidR="00204DFE" w:rsidRPr="00FE1156" w:rsidRDefault="00204DFE" w:rsidP="00FE1156">
      <w:pPr>
        <w:adjustRightInd w:val="0"/>
        <w:snapToGrid w:val="0"/>
        <w:spacing w:line="360" w:lineRule="auto"/>
        <w:rPr>
          <w:rFonts w:ascii="Book Antiqua" w:hAnsi="Book Antiqua" w:cs="Segoe UI"/>
          <w:color w:val="000000" w:themeColor="text1"/>
          <w:sz w:val="24"/>
          <w:szCs w:val="24"/>
          <w:shd w:val="clear" w:color="auto" w:fill="FFFFFF"/>
        </w:rPr>
      </w:pPr>
    </w:p>
    <w:p w14:paraId="6CDFBBCF" w14:textId="77777777" w:rsidR="00204DFE" w:rsidRPr="00FE1156" w:rsidRDefault="00204DFE" w:rsidP="006119F2">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FE1156">
        <w:rPr>
          <w:rFonts w:ascii="Book Antiqua" w:hAnsi="Book Antiqua" w:cs="Segoe UI"/>
          <w:b/>
          <w:i/>
          <w:color w:val="000000" w:themeColor="text1"/>
          <w:sz w:val="24"/>
          <w:szCs w:val="24"/>
          <w:shd w:val="clear" w:color="auto" w:fill="FFFFFF"/>
        </w:rPr>
        <w:t>Research perspectives</w:t>
      </w:r>
    </w:p>
    <w:p w14:paraId="5E34EE55" w14:textId="77777777" w:rsidR="00204DFE" w:rsidRPr="00FE1156" w:rsidRDefault="00204DFE" w:rsidP="00FE1156">
      <w:pPr>
        <w:adjustRightInd w:val="0"/>
        <w:snapToGrid w:val="0"/>
        <w:spacing w:line="360" w:lineRule="auto"/>
        <w:rPr>
          <w:rFonts w:ascii="Book Antiqua" w:hAnsi="Book Antiqua"/>
          <w:color w:val="000000" w:themeColor="text1"/>
          <w:sz w:val="24"/>
          <w:szCs w:val="24"/>
        </w:rPr>
      </w:pPr>
      <w:r w:rsidRPr="00FE1156">
        <w:rPr>
          <w:rFonts w:ascii="Book Antiqua" w:hAnsi="Book Antiqua" w:cs="Times New Roman"/>
          <w:color w:val="000000" w:themeColor="text1"/>
          <w:sz w:val="24"/>
          <w:szCs w:val="24"/>
        </w:rPr>
        <w:t>Our research team will explore the molecule function by establishing animal models. And we will also explore the mutual regulatory mechanism of SNX10 in future studies through mass spectrometry analysis and co-immunoprecipitation.</w:t>
      </w:r>
      <w:bookmarkStart w:id="59" w:name="_GoBack"/>
      <w:bookmarkEnd w:id="59"/>
    </w:p>
    <w:p w14:paraId="36C4CB2D" w14:textId="77777777" w:rsidR="00CE110A" w:rsidRPr="00FE1156" w:rsidRDefault="00CE110A" w:rsidP="00FE1156">
      <w:pPr>
        <w:adjustRightInd w:val="0"/>
        <w:snapToGrid w:val="0"/>
        <w:spacing w:line="360" w:lineRule="auto"/>
        <w:rPr>
          <w:rFonts w:ascii="Book Antiqua" w:hAnsi="Book Antiqua" w:cs="Times New Roman"/>
          <w:color w:val="000000" w:themeColor="text1"/>
          <w:sz w:val="24"/>
          <w:szCs w:val="24"/>
        </w:rPr>
      </w:pPr>
    </w:p>
    <w:p w14:paraId="1739EB9D" w14:textId="77777777" w:rsidR="00CE110A" w:rsidRPr="00FE1156" w:rsidRDefault="00CE110A" w:rsidP="00FE1156">
      <w:pPr>
        <w:widowControl/>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br w:type="page"/>
      </w:r>
    </w:p>
    <w:p w14:paraId="2410977E" w14:textId="4D36E7A1" w:rsidR="00CE110A" w:rsidRPr="00FE1156" w:rsidRDefault="00CE110A" w:rsidP="00FE1156">
      <w:pPr>
        <w:adjustRightInd w:val="0"/>
        <w:snapToGrid w:val="0"/>
        <w:spacing w:line="360" w:lineRule="auto"/>
        <w:rPr>
          <w:rFonts w:ascii="Book Antiqua" w:hAnsi="Book Antiqua"/>
          <w:b/>
          <w:noProof/>
          <w:color w:val="000000" w:themeColor="text1"/>
          <w:sz w:val="24"/>
          <w:szCs w:val="24"/>
        </w:rPr>
      </w:pPr>
      <w:r w:rsidRPr="00FE1156">
        <w:rPr>
          <w:rFonts w:ascii="Book Antiqua" w:hAnsi="Book Antiqua" w:cs="Times New Roman"/>
          <w:b/>
          <w:color w:val="000000" w:themeColor="text1"/>
          <w:sz w:val="24"/>
          <w:szCs w:val="24"/>
        </w:rPr>
        <w:lastRenderedPageBreak/>
        <w:t>R</w:t>
      </w:r>
      <w:r w:rsidR="003E2EF5" w:rsidRPr="00FE1156">
        <w:rPr>
          <w:rFonts w:ascii="Book Antiqua" w:hAnsi="Book Antiqua" w:cs="Times New Roman"/>
          <w:b/>
          <w:color w:val="000000" w:themeColor="text1"/>
          <w:sz w:val="24"/>
          <w:szCs w:val="24"/>
        </w:rPr>
        <w:t>EFERENCE</w:t>
      </w:r>
      <w:r w:rsidR="001B617D">
        <w:rPr>
          <w:rFonts w:ascii="Book Antiqua" w:hAnsi="Book Antiqua" w:cs="Times New Roman"/>
          <w:b/>
          <w:color w:val="000000" w:themeColor="text1"/>
          <w:sz w:val="24"/>
          <w:szCs w:val="24"/>
        </w:rPr>
        <w:t>S</w:t>
      </w:r>
    </w:p>
    <w:p w14:paraId="7E146710"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1 </w:t>
      </w:r>
      <w:r w:rsidRPr="0097458B">
        <w:rPr>
          <w:rFonts w:ascii="Book Antiqua" w:hAnsi="Book Antiqua" w:cs="Times New Roman"/>
          <w:b/>
          <w:bCs/>
          <w:noProof/>
          <w:color w:val="000000" w:themeColor="text1"/>
          <w:sz w:val="24"/>
          <w:szCs w:val="24"/>
        </w:rPr>
        <w:t>Siegel RL</w:t>
      </w:r>
      <w:r w:rsidRPr="0097458B">
        <w:rPr>
          <w:rFonts w:ascii="Book Antiqua" w:hAnsi="Book Antiqua" w:cs="Times New Roman"/>
          <w:noProof/>
          <w:color w:val="000000" w:themeColor="text1"/>
          <w:sz w:val="24"/>
          <w:szCs w:val="24"/>
        </w:rPr>
        <w:t>, Miller KD, Jemal A. Cancer Statistics, 2017. </w:t>
      </w:r>
      <w:r w:rsidRPr="0097458B">
        <w:rPr>
          <w:rFonts w:ascii="Book Antiqua" w:hAnsi="Book Antiqua" w:cs="Times New Roman"/>
          <w:i/>
          <w:iCs/>
          <w:noProof/>
          <w:color w:val="000000" w:themeColor="text1"/>
          <w:sz w:val="24"/>
          <w:szCs w:val="24"/>
        </w:rPr>
        <w:t>CA Cancer J Clin</w:t>
      </w:r>
      <w:r w:rsidRPr="0097458B">
        <w:rPr>
          <w:rFonts w:ascii="Book Antiqua" w:hAnsi="Book Antiqua" w:cs="Times New Roman"/>
          <w:noProof/>
          <w:color w:val="000000" w:themeColor="text1"/>
          <w:sz w:val="24"/>
          <w:szCs w:val="24"/>
        </w:rPr>
        <w:t> 2017; </w:t>
      </w:r>
      <w:r w:rsidRPr="0097458B">
        <w:rPr>
          <w:rFonts w:ascii="Book Antiqua" w:hAnsi="Book Antiqua" w:cs="Times New Roman"/>
          <w:b/>
          <w:bCs/>
          <w:noProof/>
          <w:color w:val="000000" w:themeColor="text1"/>
          <w:sz w:val="24"/>
          <w:szCs w:val="24"/>
        </w:rPr>
        <w:t>67</w:t>
      </w:r>
      <w:r w:rsidRPr="0097458B">
        <w:rPr>
          <w:rFonts w:ascii="Book Antiqua" w:hAnsi="Book Antiqua" w:cs="Times New Roman"/>
          <w:noProof/>
          <w:color w:val="000000" w:themeColor="text1"/>
          <w:sz w:val="24"/>
          <w:szCs w:val="24"/>
        </w:rPr>
        <w:t>: 7-30 [PMID: 28055103 DOI: 10.3322/caac.21387]</w:t>
      </w:r>
    </w:p>
    <w:p w14:paraId="6FC2D270"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2 </w:t>
      </w:r>
      <w:r w:rsidRPr="0097458B">
        <w:rPr>
          <w:rFonts w:ascii="Book Antiqua" w:hAnsi="Book Antiqua" w:cs="Times New Roman"/>
          <w:b/>
          <w:bCs/>
          <w:noProof/>
          <w:color w:val="000000" w:themeColor="text1"/>
          <w:sz w:val="24"/>
          <w:szCs w:val="24"/>
        </w:rPr>
        <w:t>Wang SM</w:t>
      </w:r>
      <w:r w:rsidRPr="0097458B">
        <w:rPr>
          <w:rFonts w:ascii="Book Antiqua" w:hAnsi="Book Antiqua" w:cs="Times New Roman"/>
          <w:noProof/>
          <w:color w:val="000000" w:themeColor="text1"/>
          <w:sz w:val="24"/>
          <w:szCs w:val="24"/>
        </w:rPr>
        <w:t>, Tie J, Wang WL, Hu SJ, Yin JP, Yi XF, Tian ZH, Zhang XY, Li MB, Li ZS, Nie YZ, Wu KC, Fan DM. POU2F2-oriented network promotes human gastric cancer metastasis. </w:t>
      </w:r>
      <w:r w:rsidRPr="0097458B">
        <w:rPr>
          <w:rFonts w:ascii="Book Antiqua" w:hAnsi="Book Antiqua" w:cs="Times New Roman"/>
          <w:i/>
          <w:iCs/>
          <w:noProof/>
          <w:color w:val="000000" w:themeColor="text1"/>
          <w:sz w:val="24"/>
          <w:szCs w:val="24"/>
        </w:rPr>
        <w:t>Gut</w:t>
      </w:r>
      <w:r w:rsidRPr="0097458B">
        <w:rPr>
          <w:rFonts w:ascii="Book Antiqua" w:hAnsi="Book Antiqua" w:cs="Times New Roman"/>
          <w:noProof/>
          <w:color w:val="000000" w:themeColor="text1"/>
          <w:sz w:val="24"/>
          <w:szCs w:val="24"/>
        </w:rPr>
        <w:t> 2016; </w:t>
      </w:r>
      <w:r w:rsidRPr="0097458B">
        <w:rPr>
          <w:rFonts w:ascii="Book Antiqua" w:hAnsi="Book Antiqua" w:cs="Times New Roman"/>
          <w:b/>
          <w:bCs/>
          <w:noProof/>
          <w:color w:val="000000" w:themeColor="text1"/>
          <w:sz w:val="24"/>
          <w:szCs w:val="24"/>
        </w:rPr>
        <w:t>65</w:t>
      </w:r>
      <w:r w:rsidRPr="0097458B">
        <w:rPr>
          <w:rFonts w:ascii="Book Antiqua" w:hAnsi="Book Antiqua" w:cs="Times New Roman"/>
          <w:noProof/>
          <w:color w:val="000000" w:themeColor="text1"/>
          <w:sz w:val="24"/>
          <w:szCs w:val="24"/>
        </w:rPr>
        <w:t>: 1427-1438 [PMID: 26019213 DOI: 10.1136/gutjnl-2014-308932]</w:t>
      </w:r>
    </w:p>
    <w:p w14:paraId="200FF5D2"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3 </w:t>
      </w:r>
      <w:r w:rsidRPr="0097458B">
        <w:rPr>
          <w:rFonts w:ascii="Book Antiqua" w:hAnsi="Book Antiqua" w:cs="Times New Roman"/>
          <w:b/>
          <w:bCs/>
          <w:noProof/>
          <w:color w:val="000000" w:themeColor="text1"/>
          <w:sz w:val="24"/>
          <w:szCs w:val="24"/>
        </w:rPr>
        <w:t>Lordick F</w:t>
      </w:r>
      <w:r w:rsidRPr="0097458B">
        <w:rPr>
          <w:rFonts w:ascii="Book Antiqua" w:hAnsi="Book Antiqua" w:cs="Times New Roman"/>
          <w:noProof/>
          <w:color w:val="000000" w:themeColor="text1"/>
          <w:sz w:val="24"/>
          <w:szCs w:val="24"/>
        </w:rPr>
        <w:t>, Shitara K, Janjigian YY. New agents on the horizon in gastric cancer. </w:t>
      </w:r>
      <w:r w:rsidRPr="0097458B">
        <w:rPr>
          <w:rFonts w:ascii="Book Antiqua" w:hAnsi="Book Antiqua" w:cs="Times New Roman"/>
          <w:i/>
          <w:iCs/>
          <w:noProof/>
          <w:color w:val="000000" w:themeColor="text1"/>
          <w:sz w:val="24"/>
          <w:szCs w:val="24"/>
        </w:rPr>
        <w:t>Ann Oncol</w:t>
      </w:r>
      <w:r w:rsidRPr="0097458B">
        <w:rPr>
          <w:rFonts w:ascii="Book Antiqua" w:hAnsi="Book Antiqua" w:cs="Times New Roman"/>
          <w:noProof/>
          <w:color w:val="000000" w:themeColor="text1"/>
          <w:sz w:val="24"/>
          <w:szCs w:val="24"/>
        </w:rPr>
        <w:t> 2017; </w:t>
      </w:r>
      <w:r w:rsidRPr="0097458B">
        <w:rPr>
          <w:rFonts w:ascii="Book Antiqua" w:hAnsi="Book Antiqua" w:cs="Times New Roman"/>
          <w:b/>
          <w:bCs/>
          <w:noProof/>
          <w:color w:val="000000" w:themeColor="text1"/>
          <w:sz w:val="24"/>
          <w:szCs w:val="24"/>
        </w:rPr>
        <w:t>28</w:t>
      </w:r>
      <w:r w:rsidRPr="0097458B">
        <w:rPr>
          <w:rFonts w:ascii="Book Antiqua" w:hAnsi="Book Antiqua" w:cs="Times New Roman"/>
          <w:noProof/>
          <w:color w:val="000000" w:themeColor="text1"/>
          <w:sz w:val="24"/>
          <w:szCs w:val="24"/>
        </w:rPr>
        <w:t>: 1767-1775 [PMID: 28184417 DOI: 10.1093/annonc/mdx051]</w:t>
      </w:r>
    </w:p>
    <w:p w14:paraId="1F5638C1"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4 </w:t>
      </w:r>
      <w:r w:rsidRPr="0097458B">
        <w:rPr>
          <w:rFonts w:ascii="Book Antiqua" w:hAnsi="Book Antiqua" w:cs="Times New Roman"/>
          <w:b/>
          <w:bCs/>
          <w:noProof/>
          <w:color w:val="000000" w:themeColor="text1"/>
          <w:sz w:val="24"/>
          <w:szCs w:val="24"/>
        </w:rPr>
        <w:t>Corso S</w:t>
      </w:r>
      <w:r w:rsidRPr="0097458B">
        <w:rPr>
          <w:rFonts w:ascii="Book Antiqua" w:hAnsi="Book Antiqua" w:cs="Times New Roman"/>
          <w:noProof/>
          <w:color w:val="000000" w:themeColor="text1"/>
          <w:sz w:val="24"/>
          <w:szCs w:val="24"/>
        </w:rPr>
        <w:t>, Giordano S. How Can Gastric Cancer Molecular Profiling Guide Future Therapies? </w:t>
      </w:r>
      <w:r w:rsidRPr="0097458B">
        <w:rPr>
          <w:rFonts w:ascii="Book Antiqua" w:hAnsi="Book Antiqua" w:cs="Times New Roman"/>
          <w:i/>
          <w:iCs/>
          <w:noProof/>
          <w:color w:val="000000" w:themeColor="text1"/>
          <w:sz w:val="24"/>
          <w:szCs w:val="24"/>
        </w:rPr>
        <w:t>Trends Mol Med</w:t>
      </w:r>
      <w:r w:rsidRPr="0097458B">
        <w:rPr>
          <w:rFonts w:ascii="Book Antiqua" w:hAnsi="Book Antiqua" w:cs="Times New Roman"/>
          <w:noProof/>
          <w:color w:val="000000" w:themeColor="text1"/>
          <w:sz w:val="24"/>
          <w:szCs w:val="24"/>
        </w:rPr>
        <w:t> 2016; </w:t>
      </w:r>
      <w:r w:rsidRPr="0097458B">
        <w:rPr>
          <w:rFonts w:ascii="Book Antiqua" w:hAnsi="Book Antiqua" w:cs="Times New Roman"/>
          <w:b/>
          <w:bCs/>
          <w:noProof/>
          <w:color w:val="000000" w:themeColor="text1"/>
          <w:sz w:val="24"/>
          <w:szCs w:val="24"/>
        </w:rPr>
        <w:t>22</w:t>
      </w:r>
      <w:r w:rsidRPr="0097458B">
        <w:rPr>
          <w:rFonts w:ascii="Book Antiqua" w:hAnsi="Book Antiqua" w:cs="Times New Roman"/>
          <w:noProof/>
          <w:color w:val="000000" w:themeColor="text1"/>
          <w:sz w:val="24"/>
          <w:szCs w:val="24"/>
        </w:rPr>
        <w:t>: 534-544 [PMID: 27260398 DOI: 10.1016/j.molmed.2016.05.004]</w:t>
      </w:r>
    </w:p>
    <w:p w14:paraId="49CC182F"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5 </w:t>
      </w:r>
      <w:r w:rsidRPr="0097458B">
        <w:rPr>
          <w:rFonts w:ascii="Book Antiqua" w:hAnsi="Book Antiqua" w:cs="Times New Roman"/>
          <w:b/>
          <w:bCs/>
          <w:noProof/>
          <w:color w:val="000000" w:themeColor="text1"/>
          <w:sz w:val="24"/>
          <w:szCs w:val="24"/>
        </w:rPr>
        <w:t>Zhang J</w:t>
      </w:r>
      <w:r w:rsidRPr="0097458B">
        <w:rPr>
          <w:rFonts w:ascii="Book Antiqua" w:hAnsi="Book Antiqua" w:cs="Times New Roman"/>
          <w:noProof/>
          <w:color w:val="000000" w:themeColor="text1"/>
          <w:sz w:val="24"/>
          <w:szCs w:val="24"/>
        </w:rPr>
        <w:t>, Wu Y, Lin YH, Guo S, Ning PF, Zheng ZC, Wang Y, Zhao Y. Prognostic value of hypoxia-inducible factor-1 alpha and prolyl 4-hydroxylase beta polypeptide overexpression in gastric cancer. </w:t>
      </w:r>
      <w:r w:rsidRPr="0097458B">
        <w:rPr>
          <w:rFonts w:ascii="Book Antiqua" w:hAnsi="Book Antiqua" w:cs="Times New Roman"/>
          <w:i/>
          <w:iCs/>
          <w:noProof/>
          <w:color w:val="000000" w:themeColor="text1"/>
          <w:sz w:val="24"/>
          <w:szCs w:val="24"/>
        </w:rPr>
        <w:t>World J Gastroenterol</w:t>
      </w:r>
      <w:r w:rsidRPr="0097458B">
        <w:rPr>
          <w:rFonts w:ascii="Book Antiqua" w:hAnsi="Book Antiqua" w:cs="Times New Roman"/>
          <w:noProof/>
          <w:color w:val="000000" w:themeColor="text1"/>
          <w:sz w:val="24"/>
          <w:szCs w:val="24"/>
        </w:rPr>
        <w:t> 2018; </w:t>
      </w:r>
      <w:r w:rsidRPr="0097458B">
        <w:rPr>
          <w:rFonts w:ascii="Book Antiqua" w:hAnsi="Book Antiqua" w:cs="Times New Roman"/>
          <w:b/>
          <w:bCs/>
          <w:noProof/>
          <w:color w:val="000000" w:themeColor="text1"/>
          <w:sz w:val="24"/>
          <w:szCs w:val="24"/>
        </w:rPr>
        <w:t>24</w:t>
      </w:r>
      <w:r w:rsidRPr="0097458B">
        <w:rPr>
          <w:rFonts w:ascii="Book Antiqua" w:hAnsi="Book Antiqua" w:cs="Times New Roman"/>
          <w:noProof/>
          <w:color w:val="000000" w:themeColor="text1"/>
          <w:sz w:val="24"/>
          <w:szCs w:val="24"/>
        </w:rPr>
        <w:t>: 2381-2391 [PMID: 29904245 DOI: 10.3748/wjg.v24.i22.2381]</w:t>
      </w:r>
    </w:p>
    <w:p w14:paraId="35C89546"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6 </w:t>
      </w:r>
      <w:r w:rsidRPr="0097458B">
        <w:rPr>
          <w:rFonts w:ascii="Book Antiqua" w:hAnsi="Book Antiqua" w:cs="Times New Roman"/>
          <w:b/>
          <w:bCs/>
          <w:noProof/>
          <w:color w:val="000000" w:themeColor="text1"/>
          <w:sz w:val="24"/>
          <w:szCs w:val="24"/>
        </w:rPr>
        <w:t>Fuse N</w:t>
      </w:r>
      <w:r w:rsidRPr="0097458B">
        <w:rPr>
          <w:rFonts w:ascii="Book Antiqua" w:hAnsi="Book Antiqua" w:cs="Times New Roman"/>
          <w:noProof/>
          <w:color w:val="000000" w:themeColor="text1"/>
          <w:sz w:val="24"/>
          <w:szCs w:val="24"/>
        </w:rPr>
        <w:t>, Kuboki Y, Kuwata T, Nishina T, Kadowaki S, Shinozaki E, Machida N, Yuki S, Ooki A, Kajiura S, Kimura T, Yamanaka T, Shitara K, Nagatsuma AK, Yoshino T, Ochiai A, Ohtsu A. Prognostic impact of HER2, EGFR, and c-MET status on overall survival of advanced gastric cancer patients. </w:t>
      </w:r>
      <w:r w:rsidRPr="0097458B">
        <w:rPr>
          <w:rFonts w:ascii="Book Antiqua" w:hAnsi="Book Antiqua" w:cs="Times New Roman"/>
          <w:i/>
          <w:iCs/>
          <w:noProof/>
          <w:color w:val="000000" w:themeColor="text1"/>
          <w:sz w:val="24"/>
          <w:szCs w:val="24"/>
        </w:rPr>
        <w:t>Gastric Cancer</w:t>
      </w:r>
      <w:r w:rsidRPr="0097458B">
        <w:rPr>
          <w:rFonts w:ascii="Book Antiqua" w:hAnsi="Book Antiqua" w:cs="Times New Roman"/>
          <w:noProof/>
          <w:color w:val="000000" w:themeColor="text1"/>
          <w:sz w:val="24"/>
          <w:szCs w:val="24"/>
        </w:rPr>
        <w:t> 2016; </w:t>
      </w:r>
      <w:r w:rsidRPr="0097458B">
        <w:rPr>
          <w:rFonts w:ascii="Book Antiqua" w:hAnsi="Book Antiqua" w:cs="Times New Roman"/>
          <w:b/>
          <w:bCs/>
          <w:noProof/>
          <w:color w:val="000000" w:themeColor="text1"/>
          <w:sz w:val="24"/>
          <w:szCs w:val="24"/>
        </w:rPr>
        <w:t>19</w:t>
      </w:r>
      <w:r w:rsidRPr="0097458B">
        <w:rPr>
          <w:rFonts w:ascii="Book Antiqua" w:hAnsi="Book Antiqua" w:cs="Times New Roman"/>
          <w:noProof/>
          <w:color w:val="000000" w:themeColor="text1"/>
          <w:sz w:val="24"/>
          <w:szCs w:val="24"/>
        </w:rPr>
        <w:t>: 183-191 [PMID: 25682441 DOI: 10.1007/s10120-015-0471-6]</w:t>
      </w:r>
    </w:p>
    <w:p w14:paraId="6B135BDE"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7 </w:t>
      </w:r>
      <w:r w:rsidRPr="0097458B">
        <w:rPr>
          <w:rFonts w:ascii="Book Antiqua" w:hAnsi="Book Antiqua" w:cs="Times New Roman"/>
          <w:b/>
          <w:bCs/>
          <w:noProof/>
          <w:color w:val="000000" w:themeColor="text1"/>
          <w:sz w:val="24"/>
          <w:szCs w:val="24"/>
        </w:rPr>
        <w:t>Thompson ED</w:t>
      </w:r>
      <w:r w:rsidRPr="0097458B">
        <w:rPr>
          <w:rFonts w:ascii="Book Antiqua" w:hAnsi="Book Antiqua" w:cs="Times New Roman"/>
          <w:noProof/>
          <w:color w:val="000000" w:themeColor="text1"/>
          <w:sz w:val="24"/>
          <w:szCs w:val="24"/>
        </w:rPr>
        <w:t>, Zahurak M, Murphy A, Cornish T, Cuka N, Abdelfatah E, Yang S, Duncan M, Ahuja N, Taube JM, Anders RA, Kelly RJ. Patterns of PD-L1 expression and CD8 T cell infiltration in gastric adenocarcinomas and associated immune stroma. </w:t>
      </w:r>
      <w:r w:rsidRPr="0097458B">
        <w:rPr>
          <w:rFonts w:ascii="Book Antiqua" w:hAnsi="Book Antiqua" w:cs="Times New Roman"/>
          <w:i/>
          <w:iCs/>
          <w:noProof/>
          <w:color w:val="000000" w:themeColor="text1"/>
          <w:sz w:val="24"/>
          <w:szCs w:val="24"/>
        </w:rPr>
        <w:t>Gut</w:t>
      </w:r>
      <w:r w:rsidRPr="0097458B">
        <w:rPr>
          <w:rFonts w:ascii="Book Antiqua" w:hAnsi="Book Antiqua" w:cs="Times New Roman"/>
          <w:noProof/>
          <w:color w:val="000000" w:themeColor="text1"/>
          <w:sz w:val="24"/>
          <w:szCs w:val="24"/>
        </w:rPr>
        <w:t> 2017; </w:t>
      </w:r>
      <w:r w:rsidRPr="0097458B">
        <w:rPr>
          <w:rFonts w:ascii="Book Antiqua" w:hAnsi="Book Antiqua" w:cs="Times New Roman"/>
          <w:b/>
          <w:bCs/>
          <w:noProof/>
          <w:color w:val="000000" w:themeColor="text1"/>
          <w:sz w:val="24"/>
          <w:szCs w:val="24"/>
        </w:rPr>
        <w:t>66</w:t>
      </w:r>
      <w:r w:rsidRPr="0097458B">
        <w:rPr>
          <w:rFonts w:ascii="Book Antiqua" w:hAnsi="Book Antiqua" w:cs="Times New Roman"/>
          <w:noProof/>
          <w:color w:val="000000" w:themeColor="text1"/>
          <w:sz w:val="24"/>
          <w:szCs w:val="24"/>
        </w:rPr>
        <w:t>: 794-801 [PMID: 26801886 DOI: 10.1136/gutjnl-2015-310839]</w:t>
      </w:r>
    </w:p>
    <w:p w14:paraId="60B851C0"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8 </w:t>
      </w:r>
      <w:r w:rsidRPr="0097458B">
        <w:rPr>
          <w:rFonts w:ascii="Book Antiqua" w:hAnsi="Book Antiqua" w:cs="Times New Roman"/>
          <w:b/>
          <w:bCs/>
          <w:noProof/>
          <w:color w:val="000000" w:themeColor="text1"/>
          <w:sz w:val="24"/>
          <w:szCs w:val="24"/>
        </w:rPr>
        <w:t>Vincent AT</w:t>
      </w:r>
      <w:r w:rsidRPr="0097458B">
        <w:rPr>
          <w:rFonts w:ascii="Book Antiqua" w:hAnsi="Book Antiqua" w:cs="Times New Roman"/>
          <w:noProof/>
          <w:color w:val="000000" w:themeColor="text1"/>
          <w:sz w:val="24"/>
          <w:szCs w:val="24"/>
        </w:rPr>
        <w:t xml:space="preserve">, Derome N, Boyle B, Culley AI, Charette SJ. Next-generation sequencing (NGS) in the microbiological world: How to make the most of </w:t>
      </w:r>
      <w:r w:rsidRPr="0097458B">
        <w:rPr>
          <w:rFonts w:ascii="Book Antiqua" w:hAnsi="Book Antiqua" w:cs="Times New Roman"/>
          <w:noProof/>
          <w:color w:val="000000" w:themeColor="text1"/>
          <w:sz w:val="24"/>
          <w:szCs w:val="24"/>
        </w:rPr>
        <w:lastRenderedPageBreak/>
        <w:t>your money. </w:t>
      </w:r>
      <w:r w:rsidRPr="0097458B">
        <w:rPr>
          <w:rFonts w:ascii="Book Antiqua" w:hAnsi="Book Antiqua" w:cs="Times New Roman"/>
          <w:i/>
          <w:iCs/>
          <w:noProof/>
          <w:color w:val="000000" w:themeColor="text1"/>
          <w:sz w:val="24"/>
          <w:szCs w:val="24"/>
        </w:rPr>
        <w:t>J Microbiol Methods</w:t>
      </w:r>
      <w:r w:rsidRPr="0097458B">
        <w:rPr>
          <w:rFonts w:ascii="Book Antiqua" w:hAnsi="Book Antiqua" w:cs="Times New Roman"/>
          <w:noProof/>
          <w:color w:val="000000" w:themeColor="text1"/>
          <w:sz w:val="24"/>
          <w:szCs w:val="24"/>
        </w:rPr>
        <w:t> 2017; </w:t>
      </w:r>
      <w:r w:rsidRPr="0097458B">
        <w:rPr>
          <w:rFonts w:ascii="Book Antiqua" w:hAnsi="Book Antiqua" w:cs="Times New Roman"/>
          <w:b/>
          <w:bCs/>
          <w:noProof/>
          <w:color w:val="000000" w:themeColor="text1"/>
          <w:sz w:val="24"/>
          <w:szCs w:val="24"/>
        </w:rPr>
        <w:t>138</w:t>
      </w:r>
      <w:r w:rsidRPr="0097458B">
        <w:rPr>
          <w:rFonts w:ascii="Book Antiqua" w:hAnsi="Book Antiqua" w:cs="Times New Roman"/>
          <w:noProof/>
          <w:color w:val="000000" w:themeColor="text1"/>
          <w:sz w:val="24"/>
          <w:szCs w:val="24"/>
        </w:rPr>
        <w:t>: 60-71 [PMID: 26995332 DOI: 10.1016/j.mimet.2016.02.016]</w:t>
      </w:r>
    </w:p>
    <w:p w14:paraId="1A252791"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9 </w:t>
      </w:r>
      <w:r w:rsidRPr="0097458B">
        <w:rPr>
          <w:rFonts w:ascii="Book Antiqua" w:hAnsi="Book Antiqua" w:cs="Times New Roman"/>
          <w:b/>
          <w:bCs/>
          <w:noProof/>
          <w:color w:val="000000" w:themeColor="text1"/>
          <w:sz w:val="24"/>
          <w:szCs w:val="24"/>
        </w:rPr>
        <w:t>Liu J</w:t>
      </w:r>
      <w:r w:rsidRPr="0097458B">
        <w:rPr>
          <w:rFonts w:ascii="Book Antiqua" w:hAnsi="Book Antiqua" w:cs="Times New Roman"/>
          <w:noProof/>
          <w:color w:val="000000" w:themeColor="text1"/>
          <w:sz w:val="24"/>
          <w:szCs w:val="24"/>
        </w:rPr>
        <w:t>, Lichtenberg T, Hoadley KA, Poisson LM, Lazar AJ, Cherniack AD, Kovatich AJ, Benz CC, Levine DA, Lee AV, Omberg L, Wolf DM, Shriver CD, Thorsson V; Cancer Genome Atlas Research Network, Hu H. An Integrated TCGA Pan-Cancer Clinical Data Resource to Drive High-Quality Survival Outcome Analytics. </w:t>
      </w:r>
      <w:r w:rsidRPr="0097458B">
        <w:rPr>
          <w:rFonts w:ascii="Book Antiqua" w:hAnsi="Book Antiqua" w:cs="Times New Roman"/>
          <w:i/>
          <w:iCs/>
          <w:noProof/>
          <w:color w:val="000000" w:themeColor="text1"/>
          <w:sz w:val="24"/>
          <w:szCs w:val="24"/>
        </w:rPr>
        <w:t>Cell</w:t>
      </w:r>
      <w:r w:rsidRPr="0097458B">
        <w:rPr>
          <w:rFonts w:ascii="Book Antiqua" w:hAnsi="Book Antiqua" w:cs="Times New Roman"/>
          <w:noProof/>
          <w:color w:val="000000" w:themeColor="text1"/>
          <w:sz w:val="24"/>
          <w:szCs w:val="24"/>
        </w:rPr>
        <w:t> 2018; </w:t>
      </w:r>
      <w:r w:rsidRPr="0097458B">
        <w:rPr>
          <w:rFonts w:ascii="Book Antiqua" w:hAnsi="Book Antiqua" w:cs="Times New Roman"/>
          <w:b/>
          <w:bCs/>
          <w:noProof/>
          <w:color w:val="000000" w:themeColor="text1"/>
          <w:sz w:val="24"/>
          <w:szCs w:val="24"/>
        </w:rPr>
        <w:t>173</w:t>
      </w:r>
      <w:r w:rsidRPr="0097458B">
        <w:rPr>
          <w:rFonts w:ascii="Book Antiqua" w:hAnsi="Book Antiqua" w:cs="Times New Roman"/>
          <w:noProof/>
          <w:color w:val="000000" w:themeColor="text1"/>
          <w:sz w:val="24"/>
          <w:szCs w:val="24"/>
        </w:rPr>
        <w:t>: 400-416.e11 [PMID: 29625055 DOI: 10.1016/j.cell.2018.02.052]</w:t>
      </w:r>
    </w:p>
    <w:p w14:paraId="1E6B9FF9"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10 </w:t>
      </w:r>
      <w:r w:rsidRPr="0097458B">
        <w:rPr>
          <w:rFonts w:ascii="Book Antiqua" w:hAnsi="Book Antiqua" w:cs="Times New Roman"/>
          <w:b/>
          <w:bCs/>
          <w:noProof/>
          <w:color w:val="000000" w:themeColor="text1"/>
          <w:sz w:val="24"/>
          <w:szCs w:val="24"/>
        </w:rPr>
        <w:t>Langfelder P</w:t>
      </w:r>
      <w:r w:rsidRPr="0097458B">
        <w:rPr>
          <w:rFonts w:ascii="Book Antiqua" w:hAnsi="Book Antiqua" w:cs="Times New Roman"/>
          <w:noProof/>
          <w:color w:val="000000" w:themeColor="text1"/>
          <w:sz w:val="24"/>
          <w:szCs w:val="24"/>
        </w:rPr>
        <w:t>, Horvath S. WGCNA: an R package for weighted correlation network analysis. </w:t>
      </w:r>
      <w:r w:rsidRPr="0097458B">
        <w:rPr>
          <w:rFonts w:ascii="Book Antiqua" w:hAnsi="Book Antiqua" w:cs="Times New Roman"/>
          <w:i/>
          <w:iCs/>
          <w:noProof/>
          <w:color w:val="000000" w:themeColor="text1"/>
          <w:sz w:val="24"/>
          <w:szCs w:val="24"/>
        </w:rPr>
        <w:t>BMC Bioinformatics</w:t>
      </w:r>
      <w:r w:rsidRPr="0097458B">
        <w:rPr>
          <w:rFonts w:ascii="Book Antiqua" w:hAnsi="Book Antiqua" w:cs="Times New Roman"/>
          <w:noProof/>
          <w:color w:val="000000" w:themeColor="text1"/>
          <w:sz w:val="24"/>
          <w:szCs w:val="24"/>
        </w:rPr>
        <w:t> 2008; </w:t>
      </w:r>
      <w:r w:rsidRPr="0097458B">
        <w:rPr>
          <w:rFonts w:ascii="Book Antiqua" w:hAnsi="Book Antiqua" w:cs="Times New Roman"/>
          <w:b/>
          <w:bCs/>
          <w:noProof/>
          <w:color w:val="000000" w:themeColor="text1"/>
          <w:sz w:val="24"/>
          <w:szCs w:val="24"/>
        </w:rPr>
        <w:t>9</w:t>
      </w:r>
      <w:r w:rsidRPr="0097458B">
        <w:rPr>
          <w:rFonts w:ascii="Book Antiqua" w:hAnsi="Book Antiqua" w:cs="Times New Roman"/>
          <w:noProof/>
          <w:color w:val="000000" w:themeColor="text1"/>
          <w:sz w:val="24"/>
          <w:szCs w:val="24"/>
        </w:rPr>
        <w:t>: 559 [PMID: 19114008 DOI: 10.1186/1471-2105-9-559]</w:t>
      </w:r>
    </w:p>
    <w:p w14:paraId="21E4D313"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11 </w:t>
      </w:r>
      <w:r w:rsidRPr="0097458B">
        <w:rPr>
          <w:rFonts w:ascii="Book Antiqua" w:hAnsi="Book Antiqua" w:cs="Times New Roman"/>
          <w:b/>
          <w:bCs/>
          <w:noProof/>
          <w:color w:val="000000" w:themeColor="text1"/>
          <w:sz w:val="24"/>
          <w:szCs w:val="24"/>
        </w:rPr>
        <w:t>Botía JA</w:t>
      </w:r>
      <w:r w:rsidRPr="0097458B">
        <w:rPr>
          <w:rFonts w:ascii="Book Antiqua" w:hAnsi="Book Antiqua" w:cs="Times New Roman"/>
          <w:noProof/>
          <w:color w:val="000000" w:themeColor="text1"/>
          <w:sz w:val="24"/>
          <w:szCs w:val="24"/>
        </w:rPr>
        <w:t>, Vandrovcova J, Forabosco P, Guelfi S, D'Sa K; United Kingdom Brain Expression Consortium, Hardy J, Lewis CM, Ryten M, Weale ME. An additional k-means clustering step improves the biological features of WGCNA gene co-expression networks. </w:t>
      </w:r>
      <w:r w:rsidRPr="0097458B">
        <w:rPr>
          <w:rFonts w:ascii="Book Antiqua" w:hAnsi="Book Antiqua" w:cs="Times New Roman"/>
          <w:i/>
          <w:iCs/>
          <w:noProof/>
          <w:color w:val="000000" w:themeColor="text1"/>
          <w:sz w:val="24"/>
          <w:szCs w:val="24"/>
        </w:rPr>
        <w:t>BMC Syst Biol</w:t>
      </w:r>
      <w:r w:rsidRPr="0097458B">
        <w:rPr>
          <w:rFonts w:ascii="Book Antiqua" w:hAnsi="Book Antiqua" w:cs="Times New Roman"/>
          <w:noProof/>
          <w:color w:val="000000" w:themeColor="text1"/>
          <w:sz w:val="24"/>
          <w:szCs w:val="24"/>
        </w:rPr>
        <w:t> 2017; </w:t>
      </w:r>
      <w:r w:rsidRPr="0097458B">
        <w:rPr>
          <w:rFonts w:ascii="Book Antiqua" w:hAnsi="Book Antiqua" w:cs="Times New Roman"/>
          <w:b/>
          <w:bCs/>
          <w:noProof/>
          <w:color w:val="000000" w:themeColor="text1"/>
          <w:sz w:val="24"/>
          <w:szCs w:val="24"/>
        </w:rPr>
        <w:t>11</w:t>
      </w:r>
      <w:r w:rsidRPr="0097458B">
        <w:rPr>
          <w:rFonts w:ascii="Book Antiqua" w:hAnsi="Book Antiqua" w:cs="Times New Roman"/>
          <w:noProof/>
          <w:color w:val="000000" w:themeColor="text1"/>
          <w:sz w:val="24"/>
          <w:szCs w:val="24"/>
        </w:rPr>
        <w:t>: 47 [PMID: 28403906 DOI: 10.1186/s12918-017-0420-6]</w:t>
      </w:r>
    </w:p>
    <w:p w14:paraId="62823B8B"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12 </w:t>
      </w:r>
      <w:r w:rsidRPr="0097458B">
        <w:rPr>
          <w:rFonts w:ascii="Book Antiqua" w:hAnsi="Book Antiqua" w:cs="Times New Roman"/>
          <w:b/>
          <w:bCs/>
          <w:noProof/>
          <w:color w:val="000000" w:themeColor="text1"/>
          <w:sz w:val="24"/>
          <w:szCs w:val="24"/>
        </w:rPr>
        <w:t>Pei G</w:t>
      </w:r>
      <w:r w:rsidRPr="0097458B">
        <w:rPr>
          <w:rFonts w:ascii="Book Antiqua" w:hAnsi="Book Antiqua" w:cs="Times New Roman"/>
          <w:noProof/>
          <w:color w:val="000000" w:themeColor="text1"/>
          <w:sz w:val="24"/>
          <w:szCs w:val="24"/>
        </w:rPr>
        <w:t>, Chen L, Zhang W. WGCNA Application to Proteomic and Metabolomic Data Analysis. </w:t>
      </w:r>
      <w:r w:rsidRPr="0097458B">
        <w:rPr>
          <w:rFonts w:ascii="Book Antiqua" w:hAnsi="Book Antiqua" w:cs="Times New Roman"/>
          <w:i/>
          <w:iCs/>
          <w:noProof/>
          <w:color w:val="000000" w:themeColor="text1"/>
          <w:sz w:val="24"/>
          <w:szCs w:val="24"/>
        </w:rPr>
        <w:t>Methods Enzymol</w:t>
      </w:r>
      <w:r w:rsidRPr="0097458B">
        <w:rPr>
          <w:rFonts w:ascii="Book Antiqua" w:hAnsi="Book Antiqua" w:cs="Times New Roman"/>
          <w:noProof/>
          <w:color w:val="000000" w:themeColor="text1"/>
          <w:sz w:val="24"/>
          <w:szCs w:val="24"/>
        </w:rPr>
        <w:t> 2017; </w:t>
      </w:r>
      <w:r w:rsidRPr="0097458B">
        <w:rPr>
          <w:rFonts w:ascii="Book Antiqua" w:hAnsi="Book Antiqua" w:cs="Times New Roman"/>
          <w:b/>
          <w:bCs/>
          <w:noProof/>
          <w:color w:val="000000" w:themeColor="text1"/>
          <w:sz w:val="24"/>
          <w:szCs w:val="24"/>
        </w:rPr>
        <w:t>585</w:t>
      </w:r>
      <w:r w:rsidRPr="0097458B">
        <w:rPr>
          <w:rFonts w:ascii="Book Antiqua" w:hAnsi="Book Antiqua" w:cs="Times New Roman"/>
          <w:noProof/>
          <w:color w:val="000000" w:themeColor="text1"/>
          <w:sz w:val="24"/>
          <w:szCs w:val="24"/>
        </w:rPr>
        <w:t>: 135-158 [PMID: 28109426 DOI: 10.1016/bs.mie.2016.09.016]</w:t>
      </w:r>
    </w:p>
    <w:p w14:paraId="393333D0"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13 </w:t>
      </w:r>
      <w:r w:rsidRPr="0097458B">
        <w:rPr>
          <w:rFonts w:ascii="Book Antiqua" w:hAnsi="Book Antiqua" w:cs="Times New Roman"/>
          <w:b/>
          <w:bCs/>
          <w:noProof/>
          <w:color w:val="000000" w:themeColor="text1"/>
          <w:sz w:val="24"/>
          <w:szCs w:val="24"/>
        </w:rPr>
        <w:t>Samur MK</w:t>
      </w:r>
      <w:r w:rsidRPr="0097458B">
        <w:rPr>
          <w:rFonts w:ascii="Book Antiqua" w:hAnsi="Book Antiqua" w:cs="Times New Roman"/>
          <w:noProof/>
          <w:color w:val="000000" w:themeColor="text1"/>
          <w:sz w:val="24"/>
          <w:szCs w:val="24"/>
        </w:rPr>
        <w:t>. RTCGAToolbox: a new tool for exporting TCGA Firehose data. </w:t>
      </w:r>
      <w:r w:rsidRPr="0097458B">
        <w:rPr>
          <w:rFonts w:ascii="Book Antiqua" w:hAnsi="Book Antiqua" w:cs="Times New Roman"/>
          <w:i/>
          <w:iCs/>
          <w:noProof/>
          <w:color w:val="000000" w:themeColor="text1"/>
          <w:sz w:val="24"/>
          <w:szCs w:val="24"/>
        </w:rPr>
        <w:t>PLoS One</w:t>
      </w:r>
      <w:r w:rsidRPr="0097458B">
        <w:rPr>
          <w:rFonts w:ascii="Book Antiqua" w:hAnsi="Book Antiqua" w:cs="Times New Roman"/>
          <w:noProof/>
          <w:color w:val="000000" w:themeColor="text1"/>
          <w:sz w:val="24"/>
          <w:szCs w:val="24"/>
        </w:rPr>
        <w:t> 2014; </w:t>
      </w:r>
      <w:r w:rsidRPr="0097458B">
        <w:rPr>
          <w:rFonts w:ascii="Book Antiqua" w:hAnsi="Book Antiqua" w:cs="Times New Roman"/>
          <w:b/>
          <w:bCs/>
          <w:noProof/>
          <w:color w:val="000000" w:themeColor="text1"/>
          <w:sz w:val="24"/>
          <w:szCs w:val="24"/>
        </w:rPr>
        <w:t>9</w:t>
      </w:r>
      <w:r w:rsidRPr="0097458B">
        <w:rPr>
          <w:rFonts w:ascii="Book Antiqua" w:hAnsi="Book Antiqua" w:cs="Times New Roman"/>
          <w:noProof/>
          <w:color w:val="000000" w:themeColor="text1"/>
          <w:sz w:val="24"/>
          <w:szCs w:val="24"/>
        </w:rPr>
        <w:t>: e106397 [PMID: 25181531 DOI: 10.1371/journal.pone.0106397]</w:t>
      </w:r>
    </w:p>
    <w:p w14:paraId="7C57971D"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14 </w:t>
      </w:r>
      <w:r w:rsidRPr="0097458B">
        <w:rPr>
          <w:rFonts w:ascii="Book Antiqua" w:hAnsi="Book Antiqua" w:cs="Times New Roman"/>
          <w:b/>
          <w:bCs/>
          <w:noProof/>
          <w:color w:val="000000" w:themeColor="text1"/>
          <w:sz w:val="24"/>
          <w:szCs w:val="24"/>
        </w:rPr>
        <w:t>Robinson MD</w:t>
      </w:r>
      <w:r w:rsidRPr="0097458B">
        <w:rPr>
          <w:rFonts w:ascii="Book Antiqua" w:hAnsi="Book Antiqua" w:cs="Times New Roman"/>
          <w:noProof/>
          <w:color w:val="000000" w:themeColor="text1"/>
          <w:sz w:val="24"/>
          <w:szCs w:val="24"/>
        </w:rPr>
        <w:t>, McCarthy DJ, Smyth GK. edgeR: a Bioconductor package for differential expression analysis of digital gene expression data. </w:t>
      </w:r>
      <w:r w:rsidRPr="0097458B">
        <w:rPr>
          <w:rFonts w:ascii="Book Antiqua" w:hAnsi="Book Antiqua" w:cs="Times New Roman"/>
          <w:i/>
          <w:iCs/>
          <w:noProof/>
          <w:color w:val="000000" w:themeColor="text1"/>
          <w:sz w:val="24"/>
          <w:szCs w:val="24"/>
        </w:rPr>
        <w:t>Bioinformatics</w:t>
      </w:r>
      <w:r w:rsidRPr="0097458B">
        <w:rPr>
          <w:rFonts w:ascii="Book Antiqua" w:hAnsi="Book Antiqua" w:cs="Times New Roman"/>
          <w:noProof/>
          <w:color w:val="000000" w:themeColor="text1"/>
          <w:sz w:val="24"/>
          <w:szCs w:val="24"/>
        </w:rPr>
        <w:t> 2010; </w:t>
      </w:r>
      <w:r w:rsidRPr="0097458B">
        <w:rPr>
          <w:rFonts w:ascii="Book Antiqua" w:hAnsi="Book Antiqua" w:cs="Times New Roman"/>
          <w:b/>
          <w:bCs/>
          <w:noProof/>
          <w:color w:val="000000" w:themeColor="text1"/>
          <w:sz w:val="24"/>
          <w:szCs w:val="24"/>
        </w:rPr>
        <w:t>26</w:t>
      </w:r>
      <w:r w:rsidRPr="0097458B">
        <w:rPr>
          <w:rFonts w:ascii="Book Antiqua" w:hAnsi="Book Antiqua" w:cs="Times New Roman"/>
          <w:noProof/>
          <w:color w:val="000000" w:themeColor="text1"/>
          <w:sz w:val="24"/>
          <w:szCs w:val="24"/>
        </w:rPr>
        <w:t>: 139-140 [PMID: 19910308 DOI: 10.1093/bioinformatics/btp616]</w:t>
      </w:r>
    </w:p>
    <w:p w14:paraId="474D2A99"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15 </w:t>
      </w:r>
      <w:r w:rsidRPr="0097458B">
        <w:rPr>
          <w:rFonts w:ascii="Book Antiqua" w:hAnsi="Book Antiqua" w:cs="Times New Roman"/>
          <w:b/>
          <w:bCs/>
          <w:noProof/>
          <w:color w:val="000000" w:themeColor="text1"/>
          <w:sz w:val="24"/>
          <w:szCs w:val="24"/>
        </w:rPr>
        <w:t>Fang SM</w:t>
      </w:r>
      <w:r w:rsidRPr="0097458B">
        <w:rPr>
          <w:rFonts w:ascii="Book Antiqua" w:hAnsi="Book Antiqua" w:cs="Times New Roman"/>
          <w:noProof/>
          <w:color w:val="000000" w:themeColor="text1"/>
          <w:sz w:val="24"/>
          <w:szCs w:val="24"/>
        </w:rPr>
        <w:t>, Hu BL, Zhou QZ, Yu QY, Zhang Z. Comparative analysis of the silk gland transcriptomes between the domestic and wild silkworms. </w:t>
      </w:r>
      <w:r w:rsidRPr="0097458B">
        <w:rPr>
          <w:rFonts w:ascii="Book Antiqua" w:hAnsi="Book Antiqua" w:cs="Times New Roman"/>
          <w:i/>
          <w:iCs/>
          <w:noProof/>
          <w:color w:val="000000" w:themeColor="text1"/>
          <w:sz w:val="24"/>
          <w:szCs w:val="24"/>
        </w:rPr>
        <w:t>BMC Genomics</w:t>
      </w:r>
      <w:r w:rsidRPr="0097458B">
        <w:rPr>
          <w:rFonts w:ascii="Book Antiqua" w:hAnsi="Book Antiqua" w:cs="Times New Roman"/>
          <w:noProof/>
          <w:color w:val="000000" w:themeColor="text1"/>
          <w:sz w:val="24"/>
          <w:szCs w:val="24"/>
        </w:rPr>
        <w:t> 2015; </w:t>
      </w:r>
      <w:r w:rsidRPr="0097458B">
        <w:rPr>
          <w:rFonts w:ascii="Book Antiqua" w:hAnsi="Book Antiqua" w:cs="Times New Roman"/>
          <w:b/>
          <w:bCs/>
          <w:noProof/>
          <w:color w:val="000000" w:themeColor="text1"/>
          <w:sz w:val="24"/>
          <w:szCs w:val="24"/>
        </w:rPr>
        <w:t>16</w:t>
      </w:r>
      <w:r w:rsidRPr="0097458B">
        <w:rPr>
          <w:rFonts w:ascii="Book Antiqua" w:hAnsi="Book Antiqua" w:cs="Times New Roman"/>
          <w:noProof/>
          <w:color w:val="000000" w:themeColor="text1"/>
          <w:sz w:val="24"/>
          <w:szCs w:val="24"/>
        </w:rPr>
        <w:t>: 60 [PMID: 25887670 DOI: 10.1186/s12864-015-1287-9]</w:t>
      </w:r>
    </w:p>
    <w:p w14:paraId="7667FB2F"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16 </w:t>
      </w:r>
      <w:r w:rsidRPr="0097458B">
        <w:rPr>
          <w:rFonts w:ascii="Book Antiqua" w:hAnsi="Book Antiqua" w:cs="Times New Roman"/>
          <w:b/>
          <w:bCs/>
          <w:noProof/>
          <w:color w:val="000000" w:themeColor="text1"/>
          <w:sz w:val="24"/>
          <w:szCs w:val="24"/>
        </w:rPr>
        <w:t>Hochberg Y</w:t>
      </w:r>
      <w:r w:rsidRPr="0097458B">
        <w:rPr>
          <w:rFonts w:ascii="Book Antiqua" w:hAnsi="Book Antiqua" w:cs="Times New Roman"/>
          <w:noProof/>
          <w:color w:val="000000" w:themeColor="text1"/>
          <w:sz w:val="24"/>
          <w:szCs w:val="24"/>
        </w:rPr>
        <w:t>, Benjamini Y. More powerful procedures for multiple significance testing. </w:t>
      </w:r>
      <w:r w:rsidRPr="0097458B">
        <w:rPr>
          <w:rFonts w:ascii="Book Antiqua" w:hAnsi="Book Antiqua" w:cs="Times New Roman"/>
          <w:i/>
          <w:iCs/>
          <w:noProof/>
          <w:color w:val="000000" w:themeColor="text1"/>
          <w:sz w:val="24"/>
          <w:szCs w:val="24"/>
        </w:rPr>
        <w:t>Stat Med</w:t>
      </w:r>
      <w:r w:rsidRPr="0097458B">
        <w:rPr>
          <w:rFonts w:ascii="Book Antiqua" w:hAnsi="Book Antiqua" w:cs="Times New Roman"/>
          <w:noProof/>
          <w:color w:val="000000" w:themeColor="text1"/>
          <w:sz w:val="24"/>
          <w:szCs w:val="24"/>
        </w:rPr>
        <w:t> 1990; </w:t>
      </w:r>
      <w:r w:rsidRPr="0097458B">
        <w:rPr>
          <w:rFonts w:ascii="Book Antiqua" w:hAnsi="Book Antiqua" w:cs="Times New Roman"/>
          <w:b/>
          <w:bCs/>
          <w:noProof/>
          <w:color w:val="000000" w:themeColor="text1"/>
          <w:sz w:val="24"/>
          <w:szCs w:val="24"/>
        </w:rPr>
        <w:t>9</w:t>
      </w:r>
      <w:r w:rsidRPr="0097458B">
        <w:rPr>
          <w:rFonts w:ascii="Book Antiqua" w:hAnsi="Book Antiqua" w:cs="Times New Roman"/>
          <w:noProof/>
          <w:color w:val="000000" w:themeColor="text1"/>
          <w:sz w:val="24"/>
          <w:szCs w:val="24"/>
        </w:rPr>
        <w:t>: 811-818 [PMID: 2218183]</w:t>
      </w:r>
    </w:p>
    <w:p w14:paraId="0E1C1E7B"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lastRenderedPageBreak/>
        <w:t>17 </w:t>
      </w:r>
      <w:r w:rsidRPr="0097458B">
        <w:rPr>
          <w:rFonts w:ascii="Book Antiqua" w:hAnsi="Book Antiqua" w:cs="Times New Roman"/>
          <w:b/>
          <w:bCs/>
          <w:noProof/>
          <w:color w:val="000000" w:themeColor="text1"/>
          <w:sz w:val="24"/>
          <w:szCs w:val="24"/>
        </w:rPr>
        <w:t>Shannon P</w:t>
      </w:r>
      <w:r w:rsidRPr="0097458B">
        <w:rPr>
          <w:rFonts w:ascii="Book Antiqua" w:hAnsi="Book Antiqua" w:cs="Times New Roman"/>
          <w:noProof/>
          <w:color w:val="000000" w:themeColor="text1"/>
          <w:sz w:val="24"/>
          <w:szCs w:val="24"/>
        </w:rPr>
        <w:t>, Markiel A, Ozier O, Baliga NS, Wang JT, Ramage D, Amin N, Schwikowski B, Ideker T. Cytoscape: a software environment for integrated models of biomolecular interaction networks. </w:t>
      </w:r>
      <w:r w:rsidRPr="0097458B">
        <w:rPr>
          <w:rFonts w:ascii="Book Antiqua" w:hAnsi="Book Antiqua" w:cs="Times New Roman"/>
          <w:i/>
          <w:iCs/>
          <w:noProof/>
          <w:color w:val="000000" w:themeColor="text1"/>
          <w:sz w:val="24"/>
          <w:szCs w:val="24"/>
        </w:rPr>
        <w:t>Genome Res</w:t>
      </w:r>
      <w:r w:rsidRPr="0097458B">
        <w:rPr>
          <w:rFonts w:ascii="Book Antiqua" w:hAnsi="Book Antiqua" w:cs="Times New Roman"/>
          <w:noProof/>
          <w:color w:val="000000" w:themeColor="text1"/>
          <w:sz w:val="24"/>
          <w:szCs w:val="24"/>
        </w:rPr>
        <w:t> 2003; </w:t>
      </w:r>
      <w:r w:rsidRPr="0097458B">
        <w:rPr>
          <w:rFonts w:ascii="Book Antiqua" w:hAnsi="Book Antiqua" w:cs="Times New Roman"/>
          <w:b/>
          <w:bCs/>
          <w:noProof/>
          <w:color w:val="000000" w:themeColor="text1"/>
          <w:sz w:val="24"/>
          <w:szCs w:val="24"/>
        </w:rPr>
        <w:t>13</w:t>
      </w:r>
      <w:r w:rsidRPr="0097458B">
        <w:rPr>
          <w:rFonts w:ascii="Book Antiqua" w:hAnsi="Book Antiqua" w:cs="Times New Roman"/>
          <w:noProof/>
          <w:color w:val="000000" w:themeColor="text1"/>
          <w:sz w:val="24"/>
          <w:szCs w:val="24"/>
        </w:rPr>
        <w:t>: 2498-2504 [PMID: 14597658 DOI: 10.1101/gr.1239303]</w:t>
      </w:r>
    </w:p>
    <w:p w14:paraId="67CA1771"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18 </w:t>
      </w:r>
      <w:r w:rsidRPr="0097458B">
        <w:rPr>
          <w:rFonts w:ascii="Book Antiqua" w:hAnsi="Book Antiqua" w:cs="Times New Roman"/>
          <w:b/>
          <w:bCs/>
          <w:noProof/>
          <w:color w:val="000000" w:themeColor="text1"/>
          <w:sz w:val="24"/>
          <w:szCs w:val="24"/>
        </w:rPr>
        <w:t>Dennis G Jr</w:t>
      </w:r>
      <w:r w:rsidRPr="0097458B">
        <w:rPr>
          <w:rFonts w:ascii="Book Antiqua" w:hAnsi="Book Antiqua" w:cs="Times New Roman"/>
          <w:noProof/>
          <w:color w:val="000000" w:themeColor="text1"/>
          <w:sz w:val="24"/>
          <w:szCs w:val="24"/>
        </w:rPr>
        <w:t>, Sherman BT, Hosack DA, Yang J, Gao W, Lane HC, Lempicki RA. DAVID: Database for Annotation, Visualization, and Integrated Discovery. </w:t>
      </w:r>
      <w:r w:rsidRPr="0097458B">
        <w:rPr>
          <w:rFonts w:ascii="Book Antiqua" w:hAnsi="Book Antiqua" w:cs="Times New Roman"/>
          <w:i/>
          <w:iCs/>
          <w:noProof/>
          <w:color w:val="000000" w:themeColor="text1"/>
          <w:sz w:val="24"/>
          <w:szCs w:val="24"/>
        </w:rPr>
        <w:t>Genome Biol</w:t>
      </w:r>
      <w:r w:rsidRPr="0097458B">
        <w:rPr>
          <w:rFonts w:ascii="Book Antiqua" w:hAnsi="Book Antiqua" w:cs="Times New Roman"/>
          <w:noProof/>
          <w:color w:val="000000" w:themeColor="text1"/>
          <w:sz w:val="24"/>
          <w:szCs w:val="24"/>
        </w:rPr>
        <w:t> 2003; </w:t>
      </w:r>
      <w:r w:rsidRPr="0097458B">
        <w:rPr>
          <w:rFonts w:ascii="Book Antiqua" w:hAnsi="Book Antiqua" w:cs="Times New Roman"/>
          <w:b/>
          <w:bCs/>
          <w:noProof/>
          <w:color w:val="000000" w:themeColor="text1"/>
          <w:sz w:val="24"/>
          <w:szCs w:val="24"/>
        </w:rPr>
        <w:t>4</w:t>
      </w:r>
      <w:r w:rsidRPr="0097458B">
        <w:rPr>
          <w:rFonts w:ascii="Book Antiqua" w:hAnsi="Book Antiqua" w:cs="Times New Roman"/>
          <w:noProof/>
          <w:color w:val="000000" w:themeColor="text1"/>
          <w:sz w:val="24"/>
          <w:szCs w:val="24"/>
        </w:rPr>
        <w:t>: P3 [PMID: 12734009]</w:t>
      </w:r>
    </w:p>
    <w:p w14:paraId="4EF2442F"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19 </w:t>
      </w:r>
      <w:r w:rsidRPr="0097458B">
        <w:rPr>
          <w:rFonts w:ascii="Book Antiqua" w:hAnsi="Book Antiqua" w:cs="Times New Roman"/>
          <w:b/>
          <w:bCs/>
          <w:noProof/>
          <w:color w:val="000000" w:themeColor="text1"/>
          <w:sz w:val="24"/>
          <w:szCs w:val="24"/>
        </w:rPr>
        <w:t>Gene Ontology Consortium.</w:t>
      </w:r>
      <w:r w:rsidRPr="0097458B">
        <w:rPr>
          <w:rFonts w:ascii="Book Antiqua" w:hAnsi="Book Antiqua" w:cs="Times New Roman"/>
          <w:noProof/>
          <w:color w:val="000000" w:themeColor="text1"/>
          <w:sz w:val="24"/>
          <w:szCs w:val="24"/>
        </w:rPr>
        <w:t>. The Gene Ontology (GO) project in 2006. </w:t>
      </w:r>
      <w:r w:rsidRPr="0097458B">
        <w:rPr>
          <w:rFonts w:ascii="Book Antiqua" w:hAnsi="Book Antiqua" w:cs="Times New Roman"/>
          <w:i/>
          <w:iCs/>
          <w:noProof/>
          <w:color w:val="000000" w:themeColor="text1"/>
          <w:sz w:val="24"/>
          <w:szCs w:val="24"/>
        </w:rPr>
        <w:t>Nucleic Acids Res</w:t>
      </w:r>
      <w:r w:rsidRPr="0097458B">
        <w:rPr>
          <w:rFonts w:ascii="Book Antiqua" w:hAnsi="Book Antiqua" w:cs="Times New Roman"/>
          <w:noProof/>
          <w:color w:val="000000" w:themeColor="text1"/>
          <w:sz w:val="24"/>
          <w:szCs w:val="24"/>
        </w:rPr>
        <w:t> 2006; </w:t>
      </w:r>
      <w:r w:rsidRPr="0097458B">
        <w:rPr>
          <w:rFonts w:ascii="Book Antiqua" w:hAnsi="Book Antiqua" w:cs="Times New Roman"/>
          <w:b/>
          <w:bCs/>
          <w:noProof/>
          <w:color w:val="000000" w:themeColor="text1"/>
          <w:sz w:val="24"/>
          <w:szCs w:val="24"/>
        </w:rPr>
        <w:t>34</w:t>
      </w:r>
      <w:r w:rsidRPr="0097458B">
        <w:rPr>
          <w:rFonts w:ascii="Book Antiqua" w:hAnsi="Book Antiqua" w:cs="Times New Roman"/>
          <w:noProof/>
          <w:color w:val="000000" w:themeColor="text1"/>
          <w:sz w:val="24"/>
          <w:szCs w:val="24"/>
        </w:rPr>
        <w:t>: D322-D326 [PMID: 16381878 DOI: 10.1093/nar/gkj021]</w:t>
      </w:r>
    </w:p>
    <w:p w14:paraId="3F2E9BC3"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20 </w:t>
      </w:r>
      <w:r w:rsidRPr="0097458B">
        <w:rPr>
          <w:rFonts w:ascii="Book Antiqua" w:hAnsi="Book Antiqua" w:cs="Times New Roman"/>
          <w:b/>
          <w:bCs/>
          <w:noProof/>
          <w:color w:val="000000" w:themeColor="text1"/>
          <w:sz w:val="24"/>
          <w:szCs w:val="24"/>
        </w:rPr>
        <w:t>Ashburner M</w:t>
      </w:r>
      <w:r w:rsidRPr="0097458B">
        <w:rPr>
          <w:rFonts w:ascii="Book Antiqua" w:hAnsi="Book Antiqua" w:cs="Times New Roman"/>
          <w:noProof/>
          <w:color w:val="000000" w:themeColor="text1"/>
          <w:sz w:val="24"/>
          <w:szCs w:val="24"/>
        </w:rPr>
        <w:t>, Ball CA, Blake JA, Botstein D, Butler H, Cherry JM, Davis AP, Dolinski K, Dwight SS, Eppig JT, Harris MA, Hill DP, Issel-Tarver L, Kasarskis A, Lewis S, Matese JC, Richardson JE, Ringwald M, Rubin GM, Sherlock G. Gene ontology: tool for the unification of biology. The Gene Ontology Consortium. </w:t>
      </w:r>
      <w:r w:rsidRPr="0097458B">
        <w:rPr>
          <w:rFonts w:ascii="Book Antiqua" w:hAnsi="Book Antiqua" w:cs="Times New Roman"/>
          <w:i/>
          <w:iCs/>
          <w:noProof/>
          <w:color w:val="000000" w:themeColor="text1"/>
          <w:sz w:val="24"/>
          <w:szCs w:val="24"/>
        </w:rPr>
        <w:t>Nat Genet</w:t>
      </w:r>
      <w:r w:rsidRPr="0097458B">
        <w:rPr>
          <w:rFonts w:ascii="Book Antiqua" w:hAnsi="Book Antiqua" w:cs="Times New Roman"/>
          <w:noProof/>
          <w:color w:val="000000" w:themeColor="text1"/>
          <w:sz w:val="24"/>
          <w:szCs w:val="24"/>
        </w:rPr>
        <w:t> 2000; </w:t>
      </w:r>
      <w:r w:rsidRPr="0097458B">
        <w:rPr>
          <w:rFonts w:ascii="Book Antiqua" w:hAnsi="Book Antiqua" w:cs="Times New Roman"/>
          <w:b/>
          <w:bCs/>
          <w:noProof/>
          <w:color w:val="000000" w:themeColor="text1"/>
          <w:sz w:val="24"/>
          <w:szCs w:val="24"/>
        </w:rPr>
        <w:t>25</w:t>
      </w:r>
      <w:r w:rsidRPr="0097458B">
        <w:rPr>
          <w:rFonts w:ascii="Book Antiqua" w:hAnsi="Book Antiqua" w:cs="Times New Roman"/>
          <w:noProof/>
          <w:color w:val="000000" w:themeColor="text1"/>
          <w:sz w:val="24"/>
          <w:szCs w:val="24"/>
        </w:rPr>
        <w:t>: 25-29 [PMID: 10802651 DOI: 10.1038/75556]</w:t>
      </w:r>
    </w:p>
    <w:p w14:paraId="7A1A55C3"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21 </w:t>
      </w:r>
      <w:r w:rsidRPr="0097458B">
        <w:rPr>
          <w:rFonts w:ascii="Book Antiqua" w:hAnsi="Book Antiqua" w:cs="Times New Roman"/>
          <w:b/>
          <w:bCs/>
          <w:noProof/>
          <w:color w:val="000000" w:themeColor="text1"/>
          <w:sz w:val="24"/>
          <w:szCs w:val="24"/>
        </w:rPr>
        <w:t>Kanehisa M</w:t>
      </w:r>
      <w:r w:rsidRPr="0097458B">
        <w:rPr>
          <w:rFonts w:ascii="Book Antiqua" w:hAnsi="Book Antiqua" w:cs="Times New Roman"/>
          <w:noProof/>
          <w:color w:val="000000" w:themeColor="text1"/>
          <w:sz w:val="24"/>
          <w:szCs w:val="24"/>
        </w:rPr>
        <w:t>, Goto S. KEGG: kyoto encyclopedia of genes and genomes. </w:t>
      </w:r>
      <w:r w:rsidRPr="0097458B">
        <w:rPr>
          <w:rFonts w:ascii="Book Antiqua" w:hAnsi="Book Antiqua" w:cs="Times New Roman"/>
          <w:i/>
          <w:iCs/>
          <w:noProof/>
          <w:color w:val="000000" w:themeColor="text1"/>
          <w:sz w:val="24"/>
          <w:szCs w:val="24"/>
        </w:rPr>
        <w:t>Nucleic Acids Res</w:t>
      </w:r>
      <w:r w:rsidRPr="0097458B">
        <w:rPr>
          <w:rFonts w:ascii="Book Antiqua" w:hAnsi="Book Antiqua" w:cs="Times New Roman"/>
          <w:noProof/>
          <w:color w:val="000000" w:themeColor="text1"/>
          <w:sz w:val="24"/>
          <w:szCs w:val="24"/>
        </w:rPr>
        <w:t> 2000; </w:t>
      </w:r>
      <w:r w:rsidRPr="0097458B">
        <w:rPr>
          <w:rFonts w:ascii="Book Antiqua" w:hAnsi="Book Antiqua" w:cs="Times New Roman"/>
          <w:b/>
          <w:bCs/>
          <w:noProof/>
          <w:color w:val="000000" w:themeColor="text1"/>
          <w:sz w:val="24"/>
          <w:szCs w:val="24"/>
        </w:rPr>
        <w:t>28</w:t>
      </w:r>
      <w:r w:rsidRPr="0097458B">
        <w:rPr>
          <w:rFonts w:ascii="Book Antiqua" w:hAnsi="Book Antiqua" w:cs="Times New Roman"/>
          <w:noProof/>
          <w:color w:val="000000" w:themeColor="text1"/>
          <w:sz w:val="24"/>
          <w:szCs w:val="24"/>
        </w:rPr>
        <w:t>: 27-30 [PMID: 10592173]</w:t>
      </w:r>
    </w:p>
    <w:p w14:paraId="5F591672"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22 </w:t>
      </w:r>
      <w:r w:rsidRPr="0097458B">
        <w:rPr>
          <w:rFonts w:ascii="Book Antiqua" w:hAnsi="Book Antiqua" w:cs="Times New Roman"/>
          <w:b/>
          <w:bCs/>
          <w:noProof/>
          <w:color w:val="000000" w:themeColor="text1"/>
          <w:sz w:val="24"/>
          <w:szCs w:val="24"/>
        </w:rPr>
        <w:t>Huang da W</w:t>
      </w:r>
      <w:r w:rsidRPr="0097458B">
        <w:rPr>
          <w:rFonts w:ascii="Book Antiqua" w:hAnsi="Book Antiqua" w:cs="Times New Roman"/>
          <w:noProof/>
          <w:color w:val="000000" w:themeColor="text1"/>
          <w:sz w:val="24"/>
          <w:szCs w:val="24"/>
        </w:rPr>
        <w:t>, Sherman BT, Lempicki RA. Systematic and integrative analysis of large gene lists using DAVID bioinformatics resources. </w:t>
      </w:r>
      <w:r w:rsidRPr="0097458B">
        <w:rPr>
          <w:rFonts w:ascii="Book Antiqua" w:hAnsi="Book Antiqua" w:cs="Times New Roman"/>
          <w:i/>
          <w:iCs/>
          <w:noProof/>
          <w:color w:val="000000" w:themeColor="text1"/>
          <w:sz w:val="24"/>
          <w:szCs w:val="24"/>
        </w:rPr>
        <w:t>Nat Protoc</w:t>
      </w:r>
      <w:r w:rsidRPr="0097458B">
        <w:rPr>
          <w:rFonts w:ascii="Book Antiqua" w:hAnsi="Book Antiqua" w:cs="Times New Roman"/>
          <w:noProof/>
          <w:color w:val="000000" w:themeColor="text1"/>
          <w:sz w:val="24"/>
          <w:szCs w:val="24"/>
        </w:rPr>
        <w:t> 2009; </w:t>
      </w:r>
      <w:r w:rsidRPr="0097458B">
        <w:rPr>
          <w:rFonts w:ascii="Book Antiqua" w:hAnsi="Book Antiqua" w:cs="Times New Roman"/>
          <w:b/>
          <w:bCs/>
          <w:noProof/>
          <w:color w:val="000000" w:themeColor="text1"/>
          <w:sz w:val="24"/>
          <w:szCs w:val="24"/>
        </w:rPr>
        <w:t>4</w:t>
      </w:r>
      <w:r w:rsidRPr="0097458B">
        <w:rPr>
          <w:rFonts w:ascii="Book Antiqua" w:hAnsi="Book Antiqua" w:cs="Times New Roman"/>
          <w:noProof/>
          <w:color w:val="000000" w:themeColor="text1"/>
          <w:sz w:val="24"/>
          <w:szCs w:val="24"/>
        </w:rPr>
        <w:t>: 44-57 [PMID: 19131956 DOI: 10.1038/nprot.2008.211]</w:t>
      </w:r>
    </w:p>
    <w:p w14:paraId="77BEEFF3"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23 </w:t>
      </w:r>
      <w:r w:rsidRPr="0097458B">
        <w:rPr>
          <w:rFonts w:ascii="Book Antiqua" w:hAnsi="Book Antiqua" w:cs="Times New Roman"/>
          <w:b/>
          <w:bCs/>
          <w:noProof/>
          <w:color w:val="000000" w:themeColor="text1"/>
          <w:sz w:val="24"/>
          <w:szCs w:val="24"/>
        </w:rPr>
        <w:t>Worby CA</w:t>
      </w:r>
      <w:r w:rsidRPr="0097458B">
        <w:rPr>
          <w:rFonts w:ascii="Book Antiqua" w:hAnsi="Book Antiqua" w:cs="Times New Roman"/>
          <w:noProof/>
          <w:color w:val="000000" w:themeColor="text1"/>
          <w:sz w:val="24"/>
          <w:szCs w:val="24"/>
        </w:rPr>
        <w:t>, Dixon JE. Sorting out the cellular functions of sorting nexins. </w:t>
      </w:r>
      <w:r w:rsidRPr="0097458B">
        <w:rPr>
          <w:rFonts w:ascii="Book Antiqua" w:hAnsi="Book Antiqua" w:cs="Times New Roman"/>
          <w:i/>
          <w:iCs/>
          <w:noProof/>
          <w:color w:val="000000" w:themeColor="text1"/>
          <w:sz w:val="24"/>
          <w:szCs w:val="24"/>
        </w:rPr>
        <w:t>Nat Rev Mol Cell Biol</w:t>
      </w:r>
      <w:r w:rsidRPr="0097458B">
        <w:rPr>
          <w:rFonts w:ascii="Book Antiqua" w:hAnsi="Book Antiqua" w:cs="Times New Roman"/>
          <w:noProof/>
          <w:color w:val="000000" w:themeColor="text1"/>
          <w:sz w:val="24"/>
          <w:szCs w:val="24"/>
        </w:rPr>
        <w:t> 2002; </w:t>
      </w:r>
      <w:r w:rsidRPr="0097458B">
        <w:rPr>
          <w:rFonts w:ascii="Book Antiqua" w:hAnsi="Book Antiqua" w:cs="Times New Roman"/>
          <w:b/>
          <w:bCs/>
          <w:noProof/>
          <w:color w:val="000000" w:themeColor="text1"/>
          <w:sz w:val="24"/>
          <w:szCs w:val="24"/>
        </w:rPr>
        <w:t>3</w:t>
      </w:r>
      <w:r w:rsidRPr="0097458B">
        <w:rPr>
          <w:rFonts w:ascii="Book Antiqua" w:hAnsi="Book Antiqua" w:cs="Times New Roman"/>
          <w:noProof/>
          <w:color w:val="000000" w:themeColor="text1"/>
          <w:sz w:val="24"/>
          <w:szCs w:val="24"/>
        </w:rPr>
        <w:t>: 919-931 [PMID: 12461558 DOI: 10.1038/nrm974]</w:t>
      </w:r>
    </w:p>
    <w:p w14:paraId="730823A0"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24 </w:t>
      </w:r>
      <w:r w:rsidRPr="0097458B">
        <w:rPr>
          <w:rFonts w:ascii="Book Antiqua" w:hAnsi="Book Antiqua" w:cs="Times New Roman"/>
          <w:b/>
          <w:bCs/>
          <w:noProof/>
          <w:color w:val="000000" w:themeColor="text1"/>
          <w:sz w:val="24"/>
          <w:szCs w:val="24"/>
        </w:rPr>
        <w:t>Cullen PJ</w:t>
      </w:r>
      <w:r w:rsidRPr="0097458B">
        <w:rPr>
          <w:rFonts w:ascii="Book Antiqua" w:hAnsi="Book Antiqua" w:cs="Times New Roman"/>
          <w:noProof/>
          <w:color w:val="000000" w:themeColor="text1"/>
          <w:sz w:val="24"/>
          <w:szCs w:val="24"/>
        </w:rPr>
        <w:t>, Korswagen HC. Sorting nexins provide diversity for retromer-dependent trafficking events. </w:t>
      </w:r>
      <w:r w:rsidRPr="0097458B">
        <w:rPr>
          <w:rFonts w:ascii="Book Antiqua" w:hAnsi="Book Antiqua" w:cs="Times New Roman"/>
          <w:i/>
          <w:iCs/>
          <w:noProof/>
          <w:color w:val="000000" w:themeColor="text1"/>
          <w:sz w:val="24"/>
          <w:szCs w:val="24"/>
        </w:rPr>
        <w:t>Nat Cell Biol</w:t>
      </w:r>
      <w:r w:rsidRPr="0097458B">
        <w:rPr>
          <w:rFonts w:ascii="Book Antiqua" w:hAnsi="Book Antiqua" w:cs="Times New Roman"/>
          <w:noProof/>
          <w:color w:val="000000" w:themeColor="text1"/>
          <w:sz w:val="24"/>
          <w:szCs w:val="24"/>
        </w:rPr>
        <w:t> 2011; </w:t>
      </w:r>
      <w:r w:rsidRPr="0097458B">
        <w:rPr>
          <w:rFonts w:ascii="Book Antiqua" w:hAnsi="Book Antiqua" w:cs="Times New Roman"/>
          <w:b/>
          <w:bCs/>
          <w:noProof/>
          <w:color w:val="000000" w:themeColor="text1"/>
          <w:sz w:val="24"/>
          <w:szCs w:val="24"/>
        </w:rPr>
        <w:t>14</w:t>
      </w:r>
      <w:r w:rsidRPr="0097458B">
        <w:rPr>
          <w:rFonts w:ascii="Book Antiqua" w:hAnsi="Book Antiqua" w:cs="Times New Roman"/>
          <w:noProof/>
          <w:color w:val="000000" w:themeColor="text1"/>
          <w:sz w:val="24"/>
          <w:szCs w:val="24"/>
        </w:rPr>
        <w:t>: 29-37 [PMID: 22193161 DOI: 10.1038/ncb2374]</w:t>
      </w:r>
    </w:p>
    <w:p w14:paraId="1A4BB620"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25 </w:t>
      </w:r>
      <w:r w:rsidRPr="0097458B">
        <w:rPr>
          <w:rFonts w:ascii="Book Antiqua" w:hAnsi="Book Antiqua" w:cs="Times New Roman"/>
          <w:b/>
          <w:bCs/>
          <w:noProof/>
          <w:color w:val="000000" w:themeColor="text1"/>
          <w:sz w:val="24"/>
          <w:szCs w:val="24"/>
        </w:rPr>
        <w:t>You Y</w:t>
      </w:r>
      <w:r w:rsidRPr="0097458B">
        <w:rPr>
          <w:rFonts w:ascii="Book Antiqua" w:hAnsi="Book Antiqua" w:cs="Times New Roman"/>
          <w:noProof/>
          <w:color w:val="000000" w:themeColor="text1"/>
          <w:sz w:val="24"/>
          <w:szCs w:val="24"/>
        </w:rPr>
        <w:t>, Zhou C, Li D, Cao ZL, Shen W, Li WZ, Zhang S, Hu B, Shen X. Sorting nexin 10 acting as a novel regulator of macrophage polarization mediates inflammatory response in experimental mouse colitis. </w:t>
      </w:r>
      <w:r w:rsidRPr="0097458B">
        <w:rPr>
          <w:rFonts w:ascii="Book Antiqua" w:hAnsi="Book Antiqua" w:cs="Times New Roman"/>
          <w:i/>
          <w:iCs/>
          <w:noProof/>
          <w:color w:val="000000" w:themeColor="text1"/>
          <w:sz w:val="24"/>
          <w:szCs w:val="24"/>
        </w:rPr>
        <w:t>Sci Rep</w:t>
      </w:r>
      <w:r w:rsidRPr="0097458B">
        <w:rPr>
          <w:rFonts w:ascii="Book Antiqua" w:hAnsi="Book Antiqua" w:cs="Times New Roman"/>
          <w:noProof/>
          <w:color w:val="000000" w:themeColor="text1"/>
          <w:sz w:val="24"/>
          <w:szCs w:val="24"/>
        </w:rPr>
        <w:t> 2016; </w:t>
      </w:r>
      <w:r w:rsidRPr="0097458B">
        <w:rPr>
          <w:rFonts w:ascii="Book Antiqua" w:hAnsi="Book Antiqua" w:cs="Times New Roman"/>
          <w:b/>
          <w:bCs/>
          <w:noProof/>
          <w:color w:val="000000" w:themeColor="text1"/>
          <w:sz w:val="24"/>
          <w:szCs w:val="24"/>
        </w:rPr>
        <w:t>6</w:t>
      </w:r>
      <w:r w:rsidRPr="0097458B">
        <w:rPr>
          <w:rFonts w:ascii="Book Antiqua" w:hAnsi="Book Antiqua" w:cs="Times New Roman"/>
          <w:noProof/>
          <w:color w:val="000000" w:themeColor="text1"/>
          <w:sz w:val="24"/>
          <w:szCs w:val="24"/>
        </w:rPr>
        <w:t>: 20630 [PMID: 26856241 DOI: 10.1038/srep20630]</w:t>
      </w:r>
    </w:p>
    <w:p w14:paraId="6596ACFC"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lastRenderedPageBreak/>
        <w:t>26 </w:t>
      </w:r>
      <w:r w:rsidRPr="0097458B">
        <w:rPr>
          <w:rFonts w:ascii="Book Antiqua" w:hAnsi="Book Antiqua" w:cs="Times New Roman"/>
          <w:b/>
          <w:bCs/>
          <w:noProof/>
          <w:color w:val="000000" w:themeColor="text1"/>
          <w:sz w:val="24"/>
          <w:szCs w:val="24"/>
        </w:rPr>
        <w:t>Chen Y</w:t>
      </w:r>
      <w:r w:rsidRPr="0097458B">
        <w:rPr>
          <w:rFonts w:ascii="Book Antiqua" w:hAnsi="Book Antiqua" w:cs="Times New Roman"/>
          <w:noProof/>
          <w:color w:val="000000" w:themeColor="text1"/>
          <w:sz w:val="24"/>
          <w:szCs w:val="24"/>
        </w:rPr>
        <w:t>, Wu B, Xu L, Li H, Xia J, Yin W, Li Z, Shi D, Li S, Lin S, Shu X, Pei D. A SNX10/V-ATPase pathway regulates ciliogenesis in vitro and in vivo. </w:t>
      </w:r>
      <w:r w:rsidRPr="0097458B">
        <w:rPr>
          <w:rFonts w:ascii="Book Antiqua" w:hAnsi="Book Antiqua" w:cs="Times New Roman"/>
          <w:i/>
          <w:iCs/>
          <w:noProof/>
          <w:color w:val="000000" w:themeColor="text1"/>
          <w:sz w:val="24"/>
          <w:szCs w:val="24"/>
        </w:rPr>
        <w:t>Cell Res</w:t>
      </w:r>
      <w:r w:rsidRPr="0097458B">
        <w:rPr>
          <w:rFonts w:ascii="Book Antiqua" w:hAnsi="Book Antiqua" w:cs="Times New Roman"/>
          <w:noProof/>
          <w:color w:val="000000" w:themeColor="text1"/>
          <w:sz w:val="24"/>
          <w:szCs w:val="24"/>
        </w:rPr>
        <w:t> 2012; </w:t>
      </w:r>
      <w:r w:rsidRPr="0097458B">
        <w:rPr>
          <w:rFonts w:ascii="Book Antiqua" w:hAnsi="Book Antiqua" w:cs="Times New Roman"/>
          <w:b/>
          <w:bCs/>
          <w:noProof/>
          <w:color w:val="000000" w:themeColor="text1"/>
          <w:sz w:val="24"/>
          <w:szCs w:val="24"/>
        </w:rPr>
        <w:t>22</w:t>
      </w:r>
      <w:r w:rsidRPr="0097458B">
        <w:rPr>
          <w:rFonts w:ascii="Book Antiqua" w:hAnsi="Book Antiqua" w:cs="Times New Roman"/>
          <w:noProof/>
          <w:color w:val="000000" w:themeColor="text1"/>
          <w:sz w:val="24"/>
          <w:szCs w:val="24"/>
        </w:rPr>
        <w:t>: 333-345 [PMID: 21844891 DOI: 10.1038/cr.2011.134]</w:t>
      </w:r>
    </w:p>
    <w:p w14:paraId="607724B3"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27 </w:t>
      </w:r>
      <w:r w:rsidRPr="0097458B">
        <w:rPr>
          <w:rFonts w:ascii="Book Antiqua" w:hAnsi="Book Antiqua" w:cs="Times New Roman"/>
          <w:b/>
          <w:bCs/>
          <w:noProof/>
          <w:color w:val="000000" w:themeColor="text1"/>
          <w:sz w:val="24"/>
          <w:szCs w:val="24"/>
        </w:rPr>
        <w:t>Qin B</w:t>
      </w:r>
      <w:r w:rsidRPr="0097458B">
        <w:rPr>
          <w:rFonts w:ascii="Book Antiqua" w:hAnsi="Book Antiqua" w:cs="Times New Roman"/>
          <w:noProof/>
          <w:color w:val="000000" w:themeColor="text1"/>
          <w:sz w:val="24"/>
          <w:szCs w:val="24"/>
        </w:rPr>
        <w:t>, He M, Chen X, Pei D. Sorting nexin 10 induces giant vacuoles in mammalian cells. </w:t>
      </w:r>
      <w:r w:rsidRPr="0097458B">
        <w:rPr>
          <w:rFonts w:ascii="Book Antiqua" w:hAnsi="Book Antiqua" w:cs="Times New Roman"/>
          <w:i/>
          <w:iCs/>
          <w:noProof/>
          <w:color w:val="000000" w:themeColor="text1"/>
          <w:sz w:val="24"/>
          <w:szCs w:val="24"/>
        </w:rPr>
        <w:t>J Biol Chem</w:t>
      </w:r>
      <w:r w:rsidRPr="0097458B">
        <w:rPr>
          <w:rFonts w:ascii="Book Antiqua" w:hAnsi="Book Antiqua" w:cs="Times New Roman"/>
          <w:noProof/>
          <w:color w:val="000000" w:themeColor="text1"/>
          <w:sz w:val="24"/>
          <w:szCs w:val="24"/>
        </w:rPr>
        <w:t> 2006; </w:t>
      </w:r>
      <w:r w:rsidRPr="0097458B">
        <w:rPr>
          <w:rFonts w:ascii="Book Antiqua" w:hAnsi="Book Antiqua" w:cs="Times New Roman"/>
          <w:b/>
          <w:bCs/>
          <w:noProof/>
          <w:color w:val="000000" w:themeColor="text1"/>
          <w:sz w:val="24"/>
          <w:szCs w:val="24"/>
        </w:rPr>
        <w:t>281</w:t>
      </w:r>
      <w:r w:rsidRPr="0097458B">
        <w:rPr>
          <w:rFonts w:ascii="Book Antiqua" w:hAnsi="Book Antiqua" w:cs="Times New Roman"/>
          <w:noProof/>
          <w:color w:val="000000" w:themeColor="text1"/>
          <w:sz w:val="24"/>
          <w:szCs w:val="24"/>
        </w:rPr>
        <w:t>: 36891-36896 [PMID: 17012226 DOI: 10.1074/jbc.M608884200]</w:t>
      </w:r>
    </w:p>
    <w:p w14:paraId="55C7C91C" w14:textId="41AE8DCD"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28 </w:t>
      </w:r>
      <w:r w:rsidRPr="0097458B">
        <w:rPr>
          <w:rFonts w:ascii="Book Antiqua" w:hAnsi="Book Antiqua" w:cs="Times New Roman"/>
          <w:b/>
          <w:bCs/>
          <w:noProof/>
          <w:color w:val="000000" w:themeColor="text1"/>
          <w:sz w:val="24"/>
          <w:szCs w:val="24"/>
        </w:rPr>
        <w:t>Zhang S</w:t>
      </w:r>
      <w:r w:rsidRPr="0097458B">
        <w:rPr>
          <w:rFonts w:ascii="Book Antiqua" w:hAnsi="Book Antiqua" w:cs="Times New Roman"/>
          <w:noProof/>
          <w:color w:val="000000" w:themeColor="text1"/>
          <w:sz w:val="24"/>
          <w:szCs w:val="24"/>
        </w:rPr>
        <w:t>, Hu B, You Y, Yang Z, Liu L, Tang H, Bao W, Guan Y, Shen X. Sorting nexin 10 acts as a tumor suppressor in tumorigenesis and progression of colorectal cancer through regulating chaperone mediated autophagy degradation of p21</w:t>
      </w:r>
      <w:r w:rsidRPr="0097458B">
        <w:rPr>
          <w:rFonts w:ascii="Book Antiqua" w:hAnsi="Book Antiqua" w:cs="Times New Roman"/>
          <w:noProof/>
          <w:color w:val="000000" w:themeColor="text1"/>
          <w:sz w:val="24"/>
          <w:szCs w:val="24"/>
          <w:vertAlign w:val="superscript"/>
        </w:rPr>
        <w:t>Cip1/WAF1</w:t>
      </w:r>
      <w:r w:rsidRPr="0097458B">
        <w:rPr>
          <w:rFonts w:ascii="Book Antiqua" w:hAnsi="Book Antiqua" w:cs="Times New Roman"/>
          <w:noProof/>
          <w:color w:val="000000" w:themeColor="text1"/>
          <w:sz w:val="24"/>
          <w:szCs w:val="24"/>
        </w:rPr>
        <w:t>. </w:t>
      </w:r>
      <w:r w:rsidRPr="0097458B">
        <w:rPr>
          <w:rFonts w:ascii="Book Antiqua" w:hAnsi="Book Antiqua" w:cs="Times New Roman"/>
          <w:i/>
          <w:iCs/>
          <w:noProof/>
          <w:color w:val="000000" w:themeColor="text1"/>
          <w:sz w:val="24"/>
          <w:szCs w:val="24"/>
        </w:rPr>
        <w:t>Cancer Lett</w:t>
      </w:r>
      <w:r w:rsidRPr="0097458B">
        <w:rPr>
          <w:rFonts w:ascii="Book Antiqua" w:hAnsi="Book Antiqua" w:cs="Times New Roman"/>
          <w:noProof/>
          <w:color w:val="000000" w:themeColor="text1"/>
          <w:sz w:val="24"/>
          <w:szCs w:val="24"/>
        </w:rPr>
        <w:t> 2018; </w:t>
      </w:r>
      <w:r w:rsidRPr="0097458B">
        <w:rPr>
          <w:rFonts w:ascii="Book Antiqua" w:hAnsi="Book Antiqua" w:cs="Times New Roman"/>
          <w:b/>
          <w:bCs/>
          <w:noProof/>
          <w:color w:val="000000" w:themeColor="text1"/>
          <w:sz w:val="24"/>
          <w:szCs w:val="24"/>
        </w:rPr>
        <w:t>419</w:t>
      </w:r>
      <w:r w:rsidRPr="0097458B">
        <w:rPr>
          <w:rFonts w:ascii="Book Antiqua" w:hAnsi="Book Antiqua" w:cs="Times New Roman"/>
          <w:noProof/>
          <w:color w:val="000000" w:themeColor="text1"/>
          <w:sz w:val="24"/>
          <w:szCs w:val="24"/>
        </w:rPr>
        <w:t>: 116-127 [PMID: 29355659 DOI: 10.1016/j.canlet.2018.01.045]</w:t>
      </w:r>
    </w:p>
    <w:p w14:paraId="6C7B0818"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29 </w:t>
      </w:r>
      <w:r w:rsidRPr="0097458B">
        <w:rPr>
          <w:rFonts w:ascii="Book Antiqua" w:hAnsi="Book Antiqua" w:cs="Times New Roman"/>
          <w:b/>
          <w:bCs/>
          <w:noProof/>
          <w:color w:val="000000" w:themeColor="text1"/>
          <w:sz w:val="24"/>
          <w:szCs w:val="24"/>
        </w:rPr>
        <w:t>Le Y</w:t>
      </w:r>
      <w:r w:rsidRPr="0097458B">
        <w:rPr>
          <w:rFonts w:ascii="Book Antiqua" w:hAnsi="Book Antiqua" w:cs="Times New Roman"/>
          <w:noProof/>
          <w:color w:val="000000" w:themeColor="text1"/>
          <w:sz w:val="24"/>
          <w:szCs w:val="24"/>
        </w:rPr>
        <w:t>, Zhang S, Ni J, You Y, Luo K, Yu Y, Shen X. Sorting nexin 10 controls mTOR activation through regulating amino-acid metabolism in colorectal cancer. </w:t>
      </w:r>
      <w:r w:rsidRPr="0097458B">
        <w:rPr>
          <w:rFonts w:ascii="Book Antiqua" w:hAnsi="Book Antiqua" w:cs="Times New Roman"/>
          <w:i/>
          <w:iCs/>
          <w:noProof/>
          <w:color w:val="000000" w:themeColor="text1"/>
          <w:sz w:val="24"/>
          <w:szCs w:val="24"/>
        </w:rPr>
        <w:t>Cell Death Dis</w:t>
      </w:r>
      <w:r w:rsidRPr="0097458B">
        <w:rPr>
          <w:rFonts w:ascii="Book Antiqua" w:hAnsi="Book Antiqua" w:cs="Times New Roman"/>
          <w:noProof/>
          <w:color w:val="000000" w:themeColor="text1"/>
          <w:sz w:val="24"/>
          <w:szCs w:val="24"/>
        </w:rPr>
        <w:t> 2018; </w:t>
      </w:r>
      <w:r w:rsidRPr="0097458B">
        <w:rPr>
          <w:rFonts w:ascii="Book Antiqua" w:hAnsi="Book Antiqua" w:cs="Times New Roman"/>
          <w:b/>
          <w:bCs/>
          <w:noProof/>
          <w:color w:val="000000" w:themeColor="text1"/>
          <w:sz w:val="24"/>
          <w:szCs w:val="24"/>
        </w:rPr>
        <w:t>9</w:t>
      </w:r>
      <w:r w:rsidRPr="0097458B">
        <w:rPr>
          <w:rFonts w:ascii="Book Antiqua" w:hAnsi="Book Antiqua" w:cs="Times New Roman"/>
          <w:noProof/>
          <w:color w:val="000000" w:themeColor="text1"/>
          <w:sz w:val="24"/>
          <w:szCs w:val="24"/>
        </w:rPr>
        <w:t>: 666 [PMID: 29867114 DOI: 10.1038/s41419-018-0719-2]</w:t>
      </w:r>
    </w:p>
    <w:p w14:paraId="46F26127"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30 </w:t>
      </w:r>
      <w:r w:rsidRPr="0097458B">
        <w:rPr>
          <w:rFonts w:ascii="Book Antiqua" w:hAnsi="Book Antiqua" w:cs="Times New Roman"/>
          <w:b/>
          <w:bCs/>
          <w:noProof/>
          <w:color w:val="000000" w:themeColor="text1"/>
          <w:sz w:val="24"/>
          <w:szCs w:val="24"/>
        </w:rPr>
        <w:t>Gerber MM</w:t>
      </w:r>
      <w:r w:rsidRPr="0097458B">
        <w:rPr>
          <w:rFonts w:ascii="Book Antiqua" w:hAnsi="Book Antiqua" w:cs="Times New Roman"/>
          <w:noProof/>
          <w:color w:val="000000" w:themeColor="text1"/>
          <w:sz w:val="24"/>
          <w:szCs w:val="24"/>
        </w:rPr>
        <w:t>, Hampel H, Zhou XP, Schulz NP, Suhy A, Deveci M, Çatalyürek ÜV, Ewart Toland A. Allele-specific imbalance mapping at human orthologs of mouse susceptibility to colon cancer (Scc) loci. </w:t>
      </w:r>
      <w:r w:rsidRPr="0097458B">
        <w:rPr>
          <w:rFonts w:ascii="Book Antiqua" w:hAnsi="Book Antiqua" w:cs="Times New Roman"/>
          <w:i/>
          <w:iCs/>
          <w:noProof/>
          <w:color w:val="000000" w:themeColor="text1"/>
          <w:sz w:val="24"/>
          <w:szCs w:val="24"/>
        </w:rPr>
        <w:t>Int J Cancer</w:t>
      </w:r>
      <w:r w:rsidRPr="0097458B">
        <w:rPr>
          <w:rFonts w:ascii="Book Antiqua" w:hAnsi="Book Antiqua" w:cs="Times New Roman"/>
          <w:noProof/>
          <w:color w:val="000000" w:themeColor="text1"/>
          <w:sz w:val="24"/>
          <w:szCs w:val="24"/>
        </w:rPr>
        <w:t> 2015; </w:t>
      </w:r>
      <w:r w:rsidRPr="0097458B">
        <w:rPr>
          <w:rFonts w:ascii="Book Antiqua" w:hAnsi="Book Antiqua" w:cs="Times New Roman"/>
          <w:b/>
          <w:bCs/>
          <w:noProof/>
          <w:color w:val="000000" w:themeColor="text1"/>
          <w:sz w:val="24"/>
          <w:szCs w:val="24"/>
        </w:rPr>
        <w:t>137</w:t>
      </w:r>
      <w:r w:rsidRPr="0097458B">
        <w:rPr>
          <w:rFonts w:ascii="Book Antiqua" w:hAnsi="Book Antiqua" w:cs="Times New Roman"/>
          <w:noProof/>
          <w:color w:val="000000" w:themeColor="text1"/>
          <w:sz w:val="24"/>
          <w:szCs w:val="24"/>
        </w:rPr>
        <w:t>: 2323-2331 [PMID: 25973956 DOI: 10.1002/ijc.29599]</w:t>
      </w:r>
    </w:p>
    <w:p w14:paraId="5B85E650" w14:textId="77777777" w:rsidR="0097458B" w:rsidRPr="0097458B" w:rsidRDefault="0097458B" w:rsidP="0097458B">
      <w:pPr>
        <w:widowControl/>
        <w:adjustRightInd w:val="0"/>
        <w:snapToGrid w:val="0"/>
        <w:spacing w:line="360" w:lineRule="auto"/>
        <w:rPr>
          <w:rFonts w:ascii="Book Antiqua" w:hAnsi="Book Antiqua" w:cs="Times New Roman"/>
          <w:noProof/>
          <w:color w:val="000000" w:themeColor="text1"/>
          <w:sz w:val="24"/>
          <w:szCs w:val="24"/>
        </w:rPr>
      </w:pPr>
      <w:r w:rsidRPr="0097458B">
        <w:rPr>
          <w:rFonts w:ascii="Book Antiqua" w:hAnsi="Book Antiqua" w:cs="Times New Roman"/>
          <w:noProof/>
          <w:color w:val="000000" w:themeColor="text1"/>
          <w:sz w:val="24"/>
          <w:szCs w:val="24"/>
        </w:rPr>
        <w:t>31 </w:t>
      </w:r>
      <w:r w:rsidRPr="0097458B">
        <w:rPr>
          <w:rFonts w:ascii="Book Antiqua" w:hAnsi="Book Antiqua" w:cs="Times New Roman"/>
          <w:b/>
          <w:bCs/>
          <w:noProof/>
          <w:color w:val="000000" w:themeColor="text1"/>
          <w:sz w:val="24"/>
          <w:szCs w:val="24"/>
        </w:rPr>
        <w:t>Cervantes-Anaya N</w:t>
      </w:r>
      <w:r w:rsidRPr="0097458B">
        <w:rPr>
          <w:rFonts w:ascii="Book Antiqua" w:hAnsi="Book Antiqua" w:cs="Times New Roman"/>
          <w:noProof/>
          <w:color w:val="000000" w:themeColor="text1"/>
          <w:sz w:val="24"/>
          <w:szCs w:val="24"/>
        </w:rPr>
        <w:t>, Ponciano-Gómez A, López-Álvarez GS, Gonzalez-Reyes C, Hernández-Garcia S, Cabañas-Cortes MA, Garrido-Guerrero JE, Villa-Treviño S. Downregulation of sorting nexin 10 is associated with overexpression of miR-30d during liver cancer progression in rats. </w:t>
      </w:r>
      <w:r w:rsidRPr="0097458B">
        <w:rPr>
          <w:rFonts w:ascii="Book Antiqua" w:hAnsi="Book Antiqua" w:cs="Times New Roman"/>
          <w:i/>
          <w:iCs/>
          <w:noProof/>
          <w:color w:val="000000" w:themeColor="text1"/>
          <w:sz w:val="24"/>
          <w:szCs w:val="24"/>
        </w:rPr>
        <w:t>Tumour Biol</w:t>
      </w:r>
      <w:r w:rsidRPr="0097458B">
        <w:rPr>
          <w:rFonts w:ascii="Book Antiqua" w:hAnsi="Book Antiqua" w:cs="Times New Roman"/>
          <w:noProof/>
          <w:color w:val="000000" w:themeColor="text1"/>
          <w:sz w:val="24"/>
          <w:szCs w:val="24"/>
        </w:rPr>
        <w:t> 2017; </w:t>
      </w:r>
      <w:r w:rsidRPr="0097458B">
        <w:rPr>
          <w:rFonts w:ascii="Book Antiqua" w:hAnsi="Book Antiqua" w:cs="Times New Roman"/>
          <w:b/>
          <w:bCs/>
          <w:noProof/>
          <w:color w:val="000000" w:themeColor="text1"/>
          <w:sz w:val="24"/>
          <w:szCs w:val="24"/>
        </w:rPr>
        <w:t>39</w:t>
      </w:r>
      <w:r w:rsidRPr="0097458B">
        <w:rPr>
          <w:rFonts w:ascii="Book Antiqua" w:hAnsi="Book Antiqua" w:cs="Times New Roman"/>
          <w:noProof/>
          <w:color w:val="000000" w:themeColor="text1"/>
          <w:sz w:val="24"/>
          <w:szCs w:val="24"/>
        </w:rPr>
        <w:t>: 1010428317695932 [PMID: 28381192 DOI: 10.1177/1010428317695932]</w:t>
      </w:r>
    </w:p>
    <w:p w14:paraId="6A79D9DC" w14:textId="38DE4F4A" w:rsidR="007102FA" w:rsidRDefault="007102FA" w:rsidP="00FE1156">
      <w:pPr>
        <w:widowControl/>
        <w:adjustRightInd w:val="0"/>
        <w:snapToGrid w:val="0"/>
        <w:spacing w:line="360" w:lineRule="auto"/>
        <w:rPr>
          <w:rFonts w:ascii="Book Antiqua" w:hAnsi="Book Antiqua" w:cs="Times New Roman"/>
          <w:color w:val="000000" w:themeColor="text1"/>
          <w:sz w:val="24"/>
          <w:szCs w:val="24"/>
        </w:rPr>
      </w:pPr>
    </w:p>
    <w:p w14:paraId="4888A49C" w14:textId="0CB42793" w:rsidR="00C15A68" w:rsidRPr="00C15A68" w:rsidRDefault="00C15A68" w:rsidP="00C15A68">
      <w:pPr>
        <w:wordWrap w:val="0"/>
        <w:snapToGrid w:val="0"/>
        <w:spacing w:line="360" w:lineRule="auto"/>
        <w:jc w:val="right"/>
        <w:rPr>
          <w:rFonts w:ascii="Book Antiqua" w:hAnsi="Book Antiqua"/>
          <w:b/>
          <w:bCs/>
          <w:sz w:val="24"/>
          <w:szCs w:val="24"/>
        </w:rPr>
      </w:pPr>
      <w:bookmarkStart w:id="60" w:name="OLE_LINK148"/>
      <w:bookmarkStart w:id="61" w:name="OLE_LINK320"/>
      <w:bookmarkStart w:id="62" w:name="OLE_LINK387"/>
      <w:bookmarkStart w:id="63" w:name="OLE_LINK254"/>
      <w:bookmarkStart w:id="64" w:name="OLE_LINK149"/>
      <w:bookmarkStart w:id="65" w:name="OLE_LINK225"/>
      <w:bookmarkStart w:id="66" w:name="OLE_LINK207"/>
      <w:bookmarkStart w:id="67" w:name="OLE_LINK226"/>
      <w:bookmarkStart w:id="68" w:name="OLE_LINK212"/>
      <w:bookmarkStart w:id="69" w:name="OLE_LINK250"/>
      <w:bookmarkStart w:id="70" w:name="OLE_LINK281"/>
      <w:bookmarkStart w:id="71" w:name="OLE_LINK282"/>
      <w:bookmarkStart w:id="72" w:name="OLE_LINK313"/>
      <w:bookmarkStart w:id="73" w:name="OLE_LINK304"/>
      <w:bookmarkStart w:id="74" w:name="OLE_LINK321"/>
      <w:bookmarkStart w:id="75" w:name="OLE_LINK385"/>
      <w:bookmarkStart w:id="76" w:name="OLE_LINK400"/>
      <w:bookmarkStart w:id="77" w:name="OLE_LINK346"/>
      <w:bookmarkStart w:id="78" w:name="OLE_LINK371"/>
      <w:bookmarkStart w:id="79" w:name="OLE_LINK334"/>
      <w:bookmarkStart w:id="80" w:name="OLE_LINK1830"/>
      <w:bookmarkStart w:id="81" w:name="OLE_LINK457"/>
      <w:bookmarkStart w:id="82" w:name="OLE_LINK288"/>
      <w:bookmarkStart w:id="83" w:name="OLE_LINK384"/>
      <w:bookmarkStart w:id="84" w:name="OLE_LINK379"/>
      <w:bookmarkStart w:id="85" w:name="OLE_LINK303"/>
      <w:bookmarkStart w:id="86" w:name="OLE_LINK450"/>
      <w:bookmarkStart w:id="87" w:name="OLE_LINK489"/>
      <w:bookmarkStart w:id="88" w:name="OLE_LINK535"/>
      <w:bookmarkStart w:id="89" w:name="OLE_LINK648"/>
      <w:bookmarkStart w:id="90" w:name="OLE_LINK686"/>
      <w:bookmarkStart w:id="91" w:name="OLE_LINK471"/>
      <w:bookmarkStart w:id="92" w:name="OLE_LINK462"/>
      <w:bookmarkStart w:id="93" w:name="OLE_LINK519"/>
      <w:bookmarkStart w:id="94" w:name="OLE_LINK575"/>
      <w:bookmarkStart w:id="95" w:name="OLE_LINK491"/>
      <w:bookmarkStart w:id="96" w:name="OLE_LINK532"/>
      <w:bookmarkStart w:id="97" w:name="OLE_LINK572"/>
      <w:bookmarkStart w:id="98" w:name="OLE_LINK574"/>
      <w:bookmarkStart w:id="99" w:name="OLE_LINK480"/>
      <w:bookmarkStart w:id="100" w:name="OLE_LINK567"/>
      <w:bookmarkStart w:id="101" w:name="OLE_LINK2700"/>
      <w:bookmarkStart w:id="102" w:name="OLE_LINK581"/>
      <w:bookmarkStart w:id="103" w:name="OLE_LINK639"/>
      <w:bookmarkStart w:id="104" w:name="OLE_LINK688"/>
      <w:bookmarkStart w:id="105" w:name="OLE_LINK722"/>
      <w:bookmarkStart w:id="106" w:name="OLE_LINK542"/>
      <w:bookmarkStart w:id="107" w:name="OLE_LINK589"/>
      <w:bookmarkStart w:id="108" w:name="OLE_LINK582"/>
      <w:bookmarkStart w:id="109" w:name="OLE_LINK640"/>
      <w:bookmarkStart w:id="110" w:name="OLE_LINK714"/>
      <w:bookmarkStart w:id="111" w:name="OLE_LINK593"/>
      <w:bookmarkStart w:id="112" w:name="OLE_LINK716"/>
      <w:bookmarkStart w:id="113" w:name="OLE_LINK770"/>
      <w:bookmarkStart w:id="114" w:name="OLE_LINK801"/>
      <w:bookmarkStart w:id="115" w:name="OLE_LINK660"/>
      <w:bookmarkStart w:id="116" w:name="OLE_LINK781"/>
      <w:bookmarkStart w:id="117" w:name="OLE_LINK833"/>
      <w:bookmarkStart w:id="118" w:name="OLE_LINK642"/>
      <w:bookmarkStart w:id="119" w:name="OLE_LINK700"/>
      <w:bookmarkStart w:id="120" w:name="OLE_LINK792"/>
      <w:bookmarkStart w:id="121" w:name="OLE_LINK2882"/>
      <w:bookmarkStart w:id="122" w:name="OLE_LINK836"/>
      <w:bookmarkStart w:id="123" w:name="OLE_LINK889"/>
      <w:bookmarkStart w:id="124" w:name="OLE_LINK782"/>
      <w:bookmarkStart w:id="125" w:name="OLE_LINK826"/>
      <w:bookmarkStart w:id="126" w:name="OLE_LINK865"/>
      <w:bookmarkStart w:id="127" w:name="OLE_LINK856"/>
      <w:bookmarkStart w:id="128" w:name="OLE_LINK908"/>
      <w:bookmarkStart w:id="129" w:name="OLE_LINK980"/>
      <w:bookmarkStart w:id="130" w:name="OLE_LINK1018"/>
      <w:bookmarkStart w:id="131" w:name="OLE_LINK1049"/>
      <w:bookmarkStart w:id="132" w:name="OLE_LINK1076"/>
      <w:bookmarkStart w:id="133" w:name="OLE_LINK1106"/>
      <w:bookmarkStart w:id="134" w:name="OLE_LINK891"/>
      <w:bookmarkStart w:id="135" w:name="OLE_LINK943"/>
      <w:bookmarkStart w:id="136" w:name="OLE_LINK981"/>
      <w:bookmarkStart w:id="137" w:name="OLE_LINK1030"/>
      <w:bookmarkStart w:id="138" w:name="OLE_LINK847"/>
      <w:bookmarkStart w:id="139" w:name="OLE_LINK909"/>
      <w:bookmarkStart w:id="140" w:name="OLE_LINK906"/>
      <w:bookmarkStart w:id="141" w:name="OLE_LINK992"/>
      <w:bookmarkStart w:id="142" w:name="OLE_LINK993"/>
      <w:bookmarkStart w:id="143" w:name="OLE_LINK1052"/>
      <w:bookmarkStart w:id="144" w:name="OLE_LINK946"/>
      <w:bookmarkStart w:id="145" w:name="OLE_LINK911"/>
      <w:bookmarkStart w:id="146" w:name="OLE_LINK930"/>
      <w:bookmarkStart w:id="147" w:name="OLE_LINK1059"/>
      <w:bookmarkStart w:id="148" w:name="OLE_LINK1174"/>
      <w:bookmarkStart w:id="149" w:name="OLE_LINK1137"/>
      <w:bookmarkStart w:id="150" w:name="OLE_LINK1167"/>
      <w:bookmarkStart w:id="151" w:name="OLE_LINK1200"/>
      <w:bookmarkStart w:id="152" w:name="OLE_LINK1241"/>
      <w:bookmarkStart w:id="153" w:name="OLE_LINK1288"/>
      <w:bookmarkStart w:id="154" w:name="OLE_LINK1056"/>
      <w:bookmarkStart w:id="155" w:name="OLE_LINK1158"/>
      <w:bookmarkStart w:id="156" w:name="OLE_LINK1175"/>
      <w:bookmarkStart w:id="157" w:name="OLE_LINK1074"/>
      <w:bookmarkStart w:id="158" w:name="OLE_LINK1169"/>
      <w:r w:rsidRPr="00C15A68">
        <w:rPr>
          <w:rFonts w:ascii="Book Antiqua" w:hAnsi="Book Antiqua"/>
          <w:b/>
          <w:bCs/>
          <w:sz w:val="24"/>
          <w:szCs w:val="24"/>
        </w:rPr>
        <w:t>P-Reviewer:</w:t>
      </w:r>
      <w:r w:rsidRPr="00C15A68">
        <w:rPr>
          <w:rFonts w:ascii="Book Antiqua" w:hAnsi="Book Antiqua" w:hint="eastAsia"/>
          <w:b/>
          <w:bCs/>
          <w:sz w:val="24"/>
          <w:szCs w:val="24"/>
        </w:rPr>
        <w:t xml:space="preserve"> </w:t>
      </w:r>
      <w:r>
        <w:rPr>
          <w:rFonts w:ascii="Book Antiqua" w:hAnsi="Book Antiqua"/>
          <w:bCs/>
          <w:sz w:val="24"/>
          <w:szCs w:val="24"/>
        </w:rPr>
        <w:t>D’Ugo DM, Lim SJ</w:t>
      </w:r>
    </w:p>
    <w:p w14:paraId="3D1FE0B8" w14:textId="77777777" w:rsidR="00C15A68" w:rsidRPr="00C15A68" w:rsidRDefault="00C15A68" w:rsidP="00C15A68">
      <w:pPr>
        <w:snapToGrid w:val="0"/>
        <w:spacing w:line="360" w:lineRule="auto"/>
        <w:jc w:val="right"/>
        <w:rPr>
          <w:rFonts w:ascii="Book Antiqua" w:hAnsi="Book Antiqua"/>
          <w:sz w:val="24"/>
          <w:szCs w:val="24"/>
        </w:rPr>
      </w:pPr>
      <w:r w:rsidRPr="00C15A68">
        <w:rPr>
          <w:rFonts w:ascii="Book Antiqua" w:hAnsi="Book Antiqua"/>
          <w:b/>
          <w:bCs/>
          <w:sz w:val="24"/>
          <w:szCs w:val="24"/>
        </w:rPr>
        <w:t>S-Editor:</w:t>
      </w:r>
      <w:r w:rsidRPr="00C15A68">
        <w:rPr>
          <w:rFonts w:ascii="Book Antiqua" w:hAnsi="Book Antiqua" w:hint="eastAsia"/>
          <w:sz w:val="24"/>
          <w:szCs w:val="24"/>
        </w:rPr>
        <w:t xml:space="preserve"> </w:t>
      </w:r>
      <w:r w:rsidRPr="00C15A68">
        <w:rPr>
          <w:rFonts w:ascii="Book Antiqua" w:hAnsi="Book Antiqua"/>
          <w:sz w:val="24"/>
          <w:szCs w:val="24"/>
        </w:rPr>
        <w:t>Ma</w:t>
      </w:r>
      <w:r w:rsidRPr="00C15A68">
        <w:rPr>
          <w:rFonts w:ascii="Book Antiqua" w:hAnsi="Book Antiqua" w:hint="eastAsia"/>
          <w:sz w:val="24"/>
          <w:szCs w:val="24"/>
        </w:rPr>
        <w:t xml:space="preserve"> </w:t>
      </w:r>
      <w:r w:rsidRPr="00C15A68">
        <w:rPr>
          <w:rFonts w:ascii="Book Antiqua" w:hAnsi="Book Antiqua"/>
          <w:sz w:val="24"/>
          <w:szCs w:val="24"/>
        </w:rPr>
        <w:t>RY</w:t>
      </w:r>
      <w:r w:rsidRPr="00C15A68">
        <w:rPr>
          <w:rFonts w:ascii="Book Antiqua" w:hAnsi="Book Antiqua" w:hint="eastAsia"/>
          <w:sz w:val="24"/>
          <w:szCs w:val="24"/>
        </w:rPr>
        <w:t xml:space="preserve"> </w:t>
      </w:r>
      <w:r w:rsidRPr="00C15A68">
        <w:rPr>
          <w:rFonts w:ascii="Book Antiqua" w:hAnsi="Book Antiqua"/>
          <w:b/>
          <w:bCs/>
          <w:sz w:val="24"/>
          <w:szCs w:val="24"/>
        </w:rPr>
        <w:t>L-Editor:</w:t>
      </w:r>
      <w:r w:rsidRPr="00C15A68">
        <w:rPr>
          <w:rFonts w:ascii="Book Antiqua" w:hAnsi="Book Antiqua"/>
          <w:sz w:val="24"/>
          <w:szCs w:val="24"/>
        </w:rPr>
        <w:t xml:space="preserve"> </w:t>
      </w:r>
      <w:r w:rsidRPr="00C15A68">
        <w:rPr>
          <w:rFonts w:ascii="Book Antiqua" w:hAnsi="Book Antiqua"/>
          <w:b/>
          <w:bCs/>
          <w:sz w:val="24"/>
          <w:szCs w:val="24"/>
        </w:rPr>
        <w:t>E-Editor:</w:t>
      </w:r>
    </w:p>
    <w:p w14:paraId="0AFCC9D7" w14:textId="77777777" w:rsidR="00C15A68" w:rsidRPr="00C15A68" w:rsidRDefault="00C15A68" w:rsidP="00C15A68">
      <w:pPr>
        <w:shd w:val="clear" w:color="auto" w:fill="FFFFFF"/>
        <w:snapToGrid w:val="0"/>
        <w:spacing w:line="360" w:lineRule="auto"/>
        <w:rPr>
          <w:rFonts w:ascii="Book Antiqua" w:hAnsi="Book Antiqua" w:cs="Helvetica"/>
          <w:b/>
          <w:sz w:val="24"/>
          <w:szCs w:val="24"/>
        </w:rPr>
      </w:pPr>
      <w:bookmarkStart w:id="159" w:name="OLE_LINK880"/>
      <w:bookmarkStart w:id="160" w:name="OLE_LINK88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C15A68">
        <w:rPr>
          <w:rFonts w:ascii="Book Antiqua" w:hAnsi="Book Antiqua" w:cs="Helvetica"/>
          <w:b/>
          <w:sz w:val="24"/>
          <w:szCs w:val="24"/>
        </w:rPr>
        <w:t xml:space="preserve">Specialty type: </w:t>
      </w:r>
      <w:r w:rsidRPr="00C15A68">
        <w:rPr>
          <w:rFonts w:ascii="Book Antiqua" w:hAnsi="Book Antiqua" w:cs="Helvetica"/>
          <w:sz w:val="24"/>
          <w:szCs w:val="24"/>
        </w:rPr>
        <w:t>Gastroenterology and</w:t>
      </w:r>
      <w:r w:rsidRPr="00C15A68">
        <w:rPr>
          <w:rFonts w:ascii="Book Antiqua" w:hAnsi="Book Antiqua" w:cs="Helvetica" w:hint="eastAsia"/>
          <w:sz w:val="24"/>
          <w:szCs w:val="24"/>
        </w:rPr>
        <w:t xml:space="preserve"> </w:t>
      </w:r>
      <w:r w:rsidRPr="00C15A68">
        <w:rPr>
          <w:rFonts w:ascii="Book Antiqua" w:hAnsi="Book Antiqua" w:cs="Helvetica"/>
          <w:sz w:val="24"/>
          <w:szCs w:val="24"/>
        </w:rPr>
        <w:t>hepatology</w:t>
      </w:r>
    </w:p>
    <w:p w14:paraId="1ED7EC2A" w14:textId="77777777" w:rsidR="00C15A68" w:rsidRPr="00C15A68" w:rsidRDefault="00C15A68" w:rsidP="00C15A68">
      <w:pPr>
        <w:shd w:val="clear" w:color="auto" w:fill="FFFFFF"/>
        <w:snapToGrid w:val="0"/>
        <w:spacing w:line="360" w:lineRule="auto"/>
        <w:rPr>
          <w:rFonts w:ascii="Book Antiqua" w:hAnsi="Book Antiqua" w:cs="Helvetica"/>
          <w:b/>
          <w:sz w:val="24"/>
          <w:szCs w:val="24"/>
        </w:rPr>
      </w:pPr>
      <w:r w:rsidRPr="00C15A68">
        <w:rPr>
          <w:rFonts w:ascii="Book Antiqua" w:hAnsi="Book Antiqua" w:cs="Helvetica"/>
          <w:b/>
          <w:sz w:val="24"/>
          <w:szCs w:val="24"/>
        </w:rPr>
        <w:t xml:space="preserve">Country of origin: </w:t>
      </w:r>
      <w:r w:rsidRPr="00C15A68">
        <w:rPr>
          <w:rFonts w:ascii="Book Antiqua" w:hAnsi="Book Antiqua" w:cs="Helvetica"/>
          <w:sz w:val="24"/>
          <w:szCs w:val="24"/>
          <w:lang w:val="en-CA"/>
        </w:rPr>
        <w:t>China</w:t>
      </w:r>
    </w:p>
    <w:p w14:paraId="5C8BBD6E" w14:textId="77777777" w:rsidR="00C15A68" w:rsidRPr="00C15A68" w:rsidRDefault="00C15A68" w:rsidP="00C15A68">
      <w:pPr>
        <w:shd w:val="clear" w:color="auto" w:fill="FFFFFF"/>
        <w:snapToGrid w:val="0"/>
        <w:spacing w:line="360" w:lineRule="auto"/>
        <w:rPr>
          <w:rFonts w:ascii="Book Antiqua" w:hAnsi="Book Antiqua" w:cs="Helvetica"/>
          <w:b/>
          <w:sz w:val="24"/>
          <w:szCs w:val="24"/>
        </w:rPr>
      </w:pPr>
      <w:r w:rsidRPr="00C15A68">
        <w:rPr>
          <w:rFonts w:ascii="Book Antiqua" w:hAnsi="Book Antiqua" w:cs="Helvetica"/>
          <w:b/>
          <w:sz w:val="24"/>
          <w:szCs w:val="24"/>
        </w:rPr>
        <w:t>Peer-review report classification</w:t>
      </w:r>
    </w:p>
    <w:p w14:paraId="77EF0B4F" w14:textId="77777777" w:rsidR="00C15A68" w:rsidRPr="00C15A68" w:rsidRDefault="00C15A68" w:rsidP="00C15A68">
      <w:pPr>
        <w:shd w:val="clear" w:color="auto" w:fill="FFFFFF"/>
        <w:snapToGrid w:val="0"/>
        <w:spacing w:line="360" w:lineRule="auto"/>
        <w:rPr>
          <w:rFonts w:ascii="Book Antiqua" w:hAnsi="Book Antiqua" w:cs="Helvetica"/>
          <w:sz w:val="24"/>
          <w:szCs w:val="24"/>
        </w:rPr>
      </w:pPr>
      <w:r w:rsidRPr="00C15A68">
        <w:rPr>
          <w:rFonts w:ascii="Book Antiqua" w:hAnsi="Book Antiqua" w:cs="Helvetica"/>
          <w:sz w:val="24"/>
          <w:szCs w:val="24"/>
        </w:rPr>
        <w:lastRenderedPageBreak/>
        <w:t xml:space="preserve">Grade A (Excellent): </w:t>
      </w:r>
      <w:r w:rsidRPr="00C15A68">
        <w:rPr>
          <w:rFonts w:ascii="Book Antiqua" w:hAnsi="Book Antiqua" w:cs="Helvetica" w:hint="eastAsia"/>
          <w:sz w:val="24"/>
          <w:szCs w:val="24"/>
        </w:rPr>
        <w:t>0</w:t>
      </w:r>
    </w:p>
    <w:p w14:paraId="2891DA8D" w14:textId="32049625" w:rsidR="00C15A68" w:rsidRPr="00C15A68" w:rsidRDefault="00C15A68" w:rsidP="00C15A68">
      <w:pPr>
        <w:shd w:val="clear" w:color="auto" w:fill="FFFFFF"/>
        <w:snapToGrid w:val="0"/>
        <w:spacing w:line="360" w:lineRule="auto"/>
        <w:rPr>
          <w:rFonts w:ascii="Book Antiqua" w:hAnsi="Book Antiqua" w:cs="Helvetica"/>
          <w:sz w:val="24"/>
          <w:szCs w:val="24"/>
        </w:rPr>
      </w:pPr>
      <w:r w:rsidRPr="00C15A68">
        <w:rPr>
          <w:rFonts w:ascii="Book Antiqua" w:hAnsi="Book Antiqua" w:cs="Helvetica"/>
          <w:sz w:val="24"/>
          <w:szCs w:val="24"/>
        </w:rPr>
        <w:t xml:space="preserve">Grade B (Very good): </w:t>
      </w:r>
      <w:r>
        <w:rPr>
          <w:rFonts w:ascii="Book Antiqua" w:hAnsi="Book Antiqua" w:cs="Helvetica" w:hint="eastAsia"/>
          <w:sz w:val="24"/>
          <w:szCs w:val="24"/>
        </w:rPr>
        <w:t>0</w:t>
      </w:r>
    </w:p>
    <w:p w14:paraId="7E7A08A5" w14:textId="77777777" w:rsidR="00C15A68" w:rsidRPr="00C15A68" w:rsidRDefault="00C15A68" w:rsidP="00C15A68">
      <w:pPr>
        <w:shd w:val="clear" w:color="auto" w:fill="FFFFFF"/>
        <w:snapToGrid w:val="0"/>
        <w:spacing w:line="360" w:lineRule="auto"/>
        <w:rPr>
          <w:rFonts w:ascii="Book Antiqua" w:hAnsi="Book Antiqua" w:cs="Helvetica"/>
          <w:sz w:val="24"/>
          <w:szCs w:val="24"/>
        </w:rPr>
      </w:pPr>
      <w:r w:rsidRPr="00C15A68">
        <w:rPr>
          <w:rFonts w:ascii="Book Antiqua" w:hAnsi="Book Antiqua" w:cs="Helvetica"/>
          <w:sz w:val="24"/>
          <w:szCs w:val="24"/>
        </w:rPr>
        <w:t xml:space="preserve">Grade C (Good): </w:t>
      </w:r>
      <w:r w:rsidRPr="00C15A68">
        <w:rPr>
          <w:rFonts w:ascii="Book Antiqua" w:hAnsi="Book Antiqua" w:cs="Helvetica" w:hint="eastAsia"/>
          <w:sz w:val="24"/>
          <w:szCs w:val="24"/>
        </w:rPr>
        <w:t>C, C</w:t>
      </w:r>
    </w:p>
    <w:p w14:paraId="2AAA8F57" w14:textId="77777777" w:rsidR="00C15A68" w:rsidRPr="00C15A68" w:rsidRDefault="00C15A68" w:rsidP="00C15A68">
      <w:pPr>
        <w:shd w:val="clear" w:color="auto" w:fill="FFFFFF"/>
        <w:snapToGrid w:val="0"/>
        <w:spacing w:line="360" w:lineRule="auto"/>
        <w:rPr>
          <w:rFonts w:ascii="Book Antiqua" w:hAnsi="Book Antiqua" w:cs="Helvetica"/>
          <w:sz w:val="24"/>
          <w:szCs w:val="24"/>
        </w:rPr>
      </w:pPr>
      <w:r w:rsidRPr="00C15A68">
        <w:rPr>
          <w:rFonts w:ascii="Book Antiqua" w:hAnsi="Book Antiqua" w:cs="Helvetica"/>
          <w:sz w:val="24"/>
          <w:szCs w:val="24"/>
        </w:rPr>
        <w:t xml:space="preserve">Grade D (Fair): </w:t>
      </w:r>
      <w:r w:rsidRPr="00C15A68">
        <w:rPr>
          <w:rFonts w:ascii="Book Antiqua" w:hAnsi="Book Antiqua" w:cs="Helvetica" w:hint="eastAsia"/>
          <w:sz w:val="24"/>
          <w:szCs w:val="24"/>
        </w:rPr>
        <w:t>0</w:t>
      </w:r>
    </w:p>
    <w:p w14:paraId="6C49B792" w14:textId="77777777" w:rsidR="00C15A68" w:rsidRPr="00C15A68" w:rsidRDefault="00C15A68" w:rsidP="00C15A68">
      <w:pPr>
        <w:snapToGrid w:val="0"/>
        <w:spacing w:line="360" w:lineRule="auto"/>
        <w:rPr>
          <w:rFonts w:ascii="Book Antiqua" w:hAnsi="Book Antiqua"/>
          <w:b/>
          <w:iCs/>
          <w:sz w:val="24"/>
          <w:szCs w:val="24"/>
        </w:rPr>
      </w:pPr>
      <w:r w:rsidRPr="00C15A68">
        <w:rPr>
          <w:rFonts w:ascii="Book Antiqua" w:hAnsi="Book Antiqua" w:cs="Helvetica"/>
          <w:sz w:val="24"/>
          <w:szCs w:val="24"/>
        </w:rPr>
        <w:t xml:space="preserve">Grade E (Poor): </w:t>
      </w:r>
      <w:r w:rsidRPr="00C15A68">
        <w:rPr>
          <w:rFonts w:ascii="Book Antiqua" w:hAnsi="Book Antiqua" w:cs="Helvetica" w:hint="eastAsia"/>
          <w:sz w:val="24"/>
          <w:szCs w:val="24"/>
        </w:rPr>
        <w:t>0</w:t>
      </w:r>
      <w:bookmarkEnd w:id="159"/>
      <w:bookmarkEnd w:id="160"/>
    </w:p>
    <w:p w14:paraId="4394AD50" w14:textId="77777777" w:rsidR="00C15A68" w:rsidRPr="00C15A68" w:rsidRDefault="00C15A68" w:rsidP="00FE1156">
      <w:pPr>
        <w:widowControl/>
        <w:adjustRightInd w:val="0"/>
        <w:snapToGrid w:val="0"/>
        <w:spacing w:line="360" w:lineRule="auto"/>
        <w:rPr>
          <w:rFonts w:ascii="Book Antiqua" w:hAnsi="Book Antiqua" w:cs="Times New Roman"/>
          <w:noProof/>
          <w:color w:val="000000" w:themeColor="text1"/>
          <w:sz w:val="24"/>
          <w:szCs w:val="24"/>
        </w:rPr>
      </w:pPr>
    </w:p>
    <w:p w14:paraId="3AEBB78F" w14:textId="77777777" w:rsidR="00C15A68" w:rsidRDefault="00C15A68">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FA7C1F5" w14:textId="5D801D3D" w:rsidR="007102FA" w:rsidRPr="00634F19" w:rsidRDefault="00D21555" w:rsidP="00FE1156">
      <w:pPr>
        <w:adjustRightInd w:val="0"/>
        <w:snapToGrid w:val="0"/>
        <w:spacing w:line="360" w:lineRule="auto"/>
        <w:rPr>
          <w:rFonts w:ascii="Book Antiqua" w:hAnsi="Book Antiqua" w:cs="Times New Roman"/>
          <w:b/>
          <w:color w:val="000000" w:themeColor="text1"/>
          <w:sz w:val="24"/>
          <w:szCs w:val="24"/>
        </w:rPr>
      </w:pPr>
      <w:r w:rsidRPr="00634F19">
        <w:rPr>
          <w:rFonts w:ascii="Book Antiqua" w:hAnsi="Book Antiqua" w:cs="Times New Roman"/>
          <w:b/>
          <w:color w:val="000000" w:themeColor="text1"/>
          <w:sz w:val="24"/>
          <w:szCs w:val="24"/>
        </w:rPr>
        <w:lastRenderedPageBreak/>
        <w:t>Table 1</w:t>
      </w:r>
      <w:r w:rsidR="007102FA" w:rsidRPr="00634F19">
        <w:rPr>
          <w:rFonts w:ascii="Book Antiqua" w:hAnsi="Book Antiqua" w:cs="Times New Roman"/>
          <w:b/>
          <w:color w:val="000000" w:themeColor="text1"/>
          <w:sz w:val="24"/>
          <w:szCs w:val="24"/>
        </w:rPr>
        <w:t xml:space="preserve"> Patients characteristic</w:t>
      </w:r>
      <w:r w:rsidRPr="00634F19">
        <w:rPr>
          <w:rFonts w:ascii="Book Antiqua" w:hAnsi="Book Antiqua" w:cs="Times New Roman"/>
          <w:b/>
          <w:color w:val="000000" w:themeColor="text1"/>
          <w:sz w:val="24"/>
          <w:szCs w:val="24"/>
        </w:rPr>
        <w:t>s and u</w:t>
      </w:r>
      <w:r w:rsidR="00D06AC5" w:rsidRPr="00634F19">
        <w:rPr>
          <w:rFonts w:ascii="Book Antiqua" w:hAnsi="Book Antiqua" w:cs="Times New Roman"/>
          <w:b/>
          <w:color w:val="000000" w:themeColor="text1"/>
          <w:sz w:val="24"/>
          <w:szCs w:val="24"/>
        </w:rPr>
        <w:t>nivariate analysis (</w:t>
      </w:r>
      <w:r w:rsidR="00D06AC5" w:rsidRPr="00634F19">
        <w:rPr>
          <w:rFonts w:ascii="Book Antiqua" w:hAnsi="Book Antiqua" w:cs="Times New Roman"/>
          <w:b/>
          <w:i/>
          <w:color w:val="000000" w:themeColor="text1"/>
          <w:sz w:val="24"/>
          <w:szCs w:val="24"/>
        </w:rPr>
        <w:t>n</w:t>
      </w:r>
      <w:r w:rsidRPr="00634F19">
        <w:rPr>
          <w:rFonts w:ascii="Book Antiqua" w:hAnsi="Book Antiqua" w:cs="Times New Roman"/>
          <w:b/>
          <w:color w:val="000000" w:themeColor="text1"/>
          <w:sz w:val="24"/>
          <w:szCs w:val="24"/>
        </w:rPr>
        <w:t xml:space="preserve"> </w:t>
      </w:r>
      <w:r w:rsidR="00D06AC5" w:rsidRPr="00634F19">
        <w:rPr>
          <w:rFonts w:ascii="Book Antiqua" w:hAnsi="Book Antiqua" w:cs="Times New Roman"/>
          <w:b/>
          <w:color w:val="000000" w:themeColor="text1"/>
          <w:sz w:val="24"/>
          <w:szCs w:val="24"/>
        </w:rPr>
        <w:t>=</w:t>
      </w:r>
      <w:r w:rsidRPr="00634F19">
        <w:rPr>
          <w:rFonts w:ascii="Book Antiqua" w:hAnsi="Book Antiqua" w:cs="Times New Roman"/>
          <w:b/>
          <w:color w:val="000000" w:themeColor="text1"/>
          <w:sz w:val="24"/>
          <w:szCs w:val="24"/>
        </w:rPr>
        <w:t xml:space="preserve"> </w:t>
      </w:r>
      <w:r w:rsidR="00D06AC5" w:rsidRPr="00634F19">
        <w:rPr>
          <w:rFonts w:ascii="Book Antiqua" w:hAnsi="Book Antiqua" w:cs="Times New Roman"/>
          <w:b/>
          <w:color w:val="000000" w:themeColor="text1"/>
          <w:sz w:val="24"/>
          <w:szCs w:val="24"/>
        </w:rPr>
        <w:t>362</w:t>
      </w:r>
      <w:r w:rsidR="007102FA" w:rsidRPr="00634F19">
        <w:rPr>
          <w:rFonts w:ascii="Book Antiqua" w:hAnsi="Book Antiqua" w:cs="Times New Roman"/>
          <w:b/>
          <w:color w:val="000000" w:themeColor="text1"/>
          <w:sz w:val="24"/>
          <w:szCs w:val="24"/>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6"/>
        <w:gridCol w:w="1593"/>
        <w:gridCol w:w="862"/>
        <w:gridCol w:w="829"/>
        <w:gridCol w:w="1014"/>
        <w:gridCol w:w="862"/>
        <w:gridCol w:w="822"/>
        <w:gridCol w:w="1014"/>
      </w:tblGrid>
      <w:tr w:rsidR="00A66C2B" w:rsidRPr="00FE1156" w14:paraId="7B8C2933" w14:textId="77777777" w:rsidTr="00290B76">
        <w:trPr>
          <w:jc w:val="center"/>
        </w:trPr>
        <w:tc>
          <w:tcPr>
            <w:tcW w:w="2826" w:type="dxa"/>
          </w:tcPr>
          <w:p w14:paraId="41C8C991" w14:textId="77777777" w:rsidR="00A66C2B" w:rsidRPr="00FE1156" w:rsidRDefault="00A66C2B" w:rsidP="00FE1156">
            <w:pPr>
              <w:adjustRightInd w:val="0"/>
              <w:snapToGrid w:val="0"/>
              <w:spacing w:line="360" w:lineRule="auto"/>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Characteristics</w:t>
            </w:r>
          </w:p>
        </w:tc>
        <w:tc>
          <w:tcPr>
            <w:tcW w:w="1593" w:type="dxa"/>
          </w:tcPr>
          <w:p w14:paraId="4EE9994A" w14:textId="582DF7A1" w:rsidR="00A66C2B" w:rsidRPr="00FE1156" w:rsidRDefault="00A66C2B" w:rsidP="00D21555">
            <w:pPr>
              <w:adjustRightInd w:val="0"/>
              <w:snapToGrid w:val="0"/>
              <w:spacing w:line="360" w:lineRule="auto"/>
              <w:jc w:val="center"/>
              <w:rPr>
                <w:rFonts w:ascii="Book Antiqua" w:hAnsi="Book Antiqua" w:cs="Times New Roman"/>
                <w:b/>
                <w:color w:val="000000" w:themeColor="text1"/>
                <w:szCs w:val="24"/>
              </w:rPr>
            </w:pPr>
            <w:r>
              <w:rPr>
                <w:rFonts w:ascii="Book Antiqua" w:hAnsi="Book Antiqua" w:cs="Times New Roman"/>
                <w:b/>
                <w:i/>
                <w:color w:val="000000" w:themeColor="text1"/>
                <w:szCs w:val="24"/>
              </w:rPr>
              <w:t xml:space="preserve">n </w:t>
            </w:r>
            <w:r w:rsidRPr="00FE1156">
              <w:rPr>
                <w:rFonts w:ascii="Book Antiqua" w:hAnsi="Book Antiqua" w:cs="Times New Roman"/>
                <w:b/>
                <w:color w:val="000000" w:themeColor="text1"/>
                <w:szCs w:val="24"/>
              </w:rPr>
              <w:t>(%)</w:t>
            </w:r>
          </w:p>
        </w:tc>
        <w:tc>
          <w:tcPr>
            <w:tcW w:w="2705" w:type="dxa"/>
            <w:gridSpan w:val="3"/>
            <w:tcBorders>
              <w:bottom w:val="single" w:sz="4" w:space="0" w:color="auto"/>
            </w:tcBorders>
          </w:tcPr>
          <w:p w14:paraId="0E936AB9" w14:textId="41795D66" w:rsidR="00A66C2B" w:rsidRPr="00FE1156" w:rsidRDefault="00A66C2B" w:rsidP="00D21555">
            <w:pPr>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DFS</w:t>
            </w:r>
          </w:p>
        </w:tc>
        <w:tc>
          <w:tcPr>
            <w:tcW w:w="2698" w:type="dxa"/>
            <w:gridSpan w:val="3"/>
            <w:tcBorders>
              <w:bottom w:val="single" w:sz="4" w:space="0" w:color="auto"/>
            </w:tcBorders>
          </w:tcPr>
          <w:p w14:paraId="344CA614" w14:textId="651091C0" w:rsidR="00A66C2B" w:rsidRPr="00FE1156" w:rsidRDefault="00A66C2B" w:rsidP="00D21555">
            <w:pPr>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OS</w:t>
            </w:r>
          </w:p>
        </w:tc>
      </w:tr>
      <w:tr w:rsidR="00D21555" w:rsidRPr="00FE1156" w14:paraId="405DEBC2" w14:textId="77777777" w:rsidTr="0083000F">
        <w:trPr>
          <w:jc w:val="center"/>
        </w:trPr>
        <w:tc>
          <w:tcPr>
            <w:tcW w:w="2826" w:type="dxa"/>
            <w:tcBorders>
              <w:bottom w:val="single" w:sz="4" w:space="0" w:color="auto"/>
            </w:tcBorders>
          </w:tcPr>
          <w:p w14:paraId="4B1584DC" w14:textId="77777777" w:rsidR="007102FA" w:rsidRPr="00FE1156" w:rsidRDefault="007102FA" w:rsidP="00FE1156">
            <w:pPr>
              <w:adjustRightInd w:val="0"/>
              <w:snapToGrid w:val="0"/>
              <w:spacing w:line="360" w:lineRule="auto"/>
              <w:rPr>
                <w:rFonts w:ascii="Book Antiqua" w:hAnsi="Book Antiqua" w:cs="Times New Roman"/>
                <w:b/>
                <w:color w:val="000000" w:themeColor="text1"/>
                <w:szCs w:val="24"/>
              </w:rPr>
            </w:pPr>
          </w:p>
        </w:tc>
        <w:tc>
          <w:tcPr>
            <w:tcW w:w="1593" w:type="dxa"/>
            <w:tcBorders>
              <w:bottom w:val="single" w:sz="4" w:space="0" w:color="auto"/>
            </w:tcBorders>
          </w:tcPr>
          <w:p w14:paraId="1396C52A" w14:textId="77777777" w:rsidR="007102FA" w:rsidRPr="00FE1156" w:rsidRDefault="007102FA" w:rsidP="00D21555">
            <w:pPr>
              <w:adjustRightInd w:val="0"/>
              <w:snapToGrid w:val="0"/>
              <w:spacing w:line="360" w:lineRule="auto"/>
              <w:jc w:val="center"/>
              <w:rPr>
                <w:rFonts w:ascii="Book Antiqua" w:hAnsi="Book Antiqua" w:cs="Times New Roman"/>
                <w:b/>
                <w:color w:val="000000" w:themeColor="text1"/>
                <w:szCs w:val="24"/>
              </w:rPr>
            </w:pPr>
          </w:p>
        </w:tc>
        <w:tc>
          <w:tcPr>
            <w:tcW w:w="862" w:type="dxa"/>
            <w:tcBorders>
              <w:top w:val="single" w:sz="4" w:space="0" w:color="auto"/>
              <w:bottom w:val="single" w:sz="4" w:space="0" w:color="auto"/>
            </w:tcBorders>
          </w:tcPr>
          <w:p w14:paraId="1A169C8D" w14:textId="560C8801" w:rsidR="007102FA" w:rsidRPr="00FE1156" w:rsidRDefault="00D21555" w:rsidP="00D21555">
            <w:pPr>
              <w:adjustRightInd w:val="0"/>
              <w:snapToGrid w:val="0"/>
              <w:spacing w:line="360" w:lineRule="auto"/>
              <w:jc w:val="center"/>
              <w:rPr>
                <w:rFonts w:ascii="Book Antiqua" w:hAnsi="Book Antiqua" w:cs="Times New Roman"/>
                <w:b/>
                <w:color w:val="000000" w:themeColor="text1"/>
                <w:szCs w:val="24"/>
              </w:rPr>
            </w:pPr>
            <w:r>
              <w:rPr>
                <w:rFonts w:ascii="Book Antiqua" w:hAnsi="Book Antiqua" w:cs="Times New Roman"/>
                <w:b/>
                <w:color w:val="000000" w:themeColor="text1"/>
                <w:szCs w:val="24"/>
              </w:rPr>
              <w:t>Time (</w:t>
            </w:r>
            <w:r w:rsidR="007102FA" w:rsidRPr="00FE1156">
              <w:rPr>
                <w:rFonts w:ascii="Book Antiqua" w:hAnsi="Book Antiqua" w:cs="Times New Roman"/>
                <w:b/>
                <w:color w:val="000000" w:themeColor="text1"/>
                <w:szCs w:val="24"/>
              </w:rPr>
              <w:t>mo</w:t>
            </w:r>
            <w:r>
              <w:rPr>
                <w:rFonts w:ascii="Book Antiqua" w:hAnsi="Book Antiqua" w:cs="Times New Roman"/>
                <w:b/>
                <w:color w:val="000000" w:themeColor="text1"/>
                <w:szCs w:val="24"/>
              </w:rPr>
              <w:t>)</w:t>
            </w:r>
          </w:p>
        </w:tc>
        <w:tc>
          <w:tcPr>
            <w:tcW w:w="829" w:type="dxa"/>
            <w:tcBorders>
              <w:top w:val="single" w:sz="4" w:space="0" w:color="auto"/>
              <w:bottom w:val="single" w:sz="4" w:space="0" w:color="auto"/>
            </w:tcBorders>
          </w:tcPr>
          <w:p w14:paraId="70807ADA" w14:textId="6A5A26A5" w:rsidR="007102FA" w:rsidRPr="00D21555" w:rsidRDefault="007102FA" w:rsidP="00D21555">
            <w:pPr>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i/>
                <w:color w:val="000000" w:themeColor="text1"/>
                <w:szCs w:val="24"/>
              </w:rPr>
              <w:t>P</w:t>
            </w:r>
            <w:r w:rsidR="00D21555">
              <w:rPr>
                <w:rFonts w:ascii="Book Antiqua" w:hAnsi="Book Antiqua" w:cs="Times New Roman"/>
                <w:b/>
                <w:color w:val="000000" w:themeColor="text1"/>
                <w:szCs w:val="24"/>
              </w:rPr>
              <w:t xml:space="preserve"> value</w:t>
            </w:r>
          </w:p>
        </w:tc>
        <w:tc>
          <w:tcPr>
            <w:tcW w:w="1014" w:type="dxa"/>
            <w:tcBorders>
              <w:top w:val="single" w:sz="4" w:space="0" w:color="auto"/>
              <w:bottom w:val="single" w:sz="4" w:space="0" w:color="auto"/>
            </w:tcBorders>
          </w:tcPr>
          <w:p w14:paraId="0BF5EECA" w14:textId="6E859FD9" w:rsidR="007102FA" w:rsidRPr="00D21555" w:rsidRDefault="007102FA" w:rsidP="00D21555">
            <w:pPr>
              <w:adjustRightInd w:val="0"/>
              <w:snapToGrid w:val="0"/>
              <w:spacing w:line="360" w:lineRule="auto"/>
              <w:jc w:val="center"/>
              <w:rPr>
                <w:rFonts w:ascii="Book Antiqua" w:hAnsi="Book Antiqua" w:cs="Times New Roman"/>
                <w:b/>
                <w:color w:val="000000" w:themeColor="text1"/>
                <w:szCs w:val="24"/>
              </w:rPr>
            </w:pPr>
            <w:r w:rsidRPr="00D21555">
              <w:rPr>
                <w:rFonts w:ascii="Book Antiqua" w:hAnsi="Book Antiqua" w:cs="Times New Roman"/>
                <w:b/>
                <w:i/>
                <w:color w:val="000000" w:themeColor="text1"/>
                <w:szCs w:val="24"/>
              </w:rPr>
              <w:t>F</w:t>
            </w:r>
            <w:r w:rsidR="00D21555">
              <w:rPr>
                <w:rFonts w:ascii="Book Antiqua" w:hAnsi="Book Antiqua" w:cs="Times New Roman"/>
                <w:b/>
                <w:i/>
                <w:color w:val="000000" w:themeColor="text1"/>
                <w:szCs w:val="24"/>
              </w:rPr>
              <w:t xml:space="preserve"> </w:t>
            </w:r>
            <w:r w:rsidR="00D21555">
              <w:rPr>
                <w:rFonts w:ascii="Book Antiqua" w:hAnsi="Book Antiqua" w:cs="Times New Roman"/>
                <w:b/>
                <w:color w:val="000000" w:themeColor="text1"/>
                <w:szCs w:val="24"/>
              </w:rPr>
              <w:t>value</w:t>
            </w:r>
          </w:p>
        </w:tc>
        <w:tc>
          <w:tcPr>
            <w:tcW w:w="862" w:type="dxa"/>
            <w:tcBorders>
              <w:top w:val="single" w:sz="4" w:space="0" w:color="auto"/>
              <w:bottom w:val="single" w:sz="4" w:space="0" w:color="auto"/>
            </w:tcBorders>
          </w:tcPr>
          <w:p w14:paraId="74D67CF1" w14:textId="5147E06C" w:rsidR="007102FA" w:rsidRPr="00FE1156" w:rsidRDefault="00D21555" w:rsidP="00D21555">
            <w:pPr>
              <w:adjustRightInd w:val="0"/>
              <w:snapToGrid w:val="0"/>
              <w:spacing w:line="360" w:lineRule="auto"/>
              <w:jc w:val="center"/>
              <w:rPr>
                <w:rFonts w:ascii="Book Antiqua" w:hAnsi="Book Antiqua" w:cs="Times New Roman"/>
                <w:b/>
                <w:color w:val="000000" w:themeColor="text1"/>
                <w:szCs w:val="24"/>
              </w:rPr>
            </w:pPr>
            <w:r>
              <w:rPr>
                <w:rFonts w:ascii="Book Antiqua" w:hAnsi="Book Antiqua" w:cs="Times New Roman"/>
                <w:b/>
                <w:color w:val="000000" w:themeColor="text1"/>
                <w:szCs w:val="24"/>
              </w:rPr>
              <w:t>Time (</w:t>
            </w:r>
            <w:r w:rsidRPr="00FE1156">
              <w:rPr>
                <w:rFonts w:ascii="Book Antiqua" w:hAnsi="Book Antiqua" w:cs="Times New Roman"/>
                <w:b/>
                <w:color w:val="000000" w:themeColor="text1"/>
                <w:szCs w:val="24"/>
              </w:rPr>
              <w:t>mo</w:t>
            </w:r>
            <w:r>
              <w:rPr>
                <w:rFonts w:ascii="Book Antiqua" w:hAnsi="Book Antiqua" w:cs="Times New Roman"/>
                <w:b/>
                <w:color w:val="000000" w:themeColor="text1"/>
                <w:szCs w:val="24"/>
              </w:rPr>
              <w:t>)</w:t>
            </w:r>
          </w:p>
        </w:tc>
        <w:tc>
          <w:tcPr>
            <w:tcW w:w="822" w:type="dxa"/>
            <w:tcBorders>
              <w:top w:val="single" w:sz="4" w:space="0" w:color="auto"/>
              <w:bottom w:val="single" w:sz="4" w:space="0" w:color="auto"/>
            </w:tcBorders>
          </w:tcPr>
          <w:p w14:paraId="63842747" w14:textId="23A0EC77" w:rsidR="007102FA" w:rsidRPr="00FE1156" w:rsidRDefault="007102FA" w:rsidP="00D21555">
            <w:pPr>
              <w:adjustRightInd w:val="0"/>
              <w:snapToGrid w:val="0"/>
              <w:spacing w:line="360" w:lineRule="auto"/>
              <w:jc w:val="center"/>
              <w:rPr>
                <w:rFonts w:ascii="Book Antiqua" w:hAnsi="Book Antiqua" w:cs="Times New Roman"/>
                <w:b/>
                <w:i/>
                <w:color w:val="000000" w:themeColor="text1"/>
                <w:szCs w:val="24"/>
              </w:rPr>
            </w:pPr>
            <w:r w:rsidRPr="00FE1156">
              <w:rPr>
                <w:rFonts w:ascii="Book Antiqua" w:hAnsi="Book Antiqua" w:cs="Times New Roman"/>
                <w:b/>
                <w:i/>
                <w:color w:val="000000" w:themeColor="text1"/>
                <w:szCs w:val="24"/>
              </w:rPr>
              <w:t>P</w:t>
            </w:r>
            <w:r w:rsidR="00D21555">
              <w:rPr>
                <w:rFonts w:ascii="Book Antiqua" w:hAnsi="Book Antiqua" w:cs="Times New Roman"/>
                <w:b/>
                <w:i/>
                <w:color w:val="000000" w:themeColor="text1"/>
                <w:szCs w:val="24"/>
              </w:rPr>
              <w:t xml:space="preserve"> </w:t>
            </w:r>
            <w:r w:rsidR="00D21555">
              <w:rPr>
                <w:rFonts w:ascii="Book Antiqua" w:hAnsi="Book Antiqua" w:cs="Times New Roman"/>
                <w:b/>
                <w:color w:val="000000" w:themeColor="text1"/>
                <w:szCs w:val="24"/>
              </w:rPr>
              <w:t>value</w:t>
            </w:r>
          </w:p>
        </w:tc>
        <w:tc>
          <w:tcPr>
            <w:tcW w:w="1014" w:type="dxa"/>
            <w:tcBorders>
              <w:top w:val="single" w:sz="4" w:space="0" w:color="auto"/>
              <w:bottom w:val="single" w:sz="4" w:space="0" w:color="auto"/>
            </w:tcBorders>
          </w:tcPr>
          <w:p w14:paraId="5FE3C733" w14:textId="2DBDCE11" w:rsidR="007102FA" w:rsidRPr="00FE1156" w:rsidRDefault="00D21555" w:rsidP="00D21555">
            <w:pPr>
              <w:adjustRightInd w:val="0"/>
              <w:snapToGrid w:val="0"/>
              <w:spacing w:line="360" w:lineRule="auto"/>
              <w:jc w:val="center"/>
              <w:rPr>
                <w:rFonts w:ascii="Book Antiqua" w:hAnsi="Book Antiqua" w:cs="Times New Roman"/>
                <w:b/>
                <w:color w:val="000000" w:themeColor="text1"/>
                <w:szCs w:val="24"/>
              </w:rPr>
            </w:pPr>
            <w:r w:rsidRPr="00D21555">
              <w:rPr>
                <w:rFonts w:ascii="Book Antiqua" w:hAnsi="Book Antiqua" w:cs="Times New Roman"/>
                <w:b/>
                <w:i/>
                <w:color w:val="000000" w:themeColor="text1"/>
                <w:szCs w:val="24"/>
              </w:rPr>
              <w:t>F</w:t>
            </w:r>
            <w:r>
              <w:rPr>
                <w:rFonts w:ascii="Book Antiqua" w:hAnsi="Book Antiqua" w:cs="Times New Roman"/>
                <w:b/>
                <w:i/>
                <w:color w:val="000000" w:themeColor="text1"/>
                <w:szCs w:val="24"/>
              </w:rPr>
              <w:t xml:space="preserve"> </w:t>
            </w:r>
            <w:r>
              <w:rPr>
                <w:rFonts w:ascii="Book Antiqua" w:hAnsi="Book Antiqua" w:cs="Times New Roman"/>
                <w:b/>
                <w:color w:val="000000" w:themeColor="text1"/>
                <w:szCs w:val="24"/>
              </w:rPr>
              <w:t>value</w:t>
            </w:r>
          </w:p>
        </w:tc>
      </w:tr>
      <w:tr w:rsidR="00D21555" w:rsidRPr="00FE1156" w14:paraId="356765FE" w14:textId="77777777" w:rsidTr="0083000F">
        <w:trPr>
          <w:jc w:val="center"/>
        </w:trPr>
        <w:tc>
          <w:tcPr>
            <w:tcW w:w="2826" w:type="dxa"/>
            <w:tcBorders>
              <w:top w:val="single" w:sz="4" w:space="0" w:color="auto"/>
            </w:tcBorders>
          </w:tcPr>
          <w:p w14:paraId="6E2A5175" w14:textId="6ABB053E" w:rsidR="007102FA" w:rsidRPr="00634F19" w:rsidRDefault="007102FA" w:rsidP="00D21555">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Age</w:t>
            </w:r>
            <w:r w:rsidR="00D21555" w:rsidRPr="00634F19">
              <w:rPr>
                <w:rFonts w:ascii="Book Antiqua" w:hAnsi="Book Antiqua" w:cs="Times New Roman"/>
                <w:color w:val="000000" w:themeColor="text1"/>
                <w:szCs w:val="24"/>
              </w:rPr>
              <w:t xml:space="preserve"> </w:t>
            </w:r>
            <w:r w:rsidRPr="00634F19">
              <w:rPr>
                <w:rFonts w:ascii="Book Antiqua" w:hAnsi="Book Antiqua" w:cs="Times New Roman"/>
                <w:color w:val="000000" w:themeColor="text1"/>
                <w:szCs w:val="24"/>
              </w:rPr>
              <w:t>(median, y</w:t>
            </w:r>
            <w:r w:rsidR="00D21555" w:rsidRPr="00634F19">
              <w:rPr>
                <w:rFonts w:ascii="Book Antiqua" w:hAnsi="Book Antiqua" w:cs="Times New Roman"/>
                <w:color w:val="000000" w:themeColor="text1"/>
                <w:szCs w:val="24"/>
              </w:rPr>
              <w:t>r</w:t>
            </w:r>
            <w:r w:rsidRPr="00634F19">
              <w:rPr>
                <w:rFonts w:ascii="Book Antiqua" w:hAnsi="Book Antiqua" w:cs="Times New Roman"/>
                <w:color w:val="000000" w:themeColor="text1"/>
                <w:szCs w:val="24"/>
              </w:rPr>
              <w:t>)</w:t>
            </w:r>
          </w:p>
        </w:tc>
        <w:tc>
          <w:tcPr>
            <w:tcW w:w="1593" w:type="dxa"/>
            <w:tcBorders>
              <w:top w:val="single" w:sz="4" w:space="0" w:color="auto"/>
            </w:tcBorders>
          </w:tcPr>
          <w:p w14:paraId="6883E97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Borders>
              <w:top w:val="single" w:sz="4" w:space="0" w:color="auto"/>
            </w:tcBorders>
          </w:tcPr>
          <w:p w14:paraId="27A1678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Borders>
              <w:top w:val="single" w:sz="4" w:space="0" w:color="auto"/>
            </w:tcBorders>
          </w:tcPr>
          <w:p w14:paraId="760CACC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0.138</w:t>
            </w:r>
          </w:p>
        </w:tc>
        <w:tc>
          <w:tcPr>
            <w:tcW w:w="1014" w:type="dxa"/>
            <w:tcBorders>
              <w:top w:val="single" w:sz="4" w:space="0" w:color="auto"/>
            </w:tcBorders>
          </w:tcPr>
          <w:p w14:paraId="5F4E5F1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2.209</w:t>
            </w:r>
          </w:p>
        </w:tc>
        <w:tc>
          <w:tcPr>
            <w:tcW w:w="862" w:type="dxa"/>
            <w:tcBorders>
              <w:top w:val="single" w:sz="4" w:space="0" w:color="auto"/>
            </w:tcBorders>
          </w:tcPr>
          <w:p w14:paraId="5CA2996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Borders>
              <w:top w:val="single" w:sz="4" w:space="0" w:color="auto"/>
            </w:tcBorders>
          </w:tcPr>
          <w:p w14:paraId="64E39FB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0.373</w:t>
            </w:r>
          </w:p>
        </w:tc>
        <w:tc>
          <w:tcPr>
            <w:tcW w:w="1014" w:type="dxa"/>
            <w:tcBorders>
              <w:top w:val="single" w:sz="4" w:space="0" w:color="auto"/>
            </w:tcBorders>
          </w:tcPr>
          <w:p w14:paraId="0B7227A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0.795</w:t>
            </w:r>
          </w:p>
        </w:tc>
      </w:tr>
      <w:tr w:rsidR="00D21555" w:rsidRPr="00FE1156" w14:paraId="2F3A9CD8" w14:textId="77777777" w:rsidTr="0083000F">
        <w:trPr>
          <w:jc w:val="center"/>
        </w:trPr>
        <w:tc>
          <w:tcPr>
            <w:tcW w:w="2826" w:type="dxa"/>
          </w:tcPr>
          <w:p w14:paraId="5AC08994" w14:textId="23C4F909"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w:t>
            </w:r>
            <w:r w:rsidR="00D21555" w:rsidRPr="00634F19">
              <w:rPr>
                <w:rFonts w:ascii="Book Antiqua" w:hAnsi="Book Antiqua" w:cs="Times New Roman"/>
                <w:color w:val="000000" w:themeColor="text1"/>
                <w:szCs w:val="24"/>
              </w:rPr>
              <w:t xml:space="preserve"> </w:t>
            </w:r>
            <w:r w:rsidRPr="00634F19">
              <w:rPr>
                <w:rFonts w:ascii="Book Antiqua" w:hAnsi="Book Antiqua" w:cs="Times New Roman"/>
                <w:color w:val="000000" w:themeColor="text1"/>
                <w:szCs w:val="24"/>
              </w:rPr>
              <w:t>60</w:t>
            </w:r>
          </w:p>
        </w:tc>
        <w:tc>
          <w:tcPr>
            <w:tcW w:w="1593" w:type="dxa"/>
          </w:tcPr>
          <w:p w14:paraId="276AD779" w14:textId="2AD2D4E1"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192</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(53.0)</w:t>
            </w:r>
          </w:p>
        </w:tc>
        <w:tc>
          <w:tcPr>
            <w:tcW w:w="862" w:type="dxa"/>
          </w:tcPr>
          <w:p w14:paraId="48D8F53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37.25</w:t>
            </w:r>
          </w:p>
        </w:tc>
        <w:tc>
          <w:tcPr>
            <w:tcW w:w="829" w:type="dxa"/>
          </w:tcPr>
          <w:p w14:paraId="46449BB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116C00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0D1B2B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44.18</w:t>
            </w:r>
          </w:p>
        </w:tc>
        <w:tc>
          <w:tcPr>
            <w:tcW w:w="822" w:type="dxa"/>
          </w:tcPr>
          <w:p w14:paraId="37C319E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2C6C9D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6D54A8AC" w14:textId="77777777" w:rsidTr="0083000F">
        <w:trPr>
          <w:jc w:val="center"/>
        </w:trPr>
        <w:tc>
          <w:tcPr>
            <w:tcW w:w="2826" w:type="dxa"/>
          </w:tcPr>
          <w:p w14:paraId="769FCC7A" w14:textId="56929C1E"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&lt;</w:t>
            </w:r>
            <w:r w:rsidR="00D21555" w:rsidRPr="00634F19">
              <w:rPr>
                <w:rFonts w:ascii="Book Antiqua" w:hAnsi="Book Antiqua" w:cs="Times New Roman"/>
                <w:color w:val="000000" w:themeColor="text1"/>
                <w:szCs w:val="24"/>
              </w:rPr>
              <w:t xml:space="preserve"> </w:t>
            </w:r>
            <w:r w:rsidRPr="00634F19">
              <w:rPr>
                <w:rFonts w:ascii="Book Antiqua" w:hAnsi="Book Antiqua" w:cs="Times New Roman"/>
                <w:color w:val="000000" w:themeColor="text1"/>
                <w:szCs w:val="24"/>
              </w:rPr>
              <w:t>60</w:t>
            </w:r>
          </w:p>
        </w:tc>
        <w:tc>
          <w:tcPr>
            <w:tcW w:w="1593" w:type="dxa"/>
          </w:tcPr>
          <w:p w14:paraId="6B74657F" w14:textId="753D7CFF"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170</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(47.0)</w:t>
            </w:r>
          </w:p>
        </w:tc>
        <w:tc>
          <w:tcPr>
            <w:tcW w:w="862" w:type="dxa"/>
          </w:tcPr>
          <w:p w14:paraId="6B6698A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41.26</w:t>
            </w:r>
          </w:p>
        </w:tc>
        <w:tc>
          <w:tcPr>
            <w:tcW w:w="829" w:type="dxa"/>
          </w:tcPr>
          <w:p w14:paraId="59FBC8B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B50D4C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570083A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46.29</w:t>
            </w:r>
          </w:p>
        </w:tc>
        <w:tc>
          <w:tcPr>
            <w:tcW w:w="822" w:type="dxa"/>
          </w:tcPr>
          <w:p w14:paraId="49C78CF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776A2E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39C151CD" w14:textId="77777777" w:rsidTr="0083000F">
        <w:trPr>
          <w:jc w:val="center"/>
        </w:trPr>
        <w:tc>
          <w:tcPr>
            <w:tcW w:w="2826" w:type="dxa"/>
          </w:tcPr>
          <w:p w14:paraId="63D7BB21"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Gender</w:t>
            </w:r>
          </w:p>
        </w:tc>
        <w:tc>
          <w:tcPr>
            <w:tcW w:w="1593" w:type="dxa"/>
          </w:tcPr>
          <w:p w14:paraId="6632C98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45698F5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7DACD3E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0.194</w:t>
            </w:r>
          </w:p>
        </w:tc>
        <w:tc>
          <w:tcPr>
            <w:tcW w:w="1014" w:type="dxa"/>
          </w:tcPr>
          <w:p w14:paraId="6A49E97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1.695</w:t>
            </w:r>
          </w:p>
        </w:tc>
        <w:tc>
          <w:tcPr>
            <w:tcW w:w="862" w:type="dxa"/>
          </w:tcPr>
          <w:p w14:paraId="308F061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79E9D4E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0.463</w:t>
            </w:r>
          </w:p>
        </w:tc>
        <w:tc>
          <w:tcPr>
            <w:tcW w:w="1014" w:type="dxa"/>
          </w:tcPr>
          <w:p w14:paraId="1A9AA53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0.540</w:t>
            </w:r>
          </w:p>
        </w:tc>
      </w:tr>
      <w:tr w:rsidR="00D21555" w:rsidRPr="00FE1156" w14:paraId="44D3A772" w14:textId="77777777" w:rsidTr="0083000F">
        <w:trPr>
          <w:jc w:val="center"/>
        </w:trPr>
        <w:tc>
          <w:tcPr>
            <w:tcW w:w="2826" w:type="dxa"/>
          </w:tcPr>
          <w:p w14:paraId="486BF3FF"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Male</w:t>
            </w:r>
          </w:p>
        </w:tc>
        <w:tc>
          <w:tcPr>
            <w:tcW w:w="1593" w:type="dxa"/>
          </w:tcPr>
          <w:p w14:paraId="707C6543" w14:textId="52F14ADB"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248</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(68.5)</w:t>
            </w:r>
          </w:p>
        </w:tc>
        <w:tc>
          <w:tcPr>
            <w:tcW w:w="862" w:type="dxa"/>
          </w:tcPr>
          <w:p w14:paraId="6F459D3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37.94</w:t>
            </w:r>
          </w:p>
        </w:tc>
        <w:tc>
          <w:tcPr>
            <w:tcW w:w="829" w:type="dxa"/>
          </w:tcPr>
          <w:p w14:paraId="5CAC69B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D5FA61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39744ED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44.58</w:t>
            </w:r>
          </w:p>
        </w:tc>
        <w:tc>
          <w:tcPr>
            <w:tcW w:w="822" w:type="dxa"/>
          </w:tcPr>
          <w:p w14:paraId="3E01AA0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0E4CE8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1F895929" w14:textId="77777777" w:rsidTr="0083000F">
        <w:trPr>
          <w:jc w:val="center"/>
        </w:trPr>
        <w:tc>
          <w:tcPr>
            <w:tcW w:w="2826" w:type="dxa"/>
          </w:tcPr>
          <w:p w14:paraId="06CBA62C"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Female</w:t>
            </w:r>
          </w:p>
        </w:tc>
        <w:tc>
          <w:tcPr>
            <w:tcW w:w="1593" w:type="dxa"/>
          </w:tcPr>
          <w:p w14:paraId="4DB28CB9" w14:textId="0DD19618"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114</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(31.5)</w:t>
            </w:r>
          </w:p>
        </w:tc>
        <w:tc>
          <w:tcPr>
            <w:tcW w:w="862" w:type="dxa"/>
          </w:tcPr>
          <w:p w14:paraId="55CD6B8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41.72</w:t>
            </w:r>
          </w:p>
        </w:tc>
        <w:tc>
          <w:tcPr>
            <w:tcW w:w="829" w:type="dxa"/>
          </w:tcPr>
          <w:p w14:paraId="44A2D71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623286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DD30D4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46.46</w:t>
            </w:r>
          </w:p>
        </w:tc>
        <w:tc>
          <w:tcPr>
            <w:tcW w:w="822" w:type="dxa"/>
          </w:tcPr>
          <w:p w14:paraId="24B2412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57A4A8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3BF3BC70" w14:textId="77777777" w:rsidTr="0083000F">
        <w:trPr>
          <w:jc w:val="center"/>
        </w:trPr>
        <w:tc>
          <w:tcPr>
            <w:tcW w:w="2826" w:type="dxa"/>
          </w:tcPr>
          <w:p w14:paraId="732E3E00"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Bormann type</w:t>
            </w:r>
          </w:p>
        </w:tc>
        <w:tc>
          <w:tcPr>
            <w:tcW w:w="1593" w:type="dxa"/>
          </w:tcPr>
          <w:p w14:paraId="500D8A7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3286233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5F00E37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4023562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27.349</w:t>
            </w:r>
          </w:p>
        </w:tc>
        <w:tc>
          <w:tcPr>
            <w:tcW w:w="862" w:type="dxa"/>
          </w:tcPr>
          <w:p w14:paraId="26ADBF3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728C48C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0AD22C2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23.230</w:t>
            </w:r>
          </w:p>
        </w:tc>
      </w:tr>
      <w:tr w:rsidR="00D21555" w:rsidRPr="00FE1156" w14:paraId="17FFFF56" w14:textId="77777777" w:rsidTr="0083000F">
        <w:trPr>
          <w:jc w:val="center"/>
        </w:trPr>
        <w:tc>
          <w:tcPr>
            <w:tcW w:w="2826" w:type="dxa"/>
          </w:tcPr>
          <w:p w14:paraId="1090F559"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w:t>
            </w:r>
          </w:p>
        </w:tc>
        <w:tc>
          <w:tcPr>
            <w:tcW w:w="1593" w:type="dxa"/>
          </w:tcPr>
          <w:p w14:paraId="242116F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28 (7.7)</w:t>
            </w:r>
          </w:p>
        </w:tc>
        <w:tc>
          <w:tcPr>
            <w:tcW w:w="862" w:type="dxa"/>
          </w:tcPr>
          <w:p w14:paraId="247A23E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64.04</w:t>
            </w:r>
          </w:p>
        </w:tc>
        <w:tc>
          <w:tcPr>
            <w:tcW w:w="829" w:type="dxa"/>
          </w:tcPr>
          <w:p w14:paraId="7CC0DEA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E2BEA7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45CFB49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64.04</w:t>
            </w:r>
          </w:p>
        </w:tc>
        <w:tc>
          <w:tcPr>
            <w:tcW w:w="822" w:type="dxa"/>
          </w:tcPr>
          <w:p w14:paraId="4C51113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D0EB34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4673A63A" w14:textId="77777777" w:rsidTr="0083000F">
        <w:trPr>
          <w:jc w:val="center"/>
        </w:trPr>
        <w:tc>
          <w:tcPr>
            <w:tcW w:w="2826" w:type="dxa"/>
          </w:tcPr>
          <w:p w14:paraId="52F35298"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II</w:t>
            </w:r>
          </w:p>
        </w:tc>
        <w:tc>
          <w:tcPr>
            <w:tcW w:w="1593" w:type="dxa"/>
          </w:tcPr>
          <w:p w14:paraId="5BB46E94" w14:textId="3C77C4BA"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161</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(44.5)</w:t>
            </w:r>
          </w:p>
        </w:tc>
        <w:tc>
          <w:tcPr>
            <w:tcW w:w="862" w:type="dxa"/>
          </w:tcPr>
          <w:p w14:paraId="34030A0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45.96</w:t>
            </w:r>
          </w:p>
        </w:tc>
        <w:tc>
          <w:tcPr>
            <w:tcW w:w="829" w:type="dxa"/>
          </w:tcPr>
          <w:p w14:paraId="73A51F8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0B6C46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E9A495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51.32</w:t>
            </w:r>
          </w:p>
        </w:tc>
        <w:tc>
          <w:tcPr>
            <w:tcW w:w="822" w:type="dxa"/>
          </w:tcPr>
          <w:p w14:paraId="1FFD3E5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14E5DD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26FFB669" w14:textId="77777777" w:rsidTr="0083000F">
        <w:trPr>
          <w:jc w:val="center"/>
        </w:trPr>
        <w:tc>
          <w:tcPr>
            <w:tcW w:w="2826" w:type="dxa"/>
          </w:tcPr>
          <w:p w14:paraId="5DBCC8B9"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III</w:t>
            </w:r>
          </w:p>
        </w:tc>
        <w:tc>
          <w:tcPr>
            <w:tcW w:w="1593" w:type="dxa"/>
          </w:tcPr>
          <w:p w14:paraId="2E6D5041" w14:textId="59C2DB4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167</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(46.1)</w:t>
            </w:r>
          </w:p>
        </w:tc>
        <w:tc>
          <w:tcPr>
            <w:tcW w:w="862" w:type="dxa"/>
          </w:tcPr>
          <w:p w14:paraId="32AC886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22.80</w:t>
            </w:r>
          </w:p>
        </w:tc>
        <w:tc>
          <w:tcPr>
            <w:tcW w:w="829" w:type="dxa"/>
          </w:tcPr>
          <w:p w14:paraId="1FFAD45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74B16C3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55916CE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36.72</w:t>
            </w:r>
          </w:p>
        </w:tc>
        <w:tc>
          <w:tcPr>
            <w:tcW w:w="822" w:type="dxa"/>
          </w:tcPr>
          <w:p w14:paraId="470C65C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41A9B7D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1897CE39" w14:textId="77777777" w:rsidTr="0083000F">
        <w:trPr>
          <w:jc w:val="center"/>
        </w:trPr>
        <w:tc>
          <w:tcPr>
            <w:tcW w:w="2826" w:type="dxa"/>
          </w:tcPr>
          <w:p w14:paraId="3B05B02A"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IV</w:t>
            </w:r>
          </w:p>
        </w:tc>
        <w:tc>
          <w:tcPr>
            <w:tcW w:w="1593" w:type="dxa"/>
          </w:tcPr>
          <w:p w14:paraId="644402D0" w14:textId="2363061E"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(1.7)</w:t>
            </w:r>
          </w:p>
        </w:tc>
        <w:tc>
          <w:tcPr>
            <w:tcW w:w="862" w:type="dxa"/>
          </w:tcPr>
          <w:p w14:paraId="202CD15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16.03</w:t>
            </w:r>
          </w:p>
        </w:tc>
        <w:tc>
          <w:tcPr>
            <w:tcW w:w="829" w:type="dxa"/>
          </w:tcPr>
          <w:p w14:paraId="7266A52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6DBBB9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6B9511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27.33</w:t>
            </w:r>
          </w:p>
        </w:tc>
        <w:tc>
          <w:tcPr>
            <w:tcW w:w="822" w:type="dxa"/>
          </w:tcPr>
          <w:p w14:paraId="5E6813F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9D3420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0BAD58C9" w14:textId="77777777" w:rsidTr="0083000F">
        <w:trPr>
          <w:jc w:val="center"/>
        </w:trPr>
        <w:tc>
          <w:tcPr>
            <w:tcW w:w="2826" w:type="dxa"/>
          </w:tcPr>
          <w:p w14:paraId="12CF1A7B" w14:textId="66814745"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 xml:space="preserve">Tumor </w:t>
            </w:r>
            <w:r w:rsidR="0083000F" w:rsidRPr="00634F19">
              <w:rPr>
                <w:rFonts w:ascii="Book Antiqua" w:hAnsi="Book Antiqua" w:cs="Times New Roman"/>
                <w:color w:val="000000" w:themeColor="text1"/>
                <w:szCs w:val="24"/>
              </w:rPr>
              <w:t>s</w:t>
            </w:r>
            <w:r w:rsidRPr="00634F19">
              <w:rPr>
                <w:rFonts w:ascii="Book Antiqua" w:hAnsi="Book Antiqua" w:cs="Times New Roman"/>
                <w:color w:val="000000" w:themeColor="text1"/>
                <w:szCs w:val="24"/>
              </w:rPr>
              <w:t>ize</w:t>
            </w:r>
          </w:p>
        </w:tc>
        <w:tc>
          <w:tcPr>
            <w:tcW w:w="1593" w:type="dxa"/>
          </w:tcPr>
          <w:p w14:paraId="2E3795E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257DD79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67C4A98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7EA95D1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31.865</w:t>
            </w:r>
          </w:p>
        </w:tc>
        <w:tc>
          <w:tcPr>
            <w:tcW w:w="862" w:type="dxa"/>
          </w:tcPr>
          <w:p w14:paraId="42641CA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15AC3DF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0BD1D38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25.094</w:t>
            </w:r>
          </w:p>
        </w:tc>
      </w:tr>
      <w:tr w:rsidR="00D21555" w:rsidRPr="00FE1156" w14:paraId="1909F51D" w14:textId="77777777" w:rsidTr="0083000F">
        <w:trPr>
          <w:jc w:val="center"/>
        </w:trPr>
        <w:tc>
          <w:tcPr>
            <w:tcW w:w="2826" w:type="dxa"/>
          </w:tcPr>
          <w:p w14:paraId="1433CFF8" w14:textId="21F9085B"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w:t>
            </w:r>
            <w:r w:rsidR="00D21555" w:rsidRPr="00634F19">
              <w:rPr>
                <w:rFonts w:ascii="Book Antiqua" w:hAnsi="Book Antiqua" w:cs="Times New Roman"/>
                <w:color w:val="000000" w:themeColor="text1"/>
                <w:szCs w:val="24"/>
              </w:rPr>
              <w:t xml:space="preserve"> </w:t>
            </w:r>
            <w:r w:rsidRPr="00634F19">
              <w:rPr>
                <w:rFonts w:ascii="Book Antiqua" w:hAnsi="Book Antiqua" w:cs="Times New Roman"/>
                <w:color w:val="000000" w:themeColor="text1"/>
                <w:szCs w:val="24"/>
              </w:rPr>
              <w:t>5</w:t>
            </w:r>
            <w:r w:rsidR="00D21555" w:rsidRPr="00634F19">
              <w:rPr>
                <w:rFonts w:ascii="Book Antiqua" w:hAnsi="Book Antiqua" w:cs="Times New Roman"/>
                <w:color w:val="000000" w:themeColor="text1"/>
                <w:szCs w:val="24"/>
              </w:rPr>
              <w:t xml:space="preserve"> </w:t>
            </w:r>
            <w:r w:rsidRPr="00634F19">
              <w:rPr>
                <w:rFonts w:ascii="Book Antiqua" w:hAnsi="Book Antiqua" w:cs="Times New Roman"/>
                <w:color w:val="000000" w:themeColor="text1"/>
                <w:szCs w:val="24"/>
              </w:rPr>
              <w:t>cm</w:t>
            </w:r>
          </w:p>
        </w:tc>
        <w:tc>
          <w:tcPr>
            <w:tcW w:w="1593" w:type="dxa"/>
          </w:tcPr>
          <w:p w14:paraId="22BE125F" w14:textId="28EE5FC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153</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(42.3)</w:t>
            </w:r>
          </w:p>
        </w:tc>
        <w:tc>
          <w:tcPr>
            <w:tcW w:w="862" w:type="dxa"/>
          </w:tcPr>
          <w:p w14:paraId="70D37F9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30.59</w:t>
            </w:r>
          </w:p>
        </w:tc>
        <w:tc>
          <w:tcPr>
            <w:tcW w:w="829" w:type="dxa"/>
          </w:tcPr>
          <w:p w14:paraId="7CD346E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053236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2081A4B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38.46</w:t>
            </w:r>
          </w:p>
        </w:tc>
        <w:tc>
          <w:tcPr>
            <w:tcW w:w="822" w:type="dxa"/>
          </w:tcPr>
          <w:p w14:paraId="289813B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D38044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276F4EB9" w14:textId="77777777" w:rsidTr="0083000F">
        <w:trPr>
          <w:jc w:val="center"/>
        </w:trPr>
        <w:tc>
          <w:tcPr>
            <w:tcW w:w="2826" w:type="dxa"/>
          </w:tcPr>
          <w:p w14:paraId="2E0D05D2" w14:textId="5CAC3684"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&lt;</w:t>
            </w:r>
            <w:r w:rsidR="00D21555" w:rsidRPr="00634F19">
              <w:rPr>
                <w:rFonts w:ascii="Book Antiqua" w:hAnsi="Book Antiqua" w:cs="Times New Roman"/>
                <w:color w:val="000000" w:themeColor="text1"/>
                <w:szCs w:val="24"/>
              </w:rPr>
              <w:t xml:space="preserve"> </w:t>
            </w:r>
            <w:r w:rsidRPr="00634F19">
              <w:rPr>
                <w:rFonts w:ascii="Book Antiqua" w:hAnsi="Book Antiqua" w:cs="Times New Roman"/>
                <w:color w:val="000000" w:themeColor="text1"/>
                <w:szCs w:val="24"/>
              </w:rPr>
              <w:t>5</w:t>
            </w:r>
            <w:r w:rsidR="00D21555" w:rsidRPr="00634F19">
              <w:rPr>
                <w:rFonts w:ascii="Book Antiqua" w:hAnsi="Book Antiqua" w:cs="Times New Roman"/>
                <w:color w:val="000000" w:themeColor="text1"/>
                <w:szCs w:val="24"/>
              </w:rPr>
              <w:t xml:space="preserve"> </w:t>
            </w:r>
            <w:r w:rsidRPr="00634F19">
              <w:rPr>
                <w:rFonts w:ascii="Book Antiqua" w:hAnsi="Book Antiqua" w:cs="Times New Roman"/>
                <w:color w:val="000000" w:themeColor="text1"/>
                <w:szCs w:val="24"/>
              </w:rPr>
              <w:t>cm</w:t>
            </w:r>
          </w:p>
        </w:tc>
        <w:tc>
          <w:tcPr>
            <w:tcW w:w="1593" w:type="dxa"/>
          </w:tcPr>
          <w:p w14:paraId="44A50A2D" w14:textId="5BDD1594"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209</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(57.7)</w:t>
            </w:r>
          </w:p>
        </w:tc>
        <w:tc>
          <w:tcPr>
            <w:tcW w:w="862" w:type="dxa"/>
          </w:tcPr>
          <w:p w14:paraId="0A8445B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45.38</w:t>
            </w:r>
          </w:p>
        </w:tc>
        <w:tc>
          <w:tcPr>
            <w:tcW w:w="829" w:type="dxa"/>
          </w:tcPr>
          <w:p w14:paraId="0F73C13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6C75FB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09B01DC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50.09</w:t>
            </w:r>
          </w:p>
        </w:tc>
        <w:tc>
          <w:tcPr>
            <w:tcW w:w="822" w:type="dxa"/>
          </w:tcPr>
          <w:p w14:paraId="4472AEB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7EA5530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0136F259" w14:textId="77777777" w:rsidTr="0083000F">
        <w:trPr>
          <w:jc w:val="center"/>
        </w:trPr>
        <w:tc>
          <w:tcPr>
            <w:tcW w:w="2826" w:type="dxa"/>
          </w:tcPr>
          <w:p w14:paraId="742BC993"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Location</w:t>
            </w:r>
          </w:p>
        </w:tc>
        <w:tc>
          <w:tcPr>
            <w:tcW w:w="1593" w:type="dxa"/>
          </w:tcPr>
          <w:p w14:paraId="4EE0F95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27CAA95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24D0536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0.212</w:t>
            </w:r>
          </w:p>
        </w:tc>
        <w:tc>
          <w:tcPr>
            <w:tcW w:w="1014" w:type="dxa"/>
          </w:tcPr>
          <w:p w14:paraId="671CE24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1.558</w:t>
            </w:r>
          </w:p>
        </w:tc>
        <w:tc>
          <w:tcPr>
            <w:tcW w:w="862" w:type="dxa"/>
          </w:tcPr>
          <w:p w14:paraId="5A2260D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73E8F84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0.403</w:t>
            </w:r>
          </w:p>
        </w:tc>
        <w:tc>
          <w:tcPr>
            <w:tcW w:w="1014" w:type="dxa"/>
          </w:tcPr>
          <w:p w14:paraId="4B89D18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0.912</w:t>
            </w:r>
          </w:p>
        </w:tc>
      </w:tr>
      <w:tr w:rsidR="00D21555" w:rsidRPr="00FE1156" w14:paraId="62BBF98D" w14:textId="77777777" w:rsidTr="0083000F">
        <w:trPr>
          <w:jc w:val="center"/>
        </w:trPr>
        <w:tc>
          <w:tcPr>
            <w:tcW w:w="2826" w:type="dxa"/>
          </w:tcPr>
          <w:p w14:paraId="33FBE174"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Up</w:t>
            </w:r>
          </w:p>
        </w:tc>
        <w:tc>
          <w:tcPr>
            <w:tcW w:w="1593" w:type="dxa"/>
          </w:tcPr>
          <w:p w14:paraId="6104DD8E" w14:textId="4B91C920"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76</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(21.0)</w:t>
            </w:r>
          </w:p>
        </w:tc>
        <w:tc>
          <w:tcPr>
            <w:tcW w:w="862" w:type="dxa"/>
          </w:tcPr>
          <w:p w14:paraId="12B481B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34.55</w:t>
            </w:r>
          </w:p>
        </w:tc>
        <w:tc>
          <w:tcPr>
            <w:tcW w:w="829" w:type="dxa"/>
          </w:tcPr>
          <w:p w14:paraId="31E0311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0C7949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039B89B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42.11</w:t>
            </w:r>
          </w:p>
        </w:tc>
        <w:tc>
          <w:tcPr>
            <w:tcW w:w="822" w:type="dxa"/>
          </w:tcPr>
          <w:p w14:paraId="01001CA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7C584E2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6A12E5B4" w14:textId="77777777" w:rsidTr="0083000F">
        <w:trPr>
          <w:jc w:val="center"/>
        </w:trPr>
        <w:tc>
          <w:tcPr>
            <w:tcW w:w="2826" w:type="dxa"/>
          </w:tcPr>
          <w:p w14:paraId="60618B09"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Middle</w:t>
            </w:r>
          </w:p>
        </w:tc>
        <w:tc>
          <w:tcPr>
            <w:tcW w:w="1593" w:type="dxa"/>
          </w:tcPr>
          <w:p w14:paraId="191FB8EE" w14:textId="32DD9BDB"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102</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(28.2)</w:t>
            </w:r>
          </w:p>
        </w:tc>
        <w:tc>
          <w:tcPr>
            <w:tcW w:w="862" w:type="dxa"/>
          </w:tcPr>
          <w:p w14:paraId="7106421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40.75</w:t>
            </w:r>
          </w:p>
        </w:tc>
        <w:tc>
          <w:tcPr>
            <w:tcW w:w="829" w:type="dxa"/>
          </w:tcPr>
          <w:p w14:paraId="1821B4E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026189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308A8A2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46.36</w:t>
            </w:r>
          </w:p>
        </w:tc>
        <w:tc>
          <w:tcPr>
            <w:tcW w:w="822" w:type="dxa"/>
          </w:tcPr>
          <w:p w14:paraId="4DE2316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798E7B0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47EE5C2E" w14:textId="77777777" w:rsidTr="0083000F">
        <w:trPr>
          <w:jc w:val="center"/>
        </w:trPr>
        <w:tc>
          <w:tcPr>
            <w:tcW w:w="2826" w:type="dxa"/>
          </w:tcPr>
          <w:p w14:paraId="720317B5"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Low</w:t>
            </w:r>
          </w:p>
        </w:tc>
        <w:tc>
          <w:tcPr>
            <w:tcW w:w="1593" w:type="dxa"/>
          </w:tcPr>
          <w:p w14:paraId="7BB17B7A" w14:textId="7AB0E21E"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184</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(50.8)</w:t>
            </w:r>
          </w:p>
        </w:tc>
        <w:tc>
          <w:tcPr>
            <w:tcW w:w="862" w:type="dxa"/>
          </w:tcPr>
          <w:p w14:paraId="62DAF9E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40.13</w:t>
            </w:r>
          </w:p>
        </w:tc>
        <w:tc>
          <w:tcPr>
            <w:tcW w:w="829" w:type="dxa"/>
          </w:tcPr>
          <w:p w14:paraId="05B29D4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048EF7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917319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45.78</w:t>
            </w:r>
          </w:p>
        </w:tc>
        <w:tc>
          <w:tcPr>
            <w:tcW w:w="822" w:type="dxa"/>
          </w:tcPr>
          <w:p w14:paraId="09D6891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656B87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2C091709" w14:textId="77777777" w:rsidTr="0083000F">
        <w:trPr>
          <w:jc w:val="center"/>
        </w:trPr>
        <w:tc>
          <w:tcPr>
            <w:tcW w:w="2826" w:type="dxa"/>
          </w:tcPr>
          <w:p w14:paraId="1E533318"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Lauren type</w:t>
            </w:r>
          </w:p>
        </w:tc>
        <w:tc>
          <w:tcPr>
            <w:tcW w:w="1593" w:type="dxa"/>
          </w:tcPr>
          <w:p w14:paraId="78DBE62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2719361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0D3DEF8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0.241</w:t>
            </w:r>
          </w:p>
        </w:tc>
        <w:tc>
          <w:tcPr>
            <w:tcW w:w="1014" w:type="dxa"/>
          </w:tcPr>
          <w:p w14:paraId="1C1B8EC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1.428</w:t>
            </w:r>
          </w:p>
        </w:tc>
        <w:tc>
          <w:tcPr>
            <w:tcW w:w="862" w:type="dxa"/>
          </w:tcPr>
          <w:p w14:paraId="68401AC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7E4FA1D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0.214</w:t>
            </w:r>
          </w:p>
        </w:tc>
        <w:tc>
          <w:tcPr>
            <w:tcW w:w="1014" w:type="dxa"/>
          </w:tcPr>
          <w:p w14:paraId="5000069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1.549</w:t>
            </w:r>
          </w:p>
        </w:tc>
      </w:tr>
      <w:tr w:rsidR="00D21555" w:rsidRPr="00FE1156" w14:paraId="4887AA74" w14:textId="77777777" w:rsidTr="0083000F">
        <w:trPr>
          <w:jc w:val="center"/>
        </w:trPr>
        <w:tc>
          <w:tcPr>
            <w:tcW w:w="2826" w:type="dxa"/>
          </w:tcPr>
          <w:p w14:paraId="73C581BE"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Intestinal</w:t>
            </w:r>
          </w:p>
        </w:tc>
        <w:tc>
          <w:tcPr>
            <w:tcW w:w="1593" w:type="dxa"/>
          </w:tcPr>
          <w:p w14:paraId="7B0F4F2E" w14:textId="6EDF96A0"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166</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(45.9)</w:t>
            </w:r>
          </w:p>
        </w:tc>
        <w:tc>
          <w:tcPr>
            <w:tcW w:w="862" w:type="dxa"/>
          </w:tcPr>
          <w:p w14:paraId="155D8CF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41.87</w:t>
            </w:r>
          </w:p>
        </w:tc>
        <w:tc>
          <w:tcPr>
            <w:tcW w:w="829" w:type="dxa"/>
          </w:tcPr>
          <w:p w14:paraId="40F610A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AE9116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A4EAF7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47.77</w:t>
            </w:r>
          </w:p>
        </w:tc>
        <w:tc>
          <w:tcPr>
            <w:tcW w:w="822" w:type="dxa"/>
          </w:tcPr>
          <w:p w14:paraId="57ADF71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47EC1FA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349A3F3D" w14:textId="77777777" w:rsidTr="0083000F">
        <w:trPr>
          <w:jc w:val="center"/>
        </w:trPr>
        <w:tc>
          <w:tcPr>
            <w:tcW w:w="2826" w:type="dxa"/>
          </w:tcPr>
          <w:p w14:paraId="17A2FAFC"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Mixed carcinoma</w:t>
            </w:r>
          </w:p>
        </w:tc>
        <w:tc>
          <w:tcPr>
            <w:tcW w:w="1593" w:type="dxa"/>
          </w:tcPr>
          <w:p w14:paraId="62835D07" w14:textId="12A2708A"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84</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(23.2)</w:t>
            </w:r>
          </w:p>
        </w:tc>
        <w:tc>
          <w:tcPr>
            <w:tcW w:w="862" w:type="dxa"/>
          </w:tcPr>
          <w:p w14:paraId="6494BA5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39.07</w:t>
            </w:r>
          </w:p>
        </w:tc>
        <w:tc>
          <w:tcPr>
            <w:tcW w:w="829" w:type="dxa"/>
          </w:tcPr>
          <w:p w14:paraId="38BCC16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C53FED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D64F61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44.99</w:t>
            </w:r>
          </w:p>
        </w:tc>
        <w:tc>
          <w:tcPr>
            <w:tcW w:w="822" w:type="dxa"/>
          </w:tcPr>
          <w:p w14:paraId="2542BF9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CBC732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7D01C81C" w14:textId="77777777" w:rsidTr="0083000F">
        <w:trPr>
          <w:jc w:val="center"/>
        </w:trPr>
        <w:tc>
          <w:tcPr>
            <w:tcW w:w="2826" w:type="dxa"/>
          </w:tcPr>
          <w:p w14:paraId="1C78D71C"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Diffuse</w:t>
            </w:r>
          </w:p>
        </w:tc>
        <w:tc>
          <w:tcPr>
            <w:tcW w:w="1593" w:type="dxa"/>
          </w:tcPr>
          <w:p w14:paraId="62E11FBE" w14:textId="7CC40DB5"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112</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(30.9)</w:t>
            </w:r>
          </w:p>
        </w:tc>
        <w:tc>
          <w:tcPr>
            <w:tcW w:w="862" w:type="dxa"/>
          </w:tcPr>
          <w:p w14:paraId="718B9C4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35.62</w:t>
            </w:r>
          </w:p>
        </w:tc>
        <w:tc>
          <w:tcPr>
            <w:tcW w:w="829" w:type="dxa"/>
          </w:tcPr>
          <w:p w14:paraId="13F845D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69BF2F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7C5C25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42.07</w:t>
            </w:r>
          </w:p>
        </w:tc>
        <w:tc>
          <w:tcPr>
            <w:tcW w:w="822" w:type="dxa"/>
          </w:tcPr>
          <w:p w14:paraId="18BDECD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4934788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16E57DEE" w14:textId="77777777" w:rsidTr="0083000F">
        <w:trPr>
          <w:jc w:val="center"/>
        </w:trPr>
        <w:tc>
          <w:tcPr>
            <w:tcW w:w="2826" w:type="dxa"/>
          </w:tcPr>
          <w:p w14:paraId="4866C2EC"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Tumor differentiation</w:t>
            </w:r>
          </w:p>
        </w:tc>
        <w:tc>
          <w:tcPr>
            <w:tcW w:w="1593" w:type="dxa"/>
          </w:tcPr>
          <w:p w14:paraId="2950AF2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75D2A3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6C2943C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061A84F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17.711</w:t>
            </w:r>
          </w:p>
        </w:tc>
        <w:tc>
          <w:tcPr>
            <w:tcW w:w="862" w:type="dxa"/>
          </w:tcPr>
          <w:p w14:paraId="426C80E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5799F11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47C2CAA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15.214</w:t>
            </w:r>
          </w:p>
        </w:tc>
      </w:tr>
      <w:tr w:rsidR="00D21555" w:rsidRPr="00FE1156" w14:paraId="34A8E376" w14:textId="77777777" w:rsidTr="0083000F">
        <w:trPr>
          <w:jc w:val="center"/>
        </w:trPr>
        <w:tc>
          <w:tcPr>
            <w:tcW w:w="2826" w:type="dxa"/>
          </w:tcPr>
          <w:p w14:paraId="7D1CC057"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 xml:space="preserve">Moderate and high </w:t>
            </w:r>
          </w:p>
        </w:tc>
        <w:tc>
          <w:tcPr>
            <w:tcW w:w="1593" w:type="dxa"/>
          </w:tcPr>
          <w:p w14:paraId="530BC23D" w14:textId="084EE613"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176</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(48.6)</w:t>
            </w:r>
          </w:p>
        </w:tc>
        <w:tc>
          <w:tcPr>
            <w:tcW w:w="862" w:type="dxa"/>
          </w:tcPr>
          <w:p w14:paraId="0527891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44.84</w:t>
            </w:r>
          </w:p>
        </w:tc>
        <w:tc>
          <w:tcPr>
            <w:tcW w:w="829" w:type="dxa"/>
          </w:tcPr>
          <w:p w14:paraId="58C2CC2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442013F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DAA01D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49.83</w:t>
            </w:r>
          </w:p>
        </w:tc>
        <w:tc>
          <w:tcPr>
            <w:tcW w:w="822" w:type="dxa"/>
          </w:tcPr>
          <w:p w14:paraId="1E1516D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A19A3A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0F512539" w14:textId="77777777" w:rsidTr="0083000F">
        <w:trPr>
          <w:jc w:val="center"/>
        </w:trPr>
        <w:tc>
          <w:tcPr>
            <w:tcW w:w="2826" w:type="dxa"/>
          </w:tcPr>
          <w:p w14:paraId="4E2B07DF"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Poor</w:t>
            </w:r>
          </w:p>
        </w:tc>
        <w:tc>
          <w:tcPr>
            <w:tcW w:w="1593" w:type="dxa"/>
          </w:tcPr>
          <w:p w14:paraId="63D9E654" w14:textId="55DD0A31"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186</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(51.4)</w:t>
            </w:r>
          </w:p>
        </w:tc>
        <w:tc>
          <w:tcPr>
            <w:tcW w:w="862" w:type="dxa"/>
          </w:tcPr>
          <w:p w14:paraId="3966091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33.74</w:t>
            </w:r>
          </w:p>
        </w:tc>
        <w:tc>
          <w:tcPr>
            <w:tcW w:w="829" w:type="dxa"/>
          </w:tcPr>
          <w:p w14:paraId="1A76C83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9EC97B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6484185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40.76</w:t>
            </w:r>
          </w:p>
        </w:tc>
        <w:tc>
          <w:tcPr>
            <w:tcW w:w="822" w:type="dxa"/>
          </w:tcPr>
          <w:p w14:paraId="3AA7E1C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58CA2D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18718D51" w14:textId="77777777" w:rsidTr="0083000F">
        <w:trPr>
          <w:jc w:val="center"/>
        </w:trPr>
        <w:tc>
          <w:tcPr>
            <w:tcW w:w="2826" w:type="dxa"/>
          </w:tcPr>
          <w:p w14:paraId="370DB7E0"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Vessel invasion</w:t>
            </w:r>
          </w:p>
        </w:tc>
        <w:tc>
          <w:tcPr>
            <w:tcW w:w="1593" w:type="dxa"/>
          </w:tcPr>
          <w:p w14:paraId="2453E0B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40E1C71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309FB70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7A3DD3D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21.849</w:t>
            </w:r>
          </w:p>
        </w:tc>
        <w:tc>
          <w:tcPr>
            <w:tcW w:w="862" w:type="dxa"/>
          </w:tcPr>
          <w:p w14:paraId="30F5F8A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675165E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38BF281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20.983</w:t>
            </w:r>
          </w:p>
        </w:tc>
      </w:tr>
      <w:tr w:rsidR="00D21555" w:rsidRPr="00FE1156" w14:paraId="0563713F" w14:textId="77777777" w:rsidTr="0083000F">
        <w:trPr>
          <w:jc w:val="center"/>
        </w:trPr>
        <w:tc>
          <w:tcPr>
            <w:tcW w:w="2826" w:type="dxa"/>
          </w:tcPr>
          <w:p w14:paraId="57470E2D"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Yes</w:t>
            </w:r>
          </w:p>
        </w:tc>
        <w:tc>
          <w:tcPr>
            <w:tcW w:w="1593" w:type="dxa"/>
          </w:tcPr>
          <w:p w14:paraId="5BF7C590" w14:textId="1BDCE8D9"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107</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(29.6)</w:t>
            </w:r>
          </w:p>
        </w:tc>
        <w:tc>
          <w:tcPr>
            <w:tcW w:w="862" w:type="dxa"/>
          </w:tcPr>
          <w:p w14:paraId="4B6310C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29.67</w:t>
            </w:r>
          </w:p>
        </w:tc>
        <w:tc>
          <w:tcPr>
            <w:tcW w:w="829" w:type="dxa"/>
          </w:tcPr>
          <w:p w14:paraId="3286CE7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78AAE1C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4EA54F0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37.02</w:t>
            </w:r>
          </w:p>
        </w:tc>
        <w:tc>
          <w:tcPr>
            <w:tcW w:w="822" w:type="dxa"/>
          </w:tcPr>
          <w:p w14:paraId="36D5025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4C71AF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55157C24" w14:textId="77777777" w:rsidTr="0083000F">
        <w:trPr>
          <w:jc w:val="center"/>
        </w:trPr>
        <w:tc>
          <w:tcPr>
            <w:tcW w:w="2826" w:type="dxa"/>
          </w:tcPr>
          <w:p w14:paraId="52FC31BC"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lastRenderedPageBreak/>
              <w:t>No</w:t>
            </w:r>
          </w:p>
        </w:tc>
        <w:tc>
          <w:tcPr>
            <w:tcW w:w="1593" w:type="dxa"/>
          </w:tcPr>
          <w:p w14:paraId="300CEDD0" w14:textId="04DD87A8"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255</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(70.4)</w:t>
            </w:r>
          </w:p>
        </w:tc>
        <w:tc>
          <w:tcPr>
            <w:tcW w:w="862" w:type="dxa"/>
          </w:tcPr>
          <w:p w14:paraId="7B0C095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43.10</w:t>
            </w:r>
          </w:p>
        </w:tc>
        <w:tc>
          <w:tcPr>
            <w:tcW w:w="829" w:type="dxa"/>
          </w:tcPr>
          <w:p w14:paraId="17CF6B6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B593B8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94E228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48.59</w:t>
            </w:r>
          </w:p>
        </w:tc>
        <w:tc>
          <w:tcPr>
            <w:tcW w:w="822" w:type="dxa"/>
          </w:tcPr>
          <w:p w14:paraId="458E94F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9F69DE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303CD125" w14:textId="77777777" w:rsidTr="0083000F">
        <w:trPr>
          <w:jc w:val="center"/>
        </w:trPr>
        <w:tc>
          <w:tcPr>
            <w:tcW w:w="2826" w:type="dxa"/>
          </w:tcPr>
          <w:p w14:paraId="34485243"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Perineural invasion</w:t>
            </w:r>
          </w:p>
        </w:tc>
        <w:tc>
          <w:tcPr>
            <w:tcW w:w="1593" w:type="dxa"/>
          </w:tcPr>
          <w:p w14:paraId="55889E5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53067A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5D05FE0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49F077D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17.726</w:t>
            </w:r>
          </w:p>
        </w:tc>
        <w:tc>
          <w:tcPr>
            <w:tcW w:w="862" w:type="dxa"/>
          </w:tcPr>
          <w:p w14:paraId="2933412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2E56AC1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4E15AA8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15.346</w:t>
            </w:r>
          </w:p>
        </w:tc>
      </w:tr>
      <w:tr w:rsidR="00D21555" w:rsidRPr="00FE1156" w14:paraId="40189ECA" w14:textId="77777777" w:rsidTr="0083000F">
        <w:trPr>
          <w:jc w:val="center"/>
        </w:trPr>
        <w:tc>
          <w:tcPr>
            <w:tcW w:w="2826" w:type="dxa"/>
          </w:tcPr>
          <w:p w14:paraId="28303DD4"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Yes</w:t>
            </w:r>
          </w:p>
        </w:tc>
        <w:tc>
          <w:tcPr>
            <w:tcW w:w="1593" w:type="dxa"/>
          </w:tcPr>
          <w:p w14:paraId="5DC0A922" w14:textId="41A9DBB3"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88</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(24.3)</w:t>
            </w:r>
          </w:p>
        </w:tc>
        <w:tc>
          <w:tcPr>
            <w:tcW w:w="862" w:type="dxa"/>
          </w:tcPr>
          <w:p w14:paraId="4325634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28.14</w:t>
            </w:r>
          </w:p>
        </w:tc>
        <w:tc>
          <w:tcPr>
            <w:tcW w:w="829" w:type="dxa"/>
          </w:tcPr>
          <w:p w14:paraId="0C5D8FA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7C5CC7B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0E67A83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36.38</w:t>
            </w:r>
          </w:p>
        </w:tc>
        <w:tc>
          <w:tcPr>
            <w:tcW w:w="822" w:type="dxa"/>
          </w:tcPr>
          <w:p w14:paraId="39ACA73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F969D2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0DB663CB" w14:textId="77777777" w:rsidTr="0083000F">
        <w:trPr>
          <w:jc w:val="center"/>
        </w:trPr>
        <w:tc>
          <w:tcPr>
            <w:tcW w:w="2826" w:type="dxa"/>
          </w:tcPr>
          <w:p w14:paraId="0B908440"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No</w:t>
            </w:r>
          </w:p>
        </w:tc>
        <w:tc>
          <w:tcPr>
            <w:tcW w:w="1593" w:type="dxa"/>
          </w:tcPr>
          <w:p w14:paraId="422E4F0F" w14:textId="2C5E2730"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274</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(75.7)</w:t>
            </w:r>
          </w:p>
        </w:tc>
        <w:tc>
          <w:tcPr>
            <w:tcW w:w="862" w:type="dxa"/>
          </w:tcPr>
          <w:p w14:paraId="059BDB0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42.66</w:t>
            </w:r>
          </w:p>
        </w:tc>
        <w:tc>
          <w:tcPr>
            <w:tcW w:w="829" w:type="dxa"/>
          </w:tcPr>
          <w:p w14:paraId="472F4B1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7C60116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0C89C0F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48.00</w:t>
            </w:r>
          </w:p>
        </w:tc>
        <w:tc>
          <w:tcPr>
            <w:tcW w:w="822" w:type="dxa"/>
          </w:tcPr>
          <w:p w14:paraId="1BBD98E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39EC9F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10429B77" w14:textId="77777777" w:rsidTr="0083000F">
        <w:trPr>
          <w:jc w:val="center"/>
        </w:trPr>
        <w:tc>
          <w:tcPr>
            <w:tcW w:w="2826" w:type="dxa"/>
          </w:tcPr>
          <w:p w14:paraId="291F2788"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T category</w:t>
            </w:r>
          </w:p>
        </w:tc>
        <w:tc>
          <w:tcPr>
            <w:tcW w:w="1593" w:type="dxa"/>
          </w:tcPr>
          <w:p w14:paraId="2B3C5C8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45B5A15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63FC918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6B68B87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70.121</w:t>
            </w:r>
          </w:p>
        </w:tc>
        <w:tc>
          <w:tcPr>
            <w:tcW w:w="862" w:type="dxa"/>
          </w:tcPr>
          <w:p w14:paraId="2B79C32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7940E79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4A00803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49.574</w:t>
            </w:r>
          </w:p>
        </w:tc>
      </w:tr>
      <w:tr w:rsidR="00D21555" w:rsidRPr="00FE1156" w14:paraId="29A8A571" w14:textId="77777777" w:rsidTr="0083000F">
        <w:trPr>
          <w:jc w:val="center"/>
        </w:trPr>
        <w:tc>
          <w:tcPr>
            <w:tcW w:w="2826" w:type="dxa"/>
          </w:tcPr>
          <w:p w14:paraId="6652D887"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T1</w:t>
            </w:r>
          </w:p>
        </w:tc>
        <w:tc>
          <w:tcPr>
            <w:tcW w:w="1593" w:type="dxa"/>
          </w:tcPr>
          <w:p w14:paraId="1349AB02" w14:textId="33122904"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68</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(18.8)</w:t>
            </w:r>
          </w:p>
        </w:tc>
        <w:tc>
          <w:tcPr>
            <w:tcW w:w="862" w:type="dxa"/>
          </w:tcPr>
          <w:p w14:paraId="0C3217CA" w14:textId="77777777" w:rsidR="007102FA" w:rsidRPr="00FE1156" w:rsidRDefault="007102FA" w:rsidP="00D21555">
            <w:pPr>
              <w:tabs>
                <w:tab w:val="left" w:pos="533"/>
              </w:tabs>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65.72</w:t>
            </w:r>
          </w:p>
        </w:tc>
        <w:tc>
          <w:tcPr>
            <w:tcW w:w="829" w:type="dxa"/>
          </w:tcPr>
          <w:p w14:paraId="78C74C5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10C97D8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CE173B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65.75</w:t>
            </w:r>
          </w:p>
        </w:tc>
        <w:tc>
          <w:tcPr>
            <w:tcW w:w="822" w:type="dxa"/>
          </w:tcPr>
          <w:p w14:paraId="10202A5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D05FC3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5CD55032" w14:textId="77777777" w:rsidTr="0083000F">
        <w:trPr>
          <w:jc w:val="center"/>
        </w:trPr>
        <w:tc>
          <w:tcPr>
            <w:tcW w:w="2826" w:type="dxa"/>
          </w:tcPr>
          <w:p w14:paraId="45DF9806"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T2</w:t>
            </w:r>
          </w:p>
        </w:tc>
        <w:tc>
          <w:tcPr>
            <w:tcW w:w="1593" w:type="dxa"/>
          </w:tcPr>
          <w:p w14:paraId="2DD7EBF5" w14:textId="5ABC4A5B"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24</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(6.6)</w:t>
            </w:r>
          </w:p>
        </w:tc>
        <w:tc>
          <w:tcPr>
            <w:tcW w:w="862" w:type="dxa"/>
          </w:tcPr>
          <w:p w14:paraId="4F83DE4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60.25</w:t>
            </w:r>
          </w:p>
        </w:tc>
        <w:tc>
          <w:tcPr>
            <w:tcW w:w="829" w:type="dxa"/>
          </w:tcPr>
          <w:p w14:paraId="10F4616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A498B0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42685B5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62.00</w:t>
            </w:r>
          </w:p>
        </w:tc>
        <w:tc>
          <w:tcPr>
            <w:tcW w:w="822" w:type="dxa"/>
          </w:tcPr>
          <w:p w14:paraId="388629B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DFA77D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1729F3EB" w14:textId="77777777" w:rsidTr="0083000F">
        <w:trPr>
          <w:jc w:val="center"/>
        </w:trPr>
        <w:tc>
          <w:tcPr>
            <w:tcW w:w="2826" w:type="dxa"/>
          </w:tcPr>
          <w:p w14:paraId="7E72721D"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T3</w:t>
            </w:r>
          </w:p>
        </w:tc>
        <w:tc>
          <w:tcPr>
            <w:tcW w:w="1593" w:type="dxa"/>
          </w:tcPr>
          <w:p w14:paraId="0790CE94" w14:textId="047D5EFA"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12</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(3.3)</w:t>
            </w:r>
          </w:p>
        </w:tc>
        <w:tc>
          <w:tcPr>
            <w:tcW w:w="862" w:type="dxa"/>
          </w:tcPr>
          <w:p w14:paraId="5951C9F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59.04</w:t>
            </w:r>
          </w:p>
        </w:tc>
        <w:tc>
          <w:tcPr>
            <w:tcW w:w="829" w:type="dxa"/>
          </w:tcPr>
          <w:p w14:paraId="31BE36D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94B9B3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48E928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61.33</w:t>
            </w:r>
          </w:p>
        </w:tc>
        <w:tc>
          <w:tcPr>
            <w:tcW w:w="822" w:type="dxa"/>
          </w:tcPr>
          <w:p w14:paraId="3C972C9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E95780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71DF538A" w14:textId="77777777" w:rsidTr="0083000F">
        <w:trPr>
          <w:jc w:val="center"/>
        </w:trPr>
        <w:tc>
          <w:tcPr>
            <w:tcW w:w="2826" w:type="dxa"/>
          </w:tcPr>
          <w:p w14:paraId="3F7F3645"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T4</w:t>
            </w:r>
          </w:p>
        </w:tc>
        <w:tc>
          <w:tcPr>
            <w:tcW w:w="1593" w:type="dxa"/>
          </w:tcPr>
          <w:p w14:paraId="0E51BBE1" w14:textId="58B14F19"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258</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(71.3)</w:t>
            </w:r>
          </w:p>
        </w:tc>
        <w:tc>
          <w:tcPr>
            <w:tcW w:w="862" w:type="dxa"/>
          </w:tcPr>
          <w:p w14:paraId="70A14CC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29.29</w:t>
            </w:r>
          </w:p>
        </w:tc>
        <w:tc>
          <w:tcPr>
            <w:tcW w:w="829" w:type="dxa"/>
          </w:tcPr>
          <w:p w14:paraId="770C38C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AEBF2B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38CAC25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37.46</w:t>
            </w:r>
          </w:p>
        </w:tc>
        <w:tc>
          <w:tcPr>
            <w:tcW w:w="822" w:type="dxa"/>
          </w:tcPr>
          <w:p w14:paraId="558DC94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B70CFC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5274EF50" w14:textId="77777777" w:rsidTr="0083000F">
        <w:trPr>
          <w:jc w:val="center"/>
        </w:trPr>
        <w:tc>
          <w:tcPr>
            <w:tcW w:w="2826" w:type="dxa"/>
          </w:tcPr>
          <w:p w14:paraId="1F94BDF6"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N category</w:t>
            </w:r>
          </w:p>
        </w:tc>
        <w:tc>
          <w:tcPr>
            <w:tcW w:w="1593" w:type="dxa"/>
          </w:tcPr>
          <w:p w14:paraId="28483E5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68C5D6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01E740E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1FB1E91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248.092</w:t>
            </w:r>
          </w:p>
        </w:tc>
        <w:tc>
          <w:tcPr>
            <w:tcW w:w="862" w:type="dxa"/>
          </w:tcPr>
          <w:p w14:paraId="0746CA0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41C2514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56B4001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223.946</w:t>
            </w:r>
          </w:p>
        </w:tc>
      </w:tr>
      <w:tr w:rsidR="00D21555" w:rsidRPr="00FE1156" w14:paraId="7F5C3F1A" w14:textId="77777777" w:rsidTr="0083000F">
        <w:trPr>
          <w:jc w:val="center"/>
        </w:trPr>
        <w:tc>
          <w:tcPr>
            <w:tcW w:w="2826" w:type="dxa"/>
          </w:tcPr>
          <w:p w14:paraId="6B0DB24B"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N0</w:t>
            </w:r>
          </w:p>
        </w:tc>
        <w:tc>
          <w:tcPr>
            <w:tcW w:w="1593" w:type="dxa"/>
          </w:tcPr>
          <w:p w14:paraId="077DC61C" w14:textId="2534475A"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152</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(42.0)</w:t>
            </w:r>
          </w:p>
        </w:tc>
        <w:tc>
          <w:tcPr>
            <w:tcW w:w="862" w:type="dxa"/>
          </w:tcPr>
          <w:p w14:paraId="7F25D22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61.93</w:t>
            </w:r>
          </w:p>
        </w:tc>
        <w:tc>
          <w:tcPr>
            <w:tcW w:w="829" w:type="dxa"/>
          </w:tcPr>
          <w:p w14:paraId="68FBDB9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123028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5725898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63.47</w:t>
            </w:r>
          </w:p>
        </w:tc>
        <w:tc>
          <w:tcPr>
            <w:tcW w:w="822" w:type="dxa"/>
          </w:tcPr>
          <w:p w14:paraId="5619E39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A3E33F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0891DBED" w14:textId="77777777" w:rsidTr="0083000F">
        <w:trPr>
          <w:trHeight w:val="490"/>
          <w:jc w:val="center"/>
        </w:trPr>
        <w:tc>
          <w:tcPr>
            <w:tcW w:w="2826" w:type="dxa"/>
          </w:tcPr>
          <w:p w14:paraId="10EDC761"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N1</w:t>
            </w:r>
          </w:p>
        </w:tc>
        <w:tc>
          <w:tcPr>
            <w:tcW w:w="1593" w:type="dxa"/>
          </w:tcPr>
          <w:p w14:paraId="0D067C54" w14:textId="61A2164B"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62</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(17.1)</w:t>
            </w:r>
          </w:p>
        </w:tc>
        <w:tc>
          <w:tcPr>
            <w:tcW w:w="862" w:type="dxa"/>
          </w:tcPr>
          <w:p w14:paraId="4CDC5CC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36.73</w:t>
            </w:r>
          </w:p>
        </w:tc>
        <w:tc>
          <w:tcPr>
            <w:tcW w:w="829" w:type="dxa"/>
          </w:tcPr>
          <w:p w14:paraId="3CE1572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BDA3B5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6E23DC0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48.52</w:t>
            </w:r>
          </w:p>
        </w:tc>
        <w:tc>
          <w:tcPr>
            <w:tcW w:w="822" w:type="dxa"/>
          </w:tcPr>
          <w:p w14:paraId="70BC43A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17BE1C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3A4D1261" w14:textId="77777777" w:rsidTr="0083000F">
        <w:trPr>
          <w:jc w:val="center"/>
        </w:trPr>
        <w:tc>
          <w:tcPr>
            <w:tcW w:w="2826" w:type="dxa"/>
          </w:tcPr>
          <w:p w14:paraId="5EAEC8E5"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N2</w:t>
            </w:r>
          </w:p>
        </w:tc>
        <w:tc>
          <w:tcPr>
            <w:tcW w:w="1593" w:type="dxa"/>
          </w:tcPr>
          <w:p w14:paraId="725DEE90" w14:textId="223E29D8"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68</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(18.8)</w:t>
            </w:r>
          </w:p>
        </w:tc>
        <w:tc>
          <w:tcPr>
            <w:tcW w:w="862" w:type="dxa"/>
          </w:tcPr>
          <w:p w14:paraId="18960C1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24.07</w:t>
            </w:r>
          </w:p>
        </w:tc>
        <w:tc>
          <w:tcPr>
            <w:tcW w:w="829" w:type="dxa"/>
          </w:tcPr>
          <w:p w14:paraId="4F5A98E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1A8F23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2961247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33.05</w:t>
            </w:r>
          </w:p>
        </w:tc>
        <w:tc>
          <w:tcPr>
            <w:tcW w:w="822" w:type="dxa"/>
          </w:tcPr>
          <w:p w14:paraId="0EBFAB3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A181E3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5AC2C1B1" w14:textId="77777777" w:rsidTr="0083000F">
        <w:trPr>
          <w:jc w:val="center"/>
        </w:trPr>
        <w:tc>
          <w:tcPr>
            <w:tcW w:w="2826" w:type="dxa"/>
          </w:tcPr>
          <w:p w14:paraId="39C6F59F"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N3</w:t>
            </w:r>
          </w:p>
        </w:tc>
        <w:tc>
          <w:tcPr>
            <w:tcW w:w="1593" w:type="dxa"/>
          </w:tcPr>
          <w:p w14:paraId="20C99B32" w14:textId="45D7FAD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80</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(22.1)</w:t>
            </w:r>
          </w:p>
        </w:tc>
        <w:tc>
          <w:tcPr>
            <w:tcW w:w="862" w:type="dxa"/>
          </w:tcPr>
          <w:p w14:paraId="71539D1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10.49</w:t>
            </w:r>
          </w:p>
        </w:tc>
        <w:tc>
          <w:tcPr>
            <w:tcW w:w="829" w:type="dxa"/>
          </w:tcPr>
          <w:p w14:paraId="2FBF341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553ED03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65C7AB9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17.52</w:t>
            </w:r>
          </w:p>
        </w:tc>
        <w:tc>
          <w:tcPr>
            <w:tcW w:w="822" w:type="dxa"/>
          </w:tcPr>
          <w:p w14:paraId="380ED49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BFE6DB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2A850B9B" w14:textId="77777777" w:rsidTr="0083000F">
        <w:trPr>
          <w:jc w:val="center"/>
        </w:trPr>
        <w:tc>
          <w:tcPr>
            <w:tcW w:w="2826" w:type="dxa"/>
          </w:tcPr>
          <w:p w14:paraId="7C8D8B73"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TNM stage</w:t>
            </w:r>
          </w:p>
        </w:tc>
        <w:tc>
          <w:tcPr>
            <w:tcW w:w="1593" w:type="dxa"/>
          </w:tcPr>
          <w:p w14:paraId="5D2BA70C"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6EB4635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195383E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33F80E7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386.623</w:t>
            </w:r>
          </w:p>
        </w:tc>
        <w:tc>
          <w:tcPr>
            <w:tcW w:w="862" w:type="dxa"/>
          </w:tcPr>
          <w:p w14:paraId="4E4F7AAA"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5A21B5A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5A41D49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231.577</w:t>
            </w:r>
          </w:p>
        </w:tc>
      </w:tr>
      <w:tr w:rsidR="00D21555" w:rsidRPr="00FE1156" w14:paraId="2D85BEAD" w14:textId="77777777" w:rsidTr="0083000F">
        <w:trPr>
          <w:jc w:val="center"/>
        </w:trPr>
        <w:tc>
          <w:tcPr>
            <w:tcW w:w="2826" w:type="dxa"/>
          </w:tcPr>
          <w:p w14:paraId="4D1B0AFB"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w:t>
            </w:r>
          </w:p>
        </w:tc>
        <w:tc>
          <w:tcPr>
            <w:tcW w:w="1593" w:type="dxa"/>
          </w:tcPr>
          <w:p w14:paraId="21811893" w14:textId="09BEECDD"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77</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(21.3)</w:t>
            </w:r>
          </w:p>
        </w:tc>
        <w:tc>
          <w:tcPr>
            <w:tcW w:w="862" w:type="dxa"/>
          </w:tcPr>
          <w:p w14:paraId="70988DA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64.47</w:t>
            </w:r>
          </w:p>
        </w:tc>
        <w:tc>
          <w:tcPr>
            <w:tcW w:w="829" w:type="dxa"/>
          </w:tcPr>
          <w:p w14:paraId="277E253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2D67879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7C8FA4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65.69</w:t>
            </w:r>
          </w:p>
        </w:tc>
        <w:tc>
          <w:tcPr>
            <w:tcW w:w="822" w:type="dxa"/>
          </w:tcPr>
          <w:p w14:paraId="7435600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EB1292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3DDA7993" w14:textId="77777777" w:rsidTr="0083000F">
        <w:trPr>
          <w:jc w:val="center"/>
        </w:trPr>
        <w:tc>
          <w:tcPr>
            <w:tcW w:w="2826" w:type="dxa"/>
          </w:tcPr>
          <w:p w14:paraId="7EF0BB13"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II</w:t>
            </w:r>
          </w:p>
        </w:tc>
        <w:tc>
          <w:tcPr>
            <w:tcW w:w="1593" w:type="dxa"/>
          </w:tcPr>
          <w:p w14:paraId="7445CC00" w14:textId="7C919D31"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87</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(24.0)</w:t>
            </w:r>
          </w:p>
        </w:tc>
        <w:tc>
          <w:tcPr>
            <w:tcW w:w="862" w:type="dxa"/>
          </w:tcPr>
          <w:p w14:paraId="34AFFED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62.99</w:t>
            </w:r>
          </w:p>
        </w:tc>
        <w:tc>
          <w:tcPr>
            <w:tcW w:w="829" w:type="dxa"/>
          </w:tcPr>
          <w:p w14:paraId="5ECFFB5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BE9D06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03EE030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64.49</w:t>
            </w:r>
          </w:p>
        </w:tc>
        <w:tc>
          <w:tcPr>
            <w:tcW w:w="822" w:type="dxa"/>
          </w:tcPr>
          <w:p w14:paraId="5CF6C8C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281851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2F9F77F2" w14:textId="77777777" w:rsidTr="0083000F">
        <w:trPr>
          <w:jc w:val="center"/>
        </w:trPr>
        <w:tc>
          <w:tcPr>
            <w:tcW w:w="2826" w:type="dxa"/>
          </w:tcPr>
          <w:p w14:paraId="0176D02E"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III</w:t>
            </w:r>
          </w:p>
        </w:tc>
        <w:tc>
          <w:tcPr>
            <w:tcW w:w="1593" w:type="dxa"/>
          </w:tcPr>
          <w:p w14:paraId="461D1BAC" w14:textId="794868DE"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194</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(53.6)</w:t>
            </w:r>
          </w:p>
        </w:tc>
        <w:tc>
          <w:tcPr>
            <w:tcW w:w="862" w:type="dxa"/>
          </w:tcPr>
          <w:p w14:paraId="65BB80B5"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19.07</w:t>
            </w:r>
          </w:p>
        </w:tc>
        <w:tc>
          <w:tcPr>
            <w:tcW w:w="829" w:type="dxa"/>
          </w:tcPr>
          <w:p w14:paraId="6545824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6A3FEE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4C76388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29.04</w:t>
            </w:r>
          </w:p>
        </w:tc>
        <w:tc>
          <w:tcPr>
            <w:tcW w:w="822" w:type="dxa"/>
          </w:tcPr>
          <w:p w14:paraId="6E63B31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01DA529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7B26F2E6" w14:textId="77777777" w:rsidTr="0083000F">
        <w:trPr>
          <w:jc w:val="center"/>
        </w:trPr>
        <w:tc>
          <w:tcPr>
            <w:tcW w:w="2826" w:type="dxa"/>
          </w:tcPr>
          <w:p w14:paraId="13C959E2"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IV</w:t>
            </w:r>
          </w:p>
        </w:tc>
        <w:tc>
          <w:tcPr>
            <w:tcW w:w="1593" w:type="dxa"/>
          </w:tcPr>
          <w:p w14:paraId="2E89EAD9" w14:textId="69EC0774"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(1.1)</w:t>
            </w:r>
          </w:p>
        </w:tc>
        <w:tc>
          <w:tcPr>
            <w:tcW w:w="862" w:type="dxa"/>
          </w:tcPr>
          <w:p w14:paraId="7C036610"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5.50</w:t>
            </w:r>
          </w:p>
        </w:tc>
        <w:tc>
          <w:tcPr>
            <w:tcW w:w="829" w:type="dxa"/>
          </w:tcPr>
          <w:p w14:paraId="296F6ED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32FC3833"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1104CD4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9.50</w:t>
            </w:r>
          </w:p>
        </w:tc>
        <w:tc>
          <w:tcPr>
            <w:tcW w:w="822" w:type="dxa"/>
          </w:tcPr>
          <w:p w14:paraId="0044D579"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BBE35E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58D4B786" w14:textId="77777777" w:rsidTr="0083000F">
        <w:trPr>
          <w:jc w:val="center"/>
        </w:trPr>
        <w:tc>
          <w:tcPr>
            <w:tcW w:w="2826" w:type="dxa"/>
          </w:tcPr>
          <w:p w14:paraId="20416641" w14:textId="77777777" w:rsidR="007102FA" w:rsidRPr="00634F19" w:rsidRDefault="007102FA" w:rsidP="00FE1156">
            <w:pPr>
              <w:adjustRightInd w:val="0"/>
              <w:snapToGrid w:val="0"/>
              <w:spacing w:line="360" w:lineRule="auto"/>
              <w:rPr>
                <w:rFonts w:ascii="Book Antiqua" w:hAnsi="Book Antiqua" w:cs="Times New Roman"/>
                <w:color w:val="000000" w:themeColor="text1"/>
                <w:szCs w:val="24"/>
              </w:rPr>
            </w:pPr>
            <w:r w:rsidRPr="00634F19">
              <w:rPr>
                <w:rFonts w:ascii="Book Antiqua" w:hAnsi="Book Antiqua" w:cs="Times New Roman"/>
                <w:color w:val="000000" w:themeColor="text1"/>
                <w:szCs w:val="24"/>
              </w:rPr>
              <w:t>SNX10</w:t>
            </w:r>
          </w:p>
        </w:tc>
        <w:tc>
          <w:tcPr>
            <w:tcW w:w="1593" w:type="dxa"/>
          </w:tcPr>
          <w:p w14:paraId="07FC997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0098398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9" w:type="dxa"/>
          </w:tcPr>
          <w:p w14:paraId="6AE2EA7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1E48F66D"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21.849</w:t>
            </w:r>
          </w:p>
        </w:tc>
        <w:tc>
          <w:tcPr>
            <w:tcW w:w="862" w:type="dxa"/>
          </w:tcPr>
          <w:p w14:paraId="70227EE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22" w:type="dxa"/>
          </w:tcPr>
          <w:p w14:paraId="766B2C7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014" w:type="dxa"/>
          </w:tcPr>
          <w:p w14:paraId="08950B07"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18.278</w:t>
            </w:r>
          </w:p>
        </w:tc>
      </w:tr>
      <w:tr w:rsidR="00D21555" w:rsidRPr="00FE1156" w14:paraId="2D0B6F2A" w14:textId="77777777" w:rsidTr="0083000F">
        <w:trPr>
          <w:jc w:val="center"/>
        </w:trPr>
        <w:tc>
          <w:tcPr>
            <w:tcW w:w="2826" w:type="dxa"/>
          </w:tcPr>
          <w:p w14:paraId="7391816B"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Over- expression</w:t>
            </w:r>
          </w:p>
        </w:tc>
        <w:tc>
          <w:tcPr>
            <w:tcW w:w="1593" w:type="dxa"/>
          </w:tcPr>
          <w:p w14:paraId="301EDBBC" w14:textId="1EE6E242"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172</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(47.5)</w:t>
            </w:r>
          </w:p>
        </w:tc>
        <w:tc>
          <w:tcPr>
            <w:tcW w:w="862" w:type="dxa"/>
          </w:tcPr>
          <w:p w14:paraId="2AE08A7F"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44.97</w:t>
            </w:r>
          </w:p>
        </w:tc>
        <w:tc>
          <w:tcPr>
            <w:tcW w:w="829" w:type="dxa"/>
          </w:tcPr>
          <w:p w14:paraId="032E03C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1752BFE2"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5C98007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49.95</w:t>
            </w:r>
          </w:p>
        </w:tc>
        <w:tc>
          <w:tcPr>
            <w:tcW w:w="822" w:type="dxa"/>
          </w:tcPr>
          <w:p w14:paraId="4E57C5E1"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184F15F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r w:rsidR="00D21555" w:rsidRPr="00FE1156" w14:paraId="76E9EEE5" w14:textId="77777777" w:rsidTr="0083000F">
        <w:trPr>
          <w:jc w:val="center"/>
        </w:trPr>
        <w:tc>
          <w:tcPr>
            <w:tcW w:w="2826" w:type="dxa"/>
          </w:tcPr>
          <w:p w14:paraId="2AB47972" w14:textId="77777777" w:rsidR="007102FA" w:rsidRPr="00634F19" w:rsidRDefault="007102FA" w:rsidP="0083000F">
            <w:pPr>
              <w:adjustRightInd w:val="0"/>
              <w:snapToGrid w:val="0"/>
              <w:spacing w:line="360" w:lineRule="auto"/>
              <w:ind w:firstLineChars="100" w:firstLine="240"/>
              <w:rPr>
                <w:rFonts w:ascii="Book Antiqua" w:hAnsi="Book Antiqua" w:cs="Times New Roman"/>
                <w:color w:val="000000" w:themeColor="text1"/>
                <w:szCs w:val="24"/>
              </w:rPr>
            </w:pPr>
            <w:r w:rsidRPr="00634F19">
              <w:rPr>
                <w:rFonts w:ascii="Book Antiqua" w:hAnsi="Book Antiqua" w:cs="Times New Roman"/>
                <w:color w:val="000000" w:themeColor="text1"/>
                <w:szCs w:val="24"/>
              </w:rPr>
              <w:t>Weak-expression</w:t>
            </w:r>
          </w:p>
        </w:tc>
        <w:tc>
          <w:tcPr>
            <w:tcW w:w="1593" w:type="dxa"/>
          </w:tcPr>
          <w:p w14:paraId="68A3E66D" w14:textId="1A82ADC9"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190</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(52.5)</w:t>
            </w:r>
          </w:p>
        </w:tc>
        <w:tc>
          <w:tcPr>
            <w:tcW w:w="862" w:type="dxa"/>
          </w:tcPr>
          <w:p w14:paraId="72CBBF88"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33.85</w:t>
            </w:r>
          </w:p>
        </w:tc>
        <w:tc>
          <w:tcPr>
            <w:tcW w:w="829" w:type="dxa"/>
          </w:tcPr>
          <w:p w14:paraId="0D7FBFBE"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78EB8EE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862" w:type="dxa"/>
          </w:tcPr>
          <w:p w14:paraId="7FD5F434"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40.84</w:t>
            </w:r>
          </w:p>
        </w:tc>
        <w:tc>
          <w:tcPr>
            <w:tcW w:w="822" w:type="dxa"/>
          </w:tcPr>
          <w:p w14:paraId="4E066966"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c>
          <w:tcPr>
            <w:tcW w:w="1014" w:type="dxa"/>
          </w:tcPr>
          <w:p w14:paraId="6706474B" w14:textId="77777777" w:rsidR="007102FA" w:rsidRPr="00FE1156" w:rsidRDefault="007102FA" w:rsidP="00D21555">
            <w:pPr>
              <w:adjustRightInd w:val="0"/>
              <w:snapToGrid w:val="0"/>
              <w:spacing w:line="360" w:lineRule="auto"/>
              <w:jc w:val="center"/>
              <w:rPr>
                <w:rFonts w:ascii="Book Antiqua" w:hAnsi="Book Antiqua" w:cs="Times New Roman"/>
                <w:color w:val="000000" w:themeColor="text1"/>
                <w:szCs w:val="24"/>
              </w:rPr>
            </w:pPr>
          </w:p>
        </w:tc>
      </w:tr>
    </w:tbl>
    <w:p w14:paraId="077EC18E" w14:textId="12907F41" w:rsidR="007102FA" w:rsidRPr="00FE1156" w:rsidRDefault="00D21555" w:rsidP="00FE1156">
      <w:pPr>
        <w:pStyle w:val="EndNoteBibliography"/>
        <w:adjustRightInd w:val="0"/>
        <w:snapToGrid w:val="0"/>
        <w:spacing w:line="360" w:lineRule="auto"/>
        <w:rPr>
          <w:rFonts w:ascii="Book Antiqua" w:hAnsi="Book Antiqua" w:cs="Times New Roman"/>
          <w:color w:val="000000" w:themeColor="text1"/>
          <w:sz w:val="24"/>
          <w:szCs w:val="24"/>
        </w:rPr>
      </w:pPr>
      <w:bookmarkStart w:id="161" w:name="OLE_LINK275"/>
      <w:bookmarkStart w:id="162" w:name="OLE_LINK276"/>
      <w:r>
        <w:rPr>
          <w:rFonts w:ascii="Book Antiqua" w:hAnsi="Book Antiqua" w:cs="Times New Roman"/>
          <w:color w:val="000000" w:themeColor="text1"/>
          <w:sz w:val="24"/>
          <w:szCs w:val="24"/>
        </w:rPr>
        <w:t xml:space="preserve">DFS: </w:t>
      </w:r>
      <w:r w:rsidR="00923155">
        <w:rPr>
          <w:rFonts w:ascii="Book Antiqua" w:hAnsi="Book Antiqua" w:cs="Times New Roman"/>
          <w:color w:val="000000" w:themeColor="text1"/>
          <w:sz w:val="24"/>
          <w:szCs w:val="24"/>
        </w:rPr>
        <w:t>Disease-free sur</w:t>
      </w:r>
      <w:r w:rsidR="00634F19">
        <w:rPr>
          <w:rFonts w:ascii="Book Antiqua" w:hAnsi="Book Antiqua" w:cs="Times New Roman"/>
          <w:color w:val="000000" w:themeColor="text1"/>
          <w:sz w:val="24"/>
          <w:szCs w:val="24"/>
        </w:rPr>
        <w:t xml:space="preserve">vival; </w:t>
      </w:r>
      <w:r>
        <w:rPr>
          <w:rFonts w:ascii="Book Antiqua" w:hAnsi="Book Antiqua" w:cs="Times New Roman"/>
          <w:color w:val="000000" w:themeColor="text1"/>
          <w:sz w:val="24"/>
          <w:szCs w:val="24"/>
        </w:rPr>
        <w:t xml:space="preserve">OS: </w:t>
      </w:r>
      <w:r w:rsidR="00634F19">
        <w:rPr>
          <w:rFonts w:ascii="Book Antiqua" w:hAnsi="Book Antiqua" w:cs="Times New Roman"/>
          <w:color w:val="000000" w:themeColor="text1"/>
          <w:sz w:val="24"/>
          <w:szCs w:val="24"/>
        </w:rPr>
        <w:t xml:space="preserve">Overall survival; </w:t>
      </w:r>
      <w:r>
        <w:rPr>
          <w:rFonts w:ascii="Book Antiqua" w:hAnsi="Book Antiqua" w:cs="Times New Roman"/>
          <w:color w:val="000000" w:themeColor="text1"/>
          <w:sz w:val="24"/>
          <w:szCs w:val="24"/>
        </w:rPr>
        <w:t xml:space="preserve">SNX10: </w:t>
      </w:r>
      <w:bookmarkStart w:id="163" w:name="OLE_LINK273"/>
      <w:bookmarkStart w:id="164" w:name="OLE_LINK274"/>
      <w:r w:rsidR="00634F19">
        <w:rPr>
          <w:rFonts w:ascii="Book Antiqua" w:hAnsi="Book Antiqua"/>
          <w:color w:val="000000" w:themeColor="text1"/>
          <w:sz w:val="24"/>
          <w:szCs w:val="24"/>
        </w:rPr>
        <w:t>Sorting n</w:t>
      </w:r>
      <w:r w:rsidR="00634F19" w:rsidRPr="00FE1156">
        <w:rPr>
          <w:rFonts w:ascii="Book Antiqua" w:hAnsi="Book Antiqua"/>
          <w:color w:val="000000" w:themeColor="text1"/>
          <w:sz w:val="24"/>
          <w:szCs w:val="24"/>
        </w:rPr>
        <w:t>exin 10</w:t>
      </w:r>
      <w:bookmarkEnd w:id="163"/>
      <w:bookmarkEnd w:id="164"/>
      <w:r w:rsidR="00634F19">
        <w:rPr>
          <w:rFonts w:ascii="Book Antiqua" w:hAnsi="Book Antiqua"/>
          <w:color w:val="000000" w:themeColor="text1"/>
          <w:sz w:val="24"/>
          <w:szCs w:val="24"/>
        </w:rPr>
        <w:t>.</w:t>
      </w:r>
      <w:bookmarkEnd w:id="161"/>
      <w:bookmarkEnd w:id="162"/>
    </w:p>
    <w:p w14:paraId="24D40987" w14:textId="75226D99" w:rsidR="007102FA" w:rsidRPr="00FE1156" w:rsidRDefault="007102FA" w:rsidP="00FE1156">
      <w:pPr>
        <w:widowControl/>
        <w:adjustRightInd w:val="0"/>
        <w:snapToGrid w:val="0"/>
        <w:spacing w:line="360" w:lineRule="auto"/>
        <w:rPr>
          <w:rFonts w:ascii="Book Antiqua" w:hAnsi="Book Antiqua" w:cs="Times New Roman"/>
          <w:noProof/>
          <w:color w:val="000000" w:themeColor="text1"/>
          <w:sz w:val="24"/>
          <w:szCs w:val="24"/>
        </w:rPr>
      </w:pPr>
      <w:r w:rsidRPr="00FE1156">
        <w:rPr>
          <w:rFonts w:ascii="Book Antiqua" w:hAnsi="Book Antiqua" w:cs="Times New Roman"/>
          <w:color w:val="000000" w:themeColor="text1"/>
          <w:sz w:val="24"/>
          <w:szCs w:val="24"/>
        </w:rPr>
        <w:br w:type="page"/>
      </w:r>
    </w:p>
    <w:p w14:paraId="757E4892" w14:textId="3F8D8E81" w:rsidR="007102FA" w:rsidRPr="00634F19" w:rsidRDefault="00634F19" w:rsidP="00FE1156">
      <w:pPr>
        <w:adjustRightInd w:val="0"/>
        <w:snapToGrid w:val="0"/>
        <w:spacing w:line="360" w:lineRule="auto"/>
        <w:rPr>
          <w:rFonts w:ascii="Book Antiqua" w:hAnsi="Book Antiqua" w:cs="Times New Roman"/>
          <w:b/>
          <w:color w:val="000000" w:themeColor="text1"/>
          <w:sz w:val="24"/>
          <w:szCs w:val="24"/>
        </w:rPr>
      </w:pPr>
      <w:r w:rsidRPr="00634F19">
        <w:rPr>
          <w:rFonts w:ascii="Book Antiqua" w:hAnsi="Book Antiqua" w:cs="Times New Roman"/>
          <w:b/>
          <w:color w:val="000000" w:themeColor="text1"/>
          <w:sz w:val="24"/>
          <w:szCs w:val="24"/>
        </w:rPr>
        <w:lastRenderedPageBreak/>
        <w:t>Table 2</w:t>
      </w:r>
      <w:r w:rsidR="007102FA" w:rsidRPr="00634F19">
        <w:rPr>
          <w:rFonts w:ascii="Book Antiqua" w:hAnsi="Book Antiqua" w:cs="Times New Roman"/>
          <w:b/>
          <w:color w:val="000000" w:themeColor="text1"/>
          <w:sz w:val="24"/>
          <w:szCs w:val="24"/>
        </w:rPr>
        <w:t xml:space="preserve"> </w:t>
      </w:r>
      <w:r w:rsidRPr="00634F19">
        <w:rPr>
          <w:rFonts w:ascii="Book Antiqua" w:hAnsi="Book Antiqua"/>
          <w:b/>
          <w:color w:val="000000" w:themeColor="text1"/>
          <w:sz w:val="24"/>
          <w:szCs w:val="24"/>
        </w:rPr>
        <w:t>Sorting nexin 10</w:t>
      </w:r>
      <w:r w:rsidR="007102FA" w:rsidRPr="00634F19">
        <w:rPr>
          <w:rFonts w:ascii="Book Antiqua" w:hAnsi="Book Antiqua" w:cs="Times New Roman"/>
          <w:b/>
          <w:color w:val="000000" w:themeColor="text1"/>
          <w:sz w:val="24"/>
          <w:szCs w:val="24"/>
        </w:rPr>
        <w:t xml:space="preserve"> expressions and cl</w:t>
      </w:r>
      <w:r w:rsidRPr="00634F19">
        <w:rPr>
          <w:rFonts w:ascii="Book Antiqua" w:hAnsi="Book Antiqua" w:cs="Times New Roman"/>
          <w:b/>
          <w:color w:val="000000" w:themeColor="text1"/>
          <w:sz w:val="24"/>
          <w:szCs w:val="24"/>
        </w:rPr>
        <w:t>inicopathologic characteristics</w:t>
      </w:r>
      <w:r>
        <w:rPr>
          <w:rFonts w:ascii="Book Antiqua" w:hAnsi="Book Antiqua" w:cs="Times New Roman"/>
          <w:b/>
          <w:color w:val="000000" w:themeColor="text1"/>
          <w:sz w:val="24"/>
          <w:szCs w:val="24"/>
        </w:rPr>
        <w:t xml:space="preserve"> </w:t>
      </w:r>
      <w:r w:rsidRPr="00634F19">
        <w:rPr>
          <w:rFonts w:ascii="Book Antiqua" w:hAnsi="Book Antiqua" w:cs="Times New Roman"/>
          <w:b/>
          <w:i/>
          <w:color w:val="000000" w:themeColor="text1"/>
          <w:sz w:val="24"/>
          <w:szCs w:val="24"/>
        </w:rPr>
        <w:t xml:space="preserve">n </w:t>
      </w:r>
      <w:r w:rsidRPr="00634F19">
        <w:rPr>
          <w:rFonts w:ascii="Book Antiqua" w:hAnsi="Book Antiqua" w:cs="Times New Roman"/>
          <w:b/>
          <w:color w:val="000000" w:themeColor="text1"/>
          <w:sz w:val="24"/>
          <w:szCs w:val="24"/>
        </w:rPr>
        <w:t>(%)</w:t>
      </w:r>
    </w:p>
    <w:tbl>
      <w:tblPr>
        <w:tblStyle w:val="TableGrid"/>
        <w:tblW w:w="868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1622"/>
        <w:gridCol w:w="1900"/>
        <w:gridCol w:w="1061"/>
        <w:gridCol w:w="1383"/>
      </w:tblGrid>
      <w:tr w:rsidR="00FE1156" w:rsidRPr="00FE1156" w14:paraId="0F82E302" w14:textId="77777777" w:rsidTr="00E9624E">
        <w:trPr>
          <w:trHeight w:val="144"/>
          <w:jc w:val="center"/>
        </w:trPr>
        <w:tc>
          <w:tcPr>
            <w:tcW w:w="2716" w:type="dxa"/>
            <w:vMerge w:val="restart"/>
          </w:tcPr>
          <w:p w14:paraId="08B302A7" w14:textId="77777777" w:rsidR="007102FA" w:rsidRPr="00FE1156" w:rsidRDefault="007102FA" w:rsidP="00FE1156">
            <w:pPr>
              <w:adjustRightInd w:val="0"/>
              <w:snapToGrid w:val="0"/>
              <w:spacing w:line="360" w:lineRule="auto"/>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Characteristics</w:t>
            </w:r>
          </w:p>
        </w:tc>
        <w:tc>
          <w:tcPr>
            <w:tcW w:w="1622" w:type="dxa"/>
            <w:tcBorders>
              <w:bottom w:val="single" w:sz="4" w:space="0" w:color="auto"/>
            </w:tcBorders>
          </w:tcPr>
          <w:p w14:paraId="56796CA6" w14:textId="77777777" w:rsidR="007102FA" w:rsidRPr="00FE1156" w:rsidRDefault="007102FA" w:rsidP="00634F19">
            <w:pPr>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SNX10</w:t>
            </w:r>
          </w:p>
        </w:tc>
        <w:tc>
          <w:tcPr>
            <w:tcW w:w="1900" w:type="dxa"/>
            <w:tcBorders>
              <w:bottom w:val="single" w:sz="4" w:space="0" w:color="auto"/>
            </w:tcBorders>
          </w:tcPr>
          <w:p w14:paraId="0B4A0E0D" w14:textId="77777777" w:rsidR="007102FA" w:rsidRPr="00FE1156" w:rsidRDefault="007102FA" w:rsidP="00634F19">
            <w:pPr>
              <w:adjustRightInd w:val="0"/>
              <w:snapToGrid w:val="0"/>
              <w:spacing w:line="360" w:lineRule="auto"/>
              <w:jc w:val="center"/>
              <w:rPr>
                <w:rFonts w:ascii="Book Antiqua" w:hAnsi="Book Antiqua" w:cs="Times New Roman"/>
                <w:b/>
                <w:color w:val="000000" w:themeColor="text1"/>
                <w:szCs w:val="24"/>
              </w:rPr>
            </w:pPr>
          </w:p>
        </w:tc>
        <w:tc>
          <w:tcPr>
            <w:tcW w:w="1061" w:type="dxa"/>
            <w:tcBorders>
              <w:bottom w:val="single" w:sz="4" w:space="0" w:color="auto"/>
            </w:tcBorders>
          </w:tcPr>
          <w:p w14:paraId="3309B1DC" w14:textId="77777777" w:rsidR="007102FA" w:rsidRPr="00FE1156" w:rsidRDefault="007102FA" w:rsidP="00634F19">
            <w:pPr>
              <w:adjustRightInd w:val="0"/>
              <w:snapToGrid w:val="0"/>
              <w:spacing w:line="360" w:lineRule="auto"/>
              <w:jc w:val="center"/>
              <w:rPr>
                <w:rFonts w:ascii="Book Antiqua" w:hAnsi="Book Antiqua" w:cs="Times New Roman"/>
                <w:b/>
                <w:color w:val="000000" w:themeColor="text1"/>
                <w:szCs w:val="24"/>
              </w:rPr>
            </w:pPr>
          </w:p>
        </w:tc>
        <w:tc>
          <w:tcPr>
            <w:tcW w:w="1383" w:type="dxa"/>
            <w:tcBorders>
              <w:bottom w:val="single" w:sz="4" w:space="0" w:color="auto"/>
            </w:tcBorders>
          </w:tcPr>
          <w:p w14:paraId="15F9140D" w14:textId="77777777" w:rsidR="007102FA" w:rsidRPr="00FE1156" w:rsidRDefault="007102FA" w:rsidP="00634F19">
            <w:pPr>
              <w:adjustRightInd w:val="0"/>
              <w:snapToGrid w:val="0"/>
              <w:spacing w:line="360" w:lineRule="auto"/>
              <w:jc w:val="center"/>
              <w:rPr>
                <w:rFonts w:ascii="Book Antiqua" w:hAnsi="Book Antiqua" w:cs="Times New Roman"/>
                <w:b/>
                <w:color w:val="000000" w:themeColor="text1"/>
                <w:szCs w:val="24"/>
              </w:rPr>
            </w:pPr>
          </w:p>
        </w:tc>
      </w:tr>
      <w:tr w:rsidR="00FE1156" w:rsidRPr="00FE1156" w14:paraId="369C4866" w14:textId="77777777" w:rsidTr="00E9624E">
        <w:trPr>
          <w:trHeight w:val="144"/>
          <w:jc w:val="center"/>
        </w:trPr>
        <w:tc>
          <w:tcPr>
            <w:tcW w:w="2716" w:type="dxa"/>
            <w:vMerge/>
            <w:tcBorders>
              <w:bottom w:val="single" w:sz="4" w:space="0" w:color="auto"/>
            </w:tcBorders>
          </w:tcPr>
          <w:p w14:paraId="2B4B849E" w14:textId="77777777" w:rsidR="007102FA" w:rsidRPr="00FE1156" w:rsidRDefault="007102FA" w:rsidP="00FE1156">
            <w:pPr>
              <w:adjustRightInd w:val="0"/>
              <w:snapToGrid w:val="0"/>
              <w:spacing w:line="360" w:lineRule="auto"/>
              <w:rPr>
                <w:rFonts w:ascii="Book Antiqua" w:hAnsi="Book Antiqua" w:cs="Times New Roman"/>
                <w:b/>
                <w:color w:val="000000" w:themeColor="text1"/>
                <w:szCs w:val="24"/>
              </w:rPr>
            </w:pPr>
          </w:p>
        </w:tc>
        <w:tc>
          <w:tcPr>
            <w:tcW w:w="1622" w:type="dxa"/>
            <w:tcBorders>
              <w:top w:val="single" w:sz="4" w:space="0" w:color="auto"/>
              <w:bottom w:val="single" w:sz="4" w:space="0" w:color="auto"/>
            </w:tcBorders>
          </w:tcPr>
          <w:p w14:paraId="0B2B606B" w14:textId="77777777" w:rsidR="007102FA" w:rsidRPr="00FE1156" w:rsidRDefault="007102FA" w:rsidP="00634F19">
            <w:pPr>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High</w:t>
            </w:r>
          </w:p>
        </w:tc>
        <w:tc>
          <w:tcPr>
            <w:tcW w:w="1900" w:type="dxa"/>
            <w:tcBorders>
              <w:top w:val="single" w:sz="4" w:space="0" w:color="auto"/>
              <w:bottom w:val="single" w:sz="4" w:space="0" w:color="auto"/>
            </w:tcBorders>
          </w:tcPr>
          <w:p w14:paraId="1A1E9322" w14:textId="77777777" w:rsidR="007102FA" w:rsidRPr="00FE1156" w:rsidRDefault="007102FA" w:rsidP="00634F19">
            <w:pPr>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Low</w:t>
            </w:r>
          </w:p>
        </w:tc>
        <w:tc>
          <w:tcPr>
            <w:tcW w:w="1061" w:type="dxa"/>
            <w:tcBorders>
              <w:top w:val="single" w:sz="4" w:space="0" w:color="auto"/>
              <w:bottom w:val="single" w:sz="4" w:space="0" w:color="auto"/>
            </w:tcBorders>
          </w:tcPr>
          <w:p w14:paraId="21FF43EA" w14:textId="3322E05C" w:rsidR="007102FA" w:rsidRPr="00634F19" w:rsidRDefault="007102FA" w:rsidP="00634F19">
            <w:pPr>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i/>
                <w:color w:val="000000" w:themeColor="text1"/>
                <w:szCs w:val="24"/>
              </w:rPr>
              <w:t>P</w:t>
            </w:r>
            <w:r w:rsidR="00634F19">
              <w:rPr>
                <w:rFonts w:ascii="Book Antiqua" w:hAnsi="Book Antiqua" w:cs="Times New Roman"/>
                <w:b/>
                <w:color w:val="000000" w:themeColor="text1"/>
                <w:szCs w:val="24"/>
              </w:rPr>
              <w:t xml:space="preserve"> value</w:t>
            </w:r>
          </w:p>
        </w:tc>
        <w:tc>
          <w:tcPr>
            <w:tcW w:w="1383" w:type="dxa"/>
            <w:tcBorders>
              <w:top w:val="single" w:sz="4" w:space="0" w:color="auto"/>
              <w:bottom w:val="single" w:sz="4" w:space="0" w:color="auto"/>
            </w:tcBorders>
          </w:tcPr>
          <w:p w14:paraId="58DD2333" w14:textId="6B803C8D" w:rsidR="007102FA" w:rsidRPr="00634F19" w:rsidRDefault="007102FA" w:rsidP="00634F19">
            <w:pPr>
              <w:adjustRightInd w:val="0"/>
              <w:snapToGrid w:val="0"/>
              <w:spacing w:line="360" w:lineRule="auto"/>
              <w:jc w:val="center"/>
              <w:rPr>
                <w:rFonts w:ascii="Book Antiqua" w:hAnsi="Book Antiqua" w:cs="Times New Roman"/>
                <w:b/>
                <w:color w:val="000000" w:themeColor="text1"/>
                <w:szCs w:val="24"/>
              </w:rPr>
            </w:pPr>
            <w:r w:rsidRPr="00634F19">
              <w:rPr>
                <w:rFonts w:ascii="Book Antiqua" w:hAnsi="Book Antiqua" w:cs="Times New Roman"/>
                <w:b/>
                <w:i/>
                <w:color w:val="000000" w:themeColor="text1"/>
                <w:szCs w:val="24"/>
              </w:rPr>
              <w:t>X</w:t>
            </w:r>
            <w:r w:rsidRPr="00634F19">
              <w:rPr>
                <w:rFonts w:ascii="Book Antiqua" w:hAnsi="Book Antiqua" w:cs="Times New Roman"/>
                <w:b/>
                <w:i/>
                <w:color w:val="000000" w:themeColor="text1"/>
                <w:szCs w:val="24"/>
                <w:vertAlign w:val="superscript"/>
              </w:rPr>
              <w:t>2</w:t>
            </w:r>
            <w:r w:rsidR="00634F19" w:rsidRPr="00634F19">
              <w:rPr>
                <w:rFonts w:ascii="Book Antiqua" w:hAnsi="Book Antiqua" w:cs="Times New Roman"/>
                <w:b/>
                <w:i/>
                <w:color w:val="000000" w:themeColor="text1"/>
                <w:szCs w:val="24"/>
                <w:vertAlign w:val="superscript"/>
              </w:rPr>
              <w:t xml:space="preserve"> </w:t>
            </w:r>
            <w:r w:rsidR="00634F19">
              <w:rPr>
                <w:rFonts w:ascii="Book Antiqua" w:hAnsi="Book Antiqua" w:cs="Times New Roman"/>
                <w:b/>
                <w:color w:val="000000" w:themeColor="text1"/>
                <w:szCs w:val="24"/>
              </w:rPr>
              <w:t>value</w:t>
            </w:r>
          </w:p>
        </w:tc>
      </w:tr>
      <w:tr w:rsidR="00FE1156" w:rsidRPr="00FE1156" w14:paraId="2CDD45A9" w14:textId="77777777" w:rsidTr="00E9624E">
        <w:trPr>
          <w:trHeight w:val="144"/>
          <w:jc w:val="center"/>
        </w:trPr>
        <w:tc>
          <w:tcPr>
            <w:tcW w:w="2716" w:type="dxa"/>
            <w:tcBorders>
              <w:top w:val="single" w:sz="4" w:space="0" w:color="auto"/>
            </w:tcBorders>
          </w:tcPr>
          <w:p w14:paraId="249247F9"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p>
        </w:tc>
        <w:tc>
          <w:tcPr>
            <w:tcW w:w="1622" w:type="dxa"/>
            <w:tcBorders>
              <w:top w:val="single" w:sz="4" w:space="0" w:color="auto"/>
            </w:tcBorders>
            <w:vAlign w:val="center"/>
          </w:tcPr>
          <w:p w14:paraId="1ADFE9E9" w14:textId="522376FD"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172</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(47.5)</w:t>
            </w:r>
          </w:p>
        </w:tc>
        <w:tc>
          <w:tcPr>
            <w:tcW w:w="1900" w:type="dxa"/>
            <w:tcBorders>
              <w:top w:val="single" w:sz="4" w:space="0" w:color="auto"/>
            </w:tcBorders>
            <w:vAlign w:val="center"/>
          </w:tcPr>
          <w:p w14:paraId="1B1D49F1" w14:textId="3598B0F6"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190</w:t>
            </w:r>
            <w:r w:rsidR="00634F19">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(52.5)</w:t>
            </w:r>
          </w:p>
        </w:tc>
        <w:tc>
          <w:tcPr>
            <w:tcW w:w="1061" w:type="dxa"/>
            <w:tcBorders>
              <w:top w:val="single" w:sz="4" w:space="0" w:color="auto"/>
            </w:tcBorders>
            <w:vAlign w:val="center"/>
          </w:tcPr>
          <w:p w14:paraId="4DAA622A"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tcBorders>
              <w:top w:val="single" w:sz="4" w:space="0" w:color="auto"/>
            </w:tcBorders>
            <w:vAlign w:val="center"/>
          </w:tcPr>
          <w:p w14:paraId="1C84C744"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2AFC11F2" w14:textId="77777777" w:rsidTr="00E9624E">
        <w:trPr>
          <w:trHeight w:val="144"/>
          <w:jc w:val="center"/>
        </w:trPr>
        <w:tc>
          <w:tcPr>
            <w:tcW w:w="2716" w:type="dxa"/>
          </w:tcPr>
          <w:p w14:paraId="3FC62296"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Age</w:t>
            </w:r>
          </w:p>
        </w:tc>
        <w:tc>
          <w:tcPr>
            <w:tcW w:w="1622" w:type="dxa"/>
            <w:vAlign w:val="center"/>
          </w:tcPr>
          <w:p w14:paraId="2F29A531"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6BB3145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501FB7F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0.599</w:t>
            </w:r>
          </w:p>
        </w:tc>
        <w:tc>
          <w:tcPr>
            <w:tcW w:w="1383" w:type="dxa"/>
            <w:vAlign w:val="center"/>
          </w:tcPr>
          <w:p w14:paraId="6BE0D298"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0.342</w:t>
            </w:r>
          </w:p>
        </w:tc>
      </w:tr>
      <w:tr w:rsidR="00FE1156" w:rsidRPr="00FE1156" w14:paraId="381242B0" w14:textId="77777777" w:rsidTr="00E9624E">
        <w:trPr>
          <w:trHeight w:val="144"/>
          <w:jc w:val="center"/>
        </w:trPr>
        <w:tc>
          <w:tcPr>
            <w:tcW w:w="2716" w:type="dxa"/>
          </w:tcPr>
          <w:p w14:paraId="23494D27" w14:textId="34A0B6D8"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w:t>
            </w:r>
            <w:r w:rsidR="00634F19" w:rsidRPr="006E4996">
              <w:rPr>
                <w:rFonts w:ascii="Book Antiqua" w:hAnsi="Book Antiqua" w:cs="Times New Roman"/>
                <w:color w:val="000000" w:themeColor="text1"/>
                <w:szCs w:val="24"/>
              </w:rPr>
              <w:t xml:space="preserve"> </w:t>
            </w:r>
            <w:r w:rsidRPr="006E4996">
              <w:rPr>
                <w:rFonts w:ascii="Book Antiqua" w:hAnsi="Book Antiqua" w:cs="Times New Roman"/>
                <w:color w:val="000000" w:themeColor="text1"/>
                <w:szCs w:val="24"/>
              </w:rPr>
              <w:t>60</w:t>
            </w:r>
          </w:p>
        </w:tc>
        <w:tc>
          <w:tcPr>
            <w:tcW w:w="1622" w:type="dxa"/>
            <w:vAlign w:val="center"/>
          </w:tcPr>
          <w:p w14:paraId="4E219BA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94 (49.0)</w:t>
            </w:r>
          </w:p>
        </w:tc>
        <w:tc>
          <w:tcPr>
            <w:tcW w:w="1900" w:type="dxa"/>
            <w:vAlign w:val="center"/>
          </w:tcPr>
          <w:p w14:paraId="7A5CF7E8" w14:textId="42B6311B"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98</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(51.0)</w:t>
            </w:r>
          </w:p>
        </w:tc>
        <w:tc>
          <w:tcPr>
            <w:tcW w:w="1061" w:type="dxa"/>
            <w:vAlign w:val="center"/>
          </w:tcPr>
          <w:p w14:paraId="5B9F7FDB"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0F8E91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70D70E65" w14:textId="77777777" w:rsidTr="00E9624E">
        <w:trPr>
          <w:trHeight w:val="144"/>
          <w:jc w:val="center"/>
        </w:trPr>
        <w:tc>
          <w:tcPr>
            <w:tcW w:w="2716" w:type="dxa"/>
          </w:tcPr>
          <w:p w14:paraId="2F952A0A" w14:textId="14934DFE"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&lt;</w:t>
            </w:r>
            <w:r w:rsidR="00634F19" w:rsidRPr="006E4996">
              <w:rPr>
                <w:rFonts w:ascii="Book Antiqua" w:hAnsi="Book Antiqua" w:cs="Times New Roman"/>
                <w:color w:val="000000" w:themeColor="text1"/>
                <w:szCs w:val="24"/>
              </w:rPr>
              <w:t xml:space="preserve"> </w:t>
            </w:r>
            <w:r w:rsidRPr="006E4996">
              <w:rPr>
                <w:rFonts w:ascii="Book Antiqua" w:hAnsi="Book Antiqua" w:cs="Times New Roman"/>
                <w:color w:val="000000" w:themeColor="text1"/>
                <w:szCs w:val="24"/>
              </w:rPr>
              <w:t>60</w:t>
            </w:r>
          </w:p>
        </w:tc>
        <w:tc>
          <w:tcPr>
            <w:tcW w:w="1622" w:type="dxa"/>
            <w:vAlign w:val="center"/>
          </w:tcPr>
          <w:p w14:paraId="087A7BC8" w14:textId="6197DD78"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78</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(45.9)</w:t>
            </w:r>
          </w:p>
        </w:tc>
        <w:tc>
          <w:tcPr>
            <w:tcW w:w="1900" w:type="dxa"/>
            <w:vAlign w:val="center"/>
          </w:tcPr>
          <w:p w14:paraId="5DEB5955" w14:textId="62869F3D"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92</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(54.1)</w:t>
            </w:r>
          </w:p>
        </w:tc>
        <w:tc>
          <w:tcPr>
            <w:tcW w:w="1061" w:type="dxa"/>
            <w:vAlign w:val="center"/>
          </w:tcPr>
          <w:p w14:paraId="28CEFC21"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27AB4732"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24B163E4" w14:textId="77777777" w:rsidTr="00E9624E">
        <w:trPr>
          <w:trHeight w:val="144"/>
          <w:jc w:val="center"/>
        </w:trPr>
        <w:tc>
          <w:tcPr>
            <w:tcW w:w="2716" w:type="dxa"/>
          </w:tcPr>
          <w:p w14:paraId="0550329B"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Gender</w:t>
            </w:r>
          </w:p>
        </w:tc>
        <w:tc>
          <w:tcPr>
            <w:tcW w:w="1622" w:type="dxa"/>
            <w:vAlign w:val="center"/>
          </w:tcPr>
          <w:p w14:paraId="70B205CD"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78956ABA"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172C591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0.385</w:t>
            </w:r>
          </w:p>
        </w:tc>
        <w:tc>
          <w:tcPr>
            <w:tcW w:w="1383" w:type="dxa"/>
            <w:vAlign w:val="center"/>
          </w:tcPr>
          <w:p w14:paraId="1B6249AE"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0.755</w:t>
            </w:r>
          </w:p>
        </w:tc>
      </w:tr>
      <w:tr w:rsidR="00FE1156" w:rsidRPr="00FE1156" w14:paraId="2C40DE53" w14:textId="77777777" w:rsidTr="00E9624E">
        <w:trPr>
          <w:trHeight w:val="144"/>
          <w:jc w:val="center"/>
        </w:trPr>
        <w:tc>
          <w:tcPr>
            <w:tcW w:w="2716" w:type="dxa"/>
          </w:tcPr>
          <w:p w14:paraId="4451E6D6" w14:textId="7777777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Male</w:t>
            </w:r>
          </w:p>
        </w:tc>
        <w:tc>
          <w:tcPr>
            <w:tcW w:w="1622" w:type="dxa"/>
            <w:vAlign w:val="center"/>
          </w:tcPr>
          <w:p w14:paraId="151184C0" w14:textId="1A183D88"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114</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(46.0)</w:t>
            </w:r>
          </w:p>
        </w:tc>
        <w:tc>
          <w:tcPr>
            <w:tcW w:w="1900" w:type="dxa"/>
            <w:vAlign w:val="center"/>
          </w:tcPr>
          <w:p w14:paraId="5C1E6788" w14:textId="2EFD4454"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134</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(54.0)</w:t>
            </w:r>
          </w:p>
        </w:tc>
        <w:tc>
          <w:tcPr>
            <w:tcW w:w="1061" w:type="dxa"/>
            <w:vAlign w:val="center"/>
          </w:tcPr>
          <w:p w14:paraId="1576A59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03BAB1BA"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09D7CFC2" w14:textId="77777777" w:rsidTr="00E9624E">
        <w:trPr>
          <w:trHeight w:val="144"/>
          <w:jc w:val="center"/>
        </w:trPr>
        <w:tc>
          <w:tcPr>
            <w:tcW w:w="2716" w:type="dxa"/>
          </w:tcPr>
          <w:p w14:paraId="4F9DE101" w14:textId="1F1633C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Femal</w:t>
            </w:r>
            <w:r w:rsidR="00E9624E">
              <w:rPr>
                <w:rFonts w:ascii="Book Antiqua" w:hAnsi="Book Antiqua" w:cs="Times New Roman" w:hint="eastAsia"/>
                <w:color w:val="000000" w:themeColor="text1"/>
                <w:szCs w:val="24"/>
              </w:rPr>
              <w:t>e</w:t>
            </w:r>
          </w:p>
        </w:tc>
        <w:tc>
          <w:tcPr>
            <w:tcW w:w="1622" w:type="dxa"/>
            <w:vAlign w:val="center"/>
          </w:tcPr>
          <w:p w14:paraId="76CDCECF" w14:textId="529F8FEA"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58</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(50.9)</w:t>
            </w:r>
          </w:p>
        </w:tc>
        <w:tc>
          <w:tcPr>
            <w:tcW w:w="1900" w:type="dxa"/>
            <w:vAlign w:val="center"/>
          </w:tcPr>
          <w:p w14:paraId="5083C72C" w14:textId="45330DA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56</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(49.1)</w:t>
            </w:r>
          </w:p>
        </w:tc>
        <w:tc>
          <w:tcPr>
            <w:tcW w:w="1061" w:type="dxa"/>
            <w:vAlign w:val="center"/>
          </w:tcPr>
          <w:p w14:paraId="6A7CB31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4CEF0D2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78FDDB67" w14:textId="77777777" w:rsidTr="00E9624E">
        <w:trPr>
          <w:trHeight w:val="144"/>
          <w:jc w:val="center"/>
        </w:trPr>
        <w:tc>
          <w:tcPr>
            <w:tcW w:w="2716" w:type="dxa"/>
          </w:tcPr>
          <w:p w14:paraId="374A095D" w14:textId="23DCC2D1"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 xml:space="preserve">Tumor </w:t>
            </w:r>
            <w:r w:rsidR="00E9624E" w:rsidRPr="006E4996">
              <w:rPr>
                <w:rFonts w:ascii="Book Antiqua" w:hAnsi="Book Antiqua" w:cs="Times New Roman"/>
                <w:color w:val="000000" w:themeColor="text1"/>
                <w:szCs w:val="24"/>
              </w:rPr>
              <w:t>s</w:t>
            </w:r>
            <w:r w:rsidRPr="006E4996">
              <w:rPr>
                <w:rFonts w:ascii="Book Antiqua" w:hAnsi="Book Antiqua" w:cs="Times New Roman"/>
                <w:color w:val="000000" w:themeColor="text1"/>
                <w:szCs w:val="24"/>
              </w:rPr>
              <w:t>ize</w:t>
            </w:r>
          </w:p>
        </w:tc>
        <w:tc>
          <w:tcPr>
            <w:tcW w:w="1622" w:type="dxa"/>
            <w:vAlign w:val="center"/>
          </w:tcPr>
          <w:p w14:paraId="2E55FDFE"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33FDBE82"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288254C6"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0.566</w:t>
            </w:r>
          </w:p>
        </w:tc>
        <w:tc>
          <w:tcPr>
            <w:tcW w:w="1383" w:type="dxa"/>
            <w:vAlign w:val="center"/>
          </w:tcPr>
          <w:p w14:paraId="2AFAF7B6"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0.330</w:t>
            </w:r>
          </w:p>
        </w:tc>
      </w:tr>
      <w:tr w:rsidR="00FE1156" w:rsidRPr="00FE1156" w14:paraId="7AD6CEE0" w14:textId="77777777" w:rsidTr="00E9624E">
        <w:trPr>
          <w:trHeight w:val="144"/>
          <w:jc w:val="center"/>
        </w:trPr>
        <w:tc>
          <w:tcPr>
            <w:tcW w:w="2716" w:type="dxa"/>
          </w:tcPr>
          <w:p w14:paraId="3DD6F9E6" w14:textId="63A4BA09"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w:t>
            </w:r>
            <w:r w:rsidR="00634F19" w:rsidRPr="006E4996">
              <w:rPr>
                <w:rFonts w:ascii="Book Antiqua" w:hAnsi="Book Antiqua" w:cs="Times New Roman"/>
                <w:color w:val="000000" w:themeColor="text1"/>
                <w:szCs w:val="24"/>
              </w:rPr>
              <w:t xml:space="preserve"> </w:t>
            </w:r>
            <w:r w:rsidRPr="006E4996">
              <w:rPr>
                <w:rFonts w:ascii="Book Antiqua" w:hAnsi="Book Antiqua" w:cs="Times New Roman"/>
                <w:color w:val="000000" w:themeColor="text1"/>
                <w:szCs w:val="24"/>
              </w:rPr>
              <w:t>5</w:t>
            </w:r>
            <w:r w:rsidR="00634F19" w:rsidRPr="006E4996">
              <w:rPr>
                <w:rFonts w:ascii="Book Antiqua" w:hAnsi="Book Antiqua" w:cs="Times New Roman"/>
                <w:color w:val="000000" w:themeColor="text1"/>
                <w:szCs w:val="24"/>
              </w:rPr>
              <w:t xml:space="preserve"> </w:t>
            </w:r>
            <w:r w:rsidRPr="006E4996">
              <w:rPr>
                <w:rFonts w:ascii="Book Antiqua" w:hAnsi="Book Antiqua" w:cs="Times New Roman"/>
                <w:color w:val="000000" w:themeColor="text1"/>
                <w:szCs w:val="24"/>
              </w:rPr>
              <w:t xml:space="preserve">cm </w:t>
            </w:r>
          </w:p>
        </w:tc>
        <w:tc>
          <w:tcPr>
            <w:tcW w:w="1622" w:type="dxa"/>
            <w:vAlign w:val="center"/>
          </w:tcPr>
          <w:p w14:paraId="7B3DD394" w14:textId="4E60F274"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70</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(45.8)</w:t>
            </w:r>
          </w:p>
        </w:tc>
        <w:tc>
          <w:tcPr>
            <w:tcW w:w="1900" w:type="dxa"/>
            <w:vAlign w:val="center"/>
          </w:tcPr>
          <w:p w14:paraId="0DEACB9B" w14:textId="78421BF0"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83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(54.2)</w:t>
            </w:r>
          </w:p>
        </w:tc>
        <w:tc>
          <w:tcPr>
            <w:tcW w:w="1061" w:type="dxa"/>
            <w:vAlign w:val="center"/>
          </w:tcPr>
          <w:p w14:paraId="0391B016"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071CE701"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2F4A85F1" w14:textId="77777777" w:rsidTr="00E9624E">
        <w:trPr>
          <w:trHeight w:val="144"/>
          <w:jc w:val="center"/>
        </w:trPr>
        <w:tc>
          <w:tcPr>
            <w:tcW w:w="2716" w:type="dxa"/>
          </w:tcPr>
          <w:p w14:paraId="1DCB6C73" w14:textId="2DFFEBFA"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&lt;</w:t>
            </w:r>
            <w:r w:rsidR="00634F19" w:rsidRPr="006E4996">
              <w:rPr>
                <w:rFonts w:ascii="Book Antiqua" w:hAnsi="Book Antiqua" w:cs="Times New Roman"/>
                <w:color w:val="000000" w:themeColor="text1"/>
                <w:szCs w:val="24"/>
              </w:rPr>
              <w:t xml:space="preserve"> </w:t>
            </w:r>
            <w:r w:rsidRPr="006E4996">
              <w:rPr>
                <w:rFonts w:ascii="Book Antiqua" w:hAnsi="Book Antiqua" w:cs="Times New Roman"/>
                <w:color w:val="000000" w:themeColor="text1"/>
                <w:szCs w:val="24"/>
              </w:rPr>
              <w:t>5</w:t>
            </w:r>
            <w:r w:rsidR="00634F19" w:rsidRPr="006E4996">
              <w:rPr>
                <w:rFonts w:ascii="Book Antiqua" w:hAnsi="Book Antiqua" w:cs="Times New Roman"/>
                <w:color w:val="000000" w:themeColor="text1"/>
                <w:szCs w:val="24"/>
              </w:rPr>
              <w:t xml:space="preserve"> </w:t>
            </w:r>
            <w:r w:rsidRPr="006E4996">
              <w:rPr>
                <w:rFonts w:ascii="Book Antiqua" w:hAnsi="Book Antiqua" w:cs="Times New Roman"/>
                <w:color w:val="000000" w:themeColor="text1"/>
                <w:szCs w:val="24"/>
              </w:rPr>
              <w:t>cm</w:t>
            </w:r>
          </w:p>
        </w:tc>
        <w:tc>
          <w:tcPr>
            <w:tcW w:w="1622" w:type="dxa"/>
            <w:vAlign w:val="center"/>
          </w:tcPr>
          <w:p w14:paraId="200C4209" w14:textId="1C38409A"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102</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(48.8)</w:t>
            </w:r>
          </w:p>
        </w:tc>
        <w:tc>
          <w:tcPr>
            <w:tcW w:w="1900" w:type="dxa"/>
            <w:vAlign w:val="center"/>
          </w:tcPr>
          <w:p w14:paraId="114E06F9" w14:textId="1B36B130"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107</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(51.2)</w:t>
            </w:r>
          </w:p>
        </w:tc>
        <w:tc>
          <w:tcPr>
            <w:tcW w:w="1061" w:type="dxa"/>
            <w:vAlign w:val="center"/>
          </w:tcPr>
          <w:p w14:paraId="796E3EAB"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567198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41416D5D" w14:textId="77777777" w:rsidTr="00E9624E">
        <w:trPr>
          <w:trHeight w:val="460"/>
          <w:jc w:val="center"/>
        </w:trPr>
        <w:tc>
          <w:tcPr>
            <w:tcW w:w="2716" w:type="dxa"/>
          </w:tcPr>
          <w:p w14:paraId="59012FBD"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Location</w:t>
            </w:r>
          </w:p>
        </w:tc>
        <w:tc>
          <w:tcPr>
            <w:tcW w:w="1622" w:type="dxa"/>
            <w:vAlign w:val="center"/>
          </w:tcPr>
          <w:p w14:paraId="1D91408D"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6866215C"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311AB2D8"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0.490</w:t>
            </w:r>
          </w:p>
        </w:tc>
        <w:tc>
          <w:tcPr>
            <w:tcW w:w="1383" w:type="dxa"/>
            <w:vAlign w:val="center"/>
          </w:tcPr>
          <w:p w14:paraId="684BDBF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1.426</w:t>
            </w:r>
          </w:p>
        </w:tc>
      </w:tr>
      <w:tr w:rsidR="00FE1156" w:rsidRPr="00FE1156" w14:paraId="354E945E" w14:textId="77777777" w:rsidTr="00E9624E">
        <w:trPr>
          <w:trHeight w:val="144"/>
          <w:jc w:val="center"/>
        </w:trPr>
        <w:tc>
          <w:tcPr>
            <w:tcW w:w="2716" w:type="dxa"/>
          </w:tcPr>
          <w:p w14:paraId="060D6733" w14:textId="7777777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Up</w:t>
            </w:r>
          </w:p>
        </w:tc>
        <w:tc>
          <w:tcPr>
            <w:tcW w:w="1622" w:type="dxa"/>
            <w:vAlign w:val="center"/>
          </w:tcPr>
          <w:p w14:paraId="4B3CBDE8" w14:textId="35131655"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(43.4)</w:t>
            </w:r>
          </w:p>
        </w:tc>
        <w:tc>
          <w:tcPr>
            <w:tcW w:w="1900" w:type="dxa"/>
            <w:vAlign w:val="center"/>
          </w:tcPr>
          <w:p w14:paraId="744E57D4" w14:textId="384C922C"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(56.6)</w:t>
            </w:r>
          </w:p>
        </w:tc>
        <w:tc>
          <w:tcPr>
            <w:tcW w:w="1061" w:type="dxa"/>
            <w:vAlign w:val="center"/>
          </w:tcPr>
          <w:p w14:paraId="7C8C4517"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2C4384E8"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41C201E8" w14:textId="77777777" w:rsidTr="00E9624E">
        <w:trPr>
          <w:trHeight w:val="144"/>
          <w:jc w:val="center"/>
        </w:trPr>
        <w:tc>
          <w:tcPr>
            <w:tcW w:w="2716" w:type="dxa"/>
          </w:tcPr>
          <w:p w14:paraId="229EBD0E" w14:textId="7777777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Middle</w:t>
            </w:r>
          </w:p>
        </w:tc>
        <w:tc>
          <w:tcPr>
            <w:tcW w:w="1622" w:type="dxa"/>
            <w:vAlign w:val="center"/>
          </w:tcPr>
          <w:p w14:paraId="3EC792EF" w14:textId="7BAF190F"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46</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(45.1)</w:t>
            </w:r>
          </w:p>
        </w:tc>
        <w:tc>
          <w:tcPr>
            <w:tcW w:w="1900" w:type="dxa"/>
            <w:vAlign w:val="center"/>
          </w:tcPr>
          <w:p w14:paraId="095CB44B" w14:textId="6C906CE9"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56</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(54.9)</w:t>
            </w:r>
          </w:p>
        </w:tc>
        <w:tc>
          <w:tcPr>
            <w:tcW w:w="1061" w:type="dxa"/>
            <w:vAlign w:val="center"/>
          </w:tcPr>
          <w:p w14:paraId="447D5014"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675D6E6"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352A7D4F" w14:textId="77777777" w:rsidTr="00E9624E">
        <w:trPr>
          <w:trHeight w:val="144"/>
          <w:jc w:val="center"/>
        </w:trPr>
        <w:tc>
          <w:tcPr>
            <w:tcW w:w="2716" w:type="dxa"/>
          </w:tcPr>
          <w:p w14:paraId="4ACFFEA4" w14:textId="7777777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Low</w:t>
            </w:r>
          </w:p>
        </w:tc>
        <w:tc>
          <w:tcPr>
            <w:tcW w:w="1622" w:type="dxa"/>
            <w:vAlign w:val="center"/>
          </w:tcPr>
          <w:p w14:paraId="2868BFDB" w14:textId="07613C61"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(50.5)</w:t>
            </w:r>
          </w:p>
        </w:tc>
        <w:tc>
          <w:tcPr>
            <w:tcW w:w="1900" w:type="dxa"/>
            <w:vAlign w:val="center"/>
          </w:tcPr>
          <w:p w14:paraId="55950C13" w14:textId="38560651"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91</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(49.5)</w:t>
            </w:r>
          </w:p>
        </w:tc>
        <w:tc>
          <w:tcPr>
            <w:tcW w:w="1061" w:type="dxa"/>
            <w:vAlign w:val="center"/>
          </w:tcPr>
          <w:p w14:paraId="51FD14BC"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75115659"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7866B668" w14:textId="77777777" w:rsidTr="00E9624E">
        <w:trPr>
          <w:trHeight w:val="144"/>
          <w:jc w:val="center"/>
        </w:trPr>
        <w:tc>
          <w:tcPr>
            <w:tcW w:w="2716" w:type="dxa"/>
          </w:tcPr>
          <w:p w14:paraId="3A16059C"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Bormann type</w:t>
            </w:r>
          </w:p>
        </w:tc>
        <w:tc>
          <w:tcPr>
            <w:tcW w:w="1622" w:type="dxa"/>
            <w:vAlign w:val="center"/>
          </w:tcPr>
          <w:p w14:paraId="79E1F734"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6CD5754E"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5402356F"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0.167</w:t>
            </w:r>
          </w:p>
        </w:tc>
        <w:tc>
          <w:tcPr>
            <w:tcW w:w="1383" w:type="dxa"/>
            <w:vAlign w:val="center"/>
          </w:tcPr>
          <w:p w14:paraId="73C8C627"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5.071</w:t>
            </w:r>
          </w:p>
        </w:tc>
      </w:tr>
      <w:tr w:rsidR="00FE1156" w:rsidRPr="00FE1156" w14:paraId="618E13CE" w14:textId="77777777" w:rsidTr="00E9624E">
        <w:trPr>
          <w:trHeight w:val="144"/>
          <w:jc w:val="center"/>
        </w:trPr>
        <w:tc>
          <w:tcPr>
            <w:tcW w:w="2716" w:type="dxa"/>
          </w:tcPr>
          <w:p w14:paraId="1770B7E2" w14:textId="7777777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I</w:t>
            </w:r>
          </w:p>
        </w:tc>
        <w:tc>
          <w:tcPr>
            <w:tcW w:w="1622" w:type="dxa"/>
            <w:vAlign w:val="center"/>
          </w:tcPr>
          <w:p w14:paraId="5A4B1591" w14:textId="608C430E"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(46.4)</w:t>
            </w:r>
          </w:p>
        </w:tc>
        <w:tc>
          <w:tcPr>
            <w:tcW w:w="1900" w:type="dxa"/>
            <w:vAlign w:val="center"/>
          </w:tcPr>
          <w:p w14:paraId="0D874BEC" w14:textId="573D2A4A"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15</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(53.6)</w:t>
            </w:r>
          </w:p>
        </w:tc>
        <w:tc>
          <w:tcPr>
            <w:tcW w:w="1061" w:type="dxa"/>
            <w:vAlign w:val="center"/>
          </w:tcPr>
          <w:p w14:paraId="1A7853F6"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539B2D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464DA847" w14:textId="77777777" w:rsidTr="00E9624E">
        <w:trPr>
          <w:trHeight w:val="144"/>
          <w:jc w:val="center"/>
        </w:trPr>
        <w:tc>
          <w:tcPr>
            <w:tcW w:w="2716" w:type="dxa"/>
          </w:tcPr>
          <w:p w14:paraId="229AA6CC" w14:textId="7777777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II</w:t>
            </w:r>
          </w:p>
        </w:tc>
        <w:tc>
          <w:tcPr>
            <w:tcW w:w="1622" w:type="dxa"/>
            <w:vAlign w:val="center"/>
          </w:tcPr>
          <w:p w14:paraId="21FD953C" w14:textId="7FF558AF"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85</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(52.8)</w:t>
            </w:r>
          </w:p>
        </w:tc>
        <w:tc>
          <w:tcPr>
            <w:tcW w:w="1900" w:type="dxa"/>
            <w:vAlign w:val="center"/>
          </w:tcPr>
          <w:p w14:paraId="1852F052" w14:textId="0258214C"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76</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(47.2)</w:t>
            </w:r>
          </w:p>
        </w:tc>
        <w:tc>
          <w:tcPr>
            <w:tcW w:w="1061" w:type="dxa"/>
            <w:vAlign w:val="center"/>
          </w:tcPr>
          <w:p w14:paraId="40DA453E"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09F31FE"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3A35DB7F" w14:textId="77777777" w:rsidTr="00E9624E">
        <w:trPr>
          <w:trHeight w:val="144"/>
          <w:jc w:val="center"/>
        </w:trPr>
        <w:tc>
          <w:tcPr>
            <w:tcW w:w="2716" w:type="dxa"/>
          </w:tcPr>
          <w:p w14:paraId="2C3D7ED1" w14:textId="7777777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III</w:t>
            </w:r>
          </w:p>
        </w:tc>
        <w:tc>
          <w:tcPr>
            <w:tcW w:w="1622" w:type="dxa"/>
            <w:vAlign w:val="center"/>
          </w:tcPr>
          <w:p w14:paraId="4E36D54B" w14:textId="0BCC6D0D"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(43.7)</w:t>
            </w:r>
          </w:p>
        </w:tc>
        <w:tc>
          <w:tcPr>
            <w:tcW w:w="1900" w:type="dxa"/>
            <w:vAlign w:val="center"/>
          </w:tcPr>
          <w:p w14:paraId="28A16F05" w14:textId="0A020D7F"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94</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(56.3)</w:t>
            </w:r>
          </w:p>
        </w:tc>
        <w:tc>
          <w:tcPr>
            <w:tcW w:w="1061" w:type="dxa"/>
            <w:vAlign w:val="center"/>
          </w:tcPr>
          <w:p w14:paraId="542CE55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5966076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10D161E6" w14:textId="77777777" w:rsidTr="00E9624E">
        <w:trPr>
          <w:trHeight w:val="144"/>
          <w:jc w:val="center"/>
        </w:trPr>
        <w:tc>
          <w:tcPr>
            <w:tcW w:w="2716" w:type="dxa"/>
          </w:tcPr>
          <w:p w14:paraId="3F326703" w14:textId="77777777" w:rsidR="007102FA" w:rsidRPr="006E4996" w:rsidRDefault="007102FA" w:rsidP="00E9624E">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V</w:t>
            </w:r>
          </w:p>
        </w:tc>
        <w:tc>
          <w:tcPr>
            <w:tcW w:w="1622" w:type="dxa"/>
            <w:vAlign w:val="center"/>
          </w:tcPr>
          <w:p w14:paraId="0BA6A9B2" w14:textId="3C8040C3"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(16.7)</w:t>
            </w:r>
          </w:p>
        </w:tc>
        <w:tc>
          <w:tcPr>
            <w:tcW w:w="1900" w:type="dxa"/>
            <w:vAlign w:val="center"/>
          </w:tcPr>
          <w:p w14:paraId="13C8CFB5" w14:textId="1F415A80"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(83.3)</w:t>
            </w:r>
          </w:p>
        </w:tc>
        <w:tc>
          <w:tcPr>
            <w:tcW w:w="1061" w:type="dxa"/>
            <w:vAlign w:val="center"/>
          </w:tcPr>
          <w:p w14:paraId="19D5158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EA73CBA"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23CF964A" w14:textId="77777777" w:rsidTr="00E9624E">
        <w:trPr>
          <w:trHeight w:val="144"/>
          <w:jc w:val="center"/>
        </w:trPr>
        <w:tc>
          <w:tcPr>
            <w:tcW w:w="2716" w:type="dxa"/>
          </w:tcPr>
          <w:p w14:paraId="4BA55C1E"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Lauren type</w:t>
            </w:r>
          </w:p>
        </w:tc>
        <w:tc>
          <w:tcPr>
            <w:tcW w:w="1622" w:type="dxa"/>
            <w:vAlign w:val="center"/>
          </w:tcPr>
          <w:p w14:paraId="21CBC12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20BD5E8B"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1BE0B38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0.172</w:t>
            </w:r>
          </w:p>
        </w:tc>
        <w:tc>
          <w:tcPr>
            <w:tcW w:w="1383" w:type="dxa"/>
            <w:vAlign w:val="center"/>
          </w:tcPr>
          <w:p w14:paraId="1653B19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3.521</w:t>
            </w:r>
          </w:p>
        </w:tc>
      </w:tr>
      <w:tr w:rsidR="00FE1156" w:rsidRPr="00FE1156" w14:paraId="39DA0344" w14:textId="77777777" w:rsidTr="00E9624E">
        <w:trPr>
          <w:trHeight w:val="144"/>
          <w:jc w:val="center"/>
        </w:trPr>
        <w:tc>
          <w:tcPr>
            <w:tcW w:w="2716" w:type="dxa"/>
          </w:tcPr>
          <w:p w14:paraId="6DC55877"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Intestinal</w:t>
            </w:r>
          </w:p>
        </w:tc>
        <w:tc>
          <w:tcPr>
            <w:tcW w:w="1622" w:type="dxa"/>
            <w:vAlign w:val="center"/>
          </w:tcPr>
          <w:p w14:paraId="46DFC74A" w14:textId="2939B565"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76</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(45.8)</w:t>
            </w:r>
          </w:p>
        </w:tc>
        <w:tc>
          <w:tcPr>
            <w:tcW w:w="1900" w:type="dxa"/>
            <w:vAlign w:val="center"/>
          </w:tcPr>
          <w:p w14:paraId="11ED37AE" w14:textId="25F0B5D1"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90</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(54.2)</w:t>
            </w:r>
          </w:p>
        </w:tc>
        <w:tc>
          <w:tcPr>
            <w:tcW w:w="1061" w:type="dxa"/>
            <w:vAlign w:val="center"/>
          </w:tcPr>
          <w:p w14:paraId="547DC0DD"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775CB007"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4C6BC472" w14:textId="77777777" w:rsidTr="00E9624E">
        <w:trPr>
          <w:trHeight w:val="144"/>
          <w:jc w:val="center"/>
        </w:trPr>
        <w:tc>
          <w:tcPr>
            <w:tcW w:w="2716" w:type="dxa"/>
          </w:tcPr>
          <w:p w14:paraId="7BBC11F4"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 xml:space="preserve">Mixed carcinoma </w:t>
            </w:r>
          </w:p>
        </w:tc>
        <w:tc>
          <w:tcPr>
            <w:tcW w:w="1622" w:type="dxa"/>
            <w:vAlign w:val="center"/>
          </w:tcPr>
          <w:p w14:paraId="7909BE11" w14:textId="0DEA29EC"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35</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(41.7)</w:t>
            </w:r>
          </w:p>
        </w:tc>
        <w:tc>
          <w:tcPr>
            <w:tcW w:w="1900" w:type="dxa"/>
            <w:vAlign w:val="center"/>
          </w:tcPr>
          <w:p w14:paraId="05CD78E8" w14:textId="1E7BC96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49</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(58.3)</w:t>
            </w:r>
          </w:p>
        </w:tc>
        <w:tc>
          <w:tcPr>
            <w:tcW w:w="1061" w:type="dxa"/>
            <w:vAlign w:val="center"/>
          </w:tcPr>
          <w:p w14:paraId="36A410F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4F2B5514"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36C79A12" w14:textId="77777777" w:rsidTr="00E9624E">
        <w:trPr>
          <w:trHeight w:val="144"/>
          <w:jc w:val="center"/>
        </w:trPr>
        <w:tc>
          <w:tcPr>
            <w:tcW w:w="2716" w:type="dxa"/>
          </w:tcPr>
          <w:p w14:paraId="5D5C1DA2"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Diffuse</w:t>
            </w:r>
          </w:p>
        </w:tc>
        <w:tc>
          <w:tcPr>
            <w:tcW w:w="1622" w:type="dxa"/>
            <w:vAlign w:val="center"/>
          </w:tcPr>
          <w:p w14:paraId="31E9AFFC" w14:textId="6B56EA5E"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61</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(54.5)</w:t>
            </w:r>
          </w:p>
        </w:tc>
        <w:tc>
          <w:tcPr>
            <w:tcW w:w="1900" w:type="dxa"/>
            <w:vAlign w:val="center"/>
          </w:tcPr>
          <w:p w14:paraId="6D11321B" w14:textId="006A1BBA"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51</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(45.5)</w:t>
            </w:r>
          </w:p>
        </w:tc>
        <w:tc>
          <w:tcPr>
            <w:tcW w:w="1061" w:type="dxa"/>
            <w:vAlign w:val="center"/>
          </w:tcPr>
          <w:p w14:paraId="47BC34A9"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A3D252B"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13459517" w14:textId="77777777" w:rsidTr="00E9624E">
        <w:trPr>
          <w:trHeight w:val="144"/>
          <w:jc w:val="center"/>
        </w:trPr>
        <w:tc>
          <w:tcPr>
            <w:tcW w:w="2716" w:type="dxa"/>
          </w:tcPr>
          <w:p w14:paraId="226E67E7"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Tumor differentiation</w:t>
            </w:r>
          </w:p>
        </w:tc>
        <w:tc>
          <w:tcPr>
            <w:tcW w:w="1622" w:type="dxa"/>
            <w:vAlign w:val="center"/>
          </w:tcPr>
          <w:p w14:paraId="0094C7B6"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66BE4CD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2D967EAB"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383" w:type="dxa"/>
            <w:vAlign w:val="center"/>
          </w:tcPr>
          <w:p w14:paraId="01862BA9"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251.930</w:t>
            </w:r>
          </w:p>
        </w:tc>
      </w:tr>
      <w:tr w:rsidR="00FE1156" w:rsidRPr="00FE1156" w14:paraId="14EE5C2B" w14:textId="77777777" w:rsidTr="00E9624E">
        <w:trPr>
          <w:trHeight w:val="144"/>
          <w:jc w:val="center"/>
        </w:trPr>
        <w:tc>
          <w:tcPr>
            <w:tcW w:w="2716" w:type="dxa"/>
          </w:tcPr>
          <w:p w14:paraId="6F754AA7"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Moderate and high</w:t>
            </w:r>
          </w:p>
        </w:tc>
        <w:tc>
          <w:tcPr>
            <w:tcW w:w="1622" w:type="dxa"/>
            <w:vAlign w:val="center"/>
          </w:tcPr>
          <w:p w14:paraId="01BDCFF6" w14:textId="4CA2BA9E"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159</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(90.3)</w:t>
            </w:r>
          </w:p>
        </w:tc>
        <w:tc>
          <w:tcPr>
            <w:tcW w:w="1900" w:type="dxa"/>
            <w:vAlign w:val="center"/>
          </w:tcPr>
          <w:p w14:paraId="69DFBFCB" w14:textId="01B6608D"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(9.7)</w:t>
            </w:r>
          </w:p>
        </w:tc>
        <w:tc>
          <w:tcPr>
            <w:tcW w:w="1061" w:type="dxa"/>
            <w:vAlign w:val="center"/>
          </w:tcPr>
          <w:p w14:paraId="47CDCE2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3D698A6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146072DE" w14:textId="77777777" w:rsidTr="00E9624E">
        <w:trPr>
          <w:trHeight w:val="144"/>
          <w:jc w:val="center"/>
        </w:trPr>
        <w:tc>
          <w:tcPr>
            <w:tcW w:w="2716" w:type="dxa"/>
          </w:tcPr>
          <w:p w14:paraId="1752A88D"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Poor</w:t>
            </w:r>
          </w:p>
        </w:tc>
        <w:tc>
          <w:tcPr>
            <w:tcW w:w="1622" w:type="dxa"/>
            <w:vAlign w:val="center"/>
          </w:tcPr>
          <w:p w14:paraId="5918F546" w14:textId="19DE29FC"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(7.0)</w:t>
            </w:r>
          </w:p>
        </w:tc>
        <w:tc>
          <w:tcPr>
            <w:tcW w:w="1900" w:type="dxa"/>
            <w:vAlign w:val="center"/>
          </w:tcPr>
          <w:p w14:paraId="2D866648" w14:textId="7AFD66F5"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173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(93.0)</w:t>
            </w:r>
          </w:p>
        </w:tc>
        <w:tc>
          <w:tcPr>
            <w:tcW w:w="1061" w:type="dxa"/>
            <w:vAlign w:val="center"/>
          </w:tcPr>
          <w:p w14:paraId="180EA88F"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0565259C"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3A65C345" w14:textId="77777777" w:rsidTr="00E9624E">
        <w:trPr>
          <w:trHeight w:val="144"/>
          <w:jc w:val="center"/>
        </w:trPr>
        <w:tc>
          <w:tcPr>
            <w:tcW w:w="2716" w:type="dxa"/>
          </w:tcPr>
          <w:p w14:paraId="53237408"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Vessel invasion</w:t>
            </w:r>
          </w:p>
        </w:tc>
        <w:tc>
          <w:tcPr>
            <w:tcW w:w="1622" w:type="dxa"/>
            <w:vAlign w:val="center"/>
          </w:tcPr>
          <w:p w14:paraId="12273864"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05AB13DF"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0F2606B1"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0.264</w:t>
            </w:r>
          </w:p>
        </w:tc>
        <w:tc>
          <w:tcPr>
            <w:tcW w:w="1383" w:type="dxa"/>
            <w:vAlign w:val="center"/>
          </w:tcPr>
          <w:p w14:paraId="40DB5C0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1.246</w:t>
            </w:r>
          </w:p>
        </w:tc>
      </w:tr>
      <w:tr w:rsidR="00FE1156" w:rsidRPr="00FE1156" w14:paraId="1E255D02" w14:textId="77777777" w:rsidTr="00E9624E">
        <w:trPr>
          <w:trHeight w:val="144"/>
          <w:jc w:val="center"/>
        </w:trPr>
        <w:tc>
          <w:tcPr>
            <w:tcW w:w="2716" w:type="dxa"/>
          </w:tcPr>
          <w:p w14:paraId="6D010249"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lastRenderedPageBreak/>
              <w:t xml:space="preserve">Yes </w:t>
            </w:r>
          </w:p>
        </w:tc>
        <w:tc>
          <w:tcPr>
            <w:tcW w:w="1622" w:type="dxa"/>
            <w:vAlign w:val="center"/>
          </w:tcPr>
          <w:p w14:paraId="5AC18AA7" w14:textId="1E549FA0"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46</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(43.0)</w:t>
            </w:r>
          </w:p>
        </w:tc>
        <w:tc>
          <w:tcPr>
            <w:tcW w:w="1900" w:type="dxa"/>
            <w:vAlign w:val="center"/>
          </w:tcPr>
          <w:p w14:paraId="4DF1044E" w14:textId="6663D0F8"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61</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(57.0)</w:t>
            </w:r>
          </w:p>
        </w:tc>
        <w:tc>
          <w:tcPr>
            <w:tcW w:w="1061" w:type="dxa"/>
            <w:vAlign w:val="center"/>
          </w:tcPr>
          <w:p w14:paraId="323F03CC"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36816C52"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256D05D9" w14:textId="77777777" w:rsidTr="00E9624E">
        <w:trPr>
          <w:trHeight w:val="144"/>
          <w:jc w:val="center"/>
        </w:trPr>
        <w:tc>
          <w:tcPr>
            <w:tcW w:w="2716" w:type="dxa"/>
          </w:tcPr>
          <w:p w14:paraId="1A6DD9B0"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No</w:t>
            </w:r>
          </w:p>
        </w:tc>
        <w:tc>
          <w:tcPr>
            <w:tcW w:w="1622" w:type="dxa"/>
            <w:vAlign w:val="center"/>
          </w:tcPr>
          <w:p w14:paraId="0345051D" w14:textId="2F7C7553"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126</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(49.4)</w:t>
            </w:r>
          </w:p>
        </w:tc>
        <w:tc>
          <w:tcPr>
            <w:tcW w:w="1900" w:type="dxa"/>
            <w:vAlign w:val="center"/>
          </w:tcPr>
          <w:p w14:paraId="09E1EAA7" w14:textId="54ADAD78"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129</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(50.6)</w:t>
            </w:r>
          </w:p>
        </w:tc>
        <w:tc>
          <w:tcPr>
            <w:tcW w:w="1061" w:type="dxa"/>
            <w:vAlign w:val="center"/>
          </w:tcPr>
          <w:p w14:paraId="3AF3B63A"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32A2AA5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238AE742" w14:textId="77777777" w:rsidTr="00E9624E">
        <w:trPr>
          <w:trHeight w:val="144"/>
          <w:jc w:val="center"/>
        </w:trPr>
        <w:tc>
          <w:tcPr>
            <w:tcW w:w="2716" w:type="dxa"/>
          </w:tcPr>
          <w:p w14:paraId="62862B8C"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Perineural invasion</w:t>
            </w:r>
          </w:p>
        </w:tc>
        <w:tc>
          <w:tcPr>
            <w:tcW w:w="1622" w:type="dxa"/>
            <w:vAlign w:val="center"/>
          </w:tcPr>
          <w:p w14:paraId="5041924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7E9536EE"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3D694ECF"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0.657</w:t>
            </w:r>
          </w:p>
        </w:tc>
        <w:tc>
          <w:tcPr>
            <w:tcW w:w="1383" w:type="dxa"/>
            <w:vAlign w:val="center"/>
          </w:tcPr>
          <w:p w14:paraId="0C0128E7"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0.198</w:t>
            </w:r>
          </w:p>
        </w:tc>
      </w:tr>
      <w:tr w:rsidR="00FE1156" w:rsidRPr="00FE1156" w14:paraId="547C2FAF" w14:textId="77777777" w:rsidTr="00E9624E">
        <w:trPr>
          <w:trHeight w:val="144"/>
          <w:jc w:val="center"/>
        </w:trPr>
        <w:tc>
          <w:tcPr>
            <w:tcW w:w="2716" w:type="dxa"/>
          </w:tcPr>
          <w:p w14:paraId="22D69171"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 xml:space="preserve">Yes </w:t>
            </w:r>
          </w:p>
        </w:tc>
        <w:tc>
          <w:tcPr>
            <w:tcW w:w="1622" w:type="dxa"/>
            <w:vAlign w:val="center"/>
          </w:tcPr>
          <w:p w14:paraId="1C9653F3" w14:textId="52497B62"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40</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(45.5)</w:t>
            </w:r>
          </w:p>
        </w:tc>
        <w:tc>
          <w:tcPr>
            <w:tcW w:w="1900" w:type="dxa"/>
            <w:vAlign w:val="center"/>
          </w:tcPr>
          <w:p w14:paraId="4E1F5816" w14:textId="25E4B6E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48</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(54.5)</w:t>
            </w:r>
          </w:p>
        </w:tc>
        <w:tc>
          <w:tcPr>
            <w:tcW w:w="1061" w:type="dxa"/>
            <w:vAlign w:val="center"/>
          </w:tcPr>
          <w:p w14:paraId="2383106C"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7619BD32"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16911763" w14:textId="77777777" w:rsidTr="00E9624E">
        <w:trPr>
          <w:trHeight w:val="144"/>
          <w:jc w:val="center"/>
        </w:trPr>
        <w:tc>
          <w:tcPr>
            <w:tcW w:w="2716" w:type="dxa"/>
          </w:tcPr>
          <w:p w14:paraId="3B3E249E"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No</w:t>
            </w:r>
          </w:p>
        </w:tc>
        <w:tc>
          <w:tcPr>
            <w:tcW w:w="1622" w:type="dxa"/>
            <w:vAlign w:val="center"/>
          </w:tcPr>
          <w:p w14:paraId="5A0F8548" w14:textId="680F32AB"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132</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(48.2)</w:t>
            </w:r>
          </w:p>
        </w:tc>
        <w:tc>
          <w:tcPr>
            <w:tcW w:w="1900" w:type="dxa"/>
            <w:vAlign w:val="center"/>
          </w:tcPr>
          <w:p w14:paraId="20790ABA" w14:textId="2A17C2AF"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142</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(51.8)</w:t>
            </w:r>
          </w:p>
        </w:tc>
        <w:tc>
          <w:tcPr>
            <w:tcW w:w="1061" w:type="dxa"/>
            <w:vAlign w:val="center"/>
          </w:tcPr>
          <w:p w14:paraId="5E9D46CD"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52B22061"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06D7FF0F" w14:textId="77777777" w:rsidTr="00E9624E">
        <w:trPr>
          <w:trHeight w:val="144"/>
          <w:jc w:val="center"/>
        </w:trPr>
        <w:tc>
          <w:tcPr>
            <w:tcW w:w="2716" w:type="dxa"/>
          </w:tcPr>
          <w:p w14:paraId="573AE4E4"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T category</w:t>
            </w:r>
          </w:p>
        </w:tc>
        <w:tc>
          <w:tcPr>
            <w:tcW w:w="1622" w:type="dxa"/>
            <w:vAlign w:val="center"/>
          </w:tcPr>
          <w:p w14:paraId="096BD3F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08AED1F2"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35B8DB06"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0.042</w:t>
            </w:r>
          </w:p>
        </w:tc>
        <w:tc>
          <w:tcPr>
            <w:tcW w:w="1383" w:type="dxa"/>
            <w:vAlign w:val="center"/>
          </w:tcPr>
          <w:p w14:paraId="0FB7522B"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8.708</w:t>
            </w:r>
          </w:p>
        </w:tc>
      </w:tr>
      <w:tr w:rsidR="00FE1156" w:rsidRPr="00FE1156" w14:paraId="556E9296" w14:textId="77777777" w:rsidTr="00E9624E">
        <w:trPr>
          <w:trHeight w:val="144"/>
          <w:jc w:val="center"/>
        </w:trPr>
        <w:tc>
          <w:tcPr>
            <w:tcW w:w="2716" w:type="dxa"/>
          </w:tcPr>
          <w:p w14:paraId="2760A836"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T1</w:t>
            </w:r>
          </w:p>
        </w:tc>
        <w:tc>
          <w:tcPr>
            <w:tcW w:w="1622" w:type="dxa"/>
            <w:vAlign w:val="center"/>
          </w:tcPr>
          <w:p w14:paraId="4221D737" w14:textId="15C07E32"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40</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(58.8)</w:t>
            </w:r>
          </w:p>
        </w:tc>
        <w:tc>
          <w:tcPr>
            <w:tcW w:w="1900" w:type="dxa"/>
            <w:vAlign w:val="center"/>
          </w:tcPr>
          <w:p w14:paraId="274A2A48" w14:textId="6C947103"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28</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(41.2)</w:t>
            </w:r>
          </w:p>
        </w:tc>
        <w:tc>
          <w:tcPr>
            <w:tcW w:w="1061" w:type="dxa"/>
            <w:vAlign w:val="center"/>
          </w:tcPr>
          <w:p w14:paraId="6344C2B4"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5FEE5638"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022AC706" w14:textId="77777777" w:rsidTr="00E9624E">
        <w:trPr>
          <w:trHeight w:val="144"/>
          <w:jc w:val="center"/>
        </w:trPr>
        <w:tc>
          <w:tcPr>
            <w:tcW w:w="2716" w:type="dxa"/>
          </w:tcPr>
          <w:p w14:paraId="0DFA6215"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T2</w:t>
            </w:r>
          </w:p>
        </w:tc>
        <w:tc>
          <w:tcPr>
            <w:tcW w:w="1622" w:type="dxa"/>
            <w:vAlign w:val="center"/>
          </w:tcPr>
          <w:p w14:paraId="59916E15" w14:textId="14B6129E"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11</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(45.8)</w:t>
            </w:r>
          </w:p>
        </w:tc>
        <w:tc>
          <w:tcPr>
            <w:tcW w:w="1900" w:type="dxa"/>
            <w:vAlign w:val="center"/>
          </w:tcPr>
          <w:p w14:paraId="3B390D25" w14:textId="27F4F1B2"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(54.2)</w:t>
            </w:r>
          </w:p>
        </w:tc>
        <w:tc>
          <w:tcPr>
            <w:tcW w:w="1061" w:type="dxa"/>
            <w:vAlign w:val="center"/>
          </w:tcPr>
          <w:p w14:paraId="16BA2567"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7E39958A"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00AA04C1" w14:textId="77777777" w:rsidTr="00E9624E">
        <w:trPr>
          <w:trHeight w:val="144"/>
          <w:jc w:val="center"/>
        </w:trPr>
        <w:tc>
          <w:tcPr>
            <w:tcW w:w="2716" w:type="dxa"/>
          </w:tcPr>
          <w:p w14:paraId="3E21D645"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T3</w:t>
            </w:r>
          </w:p>
        </w:tc>
        <w:tc>
          <w:tcPr>
            <w:tcW w:w="1622" w:type="dxa"/>
            <w:vAlign w:val="center"/>
          </w:tcPr>
          <w:p w14:paraId="3325EB89" w14:textId="56AFFACC"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8</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(66.7)</w:t>
            </w:r>
          </w:p>
        </w:tc>
        <w:tc>
          <w:tcPr>
            <w:tcW w:w="1900" w:type="dxa"/>
            <w:vAlign w:val="center"/>
          </w:tcPr>
          <w:p w14:paraId="50C9C8C6" w14:textId="7AE8F946"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(33.3)</w:t>
            </w:r>
          </w:p>
        </w:tc>
        <w:tc>
          <w:tcPr>
            <w:tcW w:w="1061" w:type="dxa"/>
            <w:vAlign w:val="center"/>
          </w:tcPr>
          <w:p w14:paraId="6828443F"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6BCF097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29F06AB4" w14:textId="77777777" w:rsidTr="00E9624E">
        <w:trPr>
          <w:trHeight w:val="144"/>
          <w:jc w:val="center"/>
        </w:trPr>
        <w:tc>
          <w:tcPr>
            <w:tcW w:w="2716" w:type="dxa"/>
          </w:tcPr>
          <w:p w14:paraId="1585055B"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T4</w:t>
            </w:r>
          </w:p>
        </w:tc>
        <w:tc>
          <w:tcPr>
            <w:tcW w:w="1622" w:type="dxa"/>
            <w:vAlign w:val="center"/>
          </w:tcPr>
          <w:p w14:paraId="2B2B321A" w14:textId="3835546D"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113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(43.8)</w:t>
            </w:r>
          </w:p>
        </w:tc>
        <w:tc>
          <w:tcPr>
            <w:tcW w:w="1900" w:type="dxa"/>
            <w:vAlign w:val="center"/>
          </w:tcPr>
          <w:p w14:paraId="332DDDB6" w14:textId="70F4BE26"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145</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(56.2)</w:t>
            </w:r>
          </w:p>
        </w:tc>
        <w:tc>
          <w:tcPr>
            <w:tcW w:w="1061" w:type="dxa"/>
            <w:vAlign w:val="center"/>
          </w:tcPr>
          <w:p w14:paraId="019F4B2D"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5713B415"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3119CC02" w14:textId="77777777" w:rsidTr="00E9624E">
        <w:trPr>
          <w:trHeight w:val="144"/>
          <w:jc w:val="center"/>
        </w:trPr>
        <w:tc>
          <w:tcPr>
            <w:tcW w:w="2716" w:type="dxa"/>
          </w:tcPr>
          <w:p w14:paraId="073A334A"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N category</w:t>
            </w:r>
          </w:p>
        </w:tc>
        <w:tc>
          <w:tcPr>
            <w:tcW w:w="1622" w:type="dxa"/>
            <w:vAlign w:val="center"/>
          </w:tcPr>
          <w:p w14:paraId="5ECE64B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2EF9A6BB"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3A7E11E6"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1383" w:type="dxa"/>
            <w:vAlign w:val="center"/>
          </w:tcPr>
          <w:p w14:paraId="118186B7"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18.778</w:t>
            </w:r>
          </w:p>
        </w:tc>
      </w:tr>
      <w:tr w:rsidR="00FE1156" w:rsidRPr="00FE1156" w14:paraId="2ADCB128" w14:textId="77777777" w:rsidTr="00E9624E">
        <w:trPr>
          <w:trHeight w:val="144"/>
          <w:jc w:val="center"/>
        </w:trPr>
        <w:tc>
          <w:tcPr>
            <w:tcW w:w="2716" w:type="dxa"/>
          </w:tcPr>
          <w:p w14:paraId="45B4450A"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N0</w:t>
            </w:r>
          </w:p>
        </w:tc>
        <w:tc>
          <w:tcPr>
            <w:tcW w:w="1622" w:type="dxa"/>
            <w:vAlign w:val="center"/>
          </w:tcPr>
          <w:p w14:paraId="2FC96215" w14:textId="58544640"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92</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(60.5)</w:t>
            </w:r>
          </w:p>
        </w:tc>
        <w:tc>
          <w:tcPr>
            <w:tcW w:w="1900" w:type="dxa"/>
            <w:vAlign w:val="center"/>
          </w:tcPr>
          <w:p w14:paraId="5BC4841D" w14:textId="782FAEDD"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60</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(39.5)</w:t>
            </w:r>
          </w:p>
        </w:tc>
        <w:tc>
          <w:tcPr>
            <w:tcW w:w="1061" w:type="dxa"/>
            <w:vAlign w:val="center"/>
          </w:tcPr>
          <w:p w14:paraId="1D0D272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CA2C142"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39FE310E" w14:textId="77777777" w:rsidTr="00E9624E">
        <w:trPr>
          <w:trHeight w:val="144"/>
          <w:jc w:val="center"/>
        </w:trPr>
        <w:tc>
          <w:tcPr>
            <w:tcW w:w="2716" w:type="dxa"/>
          </w:tcPr>
          <w:p w14:paraId="6F851D80"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N1</w:t>
            </w:r>
          </w:p>
        </w:tc>
        <w:tc>
          <w:tcPr>
            <w:tcW w:w="1622" w:type="dxa"/>
            <w:vAlign w:val="center"/>
          </w:tcPr>
          <w:p w14:paraId="60C9ACC3" w14:textId="3417E9BB"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25</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(40.3)</w:t>
            </w:r>
          </w:p>
        </w:tc>
        <w:tc>
          <w:tcPr>
            <w:tcW w:w="1900" w:type="dxa"/>
            <w:vAlign w:val="center"/>
          </w:tcPr>
          <w:p w14:paraId="33F59905" w14:textId="146E74AB"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37</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(59.7)</w:t>
            </w:r>
          </w:p>
        </w:tc>
        <w:tc>
          <w:tcPr>
            <w:tcW w:w="1061" w:type="dxa"/>
            <w:vAlign w:val="center"/>
          </w:tcPr>
          <w:p w14:paraId="6FFC2909"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37BF1E67"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0B474967" w14:textId="77777777" w:rsidTr="00E9624E">
        <w:trPr>
          <w:trHeight w:val="144"/>
          <w:jc w:val="center"/>
        </w:trPr>
        <w:tc>
          <w:tcPr>
            <w:tcW w:w="2716" w:type="dxa"/>
          </w:tcPr>
          <w:p w14:paraId="67ACC58B"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N2</w:t>
            </w:r>
          </w:p>
        </w:tc>
        <w:tc>
          <w:tcPr>
            <w:tcW w:w="1622" w:type="dxa"/>
            <w:vAlign w:val="center"/>
          </w:tcPr>
          <w:p w14:paraId="6A234F11" w14:textId="49380BD8"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28</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(41.2)</w:t>
            </w:r>
          </w:p>
        </w:tc>
        <w:tc>
          <w:tcPr>
            <w:tcW w:w="1900" w:type="dxa"/>
            <w:vAlign w:val="center"/>
          </w:tcPr>
          <w:p w14:paraId="679D3CC1" w14:textId="6C7E6D6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40</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(58.8)</w:t>
            </w:r>
          </w:p>
        </w:tc>
        <w:tc>
          <w:tcPr>
            <w:tcW w:w="1061" w:type="dxa"/>
            <w:vAlign w:val="center"/>
          </w:tcPr>
          <w:p w14:paraId="1630A270"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62D472DC"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1768CA46" w14:textId="77777777" w:rsidTr="00E9624E">
        <w:trPr>
          <w:trHeight w:val="144"/>
          <w:jc w:val="center"/>
        </w:trPr>
        <w:tc>
          <w:tcPr>
            <w:tcW w:w="2716" w:type="dxa"/>
          </w:tcPr>
          <w:p w14:paraId="48D7A1F9"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N3</w:t>
            </w:r>
          </w:p>
        </w:tc>
        <w:tc>
          <w:tcPr>
            <w:tcW w:w="1622" w:type="dxa"/>
            <w:vAlign w:val="center"/>
          </w:tcPr>
          <w:p w14:paraId="136DB815" w14:textId="062B280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27</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(33.8)</w:t>
            </w:r>
          </w:p>
        </w:tc>
        <w:tc>
          <w:tcPr>
            <w:tcW w:w="1900" w:type="dxa"/>
            <w:vAlign w:val="center"/>
          </w:tcPr>
          <w:p w14:paraId="733BC34F" w14:textId="40AB3DC1"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(66.3)</w:t>
            </w:r>
          </w:p>
        </w:tc>
        <w:tc>
          <w:tcPr>
            <w:tcW w:w="1061" w:type="dxa"/>
            <w:vAlign w:val="center"/>
          </w:tcPr>
          <w:p w14:paraId="56C0AB0E"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386F0D94"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2B879B4F" w14:textId="77777777" w:rsidTr="00E9624E">
        <w:trPr>
          <w:trHeight w:val="144"/>
          <w:jc w:val="center"/>
        </w:trPr>
        <w:tc>
          <w:tcPr>
            <w:tcW w:w="2716" w:type="dxa"/>
          </w:tcPr>
          <w:p w14:paraId="2A249B4D" w14:textId="77777777" w:rsidR="007102FA" w:rsidRPr="006E4996" w:rsidRDefault="007102FA" w:rsidP="00FE1156">
            <w:pPr>
              <w:adjustRightInd w:val="0"/>
              <w:snapToGrid w:val="0"/>
              <w:spacing w:line="360" w:lineRule="auto"/>
              <w:rPr>
                <w:rFonts w:ascii="Book Antiqua" w:hAnsi="Book Antiqua" w:cs="Times New Roman"/>
                <w:color w:val="000000" w:themeColor="text1"/>
                <w:szCs w:val="24"/>
              </w:rPr>
            </w:pPr>
            <w:r w:rsidRPr="006E4996">
              <w:rPr>
                <w:rFonts w:ascii="Book Antiqua" w:hAnsi="Book Antiqua" w:cs="Times New Roman"/>
                <w:color w:val="000000" w:themeColor="text1"/>
                <w:szCs w:val="24"/>
              </w:rPr>
              <w:t>TNM stage</w:t>
            </w:r>
          </w:p>
        </w:tc>
        <w:tc>
          <w:tcPr>
            <w:tcW w:w="1622" w:type="dxa"/>
            <w:vAlign w:val="center"/>
          </w:tcPr>
          <w:p w14:paraId="59669178"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900" w:type="dxa"/>
            <w:vAlign w:val="center"/>
          </w:tcPr>
          <w:p w14:paraId="4EE780C9"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061" w:type="dxa"/>
            <w:vAlign w:val="center"/>
          </w:tcPr>
          <w:p w14:paraId="224470D8"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0.001</w:t>
            </w:r>
          </w:p>
        </w:tc>
        <w:tc>
          <w:tcPr>
            <w:tcW w:w="1383" w:type="dxa"/>
            <w:vAlign w:val="center"/>
          </w:tcPr>
          <w:p w14:paraId="36A9CF6F"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16.744</w:t>
            </w:r>
          </w:p>
        </w:tc>
      </w:tr>
      <w:tr w:rsidR="00FE1156" w:rsidRPr="00FE1156" w14:paraId="3ABC5A6B" w14:textId="77777777" w:rsidTr="00E9624E">
        <w:trPr>
          <w:trHeight w:val="144"/>
          <w:jc w:val="center"/>
        </w:trPr>
        <w:tc>
          <w:tcPr>
            <w:tcW w:w="2716" w:type="dxa"/>
          </w:tcPr>
          <w:p w14:paraId="0C5DF234"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I</w:t>
            </w:r>
          </w:p>
        </w:tc>
        <w:tc>
          <w:tcPr>
            <w:tcW w:w="1622" w:type="dxa"/>
            <w:vAlign w:val="center"/>
          </w:tcPr>
          <w:p w14:paraId="0B2179D4" w14:textId="61881EC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44</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(57.1)</w:t>
            </w:r>
          </w:p>
        </w:tc>
        <w:tc>
          <w:tcPr>
            <w:tcW w:w="1900" w:type="dxa"/>
            <w:vAlign w:val="center"/>
          </w:tcPr>
          <w:p w14:paraId="1E4B71B1" w14:textId="046CEB36"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(42.9)</w:t>
            </w:r>
          </w:p>
        </w:tc>
        <w:tc>
          <w:tcPr>
            <w:tcW w:w="1061" w:type="dxa"/>
            <w:vAlign w:val="center"/>
          </w:tcPr>
          <w:p w14:paraId="4F554534"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54CB4AF"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7AF455E5" w14:textId="77777777" w:rsidTr="00E9624E">
        <w:trPr>
          <w:trHeight w:val="144"/>
          <w:jc w:val="center"/>
        </w:trPr>
        <w:tc>
          <w:tcPr>
            <w:tcW w:w="2716" w:type="dxa"/>
          </w:tcPr>
          <w:p w14:paraId="66E5813A"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II</w:t>
            </w:r>
          </w:p>
        </w:tc>
        <w:tc>
          <w:tcPr>
            <w:tcW w:w="1622" w:type="dxa"/>
            <w:vAlign w:val="center"/>
          </w:tcPr>
          <w:p w14:paraId="0D9B7D6B" w14:textId="3E119FEB"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53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(60.9)</w:t>
            </w:r>
          </w:p>
        </w:tc>
        <w:tc>
          <w:tcPr>
            <w:tcW w:w="1900" w:type="dxa"/>
            <w:vAlign w:val="center"/>
          </w:tcPr>
          <w:p w14:paraId="21272234" w14:textId="4530DC3A"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34</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(39.1)</w:t>
            </w:r>
          </w:p>
        </w:tc>
        <w:tc>
          <w:tcPr>
            <w:tcW w:w="1061" w:type="dxa"/>
            <w:vAlign w:val="center"/>
          </w:tcPr>
          <w:p w14:paraId="7557DE6F"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46FD3558"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31424C0F" w14:textId="77777777" w:rsidTr="00E9624E">
        <w:trPr>
          <w:trHeight w:val="475"/>
          <w:jc w:val="center"/>
        </w:trPr>
        <w:tc>
          <w:tcPr>
            <w:tcW w:w="2716" w:type="dxa"/>
          </w:tcPr>
          <w:p w14:paraId="0A9025BC"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III</w:t>
            </w:r>
          </w:p>
        </w:tc>
        <w:tc>
          <w:tcPr>
            <w:tcW w:w="1622" w:type="dxa"/>
            <w:vAlign w:val="center"/>
          </w:tcPr>
          <w:p w14:paraId="5704545E" w14:textId="2753165A"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73</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(37.6)</w:t>
            </w:r>
          </w:p>
        </w:tc>
        <w:tc>
          <w:tcPr>
            <w:tcW w:w="1900" w:type="dxa"/>
            <w:vAlign w:val="center"/>
          </w:tcPr>
          <w:p w14:paraId="5C258764" w14:textId="7E7D7F73"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121</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(62.4)</w:t>
            </w:r>
          </w:p>
        </w:tc>
        <w:tc>
          <w:tcPr>
            <w:tcW w:w="1061" w:type="dxa"/>
            <w:vAlign w:val="center"/>
          </w:tcPr>
          <w:p w14:paraId="26C80117"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61DE8933"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r w:rsidR="00FE1156" w:rsidRPr="00FE1156" w14:paraId="7F47EE49" w14:textId="77777777" w:rsidTr="00E9624E">
        <w:trPr>
          <w:trHeight w:val="144"/>
          <w:jc w:val="center"/>
        </w:trPr>
        <w:tc>
          <w:tcPr>
            <w:tcW w:w="2716" w:type="dxa"/>
          </w:tcPr>
          <w:p w14:paraId="576CAFD1" w14:textId="77777777" w:rsidR="007102FA" w:rsidRPr="006E4996" w:rsidRDefault="007102FA" w:rsidP="008F2D75">
            <w:pPr>
              <w:adjustRightInd w:val="0"/>
              <w:snapToGrid w:val="0"/>
              <w:spacing w:line="360" w:lineRule="auto"/>
              <w:ind w:firstLineChars="100" w:firstLine="240"/>
              <w:rPr>
                <w:rFonts w:ascii="Book Antiqua" w:hAnsi="Book Antiqua" w:cs="Times New Roman"/>
                <w:color w:val="000000" w:themeColor="text1"/>
                <w:szCs w:val="24"/>
              </w:rPr>
            </w:pPr>
            <w:r w:rsidRPr="006E4996">
              <w:rPr>
                <w:rFonts w:ascii="Book Antiqua" w:hAnsi="Book Antiqua" w:cs="Times New Roman"/>
                <w:color w:val="000000" w:themeColor="text1"/>
                <w:szCs w:val="24"/>
              </w:rPr>
              <w:t>IV</w:t>
            </w:r>
          </w:p>
        </w:tc>
        <w:tc>
          <w:tcPr>
            <w:tcW w:w="1622" w:type="dxa"/>
            <w:vAlign w:val="center"/>
          </w:tcPr>
          <w:p w14:paraId="7FA1D2FE" w14:textId="398D4D44"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(50.0)</w:t>
            </w:r>
          </w:p>
        </w:tc>
        <w:tc>
          <w:tcPr>
            <w:tcW w:w="1900" w:type="dxa"/>
            <w:vAlign w:val="center"/>
          </w:tcPr>
          <w:p w14:paraId="7E2853F4" w14:textId="2F8F4B93"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2</w:t>
            </w:r>
            <w:r w:rsidR="006E4996">
              <w:rPr>
                <w:rFonts w:ascii="Book Antiqua" w:hAnsi="Book Antiqua" w:cs="Times New Roman"/>
                <w:color w:val="000000" w:themeColor="text1"/>
                <w:szCs w:val="24"/>
              </w:rPr>
              <w:t xml:space="preserve"> </w:t>
            </w:r>
            <w:r w:rsidRPr="00FE1156">
              <w:rPr>
                <w:rFonts w:ascii="Book Antiqua" w:hAnsi="Book Antiqua" w:cs="Times New Roman"/>
                <w:color w:val="000000" w:themeColor="text1"/>
                <w:szCs w:val="24"/>
              </w:rPr>
              <w:t>(50.0)</w:t>
            </w:r>
          </w:p>
        </w:tc>
        <w:tc>
          <w:tcPr>
            <w:tcW w:w="1061" w:type="dxa"/>
            <w:vAlign w:val="center"/>
          </w:tcPr>
          <w:p w14:paraId="6C29B73E"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c>
          <w:tcPr>
            <w:tcW w:w="1383" w:type="dxa"/>
            <w:vAlign w:val="center"/>
          </w:tcPr>
          <w:p w14:paraId="1767AC41" w14:textId="77777777" w:rsidR="007102FA" w:rsidRPr="00FE1156" w:rsidRDefault="007102FA" w:rsidP="00634F19">
            <w:pPr>
              <w:adjustRightInd w:val="0"/>
              <w:snapToGrid w:val="0"/>
              <w:spacing w:line="360" w:lineRule="auto"/>
              <w:jc w:val="center"/>
              <w:rPr>
                <w:rFonts w:ascii="Book Antiqua" w:hAnsi="Book Antiqua" w:cs="Times New Roman"/>
                <w:color w:val="000000" w:themeColor="text1"/>
                <w:szCs w:val="24"/>
              </w:rPr>
            </w:pPr>
          </w:p>
        </w:tc>
      </w:tr>
    </w:tbl>
    <w:p w14:paraId="058D5AF6" w14:textId="1C5F0326" w:rsidR="007102FA" w:rsidRPr="00FE1156" w:rsidRDefault="00634F19"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SNX10: </w:t>
      </w:r>
      <w:r>
        <w:rPr>
          <w:rFonts w:ascii="Book Antiqua" w:hAnsi="Book Antiqua"/>
          <w:color w:val="000000" w:themeColor="text1"/>
          <w:sz w:val="24"/>
          <w:szCs w:val="24"/>
        </w:rPr>
        <w:t>Sorting n</w:t>
      </w:r>
      <w:r w:rsidRPr="00FE1156">
        <w:rPr>
          <w:rFonts w:ascii="Book Antiqua" w:hAnsi="Book Antiqua"/>
          <w:color w:val="000000" w:themeColor="text1"/>
          <w:sz w:val="24"/>
          <w:szCs w:val="24"/>
        </w:rPr>
        <w:t>exin 10</w:t>
      </w:r>
      <w:r>
        <w:rPr>
          <w:rFonts w:ascii="Book Antiqua" w:hAnsi="Book Antiqua"/>
          <w:color w:val="000000" w:themeColor="text1"/>
          <w:sz w:val="24"/>
          <w:szCs w:val="24"/>
        </w:rPr>
        <w:t>.</w:t>
      </w:r>
    </w:p>
    <w:p w14:paraId="1AE74D56" w14:textId="77777777" w:rsidR="007102FA" w:rsidRPr="00FE1156" w:rsidRDefault="007102FA" w:rsidP="00FE1156">
      <w:pPr>
        <w:widowControl/>
        <w:adjustRightInd w:val="0"/>
        <w:snapToGrid w:val="0"/>
        <w:spacing w:line="360" w:lineRule="auto"/>
        <w:rPr>
          <w:rFonts w:ascii="Book Antiqua" w:hAnsi="Book Antiqua" w:cs="Times New Roman"/>
          <w:noProof/>
          <w:color w:val="000000" w:themeColor="text1"/>
          <w:sz w:val="24"/>
          <w:szCs w:val="24"/>
        </w:rPr>
      </w:pPr>
      <w:r w:rsidRPr="00FE1156">
        <w:rPr>
          <w:rFonts w:ascii="Book Antiqua" w:hAnsi="Book Antiqua" w:cs="Times New Roman"/>
          <w:color w:val="000000" w:themeColor="text1"/>
          <w:sz w:val="24"/>
          <w:szCs w:val="24"/>
        </w:rPr>
        <w:br w:type="page"/>
      </w:r>
    </w:p>
    <w:p w14:paraId="368E9809" w14:textId="2299AD1E" w:rsidR="007102FA" w:rsidRPr="000057CA" w:rsidRDefault="007102FA" w:rsidP="00FE1156">
      <w:pPr>
        <w:widowControl/>
        <w:adjustRightInd w:val="0"/>
        <w:snapToGrid w:val="0"/>
        <w:spacing w:line="360" w:lineRule="auto"/>
        <w:rPr>
          <w:rFonts w:ascii="Book Antiqua" w:hAnsi="Book Antiqua" w:cs="Times New Roman"/>
          <w:b/>
          <w:color w:val="000000" w:themeColor="text1"/>
          <w:sz w:val="24"/>
          <w:szCs w:val="24"/>
        </w:rPr>
      </w:pPr>
      <w:r w:rsidRPr="000057CA">
        <w:rPr>
          <w:rFonts w:ascii="Book Antiqua" w:hAnsi="Book Antiqua" w:cs="Times New Roman"/>
          <w:b/>
          <w:color w:val="000000" w:themeColor="text1"/>
          <w:sz w:val="24"/>
          <w:szCs w:val="24"/>
        </w:rPr>
        <w:lastRenderedPageBreak/>
        <w:t>Table</w:t>
      </w:r>
      <w:r w:rsidR="000057CA" w:rsidRPr="000057CA">
        <w:rPr>
          <w:rFonts w:ascii="Book Antiqua" w:hAnsi="Book Antiqua" w:cs="Times New Roman"/>
          <w:b/>
          <w:color w:val="000000" w:themeColor="text1"/>
          <w:sz w:val="24"/>
          <w:szCs w:val="24"/>
        </w:rPr>
        <w:t xml:space="preserve"> 3 </w:t>
      </w:r>
      <w:r w:rsidRPr="000057CA">
        <w:rPr>
          <w:rFonts w:ascii="Book Antiqua" w:hAnsi="Book Antiqua" w:cs="Times New Roman"/>
          <w:b/>
          <w:color w:val="000000" w:themeColor="text1"/>
          <w:sz w:val="24"/>
          <w:szCs w:val="24"/>
        </w:rPr>
        <w:t>Multivariate analysis of significant pro</w:t>
      </w:r>
      <w:r w:rsidR="000057CA" w:rsidRPr="000057CA">
        <w:rPr>
          <w:rFonts w:ascii="Book Antiqua" w:hAnsi="Book Antiqua" w:cs="Times New Roman"/>
          <w:b/>
          <w:color w:val="000000" w:themeColor="text1"/>
          <w:sz w:val="24"/>
          <w:szCs w:val="24"/>
        </w:rPr>
        <w:t>gnostic factor for survival in s</w:t>
      </w:r>
      <w:r w:rsidR="00B5131E" w:rsidRPr="000057CA">
        <w:rPr>
          <w:rFonts w:ascii="Book Antiqua" w:hAnsi="Book Antiqua" w:cs="Times New Roman"/>
          <w:b/>
          <w:color w:val="000000" w:themeColor="text1"/>
          <w:sz w:val="24"/>
          <w:szCs w:val="24"/>
        </w:rPr>
        <w:t xml:space="preserve">tomach adenocarcinoma </w:t>
      </w:r>
      <w:r w:rsidRPr="000057CA">
        <w:rPr>
          <w:rFonts w:ascii="Book Antiqua" w:hAnsi="Book Antiqua" w:cs="Times New Roman"/>
          <w:b/>
          <w:color w:val="000000" w:themeColor="text1"/>
          <w:sz w:val="24"/>
          <w:szCs w:val="24"/>
        </w:rPr>
        <w:t>patients</w:t>
      </w:r>
    </w:p>
    <w:tbl>
      <w:tblPr>
        <w:tblStyle w:val="TableGrid"/>
        <w:tblpPr w:leftFromText="180" w:rightFromText="180" w:vertAnchor="text" w:horzAnchor="margin" w:tblpXSpec="center" w:tblpY="47"/>
        <w:tblW w:w="100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868"/>
        <w:gridCol w:w="931"/>
        <w:gridCol w:w="1846"/>
        <w:gridCol w:w="868"/>
        <w:gridCol w:w="931"/>
        <w:gridCol w:w="1846"/>
      </w:tblGrid>
      <w:tr w:rsidR="00714AC2" w:rsidRPr="00FE1156" w14:paraId="516C0BDA" w14:textId="77777777" w:rsidTr="00714AC2">
        <w:trPr>
          <w:trHeight w:val="435"/>
        </w:trPr>
        <w:tc>
          <w:tcPr>
            <w:tcW w:w="2719" w:type="dxa"/>
          </w:tcPr>
          <w:p w14:paraId="4BF33326" w14:textId="77777777" w:rsidR="00714AC2" w:rsidRPr="00FE1156" w:rsidRDefault="00714AC2" w:rsidP="00714AC2">
            <w:pPr>
              <w:widowControl/>
              <w:adjustRightInd w:val="0"/>
              <w:snapToGrid w:val="0"/>
              <w:spacing w:line="360" w:lineRule="auto"/>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Variables</w:t>
            </w:r>
          </w:p>
        </w:tc>
        <w:tc>
          <w:tcPr>
            <w:tcW w:w="3645" w:type="dxa"/>
            <w:gridSpan w:val="3"/>
            <w:tcBorders>
              <w:bottom w:val="single" w:sz="4" w:space="0" w:color="auto"/>
            </w:tcBorders>
          </w:tcPr>
          <w:p w14:paraId="4BFE200E" w14:textId="77777777" w:rsidR="00714AC2" w:rsidRPr="00FE1156" w:rsidRDefault="00714AC2" w:rsidP="00714AC2">
            <w:pPr>
              <w:widowControl/>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DFS</w:t>
            </w:r>
          </w:p>
        </w:tc>
        <w:tc>
          <w:tcPr>
            <w:tcW w:w="3645" w:type="dxa"/>
            <w:gridSpan w:val="3"/>
            <w:tcBorders>
              <w:bottom w:val="single" w:sz="4" w:space="0" w:color="auto"/>
            </w:tcBorders>
          </w:tcPr>
          <w:p w14:paraId="6F209E76" w14:textId="77777777" w:rsidR="00714AC2" w:rsidRPr="00FE1156" w:rsidRDefault="00714AC2" w:rsidP="00714AC2">
            <w:pPr>
              <w:widowControl/>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OS</w:t>
            </w:r>
          </w:p>
        </w:tc>
      </w:tr>
      <w:tr w:rsidR="00714AC2" w:rsidRPr="00FE1156" w14:paraId="216ACB9D" w14:textId="77777777" w:rsidTr="00714AC2">
        <w:trPr>
          <w:trHeight w:val="884"/>
        </w:trPr>
        <w:tc>
          <w:tcPr>
            <w:tcW w:w="2719" w:type="dxa"/>
            <w:tcBorders>
              <w:bottom w:val="single" w:sz="4" w:space="0" w:color="auto"/>
            </w:tcBorders>
          </w:tcPr>
          <w:p w14:paraId="390F951E" w14:textId="77777777" w:rsidR="00714AC2" w:rsidRPr="00FE1156" w:rsidRDefault="00714AC2" w:rsidP="00714AC2">
            <w:pPr>
              <w:widowControl/>
              <w:adjustRightInd w:val="0"/>
              <w:snapToGrid w:val="0"/>
              <w:spacing w:line="360" w:lineRule="auto"/>
              <w:rPr>
                <w:rFonts w:ascii="Book Antiqua" w:hAnsi="Book Antiqua" w:cs="Times New Roman"/>
                <w:b/>
                <w:color w:val="000000" w:themeColor="text1"/>
                <w:szCs w:val="24"/>
              </w:rPr>
            </w:pPr>
          </w:p>
        </w:tc>
        <w:tc>
          <w:tcPr>
            <w:tcW w:w="868" w:type="dxa"/>
            <w:tcBorders>
              <w:top w:val="single" w:sz="4" w:space="0" w:color="auto"/>
              <w:bottom w:val="single" w:sz="4" w:space="0" w:color="auto"/>
            </w:tcBorders>
          </w:tcPr>
          <w:p w14:paraId="25D88175" w14:textId="77777777" w:rsidR="00714AC2" w:rsidRPr="00923155" w:rsidRDefault="00714AC2" w:rsidP="00714AC2">
            <w:pPr>
              <w:widowControl/>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i/>
                <w:color w:val="000000" w:themeColor="text1"/>
                <w:szCs w:val="24"/>
              </w:rPr>
              <w:t>P</w:t>
            </w:r>
            <w:r>
              <w:rPr>
                <w:rFonts w:ascii="Book Antiqua" w:hAnsi="Book Antiqua" w:cs="Times New Roman"/>
                <w:b/>
                <w:color w:val="000000" w:themeColor="text1"/>
                <w:szCs w:val="24"/>
              </w:rPr>
              <w:t xml:space="preserve"> value</w:t>
            </w:r>
          </w:p>
        </w:tc>
        <w:tc>
          <w:tcPr>
            <w:tcW w:w="931" w:type="dxa"/>
            <w:tcBorders>
              <w:top w:val="single" w:sz="4" w:space="0" w:color="auto"/>
              <w:bottom w:val="single" w:sz="4" w:space="0" w:color="auto"/>
            </w:tcBorders>
          </w:tcPr>
          <w:p w14:paraId="7DEB2C02" w14:textId="77777777" w:rsidR="00714AC2" w:rsidRPr="00FE1156" w:rsidRDefault="00714AC2" w:rsidP="00714AC2">
            <w:pPr>
              <w:widowControl/>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HR</w:t>
            </w:r>
          </w:p>
        </w:tc>
        <w:tc>
          <w:tcPr>
            <w:tcW w:w="1846" w:type="dxa"/>
            <w:tcBorders>
              <w:top w:val="single" w:sz="4" w:space="0" w:color="auto"/>
              <w:bottom w:val="single" w:sz="4" w:space="0" w:color="auto"/>
            </w:tcBorders>
          </w:tcPr>
          <w:p w14:paraId="42044602" w14:textId="77777777" w:rsidR="00714AC2" w:rsidRPr="00FE1156" w:rsidRDefault="00714AC2" w:rsidP="00714AC2">
            <w:pPr>
              <w:widowControl/>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95%CI</w:t>
            </w:r>
          </w:p>
        </w:tc>
        <w:tc>
          <w:tcPr>
            <w:tcW w:w="868" w:type="dxa"/>
            <w:tcBorders>
              <w:top w:val="single" w:sz="4" w:space="0" w:color="auto"/>
              <w:bottom w:val="single" w:sz="4" w:space="0" w:color="auto"/>
            </w:tcBorders>
          </w:tcPr>
          <w:p w14:paraId="38FE892D" w14:textId="77777777" w:rsidR="00714AC2" w:rsidRPr="00FE1156" w:rsidRDefault="00714AC2" w:rsidP="00714AC2">
            <w:pPr>
              <w:widowControl/>
              <w:adjustRightInd w:val="0"/>
              <w:snapToGrid w:val="0"/>
              <w:spacing w:line="360" w:lineRule="auto"/>
              <w:jc w:val="center"/>
              <w:rPr>
                <w:rFonts w:ascii="Book Antiqua" w:hAnsi="Book Antiqua" w:cs="Times New Roman"/>
                <w:b/>
                <w:i/>
                <w:color w:val="000000" w:themeColor="text1"/>
                <w:szCs w:val="24"/>
              </w:rPr>
            </w:pPr>
            <w:r w:rsidRPr="00FE1156">
              <w:rPr>
                <w:rFonts w:ascii="Book Antiqua" w:hAnsi="Book Antiqua" w:cs="Times New Roman"/>
                <w:b/>
                <w:i/>
                <w:color w:val="000000" w:themeColor="text1"/>
                <w:szCs w:val="24"/>
              </w:rPr>
              <w:t>P</w:t>
            </w:r>
            <w:r>
              <w:rPr>
                <w:rFonts w:ascii="Book Antiqua" w:hAnsi="Book Antiqua" w:cs="Times New Roman"/>
                <w:b/>
                <w:color w:val="000000" w:themeColor="text1"/>
                <w:szCs w:val="24"/>
              </w:rPr>
              <w:t xml:space="preserve"> value</w:t>
            </w:r>
          </w:p>
        </w:tc>
        <w:tc>
          <w:tcPr>
            <w:tcW w:w="931" w:type="dxa"/>
            <w:tcBorders>
              <w:top w:val="single" w:sz="4" w:space="0" w:color="auto"/>
              <w:bottom w:val="single" w:sz="4" w:space="0" w:color="auto"/>
            </w:tcBorders>
          </w:tcPr>
          <w:p w14:paraId="17E16402" w14:textId="77777777" w:rsidR="00714AC2" w:rsidRPr="00FE1156" w:rsidRDefault="00714AC2" w:rsidP="00714AC2">
            <w:pPr>
              <w:widowControl/>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HR</w:t>
            </w:r>
          </w:p>
        </w:tc>
        <w:tc>
          <w:tcPr>
            <w:tcW w:w="1846" w:type="dxa"/>
            <w:tcBorders>
              <w:top w:val="single" w:sz="4" w:space="0" w:color="auto"/>
              <w:bottom w:val="single" w:sz="4" w:space="0" w:color="auto"/>
            </w:tcBorders>
          </w:tcPr>
          <w:p w14:paraId="3CC66057" w14:textId="77777777" w:rsidR="00714AC2" w:rsidRPr="00FE1156" w:rsidRDefault="00714AC2" w:rsidP="00714AC2">
            <w:pPr>
              <w:widowControl/>
              <w:adjustRightInd w:val="0"/>
              <w:snapToGrid w:val="0"/>
              <w:spacing w:line="360" w:lineRule="auto"/>
              <w:jc w:val="center"/>
              <w:rPr>
                <w:rFonts w:ascii="Book Antiqua" w:hAnsi="Book Antiqua" w:cs="Times New Roman"/>
                <w:b/>
                <w:color w:val="000000" w:themeColor="text1"/>
                <w:szCs w:val="24"/>
              </w:rPr>
            </w:pPr>
            <w:r w:rsidRPr="00FE1156">
              <w:rPr>
                <w:rFonts w:ascii="Book Antiqua" w:hAnsi="Book Antiqua" w:cs="Times New Roman"/>
                <w:b/>
                <w:color w:val="000000" w:themeColor="text1"/>
                <w:szCs w:val="24"/>
              </w:rPr>
              <w:t>95%CI</w:t>
            </w:r>
          </w:p>
        </w:tc>
      </w:tr>
      <w:tr w:rsidR="00714AC2" w:rsidRPr="00FE1156" w14:paraId="2747B729" w14:textId="77777777" w:rsidTr="00714AC2">
        <w:trPr>
          <w:trHeight w:val="449"/>
        </w:trPr>
        <w:tc>
          <w:tcPr>
            <w:tcW w:w="2719" w:type="dxa"/>
            <w:tcBorders>
              <w:top w:val="single" w:sz="4" w:space="0" w:color="auto"/>
            </w:tcBorders>
          </w:tcPr>
          <w:p w14:paraId="19120FFE" w14:textId="77777777" w:rsidR="00714AC2" w:rsidRPr="00923155" w:rsidRDefault="00714AC2" w:rsidP="00714AC2">
            <w:pPr>
              <w:widowControl/>
              <w:adjustRightInd w:val="0"/>
              <w:snapToGrid w:val="0"/>
              <w:spacing w:line="360" w:lineRule="auto"/>
              <w:rPr>
                <w:rFonts w:ascii="Book Antiqua" w:hAnsi="Book Antiqua" w:cs="Times New Roman"/>
                <w:color w:val="000000" w:themeColor="text1"/>
                <w:szCs w:val="24"/>
              </w:rPr>
            </w:pPr>
            <w:r w:rsidRPr="00923155">
              <w:rPr>
                <w:rFonts w:ascii="Book Antiqua" w:hAnsi="Book Antiqua" w:cs="Times New Roman"/>
                <w:color w:val="000000" w:themeColor="text1"/>
                <w:szCs w:val="24"/>
              </w:rPr>
              <w:t>Bormann</w:t>
            </w:r>
          </w:p>
        </w:tc>
        <w:tc>
          <w:tcPr>
            <w:tcW w:w="868" w:type="dxa"/>
            <w:tcBorders>
              <w:top w:val="single" w:sz="4" w:space="0" w:color="auto"/>
            </w:tcBorders>
          </w:tcPr>
          <w:p w14:paraId="64FC4176"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0.418</w:t>
            </w:r>
          </w:p>
        </w:tc>
        <w:tc>
          <w:tcPr>
            <w:tcW w:w="931" w:type="dxa"/>
            <w:tcBorders>
              <w:top w:val="single" w:sz="4" w:space="0" w:color="auto"/>
            </w:tcBorders>
          </w:tcPr>
          <w:p w14:paraId="3C6842EE"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1.109</w:t>
            </w:r>
          </w:p>
        </w:tc>
        <w:tc>
          <w:tcPr>
            <w:tcW w:w="1846" w:type="dxa"/>
            <w:tcBorders>
              <w:top w:val="single" w:sz="4" w:space="0" w:color="auto"/>
            </w:tcBorders>
          </w:tcPr>
          <w:p w14:paraId="06DC6FFE"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0.864-1.424</w:t>
            </w:r>
          </w:p>
        </w:tc>
        <w:tc>
          <w:tcPr>
            <w:tcW w:w="868" w:type="dxa"/>
            <w:tcBorders>
              <w:top w:val="single" w:sz="4" w:space="0" w:color="auto"/>
            </w:tcBorders>
          </w:tcPr>
          <w:p w14:paraId="51C11A58"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0.531</w:t>
            </w:r>
          </w:p>
        </w:tc>
        <w:tc>
          <w:tcPr>
            <w:tcW w:w="931" w:type="dxa"/>
            <w:tcBorders>
              <w:top w:val="single" w:sz="4" w:space="0" w:color="auto"/>
            </w:tcBorders>
          </w:tcPr>
          <w:p w14:paraId="781C8F36"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1.083</w:t>
            </w:r>
          </w:p>
        </w:tc>
        <w:tc>
          <w:tcPr>
            <w:tcW w:w="1846" w:type="dxa"/>
            <w:tcBorders>
              <w:top w:val="single" w:sz="4" w:space="0" w:color="auto"/>
            </w:tcBorders>
          </w:tcPr>
          <w:p w14:paraId="7AAF045F"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0.844-1.388</w:t>
            </w:r>
          </w:p>
        </w:tc>
      </w:tr>
      <w:tr w:rsidR="00714AC2" w:rsidRPr="00FE1156" w14:paraId="321F2F0D" w14:textId="77777777" w:rsidTr="00714AC2">
        <w:trPr>
          <w:trHeight w:val="449"/>
        </w:trPr>
        <w:tc>
          <w:tcPr>
            <w:tcW w:w="2719" w:type="dxa"/>
          </w:tcPr>
          <w:p w14:paraId="054A631C" w14:textId="77777777" w:rsidR="00714AC2" w:rsidRPr="00923155" w:rsidRDefault="00714AC2" w:rsidP="00714AC2">
            <w:pPr>
              <w:widowControl/>
              <w:adjustRightInd w:val="0"/>
              <w:snapToGrid w:val="0"/>
              <w:spacing w:line="360" w:lineRule="auto"/>
              <w:rPr>
                <w:rFonts w:ascii="Book Antiqua" w:hAnsi="Book Antiqua" w:cs="Times New Roman"/>
                <w:color w:val="000000" w:themeColor="text1"/>
                <w:szCs w:val="24"/>
              </w:rPr>
            </w:pPr>
            <w:r w:rsidRPr="00923155">
              <w:rPr>
                <w:rFonts w:ascii="Book Antiqua" w:hAnsi="Book Antiqua" w:cs="Times New Roman"/>
                <w:color w:val="000000" w:themeColor="text1"/>
                <w:szCs w:val="24"/>
              </w:rPr>
              <w:t>Tumor size</w:t>
            </w:r>
          </w:p>
        </w:tc>
        <w:tc>
          <w:tcPr>
            <w:tcW w:w="868" w:type="dxa"/>
          </w:tcPr>
          <w:p w14:paraId="11C8DA07"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0.395</w:t>
            </w:r>
          </w:p>
        </w:tc>
        <w:tc>
          <w:tcPr>
            <w:tcW w:w="931" w:type="dxa"/>
          </w:tcPr>
          <w:p w14:paraId="61610280"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0.884</w:t>
            </w:r>
          </w:p>
        </w:tc>
        <w:tc>
          <w:tcPr>
            <w:tcW w:w="1846" w:type="dxa"/>
          </w:tcPr>
          <w:p w14:paraId="61A9DF09"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0.665-1.175</w:t>
            </w:r>
          </w:p>
        </w:tc>
        <w:tc>
          <w:tcPr>
            <w:tcW w:w="868" w:type="dxa"/>
          </w:tcPr>
          <w:p w14:paraId="4CDE43BF"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0.625</w:t>
            </w:r>
          </w:p>
        </w:tc>
        <w:tc>
          <w:tcPr>
            <w:tcW w:w="931" w:type="dxa"/>
          </w:tcPr>
          <w:p w14:paraId="05D9CA4F"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0.931</w:t>
            </w:r>
          </w:p>
        </w:tc>
        <w:tc>
          <w:tcPr>
            <w:tcW w:w="1846" w:type="dxa"/>
          </w:tcPr>
          <w:p w14:paraId="0F32FCF6"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0.701-1.238</w:t>
            </w:r>
          </w:p>
        </w:tc>
      </w:tr>
      <w:tr w:rsidR="00714AC2" w:rsidRPr="00FE1156" w14:paraId="03384925" w14:textId="77777777" w:rsidTr="00714AC2">
        <w:trPr>
          <w:trHeight w:val="301"/>
        </w:trPr>
        <w:tc>
          <w:tcPr>
            <w:tcW w:w="2719" w:type="dxa"/>
          </w:tcPr>
          <w:p w14:paraId="715CDCB6" w14:textId="77777777" w:rsidR="00714AC2" w:rsidRPr="00923155" w:rsidRDefault="00714AC2" w:rsidP="00714AC2">
            <w:pPr>
              <w:widowControl/>
              <w:adjustRightInd w:val="0"/>
              <w:snapToGrid w:val="0"/>
              <w:spacing w:line="360" w:lineRule="auto"/>
              <w:rPr>
                <w:rFonts w:ascii="Book Antiqua" w:hAnsi="Book Antiqua" w:cs="Times New Roman"/>
                <w:color w:val="000000" w:themeColor="text1"/>
                <w:szCs w:val="24"/>
              </w:rPr>
            </w:pPr>
            <w:r w:rsidRPr="00923155">
              <w:rPr>
                <w:rFonts w:ascii="Book Antiqua" w:hAnsi="Book Antiqua" w:cs="Times New Roman"/>
                <w:color w:val="000000" w:themeColor="text1"/>
                <w:szCs w:val="24"/>
              </w:rPr>
              <w:t>Tumor differentiation</w:t>
            </w:r>
          </w:p>
        </w:tc>
        <w:tc>
          <w:tcPr>
            <w:tcW w:w="868" w:type="dxa"/>
          </w:tcPr>
          <w:p w14:paraId="128C2DE7"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0.686</w:t>
            </w:r>
          </w:p>
        </w:tc>
        <w:tc>
          <w:tcPr>
            <w:tcW w:w="931" w:type="dxa"/>
          </w:tcPr>
          <w:p w14:paraId="26C9AD18"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0.874</w:t>
            </w:r>
          </w:p>
        </w:tc>
        <w:tc>
          <w:tcPr>
            <w:tcW w:w="1846" w:type="dxa"/>
          </w:tcPr>
          <w:p w14:paraId="220231B6"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0.455-1.678</w:t>
            </w:r>
          </w:p>
        </w:tc>
        <w:tc>
          <w:tcPr>
            <w:tcW w:w="868" w:type="dxa"/>
          </w:tcPr>
          <w:p w14:paraId="4939CB3D"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0.658</w:t>
            </w:r>
          </w:p>
        </w:tc>
        <w:tc>
          <w:tcPr>
            <w:tcW w:w="931" w:type="dxa"/>
          </w:tcPr>
          <w:p w14:paraId="4936BEDF"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0.859</w:t>
            </w:r>
          </w:p>
        </w:tc>
        <w:tc>
          <w:tcPr>
            <w:tcW w:w="1846" w:type="dxa"/>
          </w:tcPr>
          <w:p w14:paraId="54455770"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0.440-1.679</w:t>
            </w:r>
          </w:p>
        </w:tc>
      </w:tr>
      <w:tr w:rsidR="00714AC2" w:rsidRPr="00FE1156" w14:paraId="3823BD45" w14:textId="77777777" w:rsidTr="00714AC2">
        <w:trPr>
          <w:trHeight w:val="278"/>
        </w:trPr>
        <w:tc>
          <w:tcPr>
            <w:tcW w:w="2719" w:type="dxa"/>
          </w:tcPr>
          <w:p w14:paraId="215AC1AC" w14:textId="77777777" w:rsidR="00714AC2" w:rsidRPr="00923155" w:rsidRDefault="00714AC2" w:rsidP="00714AC2">
            <w:pPr>
              <w:widowControl/>
              <w:adjustRightInd w:val="0"/>
              <w:snapToGrid w:val="0"/>
              <w:spacing w:line="360" w:lineRule="auto"/>
              <w:rPr>
                <w:rFonts w:ascii="Book Antiqua" w:hAnsi="Book Antiqua" w:cs="Times New Roman"/>
                <w:color w:val="000000" w:themeColor="text1"/>
                <w:szCs w:val="24"/>
              </w:rPr>
            </w:pPr>
            <w:r w:rsidRPr="00923155">
              <w:rPr>
                <w:rFonts w:ascii="Book Antiqua" w:hAnsi="Book Antiqua" w:cs="Times New Roman"/>
                <w:color w:val="000000" w:themeColor="text1"/>
                <w:szCs w:val="24"/>
              </w:rPr>
              <w:t>Vessel invasion</w:t>
            </w:r>
          </w:p>
        </w:tc>
        <w:tc>
          <w:tcPr>
            <w:tcW w:w="868" w:type="dxa"/>
          </w:tcPr>
          <w:p w14:paraId="31C4A3ED"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0.292</w:t>
            </w:r>
          </w:p>
        </w:tc>
        <w:tc>
          <w:tcPr>
            <w:tcW w:w="931" w:type="dxa"/>
          </w:tcPr>
          <w:p w14:paraId="5FD18DAB"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1.424</w:t>
            </w:r>
          </w:p>
        </w:tc>
        <w:tc>
          <w:tcPr>
            <w:tcW w:w="1846" w:type="dxa"/>
          </w:tcPr>
          <w:p w14:paraId="0534B968"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0.738-2.746</w:t>
            </w:r>
          </w:p>
        </w:tc>
        <w:tc>
          <w:tcPr>
            <w:tcW w:w="868" w:type="dxa"/>
          </w:tcPr>
          <w:p w14:paraId="52B98DEB"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0.419</w:t>
            </w:r>
          </w:p>
        </w:tc>
        <w:tc>
          <w:tcPr>
            <w:tcW w:w="931" w:type="dxa"/>
          </w:tcPr>
          <w:p w14:paraId="3386409F"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1.320</w:t>
            </w:r>
          </w:p>
        </w:tc>
        <w:tc>
          <w:tcPr>
            <w:tcW w:w="1846" w:type="dxa"/>
          </w:tcPr>
          <w:p w14:paraId="4069DBD8"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0.674-2.586</w:t>
            </w:r>
          </w:p>
        </w:tc>
      </w:tr>
      <w:tr w:rsidR="00714AC2" w:rsidRPr="00FE1156" w14:paraId="078C7C34" w14:textId="77777777" w:rsidTr="00714AC2">
        <w:trPr>
          <w:trHeight w:val="255"/>
        </w:trPr>
        <w:tc>
          <w:tcPr>
            <w:tcW w:w="2719" w:type="dxa"/>
          </w:tcPr>
          <w:p w14:paraId="4E20C4B3" w14:textId="77777777" w:rsidR="00714AC2" w:rsidRPr="00923155" w:rsidRDefault="00714AC2" w:rsidP="00714AC2">
            <w:pPr>
              <w:widowControl/>
              <w:adjustRightInd w:val="0"/>
              <w:snapToGrid w:val="0"/>
              <w:spacing w:line="360" w:lineRule="auto"/>
              <w:rPr>
                <w:rFonts w:ascii="Book Antiqua" w:hAnsi="Book Antiqua" w:cs="Times New Roman"/>
                <w:color w:val="000000" w:themeColor="text1"/>
                <w:szCs w:val="24"/>
              </w:rPr>
            </w:pPr>
            <w:r w:rsidRPr="00923155">
              <w:rPr>
                <w:rFonts w:ascii="Book Antiqua" w:hAnsi="Book Antiqua" w:cs="Times New Roman"/>
                <w:color w:val="000000" w:themeColor="text1"/>
                <w:szCs w:val="24"/>
              </w:rPr>
              <w:t>Perineural invasion</w:t>
            </w:r>
          </w:p>
        </w:tc>
        <w:tc>
          <w:tcPr>
            <w:tcW w:w="868" w:type="dxa"/>
          </w:tcPr>
          <w:p w14:paraId="5A26EF8D"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0.171</w:t>
            </w:r>
          </w:p>
        </w:tc>
        <w:tc>
          <w:tcPr>
            <w:tcW w:w="931" w:type="dxa"/>
          </w:tcPr>
          <w:p w14:paraId="22C0DCF9"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0.815</w:t>
            </w:r>
          </w:p>
        </w:tc>
        <w:tc>
          <w:tcPr>
            <w:tcW w:w="1846" w:type="dxa"/>
          </w:tcPr>
          <w:p w14:paraId="5BEA13BF"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0.607-1.093</w:t>
            </w:r>
          </w:p>
        </w:tc>
        <w:tc>
          <w:tcPr>
            <w:tcW w:w="868" w:type="dxa"/>
          </w:tcPr>
          <w:p w14:paraId="3E0477AE"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0.269</w:t>
            </w:r>
          </w:p>
        </w:tc>
        <w:tc>
          <w:tcPr>
            <w:tcW w:w="931" w:type="dxa"/>
          </w:tcPr>
          <w:p w14:paraId="4C701A43"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0.864</w:t>
            </w:r>
          </w:p>
        </w:tc>
        <w:tc>
          <w:tcPr>
            <w:tcW w:w="1846" w:type="dxa"/>
          </w:tcPr>
          <w:p w14:paraId="03AC6432"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0.628-1.139</w:t>
            </w:r>
          </w:p>
        </w:tc>
      </w:tr>
      <w:tr w:rsidR="00714AC2" w:rsidRPr="00FE1156" w14:paraId="040AD023" w14:textId="77777777" w:rsidTr="00714AC2">
        <w:trPr>
          <w:trHeight w:val="449"/>
        </w:trPr>
        <w:tc>
          <w:tcPr>
            <w:tcW w:w="2719" w:type="dxa"/>
          </w:tcPr>
          <w:p w14:paraId="3385868C" w14:textId="77777777" w:rsidR="00714AC2" w:rsidRPr="00923155" w:rsidRDefault="00714AC2" w:rsidP="00714AC2">
            <w:pPr>
              <w:widowControl/>
              <w:adjustRightInd w:val="0"/>
              <w:snapToGrid w:val="0"/>
              <w:spacing w:line="360" w:lineRule="auto"/>
              <w:rPr>
                <w:rFonts w:ascii="Book Antiqua" w:hAnsi="Book Antiqua" w:cs="Times New Roman"/>
                <w:color w:val="000000" w:themeColor="text1"/>
                <w:szCs w:val="24"/>
              </w:rPr>
            </w:pPr>
            <w:r w:rsidRPr="00923155">
              <w:rPr>
                <w:rFonts w:ascii="Book Antiqua" w:hAnsi="Book Antiqua" w:cs="Times New Roman"/>
                <w:color w:val="000000" w:themeColor="text1"/>
                <w:szCs w:val="24"/>
              </w:rPr>
              <w:t>TNM stage</w:t>
            </w:r>
          </w:p>
        </w:tc>
        <w:tc>
          <w:tcPr>
            <w:tcW w:w="868" w:type="dxa"/>
          </w:tcPr>
          <w:p w14:paraId="2487706B"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931" w:type="dxa"/>
          </w:tcPr>
          <w:p w14:paraId="7AF07E40"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78.873</w:t>
            </w:r>
          </w:p>
        </w:tc>
        <w:tc>
          <w:tcPr>
            <w:tcW w:w="1846" w:type="dxa"/>
          </w:tcPr>
          <w:p w14:paraId="77286518"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36.367-171.057</w:t>
            </w:r>
          </w:p>
        </w:tc>
        <w:tc>
          <w:tcPr>
            <w:tcW w:w="868" w:type="dxa"/>
          </w:tcPr>
          <w:p w14:paraId="63BB2FB2"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0.000</w:t>
            </w:r>
          </w:p>
        </w:tc>
        <w:tc>
          <w:tcPr>
            <w:tcW w:w="931" w:type="dxa"/>
          </w:tcPr>
          <w:p w14:paraId="1F21A1BF"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76.703</w:t>
            </w:r>
          </w:p>
        </w:tc>
        <w:tc>
          <w:tcPr>
            <w:tcW w:w="1846" w:type="dxa"/>
          </w:tcPr>
          <w:p w14:paraId="6846ED4F"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35.600-165.262</w:t>
            </w:r>
          </w:p>
        </w:tc>
      </w:tr>
      <w:tr w:rsidR="00714AC2" w:rsidRPr="00FE1156" w14:paraId="39CBD24B" w14:textId="77777777" w:rsidTr="00714AC2">
        <w:trPr>
          <w:trHeight w:val="354"/>
        </w:trPr>
        <w:tc>
          <w:tcPr>
            <w:tcW w:w="2719" w:type="dxa"/>
          </w:tcPr>
          <w:p w14:paraId="2DDF796D" w14:textId="77777777" w:rsidR="00714AC2" w:rsidRPr="00923155" w:rsidRDefault="00714AC2" w:rsidP="00714AC2">
            <w:pPr>
              <w:widowControl/>
              <w:adjustRightInd w:val="0"/>
              <w:snapToGrid w:val="0"/>
              <w:spacing w:line="360" w:lineRule="auto"/>
              <w:rPr>
                <w:rFonts w:ascii="Book Antiqua" w:hAnsi="Book Antiqua" w:cs="Times New Roman"/>
                <w:color w:val="000000" w:themeColor="text1"/>
                <w:szCs w:val="24"/>
              </w:rPr>
            </w:pPr>
            <w:r w:rsidRPr="00923155">
              <w:rPr>
                <w:rFonts w:ascii="Book Antiqua" w:hAnsi="Book Antiqua" w:cs="Times New Roman"/>
                <w:color w:val="000000" w:themeColor="text1"/>
                <w:szCs w:val="24"/>
              </w:rPr>
              <w:t>SNX10 expression</w:t>
            </w:r>
          </w:p>
        </w:tc>
        <w:tc>
          <w:tcPr>
            <w:tcW w:w="868" w:type="dxa"/>
          </w:tcPr>
          <w:p w14:paraId="7142129A"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0.014</w:t>
            </w:r>
          </w:p>
        </w:tc>
        <w:tc>
          <w:tcPr>
            <w:tcW w:w="931" w:type="dxa"/>
          </w:tcPr>
          <w:p w14:paraId="0ED08D24"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0.698</w:t>
            </w:r>
          </w:p>
        </w:tc>
        <w:tc>
          <w:tcPr>
            <w:tcW w:w="1846" w:type="dxa"/>
          </w:tcPr>
          <w:p w14:paraId="71C366D5"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0.524-0.930</w:t>
            </w:r>
          </w:p>
        </w:tc>
        <w:tc>
          <w:tcPr>
            <w:tcW w:w="868" w:type="dxa"/>
          </w:tcPr>
          <w:p w14:paraId="704CE187"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0.017</w:t>
            </w:r>
          </w:p>
        </w:tc>
        <w:tc>
          <w:tcPr>
            <w:tcW w:w="931" w:type="dxa"/>
          </w:tcPr>
          <w:p w14:paraId="5074E450"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0.704</w:t>
            </w:r>
          </w:p>
        </w:tc>
        <w:tc>
          <w:tcPr>
            <w:tcW w:w="1846" w:type="dxa"/>
          </w:tcPr>
          <w:p w14:paraId="2F67BD09" w14:textId="77777777" w:rsidR="00714AC2" w:rsidRPr="00FE1156" w:rsidRDefault="00714AC2" w:rsidP="00714AC2">
            <w:pPr>
              <w:widowControl/>
              <w:adjustRightInd w:val="0"/>
              <w:snapToGrid w:val="0"/>
              <w:spacing w:line="360" w:lineRule="auto"/>
              <w:jc w:val="center"/>
              <w:rPr>
                <w:rFonts w:ascii="Book Antiqua" w:hAnsi="Book Antiqua" w:cs="Times New Roman"/>
                <w:color w:val="000000" w:themeColor="text1"/>
                <w:szCs w:val="24"/>
              </w:rPr>
            </w:pPr>
            <w:r w:rsidRPr="00FE1156">
              <w:rPr>
                <w:rFonts w:ascii="Book Antiqua" w:hAnsi="Book Antiqua" w:cs="Times New Roman"/>
                <w:color w:val="000000" w:themeColor="text1"/>
                <w:szCs w:val="24"/>
              </w:rPr>
              <w:t>0.528-0.940</w:t>
            </w:r>
          </w:p>
        </w:tc>
      </w:tr>
    </w:tbl>
    <w:p w14:paraId="7A4C8EF8" w14:textId="752D8BE8" w:rsidR="001658F3" w:rsidRDefault="00923155" w:rsidP="00FE1156">
      <w:pPr>
        <w:widowControl/>
        <w:adjustRightInd w:val="0"/>
        <w:snapToGrid w:val="0"/>
        <w:spacing w:line="360" w:lineRule="auto"/>
        <w:rPr>
          <w:rFonts w:ascii="Book Antiqua" w:hAnsi="Book Antiqua"/>
          <w:color w:val="000000" w:themeColor="text1"/>
          <w:sz w:val="24"/>
          <w:szCs w:val="24"/>
        </w:rPr>
      </w:pPr>
      <w:r>
        <w:rPr>
          <w:rFonts w:ascii="Book Antiqua" w:hAnsi="Book Antiqua" w:cs="Times New Roman"/>
          <w:color w:val="000000" w:themeColor="text1"/>
          <w:sz w:val="24"/>
          <w:szCs w:val="24"/>
        </w:rPr>
        <w:t xml:space="preserve">DFS: Disease-free survival; OS: Overall survival; SNX10: </w:t>
      </w:r>
      <w:r>
        <w:rPr>
          <w:rFonts w:ascii="Book Antiqua" w:hAnsi="Book Antiqua"/>
          <w:color w:val="000000" w:themeColor="text1"/>
          <w:sz w:val="24"/>
          <w:szCs w:val="24"/>
        </w:rPr>
        <w:t>Sorting n</w:t>
      </w:r>
      <w:r w:rsidRPr="00FE1156">
        <w:rPr>
          <w:rFonts w:ascii="Book Antiqua" w:hAnsi="Book Antiqua"/>
          <w:color w:val="000000" w:themeColor="text1"/>
          <w:sz w:val="24"/>
          <w:szCs w:val="24"/>
        </w:rPr>
        <w:t>exin 10</w:t>
      </w:r>
      <w:r>
        <w:rPr>
          <w:rFonts w:ascii="Book Antiqua" w:hAnsi="Book Antiqua"/>
          <w:color w:val="000000" w:themeColor="text1"/>
          <w:sz w:val="24"/>
          <w:szCs w:val="24"/>
        </w:rPr>
        <w:t>; HR: Hazard ratio; CI: Confidence interval.</w:t>
      </w:r>
    </w:p>
    <w:p w14:paraId="6F5D4069" w14:textId="77777777" w:rsidR="001658F3" w:rsidRDefault="001658F3">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6615AE29" w14:textId="77777777" w:rsidR="007102FA" w:rsidRPr="00FE1156" w:rsidRDefault="007102F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noProof/>
          <w:color w:val="000000" w:themeColor="text1"/>
          <w:sz w:val="24"/>
          <w:szCs w:val="24"/>
        </w:rPr>
        <w:lastRenderedPageBreak/>
        <w:drawing>
          <wp:inline distT="0" distB="0" distL="0" distR="0" wp14:anchorId="55F30FA1" wp14:editId="1843F52C">
            <wp:extent cx="4360077" cy="4352192"/>
            <wp:effectExtent l="0" t="0" r="2540" b="0"/>
            <wp:docPr id="3" name="图片 3" descr="H:\Fig &amp; Tab\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g &amp; Tab\Fi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0684" cy="4352798"/>
                    </a:xfrm>
                    <a:prstGeom prst="rect">
                      <a:avLst/>
                    </a:prstGeom>
                    <a:noFill/>
                    <a:ln>
                      <a:noFill/>
                    </a:ln>
                  </pic:spPr>
                </pic:pic>
              </a:graphicData>
            </a:graphic>
          </wp:inline>
        </w:drawing>
      </w:r>
    </w:p>
    <w:p w14:paraId="42076AE0" w14:textId="7884CD7C" w:rsidR="007102FA" w:rsidRPr="00FE1156" w:rsidRDefault="00923155" w:rsidP="00FE1156">
      <w:pPr>
        <w:widowControl/>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1</w:t>
      </w:r>
      <w:r w:rsidR="007102FA" w:rsidRPr="00FE1156">
        <w:rPr>
          <w:rFonts w:ascii="Book Antiqua" w:hAnsi="Book Antiqua" w:cs="Times New Roman"/>
          <w:b/>
          <w:color w:val="000000" w:themeColor="text1"/>
          <w:sz w:val="24"/>
          <w:szCs w:val="24"/>
        </w:rPr>
        <w:t xml:space="preserve"> </w:t>
      </w:r>
      <w:r w:rsidR="007102FA" w:rsidRPr="00923155">
        <w:rPr>
          <w:rFonts w:ascii="Book Antiqua" w:hAnsi="Book Antiqua" w:cs="Times New Roman"/>
          <w:b/>
          <w:color w:val="000000" w:themeColor="text1"/>
          <w:sz w:val="24"/>
          <w:szCs w:val="24"/>
        </w:rPr>
        <w:t>Volcano plot of the differen</w:t>
      </w:r>
      <w:r w:rsidRPr="00923155">
        <w:rPr>
          <w:rFonts w:ascii="Book Antiqua" w:hAnsi="Book Antiqua" w:cs="Times New Roman"/>
          <w:b/>
          <w:color w:val="000000" w:themeColor="text1"/>
          <w:sz w:val="24"/>
          <w:szCs w:val="24"/>
        </w:rPr>
        <w:t>tially expressed mRNAs between s</w:t>
      </w:r>
      <w:r w:rsidR="00DF5484" w:rsidRPr="00923155">
        <w:rPr>
          <w:rFonts w:ascii="Book Antiqua" w:hAnsi="Book Antiqua" w:cs="Times New Roman"/>
          <w:b/>
          <w:color w:val="000000" w:themeColor="text1"/>
          <w:sz w:val="24"/>
          <w:szCs w:val="24"/>
        </w:rPr>
        <w:t xml:space="preserve">tomach adenocarcinoma </w:t>
      </w:r>
      <w:r w:rsidR="007102FA" w:rsidRPr="00923155">
        <w:rPr>
          <w:rFonts w:ascii="Book Antiqua" w:hAnsi="Book Antiqua" w:cs="Times New Roman"/>
          <w:b/>
          <w:color w:val="000000" w:themeColor="text1"/>
          <w:sz w:val="24"/>
          <w:szCs w:val="24"/>
        </w:rPr>
        <w:t>and para-carcinoma tissues.</w:t>
      </w:r>
      <w:r>
        <w:rPr>
          <w:rFonts w:ascii="Book Antiqua" w:hAnsi="Book Antiqua" w:cs="Times New Roman"/>
          <w:color w:val="000000" w:themeColor="text1"/>
          <w:sz w:val="24"/>
          <w:szCs w:val="24"/>
        </w:rPr>
        <w:t xml:space="preserve"> </w:t>
      </w:r>
      <w:r w:rsidR="007102FA" w:rsidRPr="00FE1156">
        <w:rPr>
          <w:rFonts w:ascii="Book Antiqua" w:hAnsi="Book Antiqua" w:cs="Times New Roman"/>
          <w:color w:val="000000" w:themeColor="text1"/>
          <w:sz w:val="24"/>
          <w:szCs w:val="24"/>
        </w:rPr>
        <w:t>Red indicates high expression and green indicates low expression (|log</w:t>
      </w:r>
      <w:r w:rsidR="007102FA" w:rsidRPr="00923155">
        <w:rPr>
          <w:rFonts w:ascii="Book Antiqua" w:hAnsi="Book Antiqua" w:cs="Times New Roman"/>
          <w:color w:val="000000" w:themeColor="text1"/>
          <w:sz w:val="24"/>
          <w:szCs w:val="24"/>
          <w:vertAlign w:val="subscript"/>
        </w:rPr>
        <w:t>2</w:t>
      </w:r>
      <w:r w:rsidR="007102FA" w:rsidRPr="00FE1156">
        <w:rPr>
          <w:rFonts w:ascii="Book Antiqua" w:hAnsi="Book Antiqua" w:cs="Times New Roman"/>
          <w:color w:val="000000" w:themeColor="text1"/>
          <w:sz w:val="24"/>
          <w:szCs w:val="24"/>
        </w:rPr>
        <w:t xml:space="preserve">FC| &gt;1 and adjusted </w:t>
      </w:r>
      <w:r w:rsidR="007102FA" w:rsidRPr="00FE1156">
        <w:rPr>
          <w:rFonts w:ascii="Book Antiqua" w:hAnsi="Book Antiqua" w:cs="Times New Roman"/>
          <w:i/>
          <w:color w:val="000000" w:themeColor="text1"/>
          <w:sz w:val="24"/>
          <w:szCs w:val="24"/>
        </w:rPr>
        <w:t>P</w:t>
      </w:r>
      <w:r w:rsidR="007102FA" w:rsidRPr="00FE1156">
        <w:rPr>
          <w:rFonts w:ascii="Book Antiqua" w:hAnsi="Book Antiqua" w:cs="Times New Roman"/>
          <w:color w:val="000000" w:themeColor="text1"/>
          <w:sz w:val="24"/>
          <w:szCs w:val="24"/>
        </w:rPr>
        <w:t xml:space="preserve"> value</w:t>
      </w:r>
      <w:r>
        <w:rPr>
          <w:rFonts w:ascii="Book Antiqua" w:hAnsi="Book Antiqua" w:cs="Times New Roman"/>
          <w:color w:val="000000" w:themeColor="text1"/>
          <w:sz w:val="24"/>
          <w:szCs w:val="24"/>
        </w:rPr>
        <w:t xml:space="preserve"> </w:t>
      </w:r>
      <w:r w:rsidR="007102FA" w:rsidRPr="00FE1156">
        <w:rPr>
          <w:rFonts w:ascii="Book Antiqua" w:hAnsi="Book Antiqua" w:cs="Times New Roman"/>
          <w:color w:val="000000" w:themeColor="text1"/>
          <w:sz w:val="24"/>
          <w:szCs w:val="24"/>
        </w:rPr>
        <w:t>&lt; 0.05). The X axis represents a false discovery rate (FDR) value and the Y axis represents a log</w:t>
      </w:r>
      <w:r w:rsidR="007102FA" w:rsidRPr="00923155">
        <w:rPr>
          <w:rFonts w:ascii="Book Antiqua" w:hAnsi="Book Antiqua" w:cs="Times New Roman"/>
          <w:color w:val="000000" w:themeColor="text1"/>
          <w:sz w:val="24"/>
          <w:szCs w:val="24"/>
          <w:vertAlign w:val="subscript"/>
        </w:rPr>
        <w:t>2</w:t>
      </w:r>
      <w:r w:rsidR="007102FA" w:rsidRPr="00FE1156">
        <w:rPr>
          <w:rFonts w:ascii="Book Antiqua" w:hAnsi="Book Antiqua" w:cs="Times New Roman"/>
          <w:color w:val="000000" w:themeColor="text1"/>
          <w:sz w:val="24"/>
          <w:szCs w:val="24"/>
        </w:rPr>
        <w:t>FC. Differentially mRNAs were calculated by edgeR.</w:t>
      </w:r>
      <w:r>
        <w:rPr>
          <w:rFonts w:ascii="Book Antiqua" w:hAnsi="Book Antiqua" w:cs="Times New Roman"/>
          <w:color w:val="000000" w:themeColor="text1"/>
          <w:sz w:val="24"/>
          <w:szCs w:val="24"/>
        </w:rPr>
        <w:t xml:space="preserve"> There were </w:t>
      </w:r>
      <w:r w:rsidR="007102FA" w:rsidRPr="00FE1156">
        <w:rPr>
          <w:rFonts w:ascii="Book Antiqua" w:hAnsi="Book Antiqua" w:cs="Times New Roman"/>
          <w:color w:val="000000" w:themeColor="text1"/>
          <w:sz w:val="24"/>
          <w:szCs w:val="24"/>
        </w:rPr>
        <w:t>2456 high expressed mRNAs, and 3775 low expressed. This volcano plot was conducted by the ggplot2 package of R language.</w:t>
      </w:r>
      <w:r>
        <w:rPr>
          <w:rFonts w:ascii="Book Antiqua" w:hAnsi="Book Antiqua" w:cs="Times New Roman"/>
          <w:color w:val="000000" w:themeColor="text1"/>
          <w:sz w:val="24"/>
          <w:szCs w:val="24"/>
        </w:rPr>
        <w:t xml:space="preserve"> FDR: F</w:t>
      </w:r>
      <w:r w:rsidRPr="00FE1156">
        <w:rPr>
          <w:rFonts w:ascii="Book Antiqua" w:hAnsi="Book Antiqua" w:cs="Times New Roman"/>
          <w:color w:val="000000" w:themeColor="text1"/>
          <w:sz w:val="24"/>
          <w:szCs w:val="24"/>
        </w:rPr>
        <w:t>alse discovery rate</w:t>
      </w:r>
      <w:r>
        <w:rPr>
          <w:rFonts w:ascii="Book Antiqua" w:hAnsi="Book Antiqua" w:cs="Times New Roman"/>
          <w:color w:val="000000" w:themeColor="text1"/>
          <w:sz w:val="24"/>
          <w:szCs w:val="24"/>
        </w:rPr>
        <w:t>.</w:t>
      </w:r>
    </w:p>
    <w:p w14:paraId="319BF5E8" w14:textId="77777777" w:rsidR="007102FA" w:rsidRPr="00FE1156" w:rsidRDefault="007102FA" w:rsidP="00FE1156">
      <w:pPr>
        <w:widowControl/>
        <w:adjustRightInd w:val="0"/>
        <w:snapToGrid w:val="0"/>
        <w:spacing w:line="360" w:lineRule="auto"/>
        <w:rPr>
          <w:rFonts w:ascii="Book Antiqua" w:hAnsi="Book Antiqua" w:cs="Times New Roman"/>
          <w:noProof/>
          <w:color w:val="000000" w:themeColor="text1"/>
          <w:sz w:val="24"/>
          <w:szCs w:val="24"/>
        </w:rPr>
      </w:pPr>
      <w:r w:rsidRPr="00FE1156">
        <w:rPr>
          <w:rFonts w:ascii="Book Antiqua" w:hAnsi="Book Antiqua" w:cs="Times New Roman"/>
          <w:color w:val="000000" w:themeColor="text1"/>
          <w:sz w:val="24"/>
          <w:szCs w:val="24"/>
        </w:rPr>
        <w:br w:type="page"/>
      </w:r>
    </w:p>
    <w:p w14:paraId="473599A7" w14:textId="77777777" w:rsidR="007102FA" w:rsidRPr="00FE1156" w:rsidRDefault="007102FA" w:rsidP="00FE1156">
      <w:pPr>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noProof/>
          <w:color w:val="000000" w:themeColor="text1"/>
          <w:sz w:val="24"/>
          <w:szCs w:val="24"/>
        </w:rPr>
        <w:lastRenderedPageBreak/>
        <w:drawing>
          <wp:inline distT="0" distB="0" distL="0" distR="0" wp14:anchorId="158ACA4D" wp14:editId="41DF8048">
            <wp:extent cx="4944827" cy="7649308"/>
            <wp:effectExtent l="0" t="0" r="8255" b="8890"/>
            <wp:docPr id="4" name="图片 4" descr="H:\Fig &amp; Tab\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ig &amp; Tab\Fi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200" cy="7651432"/>
                    </a:xfrm>
                    <a:prstGeom prst="rect">
                      <a:avLst/>
                    </a:prstGeom>
                    <a:noFill/>
                    <a:ln>
                      <a:noFill/>
                    </a:ln>
                  </pic:spPr>
                </pic:pic>
              </a:graphicData>
            </a:graphic>
          </wp:inline>
        </w:drawing>
      </w:r>
    </w:p>
    <w:p w14:paraId="4DA34612" w14:textId="0658A712" w:rsidR="007102FA" w:rsidRPr="00FE1156" w:rsidRDefault="00923155" w:rsidP="00FE1156">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2</w:t>
      </w:r>
      <w:r w:rsidR="007102FA" w:rsidRPr="00FE1156">
        <w:rPr>
          <w:rFonts w:ascii="Book Antiqua" w:hAnsi="Book Antiqua" w:cs="Times New Roman"/>
          <w:b/>
          <w:color w:val="000000" w:themeColor="text1"/>
          <w:sz w:val="24"/>
          <w:szCs w:val="24"/>
        </w:rPr>
        <w:t xml:space="preserve"> </w:t>
      </w:r>
      <w:r w:rsidR="007102FA" w:rsidRPr="00923155">
        <w:rPr>
          <w:rFonts w:ascii="Book Antiqua" w:hAnsi="Book Antiqua" w:cs="Times New Roman"/>
          <w:b/>
          <w:color w:val="000000" w:themeColor="text1"/>
          <w:sz w:val="24"/>
          <w:szCs w:val="24"/>
        </w:rPr>
        <w:t xml:space="preserve">Determination of soft-thresholding power in </w:t>
      </w:r>
      <w:r w:rsidRPr="00923155">
        <w:rPr>
          <w:rFonts w:ascii="Book Antiqua" w:hAnsi="Book Antiqua"/>
          <w:b/>
          <w:color w:val="000000" w:themeColor="text1"/>
          <w:sz w:val="24"/>
          <w:szCs w:val="24"/>
        </w:rPr>
        <w:t>weighted gene co-expression network analysis</w:t>
      </w:r>
      <w:r w:rsidRPr="00923155">
        <w:rPr>
          <w:rFonts w:ascii="Book Antiqua" w:hAnsi="Book Antiqua" w:cs="Times New Roman"/>
          <w:b/>
          <w:color w:val="000000" w:themeColor="text1"/>
          <w:sz w:val="24"/>
          <w:szCs w:val="24"/>
        </w:rPr>
        <w:t xml:space="preserve"> and c</w:t>
      </w:r>
      <w:r w:rsidR="007102FA" w:rsidRPr="00923155">
        <w:rPr>
          <w:rFonts w:ascii="Book Antiqua" w:hAnsi="Book Antiqua" w:cs="Times New Roman"/>
          <w:b/>
          <w:color w:val="000000" w:themeColor="text1"/>
          <w:sz w:val="24"/>
          <w:szCs w:val="24"/>
        </w:rPr>
        <w:t>lustering dendrograms of genes.</w:t>
      </w:r>
      <w:r>
        <w:rPr>
          <w:rFonts w:ascii="Book Antiqua" w:hAnsi="Book Antiqua" w:cs="Times New Roman"/>
          <w:color w:val="000000" w:themeColor="text1"/>
          <w:sz w:val="24"/>
          <w:szCs w:val="24"/>
        </w:rPr>
        <w:t xml:space="preserve"> A: </w:t>
      </w:r>
      <w:r w:rsidR="007102FA" w:rsidRPr="00FE1156">
        <w:rPr>
          <w:rFonts w:ascii="Book Antiqua" w:hAnsi="Book Antiqua" w:cs="Times New Roman"/>
          <w:color w:val="000000" w:themeColor="text1"/>
          <w:sz w:val="24"/>
          <w:szCs w:val="24"/>
        </w:rPr>
        <w:t xml:space="preserve">Analysis of the scale-free fit index for various soft-thresholding powers (β). </w:t>
      </w:r>
      <w:r>
        <w:rPr>
          <w:rFonts w:ascii="Book Antiqua" w:hAnsi="Book Antiqua" w:cs="Times New Roman"/>
          <w:color w:val="000000" w:themeColor="text1"/>
          <w:sz w:val="24"/>
          <w:szCs w:val="24"/>
        </w:rPr>
        <w:t>B:</w:t>
      </w:r>
      <w:r w:rsidR="007102FA" w:rsidRPr="00FE1156">
        <w:rPr>
          <w:rFonts w:ascii="Book Antiqua" w:hAnsi="Book Antiqua" w:cs="Times New Roman"/>
          <w:color w:val="000000" w:themeColor="text1"/>
          <w:sz w:val="24"/>
          <w:szCs w:val="24"/>
        </w:rPr>
        <w:t xml:space="preserve"> Analysis of the mean connectivity for various soft-thresholding powers. </w:t>
      </w:r>
      <w:r>
        <w:rPr>
          <w:rFonts w:ascii="Book Antiqua" w:hAnsi="Book Antiqua" w:cs="Times New Roman"/>
          <w:color w:val="000000" w:themeColor="text1"/>
          <w:sz w:val="24"/>
          <w:szCs w:val="24"/>
        </w:rPr>
        <w:t>C:</w:t>
      </w:r>
      <w:r w:rsidR="007102FA" w:rsidRPr="00FE1156">
        <w:rPr>
          <w:rFonts w:ascii="Book Antiqua" w:hAnsi="Book Antiqua" w:cs="Times New Roman"/>
          <w:color w:val="000000" w:themeColor="text1"/>
          <w:sz w:val="24"/>
          <w:szCs w:val="24"/>
        </w:rPr>
        <w:t xml:space="preserve"> </w:t>
      </w:r>
      <w:r w:rsidR="007102FA" w:rsidRPr="00FE1156">
        <w:rPr>
          <w:rFonts w:ascii="Book Antiqua" w:hAnsi="Book Antiqua" w:cs="Times New Roman"/>
          <w:color w:val="000000" w:themeColor="text1"/>
          <w:sz w:val="24"/>
          <w:szCs w:val="24"/>
        </w:rPr>
        <w:lastRenderedPageBreak/>
        <w:t xml:space="preserve">Gene clustering tree (dendrogram) obtained by hierarchical clustering of adjacency-based dissimilarity. </w:t>
      </w:r>
    </w:p>
    <w:p w14:paraId="0BC3F48A" w14:textId="77777777" w:rsidR="007102FA" w:rsidRPr="00FE1156" w:rsidRDefault="007102FA" w:rsidP="00FE1156">
      <w:pPr>
        <w:widowControl/>
        <w:adjustRightInd w:val="0"/>
        <w:snapToGrid w:val="0"/>
        <w:spacing w:line="360" w:lineRule="auto"/>
        <w:rPr>
          <w:rFonts w:ascii="Book Antiqua" w:hAnsi="Book Antiqua" w:cs="Times New Roman"/>
          <w:noProof/>
          <w:color w:val="000000" w:themeColor="text1"/>
          <w:sz w:val="24"/>
          <w:szCs w:val="24"/>
        </w:rPr>
      </w:pPr>
      <w:r w:rsidRPr="00FE1156">
        <w:rPr>
          <w:rFonts w:ascii="Book Antiqua" w:hAnsi="Book Antiqua" w:cs="Times New Roman"/>
          <w:color w:val="000000" w:themeColor="text1"/>
          <w:sz w:val="24"/>
          <w:szCs w:val="24"/>
        </w:rPr>
        <w:br w:type="page"/>
      </w:r>
    </w:p>
    <w:p w14:paraId="70C40FDF" w14:textId="6FC303FF" w:rsidR="007102FA" w:rsidRPr="00923155" w:rsidRDefault="007102FA" w:rsidP="00FE1156">
      <w:pPr>
        <w:adjustRightInd w:val="0"/>
        <w:snapToGrid w:val="0"/>
        <w:spacing w:line="360" w:lineRule="auto"/>
        <w:rPr>
          <w:rFonts w:ascii="Book Antiqua" w:hAnsi="Book Antiqua" w:cs="Times New Roman"/>
          <w:i/>
          <w:color w:val="000000" w:themeColor="text1"/>
          <w:sz w:val="24"/>
          <w:szCs w:val="24"/>
        </w:rPr>
      </w:pPr>
      <w:r w:rsidRPr="00FE1156">
        <w:rPr>
          <w:rFonts w:ascii="Book Antiqua" w:hAnsi="Book Antiqua" w:cs="Times New Roman"/>
          <w:b/>
          <w:noProof/>
          <w:color w:val="000000" w:themeColor="text1"/>
          <w:sz w:val="24"/>
          <w:szCs w:val="24"/>
        </w:rPr>
        <w:lastRenderedPageBreak/>
        <w:drawing>
          <wp:inline distT="0" distB="0" distL="0" distR="0" wp14:anchorId="22EF7222" wp14:editId="56FA4496">
            <wp:extent cx="5276850" cy="8162925"/>
            <wp:effectExtent l="0" t="0" r="0" b="9525"/>
            <wp:docPr id="6" name="图片 6" descr="H:\Fig &amp; Tab\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g &amp; Tab\Fig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8162925"/>
                    </a:xfrm>
                    <a:prstGeom prst="rect">
                      <a:avLst/>
                    </a:prstGeom>
                    <a:noFill/>
                    <a:ln>
                      <a:noFill/>
                    </a:ln>
                  </pic:spPr>
                </pic:pic>
              </a:graphicData>
            </a:graphic>
          </wp:inline>
        </w:drawing>
      </w:r>
      <w:r w:rsidR="00923155">
        <w:rPr>
          <w:rFonts w:ascii="Book Antiqua" w:hAnsi="Book Antiqua" w:cs="Times New Roman"/>
          <w:b/>
          <w:color w:val="000000" w:themeColor="text1"/>
          <w:sz w:val="24"/>
          <w:szCs w:val="24"/>
        </w:rPr>
        <w:t>Figure 3</w:t>
      </w:r>
      <w:r w:rsidRPr="00FE1156">
        <w:rPr>
          <w:rFonts w:ascii="Book Antiqua" w:hAnsi="Book Antiqua" w:cs="Times New Roman"/>
          <w:b/>
          <w:color w:val="000000" w:themeColor="text1"/>
          <w:sz w:val="24"/>
          <w:szCs w:val="24"/>
        </w:rPr>
        <w:t xml:space="preserve"> </w:t>
      </w:r>
      <w:r w:rsidRPr="00923155">
        <w:rPr>
          <w:rFonts w:ascii="Book Antiqua" w:hAnsi="Book Antiqua" w:cs="Times New Roman"/>
          <w:b/>
          <w:color w:val="000000" w:themeColor="text1"/>
          <w:sz w:val="24"/>
          <w:szCs w:val="24"/>
        </w:rPr>
        <w:t xml:space="preserve">Identification of modules associated with the clinical traits of </w:t>
      </w:r>
      <w:r w:rsidR="00090B65">
        <w:rPr>
          <w:rFonts w:ascii="Book Antiqua" w:hAnsi="Book Antiqua"/>
          <w:b/>
          <w:color w:val="000000" w:themeColor="text1"/>
          <w:sz w:val="24"/>
          <w:szCs w:val="24"/>
        </w:rPr>
        <w:t>s</w:t>
      </w:r>
      <w:r w:rsidR="00923155" w:rsidRPr="00923155">
        <w:rPr>
          <w:rFonts w:ascii="Book Antiqua" w:hAnsi="Book Antiqua"/>
          <w:b/>
          <w:color w:val="000000" w:themeColor="text1"/>
          <w:sz w:val="24"/>
          <w:szCs w:val="24"/>
        </w:rPr>
        <w:t>tomach adenocarcinoma</w:t>
      </w:r>
      <w:r w:rsidRPr="00923155">
        <w:rPr>
          <w:rFonts w:ascii="Book Antiqua" w:hAnsi="Book Antiqua" w:cs="Times New Roman"/>
          <w:b/>
          <w:color w:val="000000" w:themeColor="text1"/>
          <w:sz w:val="24"/>
          <w:szCs w:val="24"/>
        </w:rPr>
        <w:t>.</w:t>
      </w:r>
      <w:r w:rsidRPr="00FE1156">
        <w:rPr>
          <w:rFonts w:ascii="Book Antiqua" w:hAnsi="Book Antiqua" w:cs="Times New Roman"/>
          <w:i/>
          <w:color w:val="000000" w:themeColor="text1"/>
          <w:sz w:val="24"/>
          <w:szCs w:val="24"/>
        </w:rPr>
        <w:t xml:space="preserve"> </w:t>
      </w:r>
      <w:r w:rsidR="00923155">
        <w:rPr>
          <w:rFonts w:ascii="Book Antiqua" w:hAnsi="Book Antiqua" w:cs="Times New Roman"/>
          <w:color w:val="000000" w:themeColor="text1"/>
          <w:sz w:val="24"/>
          <w:szCs w:val="24"/>
        </w:rPr>
        <w:t>A:</w:t>
      </w:r>
      <w:r w:rsidRPr="00FE1156">
        <w:rPr>
          <w:rFonts w:ascii="Book Antiqua" w:hAnsi="Book Antiqua" w:cs="Times New Roman"/>
          <w:color w:val="000000" w:themeColor="text1"/>
          <w:sz w:val="24"/>
          <w:szCs w:val="24"/>
        </w:rPr>
        <w:t xml:space="preserve"> Heat map of the correlation between module </w:t>
      </w:r>
      <w:r w:rsidRPr="00FE1156">
        <w:rPr>
          <w:rFonts w:ascii="Book Antiqua" w:hAnsi="Book Antiqua" w:cs="Times New Roman"/>
          <w:color w:val="000000" w:themeColor="text1"/>
          <w:sz w:val="24"/>
          <w:szCs w:val="24"/>
        </w:rPr>
        <w:lastRenderedPageBreak/>
        <w:t xml:space="preserve">eigengenes and clinical traits of </w:t>
      </w:r>
      <w:r w:rsidR="00923155">
        <w:rPr>
          <w:rFonts w:ascii="Book Antiqua" w:hAnsi="Book Antiqua"/>
          <w:color w:val="000000" w:themeColor="text1"/>
          <w:sz w:val="24"/>
          <w:szCs w:val="24"/>
        </w:rPr>
        <w:t>s</w:t>
      </w:r>
      <w:r w:rsidR="00923155" w:rsidRPr="00FE1156">
        <w:rPr>
          <w:rFonts w:ascii="Book Antiqua" w:hAnsi="Book Antiqua"/>
          <w:color w:val="000000" w:themeColor="text1"/>
          <w:sz w:val="24"/>
          <w:szCs w:val="24"/>
        </w:rPr>
        <w:t>tomach adenocarcinoma</w:t>
      </w:r>
      <w:r w:rsidR="00923155" w:rsidRPr="00FE1156">
        <w:rPr>
          <w:rFonts w:ascii="Book Antiqua" w:hAnsi="Book Antiqua" w:cs="Times New Roman"/>
          <w:color w:val="000000" w:themeColor="text1"/>
          <w:sz w:val="24"/>
          <w:szCs w:val="24"/>
        </w:rPr>
        <w:t xml:space="preserve"> </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SA</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w:t>
      </w:r>
      <w:r w:rsidR="00923155">
        <w:rPr>
          <w:rFonts w:ascii="Book Antiqua" w:hAnsi="Book Antiqua" w:cs="Times New Roman"/>
          <w:i/>
          <w:color w:val="000000" w:themeColor="text1"/>
          <w:sz w:val="24"/>
          <w:szCs w:val="24"/>
        </w:rPr>
        <w:t xml:space="preserve"> </w:t>
      </w:r>
      <w:r w:rsidR="00923155">
        <w:rPr>
          <w:rFonts w:ascii="Book Antiqua" w:hAnsi="Book Antiqua" w:cs="Times New Roman"/>
          <w:color w:val="000000" w:themeColor="text1"/>
          <w:sz w:val="24"/>
          <w:szCs w:val="24"/>
        </w:rPr>
        <w:t>B:</w:t>
      </w:r>
      <w:r w:rsidRPr="00FE1156">
        <w:rPr>
          <w:rFonts w:ascii="Book Antiqua" w:hAnsi="Book Antiqua" w:cs="Times New Roman"/>
          <w:color w:val="000000" w:themeColor="text1"/>
          <w:sz w:val="24"/>
          <w:szCs w:val="24"/>
        </w:rPr>
        <w:t xml:space="preserve"> </w:t>
      </w:r>
      <w:r w:rsidR="00923155" w:rsidRPr="00FE1156">
        <w:rPr>
          <w:rFonts w:ascii="Book Antiqua" w:hAnsi="Book Antiqua"/>
          <w:color w:val="000000" w:themeColor="text1"/>
          <w:sz w:val="24"/>
          <w:szCs w:val="24"/>
        </w:rPr>
        <w:t>Topological overlap matrix</w:t>
      </w:r>
      <w:r w:rsidR="00923155" w:rsidRPr="00FE1156">
        <w:rPr>
          <w:rFonts w:ascii="Book Antiqua" w:hAnsi="Book Antiqua" w:cs="Times New Roman"/>
          <w:color w:val="000000" w:themeColor="text1"/>
          <w:sz w:val="24"/>
          <w:szCs w:val="24"/>
        </w:rPr>
        <w:t xml:space="preserve"> </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TOM</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plot.</w:t>
      </w:r>
      <w:r w:rsidR="00923155">
        <w:rPr>
          <w:rFonts w:ascii="Book Antiqua" w:hAnsi="Book Antiqua" w:cs="Times New Roman"/>
          <w:i/>
          <w:color w:val="000000" w:themeColor="text1"/>
          <w:sz w:val="24"/>
          <w:szCs w:val="24"/>
        </w:rPr>
        <w:t xml:space="preserve"> </w:t>
      </w:r>
      <w:r w:rsidR="00923155">
        <w:rPr>
          <w:rFonts w:ascii="Book Antiqua" w:hAnsi="Book Antiqua" w:cs="Times New Roman"/>
          <w:color w:val="000000" w:themeColor="text1"/>
          <w:sz w:val="24"/>
          <w:szCs w:val="24"/>
        </w:rPr>
        <w:t>C:</w:t>
      </w:r>
      <w:r w:rsidRPr="00FE1156">
        <w:rPr>
          <w:rFonts w:ascii="Book Antiqua" w:hAnsi="Book Antiqua" w:cs="Times New Roman"/>
          <w:color w:val="000000" w:themeColor="text1"/>
          <w:sz w:val="24"/>
          <w:szCs w:val="24"/>
        </w:rPr>
        <w:t xml:space="preserve"> Visualization of hierarchical clustering dendrogram of the eigengenes.</w:t>
      </w:r>
      <w:r w:rsidR="00923155">
        <w:rPr>
          <w:rFonts w:ascii="Book Antiqua" w:hAnsi="Book Antiqua" w:cs="Times New Roman"/>
          <w:i/>
          <w:color w:val="000000" w:themeColor="text1"/>
          <w:sz w:val="24"/>
          <w:szCs w:val="24"/>
        </w:rPr>
        <w:t xml:space="preserve"> </w:t>
      </w:r>
      <w:r w:rsidR="00923155">
        <w:rPr>
          <w:rFonts w:ascii="Book Antiqua" w:hAnsi="Book Antiqua" w:cs="Times New Roman"/>
          <w:color w:val="000000" w:themeColor="text1"/>
          <w:sz w:val="24"/>
          <w:szCs w:val="24"/>
        </w:rPr>
        <w:t>T</w:t>
      </w:r>
      <w:r w:rsidRPr="00FE1156">
        <w:rPr>
          <w:rFonts w:ascii="Book Antiqua" w:hAnsi="Book Antiqua" w:cs="Times New Roman"/>
          <w:color w:val="000000" w:themeColor="text1"/>
          <w:sz w:val="24"/>
          <w:szCs w:val="24"/>
        </w:rPr>
        <w:t>he eigen gene network representing the relationships among the modules</w:t>
      </w:r>
      <w:r w:rsidR="00923155">
        <w:rPr>
          <w:rFonts w:ascii="Book Antiqua" w:hAnsi="Book Antiqua" w:cs="Times New Roman"/>
          <w:i/>
          <w:color w:val="000000" w:themeColor="text1"/>
          <w:sz w:val="24"/>
          <w:szCs w:val="24"/>
        </w:rPr>
        <w:t xml:space="preserve">. </w:t>
      </w:r>
      <w:r w:rsidR="00923155">
        <w:rPr>
          <w:rFonts w:ascii="Book Antiqua" w:hAnsi="Book Antiqua" w:cs="Times New Roman"/>
          <w:color w:val="000000" w:themeColor="text1"/>
          <w:sz w:val="24"/>
          <w:szCs w:val="24"/>
        </w:rPr>
        <w:t>D:</w:t>
      </w:r>
      <w:r w:rsidRPr="00FE1156">
        <w:rPr>
          <w:rFonts w:ascii="Book Antiqua" w:hAnsi="Book Antiqua" w:cs="Times New Roman"/>
          <w:color w:val="000000" w:themeColor="text1"/>
          <w:sz w:val="24"/>
          <w:szCs w:val="24"/>
        </w:rPr>
        <w:t xml:space="preserve"> Heat map of the eigengene adjacency. The color bars on left and below indicate the module of each row or column.</w:t>
      </w:r>
      <w:r w:rsidR="00923155">
        <w:rPr>
          <w:rFonts w:ascii="Book Antiqua" w:hAnsi="Book Antiqua" w:cs="Times New Roman"/>
          <w:color w:val="000000" w:themeColor="text1"/>
          <w:sz w:val="24"/>
          <w:szCs w:val="24"/>
        </w:rPr>
        <w:t xml:space="preserve"> </w:t>
      </w:r>
    </w:p>
    <w:p w14:paraId="2CA1CDBB" w14:textId="77777777" w:rsidR="007102FA" w:rsidRPr="00FE1156" w:rsidRDefault="007102FA" w:rsidP="00FE1156">
      <w:pPr>
        <w:widowControl/>
        <w:adjustRightInd w:val="0"/>
        <w:snapToGrid w:val="0"/>
        <w:spacing w:line="360" w:lineRule="auto"/>
        <w:rPr>
          <w:rFonts w:ascii="Book Antiqua" w:hAnsi="Book Antiqua" w:cs="Times New Roman"/>
          <w:color w:val="000000" w:themeColor="text1"/>
          <w:sz w:val="24"/>
          <w:szCs w:val="24"/>
        </w:rPr>
      </w:pPr>
      <w:r w:rsidRPr="00FE1156">
        <w:rPr>
          <w:rFonts w:ascii="Book Antiqua" w:hAnsi="Book Antiqua" w:cs="Times New Roman"/>
          <w:color w:val="000000" w:themeColor="text1"/>
          <w:sz w:val="24"/>
          <w:szCs w:val="24"/>
        </w:rPr>
        <w:br w:type="page"/>
      </w:r>
    </w:p>
    <w:p w14:paraId="0C5615B4" w14:textId="44E3C15F" w:rsidR="007102FA" w:rsidRPr="00923155" w:rsidRDefault="007102FA" w:rsidP="00FE1156">
      <w:pPr>
        <w:adjustRightInd w:val="0"/>
        <w:snapToGrid w:val="0"/>
        <w:spacing w:line="360" w:lineRule="auto"/>
        <w:rPr>
          <w:rFonts w:ascii="Book Antiqua" w:hAnsi="Book Antiqua" w:cs="Times New Roman"/>
          <w:b/>
          <w:color w:val="000000" w:themeColor="text1"/>
          <w:sz w:val="24"/>
          <w:szCs w:val="24"/>
        </w:rPr>
      </w:pPr>
      <w:r w:rsidRPr="00FE1156">
        <w:rPr>
          <w:rFonts w:ascii="Book Antiqua" w:hAnsi="Book Antiqua" w:cs="Times New Roman"/>
          <w:b/>
          <w:noProof/>
          <w:color w:val="000000" w:themeColor="text1"/>
          <w:sz w:val="24"/>
          <w:szCs w:val="24"/>
        </w:rPr>
        <w:lastRenderedPageBreak/>
        <w:drawing>
          <wp:inline distT="0" distB="0" distL="0" distR="0" wp14:anchorId="5A261E36" wp14:editId="0361D0CB">
            <wp:extent cx="5276850" cy="4095750"/>
            <wp:effectExtent l="0" t="0" r="0" b="0"/>
            <wp:docPr id="7" name="图片 7" descr="H:\Fig &amp; Tab\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ig &amp; Tab\Fig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4095750"/>
                    </a:xfrm>
                    <a:prstGeom prst="rect">
                      <a:avLst/>
                    </a:prstGeom>
                    <a:noFill/>
                    <a:ln>
                      <a:noFill/>
                    </a:ln>
                  </pic:spPr>
                </pic:pic>
              </a:graphicData>
            </a:graphic>
          </wp:inline>
        </w:drawing>
      </w:r>
      <w:r w:rsidR="00923155">
        <w:rPr>
          <w:rFonts w:ascii="Book Antiqua" w:hAnsi="Book Antiqua" w:cs="Times New Roman"/>
          <w:b/>
          <w:color w:val="000000" w:themeColor="text1"/>
          <w:sz w:val="24"/>
          <w:szCs w:val="24"/>
        </w:rPr>
        <w:t>Figure 4</w:t>
      </w:r>
      <w:r w:rsidRPr="00FE1156">
        <w:rPr>
          <w:rFonts w:ascii="Book Antiqua" w:hAnsi="Book Antiqua" w:cs="Times New Roman"/>
          <w:b/>
          <w:color w:val="000000" w:themeColor="text1"/>
          <w:sz w:val="24"/>
          <w:szCs w:val="24"/>
        </w:rPr>
        <w:t xml:space="preserve"> </w:t>
      </w:r>
      <w:r w:rsidRPr="00923155">
        <w:rPr>
          <w:rFonts w:ascii="Book Antiqua" w:hAnsi="Book Antiqua" w:cs="Times New Roman"/>
          <w:b/>
          <w:color w:val="000000" w:themeColor="text1"/>
          <w:sz w:val="24"/>
          <w:szCs w:val="24"/>
        </w:rPr>
        <w:t>Module functional annotation and hub gene identification.</w:t>
      </w:r>
      <w:r w:rsidR="00923155">
        <w:rPr>
          <w:rFonts w:ascii="Book Antiqua" w:hAnsi="Book Antiqua" w:cs="Times New Roman"/>
          <w:b/>
          <w:color w:val="000000" w:themeColor="text1"/>
          <w:sz w:val="24"/>
          <w:szCs w:val="24"/>
        </w:rPr>
        <w:t xml:space="preserve"> </w:t>
      </w:r>
      <w:r w:rsidR="00923155">
        <w:rPr>
          <w:rFonts w:ascii="Book Antiqua" w:hAnsi="Book Antiqua" w:cs="Times New Roman"/>
          <w:color w:val="000000" w:themeColor="text1"/>
          <w:sz w:val="24"/>
          <w:szCs w:val="24"/>
        </w:rPr>
        <w:t>A and B:</w:t>
      </w:r>
      <w:r w:rsidR="00E41404">
        <w:rPr>
          <w:rFonts w:ascii="Book Antiqua" w:hAnsi="Book Antiqua" w:cs="Times New Roman"/>
          <w:color w:val="000000" w:themeColor="text1"/>
          <w:sz w:val="24"/>
          <w:szCs w:val="24"/>
        </w:rPr>
        <w:t xml:space="preserve"> </w:t>
      </w:r>
      <w:r w:rsidR="00923155" w:rsidRPr="00FE1156">
        <w:rPr>
          <w:rFonts w:ascii="Book Antiqua" w:hAnsi="Book Antiqua"/>
          <w:color w:val="000000" w:themeColor="text1"/>
          <w:sz w:val="24"/>
          <w:szCs w:val="24"/>
        </w:rPr>
        <w:t>Gene</w:t>
      </w:r>
      <w:r w:rsidR="00923155">
        <w:rPr>
          <w:rFonts w:ascii="Book Antiqua" w:hAnsi="Book Antiqua"/>
          <w:color w:val="000000" w:themeColor="text1"/>
          <w:sz w:val="24"/>
          <w:szCs w:val="24"/>
        </w:rPr>
        <w:t xml:space="preserve"> O</w:t>
      </w:r>
      <w:r w:rsidR="00923155" w:rsidRPr="00FE1156">
        <w:rPr>
          <w:rFonts w:ascii="Book Antiqua" w:hAnsi="Book Antiqua"/>
          <w:color w:val="000000" w:themeColor="text1"/>
          <w:sz w:val="24"/>
          <w:szCs w:val="24"/>
        </w:rPr>
        <w:t>ntology</w:t>
      </w:r>
      <w:r w:rsidR="00923155" w:rsidRPr="00FE1156">
        <w:rPr>
          <w:rFonts w:ascii="Book Antiqua" w:hAnsi="Book Antiqua" w:cs="Times New Roman"/>
          <w:color w:val="000000" w:themeColor="text1"/>
          <w:sz w:val="24"/>
          <w:szCs w:val="24"/>
        </w:rPr>
        <w:t xml:space="preserve"> </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GO</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functional and </w:t>
      </w:r>
      <w:r w:rsidR="00923155" w:rsidRPr="00FE1156">
        <w:rPr>
          <w:rFonts w:ascii="Book Antiqua" w:hAnsi="Book Antiqua"/>
          <w:color w:val="000000" w:themeColor="text1"/>
          <w:sz w:val="24"/>
          <w:szCs w:val="24"/>
        </w:rPr>
        <w:t xml:space="preserve">Kyoto </w:t>
      </w:r>
      <w:r w:rsidR="00090B65">
        <w:rPr>
          <w:rFonts w:ascii="Book Antiqua" w:hAnsi="Book Antiqua"/>
          <w:color w:val="000000" w:themeColor="text1"/>
          <w:sz w:val="24"/>
          <w:szCs w:val="24"/>
        </w:rPr>
        <w:t>Encyclopedia of Genes a</w:t>
      </w:r>
      <w:r w:rsidR="00923155" w:rsidRPr="00FE1156">
        <w:rPr>
          <w:rFonts w:ascii="Book Antiqua" w:hAnsi="Book Antiqua"/>
          <w:color w:val="000000" w:themeColor="text1"/>
          <w:sz w:val="24"/>
          <w:szCs w:val="24"/>
        </w:rPr>
        <w:t>nd Genomes</w:t>
      </w:r>
      <w:r w:rsidR="00923155" w:rsidRPr="00FE1156">
        <w:rPr>
          <w:rFonts w:ascii="Book Antiqua" w:hAnsi="Book Antiqua" w:cs="Times New Roman"/>
          <w:color w:val="000000" w:themeColor="text1"/>
          <w:sz w:val="24"/>
          <w:szCs w:val="24"/>
        </w:rPr>
        <w:t xml:space="preserve"> </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KEGG</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pathway analysis</w:t>
      </w:r>
      <w:r w:rsidR="00923155">
        <w:rPr>
          <w:rFonts w:ascii="Book Antiqua" w:hAnsi="Book Antiqua" w:cs="Times New Roman"/>
          <w:color w:val="000000" w:themeColor="text1"/>
          <w:sz w:val="24"/>
          <w:szCs w:val="24"/>
        </w:rPr>
        <w:t xml:space="preserve"> for genes in tan-module. The X</w:t>
      </w:r>
      <w:r w:rsidRPr="00FE1156">
        <w:rPr>
          <w:rFonts w:ascii="Book Antiqua" w:hAnsi="Book Antiqua" w:cs="Times New Roman"/>
          <w:color w:val="000000" w:themeColor="text1"/>
          <w:sz w:val="24"/>
          <w:szCs w:val="24"/>
        </w:rPr>
        <w:t>-axis shows the number of genes and the y-axis shows the GO and KEGG terms.</w:t>
      </w:r>
      <w:r w:rsidR="00923155">
        <w:rPr>
          <w:rFonts w:ascii="Book Antiqua" w:hAnsi="Book Antiqua" w:cs="Times New Roman"/>
          <w:b/>
          <w:color w:val="000000" w:themeColor="text1"/>
          <w:sz w:val="24"/>
          <w:szCs w:val="24"/>
        </w:rPr>
        <w:t xml:space="preserve"> </w:t>
      </w:r>
      <w:r w:rsidR="00923155">
        <w:rPr>
          <w:rFonts w:ascii="Book Antiqua" w:hAnsi="Book Antiqua" w:cs="Times New Roman"/>
          <w:color w:val="000000" w:themeColor="text1"/>
          <w:sz w:val="24"/>
          <w:szCs w:val="24"/>
        </w:rPr>
        <w:t xml:space="preserve">C: </w:t>
      </w:r>
      <w:r w:rsidRPr="00FE1156">
        <w:rPr>
          <w:rFonts w:ascii="Book Antiqua" w:hAnsi="Book Antiqua" w:cs="Times New Roman"/>
          <w:color w:val="000000" w:themeColor="text1"/>
          <w:sz w:val="24"/>
          <w:szCs w:val="24"/>
        </w:rPr>
        <w:t>Weighted co-expression network for tan-module genes.</w:t>
      </w:r>
      <w:r w:rsidR="00923155">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 xml:space="preserve">Nodes color are according to the degree, and size according to </w:t>
      </w:r>
      <w:r w:rsidR="00923155" w:rsidRPr="00FE1156">
        <w:rPr>
          <w:rFonts w:ascii="Book Antiqua" w:hAnsi="Book Antiqua"/>
          <w:color w:val="000000" w:themeColor="text1"/>
          <w:sz w:val="24"/>
          <w:szCs w:val="24"/>
        </w:rPr>
        <w:t>Molecular Complex Detection</w:t>
      </w:r>
      <w:r w:rsidR="00923155" w:rsidRPr="00FE1156">
        <w:rPr>
          <w:rFonts w:ascii="Book Antiqua" w:hAnsi="Book Antiqua" w:cs="Times New Roman"/>
          <w:color w:val="000000" w:themeColor="text1"/>
          <w:sz w:val="24"/>
          <w:szCs w:val="24"/>
        </w:rPr>
        <w:t xml:space="preserve"> </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MCODE</w:t>
      </w:r>
      <w:r w:rsidR="0092315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score</w:t>
      </w:r>
      <w:r w:rsidR="00923155">
        <w:rPr>
          <w:rFonts w:ascii="Book Antiqua" w:hAnsi="Book Antiqua" w:cs="Times New Roman"/>
          <w:color w:val="000000" w:themeColor="text1"/>
          <w:sz w:val="24"/>
          <w:szCs w:val="24"/>
        </w:rPr>
        <w:t>.]</w:t>
      </w:r>
      <w:r w:rsidR="00923155">
        <w:rPr>
          <w:rFonts w:ascii="Book Antiqua" w:hAnsi="Book Antiqua" w:cs="Times New Roman"/>
          <w:b/>
          <w:color w:val="000000" w:themeColor="text1"/>
          <w:sz w:val="24"/>
          <w:szCs w:val="24"/>
        </w:rPr>
        <w:t xml:space="preserve"> </w:t>
      </w:r>
      <w:r w:rsidR="00923155">
        <w:rPr>
          <w:rFonts w:ascii="Book Antiqua" w:hAnsi="Book Antiqua" w:cs="Times New Roman"/>
          <w:color w:val="000000" w:themeColor="text1"/>
          <w:sz w:val="24"/>
          <w:szCs w:val="24"/>
        </w:rPr>
        <w:t>D:</w:t>
      </w:r>
      <w:r w:rsidRPr="00FE1156">
        <w:rPr>
          <w:rFonts w:ascii="Book Antiqua" w:hAnsi="Book Antiqua" w:cs="Times New Roman"/>
          <w:color w:val="000000" w:themeColor="text1"/>
          <w:sz w:val="24"/>
          <w:szCs w:val="24"/>
        </w:rPr>
        <w:t xml:space="preserve"> Hub genes were screened with </w:t>
      </w:r>
      <w:r w:rsidR="00090B65">
        <w:rPr>
          <w:rFonts w:ascii="Book Antiqua" w:hAnsi="Book Antiqua"/>
          <w:color w:val="000000" w:themeColor="text1"/>
          <w:sz w:val="24"/>
          <w:szCs w:val="24"/>
        </w:rPr>
        <w:t>m</w:t>
      </w:r>
      <w:r w:rsidR="00090B65" w:rsidRPr="00FE1156">
        <w:rPr>
          <w:rFonts w:ascii="Book Antiqua" w:hAnsi="Book Antiqua"/>
          <w:color w:val="000000" w:themeColor="text1"/>
          <w:sz w:val="24"/>
          <w:szCs w:val="24"/>
        </w:rPr>
        <w:t>odule membership</w:t>
      </w:r>
      <w:r w:rsidR="00090B65" w:rsidRPr="00FE1156">
        <w:rPr>
          <w:rFonts w:ascii="Book Antiqua" w:hAnsi="Book Antiqua" w:cs="Times New Roman"/>
          <w:color w:val="000000" w:themeColor="text1"/>
          <w:sz w:val="24"/>
          <w:szCs w:val="24"/>
        </w:rPr>
        <w:t xml:space="preserve"> </w:t>
      </w:r>
      <w:r w:rsidR="00090B6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MM</w:t>
      </w:r>
      <w:r w:rsidR="00090B6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w:t>
      </w:r>
      <w:r w:rsidR="00090B65">
        <w:rPr>
          <w:rFonts w:ascii="Book Antiqua" w:hAnsi="Book Antiqua" w:cs="Times New Roman"/>
          <w:color w:val="000000" w:themeColor="text1"/>
          <w:sz w:val="24"/>
          <w:szCs w:val="24"/>
        </w:rPr>
        <w:t>gene significance (</w:t>
      </w:r>
      <w:r w:rsidRPr="00FE1156">
        <w:rPr>
          <w:rFonts w:ascii="Book Antiqua" w:hAnsi="Book Antiqua" w:cs="Times New Roman"/>
          <w:color w:val="000000" w:themeColor="text1"/>
          <w:sz w:val="24"/>
          <w:szCs w:val="24"/>
        </w:rPr>
        <w:t>GS</w:t>
      </w:r>
      <w:r w:rsidR="00090B6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and MCODE.</w:t>
      </w:r>
      <w:r w:rsidR="00090B65">
        <w:rPr>
          <w:rFonts w:ascii="Book Antiqua" w:hAnsi="Book Antiqua" w:cs="Times New Roman"/>
          <w:color w:val="000000" w:themeColor="text1"/>
          <w:sz w:val="24"/>
          <w:szCs w:val="24"/>
        </w:rPr>
        <w:t xml:space="preserve"> GO: </w:t>
      </w:r>
      <w:r w:rsidR="00090B65" w:rsidRPr="00FE1156">
        <w:rPr>
          <w:rFonts w:ascii="Book Antiqua" w:hAnsi="Book Antiqua"/>
          <w:color w:val="000000" w:themeColor="text1"/>
          <w:sz w:val="24"/>
          <w:szCs w:val="24"/>
        </w:rPr>
        <w:t>Gene</w:t>
      </w:r>
      <w:r w:rsidR="00090B65">
        <w:rPr>
          <w:rFonts w:ascii="Book Antiqua" w:hAnsi="Book Antiqua"/>
          <w:color w:val="000000" w:themeColor="text1"/>
          <w:sz w:val="24"/>
          <w:szCs w:val="24"/>
        </w:rPr>
        <w:t xml:space="preserve"> O</w:t>
      </w:r>
      <w:r w:rsidR="00090B65" w:rsidRPr="00FE1156">
        <w:rPr>
          <w:rFonts w:ascii="Book Antiqua" w:hAnsi="Book Antiqua"/>
          <w:color w:val="000000" w:themeColor="text1"/>
          <w:sz w:val="24"/>
          <w:szCs w:val="24"/>
        </w:rPr>
        <w:t>ntology</w:t>
      </w:r>
      <w:r w:rsidR="00090B65">
        <w:rPr>
          <w:rFonts w:ascii="Book Antiqua" w:hAnsi="Book Antiqua"/>
          <w:color w:val="000000" w:themeColor="text1"/>
          <w:sz w:val="24"/>
          <w:szCs w:val="24"/>
        </w:rPr>
        <w:t xml:space="preserve">; KEGG: </w:t>
      </w:r>
      <w:r w:rsidR="00090B65" w:rsidRPr="00FE1156">
        <w:rPr>
          <w:rFonts w:ascii="Book Antiqua" w:hAnsi="Book Antiqua"/>
          <w:color w:val="000000" w:themeColor="text1"/>
          <w:sz w:val="24"/>
          <w:szCs w:val="24"/>
        </w:rPr>
        <w:t xml:space="preserve">Kyoto </w:t>
      </w:r>
      <w:r w:rsidR="00090B65">
        <w:rPr>
          <w:rFonts w:ascii="Book Antiqua" w:hAnsi="Book Antiqua"/>
          <w:color w:val="000000" w:themeColor="text1"/>
          <w:sz w:val="24"/>
          <w:szCs w:val="24"/>
        </w:rPr>
        <w:t>Encyclopedia of Genes a</w:t>
      </w:r>
      <w:r w:rsidR="00090B65" w:rsidRPr="00FE1156">
        <w:rPr>
          <w:rFonts w:ascii="Book Antiqua" w:hAnsi="Book Antiqua"/>
          <w:color w:val="000000" w:themeColor="text1"/>
          <w:sz w:val="24"/>
          <w:szCs w:val="24"/>
        </w:rPr>
        <w:t>nd Genomes</w:t>
      </w:r>
      <w:r w:rsidR="00090B65">
        <w:rPr>
          <w:rFonts w:ascii="Book Antiqua" w:hAnsi="Book Antiqua"/>
          <w:color w:val="000000" w:themeColor="text1"/>
          <w:sz w:val="24"/>
          <w:szCs w:val="24"/>
        </w:rPr>
        <w:t xml:space="preserve">; GS: </w:t>
      </w:r>
      <w:r w:rsidR="00090B65">
        <w:rPr>
          <w:rFonts w:ascii="Book Antiqua" w:hAnsi="Book Antiqua" w:cs="Times New Roman"/>
          <w:color w:val="000000" w:themeColor="text1"/>
          <w:sz w:val="24"/>
          <w:szCs w:val="24"/>
        </w:rPr>
        <w:t xml:space="preserve">Gene significance; MM: </w:t>
      </w:r>
      <w:r w:rsidR="00090B65">
        <w:rPr>
          <w:rFonts w:ascii="Book Antiqua" w:hAnsi="Book Antiqua"/>
          <w:color w:val="000000" w:themeColor="text1"/>
          <w:sz w:val="24"/>
          <w:szCs w:val="24"/>
        </w:rPr>
        <w:t>M</w:t>
      </w:r>
      <w:r w:rsidR="00090B65" w:rsidRPr="00FE1156">
        <w:rPr>
          <w:rFonts w:ascii="Book Antiqua" w:hAnsi="Book Antiqua"/>
          <w:color w:val="000000" w:themeColor="text1"/>
          <w:sz w:val="24"/>
          <w:szCs w:val="24"/>
        </w:rPr>
        <w:t>odule membership</w:t>
      </w:r>
      <w:r w:rsidR="00090B65">
        <w:rPr>
          <w:rFonts w:ascii="Book Antiqua" w:hAnsi="Book Antiqua"/>
          <w:color w:val="000000" w:themeColor="text1"/>
          <w:sz w:val="24"/>
          <w:szCs w:val="24"/>
        </w:rPr>
        <w:t xml:space="preserve">; </w:t>
      </w:r>
      <w:r w:rsidR="00090B65" w:rsidRPr="00FE1156">
        <w:rPr>
          <w:rFonts w:ascii="Book Antiqua" w:hAnsi="Book Antiqua" w:cs="Times New Roman"/>
          <w:color w:val="000000" w:themeColor="text1"/>
          <w:sz w:val="24"/>
          <w:szCs w:val="24"/>
        </w:rPr>
        <w:t>MCODE</w:t>
      </w:r>
      <w:r w:rsidR="00090B65">
        <w:rPr>
          <w:rFonts w:ascii="Book Antiqua" w:hAnsi="Book Antiqua" w:cs="Times New Roman"/>
          <w:color w:val="000000" w:themeColor="text1"/>
          <w:sz w:val="24"/>
          <w:szCs w:val="24"/>
        </w:rPr>
        <w:t xml:space="preserve">: </w:t>
      </w:r>
      <w:r w:rsidR="00090B65" w:rsidRPr="00FE1156">
        <w:rPr>
          <w:rFonts w:ascii="Book Antiqua" w:hAnsi="Book Antiqua"/>
          <w:color w:val="000000" w:themeColor="text1"/>
          <w:sz w:val="24"/>
          <w:szCs w:val="24"/>
        </w:rPr>
        <w:t>Molecular Complex Detection</w:t>
      </w:r>
      <w:r w:rsidR="00090B65">
        <w:rPr>
          <w:rFonts w:ascii="Book Antiqua" w:hAnsi="Book Antiqua"/>
          <w:color w:val="000000" w:themeColor="text1"/>
          <w:sz w:val="24"/>
          <w:szCs w:val="24"/>
        </w:rPr>
        <w:t>.</w:t>
      </w:r>
    </w:p>
    <w:p w14:paraId="2B1698C5" w14:textId="0581C05D" w:rsidR="00DF5484" w:rsidRPr="00BD3440" w:rsidRDefault="007102FA" w:rsidP="00FE1156">
      <w:pPr>
        <w:widowControl/>
        <w:adjustRightInd w:val="0"/>
        <w:snapToGrid w:val="0"/>
        <w:spacing w:line="360" w:lineRule="auto"/>
        <w:rPr>
          <w:rFonts w:ascii="Book Antiqua" w:hAnsi="Book Antiqua" w:cs="Times New Roman"/>
          <w:b/>
          <w:color w:val="000000" w:themeColor="text1"/>
          <w:sz w:val="24"/>
          <w:szCs w:val="24"/>
        </w:rPr>
      </w:pPr>
      <w:r w:rsidRPr="00FE1156">
        <w:rPr>
          <w:rFonts w:ascii="Book Antiqua" w:hAnsi="Book Antiqua" w:cs="Times New Roman"/>
          <w:color w:val="000000" w:themeColor="text1"/>
          <w:sz w:val="24"/>
          <w:szCs w:val="24"/>
        </w:rPr>
        <w:br w:type="page"/>
      </w:r>
      <w:r w:rsidR="00090B65">
        <w:rPr>
          <w:rFonts w:ascii="Book Antiqua" w:hAnsi="Book Antiqua" w:cs="Times New Roman"/>
          <w:b/>
          <w:noProof/>
          <w:color w:val="000000" w:themeColor="text1"/>
          <w:sz w:val="24"/>
          <w:szCs w:val="24"/>
        </w:rPr>
        <w:lastRenderedPageBreak/>
        <mc:AlternateContent>
          <mc:Choice Requires="wps">
            <w:drawing>
              <wp:anchor distT="0" distB="0" distL="114300" distR="114300" simplePos="0" relativeHeight="251663360" behindDoc="0" locked="0" layoutInCell="1" allowOverlap="1" wp14:anchorId="7508A9D7" wp14:editId="69941ED1">
                <wp:simplePos x="0" y="0"/>
                <wp:positionH relativeFrom="column">
                  <wp:posOffset>1422400</wp:posOffset>
                </wp:positionH>
                <wp:positionV relativeFrom="paragraph">
                  <wp:posOffset>2425065</wp:posOffset>
                </wp:positionV>
                <wp:extent cx="356400" cy="316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56400" cy="3168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7B9016A" w14:textId="77777777" w:rsidR="00090B65" w:rsidRPr="00090B65" w:rsidRDefault="00090B65" w:rsidP="00090B65">
                            <w:pPr>
                              <w:jc w:val="center"/>
                              <w:rPr>
                                <w:sz w:val="16"/>
                              </w:rPr>
                            </w:pPr>
                            <w:r w:rsidRPr="00090B65">
                              <w:rPr>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8A9D7" id="_x0000_t202" coordsize="21600,21600" o:spt="202" path="m,l,21600r21600,l21600,xe">
                <v:stroke joinstyle="miter"/>
                <v:path gradientshapeok="t" o:connecttype="rect"/>
              </v:shapetype>
              <v:shape id="文本框 9" o:spid="_x0000_s1026" type="#_x0000_t202" style="position:absolute;left:0;text-align:left;margin-left:112pt;margin-top:190.95pt;width:28.05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" fillcolor="white [3212]" stroked="f">
                <v:textbox>
                  <w:txbxContent>
                    <w:p w14:paraId="77B9016A" w14:textId="77777777" w:rsidR="00090B65" w:rsidRPr="00090B65" w:rsidRDefault="00090B65" w:rsidP="00090B65">
                      <w:pPr>
                        <w:jc w:val="center"/>
                        <w:rPr>
                          <w:sz w:val="16"/>
                        </w:rPr>
                      </w:pPr>
                      <w:r w:rsidRPr="00090B65">
                        <w:rPr>
                          <w:sz w:val="16"/>
                        </w:rPr>
                        <w:t>a</w:t>
                      </w:r>
                    </w:p>
                  </w:txbxContent>
                </v:textbox>
              </v:shape>
            </w:pict>
          </mc:Fallback>
        </mc:AlternateContent>
      </w:r>
      <w:r w:rsidR="00090B65">
        <w:rPr>
          <w:rFonts w:ascii="Book Antiqua" w:hAnsi="Book Antiqua" w:cs="Times New Roman"/>
          <w:b/>
          <w:noProof/>
          <w:color w:val="000000" w:themeColor="text1"/>
          <w:sz w:val="24"/>
          <w:szCs w:val="24"/>
        </w:rPr>
        <mc:AlternateContent>
          <mc:Choice Requires="wps">
            <w:drawing>
              <wp:anchor distT="0" distB="0" distL="114300" distR="114300" simplePos="0" relativeHeight="251665408" behindDoc="0" locked="0" layoutInCell="1" allowOverlap="1" wp14:anchorId="6A393139" wp14:editId="71CCB4E4">
                <wp:simplePos x="0" y="0"/>
                <wp:positionH relativeFrom="column">
                  <wp:posOffset>1083310</wp:posOffset>
                </wp:positionH>
                <wp:positionV relativeFrom="paragraph">
                  <wp:posOffset>2604356</wp:posOffset>
                </wp:positionV>
                <wp:extent cx="339670" cy="316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39670" cy="3168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307245" w14:textId="77777777" w:rsidR="00090B65" w:rsidRPr="00090B65" w:rsidRDefault="00090B65" w:rsidP="00090B65">
                            <w:pPr>
                              <w:jc w:val="center"/>
                              <w:rPr>
                                <w:sz w:val="16"/>
                              </w:rPr>
                            </w:pPr>
                            <w:r w:rsidRPr="00090B65">
                              <w:rPr>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3139" id="文本框 10" o:spid="_x0000_s1027" type="#_x0000_t202" style="position:absolute;left:0;text-align:left;margin-left:85.3pt;margin-top:205.05pt;width:26.75pt;height:2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" fillcolor="white [3212]" stroked="f">
                <v:textbox>
                  <w:txbxContent>
                    <w:p w14:paraId="78307245" w14:textId="77777777" w:rsidR="00090B65" w:rsidRPr="00090B65" w:rsidRDefault="00090B65" w:rsidP="00090B65">
                      <w:pPr>
                        <w:jc w:val="center"/>
                        <w:rPr>
                          <w:sz w:val="16"/>
                        </w:rPr>
                      </w:pPr>
                      <w:r w:rsidRPr="00090B65">
                        <w:rPr>
                          <w:sz w:val="16"/>
                        </w:rPr>
                        <w:t>a</w:t>
                      </w:r>
                    </w:p>
                  </w:txbxContent>
                </v:textbox>
              </v:shape>
            </w:pict>
          </mc:Fallback>
        </mc:AlternateContent>
      </w:r>
      <w:r w:rsidR="00090B65">
        <w:rPr>
          <w:rFonts w:ascii="Book Antiqua" w:hAnsi="Book Antiqua"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3061238E" wp14:editId="463379B9">
                <wp:simplePos x="0" y="0"/>
                <wp:positionH relativeFrom="column">
                  <wp:posOffset>3589020</wp:posOffset>
                </wp:positionH>
                <wp:positionV relativeFrom="paragraph">
                  <wp:posOffset>834390</wp:posOffset>
                </wp:positionV>
                <wp:extent cx="216000" cy="316800"/>
                <wp:effectExtent l="0" t="0" r="12700" b="0"/>
                <wp:wrapNone/>
                <wp:docPr id="8" name="文本框 8"/>
                <wp:cNvGraphicFramePr/>
                <a:graphic xmlns:a="http://schemas.openxmlformats.org/drawingml/2006/main">
                  <a:graphicData uri="http://schemas.microsoft.com/office/word/2010/wordprocessingShape">
                    <wps:wsp>
                      <wps:cNvSpPr txBox="1"/>
                      <wps:spPr>
                        <a:xfrm>
                          <a:off x="0" y="0"/>
                          <a:ext cx="216000" cy="3168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1C8904C" w14:textId="77777777" w:rsidR="00090B65" w:rsidRPr="00090B65" w:rsidRDefault="00090B65" w:rsidP="00090B65">
                            <w:pPr>
                              <w:jc w:val="center"/>
                              <w:rPr>
                                <w:sz w:val="16"/>
                              </w:rPr>
                            </w:pPr>
                            <w:r w:rsidRPr="00090B65">
                              <w:rPr>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238E" id="文本框 8" o:spid="_x0000_s1028" type="#_x0000_t202" style="position:absolute;left:0;text-align:left;margin-left:282.6pt;margin-top:65.7pt;width:17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" fillcolor="white [3212]" stroked="f">
                <v:textbox>
                  <w:txbxContent>
                    <w:p w14:paraId="01C8904C" w14:textId="77777777" w:rsidR="00090B65" w:rsidRPr="00090B65" w:rsidRDefault="00090B65" w:rsidP="00090B65">
                      <w:pPr>
                        <w:jc w:val="center"/>
                        <w:rPr>
                          <w:sz w:val="16"/>
                        </w:rPr>
                      </w:pPr>
                      <w:r w:rsidRPr="00090B65">
                        <w:rPr>
                          <w:sz w:val="16"/>
                        </w:rPr>
                        <w:t>a</w:t>
                      </w:r>
                    </w:p>
                  </w:txbxContent>
                </v:textbox>
              </v:shape>
            </w:pict>
          </mc:Fallback>
        </mc:AlternateContent>
      </w:r>
      <w:r w:rsidR="00090B65">
        <w:rPr>
          <w:rFonts w:ascii="Book Antiqua" w:hAnsi="Book Antiqua"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5E718073" wp14:editId="0B141C30">
                <wp:simplePos x="0" y="0"/>
                <wp:positionH relativeFrom="column">
                  <wp:posOffset>3937635</wp:posOffset>
                </wp:positionH>
                <wp:positionV relativeFrom="paragraph">
                  <wp:posOffset>741680</wp:posOffset>
                </wp:positionV>
                <wp:extent cx="229235" cy="28956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29235" cy="2895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0828C69" w14:textId="47AF635C" w:rsidR="00090B65" w:rsidRPr="00090B65" w:rsidRDefault="00090B65" w:rsidP="00090B65">
                            <w:pPr>
                              <w:jc w:val="center"/>
                              <w:rPr>
                                <w:sz w:val="16"/>
                              </w:rPr>
                            </w:pPr>
                            <w:r w:rsidRPr="00090B65">
                              <w:rPr>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8073" id="文本框 5" o:spid="_x0000_s1029" type="#_x0000_t202" style="position:absolute;left:0;text-align:left;margin-left:310.05pt;margin-top:58.4pt;width:18.0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" fillcolor="white [3212]" stroked="f">
                <v:textbox>
                  <w:txbxContent>
                    <w:p w14:paraId="60828C69" w14:textId="47AF635C" w:rsidR="00090B65" w:rsidRPr="00090B65" w:rsidRDefault="00090B65" w:rsidP="00090B65">
                      <w:pPr>
                        <w:jc w:val="center"/>
                        <w:rPr>
                          <w:sz w:val="16"/>
                        </w:rPr>
                      </w:pPr>
                      <w:r w:rsidRPr="00090B65">
                        <w:rPr>
                          <w:sz w:val="16"/>
                        </w:rPr>
                        <w:t>a</w:t>
                      </w:r>
                    </w:p>
                  </w:txbxContent>
                </v:textbox>
              </v:shape>
            </w:pict>
          </mc:Fallback>
        </mc:AlternateContent>
      </w:r>
      <w:r w:rsidR="00D0304D" w:rsidRPr="00FE1156">
        <w:rPr>
          <w:rFonts w:ascii="Book Antiqua" w:hAnsi="Book Antiqua" w:cs="Times New Roman"/>
          <w:b/>
          <w:noProof/>
          <w:color w:val="000000" w:themeColor="text1"/>
          <w:sz w:val="24"/>
          <w:szCs w:val="24"/>
        </w:rPr>
        <w:drawing>
          <wp:inline distT="0" distB="0" distL="0" distR="0" wp14:anchorId="48986EA8" wp14:editId="7BB7BFC0">
            <wp:extent cx="5276850" cy="8115300"/>
            <wp:effectExtent l="0" t="0" r="0" b="0"/>
            <wp:docPr id="1" name="图片 1" descr="I:\Fig &amp; Tab\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ig &amp; Tab\Fig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8115300"/>
                    </a:xfrm>
                    <a:prstGeom prst="rect">
                      <a:avLst/>
                    </a:prstGeom>
                    <a:noFill/>
                    <a:ln>
                      <a:noFill/>
                    </a:ln>
                  </pic:spPr>
                </pic:pic>
              </a:graphicData>
            </a:graphic>
          </wp:inline>
        </w:drawing>
      </w:r>
      <w:r w:rsidR="00090B65">
        <w:rPr>
          <w:rFonts w:ascii="Book Antiqua" w:hAnsi="Book Antiqua" w:cs="Times New Roman"/>
          <w:b/>
          <w:color w:val="000000" w:themeColor="text1"/>
          <w:sz w:val="24"/>
          <w:szCs w:val="24"/>
        </w:rPr>
        <w:t>Figure 5</w:t>
      </w:r>
      <w:r w:rsidR="00090B65" w:rsidRPr="00090B65">
        <w:rPr>
          <w:rFonts w:ascii="Book Antiqua" w:hAnsi="Book Antiqua" w:cs="Times New Roman"/>
          <w:b/>
          <w:color w:val="000000" w:themeColor="text1"/>
          <w:sz w:val="24"/>
          <w:szCs w:val="24"/>
        </w:rPr>
        <w:t xml:space="preserve"> </w:t>
      </w:r>
      <w:r w:rsidRPr="00090B65">
        <w:rPr>
          <w:rFonts w:ascii="Book Antiqua" w:hAnsi="Book Antiqua" w:cs="Times New Roman"/>
          <w:b/>
          <w:color w:val="000000" w:themeColor="text1"/>
          <w:sz w:val="24"/>
          <w:szCs w:val="24"/>
        </w:rPr>
        <w:t xml:space="preserve">The expression of </w:t>
      </w:r>
      <w:r w:rsidR="00090B65" w:rsidRPr="00090B65">
        <w:rPr>
          <w:rFonts w:ascii="Book Antiqua" w:hAnsi="Book Antiqua"/>
          <w:b/>
          <w:color w:val="000000" w:themeColor="text1"/>
          <w:sz w:val="24"/>
          <w:szCs w:val="24"/>
        </w:rPr>
        <w:t>sorting nexin 10</w:t>
      </w:r>
      <w:r w:rsidRPr="00090B65">
        <w:rPr>
          <w:rFonts w:ascii="Book Antiqua" w:hAnsi="Book Antiqua" w:cs="Times New Roman"/>
          <w:b/>
          <w:color w:val="000000" w:themeColor="text1"/>
          <w:sz w:val="24"/>
          <w:szCs w:val="24"/>
        </w:rPr>
        <w:t xml:space="preserve"> in </w:t>
      </w:r>
      <w:r w:rsidR="00090B65" w:rsidRPr="00090B65">
        <w:rPr>
          <w:rFonts w:ascii="Book Antiqua" w:hAnsi="Book Antiqua"/>
          <w:b/>
          <w:color w:val="000000" w:themeColor="text1"/>
          <w:sz w:val="24"/>
          <w:szCs w:val="24"/>
        </w:rPr>
        <w:t>stomach adenocarcinoma</w:t>
      </w:r>
      <w:r w:rsidRPr="00090B65">
        <w:rPr>
          <w:rFonts w:ascii="Book Antiqua" w:hAnsi="Book Antiqua" w:cs="Times New Roman"/>
          <w:b/>
          <w:color w:val="000000" w:themeColor="text1"/>
          <w:sz w:val="24"/>
          <w:szCs w:val="24"/>
        </w:rPr>
        <w:t xml:space="preserve"> cells and tissue and its effect on survival</w:t>
      </w:r>
      <w:r w:rsidR="00090B65" w:rsidRPr="00090B65">
        <w:rPr>
          <w:rFonts w:ascii="Book Antiqua" w:hAnsi="Book Antiqua" w:cs="Times New Roman"/>
          <w:b/>
          <w:color w:val="000000" w:themeColor="text1"/>
          <w:sz w:val="24"/>
          <w:szCs w:val="24"/>
        </w:rPr>
        <w:t>.</w:t>
      </w:r>
      <w:r w:rsidR="00090B65">
        <w:rPr>
          <w:rFonts w:ascii="Book Antiqua" w:hAnsi="Book Antiqua" w:cs="Times New Roman"/>
          <w:b/>
          <w:color w:val="000000" w:themeColor="text1"/>
          <w:sz w:val="24"/>
          <w:szCs w:val="24"/>
        </w:rPr>
        <w:t xml:space="preserve"> </w:t>
      </w:r>
      <w:r w:rsidR="00090B65">
        <w:rPr>
          <w:rFonts w:ascii="Book Antiqua" w:hAnsi="Book Antiqua" w:cs="Times New Roman"/>
          <w:color w:val="000000" w:themeColor="text1"/>
          <w:sz w:val="24"/>
          <w:szCs w:val="24"/>
        </w:rPr>
        <w:t>A:</w:t>
      </w:r>
      <w:r w:rsidRPr="00FE1156">
        <w:rPr>
          <w:rFonts w:ascii="Book Antiqua" w:hAnsi="Book Antiqua" w:cs="Times New Roman"/>
          <w:color w:val="000000" w:themeColor="text1"/>
          <w:sz w:val="24"/>
          <w:szCs w:val="24"/>
        </w:rPr>
        <w:t xml:space="preserve"> </w:t>
      </w:r>
      <w:r w:rsidR="00090B65">
        <w:rPr>
          <w:rFonts w:ascii="Book Antiqua" w:hAnsi="Book Antiqua" w:cs="Times New Roman"/>
          <w:color w:val="000000" w:themeColor="text1"/>
          <w:sz w:val="24"/>
          <w:szCs w:val="24"/>
        </w:rPr>
        <w:t>S</w:t>
      </w:r>
      <w:r w:rsidR="00090B65" w:rsidRPr="00090B65">
        <w:rPr>
          <w:rFonts w:ascii="Book Antiqua" w:hAnsi="Book Antiqua" w:cs="Times New Roman"/>
          <w:color w:val="000000" w:themeColor="text1"/>
          <w:sz w:val="24"/>
          <w:szCs w:val="24"/>
        </w:rPr>
        <w:t>orting nexin 10</w:t>
      </w:r>
      <w:r w:rsidR="00090B65">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SNX10</w:t>
      </w:r>
      <w:r w:rsidR="00090B65">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w:t>
      </w:r>
      <w:r w:rsidRPr="00FE1156">
        <w:rPr>
          <w:rFonts w:ascii="Book Antiqua" w:hAnsi="Book Antiqua"/>
          <w:color w:val="000000" w:themeColor="text1"/>
          <w:sz w:val="24"/>
          <w:szCs w:val="24"/>
        </w:rPr>
        <w:lastRenderedPageBreak/>
        <w:t xml:space="preserve">protein expression in </w:t>
      </w:r>
      <w:r w:rsidR="00090B65" w:rsidRPr="00090B65">
        <w:rPr>
          <w:rFonts w:ascii="Book Antiqua" w:hAnsi="Book Antiqua"/>
          <w:color w:val="000000" w:themeColor="text1"/>
          <w:sz w:val="24"/>
          <w:szCs w:val="24"/>
        </w:rPr>
        <w:t xml:space="preserve">stomach adenocarcinoma </w:t>
      </w:r>
      <w:r w:rsidR="00090B65">
        <w:rPr>
          <w:rFonts w:ascii="Book Antiqua" w:hAnsi="Book Antiqua"/>
          <w:color w:val="000000" w:themeColor="text1"/>
          <w:sz w:val="24"/>
          <w:szCs w:val="24"/>
        </w:rPr>
        <w:t>(</w:t>
      </w:r>
      <w:r w:rsidRPr="00FE1156">
        <w:rPr>
          <w:rFonts w:ascii="Book Antiqua" w:hAnsi="Book Antiqua"/>
          <w:color w:val="000000" w:themeColor="text1"/>
          <w:sz w:val="24"/>
          <w:szCs w:val="24"/>
        </w:rPr>
        <w:t>SA</w:t>
      </w:r>
      <w:r w:rsidR="00090B65">
        <w:rPr>
          <w:rFonts w:ascii="Book Antiqua" w:hAnsi="Book Antiqua"/>
          <w:color w:val="000000" w:themeColor="text1"/>
          <w:sz w:val="24"/>
          <w:szCs w:val="24"/>
        </w:rPr>
        <w:t>)</w:t>
      </w:r>
      <w:r w:rsidRPr="00FE1156">
        <w:rPr>
          <w:rFonts w:ascii="Book Antiqua" w:hAnsi="Book Antiqua"/>
          <w:color w:val="000000" w:themeColor="text1"/>
          <w:sz w:val="24"/>
          <w:szCs w:val="24"/>
        </w:rPr>
        <w:t xml:space="preserve"> cell lines (SGC-7901 and BGC-823) and the human normal gastric epithelial cell line (GSE-1) by western blot. Β</w:t>
      </w:r>
      <w:r w:rsidR="00090B65">
        <w:rPr>
          <w:rFonts w:ascii="Book Antiqua" w:hAnsi="Book Antiqua"/>
          <w:color w:val="000000" w:themeColor="text1"/>
          <w:sz w:val="24"/>
          <w:szCs w:val="24"/>
        </w:rPr>
        <w:t>eta</w:t>
      </w:r>
      <w:r w:rsidRPr="00FE1156">
        <w:rPr>
          <w:rFonts w:ascii="Book Antiqua" w:hAnsi="Book Antiqua"/>
          <w:color w:val="000000" w:themeColor="text1"/>
          <w:sz w:val="24"/>
          <w:szCs w:val="24"/>
        </w:rPr>
        <w:t xml:space="preserve">-actin was used as a loading control; </w:t>
      </w:r>
      <w:r w:rsidRPr="00090B65">
        <w:rPr>
          <w:rFonts w:ascii="Book Antiqua" w:hAnsi="Book Antiqua"/>
          <w:i/>
          <w:color w:val="000000" w:themeColor="text1"/>
          <w:sz w:val="24"/>
          <w:szCs w:val="24"/>
        </w:rPr>
        <w:t>n</w:t>
      </w:r>
      <w:r w:rsidRPr="00FE1156">
        <w:rPr>
          <w:rFonts w:ascii="Book Antiqua" w:hAnsi="Book Antiqua"/>
          <w:color w:val="000000" w:themeColor="text1"/>
          <w:sz w:val="24"/>
          <w:szCs w:val="24"/>
        </w:rPr>
        <w:t xml:space="preserve"> = 3, </w:t>
      </w:r>
      <w:r w:rsidR="00090B65">
        <w:rPr>
          <w:rFonts w:ascii="Book Antiqua" w:hAnsi="Book Antiqua"/>
          <w:color w:val="000000" w:themeColor="text1"/>
          <w:sz w:val="24"/>
          <w:szCs w:val="24"/>
          <w:vertAlign w:val="superscript"/>
        </w:rPr>
        <w:t>a</w:t>
      </w:r>
      <w:r w:rsidRPr="00FE1156">
        <w:rPr>
          <w:rFonts w:ascii="Book Antiqua" w:hAnsi="Book Antiqua"/>
          <w:i/>
          <w:color w:val="000000" w:themeColor="text1"/>
          <w:sz w:val="24"/>
          <w:szCs w:val="24"/>
        </w:rPr>
        <w:t xml:space="preserve">P </w:t>
      </w:r>
      <w:r w:rsidRPr="00FE1156">
        <w:rPr>
          <w:rFonts w:ascii="Book Antiqua" w:hAnsi="Book Antiqua"/>
          <w:color w:val="000000" w:themeColor="text1"/>
          <w:sz w:val="24"/>
          <w:szCs w:val="24"/>
        </w:rPr>
        <w:t>&lt; 0.05.</w:t>
      </w:r>
      <w:r w:rsidR="00090B65">
        <w:rPr>
          <w:rFonts w:ascii="Book Antiqua" w:hAnsi="Book Antiqua" w:cs="Times New Roman"/>
          <w:b/>
          <w:color w:val="000000" w:themeColor="text1"/>
          <w:sz w:val="24"/>
          <w:szCs w:val="24"/>
        </w:rPr>
        <w:t xml:space="preserve"> </w:t>
      </w:r>
      <w:r w:rsidR="00090B65">
        <w:rPr>
          <w:rFonts w:ascii="Book Antiqua" w:hAnsi="Book Antiqua"/>
          <w:color w:val="000000" w:themeColor="text1"/>
          <w:sz w:val="24"/>
          <w:szCs w:val="24"/>
        </w:rPr>
        <w:t>B:</w:t>
      </w:r>
      <w:r w:rsidRPr="00FE1156">
        <w:rPr>
          <w:rFonts w:ascii="Book Antiqua" w:hAnsi="Book Antiqua"/>
          <w:color w:val="000000" w:themeColor="text1"/>
          <w:sz w:val="24"/>
          <w:szCs w:val="24"/>
        </w:rPr>
        <w:t xml:space="preserve"> </w:t>
      </w:r>
      <w:r w:rsidRPr="00FE1156">
        <w:rPr>
          <w:rFonts w:ascii="Book Antiqua" w:hAnsi="Book Antiqua" w:cs="Times New Roman"/>
          <w:color w:val="000000" w:themeColor="text1"/>
          <w:sz w:val="24"/>
          <w:szCs w:val="24"/>
        </w:rPr>
        <w:t>SNX10</w:t>
      </w:r>
      <w:r w:rsidRPr="00FE1156">
        <w:rPr>
          <w:rFonts w:ascii="Book Antiqua" w:hAnsi="Book Antiqua"/>
          <w:color w:val="000000" w:themeColor="text1"/>
          <w:sz w:val="24"/>
          <w:szCs w:val="24"/>
        </w:rPr>
        <w:t xml:space="preserve"> mRNA expression in SGC-7901, BGC-823 and GSE-1 by </w:t>
      </w:r>
      <w:r w:rsidR="00090B65">
        <w:rPr>
          <w:rFonts w:ascii="Book Antiqua" w:hAnsi="Book Antiqua"/>
          <w:color w:val="000000" w:themeColor="text1"/>
          <w:sz w:val="24"/>
          <w:szCs w:val="24"/>
        </w:rPr>
        <w:t>real time</w:t>
      </w:r>
      <w:r w:rsidRPr="00FE1156">
        <w:rPr>
          <w:rFonts w:ascii="Book Antiqua" w:hAnsi="Book Antiqua"/>
          <w:color w:val="000000" w:themeColor="text1"/>
          <w:sz w:val="24"/>
          <w:szCs w:val="24"/>
        </w:rPr>
        <w:t xml:space="preserve">-PCR; </w:t>
      </w:r>
      <w:r w:rsidRPr="00090B65">
        <w:rPr>
          <w:rFonts w:ascii="Book Antiqua" w:hAnsi="Book Antiqua"/>
          <w:i/>
          <w:color w:val="000000" w:themeColor="text1"/>
          <w:sz w:val="24"/>
          <w:szCs w:val="24"/>
        </w:rPr>
        <w:t>n</w:t>
      </w:r>
      <w:r w:rsidRPr="00FE1156">
        <w:rPr>
          <w:rFonts w:ascii="Book Antiqua" w:hAnsi="Book Antiqua"/>
          <w:color w:val="000000" w:themeColor="text1"/>
          <w:sz w:val="24"/>
          <w:szCs w:val="24"/>
        </w:rPr>
        <w:t xml:space="preserve"> = 3, </w:t>
      </w:r>
      <w:r w:rsidR="00090B65">
        <w:rPr>
          <w:rFonts w:ascii="Book Antiqua" w:hAnsi="Book Antiqua"/>
          <w:color w:val="000000" w:themeColor="text1"/>
          <w:sz w:val="24"/>
          <w:szCs w:val="24"/>
          <w:vertAlign w:val="superscript"/>
        </w:rPr>
        <w:t>a</w:t>
      </w:r>
      <w:r w:rsidRPr="00FE1156">
        <w:rPr>
          <w:rFonts w:ascii="Book Antiqua" w:hAnsi="Book Antiqua"/>
          <w:i/>
          <w:color w:val="000000" w:themeColor="text1"/>
          <w:sz w:val="24"/>
          <w:szCs w:val="24"/>
        </w:rPr>
        <w:t xml:space="preserve">P </w:t>
      </w:r>
      <w:r w:rsidRPr="00FE1156">
        <w:rPr>
          <w:rFonts w:ascii="Book Antiqua" w:hAnsi="Book Antiqua"/>
          <w:color w:val="000000" w:themeColor="text1"/>
          <w:sz w:val="24"/>
          <w:szCs w:val="24"/>
        </w:rPr>
        <w:t xml:space="preserve">&lt; 0.05. </w:t>
      </w:r>
      <w:r w:rsidR="00090B65">
        <w:rPr>
          <w:rFonts w:ascii="Book Antiqua" w:hAnsi="Book Antiqua"/>
          <w:color w:val="000000" w:themeColor="text1"/>
          <w:sz w:val="24"/>
          <w:szCs w:val="24"/>
        </w:rPr>
        <w:t>C:</w:t>
      </w:r>
      <w:r w:rsidR="00D0304D" w:rsidRPr="00FE1156">
        <w:rPr>
          <w:rFonts w:ascii="Book Antiqua" w:hAnsi="Book Antiqua"/>
          <w:color w:val="000000" w:themeColor="text1"/>
          <w:sz w:val="24"/>
          <w:szCs w:val="24"/>
        </w:rPr>
        <w:t xml:space="preserve"> The representative negative result</w:t>
      </w:r>
      <w:r w:rsidR="00D0304D" w:rsidRPr="00FE1156">
        <w:rPr>
          <w:rFonts w:ascii="Book Antiqua" w:hAnsi="Book Antiqua" w:cs="Times New Roman"/>
          <w:color w:val="000000" w:themeColor="text1"/>
          <w:sz w:val="24"/>
          <w:szCs w:val="24"/>
        </w:rPr>
        <w:t xml:space="preserve"> in SA tissue; magnifications in figure were 200</w:t>
      </w:r>
      <w:r w:rsidR="00BD3440">
        <w:rPr>
          <w:rFonts w:ascii="Book Antiqua" w:hAnsi="Book Antiqua" w:cs="Times New Roman"/>
          <w:color w:val="000000" w:themeColor="text1"/>
          <w:sz w:val="24"/>
          <w:szCs w:val="24"/>
        </w:rPr>
        <w:t xml:space="preserve"> </w:t>
      </w:r>
      <w:r w:rsidR="00D0304D" w:rsidRPr="00FE1156">
        <w:rPr>
          <w:rFonts w:ascii="Book Antiqua" w:hAnsi="Book Antiqua" w:cs="Times New Roman"/>
          <w:color w:val="000000" w:themeColor="text1"/>
          <w:sz w:val="24"/>
          <w:szCs w:val="24"/>
        </w:rPr>
        <w:t>×.</w:t>
      </w:r>
      <w:r w:rsidR="00BD3440">
        <w:rPr>
          <w:rFonts w:ascii="Book Antiqua" w:hAnsi="Book Antiqua" w:cs="Times New Roman"/>
          <w:b/>
          <w:color w:val="000000" w:themeColor="text1"/>
          <w:sz w:val="24"/>
          <w:szCs w:val="24"/>
        </w:rPr>
        <w:t xml:space="preserve"> </w:t>
      </w:r>
      <w:r w:rsidR="00D0304D" w:rsidRPr="00FE1156">
        <w:rPr>
          <w:rFonts w:ascii="Book Antiqua" w:hAnsi="Book Antiqua"/>
          <w:color w:val="000000" w:themeColor="text1"/>
          <w:sz w:val="24"/>
          <w:szCs w:val="24"/>
        </w:rPr>
        <w:t>D</w:t>
      </w:r>
      <w:r w:rsidR="00BD3440">
        <w:rPr>
          <w:rFonts w:ascii="Book Antiqua" w:hAnsi="Book Antiqua"/>
          <w:color w:val="000000" w:themeColor="text1"/>
          <w:sz w:val="24"/>
          <w:szCs w:val="24"/>
        </w:rPr>
        <w:t>:</w:t>
      </w:r>
      <w:r w:rsidRPr="00FE1156">
        <w:rPr>
          <w:rFonts w:ascii="Book Antiqua" w:hAnsi="Book Antiqua"/>
          <w:color w:val="000000" w:themeColor="text1"/>
          <w:sz w:val="24"/>
          <w:szCs w:val="24"/>
        </w:rPr>
        <w:t xml:space="preserve"> </w:t>
      </w:r>
      <w:r w:rsidRPr="00FE1156">
        <w:rPr>
          <w:rFonts w:ascii="Book Antiqua" w:hAnsi="Book Antiqua" w:cs="Times New Roman"/>
          <w:color w:val="000000" w:themeColor="text1"/>
          <w:sz w:val="24"/>
          <w:szCs w:val="24"/>
        </w:rPr>
        <w:t>SNX10 was weakly expressed in SA tissue; magnifications in figure were 200</w:t>
      </w:r>
      <w:r w:rsidR="00BD3440">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w:t>
      </w:r>
      <w:r w:rsidR="00BD3440">
        <w:rPr>
          <w:rFonts w:ascii="Book Antiqua" w:hAnsi="Book Antiqua" w:cs="Times New Roman"/>
          <w:b/>
          <w:color w:val="000000" w:themeColor="text1"/>
          <w:sz w:val="24"/>
          <w:szCs w:val="24"/>
        </w:rPr>
        <w:t xml:space="preserve"> </w:t>
      </w:r>
      <w:r w:rsidR="00D0304D" w:rsidRPr="00FE1156">
        <w:rPr>
          <w:rFonts w:ascii="Book Antiqua" w:hAnsi="Book Antiqua" w:cs="Times New Roman"/>
          <w:color w:val="000000" w:themeColor="text1"/>
          <w:sz w:val="24"/>
          <w:szCs w:val="24"/>
        </w:rPr>
        <w:t>E</w:t>
      </w:r>
      <w:r w:rsidR="00BD3440">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SNX10 had strong expression in SA tissue; magnifications in figure were 200</w:t>
      </w:r>
      <w:r w:rsidR="00BD3440">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w:t>
      </w:r>
      <w:r w:rsidR="00BD3440">
        <w:rPr>
          <w:rFonts w:ascii="Book Antiqua" w:hAnsi="Book Antiqua" w:cs="Times New Roman"/>
          <w:b/>
          <w:color w:val="000000" w:themeColor="text1"/>
          <w:sz w:val="24"/>
          <w:szCs w:val="24"/>
        </w:rPr>
        <w:t xml:space="preserve"> </w:t>
      </w:r>
      <w:r w:rsidR="00D0304D" w:rsidRPr="00FE1156">
        <w:rPr>
          <w:rFonts w:ascii="Book Antiqua" w:hAnsi="Book Antiqua" w:cs="Times New Roman"/>
          <w:color w:val="000000" w:themeColor="text1"/>
          <w:sz w:val="24"/>
          <w:szCs w:val="24"/>
        </w:rPr>
        <w:t>F</w:t>
      </w:r>
      <w:r w:rsidR="00BD3440">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Disease free survival curves stratified by SNX10 expression (</w:t>
      </w:r>
      <w:r w:rsidRPr="00FE1156">
        <w:rPr>
          <w:rFonts w:ascii="Book Antiqua" w:hAnsi="Book Antiqua" w:cs="Times New Roman"/>
          <w:i/>
          <w:color w:val="000000" w:themeColor="text1"/>
          <w:sz w:val="24"/>
          <w:szCs w:val="24"/>
        </w:rPr>
        <w:t>P</w:t>
      </w:r>
      <w:r w:rsidR="00BD3440">
        <w:rPr>
          <w:rFonts w:ascii="Book Antiqua" w:hAnsi="Book Antiqua" w:cs="Times New Roman"/>
          <w:i/>
          <w:color w:val="000000" w:themeColor="text1"/>
          <w:sz w:val="24"/>
          <w:szCs w:val="24"/>
        </w:rPr>
        <w:t xml:space="preserve"> </w:t>
      </w:r>
      <w:r w:rsidRPr="00FE1156">
        <w:rPr>
          <w:rFonts w:ascii="Book Antiqua" w:hAnsi="Book Antiqua" w:cs="Times New Roman"/>
          <w:color w:val="000000" w:themeColor="text1"/>
          <w:sz w:val="24"/>
          <w:szCs w:val="24"/>
        </w:rPr>
        <w:t>=</w:t>
      </w:r>
      <w:r w:rsidR="00BD3440">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0.00).</w:t>
      </w:r>
      <w:r w:rsidR="00BD3440">
        <w:rPr>
          <w:rFonts w:ascii="Book Antiqua" w:hAnsi="Book Antiqua" w:cs="Times New Roman"/>
          <w:b/>
          <w:color w:val="000000" w:themeColor="text1"/>
          <w:sz w:val="24"/>
          <w:szCs w:val="24"/>
        </w:rPr>
        <w:t xml:space="preserve"> </w:t>
      </w:r>
      <w:r w:rsidR="00D0304D" w:rsidRPr="00FE1156">
        <w:rPr>
          <w:rFonts w:ascii="Book Antiqua" w:hAnsi="Book Antiqua" w:cs="Times New Roman"/>
          <w:color w:val="000000" w:themeColor="text1"/>
          <w:sz w:val="24"/>
          <w:szCs w:val="24"/>
        </w:rPr>
        <w:t>G</w:t>
      </w:r>
      <w:r w:rsidR="00BD3440">
        <w:rPr>
          <w:rFonts w:ascii="Book Antiqua" w:hAnsi="Book Antiqua" w:cs="Times New Roman"/>
          <w:color w:val="000000" w:themeColor="text1"/>
          <w:sz w:val="24"/>
          <w:szCs w:val="24"/>
        </w:rPr>
        <w:t>:</w:t>
      </w:r>
      <w:r w:rsidRPr="00FE1156">
        <w:rPr>
          <w:rFonts w:ascii="Book Antiqua" w:hAnsi="Book Antiqua" w:cs="Times New Roman"/>
          <w:color w:val="000000" w:themeColor="text1"/>
          <w:sz w:val="24"/>
          <w:szCs w:val="24"/>
        </w:rPr>
        <w:t xml:space="preserve"> Overall survival curves stratified by SNX10 expression (</w:t>
      </w:r>
      <w:r w:rsidRPr="00FE1156">
        <w:rPr>
          <w:rFonts w:ascii="Book Antiqua" w:hAnsi="Book Antiqua" w:cs="Times New Roman"/>
          <w:i/>
          <w:color w:val="000000" w:themeColor="text1"/>
          <w:sz w:val="24"/>
          <w:szCs w:val="24"/>
        </w:rPr>
        <w:t>P</w:t>
      </w:r>
      <w:r w:rsidR="00BD3440">
        <w:rPr>
          <w:rFonts w:ascii="Book Antiqua" w:hAnsi="Book Antiqua" w:cs="Times New Roman"/>
          <w:i/>
          <w:color w:val="000000" w:themeColor="text1"/>
          <w:sz w:val="24"/>
          <w:szCs w:val="24"/>
        </w:rPr>
        <w:t xml:space="preserve"> </w:t>
      </w:r>
      <w:r w:rsidRPr="00FE1156">
        <w:rPr>
          <w:rFonts w:ascii="Book Antiqua" w:hAnsi="Book Antiqua" w:cs="Times New Roman"/>
          <w:color w:val="000000" w:themeColor="text1"/>
          <w:sz w:val="24"/>
          <w:szCs w:val="24"/>
        </w:rPr>
        <w:t>=</w:t>
      </w:r>
      <w:r w:rsidR="00BD3440">
        <w:rPr>
          <w:rFonts w:ascii="Book Antiqua" w:hAnsi="Book Antiqua" w:cs="Times New Roman"/>
          <w:color w:val="000000" w:themeColor="text1"/>
          <w:sz w:val="24"/>
          <w:szCs w:val="24"/>
        </w:rPr>
        <w:t xml:space="preserve"> </w:t>
      </w:r>
      <w:r w:rsidRPr="00FE1156">
        <w:rPr>
          <w:rFonts w:ascii="Book Antiqua" w:hAnsi="Book Antiqua" w:cs="Times New Roman"/>
          <w:color w:val="000000" w:themeColor="text1"/>
          <w:sz w:val="24"/>
          <w:szCs w:val="24"/>
        </w:rPr>
        <w:t>0.00).</w:t>
      </w:r>
      <w:r w:rsidR="00BD3440">
        <w:rPr>
          <w:rFonts w:ascii="Book Antiqua" w:hAnsi="Book Antiqua" w:cs="Times New Roman"/>
          <w:color w:val="000000" w:themeColor="text1"/>
          <w:sz w:val="24"/>
          <w:szCs w:val="24"/>
        </w:rPr>
        <w:t xml:space="preserve"> DFS: Disease-free survival; OS: Overall survival; SNX10: </w:t>
      </w:r>
      <w:r w:rsidR="00BD3440">
        <w:rPr>
          <w:rFonts w:ascii="Book Antiqua" w:hAnsi="Book Antiqua"/>
          <w:color w:val="000000" w:themeColor="text1"/>
          <w:sz w:val="24"/>
          <w:szCs w:val="24"/>
        </w:rPr>
        <w:t>Sorting n</w:t>
      </w:r>
      <w:r w:rsidR="00BD3440" w:rsidRPr="00FE1156">
        <w:rPr>
          <w:rFonts w:ascii="Book Antiqua" w:hAnsi="Book Antiqua"/>
          <w:color w:val="000000" w:themeColor="text1"/>
          <w:sz w:val="24"/>
          <w:szCs w:val="24"/>
        </w:rPr>
        <w:t>exin 10</w:t>
      </w:r>
      <w:r w:rsidR="00BD3440">
        <w:rPr>
          <w:rFonts w:ascii="Book Antiqua" w:hAnsi="Book Antiqua"/>
          <w:color w:val="000000" w:themeColor="text1"/>
          <w:sz w:val="24"/>
          <w:szCs w:val="24"/>
        </w:rPr>
        <w:t>.</w:t>
      </w:r>
    </w:p>
    <w:p w14:paraId="5229E185" w14:textId="5431D856" w:rsidR="00DF5484" w:rsidRPr="00FE1156" w:rsidRDefault="00DF5484" w:rsidP="00FE1156">
      <w:pPr>
        <w:widowControl/>
        <w:adjustRightInd w:val="0"/>
        <w:snapToGrid w:val="0"/>
        <w:spacing w:line="360" w:lineRule="auto"/>
        <w:rPr>
          <w:rFonts w:ascii="Book Antiqua" w:hAnsi="Book Antiqua" w:cs="Times New Roman"/>
          <w:color w:val="000000" w:themeColor="text1"/>
          <w:sz w:val="24"/>
          <w:szCs w:val="24"/>
        </w:rPr>
      </w:pPr>
    </w:p>
    <w:sectPr w:rsidR="00DF5484" w:rsidRPr="00FE1156" w:rsidSect="000634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7E73E" w14:textId="77777777" w:rsidR="006B5482" w:rsidRDefault="006B5482" w:rsidP="004738B9">
      <w:r>
        <w:separator/>
      </w:r>
    </w:p>
  </w:endnote>
  <w:endnote w:type="continuationSeparator" w:id="0">
    <w:p w14:paraId="5325A28F" w14:textId="77777777" w:rsidR="006B5482" w:rsidRDefault="006B5482" w:rsidP="00473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6E24F" w14:textId="77777777" w:rsidR="006B5482" w:rsidRDefault="006B5482" w:rsidP="004738B9">
      <w:r>
        <w:separator/>
      </w:r>
    </w:p>
  </w:footnote>
  <w:footnote w:type="continuationSeparator" w:id="0">
    <w:p w14:paraId="5575DEC2" w14:textId="77777777" w:rsidR="006B5482" w:rsidRDefault="006B5482" w:rsidP="004738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E110A"/>
    <w:rsid w:val="000057CA"/>
    <w:rsid w:val="0004699E"/>
    <w:rsid w:val="00063413"/>
    <w:rsid w:val="000637C7"/>
    <w:rsid w:val="000751B9"/>
    <w:rsid w:val="000814CF"/>
    <w:rsid w:val="00090B65"/>
    <w:rsid w:val="00095FDB"/>
    <w:rsid w:val="000B75BE"/>
    <w:rsid w:val="00140797"/>
    <w:rsid w:val="00161B26"/>
    <w:rsid w:val="001658F3"/>
    <w:rsid w:val="001B617D"/>
    <w:rsid w:val="001E4BE6"/>
    <w:rsid w:val="001E5C61"/>
    <w:rsid w:val="00204DFE"/>
    <w:rsid w:val="00252235"/>
    <w:rsid w:val="002A2894"/>
    <w:rsid w:val="002F0135"/>
    <w:rsid w:val="002F0F3A"/>
    <w:rsid w:val="002F1E99"/>
    <w:rsid w:val="00306D78"/>
    <w:rsid w:val="00333598"/>
    <w:rsid w:val="003E2EF5"/>
    <w:rsid w:val="004307BE"/>
    <w:rsid w:val="004738B9"/>
    <w:rsid w:val="0048177A"/>
    <w:rsid w:val="004C2ABA"/>
    <w:rsid w:val="00514E99"/>
    <w:rsid w:val="00515467"/>
    <w:rsid w:val="005335B1"/>
    <w:rsid w:val="00550ADC"/>
    <w:rsid w:val="005D731F"/>
    <w:rsid w:val="005F3E9B"/>
    <w:rsid w:val="006119F2"/>
    <w:rsid w:val="00626769"/>
    <w:rsid w:val="00634F19"/>
    <w:rsid w:val="00635976"/>
    <w:rsid w:val="00666ECE"/>
    <w:rsid w:val="0067055B"/>
    <w:rsid w:val="00675A7A"/>
    <w:rsid w:val="006B2EFB"/>
    <w:rsid w:val="006B4DF9"/>
    <w:rsid w:val="006B5482"/>
    <w:rsid w:val="006B5BB7"/>
    <w:rsid w:val="006C5715"/>
    <w:rsid w:val="006D7E51"/>
    <w:rsid w:val="006E4996"/>
    <w:rsid w:val="007064A2"/>
    <w:rsid w:val="007102FA"/>
    <w:rsid w:val="00714AC2"/>
    <w:rsid w:val="0079222E"/>
    <w:rsid w:val="0082301B"/>
    <w:rsid w:val="0083000F"/>
    <w:rsid w:val="008B030D"/>
    <w:rsid w:val="008F2D75"/>
    <w:rsid w:val="00923155"/>
    <w:rsid w:val="009336D9"/>
    <w:rsid w:val="0096480C"/>
    <w:rsid w:val="00970D89"/>
    <w:rsid w:val="0097458B"/>
    <w:rsid w:val="009A6390"/>
    <w:rsid w:val="009D4512"/>
    <w:rsid w:val="00A13E0C"/>
    <w:rsid w:val="00A66C2B"/>
    <w:rsid w:val="00AB5DE7"/>
    <w:rsid w:val="00AE3685"/>
    <w:rsid w:val="00B10F7B"/>
    <w:rsid w:val="00B2458E"/>
    <w:rsid w:val="00B4601A"/>
    <w:rsid w:val="00B5131E"/>
    <w:rsid w:val="00B55CF8"/>
    <w:rsid w:val="00B70F7E"/>
    <w:rsid w:val="00BC2C87"/>
    <w:rsid w:val="00BD3440"/>
    <w:rsid w:val="00BF0613"/>
    <w:rsid w:val="00C066A1"/>
    <w:rsid w:val="00C15A68"/>
    <w:rsid w:val="00C57782"/>
    <w:rsid w:val="00C77A49"/>
    <w:rsid w:val="00CE110A"/>
    <w:rsid w:val="00D0304D"/>
    <w:rsid w:val="00D05BF3"/>
    <w:rsid w:val="00D06AC5"/>
    <w:rsid w:val="00D21555"/>
    <w:rsid w:val="00D459DB"/>
    <w:rsid w:val="00D46A05"/>
    <w:rsid w:val="00D85B20"/>
    <w:rsid w:val="00DF0115"/>
    <w:rsid w:val="00DF5484"/>
    <w:rsid w:val="00E41404"/>
    <w:rsid w:val="00E4656B"/>
    <w:rsid w:val="00E9624E"/>
    <w:rsid w:val="00EA3029"/>
    <w:rsid w:val="00EC4F05"/>
    <w:rsid w:val="00ED2FC7"/>
    <w:rsid w:val="00F43462"/>
    <w:rsid w:val="00FA717B"/>
    <w:rsid w:val="00FC65D2"/>
    <w:rsid w:val="00FE1156"/>
    <w:rsid w:val="00FE2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9A06A"/>
  <w15:docId w15:val="{7F1196B2-BA74-42F1-8993-8674213C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10A"/>
    <w:pPr>
      <w:widowControl w:val="0"/>
      <w:jc w:val="both"/>
    </w:pPr>
    <w:rPr>
      <w:rFonts w:asciiTheme="minorHAnsi" w:eastAsiaTheme="minorEastAsia" w:hAnsiTheme="minorHAnsi" w:cstheme="min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10A"/>
    <w:pPr>
      <w:pBdr>
        <w:bottom w:val="single" w:sz="6" w:space="1" w:color="auto"/>
      </w:pBdr>
      <w:tabs>
        <w:tab w:val="center" w:pos="4153"/>
        <w:tab w:val="right" w:pos="8306"/>
      </w:tabs>
      <w:snapToGrid w:val="0"/>
      <w:jc w:val="center"/>
    </w:pPr>
    <w:rPr>
      <w:rFonts w:ascii="Times New Roman" w:eastAsia="SimSun" w:hAnsi="Times New Roman" w:cs="Times New Roman"/>
      <w:sz w:val="18"/>
      <w:szCs w:val="18"/>
    </w:rPr>
  </w:style>
  <w:style w:type="character" w:customStyle="1" w:styleId="HeaderChar">
    <w:name w:val="Header Char"/>
    <w:basedOn w:val="DefaultParagraphFont"/>
    <w:link w:val="Header"/>
    <w:uiPriority w:val="99"/>
    <w:rsid w:val="00CE110A"/>
    <w:rPr>
      <w:sz w:val="18"/>
      <w:szCs w:val="18"/>
    </w:rPr>
  </w:style>
  <w:style w:type="paragraph" w:styleId="Footer">
    <w:name w:val="footer"/>
    <w:basedOn w:val="Normal"/>
    <w:link w:val="FooterChar"/>
    <w:uiPriority w:val="99"/>
    <w:unhideWhenUsed/>
    <w:rsid w:val="00CE110A"/>
    <w:pPr>
      <w:tabs>
        <w:tab w:val="center" w:pos="4153"/>
        <w:tab w:val="right" w:pos="8306"/>
      </w:tabs>
      <w:snapToGrid w:val="0"/>
      <w:jc w:val="left"/>
    </w:pPr>
    <w:rPr>
      <w:rFonts w:ascii="Times New Roman" w:eastAsia="SimSun" w:hAnsi="Times New Roman" w:cs="Times New Roman"/>
      <w:sz w:val="18"/>
      <w:szCs w:val="18"/>
    </w:rPr>
  </w:style>
  <w:style w:type="character" w:customStyle="1" w:styleId="FooterChar">
    <w:name w:val="Footer Char"/>
    <w:basedOn w:val="DefaultParagraphFont"/>
    <w:link w:val="Footer"/>
    <w:uiPriority w:val="99"/>
    <w:rsid w:val="00CE110A"/>
    <w:rPr>
      <w:sz w:val="18"/>
      <w:szCs w:val="18"/>
    </w:rPr>
  </w:style>
  <w:style w:type="character" w:styleId="Hyperlink">
    <w:name w:val="Hyperlink"/>
    <w:basedOn w:val="DefaultParagraphFont"/>
    <w:uiPriority w:val="99"/>
    <w:unhideWhenUsed/>
    <w:rsid w:val="00CE110A"/>
    <w:rPr>
      <w:color w:val="0563C1" w:themeColor="hyperlink"/>
      <w:u w:val="single"/>
    </w:rPr>
  </w:style>
  <w:style w:type="paragraph" w:customStyle="1" w:styleId="EndNoteBibliographyTitle">
    <w:name w:val="EndNote Bibliography Title"/>
    <w:basedOn w:val="Normal"/>
    <w:link w:val="EndNoteBibliographyTitleChar"/>
    <w:rsid w:val="00CE110A"/>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CE110A"/>
    <w:rPr>
      <w:rFonts w:ascii="Calibri" w:eastAsiaTheme="minorEastAsia" w:hAnsi="Calibri" w:cstheme="minorBidi"/>
      <w:noProof/>
      <w:sz w:val="20"/>
      <w:szCs w:val="22"/>
    </w:rPr>
  </w:style>
  <w:style w:type="paragraph" w:customStyle="1" w:styleId="EndNoteBibliography">
    <w:name w:val="EndNote Bibliography"/>
    <w:basedOn w:val="Normal"/>
    <w:link w:val="EndNoteBibliographyChar"/>
    <w:rsid w:val="00CE110A"/>
    <w:rPr>
      <w:rFonts w:ascii="Calibri" w:hAnsi="Calibri"/>
      <w:noProof/>
      <w:sz w:val="20"/>
    </w:rPr>
  </w:style>
  <w:style w:type="character" w:customStyle="1" w:styleId="EndNoteBibliographyChar">
    <w:name w:val="EndNote Bibliography Char"/>
    <w:basedOn w:val="DefaultParagraphFont"/>
    <w:link w:val="EndNoteBibliography"/>
    <w:rsid w:val="00CE110A"/>
    <w:rPr>
      <w:rFonts w:ascii="Calibri" w:eastAsiaTheme="minorEastAsia" w:hAnsi="Calibri" w:cstheme="minorBidi"/>
      <w:noProof/>
      <w:sz w:val="20"/>
      <w:szCs w:val="22"/>
    </w:rPr>
  </w:style>
  <w:style w:type="paragraph" w:customStyle="1" w:styleId="MDPI17abstract">
    <w:name w:val="MDPI_1.7_abstract"/>
    <w:basedOn w:val="Normal"/>
    <w:next w:val="Normal"/>
    <w:qFormat/>
    <w:rsid w:val="00CE110A"/>
    <w:pPr>
      <w:widowControl/>
      <w:adjustRightInd w:val="0"/>
      <w:snapToGrid w:val="0"/>
      <w:spacing w:before="240" w:line="260" w:lineRule="atLeast"/>
      <w:ind w:left="113"/>
    </w:pPr>
    <w:rPr>
      <w:rFonts w:ascii="Palatino Linotype" w:eastAsia="Times New Roman" w:hAnsi="Palatino Linotype" w:cs="Times New Roman"/>
      <w:color w:val="000000"/>
      <w:kern w:val="0"/>
      <w:sz w:val="20"/>
      <w:lang w:eastAsia="de-DE" w:bidi="en-US"/>
    </w:rPr>
  </w:style>
  <w:style w:type="paragraph" w:customStyle="1" w:styleId="EndNoteCategoryHeading">
    <w:name w:val="EndNote Category Heading"/>
    <w:basedOn w:val="Normal"/>
    <w:link w:val="EndNoteCategoryHeadingChar"/>
    <w:rsid w:val="00CE110A"/>
    <w:pPr>
      <w:spacing w:before="120" w:after="120"/>
      <w:jc w:val="left"/>
    </w:pPr>
  </w:style>
  <w:style w:type="character" w:customStyle="1" w:styleId="EndNoteCategoryHeadingChar">
    <w:name w:val="EndNote Category Heading Char"/>
    <w:basedOn w:val="DefaultParagraphFont"/>
    <w:link w:val="EndNoteCategoryHeading"/>
    <w:rsid w:val="00CE110A"/>
    <w:rPr>
      <w:rFonts w:asciiTheme="minorHAnsi" w:eastAsiaTheme="minorEastAsia" w:hAnsiTheme="minorHAnsi" w:cstheme="minorBidi"/>
      <w:szCs w:val="22"/>
    </w:rPr>
  </w:style>
  <w:style w:type="paragraph" w:customStyle="1" w:styleId="EndNoteCategoryTitle">
    <w:name w:val="EndNote Category Title"/>
    <w:basedOn w:val="Normal"/>
    <w:link w:val="EndNoteCategoryTitleChar"/>
    <w:rsid w:val="00CE110A"/>
    <w:pPr>
      <w:spacing w:before="120" w:after="120"/>
      <w:jc w:val="center"/>
    </w:pPr>
  </w:style>
  <w:style w:type="character" w:customStyle="1" w:styleId="EndNoteCategoryTitleChar">
    <w:name w:val="EndNote Category Title Char"/>
    <w:basedOn w:val="DefaultParagraphFont"/>
    <w:link w:val="EndNoteCategoryTitle"/>
    <w:rsid w:val="00CE110A"/>
    <w:rPr>
      <w:rFonts w:asciiTheme="minorHAnsi" w:eastAsiaTheme="minorEastAsia" w:hAnsiTheme="minorHAnsi" w:cstheme="minorBidi"/>
      <w:szCs w:val="22"/>
    </w:rPr>
  </w:style>
  <w:style w:type="table" w:styleId="TableGrid">
    <w:name w:val="Table Grid"/>
    <w:basedOn w:val="TableNormal"/>
    <w:uiPriority w:val="59"/>
    <w:rsid w:val="00CE110A"/>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110A"/>
    <w:rPr>
      <w:sz w:val="16"/>
      <w:szCs w:val="16"/>
    </w:rPr>
  </w:style>
  <w:style w:type="paragraph" w:styleId="CommentText">
    <w:name w:val="annotation text"/>
    <w:basedOn w:val="Normal"/>
    <w:link w:val="CommentTextChar"/>
    <w:uiPriority w:val="99"/>
    <w:unhideWhenUsed/>
    <w:rsid w:val="00CE110A"/>
    <w:rPr>
      <w:sz w:val="20"/>
      <w:szCs w:val="20"/>
    </w:rPr>
  </w:style>
  <w:style w:type="character" w:customStyle="1" w:styleId="CommentTextChar">
    <w:name w:val="Comment Text Char"/>
    <w:basedOn w:val="DefaultParagraphFont"/>
    <w:link w:val="CommentText"/>
    <w:uiPriority w:val="99"/>
    <w:rsid w:val="00CE110A"/>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CE110A"/>
    <w:rPr>
      <w:b/>
      <w:bCs/>
    </w:rPr>
  </w:style>
  <w:style w:type="character" w:customStyle="1" w:styleId="CommentSubjectChar">
    <w:name w:val="Comment Subject Char"/>
    <w:basedOn w:val="CommentTextChar"/>
    <w:link w:val="CommentSubject"/>
    <w:uiPriority w:val="99"/>
    <w:semiHidden/>
    <w:rsid w:val="00CE110A"/>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CE110A"/>
    <w:rPr>
      <w:rFonts w:ascii="Tahoma" w:hAnsi="Tahoma" w:cs="Tahoma"/>
      <w:sz w:val="16"/>
      <w:szCs w:val="16"/>
    </w:rPr>
  </w:style>
  <w:style w:type="character" w:customStyle="1" w:styleId="BalloonTextChar">
    <w:name w:val="Balloon Text Char"/>
    <w:basedOn w:val="DefaultParagraphFont"/>
    <w:link w:val="BalloonText"/>
    <w:uiPriority w:val="99"/>
    <w:semiHidden/>
    <w:rsid w:val="00CE110A"/>
    <w:rPr>
      <w:rFonts w:ascii="Tahoma" w:eastAsiaTheme="minorEastAsia" w:hAnsi="Tahoma" w:cs="Tahoma"/>
      <w:sz w:val="16"/>
      <w:szCs w:val="16"/>
    </w:rPr>
  </w:style>
  <w:style w:type="paragraph" w:styleId="Revision">
    <w:name w:val="Revision"/>
    <w:hidden/>
    <w:uiPriority w:val="99"/>
    <w:semiHidden/>
    <w:rsid w:val="00CE110A"/>
    <w:rPr>
      <w:rFonts w:asciiTheme="minorHAnsi" w:eastAsiaTheme="minorEastAsia" w:hAnsiTheme="minorHAnsi" w:cstheme="minorBidi"/>
      <w:szCs w:val="22"/>
    </w:rPr>
  </w:style>
  <w:style w:type="paragraph" w:customStyle="1" w:styleId="MDPI13authornames">
    <w:name w:val="MDPI_1.3_authornames"/>
    <w:basedOn w:val="Normal"/>
    <w:next w:val="Normal"/>
    <w:qFormat/>
    <w:rsid w:val="00CE110A"/>
    <w:pPr>
      <w:widowControl/>
      <w:adjustRightInd w:val="0"/>
      <w:snapToGrid w:val="0"/>
      <w:spacing w:after="120" w:line="260" w:lineRule="atLeast"/>
      <w:jc w:val="left"/>
    </w:pPr>
    <w:rPr>
      <w:rFonts w:ascii="Palatino Linotype" w:eastAsia="Times New Roman" w:hAnsi="Palatino Linotype" w:cs="Times New Roman"/>
      <w:b/>
      <w:color w:val="000000"/>
      <w:kern w:val="0"/>
      <w:sz w:val="20"/>
      <w:lang w:eastAsia="de-DE" w:bidi="en-US"/>
    </w:rPr>
  </w:style>
  <w:style w:type="paragraph" w:customStyle="1" w:styleId="1">
    <w:name w:val="正文1"/>
    <w:uiPriority w:val="99"/>
    <w:rsid w:val="00063413"/>
    <w:pPr>
      <w:spacing w:line="276" w:lineRule="auto"/>
    </w:pPr>
    <w:rPr>
      <w:rFonts w:ascii="Arial" w:hAnsi="Arial" w:cs="Arial"/>
      <w:color w:val="000000"/>
      <w:kern w:val="0"/>
      <w:sz w:val="22"/>
      <w:szCs w:val="20"/>
      <w:lang w:val="pl-PL" w:eastAsia="pl-PL"/>
    </w:rPr>
  </w:style>
  <w:style w:type="paragraph" w:customStyle="1" w:styleId="p1">
    <w:name w:val="p1"/>
    <w:basedOn w:val="Normal"/>
    <w:rsid w:val="00626769"/>
    <w:pPr>
      <w:widowControl/>
      <w:jc w:val="left"/>
    </w:pPr>
    <w:rPr>
      <w:rFonts w:ascii="Book Antiqua" w:eastAsia="SimSun" w:hAnsi="Book Antiqua" w:cs="Times New Roman"/>
      <w:kern w:val="0"/>
      <w:sz w:val="17"/>
      <w:szCs w:val="17"/>
    </w:rPr>
  </w:style>
  <w:style w:type="character" w:customStyle="1" w:styleId="apple-converted-space">
    <w:name w:val="apple-converted-space"/>
    <w:basedOn w:val="DefaultParagraphFont"/>
    <w:rsid w:val="00626769"/>
  </w:style>
  <w:style w:type="paragraph" w:styleId="ListParagraph">
    <w:name w:val="List Paragraph"/>
    <w:basedOn w:val="Normal"/>
    <w:uiPriority w:val="34"/>
    <w:qFormat/>
    <w:rsid w:val="00626769"/>
    <w:pPr>
      <w:ind w:firstLineChars="200" w:firstLine="420"/>
    </w:pPr>
  </w:style>
  <w:style w:type="paragraph" w:customStyle="1" w:styleId="MDPI71References">
    <w:name w:val="MDPI_7.1_References"/>
    <w:basedOn w:val="Normal"/>
    <w:qFormat/>
    <w:rsid w:val="00DF5484"/>
    <w:pPr>
      <w:widowControl/>
      <w:numPr>
        <w:numId w:val="1"/>
      </w:numPr>
      <w:adjustRightInd w:val="0"/>
      <w:snapToGrid w:val="0"/>
      <w:spacing w:line="260" w:lineRule="atLeast"/>
    </w:pPr>
    <w:rPr>
      <w:rFonts w:ascii="Palatino Linotype" w:eastAsia="Times New Roman" w:hAnsi="Palatino Linotype" w:cs="Times New Roman"/>
      <w:snapToGrid w:val="0"/>
      <w:color w:val="000000"/>
      <w:kern w:val="0"/>
      <w:sz w:val="18"/>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2186">
      <w:bodyDiv w:val="1"/>
      <w:marLeft w:val="0"/>
      <w:marRight w:val="0"/>
      <w:marTop w:val="0"/>
      <w:marBottom w:val="0"/>
      <w:divBdr>
        <w:top w:val="none" w:sz="0" w:space="0" w:color="auto"/>
        <w:left w:val="none" w:sz="0" w:space="0" w:color="auto"/>
        <w:bottom w:val="none" w:sz="0" w:space="0" w:color="auto"/>
        <w:right w:val="none" w:sz="0" w:space="0" w:color="auto"/>
      </w:divBdr>
    </w:div>
    <w:div w:id="811749023">
      <w:bodyDiv w:val="1"/>
      <w:marLeft w:val="0"/>
      <w:marRight w:val="0"/>
      <w:marTop w:val="0"/>
      <w:marBottom w:val="0"/>
      <w:divBdr>
        <w:top w:val="none" w:sz="0" w:space="0" w:color="auto"/>
        <w:left w:val="none" w:sz="0" w:space="0" w:color="auto"/>
        <w:bottom w:val="none" w:sz="0" w:space="0" w:color="auto"/>
        <w:right w:val="none" w:sz="0" w:space="0" w:color="auto"/>
      </w:divBdr>
    </w:div>
    <w:div w:id="958530257">
      <w:bodyDiv w:val="1"/>
      <w:marLeft w:val="0"/>
      <w:marRight w:val="0"/>
      <w:marTop w:val="0"/>
      <w:marBottom w:val="0"/>
      <w:divBdr>
        <w:top w:val="none" w:sz="0" w:space="0" w:color="auto"/>
        <w:left w:val="none" w:sz="0" w:space="0" w:color="auto"/>
        <w:bottom w:val="none" w:sz="0" w:space="0" w:color="auto"/>
        <w:right w:val="none" w:sz="0" w:space="0" w:color="auto"/>
      </w:divBdr>
    </w:div>
    <w:div w:id="1278102694">
      <w:bodyDiv w:val="1"/>
      <w:marLeft w:val="0"/>
      <w:marRight w:val="0"/>
      <w:marTop w:val="0"/>
      <w:marBottom w:val="0"/>
      <w:divBdr>
        <w:top w:val="none" w:sz="0" w:space="0" w:color="auto"/>
        <w:left w:val="none" w:sz="0" w:space="0" w:color="auto"/>
        <w:bottom w:val="none" w:sz="0" w:space="0" w:color="auto"/>
        <w:right w:val="none" w:sz="0" w:space="0" w:color="auto"/>
      </w:divBdr>
    </w:div>
    <w:div w:id="131368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6854</Words>
  <Characters>39071</Characters>
  <Application>Microsoft Office Word</Application>
  <DocSecurity>0</DocSecurity>
  <Lines>325</Lines>
  <Paragraphs>91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wimxt.com</Company>
  <LinksUpToDate>false</LinksUpToDate>
  <CharactersWithSpaces>45834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jun</dc:creator>
  <cp:keywords/>
  <dc:description/>
  <cp:lastModifiedBy>Na Ma</cp:lastModifiedBy>
  <cp:revision>3</cp:revision>
  <dcterms:created xsi:type="dcterms:W3CDTF">2018-10-21T06:03:00Z</dcterms:created>
  <dcterms:modified xsi:type="dcterms:W3CDTF">2018-10-21T06:03:00Z</dcterms:modified>
</cp:coreProperties>
</file>