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CDBF652" w14:textId="77777777" w:rsidR="0041577A" w:rsidRPr="00413D75" w:rsidRDefault="0041577A" w:rsidP="00413D75">
      <w:pPr>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b/>
          <w:color w:val="000000" w:themeColor="text1"/>
          <w:szCs w:val="24"/>
        </w:rPr>
        <w:t xml:space="preserve">Name of Journal: </w:t>
      </w:r>
      <w:r w:rsidRPr="00413D75">
        <w:rPr>
          <w:rFonts w:ascii="Book Antiqua" w:hAnsi="Book Antiqua" w:cstheme="minorHAnsi"/>
          <w:b/>
          <w:i/>
          <w:color w:val="000000" w:themeColor="text1"/>
          <w:szCs w:val="24"/>
        </w:rPr>
        <w:t>World Journal of Gastroenterology</w:t>
      </w:r>
      <w:r w:rsidRPr="00413D75">
        <w:rPr>
          <w:rFonts w:ascii="Book Antiqua" w:hAnsi="Book Antiqua" w:cstheme="minorHAnsi"/>
          <w:b/>
          <w:color w:val="000000" w:themeColor="text1"/>
          <w:szCs w:val="24"/>
        </w:rPr>
        <w:t xml:space="preserve"> </w:t>
      </w:r>
    </w:p>
    <w:p w14:paraId="0D8574E5" w14:textId="77777777" w:rsidR="005433B2" w:rsidRPr="00413D75" w:rsidRDefault="005433B2" w:rsidP="00413D75">
      <w:pPr>
        <w:adjustRightInd w:val="0"/>
        <w:snapToGrid w:val="0"/>
        <w:spacing w:line="360" w:lineRule="auto"/>
        <w:jc w:val="both"/>
        <w:rPr>
          <w:rFonts w:ascii="Book Antiqua" w:hAnsi="Book Antiqua" w:cstheme="minorHAnsi"/>
          <w:b/>
          <w:color w:val="000000" w:themeColor="text1"/>
          <w:szCs w:val="24"/>
        </w:rPr>
      </w:pPr>
      <w:bookmarkStart w:id="0" w:name="OLE_LINK485"/>
      <w:bookmarkStart w:id="1" w:name="OLE_LINK486"/>
      <w:bookmarkStart w:id="2" w:name="OLE_LINK661"/>
      <w:bookmarkStart w:id="3" w:name="OLE_LINK768"/>
      <w:r w:rsidRPr="00413D75">
        <w:rPr>
          <w:rFonts w:ascii="Book Antiqua" w:hAnsi="Book Antiqua"/>
          <w:b/>
          <w:color w:val="000000" w:themeColor="text1"/>
          <w:szCs w:val="24"/>
          <w:highlight w:val="white"/>
          <w:lang w:eastAsia="zh-CN"/>
        </w:rPr>
        <w:t>Manuscript NO:</w:t>
      </w:r>
      <w:bookmarkEnd w:id="0"/>
      <w:bookmarkEnd w:id="1"/>
      <w:bookmarkEnd w:id="2"/>
      <w:bookmarkEnd w:id="3"/>
      <w:r w:rsidRPr="00413D75">
        <w:rPr>
          <w:rFonts w:ascii="Book Antiqua" w:hAnsi="Book Antiqua"/>
          <w:b/>
          <w:color w:val="000000" w:themeColor="text1"/>
          <w:szCs w:val="24"/>
        </w:rPr>
        <w:t xml:space="preserve"> 41334</w:t>
      </w:r>
    </w:p>
    <w:p w14:paraId="53E22525" w14:textId="77777777" w:rsidR="0041577A" w:rsidRPr="00413D75" w:rsidRDefault="0041577A" w:rsidP="00413D75">
      <w:pPr>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b/>
          <w:color w:val="000000" w:themeColor="text1"/>
          <w:szCs w:val="24"/>
        </w:rPr>
        <w:t xml:space="preserve">Manuscript Type: MINIREVIEWS </w:t>
      </w:r>
    </w:p>
    <w:p w14:paraId="65E7DFF8" w14:textId="77777777" w:rsidR="00F14AD4" w:rsidRPr="00413D75" w:rsidRDefault="00F14AD4" w:rsidP="00413D75">
      <w:pPr>
        <w:adjustRightInd w:val="0"/>
        <w:snapToGrid w:val="0"/>
        <w:spacing w:line="360" w:lineRule="auto"/>
        <w:jc w:val="both"/>
        <w:rPr>
          <w:rFonts w:ascii="Book Antiqua" w:hAnsi="Book Antiqua" w:cstheme="minorHAnsi"/>
          <w:b/>
          <w:color w:val="000000" w:themeColor="text1"/>
          <w:szCs w:val="24"/>
        </w:rPr>
      </w:pPr>
    </w:p>
    <w:p w14:paraId="25B7DFE0" w14:textId="77777777" w:rsidR="0041577A" w:rsidRPr="00413D75" w:rsidRDefault="0041577A" w:rsidP="00413D75">
      <w:pPr>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b/>
          <w:color w:val="000000" w:themeColor="text1"/>
          <w:szCs w:val="24"/>
        </w:rPr>
        <w:t xml:space="preserve">Second-line rescue treatment of </w:t>
      </w:r>
      <w:r w:rsidRPr="00413D75">
        <w:rPr>
          <w:rFonts w:ascii="Book Antiqua" w:hAnsi="Book Antiqua" w:cstheme="minorHAnsi"/>
          <w:b/>
          <w:i/>
          <w:color w:val="000000" w:themeColor="text1"/>
          <w:szCs w:val="24"/>
        </w:rPr>
        <w:t xml:space="preserve">Helicobacter pylori </w:t>
      </w:r>
      <w:r w:rsidRPr="00413D75">
        <w:rPr>
          <w:rFonts w:ascii="Book Antiqua" w:hAnsi="Book Antiqua" w:cstheme="minorHAnsi"/>
          <w:b/>
          <w:color w:val="000000" w:themeColor="text1"/>
          <w:szCs w:val="24"/>
        </w:rPr>
        <w:t>infection: Where are we now?</w:t>
      </w:r>
    </w:p>
    <w:p w14:paraId="470369A7" w14:textId="77777777" w:rsidR="00413D75" w:rsidRDefault="00413D75" w:rsidP="00413D75">
      <w:pPr>
        <w:adjustRightInd w:val="0"/>
        <w:snapToGrid w:val="0"/>
        <w:spacing w:line="360" w:lineRule="auto"/>
        <w:jc w:val="both"/>
        <w:rPr>
          <w:rFonts w:ascii="Book Antiqua" w:hAnsi="Book Antiqua" w:cstheme="minorHAnsi"/>
          <w:b/>
          <w:color w:val="000000" w:themeColor="text1"/>
          <w:szCs w:val="24"/>
        </w:rPr>
      </w:pPr>
    </w:p>
    <w:p w14:paraId="1A144947" w14:textId="751F56A6" w:rsidR="00E956B2" w:rsidRPr="00413D75" w:rsidRDefault="00413D75" w:rsidP="00413D75">
      <w:pPr>
        <w:adjustRightInd w:val="0"/>
        <w:snapToGrid w:val="0"/>
        <w:spacing w:line="360" w:lineRule="auto"/>
        <w:jc w:val="both"/>
        <w:rPr>
          <w:rFonts w:ascii="Book Antiqua" w:hAnsi="Book Antiqua" w:cstheme="minorHAnsi"/>
          <w:color w:val="000000" w:themeColor="text1"/>
          <w:szCs w:val="24"/>
        </w:rPr>
      </w:pPr>
      <w:r>
        <w:rPr>
          <w:rFonts w:ascii="Book Antiqua" w:hAnsi="Book Antiqua" w:cstheme="minorHAnsi"/>
          <w:color w:val="000000" w:themeColor="text1"/>
          <w:szCs w:val="24"/>
        </w:rPr>
        <w:t>Lin TF</w:t>
      </w:r>
      <w:r w:rsidR="0041577A" w:rsidRPr="00413D75">
        <w:rPr>
          <w:rFonts w:ascii="Book Antiqua" w:hAnsi="Book Antiqua" w:cstheme="minorHAnsi"/>
          <w:color w:val="000000" w:themeColor="text1"/>
          <w:szCs w:val="24"/>
        </w:rPr>
        <w:t xml:space="preserve"> </w:t>
      </w:r>
      <w:r w:rsidR="0041577A" w:rsidRPr="00413D75">
        <w:rPr>
          <w:rFonts w:ascii="Book Antiqua" w:hAnsi="Book Antiqua" w:cstheme="minorHAnsi"/>
          <w:i/>
          <w:color w:val="000000" w:themeColor="text1"/>
          <w:szCs w:val="24"/>
        </w:rPr>
        <w:t>et al</w:t>
      </w:r>
      <w:r w:rsidR="0041577A" w:rsidRPr="00413D75">
        <w:rPr>
          <w:rFonts w:ascii="Book Antiqua" w:hAnsi="Book Antiqua" w:cstheme="minorHAnsi"/>
          <w:color w:val="000000" w:themeColor="text1"/>
          <w:szCs w:val="24"/>
        </w:rPr>
        <w:t xml:space="preserve">. </w:t>
      </w:r>
      <w:r w:rsidR="00E956B2" w:rsidRPr="00413D75">
        <w:rPr>
          <w:rFonts w:ascii="Book Antiqua" w:hAnsi="Book Antiqua" w:cstheme="minorHAnsi"/>
          <w:color w:val="000000" w:themeColor="text1"/>
          <w:szCs w:val="24"/>
        </w:rPr>
        <w:t>Second-line anti-</w:t>
      </w:r>
      <w:r w:rsidR="00E956B2" w:rsidRPr="00413D75">
        <w:rPr>
          <w:rFonts w:ascii="Book Antiqua" w:hAnsi="Book Antiqua" w:cstheme="minorHAnsi"/>
          <w:i/>
          <w:iCs/>
          <w:color w:val="000000" w:themeColor="text1"/>
          <w:szCs w:val="24"/>
        </w:rPr>
        <w:t>H</w:t>
      </w:r>
      <w:r w:rsidR="00BA2338">
        <w:rPr>
          <w:rFonts w:ascii="Book Antiqua" w:eastAsiaTheme="minorEastAsia" w:hAnsi="Book Antiqua" w:cstheme="minorHAnsi" w:hint="eastAsia"/>
          <w:i/>
          <w:iCs/>
          <w:color w:val="000000" w:themeColor="text1"/>
          <w:szCs w:val="24"/>
          <w:lang w:eastAsia="zh-CN"/>
        </w:rPr>
        <w:t>.</w:t>
      </w:r>
      <w:r w:rsidR="00E956B2" w:rsidRPr="00413D75">
        <w:rPr>
          <w:rFonts w:ascii="Book Antiqua" w:hAnsi="Book Antiqua" w:cstheme="minorHAnsi"/>
          <w:i/>
          <w:iCs/>
          <w:color w:val="000000" w:themeColor="text1"/>
          <w:szCs w:val="24"/>
        </w:rPr>
        <w:t xml:space="preserve"> pylori </w:t>
      </w:r>
      <w:r w:rsidR="00E956B2" w:rsidRPr="00413D75">
        <w:rPr>
          <w:rFonts w:ascii="Book Antiqua" w:hAnsi="Book Antiqua" w:cstheme="minorHAnsi"/>
          <w:color w:val="000000" w:themeColor="text1"/>
          <w:szCs w:val="24"/>
        </w:rPr>
        <w:t>therapy</w:t>
      </w:r>
    </w:p>
    <w:p w14:paraId="67694513" w14:textId="77777777" w:rsidR="00413D75" w:rsidRDefault="00413D75" w:rsidP="00413D75">
      <w:pPr>
        <w:adjustRightInd w:val="0"/>
        <w:snapToGrid w:val="0"/>
        <w:spacing w:line="360" w:lineRule="auto"/>
        <w:jc w:val="both"/>
        <w:rPr>
          <w:rFonts w:ascii="Book Antiqua" w:hAnsi="Book Antiqua" w:cstheme="minorHAnsi"/>
          <w:b/>
          <w:color w:val="000000" w:themeColor="text1"/>
          <w:szCs w:val="24"/>
        </w:rPr>
      </w:pPr>
    </w:p>
    <w:p w14:paraId="174BE56A" w14:textId="77777777" w:rsidR="0041577A" w:rsidRPr="00413D75" w:rsidRDefault="00E956B2"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Te-Fu Lin,</w:t>
      </w:r>
      <w:r w:rsidRPr="00413D75">
        <w:rPr>
          <w:rFonts w:ascii="Book Antiqua" w:hAnsi="Book Antiqua" w:cstheme="minorHAnsi"/>
          <w:color w:val="000000" w:themeColor="text1"/>
          <w:szCs w:val="24"/>
          <w:vertAlign w:val="superscript"/>
        </w:rPr>
        <w:t xml:space="preserve"> </w:t>
      </w:r>
      <w:r w:rsidRPr="00413D75">
        <w:rPr>
          <w:rFonts w:ascii="Book Antiqua" w:hAnsi="Book Antiqua" w:cstheme="minorHAnsi"/>
          <w:color w:val="000000" w:themeColor="text1"/>
          <w:szCs w:val="24"/>
        </w:rPr>
        <w:t>Ping-I Hsu</w:t>
      </w:r>
    </w:p>
    <w:p w14:paraId="4C8BC5D7" w14:textId="77777777" w:rsidR="00413D75" w:rsidRDefault="00413D75" w:rsidP="00413D75">
      <w:pPr>
        <w:autoSpaceDE w:val="0"/>
        <w:autoSpaceDN w:val="0"/>
        <w:adjustRightInd w:val="0"/>
        <w:snapToGrid w:val="0"/>
        <w:spacing w:line="360" w:lineRule="auto"/>
        <w:jc w:val="both"/>
        <w:rPr>
          <w:rFonts w:ascii="Book Antiqua" w:hAnsi="Book Antiqua" w:cstheme="minorHAnsi"/>
          <w:b/>
          <w:color w:val="000000" w:themeColor="text1"/>
          <w:szCs w:val="24"/>
        </w:rPr>
      </w:pPr>
    </w:p>
    <w:p w14:paraId="55ACC4F6" w14:textId="5547432E" w:rsidR="00E956B2" w:rsidRDefault="00E956B2" w:rsidP="00413D75">
      <w:pPr>
        <w:autoSpaceDE w:val="0"/>
        <w:autoSpaceDN w:val="0"/>
        <w:adjustRightInd w:val="0"/>
        <w:snapToGrid w:val="0"/>
        <w:spacing w:line="360" w:lineRule="auto"/>
        <w:jc w:val="both"/>
        <w:rPr>
          <w:rFonts w:ascii="Book Antiqua" w:hAnsi="Book Antiqua" w:cstheme="minorHAnsi"/>
          <w:iCs/>
          <w:color w:val="000000" w:themeColor="text1"/>
          <w:szCs w:val="24"/>
        </w:rPr>
      </w:pPr>
      <w:r w:rsidRPr="00413D75">
        <w:rPr>
          <w:rFonts w:ascii="Book Antiqua" w:hAnsi="Book Antiqua" w:cstheme="minorHAnsi"/>
          <w:b/>
          <w:color w:val="000000" w:themeColor="text1"/>
          <w:szCs w:val="24"/>
        </w:rPr>
        <w:t>Te-Fu Lin,</w:t>
      </w:r>
      <w:r w:rsidRPr="00413D75">
        <w:rPr>
          <w:rFonts w:ascii="Book Antiqua" w:hAnsi="Book Antiqua" w:cstheme="minorHAnsi"/>
          <w:b/>
          <w:color w:val="000000" w:themeColor="text1"/>
          <w:szCs w:val="24"/>
          <w:vertAlign w:val="superscript"/>
        </w:rPr>
        <w:t xml:space="preserve"> </w:t>
      </w:r>
      <w:r w:rsidRPr="00413D75">
        <w:rPr>
          <w:rFonts w:ascii="Book Antiqua" w:hAnsi="Book Antiqua" w:cstheme="minorHAnsi"/>
          <w:b/>
          <w:color w:val="000000" w:themeColor="text1"/>
          <w:szCs w:val="24"/>
        </w:rPr>
        <w:t xml:space="preserve">Ping-I Hsu, </w:t>
      </w:r>
      <w:r w:rsidR="00413D75">
        <w:rPr>
          <w:rFonts w:ascii="Book Antiqua" w:hAnsi="Book Antiqua" w:cstheme="minorHAnsi"/>
          <w:iCs/>
          <w:color w:val="000000" w:themeColor="text1"/>
          <w:szCs w:val="24"/>
        </w:rPr>
        <w:t>Division of Gastroenterology and</w:t>
      </w:r>
      <w:r w:rsidRPr="00413D75">
        <w:rPr>
          <w:rFonts w:ascii="Book Antiqua" w:hAnsi="Book Antiqua" w:cstheme="minorHAnsi"/>
          <w:iCs/>
          <w:color w:val="000000" w:themeColor="text1"/>
          <w:szCs w:val="24"/>
        </w:rPr>
        <w:t xml:space="preserve"> Hepatology, Department of Internal Medicine, Kaoh</w:t>
      </w:r>
      <w:r w:rsidR="00413D75">
        <w:rPr>
          <w:rFonts w:ascii="Book Antiqua" w:hAnsi="Book Antiqua" w:cstheme="minorHAnsi"/>
          <w:iCs/>
          <w:color w:val="000000" w:themeColor="text1"/>
          <w:szCs w:val="24"/>
        </w:rPr>
        <w:t>siung Veterans General Hospital</w:t>
      </w:r>
      <w:r w:rsidRPr="00413D75">
        <w:rPr>
          <w:rFonts w:ascii="Book Antiqua" w:hAnsi="Book Antiqua" w:cstheme="minorHAnsi"/>
          <w:iCs/>
          <w:color w:val="000000" w:themeColor="text1"/>
          <w:szCs w:val="24"/>
        </w:rPr>
        <w:t>, Kaohsiung</w:t>
      </w:r>
      <w:r w:rsidR="005433B2" w:rsidRPr="00413D75">
        <w:rPr>
          <w:rFonts w:ascii="Book Antiqua" w:hAnsi="Book Antiqua" w:cstheme="minorHAnsi"/>
          <w:iCs/>
          <w:color w:val="000000" w:themeColor="text1"/>
          <w:szCs w:val="24"/>
        </w:rPr>
        <w:t xml:space="preserve"> 813</w:t>
      </w:r>
      <w:r w:rsidRPr="00413D75">
        <w:rPr>
          <w:rFonts w:ascii="Book Antiqua" w:hAnsi="Book Antiqua" w:cstheme="minorHAnsi"/>
          <w:iCs/>
          <w:color w:val="000000" w:themeColor="text1"/>
          <w:szCs w:val="24"/>
        </w:rPr>
        <w:t>, Taiwan</w:t>
      </w:r>
    </w:p>
    <w:p w14:paraId="4585C7D7" w14:textId="77777777" w:rsidR="00413D75" w:rsidRPr="00413D75" w:rsidRDefault="00413D75" w:rsidP="00413D75">
      <w:pPr>
        <w:autoSpaceDE w:val="0"/>
        <w:autoSpaceDN w:val="0"/>
        <w:adjustRightInd w:val="0"/>
        <w:snapToGrid w:val="0"/>
        <w:spacing w:line="360" w:lineRule="auto"/>
        <w:jc w:val="both"/>
        <w:rPr>
          <w:rFonts w:ascii="Book Antiqua" w:hAnsi="Book Antiqua" w:cstheme="minorHAnsi"/>
          <w:color w:val="000000" w:themeColor="text1"/>
          <w:szCs w:val="24"/>
        </w:rPr>
      </w:pPr>
    </w:p>
    <w:p w14:paraId="600CE6B5" w14:textId="7C4A15C2" w:rsidR="00E956B2" w:rsidRDefault="00E956B2"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b/>
          <w:color w:val="000000" w:themeColor="text1"/>
          <w:szCs w:val="24"/>
        </w:rPr>
        <w:t xml:space="preserve">ORCID number: </w:t>
      </w:r>
      <w:r w:rsidRPr="00413D75">
        <w:rPr>
          <w:rFonts w:ascii="Book Antiqua" w:hAnsi="Book Antiqua" w:cstheme="minorHAnsi"/>
          <w:color w:val="000000" w:themeColor="text1"/>
          <w:szCs w:val="24"/>
        </w:rPr>
        <w:t>Te-Fu Lin (</w:t>
      </w:r>
      <w:hyperlink r:id="rId7" w:tgtFrame="_blank" w:history="1">
        <w:r w:rsidR="008B4446" w:rsidRPr="00413D75">
          <w:rPr>
            <w:rStyle w:val="Hyperlink"/>
            <w:rFonts w:ascii="Book Antiqua" w:hAnsi="Book Antiqua"/>
            <w:color w:val="000000" w:themeColor="text1"/>
            <w:szCs w:val="24"/>
            <w:u w:val="none"/>
            <w:shd w:val="clear" w:color="auto" w:fill="FFFFFF"/>
          </w:rPr>
          <w:t>0000-0003-1996-5008</w:t>
        </w:r>
      </w:hyperlink>
      <w:r w:rsidRPr="00413D75">
        <w:rPr>
          <w:rFonts w:ascii="Book Antiqua" w:hAnsi="Book Antiqua" w:cstheme="minorHAnsi"/>
          <w:color w:val="000000" w:themeColor="text1"/>
          <w:szCs w:val="24"/>
        </w:rPr>
        <w:t>); Ping-I Hsu</w:t>
      </w:r>
      <w:r w:rsidR="009B4531" w:rsidRPr="00413D75">
        <w:rPr>
          <w:rFonts w:ascii="Book Antiqua" w:hAnsi="Book Antiqua" w:cstheme="minorHAnsi"/>
          <w:color w:val="000000" w:themeColor="text1"/>
          <w:szCs w:val="24"/>
        </w:rPr>
        <w:t xml:space="preserve"> (</w:t>
      </w:r>
      <w:hyperlink r:id="rId8" w:tgtFrame="_blank" w:history="1">
        <w:r w:rsidR="008B4446" w:rsidRPr="00413D75">
          <w:rPr>
            <w:rStyle w:val="Hyperlink"/>
            <w:rFonts w:ascii="Book Antiqua" w:hAnsi="Book Antiqua"/>
            <w:color w:val="000000" w:themeColor="text1"/>
            <w:szCs w:val="24"/>
            <w:u w:val="none"/>
            <w:shd w:val="clear" w:color="auto" w:fill="FFFFFF"/>
          </w:rPr>
          <w:t>0000-0003-3905-4674</w:t>
        </w:r>
      </w:hyperlink>
      <w:r w:rsidR="009B4531" w:rsidRPr="00413D75">
        <w:rPr>
          <w:rFonts w:ascii="Book Antiqua" w:hAnsi="Book Antiqua" w:cstheme="minorHAnsi"/>
          <w:color w:val="000000" w:themeColor="text1"/>
          <w:szCs w:val="24"/>
        </w:rPr>
        <w:t>)</w:t>
      </w:r>
      <w:r w:rsidR="00413D75">
        <w:rPr>
          <w:rFonts w:ascii="Book Antiqua" w:hAnsi="Book Antiqua" w:cstheme="minorHAnsi"/>
          <w:color w:val="000000" w:themeColor="text1"/>
          <w:szCs w:val="24"/>
        </w:rPr>
        <w:t>.</w:t>
      </w:r>
    </w:p>
    <w:p w14:paraId="38505142" w14:textId="77777777" w:rsidR="00413D75" w:rsidRPr="00413D75" w:rsidRDefault="00413D75" w:rsidP="00413D75">
      <w:pPr>
        <w:adjustRightInd w:val="0"/>
        <w:snapToGrid w:val="0"/>
        <w:spacing w:line="360" w:lineRule="auto"/>
        <w:jc w:val="both"/>
        <w:rPr>
          <w:rFonts w:ascii="Book Antiqua" w:hAnsi="Book Antiqua" w:cstheme="minorHAnsi"/>
          <w:color w:val="000000" w:themeColor="text1"/>
          <w:szCs w:val="24"/>
        </w:rPr>
      </w:pPr>
    </w:p>
    <w:p w14:paraId="69FBA9AF" w14:textId="77777777" w:rsidR="009B4531" w:rsidRDefault="00E956B2"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b/>
          <w:color w:val="000000" w:themeColor="text1"/>
          <w:szCs w:val="24"/>
        </w:rPr>
        <w:t xml:space="preserve">Author contributions: </w:t>
      </w:r>
      <w:r w:rsidR="009B4531" w:rsidRPr="00413D75">
        <w:rPr>
          <w:rFonts w:ascii="Book Antiqua" w:hAnsi="Book Antiqua" w:cstheme="minorHAnsi"/>
          <w:color w:val="000000" w:themeColor="text1"/>
          <w:szCs w:val="24"/>
        </w:rPr>
        <w:t xml:space="preserve">Hsu </w:t>
      </w:r>
      <w:r w:rsidR="009B4531" w:rsidRPr="00413D75">
        <w:rPr>
          <w:rFonts w:ascii="Book Antiqua" w:eastAsia="FranklinGothicEF-Medium" w:hAnsi="Book Antiqua" w:cstheme="minorHAnsi"/>
          <w:bCs/>
          <w:color w:val="000000" w:themeColor="text1"/>
          <w:kern w:val="0"/>
          <w:szCs w:val="24"/>
        </w:rPr>
        <w:t>PI designed the study, reviewed the articles and drafted the manuscript; Lin DF reviewed the articles and drafted the manuscript.</w:t>
      </w:r>
      <w:r w:rsidR="009B4531" w:rsidRPr="00413D75">
        <w:rPr>
          <w:rFonts w:ascii="Book Antiqua" w:hAnsi="Book Antiqua" w:cstheme="minorHAnsi"/>
          <w:color w:val="000000" w:themeColor="text1"/>
          <w:szCs w:val="24"/>
        </w:rPr>
        <w:t xml:space="preserve"> </w:t>
      </w:r>
    </w:p>
    <w:p w14:paraId="4131A9F0" w14:textId="77777777" w:rsidR="00413D75" w:rsidRPr="00413D75" w:rsidRDefault="00413D75" w:rsidP="00413D75">
      <w:pPr>
        <w:adjustRightInd w:val="0"/>
        <w:snapToGrid w:val="0"/>
        <w:spacing w:line="360" w:lineRule="auto"/>
        <w:jc w:val="both"/>
        <w:rPr>
          <w:rFonts w:ascii="Book Antiqua" w:hAnsi="Book Antiqua" w:cstheme="minorHAnsi"/>
          <w:color w:val="000000" w:themeColor="text1"/>
          <w:szCs w:val="24"/>
        </w:rPr>
      </w:pPr>
    </w:p>
    <w:p w14:paraId="76A9890B" w14:textId="77777777" w:rsidR="00E956B2" w:rsidRDefault="00E956B2"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b/>
          <w:color w:val="000000" w:themeColor="text1"/>
          <w:szCs w:val="24"/>
        </w:rPr>
        <w:t xml:space="preserve">Conflict-of-interest statement: </w:t>
      </w:r>
      <w:r w:rsidR="00837250" w:rsidRPr="00413D75">
        <w:rPr>
          <w:rFonts w:ascii="Book Antiqua" w:hAnsi="Book Antiqua" w:cstheme="minorHAnsi"/>
          <w:color w:val="000000" w:themeColor="text1"/>
          <w:szCs w:val="24"/>
        </w:rPr>
        <w:t>Both authors have no conflict</w:t>
      </w:r>
      <w:r w:rsidR="00D97FDD" w:rsidRPr="00413D75">
        <w:rPr>
          <w:rFonts w:ascii="Book Antiqua" w:hAnsi="Book Antiqua" w:cstheme="minorHAnsi"/>
          <w:color w:val="000000" w:themeColor="text1"/>
          <w:szCs w:val="24"/>
        </w:rPr>
        <w:t>s</w:t>
      </w:r>
      <w:r w:rsidR="00837250" w:rsidRPr="00413D75">
        <w:rPr>
          <w:rFonts w:ascii="Book Antiqua" w:hAnsi="Book Antiqua" w:cstheme="minorHAnsi"/>
          <w:color w:val="000000" w:themeColor="text1"/>
          <w:szCs w:val="24"/>
        </w:rPr>
        <w:t xml:space="preserve"> of interest.</w:t>
      </w:r>
    </w:p>
    <w:p w14:paraId="29513CC6" w14:textId="77777777" w:rsidR="00413D75" w:rsidRDefault="00413D75" w:rsidP="00413D75">
      <w:pPr>
        <w:adjustRightInd w:val="0"/>
        <w:snapToGrid w:val="0"/>
        <w:spacing w:line="360" w:lineRule="auto"/>
        <w:jc w:val="both"/>
        <w:rPr>
          <w:rFonts w:ascii="Book Antiqua" w:hAnsi="Book Antiqua" w:cstheme="minorHAnsi"/>
          <w:b/>
          <w:color w:val="000000" w:themeColor="text1"/>
          <w:szCs w:val="24"/>
        </w:rPr>
      </w:pPr>
    </w:p>
    <w:p w14:paraId="332493BA" w14:textId="77777777" w:rsidR="00413D75" w:rsidRDefault="00413D75" w:rsidP="00413D75">
      <w:pPr>
        <w:snapToGrid w:val="0"/>
        <w:spacing w:line="360" w:lineRule="auto"/>
        <w:jc w:val="both"/>
        <w:rPr>
          <w:rFonts w:ascii="Book Antiqua" w:hAnsi="Book Antiqua"/>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D7276">
          <w:rPr>
            <w:rStyle w:val="Hyperlink"/>
            <w:rFonts w:ascii="Book Antiqua" w:hAnsi="Book Antiqua"/>
          </w:rPr>
          <w:t>http://creativecommons.org/licenses/by-nc/4.0/</w:t>
        </w:r>
      </w:hyperlink>
    </w:p>
    <w:p w14:paraId="1D440DE8" w14:textId="77777777" w:rsidR="00413D75" w:rsidRDefault="00413D75" w:rsidP="00413D75">
      <w:pPr>
        <w:snapToGrid w:val="0"/>
        <w:spacing w:line="360" w:lineRule="auto"/>
        <w:jc w:val="both"/>
        <w:rPr>
          <w:rFonts w:ascii="Book Antiqua" w:hAnsi="Book Antiqua"/>
        </w:rPr>
      </w:pPr>
    </w:p>
    <w:p w14:paraId="56D62DC2" w14:textId="15BD8392" w:rsidR="00413D75" w:rsidRPr="004F57C6" w:rsidRDefault="00413D75" w:rsidP="00413D75">
      <w:pPr>
        <w:pStyle w:val="10"/>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Invite</w:t>
      </w:r>
      <w:r w:rsidRPr="004F57C6">
        <w:rPr>
          <w:rFonts w:ascii="Book Antiqua" w:hAnsi="Book Antiqua" w:cs="Times New Roman"/>
          <w:bCs/>
          <w:color w:val="auto"/>
          <w:sz w:val="24"/>
          <w:szCs w:val="24"/>
          <w:highlight w:val="white"/>
          <w:lang w:val="en-US"/>
        </w:rPr>
        <w:t xml:space="preserve">d manuscript </w:t>
      </w:r>
    </w:p>
    <w:p w14:paraId="29E91241" w14:textId="77777777" w:rsidR="00413D75" w:rsidRPr="00413D75" w:rsidRDefault="00413D75" w:rsidP="00413D75">
      <w:pPr>
        <w:adjustRightInd w:val="0"/>
        <w:snapToGrid w:val="0"/>
        <w:spacing w:line="360" w:lineRule="auto"/>
        <w:jc w:val="both"/>
        <w:rPr>
          <w:rFonts w:ascii="Book Antiqua" w:hAnsi="Book Antiqua" w:cstheme="minorHAnsi"/>
          <w:b/>
          <w:color w:val="000000" w:themeColor="text1"/>
          <w:szCs w:val="24"/>
        </w:rPr>
      </w:pPr>
    </w:p>
    <w:p w14:paraId="60FB6F78" w14:textId="3170FE25" w:rsidR="00837250" w:rsidRPr="00413D75" w:rsidRDefault="00E956B2"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b/>
          <w:color w:val="000000" w:themeColor="text1"/>
          <w:szCs w:val="24"/>
        </w:rPr>
        <w:t xml:space="preserve">Correspondence to: </w:t>
      </w:r>
      <w:r w:rsidR="00911639" w:rsidRPr="00413D75">
        <w:rPr>
          <w:rFonts w:ascii="Book Antiqua" w:hAnsi="Book Antiqua" w:cstheme="minorHAnsi"/>
          <w:b/>
          <w:color w:val="000000" w:themeColor="text1"/>
          <w:szCs w:val="24"/>
        </w:rPr>
        <w:t>Ping-I Hsu</w:t>
      </w:r>
      <w:r w:rsidRPr="00413D75">
        <w:rPr>
          <w:rFonts w:ascii="Book Antiqua" w:hAnsi="Book Antiqua" w:cstheme="minorHAnsi"/>
          <w:b/>
          <w:color w:val="000000" w:themeColor="text1"/>
          <w:szCs w:val="24"/>
        </w:rPr>
        <w:t xml:space="preserve">, MD, </w:t>
      </w:r>
      <w:r w:rsidR="00413D75">
        <w:rPr>
          <w:rFonts w:ascii="Book Antiqua" w:hAnsi="Book Antiqua" w:cstheme="minorHAnsi"/>
          <w:b/>
          <w:color w:val="000000" w:themeColor="text1"/>
          <w:szCs w:val="24"/>
        </w:rPr>
        <w:t xml:space="preserve">Attending Doctor, </w:t>
      </w:r>
      <w:r w:rsidRPr="00413D75">
        <w:rPr>
          <w:rFonts w:ascii="Book Antiqua" w:hAnsi="Book Antiqua" w:cstheme="minorHAnsi"/>
          <w:b/>
          <w:color w:val="000000" w:themeColor="text1"/>
          <w:szCs w:val="24"/>
        </w:rPr>
        <w:t xml:space="preserve">Professor, </w:t>
      </w:r>
      <w:r w:rsidR="00911639" w:rsidRPr="00413D75">
        <w:rPr>
          <w:rFonts w:ascii="Book Antiqua" w:hAnsi="Book Antiqua" w:cstheme="minorHAnsi"/>
          <w:iCs/>
          <w:color w:val="000000" w:themeColor="text1"/>
          <w:szCs w:val="24"/>
        </w:rPr>
        <w:t>Division of Gas</w:t>
      </w:r>
      <w:r w:rsidR="00413D75">
        <w:rPr>
          <w:rFonts w:ascii="Book Antiqua" w:hAnsi="Book Antiqua" w:cstheme="minorHAnsi"/>
          <w:iCs/>
          <w:color w:val="000000" w:themeColor="text1"/>
          <w:szCs w:val="24"/>
        </w:rPr>
        <w:t>troenterology and</w:t>
      </w:r>
      <w:r w:rsidR="00911639" w:rsidRPr="00413D75">
        <w:rPr>
          <w:rFonts w:ascii="Book Antiqua" w:hAnsi="Book Antiqua" w:cstheme="minorHAnsi"/>
          <w:iCs/>
          <w:color w:val="000000" w:themeColor="text1"/>
          <w:szCs w:val="24"/>
        </w:rPr>
        <w:t xml:space="preserve"> Hepatology, Department of Internal Medicine, Kaohsiung Veterans General Hospital, No. 386, Ta-Chung 1</w:t>
      </w:r>
      <w:r w:rsidR="00911639" w:rsidRPr="00413D75">
        <w:rPr>
          <w:rFonts w:ascii="Book Antiqua" w:hAnsi="Book Antiqua" w:cstheme="minorHAnsi"/>
          <w:iCs/>
          <w:color w:val="000000" w:themeColor="text1"/>
          <w:szCs w:val="24"/>
          <w:vertAlign w:val="superscript"/>
        </w:rPr>
        <w:t>st</w:t>
      </w:r>
      <w:r w:rsidR="00911639" w:rsidRPr="00413D75">
        <w:rPr>
          <w:rFonts w:ascii="Book Antiqua" w:hAnsi="Book Antiqua" w:cstheme="minorHAnsi"/>
          <w:iCs/>
          <w:color w:val="000000" w:themeColor="text1"/>
          <w:szCs w:val="24"/>
        </w:rPr>
        <w:t xml:space="preserve"> Rd, Kaohsiung 813, Taiwan. </w:t>
      </w:r>
      <w:bookmarkStart w:id="4" w:name="OLE_LINK1"/>
      <w:bookmarkStart w:id="5" w:name="OLE_LINK11"/>
      <w:r w:rsidR="00C96CD5" w:rsidRPr="00413D75">
        <w:rPr>
          <w:rFonts w:ascii="Book Antiqua" w:hAnsi="Book Antiqua" w:cstheme="minorHAnsi"/>
          <w:color w:val="000000" w:themeColor="text1"/>
          <w:szCs w:val="24"/>
        </w:rPr>
        <w:fldChar w:fldCharType="begin"/>
      </w:r>
      <w:r w:rsidR="00911639" w:rsidRPr="00413D75">
        <w:rPr>
          <w:rFonts w:ascii="Book Antiqua" w:hAnsi="Book Antiqua" w:cstheme="minorHAnsi"/>
          <w:color w:val="000000" w:themeColor="text1"/>
          <w:szCs w:val="24"/>
        </w:rPr>
        <w:instrText xml:space="preserve"> HYPERLINK "mailto:williamhsup@yahoo.com.tw" </w:instrText>
      </w:r>
      <w:r w:rsidR="00C96CD5" w:rsidRPr="00413D75">
        <w:rPr>
          <w:rFonts w:ascii="Book Antiqua" w:hAnsi="Book Antiqua" w:cstheme="minorHAnsi"/>
          <w:color w:val="000000" w:themeColor="text1"/>
          <w:szCs w:val="24"/>
        </w:rPr>
        <w:fldChar w:fldCharType="separate"/>
      </w:r>
      <w:r w:rsidR="00911639" w:rsidRPr="00413D75">
        <w:rPr>
          <w:rStyle w:val="Hyperlink"/>
          <w:rFonts w:ascii="Book Antiqua" w:hAnsi="Book Antiqua" w:cstheme="minorHAnsi"/>
          <w:color w:val="000000" w:themeColor="text1"/>
          <w:szCs w:val="24"/>
          <w:u w:val="none"/>
        </w:rPr>
        <w:t>williamhsup@yahoo.com.tw</w:t>
      </w:r>
      <w:r w:rsidR="00C96CD5" w:rsidRPr="00413D75">
        <w:rPr>
          <w:rFonts w:ascii="Book Antiqua" w:hAnsi="Book Antiqua" w:cstheme="minorHAnsi"/>
          <w:color w:val="000000" w:themeColor="text1"/>
          <w:szCs w:val="24"/>
        </w:rPr>
        <w:fldChar w:fldCharType="end"/>
      </w:r>
      <w:r w:rsidR="00837250" w:rsidRPr="00413D75">
        <w:rPr>
          <w:rFonts w:ascii="Book Antiqua" w:hAnsi="Book Antiqua" w:cstheme="minorHAnsi"/>
          <w:color w:val="000000" w:themeColor="text1"/>
          <w:szCs w:val="24"/>
        </w:rPr>
        <w:t xml:space="preserve"> </w:t>
      </w:r>
      <w:bookmarkEnd w:id="4"/>
      <w:bookmarkEnd w:id="5"/>
    </w:p>
    <w:p w14:paraId="28F02DD4" w14:textId="69D9A825" w:rsidR="00837250" w:rsidRPr="00413D75" w:rsidRDefault="00413D75" w:rsidP="00413D75">
      <w:pPr>
        <w:adjustRightInd w:val="0"/>
        <w:snapToGrid w:val="0"/>
        <w:spacing w:line="360" w:lineRule="auto"/>
        <w:jc w:val="both"/>
        <w:rPr>
          <w:rFonts w:ascii="Book Antiqua" w:hAnsi="Book Antiqua" w:cstheme="minorHAnsi"/>
          <w:b/>
          <w:color w:val="000000" w:themeColor="text1"/>
          <w:szCs w:val="24"/>
        </w:rPr>
      </w:pPr>
      <w:r>
        <w:rPr>
          <w:rFonts w:ascii="Book Antiqua" w:hAnsi="Book Antiqua" w:cstheme="minorHAnsi"/>
          <w:b/>
          <w:color w:val="000000" w:themeColor="text1"/>
          <w:szCs w:val="24"/>
        </w:rPr>
        <w:t xml:space="preserve">Telephone: </w:t>
      </w:r>
      <w:r w:rsidRPr="00413D75">
        <w:rPr>
          <w:rFonts w:ascii="Book Antiqua" w:hAnsi="Book Antiqua" w:cstheme="minorHAnsi"/>
          <w:color w:val="000000" w:themeColor="text1"/>
          <w:szCs w:val="24"/>
        </w:rPr>
        <w:t>+</w:t>
      </w:r>
      <w:r w:rsidR="00837250" w:rsidRPr="00413D75">
        <w:rPr>
          <w:rFonts w:ascii="Book Antiqua" w:hAnsi="Book Antiqua" w:cstheme="minorHAnsi"/>
          <w:color w:val="000000" w:themeColor="text1"/>
          <w:szCs w:val="24"/>
        </w:rPr>
        <w:t>886-7-3468233</w:t>
      </w:r>
      <w:r w:rsidR="00E956B2" w:rsidRPr="00413D75">
        <w:rPr>
          <w:rFonts w:ascii="Book Antiqua" w:hAnsi="Book Antiqua" w:cstheme="minorHAnsi"/>
          <w:b/>
          <w:color w:val="000000" w:themeColor="text1"/>
          <w:szCs w:val="24"/>
        </w:rPr>
        <w:t xml:space="preserve"> </w:t>
      </w:r>
    </w:p>
    <w:p w14:paraId="67857578" w14:textId="77777777" w:rsidR="00413D75" w:rsidRDefault="00413D75" w:rsidP="00413D75">
      <w:pPr>
        <w:adjustRightInd w:val="0"/>
        <w:snapToGrid w:val="0"/>
        <w:spacing w:line="360" w:lineRule="auto"/>
        <w:jc w:val="both"/>
        <w:rPr>
          <w:rFonts w:ascii="Book Antiqua" w:hAnsi="Book Antiqua" w:cstheme="minorHAnsi"/>
          <w:b/>
          <w:color w:val="000000" w:themeColor="text1"/>
          <w:szCs w:val="24"/>
        </w:rPr>
      </w:pPr>
      <w:r>
        <w:rPr>
          <w:rFonts w:ascii="Book Antiqua" w:hAnsi="Book Antiqua" w:cstheme="minorHAnsi"/>
          <w:b/>
          <w:color w:val="000000" w:themeColor="text1"/>
          <w:szCs w:val="24"/>
        </w:rPr>
        <w:t xml:space="preserve">Fax: </w:t>
      </w:r>
      <w:r w:rsidRPr="00413D75">
        <w:rPr>
          <w:rFonts w:ascii="Book Antiqua" w:hAnsi="Book Antiqua" w:cstheme="minorHAnsi"/>
          <w:color w:val="000000" w:themeColor="text1"/>
          <w:szCs w:val="24"/>
        </w:rPr>
        <w:t>+</w:t>
      </w:r>
      <w:r w:rsidR="00837250" w:rsidRPr="00413D75">
        <w:rPr>
          <w:rFonts w:ascii="Book Antiqua" w:hAnsi="Book Antiqua" w:cstheme="minorHAnsi"/>
          <w:color w:val="000000" w:themeColor="text1"/>
          <w:szCs w:val="24"/>
        </w:rPr>
        <w:t>886</w:t>
      </w:r>
      <w:r w:rsidR="00E956B2" w:rsidRPr="00413D75">
        <w:rPr>
          <w:rFonts w:ascii="Book Antiqua" w:hAnsi="Book Antiqua" w:cstheme="minorHAnsi"/>
          <w:color w:val="000000" w:themeColor="text1"/>
          <w:szCs w:val="24"/>
        </w:rPr>
        <w:t>-</w:t>
      </w:r>
      <w:r w:rsidR="00837250" w:rsidRPr="00413D75">
        <w:rPr>
          <w:rFonts w:ascii="Book Antiqua" w:hAnsi="Book Antiqua" w:cstheme="minorHAnsi"/>
          <w:color w:val="000000" w:themeColor="text1"/>
          <w:szCs w:val="24"/>
        </w:rPr>
        <w:t>7</w:t>
      </w:r>
      <w:r w:rsidR="00E956B2" w:rsidRPr="00413D75">
        <w:rPr>
          <w:rFonts w:ascii="Book Antiqua" w:hAnsi="Book Antiqua" w:cstheme="minorHAnsi"/>
          <w:color w:val="000000" w:themeColor="text1"/>
          <w:szCs w:val="24"/>
        </w:rPr>
        <w:t>-</w:t>
      </w:r>
      <w:r w:rsidR="00837250" w:rsidRPr="00413D75">
        <w:rPr>
          <w:rFonts w:ascii="Book Antiqua" w:hAnsi="Book Antiqua" w:cstheme="minorHAnsi"/>
          <w:color w:val="000000" w:themeColor="text1"/>
          <w:szCs w:val="24"/>
        </w:rPr>
        <w:t>3468237</w:t>
      </w:r>
      <w:r w:rsidR="00E956B2" w:rsidRPr="00413D75">
        <w:rPr>
          <w:rFonts w:ascii="Book Antiqua" w:hAnsi="Book Antiqua" w:cstheme="minorHAnsi"/>
          <w:b/>
          <w:color w:val="000000" w:themeColor="text1"/>
          <w:szCs w:val="24"/>
        </w:rPr>
        <w:t xml:space="preserve"> </w:t>
      </w:r>
    </w:p>
    <w:p w14:paraId="289EF25F" w14:textId="77777777" w:rsidR="00413D75" w:rsidRDefault="00413D75" w:rsidP="00413D75">
      <w:pPr>
        <w:adjustRightInd w:val="0"/>
        <w:snapToGrid w:val="0"/>
        <w:spacing w:line="360" w:lineRule="auto"/>
        <w:jc w:val="both"/>
        <w:rPr>
          <w:rFonts w:ascii="Book Antiqua" w:hAnsi="Book Antiqua" w:cstheme="minorHAnsi"/>
          <w:b/>
          <w:color w:val="000000" w:themeColor="text1"/>
          <w:szCs w:val="24"/>
        </w:rPr>
      </w:pPr>
    </w:p>
    <w:p w14:paraId="37246AC7" w14:textId="080A903E" w:rsidR="00413D75" w:rsidRPr="00A37D48" w:rsidRDefault="00413D75" w:rsidP="00413D75">
      <w:pPr>
        <w:adjustRightInd w:val="0"/>
        <w:snapToGrid w:val="0"/>
        <w:spacing w:line="360" w:lineRule="auto"/>
        <w:jc w:val="both"/>
        <w:rPr>
          <w:rFonts w:ascii="Book Antiqua" w:hAnsi="Book Antiqua"/>
          <w:b/>
        </w:rPr>
      </w:pPr>
      <w:bookmarkStart w:id="6" w:name="OLE_LINK14"/>
      <w:bookmarkStart w:id="7" w:name="OLE_LINK16"/>
      <w:bookmarkStart w:id="8" w:name="OLE_LINK51"/>
      <w:r w:rsidRPr="00A37D48">
        <w:rPr>
          <w:rFonts w:ascii="Book Antiqua" w:hAnsi="Book Antiqua"/>
          <w:b/>
        </w:rPr>
        <w:t xml:space="preserve">Received: </w:t>
      </w:r>
      <w:r>
        <w:rPr>
          <w:rFonts w:ascii="Book Antiqua" w:hAnsi="Book Antiqua"/>
        </w:rPr>
        <w:t>August</w:t>
      </w:r>
      <w:r>
        <w:rPr>
          <w:rFonts w:ascii="Book Antiqua" w:eastAsia="DengXian" w:hAnsi="Book Antiqua"/>
        </w:rPr>
        <w:t xml:space="preserve"> 7</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0B212A64" w14:textId="41C68E45" w:rsidR="00413D75" w:rsidRPr="00697A7B" w:rsidRDefault="00413D75" w:rsidP="00413D75">
      <w:pPr>
        <w:adjustRightInd w:val="0"/>
        <w:snapToGrid w:val="0"/>
        <w:spacing w:line="360" w:lineRule="auto"/>
        <w:jc w:val="both"/>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August</w:t>
      </w:r>
      <w:r>
        <w:rPr>
          <w:rFonts w:ascii="Book Antiqua" w:eastAsia="DengXian" w:hAnsi="Book Antiqua"/>
        </w:rPr>
        <w:t xml:space="preserve"> 7</w:t>
      </w:r>
      <w:r w:rsidRPr="00697A7B">
        <w:rPr>
          <w:rFonts w:ascii="Book Antiqua" w:eastAsia="DengXian" w:hAnsi="Book Antiqua"/>
        </w:rPr>
        <w:t>, 201</w:t>
      </w:r>
      <w:r>
        <w:rPr>
          <w:rFonts w:ascii="Book Antiqua" w:eastAsia="DengXian" w:hAnsi="Book Antiqua"/>
        </w:rPr>
        <w:t>8</w:t>
      </w:r>
      <w:bookmarkStart w:id="9" w:name="_GoBack"/>
      <w:bookmarkEnd w:id="9"/>
    </w:p>
    <w:p w14:paraId="1263E67E" w14:textId="7CEBB6A5" w:rsidR="00413D75" w:rsidRPr="00697A7B" w:rsidRDefault="00413D75" w:rsidP="00413D75">
      <w:pPr>
        <w:adjustRightInd w:val="0"/>
        <w:snapToGrid w:val="0"/>
        <w:spacing w:line="360" w:lineRule="auto"/>
        <w:jc w:val="both"/>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August</w:t>
      </w:r>
      <w:r>
        <w:rPr>
          <w:rFonts w:ascii="Book Antiqua" w:eastAsia="DengXian" w:hAnsi="Book Antiqua"/>
        </w:rPr>
        <w:t xml:space="preserve"> 24</w:t>
      </w:r>
      <w:r w:rsidRPr="00697A7B">
        <w:rPr>
          <w:rFonts w:ascii="Book Antiqua" w:eastAsia="DengXian" w:hAnsi="Book Antiqua"/>
        </w:rPr>
        <w:t>, 201</w:t>
      </w:r>
      <w:r>
        <w:rPr>
          <w:rFonts w:ascii="Book Antiqua" w:eastAsia="DengXian" w:hAnsi="Book Antiqua"/>
        </w:rPr>
        <w:t>8</w:t>
      </w:r>
    </w:p>
    <w:p w14:paraId="1D8E310A" w14:textId="668B648E" w:rsidR="00413D75" w:rsidRPr="00A37D48" w:rsidRDefault="00413D75" w:rsidP="00413D75">
      <w:pPr>
        <w:adjustRightInd w:val="0"/>
        <w:snapToGrid w:val="0"/>
        <w:spacing w:line="360" w:lineRule="auto"/>
        <w:jc w:val="both"/>
        <w:rPr>
          <w:rFonts w:ascii="Book Antiqua" w:hAnsi="Book Antiqua"/>
          <w:b/>
        </w:rPr>
      </w:pPr>
      <w:r w:rsidRPr="00A37D48">
        <w:rPr>
          <w:rFonts w:ascii="Book Antiqua" w:hAnsi="Book Antiqua"/>
          <w:b/>
        </w:rPr>
        <w:t>Revised:</w:t>
      </w:r>
      <w:r>
        <w:rPr>
          <w:rFonts w:ascii="Book Antiqua" w:hAnsi="Book Antiqua"/>
          <w:b/>
        </w:rPr>
        <w:t xml:space="preserve"> </w:t>
      </w:r>
      <w:r>
        <w:rPr>
          <w:rFonts w:ascii="Book Antiqua" w:hAnsi="Book Antiqua"/>
        </w:rPr>
        <w:t>September 20, 2018</w:t>
      </w:r>
      <w:r w:rsidRPr="009C1EE2">
        <w:rPr>
          <w:rFonts w:ascii="Book Antiqua" w:hAnsi="Book Antiqua"/>
        </w:rPr>
        <w:t xml:space="preserve"> </w:t>
      </w:r>
    </w:p>
    <w:p w14:paraId="72FC0820" w14:textId="7F3E6E07" w:rsidR="00413D75" w:rsidRPr="00A37D48" w:rsidRDefault="00413D75" w:rsidP="00413D75">
      <w:pPr>
        <w:adjustRightInd w:val="0"/>
        <w:snapToGrid w:val="0"/>
        <w:spacing w:line="360" w:lineRule="auto"/>
        <w:jc w:val="both"/>
        <w:rPr>
          <w:rFonts w:ascii="Book Antiqua" w:hAnsi="Book Antiqua"/>
          <w:b/>
        </w:rPr>
      </w:pPr>
      <w:r w:rsidRPr="00A37D48">
        <w:rPr>
          <w:rFonts w:ascii="Book Antiqua" w:hAnsi="Book Antiqua"/>
          <w:b/>
        </w:rPr>
        <w:t>Accepted:</w:t>
      </w:r>
      <w:r w:rsidR="00C827E9" w:rsidRPr="00C827E9">
        <w:t xml:space="preserve"> </w:t>
      </w:r>
      <w:r w:rsidR="00C827E9" w:rsidRPr="00C827E9">
        <w:rPr>
          <w:rFonts w:ascii="Book Antiqua" w:hAnsi="Book Antiqua"/>
        </w:rPr>
        <w:t>October 5, 2018</w:t>
      </w:r>
      <w:r w:rsidRPr="00A37D48">
        <w:rPr>
          <w:rFonts w:ascii="Book Antiqua" w:hAnsi="Book Antiqua"/>
          <w:b/>
        </w:rPr>
        <w:t xml:space="preserve"> </w:t>
      </w:r>
    </w:p>
    <w:p w14:paraId="49D09601" w14:textId="77777777" w:rsidR="00413D75" w:rsidRPr="00A37D48" w:rsidRDefault="00413D75" w:rsidP="00413D75">
      <w:pPr>
        <w:adjustRightInd w:val="0"/>
        <w:snapToGrid w:val="0"/>
        <w:spacing w:line="360" w:lineRule="auto"/>
        <w:jc w:val="both"/>
        <w:rPr>
          <w:rFonts w:ascii="Book Antiqua" w:hAnsi="Book Antiqua"/>
          <w:b/>
        </w:rPr>
      </w:pPr>
      <w:r w:rsidRPr="00A37D48">
        <w:rPr>
          <w:rFonts w:ascii="Book Antiqua" w:hAnsi="Book Antiqua"/>
          <w:b/>
        </w:rPr>
        <w:t>Article in press:</w:t>
      </w:r>
    </w:p>
    <w:p w14:paraId="6217913B" w14:textId="77777777" w:rsidR="00413D75" w:rsidRPr="00831B2E" w:rsidRDefault="00413D75" w:rsidP="00413D75">
      <w:pPr>
        <w:snapToGrid w:val="0"/>
        <w:spacing w:line="360" w:lineRule="auto"/>
        <w:jc w:val="both"/>
        <w:rPr>
          <w:rFonts w:ascii="Book Antiqua" w:hAnsi="Book Antiqua"/>
          <w:color w:val="000000"/>
        </w:rPr>
      </w:pPr>
      <w:r w:rsidRPr="00A37D48">
        <w:rPr>
          <w:rFonts w:ascii="Book Antiqua" w:hAnsi="Book Antiqua"/>
          <w:b/>
        </w:rPr>
        <w:t>Published online:</w:t>
      </w:r>
      <w:bookmarkEnd w:id="6"/>
      <w:bookmarkEnd w:id="7"/>
      <w:bookmarkEnd w:id="8"/>
    </w:p>
    <w:p w14:paraId="211AF2B0" w14:textId="05F87B4D" w:rsidR="00B904C0" w:rsidRPr="00413D75" w:rsidRDefault="00B904C0" w:rsidP="00413D75">
      <w:pPr>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b/>
          <w:color w:val="000000" w:themeColor="text1"/>
          <w:szCs w:val="24"/>
        </w:rPr>
        <w:br w:type="page"/>
      </w:r>
    </w:p>
    <w:p w14:paraId="21DD0728" w14:textId="77777777" w:rsidR="00D04C84" w:rsidRPr="00413D75" w:rsidRDefault="00D04C84" w:rsidP="00413D75">
      <w:pPr>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b/>
          <w:color w:val="000000" w:themeColor="text1"/>
          <w:szCs w:val="24"/>
        </w:rPr>
        <w:lastRenderedPageBreak/>
        <w:t>Abstract</w:t>
      </w:r>
    </w:p>
    <w:p w14:paraId="37684C5E" w14:textId="6552D4D4" w:rsidR="00D04C84" w:rsidRPr="00413D75" w:rsidRDefault="00D04C84"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kern w:val="0"/>
          <w:szCs w:val="24"/>
        </w:rPr>
        <w:t xml:space="preserve">At present, the best rescue therapy for </w:t>
      </w:r>
      <w:r w:rsidRPr="00413D75">
        <w:rPr>
          <w:rFonts w:ascii="Book Antiqua" w:hAnsi="Book Antiqua" w:cstheme="minorHAnsi"/>
          <w:i/>
          <w:color w:val="000000" w:themeColor="text1"/>
          <w:kern w:val="0"/>
          <w:szCs w:val="24"/>
        </w:rPr>
        <w:t xml:space="preserve">Helicobacter pylori </w:t>
      </w:r>
      <w:r w:rsidRPr="00413D75">
        <w:rPr>
          <w:rFonts w:ascii="Book Antiqua" w:hAnsi="Book Antiqua" w:cstheme="minorHAnsi"/>
          <w:color w:val="000000" w:themeColor="text1"/>
          <w:kern w:val="0"/>
          <w:szCs w:val="24"/>
        </w:rPr>
        <w:t>(</w:t>
      </w:r>
      <w:r w:rsidRPr="00413D75">
        <w:rPr>
          <w:rFonts w:ascii="Book Antiqua" w:hAnsi="Book Antiqua" w:cstheme="minorHAnsi"/>
          <w:i/>
          <w:color w:val="000000" w:themeColor="text1"/>
          <w:kern w:val="0"/>
          <w:szCs w:val="24"/>
        </w:rPr>
        <w:t>H. pylori</w:t>
      </w:r>
      <w:r w:rsidRPr="00413D75">
        <w:rPr>
          <w:rFonts w:ascii="Book Antiqua" w:hAnsi="Book Antiqua" w:cstheme="minorHAnsi"/>
          <w:color w:val="000000" w:themeColor="text1"/>
          <w:kern w:val="0"/>
          <w:szCs w:val="24"/>
        </w:rPr>
        <w:t xml:space="preserve">) infection following failure of first-line eradication remains unclear. </w:t>
      </w:r>
      <w:r w:rsidRPr="00413D75">
        <w:rPr>
          <w:rFonts w:ascii="Book Antiqua" w:hAnsi="Book Antiqua" w:cstheme="minorHAnsi"/>
          <w:color w:val="000000" w:themeColor="text1"/>
          <w:szCs w:val="24"/>
        </w:rPr>
        <w:t xml:space="preserve">The Maastricht V/Florence Consensus Report recommends bismuth quadruple therapy, or fluoroquinolone-amoxicillin triple/quadruple therapy as the second-line therapy for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infection. Meta-analyses have shown that bismuth quadruple therapy and levofloxacin-amoxicillin triple therapy have</w:t>
      </w:r>
      <w:r w:rsidRPr="00413D75">
        <w:rPr>
          <w:rFonts w:ascii="Book Antiqua" w:hAnsi="Book Antiqua" w:cstheme="minorHAnsi"/>
          <w:color w:val="000000" w:themeColor="text1"/>
          <w:kern w:val="0"/>
          <w:szCs w:val="24"/>
        </w:rPr>
        <w:t xml:space="preserve"> comparable eradication rates, while the former has more adverse effects than the latter. There are no significant differences between the eradication rates of levofloxacin-amoxicillin triple and quadruple therapies. However, the eradication rates of both levofloxacin-containing treatments are suboptimal. An i</w:t>
      </w:r>
      <w:r w:rsidRPr="00413D75">
        <w:rPr>
          <w:rFonts w:ascii="Book Antiqua" w:hAnsi="Book Antiqua" w:cstheme="minorHAnsi"/>
          <w:color w:val="000000" w:themeColor="text1"/>
          <w:szCs w:val="24"/>
        </w:rPr>
        <w:t>mportant caveat of levofloxacin</w:t>
      </w:r>
      <w:r w:rsidRPr="00413D75">
        <w:rPr>
          <w:rFonts w:ascii="Book Antiqua" w:hAnsi="Book Antiqua" w:cstheme="minorHAnsi"/>
          <w:color w:val="000000" w:themeColor="text1"/>
          <w:kern w:val="0"/>
          <w:szCs w:val="24"/>
        </w:rPr>
        <w:t>-amoxicillin triple or quadruple therapy</w:t>
      </w:r>
      <w:r w:rsidRPr="00413D75">
        <w:rPr>
          <w:rFonts w:ascii="Book Antiqua" w:hAnsi="Book Antiqua" w:cstheme="minorHAnsi"/>
          <w:color w:val="000000" w:themeColor="text1"/>
          <w:szCs w:val="24"/>
        </w:rPr>
        <w:t xml:space="preserve"> is poor eradication efficacy in the presence of fluoroquinolone resistance. H</w:t>
      </w:r>
      <w:r w:rsidRPr="00413D75">
        <w:rPr>
          <w:rFonts w:ascii="Book Antiqua" w:eastAsiaTheme="minorEastAsia" w:hAnsi="Book Antiqua" w:cstheme="minorHAnsi"/>
          <w:color w:val="000000" w:themeColor="text1"/>
          <w:szCs w:val="24"/>
        </w:rPr>
        <w:t xml:space="preserve">igh-dose dual therapy is an emerging second-line therapy and has an eradication efficacy comparable with levofloxacin-amoxicillin triple therapy. </w:t>
      </w:r>
      <w:r w:rsidRPr="00413D75">
        <w:rPr>
          <w:rFonts w:ascii="Book Antiqua" w:hAnsi="Book Antiqua" w:cstheme="minorHAnsi"/>
          <w:color w:val="000000" w:themeColor="text1"/>
          <w:szCs w:val="24"/>
        </w:rPr>
        <w:t xml:space="preserve">Recently, </w:t>
      </w:r>
      <w:r w:rsidRPr="00413D75">
        <w:rPr>
          <w:rFonts w:ascii="Book Antiqua" w:eastAsia="AdvP101883" w:hAnsi="Book Antiqua" w:cstheme="minorHAnsi"/>
          <w:color w:val="000000" w:themeColor="text1"/>
          <w:kern w:val="0"/>
          <w:szCs w:val="24"/>
        </w:rPr>
        <w:t>a 10-d tetracycline-levofloxacin (TL) quadruple therapy comprised of a proton pump inhibitor, bismuth, t</w:t>
      </w:r>
      <w:r w:rsidRPr="00413D75">
        <w:rPr>
          <w:rFonts w:ascii="Book Antiqua" w:hAnsi="Book Antiqua" w:cstheme="minorHAnsi"/>
          <w:color w:val="000000" w:themeColor="text1"/>
          <w:kern w:val="0"/>
          <w:szCs w:val="24"/>
        </w:rPr>
        <w:t>etracycline and levofloxacin has been developed, which a</w:t>
      </w:r>
      <w:r w:rsidRPr="00413D75">
        <w:rPr>
          <w:rFonts w:ascii="Book Antiqua" w:hAnsi="Book Antiqua" w:cstheme="minorHAnsi"/>
          <w:color w:val="000000" w:themeColor="text1"/>
          <w:szCs w:val="24"/>
        </w:rPr>
        <w:t>chieves a markedly higher eradication rate compared with levofloxacin-</w:t>
      </w:r>
      <w:r w:rsidRPr="00413D75">
        <w:rPr>
          <w:rFonts w:ascii="Book Antiqua" w:hAnsi="Book Antiqua" w:cstheme="minorHAnsi"/>
          <w:color w:val="000000" w:themeColor="text1"/>
          <w:kern w:val="0"/>
          <w:szCs w:val="24"/>
        </w:rPr>
        <w:t xml:space="preserve">amoxicillin triple therapy </w:t>
      </w:r>
      <w:r w:rsidR="00413D75">
        <w:rPr>
          <w:rFonts w:ascii="Book Antiqua" w:hAnsi="Book Antiqua" w:cstheme="minorHAnsi"/>
          <w:color w:val="000000" w:themeColor="text1"/>
          <w:szCs w:val="24"/>
        </w:rPr>
        <w:t xml:space="preserve">(98% </w:t>
      </w:r>
      <w:r w:rsidR="00413D75" w:rsidRPr="00413D75">
        <w:rPr>
          <w:rFonts w:ascii="Book Antiqua" w:hAnsi="Book Antiqua" w:cstheme="minorHAnsi"/>
          <w:i/>
          <w:color w:val="000000" w:themeColor="text1"/>
          <w:szCs w:val="24"/>
        </w:rPr>
        <w:t>vs</w:t>
      </w:r>
      <w:r w:rsidRPr="00413D75">
        <w:rPr>
          <w:rFonts w:ascii="Book Antiqua" w:hAnsi="Book Antiqua" w:cstheme="minorHAnsi"/>
          <w:color w:val="000000" w:themeColor="text1"/>
          <w:szCs w:val="24"/>
        </w:rPr>
        <w:t xml:space="preserve"> 69%) in patients with failure of standard triple, bismuth quadruple or non-bismuth quadruple therapy. The present article reviews current second-line anti-</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regimens and treatment algorisms. In conclusion, bismuth quadruple therapy, levofloxacin-amoxicillin triple/quadruple therapy, high-dose dual therapy and TL quadruple therapy can be used as second-line treatment for </w:t>
      </w:r>
      <w:r w:rsidRPr="00413D75">
        <w:rPr>
          <w:rFonts w:ascii="Book Antiqua" w:hAnsi="Book Antiqua" w:cstheme="minorHAnsi"/>
          <w:i/>
          <w:color w:val="000000" w:themeColor="text1"/>
          <w:szCs w:val="24"/>
        </w:rPr>
        <w:t xml:space="preserve">H. pylori </w:t>
      </w:r>
      <w:r w:rsidRPr="00413D75">
        <w:rPr>
          <w:rFonts w:ascii="Book Antiqua" w:hAnsi="Book Antiqua" w:cstheme="minorHAnsi"/>
          <w:color w:val="000000" w:themeColor="text1"/>
          <w:szCs w:val="24"/>
        </w:rPr>
        <w:t xml:space="preserve">infection. Current evidence suggests that 10-d TL quadruple therapy is a simple and effective regimen, and has the potential to become a universal rescue treatment following eradication failure by all first-line eradication regimens for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infection.</w:t>
      </w:r>
    </w:p>
    <w:p w14:paraId="37468CE3" w14:textId="77777777" w:rsidR="00D04C84" w:rsidRPr="00413D75" w:rsidRDefault="00D04C84" w:rsidP="00413D75">
      <w:pPr>
        <w:adjustRightInd w:val="0"/>
        <w:snapToGrid w:val="0"/>
        <w:spacing w:line="360" w:lineRule="auto"/>
        <w:jc w:val="both"/>
        <w:rPr>
          <w:rFonts w:ascii="Book Antiqua" w:hAnsi="Book Antiqua" w:cstheme="minorHAnsi"/>
          <w:color w:val="000000" w:themeColor="text1"/>
          <w:szCs w:val="24"/>
        </w:rPr>
      </w:pPr>
    </w:p>
    <w:p w14:paraId="2897B908" w14:textId="73599F2B" w:rsidR="00D04C84" w:rsidRDefault="00D04C84"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b/>
          <w:color w:val="000000" w:themeColor="text1"/>
          <w:szCs w:val="24"/>
        </w:rPr>
        <w:t xml:space="preserve">Key words: </w:t>
      </w:r>
      <w:r w:rsidRPr="00413D75">
        <w:rPr>
          <w:rFonts w:ascii="Book Antiqua" w:hAnsi="Book Antiqua" w:cstheme="minorHAnsi"/>
          <w:i/>
          <w:iCs/>
          <w:color w:val="000000" w:themeColor="text1"/>
          <w:szCs w:val="24"/>
        </w:rPr>
        <w:t>Helicobacter pylori</w:t>
      </w:r>
      <w:r w:rsidR="00413D75">
        <w:rPr>
          <w:rFonts w:ascii="Book Antiqua" w:hAnsi="Book Antiqua" w:cstheme="minorHAnsi"/>
          <w:color w:val="000000" w:themeColor="text1"/>
          <w:szCs w:val="24"/>
        </w:rPr>
        <w:t>; Rescue treatment; L</w:t>
      </w:r>
      <w:r w:rsidRPr="00413D75">
        <w:rPr>
          <w:rFonts w:ascii="Book Antiqua" w:hAnsi="Book Antiqua" w:cstheme="minorHAnsi"/>
          <w:color w:val="000000" w:themeColor="text1"/>
          <w:szCs w:val="24"/>
        </w:rPr>
        <w:t>evoflox</w:t>
      </w:r>
      <w:r w:rsidR="00413D75">
        <w:rPr>
          <w:rFonts w:ascii="Book Antiqua" w:hAnsi="Book Antiqua" w:cstheme="minorHAnsi"/>
          <w:color w:val="000000" w:themeColor="text1"/>
          <w:szCs w:val="24"/>
        </w:rPr>
        <w:t>acin-amoxicillin triple therapy; Bismuth quadruple therapy; T</w:t>
      </w:r>
      <w:r w:rsidRPr="00413D75">
        <w:rPr>
          <w:rFonts w:ascii="Book Antiqua" w:hAnsi="Book Antiqua" w:cstheme="minorHAnsi"/>
          <w:color w:val="000000" w:themeColor="text1"/>
          <w:szCs w:val="24"/>
        </w:rPr>
        <w:t>etracycline</w:t>
      </w:r>
      <w:r w:rsidR="00413D75">
        <w:rPr>
          <w:rFonts w:ascii="Book Antiqua" w:hAnsi="Book Antiqua" w:cstheme="minorHAnsi"/>
          <w:color w:val="000000" w:themeColor="text1"/>
          <w:szCs w:val="24"/>
        </w:rPr>
        <w:t xml:space="preserve">-levofloxacin </w:t>
      </w:r>
      <w:r w:rsidR="00413D75">
        <w:rPr>
          <w:rFonts w:ascii="Book Antiqua" w:hAnsi="Book Antiqua" w:cstheme="minorHAnsi"/>
          <w:color w:val="000000" w:themeColor="text1"/>
          <w:szCs w:val="24"/>
        </w:rPr>
        <w:lastRenderedPageBreak/>
        <w:t>quadruple therapy; H</w:t>
      </w:r>
      <w:r w:rsidRPr="00413D75">
        <w:rPr>
          <w:rFonts w:ascii="Book Antiqua" w:hAnsi="Book Antiqua" w:cstheme="minorHAnsi"/>
          <w:color w:val="000000" w:themeColor="text1"/>
          <w:szCs w:val="24"/>
        </w:rPr>
        <w:t>igh-dose dual therapy</w:t>
      </w:r>
    </w:p>
    <w:p w14:paraId="503C3366" w14:textId="77777777" w:rsidR="00413D75" w:rsidRPr="00413D75" w:rsidRDefault="00413D75" w:rsidP="00413D75">
      <w:pPr>
        <w:adjustRightInd w:val="0"/>
        <w:snapToGrid w:val="0"/>
        <w:spacing w:line="360" w:lineRule="auto"/>
        <w:jc w:val="both"/>
        <w:rPr>
          <w:rFonts w:ascii="Book Antiqua" w:hAnsi="Book Antiqua" w:cstheme="minorHAnsi"/>
          <w:color w:val="000000" w:themeColor="text1"/>
          <w:szCs w:val="24"/>
        </w:rPr>
      </w:pPr>
    </w:p>
    <w:p w14:paraId="214CF19F" w14:textId="77777777" w:rsidR="00413D75" w:rsidRDefault="00413D75" w:rsidP="00413D75">
      <w:pPr>
        <w:spacing w:line="360" w:lineRule="auto"/>
        <w:jc w:val="both"/>
        <w:rPr>
          <w:rFonts w:ascii="Book Antiqua" w:hAnsi="Book Antiqua"/>
        </w:rPr>
      </w:pPr>
      <w:bookmarkStart w:id="10" w:name="OLE_LINK58"/>
      <w:bookmarkStart w:id="11" w:name="OLE_LINK59"/>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r w:rsidRPr="00831B2E">
        <w:rPr>
          <w:rFonts w:ascii="Book Antiqua" w:hAnsi="Book Antiqua"/>
        </w:rPr>
        <w:t xml:space="preserve"> </w:t>
      </w:r>
    </w:p>
    <w:bookmarkEnd w:id="10"/>
    <w:bookmarkEnd w:id="11"/>
    <w:p w14:paraId="5FA23634" w14:textId="77777777" w:rsidR="00D04C84" w:rsidRPr="00413D75" w:rsidRDefault="00D04C84"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 xml:space="preserve"> </w:t>
      </w:r>
    </w:p>
    <w:p w14:paraId="6D0661F9" w14:textId="4252D48F" w:rsidR="00D04C84" w:rsidRPr="00413D75" w:rsidRDefault="00D04C84"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b/>
          <w:color w:val="000000" w:themeColor="text1"/>
          <w:szCs w:val="24"/>
        </w:rPr>
        <w:t xml:space="preserve">Core tip: </w:t>
      </w:r>
      <w:r w:rsidRPr="00413D75">
        <w:rPr>
          <w:rFonts w:ascii="Book Antiqua" w:hAnsi="Book Antiqua" w:cstheme="minorHAnsi"/>
          <w:color w:val="000000" w:themeColor="text1"/>
          <w:szCs w:val="24"/>
        </w:rPr>
        <w:t>The present article reviews current second-line anti-</w:t>
      </w:r>
      <w:r w:rsidR="00413D75" w:rsidRPr="00413D75">
        <w:rPr>
          <w:rFonts w:ascii="Book Antiqua" w:hAnsi="Book Antiqua" w:cstheme="minorHAnsi"/>
          <w:i/>
          <w:color w:val="000000" w:themeColor="text1"/>
          <w:kern w:val="0"/>
          <w:szCs w:val="24"/>
        </w:rPr>
        <w:t xml:space="preserve">Helicobacter pylori </w:t>
      </w:r>
      <w:r w:rsidR="00413D75" w:rsidRPr="00413D75">
        <w:rPr>
          <w:rFonts w:ascii="Book Antiqua" w:hAnsi="Book Antiqua" w:cstheme="minorHAnsi"/>
          <w:color w:val="000000" w:themeColor="text1"/>
          <w:kern w:val="0"/>
          <w:szCs w:val="24"/>
        </w:rPr>
        <w:t>(</w:t>
      </w:r>
      <w:r w:rsidR="00413D75" w:rsidRPr="00413D75">
        <w:rPr>
          <w:rFonts w:ascii="Book Antiqua" w:hAnsi="Book Antiqua" w:cstheme="minorHAnsi"/>
          <w:i/>
          <w:color w:val="000000" w:themeColor="text1"/>
          <w:kern w:val="0"/>
          <w:szCs w:val="24"/>
        </w:rPr>
        <w:t>H. pylori</w:t>
      </w:r>
      <w:r w:rsidR="00413D75" w:rsidRPr="00413D75">
        <w:rPr>
          <w:rFonts w:ascii="Book Antiqua" w:hAnsi="Book Antiqua" w:cstheme="minorHAnsi"/>
          <w:color w:val="000000" w:themeColor="text1"/>
          <w:kern w:val="0"/>
          <w:szCs w:val="24"/>
        </w:rPr>
        <w:t>)</w:t>
      </w:r>
      <w:r w:rsidR="00413D75">
        <w:rPr>
          <w:rFonts w:ascii="Book Antiqua" w:hAnsi="Book Antiqua" w:cstheme="minorHAnsi"/>
          <w:color w:val="000000" w:themeColor="text1"/>
          <w:kern w:val="0"/>
          <w:szCs w:val="24"/>
        </w:rPr>
        <w:t xml:space="preserve"> </w:t>
      </w:r>
      <w:r w:rsidRPr="00413D75">
        <w:rPr>
          <w:rFonts w:ascii="Book Antiqua" w:hAnsi="Book Antiqua" w:cstheme="minorHAnsi"/>
          <w:color w:val="000000" w:themeColor="text1"/>
          <w:szCs w:val="24"/>
        </w:rPr>
        <w:t>regimens. Bismuth quadruple therapy and levofloxacin-amoxicillin triple therapy have</w:t>
      </w:r>
      <w:r w:rsidRPr="00413D75">
        <w:rPr>
          <w:rFonts w:ascii="Book Antiqua" w:hAnsi="Book Antiqua" w:cstheme="minorHAnsi"/>
          <w:color w:val="000000" w:themeColor="text1"/>
          <w:kern w:val="0"/>
          <w:szCs w:val="24"/>
        </w:rPr>
        <w:t xml:space="preserve"> comparable eradication rates in the rescue treatment of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kern w:val="0"/>
          <w:szCs w:val="24"/>
        </w:rPr>
        <w:t xml:space="preserve"> infection, while the former has more adverse effects than the latter. H</w:t>
      </w:r>
      <w:r w:rsidRPr="00413D75">
        <w:rPr>
          <w:rFonts w:ascii="Book Antiqua" w:eastAsiaTheme="minorEastAsia" w:hAnsi="Book Antiqua" w:cstheme="minorHAnsi"/>
          <w:color w:val="000000" w:themeColor="text1"/>
          <w:szCs w:val="24"/>
        </w:rPr>
        <w:t>igh-dose dual therapy has an eradication rate comparable with levofloxacin-amoxicillin triple therapy. Ten-day tetracycline-levofloxacin</w:t>
      </w:r>
      <w:r w:rsidRPr="00413D75">
        <w:rPr>
          <w:rFonts w:ascii="Book Antiqua" w:eastAsia="AdvP101883" w:hAnsi="Book Antiqua" w:cstheme="minorHAnsi"/>
          <w:color w:val="000000" w:themeColor="text1"/>
          <w:kern w:val="0"/>
          <w:szCs w:val="24"/>
        </w:rPr>
        <w:t xml:space="preserve"> quadruple therapy</w:t>
      </w:r>
      <w:r w:rsidRPr="00413D75">
        <w:rPr>
          <w:rFonts w:ascii="Book Antiqua" w:hAnsi="Book Antiqua" w:cstheme="minorHAnsi"/>
          <w:color w:val="000000" w:themeColor="text1"/>
          <w:kern w:val="0"/>
          <w:szCs w:val="24"/>
        </w:rPr>
        <w:t xml:space="preserve"> a</w:t>
      </w:r>
      <w:r w:rsidRPr="00413D75">
        <w:rPr>
          <w:rFonts w:ascii="Book Antiqua" w:hAnsi="Book Antiqua" w:cstheme="minorHAnsi"/>
          <w:color w:val="000000" w:themeColor="text1"/>
          <w:szCs w:val="24"/>
        </w:rPr>
        <w:t>chieves a markedly higher eradication rate compared with levofloxacin-</w:t>
      </w:r>
      <w:r w:rsidRPr="00413D75">
        <w:rPr>
          <w:rFonts w:ascii="Book Antiqua" w:hAnsi="Book Antiqua" w:cstheme="minorHAnsi"/>
          <w:color w:val="000000" w:themeColor="text1"/>
          <w:kern w:val="0"/>
          <w:szCs w:val="24"/>
        </w:rPr>
        <w:t xml:space="preserve">amoxicillin triple therapy </w:t>
      </w:r>
      <w:r w:rsidR="00413D75">
        <w:rPr>
          <w:rFonts w:ascii="Book Antiqua" w:hAnsi="Book Antiqua" w:cstheme="minorHAnsi"/>
          <w:color w:val="000000" w:themeColor="text1"/>
          <w:szCs w:val="24"/>
        </w:rPr>
        <w:t xml:space="preserve">(98% </w:t>
      </w:r>
      <w:r w:rsidR="00413D75" w:rsidRPr="00413D75">
        <w:rPr>
          <w:rFonts w:ascii="Book Antiqua" w:hAnsi="Book Antiqua" w:cstheme="minorHAnsi"/>
          <w:i/>
          <w:color w:val="000000" w:themeColor="text1"/>
          <w:szCs w:val="24"/>
        </w:rPr>
        <w:t>vs</w:t>
      </w:r>
      <w:r w:rsidRPr="00413D75">
        <w:rPr>
          <w:rFonts w:ascii="Book Antiqua" w:hAnsi="Book Antiqua" w:cstheme="minorHAnsi"/>
          <w:color w:val="000000" w:themeColor="text1"/>
          <w:szCs w:val="24"/>
        </w:rPr>
        <w:t xml:space="preserve"> 69%) in patients with failure of standard triple, bismuth quadruple or non-bismuth quadruple therapy. In conclusion, tetracycline-levofloxacin quadruple therapy has the potential to become a universal second-line treatment for</w:t>
      </w:r>
      <w:r w:rsidRPr="00413D75">
        <w:rPr>
          <w:rFonts w:ascii="Book Antiqua" w:hAnsi="Book Antiqua" w:cstheme="minorHAnsi"/>
          <w:i/>
          <w:color w:val="000000" w:themeColor="text1"/>
          <w:szCs w:val="24"/>
        </w:rPr>
        <w:t xml:space="preserve"> H. pylori </w:t>
      </w:r>
      <w:r w:rsidRPr="00413D75">
        <w:rPr>
          <w:rFonts w:ascii="Book Antiqua" w:hAnsi="Book Antiqua" w:cstheme="minorHAnsi"/>
          <w:color w:val="000000" w:themeColor="text1"/>
          <w:szCs w:val="24"/>
        </w:rPr>
        <w:t>infection.</w:t>
      </w:r>
    </w:p>
    <w:p w14:paraId="28E97BAE" w14:textId="77777777" w:rsidR="00D04C84" w:rsidRPr="00413D75" w:rsidRDefault="00D04C84" w:rsidP="00413D75">
      <w:pPr>
        <w:adjustRightInd w:val="0"/>
        <w:snapToGrid w:val="0"/>
        <w:spacing w:line="360" w:lineRule="auto"/>
        <w:jc w:val="both"/>
        <w:rPr>
          <w:rFonts w:ascii="Book Antiqua" w:hAnsi="Book Antiqua" w:cstheme="minorHAnsi"/>
          <w:color w:val="000000" w:themeColor="text1"/>
          <w:szCs w:val="24"/>
        </w:rPr>
      </w:pPr>
    </w:p>
    <w:p w14:paraId="7EE125AC" w14:textId="1425E605" w:rsidR="00D04C84" w:rsidRPr="008B3461" w:rsidRDefault="00D04C84"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Lin</w:t>
      </w:r>
      <w:r w:rsidR="00413D75">
        <w:rPr>
          <w:rFonts w:ascii="Book Antiqua" w:hAnsi="Book Antiqua" w:cstheme="minorHAnsi"/>
          <w:color w:val="000000" w:themeColor="text1"/>
          <w:szCs w:val="24"/>
        </w:rPr>
        <w:t xml:space="preserve"> TF</w:t>
      </w:r>
      <w:r w:rsidRPr="00413D75">
        <w:rPr>
          <w:rFonts w:ascii="Book Antiqua" w:hAnsi="Book Antiqua" w:cstheme="minorHAnsi"/>
          <w:color w:val="000000" w:themeColor="text1"/>
          <w:szCs w:val="24"/>
        </w:rPr>
        <w:t>,</w:t>
      </w:r>
      <w:r w:rsidRPr="00413D75">
        <w:rPr>
          <w:rFonts w:ascii="Book Antiqua" w:hAnsi="Book Antiqua" w:cstheme="minorHAnsi"/>
          <w:color w:val="000000" w:themeColor="text1"/>
          <w:szCs w:val="24"/>
          <w:vertAlign w:val="superscript"/>
        </w:rPr>
        <w:t xml:space="preserve"> </w:t>
      </w:r>
      <w:r w:rsidRPr="00413D75">
        <w:rPr>
          <w:rFonts w:ascii="Book Antiqua" w:hAnsi="Book Antiqua" w:cstheme="minorHAnsi"/>
          <w:color w:val="000000" w:themeColor="text1"/>
          <w:szCs w:val="24"/>
        </w:rPr>
        <w:t>Hsu</w:t>
      </w:r>
      <w:r w:rsidR="00413D75">
        <w:rPr>
          <w:rFonts w:ascii="Book Antiqua" w:hAnsi="Book Antiqua" w:cstheme="minorHAnsi"/>
          <w:color w:val="000000" w:themeColor="text1"/>
          <w:szCs w:val="24"/>
        </w:rPr>
        <w:t xml:space="preserve"> PI</w:t>
      </w:r>
      <w:r w:rsidRPr="00413D75">
        <w:rPr>
          <w:rFonts w:ascii="Book Antiqua" w:hAnsi="Book Antiqua" w:cstheme="minorHAnsi"/>
          <w:color w:val="000000" w:themeColor="text1"/>
          <w:szCs w:val="24"/>
        </w:rPr>
        <w:t xml:space="preserve">. Second-line rescue treatment of </w:t>
      </w:r>
      <w:r w:rsidRPr="00413D75">
        <w:rPr>
          <w:rFonts w:ascii="Book Antiqua" w:hAnsi="Book Antiqua" w:cstheme="minorHAnsi"/>
          <w:i/>
          <w:color w:val="000000" w:themeColor="text1"/>
          <w:szCs w:val="24"/>
        </w:rPr>
        <w:t xml:space="preserve">Helicobacter pylori </w:t>
      </w:r>
      <w:r w:rsidRPr="00413D75">
        <w:rPr>
          <w:rFonts w:ascii="Book Antiqua" w:hAnsi="Book Antiqua" w:cstheme="minorHAnsi"/>
          <w:color w:val="000000" w:themeColor="text1"/>
          <w:szCs w:val="24"/>
        </w:rPr>
        <w:t xml:space="preserve">infection: Where are we now? </w:t>
      </w:r>
      <w:bookmarkStart w:id="12" w:name="OLE_LINK1105"/>
      <w:bookmarkStart w:id="13" w:name="OLE_LINK1107"/>
      <w:r w:rsidRPr="00413D75">
        <w:rPr>
          <w:rFonts w:ascii="Book Antiqua" w:hAnsi="Book Antiqua"/>
          <w:i/>
          <w:color w:val="000000" w:themeColor="text1"/>
          <w:szCs w:val="24"/>
        </w:rPr>
        <w:t>World J Gastroenterol</w:t>
      </w:r>
      <w:r w:rsidRPr="008B3461">
        <w:rPr>
          <w:rFonts w:ascii="Book Antiqua" w:hAnsi="Book Antiqua"/>
          <w:color w:val="000000" w:themeColor="text1"/>
          <w:szCs w:val="24"/>
        </w:rPr>
        <w:t xml:space="preserve"> 2018; In press</w:t>
      </w:r>
      <w:bookmarkEnd w:id="12"/>
      <w:bookmarkEnd w:id="13"/>
    </w:p>
    <w:p w14:paraId="1E6F4121" w14:textId="77777777" w:rsidR="00D04C84" w:rsidRPr="00413D75" w:rsidRDefault="00D04C84" w:rsidP="00413D75">
      <w:pPr>
        <w:widowControl/>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b/>
          <w:color w:val="000000" w:themeColor="text1"/>
          <w:szCs w:val="24"/>
        </w:rPr>
        <w:br w:type="page"/>
      </w:r>
    </w:p>
    <w:p w14:paraId="2D225C64" w14:textId="77777777" w:rsidR="00D04C84" w:rsidRPr="00413D75" w:rsidRDefault="00D04C84" w:rsidP="00413D75">
      <w:pPr>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b/>
          <w:color w:val="000000" w:themeColor="text1"/>
          <w:szCs w:val="24"/>
        </w:rPr>
        <w:lastRenderedPageBreak/>
        <w:t xml:space="preserve">INTRODUCTION </w:t>
      </w:r>
    </w:p>
    <w:p w14:paraId="1A3F3428" w14:textId="325B38D6" w:rsidR="00D04C84" w:rsidRPr="00413D75" w:rsidRDefault="00D04C84"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eastAsia="DFKai-SB" w:hAnsi="Book Antiqua" w:cstheme="minorHAnsi"/>
          <w:i/>
          <w:color w:val="000000" w:themeColor="text1"/>
          <w:szCs w:val="24"/>
        </w:rPr>
        <w:t>Helicobacter pylori</w:t>
      </w:r>
      <w:r w:rsidRPr="00413D75">
        <w:rPr>
          <w:rFonts w:ascii="Book Antiqua" w:eastAsia="DFKai-SB" w:hAnsi="Book Antiqua" w:cstheme="minorHAnsi"/>
          <w:color w:val="000000" w:themeColor="text1"/>
          <w:szCs w:val="24"/>
        </w:rPr>
        <w:t xml:space="preserve"> (</w:t>
      </w:r>
      <w:r w:rsidRPr="00413D75">
        <w:rPr>
          <w:rFonts w:ascii="Book Antiqua" w:eastAsia="DFKai-SB" w:hAnsi="Book Antiqua" w:cstheme="minorHAnsi"/>
          <w:i/>
          <w:iCs/>
          <w:color w:val="000000" w:themeColor="text1"/>
          <w:szCs w:val="24"/>
        </w:rPr>
        <w:t>H. pylori</w:t>
      </w:r>
      <w:r w:rsidRPr="00413D75">
        <w:rPr>
          <w:rFonts w:ascii="Book Antiqua" w:eastAsia="DFKai-SB" w:hAnsi="Book Antiqua" w:cstheme="minorHAnsi"/>
          <w:color w:val="000000" w:themeColor="text1"/>
          <w:szCs w:val="24"/>
        </w:rPr>
        <w:t>) infects &gt;</w:t>
      </w:r>
      <w:r w:rsidR="00CE6502">
        <w:rPr>
          <w:rFonts w:ascii="Book Antiqua" w:eastAsia="DFKai-SB" w:hAnsi="Book Antiqua" w:cstheme="minorHAnsi"/>
          <w:color w:val="000000" w:themeColor="text1"/>
          <w:szCs w:val="24"/>
        </w:rPr>
        <w:t xml:space="preserve"> </w:t>
      </w:r>
      <w:r w:rsidRPr="00413D75">
        <w:rPr>
          <w:rFonts w:ascii="Book Antiqua" w:eastAsia="DFKai-SB" w:hAnsi="Book Antiqua" w:cstheme="minorHAnsi"/>
          <w:color w:val="000000" w:themeColor="text1"/>
          <w:szCs w:val="24"/>
        </w:rPr>
        <w:t xml:space="preserve">50% of humans globally. </w:t>
      </w:r>
      <w:r w:rsidRPr="00413D75">
        <w:rPr>
          <w:rFonts w:ascii="Book Antiqua" w:hAnsi="Book Antiqua" w:cstheme="minorHAnsi"/>
          <w:color w:val="000000" w:themeColor="text1"/>
          <w:szCs w:val="24"/>
        </w:rPr>
        <w:t>It is a major cause of chronic gastritis, peptic ulcer disease, gastric adenocarcinoma and gastric mucosa-associated lymphoid tissue lymphoma</w:t>
      </w:r>
      <w:r w:rsidRPr="00413D75">
        <w:rPr>
          <w:rFonts w:ascii="Book Antiqua" w:hAnsi="Book Antiqua" w:cstheme="minorHAnsi"/>
          <w:color w:val="000000" w:themeColor="text1"/>
          <w:szCs w:val="24"/>
          <w:vertAlign w:val="superscript"/>
        </w:rPr>
        <w:t>[</w:t>
      </w:r>
      <w:r w:rsidRPr="00413D75">
        <w:rPr>
          <w:rFonts w:ascii="Book Antiqua" w:hAnsi="Book Antiqua" w:cstheme="minorHAnsi"/>
          <w:noProof/>
          <w:color w:val="000000" w:themeColor="text1"/>
          <w:szCs w:val="24"/>
          <w:vertAlign w:val="superscript"/>
        </w:rPr>
        <w:t>1,2]</w:t>
      </w:r>
      <w:r w:rsidRPr="00413D75">
        <w:rPr>
          <w:rFonts w:ascii="Book Antiqua" w:hAnsi="Book Antiqua" w:cstheme="minorHAnsi"/>
          <w:color w:val="000000" w:themeColor="text1"/>
          <w:szCs w:val="24"/>
        </w:rPr>
        <w:t xml:space="preserve">. With the rising prevalence of global antibiotic resistance, the eradication rate of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with standard triple therapy has decreased to &lt;</w:t>
      </w:r>
      <w:r w:rsidR="00CE6502">
        <w:rPr>
          <w:rFonts w:ascii="Book Antiqua" w:hAnsi="Book Antiqua" w:cstheme="minorHAnsi"/>
          <w:color w:val="000000" w:themeColor="text1"/>
          <w:szCs w:val="24"/>
        </w:rPr>
        <w:t xml:space="preserve"> </w:t>
      </w:r>
      <w:r w:rsidRPr="00413D75">
        <w:rPr>
          <w:rFonts w:ascii="Book Antiqua" w:hAnsi="Book Antiqua" w:cstheme="minorHAnsi"/>
          <w:color w:val="000000" w:themeColor="text1"/>
          <w:szCs w:val="24"/>
        </w:rPr>
        <w:t>80% worldwide</w:t>
      </w:r>
      <w:r w:rsidRPr="00413D75">
        <w:rPr>
          <w:rFonts w:ascii="Book Antiqua" w:hAnsi="Book Antiqua" w:cstheme="minorHAnsi"/>
          <w:color w:val="000000" w:themeColor="text1"/>
          <w:szCs w:val="24"/>
          <w:vertAlign w:val="superscript"/>
        </w:rPr>
        <w:t>[3]</w:t>
      </w:r>
      <w:r w:rsidRPr="00413D75">
        <w:rPr>
          <w:rFonts w:ascii="Book Antiqua" w:hAnsi="Book Antiqua" w:cstheme="minorHAnsi"/>
          <w:color w:val="000000" w:themeColor="text1"/>
          <w:szCs w:val="24"/>
        </w:rPr>
        <w:t>. Although there are other emerging 1</w:t>
      </w:r>
      <w:r w:rsidRPr="00CE6502">
        <w:rPr>
          <w:rFonts w:ascii="Book Antiqua" w:hAnsi="Book Antiqua" w:cstheme="minorHAnsi"/>
          <w:color w:val="000000" w:themeColor="text1"/>
          <w:szCs w:val="24"/>
          <w:vertAlign w:val="superscript"/>
        </w:rPr>
        <w:t>st</w:t>
      </w:r>
      <w:r w:rsidRPr="00413D75">
        <w:rPr>
          <w:rFonts w:ascii="Book Antiqua" w:hAnsi="Book Antiqua" w:cstheme="minorHAnsi"/>
          <w:color w:val="000000" w:themeColor="text1"/>
          <w:szCs w:val="24"/>
        </w:rPr>
        <w:t xml:space="preserve">-line therapies, including bismuth quadruple therapy and non-bismuth quadruple (sequential, concomitant or hybrid) therapy, which can increase the eradication rate, </w:t>
      </w:r>
      <w:r w:rsidRPr="00413D75">
        <w:rPr>
          <w:rFonts w:ascii="Book Antiqua" w:hAnsi="Book Antiqua" w:cstheme="minorHAnsi"/>
          <w:i/>
          <w:iCs/>
          <w:color w:val="000000" w:themeColor="text1"/>
          <w:szCs w:val="24"/>
        </w:rPr>
        <w:t>H. pylori</w:t>
      </w:r>
      <w:r w:rsidRPr="00413D75">
        <w:rPr>
          <w:rFonts w:ascii="Book Antiqua" w:hAnsi="Book Antiqua" w:cstheme="minorHAnsi"/>
          <w:color w:val="000000" w:themeColor="text1"/>
          <w:szCs w:val="24"/>
        </w:rPr>
        <w:t xml:space="preserve"> eradication still fails in 3</w:t>
      </w:r>
      <w:r w:rsidR="00CE6502">
        <w:rPr>
          <w:rFonts w:ascii="Book Antiqua" w:hAnsi="Book Antiqua" w:cstheme="minorHAnsi"/>
          <w:color w:val="000000" w:themeColor="text1"/>
          <w:szCs w:val="24"/>
        </w:rPr>
        <w:t>%</w:t>
      </w:r>
      <w:r w:rsidRPr="00413D75">
        <w:rPr>
          <w:rFonts w:ascii="Book Antiqua" w:hAnsi="Book Antiqua" w:cstheme="minorHAnsi"/>
          <w:color w:val="000000" w:themeColor="text1"/>
          <w:szCs w:val="24"/>
        </w:rPr>
        <w:t>-24% of infected patients</w:t>
      </w:r>
      <w:r w:rsidRPr="00413D75">
        <w:rPr>
          <w:rFonts w:ascii="Book Antiqua" w:hAnsi="Book Antiqua" w:cstheme="minorHAnsi"/>
          <w:color w:val="000000" w:themeColor="text1"/>
          <w:szCs w:val="24"/>
          <w:vertAlign w:val="superscript"/>
        </w:rPr>
        <w:t>[</w:t>
      </w:r>
      <w:r w:rsidRPr="00413D75">
        <w:rPr>
          <w:rFonts w:ascii="Book Antiqua" w:hAnsi="Book Antiqua" w:cstheme="minorHAnsi"/>
          <w:noProof/>
          <w:color w:val="000000" w:themeColor="text1"/>
          <w:szCs w:val="24"/>
          <w:vertAlign w:val="superscript"/>
        </w:rPr>
        <w:t>4-7]</w:t>
      </w:r>
      <w:r w:rsidRPr="00413D75">
        <w:rPr>
          <w:rFonts w:ascii="Book Antiqua" w:hAnsi="Book Antiqua" w:cstheme="minorHAnsi"/>
          <w:color w:val="000000" w:themeColor="text1"/>
          <w:szCs w:val="24"/>
        </w:rPr>
        <w:t>. At present, the optimal choice for second-line anti-</w:t>
      </w:r>
      <w:r w:rsidRPr="00413D75">
        <w:rPr>
          <w:rFonts w:ascii="Book Antiqua" w:hAnsi="Book Antiqua" w:cstheme="minorHAnsi"/>
          <w:i/>
          <w:iCs/>
          <w:color w:val="000000" w:themeColor="text1"/>
          <w:szCs w:val="24"/>
        </w:rPr>
        <w:t>H. pylori</w:t>
      </w:r>
      <w:r w:rsidRPr="00413D75">
        <w:rPr>
          <w:rFonts w:ascii="Book Antiqua" w:hAnsi="Book Antiqua" w:cstheme="minorHAnsi"/>
          <w:color w:val="000000" w:themeColor="text1"/>
          <w:szCs w:val="24"/>
        </w:rPr>
        <w:t xml:space="preserve"> therapy has not been well established. The present article aims to review and update the current options for second-line therapy against </w:t>
      </w:r>
      <w:r w:rsidRPr="00413D75">
        <w:rPr>
          <w:rFonts w:ascii="Book Antiqua" w:hAnsi="Book Antiqua" w:cstheme="minorHAnsi"/>
          <w:i/>
          <w:color w:val="000000" w:themeColor="text1"/>
          <w:szCs w:val="24"/>
        </w:rPr>
        <w:t xml:space="preserve">H. pylori </w:t>
      </w:r>
      <w:r w:rsidRPr="00413D75">
        <w:rPr>
          <w:rFonts w:ascii="Book Antiqua" w:hAnsi="Book Antiqua" w:cstheme="minorHAnsi"/>
          <w:color w:val="000000" w:themeColor="text1"/>
          <w:szCs w:val="24"/>
        </w:rPr>
        <w:t xml:space="preserve">infections. </w:t>
      </w:r>
    </w:p>
    <w:p w14:paraId="05C0B57B" w14:textId="77777777" w:rsidR="00D04C84" w:rsidRPr="00413D75" w:rsidRDefault="00D04C84" w:rsidP="00413D75">
      <w:pPr>
        <w:pStyle w:val="ListParagraph"/>
        <w:adjustRightInd w:val="0"/>
        <w:snapToGrid w:val="0"/>
        <w:spacing w:line="360" w:lineRule="auto"/>
        <w:jc w:val="both"/>
        <w:rPr>
          <w:rFonts w:ascii="Book Antiqua" w:hAnsi="Book Antiqua" w:cstheme="minorHAnsi"/>
          <w:color w:val="000000" w:themeColor="text1"/>
          <w:szCs w:val="24"/>
        </w:rPr>
      </w:pPr>
    </w:p>
    <w:p w14:paraId="4CFEE615" w14:textId="77777777" w:rsidR="00D04C84" w:rsidRPr="00413D75" w:rsidRDefault="00D04C84" w:rsidP="00413D75">
      <w:pPr>
        <w:adjustRightInd w:val="0"/>
        <w:snapToGrid w:val="0"/>
        <w:spacing w:line="360" w:lineRule="auto"/>
        <w:jc w:val="both"/>
        <w:rPr>
          <w:rFonts w:ascii="Book Antiqua" w:hAnsi="Book Antiqua" w:cstheme="minorHAnsi"/>
          <w:b/>
          <w:caps/>
          <w:color w:val="000000" w:themeColor="text1"/>
          <w:szCs w:val="24"/>
        </w:rPr>
      </w:pPr>
      <w:r w:rsidRPr="00413D75">
        <w:rPr>
          <w:rFonts w:ascii="Book Antiqua" w:hAnsi="Book Antiqua" w:cstheme="minorHAnsi"/>
          <w:b/>
          <w:caps/>
          <w:color w:val="000000" w:themeColor="text1"/>
          <w:szCs w:val="24"/>
        </w:rPr>
        <w:t>Antibiotic resistance in anti-</w:t>
      </w:r>
      <w:r w:rsidRPr="00413D75">
        <w:rPr>
          <w:rFonts w:ascii="Book Antiqua" w:hAnsi="Book Antiqua" w:cstheme="minorHAnsi"/>
          <w:b/>
          <w:i/>
          <w:caps/>
          <w:color w:val="000000" w:themeColor="text1"/>
          <w:szCs w:val="24"/>
        </w:rPr>
        <w:t>H. pylori</w:t>
      </w:r>
      <w:r w:rsidRPr="00413D75">
        <w:rPr>
          <w:rFonts w:ascii="Book Antiqua" w:hAnsi="Book Antiqua" w:cstheme="minorHAnsi"/>
          <w:b/>
          <w:caps/>
          <w:color w:val="000000" w:themeColor="text1"/>
          <w:szCs w:val="24"/>
        </w:rPr>
        <w:t xml:space="preserve"> therapy</w:t>
      </w:r>
    </w:p>
    <w:p w14:paraId="69CD8885" w14:textId="00BD709B" w:rsidR="00D04C84" w:rsidRPr="00413D75" w:rsidRDefault="00D04C84" w:rsidP="00CE6502">
      <w:pPr>
        <w:adjustRightInd w:val="0"/>
        <w:snapToGrid w:val="0"/>
        <w:spacing w:line="360" w:lineRule="auto"/>
        <w:jc w:val="both"/>
        <w:rPr>
          <w:rFonts w:ascii="Book Antiqua" w:hAnsi="Book Antiqua" w:cstheme="minorHAnsi"/>
          <w:bCs/>
          <w:color w:val="000000" w:themeColor="text1"/>
          <w:szCs w:val="24"/>
        </w:rPr>
      </w:pPr>
      <w:r w:rsidRPr="00413D75">
        <w:rPr>
          <w:rFonts w:ascii="Book Antiqua" w:hAnsi="Book Antiqua" w:cstheme="minorHAnsi"/>
          <w:color w:val="000000" w:themeColor="text1"/>
          <w:szCs w:val="24"/>
        </w:rPr>
        <w:t>Causes of treatment failure of anti-</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therapies include antibiotic resistant bacteria, poor patient compliance, low gastric pH and a high bacterial load. Among these reasons, a</w:t>
      </w:r>
      <w:r w:rsidRPr="00413D75">
        <w:rPr>
          <w:rFonts w:ascii="Book Antiqua" w:hAnsi="Book Antiqua" w:cstheme="minorHAnsi"/>
          <w:bCs/>
          <w:color w:val="000000" w:themeColor="text1"/>
          <w:szCs w:val="24"/>
        </w:rPr>
        <w:t>ntibiotic resistance is the main factor which determines the efficacy of an eradication therapy</w:t>
      </w:r>
      <w:r w:rsidRPr="00413D75">
        <w:rPr>
          <w:rFonts w:ascii="Book Antiqua" w:hAnsi="Book Antiqua" w:cstheme="minorHAnsi"/>
          <w:bCs/>
          <w:color w:val="000000" w:themeColor="text1"/>
          <w:szCs w:val="24"/>
          <w:vertAlign w:val="superscript"/>
        </w:rPr>
        <w:t>[8]</w:t>
      </w:r>
      <w:r w:rsidRPr="00413D75">
        <w:rPr>
          <w:rFonts w:ascii="Book Antiqua" w:hAnsi="Book Antiqua" w:cstheme="minorHAnsi"/>
          <w:bCs/>
          <w:color w:val="000000" w:themeColor="text1"/>
          <w:szCs w:val="24"/>
        </w:rPr>
        <w:t>. Primary resistance to amoxicillin is either null or &lt;</w:t>
      </w:r>
      <w:r w:rsidR="00CE6502">
        <w:rPr>
          <w:rFonts w:ascii="Book Antiqua" w:hAnsi="Book Antiqua" w:cstheme="minorHAnsi"/>
          <w:bCs/>
          <w:color w:val="000000" w:themeColor="text1"/>
          <w:szCs w:val="24"/>
        </w:rPr>
        <w:t xml:space="preserve"> </w:t>
      </w:r>
      <w:r w:rsidRPr="00413D75">
        <w:rPr>
          <w:rFonts w:ascii="Book Antiqua" w:hAnsi="Book Antiqua" w:cstheme="minorHAnsi"/>
          <w:bCs/>
          <w:color w:val="000000" w:themeColor="text1"/>
          <w:szCs w:val="24"/>
        </w:rPr>
        <w:t>1% in most countries</w:t>
      </w:r>
      <w:r w:rsidRPr="00413D75">
        <w:rPr>
          <w:rFonts w:ascii="Book Antiqua" w:hAnsi="Book Antiqua" w:cstheme="minorHAnsi"/>
          <w:bCs/>
          <w:color w:val="000000" w:themeColor="text1"/>
          <w:szCs w:val="24"/>
          <w:vertAlign w:val="superscript"/>
        </w:rPr>
        <w:t>[9]</w:t>
      </w:r>
      <w:r w:rsidRPr="00413D75">
        <w:rPr>
          <w:rFonts w:ascii="Book Antiqua" w:hAnsi="Book Antiqua" w:cstheme="minorHAnsi"/>
          <w:bCs/>
          <w:color w:val="000000" w:themeColor="text1"/>
          <w:szCs w:val="24"/>
        </w:rPr>
        <w:t xml:space="preserve">. In contrast, </w:t>
      </w:r>
      <w:r w:rsidRPr="00413D75">
        <w:rPr>
          <w:rFonts w:ascii="Book Antiqua" w:hAnsi="Book Antiqua" w:cstheme="minorHAnsi"/>
          <w:color w:val="000000" w:themeColor="text1"/>
          <w:szCs w:val="24"/>
        </w:rPr>
        <w:t>the rate of primary clarithromycin-resistance ranges from 49% (Spain) to 1% (the Netherlands) worldwide</w:t>
      </w:r>
      <w:r w:rsidRPr="00413D75">
        <w:rPr>
          <w:rFonts w:ascii="Book Antiqua" w:hAnsi="Book Antiqua" w:cstheme="minorHAnsi"/>
          <w:bCs/>
          <w:color w:val="000000" w:themeColor="text1"/>
          <w:szCs w:val="24"/>
          <w:vertAlign w:val="superscript"/>
        </w:rPr>
        <w:t>[10]</w:t>
      </w:r>
      <w:r w:rsidRPr="00413D75">
        <w:rPr>
          <w:rFonts w:ascii="Book Antiqua" w:hAnsi="Book Antiqua" w:cstheme="minorHAnsi"/>
          <w:color w:val="000000" w:themeColor="text1"/>
          <w:szCs w:val="24"/>
        </w:rPr>
        <w:t xml:space="preserve">. </w:t>
      </w:r>
      <w:r w:rsidRPr="00413D75">
        <w:rPr>
          <w:rFonts w:ascii="Book Antiqua" w:hAnsi="Book Antiqua" w:cstheme="minorHAnsi"/>
          <w:bCs/>
          <w:color w:val="000000" w:themeColor="text1"/>
          <w:szCs w:val="24"/>
        </w:rPr>
        <w:t xml:space="preserve">High primary resistance to clarithromycin and low resistance to metronidazole have been observed in Japan; moderate resistance to clarithromycin and high resistance to metronidazole were reported in </w:t>
      </w:r>
      <w:r w:rsidR="00CE6502">
        <w:rPr>
          <w:rFonts w:ascii="Book Antiqua" w:hAnsi="Book Antiqua" w:cstheme="minorHAnsi"/>
          <w:bCs/>
          <w:color w:val="000000" w:themeColor="text1"/>
          <w:szCs w:val="24"/>
        </w:rPr>
        <w:t xml:space="preserve">South </w:t>
      </w:r>
      <w:r w:rsidRPr="00413D75">
        <w:rPr>
          <w:rFonts w:ascii="Book Antiqua" w:hAnsi="Book Antiqua" w:cstheme="minorHAnsi"/>
          <w:bCs/>
          <w:color w:val="000000" w:themeColor="text1"/>
          <w:szCs w:val="24"/>
        </w:rPr>
        <w:t>Korea; and high primary resistance to both clarithromycin and metronidazole was observed in China</w:t>
      </w:r>
      <w:r w:rsidRPr="00413D75">
        <w:rPr>
          <w:rFonts w:ascii="Book Antiqua" w:hAnsi="Book Antiqua" w:cstheme="minorHAnsi"/>
          <w:bCs/>
          <w:color w:val="000000" w:themeColor="text1"/>
          <w:szCs w:val="24"/>
          <w:vertAlign w:val="superscript"/>
        </w:rPr>
        <w:t>[11]</w:t>
      </w:r>
      <w:r w:rsidRPr="00413D75">
        <w:rPr>
          <w:rFonts w:ascii="Book Antiqua" w:hAnsi="Book Antiqua" w:cstheme="minorHAnsi"/>
          <w:bCs/>
          <w:color w:val="000000" w:themeColor="text1"/>
          <w:szCs w:val="24"/>
        </w:rPr>
        <w:t xml:space="preserve">. High primary resistance to both clarithromycin and metronidazole has also been reported in some other countries, such as Italy, Spain, Mexico and Vietnam. Low clarithromycin resistance is generally observed in northern Europe, including the </w:t>
      </w:r>
      <w:r w:rsidRPr="00413D75">
        <w:rPr>
          <w:rFonts w:ascii="Book Antiqua" w:hAnsi="Book Antiqua" w:cstheme="minorHAnsi"/>
          <w:color w:val="000000" w:themeColor="text1"/>
          <w:kern w:val="0"/>
          <w:szCs w:val="24"/>
        </w:rPr>
        <w:t>Netherlands,</w:t>
      </w:r>
      <w:r w:rsidRPr="00413D75">
        <w:rPr>
          <w:rFonts w:ascii="Book Antiqua" w:hAnsi="Book Antiqua" w:cstheme="minorHAnsi"/>
          <w:color w:val="000000" w:themeColor="text1"/>
          <w:szCs w:val="24"/>
        </w:rPr>
        <w:t xml:space="preserve"> </w:t>
      </w:r>
      <w:r w:rsidRPr="00413D75">
        <w:rPr>
          <w:rFonts w:ascii="Book Antiqua" w:hAnsi="Book Antiqua" w:cstheme="minorHAnsi"/>
          <w:color w:val="000000" w:themeColor="text1"/>
          <w:kern w:val="0"/>
          <w:szCs w:val="24"/>
        </w:rPr>
        <w:t xml:space="preserve">Sweden and </w:t>
      </w:r>
      <w:r w:rsidRPr="00413D75">
        <w:rPr>
          <w:rFonts w:ascii="Book Antiqua" w:hAnsi="Book Antiqua" w:cstheme="minorHAnsi"/>
          <w:color w:val="000000" w:themeColor="text1"/>
          <w:szCs w:val="24"/>
        </w:rPr>
        <w:t>Ireland</w:t>
      </w:r>
      <w:r w:rsidRPr="00413D75">
        <w:rPr>
          <w:rFonts w:ascii="Book Antiqua" w:hAnsi="Book Antiqua" w:cstheme="minorHAnsi"/>
          <w:bCs/>
          <w:color w:val="000000" w:themeColor="text1"/>
          <w:szCs w:val="24"/>
          <w:vertAlign w:val="superscript"/>
        </w:rPr>
        <w:t>[10,11]</w:t>
      </w:r>
      <w:r w:rsidRPr="00413D75">
        <w:rPr>
          <w:rFonts w:ascii="Book Antiqua" w:hAnsi="Book Antiqua" w:cstheme="minorHAnsi"/>
          <w:bCs/>
          <w:color w:val="000000" w:themeColor="text1"/>
          <w:szCs w:val="24"/>
        </w:rPr>
        <w:t>.</w:t>
      </w:r>
    </w:p>
    <w:p w14:paraId="0CFB4ECE" w14:textId="035BA4EE" w:rsidR="00D04C84" w:rsidRPr="00413D75" w:rsidRDefault="00CE6502" w:rsidP="00CE6502">
      <w:pPr>
        <w:adjustRightInd w:val="0"/>
        <w:snapToGrid w:val="0"/>
        <w:spacing w:line="360" w:lineRule="auto"/>
        <w:jc w:val="both"/>
        <w:rPr>
          <w:rFonts w:ascii="Book Antiqua" w:hAnsi="Book Antiqua" w:cstheme="minorHAnsi"/>
          <w:color w:val="000000" w:themeColor="text1"/>
          <w:szCs w:val="24"/>
        </w:rPr>
      </w:pPr>
      <w:r>
        <w:rPr>
          <w:rFonts w:ascii="Book Antiqua" w:hAnsi="Book Antiqua" w:cstheme="minorHAnsi"/>
          <w:bCs/>
          <w:color w:val="000000" w:themeColor="text1"/>
          <w:szCs w:val="24"/>
        </w:rPr>
        <w:t xml:space="preserve">  </w:t>
      </w:r>
      <w:r w:rsidR="00D04C84" w:rsidRPr="00413D75">
        <w:rPr>
          <w:rFonts w:ascii="Book Antiqua" w:hAnsi="Book Antiqua" w:cstheme="minorHAnsi"/>
          <w:bCs/>
          <w:color w:val="000000" w:themeColor="text1"/>
          <w:szCs w:val="24"/>
        </w:rPr>
        <w:t xml:space="preserve">In </w:t>
      </w:r>
      <w:r w:rsidR="00D04C84" w:rsidRPr="00413D75">
        <w:rPr>
          <w:rFonts w:ascii="Book Antiqua" w:hAnsi="Book Antiqua" w:cstheme="minorHAnsi"/>
          <w:color w:val="000000" w:themeColor="text1"/>
          <w:szCs w:val="24"/>
        </w:rPr>
        <w:t xml:space="preserve">patients who experience eradication failure following standard triple </w:t>
      </w:r>
      <w:r w:rsidR="00D04C84" w:rsidRPr="00413D75">
        <w:rPr>
          <w:rFonts w:ascii="Book Antiqua" w:hAnsi="Book Antiqua" w:cstheme="minorHAnsi"/>
          <w:color w:val="000000" w:themeColor="text1"/>
          <w:szCs w:val="24"/>
        </w:rPr>
        <w:lastRenderedPageBreak/>
        <w:t xml:space="preserve">therapy, </w:t>
      </w:r>
      <w:r w:rsidR="00D04C84" w:rsidRPr="00413D75">
        <w:rPr>
          <w:rFonts w:ascii="Book Antiqua" w:hAnsi="Book Antiqua" w:cstheme="minorHAnsi"/>
          <w:bCs/>
          <w:color w:val="000000" w:themeColor="text1"/>
          <w:szCs w:val="24"/>
        </w:rPr>
        <w:t>t</w:t>
      </w:r>
      <w:r w:rsidR="00D04C84" w:rsidRPr="00413D75">
        <w:rPr>
          <w:rFonts w:ascii="Book Antiqua" w:hAnsi="Book Antiqua" w:cstheme="minorHAnsi"/>
          <w:color w:val="000000" w:themeColor="text1"/>
          <w:szCs w:val="24"/>
        </w:rPr>
        <w:t>he rates of drug resistance to clarithromycin, metronidazole, levofloxacin, amoxicillin and tetracycline are 65</w:t>
      </w:r>
      <w:r>
        <w:rPr>
          <w:rFonts w:ascii="Book Antiqua" w:hAnsi="Book Antiqua" w:cstheme="minorHAnsi"/>
          <w:color w:val="000000" w:themeColor="text1"/>
          <w:szCs w:val="24"/>
        </w:rPr>
        <w:t>%</w:t>
      </w:r>
      <w:r w:rsidR="00D04C84" w:rsidRPr="00413D75">
        <w:rPr>
          <w:rFonts w:ascii="Book Antiqua" w:hAnsi="Book Antiqua" w:cstheme="minorHAnsi"/>
          <w:color w:val="000000" w:themeColor="text1"/>
          <w:szCs w:val="24"/>
        </w:rPr>
        <w:t>-75%, 30</w:t>
      </w:r>
      <w:r>
        <w:rPr>
          <w:rFonts w:ascii="Book Antiqua" w:hAnsi="Book Antiqua" w:cstheme="minorHAnsi"/>
          <w:color w:val="000000" w:themeColor="text1"/>
          <w:szCs w:val="24"/>
        </w:rPr>
        <w:t>%</w:t>
      </w:r>
      <w:r w:rsidR="00D04C84" w:rsidRPr="00413D75">
        <w:rPr>
          <w:rFonts w:ascii="Book Antiqua" w:hAnsi="Book Antiqua" w:cstheme="minorHAnsi"/>
          <w:color w:val="000000" w:themeColor="text1"/>
          <w:szCs w:val="24"/>
        </w:rPr>
        <w:t>-56%, 26</w:t>
      </w:r>
      <w:r>
        <w:rPr>
          <w:rFonts w:ascii="Book Antiqua" w:hAnsi="Book Antiqua" w:cstheme="minorHAnsi"/>
          <w:color w:val="000000" w:themeColor="text1"/>
          <w:szCs w:val="24"/>
        </w:rPr>
        <w:t>%</w:t>
      </w:r>
      <w:r w:rsidR="00D04C84" w:rsidRPr="00413D75">
        <w:rPr>
          <w:rFonts w:ascii="Book Antiqua" w:hAnsi="Book Antiqua" w:cstheme="minorHAnsi"/>
          <w:color w:val="000000" w:themeColor="text1"/>
          <w:szCs w:val="24"/>
        </w:rPr>
        <w:t>-37%, 0</w:t>
      </w:r>
      <w:r>
        <w:rPr>
          <w:rFonts w:ascii="Book Antiqua" w:hAnsi="Book Antiqua" w:cstheme="minorHAnsi"/>
          <w:color w:val="000000" w:themeColor="text1"/>
          <w:szCs w:val="24"/>
        </w:rPr>
        <w:t>%</w:t>
      </w:r>
      <w:r w:rsidR="00D04C84" w:rsidRPr="00413D75">
        <w:rPr>
          <w:rFonts w:ascii="Book Antiqua" w:hAnsi="Book Antiqua" w:cstheme="minorHAnsi"/>
          <w:color w:val="000000" w:themeColor="text1"/>
          <w:szCs w:val="24"/>
        </w:rPr>
        <w:t>-6.1% and 0</w:t>
      </w:r>
      <w:r>
        <w:rPr>
          <w:rFonts w:ascii="Book Antiqua" w:hAnsi="Book Antiqua" w:cstheme="minorHAnsi"/>
          <w:color w:val="000000" w:themeColor="text1"/>
          <w:szCs w:val="24"/>
        </w:rPr>
        <w:t>%</w:t>
      </w:r>
      <w:r w:rsidR="00D04C84" w:rsidRPr="00413D75">
        <w:rPr>
          <w:rFonts w:ascii="Book Antiqua" w:hAnsi="Book Antiqua" w:cstheme="minorHAnsi"/>
          <w:color w:val="000000" w:themeColor="text1"/>
          <w:szCs w:val="24"/>
        </w:rPr>
        <w:t>-10%, respectively</w:t>
      </w:r>
      <w:r w:rsidR="00D04C84" w:rsidRPr="00413D75">
        <w:rPr>
          <w:rFonts w:ascii="Book Antiqua" w:hAnsi="Book Antiqua" w:cstheme="minorHAnsi"/>
          <w:color w:val="000000" w:themeColor="text1"/>
          <w:szCs w:val="24"/>
          <w:vertAlign w:val="superscript"/>
        </w:rPr>
        <w:t>[12</w:t>
      </w:r>
      <w:r w:rsidR="00D04C84" w:rsidRPr="00413D75">
        <w:rPr>
          <w:rFonts w:ascii="Book Antiqua" w:hAnsi="Book Antiqua" w:cstheme="minorHAnsi"/>
          <w:noProof/>
          <w:color w:val="000000" w:themeColor="text1"/>
          <w:szCs w:val="24"/>
          <w:vertAlign w:val="superscript"/>
        </w:rPr>
        <w:t>-16]</w:t>
      </w:r>
      <w:r w:rsidR="00D04C84" w:rsidRPr="00413D75">
        <w:rPr>
          <w:rFonts w:ascii="Book Antiqua" w:hAnsi="Book Antiqua" w:cstheme="minorHAnsi"/>
          <w:color w:val="000000" w:themeColor="text1"/>
          <w:szCs w:val="24"/>
        </w:rPr>
        <w:t xml:space="preserve">. Whereas for patients who experience failure of non-bismuth quadruple therapy, </w:t>
      </w:r>
      <w:r w:rsidR="00D04C84" w:rsidRPr="00413D75">
        <w:rPr>
          <w:rFonts w:ascii="Book Antiqua" w:hAnsi="Book Antiqua" w:cstheme="minorHAnsi"/>
          <w:bCs/>
          <w:color w:val="000000" w:themeColor="text1"/>
          <w:szCs w:val="24"/>
        </w:rPr>
        <w:t>t</w:t>
      </w:r>
      <w:r w:rsidR="00D04C84" w:rsidRPr="00413D75">
        <w:rPr>
          <w:rFonts w:ascii="Book Antiqua" w:hAnsi="Book Antiqua" w:cstheme="minorHAnsi"/>
          <w:color w:val="000000" w:themeColor="text1"/>
          <w:szCs w:val="24"/>
        </w:rPr>
        <w:t>he rates of drug resistance to clarithromycin, metronidazole, levofloxacin, amoxicillin and tetracycline are 75%, 75%, 25%, 0%, and 0%, respectively</w:t>
      </w:r>
      <w:r w:rsidR="00D04C84" w:rsidRPr="00413D75">
        <w:rPr>
          <w:rFonts w:ascii="Book Antiqua" w:hAnsi="Book Antiqua" w:cstheme="minorHAnsi"/>
          <w:color w:val="000000" w:themeColor="text1"/>
          <w:szCs w:val="24"/>
          <w:vertAlign w:val="superscript"/>
        </w:rPr>
        <w:t>[</w:t>
      </w:r>
      <w:r w:rsidR="00D04C84" w:rsidRPr="00413D75">
        <w:rPr>
          <w:rFonts w:ascii="Book Antiqua" w:hAnsi="Book Antiqua" w:cstheme="minorHAnsi"/>
          <w:noProof/>
          <w:color w:val="000000" w:themeColor="text1"/>
          <w:szCs w:val="24"/>
          <w:vertAlign w:val="superscript"/>
        </w:rPr>
        <w:t>17,18]</w:t>
      </w:r>
      <w:r w:rsidR="00D04C84" w:rsidRPr="00413D75">
        <w:rPr>
          <w:rFonts w:ascii="Book Antiqua" w:hAnsi="Book Antiqua" w:cstheme="minorHAnsi"/>
          <w:color w:val="000000" w:themeColor="text1"/>
          <w:szCs w:val="24"/>
        </w:rPr>
        <w:t xml:space="preserve">. This data implies that amoxicillin, tetracycline and levofloxacin are good choices of antibiotics for rescue treatment of </w:t>
      </w:r>
      <w:r w:rsidR="00D04C84" w:rsidRPr="00413D75">
        <w:rPr>
          <w:rFonts w:ascii="Book Antiqua" w:hAnsi="Book Antiqua" w:cstheme="minorHAnsi"/>
          <w:i/>
          <w:color w:val="000000" w:themeColor="text1"/>
          <w:szCs w:val="24"/>
        </w:rPr>
        <w:t>H. pylori</w:t>
      </w:r>
      <w:r w:rsidR="00D04C84" w:rsidRPr="00413D75">
        <w:rPr>
          <w:rFonts w:ascii="Book Antiqua" w:hAnsi="Book Antiqua" w:cstheme="minorHAnsi"/>
          <w:color w:val="000000" w:themeColor="text1"/>
          <w:szCs w:val="24"/>
        </w:rPr>
        <w:t xml:space="preserve"> infection. </w:t>
      </w:r>
    </w:p>
    <w:p w14:paraId="200AEB50" w14:textId="6DD2E9B1" w:rsidR="00D04C84" w:rsidRPr="00413D75" w:rsidRDefault="00CE6502" w:rsidP="00CE6502">
      <w:pPr>
        <w:adjustRightInd w:val="0"/>
        <w:snapToGrid w:val="0"/>
        <w:spacing w:line="360" w:lineRule="auto"/>
        <w:jc w:val="both"/>
        <w:rPr>
          <w:rFonts w:ascii="Book Antiqua" w:hAnsi="Book Antiqua" w:cstheme="minorHAnsi"/>
          <w:color w:val="000000" w:themeColor="text1"/>
          <w:szCs w:val="24"/>
        </w:rPr>
      </w:pPr>
      <w:r>
        <w:rPr>
          <w:rFonts w:ascii="Book Antiqua" w:hAnsi="Book Antiqua" w:cstheme="minorHAnsi"/>
          <w:color w:val="000000" w:themeColor="text1"/>
          <w:szCs w:val="24"/>
        </w:rPr>
        <w:t xml:space="preserve">  </w:t>
      </w:r>
      <w:r w:rsidR="00D04C84" w:rsidRPr="00413D75">
        <w:rPr>
          <w:rFonts w:ascii="Book Antiqua" w:hAnsi="Book Antiqua" w:cstheme="minorHAnsi"/>
          <w:color w:val="000000" w:themeColor="text1"/>
          <w:szCs w:val="24"/>
        </w:rPr>
        <w:t xml:space="preserve">Point mutations play a primary role in the antimicrobial resistance of </w:t>
      </w:r>
      <w:r w:rsidR="00D04C84" w:rsidRPr="00413D75">
        <w:rPr>
          <w:rFonts w:ascii="Book Antiqua" w:hAnsi="Book Antiqua" w:cstheme="minorHAnsi"/>
          <w:i/>
          <w:color w:val="000000" w:themeColor="text1"/>
          <w:szCs w:val="24"/>
        </w:rPr>
        <w:t xml:space="preserve">H. pylori, and </w:t>
      </w:r>
      <w:r w:rsidR="00D04C84" w:rsidRPr="00413D75">
        <w:rPr>
          <w:rFonts w:ascii="Book Antiqua" w:hAnsi="Book Antiqua" w:cstheme="minorHAnsi"/>
          <w:color w:val="000000" w:themeColor="text1"/>
          <w:szCs w:val="24"/>
        </w:rPr>
        <w:t xml:space="preserve">different mutations involving the </w:t>
      </w:r>
      <w:r w:rsidR="00D04C84" w:rsidRPr="00413D75">
        <w:rPr>
          <w:rFonts w:ascii="Book Antiqua" w:hAnsi="Book Antiqua" w:cstheme="minorHAnsi"/>
          <w:i/>
          <w:color w:val="000000" w:themeColor="text1"/>
          <w:szCs w:val="24"/>
        </w:rPr>
        <w:t>rdxA</w:t>
      </w:r>
      <w:r w:rsidR="00D04C84" w:rsidRPr="00413D75">
        <w:rPr>
          <w:rFonts w:ascii="Book Antiqua" w:hAnsi="Book Antiqua" w:cstheme="minorHAnsi"/>
          <w:color w:val="000000" w:themeColor="text1"/>
          <w:szCs w:val="24"/>
        </w:rPr>
        <w:t xml:space="preserve"> gene have been identified in metronidazole resistant strains</w:t>
      </w:r>
      <w:r w:rsidR="00D04C84" w:rsidRPr="00413D75">
        <w:rPr>
          <w:rFonts w:ascii="Book Antiqua" w:hAnsi="Book Antiqua" w:cstheme="minorHAnsi"/>
          <w:bCs/>
          <w:color w:val="000000" w:themeColor="text1"/>
          <w:szCs w:val="24"/>
          <w:vertAlign w:val="superscript"/>
        </w:rPr>
        <w:t>[19]</w:t>
      </w:r>
      <w:r w:rsidR="00D04C84" w:rsidRPr="00413D75">
        <w:rPr>
          <w:rFonts w:ascii="Book Antiqua" w:hAnsi="Book Antiqua" w:cstheme="minorHAnsi"/>
          <w:color w:val="000000" w:themeColor="text1"/>
          <w:szCs w:val="24"/>
        </w:rPr>
        <w:t xml:space="preserve">. Resistance to clarithromycin in </w:t>
      </w:r>
      <w:r w:rsidR="00D04C84" w:rsidRPr="00413D75">
        <w:rPr>
          <w:rFonts w:ascii="Book Antiqua" w:hAnsi="Book Antiqua" w:cstheme="minorHAnsi"/>
          <w:i/>
          <w:color w:val="000000" w:themeColor="text1"/>
          <w:szCs w:val="24"/>
        </w:rPr>
        <w:t>H. pylori</w:t>
      </w:r>
      <w:r w:rsidR="00D04C84" w:rsidRPr="00413D75">
        <w:rPr>
          <w:rFonts w:ascii="Book Antiqua" w:hAnsi="Book Antiqua" w:cstheme="minorHAnsi"/>
          <w:color w:val="000000" w:themeColor="text1"/>
          <w:szCs w:val="24"/>
        </w:rPr>
        <w:t xml:space="preserve"> is commonly caused by point mutations in the </w:t>
      </w:r>
      <w:r w:rsidR="00D04C84" w:rsidRPr="00413D75">
        <w:rPr>
          <w:rFonts w:ascii="Book Antiqua" w:hAnsi="Book Antiqua" w:cstheme="minorHAnsi"/>
          <w:i/>
          <w:color w:val="000000" w:themeColor="text1"/>
          <w:szCs w:val="24"/>
        </w:rPr>
        <w:t>rrl</w:t>
      </w:r>
      <w:r w:rsidR="00D04C84" w:rsidRPr="00413D75">
        <w:rPr>
          <w:rFonts w:ascii="Book Antiqua" w:hAnsi="Book Antiqua" w:cstheme="minorHAnsi"/>
          <w:color w:val="000000" w:themeColor="text1"/>
          <w:szCs w:val="24"/>
        </w:rPr>
        <w:t xml:space="preserve"> gene encoding two 23S rRNA nucleotides, namely 2142 and 2143</w:t>
      </w:r>
      <w:r w:rsidR="00D04C84" w:rsidRPr="00413D75">
        <w:rPr>
          <w:rFonts w:ascii="Book Antiqua" w:hAnsi="Book Antiqua" w:cstheme="minorHAnsi"/>
          <w:bCs/>
          <w:color w:val="000000" w:themeColor="text1"/>
          <w:szCs w:val="24"/>
          <w:vertAlign w:val="superscript"/>
        </w:rPr>
        <w:t>[20]</w:t>
      </w:r>
      <w:r w:rsidR="00D04C84" w:rsidRPr="00413D75">
        <w:rPr>
          <w:rFonts w:ascii="Book Antiqua" w:hAnsi="Book Antiqua" w:cstheme="minorHAnsi"/>
          <w:color w:val="000000" w:themeColor="text1"/>
          <w:szCs w:val="24"/>
        </w:rPr>
        <w:t>. Another mechanism associated with the development of clarithromycin resistance is the efflux pump system</w:t>
      </w:r>
      <w:r w:rsidR="00D04C84" w:rsidRPr="00413D75">
        <w:rPr>
          <w:rFonts w:ascii="Book Antiqua" w:hAnsi="Book Antiqua" w:cstheme="minorHAnsi"/>
          <w:bCs/>
          <w:color w:val="000000" w:themeColor="text1"/>
          <w:szCs w:val="24"/>
          <w:vertAlign w:val="superscript"/>
        </w:rPr>
        <w:t>[21,22]</w:t>
      </w:r>
      <w:r w:rsidR="00D04C84" w:rsidRPr="00413D75">
        <w:rPr>
          <w:rFonts w:ascii="Book Antiqua" w:hAnsi="Book Antiqua" w:cstheme="minorHAnsi"/>
          <w:color w:val="000000" w:themeColor="text1"/>
          <w:szCs w:val="24"/>
        </w:rPr>
        <w:t xml:space="preserve">. Fluoroquinolone acts on the site of the type A DNA gyrase enzyme, which is encoded by the </w:t>
      </w:r>
      <w:r w:rsidR="00D04C84" w:rsidRPr="00413D75">
        <w:rPr>
          <w:rFonts w:ascii="Book Antiqua" w:hAnsi="Book Antiqua" w:cstheme="minorHAnsi"/>
          <w:i/>
          <w:color w:val="000000" w:themeColor="text1"/>
          <w:szCs w:val="24"/>
        </w:rPr>
        <w:t>gyrA</w:t>
      </w:r>
      <w:r w:rsidR="00D04C84" w:rsidRPr="00413D75">
        <w:rPr>
          <w:rFonts w:ascii="Book Antiqua" w:hAnsi="Book Antiqua" w:cstheme="minorHAnsi"/>
          <w:color w:val="000000" w:themeColor="text1"/>
          <w:szCs w:val="24"/>
        </w:rPr>
        <w:t xml:space="preserve"> gene, to inhibit DNA cleavage and rejoining</w:t>
      </w:r>
      <w:r w:rsidR="00D04C84" w:rsidRPr="00413D75">
        <w:rPr>
          <w:rFonts w:ascii="Book Antiqua" w:hAnsi="Book Antiqua" w:cstheme="minorHAnsi"/>
          <w:color w:val="000000" w:themeColor="text1"/>
          <w:szCs w:val="24"/>
          <w:vertAlign w:val="superscript"/>
        </w:rPr>
        <w:t>[23]</w:t>
      </w:r>
      <w:r w:rsidR="00D04C84" w:rsidRPr="00413D75">
        <w:rPr>
          <w:rFonts w:ascii="Book Antiqua" w:hAnsi="Book Antiqua" w:cstheme="minorHAnsi"/>
          <w:color w:val="000000" w:themeColor="text1"/>
          <w:szCs w:val="24"/>
        </w:rPr>
        <w:t xml:space="preserve">. Gene mutations in </w:t>
      </w:r>
      <w:r w:rsidR="00D04C84" w:rsidRPr="00413D75">
        <w:rPr>
          <w:rFonts w:ascii="Book Antiqua" w:hAnsi="Book Antiqua" w:cstheme="minorHAnsi"/>
          <w:i/>
          <w:color w:val="000000" w:themeColor="text1"/>
          <w:szCs w:val="24"/>
        </w:rPr>
        <w:t>gyrA</w:t>
      </w:r>
      <w:r w:rsidR="00D04C84" w:rsidRPr="00413D75">
        <w:rPr>
          <w:rFonts w:ascii="Book Antiqua" w:hAnsi="Book Antiqua" w:cstheme="minorHAnsi"/>
          <w:color w:val="000000" w:themeColor="text1"/>
          <w:szCs w:val="24"/>
        </w:rPr>
        <w:t xml:space="preserve"> are associated with fluoroquinolone resistance. In particular double mutations at both N87 and D91 in </w:t>
      </w:r>
      <w:r w:rsidR="00D04C84" w:rsidRPr="00413D75">
        <w:rPr>
          <w:rFonts w:ascii="Book Antiqua" w:hAnsi="Book Antiqua" w:cstheme="minorHAnsi"/>
          <w:i/>
          <w:color w:val="000000" w:themeColor="text1"/>
          <w:szCs w:val="24"/>
        </w:rPr>
        <w:t>gyrA</w:t>
      </w:r>
      <w:r w:rsidR="00D04C84" w:rsidRPr="00413D75">
        <w:rPr>
          <w:rFonts w:ascii="Book Antiqua" w:hAnsi="Book Antiqua" w:cstheme="minorHAnsi"/>
          <w:color w:val="000000" w:themeColor="text1"/>
          <w:szCs w:val="24"/>
        </w:rPr>
        <w:t xml:space="preserve"> have been reported to increase fluoroquinolone resistance</w:t>
      </w:r>
      <w:r w:rsidR="00D04C84" w:rsidRPr="00413D75">
        <w:rPr>
          <w:rFonts w:ascii="Book Antiqua" w:hAnsi="Book Antiqua" w:cstheme="minorHAnsi"/>
          <w:color w:val="000000" w:themeColor="text1"/>
          <w:szCs w:val="24"/>
          <w:vertAlign w:val="superscript"/>
        </w:rPr>
        <w:t>[24]</w:t>
      </w:r>
      <w:r w:rsidR="00D04C84" w:rsidRPr="00413D75">
        <w:rPr>
          <w:rFonts w:ascii="Book Antiqua" w:hAnsi="Book Antiqua" w:cstheme="minorHAnsi"/>
          <w:color w:val="000000" w:themeColor="text1"/>
          <w:szCs w:val="24"/>
        </w:rPr>
        <w:t>.</w:t>
      </w:r>
    </w:p>
    <w:p w14:paraId="5DF2118F" w14:textId="77777777" w:rsidR="00D04C84" w:rsidRPr="00413D75" w:rsidRDefault="00D04C84" w:rsidP="00413D75">
      <w:pPr>
        <w:autoSpaceDE w:val="0"/>
        <w:autoSpaceDN w:val="0"/>
        <w:adjustRightInd w:val="0"/>
        <w:snapToGrid w:val="0"/>
        <w:spacing w:line="360" w:lineRule="auto"/>
        <w:jc w:val="both"/>
        <w:rPr>
          <w:rFonts w:ascii="Book Antiqua" w:hAnsi="Book Antiqua" w:cstheme="minorHAnsi"/>
          <w:color w:val="000000" w:themeColor="text1"/>
          <w:kern w:val="0"/>
          <w:szCs w:val="24"/>
        </w:rPr>
      </w:pPr>
    </w:p>
    <w:p w14:paraId="2A988F51" w14:textId="77777777" w:rsidR="00D04C84" w:rsidRPr="00413D75" w:rsidRDefault="00D04C84" w:rsidP="00413D75">
      <w:pPr>
        <w:adjustRightInd w:val="0"/>
        <w:snapToGrid w:val="0"/>
        <w:spacing w:line="360" w:lineRule="auto"/>
        <w:jc w:val="both"/>
        <w:rPr>
          <w:rFonts w:ascii="Book Antiqua" w:hAnsi="Book Antiqua" w:cstheme="minorHAnsi"/>
          <w:b/>
          <w:caps/>
          <w:color w:val="000000" w:themeColor="text1"/>
          <w:szCs w:val="24"/>
        </w:rPr>
      </w:pPr>
      <w:r w:rsidRPr="00413D75">
        <w:rPr>
          <w:rFonts w:ascii="Book Antiqua" w:hAnsi="Book Antiqua" w:cstheme="minorHAnsi"/>
          <w:b/>
          <w:caps/>
          <w:color w:val="000000" w:themeColor="text1"/>
          <w:szCs w:val="24"/>
        </w:rPr>
        <w:t>Updated second-line therapies</w:t>
      </w:r>
    </w:p>
    <w:p w14:paraId="67D5CEC5" w14:textId="1CE13257" w:rsidR="00D04C84" w:rsidRDefault="00D04C84" w:rsidP="00CE6502">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Current updated second-line therapies include bismuth quadruple therapy, fluoroquinolone-amoxicillin triple therapy, fluoroquinolone-amoxicillin quadruple therapy, tetracycline–levofloxacin (TL) quadruple therapy and high-dose dual therapy.</w:t>
      </w:r>
    </w:p>
    <w:p w14:paraId="0654FEFD" w14:textId="77777777" w:rsidR="00CE6502" w:rsidRPr="00CE6502" w:rsidRDefault="00CE6502" w:rsidP="00CE6502">
      <w:pPr>
        <w:adjustRightInd w:val="0"/>
        <w:snapToGrid w:val="0"/>
        <w:spacing w:line="360" w:lineRule="auto"/>
        <w:jc w:val="both"/>
        <w:rPr>
          <w:rFonts w:ascii="Book Antiqua" w:hAnsi="Book Antiqua" w:cstheme="minorHAnsi"/>
          <w:color w:val="000000" w:themeColor="text1"/>
          <w:szCs w:val="24"/>
        </w:rPr>
      </w:pPr>
    </w:p>
    <w:p w14:paraId="106A3B54" w14:textId="77777777" w:rsidR="00D04C84" w:rsidRPr="00413D75" w:rsidRDefault="00D04C84" w:rsidP="00413D75">
      <w:pPr>
        <w:adjustRightInd w:val="0"/>
        <w:snapToGrid w:val="0"/>
        <w:spacing w:line="360" w:lineRule="auto"/>
        <w:jc w:val="both"/>
        <w:rPr>
          <w:rFonts w:ascii="Book Antiqua" w:hAnsi="Book Antiqua" w:cstheme="minorHAnsi"/>
          <w:b/>
          <w:i/>
          <w:color w:val="000000" w:themeColor="text1"/>
          <w:szCs w:val="24"/>
        </w:rPr>
      </w:pPr>
      <w:r w:rsidRPr="00413D75">
        <w:rPr>
          <w:rFonts w:ascii="Book Antiqua" w:hAnsi="Book Antiqua" w:cstheme="minorHAnsi"/>
          <w:b/>
          <w:i/>
          <w:color w:val="000000" w:themeColor="text1"/>
          <w:szCs w:val="24"/>
        </w:rPr>
        <w:t>Bismuth quadruple therapy</w:t>
      </w:r>
    </w:p>
    <w:p w14:paraId="5672BE3C" w14:textId="023F179A" w:rsidR="00D04C84" w:rsidRPr="00413D75" w:rsidRDefault="00D04C84" w:rsidP="00CE6502">
      <w:pPr>
        <w:adjustRightInd w:val="0"/>
        <w:snapToGrid w:val="0"/>
        <w:spacing w:line="360" w:lineRule="auto"/>
        <w:jc w:val="both"/>
        <w:rPr>
          <w:rFonts w:ascii="Book Antiqua" w:eastAsia="AdvP101883" w:hAnsi="Book Antiqua" w:cstheme="minorHAnsi"/>
          <w:color w:val="000000" w:themeColor="text1"/>
          <w:szCs w:val="24"/>
        </w:rPr>
      </w:pPr>
      <w:r w:rsidRPr="00413D75">
        <w:rPr>
          <w:rFonts w:ascii="Book Antiqua" w:hAnsi="Book Antiqua" w:cstheme="minorHAnsi"/>
          <w:color w:val="000000" w:themeColor="text1"/>
          <w:szCs w:val="24"/>
        </w:rPr>
        <w:t>Bismuth quadruple therapy consists of a proton pump inhibitor (PPI), bismuth, metronidazole and tetracycline (</w:t>
      </w:r>
      <w:r w:rsidR="00CE6502">
        <w:rPr>
          <w:rFonts w:ascii="Book Antiqua" w:hAnsi="Book Antiqua" w:cstheme="minorHAnsi"/>
          <w:color w:val="000000" w:themeColor="text1"/>
          <w:szCs w:val="24"/>
        </w:rPr>
        <w:t>Table</w:t>
      </w:r>
      <w:r w:rsidRPr="00413D75">
        <w:rPr>
          <w:rFonts w:ascii="Book Antiqua" w:hAnsi="Book Antiqua" w:cstheme="minorHAnsi"/>
          <w:color w:val="000000" w:themeColor="text1"/>
          <w:szCs w:val="24"/>
        </w:rPr>
        <w:t xml:space="preserve"> 1). The standard regimen comprises PPI twice daily, colloidal bismuth subcitrate 120 mg four times daily, tetracycline 500 mg four times daily and metronidazole 500 mg three </w:t>
      </w:r>
      <w:r w:rsidRPr="00413D75">
        <w:rPr>
          <w:rFonts w:ascii="Book Antiqua" w:hAnsi="Book Antiqua" w:cstheme="minorHAnsi"/>
          <w:color w:val="000000" w:themeColor="text1"/>
          <w:szCs w:val="24"/>
        </w:rPr>
        <w:lastRenderedPageBreak/>
        <w:t>times daily for 10 to 14 d. A pool analysis demonstrated that bismuth quadruple therapy fails in 5</w:t>
      </w:r>
      <w:r w:rsidR="00CE6502">
        <w:rPr>
          <w:rFonts w:ascii="Book Antiqua" w:hAnsi="Book Antiqua" w:cstheme="minorHAnsi"/>
          <w:color w:val="000000" w:themeColor="text1"/>
          <w:szCs w:val="24"/>
        </w:rPr>
        <w:t>%</w:t>
      </w:r>
      <w:r w:rsidRPr="00413D75">
        <w:rPr>
          <w:rFonts w:ascii="Book Antiqua" w:hAnsi="Book Antiqua" w:cstheme="minorHAnsi"/>
          <w:color w:val="000000" w:themeColor="text1"/>
          <w:szCs w:val="24"/>
        </w:rPr>
        <w:t>-63% of patients as a second-line therapy and achieves a mean 76% eradication rate</w:t>
      </w:r>
      <w:r w:rsidRPr="00413D75">
        <w:rPr>
          <w:rFonts w:ascii="Book Antiqua" w:hAnsi="Book Antiqua" w:cstheme="minorHAnsi"/>
          <w:color w:val="000000" w:themeColor="text1"/>
          <w:szCs w:val="24"/>
          <w:vertAlign w:val="superscript"/>
        </w:rPr>
        <w:t>[25</w:t>
      </w:r>
      <w:r w:rsidRPr="00413D75">
        <w:rPr>
          <w:rFonts w:ascii="Book Antiqua" w:hAnsi="Book Antiqua" w:cstheme="minorHAnsi"/>
          <w:noProof/>
          <w:color w:val="000000" w:themeColor="text1"/>
          <w:szCs w:val="24"/>
          <w:vertAlign w:val="superscript"/>
        </w:rPr>
        <w:t>-27]</w:t>
      </w:r>
      <w:r w:rsidRPr="00413D75">
        <w:rPr>
          <w:rFonts w:ascii="Book Antiqua" w:hAnsi="Book Antiqua" w:cstheme="minorHAnsi"/>
          <w:color w:val="000000" w:themeColor="text1"/>
          <w:szCs w:val="24"/>
        </w:rPr>
        <w:t xml:space="preserve">. Its efficacy is related to metronidazole resistance in </w:t>
      </w:r>
      <w:r w:rsidRPr="00413D75">
        <w:rPr>
          <w:rFonts w:ascii="Book Antiqua" w:hAnsi="Book Antiqua" w:cstheme="minorHAnsi"/>
          <w:i/>
          <w:color w:val="000000" w:themeColor="text1"/>
          <w:szCs w:val="24"/>
        </w:rPr>
        <w:t xml:space="preserve">H. pylori </w:t>
      </w:r>
      <w:r w:rsidRPr="00413D75">
        <w:rPr>
          <w:rFonts w:ascii="Book Antiqua" w:hAnsi="Book Antiqua" w:cstheme="minorHAnsi"/>
          <w:color w:val="000000" w:themeColor="text1"/>
          <w:szCs w:val="24"/>
        </w:rPr>
        <w:t>strains and the duration of the regimens</w:t>
      </w:r>
      <w:r w:rsidRPr="00413D75">
        <w:rPr>
          <w:rFonts w:ascii="Book Antiqua" w:hAnsi="Book Antiqua" w:cstheme="minorHAnsi"/>
          <w:color w:val="000000" w:themeColor="text1"/>
          <w:szCs w:val="24"/>
          <w:vertAlign w:val="superscript"/>
        </w:rPr>
        <w:t>[28]</w:t>
      </w:r>
      <w:r w:rsidRPr="00413D75">
        <w:rPr>
          <w:rFonts w:ascii="Book Antiqua" w:hAnsi="Book Antiqua" w:cstheme="minorHAnsi"/>
          <w:color w:val="000000" w:themeColor="text1"/>
          <w:szCs w:val="24"/>
        </w:rPr>
        <w:t>. Meta-analysis of randomized controlled trials of bismuth quadruple therapy as a rescue treatment after failure of clarithromycin triple therapy revealed a significantly higher eradication rate for the 14-d regimen compared with the 7-d regimen</w:t>
      </w:r>
      <w:r w:rsidRPr="00413D75">
        <w:rPr>
          <w:rFonts w:ascii="Book Antiqua" w:hAnsi="Book Antiqua" w:cstheme="minorHAnsi"/>
          <w:color w:val="000000" w:themeColor="text1"/>
          <w:szCs w:val="24"/>
          <w:vertAlign w:val="superscript"/>
        </w:rPr>
        <w:t>[29]</w:t>
      </w:r>
      <w:r w:rsidRPr="00413D75">
        <w:rPr>
          <w:rFonts w:ascii="Book Antiqua" w:hAnsi="Book Antiqua" w:cstheme="minorHAnsi"/>
          <w:color w:val="000000" w:themeColor="text1"/>
          <w:szCs w:val="24"/>
        </w:rPr>
        <w:t xml:space="preserve">. Therefore, it is reasonable to encourage a 14-d regimen duration for bismuth quadruple therapy when used as a second-line treatment for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infection.</w:t>
      </w:r>
    </w:p>
    <w:p w14:paraId="0AF8F0E5" w14:textId="77777777" w:rsidR="00D04C84" w:rsidRPr="00413D75" w:rsidRDefault="00D04C84" w:rsidP="00413D75">
      <w:pPr>
        <w:adjustRightInd w:val="0"/>
        <w:snapToGrid w:val="0"/>
        <w:spacing w:line="360" w:lineRule="auto"/>
        <w:jc w:val="both"/>
        <w:rPr>
          <w:rFonts w:ascii="Book Antiqua" w:eastAsia="AdvP101883" w:hAnsi="Book Antiqua" w:cstheme="minorHAnsi"/>
          <w:color w:val="000000" w:themeColor="text1"/>
          <w:szCs w:val="24"/>
        </w:rPr>
      </w:pPr>
    </w:p>
    <w:p w14:paraId="0B3E46A7" w14:textId="77777777" w:rsidR="00D04C84" w:rsidRPr="00413D75" w:rsidRDefault="00D04C84" w:rsidP="00413D75">
      <w:pPr>
        <w:adjustRightInd w:val="0"/>
        <w:snapToGrid w:val="0"/>
        <w:spacing w:line="360" w:lineRule="auto"/>
        <w:jc w:val="both"/>
        <w:rPr>
          <w:rFonts w:ascii="Book Antiqua" w:hAnsi="Book Antiqua" w:cstheme="minorHAnsi"/>
          <w:b/>
          <w:i/>
          <w:color w:val="000000" w:themeColor="text1"/>
          <w:szCs w:val="24"/>
        </w:rPr>
      </w:pPr>
      <w:r w:rsidRPr="00413D75">
        <w:rPr>
          <w:rFonts w:ascii="Book Antiqua" w:hAnsi="Book Antiqua" w:cstheme="minorHAnsi"/>
          <w:b/>
          <w:i/>
          <w:color w:val="000000" w:themeColor="text1"/>
          <w:szCs w:val="24"/>
        </w:rPr>
        <w:t>Fluoroquinolone-based triple/quadruple therapy</w:t>
      </w:r>
    </w:p>
    <w:p w14:paraId="6F2936C1" w14:textId="073F7F83" w:rsidR="00D04C84" w:rsidRPr="00413D75" w:rsidRDefault="00D04C84" w:rsidP="00CE6502">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The most commonly used fluoroquinolone-based triple therapy is composed of levofloxacin 500 mg daily, amoxicillin 1 g twice daily and a PPI (standard dose) twice daily for 10 to 14 d (</w:t>
      </w:r>
      <w:r w:rsidR="00CE6502">
        <w:rPr>
          <w:rFonts w:ascii="Book Antiqua" w:hAnsi="Book Antiqua" w:cstheme="minorHAnsi"/>
          <w:color w:val="000000" w:themeColor="text1"/>
          <w:szCs w:val="24"/>
        </w:rPr>
        <w:t>Table</w:t>
      </w:r>
      <w:r w:rsidRPr="00413D75">
        <w:rPr>
          <w:rFonts w:ascii="Book Antiqua" w:hAnsi="Book Antiqua" w:cstheme="minorHAnsi"/>
          <w:color w:val="000000" w:themeColor="text1"/>
          <w:szCs w:val="24"/>
        </w:rPr>
        <w:t xml:space="preserve"> 1). Meta-analyses revealed that levofloxacin-amoxicillin triple therapy and bismuth quadruple therapy had</w:t>
      </w:r>
      <w:r w:rsidRPr="00413D75">
        <w:rPr>
          <w:rFonts w:ascii="Book Antiqua" w:hAnsi="Book Antiqua" w:cstheme="minorHAnsi"/>
          <w:color w:val="000000" w:themeColor="text1"/>
          <w:kern w:val="0"/>
          <w:szCs w:val="24"/>
        </w:rPr>
        <w:t xml:space="preserve"> comparable eradication rates, whereas the former had fewer adverse effects than the latter</w:t>
      </w:r>
      <w:r w:rsidRPr="00413D75">
        <w:rPr>
          <w:rFonts w:ascii="Book Antiqua" w:hAnsi="Book Antiqua" w:cstheme="minorHAnsi"/>
          <w:color w:val="000000" w:themeColor="text1"/>
          <w:kern w:val="0"/>
          <w:szCs w:val="24"/>
          <w:vertAlign w:val="superscript"/>
        </w:rPr>
        <w:t>[30]</w:t>
      </w:r>
      <w:r w:rsidRPr="00413D75">
        <w:rPr>
          <w:rFonts w:ascii="Book Antiqua" w:hAnsi="Book Antiqua" w:cstheme="minorHAnsi"/>
          <w:color w:val="000000" w:themeColor="text1"/>
          <w:kern w:val="0"/>
          <w:szCs w:val="24"/>
        </w:rPr>
        <w:t xml:space="preserve">. A systemic review and meta-analysis revealed that </w:t>
      </w:r>
      <w:r w:rsidRPr="00413D75">
        <w:rPr>
          <w:rFonts w:ascii="Book Antiqua" w:hAnsi="Book Antiqua" w:cstheme="minorHAnsi"/>
          <w:color w:val="000000" w:themeColor="text1"/>
          <w:szCs w:val="24"/>
        </w:rPr>
        <w:t>levofloxacin-amoxicillin triple therapy achieved an overall eradication rate of 78% after failure of a non-bismuth quadruple therapy</w:t>
      </w:r>
      <w:r w:rsidRPr="00413D75">
        <w:rPr>
          <w:rFonts w:ascii="Book Antiqua" w:hAnsi="Book Antiqua" w:cstheme="minorHAnsi"/>
          <w:color w:val="000000" w:themeColor="text1"/>
          <w:szCs w:val="24"/>
          <w:vertAlign w:val="superscript"/>
        </w:rPr>
        <w:t>[31]</w:t>
      </w:r>
      <w:r w:rsidRPr="00413D75">
        <w:rPr>
          <w:rFonts w:ascii="Book Antiqua" w:hAnsi="Book Antiqua" w:cstheme="minorHAnsi"/>
          <w:color w:val="000000" w:themeColor="text1"/>
          <w:szCs w:val="24"/>
        </w:rPr>
        <w:t>. It was similarly effective after failure of sequential an</w:t>
      </w:r>
      <w:r w:rsidR="00CE6502">
        <w:rPr>
          <w:rFonts w:ascii="Book Antiqua" w:hAnsi="Book Antiqua" w:cstheme="minorHAnsi"/>
          <w:color w:val="000000" w:themeColor="text1"/>
          <w:szCs w:val="24"/>
        </w:rPr>
        <w:t xml:space="preserve">d concomitant therapies (81% </w:t>
      </w:r>
      <w:r w:rsidR="00CE6502" w:rsidRPr="00CE6502">
        <w:rPr>
          <w:rFonts w:ascii="Book Antiqua" w:hAnsi="Book Antiqua" w:cstheme="minorHAnsi"/>
          <w:i/>
          <w:color w:val="000000" w:themeColor="text1"/>
          <w:szCs w:val="24"/>
        </w:rPr>
        <w:t>vs</w:t>
      </w:r>
      <w:r w:rsidRPr="00413D75">
        <w:rPr>
          <w:rFonts w:ascii="Book Antiqua" w:hAnsi="Book Antiqua" w:cstheme="minorHAnsi"/>
          <w:color w:val="000000" w:themeColor="text1"/>
          <w:szCs w:val="24"/>
        </w:rPr>
        <w:t xml:space="preserve"> 78%, respectively), and the cure rate of levofloxacin-amoxicillin triple therapy following hybrid therapy was 50%.</w:t>
      </w:r>
    </w:p>
    <w:p w14:paraId="1B266BE6" w14:textId="58B652A0" w:rsidR="00D04C84" w:rsidRPr="00413D75" w:rsidRDefault="00CE6502" w:rsidP="00CE6502">
      <w:pPr>
        <w:adjustRightInd w:val="0"/>
        <w:snapToGrid w:val="0"/>
        <w:spacing w:line="360" w:lineRule="auto"/>
        <w:jc w:val="both"/>
        <w:rPr>
          <w:rFonts w:ascii="Book Antiqua" w:hAnsi="Book Antiqua" w:cstheme="minorHAnsi"/>
          <w:color w:val="000000" w:themeColor="text1"/>
          <w:szCs w:val="24"/>
        </w:rPr>
      </w:pPr>
      <w:r>
        <w:rPr>
          <w:rFonts w:ascii="Book Antiqua" w:hAnsi="Book Antiqua" w:cstheme="minorHAnsi"/>
          <w:color w:val="000000" w:themeColor="text1"/>
          <w:kern w:val="0"/>
          <w:szCs w:val="24"/>
        </w:rPr>
        <w:t xml:space="preserve">  </w:t>
      </w:r>
      <w:r w:rsidR="00D04C84" w:rsidRPr="00413D75">
        <w:rPr>
          <w:rFonts w:ascii="Book Antiqua" w:hAnsi="Book Antiqua" w:cstheme="minorHAnsi"/>
          <w:color w:val="000000" w:themeColor="text1"/>
          <w:kern w:val="0"/>
          <w:szCs w:val="24"/>
        </w:rPr>
        <w:t>An i</w:t>
      </w:r>
      <w:r w:rsidR="00D04C84" w:rsidRPr="00413D75">
        <w:rPr>
          <w:rFonts w:ascii="Book Antiqua" w:hAnsi="Book Antiqua" w:cstheme="minorHAnsi"/>
          <w:color w:val="000000" w:themeColor="text1"/>
          <w:szCs w:val="24"/>
        </w:rPr>
        <w:t>mportant drawback of levofloxacin</w:t>
      </w:r>
      <w:r w:rsidR="00D04C84" w:rsidRPr="00413D75">
        <w:rPr>
          <w:rFonts w:ascii="Book Antiqua" w:hAnsi="Book Antiqua" w:cstheme="minorHAnsi"/>
          <w:color w:val="000000" w:themeColor="text1"/>
          <w:kern w:val="0"/>
          <w:szCs w:val="24"/>
        </w:rPr>
        <w:t>-amoxicillin triple therapy</w:t>
      </w:r>
      <w:r w:rsidR="00D04C84" w:rsidRPr="00413D75">
        <w:rPr>
          <w:rFonts w:ascii="Book Antiqua" w:hAnsi="Book Antiqua" w:cstheme="minorHAnsi"/>
          <w:color w:val="000000" w:themeColor="text1"/>
          <w:szCs w:val="24"/>
        </w:rPr>
        <w:t xml:space="preserve"> is poor eradication efficacy in the presence of fluoroquinolone resistance. Bismuth </w:t>
      </w:r>
      <w:r w:rsidR="00D04C84" w:rsidRPr="00413D75">
        <w:rPr>
          <w:rFonts w:ascii="Book Antiqua" w:hAnsi="Book Antiqua" w:cstheme="minorHAnsi"/>
          <w:color w:val="000000" w:themeColor="text1"/>
          <w:kern w:val="0"/>
          <w:szCs w:val="24"/>
        </w:rPr>
        <w:t>salts have a synergistic effect on antibiotics and have been used to increase eradication rates</w:t>
      </w:r>
      <w:r w:rsidR="00D04C84" w:rsidRPr="00413D75">
        <w:rPr>
          <w:rFonts w:ascii="Book Antiqua" w:hAnsi="Book Antiqua" w:cstheme="minorHAnsi"/>
          <w:color w:val="000000" w:themeColor="text1"/>
          <w:kern w:val="0"/>
          <w:szCs w:val="24"/>
          <w:vertAlign w:val="superscript"/>
        </w:rPr>
        <w:t>[32]</w:t>
      </w:r>
      <w:r w:rsidR="00D04C84" w:rsidRPr="00413D75">
        <w:rPr>
          <w:rFonts w:ascii="Book Antiqua" w:hAnsi="Book Antiqua" w:cstheme="minorHAnsi"/>
          <w:color w:val="000000" w:themeColor="text1"/>
          <w:kern w:val="0"/>
          <w:szCs w:val="24"/>
        </w:rPr>
        <w:t xml:space="preserve">. </w:t>
      </w:r>
      <w:r w:rsidR="00D04C84" w:rsidRPr="00413D75">
        <w:rPr>
          <w:rFonts w:ascii="Book Antiqua" w:hAnsi="Book Antiqua" w:cstheme="minorHAnsi"/>
          <w:color w:val="000000" w:themeColor="text1"/>
          <w:szCs w:val="24"/>
        </w:rPr>
        <w:t xml:space="preserve">The Maastricht V/Florence Consensus Report also recommended the application of fluoroquinolone-amoxicillin quadruple therapy as a second-line therapy for </w:t>
      </w:r>
      <w:r w:rsidR="00D04C84" w:rsidRPr="00413D75">
        <w:rPr>
          <w:rFonts w:ascii="Book Antiqua" w:hAnsi="Book Antiqua" w:cstheme="minorHAnsi"/>
          <w:i/>
          <w:color w:val="000000" w:themeColor="text1"/>
          <w:szCs w:val="24"/>
        </w:rPr>
        <w:t>H. pylori</w:t>
      </w:r>
      <w:r w:rsidR="00D04C84" w:rsidRPr="00413D75">
        <w:rPr>
          <w:rFonts w:ascii="Book Antiqua" w:hAnsi="Book Antiqua" w:cstheme="minorHAnsi"/>
          <w:color w:val="000000" w:themeColor="text1"/>
          <w:szCs w:val="24"/>
        </w:rPr>
        <w:t xml:space="preserve"> infection</w:t>
      </w:r>
      <w:r w:rsidR="00D04C84" w:rsidRPr="00413D75">
        <w:rPr>
          <w:rFonts w:ascii="Book Antiqua" w:hAnsi="Book Antiqua" w:cstheme="minorHAnsi"/>
          <w:color w:val="000000" w:themeColor="text1"/>
          <w:szCs w:val="24"/>
          <w:vertAlign w:val="superscript"/>
        </w:rPr>
        <w:t>[31]</w:t>
      </w:r>
      <w:r w:rsidR="00D04C84" w:rsidRPr="00413D75">
        <w:rPr>
          <w:rFonts w:ascii="Book Antiqua" w:hAnsi="Book Antiqua" w:cstheme="minorHAnsi"/>
          <w:color w:val="000000" w:themeColor="text1"/>
          <w:szCs w:val="24"/>
        </w:rPr>
        <w:t xml:space="preserve">. Levofloxacin-amoxicillin quadruple therapy is composed of levofloxacin 500 mg daily, amoxicillin 1 g twice daily, PPI (standard dose) twice daily and </w:t>
      </w:r>
      <w:r w:rsidR="00D04C84" w:rsidRPr="00413D75">
        <w:rPr>
          <w:rFonts w:ascii="Book Antiqua" w:hAnsi="Book Antiqua" w:cstheme="minorHAnsi"/>
          <w:color w:val="000000" w:themeColor="text1"/>
          <w:szCs w:val="24"/>
        </w:rPr>
        <w:lastRenderedPageBreak/>
        <w:t>bismuth 240 mg twice daily for 10 to 14 d (</w:t>
      </w:r>
      <w:r>
        <w:rPr>
          <w:rFonts w:ascii="Book Antiqua" w:hAnsi="Book Antiqua" w:cstheme="minorHAnsi"/>
          <w:color w:val="000000" w:themeColor="text1"/>
          <w:szCs w:val="24"/>
        </w:rPr>
        <w:t>Table</w:t>
      </w:r>
      <w:r w:rsidR="00D04C84" w:rsidRPr="00413D75">
        <w:rPr>
          <w:rFonts w:ascii="Book Antiqua" w:hAnsi="Book Antiqua" w:cstheme="minorHAnsi"/>
          <w:color w:val="000000" w:themeColor="text1"/>
          <w:szCs w:val="24"/>
        </w:rPr>
        <w:t xml:space="preserve"> 1). </w:t>
      </w:r>
      <w:r w:rsidR="00D04C84" w:rsidRPr="00413D75">
        <w:rPr>
          <w:rFonts w:ascii="Book Antiqua" w:hAnsi="Book Antiqua" w:cstheme="minorHAnsi"/>
          <w:color w:val="000000" w:themeColor="text1"/>
          <w:kern w:val="0"/>
          <w:szCs w:val="24"/>
        </w:rPr>
        <w:t>A randomized controlled trial showed there were no significant differences between the eradication rates of second-line 14-d l</w:t>
      </w:r>
      <w:r w:rsidR="00D04C84" w:rsidRPr="00413D75">
        <w:rPr>
          <w:rFonts w:ascii="Book Antiqua" w:hAnsi="Book Antiqua" w:cstheme="minorHAnsi"/>
          <w:color w:val="000000" w:themeColor="text1"/>
          <w:szCs w:val="24"/>
        </w:rPr>
        <w:t xml:space="preserve">evofloxacin-amoxicillin quadruple therapy and 14-d </w:t>
      </w:r>
      <w:r w:rsidR="00D04C84" w:rsidRPr="00413D75">
        <w:rPr>
          <w:rFonts w:ascii="Book Antiqua" w:hAnsi="Book Antiqua" w:cstheme="minorHAnsi"/>
          <w:color w:val="000000" w:themeColor="text1"/>
          <w:kern w:val="0"/>
          <w:szCs w:val="24"/>
        </w:rPr>
        <w:t>l</w:t>
      </w:r>
      <w:r w:rsidR="00D04C84" w:rsidRPr="00413D75">
        <w:rPr>
          <w:rFonts w:ascii="Book Antiqua" w:hAnsi="Book Antiqua" w:cstheme="minorHAnsi"/>
          <w:color w:val="000000" w:themeColor="text1"/>
          <w:szCs w:val="24"/>
        </w:rPr>
        <w:t xml:space="preserve">evofloxacin-amoxicillin triple therapy (87% </w:t>
      </w:r>
      <w:r w:rsidR="00D04C84" w:rsidRPr="00CE6502">
        <w:rPr>
          <w:rFonts w:ascii="Book Antiqua" w:hAnsi="Book Antiqua" w:cstheme="minorHAnsi"/>
          <w:i/>
          <w:color w:val="000000" w:themeColor="text1"/>
          <w:szCs w:val="24"/>
        </w:rPr>
        <w:t>vs</w:t>
      </w:r>
      <w:r w:rsidR="00D04C84" w:rsidRPr="00413D75">
        <w:rPr>
          <w:rFonts w:ascii="Book Antiqua" w:hAnsi="Book Antiqua" w:cstheme="minorHAnsi"/>
          <w:color w:val="000000" w:themeColor="text1"/>
          <w:szCs w:val="24"/>
        </w:rPr>
        <w:t xml:space="preserve"> 83%, respectively)</w:t>
      </w:r>
      <w:r w:rsidR="00D04C84" w:rsidRPr="00413D75">
        <w:rPr>
          <w:rFonts w:ascii="Book Antiqua" w:hAnsi="Book Antiqua" w:cstheme="minorHAnsi"/>
          <w:color w:val="000000" w:themeColor="text1"/>
          <w:szCs w:val="24"/>
          <w:vertAlign w:val="superscript"/>
        </w:rPr>
        <w:t>[33]</w:t>
      </w:r>
      <w:r w:rsidR="00D04C84" w:rsidRPr="00413D75">
        <w:rPr>
          <w:rFonts w:ascii="Book Antiqua" w:hAnsi="Book Antiqua" w:cstheme="minorHAnsi"/>
          <w:color w:val="000000" w:themeColor="text1"/>
          <w:szCs w:val="24"/>
        </w:rPr>
        <w:t xml:space="preserve">. However, the former had a higher eradication rate for levofloxacin-resistant </w:t>
      </w:r>
      <w:r>
        <w:rPr>
          <w:rFonts w:ascii="Book Antiqua" w:hAnsi="Book Antiqua" w:cstheme="minorHAnsi"/>
          <w:color w:val="000000" w:themeColor="text1"/>
          <w:szCs w:val="24"/>
        </w:rPr>
        <w:t xml:space="preserve">strains than the latter (71% </w:t>
      </w:r>
      <w:r w:rsidRPr="00CE6502">
        <w:rPr>
          <w:rFonts w:ascii="Book Antiqua" w:hAnsi="Book Antiqua" w:cstheme="minorHAnsi"/>
          <w:i/>
          <w:color w:val="000000" w:themeColor="text1"/>
          <w:szCs w:val="24"/>
        </w:rPr>
        <w:t>vs</w:t>
      </w:r>
      <w:r w:rsidR="00D04C84" w:rsidRPr="00413D75">
        <w:rPr>
          <w:rFonts w:ascii="Book Antiqua" w:hAnsi="Book Antiqua" w:cstheme="minorHAnsi"/>
          <w:color w:val="000000" w:themeColor="text1"/>
          <w:szCs w:val="24"/>
        </w:rPr>
        <w:t xml:space="preserve"> 37%)</w:t>
      </w:r>
      <w:r w:rsidR="00D04C84" w:rsidRPr="00413D75">
        <w:rPr>
          <w:rFonts w:ascii="Book Antiqua" w:hAnsi="Book Antiqua" w:cstheme="minorHAnsi"/>
          <w:color w:val="000000" w:themeColor="text1"/>
          <w:szCs w:val="24"/>
          <w:vertAlign w:val="superscript"/>
        </w:rPr>
        <w:t>[33]</w:t>
      </w:r>
      <w:r w:rsidR="00D04C84" w:rsidRPr="00413D75">
        <w:rPr>
          <w:rFonts w:ascii="Book Antiqua" w:hAnsi="Book Antiqua" w:cstheme="minorHAnsi"/>
          <w:color w:val="000000" w:themeColor="text1"/>
          <w:szCs w:val="24"/>
        </w:rPr>
        <w:t>.</w:t>
      </w:r>
    </w:p>
    <w:p w14:paraId="2C060BAE" w14:textId="77777777" w:rsidR="00D04C84" w:rsidRPr="00413D75" w:rsidRDefault="00D04C84" w:rsidP="00413D75">
      <w:pPr>
        <w:adjustRightInd w:val="0"/>
        <w:snapToGrid w:val="0"/>
        <w:spacing w:line="360" w:lineRule="auto"/>
        <w:ind w:firstLineChars="150" w:firstLine="360"/>
        <w:jc w:val="both"/>
        <w:rPr>
          <w:rFonts w:ascii="Book Antiqua" w:eastAsia="AdvP101883" w:hAnsi="Book Antiqua" w:cstheme="minorHAnsi"/>
          <w:color w:val="000000" w:themeColor="text1"/>
          <w:szCs w:val="24"/>
        </w:rPr>
      </w:pPr>
      <w:r w:rsidRPr="00413D75">
        <w:rPr>
          <w:rFonts w:ascii="Book Antiqua" w:hAnsi="Book Antiqua" w:cstheme="minorHAnsi"/>
          <w:color w:val="000000" w:themeColor="text1"/>
          <w:szCs w:val="24"/>
        </w:rPr>
        <w:t xml:space="preserve"> </w:t>
      </w:r>
    </w:p>
    <w:p w14:paraId="7EFAE3BB" w14:textId="010C6F78" w:rsidR="00D04C84" w:rsidRPr="00413D75" w:rsidRDefault="00F04D7D" w:rsidP="00413D75">
      <w:pPr>
        <w:adjustRightInd w:val="0"/>
        <w:snapToGrid w:val="0"/>
        <w:spacing w:line="360" w:lineRule="auto"/>
        <w:jc w:val="both"/>
        <w:rPr>
          <w:rFonts w:ascii="Book Antiqua" w:hAnsi="Book Antiqua" w:cstheme="minorHAnsi"/>
          <w:b/>
          <w:i/>
          <w:color w:val="000000" w:themeColor="text1"/>
          <w:szCs w:val="24"/>
        </w:rPr>
      </w:pPr>
      <w:r w:rsidRPr="00413D75">
        <w:rPr>
          <w:rFonts w:ascii="Book Antiqua" w:hAnsi="Book Antiqua" w:cstheme="minorHAnsi"/>
          <w:b/>
          <w:i/>
          <w:color w:val="000000" w:themeColor="text1"/>
          <w:szCs w:val="24"/>
        </w:rPr>
        <w:t>TL</w:t>
      </w:r>
      <w:r w:rsidR="008C3663">
        <w:rPr>
          <w:rFonts w:ascii="Book Antiqua" w:eastAsiaTheme="minorEastAsia" w:hAnsi="Book Antiqua" w:cstheme="minorHAnsi" w:hint="eastAsia"/>
          <w:b/>
          <w:i/>
          <w:color w:val="000000" w:themeColor="text1"/>
          <w:szCs w:val="24"/>
          <w:lang w:eastAsia="zh-CN"/>
        </w:rPr>
        <w:t xml:space="preserve"> </w:t>
      </w:r>
      <w:r w:rsidR="00D04C84" w:rsidRPr="00413D75">
        <w:rPr>
          <w:rFonts w:ascii="Book Antiqua" w:hAnsi="Book Antiqua" w:cstheme="minorHAnsi"/>
          <w:b/>
          <w:i/>
          <w:color w:val="000000" w:themeColor="text1"/>
          <w:szCs w:val="24"/>
        </w:rPr>
        <w:t>quadruple therapy</w:t>
      </w:r>
    </w:p>
    <w:p w14:paraId="79FF6EBF" w14:textId="185AE95B" w:rsidR="00D04C84" w:rsidRPr="00413D75" w:rsidRDefault="00D04C84" w:rsidP="00CE6502">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 xml:space="preserve">Recently, Hsu </w:t>
      </w:r>
      <w:r w:rsidRPr="00CE6502">
        <w:rPr>
          <w:rFonts w:ascii="Book Antiqua" w:hAnsi="Book Antiqua" w:cstheme="minorHAnsi"/>
          <w:i/>
          <w:color w:val="000000" w:themeColor="text1"/>
          <w:szCs w:val="24"/>
        </w:rPr>
        <w:t>et al</w:t>
      </w:r>
      <w:r w:rsidR="001C6B7F">
        <w:rPr>
          <w:rFonts w:ascii="Book Antiqua" w:hAnsi="Book Antiqua" w:cstheme="minorHAnsi"/>
          <w:color w:val="000000" w:themeColor="text1"/>
          <w:szCs w:val="24"/>
          <w:vertAlign w:val="superscript"/>
        </w:rPr>
        <w:t>[17</w:t>
      </w:r>
      <w:r w:rsidR="00CE6502" w:rsidRPr="00413D75">
        <w:rPr>
          <w:rFonts w:ascii="Book Antiqua" w:hAnsi="Book Antiqua" w:cstheme="minorHAnsi"/>
          <w:color w:val="000000" w:themeColor="text1"/>
          <w:szCs w:val="24"/>
          <w:vertAlign w:val="superscript"/>
        </w:rPr>
        <w:t>]</w:t>
      </w:r>
      <w:r w:rsidRPr="00413D75">
        <w:rPr>
          <w:rFonts w:ascii="Book Antiqua" w:hAnsi="Book Antiqua" w:cstheme="minorHAnsi"/>
          <w:color w:val="000000" w:themeColor="text1"/>
          <w:szCs w:val="24"/>
        </w:rPr>
        <w:t xml:space="preserve"> developed a novel TL quadruple therapy as a rescue treatment for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infection</w:t>
      </w:r>
      <w:r w:rsidR="00200BFA">
        <w:rPr>
          <w:rFonts w:ascii="Book Antiqua" w:hAnsi="Book Antiqua" w:cstheme="minorHAnsi"/>
          <w:color w:val="000000" w:themeColor="text1"/>
          <w:szCs w:val="24"/>
        </w:rPr>
        <w:t>.</w:t>
      </w:r>
      <w:r w:rsidRPr="00413D75">
        <w:rPr>
          <w:rFonts w:ascii="Book Antiqua" w:hAnsi="Book Antiqua" w:cstheme="minorHAnsi"/>
          <w:color w:val="000000" w:themeColor="text1"/>
          <w:szCs w:val="24"/>
        </w:rPr>
        <w:t xml:space="preserve"> It consists of esomeprazole 40 mg twice daily, tripotassium dicitrato bismuthate 120 mg four times daily, tetracycline 500 mg four times daily, and levofloxacin 500 mg once daily for 10 d (</w:t>
      </w:r>
      <w:r w:rsidR="00CE6502">
        <w:rPr>
          <w:rFonts w:ascii="Book Antiqua" w:hAnsi="Book Antiqua" w:cstheme="minorHAnsi"/>
          <w:color w:val="000000" w:themeColor="text1"/>
          <w:szCs w:val="24"/>
        </w:rPr>
        <w:t>Table</w:t>
      </w:r>
      <w:r w:rsidRPr="00413D75">
        <w:rPr>
          <w:rFonts w:ascii="Book Antiqua" w:hAnsi="Book Antiqua" w:cstheme="minorHAnsi"/>
          <w:color w:val="000000" w:themeColor="text1"/>
          <w:szCs w:val="24"/>
        </w:rPr>
        <w:t xml:space="preserve"> 1). The simple regimen maintains a high eradication rate for </w:t>
      </w:r>
      <w:r w:rsidRPr="00413D75">
        <w:rPr>
          <w:rFonts w:ascii="Book Antiqua" w:hAnsi="Book Antiqua" w:cstheme="minorHAnsi"/>
          <w:i/>
          <w:color w:val="000000" w:themeColor="text1"/>
          <w:szCs w:val="24"/>
        </w:rPr>
        <w:t xml:space="preserve">H. pylori </w:t>
      </w:r>
      <w:r w:rsidRPr="00413D75">
        <w:rPr>
          <w:rFonts w:ascii="Book Antiqua" w:hAnsi="Book Antiqua" w:cstheme="minorHAnsi"/>
          <w:color w:val="000000" w:themeColor="text1"/>
          <w:szCs w:val="24"/>
        </w:rPr>
        <w:t>strains with levofloxacin resistance</w:t>
      </w:r>
      <w:r w:rsidR="001C6B7F">
        <w:rPr>
          <w:rFonts w:ascii="Book Antiqua" w:hAnsi="Book Antiqua" w:cstheme="minorHAnsi"/>
          <w:color w:val="000000" w:themeColor="text1"/>
          <w:szCs w:val="24"/>
          <w:vertAlign w:val="superscript"/>
        </w:rPr>
        <w:t>[17</w:t>
      </w:r>
      <w:r w:rsidRPr="00413D75">
        <w:rPr>
          <w:rFonts w:ascii="Book Antiqua" w:hAnsi="Book Antiqua" w:cstheme="minorHAnsi"/>
          <w:color w:val="000000" w:themeColor="text1"/>
          <w:szCs w:val="24"/>
          <w:vertAlign w:val="superscript"/>
        </w:rPr>
        <w:t>]</w:t>
      </w:r>
      <w:r w:rsidRPr="00413D75">
        <w:rPr>
          <w:rFonts w:ascii="Book Antiqua" w:hAnsi="Book Antiqua" w:cstheme="minorHAnsi"/>
          <w:color w:val="000000" w:themeColor="text1"/>
          <w:szCs w:val="24"/>
        </w:rPr>
        <w:t>. A randomized control study showed that as a second-line anti-</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treatment, 10-d of TL quadruple therapy achieved a much higher eradication rate compared with 10-d levofloxacin triple therapy containing esomeprazole, amoxicillin and levofloxacin (98% </w:t>
      </w:r>
      <w:r w:rsidRPr="00413D75">
        <w:rPr>
          <w:rFonts w:ascii="Book Antiqua" w:hAnsi="Book Antiqua" w:cstheme="minorHAnsi"/>
          <w:i/>
          <w:color w:val="000000" w:themeColor="text1"/>
          <w:szCs w:val="24"/>
        </w:rPr>
        <w:t>vs</w:t>
      </w:r>
      <w:r w:rsidRPr="00413D75">
        <w:rPr>
          <w:rFonts w:ascii="Book Antiqua" w:hAnsi="Book Antiqua" w:cstheme="minorHAnsi"/>
          <w:color w:val="000000" w:themeColor="text1"/>
          <w:szCs w:val="24"/>
        </w:rPr>
        <w:t xml:space="preserve"> 68%, respectively)</w:t>
      </w:r>
      <w:r w:rsidR="001C6B7F">
        <w:rPr>
          <w:rFonts w:ascii="Book Antiqua" w:hAnsi="Book Antiqua" w:cstheme="minorHAnsi"/>
          <w:color w:val="000000" w:themeColor="text1"/>
          <w:szCs w:val="24"/>
          <w:vertAlign w:val="superscript"/>
        </w:rPr>
        <w:t>[34</w:t>
      </w:r>
      <w:r w:rsidRPr="00413D75">
        <w:rPr>
          <w:rFonts w:ascii="Book Antiqua" w:hAnsi="Book Antiqua" w:cstheme="minorHAnsi"/>
          <w:color w:val="000000" w:themeColor="text1"/>
          <w:szCs w:val="24"/>
          <w:vertAlign w:val="superscript"/>
        </w:rPr>
        <w:t>]</w:t>
      </w:r>
      <w:r w:rsidRPr="00413D75">
        <w:rPr>
          <w:rFonts w:ascii="Book Antiqua" w:hAnsi="Book Antiqua" w:cstheme="minorHAnsi"/>
          <w:color w:val="000000" w:themeColor="text1"/>
          <w:szCs w:val="24"/>
        </w:rPr>
        <w:t xml:space="preserve">. Subgroup analysis revealed that the former was superior to the latter in patients with failure of either standard triple therapy (100% </w:t>
      </w:r>
      <w:r w:rsidRPr="00413D75">
        <w:rPr>
          <w:rFonts w:ascii="Book Antiqua" w:hAnsi="Book Antiqua" w:cstheme="minorHAnsi"/>
          <w:i/>
          <w:color w:val="000000" w:themeColor="text1"/>
          <w:szCs w:val="24"/>
        </w:rPr>
        <w:t>vs</w:t>
      </w:r>
      <w:r w:rsidRPr="00413D75">
        <w:rPr>
          <w:rFonts w:ascii="Book Antiqua" w:hAnsi="Book Antiqua" w:cstheme="minorHAnsi"/>
          <w:color w:val="000000" w:themeColor="text1"/>
          <w:szCs w:val="24"/>
        </w:rPr>
        <w:t xml:space="preserve"> 75%) or non-bismuth quadruple therapy (95% </w:t>
      </w:r>
      <w:r w:rsidRPr="00413D75">
        <w:rPr>
          <w:rFonts w:ascii="Book Antiqua" w:hAnsi="Book Antiqua" w:cstheme="minorHAnsi"/>
          <w:i/>
          <w:color w:val="000000" w:themeColor="text1"/>
          <w:szCs w:val="24"/>
        </w:rPr>
        <w:t>vs</w:t>
      </w:r>
      <w:r w:rsidRPr="00413D75">
        <w:rPr>
          <w:rFonts w:ascii="Book Antiqua" w:hAnsi="Book Antiqua" w:cstheme="minorHAnsi"/>
          <w:color w:val="000000" w:themeColor="text1"/>
          <w:szCs w:val="24"/>
        </w:rPr>
        <w:t xml:space="preserve"> 53%). There were only 7 patients recruited into the study with eradication failure by bismuth quadruple therapy as a first-line treatment, and both TL quadruple and levofloxacin-amoxicillin triple therapies had a 100% eradication rate in this subgroup of patients. The data suggests that 10-d TL quadruple therapy is a good option for second-line treatment after failure of standard triple, concomitant and </w:t>
      </w:r>
      <w:r w:rsidRPr="00413D75">
        <w:rPr>
          <w:rFonts w:ascii="Book Antiqua" w:hAnsi="Book Antiqua" w:cstheme="minorHAnsi"/>
          <w:color w:val="000000" w:themeColor="text1"/>
          <w:kern w:val="0"/>
          <w:szCs w:val="24"/>
        </w:rPr>
        <w:t xml:space="preserve">bismuth quadruple therapies. </w:t>
      </w:r>
    </w:p>
    <w:p w14:paraId="5748924B" w14:textId="77777777" w:rsidR="00D04C84" w:rsidRPr="00413D75" w:rsidRDefault="00D04C84" w:rsidP="00413D75">
      <w:pPr>
        <w:adjustRightInd w:val="0"/>
        <w:snapToGrid w:val="0"/>
        <w:spacing w:line="360" w:lineRule="auto"/>
        <w:jc w:val="both"/>
        <w:rPr>
          <w:rFonts w:ascii="Book Antiqua" w:hAnsi="Book Antiqua" w:cstheme="minorHAnsi"/>
          <w:color w:val="000000" w:themeColor="text1"/>
          <w:szCs w:val="24"/>
        </w:rPr>
      </w:pPr>
    </w:p>
    <w:p w14:paraId="1621194C" w14:textId="77777777" w:rsidR="00D04C84" w:rsidRPr="00413D75" w:rsidRDefault="00D04C84" w:rsidP="00413D75">
      <w:pPr>
        <w:adjustRightInd w:val="0"/>
        <w:snapToGrid w:val="0"/>
        <w:spacing w:line="360" w:lineRule="auto"/>
        <w:jc w:val="both"/>
        <w:rPr>
          <w:rFonts w:ascii="Book Antiqua" w:hAnsi="Book Antiqua" w:cstheme="minorHAnsi"/>
          <w:b/>
          <w:i/>
          <w:color w:val="000000" w:themeColor="text1"/>
          <w:szCs w:val="24"/>
        </w:rPr>
      </w:pPr>
      <w:r w:rsidRPr="00413D75">
        <w:rPr>
          <w:rFonts w:ascii="Book Antiqua" w:hAnsi="Book Antiqua" w:cstheme="minorHAnsi"/>
          <w:b/>
          <w:i/>
          <w:color w:val="000000" w:themeColor="text1"/>
          <w:szCs w:val="24"/>
        </w:rPr>
        <w:t>High-dose dual therapy</w:t>
      </w:r>
    </w:p>
    <w:p w14:paraId="0ED4281E" w14:textId="5416CC81" w:rsidR="00D04C84" w:rsidRPr="00413D75" w:rsidRDefault="00D04C84" w:rsidP="00CE6502">
      <w:pPr>
        <w:adjustRightInd w:val="0"/>
        <w:snapToGrid w:val="0"/>
        <w:spacing w:line="360" w:lineRule="auto"/>
        <w:jc w:val="both"/>
        <w:rPr>
          <w:rFonts w:ascii="Book Antiqua" w:eastAsiaTheme="minorEastAsia" w:hAnsi="Book Antiqua" w:cstheme="minorHAnsi"/>
          <w:color w:val="000000" w:themeColor="text1"/>
          <w:szCs w:val="24"/>
        </w:rPr>
      </w:pPr>
      <w:r w:rsidRPr="00413D75">
        <w:rPr>
          <w:rFonts w:ascii="Book Antiqua" w:hAnsi="Book Antiqua" w:cstheme="minorHAnsi"/>
          <w:color w:val="000000" w:themeColor="text1"/>
          <w:szCs w:val="24"/>
        </w:rPr>
        <w:t xml:space="preserve">High-dose dual therapy </w:t>
      </w:r>
      <w:r w:rsidRPr="00413D75">
        <w:rPr>
          <w:rFonts w:ascii="Book Antiqua" w:eastAsia="MinionPro-Regular" w:hAnsi="Book Antiqua" w:cstheme="minorHAnsi"/>
          <w:color w:val="000000" w:themeColor="text1"/>
          <w:szCs w:val="24"/>
        </w:rPr>
        <w:t xml:space="preserve">is another emerging </w:t>
      </w:r>
      <w:r w:rsidRPr="00413D75">
        <w:rPr>
          <w:rFonts w:ascii="Book Antiqua" w:eastAsiaTheme="minorEastAsia" w:hAnsi="Book Antiqua" w:cstheme="minorHAnsi"/>
          <w:color w:val="000000" w:themeColor="text1"/>
          <w:szCs w:val="24"/>
        </w:rPr>
        <w:t xml:space="preserve">second-line </w:t>
      </w:r>
      <w:r w:rsidRPr="00413D75">
        <w:rPr>
          <w:rFonts w:ascii="Book Antiqua" w:eastAsia="MinionPro-Regular" w:hAnsi="Book Antiqua" w:cstheme="minorHAnsi"/>
          <w:color w:val="000000" w:themeColor="text1"/>
          <w:szCs w:val="24"/>
        </w:rPr>
        <w:t xml:space="preserve">treatment for </w:t>
      </w:r>
      <w:r w:rsidRPr="00413D75">
        <w:rPr>
          <w:rFonts w:ascii="Book Antiqua" w:eastAsia="MinionPro-Regular" w:hAnsi="Book Antiqua" w:cstheme="minorHAnsi"/>
          <w:i/>
          <w:iCs/>
          <w:color w:val="000000" w:themeColor="text1"/>
          <w:szCs w:val="24"/>
        </w:rPr>
        <w:t>H. pylori</w:t>
      </w:r>
      <w:r w:rsidRPr="00413D75">
        <w:rPr>
          <w:rFonts w:ascii="Book Antiqua" w:eastAsia="MinionPro-Regular" w:hAnsi="Book Antiqua" w:cstheme="minorHAnsi"/>
          <w:color w:val="000000" w:themeColor="text1"/>
          <w:szCs w:val="24"/>
        </w:rPr>
        <w:t xml:space="preserve"> infection</w:t>
      </w:r>
      <w:r w:rsidR="001C6B7F">
        <w:rPr>
          <w:rFonts w:ascii="Book Antiqua" w:eastAsiaTheme="minorEastAsia" w:hAnsi="Book Antiqua" w:cstheme="minorHAnsi"/>
          <w:color w:val="000000" w:themeColor="text1"/>
          <w:szCs w:val="24"/>
          <w:vertAlign w:val="superscript"/>
        </w:rPr>
        <w:t>[35</w:t>
      </w:r>
      <w:r w:rsidRPr="00413D75">
        <w:rPr>
          <w:rFonts w:ascii="Book Antiqua" w:eastAsiaTheme="minorEastAsia" w:hAnsi="Book Antiqua" w:cstheme="minorHAnsi"/>
          <w:color w:val="000000" w:themeColor="text1"/>
          <w:szCs w:val="24"/>
          <w:vertAlign w:val="superscript"/>
        </w:rPr>
        <w:t>]</w:t>
      </w:r>
      <w:r w:rsidRPr="00413D75">
        <w:rPr>
          <w:rFonts w:ascii="Book Antiqua" w:eastAsia="MinionPro-Regular" w:hAnsi="Book Antiqua" w:cstheme="minorHAnsi"/>
          <w:color w:val="000000" w:themeColor="text1"/>
          <w:szCs w:val="24"/>
        </w:rPr>
        <w:t xml:space="preserve">. The new therapy </w:t>
      </w:r>
      <w:r w:rsidRPr="00413D75">
        <w:rPr>
          <w:rFonts w:ascii="Book Antiqua" w:hAnsi="Book Antiqua" w:cstheme="minorHAnsi"/>
          <w:color w:val="000000" w:themeColor="text1"/>
          <w:szCs w:val="24"/>
        </w:rPr>
        <w:t xml:space="preserve">consists of </w:t>
      </w:r>
      <w:r w:rsidRPr="00413D75">
        <w:rPr>
          <w:rFonts w:ascii="Book Antiqua" w:eastAsia="MinionPro-Regular" w:hAnsi="Book Antiqua" w:cstheme="minorHAnsi"/>
          <w:color w:val="000000" w:themeColor="text1"/>
          <w:szCs w:val="24"/>
        </w:rPr>
        <w:t>high-dose PPI and amoxicillin</w:t>
      </w:r>
      <w:r w:rsidRPr="00413D75">
        <w:rPr>
          <w:rFonts w:ascii="Book Antiqua" w:eastAsiaTheme="minorEastAsia" w:hAnsi="Book Antiqua" w:cstheme="minorHAnsi"/>
          <w:color w:val="000000" w:themeColor="text1"/>
          <w:szCs w:val="24"/>
        </w:rPr>
        <w:t xml:space="preserve"> (</w:t>
      </w:r>
      <w:r w:rsidR="00CE6502">
        <w:rPr>
          <w:rFonts w:ascii="Book Antiqua" w:eastAsiaTheme="minorEastAsia" w:hAnsi="Book Antiqua" w:cstheme="minorHAnsi"/>
          <w:color w:val="000000" w:themeColor="text1"/>
          <w:szCs w:val="24"/>
        </w:rPr>
        <w:t>Table</w:t>
      </w:r>
      <w:r w:rsidRPr="00413D75">
        <w:rPr>
          <w:rFonts w:ascii="Book Antiqua" w:eastAsiaTheme="minorEastAsia" w:hAnsi="Book Antiqua" w:cstheme="minorHAnsi"/>
          <w:color w:val="000000" w:themeColor="text1"/>
          <w:szCs w:val="24"/>
        </w:rPr>
        <w:t xml:space="preserve"> 1)</w:t>
      </w:r>
      <w:r w:rsidRPr="00413D75">
        <w:rPr>
          <w:rFonts w:ascii="Book Antiqua" w:eastAsia="MinionPro-Regular" w:hAnsi="Book Antiqua" w:cstheme="minorHAnsi"/>
          <w:color w:val="000000" w:themeColor="text1"/>
          <w:szCs w:val="24"/>
        </w:rPr>
        <w:t xml:space="preserve">, which keep the intragastric pH higher than 6.5 regardless of </w:t>
      </w:r>
      <w:r w:rsidRPr="00413D75">
        <w:rPr>
          <w:rFonts w:ascii="Book Antiqua" w:eastAsia="MinionPro-Regular" w:hAnsi="Book Antiqua" w:cstheme="minorHAnsi"/>
          <w:i/>
          <w:color w:val="000000" w:themeColor="text1"/>
          <w:szCs w:val="24"/>
        </w:rPr>
        <w:lastRenderedPageBreak/>
        <w:t xml:space="preserve">CYP2C19 </w:t>
      </w:r>
      <w:r w:rsidRPr="00413D75">
        <w:rPr>
          <w:rFonts w:ascii="Book Antiqua" w:eastAsia="MinionPro-Regular" w:hAnsi="Book Antiqua" w:cstheme="minorHAnsi"/>
          <w:color w:val="000000" w:themeColor="text1"/>
          <w:szCs w:val="24"/>
        </w:rPr>
        <w:t>genotype</w:t>
      </w:r>
      <w:r w:rsidR="001C6B7F">
        <w:rPr>
          <w:rFonts w:ascii="Book Antiqua" w:eastAsiaTheme="minorEastAsia" w:hAnsi="Book Antiqua" w:cstheme="minorHAnsi"/>
          <w:color w:val="000000" w:themeColor="text1"/>
          <w:szCs w:val="24"/>
          <w:vertAlign w:val="superscript"/>
        </w:rPr>
        <w:t>[36</w:t>
      </w:r>
      <w:r w:rsidRPr="00413D75">
        <w:rPr>
          <w:rFonts w:ascii="Book Antiqua" w:eastAsiaTheme="minorEastAsia" w:hAnsi="Book Antiqua" w:cstheme="minorHAnsi"/>
          <w:color w:val="000000" w:themeColor="text1"/>
          <w:szCs w:val="24"/>
          <w:vertAlign w:val="superscript"/>
        </w:rPr>
        <w:t>]</w:t>
      </w:r>
      <w:r w:rsidRPr="00413D75">
        <w:rPr>
          <w:rFonts w:ascii="Book Antiqua" w:eastAsiaTheme="minorEastAsia" w:hAnsi="Book Antiqua" w:cstheme="minorHAnsi"/>
          <w:color w:val="000000" w:themeColor="text1"/>
          <w:szCs w:val="24"/>
        </w:rPr>
        <w:t>,</w:t>
      </w:r>
      <w:r w:rsidRPr="00413D75">
        <w:rPr>
          <w:rFonts w:ascii="Book Antiqua" w:eastAsia="MinionPro-Regular" w:hAnsi="Book Antiqua" w:cstheme="minorHAnsi"/>
          <w:color w:val="000000" w:themeColor="text1"/>
          <w:szCs w:val="24"/>
        </w:rPr>
        <w:t xml:space="preserve"> and maintain a steady plasma concentration of amoxicillin above the minimal inhibitory concentration for </w:t>
      </w:r>
      <w:r w:rsidRPr="00413D75">
        <w:rPr>
          <w:rFonts w:ascii="Book Antiqua" w:eastAsia="MinionPro-Regular" w:hAnsi="Book Antiqua" w:cstheme="minorHAnsi"/>
          <w:i/>
          <w:iCs/>
          <w:color w:val="000000" w:themeColor="text1"/>
          <w:szCs w:val="24"/>
        </w:rPr>
        <w:t>H. pylori</w:t>
      </w:r>
      <w:r w:rsidR="001C6B7F">
        <w:rPr>
          <w:rFonts w:ascii="Book Antiqua" w:eastAsiaTheme="minorEastAsia" w:hAnsi="Book Antiqua" w:cstheme="minorHAnsi"/>
          <w:color w:val="000000" w:themeColor="text1"/>
          <w:szCs w:val="24"/>
          <w:vertAlign w:val="superscript"/>
        </w:rPr>
        <w:t>[37</w:t>
      </w:r>
      <w:r w:rsidRPr="00413D75">
        <w:rPr>
          <w:rFonts w:ascii="Book Antiqua" w:eastAsiaTheme="minorEastAsia" w:hAnsi="Book Antiqua" w:cstheme="minorHAnsi"/>
          <w:color w:val="000000" w:themeColor="text1"/>
          <w:szCs w:val="24"/>
          <w:vertAlign w:val="superscript"/>
        </w:rPr>
        <w:t>]</w:t>
      </w:r>
      <w:r w:rsidRPr="00413D75">
        <w:rPr>
          <w:rFonts w:ascii="Book Antiqua" w:eastAsia="MinionPro-Regular" w:hAnsi="Book Antiqua" w:cstheme="minorHAnsi"/>
          <w:color w:val="000000" w:themeColor="text1"/>
          <w:szCs w:val="24"/>
        </w:rPr>
        <w:t>.</w:t>
      </w:r>
      <w:r w:rsidRPr="00413D75">
        <w:rPr>
          <w:rFonts w:ascii="Book Antiqua" w:eastAsiaTheme="minorEastAsia" w:hAnsi="Book Antiqua" w:cstheme="minorHAnsi"/>
          <w:color w:val="000000" w:themeColor="text1"/>
          <w:szCs w:val="24"/>
        </w:rPr>
        <w:t xml:space="preserve"> A randomized control trial from Taiwan revealed that 14-d high-dose dual therapy achieved a higher eradication rate than 10-d sequential therapy as a second-line treatment for </w:t>
      </w:r>
      <w:r w:rsidRPr="00413D75">
        <w:rPr>
          <w:rFonts w:ascii="Book Antiqua" w:eastAsiaTheme="minorEastAsia" w:hAnsi="Book Antiqua" w:cstheme="minorHAnsi"/>
          <w:i/>
          <w:color w:val="000000" w:themeColor="text1"/>
          <w:szCs w:val="24"/>
        </w:rPr>
        <w:t xml:space="preserve">H. pylori </w:t>
      </w:r>
      <w:r w:rsidR="00CE6502">
        <w:rPr>
          <w:rFonts w:ascii="Book Antiqua" w:eastAsiaTheme="minorEastAsia" w:hAnsi="Book Antiqua" w:cstheme="minorHAnsi"/>
          <w:color w:val="000000" w:themeColor="text1"/>
          <w:szCs w:val="24"/>
        </w:rPr>
        <w:t xml:space="preserve">infection (89% </w:t>
      </w:r>
      <w:r w:rsidR="00CE6502" w:rsidRPr="00CE6502">
        <w:rPr>
          <w:rFonts w:ascii="Book Antiqua" w:eastAsiaTheme="minorEastAsia" w:hAnsi="Book Antiqua" w:cstheme="minorHAnsi"/>
          <w:i/>
          <w:color w:val="000000" w:themeColor="text1"/>
          <w:szCs w:val="24"/>
        </w:rPr>
        <w:t>vs</w:t>
      </w:r>
      <w:r w:rsidRPr="00413D75">
        <w:rPr>
          <w:rFonts w:ascii="Book Antiqua" w:eastAsiaTheme="minorEastAsia" w:hAnsi="Book Antiqua" w:cstheme="minorHAnsi"/>
          <w:color w:val="000000" w:themeColor="text1"/>
          <w:szCs w:val="24"/>
        </w:rPr>
        <w:t xml:space="preserve"> 52%), and had an eradication rate comparable with 7-d levofloxacin-amoxicillin triple therapy (79%)</w:t>
      </w:r>
      <w:r w:rsidR="001C6B7F">
        <w:rPr>
          <w:rFonts w:ascii="Book Antiqua" w:eastAsiaTheme="minorEastAsia" w:hAnsi="Book Antiqua" w:cstheme="minorHAnsi"/>
          <w:color w:val="000000" w:themeColor="text1"/>
          <w:szCs w:val="24"/>
          <w:vertAlign w:val="superscript"/>
        </w:rPr>
        <w:t>[35</w:t>
      </w:r>
      <w:r w:rsidRPr="00413D75">
        <w:rPr>
          <w:rFonts w:ascii="Book Antiqua" w:eastAsiaTheme="minorEastAsia" w:hAnsi="Book Antiqua" w:cstheme="minorHAnsi"/>
          <w:color w:val="000000" w:themeColor="text1"/>
          <w:szCs w:val="24"/>
          <w:vertAlign w:val="superscript"/>
        </w:rPr>
        <w:t>]</w:t>
      </w:r>
      <w:r w:rsidRPr="00413D75">
        <w:rPr>
          <w:rFonts w:ascii="Book Antiqua" w:eastAsiaTheme="minorEastAsia" w:hAnsi="Book Antiqua" w:cstheme="minorHAnsi"/>
          <w:color w:val="000000" w:themeColor="text1"/>
          <w:szCs w:val="24"/>
        </w:rPr>
        <w:t xml:space="preserve">. Another randomized controlled trial from Germany demonstrated that 14-d high-dose dual therapy and 14-d bismuth quadruple therapy had comparable efficacies as a rescue treatment for </w:t>
      </w:r>
      <w:r w:rsidRPr="00413D75">
        <w:rPr>
          <w:rFonts w:ascii="Book Antiqua" w:eastAsiaTheme="minorEastAsia" w:hAnsi="Book Antiqua" w:cstheme="minorHAnsi"/>
          <w:i/>
          <w:color w:val="000000" w:themeColor="text1"/>
          <w:szCs w:val="24"/>
        </w:rPr>
        <w:t>H. pylori</w:t>
      </w:r>
      <w:r w:rsidRPr="00413D75">
        <w:rPr>
          <w:rFonts w:ascii="Book Antiqua" w:eastAsiaTheme="minorEastAsia" w:hAnsi="Book Antiqua" w:cstheme="minorHAnsi"/>
          <w:color w:val="000000" w:themeColor="text1"/>
          <w:szCs w:val="24"/>
        </w:rPr>
        <w:t xml:space="preserve"> infection (76% </w:t>
      </w:r>
      <w:r w:rsidRPr="00CE6502">
        <w:rPr>
          <w:rFonts w:ascii="Book Antiqua" w:eastAsiaTheme="minorEastAsia" w:hAnsi="Book Antiqua" w:cstheme="minorHAnsi"/>
          <w:i/>
          <w:color w:val="000000" w:themeColor="text1"/>
          <w:szCs w:val="24"/>
        </w:rPr>
        <w:t>vs</w:t>
      </w:r>
      <w:r w:rsidRPr="00413D75">
        <w:rPr>
          <w:rFonts w:ascii="Book Antiqua" w:eastAsiaTheme="minorEastAsia" w:hAnsi="Book Antiqua" w:cstheme="minorHAnsi"/>
          <w:color w:val="000000" w:themeColor="text1"/>
          <w:szCs w:val="24"/>
        </w:rPr>
        <w:t xml:space="preserve"> 81%, respectively)</w:t>
      </w:r>
      <w:r w:rsidR="001C6B7F">
        <w:rPr>
          <w:rFonts w:ascii="Book Antiqua" w:eastAsiaTheme="minorEastAsia" w:hAnsi="Book Antiqua" w:cstheme="minorHAnsi"/>
          <w:color w:val="000000" w:themeColor="text1"/>
          <w:szCs w:val="24"/>
          <w:vertAlign w:val="superscript"/>
        </w:rPr>
        <w:t>[38</w:t>
      </w:r>
      <w:r w:rsidRPr="00413D75">
        <w:rPr>
          <w:rFonts w:ascii="Book Antiqua" w:eastAsiaTheme="minorEastAsia" w:hAnsi="Book Antiqua" w:cstheme="minorHAnsi"/>
          <w:color w:val="000000" w:themeColor="text1"/>
          <w:szCs w:val="24"/>
          <w:vertAlign w:val="superscript"/>
        </w:rPr>
        <w:t>]</w:t>
      </w:r>
      <w:r w:rsidRPr="00413D75">
        <w:rPr>
          <w:rFonts w:ascii="Book Antiqua" w:eastAsiaTheme="minorEastAsia" w:hAnsi="Book Antiqua" w:cstheme="minorHAnsi"/>
          <w:color w:val="000000" w:themeColor="text1"/>
          <w:szCs w:val="24"/>
        </w:rPr>
        <w:t xml:space="preserve">. </w:t>
      </w:r>
    </w:p>
    <w:p w14:paraId="7C13C084" w14:textId="77777777" w:rsidR="00D04C84" w:rsidRPr="00413D75" w:rsidRDefault="00D04C84" w:rsidP="00413D75">
      <w:pPr>
        <w:adjustRightInd w:val="0"/>
        <w:snapToGrid w:val="0"/>
        <w:spacing w:line="360" w:lineRule="auto"/>
        <w:ind w:firstLineChars="150" w:firstLine="360"/>
        <w:jc w:val="both"/>
        <w:rPr>
          <w:rFonts w:ascii="Book Antiqua" w:eastAsiaTheme="minorEastAsia" w:hAnsi="Book Antiqua" w:cstheme="minorHAnsi"/>
          <w:color w:val="000000" w:themeColor="text1"/>
          <w:szCs w:val="24"/>
        </w:rPr>
      </w:pPr>
      <w:r w:rsidRPr="00413D75">
        <w:rPr>
          <w:rFonts w:ascii="Book Antiqua" w:eastAsiaTheme="minorEastAsia" w:hAnsi="Book Antiqua" w:cstheme="minorHAnsi"/>
          <w:color w:val="000000" w:themeColor="text1"/>
          <w:szCs w:val="24"/>
        </w:rPr>
        <w:t xml:space="preserve"> </w:t>
      </w:r>
    </w:p>
    <w:p w14:paraId="1CCD7BF2" w14:textId="77777777" w:rsidR="00D04C84" w:rsidRPr="00413D75" w:rsidRDefault="00D04C84" w:rsidP="00413D75">
      <w:pPr>
        <w:adjustRightInd w:val="0"/>
        <w:snapToGrid w:val="0"/>
        <w:spacing w:line="360" w:lineRule="auto"/>
        <w:jc w:val="both"/>
        <w:rPr>
          <w:rFonts w:ascii="Book Antiqua" w:hAnsi="Book Antiqua" w:cstheme="minorHAnsi"/>
          <w:b/>
          <w:caps/>
          <w:color w:val="000000" w:themeColor="text1"/>
          <w:szCs w:val="24"/>
        </w:rPr>
      </w:pPr>
      <w:r w:rsidRPr="00413D75">
        <w:rPr>
          <w:rFonts w:ascii="Book Antiqua" w:hAnsi="Book Antiqua" w:cstheme="minorHAnsi"/>
          <w:b/>
          <w:caps/>
          <w:color w:val="000000" w:themeColor="text1"/>
          <w:szCs w:val="24"/>
        </w:rPr>
        <w:t>Treatment algorism</w:t>
      </w:r>
    </w:p>
    <w:p w14:paraId="1218AD49" w14:textId="4BD57C90" w:rsidR="00D04C84" w:rsidRPr="00413D75" w:rsidRDefault="00D04C84" w:rsidP="00CE6502">
      <w:pPr>
        <w:adjustRightInd w:val="0"/>
        <w:snapToGrid w:val="0"/>
        <w:spacing w:line="360" w:lineRule="auto"/>
        <w:jc w:val="both"/>
        <w:rPr>
          <w:rFonts w:ascii="Book Antiqua" w:hAnsi="Book Antiqua" w:cstheme="minorHAnsi"/>
          <w:noProof/>
          <w:color w:val="000000" w:themeColor="text1"/>
          <w:szCs w:val="24"/>
        </w:rPr>
      </w:pPr>
      <w:r w:rsidRPr="00413D75">
        <w:rPr>
          <w:rFonts w:ascii="Book Antiqua" w:hAnsi="Book Antiqua" w:cstheme="minorHAnsi"/>
          <w:color w:val="000000" w:themeColor="text1"/>
          <w:szCs w:val="24"/>
        </w:rPr>
        <w:t xml:space="preserve">After a first failure of </w:t>
      </w:r>
      <w:r w:rsidRPr="00413D75">
        <w:rPr>
          <w:rFonts w:ascii="Book Antiqua" w:eastAsiaTheme="minorEastAsia" w:hAnsi="Book Antiqua" w:cstheme="minorHAnsi"/>
          <w:i/>
          <w:color w:val="000000" w:themeColor="text1"/>
          <w:szCs w:val="24"/>
        </w:rPr>
        <w:t>H. pylori</w:t>
      </w:r>
      <w:r w:rsidRPr="00413D75">
        <w:rPr>
          <w:rFonts w:ascii="Book Antiqua" w:hAnsi="Book Antiqua" w:cstheme="minorHAnsi"/>
          <w:color w:val="000000" w:themeColor="text1"/>
          <w:szCs w:val="24"/>
        </w:rPr>
        <w:t xml:space="preserve"> treatment, if an endoscopy is arranged</w:t>
      </w:r>
      <w:r w:rsidR="00F04D7D" w:rsidRPr="00413D75">
        <w:rPr>
          <w:rFonts w:ascii="Book Antiqua" w:hAnsi="Book Antiqua" w:cstheme="minorHAnsi"/>
          <w:color w:val="000000" w:themeColor="text1"/>
          <w:szCs w:val="24"/>
        </w:rPr>
        <w:t>,</w:t>
      </w:r>
      <w:r w:rsidRPr="00413D75">
        <w:rPr>
          <w:rFonts w:ascii="Book Antiqua" w:hAnsi="Book Antiqua" w:cstheme="minorHAnsi"/>
          <w:color w:val="000000" w:themeColor="text1"/>
          <w:szCs w:val="24"/>
        </w:rPr>
        <w:t xml:space="preserve"> the Maastricht V/Florence Consensus Report recommends antimicrobial susceptibility testing (AST)</w:t>
      </w:r>
      <w:r w:rsidRPr="00413D75">
        <w:rPr>
          <w:rFonts w:ascii="Book Antiqua" w:hAnsi="Book Antiqua" w:cstheme="minorHAnsi"/>
          <w:color w:val="000000" w:themeColor="text1"/>
          <w:szCs w:val="24"/>
          <w:vertAlign w:val="superscript"/>
        </w:rPr>
        <w:t>[31]</w:t>
      </w:r>
      <w:r w:rsidRPr="00413D75">
        <w:rPr>
          <w:rFonts w:ascii="Book Antiqua" w:hAnsi="Book Antiqua" w:cstheme="minorHAnsi"/>
          <w:color w:val="000000" w:themeColor="text1"/>
          <w:szCs w:val="24"/>
        </w:rPr>
        <w:t xml:space="preserve"> to enable tailoring of the rescue eradication therapy. However, </w:t>
      </w:r>
      <w:r w:rsidRPr="00413D75">
        <w:rPr>
          <w:rFonts w:ascii="Book Antiqua" w:hAnsi="Book Antiqua" w:cstheme="minorHAnsi"/>
          <w:noProof/>
          <w:color w:val="000000" w:themeColor="text1"/>
          <w:szCs w:val="24"/>
        </w:rPr>
        <w:t xml:space="preserve">AST is not routinely performed </w:t>
      </w:r>
      <w:r w:rsidR="00964B2F" w:rsidRPr="00413D75">
        <w:rPr>
          <w:rFonts w:ascii="Book Antiqua" w:hAnsi="Book Antiqua" w:cstheme="minorHAnsi"/>
          <w:noProof/>
          <w:color w:val="000000" w:themeColor="text1"/>
          <w:szCs w:val="24"/>
        </w:rPr>
        <w:t xml:space="preserve">in clinical practice </w:t>
      </w:r>
      <w:r w:rsidRPr="00413D75">
        <w:rPr>
          <w:rFonts w:ascii="Book Antiqua" w:hAnsi="Book Antiqua" w:cstheme="minorHAnsi"/>
          <w:noProof/>
          <w:color w:val="000000" w:themeColor="text1"/>
          <w:szCs w:val="24"/>
        </w:rPr>
        <w:t xml:space="preserve">due to the invasiveness of the endoscopy procedure, the availablity of laboratory culture facilities and cost considerations. If </w:t>
      </w:r>
      <w:r w:rsidRPr="00413D75">
        <w:rPr>
          <w:rFonts w:ascii="Book Antiqua" w:hAnsi="Book Antiqua" w:cstheme="minorHAnsi"/>
          <w:color w:val="000000" w:themeColor="text1"/>
          <w:szCs w:val="24"/>
        </w:rPr>
        <w:t xml:space="preserve">AST </w:t>
      </w:r>
      <w:r w:rsidRPr="00413D75">
        <w:rPr>
          <w:rFonts w:ascii="Book Antiqua" w:hAnsi="Book Antiqua" w:cstheme="minorHAnsi"/>
          <w:noProof/>
          <w:color w:val="000000" w:themeColor="text1"/>
          <w:szCs w:val="24"/>
        </w:rPr>
        <w:t xml:space="preserve">data are not available, </w:t>
      </w:r>
      <w:r w:rsidRPr="00413D75">
        <w:rPr>
          <w:rFonts w:ascii="Book Antiqua" w:hAnsi="Book Antiqua" w:cstheme="minorHAnsi"/>
          <w:color w:val="000000" w:themeColor="text1"/>
          <w:szCs w:val="24"/>
        </w:rPr>
        <w:t>10-day TL quadruple therapy can be used as a rescue treatment since it achieves an eradication rate of &gt;</w:t>
      </w:r>
      <w:r w:rsidR="00CE6502">
        <w:rPr>
          <w:rFonts w:ascii="Book Antiqua" w:hAnsi="Book Antiqua" w:cstheme="minorHAnsi"/>
          <w:color w:val="000000" w:themeColor="text1"/>
          <w:szCs w:val="24"/>
        </w:rPr>
        <w:t xml:space="preserve"> </w:t>
      </w:r>
      <w:r w:rsidRPr="00413D75">
        <w:rPr>
          <w:rFonts w:ascii="Book Antiqua" w:hAnsi="Book Antiqua" w:cstheme="minorHAnsi"/>
          <w:color w:val="000000" w:themeColor="text1"/>
          <w:szCs w:val="24"/>
        </w:rPr>
        <w:t xml:space="preserve">90% following failure of standard triple, concomitant and </w:t>
      </w:r>
      <w:r w:rsidRPr="00413D75">
        <w:rPr>
          <w:rFonts w:ascii="Book Antiqua" w:hAnsi="Book Antiqua" w:cstheme="minorHAnsi"/>
          <w:color w:val="000000" w:themeColor="text1"/>
          <w:kern w:val="0"/>
          <w:szCs w:val="24"/>
        </w:rPr>
        <w:t>bismuth quadruple therapies. In addition, t</w:t>
      </w:r>
      <w:r w:rsidRPr="00413D75">
        <w:rPr>
          <w:rFonts w:ascii="Book Antiqua" w:hAnsi="Book Antiqua" w:cstheme="minorHAnsi"/>
          <w:color w:val="000000" w:themeColor="text1"/>
          <w:szCs w:val="24"/>
        </w:rPr>
        <w:t>he novel 10-d TL quadruple regimen can maintain a high eradication rate (&gt;</w:t>
      </w:r>
      <w:r w:rsidR="00CE6502">
        <w:rPr>
          <w:rFonts w:ascii="Book Antiqua" w:hAnsi="Book Antiqua" w:cstheme="minorHAnsi"/>
          <w:color w:val="000000" w:themeColor="text1"/>
          <w:szCs w:val="24"/>
        </w:rPr>
        <w:t xml:space="preserve"> </w:t>
      </w:r>
      <w:r w:rsidRPr="00413D75">
        <w:rPr>
          <w:rFonts w:ascii="Book Antiqua" w:hAnsi="Book Antiqua" w:cstheme="minorHAnsi"/>
          <w:color w:val="000000" w:themeColor="text1"/>
          <w:szCs w:val="24"/>
        </w:rPr>
        <w:t xml:space="preserve">90%) for </w:t>
      </w:r>
      <w:r w:rsidRPr="00413D75">
        <w:rPr>
          <w:rFonts w:ascii="Book Antiqua" w:hAnsi="Book Antiqua" w:cstheme="minorHAnsi"/>
          <w:i/>
          <w:color w:val="000000" w:themeColor="text1"/>
          <w:szCs w:val="24"/>
        </w:rPr>
        <w:t xml:space="preserve">H. pylori </w:t>
      </w:r>
      <w:r w:rsidRPr="00413D75">
        <w:rPr>
          <w:rFonts w:ascii="Book Antiqua" w:hAnsi="Book Antiqua" w:cstheme="minorHAnsi"/>
          <w:color w:val="000000" w:themeColor="text1"/>
          <w:szCs w:val="24"/>
        </w:rPr>
        <w:t>strains with levofloxacin resistance</w:t>
      </w:r>
      <w:r w:rsidR="001C6B7F">
        <w:rPr>
          <w:rFonts w:ascii="Book Antiqua" w:hAnsi="Book Antiqua" w:cstheme="minorHAnsi"/>
          <w:color w:val="000000" w:themeColor="text1"/>
          <w:szCs w:val="24"/>
          <w:vertAlign w:val="superscript"/>
        </w:rPr>
        <w:t>[34</w:t>
      </w:r>
      <w:r w:rsidRPr="00413D75">
        <w:rPr>
          <w:rFonts w:ascii="Book Antiqua" w:hAnsi="Book Antiqua" w:cstheme="minorHAnsi"/>
          <w:color w:val="000000" w:themeColor="text1"/>
          <w:szCs w:val="24"/>
          <w:vertAlign w:val="superscript"/>
        </w:rPr>
        <w:t>]</w:t>
      </w:r>
      <w:r w:rsidRPr="00413D75">
        <w:rPr>
          <w:rFonts w:ascii="Book Antiqua" w:hAnsi="Book Antiqua" w:cstheme="minorHAnsi"/>
          <w:color w:val="000000" w:themeColor="text1"/>
          <w:szCs w:val="24"/>
        </w:rPr>
        <w:t xml:space="preserve">. However, </w:t>
      </w:r>
      <w:r w:rsidRPr="00413D75">
        <w:rPr>
          <w:rFonts w:ascii="Book Antiqua" w:hAnsi="Book Antiqua" w:cstheme="minorHAnsi"/>
          <w:color w:val="000000" w:themeColor="text1"/>
          <w:kern w:val="0"/>
          <w:szCs w:val="24"/>
        </w:rPr>
        <w:t xml:space="preserve">the </w:t>
      </w:r>
      <w:r w:rsidRPr="00413D75">
        <w:rPr>
          <w:rFonts w:ascii="Book Antiqua" w:hAnsi="Book Antiqua" w:cstheme="minorHAnsi"/>
          <w:color w:val="000000" w:themeColor="text1"/>
          <w:szCs w:val="24"/>
        </w:rPr>
        <w:t>choice of second line rescue regimen also depends on regional factors. In Japan, PPI-containing triple therapy with metronidazole and amoxicillin is the standard second line regimen and is covered under Japan’s national health insurance. This second-line therapy can also achieve an eradication rate of around 90% because metronidazole resistance rate is relatively low in Japan.</w:t>
      </w:r>
    </w:p>
    <w:p w14:paraId="57BC901A" w14:textId="77777777" w:rsidR="00D04C84" w:rsidRPr="00413D75" w:rsidRDefault="00D04C84" w:rsidP="00413D75">
      <w:pPr>
        <w:adjustRightInd w:val="0"/>
        <w:snapToGrid w:val="0"/>
        <w:spacing w:line="360" w:lineRule="auto"/>
        <w:jc w:val="both"/>
        <w:rPr>
          <w:rFonts w:ascii="Book Antiqua" w:hAnsi="Book Antiqua" w:cstheme="minorHAnsi"/>
          <w:b/>
          <w:i/>
          <w:color w:val="000000" w:themeColor="text1"/>
          <w:szCs w:val="24"/>
        </w:rPr>
      </w:pPr>
    </w:p>
    <w:p w14:paraId="77F11354" w14:textId="77777777" w:rsidR="00D04C84" w:rsidRPr="00413D75" w:rsidRDefault="00D04C84" w:rsidP="00413D75">
      <w:pPr>
        <w:adjustRightInd w:val="0"/>
        <w:snapToGrid w:val="0"/>
        <w:spacing w:line="360" w:lineRule="auto"/>
        <w:jc w:val="both"/>
        <w:rPr>
          <w:rFonts w:ascii="Book Antiqua" w:hAnsi="Book Antiqua" w:cstheme="minorHAnsi"/>
          <w:b/>
          <w:i/>
          <w:color w:val="000000" w:themeColor="text1"/>
          <w:szCs w:val="24"/>
        </w:rPr>
      </w:pPr>
      <w:r w:rsidRPr="00413D75">
        <w:rPr>
          <w:rFonts w:ascii="Book Antiqua" w:hAnsi="Book Antiqua" w:cstheme="minorHAnsi"/>
          <w:b/>
          <w:i/>
          <w:color w:val="000000" w:themeColor="text1"/>
          <w:szCs w:val="24"/>
        </w:rPr>
        <w:t>After failure of a standard triple therapy</w:t>
      </w:r>
    </w:p>
    <w:p w14:paraId="767F6E34" w14:textId="20D2BC81" w:rsidR="00D04C84" w:rsidRPr="00413D75" w:rsidRDefault="00D04C84" w:rsidP="00CE6502">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According to the Maastricht V/Florence Consensus Report</w:t>
      </w:r>
      <w:r w:rsidRPr="00413D75">
        <w:rPr>
          <w:rFonts w:ascii="Book Antiqua" w:hAnsi="Book Antiqua" w:cstheme="minorHAnsi"/>
          <w:color w:val="000000" w:themeColor="text1"/>
          <w:szCs w:val="24"/>
          <w:vertAlign w:val="superscript"/>
        </w:rPr>
        <w:t>[31]</w:t>
      </w:r>
      <w:r w:rsidRPr="00413D75">
        <w:rPr>
          <w:rFonts w:ascii="Book Antiqua" w:hAnsi="Book Antiqua" w:cstheme="minorHAnsi"/>
          <w:color w:val="000000" w:themeColor="text1"/>
          <w:szCs w:val="24"/>
        </w:rPr>
        <w:t xml:space="preserve">, </w:t>
      </w:r>
      <w:r w:rsidRPr="00413D75">
        <w:rPr>
          <w:rFonts w:ascii="Book Antiqua" w:hAnsi="Book Antiqua" w:cstheme="minorHAnsi"/>
          <w:color w:val="000000" w:themeColor="text1"/>
          <w:szCs w:val="24"/>
        </w:rPr>
        <w:lastRenderedPageBreak/>
        <w:t>bismuth-containing quadruple therapy, fluoroquinolone-containing triple therapy or fluoroquinolone-amoxicillin quadruple therapy are recommended following failure of standard triple therapy. As TL quadruple therapy achieves a higher eradication rate than levofloxacin triple therapy, and high-dose dual therapy has a comparable eradication rate with levofloxacin-amoxicillin triple therapy in patients with failure of standard triple therapy</w:t>
      </w:r>
      <w:r w:rsidR="001C6B7F">
        <w:rPr>
          <w:rFonts w:ascii="Book Antiqua" w:hAnsi="Book Antiqua" w:cstheme="minorHAnsi"/>
          <w:color w:val="000000" w:themeColor="text1"/>
          <w:szCs w:val="24"/>
          <w:vertAlign w:val="superscript"/>
        </w:rPr>
        <w:t>[34,35</w:t>
      </w:r>
      <w:r w:rsidRPr="00413D75">
        <w:rPr>
          <w:rFonts w:ascii="Book Antiqua" w:hAnsi="Book Antiqua" w:cstheme="minorHAnsi"/>
          <w:color w:val="000000" w:themeColor="text1"/>
          <w:szCs w:val="24"/>
          <w:vertAlign w:val="superscript"/>
        </w:rPr>
        <w:t>]</w:t>
      </w:r>
      <w:r w:rsidRPr="00413D75">
        <w:rPr>
          <w:rFonts w:ascii="Book Antiqua" w:hAnsi="Book Antiqua" w:cstheme="minorHAnsi"/>
          <w:color w:val="000000" w:themeColor="text1"/>
          <w:szCs w:val="24"/>
        </w:rPr>
        <w:t>, both TL quadruple and high-dose dual therapies can be recommended as a rescue regimen following failure of s</w:t>
      </w:r>
      <w:r w:rsidR="00CE6502">
        <w:rPr>
          <w:rFonts w:ascii="Book Antiqua" w:hAnsi="Book Antiqua" w:cstheme="minorHAnsi"/>
          <w:color w:val="000000" w:themeColor="text1"/>
          <w:szCs w:val="24"/>
        </w:rPr>
        <w:t>tandard triple therapy (Figure 1</w:t>
      </w:r>
      <w:r w:rsidRPr="00413D75">
        <w:rPr>
          <w:rFonts w:ascii="Book Antiqua" w:hAnsi="Book Antiqua" w:cstheme="minorHAnsi"/>
          <w:color w:val="000000" w:themeColor="text1"/>
          <w:szCs w:val="24"/>
        </w:rPr>
        <w:t xml:space="preserve">). </w:t>
      </w:r>
    </w:p>
    <w:p w14:paraId="11B3C84A" w14:textId="77777777" w:rsidR="00D04C84" w:rsidRPr="00413D75" w:rsidRDefault="00D04C84" w:rsidP="00413D75">
      <w:pPr>
        <w:pStyle w:val="ListParagraph"/>
        <w:adjustRightInd w:val="0"/>
        <w:snapToGrid w:val="0"/>
        <w:spacing w:line="360" w:lineRule="auto"/>
        <w:ind w:leftChars="0" w:left="0"/>
        <w:jc w:val="both"/>
        <w:rPr>
          <w:rFonts w:ascii="Book Antiqua" w:hAnsi="Book Antiqua" w:cstheme="minorHAnsi"/>
          <w:color w:val="000000" w:themeColor="text1"/>
          <w:szCs w:val="24"/>
        </w:rPr>
      </w:pPr>
    </w:p>
    <w:p w14:paraId="39177B0D" w14:textId="77777777" w:rsidR="00D04C84" w:rsidRPr="00413D75" w:rsidRDefault="00D04C84" w:rsidP="00413D75">
      <w:pPr>
        <w:adjustRightInd w:val="0"/>
        <w:snapToGrid w:val="0"/>
        <w:spacing w:line="360" w:lineRule="auto"/>
        <w:jc w:val="both"/>
        <w:rPr>
          <w:rFonts w:ascii="Book Antiqua" w:hAnsi="Book Antiqua" w:cstheme="minorHAnsi"/>
          <w:b/>
          <w:i/>
          <w:color w:val="000000" w:themeColor="text1"/>
          <w:szCs w:val="24"/>
        </w:rPr>
      </w:pPr>
      <w:r w:rsidRPr="00413D75">
        <w:rPr>
          <w:rFonts w:ascii="Book Antiqua" w:hAnsi="Book Antiqua" w:cstheme="minorHAnsi"/>
          <w:b/>
          <w:i/>
          <w:color w:val="000000" w:themeColor="text1"/>
          <w:szCs w:val="24"/>
        </w:rPr>
        <w:t>After failure of a non-bismuth quadruple therapy</w:t>
      </w:r>
    </w:p>
    <w:p w14:paraId="54D87617" w14:textId="0CA6D440" w:rsidR="00D04C84" w:rsidRPr="00413D75" w:rsidRDefault="00D04C84" w:rsidP="00CE6502">
      <w:pPr>
        <w:adjustRightInd w:val="0"/>
        <w:snapToGrid w:val="0"/>
        <w:spacing w:line="360" w:lineRule="auto"/>
        <w:jc w:val="both"/>
        <w:rPr>
          <w:rFonts w:ascii="Book Antiqua" w:hAnsi="Book Antiqua" w:cstheme="minorHAnsi"/>
          <w:b/>
          <w:color w:val="000000" w:themeColor="text1"/>
          <w:szCs w:val="24"/>
        </w:rPr>
      </w:pPr>
      <w:r w:rsidRPr="00413D75">
        <w:rPr>
          <w:rFonts w:ascii="Book Antiqua" w:hAnsi="Book Antiqua" w:cstheme="minorHAnsi"/>
          <w:color w:val="000000" w:themeColor="text1"/>
          <w:szCs w:val="24"/>
        </w:rPr>
        <w:t>The Maastricht V/Florence Consensus Report</w:t>
      </w:r>
      <w:r w:rsidRPr="00413D75" w:rsidDel="00B46FE6">
        <w:rPr>
          <w:rFonts w:ascii="Book Antiqua" w:hAnsi="Book Antiqua" w:cstheme="minorHAnsi"/>
          <w:color w:val="000000" w:themeColor="text1"/>
          <w:szCs w:val="24"/>
        </w:rPr>
        <w:t xml:space="preserve"> </w:t>
      </w:r>
      <w:r w:rsidRPr="00413D75">
        <w:rPr>
          <w:rFonts w:ascii="Book Antiqua" w:hAnsi="Book Antiqua" w:cstheme="minorHAnsi"/>
          <w:color w:val="000000" w:themeColor="text1"/>
          <w:szCs w:val="24"/>
        </w:rPr>
        <w:t>recommends bismuth quadruple therapy, levofloxacin-amoxicillin triple therapy and levofloxacin-amoxicillin quadruple therapy as rescue treatments after failure of a non-bismuth quadruple therapy</w:t>
      </w:r>
      <w:r w:rsidRPr="00413D75">
        <w:rPr>
          <w:rFonts w:ascii="Book Antiqua" w:hAnsi="Book Antiqua" w:cstheme="minorHAnsi"/>
          <w:color w:val="000000" w:themeColor="text1"/>
          <w:szCs w:val="24"/>
          <w:vertAlign w:val="superscript"/>
        </w:rPr>
        <w:t>[31]</w:t>
      </w:r>
      <w:r w:rsidRPr="00413D75">
        <w:rPr>
          <w:rFonts w:ascii="Book Antiqua" w:hAnsi="Book Antiqua" w:cstheme="minorHAnsi"/>
          <w:color w:val="000000" w:themeColor="text1"/>
          <w:szCs w:val="24"/>
        </w:rPr>
        <w:t xml:space="preserve">. As 10-d TL quadruple therapy is superior to 10-d levofloxacin-amoxicillin triple therapy, </w:t>
      </w:r>
      <w:r w:rsidRPr="00413D75">
        <w:rPr>
          <w:rFonts w:ascii="Book Antiqua" w:hAnsi="Book Antiqua" w:cstheme="minorHAnsi"/>
          <w:noProof/>
          <w:color w:val="000000" w:themeColor="text1"/>
          <w:szCs w:val="24"/>
        </w:rPr>
        <w:t>it is reasonable to recommend TL-quadruple therapy as the rescue treatment for patients with eradication failure by non-bis</w:t>
      </w:r>
      <w:r w:rsidR="00CE6502">
        <w:rPr>
          <w:rFonts w:ascii="Book Antiqua" w:hAnsi="Book Antiqua" w:cstheme="minorHAnsi"/>
          <w:noProof/>
          <w:color w:val="000000" w:themeColor="text1"/>
          <w:szCs w:val="24"/>
        </w:rPr>
        <w:t>muth quadruple therapy (Figure 1</w:t>
      </w:r>
      <w:r w:rsidRPr="00413D75">
        <w:rPr>
          <w:rFonts w:ascii="Book Antiqua" w:hAnsi="Book Antiqua" w:cstheme="minorHAnsi"/>
          <w:noProof/>
          <w:color w:val="000000" w:themeColor="text1"/>
          <w:szCs w:val="24"/>
        </w:rPr>
        <w:t>)</w:t>
      </w:r>
      <w:r w:rsidRPr="00413D75">
        <w:rPr>
          <w:rFonts w:ascii="Book Antiqua" w:hAnsi="Book Antiqua" w:cstheme="minorHAnsi"/>
          <w:color w:val="000000" w:themeColor="text1"/>
          <w:szCs w:val="24"/>
        </w:rPr>
        <w:t>.</w:t>
      </w:r>
    </w:p>
    <w:p w14:paraId="0F373E6E" w14:textId="77777777" w:rsidR="00D04C84" w:rsidRPr="00413D75" w:rsidRDefault="00D04C84" w:rsidP="00413D75">
      <w:pPr>
        <w:pStyle w:val="ListParagraph"/>
        <w:adjustRightInd w:val="0"/>
        <w:snapToGrid w:val="0"/>
        <w:spacing w:line="360" w:lineRule="auto"/>
        <w:ind w:leftChars="0" w:left="0"/>
        <w:jc w:val="both"/>
        <w:rPr>
          <w:rFonts w:ascii="Book Antiqua" w:hAnsi="Book Antiqua" w:cstheme="minorHAnsi"/>
          <w:b/>
          <w:color w:val="000000" w:themeColor="text1"/>
          <w:szCs w:val="24"/>
        </w:rPr>
      </w:pPr>
    </w:p>
    <w:p w14:paraId="5562AEEB" w14:textId="77777777" w:rsidR="00D04C84" w:rsidRPr="00413D75" w:rsidRDefault="00D04C84" w:rsidP="00413D75">
      <w:pPr>
        <w:adjustRightInd w:val="0"/>
        <w:snapToGrid w:val="0"/>
        <w:spacing w:line="360" w:lineRule="auto"/>
        <w:jc w:val="both"/>
        <w:rPr>
          <w:rFonts w:ascii="Book Antiqua" w:hAnsi="Book Antiqua" w:cstheme="minorHAnsi"/>
          <w:b/>
          <w:i/>
          <w:color w:val="000000" w:themeColor="text1"/>
          <w:szCs w:val="24"/>
        </w:rPr>
      </w:pPr>
      <w:r w:rsidRPr="00413D75">
        <w:rPr>
          <w:rFonts w:ascii="Book Antiqua" w:hAnsi="Book Antiqua" w:cstheme="minorHAnsi"/>
          <w:b/>
          <w:i/>
          <w:color w:val="000000" w:themeColor="text1"/>
          <w:szCs w:val="24"/>
        </w:rPr>
        <w:t>After failure of a bismuth quadruple therapy</w:t>
      </w:r>
    </w:p>
    <w:p w14:paraId="45DD469C" w14:textId="07817E74" w:rsidR="00D04C84" w:rsidRPr="00413D75" w:rsidRDefault="00D04C84" w:rsidP="00CE6502">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According to the Maastricht V/Florence Consensus Report</w:t>
      </w:r>
      <w:r w:rsidRPr="00413D75">
        <w:rPr>
          <w:rFonts w:ascii="Book Antiqua" w:hAnsi="Book Antiqua" w:cstheme="minorHAnsi"/>
          <w:color w:val="000000" w:themeColor="text1"/>
          <w:szCs w:val="24"/>
          <w:vertAlign w:val="superscript"/>
        </w:rPr>
        <w:t>[31]</w:t>
      </w:r>
      <w:r w:rsidRPr="00413D75">
        <w:rPr>
          <w:rFonts w:ascii="Book Antiqua" w:hAnsi="Book Antiqua" w:cstheme="minorHAnsi"/>
          <w:color w:val="000000" w:themeColor="text1"/>
          <w:szCs w:val="24"/>
        </w:rPr>
        <w:t xml:space="preserve">, fluoroquinolone-containing triple or fluoroquinolone-amoxicillin quadruple therapy can be recommended for patients with eradication failure by bismuth quadruple therapy for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infection. As both TL quadruple and levofloxacin-amoxicillin triple therapies achieved a 100% cure rate in this setting. TL quadruple therapy may also be considered as an option for the rescue treatment of bis</w:t>
      </w:r>
      <w:r w:rsidR="00CE6502">
        <w:rPr>
          <w:rFonts w:ascii="Book Antiqua" w:hAnsi="Book Antiqua" w:cstheme="minorHAnsi"/>
          <w:color w:val="000000" w:themeColor="text1"/>
          <w:szCs w:val="24"/>
        </w:rPr>
        <w:t>muth quadruple therapy (Figure 1</w:t>
      </w:r>
      <w:r w:rsidRPr="00413D75">
        <w:rPr>
          <w:rFonts w:ascii="Book Antiqua" w:hAnsi="Book Antiqua" w:cstheme="minorHAnsi"/>
          <w:color w:val="000000" w:themeColor="text1"/>
          <w:szCs w:val="24"/>
        </w:rPr>
        <w:t xml:space="preserve">). </w:t>
      </w:r>
    </w:p>
    <w:p w14:paraId="54EAB553" w14:textId="77777777" w:rsidR="00D04C84" w:rsidRPr="00413D75" w:rsidRDefault="00D04C84" w:rsidP="00413D75">
      <w:pPr>
        <w:pStyle w:val="ListParagraph"/>
        <w:adjustRightInd w:val="0"/>
        <w:snapToGrid w:val="0"/>
        <w:spacing w:line="360" w:lineRule="auto"/>
        <w:ind w:leftChars="0" w:left="0"/>
        <w:jc w:val="both"/>
        <w:rPr>
          <w:rFonts w:ascii="Book Antiqua" w:hAnsi="Book Antiqua" w:cstheme="minorHAnsi"/>
          <w:color w:val="000000" w:themeColor="text1"/>
          <w:szCs w:val="24"/>
        </w:rPr>
      </w:pPr>
    </w:p>
    <w:p w14:paraId="4B3B0526" w14:textId="77777777" w:rsidR="00D04C84" w:rsidRPr="00413D75" w:rsidRDefault="00D04C84" w:rsidP="00413D75">
      <w:pPr>
        <w:adjustRightInd w:val="0"/>
        <w:snapToGrid w:val="0"/>
        <w:spacing w:line="360" w:lineRule="auto"/>
        <w:jc w:val="both"/>
        <w:rPr>
          <w:rFonts w:ascii="Book Antiqua" w:hAnsi="Book Antiqua" w:cstheme="minorHAnsi"/>
          <w:b/>
          <w:caps/>
          <w:color w:val="000000" w:themeColor="text1"/>
          <w:szCs w:val="24"/>
        </w:rPr>
      </w:pPr>
      <w:r w:rsidRPr="00413D75">
        <w:rPr>
          <w:rFonts w:ascii="Book Antiqua" w:hAnsi="Book Antiqua" w:cstheme="minorHAnsi"/>
          <w:b/>
          <w:caps/>
          <w:color w:val="000000" w:themeColor="text1"/>
          <w:szCs w:val="24"/>
        </w:rPr>
        <w:t>Conclusion</w:t>
      </w:r>
    </w:p>
    <w:p w14:paraId="72F77554" w14:textId="0298D553" w:rsidR="00D04C84" w:rsidRPr="00CE6502" w:rsidRDefault="00D04C84" w:rsidP="00413D75">
      <w:pPr>
        <w:adjustRightInd w:val="0"/>
        <w:snapToGrid w:val="0"/>
        <w:spacing w:line="360" w:lineRule="auto"/>
        <w:jc w:val="both"/>
        <w:rPr>
          <w:rFonts w:ascii="Book Antiqua" w:hAnsi="Book Antiqua" w:cstheme="minorHAnsi"/>
          <w:color w:val="000000" w:themeColor="text1"/>
          <w:szCs w:val="24"/>
        </w:rPr>
      </w:pPr>
      <w:r w:rsidRPr="00413D75">
        <w:rPr>
          <w:rFonts w:ascii="Book Antiqua" w:hAnsi="Book Antiqua" w:cstheme="minorHAnsi"/>
          <w:color w:val="000000" w:themeColor="text1"/>
          <w:szCs w:val="24"/>
        </w:rPr>
        <w:t>The current updated second-line therapies inc</w:t>
      </w:r>
      <w:r w:rsidR="00CE6502">
        <w:rPr>
          <w:rFonts w:ascii="Book Antiqua" w:hAnsi="Book Antiqua" w:cstheme="minorHAnsi"/>
          <w:color w:val="000000" w:themeColor="text1"/>
          <w:szCs w:val="24"/>
        </w:rPr>
        <w:t xml:space="preserve">lude bismuth quadruple therapy, </w:t>
      </w:r>
      <w:r w:rsidRPr="00413D75">
        <w:rPr>
          <w:rFonts w:ascii="Book Antiqua" w:hAnsi="Book Antiqua" w:cstheme="minorHAnsi"/>
          <w:color w:val="000000" w:themeColor="text1"/>
          <w:szCs w:val="24"/>
        </w:rPr>
        <w:t xml:space="preserve">fluoroquinolone-amoxicillin triple therapy, </w:t>
      </w:r>
      <w:r w:rsidRPr="00413D75">
        <w:rPr>
          <w:rFonts w:ascii="Book Antiqua" w:hAnsi="Book Antiqua" w:cstheme="minorHAnsi"/>
          <w:color w:val="000000" w:themeColor="text1"/>
          <w:szCs w:val="24"/>
        </w:rPr>
        <w:lastRenderedPageBreak/>
        <w:t xml:space="preserve">fluoroquinolone-amoxicillin quadruple therapy, TL quadruple therapy and high-dose dual therapy. Ten-day TL </w:t>
      </w:r>
      <w:r w:rsidRPr="00413D75">
        <w:rPr>
          <w:rFonts w:ascii="Book Antiqua" w:hAnsi="Book Antiqua" w:cstheme="minorHAnsi"/>
          <w:bCs/>
          <w:color w:val="000000" w:themeColor="text1"/>
          <w:szCs w:val="24"/>
        </w:rPr>
        <w:t>quadruple therapy</w:t>
      </w:r>
      <w:r w:rsidRPr="00413D75">
        <w:rPr>
          <w:rFonts w:ascii="Book Antiqua" w:hAnsi="Book Antiqua" w:cstheme="minorHAnsi"/>
          <w:color w:val="000000" w:themeColor="text1"/>
          <w:szCs w:val="24"/>
        </w:rPr>
        <w:t xml:space="preserve"> has great potential to become a universal rescue treatment following eradication failure by all first-line eradication regimens for </w:t>
      </w:r>
      <w:r w:rsidRPr="00413D75">
        <w:rPr>
          <w:rFonts w:ascii="Book Antiqua" w:hAnsi="Book Antiqua" w:cstheme="minorHAnsi"/>
          <w:i/>
          <w:color w:val="000000" w:themeColor="text1"/>
          <w:szCs w:val="24"/>
        </w:rPr>
        <w:t>H. pylori</w:t>
      </w:r>
      <w:r w:rsidRPr="00413D75">
        <w:rPr>
          <w:rFonts w:ascii="Book Antiqua" w:hAnsi="Book Antiqua" w:cstheme="minorHAnsi"/>
          <w:color w:val="000000" w:themeColor="text1"/>
          <w:szCs w:val="24"/>
        </w:rPr>
        <w:t xml:space="preserve"> infection, and warrants further investigation.</w:t>
      </w:r>
    </w:p>
    <w:p w14:paraId="75DBE723" w14:textId="77777777" w:rsidR="00CE6502" w:rsidRDefault="00CE6502">
      <w:pPr>
        <w:widowControl/>
        <w:rPr>
          <w:rFonts w:ascii="Book Antiqua" w:hAnsi="Book Antiqua" w:cstheme="minorHAnsi"/>
          <w:b/>
          <w:caps/>
          <w:color w:val="000000" w:themeColor="text1"/>
          <w:szCs w:val="24"/>
        </w:rPr>
      </w:pPr>
      <w:r>
        <w:rPr>
          <w:rFonts w:ascii="Book Antiqua" w:hAnsi="Book Antiqua" w:cstheme="minorHAnsi"/>
          <w:b/>
          <w:caps/>
          <w:color w:val="000000" w:themeColor="text1"/>
          <w:szCs w:val="24"/>
        </w:rPr>
        <w:br w:type="page"/>
      </w:r>
    </w:p>
    <w:p w14:paraId="1A5D0D9B" w14:textId="3C3C7186" w:rsidR="00BD6852" w:rsidRPr="00413D75" w:rsidRDefault="00BD6852" w:rsidP="00413D75">
      <w:pPr>
        <w:adjustRightInd w:val="0"/>
        <w:snapToGrid w:val="0"/>
        <w:spacing w:line="360" w:lineRule="auto"/>
        <w:jc w:val="both"/>
        <w:rPr>
          <w:rFonts w:ascii="Book Antiqua" w:hAnsi="Book Antiqua" w:cstheme="minorHAnsi"/>
          <w:b/>
          <w:caps/>
          <w:color w:val="000000" w:themeColor="text1"/>
          <w:szCs w:val="24"/>
        </w:rPr>
      </w:pPr>
      <w:r w:rsidRPr="00413D75">
        <w:rPr>
          <w:rFonts w:ascii="Book Antiqua" w:hAnsi="Book Antiqua" w:cstheme="minorHAnsi"/>
          <w:b/>
          <w:caps/>
          <w:color w:val="000000" w:themeColor="text1"/>
          <w:szCs w:val="24"/>
        </w:rPr>
        <w:lastRenderedPageBreak/>
        <w:t>References</w:t>
      </w:r>
    </w:p>
    <w:p w14:paraId="68851900"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1 </w:t>
      </w:r>
      <w:r w:rsidRPr="00FA094F">
        <w:rPr>
          <w:rFonts w:ascii="Book Antiqua" w:hAnsi="Book Antiqua" w:cstheme="minorHAnsi"/>
          <w:b/>
          <w:bCs/>
          <w:color w:val="000000" w:themeColor="text1"/>
          <w:szCs w:val="24"/>
        </w:rPr>
        <w:t>Suerbaum S</w:t>
      </w:r>
      <w:r w:rsidRPr="00FA094F">
        <w:rPr>
          <w:rFonts w:ascii="Book Antiqua" w:hAnsi="Book Antiqua" w:cstheme="minorHAnsi"/>
          <w:color w:val="000000" w:themeColor="text1"/>
          <w:szCs w:val="24"/>
        </w:rPr>
        <w:t>, Michetti P. Helicobacter pylori infection. </w:t>
      </w:r>
      <w:r w:rsidRPr="00FA094F">
        <w:rPr>
          <w:rFonts w:ascii="Book Antiqua" w:hAnsi="Book Antiqua" w:cstheme="minorHAnsi"/>
          <w:i/>
          <w:iCs/>
          <w:color w:val="000000" w:themeColor="text1"/>
          <w:szCs w:val="24"/>
        </w:rPr>
        <w:t>N Engl J Med</w:t>
      </w:r>
      <w:r w:rsidRPr="00FA094F">
        <w:rPr>
          <w:rFonts w:ascii="Book Antiqua" w:hAnsi="Book Antiqua" w:cstheme="minorHAnsi"/>
          <w:color w:val="000000" w:themeColor="text1"/>
          <w:szCs w:val="24"/>
        </w:rPr>
        <w:t> 2002; </w:t>
      </w:r>
      <w:r w:rsidRPr="00FA094F">
        <w:rPr>
          <w:rFonts w:ascii="Book Antiqua" w:hAnsi="Book Antiqua" w:cstheme="minorHAnsi"/>
          <w:b/>
          <w:bCs/>
          <w:color w:val="000000" w:themeColor="text1"/>
          <w:szCs w:val="24"/>
        </w:rPr>
        <w:t>347</w:t>
      </w:r>
      <w:r w:rsidRPr="00FA094F">
        <w:rPr>
          <w:rFonts w:ascii="Book Antiqua" w:hAnsi="Book Antiqua" w:cstheme="minorHAnsi"/>
          <w:color w:val="000000" w:themeColor="text1"/>
          <w:szCs w:val="24"/>
        </w:rPr>
        <w:t>: 1175-1186 [PMID: 12374879 DOI: 10.1056/NEJMra020542]</w:t>
      </w:r>
    </w:p>
    <w:p w14:paraId="551CF402"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2 </w:t>
      </w:r>
      <w:r w:rsidRPr="00FA094F">
        <w:rPr>
          <w:rFonts w:ascii="Book Antiqua" w:hAnsi="Book Antiqua" w:cstheme="minorHAnsi"/>
          <w:b/>
          <w:bCs/>
          <w:color w:val="000000" w:themeColor="text1"/>
          <w:szCs w:val="24"/>
        </w:rPr>
        <w:t>Zucca E</w:t>
      </w:r>
      <w:r w:rsidRPr="00FA094F">
        <w:rPr>
          <w:rFonts w:ascii="Book Antiqua" w:hAnsi="Book Antiqua" w:cstheme="minorHAnsi"/>
          <w:color w:val="000000" w:themeColor="text1"/>
          <w:szCs w:val="24"/>
        </w:rPr>
        <w:t>, Dreyling M; ESMO Guidelines Working Group. Gastric marginal zone lymphoma of MALT type: ESMO clinical recommendations for diagnosis, treatment and follow-up. </w:t>
      </w:r>
      <w:r w:rsidRPr="00FA094F">
        <w:rPr>
          <w:rFonts w:ascii="Book Antiqua" w:hAnsi="Book Antiqua" w:cstheme="minorHAnsi"/>
          <w:i/>
          <w:iCs/>
          <w:color w:val="000000" w:themeColor="text1"/>
          <w:szCs w:val="24"/>
        </w:rPr>
        <w:t>Ann Oncol</w:t>
      </w:r>
      <w:r w:rsidRPr="00FA094F">
        <w:rPr>
          <w:rFonts w:ascii="Book Antiqua" w:hAnsi="Book Antiqua" w:cstheme="minorHAnsi"/>
          <w:color w:val="000000" w:themeColor="text1"/>
          <w:szCs w:val="24"/>
        </w:rPr>
        <w:t> 2009; </w:t>
      </w:r>
      <w:r w:rsidRPr="00FA094F">
        <w:rPr>
          <w:rFonts w:ascii="Book Antiqua" w:hAnsi="Book Antiqua" w:cstheme="minorHAnsi"/>
          <w:b/>
          <w:bCs/>
          <w:color w:val="000000" w:themeColor="text1"/>
          <w:szCs w:val="24"/>
        </w:rPr>
        <w:t xml:space="preserve">20 </w:t>
      </w:r>
      <w:r w:rsidRPr="00FA094F">
        <w:rPr>
          <w:rFonts w:ascii="Book Antiqua" w:hAnsi="Book Antiqua" w:cstheme="minorHAnsi"/>
          <w:bCs/>
          <w:color w:val="000000" w:themeColor="text1"/>
          <w:szCs w:val="24"/>
        </w:rPr>
        <w:t>Suppl 4</w:t>
      </w:r>
      <w:r w:rsidRPr="00FA094F">
        <w:rPr>
          <w:rFonts w:ascii="Book Antiqua" w:hAnsi="Book Antiqua" w:cstheme="minorHAnsi"/>
          <w:color w:val="000000" w:themeColor="text1"/>
          <w:szCs w:val="24"/>
        </w:rPr>
        <w:t>: 113-114 [PMID: 19454427 DOI: 10.1093/annonc/mdp146]</w:t>
      </w:r>
    </w:p>
    <w:p w14:paraId="52C9D6DA" w14:textId="4213FCB3"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3 </w:t>
      </w:r>
      <w:r w:rsidRPr="00FA094F">
        <w:rPr>
          <w:rFonts w:ascii="Book Antiqua" w:hAnsi="Book Antiqua" w:cstheme="minorHAnsi"/>
          <w:b/>
          <w:bCs/>
          <w:color w:val="000000" w:themeColor="text1"/>
          <w:szCs w:val="24"/>
        </w:rPr>
        <w:t>Camargo MC</w:t>
      </w:r>
      <w:r w:rsidRPr="00FA094F">
        <w:rPr>
          <w:rFonts w:ascii="Book Antiqua" w:hAnsi="Book Antiqua" w:cstheme="minorHAnsi"/>
          <w:color w:val="000000" w:themeColor="text1"/>
          <w:szCs w:val="24"/>
        </w:rPr>
        <w:t>, García A, Riquelme A, Otero W, Camargo CA, Hernandez-García T, Candia R, Bruce MG, Rabkin CS. The problem of Helicobacter pylori resistance to antibiotics: a systematic review in Latin America. </w:t>
      </w:r>
      <w:r w:rsidRPr="00FA094F">
        <w:rPr>
          <w:rFonts w:ascii="Book Antiqua" w:hAnsi="Book Antiqua" w:cstheme="minorHAnsi"/>
          <w:i/>
          <w:iCs/>
          <w:color w:val="000000" w:themeColor="text1"/>
          <w:szCs w:val="24"/>
        </w:rPr>
        <w:t>Am J Gastroenterol</w:t>
      </w:r>
      <w:r>
        <w:rPr>
          <w:rFonts w:ascii="Book Antiqua" w:hAnsi="Book Antiqua" w:cstheme="minorHAnsi"/>
          <w:i/>
          <w:iCs/>
          <w:color w:val="000000" w:themeColor="text1"/>
          <w:szCs w:val="24"/>
        </w:rPr>
        <w:t xml:space="preserve"> </w:t>
      </w:r>
      <w:r w:rsidRPr="00FA094F">
        <w:rPr>
          <w:rFonts w:ascii="Book Antiqua" w:hAnsi="Book Antiqua" w:cstheme="minorHAnsi"/>
          <w:color w:val="000000" w:themeColor="text1"/>
          <w:szCs w:val="24"/>
        </w:rPr>
        <w:t>2014; </w:t>
      </w:r>
      <w:r w:rsidRPr="00FA094F">
        <w:rPr>
          <w:rFonts w:ascii="Book Antiqua" w:hAnsi="Book Antiqua" w:cstheme="minorHAnsi"/>
          <w:b/>
          <w:bCs/>
          <w:color w:val="000000" w:themeColor="text1"/>
          <w:szCs w:val="24"/>
        </w:rPr>
        <w:t>109</w:t>
      </w:r>
      <w:r w:rsidRPr="00FA094F">
        <w:rPr>
          <w:rFonts w:ascii="Book Antiqua" w:hAnsi="Book Antiqua" w:cstheme="minorHAnsi"/>
          <w:color w:val="000000" w:themeColor="text1"/>
          <w:szCs w:val="24"/>
        </w:rPr>
        <w:t>: 485-495 [PMID: 24589670 DOI: 10.1038/ajg.2014.24]</w:t>
      </w:r>
    </w:p>
    <w:p w14:paraId="24445924" w14:textId="02133761"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4 </w:t>
      </w:r>
      <w:r w:rsidRPr="00FA094F">
        <w:rPr>
          <w:rFonts w:ascii="Book Antiqua" w:hAnsi="Book Antiqua" w:cstheme="minorHAnsi"/>
          <w:b/>
          <w:bCs/>
          <w:color w:val="000000" w:themeColor="text1"/>
          <w:szCs w:val="24"/>
        </w:rPr>
        <w:t>Gatta L</w:t>
      </w:r>
      <w:r w:rsidRPr="00FA094F">
        <w:rPr>
          <w:rFonts w:ascii="Book Antiqua" w:hAnsi="Book Antiqua" w:cstheme="minorHAnsi"/>
          <w:color w:val="000000" w:themeColor="text1"/>
          <w:szCs w:val="24"/>
        </w:rPr>
        <w:t>, Vakil N, Leandro G, Di Mario F, Vaira D. Sequential therapy or triple therapy for Helicobacter pylori infection: systematic review and meta-analysis of randomized controlled trials in adults and children. </w:t>
      </w:r>
      <w:r w:rsidRPr="00FA094F">
        <w:rPr>
          <w:rFonts w:ascii="Book Antiqua" w:hAnsi="Book Antiqua" w:cstheme="minorHAnsi"/>
          <w:i/>
          <w:iCs/>
          <w:color w:val="000000" w:themeColor="text1"/>
          <w:szCs w:val="24"/>
        </w:rPr>
        <w:t>Am J Gastroenterol</w:t>
      </w:r>
      <w:r w:rsidRPr="00FA094F">
        <w:rPr>
          <w:rFonts w:ascii="Book Antiqua" w:hAnsi="Book Antiqua" w:cstheme="minorHAnsi"/>
          <w:color w:val="000000" w:themeColor="text1"/>
          <w:szCs w:val="24"/>
        </w:rPr>
        <w:t>2009; </w:t>
      </w:r>
      <w:r w:rsidRPr="00FA094F">
        <w:rPr>
          <w:rFonts w:ascii="Book Antiqua" w:hAnsi="Book Antiqua" w:cstheme="minorHAnsi"/>
          <w:b/>
          <w:bCs/>
          <w:color w:val="000000" w:themeColor="text1"/>
          <w:szCs w:val="24"/>
        </w:rPr>
        <w:t>104</w:t>
      </w:r>
      <w:r w:rsidRPr="00FA094F">
        <w:rPr>
          <w:rFonts w:ascii="Book Antiqua" w:hAnsi="Book Antiqua" w:cstheme="minorHAnsi"/>
          <w:color w:val="000000" w:themeColor="text1"/>
          <w:szCs w:val="24"/>
        </w:rPr>
        <w:t>: 3069-</w:t>
      </w:r>
      <w:r>
        <w:rPr>
          <w:rFonts w:ascii="Book Antiqua" w:hAnsi="Book Antiqua" w:cstheme="minorHAnsi"/>
          <w:color w:val="000000" w:themeColor="text1"/>
          <w:szCs w:val="24"/>
        </w:rPr>
        <w:t>30</w:t>
      </w:r>
      <w:r w:rsidRPr="00FA094F">
        <w:rPr>
          <w:rFonts w:ascii="Book Antiqua" w:hAnsi="Book Antiqua" w:cstheme="minorHAnsi"/>
          <w:color w:val="000000" w:themeColor="text1"/>
          <w:szCs w:val="24"/>
        </w:rPr>
        <w:t>79; quiz 1080 [PMID: 19844205 DOI: 10.1038/ajg.2009.555]</w:t>
      </w:r>
    </w:p>
    <w:p w14:paraId="6D1C7BCA"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5 </w:t>
      </w:r>
      <w:r w:rsidRPr="00FA094F">
        <w:rPr>
          <w:rFonts w:ascii="Book Antiqua" w:hAnsi="Book Antiqua" w:cstheme="minorHAnsi"/>
          <w:b/>
          <w:bCs/>
          <w:color w:val="000000" w:themeColor="text1"/>
          <w:szCs w:val="24"/>
        </w:rPr>
        <w:t>Hsu PI</w:t>
      </w:r>
      <w:r w:rsidRPr="00FA094F">
        <w:rPr>
          <w:rFonts w:ascii="Book Antiqua" w:hAnsi="Book Antiqua" w:cstheme="minorHAnsi"/>
          <w:color w:val="000000" w:themeColor="text1"/>
          <w:szCs w:val="24"/>
        </w:rPr>
        <w:t>, Wu DC, Wu JY, Graham DY. Is there a benefit to extending the duration of Helicobacter pylori sequential therapy to 14 days? </w:t>
      </w:r>
      <w:r w:rsidRPr="00FA094F">
        <w:rPr>
          <w:rFonts w:ascii="Book Antiqua" w:hAnsi="Book Antiqua" w:cstheme="minorHAnsi"/>
          <w:i/>
          <w:iCs/>
          <w:color w:val="000000" w:themeColor="text1"/>
          <w:szCs w:val="24"/>
        </w:rPr>
        <w:t>Helicobacter</w:t>
      </w:r>
      <w:r w:rsidRPr="00FA094F">
        <w:rPr>
          <w:rFonts w:ascii="Book Antiqua" w:hAnsi="Book Antiqua" w:cstheme="minorHAnsi"/>
          <w:color w:val="000000" w:themeColor="text1"/>
          <w:szCs w:val="24"/>
        </w:rPr>
        <w:t> 2011; </w:t>
      </w:r>
      <w:r w:rsidRPr="00FA094F">
        <w:rPr>
          <w:rFonts w:ascii="Book Antiqua" w:hAnsi="Book Antiqua" w:cstheme="minorHAnsi"/>
          <w:b/>
          <w:bCs/>
          <w:color w:val="000000" w:themeColor="text1"/>
          <w:szCs w:val="24"/>
        </w:rPr>
        <w:t>16</w:t>
      </w:r>
      <w:r w:rsidRPr="00FA094F">
        <w:rPr>
          <w:rFonts w:ascii="Book Antiqua" w:hAnsi="Book Antiqua" w:cstheme="minorHAnsi"/>
          <w:color w:val="000000" w:themeColor="text1"/>
          <w:szCs w:val="24"/>
        </w:rPr>
        <w:t>: 146-152 [PMID: 21435093 DOI: 10.1111/j.1523-5378.2011.00829.x]</w:t>
      </w:r>
    </w:p>
    <w:p w14:paraId="78C5D9AF"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6 </w:t>
      </w:r>
      <w:r w:rsidRPr="00FA094F">
        <w:rPr>
          <w:rFonts w:ascii="Book Antiqua" w:hAnsi="Book Antiqua" w:cstheme="minorHAnsi"/>
          <w:b/>
          <w:bCs/>
          <w:color w:val="000000" w:themeColor="text1"/>
          <w:szCs w:val="24"/>
        </w:rPr>
        <w:t>Hsu PI</w:t>
      </w:r>
      <w:r w:rsidRPr="00FA094F">
        <w:rPr>
          <w:rFonts w:ascii="Book Antiqua" w:hAnsi="Book Antiqua" w:cstheme="minorHAnsi"/>
          <w:color w:val="000000" w:themeColor="text1"/>
          <w:szCs w:val="24"/>
        </w:rPr>
        <w:t>, Wu DC, Wu JY, Graham DY. Modified sequential Helicobacter pylori therapy: proton pump inhibitor and amoxicillin for 14 days with clarithromycin and metronidazole added as a quadruple (hybrid) therapy for the final 7 days. </w:t>
      </w:r>
      <w:r w:rsidRPr="00FA094F">
        <w:rPr>
          <w:rFonts w:ascii="Book Antiqua" w:hAnsi="Book Antiqua" w:cstheme="minorHAnsi"/>
          <w:i/>
          <w:iCs/>
          <w:color w:val="000000" w:themeColor="text1"/>
          <w:szCs w:val="24"/>
        </w:rPr>
        <w:t>Helicobacter</w:t>
      </w:r>
      <w:r w:rsidRPr="00FA094F">
        <w:rPr>
          <w:rFonts w:ascii="Book Antiqua" w:hAnsi="Book Antiqua" w:cstheme="minorHAnsi"/>
          <w:color w:val="000000" w:themeColor="text1"/>
          <w:szCs w:val="24"/>
        </w:rPr>
        <w:t> 2011; </w:t>
      </w:r>
      <w:r w:rsidRPr="00FA094F">
        <w:rPr>
          <w:rFonts w:ascii="Book Antiqua" w:hAnsi="Book Antiqua" w:cstheme="minorHAnsi"/>
          <w:b/>
          <w:bCs/>
          <w:color w:val="000000" w:themeColor="text1"/>
          <w:szCs w:val="24"/>
        </w:rPr>
        <w:t>16</w:t>
      </w:r>
      <w:r w:rsidRPr="00FA094F">
        <w:rPr>
          <w:rFonts w:ascii="Book Antiqua" w:hAnsi="Book Antiqua" w:cstheme="minorHAnsi"/>
          <w:color w:val="000000" w:themeColor="text1"/>
          <w:szCs w:val="24"/>
        </w:rPr>
        <w:t>: 139-145 [PMID: 21435092 DOI: 10.1111/j.1523-5378.2011.00828.x]</w:t>
      </w:r>
    </w:p>
    <w:p w14:paraId="593CFE97"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7 </w:t>
      </w:r>
      <w:r w:rsidRPr="00FA094F">
        <w:rPr>
          <w:rFonts w:ascii="Book Antiqua" w:hAnsi="Book Antiqua" w:cstheme="minorHAnsi"/>
          <w:b/>
          <w:bCs/>
          <w:color w:val="000000" w:themeColor="text1"/>
          <w:szCs w:val="24"/>
        </w:rPr>
        <w:t>Kao SS</w:t>
      </w:r>
      <w:r w:rsidRPr="00FA094F">
        <w:rPr>
          <w:rFonts w:ascii="Book Antiqua" w:hAnsi="Book Antiqua" w:cstheme="minorHAnsi"/>
          <w:color w:val="000000" w:themeColor="text1"/>
          <w:szCs w:val="24"/>
        </w:rPr>
        <w:t>, Chen WC, Hsu PI, Lai KH, Yu HC, Cheng HH, Peng NJ, Lin CK, Chan HH, Tsai WL, Wang HM, Tsai TJ, Lin KH, Tsay FW. 7-Day Nonbismuth-Containing Concomitant Therapy Achieves a High Eradication Rate for Helicobacter pylori in Taiwan. </w:t>
      </w:r>
      <w:r w:rsidRPr="00FA094F">
        <w:rPr>
          <w:rFonts w:ascii="Book Antiqua" w:hAnsi="Book Antiqua" w:cstheme="minorHAnsi"/>
          <w:i/>
          <w:iCs/>
          <w:color w:val="000000" w:themeColor="text1"/>
          <w:szCs w:val="24"/>
        </w:rPr>
        <w:t>Gastroenterol Res Pract</w:t>
      </w:r>
      <w:r w:rsidRPr="00FA094F">
        <w:rPr>
          <w:rFonts w:ascii="Book Antiqua" w:hAnsi="Book Antiqua" w:cstheme="minorHAnsi"/>
          <w:color w:val="000000" w:themeColor="text1"/>
          <w:szCs w:val="24"/>
        </w:rPr>
        <w:t> 2012; </w:t>
      </w:r>
      <w:r w:rsidRPr="00FA094F">
        <w:rPr>
          <w:rFonts w:ascii="Book Antiqua" w:hAnsi="Book Antiqua" w:cstheme="minorHAnsi"/>
          <w:b/>
          <w:bCs/>
          <w:color w:val="000000" w:themeColor="text1"/>
          <w:szCs w:val="24"/>
        </w:rPr>
        <w:t>2012</w:t>
      </w:r>
      <w:r w:rsidRPr="00FA094F">
        <w:rPr>
          <w:rFonts w:ascii="Book Antiqua" w:hAnsi="Book Antiqua" w:cstheme="minorHAnsi"/>
          <w:color w:val="000000" w:themeColor="text1"/>
          <w:szCs w:val="24"/>
        </w:rPr>
        <w:t>: 463985 [PMID: 22888337 DOI: 10.1155/2012/463985]</w:t>
      </w:r>
    </w:p>
    <w:p w14:paraId="13FFD5FA"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lastRenderedPageBreak/>
        <w:t>8 </w:t>
      </w:r>
      <w:r w:rsidRPr="00FA094F">
        <w:rPr>
          <w:rFonts w:ascii="Book Antiqua" w:hAnsi="Book Antiqua" w:cstheme="minorHAnsi"/>
          <w:b/>
          <w:bCs/>
          <w:color w:val="000000" w:themeColor="text1"/>
          <w:szCs w:val="24"/>
        </w:rPr>
        <w:t>Graham DY</w:t>
      </w:r>
      <w:r w:rsidRPr="00FA094F">
        <w:rPr>
          <w:rFonts w:ascii="Book Antiqua" w:hAnsi="Book Antiqua" w:cstheme="minorHAnsi"/>
          <w:color w:val="000000" w:themeColor="text1"/>
          <w:szCs w:val="24"/>
        </w:rPr>
        <w:t>, Fischbach L. Helicobacter pylori treatment in the era of increasing antibiotic resistance. </w:t>
      </w:r>
      <w:r w:rsidRPr="00FA094F">
        <w:rPr>
          <w:rFonts w:ascii="Book Antiqua" w:hAnsi="Book Antiqua" w:cstheme="minorHAnsi"/>
          <w:i/>
          <w:iCs/>
          <w:color w:val="000000" w:themeColor="text1"/>
          <w:szCs w:val="24"/>
        </w:rPr>
        <w:t>Gut</w:t>
      </w:r>
      <w:r w:rsidRPr="00FA094F">
        <w:rPr>
          <w:rFonts w:ascii="Book Antiqua" w:hAnsi="Book Antiqua" w:cstheme="minorHAnsi"/>
          <w:color w:val="000000" w:themeColor="text1"/>
          <w:szCs w:val="24"/>
        </w:rPr>
        <w:t> 2010; </w:t>
      </w:r>
      <w:r w:rsidRPr="00FA094F">
        <w:rPr>
          <w:rFonts w:ascii="Book Antiqua" w:hAnsi="Book Antiqua" w:cstheme="minorHAnsi"/>
          <w:b/>
          <w:bCs/>
          <w:color w:val="000000" w:themeColor="text1"/>
          <w:szCs w:val="24"/>
        </w:rPr>
        <w:t>59</w:t>
      </w:r>
      <w:r w:rsidRPr="00FA094F">
        <w:rPr>
          <w:rFonts w:ascii="Book Antiqua" w:hAnsi="Book Antiqua" w:cstheme="minorHAnsi"/>
          <w:color w:val="000000" w:themeColor="text1"/>
          <w:szCs w:val="24"/>
        </w:rPr>
        <w:t>: 1143-1153 [PMID: 20525969 DOI: 10.1136/gut.2009.192757]</w:t>
      </w:r>
    </w:p>
    <w:p w14:paraId="58C0999B"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9 </w:t>
      </w:r>
      <w:r w:rsidRPr="00FA094F">
        <w:rPr>
          <w:rFonts w:ascii="Book Antiqua" w:hAnsi="Book Antiqua" w:cstheme="minorHAnsi"/>
          <w:b/>
          <w:bCs/>
          <w:color w:val="000000" w:themeColor="text1"/>
          <w:szCs w:val="24"/>
        </w:rPr>
        <w:t>Kobayashi I</w:t>
      </w:r>
      <w:r w:rsidRPr="00FA094F">
        <w:rPr>
          <w:rFonts w:ascii="Book Antiqua" w:hAnsi="Book Antiqua" w:cstheme="minorHAnsi"/>
          <w:color w:val="000000" w:themeColor="text1"/>
          <w:szCs w:val="24"/>
        </w:rPr>
        <w:t>, Murakami K, Kato M, Kato S, Azuma T, Takahashi S, Uemura N, Katsuyama T, Fukuda Y, Haruma K, Nasu M, Fujioka T. Changing antimicrobial susceptibility epidemiology of Helicobacter pylori strains in Japan between 2002 and 2005. </w:t>
      </w:r>
      <w:r w:rsidRPr="00FA094F">
        <w:rPr>
          <w:rFonts w:ascii="Book Antiqua" w:hAnsi="Book Antiqua" w:cstheme="minorHAnsi"/>
          <w:i/>
          <w:iCs/>
          <w:color w:val="000000" w:themeColor="text1"/>
          <w:szCs w:val="24"/>
        </w:rPr>
        <w:t>J Clin Microbiol</w:t>
      </w:r>
      <w:r w:rsidRPr="00FA094F">
        <w:rPr>
          <w:rFonts w:ascii="Book Antiqua" w:hAnsi="Book Antiqua" w:cstheme="minorHAnsi"/>
          <w:color w:val="000000" w:themeColor="text1"/>
          <w:szCs w:val="24"/>
        </w:rPr>
        <w:t> 2007; </w:t>
      </w:r>
      <w:r w:rsidRPr="00FA094F">
        <w:rPr>
          <w:rFonts w:ascii="Book Antiqua" w:hAnsi="Book Antiqua" w:cstheme="minorHAnsi"/>
          <w:b/>
          <w:bCs/>
          <w:color w:val="000000" w:themeColor="text1"/>
          <w:szCs w:val="24"/>
        </w:rPr>
        <w:t>45</w:t>
      </w:r>
      <w:r w:rsidRPr="00FA094F">
        <w:rPr>
          <w:rFonts w:ascii="Book Antiqua" w:hAnsi="Book Antiqua" w:cstheme="minorHAnsi"/>
          <w:color w:val="000000" w:themeColor="text1"/>
          <w:szCs w:val="24"/>
        </w:rPr>
        <w:t>: 4006-4010 [PMID: 17942652 DOI: 10.1128/JCM.00740-07]</w:t>
      </w:r>
    </w:p>
    <w:p w14:paraId="6FD1BB94"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10 </w:t>
      </w:r>
      <w:r w:rsidRPr="00FA094F">
        <w:rPr>
          <w:rFonts w:ascii="Book Antiqua" w:hAnsi="Book Antiqua" w:cstheme="minorHAnsi"/>
          <w:b/>
          <w:bCs/>
          <w:color w:val="000000" w:themeColor="text1"/>
          <w:szCs w:val="24"/>
        </w:rPr>
        <w:t>Chuah SK</w:t>
      </w:r>
      <w:r w:rsidRPr="00FA094F">
        <w:rPr>
          <w:rFonts w:ascii="Book Antiqua" w:hAnsi="Book Antiqua" w:cstheme="minorHAnsi"/>
          <w:color w:val="000000" w:themeColor="text1"/>
          <w:szCs w:val="24"/>
        </w:rPr>
        <w:t>, Tsay FW, Hsu PI, Wu DC. A new look at anti-Helicobacter pylori therapy. </w:t>
      </w:r>
      <w:r w:rsidRPr="00FA094F">
        <w:rPr>
          <w:rFonts w:ascii="Book Antiqua" w:hAnsi="Book Antiqua" w:cstheme="minorHAnsi"/>
          <w:i/>
          <w:iCs/>
          <w:color w:val="000000" w:themeColor="text1"/>
          <w:szCs w:val="24"/>
        </w:rPr>
        <w:t>World J Gastroenterol</w:t>
      </w:r>
      <w:r w:rsidRPr="00FA094F">
        <w:rPr>
          <w:rFonts w:ascii="Book Antiqua" w:hAnsi="Book Antiqua" w:cstheme="minorHAnsi"/>
          <w:color w:val="000000" w:themeColor="text1"/>
          <w:szCs w:val="24"/>
        </w:rPr>
        <w:t> 2011; </w:t>
      </w:r>
      <w:r w:rsidRPr="00FA094F">
        <w:rPr>
          <w:rFonts w:ascii="Book Antiqua" w:hAnsi="Book Antiqua" w:cstheme="minorHAnsi"/>
          <w:b/>
          <w:bCs/>
          <w:color w:val="000000" w:themeColor="text1"/>
          <w:szCs w:val="24"/>
        </w:rPr>
        <w:t>17</w:t>
      </w:r>
      <w:r w:rsidRPr="00FA094F">
        <w:rPr>
          <w:rFonts w:ascii="Book Antiqua" w:hAnsi="Book Antiqua" w:cstheme="minorHAnsi"/>
          <w:color w:val="000000" w:themeColor="text1"/>
          <w:szCs w:val="24"/>
        </w:rPr>
        <w:t>: 3971-3975 [PMID: 22046084 DOI: 10.3748/wjg.v17.i35.3971]</w:t>
      </w:r>
    </w:p>
    <w:p w14:paraId="5C1608A9"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11 </w:t>
      </w:r>
      <w:r w:rsidRPr="00FA094F">
        <w:rPr>
          <w:rFonts w:ascii="Book Antiqua" w:hAnsi="Book Antiqua" w:cstheme="minorHAnsi"/>
          <w:b/>
          <w:bCs/>
          <w:color w:val="000000" w:themeColor="text1"/>
          <w:szCs w:val="24"/>
        </w:rPr>
        <w:t>Suzuki H</w:t>
      </w:r>
      <w:r w:rsidRPr="00FA094F">
        <w:rPr>
          <w:rFonts w:ascii="Book Antiqua" w:hAnsi="Book Antiqua" w:cstheme="minorHAnsi"/>
          <w:color w:val="000000" w:themeColor="text1"/>
          <w:szCs w:val="24"/>
        </w:rPr>
        <w:t>, Mori H. World trends for H. pylori eradication therapy and gastric cancer prevention strategy by H. pylori test-and-treat. </w:t>
      </w:r>
      <w:r w:rsidRPr="00FA094F">
        <w:rPr>
          <w:rFonts w:ascii="Book Antiqua" w:hAnsi="Book Antiqua" w:cstheme="minorHAnsi"/>
          <w:i/>
          <w:iCs/>
          <w:color w:val="000000" w:themeColor="text1"/>
          <w:szCs w:val="24"/>
        </w:rPr>
        <w:t>J Gastroenterol</w:t>
      </w:r>
      <w:r w:rsidRPr="00FA094F">
        <w:rPr>
          <w:rFonts w:ascii="Book Antiqua" w:hAnsi="Book Antiqua" w:cstheme="minorHAnsi"/>
          <w:color w:val="000000" w:themeColor="text1"/>
          <w:szCs w:val="24"/>
        </w:rPr>
        <w:t> 2018; </w:t>
      </w:r>
      <w:r w:rsidRPr="00FA094F">
        <w:rPr>
          <w:rFonts w:ascii="Book Antiqua" w:hAnsi="Book Antiqua" w:cstheme="minorHAnsi"/>
          <w:b/>
          <w:bCs/>
          <w:color w:val="000000" w:themeColor="text1"/>
          <w:szCs w:val="24"/>
        </w:rPr>
        <w:t>53</w:t>
      </w:r>
      <w:r w:rsidRPr="00FA094F">
        <w:rPr>
          <w:rFonts w:ascii="Book Antiqua" w:hAnsi="Book Antiqua" w:cstheme="minorHAnsi"/>
          <w:color w:val="000000" w:themeColor="text1"/>
          <w:szCs w:val="24"/>
        </w:rPr>
        <w:t>: 354-361 [PMID: 29138921 DOI: 10.1007/s00535-017-1407-1]</w:t>
      </w:r>
    </w:p>
    <w:p w14:paraId="54572AD0"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12 </w:t>
      </w:r>
      <w:r w:rsidRPr="00FA094F">
        <w:rPr>
          <w:rFonts w:ascii="Book Antiqua" w:hAnsi="Book Antiqua" w:cstheme="minorHAnsi"/>
          <w:b/>
          <w:bCs/>
          <w:color w:val="000000" w:themeColor="text1"/>
          <w:szCs w:val="24"/>
        </w:rPr>
        <w:t>Wu IT</w:t>
      </w:r>
      <w:r w:rsidRPr="00FA094F">
        <w:rPr>
          <w:rFonts w:ascii="Book Antiqua" w:hAnsi="Book Antiqua" w:cstheme="minorHAnsi"/>
          <w:color w:val="000000" w:themeColor="text1"/>
          <w:szCs w:val="24"/>
        </w:rPr>
        <w:t>, Chuah SK, Lee CH, Liang CM, Lu LS, Kuo YH, Yen YH, Hu ML, Chou YP, Yang SC, Kuo CM, Kuo CH, Chien CC, Chiang YS, Chiou SS, Hu TH, Tai WC. Five-year sequential changes in secondary antibiotic resistance of Helicobacter pylori in Taiwan. </w:t>
      </w:r>
      <w:r w:rsidRPr="00FA094F">
        <w:rPr>
          <w:rFonts w:ascii="Book Antiqua" w:hAnsi="Book Antiqua" w:cstheme="minorHAnsi"/>
          <w:i/>
          <w:iCs/>
          <w:color w:val="000000" w:themeColor="text1"/>
          <w:szCs w:val="24"/>
        </w:rPr>
        <w:t>World J Gastroenterol</w:t>
      </w:r>
      <w:r w:rsidRPr="00FA094F">
        <w:rPr>
          <w:rFonts w:ascii="Book Antiqua" w:hAnsi="Book Antiqua" w:cstheme="minorHAnsi"/>
          <w:color w:val="000000" w:themeColor="text1"/>
          <w:szCs w:val="24"/>
        </w:rPr>
        <w:t> 2015; </w:t>
      </w:r>
      <w:r w:rsidRPr="00FA094F">
        <w:rPr>
          <w:rFonts w:ascii="Book Antiqua" w:hAnsi="Book Antiqua" w:cstheme="minorHAnsi"/>
          <w:b/>
          <w:bCs/>
          <w:color w:val="000000" w:themeColor="text1"/>
          <w:szCs w:val="24"/>
        </w:rPr>
        <w:t>21</w:t>
      </w:r>
      <w:r w:rsidRPr="00FA094F">
        <w:rPr>
          <w:rFonts w:ascii="Book Antiqua" w:hAnsi="Book Antiqua" w:cstheme="minorHAnsi"/>
          <w:color w:val="000000" w:themeColor="text1"/>
          <w:szCs w:val="24"/>
        </w:rPr>
        <w:t>: 10669-10674 [PMID: 26457027 DOI: 10.3748/wjg.v21.i37.10669]</w:t>
      </w:r>
    </w:p>
    <w:p w14:paraId="2F124B39"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13 </w:t>
      </w:r>
      <w:r w:rsidRPr="00FA094F">
        <w:rPr>
          <w:rFonts w:ascii="Book Antiqua" w:hAnsi="Book Antiqua" w:cstheme="minorHAnsi"/>
          <w:b/>
          <w:bCs/>
          <w:color w:val="000000" w:themeColor="text1"/>
          <w:szCs w:val="24"/>
        </w:rPr>
        <w:t>Kuo CH</w:t>
      </w:r>
      <w:r w:rsidRPr="00FA094F">
        <w:rPr>
          <w:rFonts w:ascii="Book Antiqua" w:hAnsi="Book Antiqua" w:cstheme="minorHAnsi"/>
          <w:color w:val="000000" w:themeColor="text1"/>
          <w:szCs w:val="24"/>
        </w:rPr>
        <w:t>, Hu HM, Kuo FC, Hsu PI, Chen A, Yu FJ, Tsai PY, Wu IC, Wang SW, Li CJ, Weng BC, Chang LL, Jan CM, Wang WM, Wu DC. Efficacy of levofloxacin-based rescue therapy for Helicobacter pylori infection after standard triple therapy: a randomized controlled trial. </w:t>
      </w:r>
      <w:r w:rsidRPr="00FA094F">
        <w:rPr>
          <w:rFonts w:ascii="Book Antiqua" w:hAnsi="Book Antiqua" w:cstheme="minorHAnsi"/>
          <w:i/>
          <w:iCs/>
          <w:color w:val="000000" w:themeColor="text1"/>
          <w:szCs w:val="24"/>
        </w:rPr>
        <w:t>J Antimicrob Chemother</w:t>
      </w:r>
      <w:r w:rsidRPr="00FA094F">
        <w:rPr>
          <w:rFonts w:ascii="Book Antiqua" w:hAnsi="Book Antiqua" w:cstheme="minorHAnsi"/>
          <w:color w:val="000000" w:themeColor="text1"/>
          <w:szCs w:val="24"/>
        </w:rPr>
        <w:t> 2009; </w:t>
      </w:r>
      <w:r w:rsidRPr="00FA094F">
        <w:rPr>
          <w:rFonts w:ascii="Book Antiqua" w:hAnsi="Book Antiqua" w:cstheme="minorHAnsi"/>
          <w:b/>
          <w:bCs/>
          <w:color w:val="000000" w:themeColor="text1"/>
          <w:szCs w:val="24"/>
        </w:rPr>
        <w:t>63</w:t>
      </w:r>
      <w:r w:rsidRPr="00FA094F">
        <w:rPr>
          <w:rFonts w:ascii="Book Antiqua" w:hAnsi="Book Antiqua" w:cstheme="minorHAnsi"/>
          <w:color w:val="000000" w:themeColor="text1"/>
          <w:szCs w:val="24"/>
        </w:rPr>
        <w:t>: 1017-1024 [PMID: 19246508 DOI: 10.1093/jac/dkp034]</w:t>
      </w:r>
    </w:p>
    <w:p w14:paraId="6BDCA57E"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14 </w:t>
      </w:r>
      <w:r w:rsidRPr="00FA094F">
        <w:rPr>
          <w:rFonts w:ascii="Book Antiqua" w:hAnsi="Book Antiqua" w:cstheme="minorHAnsi"/>
          <w:b/>
          <w:bCs/>
          <w:color w:val="000000" w:themeColor="text1"/>
          <w:szCs w:val="24"/>
        </w:rPr>
        <w:t>Rendell-Baker L</w:t>
      </w:r>
      <w:r w:rsidRPr="00FA094F">
        <w:rPr>
          <w:rFonts w:ascii="Book Antiqua" w:hAnsi="Book Antiqua" w:cstheme="minorHAnsi"/>
          <w:color w:val="000000" w:themeColor="text1"/>
          <w:szCs w:val="24"/>
        </w:rPr>
        <w:t>. Nineteenth-century resuscitation apparatus. </w:t>
      </w:r>
      <w:r w:rsidRPr="00FA094F">
        <w:rPr>
          <w:rFonts w:ascii="Book Antiqua" w:hAnsi="Book Antiqua" w:cstheme="minorHAnsi"/>
          <w:i/>
          <w:iCs/>
          <w:color w:val="000000" w:themeColor="text1"/>
          <w:szCs w:val="24"/>
        </w:rPr>
        <w:t>Anaesthesia</w:t>
      </w:r>
      <w:r w:rsidRPr="00FA094F">
        <w:rPr>
          <w:rFonts w:ascii="Book Antiqua" w:hAnsi="Book Antiqua" w:cstheme="minorHAnsi"/>
          <w:color w:val="000000" w:themeColor="text1"/>
          <w:szCs w:val="24"/>
        </w:rPr>
        <w:t> 1981; </w:t>
      </w:r>
      <w:r w:rsidRPr="00FA094F">
        <w:rPr>
          <w:rFonts w:ascii="Book Antiqua" w:hAnsi="Book Antiqua" w:cstheme="minorHAnsi"/>
          <w:b/>
          <w:bCs/>
          <w:color w:val="000000" w:themeColor="text1"/>
          <w:szCs w:val="24"/>
        </w:rPr>
        <w:t>36</w:t>
      </w:r>
      <w:r w:rsidRPr="00FA094F">
        <w:rPr>
          <w:rFonts w:ascii="Book Antiqua" w:hAnsi="Book Antiqua" w:cstheme="minorHAnsi"/>
          <w:color w:val="000000" w:themeColor="text1"/>
          <w:szCs w:val="24"/>
        </w:rPr>
        <w:t>: 1058-1059 [PMID: 7032348 DOI: 10.1111/j.1365-2362.2006.01725.x]</w:t>
      </w:r>
    </w:p>
    <w:p w14:paraId="0AC5C02C"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15 </w:t>
      </w:r>
      <w:r w:rsidRPr="00FA094F">
        <w:rPr>
          <w:rFonts w:ascii="Book Antiqua" w:hAnsi="Book Antiqua" w:cstheme="minorHAnsi"/>
          <w:b/>
          <w:bCs/>
          <w:color w:val="000000" w:themeColor="text1"/>
          <w:szCs w:val="24"/>
        </w:rPr>
        <w:t>Liou JM</w:t>
      </w:r>
      <w:r w:rsidRPr="00FA094F">
        <w:rPr>
          <w:rFonts w:ascii="Book Antiqua" w:hAnsi="Book Antiqua" w:cstheme="minorHAnsi"/>
          <w:color w:val="000000" w:themeColor="text1"/>
          <w:szCs w:val="24"/>
        </w:rPr>
        <w:t xml:space="preserve">, Bair MJ, Chen CC, Lee YC, Chen MJ, Chen CC, Tseng CH, Fang YJ, Lee JY, Yang TH, Luo JC, Wu JY, Chang WH, Chang CC, Chen CY, Chen PY, Shun CT, Hsu WF, Hung HW, Lin JT, Chang CY, Wu MS; Taiwan </w:t>
      </w:r>
      <w:r w:rsidRPr="00FA094F">
        <w:rPr>
          <w:rFonts w:ascii="Book Antiqua" w:hAnsi="Book Antiqua" w:cstheme="minorHAnsi"/>
          <w:color w:val="000000" w:themeColor="text1"/>
          <w:szCs w:val="24"/>
        </w:rPr>
        <w:lastRenderedPageBreak/>
        <w:t>Gastrointestinal Disease and Helicobacter Consortium. Levofloxacin Sequential Therapy vs Levofloxacin Triple Therapy in the Second-Line Treatment of Helicobacter pylori: A Randomized Trial. </w:t>
      </w:r>
      <w:r w:rsidRPr="00FA094F">
        <w:rPr>
          <w:rFonts w:ascii="Book Antiqua" w:hAnsi="Book Antiqua" w:cstheme="minorHAnsi"/>
          <w:i/>
          <w:iCs/>
          <w:color w:val="000000" w:themeColor="text1"/>
          <w:szCs w:val="24"/>
        </w:rPr>
        <w:t>Am J Gastroenterol</w:t>
      </w:r>
      <w:r w:rsidRPr="00FA094F">
        <w:rPr>
          <w:rFonts w:ascii="Book Antiqua" w:hAnsi="Book Antiqua" w:cstheme="minorHAnsi"/>
          <w:color w:val="000000" w:themeColor="text1"/>
          <w:szCs w:val="24"/>
        </w:rPr>
        <w:t> 2016; </w:t>
      </w:r>
      <w:r w:rsidRPr="00FA094F">
        <w:rPr>
          <w:rFonts w:ascii="Book Antiqua" w:hAnsi="Book Antiqua" w:cstheme="minorHAnsi"/>
          <w:b/>
          <w:bCs/>
          <w:color w:val="000000" w:themeColor="text1"/>
          <w:szCs w:val="24"/>
        </w:rPr>
        <w:t>111</w:t>
      </w:r>
      <w:r w:rsidRPr="00FA094F">
        <w:rPr>
          <w:rFonts w:ascii="Book Antiqua" w:hAnsi="Book Antiqua" w:cstheme="minorHAnsi"/>
          <w:color w:val="000000" w:themeColor="text1"/>
          <w:szCs w:val="24"/>
        </w:rPr>
        <w:t>: 381-387 [PMID: 26832653 DOI: 10.1038/ajg.2015.439]</w:t>
      </w:r>
    </w:p>
    <w:p w14:paraId="5F6A12F4"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16 </w:t>
      </w:r>
      <w:r w:rsidRPr="00FA094F">
        <w:rPr>
          <w:rFonts w:ascii="Book Antiqua" w:hAnsi="Book Antiqua" w:cstheme="minorHAnsi"/>
          <w:b/>
          <w:bCs/>
          <w:color w:val="000000" w:themeColor="text1"/>
          <w:szCs w:val="24"/>
        </w:rPr>
        <w:t>Cao Z</w:t>
      </w:r>
      <w:r w:rsidRPr="00FA094F">
        <w:rPr>
          <w:rFonts w:ascii="Book Antiqua" w:hAnsi="Book Antiqua" w:cstheme="minorHAnsi"/>
          <w:color w:val="000000" w:themeColor="text1"/>
          <w:szCs w:val="24"/>
        </w:rPr>
        <w:t>, Chen Q, Zhang W, Liang X, Liao J, Liu W, Xiao S, Lu H. Fourteen-day optimized levofloxacin-based therapy versus classical quadruple therapy for Helicobacter pylori treatment failures: a randomized clinical trial. </w:t>
      </w:r>
      <w:r w:rsidRPr="00FA094F">
        <w:rPr>
          <w:rFonts w:ascii="Book Antiqua" w:hAnsi="Book Antiqua" w:cstheme="minorHAnsi"/>
          <w:i/>
          <w:iCs/>
          <w:color w:val="000000" w:themeColor="text1"/>
          <w:szCs w:val="24"/>
        </w:rPr>
        <w:t>Scand J Gastroenterol</w:t>
      </w:r>
      <w:r w:rsidRPr="00FA094F">
        <w:rPr>
          <w:rFonts w:ascii="Book Antiqua" w:hAnsi="Book Antiqua" w:cstheme="minorHAnsi"/>
          <w:color w:val="000000" w:themeColor="text1"/>
          <w:szCs w:val="24"/>
        </w:rPr>
        <w:t> 2015; </w:t>
      </w:r>
      <w:r w:rsidRPr="00FA094F">
        <w:rPr>
          <w:rFonts w:ascii="Book Antiqua" w:hAnsi="Book Antiqua" w:cstheme="minorHAnsi"/>
          <w:b/>
          <w:bCs/>
          <w:color w:val="000000" w:themeColor="text1"/>
          <w:szCs w:val="24"/>
        </w:rPr>
        <w:t>50</w:t>
      </w:r>
      <w:r w:rsidRPr="00FA094F">
        <w:rPr>
          <w:rFonts w:ascii="Book Antiqua" w:hAnsi="Book Antiqua" w:cstheme="minorHAnsi"/>
          <w:color w:val="000000" w:themeColor="text1"/>
          <w:szCs w:val="24"/>
        </w:rPr>
        <w:t>: 1185-1190 [PMID: 25881966 DOI: 10.3109/00365521.2015.1037345]</w:t>
      </w:r>
    </w:p>
    <w:p w14:paraId="0365F29C"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17 </w:t>
      </w:r>
      <w:r w:rsidRPr="00FA094F">
        <w:rPr>
          <w:rFonts w:ascii="Book Antiqua" w:hAnsi="Book Antiqua" w:cstheme="minorHAnsi"/>
          <w:b/>
          <w:bCs/>
          <w:color w:val="000000" w:themeColor="text1"/>
          <w:szCs w:val="24"/>
        </w:rPr>
        <w:t>Hsu PI</w:t>
      </w:r>
      <w:r w:rsidRPr="00FA094F">
        <w:rPr>
          <w:rFonts w:ascii="Book Antiqua" w:hAnsi="Book Antiqua" w:cstheme="minorHAnsi"/>
          <w:color w:val="000000" w:themeColor="text1"/>
          <w:szCs w:val="24"/>
        </w:rPr>
        <w:t>, Chen WC, Tsay FW, Shih CA, Kao SS, Wang HM, Yu HC, Lai KH, Tseng HH, Peng NJ, Chen A, Kuo CH, Wu DC; Taiwan Acid-Related Disease (TARD) Study Group. Ten-day Quadruple therapy comprising proton-pump inhibitor, bismuth, tetracycline, and levofloxacin achieves a high eradication rate for Helicobacter pylori infection after failure of sequential therapy. </w:t>
      </w:r>
      <w:r w:rsidRPr="00FA094F">
        <w:rPr>
          <w:rFonts w:ascii="Book Antiqua" w:hAnsi="Book Antiqua" w:cstheme="minorHAnsi"/>
          <w:i/>
          <w:iCs/>
          <w:color w:val="000000" w:themeColor="text1"/>
          <w:szCs w:val="24"/>
        </w:rPr>
        <w:t>Helicobacter</w:t>
      </w:r>
      <w:r w:rsidRPr="00FA094F">
        <w:rPr>
          <w:rFonts w:ascii="Book Antiqua" w:hAnsi="Book Antiqua" w:cstheme="minorHAnsi"/>
          <w:color w:val="000000" w:themeColor="text1"/>
          <w:szCs w:val="24"/>
        </w:rPr>
        <w:t> 2014; </w:t>
      </w:r>
      <w:r w:rsidRPr="00FA094F">
        <w:rPr>
          <w:rFonts w:ascii="Book Antiqua" w:hAnsi="Book Antiqua" w:cstheme="minorHAnsi"/>
          <w:b/>
          <w:bCs/>
          <w:color w:val="000000" w:themeColor="text1"/>
          <w:szCs w:val="24"/>
        </w:rPr>
        <w:t>19</w:t>
      </w:r>
      <w:r w:rsidRPr="00FA094F">
        <w:rPr>
          <w:rFonts w:ascii="Book Antiqua" w:hAnsi="Book Antiqua" w:cstheme="minorHAnsi"/>
          <w:color w:val="000000" w:themeColor="text1"/>
          <w:szCs w:val="24"/>
        </w:rPr>
        <w:t>: 74-79 [PMID: 24033865 DOI: 10.1111/hel.12085]</w:t>
      </w:r>
    </w:p>
    <w:p w14:paraId="79190796"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18 </w:t>
      </w:r>
      <w:r w:rsidRPr="00FA094F">
        <w:rPr>
          <w:rFonts w:ascii="Book Antiqua" w:hAnsi="Book Antiqua" w:cstheme="minorHAnsi"/>
          <w:b/>
          <w:bCs/>
          <w:color w:val="000000" w:themeColor="text1"/>
          <w:szCs w:val="24"/>
        </w:rPr>
        <w:t>Gisbert JP</w:t>
      </w:r>
      <w:r w:rsidRPr="00FA094F">
        <w:rPr>
          <w:rFonts w:ascii="Book Antiqua" w:hAnsi="Book Antiqua" w:cstheme="minorHAnsi"/>
          <w:color w:val="000000" w:themeColor="text1"/>
          <w:szCs w:val="24"/>
        </w:rPr>
        <w:t>, Molina-Infante J, Marin AC, Vinagre G, Barrio J, McNicholl AG. Second-line rescue triple therapy with levofloxacin after failure of non-bismuth quadruple "sequential" or "concomitant" treatment to eradicate H. pylori infection. </w:t>
      </w:r>
      <w:r w:rsidRPr="00FA094F">
        <w:rPr>
          <w:rFonts w:ascii="Book Antiqua" w:hAnsi="Book Antiqua" w:cstheme="minorHAnsi"/>
          <w:i/>
          <w:iCs/>
          <w:color w:val="000000" w:themeColor="text1"/>
          <w:szCs w:val="24"/>
        </w:rPr>
        <w:t>Scand J Gastroenterol</w:t>
      </w:r>
      <w:r w:rsidRPr="00FA094F">
        <w:rPr>
          <w:rFonts w:ascii="Book Antiqua" w:hAnsi="Book Antiqua" w:cstheme="minorHAnsi"/>
          <w:color w:val="000000" w:themeColor="text1"/>
          <w:szCs w:val="24"/>
        </w:rPr>
        <w:t> 2013; </w:t>
      </w:r>
      <w:r w:rsidRPr="00FA094F">
        <w:rPr>
          <w:rFonts w:ascii="Book Antiqua" w:hAnsi="Book Antiqua" w:cstheme="minorHAnsi"/>
          <w:b/>
          <w:bCs/>
          <w:color w:val="000000" w:themeColor="text1"/>
          <w:szCs w:val="24"/>
        </w:rPr>
        <w:t>48</w:t>
      </w:r>
      <w:r w:rsidRPr="00FA094F">
        <w:rPr>
          <w:rFonts w:ascii="Book Antiqua" w:hAnsi="Book Antiqua" w:cstheme="minorHAnsi"/>
          <w:color w:val="000000" w:themeColor="text1"/>
          <w:szCs w:val="24"/>
        </w:rPr>
        <w:t>: 652-656 [PMID: 23556551 DOI: 10.3109/00365521.2013.786132]</w:t>
      </w:r>
    </w:p>
    <w:p w14:paraId="5044F92E"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19 </w:t>
      </w:r>
      <w:r w:rsidRPr="00FA094F">
        <w:rPr>
          <w:rFonts w:ascii="Book Antiqua" w:hAnsi="Book Antiqua" w:cstheme="minorHAnsi"/>
          <w:b/>
          <w:bCs/>
          <w:color w:val="000000" w:themeColor="text1"/>
          <w:szCs w:val="24"/>
        </w:rPr>
        <w:t>Masaoka T,</w:t>
      </w:r>
      <w:r w:rsidRPr="00FA094F">
        <w:rPr>
          <w:rFonts w:ascii="Book Antiqua" w:hAnsi="Book Antiqua" w:cstheme="minorHAnsi"/>
          <w:color w:val="000000" w:themeColor="text1"/>
          <w:szCs w:val="24"/>
        </w:rPr>
        <w:t> Suzuki H, Kurabayashi K, Nomoto Y, Nishizawa T, Mori M, Hibi T. Could frameshift mutations in the frxA and rdxA genes of Helicobacter pylori be a marker for metronidazole resistance? Aliment. Pharmacol. Ther 2006; 24 Suppl 4: 81–87 [DOI: 10.1111/j.1746-6342.2006.00029.x]</w:t>
      </w:r>
    </w:p>
    <w:p w14:paraId="011844F0"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20 </w:t>
      </w:r>
      <w:r w:rsidRPr="00FA094F">
        <w:rPr>
          <w:rFonts w:ascii="Book Antiqua" w:hAnsi="Book Antiqua" w:cstheme="minorHAnsi"/>
          <w:b/>
          <w:bCs/>
          <w:color w:val="000000" w:themeColor="text1"/>
          <w:szCs w:val="24"/>
        </w:rPr>
        <w:t>Arslan N</w:t>
      </w:r>
      <w:r w:rsidRPr="00FA094F">
        <w:rPr>
          <w:rFonts w:ascii="Book Antiqua" w:hAnsi="Book Antiqua" w:cstheme="minorHAnsi"/>
          <w:color w:val="000000" w:themeColor="text1"/>
          <w:szCs w:val="24"/>
        </w:rPr>
        <w:t>, Yılmaz Ö, Demiray-Gürbüz E. Importance of antimicrobial susceptibility testing for the management of eradication in &lt;i&gt;Helicobacter pylori&lt;/i&gt; infection. </w:t>
      </w:r>
      <w:r w:rsidRPr="00FA094F">
        <w:rPr>
          <w:rFonts w:ascii="Book Antiqua" w:hAnsi="Book Antiqua" w:cstheme="minorHAnsi"/>
          <w:i/>
          <w:iCs/>
          <w:color w:val="000000" w:themeColor="text1"/>
          <w:szCs w:val="24"/>
        </w:rPr>
        <w:t>World J Gastroenterol</w:t>
      </w:r>
      <w:r w:rsidRPr="00FA094F">
        <w:rPr>
          <w:rFonts w:ascii="Book Antiqua" w:hAnsi="Book Antiqua" w:cstheme="minorHAnsi"/>
          <w:color w:val="000000" w:themeColor="text1"/>
          <w:szCs w:val="24"/>
        </w:rPr>
        <w:t> 2017; </w:t>
      </w:r>
      <w:r w:rsidRPr="00FA094F">
        <w:rPr>
          <w:rFonts w:ascii="Book Antiqua" w:hAnsi="Book Antiqua" w:cstheme="minorHAnsi"/>
          <w:b/>
          <w:bCs/>
          <w:color w:val="000000" w:themeColor="text1"/>
          <w:szCs w:val="24"/>
        </w:rPr>
        <w:t>23</w:t>
      </w:r>
      <w:r w:rsidRPr="00FA094F">
        <w:rPr>
          <w:rFonts w:ascii="Book Antiqua" w:hAnsi="Book Antiqua" w:cstheme="minorHAnsi"/>
          <w:color w:val="000000" w:themeColor="text1"/>
          <w:szCs w:val="24"/>
        </w:rPr>
        <w:t>: 2854-2869 [PMID: 28522904 DOI: 10.3748/wjg.v23.i16.2854]</w:t>
      </w:r>
    </w:p>
    <w:p w14:paraId="1B195BE5"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21 </w:t>
      </w:r>
      <w:r w:rsidRPr="00FA094F">
        <w:rPr>
          <w:rFonts w:ascii="Book Antiqua" w:hAnsi="Book Antiqua" w:cstheme="minorHAnsi"/>
          <w:b/>
          <w:bCs/>
          <w:color w:val="000000" w:themeColor="text1"/>
          <w:szCs w:val="24"/>
        </w:rPr>
        <w:t>Bina JE</w:t>
      </w:r>
      <w:r w:rsidRPr="00FA094F">
        <w:rPr>
          <w:rFonts w:ascii="Book Antiqua" w:hAnsi="Book Antiqua" w:cstheme="minorHAnsi"/>
          <w:color w:val="000000" w:themeColor="text1"/>
          <w:szCs w:val="24"/>
        </w:rPr>
        <w:t xml:space="preserve">, Alm RA, Uria-Nickelsen M, Thomas SR, Trust TJ, Hancock RE. Helicobacter pylori uptake and efflux: basis for intrinsic susceptibility to </w:t>
      </w:r>
      <w:r w:rsidRPr="00FA094F">
        <w:rPr>
          <w:rFonts w:ascii="Book Antiqua" w:hAnsi="Book Antiqua" w:cstheme="minorHAnsi"/>
          <w:color w:val="000000" w:themeColor="text1"/>
          <w:szCs w:val="24"/>
        </w:rPr>
        <w:lastRenderedPageBreak/>
        <w:t>antibiotics in vitro. </w:t>
      </w:r>
      <w:r w:rsidRPr="00FA094F">
        <w:rPr>
          <w:rFonts w:ascii="Book Antiqua" w:hAnsi="Book Antiqua" w:cstheme="minorHAnsi"/>
          <w:i/>
          <w:iCs/>
          <w:color w:val="000000" w:themeColor="text1"/>
          <w:szCs w:val="24"/>
        </w:rPr>
        <w:t>Antimicrob Agents Chemother</w:t>
      </w:r>
      <w:r w:rsidRPr="00FA094F">
        <w:rPr>
          <w:rFonts w:ascii="Book Antiqua" w:hAnsi="Book Antiqua" w:cstheme="minorHAnsi"/>
          <w:color w:val="000000" w:themeColor="text1"/>
          <w:szCs w:val="24"/>
        </w:rPr>
        <w:t> 2000; </w:t>
      </w:r>
      <w:r w:rsidRPr="00FA094F">
        <w:rPr>
          <w:rFonts w:ascii="Book Antiqua" w:hAnsi="Book Antiqua" w:cstheme="minorHAnsi"/>
          <w:b/>
          <w:bCs/>
          <w:color w:val="000000" w:themeColor="text1"/>
          <w:szCs w:val="24"/>
        </w:rPr>
        <w:t>44</w:t>
      </w:r>
      <w:r w:rsidRPr="00FA094F">
        <w:rPr>
          <w:rFonts w:ascii="Book Antiqua" w:hAnsi="Book Antiqua" w:cstheme="minorHAnsi"/>
          <w:color w:val="000000" w:themeColor="text1"/>
          <w:szCs w:val="24"/>
        </w:rPr>
        <w:t>: 248-254 [PMID: 10639345 DOI: 10.1128/AAC.44.2.248-254.2000]</w:t>
      </w:r>
    </w:p>
    <w:p w14:paraId="36E71637" w14:textId="55ABFCF4"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22 </w:t>
      </w:r>
      <w:r w:rsidRPr="00FA094F">
        <w:rPr>
          <w:rFonts w:ascii="Book Antiqua" w:hAnsi="Book Antiqua" w:cstheme="minorHAnsi"/>
          <w:b/>
          <w:bCs/>
          <w:color w:val="000000" w:themeColor="text1"/>
          <w:szCs w:val="24"/>
        </w:rPr>
        <w:t>Hirata K</w:t>
      </w:r>
      <w:r w:rsidRPr="00FA094F">
        <w:rPr>
          <w:rFonts w:ascii="Book Antiqua" w:hAnsi="Book Antiqua" w:cstheme="minorHAnsi"/>
          <w:color w:val="000000" w:themeColor="text1"/>
          <w:szCs w:val="24"/>
        </w:rPr>
        <w:t>, Suzuki H, Nishizawa T, Tsugawa H, Muraoka H, Saito Y, Matsuzaki J, Hibi T. Contribution of efflux pumps to clarithromycin resistance in Helicobacter pylori. </w:t>
      </w:r>
      <w:r w:rsidRPr="00FA094F">
        <w:rPr>
          <w:rFonts w:ascii="Book Antiqua" w:hAnsi="Book Antiqua" w:cstheme="minorHAnsi"/>
          <w:i/>
          <w:iCs/>
          <w:color w:val="000000" w:themeColor="text1"/>
          <w:szCs w:val="24"/>
        </w:rPr>
        <w:t>J Gastroenterol Hepatol</w:t>
      </w:r>
      <w:r w:rsidRPr="00FA094F">
        <w:rPr>
          <w:rFonts w:ascii="Book Antiqua" w:hAnsi="Book Antiqua" w:cstheme="minorHAnsi"/>
          <w:color w:val="000000" w:themeColor="text1"/>
          <w:szCs w:val="24"/>
        </w:rPr>
        <w:t> 2010; </w:t>
      </w:r>
      <w:r w:rsidRPr="00FA094F">
        <w:rPr>
          <w:rFonts w:ascii="Book Antiqua" w:hAnsi="Book Antiqua" w:cstheme="minorHAnsi"/>
          <w:b/>
          <w:bCs/>
          <w:color w:val="000000" w:themeColor="text1"/>
          <w:szCs w:val="24"/>
        </w:rPr>
        <w:t xml:space="preserve">25 </w:t>
      </w:r>
      <w:r w:rsidRPr="00FA094F">
        <w:rPr>
          <w:rFonts w:ascii="Book Antiqua" w:hAnsi="Book Antiqua" w:cstheme="minorHAnsi"/>
          <w:bCs/>
          <w:color w:val="000000" w:themeColor="text1"/>
          <w:szCs w:val="24"/>
        </w:rPr>
        <w:t>Suppl 1</w:t>
      </w:r>
      <w:r w:rsidRPr="00FA094F">
        <w:rPr>
          <w:rFonts w:ascii="Book Antiqua" w:hAnsi="Book Antiqua" w:cstheme="minorHAnsi"/>
          <w:color w:val="000000" w:themeColor="text1"/>
          <w:szCs w:val="24"/>
        </w:rPr>
        <w:t>: S75-S79 [PMID: 20586871 DOI: 10.1111/j.1440-1746.2009.06220.x]</w:t>
      </w:r>
    </w:p>
    <w:p w14:paraId="5A4C1FE5"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23 </w:t>
      </w:r>
      <w:r w:rsidRPr="00FA094F">
        <w:rPr>
          <w:rFonts w:ascii="Book Antiqua" w:hAnsi="Book Antiqua" w:cstheme="minorHAnsi"/>
          <w:b/>
          <w:bCs/>
          <w:color w:val="000000" w:themeColor="text1"/>
          <w:szCs w:val="24"/>
        </w:rPr>
        <w:t>Nishizawa T</w:t>
      </w:r>
      <w:r w:rsidRPr="00FA094F">
        <w:rPr>
          <w:rFonts w:ascii="Book Antiqua" w:hAnsi="Book Antiqua" w:cstheme="minorHAnsi"/>
          <w:color w:val="000000" w:themeColor="text1"/>
          <w:szCs w:val="24"/>
        </w:rPr>
        <w:t>, Suzuki H. Mechanisms of Helicobacter pylori antibiotic resistance and molecular testing. </w:t>
      </w:r>
      <w:r w:rsidRPr="00FA094F">
        <w:rPr>
          <w:rFonts w:ascii="Book Antiqua" w:hAnsi="Book Antiqua" w:cstheme="minorHAnsi"/>
          <w:i/>
          <w:iCs/>
          <w:color w:val="000000" w:themeColor="text1"/>
          <w:szCs w:val="24"/>
        </w:rPr>
        <w:t>Front Mol Biosci</w:t>
      </w:r>
      <w:r w:rsidRPr="00FA094F">
        <w:rPr>
          <w:rFonts w:ascii="Book Antiqua" w:hAnsi="Book Antiqua" w:cstheme="minorHAnsi"/>
          <w:color w:val="000000" w:themeColor="text1"/>
          <w:szCs w:val="24"/>
        </w:rPr>
        <w:t> 2014; </w:t>
      </w:r>
      <w:r w:rsidRPr="00FA094F">
        <w:rPr>
          <w:rFonts w:ascii="Book Antiqua" w:hAnsi="Book Antiqua" w:cstheme="minorHAnsi"/>
          <w:b/>
          <w:bCs/>
          <w:color w:val="000000" w:themeColor="text1"/>
          <w:szCs w:val="24"/>
        </w:rPr>
        <w:t>1</w:t>
      </w:r>
      <w:r w:rsidRPr="00FA094F">
        <w:rPr>
          <w:rFonts w:ascii="Book Antiqua" w:hAnsi="Book Antiqua" w:cstheme="minorHAnsi"/>
          <w:color w:val="000000" w:themeColor="text1"/>
          <w:szCs w:val="24"/>
        </w:rPr>
        <w:t>: 19 [PMID: 25988160 DOI: 10.3389/fmolb.2014.00019]</w:t>
      </w:r>
    </w:p>
    <w:p w14:paraId="35708988" w14:textId="5292926A"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24 </w:t>
      </w:r>
      <w:r w:rsidRPr="00FA094F">
        <w:rPr>
          <w:rFonts w:ascii="Book Antiqua" w:hAnsi="Book Antiqua" w:cstheme="minorHAnsi"/>
          <w:b/>
          <w:bCs/>
          <w:color w:val="000000" w:themeColor="text1"/>
          <w:szCs w:val="24"/>
        </w:rPr>
        <w:t>Mori H</w:t>
      </w:r>
      <w:r w:rsidRPr="00FA094F">
        <w:rPr>
          <w:rFonts w:ascii="Book Antiqua" w:hAnsi="Book Antiqua" w:cstheme="minorHAnsi"/>
          <w:color w:val="000000" w:themeColor="text1"/>
          <w:szCs w:val="24"/>
        </w:rPr>
        <w:t>, Suzuki H, Matsuzaki J, Masaoka T, Kanai T. Acqui</w:t>
      </w:r>
      <w:r>
        <w:rPr>
          <w:rFonts w:ascii="Book Antiqua" w:hAnsi="Book Antiqua" w:cstheme="minorHAnsi"/>
          <w:color w:val="000000" w:themeColor="text1"/>
          <w:szCs w:val="24"/>
        </w:rPr>
        <w:t xml:space="preserve">sition of double mutation in </w:t>
      </w:r>
      <w:r w:rsidRPr="00FA094F">
        <w:rPr>
          <w:rFonts w:ascii="Book Antiqua" w:hAnsi="Book Antiqua" w:cstheme="minorHAnsi"/>
          <w:i/>
          <w:color w:val="000000" w:themeColor="text1"/>
          <w:szCs w:val="24"/>
        </w:rPr>
        <w:t>gyrA</w:t>
      </w:r>
      <w:r w:rsidRPr="00FA094F">
        <w:rPr>
          <w:rFonts w:ascii="Book Antiqua" w:hAnsi="Book Antiqua" w:cstheme="minorHAnsi"/>
          <w:color w:val="000000" w:themeColor="text1"/>
          <w:szCs w:val="24"/>
        </w:rPr>
        <w:t xml:space="preserve"> caused high resistance to sitafloxacin in </w:t>
      </w:r>
      <w:r w:rsidRPr="00FA094F">
        <w:rPr>
          <w:rFonts w:ascii="Book Antiqua" w:hAnsi="Book Antiqua" w:cstheme="minorHAnsi"/>
          <w:i/>
          <w:color w:val="000000" w:themeColor="text1"/>
          <w:szCs w:val="24"/>
        </w:rPr>
        <w:t xml:space="preserve">Helicobacter pylori </w:t>
      </w:r>
      <w:r w:rsidRPr="00FA094F">
        <w:rPr>
          <w:rFonts w:ascii="Book Antiqua" w:hAnsi="Book Antiqua" w:cstheme="minorHAnsi"/>
          <w:color w:val="000000" w:themeColor="text1"/>
          <w:szCs w:val="24"/>
        </w:rPr>
        <w:t>after unsuccessful eradication with sitafloxacin-containing regimens. </w:t>
      </w:r>
      <w:r w:rsidRPr="00FA094F">
        <w:rPr>
          <w:rFonts w:ascii="Book Antiqua" w:hAnsi="Book Antiqua" w:cstheme="minorHAnsi"/>
          <w:i/>
          <w:iCs/>
          <w:color w:val="000000" w:themeColor="text1"/>
          <w:szCs w:val="24"/>
        </w:rPr>
        <w:t>United European Gastroenterol J</w:t>
      </w:r>
      <w:r w:rsidRPr="00FA094F">
        <w:rPr>
          <w:rFonts w:ascii="Book Antiqua" w:hAnsi="Book Antiqua" w:cstheme="minorHAnsi"/>
          <w:color w:val="000000" w:themeColor="text1"/>
          <w:szCs w:val="24"/>
        </w:rPr>
        <w:t> 2018; </w:t>
      </w:r>
      <w:r w:rsidRPr="00FA094F">
        <w:rPr>
          <w:rFonts w:ascii="Book Antiqua" w:hAnsi="Book Antiqua" w:cstheme="minorHAnsi"/>
          <w:b/>
          <w:bCs/>
          <w:color w:val="000000" w:themeColor="text1"/>
          <w:szCs w:val="24"/>
        </w:rPr>
        <w:t>6</w:t>
      </w:r>
      <w:r w:rsidRPr="00FA094F">
        <w:rPr>
          <w:rFonts w:ascii="Book Antiqua" w:hAnsi="Book Antiqua" w:cstheme="minorHAnsi"/>
          <w:color w:val="000000" w:themeColor="text1"/>
          <w:szCs w:val="24"/>
        </w:rPr>
        <w:t>: 391-397 [PMID: 29774152 DOI: 10.1177/2050640617737215]</w:t>
      </w:r>
    </w:p>
    <w:p w14:paraId="3958EB1E"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25 </w:t>
      </w:r>
      <w:r w:rsidRPr="00FA094F">
        <w:rPr>
          <w:rFonts w:ascii="Book Antiqua" w:hAnsi="Book Antiqua" w:cstheme="minorHAnsi"/>
          <w:b/>
          <w:bCs/>
          <w:color w:val="000000" w:themeColor="text1"/>
          <w:szCs w:val="24"/>
        </w:rPr>
        <w:t>Wu DC</w:t>
      </w:r>
      <w:r w:rsidRPr="00FA094F">
        <w:rPr>
          <w:rFonts w:ascii="Book Antiqua" w:hAnsi="Book Antiqua" w:cstheme="minorHAnsi"/>
          <w:color w:val="000000" w:themeColor="text1"/>
          <w:szCs w:val="24"/>
        </w:rPr>
        <w:t>, Hsu PI, Tseng HH, Tsay FW, Lai KH, Kuo CH, Wang SW, Chen A. Helicobacter pylori infection: a randomized, controlled study comparing 2 rescue therapies after failure of standard triple therapies. </w:t>
      </w:r>
      <w:r w:rsidRPr="00FA094F">
        <w:rPr>
          <w:rFonts w:ascii="Book Antiqua" w:hAnsi="Book Antiqua" w:cstheme="minorHAnsi"/>
          <w:i/>
          <w:iCs/>
          <w:color w:val="000000" w:themeColor="text1"/>
          <w:szCs w:val="24"/>
        </w:rPr>
        <w:t>Medicine (Baltimore)</w:t>
      </w:r>
      <w:r w:rsidRPr="00FA094F">
        <w:rPr>
          <w:rFonts w:ascii="Book Antiqua" w:hAnsi="Book Antiqua" w:cstheme="minorHAnsi"/>
          <w:color w:val="000000" w:themeColor="text1"/>
          <w:szCs w:val="24"/>
        </w:rPr>
        <w:t>2011; </w:t>
      </w:r>
      <w:r w:rsidRPr="00FA094F">
        <w:rPr>
          <w:rFonts w:ascii="Book Antiqua" w:hAnsi="Book Antiqua" w:cstheme="minorHAnsi"/>
          <w:b/>
          <w:bCs/>
          <w:color w:val="000000" w:themeColor="text1"/>
          <w:szCs w:val="24"/>
        </w:rPr>
        <w:t>90</w:t>
      </w:r>
      <w:r w:rsidRPr="00FA094F">
        <w:rPr>
          <w:rFonts w:ascii="Book Antiqua" w:hAnsi="Book Antiqua" w:cstheme="minorHAnsi"/>
          <w:color w:val="000000" w:themeColor="text1"/>
          <w:szCs w:val="24"/>
        </w:rPr>
        <w:t>: 180-185 [PMID: 21512411 DOI: 10.1097/MD.0b013e31821c9d1c]</w:t>
      </w:r>
    </w:p>
    <w:p w14:paraId="2340A708"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26 </w:t>
      </w:r>
      <w:r w:rsidRPr="00FA094F">
        <w:rPr>
          <w:rFonts w:ascii="Book Antiqua" w:hAnsi="Book Antiqua" w:cstheme="minorHAnsi"/>
          <w:b/>
          <w:bCs/>
          <w:color w:val="000000" w:themeColor="text1"/>
          <w:szCs w:val="24"/>
        </w:rPr>
        <w:t>Gisbert JP</w:t>
      </w:r>
      <w:r w:rsidRPr="00FA094F">
        <w:rPr>
          <w:rFonts w:ascii="Book Antiqua" w:hAnsi="Book Antiqua" w:cstheme="minorHAnsi"/>
          <w:color w:val="000000" w:themeColor="text1"/>
          <w:szCs w:val="24"/>
        </w:rPr>
        <w:t>. "Rescue" regimens after Helicobacter pylori treatment failure. </w:t>
      </w:r>
      <w:r w:rsidRPr="00FA094F">
        <w:rPr>
          <w:rFonts w:ascii="Book Antiqua" w:hAnsi="Book Antiqua" w:cstheme="minorHAnsi"/>
          <w:i/>
          <w:iCs/>
          <w:color w:val="000000" w:themeColor="text1"/>
          <w:szCs w:val="24"/>
        </w:rPr>
        <w:t>World J Gastroenterol</w:t>
      </w:r>
      <w:r w:rsidRPr="00FA094F">
        <w:rPr>
          <w:rFonts w:ascii="Book Antiqua" w:hAnsi="Book Antiqua" w:cstheme="minorHAnsi"/>
          <w:color w:val="000000" w:themeColor="text1"/>
          <w:szCs w:val="24"/>
        </w:rPr>
        <w:t> 2008; </w:t>
      </w:r>
      <w:r w:rsidRPr="00FA094F">
        <w:rPr>
          <w:rFonts w:ascii="Book Antiqua" w:hAnsi="Book Antiqua" w:cstheme="minorHAnsi"/>
          <w:b/>
          <w:bCs/>
          <w:color w:val="000000" w:themeColor="text1"/>
          <w:szCs w:val="24"/>
        </w:rPr>
        <w:t>14</w:t>
      </w:r>
      <w:r w:rsidRPr="00FA094F">
        <w:rPr>
          <w:rFonts w:ascii="Book Antiqua" w:hAnsi="Book Antiqua" w:cstheme="minorHAnsi"/>
          <w:color w:val="000000" w:themeColor="text1"/>
          <w:szCs w:val="24"/>
        </w:rPr>
        <w:t>: 5385-5402 [PMID: 18803350 DOI: 10.3748/wjg.14.5385]</w:t>
      </w:r>
    </w:p>
    <w:p w14:paraId="02549C2D" w14:textId="0D80AB13"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27 </w:t>
      </w:r>
      <w:r w:rsidRPr="00FA094F">
        <w:rPr>
          <w:rFonts w:ascii="Book Antiqua" w:hAnsi="Book Antiqua" w:cstheme="minorHAnsi"/>
          <w:b/>
          <w:bCs/>
          <w:color w:val="000000" w:themeColor="text1"/>
          <w:szCs w:val="24"/>
        </w:rPr>
        <w:t>Hojo M</w:t>
      </w:r>
      <w:r w:rsidRPr="00FA094F">
        <w:rPr>
          <w:rFonts w:ascii="Book Antiqua" w:hAnsi="Book Antiqua" w:cstheme="minorHAnsi"/>
          <w:color w:val="000000" w:themeColor="text1"/>
          <w:szCs w:val="24"/>
        </w:rPr>
        <w:t>, Miwa H, Nagahara A, Sato N. Pooled analysis on the efficacy of the second-line treatment regimens for Helicobacter pylori infection. </w:t>
      </w:r>
      <w:r w:rsidRPr="00FA094F">
        <w:rPr>
          <w:rFonts w:ascii="Book Antiqua" w:hAnsi="Book Antiqua" w:cstheme="minorHAnsi"/>
          <w:i/>
          <w:iCs/>
          <w:color w:val="000000" w:themeColor="text1"/>
          <w:szCs w:val="24"/>
        </w:rPr>
        <w:t>Scand J Gastroenterol</w:t>
      </w:r>
      <w:r w:rsidRPr="00FA094F">
        <w:rPr>
          <w:rFonts w:ascii="Book Antiqua" w:hAnsi="Book Antiqua" w:cstheme="minorHAnsi"/>
          <w:color w:val="000000" w:themeColor="text1"/>
          <w:szCs w:val="24"/>
        </w:rPr>
        <w:t> 2001; </w:t>
      </w:r>
      <w:r w:rsidRPr="00FA094F">
        <w:rPr>
          <w:rFonts w:ascii="Book Antiqua" w:hAnsi="Book Antiqua" w:cstheme="minorHAnsi"/>
          <w:b/>
          <w:bCs/>
          <w:color w:val="000000" w:themeColor="text1"/>
          <w:szCs w:val="24"/>
        </w:rPr>
        <w:t>36</w:t>
      </w:r>
      <w:r w:rsidRPr="00FA094F">
        <w:rPr>
          <w:rFonts w:ascii="Book Antiqua" w:hAnsi="Book Antiqua" w:cstheme="minorHAnsi"/>
          <w:color w:val="000000" w:themeColor="text1"/>
          <w:szCs w:val="24"/>
        </w:rPr>
        <w:t>: 690-700 [PMID: 11444467 DOI: 10.1080/00365520116825]</w:t>
      </w:r>
    </w:p>
    <w:p w14:paraId="02F81BA8"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28 </w:t>
      </w:r>
      <w:r w:rsidRPr="00FA094F">
        <w:rPr>
          <w:rFonts w:ascii="Book Antiqua" w:hAnsi="Book Antiqua" w:cstheme="minorHAnsi"/>
          <w:b/>
          <w:bCs/>
          <w:color w:val="000000" w:themeColor="text1"/>
          <w:szCs w:val="24"/>
        </w:rPr>
        <w:t>Lee BH</w:t>
      </w:r>
      <w:r w:rsidRPr="00FA094F">
        <w:rPr>
          <w:rFonts w:ascii="Book Antiqua" w:hAnsi="Book Antiqua" w:cstheme="minorHAnsi"/>
          <w:color w:val="000000" w:themeColor="text1"/>
          <w:szCs w:val="24"/>
        </w:rPr>
        <w:t>, Kim N, Hwang TJ, Lee SH, Park YS, Hwang JH, Kim JW, Jeong SH, Lee DH, Jung HC, Song IS. Bismuth-containing quadruple therapy as second-line treatment for Helicobacter pylori infection: effect of treatment duration and antibiotic resistance on the eradication rate in Korea. </w:t>
      </w:r>
      <w:r w:rsidRPr="00FA094F">
        <w:rPr>
          <w:rFonts w:ascii="Book Antiqua" w:hAnsi="Book Antiqua" w:cstheme="minorHAnsi"/>
          <w:i/>
          <w:iCs/>
          <w:color w:val="000000" w:themeColor="text1"/>
          <w:szCs w:val="24"/>
        </w:rPr>
        <w:t>Helicobacter</w:t>
      </w:r>
      <w:r w:rsidRPr="00FA094F">
        <w:rPr>
          <w:rFonts w:ascii="Book Antiqua" w:hAnsi="Book Antiqua" w:cstheme="minorHAnsi"/>
          <w:color w:val="000000" w:themeColor="text1"/>
          <w:szCs w:val="24"/>
        </w:rPr>
        <w:t> 2010; </w:t>
      </w:r>
      <w:r w:rsidRPr="00FA094F">
        <w:rPr>
          <w:rFonts w:ascii="Book Antiqua" w:hAnsi="Book Antiqua" w:cstheme="minorHAnsi"/>
          <w:b/>
          <w:bCs/>
          <w:color w:val="000000" w:themeColor="text1"/>
          <w:szCs w:val="24"/>
        </w:rPr>
        <w:t>15</w:t>
      </w:r>
      <w:r w:rsidRPr="00FA094F">
        <w:rPr>
          <w:rFonts w:ascii="Book Antiqua" w:hAnsi="Book Antiqua" w:cstheme="minorHAnsi"/>
          <w:color w:val="000000" w:themeColor="text1"/>
          <w:szCs w:val="24"/>
        </w:rPr>
        <w:t xml:space="preserve">: 38-45 [PMID: 20302588 DOI: </w:t>
      </w:r>
      <w:r w:rsidRPr="00FA094F">
        <w:rPr>
          <w:rFonts w:ascii="Book Antiqua" w:hAnsi="Book Antiqua" w:cstheme="minorHAnsi"/>
          <w:color w:val="000000" w:themeColor="text1"/>
          <w:szCs w:val="24"/>
        </w:rPr>
        <w:lastRenderedPageBreak/>
        <w:t>10.1111/j.1523-5378.2009.00735.x]</w:t>
      </w:r>
    </w:p>
    <w:p w14:paraId="03499D15"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29 </w:t>
      </w:r>
      <w:r w:rsidRPr="00FA094F">
        <w:rPr>
          <w:rFonts w:ascii="Book Antiqua" w:hAnsi="Book Antiqua" w:cstheme="minorHAnsi"/>
          <w:b/>
          <w:bCs/>
          <w:color w:val="000000" w:themeColor="text1"/>
          <w:szCs w:val="24"/>
        </w:rPr>
        <w:t>Chey WD</w:t>
      </w:r>
      <w:r w:rsidRPr="00FA094F">
        <w:rPr>
          <w:rFonts w:ascii="Book Antiqua" w:hAnsi="Book Antiqua" w:cstheme="minorHAnsi"/>
          <w:color w:val="000000" w:themeColor="text1"/>
          <w:szCs w:val="24"/>
        </w:rPr>
        <w:t>, Leontiadis GI, Howden CW, Moss SF. ACG Clinical Guideline: Treatment of Helicobacter pylori Infection. </w:t>
      </w:r>
      <w:r w:rsidRPr="00FA094F">
        <w:rPr>
          <w:rFonts w:ascii="Book Antiqua" w:hAnsi="Book Antiqua" w:cstheme="minorHAnsi"/>
          <w:i/>
          <w:iCs/>
          <w:color w:val="000000" w:themeColor="text1"/>
          <w:szCs w:val="24"/>
        </w:rPr>
        <w:t>Am J Gastroenterol</w:t>
      </w:r>
      <w:r w:rsidRPr="00FA094F">
        <w:rPr>
          <w:rFonts w:ascii="Book Antiqua" w:hAnsi="Book Antiqua" w:cstheme="minorHAnsi"/>
          <w:color w:val="000000" w:themeColor="text1"/>
          <w:szCs w:val="24"/>
        </w:rPr>
        <w:t> 2017; </w:t>
      </w:r>
      <w:r w:rsidRPr="00FA094F">
        <w:rPr>
          <w:rFonts w:ascii="Book Antiqua" w:hAnsi="Book Antiqua" w:cstheme="minorHAnsi"/>
          <w:b/>
          <w:bCs/>
          <w:color w:val="000000" w:themeColor="text1"/>
          <w:szCs w:val="24"/>
        </w:rPr>
        <w:t>112</w:t>
      </w:r>
      <w:r w:rsidRPr="00FA094F">
        <w:rPr>
          <w:rFonts w:ascii="Book Antiqua" w:hAnsi="Book Antiqua" w:cstheme="minorHAnsi"/>
          <w:color w:val="000000" w:themeColor="text1"/>
          <w:szCs w:val="24"/>
        </w:rPr>
        <w:t>: 212-239 [PMID: 28071659 DOI: 10.1038/ajg.2016.563]</w:t>
      </w:r>
    </w:p>
    <w:p w14:paraId="3A1BD6B6"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30 </w:t>
      </w:r>
      <w:r w:rsidRPr="00FA094F">
        <w:rPr>
          <w:rFonts w:ascii="Book Antiqua" w:hAnsi="Book Antiqua" w:cstheme="minorHAnsi"/>
          <w:b/>
          <w:bCs/>
          <w:color w:val="000000" w:themeColor="text1"/>
          <w:szCs w:val="24"/>
        </w:rPr>
        <w:t>Di Caro S</w:t>
      </w:r>
      <w:r w:rsidRPr="00FA094F">
        <w:rPr>
          <w:rFonts w:ascii="Book Antiqua" w:hAnsi="Book Antiqua" w:cstheme="minorHAnsi"/>
          <w:color w:val="000000" w:themeColor="text1"/>
          <w:szCs w:val="24"/>
        </w:rPr>
        <w:t>, Fini L, Daoud Y, Grizzi F, Gasbarrini A, De Lorenzo A, Di Renzo L, McCartney S, Bloom S. Levofloxacin/amoxicillin-based schemes vs quadruple therapy for Helicobacter pylori eradication in second-line. </w:t>
      </w:r>
      <w:r w:rsidRPr="00FA094F">
        <w:rPr>
          <w:rFonts w:ascii="Book Antiqua" w:hAnsi="Book Antiqua" w:cstheme="minorHAnsi"/>
          <w:i/>
          <w:iCs/>
          <w:color w:val="000000" w:themeColor="text1"/>
          <w:szCs w:val="24"/>
        </w:rPr>
        <w:t>World J Gastroenterol</w:t>
      </w:r>
      <w:r w:rsidRPr="00FA094F">
        <w:rPr>
          <w:rFonts w:ascii="Book Antiqua" w:hAnsi="Book Antiqua" w:cstheme="minorHAnsi"/>
          <w:color w:val="000000" w:themeColor="text1"/>
          <w:szCs w:val="24"/>
        </w:rPr>
        <w:t> 2012; </w:t>
      </w:r>
      <w:r w:rsidRPr="00FA094F">
        <w:rPr>
          <w:rFonts w:ascii="Book Antiqua" w:hAnsi="Book Antiqua" w:cstheme="minorHAnsi"/>
          <w:b/>
          <w:bCs/>
          <w:color w:val="000000" w:themeColor="text1"/>
          <w:szCs w:val="24"/>
        </w:rPr>
        <w:t>18</w:t>
      </w:r>
      <w:r w:rsidRPr="00FA094F">
        <w:rPr>
          <w:rFonts w:ascii="Book Antiqua" w:hAnsi="Book Antiqua" w:cstheme="minorHAnsi"/>
          <w:color w:val="000000" w:themeColor="text1"/>
          <w:szCs w:val="24"/>
        </w:rPr>
        <w:t>: 5669-5678 [PMID: 23155306 DOI: 10.3748/wjg.v18.i40.5669]</w:t>
      </w:r>
    </w:p>
    <w:p w14:paraId="5908DD26"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31 </w:t>
      </w:r>
      <w:r w:rsidRPr="00FA094F">
        <w:rPr>
          <w:rFonts w:ascii="Book Antiqua" w:hAnsi="Book Antiqua" w:cstheme="minorHAnsi"/>
          <w:b/>
          <w:bCs/>
          <w:color w:val="000000" w:themeColor="text1"/>
          <w:szCs w:val="24"/>
        </w:rPr>
        <w:t>Malfertheiner P</w:t>
      </w:r>
      <w:r w:rsidRPr="00FA094F">
        <w:rPr>
          <w:rFonts w:ascii="Book Antiqua" w:hAnsi="Book Antiqua" w:cstheme="minorHAnsi"/>
          <w:color w:val="000000" w:themeColor="text1"/>
          <w:szCs w:val="24"/>
        </w:rPr>
        <w:t>,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FA094F">
        <w:rPr>
          <w:rFonts w:ascii="Book Antiqua" w:hAnsi="Book Antiqua" w:cstheme="minorHAnsi"/>
          <w:i/>
          <w:iCs/>
          <w:color w:val="000000" w:themeColor="text1"/>
          <w:szCs w:val="24"/>
        </w:rPr>
        <w:t>Gut</w:t>
      </w:r>
      <w:r w:rsidRPr="00FA094F">
        <w:rPr>
          <w:rFonts w:ascii="Book Antiqua" w:hAnsi="Book Antiqua" w:cstheme="minorHAnsi"/>
          <w:color w:val="000000" w:themeColor="text1"/>
          <w:szCs w:val="24"/>
        </w:rPr>
        <w:t> 2017; </w:t>
      </w:r>
      <w:r w:rsidRPr="00FA094F">
        <w:rPr>
          <w:rFonts w:ascii="Book Antiqua" w:hAnsi="Book Antiqua" w:cstheme="minorHAnsi"/>
          <w:b/>
          <w:bCs/>
          <w:color w:val="000000" w:themeColor="text1"/>
          <w:szCs w:val="24"/>
        </w:rPr>
        <w:t>66</w:t>
      </w:r>
      <w:r w:rsidRPr="00FA094F">
        <w:rPr>
          <w:rFonts w:ascii="Book Antiqua" w:hAnsi="Book Antiqua" w:cstheme="minorHAnsi"/>
          <w:color w:val="000000" w:themeColor="text1"/>
          <w:szCs w:val="24"/>
        </w:rPr>
        <w:t>: 6-30 [PMID: 27707777 DOI: 10.1136/gutjnl-2016-312288]</w:t>
      </w:r>
    </w:p>
    <w:p w14:paraId="4418D40B"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32 </w:t>
      </w:r>
      <w:r w:rsidRPr="00FA094F">
        <w:rPr>
          <w:rFonts w:ascii="Book Antiqua" w:hAnsi="Book Antiqua" w:cstheme="minorHAnsi"/>
          <w:b/>
          <w:bCs/>
          <w:color w:val="000000" w:themeColor="text1"/>
          <w:szCs w:val="24"/>
        </w:rPr>
        <w:t>Goodwin CS</w:t>
      </w:r>
      <w:r w:rsidRPr="00FA094F">
        <w:rPr>
          <w:rFonts w:ascii="Book Antiqua" w:hAnsi="Book Antiqua" w:cstheme="minorHAnsi"/>
          <w:color w:val="000000" w:themeColor="text1"/>
          <w:szCs w:val="24"/>
        </w:rPr>
        <w:t>, Marshall BJ, Blincow ED, Wilson DH, Blackbourn S, Phillips M. Prevention of nitroimidazole resistance in Campylobacter pylori by coadministration of colloidal bismuth subcitrate: clinical and in vitro studies. </w:t>
      </w:r>
      <w:r w:rsidRPr="00FA094F">
        <w:rPr>
          <w:rFonts w:ascii="Book Antiqua" w:hAnsi="Book Antiqua" w:cstheme="minorHAnsi"/>
          <w:i/>
          <w:iCs/>
          <w:color w:val="000000" w:themeColor="text1"/>
          <w:szCs w:val="24"/>
        </w:rPr>
        <w:t>J Clin Pathol</w:t>
      </w:r>
      <w:r w:rsidRPr="00FA094F">
        <w:rPr>
          <w:rFonts w:ascii="Book Antiqua" w:hAnsi="Book Antiqua" w:cstheme="minorHAnsi"/>
          <w:color w:val="000000" w:themeColor="text1"/>
          <w:szCs w:val="24"/>
        </w:rPr>
        <w:t> 1988; </w:t>
      </w:r>
      <w:r w:rsidRPr="00FA094F">
        <w:rPr>
          <w:rFonts w:ascii="Book Antiqua" w:hAnsi="Book Antiqua" w:cstheme="minorHAnsi"/>
          <w:b/>
          <w:bCs/>
          <w:color w:val="000000" w:themeColor="text1"/>
          <w:szCs w:val="24"/>
        </w:rPr>
        <w:t>41</w:t>
      </w:r>
      <w:r w:rsidRPr="00FA094F">
        <w:rPr>
          <w:rFonts w:ascii="Book Antiqua" w:hAnsi="Book Antiqua" w:cstheme="minorHAnsi"/>
          <w:color w:val="000000" w:themeColor="text1"/>
          <w:szCs w:val="24"/>
        </w:rPr>
        <w:t>: 207-210 [PMID: 3280609]</w:t>
      </w:r>
    </w:p>
    <w:p w14:paraId="078B90A7"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33 </w:t>
      </w:r>
      <w:r w:rsidRPr="00FA094F">
        <w:rPr>
          <w:rFonts w:ascii="Book Antiqua" w:hAnsi="Book Antiqua" w:cstheme="minorHAnsi"/>
          <w:b/>
          <w:bCs/>
          <w:color w:val="000000" w:themeColor="text1"/>
          <w:szCs w:val="24"/>
        </w:rPr>
        <w:t>Liao J</w:t>
      </w:r>
      <w:r w:rsidRPr="00FA094F">
        <w:rPr>
          <w:rFonts w:ascii="Book Antiqua" w:hAnsi="Book Antiqua" w:cstheme="minorHAnsi"/>
          <w:color w:val="000000" w:themeColor="text1"/>
          <w:szCs w:val="24"/>
        </w:rPr>
        <w:t>, Zheng Q, Liang X, Zhang W, Sun Q, Liu W, Xiao S, Graham DY, Lu H. Effect of fluoroquinolone resistance on 14-day levofloxacin triple and triple plus bismuth quadruple therapy. </w:t>
      </w:r>
      <w:r w:rsidRPr="00FA094F">
        <w:rPr>
          <w:rFonts w:ascii="Book Antiqua" w:hAnsi="Book Antiqua" w:cstheme="minorHAnsi"/>
          <w:i/>
          <w:iCs/>
          <w:color w:val="000000" w:themeColor="text1"/>
          <w:szCs w:val="24"/>
        </w:rPr>
        <w:t>Helicobacter</w:t>
      </w:r>
      <w:r w:rsidRPr="00FA094F">
        <w:rPr>
          <w:rFonts w:ascii="Book Antiqua" w:hAnsi="Book Antiqua" w:cstheme="minorHAnsi"/>
          <w:color w:val="000000" w:themeColor="text1"/>
          <w:szCs w:val="24"/>
        </w:rPr>
        <w:t> 2013; </w:t>
      </w:r>
      <w:r w:rsidRPr="00FA094F">
        <w:rPr>
          <w:rFonts w:ascii="Book Antiqua" w:hAnsi="Book Antiqua" w:cstheme="minorHAnsi"/>
          <w:b/>
          <w:bCs/>
          <w:color w:val="000000" w:themeColor="text1"/>
          <w:szCs w:val="24"/>
        </w:rPr>
        <w:t>18</w:t>
      </w:r>
      <w:r w:rsidRPr="00FA094F">
        <w:rPr>
          <w:rFonts w:ascii="Book Antiqua" w:hAnsi="Book Antiqua" w:cstheme="minorHAnsi"/>
          <w:color w:val="000000" w:themeColor="text1"/>
          <w:szCs w:val="24"/>
        </w:rPr>
        <w:t>: 373-377 [PMID: 23581720 DOI: 10.1111/hel.12052]</w:t>
      </w:r>
    </w:p>
    <w:p w14:paraId="1039044D"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34 </w:t>
      </w:r>
      <w:r w:rsidRPr="00FA094F">
        <w:rPr>
          <w:rFonts w:ascii="Book Antiqua" w:hAnsi="Book Antiqua" w:cstheme="minorHAnsi"/>
          <w:b/>
          <w:bCs/>
          <w:color w:val="000000" w:themeColor="text1"/>
          <w:szCs w:val="24"/>
        </w:rPr>
        <w:t>Hsu PI</w:t>
      </w:r>
      <w:r w:rsidRPr="00FA094F">
        <w:rPr>
          <w:rFonts w:ascii="Book Antiqua" w:hAnsi="Book Antiqua" w:cstheme="minorHAnsi"/>
          <w:color w:val="000000" w:themeColor="text1"/>
          <w:szCs w:val="24"/>
        </w:rPr>
        <w:t>, Tsai FW, Kao SS, Hsu WH, Cheng JS, Peng NJ, Tsai KW, Hu HM, Wang YK, Chuah SK, Chen A, Wu DC. Ten-Day Quadruple Therapy Comprising Proton Pump Inhibitor, Bismuth, Tetracycline, and Levofloxacin is More Effective than Standard Levofloxacin Triple Therapy in the Second-Line Treatment of Helicobacter pylori Infection: A Randomized Controlled Trial. </w:t>
      </w:r>
      <w:r w:rsidRPr="00FA094F">
        <w:rPr>
          <w:rFonts w:ascii="Book Antiqua" w:hAnsi="Book Antiqua" w:cstheme="minorHAnsi"/>
          <w:i/>
          <w:iCs/>
          <w:color w:val="000000" w:themeColor="text1"/>
          <w:szCs w:val="24"/>
        </w:rPr>
        <w:t>Am J Gastroenterol</w:t>
      </w:r>
      <w:r w:rsidRPr="00FA094F">
        <w:rPr>
          <w:rFonts w:ascii="Book Antiqua" w:hAnsi="Book Antiqua" w:cstheme="minorHAnsi"/>
          <w:color w:val="000000" w:themeColor="text1"/>
          <w:szCs w:val="24"/>
        </w:rPr>
        <w:t> 2017; </w:t>
      </w:r>
      <w:r w:rsidRPr="00FA094F">
        <w:rPr>
          <w:rFonts w:ascii="Book Antiqua" w:hAnsi="Book Antiqua" w:cstheme="minorHAnsi"/>
          <w:b/>
          <w:bCs/>
          <w:color w:val="000000" w:themeColor="text1"/>
          <w:szCs w:val="24"/>
        </w:rPr>
        <w:t>112</w:t>
      </w:r>
      <w:r w:rsidRPr="00FA094F">
        <w:rPr>
          <w:rFonts w:ascii="Book Antiqua" w:hAnsi="Book Antiqua" w:cstheme="minorHAnsi"/>
          <w:color w:val="000000" w:themeColor="text1"/>
          <w:szCs w:val="24"/>
        </w:rPr>
        <w:t>: 1374-1381 [PMID: 28719592 DOI: 10.1038/ajg.2017.195]</w:t>
      </w:r>
    </w:p>
    <w:p w14:paraId="7666C933"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lastRenderedPageBreak/>
        <w:t>35 </w:t>
      </w:r>
      <w:r w:rsidRPr="00FA094F">
        <w:rPr>
          <w:rFonts w:ascii="Book Antiqua" w:hAnsi="Book Antiqua" w:cstheme="minorHAnsi"/>
          <w:b/>
          <w:bCs/>
          <w:color w:val="000000" w:themeColor="text1"/>
          <w:szCs w:val="24"/>
        </w:rPr>
        <w:t>Yang JC</w:t>
      </w:r>
      <w:r w:rsidRPr="00FA094F">
        <w:rPr>
          <w:rFonts w:ascii="Book Antiqua" w:hAnsi="Book Antiqua" w:cstheme="minorHAnsi"/>
          <w:color w:val="000000" w:themeColor="text1"/>
          <w:szCs w:val="24"/>
        </w:rPr>
        <w:t>, Lin CJ, Wang HL, Chen JD, Kao JY, Shun CT, Lu CW, Lin BR, Shieh MJ, Chang MC, Chang YT, Wei SC, Lin LC, Yeh WC, Kuo JS, Tung CC, Leong YL, Wang TH, Wong JM. High-dose dual therapy is superior to standard first-line or rescue therapy for Helicobacter pylori infection. </w:t>
      </w:r>
      <w:r w:rsidRPr="00FA094F">
        <w:rPr>
          <w:rFonts w:ascii="Book Antiqua" w:hAnsi="Book Antiqua" w:cstheme="minorHAnsi"/>
          <w:i/>
          <w:iCs/>
          <w:color w:val="000000" w:themeColor="text1"/>
          <w:szCs w:val="24"/>
        </w:rPr>
        <w:t>Clin Gastroenterol Hepatol</w:t>
      </w:r>
      <w:r w:rsidRPr="00FA094F">
        <w:rPr>
          <w:rFonts w:ascii="Book Antiqua" w:hAnsi="Book Antiqua" w:cstheme="minorHAnsi"/>
          <w:color w:val="000000" w:themeColor="text1"/>
          <w:szCs w:val="24"/>
        </w:rPr>
        <w:t> 2015; </w:t>
      </w:r>
      <w:r w:rsidRPr="00FA094F">
        <w:rPr>
          <w:rFonts w:ascii="Book Antiqua" w:hAnsi="Book Antiqua" w:cstheme="minorHAnsi"/>
          <w:b/>
          <w:bCs/>
          <w:color w:val="000000" w:themeColor="text1"/>
          <w:szCs w:val="24"/>
        </w:rPr>
        <w:t>13</w:t>
      </w:r>
      <w:r w:rsidRPr="00FA094F">
        <w:rPr>
          <w:rFonts w:ascii="Book Antiqua" w:hAnsi="Book Antiqua" w:cstheme="minorHAnsi"/>
          <w:color w:val="000000" w:themeColor="text1"/>
          <w:szCs w:val="24"/>
        </w:rPr>
        <w:t>: 895-905.e5 [PMID: 25460556 DOI: 10.1016/j.cgh.2014.10.036]</w:t>
      </w:r>
    </w:p>
    <w:p w14:paraId="60419174"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36 </w:t>
      </w:r>
      <w:r w:rsidRPr="00FA094F">
        <w:rPr>
          <w:rFonts w:ascii="Book Antiqua" w:hAnsi="Book Antiqua" w:cstheme="minorHAnsi"/>
          <w:b/>
          <w:bCs/>
          <w:color w:val="000000" w:themeColor="text1"/>
          <w:szCs w:val="24"/>
        </w:rPr>
        <w:t>Sugimoto M</w:t>
      </w:r>
      <w:r w:rsidRPr="00FA094F">
        <w:rPr>
          <w:rFonts w:ascii="Book Antiqua" w:hAnsi="Book Antiqua" w:cstheme="minorHAnsi"/>
          <w:color w:val="000000" w:themeColor="text1"/>
          <w:szCs w:val="24"/>
        </w:rPr>
        <w:t>, Furuta T, Shirai N, Kajimura M, Hishida A, Sakurai M, Ohashi K, Ishizaki T. Different dosage regimens of rabeprazole for nocturnal gastric acid inhibition in relation to cytochrome P450 2C19 genotype status. </w:t>
      </w:r>
      <w:r w:rsidRPr="00FA094F">
        <w:rPr>
          <w:rFonts w:ascii="Book Antiqua" w:hAnsi="Book Antiqua" w:cstheme="minorHAnsi"/>
          <w:i/>
          <w:iCs/>
          <w:color w:val="000000" w:themeColor="text1"/>
          <w:szCs w:val="24"/>
        </w:rPr>
        <w:t>Clin Pharmacol Ther</w:t>
      </w:r>
      <w:r w:rsidRPr="00FA094F">
        <w:rPr>
          <w:rFonts w:ascii="Book Antiqua" w:hAnsi="Book Antiqua" w:cstheme="minorHAnsi"/>
          <w:color w:val="000000" w:themeColor="text1"/>
          <w:szCs w:val="24"/>
        </w:rPr>
        <w:t> 2004; </w:t>
      </w:r>
      <w:r w:rsidRPr="00FA094F">
        <w:rPr>
          <w:rFonts w:ascii="Book Antiqua" w:hAnsi="Book Antiqua" w:cstheme="minorHAnsi"/>
          <w:b/>
          <w:bCs/>
          <w:color w:val="000000" w:themeColor="text1"/>
          <w:szCs w:val="24"/>
        </w:rPr>
        <w:t>76</w:t>
      </w:r>
      <w:r w:rsidRPr="00FA094F">
        <w:rPr>
          <w:rFonts w:ascii="Book Antiqua" w:hAnsi="Book Antiqua" w:cstheme="minorHAnsi"/>
          <w:color w:val="000000" w:themeColor="text1"/>
          <w:szCs w:val="24"/>
        </w:rPr>
        <w:t>: 290-301 [PMID: 15470328]</w:t>
      </w:r>
    </w:p>
    <w:p w14:paraId="4E75E695"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37 </w:t>
      </w:r>
      <w:r w:rsidRPr="00FA094F">
        <w:rPr>
          <w:rFonts w:ascii="Book Antiqua" w:hAnsi="Book Antiqua" w:cstheme="minorHAnsi"/>
          <w:b/>
          <w:bCs/>
          <w:color w:val="000000" w:themeColor="text1"/>
          <w:szCs w:val="24"/>
        </w:rPr>
        <w:t>Craig WA</w:t>
      </w:r>
      <w:r w:rsidRPr="00FA094F">
        <w:rPr>
          <w:rFonts w:ascii="Book Antiqua" w:hAnsi="Book Antiqua" w:cstheme="minorHAnsi"/>
          <w:color w:val="000000" w:themeColor="text1"/>
          <w:szCs w:val="24"/>
        </w:rPr>
        <w:t>. Pharmacokinetic/pharmacodynamic parameters: rationale for antibacterial dosing of mice and men. </w:t>
      </w:r>
      <w:r w:rsidRPr="00FA094F">
        <w:rPr>
          <w:rFonts w:ascii="Book Antiqua" w:hAnsi="Book Antiqua" w:cstheme="minorHAnsi"/>
          <w:i/>
          <w:iCs/>
          <w:color w:val="000000" w:themeColor="text1"/>
          <w:szCs w:val="24"/>
        </w:rPr>
        <w:t>Clin Infect Dis</w:t>
      </w:r>
      <w:r w:rsidRPr="00FA094F">
        <w:rPr>
          <w:rFonts w:ascii="Book Antiqua" w:hAnsi="Book Antiqua" w:cstheme="minorHAnsi"/>
          <w:color w:val="000000" w:themeColor="text1"/>
          <w:szCs w:val="24"/>
        </w:rPr>
        <w:t> 1998; </w:t>
      </w:r>
      <w:r w:rsidRPr="00FA094F">
        <w:rPr>
          <w:rFonts w:ascii="Book Antiqua" w:hAnsi="Book Antiqua" w:cstheme="minorHAnsi"/>
          <w:b/>
          <w:bCs/>
          <w:color w:val="000000" w:themeColor="text1"/>
          <w:szCs w:val="24"/>
        </w:rPr>
        <w:t>26</w:t>
      </w:r>
      <w:r w:rsidRPr="00FA094F">
        <w:rPr>
          <w:rFonts w:ascii="Book Antiqua" w:hAnsi="Book Antiqua" w:cstheme="minorHAnsi"/>
          <w:color w:val="000000" w:themeColor="text1"/>
          <w:szCs w:val="24"/>
        </w:rPr>
        <w:t>: 1-10; quiz 11-2 [PMID: 9455502]</w:t>
      </w:r>
    </w:p>
    <w:p w14:paraId="1C1BBAFF" w14:textId="77777777" w:rsidR="00FA094F" w:rsidRPr="00FA094F" w:rsidRDefault="00FA094F" w:rsidP="00FA094F">
      <w:pPr>
        <w:pStyle w:val="EndNoteBibliography"/>
        <w:adjustRightInd w:val="0"/>
        <w:snapToGrid w:val="0"/>
        <w:spacing w:line="360" w:lineRule="auto"/>
        <w:jc w:val="both"/>
        <w:rPr>
          <w:rFonts w:ascii="Book Antiqua" w:hAnsi="Book Antiqua" w:cstheme="minorHAnsi"/>
          <w:color w:val="000000" w:themeColor="text1"/>
          <w:szCs w:val="24"/>
        </w:rPr>
      </w:pPr>
      <w:r w:rsidRPr="00FA094F">
        <w:rPr>
          <w:rFonts w:ascii="Book Antiqua" w:hAnsi="Book Antiqua" w:cstheme="minorHAnsi"/>
          <w:color w:val="000000" w:themeColor="text1"/>
          <w:szCs w:val="24"/>
        </w:rPr>
        <w:t>38 </w:t>
      </w:r>
      <w:r w:rsidRPr="00FA094F">
        <w:rPr>
          <w:rFonts w:ascii="Book Antiqua" w:hAnsi="Book Antiqua" w:cstheme="minorHAnsi"/>
          <w:b/>
          <w:bCs/>
          <w:color w:val="000000" w:themeColor="text1"/>
          <w:szCs w:val="24"/>
        </w:rPr>
        <w:t>Miehlke S</w:t>
      </w:r>
      <w:r w:rsidRPr="00FA094F">
        <w:rPr>
          <w:rFonts w:ascii="Book Antiqua" w:hAnsi="Book Antiqua" w:cstheme="minorHAnsi"/>
          <w:color w:val="000000" w:themeColor="text1"/>
          <w:szCs w:val="24"/>
        </w:rPr>
        <w:t>, Kirsch C, Schneider-Brachert W, Haferland C, Neumeyer M, Bästlein E, Papke J, Jacobs E, Vieth M, Stolte M, Lehn N, Bayerdörffer E. A prospective, randomized study of quadruple therapy and high-dose dual therapy for treatment of Helicobacter pylori resistant to both metronidazole and clarithromycin. </w:t>
      </w:r>
      <w:r w:rsidRPr="00FA094F">
        <w:rPr>
          <w:rFonts w:ascii="Book Antiqua" w:hAnsi="Book Antiqua" w:cstheme="minorHAnsi"/>
          <w:i/>
          <w:iCs/>
          <w:color w:val="000000" w:themeColor="text1"/>
          <w:szCs w:val="24"/>
        </w:rPr>
        <w:t>Helicobacter</w:t>
      </w:r>
      <w:r w:rsidRPr="00FA094F">
        <w:rPr>
          <w:rFonts w:ascii="Book Antiqua" w:hAnsi="Book Antiqua" w:cstheme="minorHAnsi"/>
          <w:color w:val="000000" w:themeColor="text1"/>
          <w:szCs w:val="24"/>
        </w:rPr>
        <w:t> 2003; </w:t>
      </w:r>
      <w:r w:rsidRPr="00FA094F">
        <w:rPr>
          <w:rFonts w:ascii="Book Antiqua" w:hAnsi="Book Antiqua" w:cstheme="minorHAnsi"/>
          <w:b/>
          <w:bCs/>
          <w:color w:val="000000" w:themeColor="text1"/>
          <w:szCs w:val="24"/>
        </w:rPr>
        <w:t>8</w:t>
      </w:r>
      <w:r w:rsidRPr="00FA094F">
        <w:rPr>
          <w:rFonts w:ascii="Book Antiqua" w:hAnsi="Book Antiqua" w:cstheme="minorHAnsi"/>
          <w:color w:val="000000" w:themeColor="text1"/>
          <w:szCs w:val="24"/>
        </w:rPr>
        <w:t>: 310-319 [PMID: 12950604]</w:t>
      </w:r>
    </w:p>
    <w:p w14:paraId="36BC9DD3" w14:textId="33CD5D67" w:rsidR="00113990" w:rsidRDefault="00113990" w:rsidP="00413D75">
      <w:pPr>
        <w:pStyle w:val="EndNoteBibliography"/>
        <w:adjustRightInd w:val="0"/>
        <w:snapToGrid w:val="0"/>
        <w:spacing w:line="360" w:lineRule="auto"/>
        <w:jc w:val="both"/>
        <w:rPr>
          <w:rFonts w:ascii="Book Antiqua" w:hAnsi="Book Antiqua" w:cstheme="minorHAnsi"/>
          <w:color w:val="000000" w:themeColor="text1"/>
          <w:szCs w:val="24"/>
        </w:rPr>
      </w:pPr>
    </w:p>
    <w:p w14:paraId="30FF6289" w14:textId="3B20EB86" w:rsidR="00FA094F" w:rsidRDefault="00FA094F" w:rsidP="00FA094F">
      <w:pPr>
        <w:wordWrap w:val="0"/>
        <w:snapToGrid w:val="0"/>
        <w:spacing w:line="360" w:lineRule="auto"/>
        <w:jc w:val="right"/>
        <w:rPr>
          <w:rFonts w:ascii="Book Antiqua" w:hAnsi="Book Antiqua"/>
          <w:b/>
          <w:bCs/>
        </w:rPr>
      </w:pPr>
      <w:bookmarkStart w:id="14" w:name="OLE_LINK148"/>
      <w:bookmarkStart w:id="15" w:name="OLE_LINK320"/>
      <w:bookmarkStart w:id="16" w:name="OLE_LINK387"/>
      <w:bookmarkStart w:id="17" w:name="OLE_LINK254"/>
      <w:bookmarkStart w:id="18" w:name="OLE_LINK149"/>
      <w:bookmarkStart w:id="19" w:name="OLE_LINK225"/>
      <w:bookmarkStart w:id="20" w:name="OLE_LINK207"/>
      <w:bookmarkStart w:id="21" w:name="OLE_LINK226"/>
      <w:bookmarkStart w:id="22" w:name="OLE_LINK212"/>
      <w:bookmarkStart w:id="23" w:name="OLE_LINK250"/>
      <w:bookmarkStart w:id="24" w:name="OLE_LINK281"/>
      <w:bookmarkStart w:id="25" w:name="OLE_LINK282"/>
      <w:bookmarkStart w:id="26" w:name="OLE_LINK313"/>
      <w:bookmarkStart w:id="27" w:name="OLE_LINK304"/>
      <w:bookmarkStart w:id="28" w:name="OLE_LINK321"/>
      <w:bookmarkStart w:id="29" w:name="OLE_LINK385"/>
      <w:bookmarkStart w:id="30" w:name="OLE_LINK400"/>
      <w:bookmarkStart w:id="31" w:name="OLE_LINK346"/>
      <w:bookmarkStart w:id="32" w:name="OLE_LINK371"/>
      <w:bookmarkStart w:id="33" w:name="OLE_LINK334"/>
      <w:bookmarkStart w:id="34" w:name="OLE_LINK1830"/>
      <w:bookmarkStart w:id="35" w:name="OLE_LINK457"/>
      <w:bookmarkStart w:id="36" w:name="OLE_LINK288"/>
      <w:bookmarkStart w:id="37" w:name="OLE_LINK384"/>
      <w:bookmarkStart w:id="38" w:name="OLE_LINK379"/>
      <w:bookmarkStart w:id="39" w:name="OLE_LINK303"/>
      <w:bookmarkStart w:id="40" w:name="OLE_LINK450"/>
      <w:bookmarkStart w:id="41" w:name="OLE_LINK489"/>
      <w:bookmarkStart w:id="42" w:name="OLE_LINK535"/>
      <w:bookmarkStart w:id="43" w:name="OLE_LINK648"/>
      <w:bookmarkStart w:id="44" w:name="OLE_LINK686"/>
      <w:bookmarkStart w:id="45" w:name="OLE_LINK471"/>
      <w:bookmarkStart w:id="46" w:name="OLE_LINK462"/>
      <w:bookmarkStart w:id="47" w:name="OLE_LINK519"/>
      <w:bookmarkStart w:id="48" w:name="OLE_LINK575"/>
      <w:bookmarkStart w:id="49" w:name="OLE_LINK491"/>
      <w:bookmarkStart w:id="50" w:name="OLE_LINK532"/>
      <w:bookmarkStart w:id="51" w:name="OLE_LINK572"/>
      <w:bookmarkStart w:id="52" w:name="OLE_LINK574"/>
      <w:bookmarkStart w:id="53" w:name="OLE_LINK480"/>
      <w:bookmarkStart w:id="54" w:name="OLE_LINK567"/>
      <w:bookmarkStart w:id="55" w:name="OLE_LINK2700"/>
      <w:bookmarkStart w:id="56" w:name="OLE_LINK581"/>
      <w:bookmarkStart w:id="57" w:name="OLE_LINK639"/>
      <w:bookmarkStart w:id="58" w:name="OLE_LINK688"/>
      <w:bookmarkStart w:id="59" w:name="OLE_LINK722"/>
      <w:bookmarkStart w:id="60" w:name="OLE_LINK542"/>
      <w:bookmarkStart w:id="61" w:name="OLE_LINK589"/>
      <w:bookmarkStart w:id="62" w:name="OLE_LINK582"/>
      <w:bookmarkStart w:id="63" w:name="OLE_LINK640"/>
      <w:bookmarkStart w:id="64" w:name="OLE_LINK714"/>
      <w:bookmarkStart w:id="65" w:name="OLE_LINK593"/>
      <w:bookmarkStart w:id="66" w:name="OLE_LINK716"/>
      <w:bookmarkStart w:id="67" w:name="OLE_LINK770"/>
      <w:bookmarkStart w:id="68" w:name="OLE_LINK801"/>
      <w:bookmarkStart w:id="69" w:name="OLE_LINK660"/>
      <w:bookmarkStart w:id="70" w:name="OLE_LINK781"/>
      <w:bookmarkStart w:id="71" w:name="OLE_LINK833"/>
      <w:bookmarkStart w:id="72" w:name="OLE_LINK642"/>
      <w:bookmarkStart w:id="73" w:name="OLE_LINK700"/>
      <w:bookmarkStart w:id="74" w:name="OLE_LINK792"/>
      <w:bookmarkStart w:id="75" w:name="OLE_LINK2882"/>
      <w:bookmarkStart w:id="76" w:name="OLE_LINK836"/>
      <w:bookmarkStart w:id="77" w:name="OLE_LINK889"/>
      <w:bookmarkStart w:id="78" w:name="OLE_LINK782"/>
      <w:bookmarkStart w:id="79" w:name="OLE_LINK826"/>
      <w:bookmarkStart w:id="80" w:name="OLE_LINK865"/>
      <w:bookmarkStart w:id="81" w:name="OLE_LINK856"/>
      <w:bookmarkStart w:id="82" w:name="OLE_LINK908"/>
      <w:bookmarkStart w:id="83" w:name="OLE_LINK980"/>
      <w:bookmarkStart w:id="84" w:name="OLE_LINK1018"/>
      <w:bookmarkStart w:id="85" w:name="OLE_LINK1049"/>
      <w:bookmarkStart w:id="86" w:name="OLE_LINK1076"/>
      <w:bookmarkStart w:id="87" w:name="OLE_LINK1106"/>
      <w:bookmarkStart w:id="88" w:name="OLE_LINK891"/>
      <w:bookmarkStart w:id="89" w:name="OLE_LINK943"/>
      <w:bookmarkStart w:id="90" w:name="OLE_LINK981"/>
      <w:bookmarkStart w:id="91" w:name="OLE_LINK1030"/>
      <w:bookmarkStart w:id="92" w:name="OLE_LINK847"/>
      <w:bookmarkStart w:id="93" w:name="OLE_LINK909"/>
      <w:bookmarkStart w:id="94" w:name="OLE_LINK906"/>
      <w:bookmarkStart w:id="95" w:name="OLE_LINK992"/>
      <w:bookmarkStart w:id="96" w:name="OLE_LINK993"/>
      <w:bookmarkStart w:id="97" w:name="OLE_LINK1052"/>
      <w:bookmarkStart w:id="98" w:name="OLE_LINK946"/>
      <w:bookmarkStart w:id="99" w:name="OLE_LINK911"/>
      <w:bookmarkStart w:id="100" w:name="OLE_LINK930"/>
      <w:bookmarkStart w:id="101" w:name="OLE_LINK1059"/>
      <w:bookmarkStart w:id="102" w:name="OLE_LINK1174"/>
      <w:bookmarkStart w:id="103" w:name="OLE_LINK1137"/>
      <w:bookmarkStart w:id="104" w:name="OLE_LINK1167"/>
      <w:bookmarkStart w:id="105" w:name="OLE_LINK1200"/>
      <w:bookmarkStart w:id="106" w:name="OLE_LINK1241"/>
      <w:bookmarkStart w:id="107" w:name="OLE_LINK1288"/>
      <w:bookmarkStart w:id="108" w:name="OLE_LINK1056"/>
      <w:bookmarkStart w:id="109" w:name="OLE_LINK1158"/>
      <w:bookmarkStart w:id="110" w:name="OLE_LINK1175"/>
      <w:bookmarkStart w:id="111" w:name="OLE_LINK1074"/>
      <w:bookmarkStart w:id="112" w:name="OLE_LINK1169"/>
      <w:r w:rsidRPr="004F57C6">
        <w:rPr>
          <w:rFonts w:ascii="Book Antiqua" w:hAnsi="Book Antiqua"/>
          <w:b/>
          <w:bCs/>
        </w:rPr>
        <w:t>P-Reviewer:</w:t>
      </w:r>
      <w:r w:rsidRPr="004F57C6">
        <w:rPr>
          <w:rFonts w:ascii="Book Antiqua" w:hAnsi="Book Antiqua" w:hint="eastAsia"/>
          <w:b/>
          <w:bCs/>
        </w:rPr>
        <w:t xml:space="preserve"> </w:t>
      </w:r>
      <w:r w:rsidRPr="00FA094F">
        <w:rPr>
          <w:rFonts w:ascii="Book Antiqua" w:hAnsi="Book Antiqua"/>
          <w:bCs/>
        </w:rPr>
        <w:t>Nishida</w:t>
      </w:r>
      <w:r>
        <w:rPr>
          <w:rFonts w:ascii="Book Antiqua" w:hAnsi="Book Antiqua"/>
          <w:bCs/>
        </w:rPr>
        <w:t xml:space="preserve"> T, </w:t>
      </w:r>
      <w:r w:rsidRPr="00FA094F">
        <w:rPr>
          <w:rFonts w:ascii="Book Antiqua" w:hAnsi="Book Antiqua"/>
          <w:bCs/>
        </w:rPr>
        <w:t>Suzuki</w:t>
      </w:r>
      <w:r>
        <w:rPr>
          <w:rFonts w:ascii="Book Antiqua" w:hAnsi="Book Antiqua"/>
          <w:bCs/>
        </w:rPr>
        <w:t xml:space="preserve"> H</w:t>
      </w:r>
    </w:p>
    <w:p w14:paraId="5073FCA8" w14:textId="77777777" w:rsidR="00FA094F" w:rsidRPr="0053246E" w:rsidRDefault="00FA094F" w:rsidP="00FA094F">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0CB09F89" w14:textId="77777777" w:rsidR="00FA094F" w:rsidRPr="004F57C6" w:rsidRDefault="00FA094F" w:rsidP="00FA094F">
      <w:pPr>
        <w:shd w:val="clear" w:color="auto" w:fill="FFFFFF"/>
        <w:snapToGrid w:val="0"/>
        <w:spacing w:line="360" w:lineRule="auto"/>
        <w:jc w:val="both"/>
        <w:rPr>
          <w:rFonts w:ascii="Book Antiqua" w:hAnsi="Book Antiqua" w:cs="Helvetica"/>
          <w:b/>
        </w:rPr>
      </w:pPr>
      <w:bookmarkStart w:id="113" w:name="OLE_LINK880"/>
      <w:bookmarkStart w:id="114" w:name="OLE_LINK88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6EE510D3" w14:textId="65DD1A5A" w:rsidR="00FA094F" w:rsidRPr="004F57C6" w:rsidRDefault="00FA094F" w:rsidP="00FA094F">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Taiwan</w:t>
      </w:r>
    </w:p>
    <w:p w14:paraId="64C3687C" w14:textId="77777777" w:rsidR="00FA094F" w:rsidRPr="004F57C6" w:rsidRDefault="00FA094F" w:rsidP="00FA094F">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378C4460" w14:textId="77777777" w:rsidR="00FA094F" w:rsidRPr="004F57C6" w:rsidRDefault="00FA094F" w:rsidP="00FA094F">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1B27DCDC" w14:textId="07430E3C" w:rsidR="00FA094F" w:rsidRPr="004F57C6" w:rsidRDefault="00FA094F" w:rsidP="00FA094F">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r>
        <w:rPr>
          <w:rFonts w:ascii="Book Antiqua" w:hAnsi="Book Antiqua" w:cs="Helvetica"/>
        </w:rPr>
        <w:t>, B</w:t>
      </w:r>
    </w:p>
    <w:p w14:paraId="6350B06C" w14:textId="7D4CD2E1" w:rsidR="00FA094F" w:rsidRPr="004F57C6" w:rsidRDefault="00FA094F" w:rsidP="00FA094F">
      <w:pPr>
        <w:shd w:val="clear" w:color="auto" w:fill="FFFFFF"/>
        <w:snapToGrid w:val="0"/>
        <w:spacing w:line="360" w:lineRule="auto"/>
        <w:jc w:val="both"/>
        <w:rPr>
          <w:rFonts w:ascii="Book Antiqua" w:hAnsi="Book Antiqua" w:cs="Helvetica"/>
        </w:rPr>
      </w:pPr>
      <w:r w:rsidRPr="004F57C6">
        <w:rPr>
          <w:rFonts w:ascii="Book Antiqua" w:hAnsi="Book Antiqua" w:cs="Helvetica"/>
        </w:rPr>
        <w:t>Grade C (Good):</w:t>
      </w:r>
      <w:r>
        <w:rPr>
          <w:rFonts w:ascii="Book Antiqua" w:hAnsi="Book Antiqua" w:cs="Helvetica"/>
        </w:rPr>
        <w:t>0</w:t>
      </w:r>
    </w:p>
    <w:p w14:paraId="298D0A89" w14:textId="77777777" w:rsidR="00FA094F" w:rsidRPr="004F57C6" w:rsidRDefault="00FA094F" w:rsidP="00FA094F">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364024D5" w14:textId="1BAA8452" w:rsidR="00FA094F" w:rsidRPr="00FA094F" w:rsidRDefault="00FA094F" w:rsidP="00FA094F">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113"/>
      <w:bookmarkEnd w:id="114"/>
    </w:p>
    <w:p w14:paraId="7CFF72E1" w14:textId="77777777" w:rsidR="0077485C" w:rsidRPr="00413D75" w:rsidRDefault="00977880" w:rsidP="00413D75">
      <w:pPr>
        <w:widowControl/>
        <w:adjustRightInd w:val="0"/>
        <w:snapToGrid w:val="0"/>
        <w:spacing w:line="360" w:lineRule="auto"/>
        <w:jc w:val="both"/>
        <w:rPr>
          <w:rFonts w:ascii="Book Antiqua" w:hAnsi="Book Antiqua" w:cstheme="minorHAnsi"/>
          <w:color w:val="000000" w:themeColor="text1"/>
          <w:szCs w:val="24"/>
        </w:rPr>
        <w:sectPr w:rsidR="0077485C" w:rsidRPr="00413D75" w:rsidSect="00FE2FBE">
          <w:footerReference w:type="default" r:id="rId10"/>
          <w:pgSz w:w="11906" w:h="16838"/>
          <w:pgMar w:top="1440" w:right="1800" w:bottom="1440" w:left="1800" w:header="851" w:footer="992" w:gutter="0"/>
          <w:cols w:space="425"/>
          <w:docGrid w:type="lines" w:linePitch="360"/>
        </w:sectPr>
      </w:pPr>
      <w:r w:rsidRPr="00413D75">
        <w:rPr>
          <w:rFonts w:ascii="Book Antiqua" w:hAnsi="Book Antiqua" w:cstheme="minorHAnsi"/>
          <w:color w:val="000000" w:themeColor="text1"/>
          <w:szCs w:val="24"/>
        </w:rPr>
        <w:br w:type="page"/>
      </w:r>
    </w:p>
    <w:p w14:paraId="6EE709A9" w14:textId="36C37125" w:rsidR="00977880" w:rsidRPr="00413D75" w:rsidRDefault="00FA094F" w:rsidP="00413D75">
      <w:pPr>
        <w:widowControl/>
        <w:adjustRightInd w:val="0"/>
        <w:snapToGrid w:val="0"/>
        <w:spacing w:line="360" w:lineRule="auto"/>
        <w:jc w:val="both"/>
        <w:rPr>
          <w:rFonts w:ascii="Book Antiqua" w:hAnsi="Book Antiqua" w:cstheme="minorHAnsi"/>
          <w:noProof/>
          <w:color w:val="000000" w:themeColor="text1"/>
          <w:szCs w:val="24"/>
        </w:rPr>
      </w:pPr>
      <w:r>
        <w:rPr>
          <w:rFonts w:ascii="Book Antiqua" w:hAnsi="Book Antiqua" w:cstheme="minorHAnsi"/>
          <w:b/>
          <w:color w:val="000000" w:themeColor="text1"/>
          <w:szCs w:val="24"/>
        </w:rPr>
        <w:lastRenderedPageBreak/>
        <w:t>Table</w:t>
      </w:r>
      <w:r w:rsidRPr="00413D75">
        <w:rPr>
          <w:rFonts w:ascii="Book Antiqua" w:hAnsi="Book Antiqua" w:cstheme="minorHAnsi"/>
          <w:b/>
          <w:color w:val="000000" w:themeColor="text1"/>
          <w:szCs w:val="24"/>
        </w:rPr>
        <w:t xml:space="preserve"> 1</w:t>
      </w:r>
      <w:r w:rsidRPr="00413D75">
        <w:rPr>
          <w:rFonts w:ascii="Book Antiqua" w:hAnsi="Book Antiqua" w:cstheme="minorHAnsi"/>
          <w:color w:val="000000" w:themeColor="text1"/>
          <w:szCs w:val="24"/>
        </w:rPr>
        <w:t xml:space="preserve"> </w:t>
      </w:r>
      <w:r w:rsidRPr="00413D75">
        <w:rPr>
          <w:rFonts w:ascii="Book Antiqua" w:hAnsi="Book Antiqua" w:cstheme="minorHAnsi"/>
          <w:b/>
          <w:color w:val="000000" w:themeColor="text1"/>
          <w:szCs w:val="24"/>
        </w:rPr>
        <w:t>Regimens for second-line anti-</w:t>
      </w:r>
      <w:r w:rsidRPr="00413D75">
        <w:rPr>
          <w:rFonts w:ascii="Book Antiqua" w:hAnsi="Book Antiqua" w:cstheme="minorHAnsi"/>
          <w:b/>
          <w:i/>
          <w:color w:val="000000" w:themeColor="text1"/>
          <w:szCs w:val="24"/>
        </w:rPr>
        <w:t>Helicobacter pylori</w:t>
      </w:r>
      <w:r w:rsidRPr="00413D75">
        <w:rPr>
          <w:rFonts w:ascii="Book Antiqua" w:hAnsi="Book Antiqua" w:cstheme="minorHAnsi"/>
          <w:b/>
          <w:color w:val="000000" w:themeColor="text1"/>
          <w:szCs w:val="24"/>
        </w:rPr>
        <w:t xml:space="preserve"> therapy</w:t>
      </w:r>
    </w:p>
    <w:tbl>
      <w:tblPr>
        <w:tblW w:w="14400" w:type="dxa"/>
        <w:tblBorders>
          <w:top w:val="single" w:sz="4" w:space="0" w:color="auto"/>
          <w:left w:val="single" w:sz="8" w:space="0" w:color="FFFFFF"/>
          <w:bottom w:val="single" w:sz="4" w:space="0" w:color="auto"/>
          <w:right w:val="single" w:sz="8" w:space="0" w:color="FFFFFF"/>
          <w:insideH w:val="single" w:sz="8" w:space="0" w:color="000000" w:themeColor="text1"/>
          <w:insideV w:val="single" w:sz="8" w:space="0" w:color="FFFFFF"/>
        </w:tblBorders>
        <w:tblCellMar>
          <w:left w:w="0" w:type="dxa"/>
          <w:right w:w="0" w:type="dxa"/>
        </w:tblCellMar>
        <w:tblLook w:val="0600" w:firstRow="0" w:lastRow="0" w:firstColumn="0" w:lastColumn="0" w:noHBand="1" w:noVBand="1"/>
      </w:tblPr>
      <w:tblGrid>
        <w:gridCol w:w="4127"/>
        <w:gridCol w:w="1473"/>
        <w:gridCol w:w="1479"/>
        <w:gridCol w:w="1474"/>
        <w:gridCol w:w="1278"/>
        <w:gridCol w:w="1277"/>
        <w:gridCol w:w="1279"/>
        <w:gridCol w:w="2013"/>
      </w:tblGrid>
      <w:tr w:rsidR="00F334C7" w:rsidRPr="00666592" w14:paraId="56161932" w14:textId="77777777" w:rsidTr="00E54AD2">
        <w:trPr>
          <w:trHeight w:val="538"/>
        </w:trPr>
        <w:tc>
          <w:tcPr>
            <w:tcW w:w="4140" w:type="dxa"/>
            <w:vMerge w:val="restart"/>
            <w:shd w:val="clear" w:color="auto" w:fill="auto"/>
            <w:tcMar>
              <w:top w:w="15" w:type="dxa"/>
              <w:left w:w="15" w:type="dxa"/>
              <w:bottom w:w="0" w:type="dxa"/>
              <w:right w:w="15" w:type="dxa"/>
            </w:tcMar>
            <w:vAlign w:val="center"/>
            <w:hideMark/>
          </w:tcPr>
          <w:p w14:paraId="48DBC16B" w14:textId="77777777" w:rsidR="00666592" w:rsidRPr="00666592" w:rsidRDefault="00666592" w:rsidP="00666592">
            <w:pPr>
              <w:pStyle w:val="ListParagraph"/>
              <w:adjustRightInd w:val="0"/>
              <w:snapToGrid w:val="0"/>
              <w:spacing w:line="360" w:lineRule="auto"/>
              <w:jc w:val="both"/>
              <w:rPr>
                <w:rFonts w:ascii="Book Antiqua" w:hAnsi="Book Antiqua" w:cstheme="minorHAnsi"/>
                <w:b/>
                <w:color w:val="000000" w:themeColor="text1"/>
                <w:szCs w:val="24"/>
              </w:rPr>
            </w:pPr>
            <w:r w:rsidRPr="00666592">
              <w:rPr>
                <w:rFonts w:ascii="Book Antiqua" w:hAnsi="Book Antiqua" w:cstheme="minorHAnsi"/>
                <w:b/>
                <w:bCs/>
                <w:color w:val="000000" w:themeColor="text1"/>
                <w:szCs w:val="24"/>
              </w:rPr>
              <w:t>Regimen</w:t>
            </w:r>
          </w:p>
        </w:tc>
        <w:tc>
          <w:tcPr>
            <w:tcW w:w="8260" w:type="dxa"/>
            <w:gridSpan w:val="6"/>
            <w:shd w:val="clear" w:color="auto" w:fill="auto"/>
            <w:tcMar>
              <w:top w:w="15" w:type="dxa"/>
              <w:left w:w="15" w:type="dxa"/>
              <w:bottom w:w="0" w:type="dxa"/>
              <w:right w:w="15" w:type="dxa"/>
            </w:tcMar>
            <w:hideMark/>
          </w:tcPr>
          <w:p w14:paraId="31981118"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bCs/>
                <w:color w:val="000000" w:themeColor="text1"/>
                <w:szCs w:val="24"/>
              </w:rPr>
              <w:t>Drug</w:t>
            </w:r>
          </w:p>
        </w:tc>
        <w:tc>
          <w:tcPr>
            <w:tcW w:w="2020" w:type="dxa"/>
            <w:vMerge w:val="restart"/>
            <w:shd w:val="clear" w:color="auto" w:fill="auto"/>
            <w:tcMar>
              <w:top w:w="15" w:type="dxa"/>
              <w:left w:w="15" w:type="dxa"/>
              <w:bottom w:w="0" w:type="dxa"/>
              <w:right w:w="15" w:type="dxa"/>
            </w:tcMar>
            <w:vAlign w:val="center"/>
            <w:hideMark/>
          </w:tcPr>
          <w:p w14:paraId="31D49CC9" w14:textId="48726D60"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bCs/>
                <w:color w:val="000000" w:themeColor="text1"/>
                <w:szCs w:val="24"/>
              </w:rPr>
              <w:t>Duration of</w:t>
            </w:r>
          </w:p>
          <w:p w14:paraId="448FA768"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bCs/>
                <w:color w:val="000000" w:themeColor="text1"/>
                <w:szCs w:val="24"/>
              </w:rPr>
              <w:t>Therapy</w:t>
            </w:r>
          </w:p>
        </w:tc>
      </w:tr>
      <w:tr w:rsidR="00FA0996" w:rsidRPr="00666592" w14:paraId="307F6F3A" w14:textId="77777777" w:rsidTr="00E54AD2">
        <w:trPr>
          <w:trHeight w:val="380"/>
        </w:trPr>
        <w:tc>
          <w:tcPr>
            <w:tcW w:w="0" w:type="auto"/>
            <w:vMerge/>
            <w:shd w:val="clear" w:color="auto" w:fill="auto"/>
            <w:vAlign w:val="center"/>
            <w:hideMark/>
          </w:tcPr>
          <w:p w14:paraId="28D179E4" w14:textId="77777777" w:rsidR="00666592" w:rsidRPr="00666592" w:rsidRDefault="00666592" w:rsidP="00666592">
            <w:pPr>
              <w:pStyle w:val="ListParagraph"/>
              <w:adjustRightInd w:val="0"/>
              <w:snapToGrid w:val="0"/>
              <w:spacing w:line="360" w:lineRule="auto"/>
              <w:jc w:val="both"/>
              <w:rPr>
                <w:rFonts w:ascii="Book Antiqua" w:hAnsi="Book Antiqua" w:cstheme="minorHAnsi"/>
                <w:b/>
                <w:color w:val="000000" w:themeColor="text1"/>
                <w:szCs w:val="24"/>
              </w:rPr>
            </w:pPr>
          </w:p>
        </w:tc>
        <w:tc>
          <w:tcPr>
            <w:tcW w:w="1480" w:type="dxa"/>
            <w:shd w:val="clear" w:color="auto" w:fill="auto"/>
            <w:tcMar>
              <w:top w:w="15" w:type="dxa"/>
              <w:left w:w="15" w:type="dxa"/>
              <w:bottom w:w="0" w:type="dxa"/>
              <w:right w:w="15" w:type="dxa"/>
            </w:tcMar>
            <w:vAlign w:val="center"/>
            <w:hideMark/>
          </w:tcPr>
          <w:p w14:paraId="073DFACB"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color w:val="000000" w:themeColor="text1"/>
                <w:szCs w:val="24"/>
              </w:rPr>
              <w:t>PPI</w:t>
            </w:r>
          </w:p>
        </w:tc>
        <w:tc>
          <w:tcPr>
            <w:tcW w:w="1480" w:type="dxa"/>
            <w:shd w:val="clear" w:color="auto" w:fill="auto"/>
            <w:tcMar>
              <w:top w:w="15" w:type="dxa"/>
              <w:left w:w="15" w:type="dxa"/>
              <w:bottom w:w="0" w:type="dxa"/>
              <w:right w:w="15" w:type="dxa"/>
            </w:tcMar>
            <w:vAlign w:val="center"/>
            <w:hideMark/>
          </w:tcPr>
          <w:p w14:paraId="6FCB04DA"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color w:val="000000" w:themeColor="text1"/>
                <w:szCs w:val="24"/>
              </w:rPr>
              <w:t>Bismuth</w:t>
            </w:r>
          </w:p>
        </w:tc>
        <w:tc>
          <w:tcPr>
            <w:tcW w:w="1480" w:type="dxa"/>
            <w:shd w:val="clear" w:color="auto" w:fill="auto"/>
            <w:tcMar>
              <w:top w:w="15" w:type="dxa"/>
              <w:left w:w="15" w:type="dxa"/>
              <w:bottom w:w="0" w:type="dxa"/>
              <w:right w:w="15" w:type="dxa"/>
            </w:tcMar>
            <w:vAlign w:val="center"/>
            <w:hideMark/>
          </w:tcPr>
          <w:p w14:paraId="5A86077F"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color w:val="000000" w:themeColor="text1"/>
                <w:szCs w:val="24"/>
              </w:rPr>
              <w:t>Levo</w:t>
            </w:r>
          </w:p>
        </w:tc>
        <w:tc>
          <w:tcPr>
            <w:tcW w:w="1280" w:type="dxa"/>
            <w:shd w:val="clear" w:color="auto" w:fill="auto"/>
            <w:tcMar>
              <w:top w:w="15" w:type="dxa"/>
              <w:left w:w="15" w:type="dxa"/>
              <w:bottom w:w="0" w:type="dxa"/>
              <w:right w:w="15" w:type="dxa"/>
            </w:tcMar>
            <w:vAlign w:val="center"/>
            <w:hideMark/>
          </w:tcPr>
          <w:p w14:paraId="62DA66FB"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color w:val="000000" w:themeColor="text1"/>
                <w:szCs w:val="24"/>
              </w:rPr>
              <w:t>Amox</w:t>
            </w:r>
          </w:p>
        </w:tc>
        <w:tc>
          <w:tcPr>
            <w:tcW w:w="1280" w:type="dxa"/>
            <w:shd w:val="clear" w:color="auto" w:fill="auto"/>
            <w:tcMar>
              <w:top w:w="15" w:type="dxa"/>
              <w:left w:w="15" w:type="dxa"/>
              <w:bottom w:w="0" w:type="dxa"/>
              <w:right w:w="15" w:type="dxa"/>
            </w:tcMar>
            <w:vAlign w:val="center"/>
            <w:hideMark/>
          </w:tcPr>
          <w:p w14:paraId="6FAD8ED6"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color w:val="000000" w:themeColor="text1"/>
                <w:szCs w:val="24"/>
              </w:rPr>
              <w:t>Tetra</w:t>
            </w:r>
          </w:p>
        </w:tc>
        <w:tc>
          <w:tcPr>
            <w:tcW w:w="1280" w:type="dxa"/>
            <w:shd w:val="clear" w:color="auto" w:fill="auto"/>
            <w:tcMar>
              <w:top w:w="15" w:type="dxa"/>
              <w:left w:w="15" w:type="dxa"/>
              <w:bottom w:w="0" w:type="dxa"/>
              <w:right w:w="15" w:type="dxa"/>
            </w:tcMar>
            <w:vAlign w:val="center"/>
            <w:hideMark/>
          </w:tcPr>
          <w:p w14:paraId="704D97E8"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r w:rsidRPr="00666592">
              <w:rPr>
                <w:rFonts w:ascii="Book Antiqua" w:hAnsi="Book Antiqua" w:cstheme="minorHAnsi"/>
                <w:b/>
                <w:color w:val="000000" w:themeColor="text1"/>
                <w:szCs w:val="24"/>
              </w:rPr>
              <w:t>Metro</w:t>
            </w:r>
          </w:p>
        </w:tc>
        <w:tc>
          <w:tcPr>
            <w:tcW w:w="0" w:type="auto"/>
            <w:vMerge/>
            <w:shd w:val="clear" w:color="auto" w:fill="auto"/>
            <w:vAlign w:val="center"/>
            <w:hideMark/>
          </w:tcPr>
          <w:p w14:paraId="6BC99C56" w14:textId="77777777" w:rsidR="00666592" w:rsidRPr="00666592" w:rsidRDefault="00666592" w:rsidP="00F334C7">
            <w:pPr>
              <w:pStyle w:val="ListParagraph"/>
              <w:adjustRightInd w:val="0"/>
              <w:snapToGrid w:val="0"/>
              <w:spacing w:line="360" w:lineRule="auto"/>
              <w:jc w:val="center"/>
              <w:rPr>
                <w:rFonts w:ascii="Book Antiqua" w:hAnsi="Book Antiqua" w:cstheme="minorHAnsi"/>
                <w:b/>
                <w:color w:val="000000" w:themeColor="text1"/>
                <w:szCs w:val="24"/>
              </w:rPr>
            </w:pPr>
          </w:p>
        </w:tc>
      </w:tr>
      <w:tr w:rsidR="00FA0996" w:rsidRPr="00666592" w14:paraId="5FACFC0C" w14:textId="77777777" w:rsidTr="0050506B">
        <w:trPr>
          <w:trHeight w:val="755"/>
        </w:trPr>
        <w:tc>
          <w:tcPr>
            <w:tcW w:w="4140" w:type="dxa"/>
            <w:shd w:val="clear" w:color="auto" w:fill="auto"/>
            <w:tcMar>
              <w:top w:w="15" w:type="dxa"/>
              <w:left w:w="15" w:type="dxa"/>
              <w:bottom w:w="0" w:type="dxa"/>
              <w:right w:w="15" w:type="dxa"/>
            </w:tcMar>
            <w:vAlign w:val="center"/>
            <w:hideMark/>
          </w:tcPr>
          <w:p w14:paraId="23DAD1C6"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Bismuth-containing </w:t>
            </w:r>
          </w:p>
          <w:p w14:paraId="1CAE5A45"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quadruple therapy</w:t>
            </w:r>
          </w:p>
        </w:tc>
        <w:tc>
          <w:tcPr>
            <w:tcW w:w="1480" w:type="dxa"/>
            <w:shd w:val="clear" w:color="auto" w:fill="auto"/>
            <w:tcMar>
              <w:top w:w="15" w:type="dxa"/>
              <w:left w:w="15" w:type="dxa"/>
              <w:bottom w:w="0" w:type="dxa"/>
              <w:right w:w="15" w:type="dxa"/>
            </w:tcMar>
            <w:vAlign w:val="center"/>
            <w:hideMark/>
          </w:tcPr>
          <w:p w14:paraId="67C9CB87"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SD,</w:t>
            </w:r>
          </w:p>
          <w:p w14:paraId="4391D84E" w14:textId="6AC99CF0" w:rsidR="00666592" w:rsidRPr="00F334C7" w:rsidRDefault="00F334C7" w:rsidP="00F334C7">
            <w:pPr>
              <w:pStyle w:val="ListParagraph"/>
              <w:adjustRightInd w:val="0"/>
              <w:snapToGrid w:val="0"/>
              <w:spacing w:line="360" w:lineRule="auto"/>
              <w:jc w:val="center"/>
              <w:rPr>
                <w:rFonts w:ascii="Book Antiqua" w:hAnsi="Book Antiqua" w:cstheme="minorHAnsi"/>
                <w:i/>
                <w:color w:val="000000" w:themeColor="text1"/>
                <w:szCs w:val="24"/>
              </w:rPr>
            </w:pPr>
            <w:r>
              <w:rPr>
                <w:rFonts w:ascii="Book Antiqua" w:hAnsi="Book Antiqua" w:cstheme="minorHAnsi"/>
                <w:i/>
                <w:color w:val="000000" w:themeColor="text1"/>
                <w:szCs w:val="24"/>
              </w:rPr>
              <w:t>b.i.d.</w:t>
            </w:r>
          </w:p>
        </w:tc>
        <w:tc>
          <w:tcPr>
            <w:tcW w:w="1480" w:type="dxa"/>
            <w:shd w:val="clear" w:color="auto" w:fill="auto"/>
            <w:tcMar>
              <w:top w:w="15" w:type="dxa"/>
              <w:left w:w="15" w:type="dxa"/>
              <w:bottom w:w="0" w:type="dxa"/>
              <w:right w:w="15" w:type="dxa"/>
            </w:tcMar>
            <w:vAlign w:val="center"/>
            <w:hideMark/>
          </w:tcPr>
          <w:p w14:paraId="4D23EF25" w14:textId="68DADF01"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120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769A2ADE" w14:textId="52BF7F41" w:rsidR="00666592" w:rsidRPr="00F334C7" w:rsidRDefault="00F334C7" w:rsidP="00F334C7">
            <w:pPr>
              <w:pStyle w:val="ListParagraph"/>
              <w:adjustRightInd w:val="0"/>
              <w:snapToGrid w:val="0"/>
              <w:spacing w:line="360" w:lineRule="auto"/>
              <w:jc w:val="center"/>
              <w:rPr>
                <w:rFonts w:ascii="Book Antiqua" w:hAnsi="Book Antiqua" w:cstheme="minorHAnsi"/>
                <w:i/>
                <w:color w:val="000000" w:themeColor="text1"/>
                <w:szCs w:val="24"/>
              </w:rPr>
            </w:pPr>
            <w:r w:rsidRPr="00F334C7">
              <w:rPr>
                <w:rFonts w:ascii="Book Antiqua" w:hAnsi="Book Antiqua" w:cstheme="minorHAnsi"/>
                <w:i/>
                <w:color w:val="000000" w:themeColor="text1"/>
                <w:szCs w:val="24"/>
              </w:rPr>
              <w:t>q.i.d.</w:t>
            </w:r>
          </w:p>
        </w:tc>
        <w:tc>
          <w:tcPr>
            <w:tcW w:w="1480" w:type="dxa"/>
            <w:shd w:val="clear" w:color="auto" w:fill="auto"/>
            <w:tcMar>
              <w:top w:w="15" w:type="dxa"/>
              <w:left w:w="15" w:type="dxa"/>
              <w:bottom w:w="0" w:type="dxa"/>
              <w:right w:w="15" w:type="dxa"/>
            </w:tcMar>
            <w:vAlign w:val="center"/>
            <w:hideMark/>
          </w:tcPr>
          <w:p w14:paraId="136B6AFB" w14:textId="2FAA0F1E"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280" w:type="dxa"/>
            <w:shd w:val="clear" w:color="auto" w:fill="auto"/>
            <w:tcMar>
              <w:top w:w="15" w:type="dxa"/>
              <w:left w:w="15" w:type="dxa"/>
              <w:bottom w:w="0" w:type="dxa"/>
              <w:right w:w="15" w:type="dxa"/>
            </w:tcMar>
            <w:vAlign w:val="center"/>
            <w:hideMark/>
          </w:tcPr>
          <w:p w14:paraId="1AF3DB0E" w14:textId="2A12BF00"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280" w:type="dxa"/>
            <w:shd w:val="clear" w:color="auto" w:fill="auto"/>
            <w:tcMar>
              <w:top w:w="15" w:type="dxa"/>
              <w:left w:w="15" w:type="dxa"/>
              <w:bottom w:w="0" w:type="dxa"/>
              <w:right w:w="15" w:type="dxa"/>
            </w:tcMar>
            <w:vAlign w:val="center"/>
            <w:hideMark/>
          </w:tcPr>
          <w:p w14:paraId="18276096" w14:textId="2C363952"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500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39B10C52" w14:textId="3702276F"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i/>
                <w:color w:val="000000" w:themeColor="text1"/>
                <w:szCs w:val="24"/>
              </w:rPr>
              <w:t>q.i.d.</w:t>
            </w:r>
          </w:p>
        </w:tc>
        <w:tc>
          <w:tcPr>
            <w:tcW w:w="1280" w:type="dxa"/>
            <w:shd w:val="clear" w:color="auto" w:fill="auto"/>
            <w:tcMar>
              <w:top w:w="15" w:type="dxa"/>
              <w:left w:w="15" w:type="dxa"/>
              <w:bottom w:w="0" w:type="dxa"/>
              <w:right w:w="15" w:type="dxa"/>
            </w:tcMar>
            <w:vAlign w:val="center"/>
            <w:hideMark/>
          </w:tcPr>
          <w:p w14:paraId="5832779C" w14:textId="55F1D81C"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500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23238300" w14:textId="7733B450" w:rsidR="00666592" w:rsidRPr="00F334C7" w:rsidRDefault="00F334C7" w:rsidP="00F334C7">
            <w:pPr>
              <w:pStyle w:val="ListParagraph"/>
              <w:adjustRightInd w:val="0"/>
              <w:snapToGrid w:val="0"/>
              <w:spacing w:line="360" w:lineRule="auto"/>
              <w:jc w:val="center"/>
              <w:rPr>
                <w:rFonts w:ascii="Book Antiqua" w:hAnsi="Book Antiqua" w:cstheme="minorHAnsi"/>
                <w:i/>
                <w:color w:val="000000" w:themeColor="text1"/>
                <w:szCs w:val="24"/>
              </w:rPr>
            </w:pPr>
            <w:r>
              <w:rPr>
                <w:rFonts w:ascii="Book Antiqua" w:hAnsi="Book Antiqua" w:cstheme="minorHAnsi"/>
                <w:i/>
                <w:color w:val="000000" w:themeColor="text1"/>
                <w:szCs w:val="24"/>
              </w:rPr>
              <w:t>t.i.d.</w:t>
            </w:r>
          </w:p>
        </w:tc>
        <w:tc>
          <w:tcPr>
            <w:tcW w:w="2020" w:type="dxa"/>
            <w:shd w:val="clear" w:color="auto" w:fill="auto"/>
            <w:tcMar>
              <w:top w:w="15" w:type="dxa"/>
              <w:left w:w="15" w:type="dxa"/>
              <w:bottom w:w="0" w:type="dxa"/>
              <w:right w:w="15" w:type="dxa"/>
            </w:tcMar>
            <w:vAlign w:val="center"/>
            <w:hideMark/>
          </w:tcPr>
          <w:p w14:paraId="24655CFC" w14:textId="39FC9A1E"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10-14 d</w:t>
            </w:r>
          </w:p>
        </w:tc>
      </w:tr>
      <w:tr w:rsidR="00FA0996" w:rsidRPr="00666592" w14:paraId="2BE69A4D" w14:textId="77777777" w:rsidTr="00E54AD2">
        <w:trPr>
          <w:trHeight w:val="674"/>
        </w:trPr>
        <w:tc>
          <w:tcPr>
            <w:tcW w:w="4140" w:type="dxa"/>
            <w:shd w:val="clear" w:color="auto" w:fill="auto"/>
            <w:tcMar>
              <w:top w:w="15" w:type="dxa"/>
              <w:left w:w="15" w:type="dxa"/>
              <w:bottom w:w="0" w:type="dxa"/>
              <w:right w:w="15" w:type="dxa"/>
            </w:tcMar>
            <w:vAlign w:val="center"/>
            <w:hideMark/>
          </w:tcPr>
          <w:p w14:paraId="0A4E43A9"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Levofloxacin-containing </w:t>
            </w:r>
          </w:p>
          <w:p w14:paraId="77866210"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triple therapy</w:t>
            </w:r>
          </w:p>
        </w:tc>
        <w:tc>
          <w:tcPr>
            <w:tcW w:w="1480" w:type="dxa"/>
            <w:shd w:val="clear" w:color="auto" w:fill="auto"/>
            <w:tcMar>
              <w:top w:w="15" w:type="dxa"/>
              <w:left w:w="15" w:type="dxa"/>
              <w:bottom w:w="0" w:type="dxa"/>
              <w:right w:w="15" w:type="dxa"/>
            </w:tcMar>
            <w:vAlign w:val="center"/>
            <w:hideMark/>
          </w:tcPr>
          <w:p w14:paraId="796CFE70"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SD,</w:t>
            </w:r>
          </w:p>
          <w:p w14:paraId="656A0DFD" w14:textId="68EB9D2E"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Pr>
                <w:rFonts w:ascii="Book Antiqua" w:hAnsi="Book Antiqua" w:cstheme="minorHAnsi"/>
                <w:i/>
                <w:color w:val="000000" w:themeColor="text1"/>
                <w:szCs w:val="24"/>
              </w:rPr>
              <w:t>b.i.d.</w:t>
            </w:r>
          </w:p>
        </w:tc>
        <w:tc>
          <w:tcPr>
            <w:tcW w:w="1480" w:type="dxa"/>
            <w:shd w:val="clear" w:color="auto" w:fill="auto"/>
            <w:tcMar>
              <w:top w:w="15" w:type="dxa"/>
              <w:left w:w="15" w:type="dxa"/>
              <w:bottom w:w="0" w:type="dxa"/>
              <w:right w:w="15" w:type="dxa"/>
            </w:tcMar>
            <w:vAlign w:val="center"/>
            <w:hideMark/>
          </w:tcPr>
          <w:p w14:paraId="30A79421" w14:textId="3741BBDB"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480" w:type="dxa"/>
            <w:shd w:val="clear" w:color="auto" w:fill="auto"/>
            <w:tcMar>
              <w:top w:w="15" w:type="dxa"/>
              <w:left w:w="15" w:type="dxa"/>
              <w:bottom w:w="0" w:type="dxa"/>
              <w:right w:w="15" w:type="dxa"/>
            </w:tcMar>
            <w:vAlign w:val="center"/>
            <w:hideMark/>
          </w:tcPr>
          <w:p w14:paraId="27EA7B13" w14:textId="2AB1329D"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500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69804D82" w14:textId="2DAA274B" w:rsidR="00666592" w:rsidRPr="00F334C7" w:rsidRDefault="00F334C7" w:rsidP="00F334C7">
            <w:pPr>
              <w:pStyle w:val="ListParagraph"/>
              <w:adjustRightInd w:val="0"/>
              <w:snapToGrid w:val="0"/>
              <w:spacing w:line="360" w:lineRule="auto"/>
              <w:jc w:val="center"/>
              <w:rPr>
                <w:rFonts w:ascii="Book Antiqua" w:hAnsi="Book Antiqua" w:cstheme="minorHAnsi"/>
                <w:i/>
                <w:color w:val="000000" w:themeColor="text1"/>
                <w:szCs w:val="24"/>
              </w:rPr>
            </w:pPr>
            <w:r>
              <w:rPr>
                <w:rFonts w:ascii="Book Antiqua" w:hAnsi="Book Antiqua" w:cstheme="minorHAnsi"/>
                <w:i/>
                <w:color w:val="000000" w:themeColor="text1"/>
                <w:szCs w:val="24"/>
              </w:rPr>
              <w:t>q.d.</w:t>
            </w:r>
          </w:p>
        </w:tc>
        <w:tc>
          <w:tcPr>
            <w:tcW w:w="1280" w:type="dxa"/>
            <w:shd w:val="clear" w:color="auto" w:fill="auto"/>
            <w:tcMar>
              <w:top w:w="15" w:type="dxa"/>
              <w:left w:w="15" w:type="dxa"/>
              <w:bottom w:w="0" w:type="dxa"/>
              <w:right w:w="15" w:type="dxa"/>
            </w:tcMar>
            <w:vAlign w:val="center"/>
            <w:hideMark/>
          </w:tcPr>
          <w:p w14:paraId="7A2A6A9C" w14:textId="6AEF6FF9"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g,</w:t>
            </w:r>
          </w:p>
          <w:p w14:paraId="4848E293" w14:textId="5AC1ABD8"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Pr>
                <w:rFonts w:ascii="Book Antiqua" w:hAnsi="Book Antiqua" w:cstheme="minorHAnsi"/>
                <w:i/>
                <w:color w:val="000000" w:themeColor="text1"/>
                <w:szCs w:val="24"/>
              </w:rPr>
              <w:t>b.i.d.</w:t>
            </w:r>
          </w:p>
        </w:tc>
        <w:tc>
          <w:tcPr>
            <w:tcW w:w="1280" w:type="dxa"/>
            <w:shd w:val="clear" w:color="auto" w:fill="auto"/>
            <w:tcMar>
              <w:top w:w="15" w:type="dxa"/>
              <w:left w:w="15" w:type="dxa"/>
              <w:bottom w:w="0" w:type="dxa"/>
              <w:right w:w="15" w:type="dxa"/>
            </w:tcMar>
            <w:vAlign w:val="center"/>
            <w:hideMark/>
          </w:tcPr>
          <w:p w14:paraId="2F28FDA4" w14:textId="6FD09BD2"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280" w:type="dxa"/>
            <w:shd w:val="clear" w:color="auto" w:fill="auto"/>
            <w:tcMar>
              <w:top w:w="15" w:type="dxa"/>
              <w:left w:w="15" w:type="dxa"/>
              <w:bottom w:w="0" w:type="dxa"/>
              <w:right w:w="15" w:type="dxa"/>
            </w:tcMar>
            <w:vAlign w:val="center"/>
            <w:hideMark/>
          </w:tcPr>
          <w:p w14:paraId="5297470E"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2020" w:type="dxa"/>
            <w:shd w:val="clear" w:color="auto" w:fill="auto"/>
            <w:tcMar>
              <w:top w:w="15" w:type="dxa"/>
              <w:left w:w="15" w:type="dxa"/>
              <w:bottom w:w="0" w:type="dxa"/>
              <w:right w:w="15" w:type="dxa"/>
            </w:tcMar>
            <w:vAlign w:val="center"/>
            <w:hideMark/>
          </w:tcPr>
          <w:p w14:paraId="108DD30F" w14:textId="7EA79379"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10-14 d</w:t>
            </w:r>
          </w:p>
        </w:tc>
      </w:tr>
      <w:tr w:rsidR="00FA0996" w:rsidRPr="00666592" w14:paraId="11248261" w14:textId="77777777" w:rsidTr="00E54AD2">
        <w:trPr>
          <w:trHeight w:val="319"/>
        </w:trPr>
        <w:tc>
          <w:tcPr>
            <w:tcW w:w="4140" w:type="dxa"/>
            <w:shd w:val="clear" w:color="auto" w:fill="auto"/>
            <w:tcMar>
              <w:top w:w="15" w:type="dxa"/>
              <w:left w:w="15" w:type="dxa"/>
              <w:bottom w:w="0" w:type="dxa"/>
              <w:right w:w="15" w:type="dxa"/>
            </w:tcMar>
            <w:vAlign w:val="center"/>
            <w:hideMark/>
          </w:tcPr>
          <w:p w14:paraId="48BA4A1F"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Levofloxacin-amoxicillin </w:t>
            </w:r>
          </w:p>
          <w:p w14:paraId="2DBA7269"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quadruple therapy</w:t>
            </w:r>
          </w:p>
        </w:tc>
        <w:tc>
          <w:tcPr>
            <w:tcW w:w="1480" w:type="dxa"/>
            <w:shd w:val="clear" w:color="auto" w:fill="auto"/>
            <w:tcMar>
              <w:top w:w="15" w:type="dxa"/>
              <w:left w:w="15" w:type="dxa"/>
              <w:bottom w:w="0" w:type="dxa"/>
              <w:right w:w="15" w:type="dxa"/>
            </w:tcMar>
            <w:vAlign w:val="center"/>
            <w:hideMark/>
          </w:tcPr>
          <w:p w14:paraId="64C3F63E"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SD,</w:t>
            </w:r>
          </w:p>
          <w:p w14:paraId="4CCA8908" w14:textId="058887D4"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Pr>
                <w:rFonts w:ascii="Book Antiqua" w:hAnsi="Book Antiqua" w:cstheme="minorHAnsi"/>
                <w:i/>
                <w:color w:val="000000" w:themeColor="text1"/>
                <w:szCs w:val="24"/>
              </w:rPr>
              <w:t>b.i.d.</w:t>
            </w:r>
          </w:p>
        </w:tc>
        <w:tc>
          <w:tcPr>
            <w:tcW w:w="1480" w:type="dxa"/>
            <w:shd w:val="clear" w:color="auto" w:fill="auto"/>
            <w:tcMar>
              <w:top w:w="15" w:type="dxa"/>
              <w:left w:w="15" w:type="dxa"/>
              <w:bottom w:w="0" w:type="dxa"/>
              <w:right w:w="15" w:type="dxa"/>
            </w:tcMar>
            <w:vAlign w:val="center"/>
            <w:hideMark/>
          </w:tcPr>
          <w:p w14:paraId="10F7CFF3" w14:textId="30F6AA45"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120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0DF1612A" w14:textId="33C9DDA8"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i/>
                <w:color w:val="000000" w:themeColor="text1"/>
                <w:szCs w:val="24"/>
              </w:rPr>
              <w:t>q.i.d.</w:t>
            </w:r>
          </w:p>
        </w:tc>
        <w:tc>
          <w:tcPr>
            <w:tcW w:w="1480" w:type="dxa"/>
            <w:shd w:val="clear" w:color="auto" w:fill="auto"/>
            <w:tcMar>
              <w:top w:w="15" w:type="dxa"/>
              <w:left w:w="15" w:type="dxa"/>
              <w:bottom w:w="0" w:type="dxa"/>
              <w:right w:w="15" w:type="dxa"/>
            </w:tcMar>
            <w:vAlign w:val="center"/>
            <w:hideMark/>
          </w:tcPr>
          <w:p w14:paraId="00295178" w14:textId="67F85920"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500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4C270777" w14:textId="17CC411C" w:rsidR="00666592" w:rsidRPr="00F334C7" w:rsidRDefault="00F334C7" w:rsidP="00F334C7">
            <w:pPr>
              <w:pStyle w:val="ListParagraph"/>
              <w:adjustRightInd w:val="0"/>
              <w:snapToGrid w:val="0"/>
              <w:spacing w:line="360" w:lineRule="auto"/>
              <w:jc w:val="center"/>
              <w:rPr>
                <w:rFonts w:ascii="Book Antiqua" w:hAnsi="Book Antiqua" w:cstheme="minorHAnsi"/>
                <w:i/>
                <w:color w:val="000000" w:themeColor="text1"/>
                <w:szCs w:val="24"/>
              </w:rPr>
            </w:pPr>
            <w:r>
              <w:rPr>
                <w:rFonts w:ascii="Book Antiqua" w:hAnsi="Book Antiqua" w:cstheme="minorHAnsi"/>
                <w:i/>
                <w:color w:val="000000" w:themeColor="text1"/>
                <w:szCs w:val="24"/>
              </w:rPr>
              <w:t>q.d.</w:t>
            </w:r>
          </w:p>
        </w:tc>
        <w:tc>
          <w:tcPr>
            <w:tcW w:w="1280" w:type="dxa"/>
            <w:shd w:val="clear" w:color="auto" w:fill="auto"/>
            <w:tcMar>
              <w:top w:w="15" w:type="dxa"/>
              <w:left w:w="15" w:type="dxa"/>
              <w:bottom w:w="0" w:type="dxa"/>
              <w:right w:w="15" w:type="dxa"/>
            </w:tcMar>
            <w:vAlign w:val="center"/>
            <w:hideMark/>
          </w:tcPr>
          <w:p w14:paraId="105633C8" w14:textId="3D8013F1"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g,</w:t>
            </w:r>
          </w:p>
          <w:p w14:paraId="560D2F76" w14:textId="71926354"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Pr>
                <w:rFonts w:ascii="Book Antiqua" w:hAnsi="Book Antiqua" w:cstheme="minorHAnsi"/>
                <w:i/>
                <w:color w:val="000000" w:themeColor="text1"/>
                <w:szCs w:val="24"/>
              </w:rPr>
              <w:t>b.i.d.</w:t>
            </w:r>
          </w:p>
        </w:tc>
        <w:tc>
          <w:tcPr>
            <w:tcW w:w="1280" w:type="dxa"/>
            <w:shd w:val="clear" w:color="auto" w:fill="auto"/>
            <w:tcMar>
              <w:top w:w="15" w:type="dxa"/>
              <w:left w:w="15" w:type="dxa"/>
              <w:bottom w:w="0" w:type="dxa"/>
              <w:right w:w="15" w:type="dxa"/>
            </w:tcMar>
            <w:vAlign w:val="center"/>
            <w:hideMark/>
          </w:tcPr>
          <w:p w14:paraId="52E2975C" w14:textId="01EEF0F6"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280" w:type="dxa"/>
            <w:shd w:val="clear" w:color="auto" w:fill="auto"/>
            <w:tcMar>
              <w:top w:w="15" w:type="dxa"/>
              <w:left w:w="15" w:type="dxa"/>
              <w:bottom w:w="0" w:type="dxa"/>
              <w:right w:w="15" w:type="dxa"/>
            </w:tcMar>
            <w:vAlign w:val="center"/>
            <w:hideMark/>
          </w:tcPr>
          <w:p w14:paraId="59D587ED"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2020" w:type="dxa"/>
            <w:shd w:val="clear" w:color="auto" w:fill="auto"/>
            <w:tcMar>
              <w:top w:w="15" w:type="dxa"/>
              <w:left w:w="15" w:type="dxa"/>
              <w:bottom w:w="0" w:type="dxa"/>
              <w:right w:w="15" w:type="dxa"/>
            </w:tcMar>
            <w:vAlign w:val="center"/>
            <w:hideMark/>
          </w:tcPr>
          <w:p w14:paraId="6FCC7153" w14:textId="7589CCEE"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10-14 d</w:t>
            </w:r>
          </w:p>
        </w:tc>
      </w:tr>
      <w:tr w:rsidR="00FA0996" w:rsidRPr="00666592" w14:paraId="07637210" w14:textId="77777777" w:rsidTr="00E54AD2">
        <w:trPr>
          <w:trHeight w:val="942"/>
        </w:trPr>
        <w:tc>
          <w:tcPr>
            <w:tcW w:w="4140" w:type="dxa"/>
            <w:shd w:val="clear" w:color="auto" w:fill="auto"/>
            <w:tcMar>
              <w:top w:w="15" w:type="dxa"/>
              <w:left w:w="15" w:type="dxa"/>
              <w:bottom w:w="0" w:type="dxa"/>
              <w:right w:w="15" w:type="dxa"/>
            </w:tcMar>
            <w:vAlign w:val="center"/>
            <w:hideMark/>
          </w:tcPr>
          <w:p w14:paraId="40AA7537"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Tetracycline-levofloxacin</w:t>
            </w:r>
          </w:p>
          <w:p w14:paraId="665F9EBD"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quadruple therapy</w:t>
            </w:r>
          </w:p>
        </w:tc>
        <w:tc>
          <w:tcPr>
            <w:tcW w:w="1480" w:type="dxa"/>
            <w:shd w:val="clear" w:color="auto" w:fill="auto"/>
            <w:tcMar>
              <w:top w:w="15" w:type="dxa"/>
              <w:left w:w="15" w:type="dxa"/>
              <w:bottom w:w="0" w:type="dxa"/>
              <w:right w:w="15" w:type="dxa"/>
            </w:tcMar>
            <w:vAlign w:val="center"/>
            <w:hideMark/>
          </w:tcPr>
          <w:p w14:paraId="7D5997BE"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SD,</w:t>
            </w:r>
          </w:p>
          <w:p w14:paraId="711F411E" w14:textId="5C347836"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Pr>
                <w:rFonts w:ascii="Book Antiqua" w:hAnsi="Book Antiqua" w:cstheme="minorHAnsi"/>
                <w:i/>
                <w:color w:val="000000" w:themeColor="text1"/>
                <w:szCs w:val="24"/>
              </w:rPr>
              <w:t>b.i.d.</w:t>
            </w:r>
          </w:p>
        </w:tc>
        <w:tc>
          <w:tcPr>
            <w:tcW w:w="1480" w:type="dxa"/>
            <w:shd w:val="clear" w:color="auto" w:fill="auto"/>
            <w:tcMar>
              <w:top w:w="15" w:type="dxa"/>
              <w:left w:w="15" w:type="dxa"/>
              <w:bottom w:w="0" w:type="dxa"/>
              <w:right w:w="15" w:type="dxa"/>
            </w:tcMar>
            <w:vAlign w:val="center"/>
            <w:hideMark/>
          </w:tcPr>
          <w:p w14:paraId="571207B8" w14:textId="11EA7C35"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120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69BF065E" w14:textId="31BDAD5B"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i/>
                <w:color w:val="000000" w:themeColor="text1"/>
                <w:szCs w:val="24"/>
              </w:rPr>
              <w:t>q.i.d.</w:t>
            </w:r>
          </w:p>
        </w:tc>
        <w:tc>
          <w:tcPr>
            <w:tcW w:w="1480" w:type="dxa"/>
            <w:shd w:val="clear" w:color="auto" w:fill="auto"/>
            <w:tcMar>
              <w:top w:w="15" w:type="dxa"/>
              <w:left w:w="15" w:type="dxa"/>
              <w:bottom w:w="0" w:type="dxa"/>
              <w:right w:w="15" w:type="dxa"/>
            </w:tcMar>
            <w:vAlign w:val="center"/>
            <w:hideMark/>
          </w:tcPr>
          <w:p w14:paraId="60642CE6" w14:textId="6BABB719"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500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7E1B4AD8" w14:textId="76E7FF82" w:rsidR="00666592" w:rsidRPr="00F334C7" w:rsidRDefault="00F334C7" w:rsidP="00F334C7">
            <w:pPr>
              <w:pStyle w:val="ListParagraph"/>
              <w:adjustRightInd w:val="0"/>
              <w:snapToGrid w:val="0"/>
              <w:spacing w:line="360" w:lineRule="auto"/>
              <w:jc w:val="center"/>
              <w:rPr>
                <w:rFonts w:ascii="Book Antiqua" w:hAnsi="Book Antiqua" w:cstheme="minorHAnsi"/>
                <w:i/>
                <w:color w:val="000000" w:themeColor="text1"/>
                <w:szCs w:val="24"/>
              </w:rPr>
            </w:pPr>
            <w:r>
              <w:rPr>
                <w:rFonts w:ascii="Book Antiqua" w:hAnsi="Book Antiqua" w:cstheme="minorHAnsi"/>
                <w:i/>
                <w:color w:val="000000" w:themeColor="text1"/>
                <w:szCs w:val="24"/>
              </w:rPr>
              <w:t>q.d.</w:t>
            </w:r>
          </w:p>
        </w:tc>
        <w:tc>
          <w:tcPr>
            <w:tcW w:w="1280" w:type="dxa"/>
            <w:shd w:val="clear" w:color="auto" w:fill="auto"/>
            <w:tcMar>
              <w:top w:w="15" w:type="dxa"/>
              <w:left w:w="15" w:type="dxa"/>
              <w:bottom w:w="0" w:type="dxa"/>
              <w:right w:w="15" w:type="dxa"/>
            </w:tcMar>
            <w:vAlign w:val="center"/>
            <w:hideMark/>
          </w:tcPr>
          <w:p w14:paraId="781331C2" w14:textId="469EC351"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280" w:type="dxa"/>
            <w:shd w:val="clear" w:color="auto" w:fill="auto"/>
            <w:tcMar>
              <w:top w:w="15" w:type="dxa"/>
              <w:left w:w="15" w:type="dxa"/>
              <w:bottom w:w="0" w:type="dxa"/>
              <w:right w:w="15" w:type="dxa"/>
            </w:tcMar>
            <w:vAlign w:val="center"/>
            <w:hideMark/>
          </w:tcPr>
          <w:p w14:paraId="1368D1E5" w14:textId="359C1C9D"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500</w:t>
            </w:r>
            <w:r w:rsid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3748FFC1" w14:textId="31A55EC5"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i/>
                <w:color w:val="000000" w:themeColor="text1"/>
                <w:szCs w:val="24"/>
              </w:rPr>
              <w:t>q.i.d.</w:t>
            </w:r>
          </w:p>
        </w:tc>
        <w:tc>
          <w:tcPr>
            <w:tcW w:w="1280" w:type="dxa"/>
            <w:shd w:val="clear" w:color="auto" w:fill="auto"/>
            <w:tcMar>
              <w:top w:w="15" w:type="dxa"/>
              <w:left w:w="15" w:type="dxa"/>
              <w:bottom w:w="0" w:type="dxa"/>
              <w:right w:w="15" w:type="dxa"/>
            </w:tcMar>
            <w:vAlign w:val="center"/>
            <w:hideMark/>
          </w:tcPr>
          <w:p w14:paraId="0688667C"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2020" w:type="dxa"/>
            <w:shd w:val="clear" w:color="auto" w:fill="auto"/>
            <w:tcMar>
              <w:top w:w="15" w:type="dxa"/>
              <w:left w:w="15" w:type="dxa"/>
              <w:bottom w:w="0" w:type="dxa"/>
              <w:right w:w="15" w:type="dxa"/>
            </w:tcMar>
            <w:vAlign w:val="center"/>
            <w:hideMark/>
          </w:tcPr>
          <w:p w14:paraId="39D04E95" w14:textId="3A28C09F"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10 d</w:t>
            </w:r>
          </w:p>
        </w:tc>
      </w:tr>
      <w:tr w:rsidR="00FA0996" w:rsidRPr="00F334C7" w14:paraId="6CA670B2" w14:textId="77777777" w:rsidTr="00E54AD2">
        <w:trPr>
          <w:trHeight w:val="565"/>
        </w:trPr>
        <w:tc>
          <w:tcPr>
            <w:tcW w:w="4140" w:type="dxa"/>
            <w:shd w:val="clear" w:color="auto" w:fill="auto"/>
            <w:tcMar>
              <w:top w:w="15" w:type="dxa"/>
              <w:left w:w="15" w:type="dxa"/>
              <w:bottom w:w="0" w:type="dxa"/>
              <w:right w:w="15" w:type="dxa"/>
            </w:tcMar>
            <w:vAlign w:val="center"/>
            <w:hideMark/>
          </w:tcPr>
          <w:p w14:paraId="0D1B91AE" w14:textId="77777777" w:rsidR="00666592" w:rsidRPr="00F334C7" w:rsidRDefault="00666592" w:rsidP="00666592">
            <w:pPr>
              <w:pStyle w:val="ListParagraph"/>
              <w:adjustRightInd w:val="0"/>
              <w:snapToGrid w:val="0"/>
              <w:spacing w:line="360" w:lineRule="auto"/>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 xml:space="preserve"> High-dose dual therapy</w:t>
            </w:r>
          </w:p>
        </w:tc>
        <w:tc>
          <w:tcPr>
            <w:tcW w:w="1480" w:type="dxa"/>
            <w:shd w:val="clear" w:color="auto" w:fill="auto"/>
            <w:tcMar>
              <w:top w:w="15" w:type="dxa"/>
              <w:left w:w="15" w:type="dxa"/>
              <w:bottom w:w="0" w:type="dxa"/>
              <w:right w:w="15" w:type="dxa"/>
            </w:tcMar>
            <w:vAlign w:val="center"/>
            <w:hideMark/>
          </w:tcPr>
          <w:p w14:paraId="75B066B9"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SD,</w:t>
            </w:r>
          </w:p>
          <w:p w14:paraId="0B61AEFC" w14:textId="0C2CA69C"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i/>
                <w:color w:val="000000" w:themeColor="text1"/>
                <w:szCs w:val="24"/>
              </w:rPr>
              <w:t>q.i.d.</w:t>
            </w:r>
          </w:p>
        </w:tc>
        <w:tc>
          <w:tcPr>
            <w:tcW w:w="1480" w:type="dxa"/>
            <w:shd w:val="clear" w:color="auto" w:fill="auto"/>
            <w:tcMar>
              <w:top w:w="15" w:type="dxa"/>
              <w:left w:w="15" w:type="dxa"/>
              <w:bottom w:w="0" w:type="dxa"/>
              <w:right w:w="15" w:type="dxa"/>
            </w:tcMar>
            <w:vAlign w:val="center"/>
            <w:hideMark/>
          </w:tcPr>
          <w:p w14:paraId="3D82C30D"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480" w:type="dxa"/>
            <w:shd w:val="clear" w:color="auto" w:fill="auto"/>
            <w:tcMar>
              <w:top w:w="15" w:type="dxa"/>
              <w:left w:w="15" w:type="dxa"/>
              <w:bottom w:w="0" w:type="dxa"/>
              <w:right w:w="15" w:type="dxa"/>
            </w:tcMar>
            <w:vAlign w:val="center"/>
            <w:hideMark/>
          </w:tcPr>
          <w:p w14:paraId="5C81AAD4"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280" w:type="dxa"/>
            <w:shd w:val="clear" w:color="auto" w:fill="auto"/>
            <w:tcMar>
              <w:top w:w="15" w:type="dxa"/>
              <w:left w:w="15" w:type="dxa"/>
              <w:bottom w:w="0" w:type="dxa"/>
              <w:right w:w="15" w:type="dxa"/>
            </w:tcMar>
            <w:vAlign w:val="center"/>
            <w:hideMark/>
          </w:tcPr>
          <w:p w14:paraId="75837070" w14:textId="4102877B"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750</w:t>
            </w:r>
            <w:r w:rsidR="00F334C7" w:rsidRPr="00F334C7">
              <w:rPr>
                <w:rFonts w:ascii="Book Antiqua" w:hAnsi="Book Antiqua" w:cstheme="minorHAnsi"/>
                <w:color w:val="000000" w:themeColor="text1"/>
                <w:szCs w:val="24"/>
              </w:rPr>
              <w:t xml:space="preserve"> </w:t>
            </w:r>
            <w:r w:rsidRPr="00F334C7">
              <w:rPr>
                <w:rFonts w:ascii="Book Antiqua" w:hAnsi="Book Antiqua" w:cstheme="minorHAnsi"/>
                <w:color w:val="000000" w:themeColor="text1"/>
                <w:szCs w:val="24"/>
              </w:rPr>
              <w:t>mg,</w:t>
            </w:r>
          </w:p>
          <w:p w14:paraId="4E7D6855" w14:textId="3AA59882" w:rsidR="00666592" w:rsidRPr="00F334C7" w:rsidRDefault="00F334C7"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i/>
                <w:color w:val="000000" w:themeColor="text1"/>
                <w:szCs w:val="24"/>
              </w:rPr>
              <w:t>b.i.d.</w:t>
            </w:r>
          </w:p>
        </w:tc>
        <w:tc>
          <w:tcPr>
            <w:tcW w:w="1280" w:type="dxa"/>
            <w:shd w:val="clear" w:color="auto" w:fill="auto"/>
            <w:tcMar>
              <w:top w:w="15" w:type="dxa"/>
              <w:left w:w="15" w:type="dxa"/>
              <w:bottom w:w="0" w:type="dxa"/>
              <w:right w:w="15" w:type="dxa"/>
            </w:tcMar>
            <w:vAlign w:val="center"/>
            <w:hideMark/>
          </w:tcPr>
          <w:p w14:paraId="3C18513B" w14:textId="53B7CBE0"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1280" w:type="dxa"/>
            <w:shd w:val="clear" w:color="auto" w:fill="auto"/>
            <w:tcMar>
              <w:top w:w="15" w:type="dxa"/>
              <w:left w:w="15" w:type="dxa"/>
              <w:bottom w:w="0" w:type="dxa"/>
              <w:right w:w="15" w:type="dxa"/>
            </w:tcMar>
            <w:vAlign w:val="center"/>
            <w:hideMark/>
          </w:tcPr>
          <w:p w14:paraId="0BF121CC" w14:textId="77777777"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p>
        </w:tc>
        <w:tc>
          <w:tcPr>
            <w:tcW w:w="2020" w:type="dxa"/>
            <w:shd w:val="clear" w:color="auto" w:fill="auto"/>
            <w:tcMar>
              <w:top w:w="15" w:type="dxa"/>
              <w:left w:w="15" w:type="dxa"/>
              <w:bottom w:w="0" w:type="dxa"/>
              <w:right w:w="15" w:type="dxa"/>
            </w:tcMar>
            <w:vAlign w:val="center"/>
            <w:hideMark/>
          </w:tcPr>
          <w:p w14:paraId="3CAA4F06" w14:textId="1914485C" w:rsidR="00666592" w:rsidRPr="00F334C7" w:rsidRDefault="00666592" w:rsidP="00F334C7">
            <w:pPr>
              <w:pStyle w:val="ListParagraph"/>
              <w:adjustRightInd w:val="0"/>
              <w:snapToGrid w:val="0"/>
              <w:spacing w:line="360" w:lineRule="auto"/>
              <w:jc w:val="center"/>
              <w:rPr>
                <w:rFonts w:ascii="Book Antiqua" w:hAnsi="Book Antiqua" w:cstheme="minorHAnsi"/>
                <w:color w:val="000000" w:themeColor="text1"/>
                <w:szCs w:val="24"/>
              </w:rPr>
            </w:pPr>
            <w:r w:rsidRPr="00F334C7">
              <w:rPr>
                <w:rFonts w:ascii="Book Antiqua" w:hAnsi="Book Antiqua" w:cstheme="minorHAnsi"/>
                <w:color w:val="000000" w:themeColor="text1"/>
                <w:szCs w:val="24"/>
              </w:rPr>
              <w:t>14 d</w:t>
            </w:r>
          </w:p>
        </w:tc>
      </w:tr>
    </w:tbl>
    <w:p w14:paraId="21CB02A6" w14:textId="22510F48" w:rsidR="00850365" w:rsidRPr="00F334C7" w:rsidRDefault="00D04C84" w:rsidP="00413D75">
      <w:pPr>
        <w:pStyle w:val="ListParagraph"/>
        <w:adjustRightInd w:val="0"/>
        <w:snapToGrid w:val="0"/>
        <w:spacing w:line="360" w:lineRule="auto"/>
        <w:ind w:leftChars="0" w:left="0"/>
        <w:jc w:val="both"/>
        <w:rPr>
          <w:rFonts w:ascii="Book Antiqua" w:hAnsi="Book Antiqua" w:cstheme="minorHAnsi"/>
          <w:color w:val="000000" w:themeColor="text1"/>
          <w:szCs w:val="24"/>
        </w:rPr>
      </w:pPr>
      <w:r w:rsidRPr="00F334C7">
        <w:rPr>
          <w:rFonts w:ascii="Book Antiqua" w:hAnsi="Book Antiqua" w:cstheme="minorHAnsi"/>
          <w:color w:val="000000" w:themeColor="text1"/>
          <w:szCs w:val="24"/>
        </w:rPr>
        <w:t>PPI</w:t>
      </w:r>
      <w:r w:rsidR="00F334C7" w:rsidRPr="00F334C7">
        <w:rPr>
          <w:rFonts w:ascii="Book Antiqua" w:hAnsi="Book Antiqua" w:cstheme="minorHAnsi"/>
          <w:color w:val="000000" w:themeColor="text1"/>
          <w:szCs w:val="24"/>
        </w:rPr>
        <w:t>: proton pump inhibitor; Levo: Levofloxacin; Amox: Amoxicillin; Tetra: T</w:t>
      </w:r>
      <w:r w:rsidRPr="00F334C7">
        <w:rPr>
          <w:rFonts w:ascii="Book Antiqua" w:hAnsi="Book Antiqua" w:cstheme="minorHAnsi"/>
          <w:color w:val="000000" w:themeColor="text1"/>
          <w:szCs w:val="24"/>
        </w:rPr>
        <w:t xml:space="preserve">etracycline; Metro: </w:t>
      </w:r>
      <w:r w:rsidR="00F334C7" w:rsidRPr="00F334C7">
        <w:rPr>
          <w:rFonts w:ascii="Book Antiqua" w:hAnsi="Book Antiqua" w:cstheme="minorHAnsi"/>
          <w:color w:val="000000" w:themeColor="text1"/>
          <w:szCs w:val="24"/>
        </w:rPr>
        <w:t>M</w:t>
      </w:r>
      <w:r w:rsidRPr="00F334C7">
        <w:rPr>
          <w:rFonts w:ascii="Book Antiqua" w:hAnsi="Book Antiqua" w:cstheme="minorHAnsi"/>
          <w:color w:val="000000" w:themeColor="text1"/>
          <w:szCs w:val="24"/>
        </w:rPr>
        <w:t>etronidazole</w:t>
      </w:r>
      <w:r w:rsidR="00F334C7" w:rsidRPr="00F334C7">
        <w:rPr>
          <w:rFonts w:ascii="Book Antiqua" w:hAnsi="Book Antiqua" w:cstheme="minorHAnsi"/>
          <w:color w:val="000000" w:themeColor="text1"/>
          <w:szCs w:val="24"/>
        </w:rPr>
        <w:t>.</w:t>
      </w:r>
    </w:p>
    <w:p w14:paraId="0431689C" w14:textId="77777777" w:rsidR="0077485C" w:rsidRPr="00413D75" w:rsidRDefault="007F2342" w:rsidP="00413D75">
      <w:pPr>
        <w:widowControl/>
        <w:adjustRightInd w:val="0"/>
        <w:snapToGrid w:val="0"/>
        <w:spacing w:line="360" w:lineRule="auto"/>
        <w:jc w:val="both"/>
        <w:rPr>
          <w:rFonts w:ascii="Book Antiqua" w:hAnsi="Book Antiqua" w:cstheme="minorHAnsi"/>
          <w:color w:val="000000" w:themeColor="text1"/>
          <w:szCs w:val="24"/>
        </w:rPr>
        <w:sectPr w:rsidR="0077485C" w:rsidRPr="00413D75" w:rsidSect="0077485C">
          <w:pgSz w:w="16838" w:h="11906" w:orient="landscape"/>
          <w:pgMar w:top="1800" w:right="1440" w:bottom="1800" w:left="1440" w:header="851" w:footer="992" w:gutter="0"/>
          <w:cols w:space="425"/>
          <w:docGrid w:type="lines" w:linePitch="360"/>
        </w:sectPr>
      </w:pPr>
      <w:r w:rsidRPr="00413D75">
        <w:rPr>
          <w:rFonts w:ascii="Book Antiqua" w:hAnsi="Book Antiqua" w:cstheme="minorHAnsi"/>
          <w:color w:val="000000" w:themeColor="text1"/>
          <w:szCs w:val="24"/>
        </w:rPr>
        <w:br w:type="page"/>
      </w:r>
    </w:p>
    <w:p w14:paraId="2DA75BC4" w14:textId="77777777" w:rsidR="001E5FDE" w:rsidRPr="00413D75" w:rsidRDefault="00FE721A" w:rsidP="00413D75">
      <w:pPr>
        <w:pStyle w:val="ListParagraph"/>
        <w:adjustRightInd w:val="0"/>
        <w:snapToGrid w:val="0"/>
        <w:spacing w:line="360" w:lineRule="auto"/>
        <w:ind w:leftChars="0" w:left="0"/>
        <w:jc w:val="both"/>
        <w:rPr>
          <w:rFonts w:ascii="Book Antiqua" w:hAnsi="Book Antiqua" w:cstheme="minorHAnsi"/>
          <w:color w:val="000000" w:themeColor="text1"/>
          <w:szCs w:val="24"/>
        </w:rPr>
      </w:pPr>
      <w:r w:rsidRPr="00413D75">
        <w:rPr>
          <w:rFonts w:ascii="Book Antiqua" w:hAnsi="Book Antiqua" w:cstheme="minorHAnsi"/>
          <w:noProof/>
          <w:color w:val="000000" w:themeColor="text1"/>
          <w:szCs w:val="24"/>
          <w:lang w:eastAsia="zh-CN"/>
        </w:rPr>
        <w:lastRenderedPageBreak/>
        <w:drawing>
          <wp:inline distT="0" distB="0" distL="0" distR="0" wp14:anchorId="3E232DA8" wp14:editId="669B5202">
            <wp:extent cx="5463126" cy="2902528"/>
            <wp:effectExtent l="19050" t="0" r="4224" b="0"/>
            <wp:docPr id="24" name="圖片 24" descr="F:\_\2nd for Hp therapy\Final\Figure\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_\2nd for Hp therapy\Final\Figure\Figure 2.TIF"/>
                    <pic:cNvPicPr>
                      <a:picLocks noChangeAspect="1" noChangeArrowheads="1"/>
                    </pic:cNvPicPr>
                  </pic:nvPicPr>
                  <pic:blipFill>
                    <a:blip r:embed="rId11"/>
                    <a:srcRect l="1344" t="13135" r="7361" b="24518"/>
                    <a:stretch>
                      <a:fillRect/>
                    </a:stretch>
                  </pic:blipFill>
                  <pic:spPr bwMode="auto">
                    <a:xfrm>
                      <a:off x="0" y="0"/>
                      <a:ext cx="5463124" cy="2902527"/>
                    </a:xfrm>
                    <a:prstGeom prst="rect">
                      <a:avLst/>
                    </a:prstGeom>
                    <a:noFill/>
                    <a:ln w="9525">
                      <a:noFill/>
                      <a:miter lim="800000"/>
                      <a:headEnd/>
                      <a:tailEnd/>
                    </a:ln>
                  </pic:spPr>
                </pic:pic>
              </a:graphicData>
            </a:graphic>
          </wp:inline>
        </w:drawing>
      </w:r>
    </w:p>
    <w:p w14:paraId="04D054F4" w14:textId="5C776407" w:rsidR="002759E9" w:rsidRPr="00413D75" w:rsidRDefault="00D45ECA" w:rsidP="00413D75">
      <w:pPr>
        <w:pStyle w:val="ListParagraph"/>
        <w:adjustRightInd w:val="0"/>
        <w:snapToGrid w:val="0"/>
        <w:spacing w:line="360" w:lineRule="auto"/>
        <w:ind w:leftChars="0" w:left="0"/>
        <w:jc w:val="both"/>
        <w:rPr>
          <w:rFonts w:ascii="Book Antiqua" w:hAnsi="Book Antiqua" w:cstheme="minorHAnsi"/>
          <w:color w:val="000000" w:themeColor="text1"/>
          <w:szCs w:val="24"/>
        </w:rPr>
      </w:pPr>
      <w:r w:rsidRPr="00413D75">
        <w:rPr>
          <w:rFonts w:ascii="Book Antiqua" w:hAnsi="Book Antiqua" w:cstheme="minorHAnsi"/>
          <w:b/>
          <w:color w:val="000000" w:themeColor="text1"/>
          <w:szCs w:val="24"/>
        </w:rPr>
        <w:t xml:space="preserve">Figure </w:t>
      </w:r>
      <w:r w:rsidR="00AE288C">
        <w:rPr>
          <w:rFonts w:ascii="Book Antiqua" w:eastAsiaTheme="minorEastAsia" w:hAnsi="Book Antiqua" w:cstheme="minorHAnsi" w:hint="eastAsia"/>
          <w:b/>
          <w:color w:val="000000" w:themeColor="text1"/>
          <w:szCs w:val="24"/>
          <w:lang w:eastAsia="zh-CN"/>
        </w:rPr>
        <w:t>1</w:t>
      </w:r>
      <w:r w:rsidR="00AE288C">
        <w:rPr>
          <w:rFonts w:ascii="Book Antiqua" w:eastAsiaTheme="minorEastAsia" w:hAnsi="Book Antiqua" w:cstheme="minorHAnsi" w:hint="eastAsia"/>
          <w:color w:val="000000" w:themeColor="text1"/>
          <w:szCs w:val="24"/>
          <w:lang w:eastAsia="zh-CN"/>
        </w:rPr>
        <w:t xml:space="preserve"> </w:t>
      </w:r>
      <w:r w:rsidR="00D04C84" w:rsidRPr="00413D75">
        <w:rPr>
          <w:rFonts w:ascii="Book Antiqua" w:hAnsi="Book Antiqua" w:cstheme="minorHAnsi"/>
          <w:b/>
          <w:color w:val="000000" w:themeColor="text1"/>
          <w:szCs w:val="24"/>
        </w:rPr>
        <w:t xml:space="preserve">Algorism for second-line therapy of </w:t>
      </w:r>
      <w:r w:rsidR="00D04C84" w:rsidRPr="00413D75">
        <w:rPr>
          <w:rFonts w:ascii="Book Antiqua" w:hAnsi="Book Antiqua" w:cstheme="minorHAnsi"/>
          <w:b/>
          <w:i/>
          <w:color w:val="000000" w:themeColor="text1"/>
          <w:szCs w:val="24"/>
        </w:rPr>
        <w:t>Helicobacter pylori</w:t>
      </w:r>
      <w:r w:rsidR="00D04C84" w:rsidRPr="00413D75">
        <w:rPr>
          <w:rFonts w:ascii="Book Antiqua" w:hAnsi="Book Antiqua" w:cstheme="minorHAnsi"/>
          <w:b/>
          <w:color w:val="000000" w:themeColor="text1"/>
          <w:szCs w:val="24"/>
        </w:rPr>
        <w:t xml:space="preserve"> infection</w:t>
      </w:r>
      <w:r w:rsidR="0069409F">
        <w:rPr>
          <w:rFonts w:ascii="Book Antiqua" w:hAnsi="Book Antiqua" w:cstheme="minorHAnsi"/>
          <w:b/>
          <w:color w:val="000000" w:themeColor="text1"/>
          <w:szCs w:val="24"/>
        </w:rPr>
        <w:t xml:space="preserve">. </w:t>
      </w:r>
      <w:r w:rsidR="0069409F">
        <w:rPr>
          <w:rFonts w:ascii="Book Antiqua" w:hAnsi="Book Antiqua" w:cstheme="minorHAnsi"/>
          <w:color w:val="000000" w:themeColor="text1"/>
          <w:szCs w:val="24"/>
        </w:rPr>
        <w:t>Lev: Levofloxacin; Amo: A</w:t>
      </w:r>
      <w:r w:rsidR="00D04C84" w:rsidRPr="0069409F">
        <w:rPr>
          <w:rFonts w:ascii="Book Antiqua" w:hAnsi="Book Antiqua" w:cstheme="minorHAnsi"/>
          <w:color w:val="000000" w:themeColor="text1"/>
          <w:szCs w:val="24"/>
        </w:rPr>
        <w:t xml:space="preserve">moxicillin; Tet: </w:t>
      </w:r>
      <w:r w:rsidR="0069409F">
        <w:rPr>
          <w:rFonts w:ascii="Book Antiqua" w:hAnsi="Book Antiqua" w:cstheme="minorHAnsi"/>
          <w:color w:val="000000" w:themeColor="text1"/>
          <w:szCs w:val="24"/>
        </w:rPr>
        <w:t>T</w:t>
      </w:r>
      <w:r w:rsidR="00D04C84" w:rsidRPr="0069409F">
        <w:rPr>
          <w:rFonts w:ascii="Book Antiqua" w:hAnsi="Book Antiqua" w:cstheme="minorHAnsi"/>
          <w:color w:val="000000" w:themeColor="text1"/>
          <w:szCs w:val="24"/>
        </w:rPr>
        <w:t>etracycline</w:t>
      </w:r>
      <w:r w:rsidR="0069409F">
        <w:rPr>
          <w:rFonts w:ascii="Book Antiqua" w:hAnsi="Book Antiqua" w:cstheme="minorHAnsi"/>
          <w:color w:val="000000" w:themeColor="text1"/>
          <w:szCs w:val="24"/>
        </w:rPr>
        <w:t>.</w:t>
      </w:r>
    </w:p>
    <w:p w14:paraId="4757D18F" w14:textId="77777777" w:rsidR="00B53D58" w:rsidRPr="00AE288C" w:rsidRDefault="00B53D58" w:rsidP="00413D75">
      <w:pPr>
        <w:widowControl/>
        <w:adjustRightInd w:val="0"/>
        <w:snapToGrid w:val="0"/>
        <w:spacing w:line="360" w:lineRule="auto"/>
        <w:jc w:val="both"/>
        <w:rPr>
          <w:rFonts w:ascii="Book Antiqua" w:hAnsi="Book Antiqua" w:cstheme="minorHAnsi"/>
          <w:color w:val="000000" w:themeColor="text1"/>
          <w:szCs w:val="24"/>
        </w:rPr>
      </w:pPr>
    </w:p>
    <w:sectPr w:rsidR="00B53D58" w:rsidRPr="00AE288C" w:rsidSect="007748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15F19" w14:textId="77777777" w:rsidR="00615CB0" w:rsidRDefault="00615CB0" w:rsidP="00F854C6">
      <w:r>
        <w:separator/>
      </w:r>
    </w:p>
  </w:endnote>
  <w:endnote w:type="continuationSeparator" w:id="0">
    <w:p w14:paraId="7EB6F509" w14:textId="77777777" w:rsidR="00615CB0" w:rsidRDefault="00615CB0" w:rsidP="00F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GothicEF-Medium">
    <w:altName w:val="Arial Unicode MS"/>
    <w:panose1 w:val="00000000000000000000"/>
    <w:charset w:val="88"/>
    <w:family w:val="auto"/>
    <w:notTrueType/>
    <w:pitch w:val="default"/>
    <w:sig w:usb0="00000001"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AdvP101883">
    <w:altName w:val="Arial Unicode MS"/>
    <w:panose1 w:val="00000000000000000000"/>
    <w:charset w:val="88"/>
    <w:family w:val="auto"/>
    <w:notTrueType/>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MinionPro-Regular">
    <w:altName w:val="MS Mincho"/>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88564"/>
      <w:docPartObj>
        <w:docPartGallery w:val="Page Numbers (Bottom of Page)"/>
        <w:docPartUnique/>
      </w:docPartObj>
    </w:sdtPr>
    <w:sdtEndPr/>
    <w:sdtContent>
      <w:p w14:paraId="3D7C6294" w14:textId="77777777" w:rsidR="002176FB" w:rsidRDefault="00B1767D">
        <w:pPr>
          <w:pStyle w:val="Footer"/>
          <w:jc w:val="center"/>
        </w:pPr>
        <w:r>
          <w:fldChar w:fldCharType="begin"/>
        </w:r>
        <w:r>
          <w:instrText xml:space="preserve"> PAGE   \* MERGEFORMAT </w:instrText>
        </w:r>
        <w:r>
          <w:fldChar w:fldCharType="separate"/>
        </w:r>
        <w:r w:rsidR="005664AB" w:rsidRPr="005664AB">
          <w:rPr>
            <w:noProof/>
            <w:lang w:val="zh-TW"/>
          </w:rPr>
          <w:t>1</w:t>
        </w:r>
        <w:r>
          <w:rPr>
            <w:noProof/>
            <w:lang w:val="zh-TW"/>
          </w:rPr>
          <w:fldChar w:fldCharType="end"/>
        </w:r>
      </w:p>
    </w:sdtContent>
  </w:sdt>
  <w:p w14:paraId="67DE89A0" w14:textId="77777777" w:rsidR="002176FB" w:rsidRDefault="00217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7A1C" w14:textId="77777777" w:rsidR="00615CB0" w:rsidRDefault="00615CB0" w:rsidP="00F854C6">
      <w:r>
        <w:separator/>
      </w:r>
    </w:p>
  </w:footnote>
  <w:footnote w:type="continuationSeparator" w:id="0">
    <w:p w14:paraId="47AEDBB4" w14:textId="77777777" w:rsidR="00615CB0" w:rsidRDefault="00615CB0" w:rsidP="00F85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72AB0"/>
    <w:multiLevelType w:val="hybridMultilevel"/>
    <w:tmpl w:val="ED8E1070"/>
    <w:lvl w:ilvl="0" w:tplc="C75A6728">
      <w:start w:val="1"/>
      <w:numFmt w:val="decimal"/>
      <w:lvlText w:val="(%1)"/>
      <w:lvlJc w:val="left"/>
      <w:pPr>
        <w:ind w:left="744" w:hanging="516"/>
      </w:pPr>
      <w:rPr>
        <w:rFonts w:ascii="Times New Roman" w:hAnsi="Times New Roman" w:cs="Times New Roman" w:hint="default"/>
        <w:b w:val="0"/>
        <w:color w:val="131413"/>
      </w:rPr>
    </w:lvl>
    <w:lvl w:ilvl="1" w:tplc="04090019" w:tentative="1">
      <w:start w:val="1"/>
      <w:numFmt w:val="ideographTraditional"/>
      <w:lvlText w:val="%2、"/>
      <w:lvlJc w:val="left"/>
      <w:pPr>
        <w:ind w:left="1188" w:hanging="480"/>
      </w:pPr>
      <w:rPr>
        <w:rFonts w:cs="Times New Roman"/>
      </w:rPr>
    </w:lvl>
    <w:lvl w:ilvl="2" w:tplc="0409001B" w:tentative="1">
      <w:start w:val="1"/>
      <w:numFmt w:val="lowerRoman"/>
      <w:lvlText w:val="%3."/>
      <w:lvlJc w:val="right"/>
      <w:pPr>
        <w:ind w:left="1668" w:hanging="480"/>
      </w:pPr>
      <w:rPr>
        <w:rFonts w:cs="Times New Roman"/>
      </w:rPr>
    </w:lvl>
    <w:lvl w:ilvl="3" w:tplc="0409000F" w:tentative="1">
      <w:start w:val="1"/>
      <w:numFmt w:val="decimal"/>
      <w:lvlText w:val="%4."/>
      <w:lvlJc w:val="left"/>
      <w:pPr>
        <w:ind w:left="2148" w:hanging="480"/>
      </w:pPr>
      <w:rPr>
        <w:rFonts w:cs="Times New Roman"/>
      </w:rPr>
    </w:lvl>
    <w:lvl w:ilvl="4" w:tplc="04090019" w:tentative="1">
      <w:start w:val="1"/>
      <w:numFmt w:val="ideographTraditional"/>
      <w:lvlText w:val="%5、"/>
      <w:lvlJc w:val="left"/>
      <w:pPr>
        <w:ind w:left="2628" w:hanging="480"/>
      </w:pPr>
      <w:rPr>
        <w:rFonts w:cs="Times New Roman"/>
      </w:rPr>
    </w:lvl>
    <w:lvl w:ilvl="5" w:tplc="0409001B" w:tentative="1">
      <w:start w:val="1"/>
      <w:numFmt w:val="lowerRoman"/>
      <w:lvlText w:val="%6."/>
      <w:lvlJc w:val="right"/>
      <w:pPr>
        <w:ind w:left="3108" w:hanging="480"/>
      </w:pPr>
      <w:rPr>
        <w:rFonts w:cs="Times New Roman"/>
      </w:rPr>
    </w:lvl>
    <w:lvl w:ilvl="6" w:tplc="0409000F" w:tentative="1">
      <w:start w:val="1"/>
      <w:numFmt w:val="decimal"/>
      <w:lvlText w:val="%7."/>
      <w:lvlJc w:val="left"/>
      <w:pPr>
        <w:ind w:left="3588" w:hanging="480"/>
      </w:pPr>
      <w:rPr>
        <w:rFonts w:cs="Times New Roman"/>
      </w:rPr>
    </w:lvl>
    <w:lvl w:ilvl="7" w:tplc="04090019" w:tentative="1">
      <w:start w:val="1"/>
      <w:numFmt w:val="ideographTraditional"/>
      <w:lvlText w:val="%8、"/>
      <w:lvlJc w:val="left"/>
      <w:pPr>
        <w:ind w:left="4068" w:hanging="480"/>
      </w:pPr>
      <w:rPr>
        <w:rFonts w:cs="Times New Roman"/>
      </w:rPr>
    </w:lvl>
    <w:lvl w:ilvl="8" w:tplc="0409001B" w:tentative="1">
      <w:start w:val="1"/>
      <w:numFmt w:val="lowerRoman"/>
      <w:lvlText w:val="%9."/>
      <w:lvlJc w:val="right"/>
      <w:pPr>
        <w:ind w:left="4548" w:hanging="480"/>
      </w:pPr>
      <w:rPr>
        <w:rFonts w:cs="Times New Roman"/>
      </w:rPr>
    </w:lvl>
  </w:abstractNum>
  <w:abstractNum w:abstractNumId="1" w15:restartNumberingAfterBreak="0">
    <w:nsid w:val="617766BA"/>
    <w:multiLevelType w:val="hybridMultilevel"/>
    <w:tmpl w:val="A9F6AD84"/>
    <w:lvl w:ilvl="0" w:tplc="5E7C44E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8B063C7"/>
    <w:multiLevelType w:val="hybridMultilevel"/>
    <w:tmpl w:val="0818042E"/>
    <w:lvl w:ilvl="0" w:tplc="8E9C7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210875"/>
    <w:multiLevelType w:val="hybridMultilevel"/>
    <w:tmpl w:val="22A4702E"/>
    <w:lvl w:ilvl="0" w:tplc="7076CF60">
      <w:start w:val="1"/>
      <w:numFmt w:val="decimal"/>
      <w:lvlText w:val="(%1)"/>
      <w:lvlJc w:val="left"/>
      <w:pPr>
        <w:ind w:left="588" w:hanging="360"/>
      </w:pPr>
      <w:rPr>
        <w:rFonts w:cs="Times New Roman" w:hint="default"/>
      </w:rPr>
    </w:lvl>
    <w:lvl w:ilvl="1" w:tplc="04090019" w:tentative="1">
      <w:start w:val="1"/>
      <w:numFmt w:val="ideographTraditional"/>
      <w:lvlText w:val="%2、"/>
      <w:lvlJc w:val="left"/>
      <w:pPr>
        <w:ind w:left="1188" w:hanging="480"/>
      </w:pPr>
      <w:rPr>
        <w:rFonts w:cs="Times New Roman"/>
      </w:rPr>
    </w:lvl>
    <w:lvl w:ilvl="2" w:tplc="0409001B" w:tentative="1">
      <w:start w:val="1"/>
      <w:numFmt w:val="lowerRoman"/>
      <w:lvlText w:val="%3."/>
      <w:lvlJc w:val="right"/>
      <w:pPr>
        <w:ind w:left="1668" w:hanging="480"/>
      </w:pPr>
      <w:rPr>
        <w:rFonts w:cs="Times New Roman"/>
      </w:rPr>
    </w:lvl>
    <w:lvl w:ilvl="3" w:tplc="0409000F" w:tentative="1">
      <w:start w:val="1"/>
      <w:numFmt w:val="decimal"/>
      <w:lvlText w:val="%4."/>
      <w:lvlJc w:val="left"/>
      <w:pPr>
        <w:ind w:left="2148" w:hanging="480"/>
      </w:pPr>
      <w:rPr>
        <w:rFonts w:cs="Times New Roman"/>
      </w:rPr>
    </w:lvl>
    <w:lvl w:ilvl="4" w:tplc="04090019" w:tentative="1">
      <w:start w:val="1"/>
      <w:numFmt w:val="ideographTraditional"/>
      <w:lvlText w:val="%5、"/>
      <w:lvlJc w:val="left"/>
      <w:pPr>
        <w:ind w:left="2628" w:hanging="480"/>
      </w:pPr>
      <w:rPr>
        <w:rFonts w:cs="Times New Roman"/>
      </w:rPr>
    </w:lvl>
    <w:lvl w:ilvl="5" w:tplc="0409001B" w:tentative="1">
      <w:start w:val="1"/>
      <w:numFmt w:val="lowerRoman"/>
      <w:lvlText w:val="%6."/>
      <w:lvlJc w:val="right"/>
      <w:pPr>
        <w:ind w:left="3108" w:hanging="480"/>
      </w:pPr>
      <w:rPr>
        <w:rFonts w:cs="Times New Roman"/>
      </w:rPr>
    </w:lvl>
    <w:lvl w:ilvl="6" w:tplc="0409000F" w:tentative="1">
      <w:start w:val="1"/>
      <w:numFmt w:val="decimal"/>
      <w:lvlText w:val="%7."/>
      <w:lvlJc w:val="left"/>
      <w:pPr>
        <w:ind w:left="3588" w:hanging="480"/>
      </w:pPr>
      <w:rPr>
        <w:rFonts w:cs="Times New Roman"/>
      </w:rPr>
    </w:lvl>
    <w:lvl w:ilvl="7" w:tplc="04090019" w:tentative="1">
      <w:start w:val="1"/>
      <w:numFmt w:val="ideographTraditional"/>
      <w:lvlText w:val="%8、"/>
      <w:lvlJc w:val="left"/>
      <w:pPr>
        <w:ind w:left="4068" w:hanging="480"/>
      </w:pPr>
      <w:rPr>
        <w:rFonts w:cs="Times New Roman"/>
      </w:rPr>
    </w:lvl>
    <w:lvl w:ilvl="8" w:tplc="0409001B" w:tentative="1">
      <w:start w:val="1"/>
      <w:numFmt w:val="lowerRoman"/>
      <w:lvlText w:val="%9."/>
      <w:lvlJc w:val="right"/>
      <w:pPr>
        <w:ind w:left="4548" w:hanging="480"/>
      </w:pPr>
      <w:rPr>
        <w:rFonts w:cs="Times New Roman"/>
      </w:rPr>
    </w:lvl>
  </w:abstractNum>
  <w:abstractNum w:abstractNumId="4" w15:restartNumberingAfterBreak="0">
    <w:nsid w:val="7E44470B"/>
    <w:multiLevelType w:val="singleLevel"/>
    <w:tmpl w:val="5CC6B0FE"/>
    <w:lvl w:ilvl="0">
      <w:start w:val="1"/>
      <w:numFmt w:val="decimal"/>
      <w:lvlText w:val="%1. "/>
      <w:legacy w:legacy="1" w:legacySpace="0" w:legacyIndent="425"/>
      <w:lvlJc w:val="left"/>
      <w:pPr>
        <w:ind w:left="425" w:hanging="425"/>
      </w:pPr>
      <w:rPr>
        <w:b w:val="0"/>
        <w:i w:val="0"/>
        <w:sz w:val="24"/>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7845"/>
    <w:rsid w:val="00003ECF"/>
    <w:rsid w:val="00012591"/>
    <w:rsid w:val="0001589F"/>
    <w:rsid w:val="00017EF0"/>
    <w:rsid w:val="000217B8"/>
    <w:rsid w:val="00021C2F"/>
    <w:rsid w:val="0002371F"/>
    <w:rsid w:val="00033797"/>
    <w:rsid w:val="00035BA0"/>
    <w:rsid w:val="00041958"/>
    <w:rsid w:val="00047506"/>
    <w:rsid w:val="00060A44"/>
    <w:rsid w:val="0006756C"/>
    <w:rsid w:val="000778B1"/>
    <w:rsid w:val="00082CCD"/>
    <w:rsid w:val="0008313B"/>
    <w:rsid w:val="00087464"/>
    <w:rsid w:val="0009062F"/>
    <w:rsid w:val="000A2042"/>
    <w:rsid w:val="000A78C7"/>
    <w:rsid w:val="000B28FA"/>
    <w:rsid w:val="000C76E3"/>
    <w:rsid w:val="000D2610"/>
    <w:rsid w:val="000D747A"/>
    <w:rsid w:val="000E21B6"/>
    <w:rsid w:val="000E2818"/>
    <w:rsid w:val="000F09A8"/>
    <w:rsid w:val="00101E00"/>
    <w:rsid w:val="00110E5B"/>
    <w:rsid w:val="00113990"/>
    <w:rsid w:val="00121B30"/>
    <w:rsid w:val="001303DC"/>
    <w:rsid w:val="001334F4"/>
    <w:rsid w:val="001613F1"/>
    <w:rsid w:val="00183C21"/>
    <w:rsid w:val="00184D59"/>
    <w:rsid w:val="00184F91"/>
    <w:rsid w:val="0019066A"/>
    <w:rsid w:val="0019204A"/>
    <w:rsid w:val="001A5691"/>
    <w:rsid w:val="001B69EE"/>
    <w:rsid w:val="001C3E05"/>
    <w:rsid w:val="001C6B7F"/>
    <w:rsid w:val="001D0320"/>
    <w:rsid w:val="001D3EAA"/>
    <w:rsid w:val="001D4F0D"/>
    <w:rsid w:val="001D7024"/>
    <w:rsid w:val="001E38F6"/>
    <w:rsid w:val="001E5FDE"/>
    <w:rsid w:val="001F01C6"/>
    <w:rsid w:val="001F1019"/>
    <w:rsid w:val="001F4F92"/>
    <w:rsid w:val="00200BFA"/>
    <w:rsid w:val="002109DB"/>
    <w:rsid w:val="00213E96"/>
    <w:rsid w:val="002168D3"/>
    <w:rsid w:val="002176FB"/>
    <w:rsid w:val="002209CF"/>
    <w:rsid w:val="00226439"/>
    <w:rsid w:val="00234FB8"/>
    <w:rsid w:val="00240BA3"/>
    <w:rsid w:val="00244B11"/>
    <w:rsid w:val="00260922"/>
    <w:rsid w:val="002759E9"/>
    <w:rsid w:val="00276DF7"/>
    <w:rsid w:val="002862AB"/>
    <w:rsid w:val="00291670"/>
    <w:rsid w:val="002A26F9"/>
    <w:rsid w:val="002B2349"/>
    <w:rsid w:val="002B41EE"/>
    <w:rsid w:val="002C405B"/>
    <w:rsid w:val="002C6C13"/>
    <w:rsid w:val="002D417C"/>
    <w:rsid w:val="002D635C"/>
    <w:rsid w:val="002F0298"/>
    <w:rsid w:val="003072B3"/>
    <w:rsid w:val="00337757"/>
    <w:rsid w:val="00340410"/>
    <w:rsid w:val="00364230"/>
    <w:rsid w:val="003876E5"/>
    <w:rsid w:val="00392589"/>
    <w:rsid w:val="00393409"/>
    <w:rsid w:val="003937D1"/>
    <w:rsid w:val="003B30C7"/>
    <w:rsid w:val="003B36F5"/>
    <w:rsid w:val="003B53B3"/>
    <w:rsid w:val="003B5582"/>
    <w:rsid w:val="003B7041"/>
    <w:rsid w:val="003C3D43"/>
    <w:rsid w:val="003C799D"/>
    <w:rsid w:val="003C7B43"/>
    <w:rsid w:val="003D24F9"/>
    <w:rsid w:val="003D716F"/>
    <w:rsid w:val="003F107D"/>
    <w:rsid w:val="003F2DA5"/>
    <w:rsid w:val="003F33CC"/>
    <w:rsid w:val="003F6D18"/>
    <w:rsid w:val="00400BC1"/>
    <w:rsid w:val="00402325"/>
    <w:rsid w:val="00402FBC"/>
    <w:rsid w:val="0041275B"/>
    <w:rsid w:val="00413D75"/>
    <w:rsid w:val="0041577A"/>
    <w:rsid w:val="0042340C"/>
    <w:rsid w:val="00424B45"/>
    <w:rsid w:val="004326BD"/>
    <w:rsid w:val="00432C17"/>
    <w:rsid w:val="0044301B"/>
    <w:rsid w:val="0044405F"/>
    <w:rsid w:val="0045065D"/>
    <w:rsid w:val="00465934"/>
    <w:rsid w:val="004665FE"/>
    <w:rsid w:val="00473D2E"/>
    <w:rsid w:val="00477845"/>
    <w:rsid w:val="004779C1"/>
    <w:rsid w:val="00482356"/>
    <w:rsid w:val="0048461D"/>
    <w:rsid w:val="004876CE"/>
    <w:rsid w:val="00491187"/>
    <w:rsid w:val="0049687F"/>
    <w:rsid w:val="004A172D"/>
    <w:rsid w:val="004A753A"/>
    <w:rsid w:val="004B078E"/>
    <w:rsid w:val="004B0B11"/>
    <w:rsid w:val="004B19AA"/>
    <w:rsid w:val="004C3E91"/>
    <w:rsid w:val="004D1011"/>
    <w:rsid w:val="004D14CF"/>
    <w:rsid w:val="004D310B"/>
    <w:rsid w:val="004E179A"/>
    <w:rsid w:val="004F5148"/>
    <w:rsid w:val="0050506B"/>
    <w:rsid w:val="00510652"/>
    <w:rsid w:val="005178F0"/>
    <w:rsid w:val="00525DCF"/>
    <w:rsid w:val="005273F3"/>
    <w:rsid w:val="00530768"/>
    <w:rsid w:val="0053172D"/>
    <w:rsid w:val="005433B2"/>
    <w:rsid w:val="00552014"/>
    <w:rsid w:val="0055372A"/>
    <w:rsid w:val="00554907"/>
    <w:rsid w:val="00554A58"/>
    <w:rsid w:val="00562762"/>
    <w:rsid w:val="005664AB"/>
    <w:rsid w:val="005A0665"/>
    <w:rsid w:val="005B0883"/>
    <w:rsid w:val="005B0D38"/>
    <w:rsid w:val="005B5C6D"/>
    <w:rsid w:val="005C0547"/>
    <w:rsid w:val="005C21DA"/>
    <w:rsid w:val="005C38F4"/>
    <w:rsid w:val="005C4CC4"/>
    <w:rsid w:val="005C51DE"/>
    <w:rsid w:val="005D4494"/>
    <w:rsid w:val="005E46D2"/>
    <w:rsid w:val="005F1A3B"/>
    <w:rsid w:val="005F231E"/>
    <w:rsid w:val="005F799A"/>
    <w:rsid w:val="00615CB0"/>
    <w:rsid w:val="0061630E"/>
    <w:rsid w:val="006234F4"/>
    <w:rsid w:val="0063413E"/>
    <w:rsid w:val="00634E1F"/>
    <w:rsid w:val="00642E49"/>
    <w:rsid w:val="00644640"/>
    <w:rsid w:val="00644B21"/>
    <w:rsid w:val="006467D0"/>
    <w:rsid w:val="006474CA"/>
    <w:rsid w:val="0066051C"/>
    <w:rsid w:val="00666592"/>
    <w:rsid w:val="006715AE"/>
    <w:rsid w:val="00674E5C"/>
    <w:rsid w:val="00677168"/>
    <w:rsid w:val="00690538"/>
    <w:rsid w:val="00693B65"/>
    <w:rsid w:val="0069409F"/>
    <w:rsid w:val="0069770B"/>
    <w:rsid w:val="006A1E17"/>
    <w:rsid w:val="006A4FD2"/>
    <w:rsid w:val="006B65ED"/>
    <w:rsid w:val="006C39E5"/>
    <w:rsid w:val="006D5956"/>
    <w:rsid w:val="006D5A47"/>
    <w:rsid w:val="006F07C6"/>
    <w:rsid w:val="00700AC4"/>
    <w:rsid w:val="007011E7"/>
    <w:rsid w:val="007017A5"/>
    <w:rsid w:val="00714450"/>
    <w:rsid w:val="00715CF7"/>
    <w:rsid w:val="00720118"/>
    <w:rsid w:val="00721EBE"/>
    <w:rsid w:val="007237BF"/>
    <w:rsid w:val="0072628A"/>
    <w:rsid w:val="00726E64"/>
    <w:rsid w:val="007270C9"/>
    <w:rsid w:val="0073121B"/>
    <w:rsid w:val="00732233"/>
    <w:rsid w:val="007352F7"/>
    <w:rsid w:val="00737381"/>
    <w:rsid w:val="00741907"/>
    <w:rsid w:val="00742DF6"/>
    <w:rsid w:val="007453A6"/>
    <w:rsid w:val="00751152"/>
    <w:rsid w:val="00754511"/>
    <w:rsid w:val="0076245F"/>
    <w:rsid w:val="00762653"/>
    <w:rsid w:val="007673C0"/>
    <w:rsid w:val="0077485C"/>
    <w:rsid w:val="00781264"/>
    <w:rsid w:val="00784090"/>
    <w:rsid w:val="007856EB"/>
    <w:rsid w:val="00787763"/>
    <w:rsid w:val="007928CD"/>
    <w:rsid w:val="00795982"/>
    <w:rsid w:val="007A6B4A"/>
    <w:rsid w:val="007B114D"/>
    <w:rsid w:val="007B41EB"/>
    <w:rsid w:val="007C22C4"/>
    <w:rsid w:val="007C3234"/>
    <w:rsid w:val="007C50C9"/>
    <w:rsid w:val="007C534D"/>
    <w:rsid w:val="007D17FB"/>
    <w:rsid w:val="007D64AB"/>
    <w:rsid w:val="007E435B"/>
    <w:rsid w:val="007E7F17"/>
    <w:rsid w:val="007F1B3E"/>
    <w:rsid w:val="007F2342"/>
    <w:rsid w:val="007F5A53"/>
    <w:rsid w:val="00803C29"/>
    <w:rsid w:val="00810B69"/>
    <w:rsid w:val="00817190"/>
    <w:rsid w:val="0082082D"/>
    <w:rsid w:val="00822F78"/>
    <w:rsid w:val="00834824"/>
    <w:rsid w:val="00837250"/>
    <w:rsid w:val="00840230"/>
    <w:rsid w:val="0084408F"/>
    <w:rsid w:val="008440C7"/>
    <w:rsid w:val="00846451"/>
    <w:rsid w:val="00847946"/>
    <w:rsid w:val="00850365"/>
    <w:rsid w:val="008554CA"/>
    <w:rsid w:val="00864E35"/>
    <w:rsid w:val="00865037"/>
    <w:rsid w:val="008702BB"/>
    <w:rsid w:val="0087742B"/>
    <w:rsid w:val="0088695E"/>
    <w:rsid w:val="00886F41"/>
    <w:rsid w:val="00887564"/>
    <w:rsid w:val="00891099"/>
    <w:rsid w:val="00892300"/>
    <w:rsid w:val="00897B10"/>
    <w:rsid w:val="008A0965"/>
    <w:rsid w:val="008B3461"/>
    <w:rsid w:val="008B4446"/>
    <w:rsid w:val="008B636D"/>
    <w:rsid w:val="008C3663"/>
    <w:rsid w:val="008C7895"/>
    <w:rsid w:val="008D39F1"/>
    <w:rsid w:val="008E296C"/>
    <w:rsid w:val="009004CE"/>
    <w:rsid w:val="00911639"/>
    <w:rsid w:val="0091505B"/>
    <w:rsid w:val="00916716"/>
    <w:rsid w:val="00924E9E"/>
    <w:rsid w:val="009302AA"/>
    <w:rsid w:val="00936930"/>
    <w:rsid w:val="0094498D"/>
    <w:rsid w:val="009471E2"/>
    <w:rsid w:val="00951C28"/>
    <w:rsid w:val="0096468A"/>
    <w:rsid w:val="00964B2F"/>
    <w:rsid w:val="00966A4B"/>
    <w:rsid w:val="00977880"/>
    <w:rsid w:val="009A03F9"/>
    <w:rsid w:val="009A0F38"/>
    <w:rsid w:val="009A4887"/>
    <w:rsid w:val="009B0410"/>
    <w:rsid w:val="009B17D0"/>
    <w:rsid w:val="009B4531"/>
    <w:rsid w:val="009C0A0B"/>
    <w:rsid w:val="009C7B40"/>
    <w:rsid w:val="009D2AC8"/>
    <w:rsid w:val="009D6471"/>
    <w:rsid w:val="009E1233"/>
    <w:rsid w:val="009F0A14"/>
    <w:rsid w:val="009F417B"/>
    <w:rsid w:val="00A00C00"/>
    <w:rsid w:val="00A03791"/>
    <w:rsid w:val="00A11E14"/>
    <w:rsid w:val="00A12876"/>
    <w:rsid w:val="00A262AB"/>
    <w:rsid w:val="00A30533"/>
    <w:rsid w:val="00A557BE"/>
    <w:rsid w:val="00A662B8"/>
    <w:rsid w:val="00A80D8F"/>
    <w:rsid w:val="00A91152"/>
    <w:rsid w:val="00A91BB4"/>
    <w:rsid w:val="00A927DB"/>
    <w:rsid w:val="00AB4C32"/>
    <w:rsid w:val="00AB6C4C"/>
    <w:rsid w:val="00AC5FDF"/>
    <w:rsid w:val="00AC7060"/>
    <w:rsid w:val="00AE288C"/>
    <w:rsid w:val="00AE7CE5"/>
    <w:rsid w:val="00B0266A"/>
    <w:rsid w:val="00B13CDE"/>
    <w:rsid w:val="00B15029"/>
    <w:rsid w:val="00B1767D"/>
    <w:rsid w:val="00B17830"/>
    <w:rsid w:val="00B242BA"/>
    <w:rsid w:val="00B304AF"/>
    <w:rsid w:val="00B3241E"/>
    <w:rsid w:val="00B44BE0"/>
    <w:rsid w:val="00B4500C"/>
    <w:rsid w:val="00B53D58"/>
    <w:rsid w:val="00B62133"/>
    <w:rsid w:val="00B65193"/>
    <w:rsid w:val="00B80550"/>
    <w:rsid w:val="00B85CA7"/>
    <w:rsid w:val="00B86710"/>
    <w:rsid w:val="00B87289"/>
    <w:rsid w:val="00B904C0"/>
    <w:rsid w:val="00BA2338"/>
    <w:rsid w:val="00BC6AF7"/>
    <w:rsid w:val="00BD087D"/>
    <w:rsid w:val="00BD15AC"/>
    <w:rsid w:val="00BD1E63"/>
    <w:rsid w:val="00BD5B48"/>
    <w:rsid w:val="00BD677C"/>
    <w:rsid w:val="00BD6852"/>
    <w:rsid w:val="00BE6FEE"/>
    <w:rsid w:val="00BF5DC3"/>
    <w:rsid w:val="00C01561"/>
    <w:rsid w:val="00C03D47"/>
    <w:rsid w:val="00C07390"/>
    <w:rsid w:val="00C10BCC"/>
    <w:rsid w:val="00C12A43"/>
    <w:rsid w:val="00C35146"/>
    <w:rsid w:val="00C42831"/>
    <w:rsid w:val="00C47665"/>
    <w:rsid w:val="00C73AA1"/>
    <w:rsid w:val="00C827E9"/>
    <w:rsid w:val="00C843B8"/>
    <w:rsid w:val="00C93A1A"/>
    <w:rsid w:val="00C96CD5"/>
    <w:rsid w:val="00CA0F60"/>
    <w:rsid w:val="00CB1381"/>
    <w:rsid w:val="00CB57CD"/>
    <w:rsid w:val="00CC73A1"/>
    <w:rsid w:val="00CE6502"/>
    <w:rsid w:val="00CF0391"/>
    <w:rsid w:val="00D00509"/>
    <w:rsid w:val="00D04A62"/>
    <w:rsid w:val="00D04C84"/>
    <w:rsid w:val="00D06778"/>
    <w:rsid w:val="00D12866"/>
    <w:rsid w:val="00D26322"/>
    <w:rsid w:val="00D346AD"/>
    <w:rsid w:val="00D40D64"/>
    <w:rsid w:val="00D45ECA"/>
    <w:rsid w:val="00D52274"/>
    <w:rsid w:val="00D5527B"/>
    <w:rsid w:val="00D61AF3"/>
    <w:rsid w:val="00D96B0A"/>
    <w:rsid w:val="00D97D6C"/>
    <w:rsid w:val="00D97FDD"/>
    <w:rsid w:val="00DC2CE8"/>
    <w:rsid w:val="00DC4E23"/>
    <w:rsid w:val="00DC52A2"/>
    <w:rsid w:val="00DD540B"/>
    <w:rsid w:val="00DD6A76"/>
    <w:rsid w:val="00DF3CB9"/>
    <w:rsid w:val="00DF53F8"/>
    <w:rsid w:val="00E01A61"/>
    <w:rsid w:val="00E10E90"/>
    <w:rsid w:val="00E11C7F"/>
    <w:rsid w:val="00E158D1"/>
    <w:rsid w:val="00E23941"/>
    <w:rsid w:val="00E30871"/>
    <w:rsid w:val="00E32C1D"/>
    <w:rsid w:val="00E35A3C"/>
    <w:rsid w:val="00E40070"/>
    <w:rsid w:val="00E411E5"/>
    <w:rsid w:val="00E434F1"/>
    <w:rsid w:val="00E45FA5"/>
    <w:rsid w:val="00E54046"/>
    <w:rsid w:val="00E54AD2"/>
    <w:rsid w:val="00E5777C"/>
    <w:rsid w:val="00E60E81"/>
    <w:rsid w:val="00E718BA"/>
    <w:rsid w:val="00E77FE3"/>
    <w:rsid w:val="00E84143"/>
    <w:rsid w:val="00E9251B"/>
    <w:rsid w:val="00E956B2"/>
    <w:rsid w:val="00ED4232"/>
    <w:rsid w:val="00EE242A"/>
    <w:rsid w:val="00EF0D40"/>
    <w:rsid w:val="00EF5758"/>
    <w:rsid w:val="00F04D7D"/>
    <w:rsid w:val="00F10527"/>
    <w:rsid w:val="00F12BD8"/>
    <w:rsid w:val="00F14AD4"/>
    <w:rsid w:val="00F23A86"/>
    <w:rsid w:val="00F32F8B"/>
    <w:rsid w:val="00F334C7"/>
    <w:rsid w:val="00F479D7"/>
    <w:rsid w:val="00F509F3"/>
    <w:rsid w:val="00F539B7"/>
    <w:rsid w:val="00F56F7F"/>
    <w:rsid w:val="00F778E4"/>
    <w:rsid w:val="00F854C6"/>
    <w:rsid w:val="00FA094F"/>
    <w:rsid w:val="00FA0996"/>
    <w:rsid w:val="00FA528A"/>
    <w:rsid w:val="00FB639B"/>
    <w:rsid w:val="00FC36F5"/>
    <w:rsid w:val="00FC51A9"/>
    <w:rsid w:val="00FD1C42"/>
    <w:rsid w:val="00FD3FE6"/>
    <w:rsid w:val="00FE2FBE"/>
    <w:rsid w:val="00FE30A5"/>
    <w:rsid w:val="00FE721A"/>
    <w:rsid w:val="00FF7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11DDA"/>
  <w15:docId w15:val="{1014189B-0831-4E8B-BDE2-6E1F116A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45"/>
    <w:pPr>
      <w:widowControl w:val="0"/>
    </w:pPr>
  </w:style>
  <w:style w:type="paragraph" w:styleId="Heading1">
    <w:name w:val="heading 1"/>
    <w:basedOn w:val="Normal"/>
    <w:link w:val="Heading1Char"/>
    <w:uiPriority w:val="99"/>
    <w:qFormat/>
    <w:rsid w:val="00477845"/>
    <w:pPr>
      <w:widowControl/>
      <w:spacing w:before="100" w:beforeAutospacing="1" w:after="100" w:afterAutospacing="1"/>
      <w:outlineLvl w:val="0"/>
    </w:pPr>
    <w:rPr>
      <w:rFonts w:ascii="PMingLiU" w:hAnsi="PMingLiU" w:cs="PMingLiU"/>
      <w:b/>
      <w:bCs/>
      <w:kern w:val="36"/>
      <w:sz w:val="48"/>
      <w:szCs w:val="48"/>
    </w:rPr>
  </w:style>
  <w:style w:type="paragraph" w:styleId="Heading2">
    <w:name w:val="heading 2"/>
    <w:basedOn w:val="Normal"/>
    <w:next w:val="Normal"/>
    <w:link w:val="Heading2Char"/>
    <w:semiHidden/>
    <w:unhideWhenUsed/>
    <w:qFormat/>
    <w:locked/>
    <w:rsid w:val="00911639"/>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45"/>
    <w:rPr>
      <w:rFonts w:ascii="PMingLiU" w:eastAsia="PMingLiU" w:hAnsi="PMingLiU" w:cs="PMingLiU"/>
      <w:b/>
      <w:bCs/>
      <w:kern w:val="36"/>
      <w:sz w:val="48"/>
      <w:szCs w:val="48"/>
    </w:rPr>
  </w:style>
  <w:style w:type="paragraph" w:styleId="Header">
    <w:name w:val="header"/>
    <w:basedOn w:val="Normal"/>
    <w:link w:val="HeaderChar"/>
    <w:uiPriority w:val="99"/>
    <w:rsid w:val="0047784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77845"/>
    <w:rPr>
      <w:rFonts w:cs="Times New Roman"/>
      <w:sz w:val="20"/>
      <w:szCs w:val="20"/>
    </w:rPr>
  </w:style>
  <w:style w:type="paragraph" w:styleId="Footer">
    <w:name w:val="footer"/>
    <w:basedOn w:val="Normal"/>
    <w:link w:val="FooterChar"/>
    <w:uiPriority w:val="99"/>
    <w:rsid w:val="0047784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77845"/>
    <w:rPr>
      <w:rFonts w:cs="Times New Roman"/>
      <w:sz w:val="20"/>
      <w:szCs w:val="20"/>
    </w:rPr>
  </w:style>
  <w:style w:type="paragraph" w:styleId="ListParagraph">
    <w:name w:val="List Paragraph"/>
    <w:basedOn w:val="Normal"/>
    <w:link w:val="ListParagraphChar"/>
    <w:uiPriority w:val="99"/>
    <w:qFormat/>
    <w:rsid w:val="00477845"/>
    <w:pPr>
      <w:ind w:leftChars="200" w:left="480"/>
    </w:pPr>
  </w:style>
  <w:style w:type="paragraph" w:customStyle="1" w:styleId="EndNoteBibliographyTitle">
    <w:name w:val="EndNote Bibliography Title"/>
    <w:basedOn w:val="Normal"/>
    <w:link w:val="EndNoteBibliographyTitle0"/>
    <w:uiPriority w:val="99"/>
    <w:rsid w:val="00477845"/>
    <w:pPr>
      <w:jc w:val="center"/>
    </w:pPr>
    <w:rPr>
      <w:noProof/>
    </w:rPr>
  </w:style>
  <w:style w:type="character" w:customStyle="1" w:styleId="ListParagraphChar">
    <w:name w:val="List Paragraph Char"/>
    <w:basedOn w:val="DefaultParagraphFont"/>
    <w:link w:val="ListParagraph"/>
    <w:uiPriority w:val="99"/>
    <w:locked/>
    <w:rsid w:val="00477845"/>
    <w:rPr>
      <w:rFonts w:cs="Times New Roman"/>
    </w:rPr>
  </w:style>
  <w:style w:type="character" w:customStyle="1" w:styleId="EndNoteBibliographyTitle0">
    <w:name w:val="EndNote Bibliography Title 字元"/>
    <w:basedOn w:val="ListParagraphChar"/>
    <w:link w:val="EndNoteBibliographyTitle"/>
    <w:uiPriority w:val="99"/>
    <w:locked/>
    <w:rsid w:val="00477845"/>
    <w:rPr>
      <w:rFonts w:ascii="Calibri" w:hAnsi="Calibri" w:cs="Times New Roman"/>
      <w:noProof/>
    </w:rPr>
  </w:style>
  <w:style w:type="paragraph" w:customStyle="1" w:styleId="EndNoteBibliography">
    <w:name w:val="EndNote Bibliography"/>
    <w:basedOn w:val="Normal"/>
    <w:link w:val="EndNoteBibliography0"/>
    <w:uiPriority w:val="99"/>
    <w:qFormat/>
    <w:rsid w:val="00477845"/>
    <w:rPr>
      <w:noProof/>
    </w:rPr>
  </w:style>
  <w:style w:type="character" w:customStyle="1" w:styleId="EndNoteBibliography0">
    <w:name w:val="EndNote Bibliography 字元"/>
    <w:basedOn w:val="ListParagraphChar"/>
    <w:link w:val="EndNoteBibliography"/>
    <w:uiPriority w:val="99"/>
    <w:locked/>
    <w:rsid w:val="00477845"/>
    <w:rPr>
      <w:rFonts w:ascii="Calibri" w:hAnsi="Calibri" w:cs="Times New Roman"/>
      <w:noProof/>
    </w:rPr>
  </w:style>
  <w:style w:type="character" w:styleId="Hyperlink">
    <w:name w:val="Hyperlink"/>
    <w:basedOn w:val="DefaultParagraphFont"/>
    <w:uiPriority w:val="99"/>
    <w:rsid w:val="00477845"/>
    <w:rPr>
      <w:rFonts w:cs="Times New Roman"/>
      <w:color w:val="0000FF"/>
      <w:u w:val="single"/>
    </w:rPr>
  </w:style>
  <w:style w:type="paragraph" w:styleId="BalloonText">
    <w:name w:val="Balloon Text"/>
    <w:basedOn w:val="Normal"/>
    <w:link w:val="BalloonTextChar"/>
    <w:uiPriority w:val="99"/>
    <w:semiHidden/>
    <w:rsid w:val="00477845"/>
    <w:rPr>
      <w:rFonts w:ascii="Cambria" w:hAnsi="Cambria"/>
      <w:sz w:val="18"/>
      <w:szCs w:val="18"/>
    </w:rPr>
  </w:style>
  <w:style w:type="character" w:customStyle="1" w:styleId="BalloonTextChar">
    <w:name w:val="Balloon Text Char"/>
    <w:basedOn w:val="DefaultParagraphFont"/>
    <w:link w:val="BalloonText"/>
    <w:uiPriority w:val="99"/>
    <w:semiHidden/>
    <w:locked/>
    <w:rsid w:val="00477845"/>
    <w:rPr>
      <w:rFonts w:ascii="Cambria" w:eastAsia="PMingLiU" w:hAnsi="Cambria" w:cs="Times New Roman"/>
      <w:sz w:val="18"/>
      <w:szCs w:val="18"/>
    </w:rPr>
  </w:style>
  <w:style w:type="paragraph" w:styleId="BodyText">
    <w:name w:val="Body Text"/>
    <w:basedOn w:val="Normal"/>
    <w:link w:val="BodyTextChar"/>
    <w:rsid w:val="00700AC4"/>
    <w:pPr>
      <w:jc w:val="center"/>
    </w:pPr>
    <w:rPr>
      <w:rFonts w:ascii="Times New Roman" w:hAnsi="Times New Roman"/>
      <w:b/>
      <w:bCs/>
      <w:sz w:val="28"/>
      <w:szCs w:val="24"/>
    </w:rPr>
  </w:style>
  <w:style w:type="character" w:customStyle="1" w:styleId="BodyTextChar">
    <w:name w:val="Body Text Char"/>
    <w:basedOn w:val="DefaultParagraphFont"/>
    <w:link w:val="BodyText"/>
    <w:semiHidden/>
    <w:rsid w:val="00700AC4"/>
    <w:rPr>
      <w:rFonts w:ascii="Times New Roman" w:hAnsi="Times New Roman"/>
      <w:b/>
      <w:bCs/>
      <w:sz w:val="28"/>
      <w:szCs w:val="24"/>
    </w:rPr>
  </w:style>
  <w:style w:type="paragraph" w:styleId="CommentText">
    <w:name w:val="annotation text"/>
    <w:basedOn w:val="Normal"/>
    <w:link w:val="CommentTextChar"/>
    <w:semiHidden/>
    <w:rsid w:val="00C07390"/>
    <w:pPr>
      <w:adjustRightInd w:val="0"/>
      <w:spacing w:line="360" w:lineRule="atLeast"/>
      <w:textAlignment w:val="baseline"/>
    </w:pPr>
    <w:rPr>
      <w:rFonts w:ascii="Times New Roman" w:hAnsi="Times New Roman"/>
      <w:kern w:val="0"/>
      <w:szCs w:val="20"/>
    </w:rPr>
  </w:style>
  <w:style w:type="character" w:customStyle="1" w:styleId="CommentTextChar">
    <w:name w:val="Comment Text Char"/>
    <w:basedOn w:val="DefaultParagraphFont"/>
    <w:link w:val="CommentText"/>
    <w:semiHidden/>
    <w:rsid w:val="00C07390"/>
    <w:rPr>
      <w:rFonts w:ascii="Times New Roman" w:hAnsi="Times New Roman"/>
      <w:kern w:val="0"/>
      <w:szCs w:val="20"/>
    </w:rPr>
  </w:style>
  <w:style w:type="character" w:customStyle="1" w:styleId="a">
    <w:name w:val="網際網路連結"/>
    <w:basedOn w:val="DefaultParagraphFont"/>
    <w:uiPriority w:val="99"/>
    <w:rsid w:val="00BD6852"/>
    <w:rPr>
      <w:rFonts w:cs="Times New Roman"/>
      <w:color w:val="0000FF"/>
      <w:u w:val="single"/>
    </w:rPr>
  </w:style>
  <w:style w:type="character" w:customStyle="1" w:styleId="highlight">
    <w:name w:val="highlight"/>
    <w:basedOn w:val="DefaultParagraphFont"/>
    <w:rsid w:val="00642E49"/>
  </w:style>
  <w:style w:type="character" w:customStyle="1" w:styleId="apple-converted-space">
    <w:name w:val="apple-converted-space"/>
    <w:basedOn w:val="DefaultParagraphFont"/>
    <w:rsid w:val="00642E49"/>
  </w:style>
  <w:style w:type="paragraph" w:customStyle="1" w:styleId="1">
    <w:name w:val="标题1"/>
    <w:basedOn w:val="Normal"/>
    <w:rsid w:val="005A0665"/>
    <w:pPr>
      <w:widowControl/>
      <w:spacing w:before="100" w:beforeAutospacing="1" w:after="100" w:afterAutospacing="1"/>
    </w:pPr>
    <w:rPr>
      <w:rFonts w:ascii="PMingLiU" w:hAnsi="PMingLiU" w:cs="PMingLiU"/>
      <w:kern w:val="0"/>
      <w:szCs w:val="24"/>
    </w:rPr>
  </w:style>
  <w:style w:type="paragraph" w:customStyle="1" w:styleId="desc">
    <w:name w:val="desc"/>
    <w:basedOn w:val="Normal"/>
    <w:rsid w:val="005A0665"/>
    <w:pPr>
      <w:widowControl/>
      <w:spacing w:before="100" w:beforeAutospacing="1" w:after="100" w:afterAutospacing="1"/>
    </w:pPr>
    <w:rPr>
      <w:rFonts w:ascii="PMingLiU" w:hAnsi="PMingLiU" w:cs="PMingLiU"/>
      <w:kern w:val="0"/>
      <w:szCs w:val="24"/>
    </w:rPr>
  </w:style>
  <w:style w:type="paragraph" w:customStyle="1" w:styleId="details">
    <w:name w:val="details"/>
    <w:basedOn w:val="Normal"/>
    <w:rsid w:val="005A0665"/>
    <w:pPr>
      <w:widowControl/>
      <w:spacing w:before="100" w:beforeAutospacing="1" w:after="100" w:afterAutospacing="1"/>
    </w:pPr>
    <w:rPr>
      <w:rFonts w:ascii="PMingLiU" w:hAnsi="PMingLiU" w:cs="PMingLiU"/>
      <w:kern w:val="0"/>
      <w:szCs w:val="24"/>
    </w:rPr>
  </w:style>
  <w:style w:type="character" w:customStyle="1" w:styleId="jrnl">
    <w:name w:val="jrnl"/>
    <w:basedOn w:val="DefaultParagraphFont"/>
    <w:rsid w:val="005A0665"/>
  </w:style>
  <w:style w:type="character" w:customStyle="1" w:styleId="nowrap2">
    <w:name w:val="nowrap2"/>
    <w:basedOn w:val="DefaultParagraphFont"/>
    <w:rsid w:val="00977880"/>
  </w:style>
  <w:style w:type="character" w:customStyle="1" w:styleId="Heading2Char">
    <w:name w:val="Heading 2 Char"/>
    <w:basedOn w:val="DefaultParagraphFont"/>
    <w:link w:val="Heading2"/>
    <w:semiHidden/>
    <w:rsid w:val="00911639"/>
    <w:rPr>
      <w:rFonts w:asciiTheme="majorHAnsi" w:eastAsiaTheme="majorEastAsia" w:hAnsiTheme="majorHAnsi" w:cstheme="majorBidi"/>
      <w:b/>
      <w:bCs/>
      <w:sz w:val="48"/>
      <w:szCs w:val="48"/>
    </w:rPr>
  </w:style>
  <w:style w:type="paragraph" w:customStyle="1" w:styleId="10">
    <w:name w:val="正文1"/>
    <w:uiPriority w:val="99"/>
    <w:rsid w:val="00413D75"/>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271">
      <w:bodyDiv w:val="1"/>
      <w:marLeft w:val="0"/>
      <w:marRight w:val="0"/>
      <w:marTop w:val="0"/>
      <w:marBottom w:val="0"/>
      <w:divBdr>
        <w:top w:val="none" w:sz="0" w:space="0" w:color="auto"/>
        <w:left w:val="none" w:sz="0" w:space="0" w:color="auto"/>
        <w:bottom w:val="none" w:sz="0" w:space="0" w:color="auto"/>
        <w:right w:val="none" w:sz="0" w:space="0" w:color="auto"/>
      </w:divBdr>
    </w:div>
    <w:div w:id="287589087">
      <w:bodyDiv w:val="1"/>
      <w:marLeft w:val="0"/>
      <w:marRight w:val="0"/>
      <w:marTop w:val="0"/>
      <w:marBottom w:val="0"/>
      <w:divBdr>
        <w:top w:val="none" w:sz="0" w:space="0" w:color="auto"/>
        <w:left w:val="none" w:sz="0" w:space="0" w:color="auto"/>
        <w:bottom w:val="none" w:sz="0" w:space="0" w:color="auto"/>
        <w:right w:val="none" w:sz="0" w:space="0" w:color="auto"/>
      </w:divBdr>
    </w:div>
    <w:div w:id="426072972">
      <w:bodyDiv w:val="1"/>
      <w:marLeft w:val="0"/>
      <w:marRight w:val="0"/>
      <w:marTop w:val="0"/>
      <w:marBottom w:val="0"/>
      <w:divBdr>
        <w:top w:val="none" w:sz="0" w:space="0" w:color="auto"/>
        <w:left w:val="none" w:sz="0" w:space="0" w:color="auto"/>
        <w:bottom w:val="none" w:sz="0" w:space="0" w:color="auto"/>
        <w:right w:val="none" w:sz="0" w:space="0" w:color="auto"/>
      </w:divBdr>
    </w:div>
    <w:div w:id="630087685">
      <w:bodyDiv w:val="1"/>
      <w:marLeft w:val="0"/>
      <w:marRight w:val="0"/>
      <w:marTop w:val="0"/>
      <w:marBottom w:val="0"/>
      <w:divBdr>
        <w:top w:val="none" w:sz="0" w:space="0" w:color="auto"/>
        <w:left w:val="none" w:sz="0" w:space="0" w:color="auto"/>
        <w:bottom w:val="none" w:sz="0" w:space="0" w:color="auto"/>
        <w:right w:val="none" w:sz="0" w:space="0" w:color="auto"/>
      </w:divBdr>
      <w:divsChild>
        <w:div w:id="464197144">
          <w:marLeft w:val="0"/>
          <w:marRight w:val="0"/>
          <w:marTop w:val="34"/>
          <w:marBottom w:val="34"/>
          <w:divBdr>
            <w:top w:val="none" w:sz="0" w:space="0" w:color="auto"/>
            <w:left w:val="none" w:sz="0" w:space="0" w:color="auto"/>
            <w:bottom w:val="none" w:sz="0" w:space="0" w:color="auto"/>
            <w:right w:val="none" w:sz="0" w:space="0" w:color="auto"/>
          </w:divBdr>
        </w:div>
        <w:div w:id="733698252">
          <w:marLeft w:val="0"/>
          <w:marRight w:val="0"/>
          <w:marTop w:val="0"/>
          <w:marBottom w:val="0"/>
          <w:divBdr>
            <w:top w:val="none" w:sz="0" w:space="0" w:color="auto"/>
            <w:left w:val="none" w:sz="0" w:space="0" w:color="auto"/>
            <w:bottom w:val="none" w:sz="0" w:space="0" w:color="auto"/>
            <w:right w:val="none" w:sz="0" w:space="0" w:color="auto"/>
          </w:divBdr>
        </w:div>
      </w:divsChild>
    </w:div>
    <w:div w:id="633486699">
      <w:bodyDiv w:val="1"/>
      <w:marLeft w:val="0"/>
      <w:marRight w:val="0"/>
      <w:marTop w:val="0"/>
      <w:marBottom w:val="0"/>
      <w:divBdr>
        <w:top w:val="none" w:sz="0" w:space="0" w:color="auto"/>
        <w:left w:val="none" w:sz="0" w:space="0" w:color="auto"/>
        <w:bottom w:val="none" w:sz="0" w:space="0" w:color="auto"/>
        <w:right w:val="none" w:sz="0" w:space="0" w:color="auto"/>
      </w:divBdr>
    </w:div>
    <w:div w:id="726031315">
      <w:bodyDiv w:val="1"/>
      <w:marLeft w:val="0"/>
      <w:marRight w:val="0"/>
      <w:marTop w:val="0"/>
      <w:marBottom w:val="0"/>
      <w:divBdr>
        <w:top w:val="none" w:sz="0" w:space="0" w:color="auto"/>
        <w:left w:val="none" w:sz="0" w:space="0" w:color="auto"/>
        <w:bottom w:val="none" w:sz="0" w:space="0" w:color="auto"/>
        <w:right w:val="none" w:sz="0" w:space="0" w:color="auto"/>
      </w:divBdr>
    </w:div>
    <w:div w:id="731463672">
      <w:bodyDiv w:val="1"/>
      <w:marLeft w:val="0"/>
      <w:marRight w:val="0"/>
      <w:marTop w:val="0"/>
      <w:marBottom w:val="0"/>
      <w:divBdr>
        <w:top w:val="none" w:sz="0" w:space="0" w:color="auto"/>
        <w:left w:val="none" w:sz="0" w:space="0" w:color="auto"/>
        <w:bottom w:val="none" w:sz="0" w:space="0" w:color="auto"/>
        <w:right w:val="none" w:sz="0" w:space="0" w:color="auto"/>
      </w:divBdr>
    </w:div>
    <w:div w:id="767895096">
      <w:bodyDiv w:val="1"/>
      <w:marLeft w:val="0"/>
      <w:marRight w:val="0"/>
      <w:marTop w:val="0"/>
      <w:marBottom w:val="0"/>
      <w:divBdr>
        <w:top w:val="none" w:sz="0" w:space="0" w:color="auto"/>
        <w:left w:val="none" w:sz="0" w:space="0" w:color="auto"/>
        <w:bottom w:val="none" w:sz="0" w:space="0" w:color="auto"/>
        <w:right w:val="none" w:sz="0" w:space="0" w:color="auto"/>
      </w:divBdr>
    </w:div>
    <w:div w:id="817263733">
      <w:bodyDiv w:val="1"/>
      <w:marLeft w:val="0"/>
      <w:marRight w:val="0"/>
      <w:marTop w:val="0"/>
      <w:marBottom w:val="0"/>
      <w:divBdr>
        <w:top w:val="none" w:sz="0" w:space="0" w:color="auto"/>
        <w:left w:val="none" w:sz="0" w:space="0" w:color="auto"/>
        <w:bottom w:val="none" w:sz="0" w:space="0" w:color="auto"/>
        <w:right w:val="none" w:sz="0" w:space="0" w:color="auto"/>
      </w:divBdr>
    </w:div>
    <w:div w:id="820385004">
      <w:bodyDiv w:val="1"/>
      <w:marLeft w:val="0"/>
      <w:marRight w:val="0"/>
      <w:marTop w:val="0"/>
      <w:marBottom w:val="0"/>
      <w:divBdr>
        <w:top w:val="none" w:sz="0" w:space="0" w:color="auto"/>
        <w:left w:val="none" w:sz="0" w:space="0" w:color="auto"/>
        <w:bottom w:val="none" w:sz="0" w:space="0" w:color="auto"/>
        <w:right w:val="none" w:sz="0" w:space="0" w:color="auto"/>
      </w:divBdr>
      <w:divsChild>
        <w:div w:id="90511480">
          <w:marLeft w:val="0"/>
          <w:marRight w:val="0"/>
          <w:marTop w:val="34"/>
          <w:marBottom w:val="34"/>
          <w:divBdr>
            <w:top w:val="none" w:sz="0" w:space="0" w:color="auto"/>
            <w:left w:val="none" w:sz="0" w:space="0" w:color="auto"/>
            <w:bottom w:val="none" w:sz="0" w:space="0" w:color="auto"/>
            <w:right w:val="none" w:sz="0" w:space="0" w:color="auto"/>
          </w:divBdr>
        </w:div>
        <w:div w:id="1412582793">
          <w:marLeft w:val="0"/>
          <w:marRight w:val="0"/>
          <w:marTop w:val="0"/>
          <w:marBottom w:val="0"/>
          <w:divBdr>
            <w:top w:val="none" w:sz="0" w:space="0" w:color="auto"/>
            <w:left w:val="none" w:sz="0" w:space="0" w:color="auto"/>
            <w:bottom w:val="none" w:sz="0" w:space="0" w:color="auto"/>
            <w:right w:val="none" w:sz="0" w:space="0" w:color="auto"/>
          </w:divBdr>
        </w:div>
      </w:divsChild>
    </w:div>
    <w:div w:id="930628149">
      <w:bodyDiv w:val="1"/>
      <w:marLeft w:val="0"/>
      <w:marRight w:val="0"/>
      <w:marTop w:val="0"/>
      <w:marBottom w:val="0"/>
      <w:divBdr>
        <w:top w:val="none" w:sz="0" w:space="0" w:color="auto"/>
        <w:left w:val="none" w:sz="0" w:space="0" w:color="auto"/>
        <w:bottom w:val="none" w:sz="0" w:space="0" w:color="auto"/>
        <w:right w:val="none" w:sz="0" w:space="0" w:color="auto"/>
      </w:divBdr>
      <w:divsChild>
        <w:div w:id="10033585">
          <w:marLeft w:val="0"/>
          <w:marRight w:val="0"/>
          <w:marTop w:val="34"/>
          <w:marBottom w:val="34"/>
          <w:divBdr>
            <w:top w:val="none" w:sz="0" w:space="0" w:color="auto"/>
            <w:left w:val="none" w:sz="0" w:space="0" w:color="auto"/>
            <w:bottom w:val="none" w:sz="0" w:space="0" w:color="auto"/>
            <w:right w:val="none" w:sz="0" w:space="0" w:color="auto"/>
          </w:divBdr>
        </w:div>
      </w:divsChild>
    </w:div>
    <w:div w:id="1047215851">
      <w:bodyDiv w:val="1"/>
      <w:marLeft w:val="0"/>
      <w:marRight w:val="0"/>
      <w:marTop w:val="0"/>
      <w:marBottom w:val="0"/>
      <w:divBdr>
        <w:top w:val="none" w:sz="0" w:space="0" w:color="auto"/>
        <w:left w:val="none" w:sz="0" w:space="0" w:color="auto"/>
        <w:bottom w:val="none" w:sz="0" w:space="0" w:color="auto"/>
        <w:right w:val="none" w:sz="0" w:space="0" w:color="auto"/>
      </w:divBdr>
    </w:div>
    <w:div w:id="1133907265">
      <w:bodyDiv w:val="1"/>
      <w:marLeft w:val="0"/>
      <w:marRight w:val="0"/>
      <w:marTop w:val="0"/>
      <w:marBottom w:val="0"/>
      <w:divBdr>
        <w:top w:val="none" w:sz="0" w:space="0" w:color="auto"/>
        <w:left w:val="none" w:sz="0" w:space="0" w:color="auto"/>
        <w:bottom w:val="none" w:sz="0" w:space="0" w:color="auto"/>
        <w:right w:val="none" w:sz="0" w:space="0" w:color="auto"/>
      </w:divBdr>
    </w:div>
    <w:div w:id="1144078620">
      <w:bodyDiv w:val="1"/>
      <w:marLeft w:val="0"/>
      <w:marRight w:val="0"/>
      <w:marTop w:val="0"/>
      <w:marBottom w:val="0"/>
      <w:divBdr>
        <w:top w:val="none" w:sz="0" w:space="0" w:color="auto"/>
        <w:left w:val="none" w:sz="0" w:space="0" w:color="auto"/>
        <w:bottom w:val="none" w:sz="0" w:space="0" w:color="auto"/>
        <w:right w:val="none" w:sz="0" w:space="0" w:color="auto"/>
      </w:divBdr>
      <w:divsChild>
        <w:div w:id="1990205504">
          <w:marLeft w:val="0"/>
          <w:marRight w:val="0"/>
          <w:marTop w:val="34"/>
          <w:marBottom w:val="34"/>
          <w:divBdr>
            <w:top w:val="none" w:sz="0" w:space="0" w:color="auto"/>
            <w:left w:val="none" w:sz="0" w:space="0" w:color="auto"/>
            <w:bottom w:val="none" w:sz="0" w:space="0" w:color="auto"/>
            <w:right w:val="none" w:sz="0" w:space="0" w:color="auto"/>
          </w:divBdr>
        </w:div>
        <w:div w:id="1348367266">
          <w:marLeft w:val="0"/>
          <w:marRight w:val="0"/>
          <w:marTop w:val="0"/>
          <w:marBottom w:val="0"/>
          <w:divBdr>
            <w:top w:val="none" w:sz="0" w:space="0" w:color="auto"/>
            <w:left w:val="none" w:sz="0" w:space="0" w:color="auto"/>
            <w:bottom w:val="none" w:sz="0" w:space="0" w:color="auto"/>
            <w:right w:val="none" w:sz="0" w:space="0" w:color="auto"/>
          </w:divBdr>
        </w:div>
      </w:divsChild>
    </w:div>
    <w:div w:id="1175264046">
      <w:bodyDiv w:val="1"/>
      <w:marLeft w:val="0"/>
      <w:marRight w:val="0"/>
      <w:marTop w:val="0"/>
      <w:marBottom w:val="0"/>
      <w:divBdr>
        <w:top w:val="none" w:sz="0" w:space="0" w:color="auto"/>
        <w:left w:val="none" w:sz="0" w:space="0" w:color="auto"/>
        <w:bottom w:val="none" w:sz="0" w:space="0" w:color="auto"/>
        <w:right w:val="none" w:sz="0" w:space="0" w:color="auto"/>
      </w:divBdr>
    </w:div>
    <w:div w:id="1208644805">
      <w:bodyDiv w:val="1"/>
      <w:marLeft w:val="0"/>
      <w:marRight w:val="0"/>
      <w:marTop w:val="0"/>
      <w:marBottom w:val="0"/>
      <w:divBdr>
        <w:top w:val="none" w:sz="0" w:space="0" w:color="auto"/>
        <w:left w:val="none" w:sz="0" w:space="0" w:color="auto"/>
        <w:bottom w:val="none" w:sz="0" w:space="0" w:color="auto"/>
        <w:right w:val="none" w:sz="0" w:space="0" w:color="auto"/>
      </w:divBdr>
    </w:div>
    <w:div w:id="1298415238">
      <w:bodyDiv w:val="1"/>
      <w:marLeft w:val="0"/>
      <w:marRight w:val="0"/>
      <w:marTop w:val="0"/>
      <w:marBottom w:val="0"/>
      <w:divBdr>
        <w:top w:val="none" w:sz="0" w:space="0" w:color="auto"/>
        <w:left w:val="none" w:sz="0" w:space="0" w:color="auto"/>
        <w:bottom w:val="none" w:sz="0" w:space="0" w:color="auto"/>
        <w:right w:val="none" w:sz="0" w:space="0" w:color="auto"/>
      </w:divBdr>
    </w:div>
    <w:div w:id="1351681387">
      <w:bodyDiv w:val="1"/>
      <w:marLeft w:val="0"/>
      <w:marRight w:val="0"/>
      <w:marTop w:val="0"/>
      <w:marBottom w:val="0"/>
      <w:divBdr>
        <w:top w:val="none" w:sz="0" w:space="0" w:color="auto"/>
        <w:left w:val="none" w:sz="0" w:space="0" w:color="auto"/>
        <w:bottom w:val="none" w:sz="0" w:space="0" w:color="auto"/>
        <w:right w:val="none" w:sz="0" w:space="0" w:color="auto"/>
      </w:divBdr>
    </w:div>
    <w:div w:id="1473673462">
      <w:bodyDiv w:val="1"/>
      <w:marLeft w:val="0"/>
      <w:marRight w:val="0"/>
      <w:marTop w:val="0"/>
      <w:marBottom w:val="0"/>
      <w:divBdr>
        <w:top w:val="none" w:sz="0" w:space="0" w:color="auto"/>
        <w:left w:val="none" w:sz="0" w:space="0" w:color="auto"/>
        <w:bottom w:val="none" w:sz="0" w:space="0" w:color="auto"/>
        <w:right w:val="none" w:sz="0" w:space="0" w:color="auto"/>
      </w:divBdr>
    </w:div>
    <w:div w:id="1521627435">
      <w:bodyDiv w:val="1"/>
      <w:marLeft w:val="0"/>
      <w:marRight w:val="0"/>
      <w:marTop w:val="0"/>
      <w:marBottom w:val="0"/>
      <w:divBdr>
        <w:top w:val="none" w:sz="0" w:space="0" w:color="auto"/>
        <w:left w:val="none" w:sz="0" w:space="0" w:color="auto"/>
        <w:bottom w:val="none" w:sz="0" w:space="0" w:color="auto"/>
        <w:right w:val="none" w:sz="0" w:space="0" w:color="auto"/>
      </w:divBdr>
    </w:div>
    <w:div w:id="1534073322">
      <w:bodyDiv w:val="1"/>
      <w:marLeft w:val="0"/>
      <w:marRight w:val="0"/>
      <w:marTop w:val="0"/>
      <w:marBottom w:val="0"/>
      <w:divBdr>
        <w:top w:val="none" w:sz="0" w:space="0" w:color="auto"/>
        <w:left w:val="none" w:sz="0" w:space="0" w:color="auto"/>
        <w:bottom w:val="none" w:sz="0" w:space="0" w:color="auto"/>
        <w:right w:val="none" w:sz="0" w:space="0" w:color="auto"/>
      </w:divBdr>
    </w:div>
    <w:div w:id="1589925305">
      <w:bodyDiv w:val="1"/>
      <w:marLeft w:val="0"/>
      <w:marRight w:val="0"/>
      <w:marTop w:val="0"/>
      <w:marBottom w:val="0"/>
      <w:divBdr>
        <w:top w:val="none" w:sz="0" w:space="0" w:color="auto"/>
        <w:left w:val="none" w:sz="0" w:space="0" w:color="auto"/>
        <w:bottom w:val="none" w:sz="0" w:space="0" w:color="auto"/>
        <w:right w:val="none" w:sz="0" w:space="0" w:color="auto"/>
      </w:divBdr>
    </w:div>
    <w:div w:id="1632587379">
      <w:bodyDiv w:val="1"/>
      <w:marLeft w:val="0"/>
      <w:marRight w:val="0"/>
      <w:marTop w:val="0"/>
      <w:marBottom w:val="0"/>
      <w:divBdr>
        <w:top w:val="none" w:sz="0" w:space="0" w:color="auto"/>
        <w:left w:val="none" w:sz="0" w:space="0" w:color="auto"/>
        <w:bottom w:val="none" w:sz="0" w:space="0" w:color="auto"/>
        <w:right w:val="none" w:sz="0" w:space="0" w:color="auto"/>
      </w:divBdr>
    </w:div>
    <w:div w:id="2012443461">
      <w:bodyDiv w:val="1"/>
      <w:marLeft w:val="0"/>
      <w:marRight w:val="0"/>
      <w:marTop w:val="0"/>
      <w:marBottom w:val="0"/>
      <w:divBdr>
        <w:top w:val="none" w:sz="0" w:space="0" w:color="auto"/>
        <w:left w:val="none" w:sz="0" w:space="0" w:color="auto"/>
        <w:bottom w:val="none" w:sz="0" w:space="0" w:color="auto"/>
        <w:right w:val="none" w:sz="0" w:space="0" w:color="auto"/>
      </w:divBdr>
      <w:divsChild>
        <w:div w:id="1933198081">
          <w:marLeft w:val="0"/>
          <w:marRight w:val="0"/>
          <w:marTop w:val="34"/>
          <w:marBottom w:val="34"/>
          <w:divBdr>
            <w:top w:val="none" w:sz="0" w:space="0" w:color="auto"/>
            <w:left w:val="none" w:sz="0" w:space="0" w:color="auto"/>
            <w:bottom w:val="none" w:sz="0" w:space="0" w:color="auto"/>
            <w:right w:val="none" w:sz="0" w:space="0" w:color="auto"/>
          </w:divBdr>
        </w:div>
        <w:div w:id="371618984">
          <w:marLeft w:val="0"/>
          <w:marRight w:val="0"/>
          <w:marTop w:val="0"/>
          <w:marBottom w:val="0"/>
          <w:divBdr>
            <w:top w:val="none" w:sz="0" w:space="0" w:color="auto"/>
            <w:left w:val="none" w:sz="0" w:space="0" w:color="auto"/>
            <w:bottom w:val="none" w:sz="0" w:space="0" w:color="auto"/>
            <w:right w:val="none" w:sz="0" w:space="0" w:color="auto"/>
          </w:divBdr>
        </w:div>
      </w:divsChild>
    </w:div>
    <w:div w:id="20579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905-4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3-1996-50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4407</Words>
  <Characters>25124</Characters>
  <Application>Microsoft Office Word</Application>
  <DocSecurity>0</DocSecurity>
  <Lines>209</Lines>
  <Paragraphs>58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Update on the second-line treatment for Helicobacter pylori infection</vt:lpstr>
      <vt:lpstr>Update on the second-line treatment for Helicobacter pylori infection</vt:lpstr>
    </vt:vector>
  </TitlesOfParts>
  <Company>Microsoft</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second-line treatment for Helicobacter pylori infection</dc:title>
  <dc:creator>user</dc:creator>
  <cp:lastModifiedBy>Na Ma</cp:lastModifiedBy>
  <cp:revision>2</cp:revision>
  <cp:lastPrinted>2018-09-09T03:17:00Z</cp:lastPrinted>
  <dcterms:created xsi:type="dcterms:W3CDTF">2018-10-05T18:16:00Z</dcterms:created>
  <dcterms:modified xsi:type="dcterms:W3CDTF">2018-10-05T18:16:00Z</dcterms:modified>
</cp:coreProperties>
</file>