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F9938" w14:textId="77777777" w:rsidR="00851579" w:rsidRPr="00E47A42" w:rsidRDefault="00851579"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 xml:space="preserve">Name of Journal: </w:t>
      </w:r>
      <w:r w:rsidRPr="00E47A42">
        <w:rPr>
          <w:rFonts w:ascii="Book Antiqua" w:hAnsi="Book Antiqua" w:cs="Times New Roman"/>
          <w:b/>
          <w:i/>
          <w:sz w:val="24"/>
          <w:szCs w:val="24"/>
          <w:lang w:val="en-US"/>
        </w:rPr>
        <w:t>World Journal of Gastroenterology</w:t>
      </w:r>
    </w:p>
    <w:p w14:paraId="15B5FFFE" w14:textId="58FE20FF" w:rsidR="00851579" w:rsidRPr="00E47A42" w:rsidRDefault="00851579"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Manuscript NO: 41644</w:t>
      </w:r>
    </w:p>
    <w:p w14:paraId="13ED7AFE" w14:textId="0592678B" w:rsidR="0000726C" w:rsidRPr="00E47A42" w:rsidRDefault="00851579"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 xml:space="preserve">Manuscript Type: </w:t>
      </w:r>
      <w:r w:rsidR="0000726C" w:rsidRPr="00E47A42">
        <w:rPr>
          <w:rFonts w:ascii="Book Antiqua" w:hAnsi="Book Antiqua" w:cs="Times New Roman"/>
          <w:b/>
          <w:caps/>
          <w:sz w:val="24"/>
          <w:szCs w:val="24"/>
          <w:lang w:val="en-US"/>
        </w:rPr>
        <w:t>Original Article</w:t>
      </w:r>
    </w:p>
    <w:p w14:paraId="12AD2CD2" w14:textId="77777777" w:rsidR="00E47A42" w:rsidRDefault="00E47A42" w:rsidP="00F73ADC">
      <w:pPr>
        <w:snapToGrid w:val="0"/>
        <w:spacing w:after="0" w:line="360" w:lineRule="auto"/>
        <w:jc w:val="both"/>
        <w:rPr>
          <w:rFonts w:ascii="Book Antiqua" w:hAnsi="Book Antiqua" w:cs="Times New Roman"/>
          <w:sz w:val="24"/>
          <w:szCs w:val="24"/>
          <w:lang w:val="en-US" w:eastAsia="zh-CN"/>
        </w:rPr>
      </w:pPr>
    </w:p>
    <w:p w14:paraId="7B4AFA72" w14:textId="25F06707" w:rsidR="00E47A42" w:rsidRPr="00E47A42" w:rsidRDefault="00851579" w:rsidP="00F73ADC">
      <w:pPr>
        <w:snapToGrid w:val="0"/>
        <w:spacing w:after="0" w:line="360" w:lineRule="auto"/>
        <w:jc w:val="both"/>
        <w:rPr>
          <w:rFonts w:ascii="Book Antiqua" w:hAnsi="Book Antiqua" w:cs="Times New Roman"/>
          <w:b/>
          <w:i/>
          <w:sz w:val="24"/>
          <w:szCs w:val="24"/>
          <w:lang w:val="en-US" w:eastAsia="zh-CN"/>
        </w:rPr>
      </w:pPr>
      <w:r w:rsidRPr="00E47A42">
        <w:rPr>
          <w:rFonts w:ascii="Book Antiqua" w:hAnsi="Book Antiqua" w:cs="Times New Roman"/>
          <w:b/>
          <w:i/>
          <w:sz w:val="24"/>
          <w:szCs w:val="24"/>
          <w:lang w:val="en-US"/>
        </w:rPr>
        <w:t>Basic Study</w:t>
      </w:r>
    </w:p>
    <w:p w14:paraId="1C27F9EF" w14:textId="56D671F6" w:rsidR="002410ED" w:rsidRPr="00E47A42" w:rsidRDefault="002410ED"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Counteraction of perforated cecum lesions in rats:</w:t>
      </w:r>
      <w:r w:rsidR="0080664F" w:rsidRPr="00E47A42">
        <w:rPr>
          <w:rFonts w:ascii="Book Antiqua" w:hAnsi="Book Antiqua" w:cs="Times New Roman"/>
          <w:b/>
          <w:sz w:val="24"/>
          <w:szCs w:val="24"/>
          <w:lang w:val="en-US"/>
        </w:rPr>
        <w:t xml:space="preserve"> </w:t>
      </w:r>
      <w:r w:rsidR="0080664F" w:rsidRPr="00B6720D">
        <w:rPr>
          <w:rFonts w:ascii="Book Antiqua" w:hAnsi="Book Antiqua" w:cs="Times New Roman"/>
          <w:b/>
          <w:caps/>
          <w:sz w:val="24"/>
          <w:szCs w:val="24"/>
          <w:lang w:val="en-US"/>
        </w:rPr>
        <w:t>e</w:t>
      </w:r>
      <w:r w:rsidR="0080664F" w:rsidRPr="00E47A42">
        <w:rPr>
          <w:rFonts w:ascii="Book Antiqua" w:hAnsi="Book Antiqua" w:cs="Times New Roman"/>
          <w:b/>
          <w:sz w:val="24"/>
          <w:szCs w:val="24"/>
          <w:lang w:val="en-US"/>
        </w:rPr>
        <w:t>ffects of</w:t>
      </w:r>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pentadecapeptide</w:t>
      </w:r>
      <w:proofErr w:type="spellEnd"/>
      <w:r w:rsidRPr="00E47A42">
        <w:rPr>
          <w:rFonts w:ascii="Book Antiqua" w:hAnsi="Book Antiqua" w:cs="Times New Roman"/>
          <w:b/>
          <w:sz w:val="24"/>
          <w:szCs w:val="24"/>
          <w:lang w:val="en-US"/>
        </w:rPr>
        <w:t xml:space="preserve"> BPC 157, L-NAME and L-arginine </w:t>
      </w:r>
    </w:p>
    <w:p w14:paraId="0676E42C" w14:textId="77777777" w:rsidR="00E47A42" w:rsidRDefault="00E47A42" w:rsidP="00F73ADC">
      <w:pPr>
        <w:snapToGrid w:val="0"/>
        <w:spacing w:after="0" w:line="360" w:lineRule="auto"/>
        <w:jc w:val="both"/>
        <w:rPr>
          <w:rFonts w:ascii="Book Antiqua" w:hAnsi="Book Antiqua" w:cs="Times New Roman"/>
          <w:sz w:val="24"/>
          <w:szCs w:val="24"/>
          <w:lang w:val="en-US" w:eastAsia="zh-CN"/>
        </w:rPr>
      </w:pPr>
    </w:p>
    <w:p w14:paraId="538ABD1E" w14:textId="5A87C9CE" w:rsidR="005A5746" w:rsidRPr="00E47A42" w:rsidRDefault="00C23D37"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Drmic D </w:t>
      </w:r>
      <w:r w:rsidRPr="00C23D37">
        <w:rPr>
          <w:rFonts w:ascii="Book Antiqua" w:hAnsi="Book Antiqua" w:cs="Times New Roman"/>
          <w:i/>
          <w:sz w:val="24"/>
          <w:szCs w:val="24"/>
          <w:lang w:val="en-US" w:eastAsia="zh-CN"/>
        </w:rPr>
        <w:t>et al</w:t>
      </w:r>
      <w:r>
        <w:rPr>
          <w:rFonts w:ascii="Book Antiqua" w:hAnsi="Book Antiqua" w:cs="Times New Roman" w:hint="eastAsia"/>
          <w:sz w:val="24"/>
          <w:szCs w:val="24"/>
          <w:lang w:val="en-US" w:eastAsia="zh-CN"/>
        </w:rPr>
        <w:t>.</w:t>
      </w:r>
      <w:r w:rsidR="007E1F13">
        <w:rPr>
          <w:rFonts w:ascii="Book Antiqua" w:hAnsi="Book Antiqua" w:cs="Times New Roman" w:hint="eastAsia"/>
          <w:sz w:val="24"/>
          <w:szCs w:val="24"/>
          <w:lang w:val="en-US" w:eastAsia="zh-CN"/>
        </w:rPr>
        <w:t xml:space="preserve"> </w:t>
      </w:r>
      <w:r w:rsidR="005A5746" w:rsidRPr="00E47A42">
        <w:rPr>
          <w:rFonts w:ascii="Book Antiqua" w:hAnsi="Book Antiqua" w:cs="Times New Roman"/>
          <w:sz w:val="24"/>
          <w:szCs w:val="24"/>
          <w:lang w:val="en-US"/>
        </w:rPr>
        <w:t>Perforated cecum, BPC 157 and the NO system</w:t>
      </w:r>
    </w:p>
    <w:p w14:paraId="1A1C3019" w14:textId="77777777" w:rsidR="00E47A42" w:rsidRDefault="00E47A42" w:rsidP="00F73ADC">
      <w:pPr>
        <w:snapToGrid w:val="0"/>
        <w:spacing w:after="0" w:line="360" w:lineRule="auto"/>
        <w:jc w:val="both"/>
        <w:rPr>
          <w:rFonts w:ascii="Book Antiqua" w:hAnsi="Book Antiqua" w:cs="Times New Roman"/>
          <w:sz w:val="24"/>
          <w:szCs w:val="24"/>
          <w:lang w:val="en-US" w:eastAsia="zh-CN"/>
        </w:rPr>
      </w:pPr>
    </w:p>
    <w:p w14:paraId="03C60F2C" w14:textId="77777777" w:rsidR="00E47A42" w:rsidRDefault="002410ED" w:rsidP="00F73ADC">
      <w:pPr>
        <w:snapToGrid w:val="0"/>
        <w:spacing w:after="0" w:line="360" w:lineRule="auto"/>
        <w:jc w:val="both"/>
        <w:rPr>
          <w:rFonts w:ascii="Book Antiqua" w:hAnsi="Book Antiqua" w:cs="Times New Roman"/>
          <w:sz w:val="24"/>
          <w:szCs w:val="24"/>
          <w:lang w:val="en-US" w:eastAsia="zh-CN"/>
        </w:rPr>
      </w:pPr>
      <w:proofErr w:type="spellStart"/>
      <w:r w:rsidRPr="00E47A42">
        <w:rPr>
          <w:rFonts w:ascii="Book Antiqua" w:hAnsi="Book Antiqua" w:cs="Times New Roman"/>
          <w:sz w:val="24"/>
          <w:szCs w:val="24"/>
          <w:lang w:val="en-US"/>
        </w:rPr>
        <w:t>Domagoj</w:t>
      </w:r>
      <w:proofErr w:type="spellEnd"/>
      <w:r w:rsidRPr="00E47A42">
        <w:rPr>
          <w:rFonts w:ascii="Book Antiqua" w:hAnsi="Book Antiqua" w:cs="Times New Roman"/>
          <w:sz w:val="24"/>
          <w:szCs w:val="24"/>
          <w:lang w:val="en-US"/>
        </w:rPr>
        <w:t xml:space="preserve"> Drmic, Mariam Samara, </w:t>
      </w:r>
      <w:proofErr w:type="spellStart"/>
      <w:r w:rsidRPr="00E47A42">
        <w:rPr>
          <w:rFonts w:ascii="Book Antiqua" w:hAnsi="Book Antiqua" w:cs="Times New Roman"/>
          <w:sz w:val="24"/>
          <w:szCs w:val="24"/>
          <w:lang w:val="en-US"/>
        </w:rPr>
        <w:t>Tinka</w:t>
      </w:r>
      <w:proofErr w:type="spellEnd"/>
      <w:r w:rsidRPr="00E47A42">
        <w:rPr>
          <w:rFonts w:ascii="Book Antiqua" w:hAnsi="Book Antiqua" w:cs="Times New Roman"/>
          <w:sz w:val="24"/>
          <w:szCs w:val="24"/>
          <w:lang w:val="en-US"/>
        </w:rPr>
        <w:t xml:space="preserve"> Vidovic, Dominik </w:t>
      </w:r>
      <w:proofErr w:type="spellStart"/>
      <w:r w:rsidRPr="00E47A42">
        <w:rPr>
          <w:rFonts w:ascii="Book Antiqua" w:hAnsi="Book Antiqua" w:cs="Times New Roman"/>
          <w:sz w:val="24"/>
          <w:szCs w:val="24"/>
          <w:lang w:val="en-US"/>
        </w:rPr>
        <w:t>Malekinusic</w:t>
      </w:r>
      <w:proofErr w:type="spellEnd"/>
      <w:r w:rsidRPr="00E47A42">
        <w:rPr>
          <w:rFonts w:ascii="Book Antiqua" w:hAnsi="Book Antiqua" w:cs="Times New Roman"/>
          <w:sz w:val="24"/>
          <w:szCs w:val="24"/>
          <w:lang w:val="en-US"/>
        </w:rPr>
        <w:t xml:space="preserve">, Marko </w:t>
      </w:r>
      <w:proofErr w:type="spellStart"/>
      <w:r w:rsidRPr="00E47A42">
        <w:rPr>
          <w:rFonts w:ascii="Book Antiqua" w:hAnsi="Book Antiqua" w:cs="Times New Roman"/>
          <w:sz w:val="24"/>
          <w:szCs w:val="24"/>
          <w:lang w:val="en-US"/>
        </w:rPr>
        <w:t>Antunovic</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Borna</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Vrdoljak</w:t>
      </w:r>
      <w:proofErr w:type="spellEnd"/>
      <w:r w:rsidRPr="00E47A42">
        <w:rPr>
          <w:rFonts w:ascii="Book Antiqua" w:hAnsi="Book Antiqua" w:cs="Times New Roman"/>
          <w:sz w:val="24"/>
          <w:szCs w:val="24"/>
          <w:lang w:val="en-US"/>
        </w:rPr>
        <w:t xml:space="preserve">, Jelena </w:t>
      </w:r>
      <w:r w:rsidRPr="00E47A42">
        <w:rPr>
          <w:rFonts w:ascii="Book Antiqua" w:hAnsi="Book Antiqua" w:cs="Times New Roman"/>
          <w:noProof/>
          <w:sz w:val="24"/>
          <w:szCs w:val="24"/>
          <w:lang w:val="en-US"/>
        </w:rPr>
        <w:t>Ruzman</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Marija</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Milkovic</w:t>
      </w:r>
      <w:proofErr w:type="spellEnd"/>
      <w:r w:rsidRPr="00E47A42">
        <w:rPr>
          <w:rFonts w:ascii="Book Antiqua" w:hAnsi="Book Antiqua" w:cs="Times New Roman"/>
          <w:sz w:val="24"/>
          <w:szCs w:val="24"/>
          <w:lang w:val="en-US"/>
        </w:rPr>
        <w:t xml:space="preserve"> </w:t>
      </w:r>
      <w:r w:rsidRPr="00E47A42">
        <w:rPr>
          <w:rFonts w:ascii="Book Antiqua" w:hAnsi="Book Antiqua" w:cs="Times New Roman"/>
          <w:noProof/>
          <w:sz w:val="24"/>
          <w:szCs w:val="24"/>
          <w:lang w:val="en-US"/>
        </w:rPr>
        <w:t>Perisa</w:t>
      </w:r>
      <w:r w:rsidRPr="00E47A42">
        <w:rPr>
          <w:rFonts w:ascii="Book Antiqua" w:hAnsi="Book Antiqua" w:cs="Times New Roman"/>
          <w:sz w:val="24"/>
          <w:szCs w:val="24"/>
          <w:lang w:val="en-US"/>
        </w:rPr>
        <w:t xml:space="preserve">, </w:t>
      </w:r>
      <w:r w:rsidR="004C2F23" w:rsidRPr="00E47A42">
        <w:rPr>
          <w:rFonts w:ascii="Book Antiqua" w:hAnsi="Book Antiqua" w:cs="Times New Roman"/>
          <w:sz w:val="24"/>
          <w:szCs w:val="24"/>
          <w:lang w:val="en-US"/>
        </w:rPr>
        <w:t xml:space="preserve">Katarina Horvat Pavlov, </w:t>
      </w:r>
      <w:proofErr w:type="spellStart"/>
      <w:r w:rsidRPr="00E47A42">
        <w:rPr>
          <w:rFonts w:ascii="Book Antiqua" w:hAnsi="Book Antiqua" w:cs="Times New Roman"/>
          <w:sz w:val="24"/>
          <w:szCs w:val="24"/>
          <w:lang w:val="en-US"/>
        </w:rPr>
        <w:t>Jerusha</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Jeyakumar</w:t>
      </w:r>
      <w:proofErr w:type="spellEnd"/>
      <w:r w:rsidRPr="00E47A42">
        <w:rPr>
          <w:rFonts w:ascii="Book Antiqua" w:hAnsi="Book Antiqua" w:cs="Times New Roman"/>
          <w:sz w:val="24"/>
          <w:szCs w:val="24"/>
          <w:lang w:val="en-US"/>
        </w:rPr>
        <w:t xml:space="preserve">, Sven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Predrag</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Sikiric</w:t>
      </w:r>
      <w:proofErr w:type="spellEnd"/>
    </w:p>
    <w:p w14:paraId="2CCC5E14" w14:textId="77777777" w:rsidR="00E47A42" w:rsidRPr="00E47A42" w:rsidRDefault="00E47A42" w:rsidP="00F73ADC">
      <w:pPr>
        <w:snapToGrid w:val="0"/>
        <w:spacing w:after="0" w:line="360" w:lineRule="auto"/>
        <w:jc w:val="both"/>
        <w:rPr>
          <w:rFonts w:ascii="Book Antiqua" w:hAnsi="Book Antiqua" w:cs="Times New Roman"/>
          <w:b/>
          <w:sz w:val="24"/>
          <w:szCs w:val="24"/>
          <w:lang w:val="en-US" w:eastAsia="zh-CN"/>
        </w:rPr>
      </w:pPr>
    </w:p>
    <w:p w14:paraId="5D56522D" w14:textId="49710641" w:rsidR="005A5746" w:rsidRPr="00E47A42" w:rsidRDefault="00E47A42" w:rsidP="00F73ADC">
      <w:pPr>
        <w:snapToGrid w:val="0"/>
        <w:spacing w:after="0" w:line="360" w:lineRule="auto"/>
        <w:jc w:val="both"/>
        <w:rPr>
          <w:rFonts w:ascii="Book Antiqua" w:hAnsi="Book Antiqua" w:cs="Times New Roman"/>
          <w:sz w:val="24"/>
          <w:szCs w:val="24"/>
          <w:lang w:val="en-US" w:eastAsia="zh-CN"/>
        </w:rPr>
      </w:pPr>
      <w:proofErr w:type="spellStart"/>
      <w:r w:rsidRPr="00E47A42">
        <w:rPr>
          <w:rFonts w:ascii="Book Antiqua" w:hAnsi="Book Antiqua" w:cs="Times New Roman"/>
          <w:b/>
          <w:sz w:val="24"/>
          <w:szCs w:val="24"/>
          <w:lang w:val="en-US"/>
        </w:rPr>
        <w:t>Domagoj</w:t>
      </w:r>
      <w:proofErr w:type="spellEnd"/>
      <w:r w:rsidRPr="00E47A42">
        <w:rPr>
          <w:rFonts w:ascii="Book Antiqua" w:hAnsi="Book Antiqua" w:cs="Times New Roman"/>
          <w:b/>
          <w:sz w:val="24"/>
          <w:szCs w:val="24"/>
          <w:lang w:val="en-US"/>
        </w:rPr>
        <w:t xml:space="preserve"> Drmic, Mariam Samara, </w:t>
      </w:r>
      <w:proofErr w:type="spellStart"/>
      <w:r w:rsidRPr="00E47A42">
        <w:rPr>
          <w:rFonts w:ascii="Book Antiqua" w:hAnsi="Book Antiqua" w:cs="Times New Roman"/>
          <w:b/>
          <w:sz w:val="24"/>
          <w:szCs w:val="24"/>
          <w:lang w:val="en-US"/>
        </w:rPr>
        <w:t>Tinka</w:t>
      </w:r>
      <w:proofErr w:type="spellEnd"/>
      <w:r w:rsidRPr="00E47A42">
        <w:rPr>
          <w:rFonts w:ascii="Book Antiqua" w:hAnsi="Book Antiqua" w:cs="Times New Roman"/>
          <w:b/>
          <w:sz w:val="24"/>
          <w:szCs w:val="24"/>
          <w:lang w:val="en-US"/>
        </w:rPr>
        <w:t xml:space="preserve"> Vidovic, Dominik </w:t>
      </w:r>
      <w:proofErr w:type="spellStart"/>
      <w:r w:rsidRPr="00E47A42">
        <w:rPr>
          <w:rFonts w:ascii="Book Antiqua" w:hAnsi="Book Antiqua" w:cs="Times New Roman"/>
          <w:b/>
          <w:sz w:val="24"/>
          <w:szCs w:val="24"/>
          <w:lang w:val="en-US"/>
        </w:rPr>
        <w:t>Malekinusic</w:t>
      </w:r>
      <w:proofErr w:type="spellEnd"/>
      <w:r w:rsidRPr="00E47A42">
        <w:rPr>
          <w:rFonts w:ascii="Book Antiqua" w:hAnsi="Book Antiqua" w:cs="Times New Roman"/>
          <w:b/>
          <w:sz w:val="24"/>
          <w:szCs w:val="24"/>
          <w:lang w:val="en-US"/>
        </w:rPr>
        <w:t xml:space="preserve">, Marko </w:t>
      </w:r>
      <w:proofErr w:type="spellStart"/>
      <w:r w:rsidRPr="00E47A42">
        <w:rPr>
          <w:rFonts w:ascii="Book Antiqua" w:hAnsi="Book Antiqua" w:cs="Times New Roman"/>
          <w:b/>
          <w:sz w:val="24"/>
          <w:szCs w:val="24"/>
          <w:lang w:val="en-US"/>
        </w:rPr>
        <w:t>Antunovic</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Borna</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Vrdoljak</w:t>
      </w:r>
      <w:proofErr w:type="spellEnd"/>
      <w:r w:rsidRPr="00E47A42">
        <w:rPr>
          <w:rFonts w:ascii="Book Antiqua" w:hAnsi="Book Antiqua" w:cs="Times New Roman"/>
          <w:b/>
          <w:sz w:val="24"/>
          <w:szCs w:val="24"/>
          <w:lang w:val="en-US"/>
        </w:rPr>
        <w:t xml:space="preserve">, Jelena </w:t>
      </w:r>
      <w:r w:rsidRPr="00E47A42">
        <w:rPr>
          <w:rFonts w:ascii="Book Antiqua" w:hAnsi="Book Antiqua" w:cs="Times New Roman"/>
          <w:b/>
          <w:noProof/>
          <w:sz w:val="24"/>
          <w:szCs w:val="24"/>
          <w:lang w:val="en-US"/>
        </w:rPr>
        <w:t>Ruzman</w:t>
      </w:r>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Marija</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Milkovic</w:t>
      </w:r>
      <w:proofErr w:type="spellEnd"/>
      <w:r w:rsidRPr="00E47A42">
        <w:rPr>
          <w:rFonts w:ascii="Book Antiqua" w:hAnsi="Book Antiqua" w:cs="Times New Roman"/>
          <w:b/>
          <w:sz w:val="24"/>
          <w:szCs w:val="24"/>
          <w:lang w:val="en-US"/>
        </w:rPr>
        <w:t xml:space="preserve"> </w:t>
      </w:r>
      <w:r w:rsidRPr="00E47A42">
        <w:rPr>
          <w:rFonts w:ascii="Book Antiqua" w:hAnsi="Book Antiqua" w:cs="Times New Roman"/>
          <w:b/>
          <w:noProof/>
          <w:sz w:val="24"/>
          <w:szCs w:val="24"/>
          <w:lang w:val="en-US"/>
        </w:rPr>
        <w:t>Perisa</w:t>
      </w:r>
      <w:r w:rsidRPr="00E47A42">
        <w:rPr>
          <w:rFonts w:ascii="Book Antiqua" w:hAnsi="Book Antiqua" w:cs="Times New Roman"/>
          <w:b/>
          <w:sz w:val="24"/>
          <w:szCs w:val="24"/>
          <w:lang w:val="en-US"/>
        </w:rPr>
        <w:t xml:space="preserve">, Katarina Horvat Pavlov, </w:t>
      </w:r>
      <w:proofErr w:type="spellStart"/>
      <w:r w:rsidRPr="00E47A42">
        <w:rPr>
          <w:rFonts w:ascii="Book Antiqua" w:hAnsi="Book Antiqua" w:cs="Times New Roman"/>
          <w:b/>
          <w:sz w:val="24"/>
          <w:szCs w:val="24"/>
          <w:lang w:val="en-US"/>
        </w:rPr>
        <w:t>Jerusha</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Jeyakumar</w:t>
      </w:r>
      <w:proofErr w:type="spellEnd"/>
      <w:r w:rsidRPr="00E47A42">
        <w:rPr>
          <w:rFonts w:ascii="Book Antiqua" w:hAnsi="Book Antiqua" w:cs="Times New Roman"/>
          <w:b/>
          <w:sz w:val="24"/>
          <w:szCs w:val="24"/>
          <w:lang w:val="en-US"/>
        </w:rPr>
        <w:t xml:space="preserve">, Sven </w:t>
      </w:r>
      <w:proofErr w:type="spellStart"/>
      <w:r w:rsidRPr="00E47A42">
        <w:rPr>
          <w:rFonts w:ascii="Book Antiqua" w:hAnsi="Book Antiqua" w:cs="Times New Roman"/>
          <w:b/>
          <w:sz w:val="24"/>
          <w:szCs w:val="24"/>
          <w:lang w:val="en-US"/>
        </w:rPr>
        <w:t>Seiwerth</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Predrag</w:t>
      </w:r>
      <w:proofErr w:type="spellEnd"/>
      <w:r w:rsidRPr="00E47A42">
        <w:rPr>
          <w:rFonts w:ascii="Book Antiqua" w:hAnsi="Book Antiqua" w:cs="Times New Roman"/>
          <w:b/>
          <w:sz w:val="24"/>
          <w:szCs w:val="24"/>
          <w:lang w:val="en-US"/>
        </w:rPr>
        <w:t xml:space="preserve"> </w:t>
      </w:r>
      <w:proofErr w:type="spellStart"/>
      <w:r w:rsidRPr="00E47A42">
        <w:rPr>
          <w:rFonts w:ascii="Book Antiqua" w:hAnsi="Book Antiqua" w:cs="Times New Roman"/>
          <w:b/>
          <w:sz w:val="24"/>
          <w:szCs w:val="24"/>
          <w:lang w:val="en-US"/>
        </w:rPr>
        <w:t>Sikiric</w:t>
      </w:r>
      <w:proofErr w:type="spellEnd"/>
      <w:r w:rsidRPr="00E47A42">
        <w:rPr>
          <w:rFonts w:ascii="Book Antiqua" w:hAnsi="Book Antiqua" w:cs="Times New Roman" w:hint="eastAsia"/>
          <w:b/>
          <w:sz w:val="24"/>
          <w:szCs w:val="24"/>
          <w:lang w:val="en-US" w:eastAsia="zh-CN"/>
        </w:rPr>
        <w:t>,</w:t>
      </w:r>
      <w:r>
        <w:rPr>
          <w:rFonts w:ascii="Book Antiqua" w:hAnsi="Book Antiqua" w:cs="Times New Roman" w:hint="eastAsia"/>
          <w:sz w:val="24"/>
          <w:szCs w:val="24"/>
          <w:lang w:val="en-US" w:eastAsia="zh-CN"/>
        </w:rPr>
        <w:t xml:space="preserve"> </w:t>
      </w:r>
      <w:r w:rsidR="005A5746" w:rsidRPr="00E47A42">
        <w:rPr>
          <w:rFonts w:ascii="Book Antiqua" w:hAnsi="Book Antiqua" w:cs="Times New Roman"/>
          <w:sz w:val="24"/>
          <w:szCs w:val="24"/>
          <w:lang w:val="en-US"/>
        </w:rPr>
        <w:t>Departments of Pharmacology and Pathology, Medical Faculty University of Zagreb, Zagreb</w:t>
      </w:r>
      <w:r w:rsidR="00E467EB">
        <w:rPr>
          <w:rFonts w:ascii="Book Antiqua" w:hAnsi="Book Antiqua" w:cs="Times New Roman" w:hint="eastAsia"/>
          <w:sz w:val="24"/>
          <w:szCs w:val="24"/>
          <w:lang w:val="en-US" w:eastAsia="zh-CN"/>
        </w:rPr>
        <w:t xml:space="preserve"> </w:t>
      </w:r>
      <w:r w:rsidR="00E467EB" w:rsidRPr="00E47A42">
        <w:rPr>
          <w:rFonts w:ascii="Book Antiqua" w:hAnsi="Book Antiqua" w:cs="Times New Roman"/>
          <w:sz w:val="24"/>
          <w:szCs w:val="24"/>
          <w:lang w:val="en-US"/>
        </w:rPr>
        <w:t>10000</w:t>
      </w:r>
      <w:r w:rsidR="005A5746" w:rsidRPr="00E47A42">
        <w:rPr>
          <w:rFonts w:ascii="Book Antiqua" w:hAnsi="Book Antiqua" w:cs="Times New Roman"/>
          <w:sz w:val="24"/>
          <w:szCs w:val="24"/>
          <w:lang w:val="en-US"/>
        </w:rPr>
        <w:t>, Croatia</w:t>
      </w:r>
    </w:p>
    <w:p w14:paraId="466DE6D4" w14:textId="77777777" w:rsidR="00E47A42" w:rsidRPr="00616E28" w:rsidRDefault="00E47A42" w:rsidP="00F73ADC">
      <w:pPr>
        <w:snapToGrid w:val="0"/>
        <w:spacing w:after="0" w:line="360" w:lineRule="auto"/>
        <w:jc w:val="both"/>
        <w:rPr>
          <w:rFonts w:ascii="Book Antiqua" w:hAnsi="Book Antiqua" w:cs="Times New Roman"/>
          <w:sz w:val="24"/>
          <w:szCs w:val="24"/>
          <w:lang w:val="en-US" w:eastAsia="zh-CN"/>
        </w:rPr>
      </w:pPr>
    </w:p>
    <w:p w14:paraId="0B3ADB4D" w14:textId="3F68B5D9" w:rsidR="005A5746" w:rsidRPr="00E47A42" w:rsidRDefault="00851579" w:rsidP="00F73ADC">
      <w:pPr>
        <w:snapToGrid w:val="0"/>
        <w:spacing w:after="0" w:line="360" w:lineRule="auto"/>
        <w:jc w:val="both"/>
        <w:rPr>
          <w:rFonts w:ascii="Book Antiqua" w:hAnsi="Book Antiqua" w:cs="Times New Roman"/>
          <w:sz w:val="24"/>
          <w:szCs w:val="24"/>
          <w:lang w:val="en-US" w:eastAsia="zh-CN"/>
        </w:rPr>
      </w:pPr>
      <w:r w:rsidRPr="00E47A42">
        <w:rPr>
          <w:rFonts w:ascii="Book Antiqua" w:hAnsi="Book Antiqua" w:cs="Times New Roman"/>
          <w:b/>
          <w:sz w:val="24"/>
          <w:szCs w:val="24"/>
          <w:lang w:val="en-US"/>
        </w:rPr>
        <w:t>ORCID number:</w:t>
      </w:r>
      <w:r w:rsidR="00E47A42">
        <w:rPr>
          <w:rFonts w:ascii="Book Antiqua" w:hAnsi="Book Antiqua" w:cs="Times New Roman" w:hint="eastAsia"/>
          <w:sz w:val="24"/>
          <w:szCs w:val="24"/>
          <w:lang w:val="en-US" w:eastAsia="zh-CN"/>
        </w:rPr>
        <w:t xml:space="preserve"> </w:t>
      </w:r>
      <w:proofErr w:type="spellStart"/>
      <w:r w:rsidRPr="00E47A42">
        <w:rPr>
          <w:rFonts w:ascii="Book Antiqua" w:hAnsi="Book Antiqua" w:cs="Times New Roman"/>
          <w:sz w:val="24"/>
          <w:szCs w:val="24"/>
          <w:lang w:val="en-US"/>
        </w:rPr>
        <w:t>Domagoj</w:t>
      </w:r>
      <w:proofErr w:type="spellEnd"/>
      <w:r w:rsidRPr="00E47A42">
        <w:rPr>
          <w:rFonts w:ascii="Book Antiqua" w:hAnsi="Book Antiqua" w:cs="Times New Roman"/>
          <w:sz w:val="24"/>
          <w:szCs w:val="24"/>
          <w:lang w:val="en-US"/>
        </w:rPr>
        <w:t xml:space="preserve"> Drmic (0000-0002-1081-7175)</w:t>
      </w:r>
      <w:r w:rsidR="00B6720D">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Mariam Samara (0000-0003-2384-273X)</w:t>
      </w:r>
      <w:r w:rsidR="00B6720D">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Tinka</w:t>
      </w:r>
      <w:proofErr w:type="spellEnd"/>
      <w:r w:rsidRPr="00E47A42">
        <w:rPr>
          <w:rFonts w:ascii="Book Antiqua" w:hAnsi="Book Antiqua" w:cs="Times New Roman"/>
          <w:sz w:val="24"/>
          <w:szCs w:val="24"/>
          <w:lang w:val="en-US"/>
        </w:rPr>
        <w:t xml:space="preserve"> Vidovic (0000-0003-0092-9365)</w:t>
      </w:r>
      <w:r w:rsidR="00B6720D">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Dominik </w:t>
      </w:r>
      <w:proofErr w:type="spellStart"/>
      <w:r w:rsidRPr="00E47A42">
        <w:rPr>
          <w:rFonts w:ascii="Book Antiqua" w:hAnsi="Book Antiqua" w:cs="Times New Roman"/>
          <w:sz w:val="24"/>
          <w:szCs w:val="24"/>
          <w:lang w:val="en-US"/>
        </w:rPr>
        <w:t>Malekinusic</w:t>
      </w:r>
      <w:proofErr w:type="spellEnd"/>
      <w:r w:rsidRPr="00E47A42">
        <w:rPr>
          <w:rFonts w:ascii="Book Antiqua" w:hAnsi="Book Antiqua" w:cs="Times New Roman"/>
          <w:sz w:val="24"/>
          <w:szCs w:val="24"/>
          <w:lang w:val="en-US"/>
        </w:rPr>
        <w:t xml:space="preserve"> (</w:t>
      </w:r>
      <w:r w:rsidRPr="00E47A42">
        <w:rPr>
          <w:rFonts w:ascii="Book Antiqua" w:hAnsi="Book Antiqua" w:cs="Times New Roman"/>
          <w:sz w:val="24"/>
          <w:szCs w:val="24"/>
        </w:rPr>
        <w:t>0000-0001-6258-5647)</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Marko Antunovic (0000-0002-3801-5481)</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Borna Vrdoljak (0000-0003-2306-8799)</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Jelena </w:t>
      </w:r>
      <w:r w:rsidRPr="00E47A42">
        <w:rPr>
          <w:rFonts w:ascii="Book Antiqua" w:hAnsi="Book Antiqua" w:cs="Times New Roman"/>
          <w:noProof/>
          <w:sz w:val="24"/>
          <w:szCs w:val="24"/>
        </w:rPr>
        <w:t>Ruzman</w:t>
      </w:r>
      <w:r w:rsidRPr="00E47A42">
        <w:rPr>
          <w:rFonts w:ascii="Book Antiqua" w:hAnsi="Book Antiqua" w:cs="Times New Roman"/>
          <w:sz w:val="24"/>
          <w:szCs w:val="24"/>
        </w:rPr>
        <w:t xml:space="preserve"> (0000-0002-9807-7270)</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Marija Milkovic Perisa (0000-0002-9530-9208)</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Katarina Horvat Pavlov (0000-0002-2661-7346)</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Jerusha Jeyakumar (0000-0003-4883-3899)</w:t>
      </w:r>
      <w:r w:rsidR="00B6720D">
        <w:rPr>
          <w:rFonts w:ascii="Book Antiqua" w:hAnsi="Book Antiqua" w:cs="Times New Roman" w:hint="eastAsia"/>
          <w:sz w:val="24"/>
          <w:szCs w:val="24"/>
          <w:lang w:eastAsia="zh-CN"/>
        </w:rPr>
        <w:t>;</w:t>
      </w:r>
      <w:r w:rsidRPr="00E47A42">
        <w:rPr>
          <w:rFonts w:ascii="Book Antiqua" w:hAnsi="Book Antiqua" w:cs="Times New Roman"/>
          <w:sz w:val="24"/>
          <w:szCs w:val="24"/>
        </w:rPr>
        <w:t xml:space="preserve"> </w:t>
      </w:r>
      <w:r w:rsidRPr="00E47A42">
        <w:rPr>
          <w:rFonts w:ascii="Book Antiqua" w:hAnsi="Book Antiqua" w:cs="Times New Roman"/>
          <w:sz w:val="24"/>
          <w:szCs w:val="24"/>
          <w:lang w:val="en-US"/>
        </w:rPr>
        <w:t xml:space="preserve">Sven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(0000-0002-5894-419X)</w:t>
      </w:r>
      <w:r w:rsidR="00B6720D">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Predrag</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(0000-0002-7952-2252)</w:t>
      </w:r>
      <w:r w:rsidR="00B6720D">
        <w:rPr>
          <w:rFonts w:ascii="Book Antiqua" w:hAnsi="Book Antiqua" w:cs="Times New Roman" w:hint="eastAsia"/>
          <w:sz w:val="24"/>
          <w:szCs w:val="24"/>
          <w:lang w:val="en-US" w:eastAsia="zh-CN"/>
        </w:rPr>
        <w:t>.</w:t>
      </w:r>
    </w:p>
    <w:p w14:paraId="01DACFC3" w14:textId="77777777" w:rsidR="005B46CC" w:rsidRPr="00E47A42" w:rsidRDefault="005B46CC" w:rsidP="00F73ADC">
      <w:pPr>
        <w:snapToGrid w:val="0"/>
        <w:spacing w:after="0" w:line="360" w:lineRule="auto"/>
        <w:jc w:val="both"/>
        <w:rPr>
          <w:rFonts w:ascii="Book Antiqua" w:hAnsi="Book Antiqua" w:cs="Times New Roman"/>
          <w:sz w:val="24"/>
          <w:szCs w:val="24"/>
          <w:lang w:val="en-US"/>
        </w:rPr>
      </w:pPr>
    </w:p>
    <w:p w14:paraId="217C8F0E" w14:textId="1F58BD8A" w:rsidR="005A5746" w:rsidRPr="00E47A42" w:rsidRDefault="005A5746"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Author contributions:</w:t>
      </w:r>
      <w:r w:rsidR="00E47A42">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 xml:space="preserve">Drmic D,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designed the research.</w:t>
      </w:r>
      <w:r w:rsidR="00CB6D86">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Drmic D, Samara M, Vidovic T, </w:t>
      </w:r>
      <w:proofErr w:type="spellStart"/>
      <w:r w:rsidRPr="00E47A42">
        <w:rPr>
          <w:rFonts w:ascii="Book Antiqua" w:hAnsi="Book Antiqua" w:cs="Times New Roman"/>
          <w:sz w:val="24"/>
          <w:szCs w:val="24"/>
          <w:lang w:val="en-US"/>
        </w:rPr>
        <w:t>Malekinusic</w:t>
      </w:r>
      <w:proofErr w:type="spellEnd"/>
      <w:r w:rsidRPr="00E47A42">
        <w:rPr>
          <w:rFonts w:ascii="Book Antiqua" w:hAnsi="Book Antiqua" w:cs="Times New Roman"/>
          <w:sz w:val="24"/>
          <w:szCs w:val="24"/>
          <w:lang w:val="en-US"/>
        </w:rPr>
        <w:t xml:space="preserve"> D, </w:t>
      </w:r>
      <w:proofErr w:type="spellStart"/>
      <w:r w:rsidRPr="00E47A42">
        <w:rPr>
          <w:rFonts w:ascii="Book Antiqua" w:hAnsi="Book Antiqua" w:cs="Times New Roman"/>
          <w:sz w:val="24"/>
          <w:szCs w:val="24"/>
          <w:lang w:val="en-US"/>
        </w:rPr>
        <w:t>Antunovic</w:t>
      </w:r>
      <w:proofErr w:type="spellEnd"/>
      <w:r w:rsidRPr="00E47A42">
        <w:rPr>
          <w:rFonts w:ascii="Book Antiqua" w:hAnsi="Book Antiqua" w:cs="Times New Roman"/>
          <w:sz w:val="24"/>
          <w:szCs w:val="24"/>
          <w:lang w:val="en-US"/>
        </w:rPr>
        <w:t xml:space="preserve"> M, </w:t>
      </w:r>
      <w:proofErr w:type="spellStart"/>
      <w:r w:rsidRPr="00E47A42">
        <w:rPr>
          <w:rFonts w:ascii="Book Antiqua" w:hAnsi="Book Antiqua" w:cs="Times New Roman"/>
          <w:sz w:val="24"/>
          <w:szCs w:val="24"/>
          <w:lang w:val="en-US"/>
        </w:rPr>
        <w:t>Vrdoljak</w:t>
      </w:r>
      <w:proofErr w:type="spellEnd"/>
      <w:r w:rsidRPr="00E47A42">
        <w:rPr>
          <w:rFonts w:ascii="Book Antiqua" w:hAnsi="Book Antiqua" w:cs="Times New Roman"/>
          <w:sz w:val="24"/>
          <w:szCs w:val="24"/>
          <w:lang w:val="en-US"/>
        </w:rPr>
        <w:t xml:space="preserve"> B, </w:t>
      </w:r>
      <w:proofErr w:type="spellStart"/>
      <w:r w:rsidRPr="00E47A42">
        <w:rPr>
          <w:rFonts w:ascii="Book Antiqua" w:hAnsi="Book Antiqua" w:cs="Times New Roman"/>
          <w:sz w:val="24"/>
          <w:szCs w:val="24"/>
          <w:lang w:val="en-US"/>
        </w:rPr>
        <w:t>Ruzman</w:t>
      </w:r>
      <w:proofErr w:type="spellEnd"/>
      <w:r w:rsidRPr="00E47A42">
        <w:rPr>
          <w:rFonts w:ascii="Book Antiqua" w:hAnsi="Book Antiqua" w:cs="Times New Roman"/>
          <w:sz w:val="24"/>
          <w:szCs w:val="24"/>
          <w:lang w:val="en-US"/>
        </w:rPr>
        <w:t xml:space="preserve"> J,</w:t>
      </w:r>
      <w:r w:rsidR="00926D6D" w:rsidRPr="00E47A42">
        <w:rPr>
          <w:rFonts w:ascii="Book Antiqua" w:hAnsi="Book Antiqua" w:cs="Times New Roman"/>
          <w:sz w:val="24"/>
          <w:szCs w:val="24"/>
          <w:lang w:val="en-US"/>
        </w:rPr>
        <w:t xml:space="preserve"> </w:t>
      </w:r>
      <w:proofErr w:type="spellStart"/>
      <w:r w:rsidR="004C2F23" w:rsidRPr="00E47A42">
        <w:rPr>
          <w:rFonts w:ascii="Book Antiqua" w:hAnsi="Book Antiqua" w:cs="Times New Roman"/>
          <w:sz w:val="24"/>
          <w:szCs w:val="24"/>
          <w:lang w:val="en-US"/>
        </w:rPr>
        <w:t>Milkovic</w:t>
      </w:r>
      <w:proofErr w:type="spellEnd"/>
      <w:r w:rsidR="004C2F23" w:rsidRPr="00E47A42">
        <w:rPr>
          <w:rFonts w:ascii="Book Antiqua" w:hAnsi="Book Antiqua" w:cs="Times New Roman"/>
          <w:sz w:val="24"/>
          <w:szCs w:val="24"/>
          <w:lang w:val="en-US"/>
        </w:rPr>
        <w:t xml:space="preserve"> </w:t>
      </w:r>
      <w:proofErr w:type="spellStart"/>
      <w:r w:rsidR="004C2F23" w:rsidRPr="00E47A42">
        <w:rPr>
          <w:rFonts w:ascii="Book Antiqua" w:hAnsi="Book Antiqua" w:cs="Times New Roman"/>
          <w:sz w:val="24"/>
          <w:szCs w:val="24"/>
          <w:lang w:val="en-US"/>
        </w:rPr>
        <w:t>Perisa</w:t>
      </w:r>
      <w:proofErr w:type="spellEnd"/>
      <w:r w:rsidR="004C2F23" w:rsidRPr="00E47A42">
        <w:rPr>
          <w:rFonts w:ascii="Book Antiqua" w:hAnsi="Book Antiqua" w:cs="Times New Roman"/>
          <w:sz w:val="24"/>
          <w:szCs w:val="24"/>
          <w:lang w:val="en-US"/>
        </w:rPr>
        <w:t xml:space="preserve"> M, </w:t>
      </w:r>
      <w:r w:rsidR="00926D6D" w:rsidRPr="00E47A42">
        <w:rPr>
          <w:rFonts w:ascii="Book Antiqua" w:hAnsi="Book Antiqua" w:cs="Times New Roman"/>
          <w:sz w:val="24"/>
          <w:szCs w:val="24"/>
          <w:lang w:val="en-US"/>
        </w:rPr>
        <w:t>Horvat Pavlov K</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Jeyakumar</w:t>
      </w:r>
      <w:proofErr w:type="spellEnd"/>
      <w:r w:rsidRPr="00E47A42">
        <w:rPr>
          <w:rFonts w:ascii="Book Antiqua" w:hAnsi="Book Antiqua" w:cs="Times New Roman"/>
          <w:sz w:val="24"/>
          <w:szCs w:val="24"/>
          <w:lang w:val="en-US"/>
        </w:rPr>
        <w:t xml:space="preserve"> J,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w:t>
      </w:r>
      <w:r w:rsidRPr="00E47A42">
        <w:rPr>
          <w:rFonts w:ascii="Book Antiqua" w:hAnsi="Book Antiqua" w:cs="Times New Roman"/>
          <w:sz w:val="24"/>
          <w:szCs w:val="24"/>
          <w:lang w:val="en-US"/>
        </w:rPr>
        <w:lastRenderedPageBreak/>
        <w:t xml:space="preserve">performed the research.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contributed reagents and analytic tools. Drmic D, Samara M, Vidovic T, </w:t>
      </w:r>
      <w:proofErr w:type="spellStart"/>
      <w:r w:rsidRPr="00E47A42">
        <w:rPr>
          <w:rFonts w:ascii="Book Antiqua" w:hAnsi="Book Antiqua" w:cs="Times New Roman"/>
          <w:sz w:val="24"/>
          <w:szCs w:val="24"/>
          <w:lang w:val="en-US"/>
        </w:rPr>
        <w:t>Malekinusic</w:t>
      </w:r>
      <w:proofErr w:type="spellEnd"/>
      <w:r w:rsidRPr="00E47A42">
        <w:rPr>
          <w:rFonts w:ascii="Book Antiqua" w:hAnsi="Book Antiqua" w:cs="Times New Roman"/>
          <w:sz w:val="24"/>
          <w:szCs w:val="24"/>
          <w:lang w:val="en-US"/>
        </w:rPr>
        <w:t xml:space="preserve"> D, </w:t>
      </w:r>
      <w:proofErr w:type="spellStart"/>
      <w:r w:rsidRPr="00E47A42">
        <w:rPr>
          <w:rFonts w:ascii="Book Antiqua" w:hAnsi="Book Antiqua" w:cs="Times New Roman"/>
          <w:sz w:val="24"/>
          <w:szCs w:val="24"/>
          <w:lang w:val="en-US"/>
        </w:rPr>
        <w:t>Antunovic</w:t>
      </w:r>
      <w:proofErr w:type="spellEnd"/>
      <w:r w:rsidRPr="00E47A42">
        <w:rPr>
          <w:rFonts w:ascii="Book Antiqua" w:hAnsi="Book Antiqua" w:cs="Times New Roman"/>
          <w:sz w:val="24"/>
          <w:szCs w:val="24"/>
          <w:lang w:val="en-US"/>
        </w:rPr>
        <w:t xml:space="preserve"> M, </w:t>
      </w:r>
      <w:proofErr w:type="spellStart"/>
      <w:r w:rsidRPr="00E47A42">
        <w:rPr>
          <w:rFonts w:ascii="Book Antiqua" w:hAnsi="Book Antiqua" w:cs="Times New Roman"/>
          <w:sz w:val="24"/>
          <w:szCs w:val="24"/>
          <w:lang w:val="en-US"/>
        </w:rPr>
        <w:t>Vrdoljak</w:t>
      </w:r>
      <w:proofErr w:type="spellEnd"/>
      <w:r w:rsidRPr="00E47A42">
        <w:rPr>
          <w:rFonts w:ascii="Book Antiqua" w:hAnsi="Book Antiqua" w:cs="Times New Roman"/>
          <w:sz w:val="24"/>
          <w:szCs w:val="24"/>
          <w:lang w:val="en-US"/>
        </w:rPr>
        <w:t xml:space="preserve"> B, </w:t>
      </w:r>
      <w:r w:rsidRPr="00E47A42">
        <w:rPr>
          <w:rFonts w:ascii="Book Antiqua" w:hAnsi="Book Antiqua" w:cs="Times New Roman"/>
          <w:noProof/>
          <w:sz w:val="24"/>
          <w:szCs w:val="24"/>
          <w:lang w:val="en-US"/>
        </w:rPr>
        <w:t>Ruzman</w:t>
      </w:r>
      <w:r w:rsidRPr="00E47A42">
        <w:rPr>
          <w:rFonts w:ascii="Book Antiqua" w:hAnsi="Book Antiqua" w:cs="Times New Roman"/>
          <w:sz w:val="24"/>
          <w:szCs w:val="24"/>
          <w:lang w:val="en-US"/>
        </w:rPr>
        <w:t xml:space="preserve"> J, </w:t>
      </w:r>
      <w:proofErr w:type="spellStart"/>
      <w:r w:rsidR="004C2F23" w:rsidRPr="00E47A42">
        <w:rPr>
          <w:rFonts w:ascii="Book Antiqua" w:hAnsi="Book Antiqua" w:cs="Times New Roman"/>
          <w:sz w:val="24"/>
          <w:szCs w:val="24"/>
          <w:lang w:val="en-US"/>
        </w:rPr>
        <w:t>Milkovic</w:t>
      </w:r>
      <w:proofErr w:type="spellEnd"/>
      <w:r w:rsidR="004C2F23" w:rsidRPr="00E47A42">
        <w:rPr>
          <w:rFonts w:ascii="Book Antiqua" w:hAnsi="Book Antiqua" w:cs="Times New Roman"/>
          <w:sz w:val="24"/>
          <w:szCs w:val="24"/>
          <w:lang w:val="en-US"/>
        </w:rPr>
        <w:t xml:space="preserve"> </w:t>
      </w:r>
      <w:proofErr w:type="spellStart"/>
      <w:r w:rsidR="004C2F23" w:rsidRPr="00E47A42">
        <w:rPr>
          <w:rFonts w:ascii="Book Antiqua" w:hAnsi="Book Antiqua" w:cs="Times New Roman"/>
          <w:sz w:val="24"/>
          <w:szCs w:val="24"/>
          <w:lang w:val="en-US"/>
        </w:rPr>
        <w:t>Perisa</w:t>
      </w:r>
      <w:proofErr w:type="spellEnd"/>
      <w:r w:rsidR="004C2F23" w:rsidRPr="00E47A42">
        <w:rPr>
          <w:rFonts w:ascii="Book Antiqua" w:hAnsi="Book Antiqua" w:cs="Times New Roman"/>
          <w:sz w:val="24"/>
          <w:szCs w:val="24"/>
          <w:lang w:val="en-US"/>
        </w:rPr>
        <w:t xml:space="preserve"> M, </w:t>
      </w:r>
      <w:r w:rsidR="00926D6D" w:rsidRPr="00E47A42">
        <w:rPr>
          <w:rFonts w:ascii="Book Antiqua" w:hAnsi="Book Antiqua" w:cs="Times New Roman"/>
          <w:sz w:val="24"/>
          <w:szCs w:val="24"/>
          <w:lang w:val="en-US"/>
        </w:rPr>
        <w:t>Horvat Pavlov K</w:t>
      </w:r>
      <w:r w:rsidR="004C2F23"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Jeyakumar</w:t>
      </w:r>
      <w:proofErr w:type="spellEnd"/>
      <w:r w:rsidRPr="00E47A42">
        <w:rPr>
          <w:rFonts w:ascii="Book Antiqua" w:hAnsi="Book Antiqua" w:cs="Times New Roman"/>
          <w:sz w:val="24"/>
          <w:szCs w:val="24"/>
          <w:lang w:val="en-US"/>
        </w:rPr>
        <w:t xml:space="preserve"> J,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analyzed the data. Drmic D,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and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wrote the paper.</w:t>
      </w:r>
    </w:p>
    <w:p w14:paraId="0CF2F9E0" w14:textId="77777777" w:rsidR="00874396" w:rsidRDefault="00874396" w:rsidP="00F73ADC">
      <w:pPr>
        <w:snapToGrid w:val="0"/>
        <w:spacing w:after="0" w:line="360" w:lineRule="auto"/>
        <w:jc w:val="both"/>
        <w:rPr>
          <w:rFonts w:ascii="Book Antiqua" w:hAnsi="Book Antiqua" w:cs="Times New Roman"/>
          <w:b/>
          <w:sz w:val="24"/>
          <w:szCs w:val="24"/>
          <w:lang w:val="en-US" w:eastAsia="zh-CN"/>
        </w:rPr>
      </w:pPr>
    </w:p>
    <w:p w14:paraId="656095C8" w14:textId="7ADCFA0C" w:rsidR="005A5746" w:rsidRPr="00874396" w:rsidRDefault="005A5746" w:rsidP="00F73ADC">
      <w:pPr>
        <w:snapToGrid w:val="0"/>
        <w:spacing w:after="0" w:line="360" w:lineRule="auto"/>
        <w:jc w:val="both"/>
        <w:rPr>
          <w:rFonts w:ascii="Book Antiqua" w:hAnsi="Book Antiqua" w:cs="Times New Roman"/>
          <w:b/>
          <w:sz w:val="24"/>
          <w:szCs w:val="24"/>
          <w:lang w:val="en-US" w:eastAsia="zh-CN"/>
        </w:rPr>
      </w:pPr>
      <w:r w:rsidRPr="00E47A42">
        <w:rPr>
          <w:rFonts w:ascii="Book Antiqua" w:hAnsi="Book Antiqua" w:cs="Times New Roman"/>
          <w:b/>
          <w:sz w:val="24"/>
          <w:szCs w:val="24"/>
          <w:lang w:val="en-US"/>
        </w:rPr>
        <w:t>Institutional review board statement</w:t>
      </w:r>
      <w:r w:rsidR="00874396">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The study was reviewed and approved by the Department of Veterinary, Ministry of Agriculture, Republic of Croatia, No: UP/I 322-01/07-01/210</w:t>
      </w:r>
      <w:r w:rsidR="00B2287D">
        <w:rPr>
          <w:rFonts w:ascii="Book Antiqua" w:hAnsi="Book Antiqua" w:cs="Times New Roman" w:hint="eastAsia"/>
          <w:sz w:val="24"/>
          <w:szCs w:val="24"/>
          <w:lang w:val="en-US" w:eastAsia="zh-CN"/>
        </w:rPr>
        <w:t>.</w:t>
      </w:r>
    </w:p>
    <w:p w14:paraId="609486BA" w14:textId="77777777" w:rsidR="005A5746" w:rsidRPr="00E47A42" w:rsidRDefault="005A5746" w:rsidP="00F73ADC">
      <w:pPr>
        <w:snapToGrid w:val="0"/>
        <w:spacing w:after="0" w:line="360" w:lineRule="auto"/>
        <w:jc w:val="both"/>
        <w:rPr>
          <w:rFonts w:ascii="Book Antiqua" w:hAnsi="Book Antiqua" w:cs="Times New Roman"/>
          <w:sz w:val="24"/>
          <w:szCs w:val="24"/>
          <w:lang w:val="en-US" w:eastAsia="zh-CN"/>
        </w:rPr>
      </w:pPr>
    </w:p>
    <w:p w14:paraId="7EDF7FA7" w14:textId="11894E22" w:rsidR="005A5746" w:rsidRPr="00874396" w:rsidRDefault="005A5746"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Conflict of interest statement</w:t>
      </w:r>
      <w:r w:rsidR="00874396">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The authors state that they have no conflicts of interest.</w:t>
      </w:r>
    </w:p>
    <w:p w14:paraId="5B872E6A" w14:textId="77777777" w:rsidR="00874396" w:rsidRDefault="00874396" w:rsidP="00F73ADC">
      <w:pPr>
        <w:snapToGrid w:val="0"/>
        <w:spacing w:after="0" w:line="360" w:lineRule="auto"/>
        <w:jc w:val="both"/>
        <w:rPr>
          <w:rFonts w:ascii="Book Antiqua" w:hAnsi="Book Antiqua" w:cs="Times New Roman"/>
          <w:b/>
          <w:sz w:val="24"/>
          <w:szCs w:val="24"/>
          <w:lang w:val="en-US" w:eastAsia="zh-CN"/>
        </w:rPr>
      </w:pPr>
    </w:p>
    <w:p w14:paraId="794BC258" w14:textId="2E0F26E2" w:rsidR="005A5746" w:rsidRPr="00874396" w:rsidRDefault="005A5746"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Data sharing statement</w:t>
      </w:r>
      <w:r w:rsidR="00874396">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No additional data are available.</w:t>
      </w:r>
    </w:p>
    <w:p w14:paraId="16536EA4" w14:textId="77777777" w:rsidR="00874396" w:rsidRDefault="00874396" w:rsidP="00F73ADC">
      <w:pPr>
        <w:snapToGrid w:val="0"/>
        <w:spacing w:after="0" w:line="360" w:lineRule="auto"/>
        <w:jc w:val="both"/>
        <w:rPr>
          <w:rFonts w:ascii="Book Antiqua" w:hAnsi="Book Antiqua" w:cs="Times New Roman"/>
          <w:b/>
          <w:sz w:val="24"/>
          <w:szCs w:val="24"/>
          <w:lang w:val="en-US" w:eastAsia="zh-CN"/>
        </w:rPr>
      </w:pPr>
    </w:p>
    <w:p w14:paraId="2B8FBF08" w14:textId="77777777" w:rsidR="002D1D7A" w:rsidRPr="009951B5" w:rsidRDefault="002D1D7A" w:rsidP="00F73ADC">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0" w:name="OLE_LINK479"/>
      <w:bookmarkStart w:id="1" w:name="OLE_LINK496"/>
      <w:bookmarkStart w:id="2" w:name="OLE_LINK506"/>
      <w:bookmarkStart w:id="3"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951B5">
          <w:rPr>
            <w:rStyle w:val="Hyperlink"/>
            <w:rFonts w:ascii="Book Antiqua" w:hAnsi="Book Antiqua" w:cs="Times New Roman"/>
            <w:bCs/>
            <w:color w:val="auto"/>
            <w:sz w:val="24"/>
            <w:szCs w:val="24"/>
            <w:highlight w:val="white"/>
            <w:lang w:val="en-US"/>
          </w:rPr>
          <w:t>http://creativecommons.org/licenses/by-nc/4.0/</w:t>
        </w:r>
      </w:hyperlink>
      <w:bookmarkEnd w:id="0"/>
      <w:bookmarkEnd w:id="1"/>
      <w:bookmarkEnd w:id="2"/>
      <w:bookmarkEnd w:id="3"/>
    </w:p>
    <w:p w14:paraId="44A066E7" w14:textId="77777777" w:rsidR="002D1D7A" w:rsidRPr="009951B5" w:rsidRDefault="002D1D7A" w:rsidP="00F73ADC">
      <w:pPr>
        <w:pStyle w:val="1"/>
        <w:snapToGrid w:val="0"/>
        <w:spacing w:line="360" w:lineRule="auto"/>
        <w:jc w:val="both"/>
        <w:rPr>
          <w:rFonts w:ascii="Book Antiqua" w:hAnsi="Book Antiqua" w:cs="Times New Roman"/>
          <w:b/>
          <w:bCs/>
          <w:color w:val="FF0000"/>
          <w:sz w:val="24"/>
          <w:szCs w:val="24"/>
          <w:highlight w:val="white"/>
          <w:lang w:val="en-US" w:eastAsia="zh-CN"/>
        </w:rPr>
      </w:pPr>
    </w:p>
    <w:p w14:paraId="58989351" w14:textId="77777777" w:rsidR="002D1D7A" w:rsidRPr="009951B5" w:rsidRDefault="002D1D7A" w:rsidP="00F73ADC">
      <w:pPr>
        <w:pStyle w:val="1"/>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Invited manuscript</w:t>
      </w:r>
    </w:p>
    <w:p w14:paraId="63B82C7E" w14:textId="77777777" w:rsidR="002D1D7A" w:rsidRPr="002D1D7A" w:rsidRDefault="002D1D7A" w:rsidP="00F73ADC">
      <w:pPr>
        <w:snapToGrid w:val="0"/>
        <w:spacing w:after="0" w:line="360" w:lineRule="auto"/>
        <w:jc w:val="both"/>
        <w:rPr>
          <w:rFonts w:ascii="Book Antiqua" w:hAnsi="Book Antiqua" w:cs="Times New Roman"/>
          <w:b/>
          <w:sz w:val="24"/>
          <w:szCs w:val="24"/>
          <w:lang w:val="en-US" w:eastAsia="zh-CN"/>
        </w:rPr>
      </w:pPr>
    </w:p>
    <w:p w14:paraId="6F287766" w14:textId="2E895CD3" w:rsidR="005A5746" w:rsidRPr="00E47A42" w:rsidRDefault="002D1D7A" w:rsidP="00F73ADC">
      <w:pPr>
        <w:snapToGrid w:val="0"/>
        <w:spacing w:after="0" w:line="360" w:lineRule="auto"/>
        <w:jc w:val="both"/>
        <w:rPr>
          <w:rFonts w:ascii="Book Antiqua" w:hAnsi="Book Antiqua" w:cs="Times New Roman"/>
          <w:sz w:val="24"/>
          <w:szCs w:val="24"/>
          <w:lang w:val="en-US" w:eastAsia="zh-CN"/>
        </w:rPr>
      </w:pPr>
      <w:r w:rsidRPr="002D1D7A">
        <w:rPr>
          <w:rFonts w:ascii="Book Antiqua" w:hAnsi="Book Antiqua" w:cs="Times New Roman"/>
          <w:b/>
          <w:sz w:val="24"/>
          <w:szCs w:val="24"/>
          <w:lang w:val="en-US"/>
        </w:rPr>
        <w:t>Corresponding author to:</w:t>
      </w:r>
      <w:r>
        <w:rPr>
          <w:rFonts w:ascii="Book Antiqua" w:hAnsi="Book Antiqua" w:cs="Times New Roman" w:hint="eastAsia"/>
          <w:b/>
          <w:sz w:val="24"/>
          <w:szCs w:val="24"/>
          <w:lang w:val="en-US" w:eastAsia="zh-CN"/>
        </w:rPr>
        <w:t xml:space="preserve"> </w:t>
      </w:r>
      <w:proofErr w:type="spellStart"/>
      <w:r w:rsidR="005A5746" w:rsidRPr="00874396">
        <w:rPr>
          <w:rFonts w:ascii="Book Antiqua" w:hAnsi="Book Antiqua" w:cs="Times New Roman"/>
          <w:b/>
          <w:sz w:val="24"/>
          <w:szCs w:val="24"/>
          <w:lang w:val="en-US"/>
        </w:rPr>
        <w:t>Predrag</w:t>
      </w:r>
      <w:proofErr w:type="spellEnd"/>
      <w:r w:rsidR="005A5746" w:rsidRPr="00874396">
        <w:rPr>
          <w:rFonts w:ascii="Book Antiqua" w:hAnsi="Book Antiqua" w:cs="Times New Roman"/>
          <w:b/>
          <w:sz w:val="24"/>
          <w:szCs w:val="24"/>
          <w:lang w:val="en-US"/>
        </w:rPr>
        <w:t xml:space="preserve"> </w:t>
      </w:r>
      <w:proofErr w:type="spellStart"/>
      <w:r w:rsidR="005A5746" w:rsidRPr="00874396">
        <w:rPr>
          <w:rFonts w:ascii="Book Antiqua" w:hAnsi="Book Antiqua" w:cs="Times New Roman"/>
          <w:b/>
          <w:sz w:val="24"/>
          <w:szCs w:val="24"/>
          <w:lang w:val="en-US"/>
        </w:rPr>
        <w:t>Sikiric</w:t>
      </w:r>
      <w:proofErr w:type="spellEnd"/>
      <w:r w:rsidR="005A5746" w:rsidRPr="00874396">
        <w:rPr>
          <w:rFonts w:ascii="Book Antiqua" w:hAnsi="Book Antiqua" w:cs="Times New Roman"/>
          <w:b/>
          <w:sz w:val="24"/>
          <w:szCs w:val="24"/>
          <w:lang w:val="en-US"/>
        </w:rPr>
        <w:t xml:space="preserve">, MD, PhD, Professor, </w:t>
      </w:r>
      <w:r w:rsidR="005A5746" w:rsidRPr="00E47A42">
        <w:rPr>
          <w:rFonts w:ascii="Book Antiqua" w:hAnsi="Book Antiqua" w:cs="Times New Roman"/>
          <w:sz w:val="24"/>
          <w:szCs w:val="24"/>
          <w:lang w:val="en-US"/>
        </w:rPr>
        <w:t xml:space="preserve">Department of Pharmacology, School of Medicine, University of Zagreb, </w:t>
      </w:r>
      <w:proofErr w:type="spellStart"/>
      <w:r w:rsidR="005A5746" w:rsidRPr="00E47A42">
        <w:rPr>
          <w:rFonts w:ascii="Book Antiqua" w:hAnsi="Book Antiqua" w:cs="Times New Roman"/>
          <w:sz w:val="24"/>
          <w:szCs w:val="24"/>
          <w:lang w:val="en-US"/>
        </w:rPr>
        <w:t>Salata</w:t>
      </w:r>
      <w:proofErr w:type="spellEnd"/>
      <w:r w:rsidR="005A5746" w:rsidRPr="00E47A42">
        <w:rPr>
          <w:rFonts w:ascii="Book Antiqua" w:hAnsi="Book Antiqua" w:cs="Times New Roman"/>
          <w:sz w:val="24"/>
          <w:szCs w:val="24"/>
          <w:lang w:val="en-US"/>
        </w:rPr>
        <w:t xml:space="preserve"> 11, POB 916, Zagreb</w:t>
      </w:r>
      <w:r w:rsidR="00874396">
        <w:rPr>
          <w:rFonts w:ascii="Book Antiqua" w:hAnsi="Book Antiqua" w:cs="Times New Roman" w:hint="eastAsia"/>
          <w:sz w:val="24"/>
          <w:szCs w:val="24"/>
          <w:lang w:val="en-US" w:eastAsia="zh-CN"/>
        </w:rPr>
        <w:t xml:space="preserve"> </w:t>
      </w:r>
      <w:r w:rsidR="00874396" w:rsidRPr="00E47A42">
        <w:rPr>
          <w:rFonts w:ascii="Book Antiqua" w:hAnsi="Book Antiqua" w:cs="Times New Roman"/>
          <w:sz w:val="24"/>
          <w:szCs w:val="24"/>
          <w:lang w:val="en-US"/>
        </w:rPr>
        <w:t>10000</w:t>
      </w:r>
      <w:r w:rsidR="005A5746" w:rsidRPr="00E47A42">
        <w:rPr>
          <w:rFonts w:ascii="Book Antiqua" w:hAnsi="Book Antiqua" w:cs="Times New Roman"/>
          <w:sz w:val="24"/>
          <w:szCs w:val="24"/>
          <w:lang w:val="en-US"/>
        </w:rPr>
        <w:t xml:space="preserve">, </w:t>
      </w:r>
      <w:r w:rsidR="00874396">
        <w:rPr>
          <w:rFonts w:ascii="Book Antiqua" w:hAnsi="Book Antiqua" w:cs="Times New Roman"/>
          <w:sz w:val="24"/>
          <w:szCs w:val="24"/>
          <w:lang w:val="en-US"/>
        </w:rPr>
        <w:t>Croatia.</w:t>
      </w:r>
      <w:r w:rsidR="00CB6D86">
        <w:rPr>
          <w:rFonts w:ascii="Book Antiqua" w:hAnsi="Book Antiqua" w:cs="Times New Roman"/>
          <w:sz w:val="24"/>
          <w:szCs w:val="24"/>
          <w:lang w:val="en-US"/>
        </w:rPr>
        <w:t xml:space="preserve"> </w:t>
      </w:r>
      <w:r w:rsidR="00874396">
        <w:rPr>
          <w:rFonts w:ascii="Book Antiqua" w:hAnsi="Book Antiqua" w:cs="Times New Roman"/>
          <w:sz w:val="24"/>
          <w:szCs w:val="24"/>
          <w:lang w:val="en-US"/>
        </w:rPr>
        <w:t xml:space="preserve">sikiric@mef.hr </w:t>
      </w:r>
    </w:p>
    <w:p w14:paraId="4619D3E2" w14:textId="77777777" w:rsidR="00874396" w:rsidRDefault="005A5746" w:rsidP="00F73ADC">
      <w:pPr>
        <w:snapToGrid w:val="0"/>
        <w:spacing w:after="0" w:line="360" w:lineRule="auto"/>
        <w:jc w:val="both"/>
        <w:rPr>
          <w:rFonts w:ascii="Book Antiqua" w:hAnsi="Book Antiqua" w:cs="Times New Roman"/>
          <w:sz w:val="24"/>
          <w:szCs w:val="24"/>
          <w:lang w:val="en-US" w:eastAsia="zh-CN"/>
        </w:rPr>
      </w:pPr>
      <w:r w:rsidRPr="00874396">
        <w:rPr>
          <w:rFonts w:ascii="Book Antiqua" w:hAnsi="Book Antiqua" w:cs="Times New Roman"/>
          <w:b/>
          <w:sz w:val="24"/>
          <w:szCs w:val="24"/>
          <w:lang w:val="en-US"/>
        </w:rPr>
        <w:t>Telephone:</w:t>
      </w:r>
      <w:r w:rsidRPr="00E47A42">
        <w:rPr>
          <w:rFonts w:ascii="Book Antiqua" w:hAnsi="Book Antiqua" w:cs="Times New Roman"/>
          <w:sz w:val="24"/>
          <w:szCs w:val="24"/>
          <w:lang w:val="en-US"/>
        </w:rPr>
        <w:t xml:space="preserve"> +385-1-4566833</w:t>
      </w:r>
    </w:p>
    <w:p w14:paraId="78499430" w14:textId="67E25C51" w:rsidR="002410ED" w:rsidRPr="00E47A42" w:rsidRDefault="005A5746" w:rsidP="00F73ADC">
      <w:pPr>
        <w:snapToGrid w:val="0"/>
        <w:spacing w:after="0" w:line="360" w:lineRule="auto"/>
        <w:jc w:val="both"/>
        <w:rPr>
          <w:rFonts w:ascii="Book Antiqua" w:hAnsi="Book Antiqua" w:cs="Times New Roman"/>
          <w:sz w:val="24"/>
          <w:szCs w:val="24"/>
          <w:lang w:val="en-US"/>
        </w:rPr>
      </w:pPr>
      <w:r w:rsidRPr="00874396">
        <w:rPr>
          <w:rFonts w:ascii="Book Antiqua" w:hAnsi="Book Antiqua" w:cs="Times New Roman"/>
          <w:b/>
          <w:sz w:val="24"/>
          <w:szCs w:val="24"/>
          <w:lang w:val="en-US"/>
        </w:rPr>
        <w:t>Fax:</w:t>
      </w:r>
      <w:r w:rsidRPr="00E47A42">
        <w:rPr>
          <w:rFonts w:ascii="Book Antiqua" w:hAnsi="Book Antiqua" w:cs="Times New Roman"/>
          <w:sz w:val="24"/>
          <w:szCs w:val="24"/>
          <w:lang w:val="en-US"/>
        </w:rPr>
        <w:t xml:space="preserve"> +385-1-4920050</w:t>
      </w:r>
    </w:p>
    <w:p w14:paraId="66BAD6B4" w14:textId="77777777" w:rsidR="002D1D7A" w:rsidRDefault="002D1D7A" w:rsidP="00F73ADC">
      <w:pPr>
        <w:snapToGrid w:val="0"/>
        <w:spacing w:after="0" w:line="360" w:lineRule="auto"/>
        <w:rPr>
          <w:rFonts w:ascii="Book Antiqua" w:hAnsi="Book Antiqua" w:cs="Times New Roman"/>
          <w:sz w:val="24"/>
          <w:szCs w:val="24"/>
          <w:lang w:val="en-US" w:eastAsia="zh-CN"/>
        </w:rPr>
      </w:pPr>
    </w:p>
    <w:p w14:paraId="33CC2529" w14:textId="275EA166"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Received:</w:t>
      </w:r>
      <w:r>
        <w:rPr>
          <w:rFonts w:ascii="Book Antiqua" w:hAnsi="Book Antiqua" w:cs="Times New Roman" w:hint="eastAsia"/>
          <w:b/>
          <w:sz w:val="24"/>
          <w:szCs w:val="24"/>
          <w:lang w:val="en-US" w:eastAsia="zh-CN"/>
        </w:rPr>
        <w:t xml:space="preserve"> </w:t>
      </w:r>
      <w:r w:rsidR="001B503A" w:rsidRPr="001B503A">
        <w:rPr>
          <w:rFonts w:ascii="Book Antiqua" w:hAnsi="Book Antiqua" w:cs="Times New Roman" w:hint="eastAsia"/>
          <w:sz w:val="24"/>
          <w:szCs w:val="24"/>
          <w:lang w:val="en-US" w:eastAsia="zh-CN"/>
        </w:rPr>
        <w:t>August 20, 2018</w:t>
      </w:r>
    </w:p>
    <w:p w14:paraId="39BA780D" w14:textId="4F220D10"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lastRenderedPageBreak/>
        <w:t>Peer-review started:</w:t>
      </w:r>
      <w:r w:rsidR="001B503A">
        <w:rPr>
          <w:rFonts w:ascii="Book Antiqua" w:hAnsi="Book Antiqua" w:cs="Times New Roman" w:hint="eastAsia"/>
          <w:b/>
          <w:sz w:val="24"/>
          <w:szCs w:val="24"/>
          <w:lang w:val="en-US" w:eastAsia="zh-CN"/>
        </w:rPr>
        <w:t xml:space="preserve"> </w:t>
      </w:r>
      <w:r w:rsidR="001B503A" w:rsidRPr="001B503A">
        <w:rPr>
          <w:rFonts w:ascii="Book Antiqua" w:hAnsi="Book Antiqua" w:cs="Times New Roman" w:hint="eastAsia"/>
          <w:sz w:val="24"/>
          <w:szCs w:val="24"/>
          <w:lang w:val="en-US" w:eastAsia="zh-CN"/>
        </w:rPr>
        <w:t>August 20, 2018</w:t>
      </w:r>
    </w:p>
    <w:p w14:paraId="419C629D" w14:textId="685BFFD8"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First decision:</w:t>
      </w:r>
      <w:r w:rsidR="001B503A">
        <w:rPr>
          <w:rFonts w:ascii="Book Antiqua" w:hAnsi="Book Antiqua" w:cs="Times New Roman" w:hint="eastAsia"/>
          <w:b/>
          <w:sz w:val="24"/>
          <w:szCs w:val="24"/>
          <w:lang w:val="en-US" w:eastAsia="zh-CN"/>
        </w:rPr>
        <w:t xml:space="preserve"> </w:t>
      </w:r>
      <w:r w:rsidR="001B503A" w:rsidRPr="001B503A">
        <w:rPr>
          <w:rFonts w:ascii="Book Antiqua" w:hAnsi="Book Antiqua" w:cs="Times New Roman" w:hint="eastAsia"/>
          <w:sz w:val="24"/>
          <w:szCs w:val="24"/>
          <w:lang w:val="en-US" w:eastAsia="zh-CN"/>
        </w:rPr>
        <w:t>October 8, 2018</w:t>
      </w:r>
    </w:p>
    <w:p w14:paraId="277FFD59" w14:textId="3C7EA254"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Revised:</w:t>
      </w:r>
      <w:r w:rsidR="001B503A">
        <w:rPr>
          <w:rFonts w:ascii="Book Antiqua" w:hAnsi="Book Antiqua" w:cs="Times New Roman" w:hint="eastAsia"/>
          <w:b/>
          <w:sz w:val="24"/>
          <w:szCs w:val="24"/>
          <w:lang w:val="en-US" w:eastAsia="zh-CN"/>
        </w:rPr>
        <w:t xml:space="preserve"> </w:t>
      </w:r>
      <w:r w:rsidR="001B503A" w:rsidRPr="001B503A">
        <w:rPr>
          <w:rFonts w:ascii="Book Antiqua" w:hAnsi="Book Antiqua" w:cs="Times New Roman" w:hint="eastAsia"/>
          <w:sz w:val="24"/>
          <w:szCs w:val="24"/>
          <w:lang w:val="en-US" w:eastAsia="zh-CN"/>
        </w:rPr>
        <w:t>December 5, 2018</w:t>
      </w:r>
    </w:p>
    <w:p w14:paraId="742710C7" w14:textId="63997144"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Accepted:</w:t>
      </w:r>
      <w:r w:rsidR="005D20D2" w:rsidRPr="005D20D2">
        <w:t xml:space="preserve"> </w:t>
      </w:r>
      <w:r w:rsidR="005D20D2" w:rsidRPr="005D20D2">
        <w:rPr>
          <w:rFonts w:ascii="Book Antiqua" w:hAnsi="Book Antiqua" w:cs="Times New Roman"/>
          <w:sz w:val="24"/>
          <w:szCs w:val="24"/>
          <w:lang w:val="en-US" w:eastAsia="zh-CN"/>
        </w:rPr>
        <w:t>December 19, 2018</w:t>
      </w:r>
    </w:p>
    <w:p w14:paraId="19BB8D25" w14:textId="77777777" w:rsidR="002D1D7A" w:rsidRPr="002D1D7A" w:rsidRDefault="002D1D7A" w:rsidP="00F73ADC">
      <w:pPr>
        <w:snapToGrid w:val="0"/>
        <w:spacing w:after="0" w:line="360" w:lineRule="auto"/>
        <w:rPr>
          <w:rFonts w:ascii="Book Antiqua" w:hAnsi="Book Antiqua" w:cs="Times New Roman"/>
          <w:b/>
          <w:sz w:val="24"/>
          <w:szCs w:val="24"/>
          <w:lang w:val="en-US" w:eastAsia="zh-CN"/>
        </w:rPr>
      </w:pPr>
      <w:r w:rsidRPr="002D1D7A">
        <w:rPr>
          <w:rFonts w:ascii="Book Antiqua" w:hAnsi="Book Antiqua" w:cs="Times New Roman"/>
          <w:b/>
          <w:sz w:val="24"/>
          <w:szCs w:val="24"/>
          <w:lang w:val="en-US" w:eastAsia="zh-CN"/>
        </w:rPr>
        <w:t>Article in press:</w:t>
      </w:r>
    </w:p>
    <w:p w14:paraId="4B2278AB" w14:textId="77777777" w:rsidR="002D1D7A" w:rsidRPr="002D1D7A" w:rsidRDefault="002D1D7A" w:rsidP="00F73ADC">
      <w:pPr>
        <w:snapToGrid w:val="0"/>
        <w:spacing w:after="0" w:line="360" w:lineRule="auto"/>
        <w:rPr>
          <w:rFonts w:ascii="Book Antiqua" w:hAnsi="Book Antiqua" w:cs="Times New Roman"/>
          <w:b/>
          <w:sz w:val="24"/>
          <w:szCs w:val="24"/>
          <w:lang w:val="pl-PL" w:eastAsia="zh-CN"/>
        </w:rPr>
      </w:pPr>
      <w:r w:rsidRPr="002D1D7A">
        <w:rPr>
          <w:rFonts w:ascii="Book Antiqua" w:hAnsi="Book Antiqua" w:cs="Times New Roman"/>
          <w:b/>
          <w:sz w:val="24"/>
          <w:szCs w:val="24"/>
          <w:lang w:val="pl-PL" w:eastAsia="zh-CN"/>
        </w:rPr>
        <w:t>Published online:</w:t>
      </w:r>
    </w:p>
    <w:p w14:paraId="28CB9F3E" w14:textId="77777777" w:rsidR="002D1D7A" w:rsidRDefault="002D1D7A" w:rsidP="00F73ADC">
      <w:pPr>
        <w:snapToGrid w:val="0"/>
        <w:spacing w:after="0" w:line="360" w:lineRule="auto"/>
        <w:rPr>
          <w:rFonts w:ascii="Book Antiqua" w:hAnsi="Book Antiqua" w:cs="Times New Roman"/>
          <w:sz w:val="24"/>
          <w:szCs w:val="24"/>
          <w:lang w:val="en-US" w:eastAsia="zh-CN"/>
        </w:rPr>
      </w:pPr>
    </w:p>
    <w:p w14:paraId="68ACF0B4" w14:textId="2E76954C" w:rsidR="00874396" w:rsidRDefault="00874396" w:rsidP="00F73ADC">
      <w:pPr>
        <w:snapToGrid w:val="0"/>
        <w:spacing w:after="0" w:line="360" w:lineRule="auto"/>
        <w:rPr>
          <w:rFonts w:ascii="Book Antiqua" w:hAnsi="Book Antiqua" w:cs="Times New Roman"/>
          <w:sz w:val="24"/>
          <w:szCs w:val="24"/>
          <w:lang w:val="en-US"/>
        </w:rPr>
      </w:pPr>
      <w:r>
        <w:rPr>
          <w:rFonts w:ascii="Book Antiqua" w:hAnsi="Book Antiqua" w:cs="Times New Roman"/>
          <w:sz w:val="24"/>
          <w:szCs w:val="24"/>
          <w:lang w:val="en-US"/>
        </w:rPr>
        <w:br w:type="page"/>
      </w:r>
    </w:p>
    <w:p w14:paraId="3C6FA676" w14:textId="77777777" w:rsidR="00874396" w:rsidRPr="00E47A42" w:rsidRDefault="00874396"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lastRenderedPageBreak/>
        <w:t>Abstract</w:t>
      </w:r>
    </w:p>
    <w:p w14:paraId="35721D6F" w14:textId="77777777" w:rsidR="00874396" w:rsidRPr="00437990" w:rsidRDefault="00874396" w:rsidP="00F73ADC">
      <w:pPr>
        <w:snapToGrid w:val="0"/>
        <w:spacing w:after="0" w:line="360" w:lineRule="auto"/>
        <w:jc w:val="both"/>
        <w:rPr>
          <w:rFonts w:ascii="Book Antiqua" w:hAnsi="Book Antiqua" w:cs="Times New Roman"/>
          <w:b/>
          <w:i/>
          <w:sz w:val="24"/>
          <w:szCs w:val="24"/>
          <w:lang w:val="en-US" w:eastAsia="zh-CN"/>
        </w:rPr>
      </w:pPr>
      <w:r w:rsidRPr="00437990">
        <w:rPr>
          <w:rFonts w:ascii="Book Antiqua" w:hAnsi="Book Antiqua" w:cs="Times New Roman"/>
          <w:b/>
          <w:i/>
          <w:sz w:val="24"/>
          <w:szCs w:val="24"/>
          <w:lang w:val="en-US"/>
        </w:rPr>
        <w:t>AIM</w:t>
      </w:r>
    </w:p>
    <w:p w14:paraId="2251CE3E" w14:textId="2BC2CF75" w:rsidR="00874396" w:rsidRPr="00E47A42" w:rsidRDefault="00182D2A" w:rsidP="00F73ADC">
      <w:pPr>
        <w:snapToGrid w:val="0"/>
        <w:spacing w:after="0" w:line="360" w:lineRule="auto"/>
        <w:jc w:val="both"/>
        <w:rPr>
          <w:rFonts w:ascii="Book Antiqua" w:hAnsi="Book Antiqua" w:cs="Times New Roman"/>
          <w:sz w:val="24"/>
          <w:szCs w:val="24"/>
          <w:lang w:val="en-US"/>
        </w:rPr>
      </w:pPr>
      <w:r>
        <w:rPr>
          <w:rFonts w:ascii="Book Antiqua" w:hAnsi="Book Antiqua" w:cs="Times New Roman" w:hint="eastAsia"/>
          <w:sz w:val="24"/>
          <w:szCs w:val="24"/>
          <w:lang w:val="en-US" w:eastAsia="zh-CN"/>
        </w:rPr>
        <w:t xml:space="preserve">To study </w:t>
      </w:r>
      <w:r w:rsidR="000E47DF">
        <w:rPr>
          <w:rFonts w:ascii="Book Antiqua" w:hAnsi="Book Antiqua" w:cs="Times New Roman" w:hint="eastAsia"/>
          <w:sz w:val="24"/>
          <w:szCs w:val="24"/>
          <w:lang w:val="en-US" w:eastAsia="zh-CN"/>
        </w:rPr>
        <w:t xml:space="preserve">the </w:t>
      </w:r>
      <w:r w:rsidRPr="00E47A42">
        <w:rPr>
          <w:rFonts w:ascii="Book Antiqua" w:hAnsi="Book Antiqua" w:cs="Times New Roman"/>
          <w:sz w:val="24"/>
          <w:szCs w:val="24"/>
          <w:lang w:val="en-US"/>
        </w:rPr>
        <w:t>c</w:t>
      </w:r>
      <w:r w:rsidR="00874396" w:rsidRPr="00E47A42">
        <w:rPr>
          <w:rFonts w:ascii="Book Antiqua" w:hAnsi="Book Antiqua" w:cs="Times New Roman"/>
          <w:sz w:val="24"/>
          <w:szCs w:val="24"/>
          <w:lang w:val="en-US"/>
        </w:rPr>
        <w:t>ounteraction of perforated caecum lesion using BPC 157 and</w:t>
      </w:r>
      <w:r w:rsidR="008712DE">
        <w:rPr>
          <w:rFonts w:ascii="Book Antiqua" w:hAnsi="Book Antiqua" w:cs="Times New Roman" w:hint="eastAsia"/>
          <w:sz w:val="24"/>
          <w:szCs w:val="24"/>
          <w:lang w:val="en-US" w:eastAsia="zh-CN"/>
        </w:rPr>
        <w:t xml:space="preserve"> </w:t>
      </w:r>
      <w:r w:rsidR="00570524" w:rsidRPr="00E47A42">
        <w:rPr>
          <w:rFonts w:ascii="Book Antiqua" w:hAnsi="Book Antiqua" w:cs="Times New Roman"/>
          <w:sz w:val="24"/>
          <w:szCs w:val="24"/>
          <w:lang w:val="en-US"/>
        </w:rPr>
        <w:t>nitric oxide (NO)</w:t>
      </w:r>
      <w:r w:rsidR="008712DE">
        <w:rPr>
          <w:rFonts w:ascii="Book Antiqua" w:hAnsi="Book Antiqua" w:cs="Times New Roman" w:hint="eastAsia"/>
          <w:sz w:val="24"/>
          <w:szCs w:val="24"/>
          <w:lang w:val="en-US" w:eastAsia="zh-CN"/>
        </w:rPr>
        <w:t xml:space="preserve"> </w:t>
      </w:r>
      <w:r w:rsidR="00874396" w:rsidRPr="00E47A42">
        <w:rPr>
          <w:rFonts w:ascii="Book Antiqua" w:hAnsi="Book Antiqua" w:cs="Times New Roman"/>
          <w:sz w:val="24"/>
          <w:szCs w:val="24"/>
          <w:lang w:val="en-US"/>
        </w:rPr>
        <w:t>system agents.</w:t>
      </w:r>
    </w:p>
    <w:p w14:paraId="3761DE0A" w14:textId="77777777" w:rsidR="00874396" w:rsidRPr="008712DE" w:rsidRDefault="00874396" w:rsidP="00F73ADC">
      <w:pPr>
        <w:snapToGrid w:val="0"/>
        <w:spacing w:after="0" w:line="360" w:lineRule="auto"/>
        <w:jc w:val="both"/>
        <w:rPr>
          <w:rFonts w:ascii="Book Antiqua" w:hAnsi="Book Antiqua" w:cs="Times New Roman"/>
          <w:b/>
          <w:sz w:val="24"/>
          <w:szCs w:val="24"/>
          <w:lang w:val="en-US" w:eastAsia="zh-CN"/>
        </w:rPr>
      </w:pPr>
    </w:p>
    <w:p w14:paraId="5E016BF0" w14:textId="77777777" w:rsidR="00CB6D86" w:rsidRPr="00CB6D86" w:rsidRDefault="00874396" w:rsidP="00F73ADC">
      <w:pPr>
        <w:snapToGrid w:val="0"/>
        <w:spacing w:after="0" w:line="360" w:lineRule="auto"/>
        <w:jc w:val="both"/>
        <w:rPr>
          <w:rFonts w:ascii="Book Antiqua" w:hAnsi="Book Antiqua" w:cs="Times New Roman"/>
          <w:b/>
          <w:i/>
          <w:sz w:val="24"/>
          <w:szCs w:val="24"/>
          <w:lang w:val="en-US" w:eastAsia="zh-CN"/>
        </w:rPr>
      </w:pPr>
      <w:r w:rsidRPr="00CB6D86">
        <w:rPr>
          <w:rFonts w:ascii="Book Antiqua" w:hAnsi="Book Antiqua" w:cs="Times New Roman"/>
          <w:b/>
          <w:i/>
          <w:sz w:val="24"/>
          <w:szCs w:val="24"/>
          <w:lang w:val="en-US"/>
        </w:rPr>
        <w:t>METHODS</w:t>
      </w:r>
    </w:p>
    <w:p w14:paraId="40900458" w14:textId="120DD8DE" w:rsidR="00874396" w:rsidRPr="00E47A42" w:rsidRDefault="00874396"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Alongside with the age</w:t>
      </w:r>
      <w:r w:rsidR="00CB6D86">
        <w:rPr>
          <w:rFonts w:ascii="Book Antiqua" w:hAnsi="Book Antiqua" w:cs="Times New Roman"/>
          <w:sz w:val="24"/>
          <w:szCs w:val="24"/>
          <w:lang w:val="en-US"/>
        </w:rPr>
        <w:t>nts’ application (after 1 min</w:t>
      </w:r>
      <w:r w:rsidRPr="00E47A42">
        <w:rPr>
          <w:rFonts w:ascii="Book Antiqua" w:hAnsi="Book Antiqua" w:cs="Times New Roman"/>
          <w:sz w:val="24"/>
          <w:szCs w:val="24"/>
          <w:lang w:val="en-US"/>
        </w:rPr>
        <w:t>, medication (/kg, 10</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m</w:t>
      </w:r>
      <w:r w:rsidRPr="00C711A7">
        <w:rPr>
          <w:rFonts w:ascii="Book Antiqua" w:hAnsi="Book Antiqua" w:cs="Times New Roman"/>
          <w:caps/>
          <w:sz w:val="24"/>
          <w:szCs w:val="24"/>
          <w:lang w:val="en-US"/>
        </w:rPr>
        <w:t>l</w:t>
      </w:r>
      <w:r w:rsidRPr="00E47A42">
        <w:rPr>
          <w:rFonts w:ascii="Book Antiqua" w:hAnsi="Book Antiqua" w:cs="Times New Roman"/>
          <w:sz w:val="24"/>
          <w:szCs w:val="24"/>
          <w:lang w:val="en-US"/>
        </w:rPr>
        <w:t>/2</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min bath/rat) includes: BPC 157 (10</w:t>
      </w:r>
      <w:r w:rsidR="00CB6D86">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µg), L-NAME (5</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mg), L-arginine (100mg) alone or combined, and saline baths (controls)) on the rat perforate caecum injury, we continuously assessed the gross reappearance of the vessels (USB </w:t>
      </w:r>
      <w:proofErr w:type="spellStart"/>
      <w:r w:rsidRPr="00E47A42">
        <w:rPr>
          <w:rFonts w:ascii="Book Antiqua" w:hAnsi="Book Antiqua" w:cs="Times New Roman"/>
          <w:sz w:val="24"/>
          <w:szCs w:val="24"/>
          <w:lang w:val="en-US"/>
        </w:rPr>
        <w:t>microcamera</w:t>
      </w:r>
      <w:proofErr w:type="spellEnd"/>
      <w:r w:rsidRPr="00E47A42">
        <w:rPr>
          <w:rFonts w:ascii="Book Antiqua" w:hAnsi="Book Antiqua" w:cs="Times New Roman"/>
          <w:sz w:val="24"/>
          <w:szCs w:val="24"/>
          <w:lang w:val="en-US"/>
        </w:rPr>
        <w:t>) quickly propagating toward the defect at the caecum surface, defect contraction, bleeding attenuation,</w:t>
      </w:r>
      <w:r w:rsidR="00CB6D86">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MDA- and NO-levels in colon tissue at 15 min, and severity of colon lesions and adhesions at 1 and 7 d. </w:t>
      </w:r>
    </w:p>
    <w:p w14:paraId="70036E38" w14:textId="77777777" w:rsidR="00874396" w:rsidRPr="00CB6D86" w:rsidRDefault="00874396" w:rsidP="00F73ADC">
      <w:pPr>
        <w:snapToGrid w:val="0"/>
        <w:spacing w:after="0" w:line="360" w:lineRule="auto"/>
        <w:jc w:val="both"/>
        <w:rPr>
          <w:rFonts w:ascii="Book Antiqua" w:hAnsi="Book Antiqua" w:cs="Times New Roman"/>
          <w:b/>
          <w:sz w:val="24"/>
          <w:szCs w:val="24"/>
          <w:lang w:val="en-US" w:eastAsia="zh-CN"/>
        </w:rPr>
      </w:pPr>
    </w:p>
    <w:p w14:paraId="65665598" w14:textId="77777777" w:rsidR="00CB6D86" w:rsidRPr="00CB6D86" w:rsidRDefault="00874396" w:rsidP="00F73ADC">
      <w:pPr>
        <w:snapToGrid w:val="0"/>
        <w:spacing w:after="0" w:line="360" w:lineRule="auto"/>
        <w:jc w:val="both"/>
        <w:rPr>
          <w:rFonts w:ascii="Book Antiqua" w:hAnsi="Book Antiqua" w:cs="Times New Roman"/>
          <w:b/>
          <w:i/>
          <w:sz w:val="24"/>
          <w:szCs w:val="24"/>
          <w:lang w:val="en-US" w:eastAsia="zh-CN"/>
        </w:rPr>
      </w:pPr>
      <w:r w:rsidRPr="00CB6D86">
        <w:rPr>
          <w:rFonts w:ascii="Book Antiqua" w:hAnsi="Book Antiqua" w:cs="Times New Roman"/>
          <w:b/>
          <w:i/>
          <w:sz w:val="24"/>
          <w:szCs w:val="24"/>
          <w:lang w:val="en-US"/>
        </w:rPr>
        <w:t>RESULTS</w:t>
      </w:r>
    </w:p>
    <w:p w14:paraId="4EA85AC5" w14:textId="16566F2C" w:rsidR="00874396" w:rsidRPr="00E47A42" w:rsidRDefault="00874396"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Post-injury, during/after a saline bath, the number of vessels was significantly reduced, the defect was slightly narrowed, bleeding was significant and MDA-levels increased and NO-levels decreased. BPC 157 bath: the vessel presentation was markedly increased, the defect was noticeably narrowed, the bleeding time was shortened and MDA- and NO-levels remained normal. L-NAME: reduced vessel presentation but not more than the control, did not change defect and shortened bleeding. L-arginine: exhibited less vessel reduction, did not change the defect and prolonged bleeding. In combination, mutual counteraction occurred (L-NAME+L-arginine) or the presentation was similar to that of BPC 157 rats (BPC 157</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L-NAME; BPC 157</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 BPC 157</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L-NAME</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 except the defect did not change. Thereby at day 1 and 7, saline, L-NAME, L-arginine and L-NAME</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C711A7">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L-arginine failed (defect was still open and large adhesions present). </w:t>
      </w:r>
    </w:p>
    <w:p w14:paraId="2BAF1E25" w14:textId="77777777" w:rsidR="00874396" w:rsidRDefault="00874396" w:rsidP="00F73ADC">
      <w:pPr>
        <w:snapToGrid w:val="0"/>
        <w:spacing w:after="0" w:line="360" w:lineRule="auto"/>
        <w:jc w:val="both"/>
        <w:rPr>
          <w:rFonts w:ascii="Book Antiqua" w:hAnsi="Book Antiqua" w:cs="Times New Roman"/>
          <w:b/>
          <w:sz w:val="24"/>
          <w:szCs w:val="24"/>
          <w:lang w:val="en-US" w:eastAsia="zh-CN"/>
        </w:rPr>
      </w:pPr>
    </w:p>
    <w:p w14:paraId="31B58449" w14:textId="77777777" w:rsidR="00CB6D86" w:rsidRPr="00CB6D86" w:rsidRDefault="00874396" w:rsidP="00F73ADC">
      <w:pPr>
        <w:snapToGrid w:val="0"/>
        <w:spacing w:after="0" w:line="360" w:lineRule="auto"/>
        <w:jc w:val="both"/>
        <w:rPr>
          <w:rFonts w:ascii="Book Antiqua" w:hAnsi="Book Antiqua" w:cs="Times New Roman"/>
          <w:b/>
          <w:i/>
          <w:sz w:val="24"/>
          <w:szCs w:val="24"/>
          <w:lang w:val="en-US" w:eastAsia="zh-CN"/>
        </w:rPr>
      </w:pPr>
      <w:r w:rsidRPr="00CB6D86">
        <w:rPr>
          <w:rFonts w:ascii="Book Antiqua" w:hAnsi="Book Antiqua" w:cs="Times New Roman"/>
          <w:b/>
          <w:i/>
          <w:sz w:val="24"/>
          <w:szCs w:val="24"/>
          <w:lang w:val="en-US"/>
        </w:rPr>
        <w:t>CONCLUSION</w:t>
      </w:r>
    </w:p>
    <w:p w14:paraId="78243E77" w14:textId="1BA0A3FD" w:rsidR="00874396" w:rsidRPr="00E47A42" w:rsidRDefault="00874396"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lastRenderedPageBreak/>
        <w:t>The therapeutic effect was achieved with BPC 157 alone or in combination with L-NAME and L-arginine as it was able to consolidate the stimulating and inhibiting effects of the NO-system towards more effective healing recruiting vessels.</w:t>
      </w:r>
    </w:p>
    <w:p w14:paraId="217D50F2" w14:textId="77777777" w:rsidR="00874396" w:rsidRPr="00E47A42" w:rsidRDefault="00874396" w:rsidP="00F73ADC">
      <w:pPr>
        <w:snapToGrid w:val="0"/>
        <w:spacing w:after="0" w:line="360" w:lineRule="auto"/>
        <w:jc w:val="both"/>
        <w:rPr>
          <w:rFonts w:ascii="Book Antiqua" w:hAnsi="Book Antiqua" w:cs="Times New Roman"/>
          <w:sz w:val="24"/>
          <w:szCs w:val="24"/>
          <w:lang w:val="en-US" w:eastAsia="zh-CN"/>
        </w:rPr>
      </w:pPr>
    </w:p>
    <w:p w14:paraId="5F97152D" w14:textId="4C77E0A4" w:rsidR="00874396" w:rsidRPr="00E47A42" w:rsidRDefault="00874396"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Key</w:t>
      </w:r>
      <w:r>
        <w:rPr>
          <w:rFonts w:ascii="Book Antiqua" w:hAnsi="Book Antiqua" w:cs="Times New Roman" w:hint="eastAsia"/>
          <w:b/>
          <w:sz w:val="24"/>
          <w:szCs w:val="24"/>
          <w:lang w:val="en-US" w:eastAsia="zh-CN"/>
        </w:rPr>
        <w:t xml:space="preserve"> </w:t>
      </w:r>
      <w:r w:rsidRPr="00E47A42">
        <w:rPr>
          <w:rFonts w:ascii="Book Antiqua" w:hAnsi="Book Antiqua" w:cs="Times New Roman"/>
          <w:b/>
          <w:sz w:val="24"/>
          <w:szCs w:val="24"/>
          <w:lang w:val="en-US"/>
        </w:rPr>
        <w:t>words:</w:t>
      </w:r>
      <w:r w:rsidRPr="00E47A42">
        <w:rPr>
          <w:rFonts w:ascii="Book Antiqua" w:hAnsi="Book Antiqua" w:cs="Times New Roman"/>
          <w:sz w:val="24"/>
          <w:szCs w:val="24"/>
          <w:lang w:val="en-US"/>
        </w:rPr>
        <w:t xml:space="preserve"> BPC 157</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r w:rsidRPr="00CB6D86">
        <w:rPr>
          <w:rFonts w:ascii="Book Antiqua" w:hAnsi="Book Antiqua" w:cs="Times New Roman"/>
          <w:caps/>
          <w:sz w:val="24"/>
          <w:szCs w:val="24"/>
          <w:lang w:val="en-US"/>
        </w:rPr>
        <w:t>v</w:t>
      </w:r>
      <w:r w:rsidRPr="00E47A42">
        <w:rPr>
          <w:rFonts w:ascii="Book Antiqua" w:hAnsi="Book Antiqua" w:cs="Times New Roman"/>
          <w:sz w:val="24"/>
          <w:szCs w:val="24"/>
          <w:lang w:val="en-US"/>
        </w:rPr>
        <w:t>essels</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r w:rsidRPr="00CB6D86">
        <w:rPr>
          <w:rFonts w:ascii="Book Antiqua" w:hAnsi="Book Antiqua" w:cs="Times New Roman"/>
          <w:caps/>
          <w:sz w:val="24"/>
          <w:szCs w:val="24"/>
          <w:lang w:val="en-US"/>
        </w:rPr>
        <w:t>p</w:t>
      </w:r>
      <w:r w:rsidRPr="00E47A42">
        <w:rPr>
          <w:rFonts w:ascii="Book Antiqua" w:hAnsi="Book Antiqua" w:cs="Times New Roman"/>
          <w:sz w:val="24"/>
          <w:szCs w:val="24"/>
          <w:lang w:val="en-US"/>
        </w:rPr>
        <w:t>erforated cecum</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L-arginine</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L-NAME</w:t>
      </w:r>
      <w:r w:rsidR="00CB6D86">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w:t>
      </w:r>
      <w:r w:rsidRPr="00CB6D86">
        <w:rPr>
          <w:rFonts w:ascii="Book Antiqua" w:hAnsi="Book Antiqua" w:cs="Times New Roman"/>
          <w:caps/>
          <w:sz w:val="24"/>
          <w:szCs w:val="24"/>
          <w:lang w:val="en-US"/>
        </w:rPr>
        <w:t>r</w:t>
      </w:r>
      <w:r w:rsidRPr="00E47A42">
        <w:rPr>
          <w:rFonts w:ascii="Book Antiqua" w:hAnsi="Book Antiqua" w:cs="Times New Roman"/>
          <w:sz w:val="24"/>
          <w:szCs w:val="24"/>
          <w:lang w:val="en-US"/>
        </w:rPr>
        <w:t>ats</w:t>
      </w:r>
    </w:p>
    <w:p w14:paraId="7DD78AEB" w14:textId="77777777" w:rsidR="0000726C" w:rsidRDefault="0000726C" w:rsidP="00F73ADC">
      <w:pPr>
        <w:snapToGrid w:val="0"/>
        <w:spacing w:after="0" w:line="360" w:lineRule="auto"/>
        <w:jc w:val="both"/>
        <w:rPr>
          <w:rFonts w:ascii="Book Antiqua" w:hAnsi="Book Antiqua" w:cs="Times New Roman"/>
          <w:b/>
          <w:sz w:val="24"/>
          <w:szCs w:val="24"/>
          <w:lang w:val="en-US" w:eastAsia="zh-CN"/>
        </w:rPr>
      </w:pPr>
    </w:p>
    <w:p w14:paraId="7FBB13F6" w14:textId="77777777" w:rsidR="004D23F3" w:rsidRPr="004D23F3" w:rsidRDefault="004D23F3" w:rsidP="00F73ADC">
      <w:pPr>
        <w:snapToGrid w:val="0"/>
        <w:spacing w:after="0" w:line="360" w:lineRule="auto"/>
        <w:jc w:val="both"/>
        <w:rPr>
          <w:rFonts w:ascii="Book Antiqua" w:hAnsi="Book Antiqua" w:cs="Times New Roman"/>
          <w:sz w:val="24"/>
          <w:szCs w:val="24"/>
          <w:lang w:val="en-US" w:eastAsia="zh-CN"/>
        </w:rPr>
      </w:pPr>
      <w:bookmarkStart w:id="4" w:name="OLE_LINK363"/>
      <w:bookmarkStart w:id="5" w:name="OLE_LINK364"/>
      <w:bookmarkStart w:id="6" w:name="OLE_LINK359"/>
      <w:bookmarkStart w:id="7" w:name="OLE_LINK1037"/>
      <w:bookmarkStart w:id="8" w:name="OLE_LINK1195"/>
      <w:bookmarkStart w:id="9" w:name="OLE_LINK1140"/>
      <w:bookmarkStart w:id="10" w:name="OLE_LINK1062"/>
      <w:bookmarkStart w:id="11" w:name="OLE_LINK500"/>
      <w:bookmarkStart w:id="12" w:name="OLE_LINK916"/>
      <w:bookmarkStart w:id="13" w:name="OLE_LINK956"/>
      <w:bookmarkStart w:id="14" w:name="OLE_LINK994"/>
      <w:r w:rsidRPr="004D23F3">
        <w:rPr>
          <w:rFonts w:ascii="Book Antiqua" w:hAnsi="Book Antiqua" w:cs="Times New Roman"/>
          <w:b/>
          <w:sz w:val="24"/>
          <w:szCs w:val="24"/>
          <w:lang w:val="en-US" w:eastAsia="zh-CN"/>
        </w:rPr>
        <w:t xml:space="preserve">© The Author(s) 2018. </w:t>
      </w:r>
      <w:r w:rsidRPr="004D23F3">
        <w:rPr>
          <w:rFonts w:ascii="Book Antiqua" w:hAnsi="Book Antiqua" w:cs="Times New Roman"/>
          <w:sz w:val="24"/>
          <w:szCs w:val="24"/>
          <w:lang w:val="en-US" w:eastAsia="zh-CN"/>
        </w:rPr>
        <w:t xml:space="preserve">Published by </w:t>
      </w:r>
      <w:proofErr w:type="spellStart"/>
      <w:r w:rsidRPr="004D23F3">
        <w:rPr>
          <w:rFonts w:ascii="Book Antiqua" w:hAnsi="Book Antiqua" w:cs="Times New Roman"/>
          <w:sz w:val="24"/>
          <w:szCs w:val="24"/>
          <w:lang w:val="en-US" w:eastAsia="zh-CN"/>
        </w:rPr>
        <w:t>Baishideng</w:t>
      </w:r>
      <w:proofErr w:type="spellEnd"/>
      <w:r w:rsidRPr="004D23F3">
        <w:rPr>
          <w:rFonts w:ascii="Book Antiqua" w:hAnsi="Book Antiqua" w:cs="Times New Roman"/>
          <w:sz w:val="24"/>
          <w:szCs w:val="24"/>
          <w:lang w:val="en-US" w:eastAsia="zh-CN"/>
        </w:rPr>
        <w:t xml:space="preserve"> Publishing Group Inc. All rights reserved.</w:t>
      </w:r>
    </w:p>
    <w:bookmarkEnd w:id="4"/>
    <w:bookmarkEnd w:id="5"/>
    <w:bookmarkEnd w:id="6"/>
    <w:bookmarkEnd w:id="7"/>
    <w:bookmarkEnd w:id="8"/>
    <w:bookmarkEnd w:id="9"/>
    <w:bookmarkEnd w:id="10"/>
    <w:bookmarkEnd w:id="11"/>
    <w:bookmarkEnd w:id="12"/>
    <w:bookmarkEnd w:id="13"/>
    <w:bookmarkEnd w:id="14"/>
    <w:p w14:paraId="5B71A835" w14:textId="77777777" w:rsidR="004D23F3" w:rsidRPr="00E47A42" w:rsidRDefault="004D23F3" w:rsidP="00F73ADC">
      <w:pPr>
        <w:snapToGrid w:val="0"/>
        <w:spacing w:after="0" w:line="360" w:lineRule="auto"/>
        <w:jc w:val="both"/>
        <w:rPr>
          <w:rFonts w:ascii="Book Antiqua" w:hAnsi="Book Antiqua" w:cs="Times New Roman"/>
          <w:b/>
          <w:sz w:val="24"/>
          <w:szCs w:val="24"/>
          <w:lang w:val="en-US" w:eastAsia="zh-CN"/>
        </w:rPr>
      </w:pPr>
    </w:p>
    <w:p w14:paraId="5517D85D" w14:textId="582C25DC" w:rsidR="009D5EFA" w:rsidRPr="00874396" w:rsidRDefault="00DE32EA"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Core tip</w:t>
      </w:r>
      <w:r w:rsidR="00874396">
        <w:rPr>
          <w:rFonts w:ascii="Book Antiqua" w:hAnsi="Book Antiqua" w:cs="Times New Roman" w:hint="eastAsia"/>
          <w:b/>
          <w:sz w:val="24"/>
          <w:szCs w:val="24"/>
          <w:lang w:val="en-US" w:eastAsia="zh-CN"/>
        </w:rPr>
        <w:t xml:space="preserve">: </w:t>
      </w:r>
      <w:r w:rsidR="009D5EFA" w:rsidRPr="00874396">
        <w:rPr>
          <w:rFonts w:ascii="Book Antiqua" w:hAnsi="Book Antiqua" w:cs="Times New Roman"/>
          <w:sz w:val="24"/>
          <w:szCs w:val="24"/>
          <w:lang w:val="en-US"/>
        </w:rPr>
        <w:t>In rats</w:t>
      </w:r>
      <w:r w:rsidR="00283D1F" w:rsidRPr="00874396">
        <w:rPr>
          <w:rFonts w:ascii="Book Antiqua" w:hAnsi="Book Antiqua" w:cs="Times New Roman"/>
          <w:sz w:val="24"/>
          <w:szCs w:val="24"/>
          <w:lang w:val="en-US"/>
        </w:rPr>
        <w:t>,</w:t>
      </w:r>
      <w:r w:rsidR="009D5EFA" w:rsidRPr="00874396">
        <w:rPr>
          <w:rFonts w:ascii="Book Antiqua" w:hAnsi="Book Antiqua" w:cs="Times New Roman"/>
          <w:sz w:val="24"/>
          <w:szCs w:val="24"/>
          <w:lang w:val="en-US"/>
        </w:rPr>
        <w:t xml:space="preserve"> </w:t>
      </w:r>
      <w:r w:rsidR="00FF659B" w:rsidRPr="00874396">
        <w:rPr>
          <w:rFonts w:ascii="Book Antiqua" w:hAnsi="Book Antiqua" w:cs="Times New Roman"/>
          <w:sz w:val="24"/>
          <w:szCs w:val="24"/>
          <w:lang w:val="en-US"/>
        </w:rPr>
        <w:t xml:space="preserve">the </w:t>
      </w:r>
      <w:r w:rsidR="009D5EFA" w:rsidRPr="00874396">
        <w:rPr>
          <w:rFonts w:ascii="Book Antiqua" w:hAnsi="Book Antiqua" w:cs="Times New Roman"/>
          <w:sz w:val="24"/>
          <w:szCs w:val="24"/>
          <w:lang w:val="en-US"/>
        </w:rPr>
        <w:t>cecum was exposed, and a perforation (5-mm diameter) was made at the ventral face of the basal region of the cecum close to the largest curvature.</w:t>
      </w:r>
      <w:r w:rsidR="009D5EFA" w:rsidRPr="00874396">
        <w:rPr>
          <w:rFonts w:ascii="Book Antiqua" w:hAnsi="Book Antiqua"/>
          <w:sz w:val="24"/>
          <w:szCs w:val="24"/>
        </w:rPr>
        <w:t xml:space="preserve"> </w:t>
      </w:r>
      <w:r w:rsidR="009D5EFA" w:rsidRPr="00874396">
        <w:rPr>
          <w:rFonts w:ascii="Book Antiqua" w:hAnsi="Book Antiqua" w:cs="Times New Roman"/>
          <w:sz w:val="24"/>
          <w:szCs w:val="24"/>
          <w:lang w:val="en-US"/>
        </w:rPr>
        <w:t>After 1 min, a bath (1 m</w:t>
      </w:r>
      <w:r w:rsidR="009D5EFA" w:rsidRPr="00570524">
        <w:rPr>
          <w:rFonts w:ascii="Book Antiqua" w:hAnsi="Book Antiqua" w:cs="Times New Roman"/>
          <w:caps/>
          <w:sz w:val="24"/>
          <w:szCs w:val="24"/>
          <w:lang w:val="en-US"/>
        </w:rPr>
        <w:t>l</w:t>
      </w:r>
      <w:r w:rsidR="009D5EFA" w:rsidRPr="00874396">
        <w:rPr>
          <w:rFonts w:ascii="Book Antiqua" w:hAnsi="Book Antiqua" w:cs="Times New Roman"/>
          <w:sz w:val="24"/>
          <w:szCs w:val="24"/>
          <w:lang w:val="en-US"/>
        </w:rPr>
        <w:t>/rat) containing BPC 157</w:t>
      </w:r>
      <w:r w:rsidR="00283D1F" w:rsidRPr="00874396">
        <w:rPr>
          <w:rFonts w:ascii="Book Antiqua" w:hAnsi="Book Antiqua" w:cs="Times New Roman"/>
          <w:sz w:val="24"/>
          <w:szCs w:val="24"/>
          <w:lang w:val="en-US"/>
        </w:rPr>
        <w:t>,</w:t>
      </w:r>
      <w:r w:rsidR="009D5EFA" w:rsidRPr="00874396">
        <w:rPr>
          <w:rFonts w:ascii="Book Antiqua" w:hAnsi="Book Antiqua" w:cs="Times New Roman"/>
          <w:sz w:val="24"/>
          <w:szCs w:val="24"/>
          <w:lang w:val="en-US"/>
        </w:rPr>
        <w:t xml:space="preserve"> </w:t>
      </w:r>
      <w:r w:rsidR="00283D1F" w:rsidRPr="00874396">
        <w:rPr>
          <w:rFonts w:ascii="Book Antiqua" w:hAnsi="Book Antiqua" w:cs="Times New Roman"/>
          <w:sz w:val="24"/>
          <w:szCs w:val="24"/>
          <w:lang w:val="en-US"/>
        </w:rPr>
        <w:t xml:space="preserve">L-NAME, L-arginine, saline (controls) </w:t>
      </w:r>
      <w:r w:rsidR="009D5EFA" w:rsidRPr="00874396">
        <w:rPr>
          <w:rFonts w:ascii="Book Antiqua" w:hAnsi="Book Antiqua" w:cs="Times New Roman"/>
          <w:sz w:val="24"/>
          <w:szCs w:val="24"/>
          <w:lang w:val="en-US"/>
        </w:rPr>
        <w:t>was directly applied to the per</w:t>
      </w:r>
      <w:r w:rsidR="00FF659B" w:rsidRPr="00874396">
        <w:rPr>
          <w:rFonts w:ascii="Book Antiqua" w:hAnsi="Book Antiqua" w:cs="Times New Roman"/>
          <w:sz w:val="24"/>
          <w:szCs w:val="24"/>
          <w:lang w:val="en-US"/>
        </w:rPr>
        <w:t>forated cecum, alone or in combination</w:t>
      </w:r>
      <w:r w:rsidR="00283D1F" w:rsidRPr="00874396">
        <w:rPr>
          <w:rFonts w:ascii="Book Antiqua" w:hAnsi="Book Antiqua" w:cs="Times New Roman"/>
          <w:sz w:val="24"/>
          <w:szCs w:val="24"/>
          <w:lang w:val="en-US"/>
        </w:rPr>
        <w:t xml:space="preserve">. </w:t>
      </w:r>
      <w:r w:rsidR="00533419" w:rsidRPr="00874396">
        <w:rPr>
          <w:rFonts w:ascii="Book Antiqua" w:hAnsi="Book Antiqua" w:cs="Times New Roman"/>
          <w:sz w:val="24"/>
          <w:szCs w:val="24"/>
          <w:lang w:val="en-US"/>
        </w:rPr>
        <w:t xml:space="preserve">Previously, </w:t>
      </w:r>
      <w:r w:rsidR="009D5EFA" w:rsidRPr="00874396">
        <w:rPr>
          <w:rFonts w:ascii="Book Antiqua" w:hAnsi="Book Antiqua" w:cs="Times New Roman"/>
          <w:sz w:val="24"/>
          <w:szCs w:val="24"/>
          <w:lang w:val="en-US"/>
        </w:rPr>
        <w:t xml:space="preserve">BPC 157 rapidly activated the </w:t>
      </w:r>
      <w:r w:rsidR="00FF659B" w:rsidRPr="00874396">
        <w:rPr>
          <w:rFonts w:ascii="Book Antiqua" w:hAnsi="Book Antiqua" w:cs="Times New Roman"/>
          <w:sz w:val="24"/>
          <w:szCs w:val="24"/>
          <w:lang w:val="en-US"/>
        </w:rPr>
        <w:t xml:space="preserve">collateral circulation from </w:t>
      </w:r>
      <w:r w:rsidR="009D5EFA" w:rsidRPr="00874396">
        <w:rPr>
          <w:rFonts w:ascii="Book Antiqua" w:hAnsi="Book Antiqua" w:cs="Times New Roman"/>
          <w:sz w:val="24"/>
          <w:szCs w:val="24"/>
          <w:lang w:val="en-US"/>
        </w:rPr>
        <w:t xml:space="preserve">existing vessels in ischemic colitis or inferior </w:t>
      </w:r>
      <w:r w:rsidR="009D5EFA" w:rsidRPr="00874396">
        <w:rPr>
          <w:rFonts w:ascii="Book Antiqua" w:hAnsi="Book Antiqua" w:cs="Times New Roman"/>
          <w:noProof/>
          <w:sz w:val="24"/>
          <w:szCs w:val="24"/>
          <w:lang w:val="en-US"/>
        </w:rPr>
        <w:t>caval</w:t>
      </w:r>
      <w:r w:rsidR="009D5EFA" w:rsidRPr="00874396">
        <w:rPr>
          <w:rFonts w:ascii="Book Antiqua" w:hAnsi="Book Antiqua" w:cs="Times New Roman"/>
          <w:sz w:val="24"/>
          <w:szCs w:val="24"/>
          <w:lang w:val="en-US"/>
        </w:rPr>
        <w:t xml:space="preserve"> vein occlusion (by passing through </w:t>
      </w:r>
      <w:r w:rsidR="00FF659B" w:rsidRPr="00874396">
        <w:rPr>
          <w:rFonts w:ascii="Book Antiqua" w:hAnsi="Book Antiqua" w:cs="Times New Roman"/>
          <w:sz w:val="24"/>
          <w:szCs w:val="24"/>
          <w:lang w:val="en-US"/>
        </w:rPr>
        <w:t xml:space="preserve">the </w:t>
      </w:r>
      <w:r w:rsidR="009D5EFA" w:rsidRPr="00874396">
        <w:rPr>
          <w:rFonts w:ascii="Book Antiqua" w:hAnsi="Book Antiqua" w:cs="Times New Roman"/>
          <w:sz w:val="24"/>
          <w:szCs w:val="24"/>
          <w:lang w:val="en-US"/>
        </w:rPr>
        <w:t>arcade vessels or the left ovarian vein and other veins) to reestablish blood flow and exert its free radical scavenger effect in both ischemia and reperfusion.</w:t>
      </w:r>
      <w:r w:rsidR="00283D1F" w:rsidRPr="00874396">
        <w:rPr>
          <w:rFonts w:ascii="Book Antiqua" w:hAnsi="Book Antiqua" w:cs="Times New Roman"/>
          <w:sz w:val="24"/>
          <w:szCs w:val="24"/>
          <w:lang w:val="en-US"/>
        </w:rPr>
        <w:t xml:space="preserve"> </w:t>
      </w:r>
    </w:p>
    <w:p w14:paraId="65E9A6DB" w14:textId="77777777" w:rsidR="00DE32EA" w:rsidRPr="00E47A42" w:rsidRDefault="00DE32EA" w:rsidP="00F73ADC">
      <w:pPr>
        <w:snapToGrid w:val="0"/>
        <w:spacing w:after="0" w:line="360" w:lineRule="auto"/>
        <w:jc w:val="both"/>
        <w:rPr>
          <w:rFonts w:ascii="Book Antiqua" w:hAnsi="Book Antiqua" w:cs="Times New Roman"/>
          <w:b/>
          <w:sz w:val="24"/>
          <w:szCs w:val="24"/>
          <w:lang w:val="en-US"/>
        </w:rPr>
      </w:pPr>
    </w:p>
    <w:p w14:paraId="1999E04C" w14:textId="36410877" w:rsidR="00DE32EA" w:rsidRPr="00E47A42" w:rsidRDefault="00DE32EA" w:rsidP="00F73ADC">
      <w:pPr>
        <w:snapToGrid w:val="0"/>
        <w:spacing w:after="0" w:line="360" w:lineRule="auto"/>
        <w:jc w:val="both"/>
        <w:rPr>
          <w:rFonts w:ascii="Book Antiqua" w:hAnsi="Book Antiqua" w:cs="Times New Roman"/>
          <w:sz w:val="24"/>
          <w:szCs w:val="24"/>
          <w:lang w:val="en-US" w:eastAsia="zh-CN"/>
        </w:rPr>
      </w:pPr>
      <w:r w:rsidRPr="00874396">
        <w:rPr>
          <w:rFonts w:ascii="Book Antiqua" w:hAnsi="Book Antiqua" w:cs="Times New Roman"/>
          <w:sz w:val="24"/>
          <w:szCs w:val="24"/>
          <w:lang w:val="en-US"/>
        </w:rPr>
        <w:t>Drmic D,</w:t>
      </w:r>
      <w:r w:rsidRPr="00E47A42">
        <w:rPr>
          <w:rFonts w:ascii="Book Antiqua" w:hAnsi="Book Antiqua" w:cs="Times New Roman"/>
          <w:b/>
          <w:sz w:val="24"/>
          <w:szCs w:val="24"/>
          <w:lang w:val="en-US"/>
        </w:rPr>
        <w:t xml:space="preserve"> </w:t>
      </w:r>
      <w:r w:rsidRPr="00E47A42">
        <w:rPr>
          <w:rFonts w:ascii="Book Antiqua" w:hAnsi="Book Antiqua" w:cs="Times New Roman"/>
          <w:sz w:val="24"/>
          <w:szCs w:val="24"/>
          <w:lang w:val="en-US"/>
        </w:rPr>
        <w:t xml:space="preserve">Samara M, Vidovic T, </w:t>
      </w:r>
      <w:proofErr w:type="spellStart"/>
      <w:r w:rsidRPr="00E47A42">
        <w:rPr>
          <w:rFonts w:ascii="Book Antiqua" w:hAnsi="Book Antiqua" w:cs="Times New Roman"/>
          <w:sz w:val="24"/>
          <w:szCs w:val="24"/>
          <w:lang w:val="en-US"/>
        </w:rPr>
        <w:t>Malekinusic</w:t>
      </w:r>
      <w:proofErr w:type="spellEnd"/>
      <w:r w:rsidRPr="00E47A42">
        <w:rPr>
          <w:rFonts w:ascii="Book Antiqua" w:hAnsi="Book Antiqua" w:cs="Times New Roman"/>
          <w:sz w:val="24"/>
          <w:szCs w:val="24"/>
          <w:lang w:val="en-US"/>
        </w:rPr>
        <w:t xml:space="preserve"> D, </w:t>
      </w:r>
      <w:proofErr w:type="spellStart"/>
      <w:r w:rsidRPr="00E47A42">
        <w:rPr>
          <w:rFonts w:ascii="Book Antiqua" w:hAnsi="Book Antiqua" w:cs="Times New Roman"/>
          <w:sz w:val="24"/>
          <w:szCs w:val="24"/>
          <w:lang w:val="en-US"/>
        </w:rPr>
        <w:t>Antunovic</w:t>
      </w:r>
      <w:proofErr w:type="spellEnd"/>
      <w:r w:rsidRPr="00E47A42">
        <w:rPr>
          <w:rFonts w:ascii="Book Antiqua" w:hAnsi="Book Antiqua" w:cs="Times New Roman"/>
          <w:sz w:val="24"/>
          <w:szCs w:val="24"/>
          <w:lang w:val="en-US"/>
        </w:rPr>
        <w:t xml:space="preserve"> M, </w:t>
      </w:r>
      <w:proofErr w:type="spellStart"/>
      <w:r w:rsidRPr="00E47A42">
        <w:rPr>
          <w:rFonts w:ascii="Book Antiqua" w:hAnsi="Book Antiqua" w:cs="Times New Roman"/>
          <w:sz w:val="24"/>
          <w:szCs w:val="24"/>
          <w:lang w:val="en-US"/>
        </w:rPr>
        <w:t>Vrdoljak</w:t>
      </w:r>
      <w:proofErr w:type="spellEnd"/>
      <w:r w:rsidRPr="00E47A42">
        <w:rPr>
          <w:rFonts w:ascii="Book Antiqua" w:hAnsi="Book Antiqua" w:cs="Times New Roman"/>
          <w:sz w:val="24"/>
          <w:szCs w:val="24"/>
          <w:lang w:val="en-US"/>
        </w:rPr>
        <w:t xml:space="preserve"> B, </w:t>
      </w:r>
      <w:r w:rsidRPr="00E47A42">
        <w:rPr>
          <w:rFonts w:ascii="Book Antiqua" w:hAnsi="Book Antiqua" w:cs="Times New Roman"/>
          <w:noProof/>
          <w:sz w:val="24"/>
          <w:szCs w:val="24"/>
          <w:lang w:val="en-US"/>
        </w:rPr>
        <w:t>Ruzman</w:t>
      </w:r>
      <w:r w:rsidRPr="00E47A42">
        <w:rPr>
          <w:rFonts w:ascii="Book Antiqua" w:hAnsi="Book Antiqua" w:cs="Times New Roman"/>
          <w:sz w:val="24"/>
          <w:szCs w:val="24"/>
          <w:lang w:val="en-US"/>
        </w:rPr>
        <w:t xml:space="preserve"> J, </w:t>
      </w:r>
      <w:proofErr w:type="spellStart"/>
      <w:r w:rsidR="004C2F23" w:rsidRPr="00E47A42">
        <w:rPr>
          <w:rFonts w:ascii="Book Antiqua" w:hAnsi="Book Antiqua" w:cs="Times New Roman"/>
          <w:sz w:val="24"/>
          <w:szCs w:val="24"/>
          <w:lang w:val="en-US"/>
        </w:rPr>
        <w:t>Milkovic</w:t>
      </w:r>
      <w:proofErr w:type="spellEnd"/>
      <w:r w:rsidR="004C2F23" w:rsidRPr="00E47A42">
        <w:rPr>
          <w:rFonts w:ascii="Book Antiqua" w:hAnsi="Book Antiqua" w:cs="Times New Roman"/>
          <w:sz w:val="24"/>
          <w:szCs w:val="24"/>
          <w:lang w:val="en-US"/>
        </w:rPr>
        <w:t xml:space="preserve"> </w:t>
      </w:r>
      <w:proofErr w:type="spellStart"/>
      <w:r w:rsidR="004C2F23" w:rsidRPr="00E47A42">
        <w:rPr>
          <w:rFonts w:ascii="Book Antiqua" w:hAnsi="Book Antiqua" w:cs="Times New Roman"/>
          <w:sz w:val="24"/>
          <w:szCs w:val="24"/>
          <w:lang w:val="en-US"/>
        </w:rPr>
        <w:t>Perisa</w:t>
      </w:r>
      <w:proofErr w:type="spellEnd"/>
      <w:r w:rsidR="004C2F23" w:rsidRPr="00E47A42">
        <w:rPr>
          <w:rFonts w:ascii="Book Antiqua" w:hAnsi="Book Antiqua" w:cs="Times New Roman"/>
          <w:sz w:val="24"/>
          <w:szCs w:val="24"/>
          <w:lang w:val="en-US"/>
        </w:rPr>
        <w:t xml:space="preserve"> M, </w:t>
      </w:r>
      <w:r w:rsidR="00926D6D" w:rsidRPr="00E47A42">
        <w:rPr>
          <w:rFonts w:ascii="Book Antiqua" w:hAnsi="Book Antiqua" w:cs="Times New Roman"/>
          <w:sz w:val="24"/>
          <w:szCs w:val="24"/>
          <w:lang w:val="en-US"/>
        </w:rPr>
        <w:t>Horvat Pavlov K</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Jeyakumar</w:t>
      </w:r>
      <w:proofErr w:type="spellEnd"/>
      <w:r w:rsidRPr="00E47A42">
        <w:rPr>
          <w:rFonts w:ascii="Book Antiqua" w:hAnsi="Book Antiqua" w:cs="Times New Roman"/>
          <w:sz w:val="24"/>
          <w:szCs w:val="24"/>
          <w:lang w:val="en-US"/>
        </w:rPr>
        <w:t xml:space="preserve"> J,</w:t>
      </w:r>
      <w:r w:rsidR="002D1D7A">
        <w:rPr>
          <w:rFonts w:ascii="Book Antiqua" w:hAnsi="Book Antiqua" w:cs="Times New Roman" w:hint="eastAsia"/>
          <w:sz w:val="24"/>
          <w:szCs w:val="24"/>
          <w:lang w:val="en-US" w:eastAsia="zh-CN"/>
        </w:rPr>
        <w:t xml:space="preserve"> </w:t>
      </w:r>
      <w:proofErr w:type="spellStart"/>
      <w:r w:rsidRPr="00E47A42">
        <w:rPr>
          <w:rFonts w:ascii="Book Antiqua" w:hAnsi="Book Antiqua" w:cs="Times New Roman"/>
          <w:sz w:val="24"/>
          <w:szCs w:val="24"/>
          <w:lang w:val="en-US"/>
        </w:rPr>
        <w:t>Seiwerth</w:t>
      </w:r>
      <w:proofErr w:type="spellEnd"/>
      <w:r w:rsidRPr="00E47A42">
        <w:rPr>
          <w:rFonts w:ascii="Book Antiqua" w:hAnsi="Book Antiqua" w:cs="Times New Roman"/>
          <w:sz w:val="24"/>
          <w:szCs w:val="24"/>
          <w:lang w:val="en-US"/>
        </w:rPr>
        <w:t xml:space="preserve"> S, </w:t>
      </w:r>
      <w:proofErr w:type="spellStart"/>
      <w:r w:rsidRPr="00E47A42">
        <w:rPr>
          <w:rFonts w:ascii="Book Antiqua" w:hAnsi="Book Antiqua" w:cs="Times New Roman"/>
          <w:sz w:val="24"/>
          <w:szCs w:val="24"/>
          <w:lang w:val="en-US"/>
        </w:rPr>
        <w:t>Sikiric</w:t>
      </w:r>
      <w:proofErr w:type="spellEnd"/>
      <w:r w:rsidRPr="00E47A42">
        <w:rPr>
          <w:rFonts w:ascii="Book Antiqua" w:hAnsi="Book Antiqua" w:cs="Times New Roman"/>
          <w:sz w:val="24"/>
          <w:szCs w:val="24"/>
          <w:lang w:val="en-US"/>
        </w:rPr>
        <w:t xml:space="preserve"> P. Counteraction of perforated cecum lesions in rats: </w:t>
      </w:r>
      <w:r w:rsidRPr="00874396">
        <w:rPr>
          <w:rFonts w:ascii="Book Antiqua" w:hAnsi="Book Antiqua" w:cs="Times New Roman"/>
          <w:caps/>
          <w:sz w:val="24"/>
          <w:szCs w:val="24"/>
          <w:lang w:val="en-US"/>
        </w:rPr>
        <w:t>e</w:t>
      </w:r>
      <w:r w:rsidRPr="00E47A42">
        <w:rPr>
          <w:rFonts w:ascii="Book Antiqua" w:hAnsi="Book Antiqua" w:cs="Times New Roman"/>
          <w:sz w:val="24"/>
          <w:szCs w:val="24"/>
          <w:lang w:val="en-US"/>
        </w:rPr>
        <w:t xml:space="preserve">ffects of </w:t>
      </w:r>
      <w:proofErr w:type="spellStart"/>
      <w:r w:rsidRPr="00E47A42">
        <w:rPr>
          <w:rFonts w:ascii="Book Antiqua" w:hAnsi="Book Antiqua" w:cs="Times New Roman"/>
          <w:sz w:val="24"/>
          <w:szCs w:val="24"/>
          <w:lang w:val="en-US"/>
        </w:rPr>
        <w:t>pentadecapeptide</w:t>
      </w:r>
      <w:proofErr w:type="spellEnd"/>
      <w:r w:rsidRPr="00E47A42">
        <w:rPr>
          <w:rFonts w:ascii="Book Antiqua" w:hAnsi="Book Antiqua" w:cs="Times New Roman"/>
          <w:sz w:val="24"/>
          <w:szCs w:val="24"/>
          <w:lang w:val="en-US"/>
        </w:rPr>
        <w:t xml:space="preserve"> BPC 157, L-NAME and L-arginine</w:t>
      </w:r>
      <w:r w:rsidR="00874396">
        <w:rPr>
          <w:rFonts w:ascii="Book Antiqua" w:hAnsi="Book Antiqua" w:cs="Times New Roman" w:hint="eastAsia"/>
          <w:sz w:val="24"/>
          <w:szCs w:val="24"/>
          <w:lang w:val="en-US" w:eastAsia="zh-CN"/>
        </w:rPr>
        <w:t xml:space="preserve">. </w:t>
      </w:r>
      <w:bookmarkStart w:id="15" w:name="OLE_LINK1105"/>
      <w:bookmarkStart w:id="16" w:name="OLE_LINK1107"/>
      <w:r w:rsidR="00AC0A35" w:rsidRPr="00AC0A35">
        <w:rPr>
          <w:rFonts w:ascii="Book Antiqua" w:hAnsi="Book Antiqua" w:cs="Times New Roman"/>
          <w:i/>
          <w:sz w:val="24"/>
          <w:szCs w:val="24"/>
          <w:lang w:val="en-US" w:eastAsia="zh-CN"/>
        </w:rPr>
        <w:t xml:space="preserve">World J Gastroenterol </w:t>
      </w:r>
      <w:r w:rsidR="00AC0A35" w:rsidRPr="00AC0A35">
        <w:rPr>
          <w:rFonts w:ascii="Book Antiqua" w:hAnsi="Book Antiqua" w:cs="Times New Roman"/>
          <w:sz w:val="24"/>
          <w:szCs w:val="24"/>
          <w:lang w:val="en-US" w:eastAsia="zh-CN"/>
        </w:rPr>
        <w:t>2018; In press</w:t>
      </w:r>
      <w:bookmarkEnd w:id="15"/>
      <w:bookmarkEnd w:id="16"/>
    </w:p>
    <w:p w14:paraId="2BFAFD15" w14:textId="77777777" w:rsidR="00FF659B" w:rsidRPr="00E47A42" w:rsidRDefault="00FF659B" w:rsidP="00F73ADC">
      <w:pPr>
        <w:pStyle w:val="PlainText"/>
        <w:snapToGrid w:val="0"/>
        <w:spacing w:line="360" w:lineRule="auto"/>
        <w:jc w:val="both"/>
        <w:rPr>
          <w:rFonts w:ascii="Book Antiqua" w:hAnsi="Book Antiqua" w:cs="Times New Roman"/>
          <w:b/>
          <w:sz w:val="24"/>
          <w:szCs w:val="24"/>
          <w:lang w:val="en-US" w:eastAsia="zh-CN"/>
        </w:rPr>
      </w:pPr>
    </w:p>
    <w:p w14:paraId="56CBE372" w14:textId="237A169F" w:rsidR="00874396" w:rsidRDefault="00874396" w:rsidP="00F73ADC">
      <w:pPr>
        <w:snapToGrid w:val="0"/>
        <w:spacing w:after="0" w:line="360" w:lineRule="auto"/>
        <w:rPr>
          <w:rFonts w:ascii="Book Antiqua" w:hAnsi="Book Antiqua" w:cs="Times New Roman"/>
          <w:b/>
          <w:sz w:val="24"/>
          <w:szCs w:val="24"/>
          <w:lang w:val="en-US"/>
        </w:rPr>
      </w:pPr>
      <w:r>
        <w:rPr>
          <w:rFonts w:ascii="Book Antiqua" w:hAnsi="Book Antiqua" w:cs="Times New Roman"/>
          <w:b/>
          <w:sz w:val="24"/>
          <w:szCs w:val="24"/>
          <w:lang w:val="en-US"/>
        </w:rPr>
        <w:br w:type="page"/>
      </w:r>
    </w:p>
    <w:p w14:paraId="364031A5" w14:textId="61843158" w:rsidR="00E05F1C" w:rsidRPr="00E47A42" w:rsidRDefault="00E05F1C" w:rsidP="00F73ADC">
      <w:pPr>
        <w:pStyle w:val="PlainText"/>
        <w:snapToGrid w:val="0"/>
        <w:spacing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lastRenderedPageBreak/>
        <w:t>I</w:t>
      </w:r>
      <w:r w:rsidR="0022476E" w:rsidRPr="00E47A42">
        <w:rPr>
          <w:rFonts w:ascii="Book Antiqua" w:hAnsi="Book Antiqua" w:cs="Times New Roman"/>
          <w:b/>
          <w:sz w:val="24"/>
          <w:szCs w:val="24"/>
          <w:lang w:val="en-US"/>
        </w:rPr>
        <w:t>NTRODUCTION</w:t>
      </w:r>
    </w:p>
    <w:p w14:paraId="29322E66" w14:textId="717E7C16" w:rsidR="0024515D" w:rsidRPr="00E47A42" w:rsidRDefault="00E05F1C" w:rsidP="00F73ADC">
      <w:pPr>
        <w:pStyle w:val="PlainText"/>
        <w:snapToGrid w:val="0"/>
        <w:spacing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I</w:t>
      </w:r>
      <w:r w:rsidR="002E7EFE" w:rsidRPr="00E47A42">
        <w:rPr>
          <w:rFonts w:ascii="Book Antiqua" w:hAnsi="Book Antiqua" w:cs="Times New Roman"/>
          <w:sz w:val="24"/>
          <w:szCs w:val="24"/>
          <w:lang w:val="en-US"/>
        </w:rPr>
        <w:t>n cecum perforation studies</w:t>
      </w:r>
      <w:r w:rsidR="002E7EFE"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{"citationItems":[{"id":"ITEM-1","itemData":{"DOI":"10.1016/j.jpedsurg.2012.06.024","ISSN":"00223468","PMID":"23163997","abstract":"AIM The omentum plays a crucial role in abdominal defense mechanism by adhering to sites of inflammation and absorbing bacteria and debris from the peritoneal cavity. An experimental study was conducted to evaluate the inflammatory response of omentum in different abdominal events with omental P-/E-selectin levels and histopathologic findings. MATERIALS AND METHODS Thirty Wistar rats were placed into 5 groups (n = 6), including a control group (CG), sham group (SG), bladder perforation (BP) group, splenic laceration (SL) group, and cecal ligation and puncture (CLP) group. Omental samples were obtained in CG after median laparotomy. In accordance with described models, BP, SL, and CLP were performed in experimental groups. Twenty-four hours after the first laparotomy, localization of the omental pad was noted, and omental samples were obtained for biochemical analysis of levels and histopathologic findings (no. of vessels in sections, polymorphic nuclear leukocytes [PMLs], lymphocytes). The mean P-/E-selectin levels and histopathologic findings of inflammation were compared between groups. RESULTS Although omentum was adhered to the cecum in all subjects after CLP, similar findings were not detected in other groups. P-selectin and E-selectin levels and number of PML were significantly increased in the CLP group when compared with other groups (P &lt; .05). The number of vessels in sections was significantly increased in CLP group when compared with SG and BP groups (P &lt; .05), and the BP group had a decreased number of vessels than CG (P &lt; .05). The number of PML was significantly increased in SG and SL and BP groups with respect to CG (P &lt; .05). CONCLUSION Among different experimental intraabdominal catastrophes, only CLP caused an inflammatory response and increased levels of adhesion molecules in the omentum. These findings suggest that the nature of the inflammation is the main determining factor for the omental function in intraabdominal events.","author":[{"dropping-particle":"","family":"Aslan","given":"Mustafa Kemal","non-dropping-particle":"","parse-names":false,"suffix":""},{"dropping-particle":"","family":"Boybeyi","given":"Özlem","non-dropping-particle":"","parse-names":false,"suffix":""},{"dropping-particle":"","family":"Soyer","given":"Tutku","non-dropping-particle":"","parse-names":false,"suffix":""},{"dropping-particle":"","family":"Şenyücel","given":"Mine Fedakar","non-dropping-particle":"","parse-names":false,"suffix":""},{"dropping-particle":"","family":"Ayva","given":"Şebnem","non-dropping-particle":"","parse-names":false,"suffix":""},{"dropping-particle":"","family":"Kısa","given":"Ucler","non-dropping-particle":"","parse-names":false,"suffix":""},{"dropping-particle":"","family":"Cesur","given":"Özkan","non-dropping-particle":"","parse-names":false,"suffix":""},{"dropping-particle":"","family":"Çakmak","given":"Murat","non-dropping-particle":"","parse-names":false,"suffix":""}],"container-title":"Journal of Pediatric Surgery","id":"ITEM-1","issue":"11","issued":{"date-parts":[["2012","11"]]},"page":"2050-2054","title":"Evaluation of omental inflammatory response with P-/E-selectin levels and histopathologic findings in experimental model","type":"article-journal","volume":"47"},"uris":["http://www.mendeley.com/documents/?uuid=95962475-9f42-400a-9237-d5ba8553a160"]},{"id":"ITEM-2","itemData":{"DOI":"10.1016/j.biopha.2016.12.026","ISSN":"07533322","PMID":"28038428","abstract":"BACKGROUND Sepsis causes nutritional substrate malabsorption; hence, preventing gut barrier problems and improving the nutritional status in sepsis is a compelling issue. AIMS We tested whether ghrelin administration affects peptide transporter 1 (PepT1) activity in the intestinal epithelium of rats with sepsis. METHODS Sixty male Sprague-Dawley rats were randomly divided into sham-operated, sepsis, and ghrelin-treated groups. The cecum of sham-operated rats was separated after laparotomy without ligation and perforation. Sepsis group rats underwent cecal ligation and puncture (CLP). Mucosal specimens were used for immunohistochemstry, real-time PCR, and western blotting to detect PepT1 distribution, and mRNA and protein expression levels, respectively. TNF-α, IL-1β, and ghrelin levels were estimated in serum and intestinal mucosal tissue by ELISA. High-performance liquid chromatography was used to measure PepT1 uptake by the epithelial cells. Moreover, survival, body weight, and food intake of the rats were recorded during the 7-day treatment period. RESULTS All rats in the sham-operated group survived, and 80% of rats in the sepsis group died within 7d of CLP. Treatment with ghrelin attenuated the CLP-induced body weight loss, intestine mucosa damage, and the survival rate was better. In addition, ghrelin attenuated increases in TNF-α and IL-1β production. The expressions of PepT1 mRNA and protein were higher in ghrelin-treated group rats than in sepsis rats. Moreover, the uptake function of PepT1 was better in ghrelin-treated group rats. CONCLUSION Ghrelin treatment can reduce the inflammatory response and greatly upregulate the physiological function of PepT1 in intestinal epithelial cells of rats with sepsis.","author":[{"dropping-particle":"","family":"Liu","given":"Jingquan","non-dropping-particle":"","parse-names":false,"suffix":""},{"dropping-particle":"","family":"Shi","given":"Bin","non-dropping-particle":"","parse-names":false,"suffix":""},{"dropping-particle":"","family":"Shi","given":"Kai","non-dropping-particle":"","parse-names":false,"suffix":""},{"dropping-particle":"","family":"Ma","given":"Guoguang","non-dropping-particle":"","parse-names":false,"suffix":""},{"dropping-particle":"","family":"Zhang","given":"Hongze","non-dropping-particle":"","parse-names":false,"suffix":""},{"dropping-particle":"","family":"Lou","given":"Xiaoli","non-dropping-particle":"","parse-names":false,"suffix":""},{"dropping-particle":"","family":"Liu","given":"Hongxiang","non-dropping-particle":"","parse-names":false,"suffix":""},{"dropping-particle":"","family":"Wan","given":"Shengxia","non-dropping-particle":"","parse-names":false,"suffix":""},{"dropping-particle":"","family":"Liang","given":"Dongyu","non-dropping-particle":"","parse-names":false,"suffix":""}],"container-title":"Biomedicine &amp; Pharmacotherapy","id":"ITEM-2","issued":{"date-parts":[["2017","2"]]},"page":"669-676","title":"Ghrelin upregulates PepT1 activity in the small intestine epithelium of rats with sepsis","type":"article-journal","volume":"86"},"uris":["http://www.mendeley.com/documents/?uuid=e34669a6-060a-4439-8eb9-e48f7e57279f"]},{"id":"ITEM-3","itemData":{"DOI":"10.1139/cjpp-2013-0219","ISSN":"0008-4212","PMID":"24289082","abstract":"In this study, we sought to determine the effects produced by cecal ligation and perforation (CLP) on the autonomic responses to the activation of peripheral chemoreflexes in conscious rats. The peripheral chemoreflex was activated with potassium cyanide (KCN; 40 μg·(0.1 mL)(-1); intravenous injection (i.v.)) in male Wistar rats 3, 6, 12, and 24 h after CLP or sham surgery. The mean arterial pressure (MAP), heart rate (HR), and respiratory frequency (fR) were recorded simultaneously. CLP surgery reduced the baseline MAP when compared with the sham animals. In the animals of the sham group, the autonomic responses to KCN produced increases in MAP and fR as well as a decrease in HR. However, 12 and 24 h after CLP surgery, the autonomic responses to KCN were attenuated. The restoration of MAP by i.v. injected l-NAME or phenylephrine did not restore the autonomic response to KCN in rats subjected to CLP. These data show that septic shock induced by CLP compromised the autonomic responses to peripheral chemoreflex activation in conscious rats, suggesting that an important regulatory mechanism is impaired during the course of this condition.","author":[{"dropping-particle":"","family":"Santiago","given":"Michael B","non-dropping-particle":"","parse-names":false,"suffix":""},{"dropping-particle":"","family":"Vieira","given":"Alexandre A","non-dropping-particle":"","parse-names":false,"suffix":""},{"dropping-particle":"","family":"Giusti-Paiva","given":"Alexandre","non-dropping-particle":"","parse-names":false,"suffix":""}],"container-title":"Canadian Journal of Physiology and Pharmacology","id":"ITEM-3","issue":"12","issued":{"date-parts":[["2013","12"]]},"page":"1107-1111","title":"Impaired chemoreflex sensitivity during septic shock induced by cecal ligation and perforation","type":"article-journal","volume":"91"},"uris":["http://www.mendeley.com/documents/?uuid=a24772d5-8399-416e-be7e-ebc0a7cb0ad4"]}],"mendeley":{"formattedCitation":"&lt;sup&gt;[1–3]&lt;/sup&gt;","plainTextFormattedCitation":"[1–3]","previouslyFormattedCitation":"&lt;sup&gt;[1–3]&lt;/sup&gt;"},"properties":{"noteIndex":0},"schema":"https://github.com/citation-style-language/schema/raw/master/csl-citation.json"}</w:instrText>
      </w:r>
      <w:r w:rsidR="002E7EFE"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2E7EFE"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the immediate post-perforation threat is rarely studied, particularly </w:t>
      </w:r>
      <w:r w:rsidR="002F1EC6" w:rsidRPr="00E47A42">
        <w:rPr>
          <w:rFonts w:ascii="Book Antiqua" w:hAnsi="Book Antiqua" w:cs="Times New Roman"/>
          <w:sz w:val="24"/>
          <w:szCs w:val="24"/>
          <w:lang w:val="en-US"/>
        </w:rPr>
        <w:t>regarding</w:t>
      </w:r>
      <w:r w:rsidR="00FF659B"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2F1EC6"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rapid disappearance of blood vessels </w:t>
      </w:r>
      <w:r w:rsidR="002F1EC6" w:rsidRPr="00E47A42">
        <w:rPr>
          <w:rFonts w:ascii="Book Antiqua" w:hAnsi="Book Antiqua" w:cs="Times New Roman"/>
          <w:sz w:val="24"/>
          <w:szCs w:val="24"/>
          <w:lang w:val="en-US"/>
        </w:rPr>
        <w:t>in</w:t>
      </w:r>
      <w:r w:rsidRPr="00E47A42">
        <w:rPr>
          <w:rFonts w:ascii="Book Antiqua" w:hAnsi="Book Antiqua" w:cs="Times New Roman"/>
          <w:sz w:val="24"/>
          <w:szCs w:val="24"/>
          <w:lang w:val="en-US"/>
        </w:rPr>
        <w:t xml:space="preserve"> the cecum serosa that </w:t>
      </w:r>
      <w:r w:rsidRPr="00E47A42">
        <w:rPr>
          <w:rFonts w:ascii="Book Antiqua" w:hAnsi="Book Antiqua" w:cs="Times New Roman"/>
          <w:noProof/>
          <w:sz w:val="24"/>
          <w:szCs w:val="24"/>
          <w:lang w:val="en-US"/>
        </w:rPr>
        <w:t>are</w:t>
      </w:r>
      <w:r w:rsidRPr="00E47A42">
        <w:rPr>
          <w:rFonts w:ascii="Book Antiqua" w:hAnsi="Book Antiqua" w:cs="Times New Roman"/>
          <w:sz w:val="24"/>
          <w:szCs w:val="24"/>
          <w:lang w:val="en-US"/>
        </w:rPr>
        <w:t xml:space="preserve"> instantly emptied and thereby </w:t>
      </w:r>
      <w:r w:rsidR="002F1EC6" w:rsidRPr="00E47A42">
        <w:rPr>
          <w:rFonts w:ascii="Book Antiqua" w:hAnsi="Book Antiqua" w:cs="Times New Roman"/>
          <w:sz w:val="24"/>
          <w:szCs w:val="24"/>
          <w:lang w:val="en-US"/>
        </w:rPr>
        <w:t>“</w:t>
      </w:r>
      <w:r w:rsidR="00FF659B" w:rsidRPr="00E47A42">
        <w:rPr>
          <w:rFonts w:ascii="Book Antiqua" w:hAnsi="Book Antiqua" w:cs="Times New Roman"/>
          <w:sz w:val="24"/>
          <w:szCs w:val="24"/>
          <w:lang w:val="en-US"/>
        </w:rPr>
        <w:t>disappear</w:t>
      </w:r>
      <w:r w:rsidR="002F1EC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perforation defect enlargement</w:t>
      </w:r>
      <w:r w:rsidR="002F1EC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bleeding and fluid leak</w:t>
      </w:r>
      <w:r w:rsidR="002F1EC6" w:rsidRPr="00E47A42">
        <w:rPr>
          <w:rFonts w:ascii="Book Antiqua" w:hAnsi="Book Antiqua" w:cs="Times New Roman"/>
          <w:sz w:val="24"/>
          <w:szCs w:val="24"/>
          <w:lang w:val="en-US"/>
        </w:rPr>
        <w:t>age,</w:t>
      </w:r>
      <w:r w:rsidRPr="00E47A42">
        <w:rPr>
          <w:rFonts w:ascii="Book Antiqua" w:hAnsi="Book Antiqua" w:cs="Times New Roman"/>
          <w:sz w:val="24"/>
          <w:szCs w:val="24"/>
          <w:lang w:val="en-US"/>
        </w:rPr>
        <w:t xml:space="preserve"> increased oxidative stress and disturbed </w:t>
      </w:r>
      <w:r w:rsidR="00253E13" w:rsidRPr="00E47A42">
        <w:rPr>
          <w:rFonts w:ascii="Book Antiqua" w:hAnsi="Book Antiqua" w:cs="Times New Roman"/>
          <w:sz w:val="24"/>
          <w:szCs w:val="24"/>
          <w:lang w:val="en-US"/>
        </w:rPr>
        <w:t>nitric oxide (NO)</w:t>
      </w:r>
      <w:r w:rsidRPr="00E47A42">
        <w:rPr>
          <w:rFonts w:ascii="Book Antiqua" w:hAnsi="Book Antiqua" w:cs="Times New Roman"/>
          <w:sz w:val="24"/>
          <w:szCs w:val="24"/>
          <w:lang w:val="en-US"/>
        </w:rPr>
        <w:t xml:space="preserve"> level</w:t>
      </w:r>
      <w:r w:rsidR="002F1EC6"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cecum tissue. Likewise, the possible effect of cytoprotective agents, known to act as a class on endothelium maintenance in</w:t>
      </w:r>
      <w:r w:rsidR="002F1EC6" w:rsidRPr="00E47A42">
        <w:rPr>
          <w:rFonts w:ascii="Book Antiqua" w:hAnsi="Book Antiqua" w:cs="Times New Roman"/>
          <w:sz w:val="24"/>
          <w:szCs w:val="24"/>
          <w:lang w:val="en-US"/>
        </w:rPr>
        <w:t xml:space="preserve"> the</w:t>
      </w:r>
      <w:r w:rsidRPr="00E47A42">
        <w:rPr>
          <w:rFonts w:ascii="Book Antiqua" w:hAnsi="Book Antiqua" w:cs="Times New Roman"/>
          <w:sz w:val="24"/>
          <w:szCs w:val="24"/>
          <w:lang w:val="en-US"/>
        </w:rPr>
        <w:t xml:space="preserve"> gastrointestinal tract (and</w:t>
      </w:r>
      <w:r w:rsidR="00CE5B80"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thereby, mucosal maintenance)</w:t>
      </w:r>
      <w:r w:rsidR="00E80744"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{"citationItems":[{"id":"ITEM-1","itemData":{"ISSN":"0016-5085","PMID":"38173","author":[{"dropping-particle":"","family":"Robert","given":"A","non-dropping-particle":"","parse-names":false,"suffix":""}],"container-title":"Gastroenterology","id":"ITEM-1","issue":"4 Pt 1","issued":{"date-parts":[["1979","10"]]},"page":"761-7","title":"Cytoprotection by prostaglandins.","type":"article-journal","volume":"77"},"uris":["http://www.mendeley.com/documents/?uuid=49342c62-22fb-4e9e-8e1d-0c66f6f8fd98"]},{"id":"ITEM-2","itemData":{"DOI":"10.1016/0024-3205(94)00796-9","ISSN":"00243205","abstract":"The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Sciences","id":"ITEM-2","issue":"5","issued":{"date-parts":[["1994"]]},"title":"The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-3","itemData":{"DOI":"10.1007/978-1-4684-5697-4","ISBN":"978-1-4684-5699-8","author":[{"dropping-particle":"","family":"Szabo","given":"Sandor","non-dropping-particle":"","parse-names":false,"suffix":""}],"container-title":"Gastric cytoprotection. A clinician's guide","edition":"1. st","editor":[{"dropping-particle":"","family":"Hollander","given":"Daniel","non-dropping-particle":"","parse-names":false,"suffix":""},{"dropping-particle":"","family":"Tarnawski","given":"Andrzej S.","non-dropping-particle":"","parse-names":false,"suffix":""}],"id":"ITEM-3","issued":{"date-parts":[["1989"]]},"number-of-pages":"49-90","publisher":"Springer US","publisher-place":"Boston, MA","title":"Gastric Cytoprotection","type":"book"},"uris":["http://www.mendeley.com/documents/?uuid=b6143da9-cfd4-4cc4-9ba5-11dff6b9ff7e"]},{"id":"ITEM-4","itemData":{"ISSN":"0016-5085","PMID":"3871087","abstract":"The hypothesis that vascular injury contributes to the development of hemorrhagic erosions after intragastric administration of ethanol has been examined in the rat using vascular tracers. Extravasation of intravenously injected Evans blue into the gastric wall and into gastric contents was used as an indicator of vascular permeability. India ink and monastral blue, which label damaged blood vessels, were used to demonstrate vascular injury morphologically. Intragastric instillation of 75% and 100% ethanol induced increased vascular permeability within 1-3 min and resulted in monastral blue labeling of vessels in 13% and 17%, respectively, of the glandular mucosa within 1 min. After 1 h of 100% ethanol exposure, the areal density of monastral blue-stained blood vessels did not increase compared with that seen at 1 min, but the areal density of grossly visible hemorrhagic lesions increased strikingly and approximated that of vessel staining. The hemorrhagic erosions consistently occurred in regions of glandular mucosa where vessels were stained with monastral blue. Pretreatment with prostaglandin F2 beta or cysteamine reduced ethanol-induced Evans blue extravasation and monastral blue staining of mucosal blood vessels but did not reduce histologic evidence of gastric surface cell damage in the glandular mucosa. As increased vascular permeability and morphologically detectable vascular lesions consistently preceded the development of grossly visible hemorrhagic erosions in the glandular mucosa, we suggest that vascular injury is an early pathogenetic factor in the development of ethanol-induced gastric hemorrhagic erosions. The data also indicate that the degree of vascular damage, unlike the injury to surface epithelial cells, is reduced by pretreatment with prostaglandin F2 beta or the sulfhydryl cysteamine.","author":[{"dropping-particle":"","family":"Szabo","given":"S","non-dropping-particle":"","parse-names":false,"suffix":""},{"dropping-particle":"","family":"Trier","given":"J S","non-dropping-particle":"","parse-names":false,"suffix":""},{"dropping-particle":"","family":"Brown","given":"A","non-dropping-particle":"","parse-names":false,"suffix":""},{"dropping-particle":"","family":"Schnoor","given":"J","non-dropping-particle":"","parse-names":false,"suffix":""}],"container-title":"Gastroenterology","id":"ITEM-4","issue":"1 Pt 2","issued":{"date-parts":[["1985","1"]]},"page":"228-36","title":"Early vascular injury and increased vascular permeability in gastric mucosal injury caused by ethanol in the rat.","type":"article-journal","volume":"88"},"uris":["http://www.mendeley.com/documents/?uuid=a3272911-ef25-495c-85d1-1b71d1d7f12e"]},{"id":"ITEM-5","itemData":{"author":[{"dropping-particle":"","family":"Szabo","given":"Sandor","non-dropping-particle":"","parse-names":false,"suffix":""},{"dropping-particle":"","family":"Trier","given":"JS","non-dropping-particle":"","parse-names":false,"suffix":""}],"container-title":"Mechanism of mucosal protection in the upper gastrointestinal tract","editor":[{"dropping-particle":"","family":"Allen","given":"A","non-dropping-particle":"","parse-names":false,"suffix":""},{"dropping-particle":"","family":"Flemstrom","given":"G","non-dropping-particle":"","parse-names":false,"suffix":""},{"dropping-particle":"","family":"Garner","given":"A","non-dropping-particle":"","parse-names":false,"suffix":""},{"dropping-particle":"","family":"Silen","given":"W","non-dropping-particle":"","parse-names":false,"suffix":""},{"dropping-particle":"","family":"Turnberg","given":"LA","non-dropping-particle":"","parse-names":false,"suffix":""}],"id":"ITEM-5","issued":{"date-parts":[["1984"]]},"page":"387-393","publisher":"Raven","publisher-place":"New York","title":"Pathogenesis of acute gastric mucosal injury: Sulfhydrils as a protector, adrenal cortex as a modulator, and vascular endothelium as a target","type":"chapter"},"uris":["http://www.mendeley.com/documents/?uuid=21df94ec-a5e2-4420-85db-5334a540ef21"]},{"id":"ITEM-6","itemData":{"ISSN":"0016-5085","PMID":"3781180","abstract":"Impairment of the mucosal microcirculation may contribute to ethanol-induced gastric mucosal damage. In this report, we describe diffuse and severe ultrastructural damage to the capillaries of the gastric glandular mucosa of the rat that occurred within 1 min after intragastric instillation of 100% ethanol. There was a gradient of damage in that endothelial cell structure was most severely disrupted in profiles of capillaries located close to the luminal surface but some morphologic evidence of damage was evident in the wall of capillary profiles to a mean depth of 256 micron. Capillary structure was generally normal in the deeper regions of the mucosa. Pretreatment with intragastric cysteamine, 30 mg/100 g, or intragastric prostaglandin F2 beta, 0.5 mg/100 g, significantly reduced the depth in the mucosa to which damage to capillaries extended. Pretreatment with intragastric prostaglandin F2 beta, 0.2 mg/100 g, afforded no significant protection. We conclude that a 1-min exposure to 100% ethanol induces striking damage to the microcirculation of glandular mucosa of the rat stomach with severe damage to capillary profiles near the lumen and sparing of capillary profiles near the muscularis mucosa, and pretreatment with the sulfhydryl agent, cysteamine, or with a large dose of prostaglandin F2 beta reduces the extent of but does not abolish ethanol-induced damage to gastric mucosal capillaries.","author":[{"dropping-particle":"","family":"Trier","given":"JS","non-dropping-particle":"","parse-names":false,"suffix":""},{"dropping-particle":"","family":"Szabo","given":"S","non-dropping-particle":"","parse-names":false,"suffix":""},{"dropping-particle":"","family":"Allan","given":"CH","non-dropping-particle":"","parse-names":false,"suffix":""}],"container-title":"Gastroenterology","id":"ITEM-6","issue":"1","issued":{"date-parts":[["1987","1"]]},"page":"13-22","title":"Ethanol-induced damage to mucosal capillaries of rat stomach. Ultrastructural features and effects of prostaglandin F2 beta and cysteamine.","type":"article-journal","volume":"92"},"uris":["http://www.mendeley.com/documents/?uuid=c3f098f1-f060-4c67-9911-5ab2b4c90217"]}],"mendeley":{"formattedCitation":"&lt;sup&gt;[4–9]&lt;/sup&gt;","plainTextFormattedCitation":"[4–9]","previouslyFormattedCitation":"&lt;sup&gt;[4–9]&lt;/sup&gt;"},"properties":{"noteIndex":0},"schema":"https://github.com/citation-style-language/schema/raw/master/csl-citation.json"}</w:instrText>
      </w:r>
      <w:r w:rsidR="00E80744"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[4–9]</w:t>
      </w:r>
      <w:r w:rsidR="00E80744"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especially </w:t>
      </w:r>
      <w:r w:rsidR="00FF659B"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stable gastric </w:t>
      </w:r>
      <w:proofErr w:type="spellStart"/>
      <w:r w:rsidRPr="00E47A42">
        <w:rPr>
          <w:rFonts w:ascii="Book Antiqua" w:hAnsi="Book Antiqua" w:cs="Times New Roman"/>
          <w:sz w:val="24"/>
          <w:szCs w:val="24"/>
          <w:lang w:val="en-US"/>
        </w:rPr>
        <w:t>pentadecapeptide</w:t>
      </w:r>
      <w:proofErr w:type="spellEnd"/>
      <w:r w:rsidRPr="00E47A42">
        <w:rPr>
          <w:rFonts w:ascii="Book Antiqua" w:hAnsi="Book Antiqua" w:cs="Times New Roman"/>
          <w:sz w:val="24"/>
          <w:szCs w:val="24"/>
          <w:lang w:val="en-US"/>
        </w:rPr>
        <w:t xml:space="preserve"> BPC 157 as a cytoprotective agent rapidly acting on endothelium integrity maintenance</w:t>
      </w:r>
      <w:r w:rsidR="006B0CC4"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mendeley":{"formattedCitation":"&lt;sup&gt;[10–19]&lt;/sup&gt;","plainTextFormattedCitation":"[10–19]","previouslyFormattedCitation":"&lt;sup&gt;[10–19]&lt;/sup&gt;"},"properties":{"noteIndex":0},"schema":"https://github.com/citation-style-language/schema/raw/master/csl-citation.json"}</w:instrText>
      </w:r>
      <w:r w:rsidR="006B0CC4"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[10–19]</w:t>
      </w:r>
      <w:r w:rsidR="006B0CC4"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r w:rsidR="00CC5028" w:rsidRPr="00E47A42">
        <w:rPr>
          <w:rFonts w:ascii="Book Antiqua" w:hAnsi="Book Antiqua" w:cs="Times New Roman"/>
          <w:sz w:val="24"/>
          <w:szCs w:val="24"/>
          <w:lang w:val="en-US"/>
        </w:rPr>
        <w:t xml:space="preserve">has been </w:t>
      </w:r>
      <w:r w:rsidRPr="00E47A42">
        <w:rPr>
          <w:rFonts w:ascii="Book Antiqua" w:hAnsi="Book Antiqua" w:cs="Times New Roman"/>
          <w:sz w:val="24"/>
          <w:szCs w:val="24"/>
          <w:lang w:val="en-US"/>
        </w:rPr>
        <w:t xml:space="preserve">not investigated. </w:t>
      </w:r>
    </w:p>
    <w:p w14:paraId="57BD535E" w14:textId="65033567" w:rsidR="00E05F1C" w:rsidRPr="00E47A42" w:rsidRDefault="00E05F1C" w:rsidP="00F73ADC">
      <w:pPr>
        <w:pStyle w:val="PlainText"/>
        <w:snapToGrid w:val="0"/>
        <w:spacing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We focused on </w:t>
      </w:r>
      <w:r w:rsidR="00FF659B"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 xml:space="preserve">perforated cecum, </w:t>
      </w:r>
      <w:r w:rsidR="00796A99"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stable gastric </w:t>
      </w:r>
      <w:proofErr w:type="spellStart"/>
      <w:r w:rsidRPr="00E47A42">
        <w:rPr>
          <w:rFonts w:ascii="Book Antiqua" w:hAnsi="Book Antiqua" w:cs="Times New Roman"/>
          <w:sz w:val="24"/>
          <w:szCs w:val="24"/>
          <w:lang w:val="en-US"/>
        </w:rPr>
        <w:t>pentadecapeptide</w:t>
      </w:r>
      <w:proofErr w:type="spellEnd"/>
      <w:r w:rsidRPr="00E47A42">
        <w:rPr>
          <w:rFonts w:ascii="Book Antiqua" w:hAnsi="Book Antiqua" w:cs="Times New Roman"/>
          <w:sz w:val="24"/>
          <w:szCs w:val="24"/>
          <w:lang w:val="en-US"/>
        </w:rPr>
        <w:t xml:space="preserve"> BPC 157, </w:t>
      </w:r>
      <w:r w:rsidR="00796A99"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NOS-blocker L-NAME, and</w:t>
      </w:r>
      <w:r w:rsidR="00796A99" w:rsidRPr="00E47A42">
        <w:rPr>
          <w:rFonts w:ascii="Book Antiqua" w:hAnsi="Book Antiqua" w:cs="Times New Roman"/>
          <w:sz w:val="24"/>
          <w:szCs w:val="24"/>
          <w:lang w:val="en-US"/>
        </w:rPr>
        <w:t xml:space="preserve"> the</w:t>
      </w:r>
      <w:r w:rsidRPr="00E47A42">
        <w:rPr>
          <w:rFonts w:ascii="Book Antiqua" w:hAnsi="Book Antiqua" w:cs="Times New Roman"/>
          <w:sz w:val="24"/>
          <w:szCs w:val="24"/>
          <w:lang w:val="en-US"/>
        </w:rPr>
        <w:t xml:space="preserve"> NOS-substrate L-arginine, </w:t>
      </w:r>
      <w:r w:rsidR="00CE5B80" w:rsidRPr="00E47A42">
        <w:rPr>
          <w:rFonts w:ascii="Book Antiqua" w:hAnsi="Book Antiqua" w:cs="Times New Roman"/>
          <w:sz w:val="24"/>
          <w:szCs w:val="24"/>
          <w:lang w:val="en-US"/>
        </w:rPr>
        <w:t xml:space="preserve">as well as </w:t>
      </w:r>
      <w:r w:rsidR="00C83B6C" w:rsidRPr="00E47A42">
        <w:rPr>
          <w:rFonts w:ascii="Book Antiqua" w:hAnsi="Book Antiqua" w:cs="Times New Roman"/>
          <w:sz w:val="24"/>
          <w:szCs w:val="24"/>
          <w:lang w:val="en-US"/>
        </w:rPr>
        <w:t xml:space="preserve">on </w:t>
      </w:r>
      <w:r w:rsidR="002F1EC6"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initial post-perforation period, rapid disappearance of blood vessels at the cecum serosa (emptied</w:t>
      </w:r>
      <w:r w:rsidR="002F1EC6" w:rsidRPr="00E47A42">
        <w:rPr>
          <w:rFonts w:ascii="Book Antiqua" w:hAnsi="Book Antiqua" w:cs="Times New Roman"/>
          <w:sz w:val="24"/>
          <w:szCs w:val="24"/>
          <w:lang w:val="en-US"/>
        </w:rPr>
        <w:t>/</w:t>
      </w:r>
      <w:r w:rsidRPr="00E47A42">
        <w:rPr>
          <w:rFonts w:ascii="Book Antiqua" w:hAnsi="Book Antiqua" w:cs="Times New Roman"/>
          <w:sz w:val="24"/>
          <w:szCs w:val="24"/>
          <w:lang w:val="en-US"/>
        </w:rPr>
        <w:t>disappeared), a large immediate defect, bleeding, leak</w:t>
      </w:r>
      <w:r w:rsidR="00CE5B80" w:rsidRPr="00E47A42">
        <w:rPr>
          <w:rFonts w:ascii="Book Antiqua" w:hAnsi="Book Antiqua" w:cs="Times New Roman"/>
          <w:sz w:val="24"/>
          <w:szCs w:val="24"/>
          <w:lang w:val="en-US"/>
        </w:rPr>
        <w:t>age of</w:t>
      </w:r>
      <w:r w:rsidRPr="00E47A42">
        <w:rPr>
          <w:rFonts w:ascii="Book Antiqua" w:hAnsi="Book Antiqua" w:cs="Times New Roman"/>
          <w:sz w:val="24"/>
          <w:szCs w:val="24"/>
          <w:lang w:val="en-US"/>
        </w:rPr>
        <w:t xml:space="preserve"> fluid, increased oxidative stress and disturbed NO level</w:t>
      </w:r>
      <w:r w:rsidR="002F1EC6"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cecum tissue. The rationale was </w:t>
      </w:r>
      <w:r w:rsidR="00C77680" w:rsidRPr="00E47A42">
        <w:rPr>
          <w:rFonts w:ascii="Book Antiqua" w:hAnsi="Book Antiqua" w:cs="Times New Roman"/>
          <w:sz w:val="24"/>
          <w:szCs w:val="24"/>
          <w:lang w:val="en-US"/>
        </w:rPr>
        <w:t>the beneficial effects in</w:t>
      </w:r>
      <w:r w:rsidR="0001192B" w:rsidRPr="00E47A42">
        <w:rPr>
          <w:rFonts w:ascii="Book Antiqua" w:hAnsi="Book Antiqua" w:cs="Times New Roman"/>
          <w:sz w:val="24"/>
          <w:szCs w:val="24"/>
          <w:lang w:val="en-US"/>
        </w:rPr>
        <w:t xml:space="preserve"> rat</w:t>
      </w:r>
      <w:r w:rsidR="00C77680" w:rsidRPr="00E47A42">
        <w:rPr>
          <w:rFonts w:ascii="Book Antiqua" w:hAnsi="Book Antiqua" w:cs="Times New Roman"/>
          <w:sz w:val="24"/>
          <w:szCs w:val="24"/>
          <w:lang w:val="en-US"/>
        </w:rPr>
        <w:t>s with</w:t>
      </w:r>
      <w:r w:rsidR="0001192B" w:rsidRPr="00E47A42">
        <w:rPr>
          <w:rFonts w:ascii="Book Antiqua" w:hAnsi="Book Antiqua" w:cs="Times New Roman"/>
          <w:sz w:val="24"/>
          <w:szCs w:val="24"/>
          <w:lang w:val="en-US"/>
        </w:rPr>
        <w:t xml:space="preserve"> ischemic colitis and inferior </w:t>
      </w:r>
      <w:r w:rsidR="0001192B" w:rsidRPr="00E47A42">
        <w:rPr>
          <w:rFonts w:ascii="Book Antiqua" w:hAnsi="Book Antiqua" w:cs="Times New Roman"/>
          <w:noProof/>
          <w:sz w:val="24"/>
          <w:szCs w:val="24"/>
          <w:lang w:val="en-US"/>
        </w:rPr>
        <w:t>caval</w:t>
      </w:r>
      <w:r w:rsidR="0001192B" w:rsidRPr="00E47A42">
        <w:rPr>
          <w:rFonts w:ascii="Book Antiqua" w:hAnsi="Book Antiqua" w:cs="Times New Roman"/>
          <w:sz w:val="24"/>
          <w:szCs w:val="24"/>
          <w:lang w:val="en-US"/>
        </w:rPr>
        <w:t xml:space="preserve"> vein occlusion syndrome</w:t>
      </w:r>
      <w:r w:rsidR="006B0CC4"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6B0CC4"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6B0CC4" w:rsidRPr="00E47A42">
        <w:rPr>
          <w:rFonts w:ascii="Book Antiqua" w:hAnsi="Book Antiqua" w:cs="Times New Roman"/>
          <w:sz w:val="24"/>
          <w:szCs w:val="24"/>
          <w:lang w:val="en-US"/>
        </w:rPr>
        <w:fldChar w:fldCharType="end"/>
      </w:r>
      <w:r w:rsidR="0001192B" w:rsidRPr="00E47A42">
        <w:rPr>
          <w:rFonts w:ascii="Book Antiqua" w:hAnsi="Book Antiqua" w:cs="Times New Roman"/>
          <w:sz w:val="24"/>
          <w:szCs w:val="24"/>
          <w:lang w:val="en-US"/>
        </w:rPr>
        <w:t xml:space="preserve"> and </w:t>
      </w:r>
      <w:r w:rsidRPr="00E47A42">
        <w:rPr>
          <w:rFonts w:ascii="Book Antiqua" w:hAnsi="Book Antiqua" w:cs="Times New Roman"/>
          <w:sz w:val="24"/>
          <w:szCs w:val="24"/>
          <w:lang w:val="en-US"/>
        </w:rPr>
        <w:t>the particular effect of BPC 157 on blood vessels</w:t>
      </w:r>
      <w:r w:rsidR="00C77B4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C77B4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C77B48" w:rsidRPr="00E47A42">
        <w:rPr>
          <w:rFonts w:ascii="Book Antiqua" w:hAnsi="Book Antiqua" w:cs="Times New Roman"/>
          <w:sz w:val="24"/>
          <w:szCs w:val="24"/>
          <w:lang w:val="en-US"/>
        </w:rPr>
        <w:fldChar w:fldCharType="end"/>
      </w:r>
      <w:r w:rsidR="009433C5" w:rsidRPr="00E47A42">
        <w:rPr>
          <w:rFonts w:ascii="Book Antiqua" w:hAnsi="Book Antiqua" w:cs="Times New Roman"/>
          <w:sz w:val="24"/>
          <w:szCs w:val="24"/>
          <w:lang w:val="en-US"/>
        </w:rPr>
        <w:t xml:space="preserve">. Namely, we </w:t>
      </w:r>
      <w:r w:rsidR="009A3C66" w:rsidRPr="00E47A42">
        <w:rPr>
          <w:rFonts w:ascii="Book Antiqua" w:hAnsi="Book Antiqua" w:cs="Times New Roman"/>
          <w:sz w:val="24"/>
          <w:szCs w:val="24"/>
          <w:lang w:val="en-US"/>
        </w:rPr>
        <w:t>r</w:t>
      </w:r>
      <w:r w:rsidRPr="00E47A42">
        <w:rPr>
          <w:rFonts w:ascii="Book Antiqua" w:hAnsi="Book Antiqua" w:cs="Times New Roman"/>
          <w:sz w:val="24"/>
          <w:szCs w:val="24"/>
          <w:lang w:val="en-US"/>
        </w:rPr>
        <w:t>ecent</w:t>
      </w:r>
      <w:r w:rsidR="009433C5" w:rsidRPr="00E47A42">
        <w:rPr>
          <w:rFonts w:ascii="Book Antiqua" w:hAnsi="Book Antiqua" w:cs="Times New Roman"/>
          <w:sz w:val="24"/>
          <w:szCs w:val="24"/>
          <w:lang w:val="en-US"/>
        </w:rPr>
        <w:t>ly</w:t>
      </w:r>
      <w:r w:rsidRPr="00E47A42">
        <w:rPr>
          <w:rFonts w:ascii="Book Antiqua" w:hAnsi="Book Antiqua" w:cs="Times New Roman"/>
          <w:sz w:val="24"/>
          <w:szCs w:val="24"/>
          <w:lang w:val="en-US"/>
        </w:rPr>
        <w:t xml:space="preserve"> </w:t>
      </w:r>
      <w:r w:rsidR="009433C5" w:rsidRPr="00E47A42">
        <w:rPr>
          <w:rFonts w:ascii="Book Antiqua" w:hAnsi="Book Antiqua" w:cs="Times New Roman"/>
          <w:sz w:val="24"/>
          <w:szCs w:val="24"/>
          <w:lang w:val="en-US"/>
        </w:rPr>
        <w:t xml:space="preserve">demonstrated </w:t>
      </w:r>
      <w:r w:rsidRPr="00E47A42">
        <w:rPr>
          <w:rFonts w:ascii="Book Antiqua" w:hAnsi="Book Antiqua" w:cs="Times New Roman"/>
          <w:sz w:val="24"/>
          <w:szCs w:val="24"/>
          <w:lang w:val="en-US"/>
        </w:rPr>
        <w:t>that BPC 157</w:t>
      </w:r>
      <w:r w:rsidR="002F1EC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rapidly </w:t>
      </w:r>
      <w:r w:rsidR="002F1EC6" w:rsidRPr="00E47A42">
        <w:rPr>
          <w:rFonts w:ascii="Book Antiqua" w:hAnsi="Book Antiqua" w:cs="Times New Roman"/>
          <w:sz w:val="24"/>
          <w:szCs w:val="24"/>
          <w:lang w:val="en-US"/>
        </w:rPr>
        <w:t xml:space="preserve">activated </w:t>
      </w:r>
      <w:r w:rsidR="009433C5" w:rsidRPr="00E47A42">
        <w:rPr>
          <w:rFonts w:ascii="Book Antiqua" w:hAnsi="Book Antiqua" w:cs="Times New Roman"/>
          <w:sz w:val="24"/>
          <w:szCs w:val="24"/>
          <w:lang w:val="en-US"/>
        </w:rPr>
        <w:t xml:space="preserve">the collateral circulation </w:t>
      </w:r>
      <w:r w:rsidR="00C77680" w:rsidRPr="00E47A42">
        <w:rPr>
          <w:rFonts w:ascii="Book Antiqua" w:hAnsi="Book Antiqua" w:cs="Times New Roman"/>
          <w:sz w:val="24"/>
          <w:szCs w:val="24"/>
          <w:lang w:val="en-US"/>
        </w:rPr>
        <w:t xml:space="preserve">from </w:t>
      </w:r>
      <w:r w:rsidRPr="00E47A42">
        <w:rPr>
          <w:rFonts w:ascii="Book Antiqua" w:hAnsi="Book Antiqua" w:cs="Times New Roman"/>
          <w:sz w:val="24"/>
          <w:szCs w:val="24"/>
          <w:lang w:val="en-US"/>
        </w:rPr>
        <w:t>existing vessels</w:t>
      </w:r>
      <w:r w:rsidR="002F1EC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in rats with ischemic colitis</w:t>
      </w:r>
      <w:r w:rsidR="0085192A" w:rsidRPr="00E47A42">
        <w:rPr>
          <w:rFonts w:ascii="Book Antiqua" w:hAnsi="Book Antiqua" w:cs="Times New Roman"/>
          <w:sz w:val="24"/>
          <w:szCs w:val="24"/>
          <w:lang w:val="en-US"/>
        </w:rPr>
        <w:t xml:space="preserve"> or inferior </w:t>
      </w:r>
      <w:r w:rsidR="0085192A" w:rsidRPr="00E47A42">
        <w:rPr>
          <w:rFonts w:ascii="Book Antiqua" w:hAnsi="Book Antiqua" w:cs="Times New Roman"/>
          <w:noProof/>
          <w:sz w:val="24"/>
          <w:szCs w:val="24"/>
          <w:lang w:val="en-US"/>
        </w:rPr>
        <w:t>caval</w:t>
      </w:r>
      <w:r w:rsidR="0085192A" w:rsidRPr="00E47A42">
        <w:rPr>
          <w:rFonts w:ascii="Book Antiqua" w:hAnsi="Book Antiqua" w:cs="Times New Roman"/>
          <w:sz w:val="24"/>
          <w:szCs w:val="24"/>
          <w:lang w:val="en-US"/>
        </w:rPr>
        <w:t xml:space="preserve"> vein occlusion</w:t>
      </w:r>
      <w:r w:rsidR="00C77B4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C77B4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C77B48" w:rsidRPr="00E47A42">
        <w:rPr>
          <w:rFonts w:ascii="Book Antiqua" w:hAnsi="Book Antiqua" w:cs="Times New Roman"/>
          <w:sz w:val="24"/>
          <w:szCs w:val="24"/>
          <w:lang w:val="en-US"/>
        </w:rPr>
        <w:fldChar w:fldCharType="end"/>
      </w:r>
      <w:r w:rsidR="0085192A" w:rsidRPr="00E47A42">
        <w:rPr>
          <w:rFonts w:ascii="Book Antiqua" w:hAnsi="Book Antiqua" w:cs="Times New Roman"/>
          <w:sz w:val="24"/>
          <w:szCs w:val="24"/>
          <w:lang w:val="en-US"/>
        </w:rPr>
        <w:t>. In</w:t>
      </w:r>
      <w:r w:rsidRPr="00E47A42">
        <w:rPr>
          <w:rFonts w:ascii="Book Antiqua" w:hAnsi="Book Antiqua" w:cs="Times New Roman"/>
          <w:sz w:val="24"/>
          <w:szCs w:val="24"/>
          <w:lang w:val="en-US"/>
        </w:rPr>
        <w:t xml:space="preserve"> </w:t>
      </w:r>
      <w:r w:rsidR="0085192A" w:rsidRPr="00E47A42">
        <w:rPr>
          <w:rFonts w:ascii="Book Antiqua" w:hAnsi="Book Antiqua" w:cs="Times New Roman"/>
          <w:sz w:val="24"/>
          <w:szCs w:val="24"/>
          <w:lang w:val="en-US"/>
        </w:rPr>
        <w:t>ischemic colitis (</w:t>
      </w:r>
      <w:r w:rsidR="0085192A" w:rsidRPr="00E47A42">
        <w:rPr>
          <w:rFonts w:ascii="Book Antiqua" w:hAnsi="Book Antiqua" w:cs="Times New Roman"/>
          <w:i/>
          <w:sz w:val="24"/>
          <w:szCs w:val="24"/>
          <w:lang w:val="en-US"/>
        </w:rPr>
        <w:t>i.e</w:t>
      </w:r>
      <w:r w:rsidR="0085192A" w:rsidRPr="00E47A42">
        <w:rPr>
          <w:rFonts w:ascii="Book Antiqua" w:hAnsi="Book Antiqua" w:cs="Times New Roman"/>
          <w:sz w:val="24"/>
          <w:szCs w:val="24"/>
          <w:lang w:val="en-US"/>
        </w:rPr>
        <w:t xml:space="preserve">., </w:t>
      </w:r>
      <w:r w:rsidR="0085192A" w:rsidRPr="00E47A42">
        <w:rPr>
          <w:rFonts w:ascii="Book Antiqua" w:hAnsi="Book Antiqua" w:cs="Times New Roman"/>
          <w:noProof/>
          <w:sz w:val="24"/>
          <w:szCs w:val="24"/>
          <w:lang w:val="en-US"/>
        </w:rPr>
        <w:t>segment</w:t>
      </w:r>
      <w:r w:rsidR="0085192A" w:rsidRPr="00E47A42">
        <w:rPr>
          <w:rFonts w:ascii="Book Antiqua" w:hAnsi="Book Antiqua" w:cs="Times New Roman"/>
          <w:sz w:val="24"/>
          <w:szCs w:val="24"/>
          <w:lang w:val="en-US"/>
        </w:rPr>
        <w:t xml:space="preserve"> of the left colic artery and vein exclude</w:t>
      </w:r>
      <w:r w:rsidR="00C77680" w:rsidRPr="00E47A42">
        <w:rPr>
          <w:rFonts w:ascii="Book Antiqua" w:hAnsi="Book Antiqua" w:cs="Times New Roman"/>
          <w:sz w:val="24"/>
          <w:szCs w:val="24"/>
          <w:lang w:val="en-US"/>
        </w:rPr>
        <w:t>d by two ligations) we proved effectiveness</w:t>
      </w:r>
      <w:r w:rsidR="0085192A" w:rsidRPr="00E47A42">
        <w:rPr>
          <w:rFonts w:ascii="Book Antiqua" w:hAnsi="Book Antiqua" w:cs="Times New Roman"/>
          <w:sz w:val="24"/>
          <w:szCs w:val="24"/>
          <w:lang w:val="en-US"/>
        </w:rPr>
        <w:t xml:space="preserve"> b</w:t>
      </w:r>
      <w:r w:rsidRPr="00E47A42">
        <w:rPr>
          <w:rFonts w:ascii="Book Antiqua" w:hAnsi="Book Antiqua" w:cs="Times New Roman"/>
          <w:sz w:val="24"/>
          <w:szCs w:val="24"/>
          <w:lang w:val="en-US"/>
        </w:rPr>
        <w:t>y</w:t>
      </w:r>
      <w:r w:rsidR="00482FF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passing</w:t>
      </w:r>
      <w:r w:rsidR="00482FF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through arcade vessels</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mendeley":{"formattedCitation":"&lt;sup&gt;[20]&lt;/sup&gt;","plainTextFormattedCitation":"[20]","previouslyFormattedCitation":"&lt;sup&gt;[20]&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w:t>
      </w:r>
      <w:r w:rsidR="00A13458" w:rsidRPr="00E47A42">
        <w:rPr>
          <w:rFonts w:ascii="Book Antiqua" w:hAnsi="Book Antiqua" w:cs="Times New Roman"/>
          <w:sz w:val="24"/>
          <w:szCs w:val="24"/>
          <w:lang w:val="en-US"/>
        </w:rPr>
        <w:fldChar w:fldCharType="end"/>
      </w:r>
      <w:r w:rsidR="0085192A" w:rsidRPr="00E47A42">
        <w:rPr>
          <w:rFonts w:ascii="Book Antiqua" w:hAnsi="Book Antiqua" w:cs="Times New Roman"/>
          <w:sz w:val="24"/>
          <w:szCs w:val="24"/>
          <w:lang w:val="en-US"/>
        </w:rPr>
        <w:t xml:space="preserve">. </w:t>
      </w:r>
      <w:r w:rsidR="0001192B" w:rsidRPr="00E47A42">
        <w:rPr>
          <w:rFonts w:ascii="Book Antiqua" w:hAnsi="Book Antiqua" w:cs="Times New Roman"/>
          <w:sz w:val="24"/>
          <w:szCs w:val="24"/>
          <w:lang w:val="en-US"/>
        </w:rPr>
        <w:t>Antagonizing the syndrome of</w:t>
      </w:r>
      <w:r w:rsidR="0085192A"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inferior </w:t>
      </w:r>
      <w:r w:rsidRPr="00E47A42">
        <w:rPr>
          <w:rFonts w:ascii="Book Antiqua" w:hAnsi="Book Antiqua" w:cs="Times New Roman"/>
          <w:noProof/>
          <w:sz w:val="24"/>
          <w:szCs w:val="24"/>
          <w:lang w:val="en-US"/>
        </w:rPr>
        <w:t>caval</w:t>
      </w:r>
      <w:r w:rsidRPr="00E47A42">
        <w:rPr>
          <w:rFonts w:ascii="Book Antiqua" w:hAnsi="Book Antiqua" w:cs="Times New Roman"/>
          <w:sz w:val="24"/>
          <w:szCs w:val="24"/>
          <w:lang w:val="en-US"/>
        </w:rPr>
        <w:t xml:space="preserve"> vein </w:t>
      </w:r>
      <w:r w:rsidR="0085192A" w:rsidRPr="00E47A42">
        <w:rPr>
          <w:rFonts w:ascii="Book Antiqua" w:hAnsi="Book Antiqua" w:cs="Times New Roman"/>
          <w:sz w:val="24"/>
          <w:szCs w:val="24"/>
          <w:lang w:val="en-US"/>
        </w:rPr>
        <w:t>infrarenal occlusion,</w:t>
      </w:r>
      <w:r w:rsidRPr="00E47A42">
        <w:rPr>
          <w:rFonts w:ascii="Book Antiqua" w:hAnsi="Book Antiqua" w:cs="Times New Roman"/>
          <w:sz w:val="24"/>
          <w:szCs w:val="24"/>
          <w:lang w:val="en-US"/>
        </w:rPr>
        <w:t xml:space="preserve"> </w:t>
      </w:r>
      <w:r w:rsidR="00590D76" w:rsidRPr="00E47A42">
        <w:rPr>
          <w:rFonts w:ascii="Book Antiqua" w:hAnsi="Book Antiqua" w:cs="Times New Roman"/>
          <w:sz w:val="24"/>
          <w:szCs w:val="24"/>
          <w:lang w:val="en-US"/>
        </w:rPr>
        <w:t xml:space="preserve">we evidenced </w:t>
      </w:r>
      <w:r w:rsidRPr="00E47A42">
        <w:rPr>
          <w:rFonts w:ascii="Book Antiqua" w:hAnsi="Book Antiqua" w:cs="Times New Roman"/>
          <w:sz w:val="24"/>
          <w:szCs w:val="24"/>
          <w:lang w:val="en-US"/>
        </w:rPr>
        <w:t>by</w:t>
      </w:r>
      <w:r w:rsidR="00482FF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passing</w:t>
      </w:r>
      <w:r w:rsidR="002F1EC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through </w:t>
      </w:r>
      <w:r w:rsidR="002F1EC6"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left ovarian vein and other veins</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w:t>
      </w:r>
      <w:r w:rsidR="00A13458" w:rsidRPr="00E47A42">
        <w:rPr>
          <w:rFonts w:ascii="Book Antiqua" w:hAnsi="Book Antiqua" w:cs="Times New Roman"/>
          <w:sz w:val="24"/>
          <w:szCs w:val="24"/>
          <w:lang w:val="en-US"/>
        </w:rPr>
        <w:fldChar w:fldCharType="end"/>
      </w:r>
      <w:r w:rsidR="0085192A" w:rsidRPr="00E47A42">
        <w:rPr>
          <w:rFonts w:ascii="Book Antiqua" w:hAnsi="Book Antiqua" w:cs="Times New Roman"/>
          <w:sz w:val="24"/>
          <w:szCs w:val="24"/>
          <w:lang w:val="en-US"/>
        </w:rPr>
        <w:t xml:space="preserve">. </w:t>
      </w:r>
      <w:r w:rsidR="00C77680" w:rsidRPr="00E47A42">
        <w:rPr>
          <w:rFonts w:ascii="Book Antiqua" w:hAnsi="Book Antiqua" w:cs="Times New Roman"/>
          <w:sz w:val="24"/>
          <w:szCs w:val="24"/>
          <w:lang w:val="en-US"/>
        </w:rPr>
        <w:t xml:space="preserve">These </w:t>
      </w:r>
      <w:r w:rsidR="00CA7B8A" w:rsidRPr="00E47A42">
        <w:rPr>
          <w:rFonts w:ascii="Book Antiqua" w:hAnsi="Book Antiqua" w:cs="Times New Roman"/>
          <w:sz w:val="24"/>
          <w:szCs w:val="24"/>
          <w:lang w:val="en-US"/>
        </w:rPr>
        <w:t xml:space="preserve">accentuated </w:t>
      </w:r>
      <w:r w:rsidR="00C77680" w:rsidRPr="00E47A42">
        <w:rPr>
          <w:rFonts w:ascii="Book Antiqua" w:hAnsi="Book Antiqua" w:cs="Times New Roman"/>
          <w:sz w:val="24"/>
          <w:szCs w:val="24"/>
          <w:lang w:val="en-US"/>
        </w:rPr>
        <w:t>the specific action of BPC 157</w:t>
      </w:r>
      <w:r w:rsidR="00CA7B8A" w:rsidRPr="00E47A42">
        <w:rPr>
          <w:rFonts w:ascii="Book Antiqua" w:hAnsi="Book Antiqua" w:cs="Times New Roman"/>
          <w:sz w:val="24"/>
          <w:szCs w:val="24"/>
          <w:lang w:val="en-US"/>
        </w:rPr>
        <w:t xml:space="preserve"> </w:t>
      </w:r>
      <w:r w:rsidR="00395747" w:rsidRPr="00E47A42">
        <w:rPr>
          <w:rFonts w:ascii="Book Antiqua" w:hAnsi="Book Antiqua" w:cs="Times New Roman"/>
          <w:sz w:val="24"/>
          <w:szCs w:val="24"/>
          <w:lang w:val="en-US"/>
        </w:rPr>
        <w:t xml:space="preserve">to </w:t>
      </w:r>
      <w:r w:rsidRPr="00E47A42">
        <w:rPr>
          <w:rFonts w:ascii="Book Antiqua" w:hAnsi="Book Antiqua" w:cs="Times New Roman"/>
          <w:sz w:val="24"/>
          <w:szCs w:val="24"/>
          <w:lang w:val="en-US"/>
        </w:rPr>
        <w:t>reestablish blood flow</w:t>
      </w:r>
      <w:r w:rsidR="00C77680" w:rsidRPr="00E47A42">
        <w:rPr>
          <w:rFonts w:ascii="Book Antiqua" w:hAnsi="Book Antiqua" w:cs="Times New Roman"/>
          <w:sz w:val="24"/>
          <w:szCs w:val="24"/>
          <w:lang w:val="en-US"/>
        </w:rPr>
        <w:t>,</w:t>
      </w:r>
      <w:r w:rsidR="00395747" w:rsidRPr="00E47A42">
        <w:rPr>
          <w:rFonts w:ascii="Book Antiqua" w:hAnsi="Book Antiqua" w:cs="Times New Roman"/>
          <w:sz w:val="24"/>
          <w:szCs w:val="24"/>
          <w:lang w:val="en-US"/>
        </w:rPr>
        <w:t xml:space="preserve"> and exert </w:t>
      </w:r>
      <w:r w:rsidRPr="00E47A42">
        <w:rPr>
          <w:rFonts w:ascii="Book Antiqua" w:hAnsi="Book Antiqua" w:cs="Times New Roman"/>
          <w:sz w:val="24"/>
          <w:szCs w:val="24"/>
          <w:lang w:val="en-US"/>
        </w:rPr>
        <w:t>its free radical scavenger effect in both ischemia and reperfusio</w:t>
      </w:r>
      <w:r w:rsidR="00A13458" w:rsidRPr="00E47A42">
        <w:rPr>
          <w:rFonts w:ascii="Book Antiqua" w:hAnsi="Book Antiqua" w:cs="Times New Roman"/>
          <w:sz w:val="24"/>
          <w:szCs w:val="24"/>
          <w:lang w:val="en-US"/>
        </w:rPr>
        <w:t>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p>
    <w:p w14:paraId="1534217B" w14:textId="26E542A1" w:rsidR="00E05F1C" w:rsidRPr="00E47A42" w:rsidRDefault="00E05F1C" w:rsidP="00F73ADC">
      <w:pPr>
        <w:autoSpaceDE w:val="0"/>
        <w:adjustRightInd w:val="0"/>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In addition, BPC 157</w:t>
      </w:r>
      <w:r w:rsidR="0039574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as a novel mediator of Robert’s </w:t>
      </w:r>
      <w:proofErr w:type="spellStart"/>
      <w:r w:rsidRPr="00E47A42">
        <w:rPr>
          <w:rFonts w:ascii="Book Antiqua" w:hAnsi="Book Antiqua" w:cs="Times New Roman"/>
          <w:sz w:val="24"/>
          <w:szCs w:val="24"/>
          <w:lang w:val="en-US"/>
        </w:rPr>
        <w:t>cytoprotection</w:t>
      </w:r>
      <w:proofErr w:type="spellEnd"/>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id":"ITEM-11","itemData":{"ISSN":"0016-5085","PMID":"38173","author":[{"dropping-particle":"","family":"Robert","given":"A","non-dropping-particle":"","parse-names":false,"suffix":""}],"container-title":"Gastroenterology","id":"ITEM-11","issue":"4 Pt 1","issued":{"date-parts":[["1979","10"]]},"page":"761-7","title":"Cytoprotection by prostaglandins.","type":"article-journal","volume":"77"},"uris":["http://www.mendeley.com/documents/?uuid=49342c62-22fb-4e9e-8e1d-0c66f6f8fd98"]}],"mendeley":{"formattedCitation":"&lt;sup&gt;[4,10,19,11–18]&lt;/sup&gt;","plainTextFormattedCitation":"[4,10,19,11–18]","previouslyFormattedCitation":"&lt;sup&gt;[4,10,19,11–18]&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[4,10</w:t>
      </w:r>
      <w:r w:rsidR="004416D7">
        <w:rPr>
          <w:rFonts w:ascii="Book Antiqua" w:hAnsi="Book Antiqua" w:cs="Times New Roman"/>
          <w:noProof/>
          <w:sz w:val="24"/>
          <w:szCs w:val="24"/>
          <w:vertAlign w:val="superscript"/>
          <w:lang w:val="en-US"/>
        </w:rPr>
        <w:t>–1</w:t>
      </w:r>
      <w:r w:rsidR="004416D7">
        <w:rPr>
          <w:rFonts w:ascii="Book Antiqua" w:hAnsi="Book Antiqua" w:cs="Times New Roman" w:hint="eastAsia"/>
          <w:noProof/>
          <w:sz w:val="24"/>
          <w:szCs w:val="24"/>
          <w:vertAlign w:val="superscript"/>
          <w:lang w:val="en-US" w:eastAsia="zh-CN"/>
        </w:rPr>
        <w:t>9</w:t>
      </w:r>
      <w:r w:rsidR="00AB3269" w:rsidRPr="00E47A42">
        <w:rPr>
          <w:rFonts w:ascii="Book Antiqua" w:hAnsi="Book Antiqua" w:cs="Times New Roman"/>
          <w:noProof/>
          <w:sz w:val="24"/>
          <w:szCs w:val="24"/>
          <w:vertAlign w:val="superscript"/>
          <w:lang w:val="en-US"/>
        </w:rPr>
        <w:t>]</w:t>
      </w:r>
      <w:r w:rsidR="00A13458" w:rsidRPr="00E47A42">
        <w:rPr>
          <w:rFonts w:ascii="Book Antiqua" w:hAnsi="Book Antiqua" w:cs="Times New Roman"/>
          <w:sz w:val="24"/>
          <w:szCs w:val="24"/>
          <w:lang w:val="en-US"/>
        </w:rPr>
        <w:fldChar w:fldCharType="end"/>
      </w:r>
      <w:r w:rsidR="0039574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also affects several other molecular pathways</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157","type":"article-journal","volume":"106"},"uris":["http://www.mendeley.com/documents/?uuid=0d4e894c-6fc1-3bed-bb8f-4b56e696ff06"]},{"id":"ITEM-2","itemData":{"DOI":"10.1016/j.ejphar.2012.11.055","ISBN":"1879-0712 (Electronic)\\r0014-2999 (Linking)","ISSN":"00142999","PMID":"23220707","abstract":"Esophagocutaneous fistulas are a failure of the NO-system, due to NO-synthase blockage by the NOS-blocker L-NAME consequently counteracted by l-arginine and gastric pentadecapeptide BPC 157 (l-arginine &lt;BPC 157), precipitating a therapeutic benefit. Previously, there was an established BPC 157 - NO-system interaction. BPC 157 GEPPPGKPADDAGLV, MW 1419 (LD1 not achieved), is a safe and stable anti-ulcer peptide, successful in inflammatory bowel disease trials, counteracting esophagitis, sphincter failure, gastrointestinal and skin ulcers, gastrocutaneous or colocutaneous fistulas. We treated rats with established cervical esophagocutaneous fistulas throughout four days (both open skin and esophageal defects, with significant leakage) with BPC 157 (parenterally and perorally) and L-NAME (blocking NO genesis) and l-arginine (NO-substrate) alone or in combination. RT-PCR investigated eNOS, iNOS, COX-2 mRNA levels in the fistulas. We evidenced a closely inter-related process of unhealed skin, esophageal defects, unhealed fistulas (up regulated eNOS, iNOS and COX2 mRNA levels), usually lethal, particularly NO-system related and therapy dependent. Generally, the course of fistula healing was accelerated either to a greater extent (with BPC 157 (in particular, less eNOS gene expression) completely counteracting L-NAME effects, in L-NAME+BPC 157 and L-NAME+l-arginine+BPC 157 groups), or to a lesser extent (with l-arginine). Conversely, the process was aggravated, rapidly and prominently (with L-NAME). In particular, BPC 157 was effective either given per-orally/intraperitoneally, in μg- and ng-regimens. Shortly, defects started to heal, with less fistula leakage and no mortality at day 4. Failure of pyloric and lower esophageal sphincter pressure was restored, with practically no esophagitis. © 2012 Elsevier B.V. All rights reserved.","author":[{"dropping-particle":"","family":"Cesarec","given":"Vedran","non-dropping-particle":"","parse-names":false,"suffix":""},{"dropping-particle":"","family":"Becejac","given":"Tomislav","non-dropping-particle":"","parse-names":false,"suffix":""},{"dropping-particle":"","family":"Misic","given":"Marija","non-dropping-particle":"","parse-names":false,"suffix":""},{"dropping-particle":"","family":"Djakovic","given":"Zeljko","non-dropping-particle":"","parse-names":false,"suffix":""},{"dropping-particle":"","family":"Olujic","given":"Danijela","non-dropping-particle":"","parse-names":false,"suffix":""},{"dropping-particle":"","family":"Drmic","given":"Domagoj","non-dropping-particle":"","parse-names":false,"suffix":""},{"dropping-particle":"","family":"Brcic","given":"Luka","non-dropping-particle":"","parse-names":false,"suffix":""},{"dropping-particle":"","family":"Rokotov","given":"Dinko Stancic","non-dropping-particle":"","parse-names":false,"suffix":""},{"dropping-particle":"","family":"Seiwerth","given":"Sven","non-dropping-particle":"","parse-names":false,"suffix":""},{"dropping-particle":"","family":"Sikiric","given":"Predrag","non-dropping-particle":"","parse-names":false,"suffix":""}],"container-title":"European Journal of Pharmacology","id":"ITEM-2","issue":"1-3","issued":{"date-parts":[["2013"]]},"page":"203-212","publisher":"Elsevier","title":"Pentadecapeptide BPC 157 and the esophagocutaneous fistula healing therapy","type":"article-journal","volume":"701"},"uris":["http://www.mendeley.com/documents/?uuid=41a5ff22-e5c0-4417-b310-4125e014ffdd"]},{"id":"ITEM-3","itemData":{"DOI":"10.1152/japplphysiol.00945.2010","ISSN":"1522-1601","PMID":"21030672","abstract":"Pentadecapeptide BPC 157, composed of 15 amino acids, is a partial sequence of body protection compound (BPC) that is discovered in and isolated from human gastric juice. Experimentally it has been demonstrated to accelerate the healing of many different wounds, including transected rat Achilles tendon. This study was designed to investigate the potential mechanism of BPC 157 to enhance healing of injured tendon. The outgrowth of tendon fibroblasts from tendon explants cultured with or without BPC 157 was examined. Results showed that BPC 157 significantly accelerated the outgrowth of tendon explants. Cell proliferation of cultured tendon fibroblasts derived from rat Achilles tendon was not directly affected by BPC 157 as evaluated by MTT assay. However, the survival of BPC 157-treated cells was significantly increased under the H(2)O(2) stress. BPC 157 markedly increased the in vitro migration of tendon fibroblasts in a dose-dependent manner as revealed by transwell filter migration assay. BPC 157 also dose dependently accelerated the spreading of tendon fibroblasts on culture dishes. The F-actin formation as detected by FITC-phalloidin staining was induced in BPC 157-treated fibroblasts. The protein expression and activation of FAK and paxillin were determined by Western blot analysis, and the phosphorylation levels of both FAK and paxillin were dose dependently increased by BPC 157 while the total amounts of protein was unaltered. In conclusion, BPC 157 promotes the ex vivo outgrowth of tendon fibroblasts from tendon explants, cell survival under stress, and the in vitro migration of tendon fibroblasts, which is likely mediated by the activation of the FAK-paxillin pathway.","author":[{"dropping-particle":"","family":"Chang","given":"Chung-Hsun","non-dropping-particle":"","parse-names":false,"suffix":""},{"dropping-particle":"","family":"Tsai","given":"Wen-Chung","non-dropping-particle":"","parse-names":false,"suffix":""},{"dropping-particle":"","family":"Lin","given":"Miao-Sui","non-dropping-particle":"","parse-names":false,"suffix":""},{"dropping-particle":"","family":"Hsu","given":"Ya-Hui","non-dropping-particle":"","parse-names":false,"suffix":""},{"dropping-particle":"","family":"Pang","given":"Jong-Hwei Su","non-dropping-particle":"","parse-names":false,"suffix":""}],"container-title":"Journal of applied physiology (Bethesda, Md. : 1985)","id":"ITEM-3","issue":"3","issued":{"date-parts":[["2011","3"]]},"page":"774-80","title":"The promoting effect of pentadecapeptide BPC 157 on tendon healing involves tendon outgrowth, cell survival, and cell migration.","type":"article-journal","volume":"110"},"uris":["http://www.mendeley.com/documents/?uuid=6729f5a4-ea79-4adb-aac1-570591ef479a"]},{"id":"ITEM-4","itemData":{"DOI":"10.3390/molecules191119066","ISSN":"1420-3049","PMID":"25415472","abstract":"BPC 157, a pentadecapeptide derived from human gastric juice, has been demonstrated to promote the healing of different tissues, including skin, muscle, bone, ligament and tendon in many animal studies. However, the underlying mechanism has not been fully clarified. The present study aimed to explore the effect of BPC 157 on tendon fibroblasts isolated from Achilles tendon of male Sprague-Dawley rat. From the result of cDNA microarray analysis, growth hormone receptor was revealed as one of the most abundantly up-regulated genes in tendon fibroblasts by BPC 157. BPC 157 dose- and time-dependently increased the expression of growth hormone receptor in tendon fibroblasts at both the mRNA and protein levels as measured by RT/real-time PCR and Western blot, respectively. The addition of growth hormone to BPC 157-treated tendon fibroblasts dose- and time-dependently increased the cell proliferation as determined by MTT assay and PCNA expression by RT/real-time PCR. Janus kinase 2, the downstream signal pathway of growth hormone receptor, was activated time-dependently by stimulating the BPC 157-treated tendon fibroblasts with growth hormone. In conclusion, the BPC 157-induced increase of growth hormone receptor in tendon fibroblasts may potentiate the proliferation-promoting effect of growth hormone and contribute to the healing of tendon.","author":[{"dropping-particle":"","family":"Chang","given":"Chung-Hsun","non-dropping-particle":"","parse-names":false,"suffix":""},{"dropping-particle":"","family":"Tsai","given":"Wen-Chung","non-dropping-particle":"","parse-names":false,"suffix":""},{"dropping-particle":"","family":"Hsu","given":"Ya-Hui","non-dropping-particle":"","parse-names":false,"suffix":""},{"dropping-particle":"","family":"Pang","given":"Jong-Hwei Su","non-dropping-particle":"","parse-names":false,"suffix":""}],"container-title":"Molecules (Basel, Switzerland)","id":"ITEM-4","issue":"11","issued":{"date-parts":[["2014","11","19"]]},"page":"19066-77","title":"Pentadecapeptide BPC 157 enhances the growth hormone receptor expression in tendon fibroblasts.","type":"article-journal","volume":"19"},"uris":["http://www.mendeley.com/documents/?uuid=f3f7100e-ea85-4e6c-a171-398e2a6cd3e4"]},{"id":"ITEM-5","itemData":{"DOI":"10.1007/s00109-016-1488-y","ISSN":"0946-2716","author":[{"dropping-particle":"","family":"Hsieh","given":"Ming-Jer","non-dropping-particle":"","parse-names":false,"suffix":""},{"dropping-particle":"","family":"Liu","given":"Hsien-Ta","non-dropping-particle":"","parse-names":false,"suffix":""},{"dropping-particle":"","family":"Wang","given":"Chao-Nin","non-dropping-particle":"","parse-names":false,"suffix":""},{"dropping-particle":"","family":"Huang","given":"Hsiu-Yun","non-dropping-particle":"","parse-names":false,"suffix":""},{"dropping-particle":"","family":"Lin","given":"Yuling","non-dropping-particle":"","parse-names":false,"suffix":""},{"dropping-particle":"","family":"Ko","given":"Yu-Shien","non-dropping-particle":"","parse-names":false,"suffix":""},{"dropping-particle":"","family":"Wang","given":"Jong-Shyan","non-dropping-particle":"","parse-names":false,"suffix":""},{"dropping-particle":"","family":"Chang","given":"Vincent Hung-Shu","non-dropping-particle":"","parse-names":false,"suffix":""},{"dropping-particle":"","family":"Pang","given":"Jong-Hwei S.","non-dropping-particle":"","parse-names":false,"suffix":""}],"container-title":"Journal of Molecular Medicine","id":"ITEM-5","issue":"3","issued":{"date-parts":[["2017","3","15"]]},"page":"323-333","title":"Therapeutic potential of pro-angiogenic BPC157 is associated with VEGFR2 activation and up-regulation","type":"article-journal","volume":"95"},"uris":["http://www.mendeley.com/documents/?uuid=d0162b37-24df-4fed-8888-a128d80ca9cc"]},{"id":"ITEM-6","itemData":{"DOI":"10.2147/DDDT.S82030","ISBN":"1177-8881 (Electronic)\\r1177-8881 (Linking)","ISSN":"11778881","PMID":"25995620","abstract":"Chemical burns take up a high proportion of burns admissions and can penetrate deep into tissues. Various reagents have been applied in the treatment of skin chemical burns; however, no optimal reagent for skin chemical burns currently exists. The present study investigated the effect of topical body protective compound (BPC)-157 treatment on skin wound healing, using an alkali burn rat model. Topical treatment with BPC-157 was shown to accelerate wound closure following an alkali burn. Histological examination of skin sections with hematoxylin–eosin and Masson staining showed better granulation tissue formation, reepithelialization, dermal remodeling, and a higher extent of collagen deposition when compared to the model control group on the 18th day postwounding. BPC-157 could promote vascular endothelial growth factor expression in wounded skin tissues. Furthermore, 3-(4,5-dimethylthiazol-2-yl)-2,5-diphenyltetrazolium bromide and cell cycle analysis demonstrated that BPC-157 enhanced the proliferation of human umbilical vein endothelial cells (HUVECs). Transwell assay and wound healing assay showed that BPC-157 significantly promoted migration of HUVECs. We also observed that BPC-157 upregulated the expression of VEGF-a and accelerated vascular tube formation in vitro. Moreover, further studies suggested that BPC-157 regulated the phosphorylation level of extracellular signal-regulated kinases 1 and 2 (ERK1/2) as well as its downstream targets, including c-Fos, c-Jun, and Egr-1, which are key molecules involved in cell growth, migration, and angiogenesis. Altogether, our results indicated that BPC-157 treatment may accelerate wound healing in a model of alkali burn-induced skin injury. The therapeutic mechanism may be associated with accelerated granulation tissue formation, reepithelialization, dermal remodeling, and collagen deposition through ERK1/2 signaling pathway.","author":[{"dropping-particle":"","family":"Huang","given":"Tonglie","non-dropping-particle":"","parse-names":false,"suffix":""},{"dropping-particle":"","family":"Zhang","given":"Kuo","non-dropping-particle":"","parse-names":false,"suffix":""},{"dropping-particle":"","family":"Sun","given":"Lijuan","non-dropping-particle":"","parse-names":false,"suffix":""},{"dropping-particle":"","family":"Xue","given":"Xiaochang","non-dropping-particle":"","parse-names":false,"suffix":""},{"dropping-particle":"","family":"Zhang","given":"Cun","non-dropping-particle":"","parse-names":false,"suffix":""},{"dropping-particle":"","family":"Shu","given":"Zhen","non-dropping-particle":"","parse-names":false,"suffix":""},{"dropping-particle":"","family":"Mu","given":"Nan","non-dropping-particle":"","parse-names":false,"suffix":""},{"dropping-particle":"","family":"Gu","given":"Jintao","non-dropping-particle":"","parse-names":false,"suffix":""},{"dropping-particle":"","family":"Zhang","given":"Wangqian","non-dropping-particle":"","parse-names":false,"suffix":""},{"dropping-particle":"","family":"Wang","given":"Yukun","non-dropping-particle":"","parse-names":false,"suffix":""},{"dropping-particle":"","family":"Zhang","given":"Yingqi","non-dropping-particle":"","parse-names":false,"suffix":""},{"dropping-particle":"","family":"Zhang","given":"Wei","non-dropping-particle":"","parse-names":false,"suffix":""}],"container-title":"Drug Design, Development and Therapy","id":"ITEM-6","issued":{"date-parts":[["2015"]]},"page":"2485-2499","title":"Body protective compound-157 enhances alkali-burn wound healing in vivo and promotes proliferation, migration, and angiogenesis in vitro","type":"article-journal","volume":"9"},"uris":["http://www.mendeley.com/documents/?uuid=26d2fbb4-3df9-4f39-9e6c-53a37fe7bcce"]},{"id":"ITEM-7","itemData":{"DOI":"10.1016/j.ejphar.2007.05.072","ISSN":"00142999","author":[{"dropping-particle":"","family":"Tkalčević","given":"Vanesa Ivetić","non-dropping-particle":"","parse-names":false,"suffix":""},{"dropping-particle":"","family":"Čužić","given":"Snježana","non-dropping-particle":"","parse-names":false,"suffix":""},{"dropping-particle":"","family":"Brajša","given":"Karmen","non-dropping-particle":"","parse-names":false,"suffix":""},{"dropping-particle":"","family":"Mildner","given":"Boris","non-dropping-particle":"","parse-names":false,"suffix":""},{"dropping-particle":"","family":"Bokulić","given":"Ana","non-dropping-particle":"","parse-names":false,"suffix":""},{"dropping-particle":"","family":"Šitum","given":"Kristina","non-dropping-particle":"","parse-names":false,"suffix":""},{"dropping-particle":"","family":"Perović","given":"Daniela","non-dropping-particle":"","parse-names":false,"suffix":""},{"dropping-particle":"","family":"Glojnarić","given":"Ines","non-dropping-particle":"","parse-names":false,"suffix":""},{"dropping-particle":"","family":"Parnham","given":"Michael J.","non-dropping-particle":"","parse-names":false,"suffix":""}],"container-title":"European Journal of Pharmacology","id":"ITEM-7","issue":"1-3","issued":{"date-parts":[["2007","9"]]},"page":"212-221","title":"Enhancement by PL 14736 of granulation and collagen organization in healing wounds and the potential role of egr-1 expression","type":"article-journal","volume":"570"},"uris":["http://www.mendeley.com/documents/?uuid=d6bef086-cfda-49af-8cf8-b62dc1ddbbd0"]}],"mendeley":{"formattedCitation":"&lt;sup&gt;[21–27]&lt;/sup&gt;","plainTextFormattedCitation":"[21–27]","previouslyFormattedCitation":"&lt;sup&gt;[21–27]&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[21–27]</w:t>
      </w:r>
      <w:r w:rsidR="003A6A7D" w:rsidRPr="00E47A42">
        <w:rPr>
          <w:rFonts w:ascii="Book Antiqua" w:hAnsi="Book Antiqua" w:cs="Times New Roman"/>
          <w:sz w:val="24"/>
          <w:szCs w:val="24"/>
          <w:lang w:val="en-US"/>
        </w:rPr>
        <w:fldChar w:fldCharType="end"/>
      </w:r>
      <w:r w:rsidR="002D483D" w:rsidRPr="00E47A42">
        <w:rPr>
          <w:rFonts w:ascii="Book Antiqua" w:hAnsi="Book Antiqua" w:cs="Times New Roman"/>
          <w:sz w:val="24"/>
          <w:szCs w:val="24"/>
          <w:lang w:val="en-US"/>
        </w:rPr>
        <w:t>. I</w:t>
      </w:r>
      <w:r w:rsidRPr="00E47A42">
        <w:rPr>
          <w:rFonts w:ascii="Book Antiqua" w:hAnsi="Book Antiqua" w:cs="Times New Roman"/>
          <w:sz w:val="24"/>
          <w:szCs w:val="24"/>
          <w:lang w:val="en-US"/>
        </w:rPr>
        <w:t>t is native and stable in human gastric juice and maintains gastrointestinal mucosal integrit</w:t>
      </w:r>
      <w:r w:rsidR="009A3C66" w:rsidRPr="00E47A42">
        <w:rPr>
          <w:rFonts w:ascii="Book Antiqua" w:hAnsi="Book Antiqua" w:cs="Times New Roman"/>
          <w:sz w:val="24"/>
          <w:szCs w:val="24"/>
          <w:lang w:val="en-US"/>
        </w:rPr>
        <w:t>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mendeley":{"formattedCitation":"&lt;sup&gt;[10–19]&lt;/sup&gt;","plainTextFormattedCitation":"[10–19]","previouslyFormattedCitation":"&lt;sup&gt;[10–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[10–19]</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and it represents a prototype of a more effective class of cytoprotective agents with both prophylactic and therapeutic abilities</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Sciences","id":"ITEM-1","issue":"5","issued":{"date-parts":[["1994"]]},"title":"The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gu","type":"article-journal","volume":"54"},"uris":["http://www.mendeley.com/documents/?uuid=72c1326c-4932-3348-bdfb-2924965ab9c5"]},{"id":"ITEM-2","itemData":{"ISSN":"1873-4286","PMID":"20166993","abstract":"The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design","id":"ITEM-2","issue":"10","issued":{"date-parts":[["2010"]]},"page":"1224-34","title":"Revised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mendeley":{"formattedCitation":"&lt;sup&gt;[5,17]&lt;/sup&gt;","plainTextFormattedCitation":"[5,17]","previouslyFormattedCitation":"&lt;sup&gt;[5,17]&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[5,17]</w:t>
      </w:r>
      <w:r w:rsidR="003E61D5"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(unlike standard cytoprotective agents that exhibit only prophylactic effectiveness (shared limitation of activity)</w:t>
      </w:r>
      <w:r w:rsidR="00111B7C" w:rsidRPr="00E47A42">
        <w:rPr>
          <w:rFonts w:ascii="Book Antiqua" w:hAnsi="Book Antiqua" w:cs="Times New Roman"/>
          <w:sz w:val="24"/>
          <w:szCs w:val="24"/>
          <w:lang w:val="en-US"/>
        </w:rPr>
        <w:t>)</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{"citationItems":[{"id":"ITEM-1","itemData":{"ISSN":"0016-5085","PMID":"38173","author":[{"dropping-particle":"","family":"Robert","given":"A","non-dropping-particle":"","parse-names":false,"suffix":""}],"container-title":"Gastroenterology","id":"ITEM-1","issue":"4 Pt 1","issued":{"date-parts":[["1979","10"]]},"page":"761-7","title":"Cytoprotection by prostaglandins.","type":"article-journal","volume":"77"},"uris":["http://www.mendeley.com/documents/?uuid=49342c62-22fb-4e9e-8e1d-0c66f6f8fd98"]},{"id":"ITEM-2","itemData":{"DOI":"10.1016/0024-3205(94)00796-9","ISSN":"00243205","abstract":"The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Sciences","id":"ITEM-2","issue":"5","issued":{"date-parts":[["1994"]]},"title":"The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-3","itemData":{"DOI":"10.1007/978-1-4684-5697-4","ISBN":"978-1-4684-5699-8","author":[{"dropping-particle":"","family":"Szabo","given":"Sandor","non-dropping-particle":"","parse-names":false,"suffix":""}],"container-title":"Gastric cytoprotection. A clinician's guide","edition":"1. st","editor":[{"dropping-particle":"","family":"Hollander","given":"Daniel","non-dropping-particle":"","parse-names":false,"suffix":""},{"dropping-particle":"","family":"Tarnawski","given":"Andrzej S.","non-dropping-particle":"","parse-names":false,"suffix":""}],"id":"ITEM-3","issued":{"date-parts":[["1989"]]},"number-of-pages":"49-90","publisher":"Springer US","publisher-place":"Boston, MA","title":"Gastric Cytoprotection","type":"book"},"uris":["http://www.mendeley.com/documents/?uuid=b6143da9-cfd4-4cc4-9ba5-11dff6b9ff7e"]},{"id":"ITEM-4","itemData":{"ISSN":"0016-5085","PMID":"3871087","abstract":"The hypothesis that vascular injury contributes to the development of hemorrhagic erosions after intragastric administration of ethanol has been examined in the rat using vascular tracers. Extravasation of intravenously injected Evans blue into the gastric wall and into gastric contents was used as an indicator of vascular permeability. India ink and monastral blue, which label damaged blood vessels, were used to demonstrate vascular injury morphologically. Intragastric instillation of 75% and 100% ethanol induced increased vascular permeability within 1-3 min and resulted in monastral blue labeling of vessels in 13% and 17%, respectively, of the glandular mucosa within 1 min. After 1 h of 100% ethanol exposure, the areal density of monastral blue-stained blood vessels did not increase compared with that seen at 1 min, but the areal density of grossly visible hemorrhagic lesions increased strikingly and approximated that of vessel staining. The hemorrhagic erosions consistently occurred in regions of glandular mucosa where vessels were stained with monastral blue. Pretreatment with prostaglandin F2 beta or cysteamine reduced ethanol-induced Evans blue extravasation and monastral blue staining of mucosal blood vessels but did not reduce histologic evidence of gastric surface cell damage in the glandular mucosa. As increased vascular permeability and morphologically detectable vascular lesions consistently preceded the development of grossly visible hemorrhagic erosions in the glandular mucosa, we suggest that vascular injury is an early pathogenetic factor in the development of ethanol-induced gastric hemorrhagic erosions. The data also indicate that the degree of vascular damage, unlike the injury to surface epithelial cells, is reduced by pretreatment with prostaglandin F2 beta or the sulfhydryl cysteamine.","author":[{"dropping-particle":"","family":"Szabo","given":"S","non-dropping-particle":"","parse-names":false,"suffix":""},{"dropping-particle":"","family":"Trier","given":"J S","non-dropping-particle":"","parse-names":false,"suffix":""},{"dropping-particle":"","family":"Brown","given":"A","non-dropping-particle":"","parse-names":false,"suffix":""},{"dropping-particle":"","family":"Schnoor","given":"J","non-dropping-particle":"","parse-names":false,"suffix":""}],"container-title":"Gastroenterology","id":"ITEM-4","issue":"1 Pt 2","issued":{"date-parts":[["1985","1"]]},"page":"228-36","title":"Early vascular injury and increased vascular permeability in gastric mucosal injury caused by ethanol in the rat.","type":"article-journal","volume":"88"},"uris":["http://www.mendeley.com/documents/?uuid=a3272911-ef25-495c-85d1-1b71d1d7f12e"]},{"id":"ITEM-5","itemData":{"author":[{"dropping-particle":"","family":"Szabo","given":"Sandor","non-dropping-particle":"","parse-names":false,"suffix":""},{"dropping-particle":"","family":"Trier","given":"JS","non-dropping-particle":"","parse-names":false,"suffix":""}],"container-title":"Mechanism of mucosal protection in the upper gastrointestinal tract","editor":[{"dropping-particle":"","family":"Allen","given":"A","non-dropping-particle":"","parse-names":false,"suffix":""},{"dropping-particle":"","family":"Flemstrom","given":"G","non-dropping-particle":"","parse-names":false,"suffix":""},{"dropping-particle":"","family":"Garner","given":"A","non-dropping-particle":"","parse-names":false,"suffix":""},{"dropping-particle":"","family":"Silen","given":"W","non-dropping-particle":"","parse-names":false,"suffix":""},{"dropping-particle":"","family":"Turnberg","given":"LA","non-dropping-particle":"","parse-names":false,"suffix":""}],"id":"ITEM-5","issued":{"date-parts":[["1984"]]},"page":"387-393","publisher":"Raven","publisher-place":"New York","title":"Pathogenesis of acute gastric mucosal injury: Sulfhydrils as a protector, adrenal cortex as a modulator, and vascular endothelium as a target","type":"chapter"},"uris":["http://www.mendeley.com/documents/?uuid=21df94ec-a5e2-4420-85db-5334a540ef21"]},{"id":"ITEM-6","itemData":{"ISSN":"0016-5085","PMID":"3781180","abstract":"Impairment of the mucosal microcirculation may contribute to ethanol-induced gastric mucosal damage. In this report, we describe diffuse and severe ultrastructural damage to the capillaries of the gastric glandular mucosa of the rat that occurred within 1 min after intragastric instillation of 100% ethanol. There was a gradient of damage in that endothelial cell structure was most severely disrupted in profiles of capillaries located close to the luminal surface but some morphologic evidence of damage was evident in the wall of capillary profiles to a mean depth of 256 micron. Capillary structure was generally normal in the deeper regions of the mucosa. Pretreatment with intragastric cysteamine, 30 mg/100 g, or intragastric prostaglandin F2 beta, 0.5 mg/100 g, significantly reduced the depth in the mucosa to which damage to capillaries extended. Pretreatment with intragastric prostaglandin F2 beta, 0.2 mg/100 g, afforded no significant protection. We conclude that a 1-min exposure to 100% ethanol induces striking damage to the microcirculation of glandular mucosa of the rat stomach with severe damage to capillary profiles near the lumen and sparing of capillary profiles near the muscularis mucosa, and pretreatment with the sulfhydryl agent, cysteamine, or with a large dose of prostaglandin F2 beta reduces the extent of but does not abolish ethanol-induced damage to gastric mucosal capillaries.","author":[{"dropping-particle":"","family":"Trier","given":"JS","non-dropping-particle":"","parse-names":false,"suffix":""},{"dropping-particle":"","family":"Szabo","given":"S","non-dropping-particle":"","parse-names":false,"suffix":""},{"dropping-particle":"","family":"Allan","given":"CH","non-dropping-particle":"","parse-names":false,"suffix":""}],"container-title":"Gastroenterology","id":"ITEM-6","issue":"1","issued":{"date-parts":[["1987","1"]]},"page":"13-22","title":"Ethanol-induced damage to mucosal capillaries of rat stomach. Ultrastructural features and effects of prostaglandin F2 beta and cysteamine.","type":"article-journal","volume":"92"},"uris":["http://www.mendeley.com/documents/?uuid=c3f098f1-f060-4c67-9911-5ab2b4c90217"]}],"mendeley":{"formattedCitation":"&lt;sup&gt;[4–9]&lt;/sup&gt;","plainTextFormattedCitation":"[4–9]","previouslyFormattedCitation":"&lt;sup&gt;[4–9]&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[4–9]</w:t>
      </w:r>
      <w:r w:rsidR="003A6A7D" w:rsidRPr="00E47A42">
        <w:rPr>
          <w:rFonts w:ascii="Book Antiqua" w:hAnsi="Book Antiqua" w:cs="Times New Roman"/>
          <w:sz w:val="24"/>
          <w:szCs w:val="24"/>
          <w:lang w:val="en-US"/>
        </w:rPr>
        <w:fldChar w:fldCharType="end"/>
      </w:r>
      <w:r w:rsidR="009346E7" w:rsidRPr="00E47A42">
        <w:rPr>
          <w:rFonts w:ascii="Book Antiqua" w:hAnsi="Book Antiqua" w:cs="Times New Roman"/>
          <w:sz w:val="24"/>
          <w:szCs w:val="24"/>
          <w:lang w:val="en-US"/>
        </w:rPr>
        <w:t>.</w:t>
      </w:r>
      <w:r w:rsidR="00906ED2"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BPC 157 (used in </w:t>
      </w:r>
      <w:r w:rsidRPr="00E47A42">
        <w:rPr>
          <w:rFonts w:ascii="Book Antiqua" w:hAnsi="Book Antiqua" w:cs="Times New Roman"/>
          <w:sz w:val="24"/>
          <w:szCs w:val="24"/>
          <w:lang w:val="en-US"/>
        </w:rPr>
        <w:lastRenderedPageBreak/>
        <w:t>ulcerative colitis and now in multiple sclerosis trials) also counteracts colitis (in various models of colitis</w:t>
      </w:r>
      <w:r w:rsidR="00111B7C" w:rsidRPr="00E47A42">
        <w:rPr>
          <w:rFonts w:ascii="Book Antiqua" w:hAnsi="Book Antiqua" w:cs="Times New Roman"/>
          <w:sz w:val="24"/>
          <w:szCs w:val="24"/>
          <w:lang w:val="en-US"/>
        </w:rPr>
        <w:t>)</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insights.","type":"article-journal","volume":"23"},"uris":["http://www.mendeley.com/documents/?uuid=2c34d292-0140-3a84-912b-63eda51db635"]},{"id":"ITEM-2","itemData":{"ISSN":"1899-1505","PMID":"24304574","abstract":"Stable gastric pentadecapeptide BPC 157 was suggested to link inflammatory bowel disease and multiple sclerosis, and thereby, shown to equally counteract the models of both of those diseases. For colitis, cysteamine (400 mg/kg intrarectally (1 ml/rat)) and colon-colon anastomosis (sacrifice at day 3, 5, 7, and 14) were used. BPC 157 (10 μg/kg, 10 ng/kg) was applied either intraperitoneally once time daily (first application immediately after surgery, last at 24 hours before sacrifice) or per-orally in drinking water (0.16 μg/ml/12 ml/day till the sacrifice) while controls simultaneously received an equivolume of saline (5 ml/kg) intraperitoneally or drinking water only (12 ml/day). A multiple sclerosis suited toxic rat model, cuprizone (compared with standard, a several times higher regimen, 2.5% of diet regimen + 1 g/kg intragastrically/day) was combined with BPC 157 (in drinking water 0.16 μg or 0.16 ng/ml/12 ml/day/rat + 10 μg or 10 ng/kg intragastrically/day) till the sacrifice at day 4. In general, the controls could not heal cysteamine colitis and colon-colon anastomosis. BPC 157 induced an efficient healing of both at the same time. Likewise, cuprizone-controls clearly exhibited an exaggerated and accelerated damaging process; nerve damage appeared in various brain areas, with most prominent damage in corpus callosum, laterodorsal thalamus, nucleus reunions, anterior horn motor neurons. BPC 157-cuprizone rats had consistently less nerve damage in all damaged areas, especially in those areas that otherwise were most affected. Consistently, BPC 157 counteracted cerebellar ataxia and impaired forelimb function. Thereby, this experimental evidence advocates BPC 157 in both inflammatory bowel disease and multiple sclerosis therapy.","author":[{"dropping-particle":"","family":"Klicek","given":"R","non-dropping-particle":"","parse-names":false,"suffix":""},{"dropping-particle":"","family":"Kolenc","given":"D","non-dropping-particle":"","parse-names":false,"suffix":""},{"dropping-particle":"","family":"Suran","given":"J","non-dropping-particle":"","parse-names":false,"suffix":""},{"dropping-particle":"","family":"Drmic","given":"D","non-dropping-particle":"","parse-names":false,"suffix":""},{"dropping-particle":"","family":"Brcic","given":"L","non-dropping-particle":"","parse-names":false,"suffix":""},{"dropping-particle":"","family":"Aralica","given":"G","non-dropping-particle":"","parse-names":false,"suffix":""},{"dropping-particle":"","family":"Sever","given":"M","non-dropping-particle":"","parse-names":false,"suffix":""},{"dropping-particle":"","family":"Holjevac","given":"J","non-dropping-particle":"","parse-names":false,"suffix":""},{"dropping-particle":"","family":"Radic","given":"B","non-dropping-particle":"","parse-names":false,"suffix":""},{"dropping-particle":"","family":"Turudic","given":"T","non-dropping-particle":"","parse-names":false,"suffix":""},{"dropping-particle":"","family":"Kokot","given":"A","non-dropping-particle":"","parse-names":false,"suffix":""},{"dropping-particle":"","family":"Patrlj","given":"L","non-dropping-particle":"","parse-names":false,"suffix":""},{"dropping-particle":"","family":"Rucman","given":"R","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Society","id":"ITEM-2","issue":"5","issued":{"date-parts":[["2013","10"]]},"page":"597-612","title":"Stable gastric pentadecapeptide BPC 157 heals cysteamine-colitis and colon-colon-anastomosis and counteracts cuprizone brain injuries and motor disability.","type":"article-journal","volume":"64"},"uris":["http://www.mendeley.com/documents/?uuid=c8654aa2-4d8b-437f-aed4-dd14ff95a775"]},{"id":"ITEM-3","itemData":{"DOI":"10.1371/journal.pone.0162590","ISSN":"1932-6203","author":[{"dropping-particle":"","family":"Lojo","given":"Nermin","non-dropping-particle":"","parse-names":false,"suffix":""},{"dropping-particle":"","family":"Rasic","given":"Zarko","non-dropping-particle":"","parse-names":false,"suffix":""},{"dropping-particle":"","family":"Zenko Sever","given":"Anita","non-dropping-particle":"","parse-names":false,"suffix":""},{"dropping-particle":"","family":"Kolenc","given":"Danijela","non-dropping-particle":"","parse-names":false,"suffix":""},{"dropping-particle":"","family":"Vukusic","given":"Darko","non-dropping-particle":"","parse-names":false,"suffix":""},{"dropping-particle":"","family":"Drmic","given":"Domagoj","non-dropping-particle":"","parse-names":false,"suffix":""},{"dropping-particle":"","family":"Zoricic","given":"Ivan","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PLOS ONE","editor":[{"dropping-particle":"","family":"Singh","given":"Shree Ram","non-dropping-particle":"","parse-names":false,"suffix":""}],"id":"ITEM-3","issue":"9","issued":{"date-parts":[["2016","9","14"]]},"page":"e0162590","title":"Effects of Diclofenac, L-NAME, L-Arginine, and Pentadecapeptide BPC 157 on Gastrointestinal, Liver, and Brain Lesions, Failed Anastomosis, and Intestinal Adaptation Deterioration in 24 Hour-Short-Bowel Rats","type":"article-journal","volume":"11"},"uris":["http://www.mendeley.com/documents/?uuid=f765251b-42c4-4691-a197-e5408869fd60"]},{"id":"ITEM-4","itemData":{"author":[{"dropping-particle":"","family":"Sandor","given":"Zs","non-dropping-particle":"","parse-names":false,"suffix":""},{"dropping-particle":"","family":"Vincze","given":"A","non-dropping-particle":"","parse-names":false,"suffix":""},{"dropping-particle":"","family":"Jadus","given":"MR","non-dropping-particle":"","parse-names":false,"suffix":""},{"dropping-particle":"","family":"Dohoczky","given":"Cs","non-dropping-particle":"","parse-names":false,"suffix":""},{"dropping-particle":"","family":"Erceg","given":"D","non-dropping-particle":"","parse-names":false,"suffix":""},{"dropping-particle":"","family":"Brajsa","given":"K","non-dropping-particle":"","parse-names":false,"suffix":""},{"dropping-particle":"","family":"Kolega","given":"M","non-dropping-particle":"","parse-names":false,"suffix":""},{"dropping-particle":"","family":"Szabo","given":"S","non-dropping-particle":"","parse-names":false,"suffix":""}],"container-title":"Gastroenterology","id":"ITEM-4","issued":{"date-parts":[["1997"]]},"page":"112:A400","title":"The protective effect of newly isolated peptide PL-10 in the iodoacetamide colitis model in rats","type":"paper-conference"},"uris":["http://www.mendeley.com/documents/?uuid=800dc779-67ec-4c8a-b7ea-c0d7eb943039"]},{"id":"ITEM-5","itemData":{"DOI":"10.1016/S0928-4257(01)00036-5","ISSN":"09284257","abstract":"Recently, we showed cysteamine-duodenal lesions without gastric acid, since they were induced also in gastrectomized rats, as in naive rats, and they were inhibited by the novel stomach pentadecapeptide BPC 157 as well as standard antiulcer drugs (i.e. cimetidine, ranitidine, omeprazole, bromocriptine, atropine). Therefore, as an advantage of considering cysteamine as a directly acting cytotoxic agent and mentioned agents as direct cytoprotective agents, the present focus was on the ulcerogenic effect of cysteamine and protective effect of gastroduodenal antiulcer agents outside upper gastrointestinal tract (i.e. in colon). Intrarectal administration of the cysteamine (200 or 400 mg/kg b.w) produced severe colon lesions (i.e. transmural inflammation with serosal involvement) in rats (30 min-72h-experimental period), apparently distinctive from smaller lesions after non-specific irritant enema [diluted HCl solution, pH 3.8 (adjusted to pH of cysteamine solution (pH 3.8)]. All of the tested antiulcer agents were applied simultaneously with cysteamine enema (8 cm from the anus, in a volume of the 1.0 ml/rat) intraperitoneally (i.p.), intragastrically (i.g.) or intrarectally (i.r.). Pentadecapeptide BPC 157 (10 μg or 10 ng/kg b.w.), given in either regimen, previously shown to have, besides others, a particular beneficial activity just in the intestinal mucosa, inhibited these cysteamine colon lesions (assessed after 30 min, 60 min, 180 min, 24 h, 48 h, 72 h following cysteamine in a dose of either 200 or 400 mg/kg i.r.). Cysteamine-colon lesions were also attenuated by standard antiulcer agents (mg/kg b.w.), given i.p., i.g., or i.r., such as ranitidine (10), cimetidine (50), omeprazole (10), atropine (10), together with methylprednisolone (1), and sulphasalazine (50, i.r.), assessed 30 min following application of 200 mg of cysteamine. Finally, standard cysteamine duodenal lesions (assessed 24 h after a subcutaneous application of 400 mg/kg of cysteamine) were also attenuated by these agents application (given in the same doses, i.p., 1 h before cysteamine), with only exception to sulphasalazine. Thus, the extended cysteamine specific ulcerogenic effect, cysteamine colon/duodenum lesion-link and an extenuation of agents protection from upper to lower part of gastrointestinal tract (i.e. stomach pentadecapeptide BPC 157, standard antiulcer agents, cimetidine, ranitidine, atropine, omeprazole) and vice versa (remedies for inflammatory bowel disease) evidenc…","author":[{"dropping-particle":"","family":"Sikiric","given":"P.","non-dropping-particle":"","parse-names":false,"suffix":""},{"dropping-particle":"","family":"Seiwerth","given":"S.","non-dropping-particle":"","parse-names":false,"suffix":""},{"dropping-particle":"","family":"Grabarevic","given":"Z.","non-dropping-particle":"","parse-names":false,"suffix":""},{"dropping-particle":"","family":"Balen","given":"I.","non-dropping-particle":"","parse-names":false,"suffix":""},{"dropping-particle":"","family":"Aralica","given":"G.","non-dropping-particle":"","parse-names":false,"suffix":""},{"dropping-particle":"","family":"Gjurasin","given":"M.","non-dropping-particle":"","parse-names":false,"suffix":""},{"dropping-particle":"","family":"Komericki","given":"L.","non-dropping-particle":"","parse-names":false,"suffix":""},{"dropping-particle":"","family":"Perovic","given":"D.","non-dropping-particle":"","parse-names":false,"suffix":""},{"dropping-particle":"","family":"Ziger","given":"T.","non-dropping-particle":"","parse-names":false,"suffix":""},{"dropping-particle":"","family":"Anic","given":"T.","non-dropping-particle":"","parse-names":false,"suffix":""},{"dropping-particle":"","family":"Prkacin","given":"I.","non-dropping-particle":"","parse-names":false,"suffix":""},{"dropping-particle":"","family":"Separovic","given":"J.","non-dropping-particle":"","parse-names":false,"suffix":""},{"dropping-particle":"","family":"Stancic-Rokotov","given":"D.","non-dropping-particle":"","parse-names":false,"suffix":""},{"dropping-particle":"","family":"Lovric-Bencic","given":"M.","non-dropping-particle":"","parse-names":false,"suffix":""},{"dropping-particle":"","family":"Mikus","given":"D.","non-dropping-particle":"","parse-names":false,"suffix":""},{"dropping-particle":"","family":"Staresinic","given":"M.","non-dropping-particle":"","parse-names":false,"suffix":""},{"dropping-particle":"","family":"Aralica","given":"J.","non-dropping-particle":"","parse-names":false,"suffix":""},{"dropping-particle":"","family":"DiBiaggio","given":"N.","non-dropping-particle":"","parse-names":false,"suffix":""},{"dropping-particle":"","family":"Simec","given":"Z.","non-dropping-particle":"","parse-names":false,"suffix":""},{"dropping-particle":"","family":"Turkovic","given":"B.","non-dropping-particle":"","parse-names":false,"suffix":""},{"dropping-particle":"","family":"Rotkvic","given":"I.","non-dropping-particle":"","parse-names":false,"suffix":""},{"dropping-particle":"","family":"Mise","given":"S.","non-dropping-particle":"","parse-names":false,"suffix":""},{"dropping-particle":"","family":"Rucman","given":"R.","non-dropping-particle":"","parse-names":false,"suffix":""},{"dropping-particle":"","family":"Petek","given":"M.","non-dropping-particle":"","parse-names":false,"suffix":""},{"dropping-particle":"","family":"Sebecic","given":"B.","non-dropping-particle":"","parse-names":false,"suffix":""},{"dropping-particle":"","family":"Ivasovic","given":"Z.","non-dropping-particle":"","parse-names":false,"suffix":""},{"dropping-particle":"","family":"Boban-Blagaic","given":"A.","non-dropping-particle":"","parse-names":false,"suffix":""},{"dropping-particle":"","family":"Sjekavica","given":"I.","non-dropping-particle":"","parse-names":false,"suffix":""}],"container-title":"Journal of Physiology Paris","id":"ITEM-5","issue":"1-6","issued":{"date-parts":[["2001"]]},"title":"Cysteamine-colon and cysteamine-duodenum lesions in rats. Attenuation by gastric pentadecapeptide BPC 157, cimetidine, ranitidine, atropine, omeprazole, sulphasalazine and methylprednisolone","type":"article-journal","volume":"95"},"uris":["http://www.mendeley.com/documents/?uuid=25af3440-bead-3fe1-8c62-b126545badb0"]},{"id":"ITEM-6","itemData":{"DOI":"10.1016/S0928-4257(01)00039-0","ISSN":"09284257","abstract":"After demonstration that cysteamine induced duodenal lesions in gastrectomized rats, while a number of antiulcer drugs mitigated these lesions, it was shown that one single intrarectal (i.r.) cysteamine application produced severe colon lesions in acute studies in rats. Thus, the further focus was on the protracted effect of cysteamine challenge (400 mg/kg b.w. i.r.) and therapy influence in chronic experiments in female rats. Regularly, cysteamine colon lesions were markedly mitigated by ranitidine (10), omeprazole (10), atropine (10), methylprednisolone (1), sulphasalazine (50; mg/kg), pentadecapeptide BPC 157 (PL-10, PLD-116; 10 μg or 10 ng/kg). Specifically, after 1 or 3 months following initial challenge (cysteamine 400 mg/kg i.r.) in female rat, the therapy [BPC 157 (PL-10, PLD-116 (10.0 μg or 10.0 ng/kg; i.g., i.p., i.r.), ranitidine, omeprazole, atropine, methylprednisolone, sulphasalazine (i.p.)] reversed the protracted cysteamine colon injury: the 1 week-regimen (once daily application) started after 1 month post-cysteamine, as well as the 2 weeks-regimen (once daily application), which started after 3 months. The effect on recidive lesion was also tested. These cysteamine lesions may reappear after stopping therapy (after stopping therapy for 3 weeks at the end of 2-weeks regimen started in 3 months-cysteamine female rats) in sulphasalazine group, while this reappearance is markedly antagonized in pentadecapeptide BPC 157 (PL-10, PLD-116)-rats (cysteamine-colon lesion still substantially low). © 2001 Elsevier Science Ltd. All rights reserved.","author":[{"dropping-particle":"","family":"Sikiric","given":"P.","non-dropping-particle":"","parse-names":false,"suffix":""},{"dropping-particle":"","family":"Seiwerth","given":"S.","non-dropping-particle":"","parse-names":false,"suffix":""},{"dropping-particle":"","family":"Aralica","given":"G.","non-dropping-particle":"","parse-names":false,"suffix":""},{"dropping-particle":"","family":"Perovic","given":"D.","non-dropping-particle":"","parse-names":false,"suffix":""},{"dropping-particle":"","family":"Staresinic","given":"M.","non-dropping-particle":"","parse-names":false,"suffix":""},{"dropping-particle":"","family":"Anic","given":"T.","non-dropping-particle":"","parse-names":false,"suffix":""},{"dropping-particle":"","family":"Gjurasin","given":"M.","non-dropping-particle":"","parse-names":false,"suffix":""},{"dropping-particle":"","family":"Prkacin","given":"I.","non-dropping-particle":"","parse-names":false,"suffix":""},{"dropping-particle":"","family":"Separovic","given":"J.","non-dropping-particle":"","parse-names":false,"suffix":""},{"dropping-particle":"","family":"Stancic-Rokotov","given":"D.","non-dropping-particle":"","parse-names":false,"suffix":""},{"dropping-particle":"","family":"Lovric-Bencic","given":"M.","non-dropping-particle":"","parse-names":false,"suffix":""},{"dropping-particle":"","family":"Mikus","given":"D.","non-dropping-particle":"","parse-names":false,"suffix":""},{"dropping-particle":"","family":"Turkovic","given":"B.","non-dropping-particle":"","parse-names":false,"suffix":""},{"dropping-particle":"","family":"Rotkvic","given":"I.","non-dropping-particle":"","parse-names":false,"suffix":""},{"dropping-particle":"","family":"Mise","given":"S.","non-dropping-particle":"","parse-names":false,"suffix":""},{"dropping-particle":"","family":"Rucman","given":"R.","non-dropping-particle":"","parse-names":false,"suffix":""},{"dropping-particle":"","family":"Petek","given":"M.","non-dropping-particle":"","parse-names":false,"suffix":""},{"dropping-particle":"","family":"Ziger","given":"T.","non-dropping-particle":"","parse-names":false,"suffix":""},{"dropping-particle":"","family":"Sebecic","given":"B.","non-dropping-particle":"","parse-names":false,"suffix":""},{"dropping-particle":"","family":"Ivasovic","given":"Z.","non-dropping-particle":"","parse-names":false,"suffix":""},{"dropping-particle":"","family":"Jagic","given":"V.","non-dropping-particle":"","parse-names":false,"suffix":""},{"dropping-particle":"","family":"Komericki","given":"L.","non-dropping-particle":"","parse-names":false,"suffix":""},{"dropping-particle":"","family":"Balen","given":"I.","non-dropping-particle":"","parse-names":false,"suffix":""},{"dropping-particle":"","family":"Boban-Blagaic","given":"A.","non-dropping-particle":"","parse-names":false,"suffix":""},{"dropping-particle":"","family":"Sjekavica","given":"I.","non-dropping-particle":"","parse-names":false,"suffix":""}],"container-title":"Journal of Physiology Paris","id":"ITEM-6","issue":"1-6","issued":{"date-parts":[["2001"]]},"title":"Therapy effect of antiulcer agents on new chronic cysteamine colon lesion in rat","type":"article-journal","volume":"95"},"uris":["http://www.mendeley.com/documents/?uuid=fbc64445-8d60-32a8-8bf5-771339805bf2"]},{"id":"ITEM-7","itemData":{"author":[{"dropping-particle":"","family":"Veljaca","given":"M","non-dropping-particle":"","parse-names":false,"suffix":""},{"dropping-particle":"","family":"Lesch","given":"CA","non-dropping-particle":"","parse-names":false,"suffix":""},{"dropping-particle":"","family":"Sanchez","given":"B","non-dropping-particle":"","parse-names":false,"suffix":""},{"dropping-particle":"","family":"Low","given":"J","non-dropping-particle":"","parse-names":false,"suffix":""},{"dropping-particle":"","family":"Guglietta","given":"A.","non-dropping-particle":"","parse-names":false,"suffix":""}],"container-title":"Gastroenterology","id":"ITEM-7","issue":"Supplemet 2","issued":{"date-parts":[["1995"]]},"page":"936","title":"Protection of BPC-15 on TNBS-induced colitis in rats: possible mechanisms of action.","type":"article-journal","volume":"108"},"uris":["http://www.mendeley.com/documents/?uuid=411d8e78-7599-40f8-a1ac-b80cfb2babe1"]}],"mendeley":{"formattedCitation":"&lt;sup&gt;[20,28–33]&lt;/sup&gt;","plainTextFormattedCitation":"[20,28–33]","previouslyFormattedCitation":"&lt;sup&gt;[20,28–33]&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[20,28–33]</w:t>
      </w:r>
      <w:r w:rsidR="003E61D5"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and its complications, such as fistulas</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{"citationItems":[{"id":"ITEM-1","itemData":{"DOI":"10.1016/j.lfs.2016.02.029","ISSN":"00243205","author":[{"dropping-particle":"","family":"Baric","given":"Marko","non-dropping-particle":"","parse-names":false,"suffix":""},{"dropping-particle":"","family":"Sever","given":"Anita Zenko","non-dropping-particle":"","parse-names":false,"suffix":""},{"dropping-particle":"","family":"Vuletic","given":"Lovorka Batelja","non-dropping-particle":"","parse-names":false,"suffix":""},{"dropping-particle":"","family":"Rasic","given":"Zarko","non-dropping-particle":"","parse-names":false,"suffix":""},{"dropping-particle":"","family":"Sever","given":"Marko","non-dropping-particle":"","parse-names":false,"suffix":""},{"dropping-particle":"","family":"Drmic","given":"Domagoj","non-dropping-particle":"","parse-names":false,"suffix":""},{"dropping-particle":"","family":"Pavelic-Turudic","given":"Tatjana","non-dropping-particle":"","parse-names":false,"suffix":""},{"dropping-particle":"","family":"Sucic","given":"Mario","non-dropping-particle":"","parse-names":false,"suffix":""},{"dropping-particle":"","family":"Vrcic","given":"Hrvoje","non-dropping-particle":"","parse-names":false,"suffix":""},{"dropping-particle":"","family":"Seiwerth","given":"Sven","non-dropping-particle":"","parse-names":false,"suffix":""},{"dropping-particle":"","family":"Sikiric","given":"Predrag","non-dropping-particle":"","parse-names":false,"suffix":""}],"container-title":"Life Sciences","id":"ITEM-1","issued":{"date-parts":[["2016","3"]]},"page":"63-70","title":"Stable gastric pentadecapeptide BPC 157 heals rectovaginal fistula in rats","type":"article-journal","volume":"148"},"uris":["http://www.mendeley.com/documents/?uuid=9d02cf7d-044d-4060-9f70-c61a10e4d011"]},{"id":"ITEM-2","itemData":{"DOI":"10.1016/j.ejphar.2016.02.038","ISSN":"18790712","PMID":"26875638","abstract":"To establish the effects of BPC 157 on the healing of rat colovesical fistulas, Wistar Albino male rats were randomly assigned to different groups. BPC 157, a stable gastric pentadecapeptide, has been used in clinical applications - specifically, in ulcerative colitis - and was successful in treating both external and internal fistulas. BPC 157 was provided daily, perorally, in drinking water (10 ??g/kg, 12 ml/rat/day) until sacrifice or, alternatively, 10 ??g/kg or 10 ng/kg intraperitoneally, with the first application at 30 min after surgery and the last at 24 h before sacrifice. Controls simultaneously received an equivolume of saline (5.0 ml/kg ip) or water only (12 ml/rat/day). Assessment (i.e., colon and vesical defects, fistula leaking, fecaluria and defecation through the fistula, adhesions and intestinal obstruction as healing processes) took place on days 7, 14 and 28. Control colovesical fistulas regularly exhibited poor healing, with both of the defects persisting; continuous fistula leakage; fecaluria and defecation through the fistula; advanced adhesion formation; and intestinal obstruction. By contrast, BPC 157 given perorally or intraperitoneally and in ??g- and ng-regimens rapidly improved the whole presentation, with both colon and vesical defects simultaneously ameliorated and eventually healed. The maximal instilled volume was continuously raised until it reached the values of healthy rats, there were no signs of fecaluria and no defecation through the fistula, there was counteraction of advanced adhesion formation or there was an intestinal obstruction. In conclusion, BPC 157 effects appear to be suited to inducing full healing of colocutaneous fistulas in rats.","author":[{"dropping-particle":"","family":"Grgic","given":"Tihomir","non-dropping-particle":"","parse-names":false,"suffix":""},{"dropping-particle":"","family":"Grgic","given":"Dora","non-dropping-particle":"","parse-names":false,"suffix":""},{"dropping-particle":"","family":"Drmic","given":"Domagoj","non-dropping-particle":"","parse-names":false,"suffix":""},{"dropping-particle":"","family":"Sever","given":"Anita Zenko","non-dropping-particle":"","parse-names":false,"suffix":""},{"dropping-particle":"","family":"Petrovic","given":"Igor","non-dropping-particle":"","parse-names":false,"suffix":""},{"dropping-particle":"","family":"Sucic","given":"Mario","non-dropping-particle":"","parse-names":false,"suffix":""},{"dropping-particle":"","family":"Kokot","given":"Antonio","non-dropping-particle":"","parse-names":false,"suffix":""},{"dropping-particle":"","family":"Klicek","given":"Robert","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European Journal of Pharmacology","id":"ITEM-2","issued":{"date-parts":[["2016"]]},"page":"1-7","publisher":"Elsevier","title":"Stable gastric pentadecapeptide BPC 157 heals rat colovesical fistula","type":"article-journal","volume":"780"},"uris":["http://www.mendeley.com/documents/?uuid=04542bd7-fb6a-4b51-8eef-04cb7ee8cd51"]},{"id":"ITEM-3","itemData":{"ISSN":"1347-8613","PMID":"18818478","abstract":"We focused on the therapeutic effect of the stable gastric pentadecapeptide BPC 157 and how its action is related to nitric oxide (NO) in persistent colocutaneous fistula in rats (at 5 cm from anus, colon defect of 5 mm, skin defect of 5 mm); this peptide has been shown to be safe in clinical trials for inflammatory bowel disease (PL14736) and safe for intestinal anstomosis therapy. BPC 157 (10 microg/kg, 10 ng/kg) was applied i) in drinking water until the animals were sacrificed at post-operative day 1, 3, 5, 7, 14, 21, and 28; or ii) once daily intraperitoneally (first application 30 min following surgery, last 24 h before sacrifice) alone or with N(G)-nitro-L-arginine methyl ester (L-NAME) (5 mg/kg), L-arginine (200 mg/kg), and their combinations. Sulphasalazine (50 mg/kg) and 6-alpha-methylprednisolone (1 mg/kg) were given once daily intraperitoneally. BPC 157 accelerated parenterally or perorally the healing of colonic and skin defect, leading to the suitable closure of the fistula, macro/microscopically, biomechanically, and functionally (larger water volume sustained without fistula leaking). L-NAME aggravated the healing failure of colocutaneous fistulas, skin, and colon wounds (L-NAME groups). L-Arginine was effective only with blunted NO generation (L-NAME + L-arginine groups) but not without (L-arginine groups). All of the BPC 157 beneficial effects remained unchanged with blunted NO-generation (L-NAME + BPC 157 groups) and with NO substrate (L-arginine + BPC 157 groups) as well as L-NAME and L-arginine co-administration (L-NAME + L-arginine + BPC 157 groups). Sulphasalazine was only moderately effective, and corticosteroid even had an aggravating effect.","author":[{"dropping-particle":"","family":"Klicek","given":"Robert","non-dropping-particle":"","parse-names":false,"suffix":""},{"dropping-particle":"","family":"Sever","given":"Marko","non-dropping-particle":"","parse-names":false,"suffix":""},{"dropping-particle":"","family":"Radic","given":"Bozo","non-dropping-particle":"","parse-names":false,"suffix":""},{"dropping-particle":"","family":"Drmic","given":"Domagoj","non-dropping-particle":"","parse-names":false,"suffix":""},{"dropping-particle":"","family":"Kocman","given":"Ivan","non-dropping-particle":"","parse-names":false,"suffix":""},{"dropping-particle":"","family":"Zoricic","given":"Ivan","non-dropping-particle":"","parse-names":false,"suffix":""},{"dropping-particle":"","family":"Vuksic","given":"Tihomir","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Vrcic","given":"Hrvoje","non-dropping-particle":"","parse-names":false,"suffix":""},{"dropping-particle":"","family":"Brcic","given":"Luka","non-dropping-particle":"","parse-names":false,"suffix":""},{"dropping-particle":"","family":"Blagaic","given":"Alenka Boban","non-dropping-particle":"","parse-names":false,"suffix":""},{"dropping-particle":"","family":"Coric","given":"Marijana","non-dropping-particle":"","parse-names":false,"suffix":""},{"dropping-particle":"","family":"Brcic","given":"Iva","non-dropping-particle":"","parse-names":false,"suffix":""},{"dropping-particle":"","family":"Rokotov","given":"Dinko Stancic","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Journal of pharmacological sciences","id":"ITEM-3","issue":"1","issued":{"date-parts":[["2008","9"]]},"page":"7-17","title":"Pentadecapeptide BPC 157, in clinical trials as a therapy for inflammatory bowel disease (PL14736), is effective in the healing of colocutaneous fistulas in rats: role of the nitric oxide-system.","type":"article-journal","volume":"108"},"uris":["http://www.mendeley.com/documents/?uuid=603bb6e4-0405-4baa-8f6b-0e82c47cd81e"]},{"id":"ITEM-4","itemData":{"ISBN":"1899-1505 (Electronic)\\r0867-5910 (Linking)","ISSN":"18991505","PMID":"26348082","abstract":"While very rarely reported, duodenocutanenous fistula research might alter the duodenal ulcer disease background and therapy. Our research focused on rat duodenocutaneous fistulas, therapy, stable gastric pentadecapeptide BPC 157, an anti-ulcer peptide that healed other fistulas, nitric oxide synthase-substrate L-arginine, and nitric oxide synthase-inhibitor L-nitro-arginine methyl ester (L-NAME). The hypothesis was, duodenal ulcer-healing, like the skin ulcer, using the successful BPC 157, with nitric oxide-system involvement, the \"wound healing-therapy\", to heal the duodenal ulcer, the fistula-model that recently highlighted gastric and skin ulcer healing. Pressure in the lower esophageal and pyloric sphincters was simultaneously assessed. Duodenocutaneous fistula-rats received BPC 157 (10 μg/kg or 10 ng/kg, intraperitoneally or perorally (in drinking water)), L-NAME (5 mg/kg intraperitoneally), L-arginine (100 mg/kg intraperitoneally) alone and/or together, throughout 21 days. Duodenocutaneous fistula-rats maintained persistent defects, continuous fistula leakage, sphincter failure, mortality rate at 40% until the 4(th) day, all fully counteracted in all BPC 157-rats. The BPC 157-rats experienced rapidly improved complete presentation (maximal volume instilled already at 7(th) day). L-NAME further aggravated the duodenocutaneous fistula-course (mortality at 70% until the 4(th) day); L-arginine was beneficial (no mortality; however, maximal volume instilled not before 21(st) day). L-NAME-worsening was counteracted to the control level with the L-arginine effect, and vice versa, while BPC 157 annulled the L-NAME effects (L-NAME + L-arginine; L-NAME + BPC 157; L-NAME + L-arginine + BPC 157 brought below the level of the control). It is likely that duodenocutaneous fistulas, duodenal/skin defect simultaneous healing, reinstated sphincter function, are a new nitric oxide-system related phenomenon. In conclusion, resolving the duodenocutanenous fistulashealing, nitric oxide-system involvement, should illustrate further wound healing therapy to heal duodenal ulcers.","author":[{"dropping-particle":"","family":"Skorjanec","given":"S.","non-dropping-particle":"","parse-names":false,"suffix":""},{"dropping-particle":"","family":"Kokot","given":"A.","non-dropping-particle":"","parse-names":false,"suffix":""},{"dropping-particle":"","family":"Drmic","given":"D.","non-dropping-particle":"","parse-names":false,"suffix":""},{"dropping-particle":"","family":"Radic","given":"B.","non-dropping-particle":"","parse-names":false,"suffix":""},{"dropping-particle":"","family":"Sever","given":"M.","non-dropping-particle":"","parse-names":false,"suffix":""},{"dropping-particle":"","family":"Klicek","given":"R.","non-dropping-particle":"","parse-names":false,"suffix":""},{"dropping-particle":"","family":"Kolenc","given":"D.","non-dropping-particle":"","parse-names":false,"suffix":""},{"dropping-particle":"","family":"Zenko","given":"A.","non-dropping-particle":"","parse-names":false,"suffix":""},{"dropping-particle":"","family":"Lovric Bencic","given":"M.","non-dropping-particle":"","parse-names":false,"suffix":""},{"dropping-particle":"","family":"Belosic Halle","given":"Z.","non-dropping-particle":"","parse-names":false,"suffix":""},{"dropping-particle":"","family":"Situm","given":"A.","non-dropping-particle":"","parse-names":false,"suffix":""},{"dropping-particle":"","family":"Zivanovic Posilovic","given":"G.","non-dropping-particle":"","parse-names":false,"suffix":""},{"dropping-particle":"","family":"Masnec","given":"S.","non-dropping-particle":"","parse-names":false,"suffix":""},{"dropping-particle":"","family":"Suran","given":"J.","non-dropping-particle":"","parse-names":false,"suffix":""},{"dropping-particle":"","family":"Aralica","given":"G.","non-dropping-particle":"","parse-names":false,"suffix":""},{"dropping-particle":"","family":"Seiwerth","given":"S.","non-dropping-particle":"","parse-names":false,"suffix":""},{"dropping-particle":"","family":"Sikiric","given":"Predrag","non-dropping-particle":"","parse-names":false,"suffix":""}],"container-title":"Journal of Physiology and Pharmacology","id":"ITEM-4","issue":"4","issued":{"date-parts":[["2015"]]},"page":"581-590","title":"Duodenocutaneous fistula in rats as a model for ???wound healing-therapy??? in ulcer healing: The effect of pentadecapeptide BPC 157, L-nitro-arginine methyl ester and L-arginine","type":"article-journal","volume":"66"},"uris":["http://www.mendeley.com/documents/?uuid=c8a4ee5b-bf1f-423c-8b99-a3901c408a53"]},{"id":"ITEM-5","itemData":{"DOI":"10.1007/s10620-008-0332-9","ISBN":"1573-2568 (Electronic)\\r0163-2116 (Linking)","ISSN":"01632116","PMID":"18649140","abstract":"OBJECTIVE: This study focused on unhealed gastrocutaneous fistulas to resolve whether standard drugs that promote healing of gastric ulcers may simultaneously have the same effect on cutaneous wounds, and corticosteroid aggravation, and to demonstrate why peptides such as BPC 157 exhibit a greater healing effect. Therefore, with the fistulas therapy, we challenge the wound/growth factors theory of the analogous nonhealing of wounds and persistent gastric ulcers.\\n\\nMETHODS: The healing rate of gastrocutaneous fistula in rat (2-mm-diameter stomach defect, 3-mm-diameter skin defect) validates macro/microscopically and biomechanically a direct skin wound/stomach ulcer relation, and identifies a potential therapy consisting of: (i) stable gastric pentadecapeptide BPC 157 [in drinking water (10 microg/kg) (12 ml/rat/day) or intraperitoneally (10 microg/kg, 10 ng/kg, 10 pg/kg)], (ii) atropine (10 mg/kg), ranitidine (50 mg/kg), and omeprazole (50 mg/kg), (iii) 6-alpha-methylprednisolone (1 mg/kg) [intraperitoneally, once daily, first application at 30 min following surgery; last 24 h before sacrifice (at postoperative days 1, 2, 3, 7, 14, and 21)].\\n\\nRESULTS: Greater anti-ulcer potential and efficiency in wound healing compared with standard agents favor BPC 157, efficient in inflammatory bowel disease (PL-14736, Pliva), given in drinking water or intraperitoneally. Even after 6-alpha-methylprednisolone aggravation, BPC 157 promptly improves both skin and stomach mucosa healing, and closure of fistulas, with no leakage after up to 20 ml water intragastrically. Standard anti-ulcer agents, after a delay, improve firstly skin healing and then stomach mucosal healing, but not fistula leaking and bursting strength (except for atropine).\\n\\nCONCLUSION: We conclude that BPC 157 may resolve analogous nonhealing of wounds and persistent gastric ulcers better than standard agents.","author":[{"dropping-particle":"","family":"Skorjanec","given":"Sandra","non-dropping-particle":"","parse-names":false,"suffix":""},{"dropping-particle":"","family":"Dolovski","given":"Zdravko","non-dropping-particle":"","parse-names":false,"suffix":""},{"dropping-particle":"","family":"Kocman","given":"Ivan","non-dropping-particle":"","parse-names":false,"suffix":""},{"dropping-particle":"","family":"Brcic","given":"Luka","non-dropping-particle":"","parse-names":false,"suffix":""},{"dropping-particle":"","family":"Blagaic Boban","given":"Alenka","non-dropping-particle":"","parse-names":false,"suffix":""},{"dropping-particle":"","family":"Batelja","given":"Lovorka","non-dropping-particle":"","parse-names":false,"suffix":""},{"dropping-particle":"","family":"Coric","given":"Marjana","non-dropping-particle":"","parse-names":false,"suffix":""},{"dropping-particle":"","family":"Sever","given":"Marko","non-dropping-particle":"","parse-names":false,"suffix":""},{"dropping-particle":"","family":"Klicek","given":"Robert","non-dropping-particle":"","parse-names":false,"suffix":""},{"dropping-particle":"","family":"Berkopic","given":"Lidija","non-dropping-particle":"","parse-names":false,"suffix":""},{"dropping-particle":"","family":"Radic","given":"Bozo","non-dropping-particle":"","parse-names":false,"suffix":""},{"dropping-particle":"","family":"Drmic","given":"Domagoj","non-dropping-particle":"","parse-names":false,"suffix":""},{"dropping-particle":"","family":"Kolenc","given":"Danijela","non-dropping-particle":"","parse-names":false,"suffix":""},{"dropping-particle":"","family":"Ilic","given":"Spomenko","non-dropping-particle":"","parse-names":false,"suffix":""},{"dropping-particle":"","family":"Cesarec","given":"Vedran","non-dropping-particle":"","parse-names":false,"suffix":""},{"dropping-particle":"","family":"Tonkic","given":"Ante","non-dropping-particle":"","parse-names":false,"suffix":""},{"dropping-particle":"","family":"Zoricic","given":"Ivan","non-dropping-particle":"","parse-names":false,"suffix":""},{"dropping-particle":"","family":"Mise","given":"Stjepan","non-dropping-particle":"","parse-names":false,"suffix":""},{"dropping-particle":"","family":"Staresinic","given":"Mario","non-dropping-particle":"","parse-names":false,"suffix":""},{"dropping-particle":"","family":"Ivica","given":"Mihovil","non-dropping-particle":"","parse-names":false,"suffix":""},{"dropping-particle":"","family":"Lovric Bencic","given":"Martina","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Sciences","id":"ITEM-5","issue":"1","issued":{"date-parts":[["2009"]]},"page":"46-56","title":"Therapy for unhealed gastrocutaneous fistulas in rats as a model for analogous healing of persistent skin wounds and persistent gastric ulcers: Stable gastric pentadecapeptide BPC 157, atropine, ranitidine, and omeprazole","type":"article-journal","volume":"54"},"uris":["http://www.mendeley.com/documents/?uuid=fdfff0e6-f937-4069-9685-d242c56d6de3"]}],"mendeley":{"formattedCitation":"&lt;sup&gt;[34–38]&lt;/sup&gt;","plainTextFormattedCitation":"[34–38]","previouslyFormattedCitation":"&lt;sup&gt;[34–38]&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[34–38]</w:t>
      </w:r>
      <w:r w:rsidR="003E61D5"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failed healing of anastomoses</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{"citationItems":[{"id":"ITEM-1","itemData":{"ISSN":"1899-1505","PMID":"24304574","abstract":"Stable gastric pentadecapeptide BPC 157 was suggested to link inflammatory bowel disease and multiple sclerosis, and thereby, shown to equally counteract the models of both of those diseases. For colitis, cysteamine (400 mg/kg intrarectally (1 ml/rat)) and colon-colon anastomosis (sacrifice at day 3, 5, 7, and 14) were used. BPC 157 (10 μg/kg, 10 ng/kg) was applied either intraperitoneally once time daily (first application immediately after surgery, last at 24 hours before sacrifice) or per-orally in drinking water (0.16 μg/ml/12 ml/day till the sacrifice) while controls simultaneously received an equivolume of saline (5 ml/kg) intraperitoneally or drinking water only (12 ml/day). A multiple sclerosis suited toxic rat model, cuprizone (compared with standard, a several times higher regimen, 2.5% of diet regimen + 1 g/kg intragastrically/day) was combined with BPC 157 (in drinking water 0.16 μg or 0.16 ng/ml/12 ml/day/rat + 10 μg or 10 ng/kg intragastrically/day) till the sacrifice at day 4. In general, the controls could not heal cysteamine colitis and colon-colon anastomosis. BPC 157 induced an efficient healing of both at the same time. Likewise, cuprizone-controls clearly exhibited an exaggerated and accelerated damaging process; nerve damage appeared in various brain areas, with most prominent damage in corpus callosum, laterodorsal thalamus, nucleus reunions, anterior horn motor neurons. BPC 157-cuprizone rats had consistently less nerve damage in all damaged areas, especially in those areas that otherwise were most affected. Consistently, BPC 157 counteracted cerebellar ataxia and impaired forelimb function. Thereby, this experimental evidence advocates BPC 157 in both inflammatory bowel disease and multiple sclerosis therapy.","author":[{"dropping-particle":"","family":"Klicek","given":"R","non-dropping-particle":"","parse-names":false,"suffix":""},{"dropping-particle":"","family":"Kolenc","given":"D","non-dropping-particle":"","parse-names":false,"suffix":""},{"dropping-particle":"","family":"Suran","given":"J","non-dropping-particle":"","parse-names":false,"suffix":""},{"dropping-particle":"","family":"Drmic","given":"D","non-dropping-particle":"","parse-names":false,"suffix":""},{"dropping-particle":"","family":"Brcic","given":"L","non-dropping-particle":"","parse-names":false,"suffix":""},{"dropping-particle":"","family":"Aralica","given":"G","non-dropping-particle":"","parse-names":false,"suffix":""},{"dropping-particle":"","family":"Sever","given":"M","non-dropping-particle":"","parse-names":false,"suffix":""},{"dropping-particle":"","family":"Holjevac","given":"J","non-dropping-particle":"","parse-names":false,"suffix":""},{"dropping-particle":"","family":"Radic","given":"B","non-dropping-particle":"","parse-names":false,"suffix":""},{"dropping-particle":"","family":"Turudic","given":"T","non-dropping-particle":"","parse-names":false,"suffix":""},{"dropping-particle":"","family":"Kokot","given":"A","non-dropping-particle":"","parse-names":false,"suffix":""},{"dropping-particle":"","family":"Patrlj","given":"L","non-dropping-particle":"","parse-names":false,"suffix":""},{"dropping-particle":"","family":"Rucman","given":"R","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Society","id":"ITEM-1","issue":"5","issued":{"date-parts":[["2013","10"]]},"page":"597-612","title":"Stable gastric pentadecapeptide BPC 157 heals cysteamine-colitis and colon-colon-anastomosis and counteracts cuprizone brain injuries and motor disability.","type":"article-journal","volume":"64"},"uris":["http://www.mendeley.com/documents/?uuid=c8654aa2-4d8b-437f-aed4-dd14ff95a775"]},{"id":"ITEM-2","itemData":{"DOI":"10.1371/journal.pone.0162590","ISSN":"1932-6203","author":[{"dropping-particle":"","family":"Lojo","given":"Nermin","non-dropping-particle":"","parse-names":false,"suffix":""},{"dropping-particle":"","family":"Rasic","given":"Zarko","non-dropping-particle":"","parse-names":false,"suffix":""},{"dropping-particle":"","family":"Zenko Sever","given":"Anita","non-dropping-particle":"","parse-names":false,"suffix":""},{"dropping-particle":"","family":"Kolenc","given":"Danijela","non-dropping-particle":"","parse-names":false,"suffix":""},{"dropping-particle":"","family":"Vukusic","given":"Darko","non-dropping-particle":"","parse-names":false,"suffix":""},{"dropping-particle":"","family":"Drmic","given":"Domagoj","non-dropping-particle":"","parse-names":false,"suffix":""},{"dropping-particle":"","family":"Zoricic","given":"Ivan","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PLOS ONE","editor":[{"dropping-particle":"","family":"Singh","given":"Shree Ram","non-dropping-particle":"","parse-names":false,"suffix":""}],"id":"ITEM-2","issue":"9","issued":{"date-parts":[["2016","9","14"]]},"page":"e0162590","title":"Effects of Diclofenac, L-NAME, L-Arginine, and Pentadecapeptide BPC 157 on Gastrointestinal, Liver, and Brain Lesions, Failed Anastomosis, and Intestinal Adaptation Deterioration in 24 Hour-Short-Bowel Rats","type":"article-journal","volume":"11"},"uris":["http://www.mendeley.com/documents/?uuid=f765251b-42c4-4691-a197-e5408869fd60"]},{"id":"ITEM-3","itemData":{"DOI":"10.1007/s10620-008-0598-y","ISSN":"0163-2116","author":[{"dropping-particle":"","family":"Sever","given":"Marko","non-dropping-particle":"","parse-names":false,"suffix":""},{"dropping-particle":"","family":"Klicek","given":"Robert","non-dropping-particle":"","parse-names":false,"suffix":""},{"dropping-particle":"","family":"Radic","given":"Bozo","non-dropping-particle":"","parse-names":false,"suffix":""},{"dropping-particle":"","family":"Brcic","given":"Luka","non-dropping-particle":"","parse-names":false,"suffix":""},{"dropping-particle":"","family":"Zoricic","given":"Ivan","non-dropping-particle":"","parse-names":false,"suffix":""},{"dropping-particle":"","family":"Drmic","given":"Domagoj","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Blagaic","given":"Alenka Boban","non-dropping-particle":"","parse-names":false,"suffix":""},{"dropping-particle":"","family":"Coric","given":"Marijana","non-dropping-particle":"","parse-names":false,"suffix":""},{"dropping-particle":"","family":"Kolenc","given":"Danijela","non-dropping-particle":"","parse-names":false,"suffix":""},{"dropping-particle":"","family":"Vrcic","given":"Hrvoje","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Sciences","id":"ITEM-3","issue":"10","issued":{"date-parts":[["2009","10","18"]]},"page":"2070-2083","title":"Gastric Pentadecapeptide BPC 157 and Short Bowel Syndrome in Rats","type":"article-journal","volume":"54"},"uris":["http://www.mendeley.com/documents/?uuid=d5bae549-2131-457d-a9d4-d06841712948"]},{"id":"ITEM-4","itemData":{"DOI":"10.1007/s00595-006-3498-9","ISSN":"09411291","abstract":"Purpose. Gastric pentadecapeptide BPC 157 (BPC 157), which has been shown to be safe in clinical trials for inflammatory bowel disease (PL-10, PLD-116, PL14736, Pliva, Croatia), may be able to cure intestinal anastomosis dehiscence. This antiulcer peptide shows no toxicity, is limit test negative, and a lethal dose is not achieved. It is stable in human gastric juice. In comparison with other standard treatments it is more effective for ulcers and various wounds, and can be used without a carrier needed for other peptides, both locally and systemically (i.e., perorally, parenterally). We studied the effectiveness of BPC 157 for ileoileal anastomosis healing in rats. Methods. We assessed ileoileal anastomosis dehiscence macroscopically, histologically, and biomechanically (volume [ml] infused through a syringe-perfusion pump system (1 ml/10 s), and pressure [mmHg]  to leak induction [catheter connected to a chamber and a monitor, at 10 cm proximal to anastomosis]), at 1, 2, 3, 4, 5, 6, 7, and 14 days. BPC 157 (10 μg, 10 ng, 10 pg/kg i.p. (or saline [5 ml/kg] ) was first administered after surgery, while it was last given 24 h before either assessment or sacrifice. Results. Throughout the experiment, both higher doses of BPC 157 were shown to improve all parameters of anastomotic wound healing. The formation of adhesions remained slight, the blood vessels were filled with blood, and a mild intestinal passage obstruction was only temporarily observed. Anastomosis without leakage induces markedly higher volume and pressure values, with a continuous increase toward healthy values. From day 1, edema was markedly attenuated and the number of granulocytes decreased, while from days 4 or 5 necrosis decreased and granulation tissue, reticulin, and collagen formation substantially increased, thus resulting in increased epithelization. Conclusion. This study showed BPC 157 to have a beneficial effect on ileoileal anastomosis healing in the rat. © 2007 Springer-Verlag.","author":[{"dropping-particle":"","family":"Vuksic","given":"T.","non-dropping-particle":"","parse-names":false,"suffix":""},{"dropping-particle":"","family":"Zoricic","given":"I.","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Cesarec","given":"V.","non-dropping-particle":"","parse-names":false,"suffix":""},{"dropping-particle":"","family":"Berkopic","given":"L.","non-dropping-particle":"","parse-names":false,"suffix":""},{"dropping-particle":"","family":"Keller","given":"N.","non-dropping-particle":"","parse-names":false,"suffix":""},{"dropping-particle":"","family":"Blagaic","given":"A.B.","non-dropping-particle":"","parse-names":false,"suffix":""},{"dropping-particle":"","family":"Kokic","given":"N.","non-dropping-particle":"","parse-names":false,"suffix":""},{"dropping-particle":"","family":"Jelic","given":"I.","non-dropping-particle":"","parse-names":false,"suffix":""},{"dropping-particle":"","family":"Geber","given":"J.","non-dropping-particle":"","parse-names":false,"suffix":""},{"dropping-particle":"","family":"Anic","given":"T.","non-dropping-particle":"","parse-names":false,"suffix":""},{"dropping-particle":"","family":"Seiwerth","given":"S.","non-dropping-particle":"","parse-names":false,"suffix":""},{"dropping-particle":"","family":"Sikiric","given":"P.","non-dropping-particle":"","parse-names":false,"suffix":""}],"container-title":"Surgery Today","id":"ITEM-4","issue":"9","issued":{"date-parts":[["2007"]]},"title":"Stable gastric pentadecapeptide BPC 157 in trials for inflammatory bowel disease (PL-10, PLD-116, PL14736, Pliva, Croatia) heals ileoileal anastomosis in the rat","type":"article-journal","volume":"37"},"uris":["http://www.mendeley.com/documents/?uuid=349c7d36-04ba-3487-b4e9-2775a64e164d"]}],"mendeley":{"formattedCitation":"&lt;sup&gt;[28,29,39,40]&lt;/sup&gt;","plainTextFormattedCitation":"[28,29,39,40]","previouslyFormattedCitation":"&lt;sup&gt;[28,29,39,40]&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[28,29,39,40]</w:t>
      </w:r>
      <w:r w:rsidR="003E61D5" w:rsidRPr="00E47A42">
        <w:rPr>
          <w:rFonts w:ascii="Book Antiqua" w:hAnsi="Book Antiqua" w:cs="Times New Roman"/>
          <w:sz w:val="24"/>
          <w:szCs w:val="24"/>
          <w:lang w:val="en-US"/>
        </w:rPr>
        <w:fldChar w:fldCharType="end"/>
      </w:r>
      <w:r w:rsidR="001846EF"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and other gastrointestinal lesions</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mendeley":{"formattedCitation":"&lt;sup&gt;[10–19]&lt;/sup&gt;","plainTextFormattedCitation":"[10–19]","previouslyFormattedCitation":"&lt;sup&gt;[10–19]&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[10–19]</w:t>
      </w:r>
      <w:r w:rsidR="003A6A7D"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w:t>
      </w:r>
      <w:r w:rsidR="00B6292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given parenterally or orally. </w:t>
      </w:r>
      <w:r w:rsidR="00395747" w:rsidRPr="00E47A42">
        <w:rPr>
          <w:rFonts w:ascii="Book Antiqua" w:hAnsi="Book Antiqua" w:cs="Times New Roman"/>
          <w:sz w:val="24"/>
          <w:szCs w:val="24"/>
          <w:lang w:val="en-US"/>
        </w:rPr>
        <w:t>Furthermore</w:t>
      </w:r>
      <w:r w:rsidRPr="00E47A42">
        <w:rPr>
          <w:rFonts w:ascii="Book Antiqua" w:hAnsi="Book Antiqua" w:cs="Times New Roman"/>
          <w:sz w:val="24"/>
          <w:szCs w:val="24"/>
          <w:lang w:val="en-US"/>
        </w:rPr>
        <w:t>, BPC 157 is known to counteract thrombosis</w:t>
      </w:r>
      <w:r w:rsidR="00C77680"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111B7C" w:rsidRPr="00E47A42">
        <w:rPr>
          <w:rFonts w:ascii="Book Antiqua" w:hAnsi="Book Antiqua" w:cs="Times New Roman"/>
          <w:sz w:val="24"/>
          <w:szCs w:val="24"/>
          <w:lang w:val="en-US"/>
        </w:rPr>
        <w:t xml:space="preserve">not only </w:t>
      </w:r>
      <w:r w:rsidRPr="00E47A42">
        <w:rPr>
          <w:rFonts w:ascii="Book Antiqua" w:hAnsi="Book Antiqua" w:cs="Times New Roman"/>
          <w:sz w:val="24"/>
          <w:szCs w:val="24"/>
          <w:lang w:val="en-US"/>
        </w:rPr>
        <w:t>after abdominal aorta anastomosis</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{"citationItems":[{"id":"ITEM-1","itemData":{"ISSN":"1899-1505","PMID":"20388960","abstract":"We focused on abdominal aorta, clamped and transected bellow renal arteries, and aortic termino-terminal anastomosis created in Albino male rats. We suggested stomach cytoprotection theory holding endothelium protection and peptidergic anti-ulcer cytoprotection therapy to improve management of abdominal aorta anastomosis and thrombus formation. The stable gastric pentadecapeptide BPC 157 (GEPPPGKPADDAGLV, MW 1419) is a small anti-ulcer peptide efficient in inflammatory bowel disease trials (PL 14736) and various wound treatment, no toxicity reported. After 24 h following aortic termino-terminal anastomosis, we shown that BPC 157 (10 microg/kg) may also decrease formation of cloth after aortic termino-terminal anastomosis and preserved walking ability and muscle strength when given as a bath immediately after aortic anastomosis creation. This may be important since aortic termino-terminal anastomosis is normally presenting in rats with a formed cloth obstructing more than third of aortic lumen, severely impaired walking ability, painful screaming and weak muscle strength. Thereby, the effect of BPC 157 (10 microg/kg) was additionally studied at 24 h following aortic termino-terminal anastomosis. Given at the that point, intraperitoneally, within 3 minutes post-application interval the pentadecapeptide BPC 157 rapidly recovered the function of lower limbs and muscle strength while no cloth could be seen in those rats at the anastomosis site.","author":[{"dropping-particle":"","family":"Hrelec","given":"M.","non-dropping-particle":"","parse-names":false,"suffix":""},{"dropping-particle":"","family":"Klicek","given":"R.","non-dropping-particle":"","parse-names":false,"suffix":""},{"dropping-particle":"","family":"Brcic","given":"L","non-dropping-particle":"","parse-names":false,"suffix":""},{"dropping-particle":"","family":"Brcic","given":"I.","non-dropping-particle":"","parse-names":false,"suffix":""},{"dropping-particle":"","family":"Cvjetko","given":"I.","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Society","id":"ITEM-1","issued":{"date-parts":[["2009","12"]]},"page":"161-5","title":"Abdominal aorta anastomosis in rats and stable gastric pentadecapeptide BPC 157, prophylaxis and therapy.","type":"article-journal","volume":"60 Suppl 7"},"uris":["http://www.mendeley.com/documents/?uuid=e70badf0-408d-3068-a1fe-6cb7fc7efdc2"]}],"mendeley":{"formattedCitation":"&lt;sup&gt;[41]&lt;/sup&gt;","plainTextFormattedCitation":"[41]","previouslyFormattedCitation":"&lt;sup&gt;[41]&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[41]</w:t>
      </w:r>
      <w:r w:rsidR="003E61D5"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or inferior </w:t>
      </w:r>
      <w:proofErr w:type="spellStart"/>
      <w:r w:rsidRPr="00E47A42">
        <w:rPr>
          <w:rFonts w:ascii="Book Antiqua" w:hAnsi="Book Antiqua" w:cs="Times New Roman"/>
          <w:sz w:val="24"/>
          <w:szCs w:val="24"/>
          <w:lang w:val="en-US"/>
        </w:rPr>
        <w:t>caval</w:t>
      </w:r>
      <w:proofErr w:type="spellEnd"/>
      <w:r w:rsidRPr="00E47A42">
        <w:rPr>
          <w:rFonts w:ascii="Book Antiqua" w:hAnsi="Book Antiqua" w:cs="Times New Roman"/>
          <w:sz w:val="24"/>
          <w:szCs w:val="24"/>
          <w:lang w:val="en-US"/>
        </w:rPr>
        <w:t xml:space="preserve"> vein ligation</w:t>
      </w:r>
      <w:r w:rsidR="003E61D5"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3E61D5"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w:t>
      </w:r>
      <w:r w:rsidR="003E61D5" w:rsidRPr="00E47A42">
        <w:rPr>
          <w:rFonts w:ascii="Book Antiqua" w:hAnsi="Book Antiqua" w:cs="Times New Roman"/>
          <w:sz w:val="24"/>
          <w:szCs w:val="24"/>
          <w:lang w:val="en-US"/>
        </w:rPr>
        <w:fldChar w:fldCharType="end"/>
      </w:r>
      <w:r w:rsidR="00C77680" w:rsidRPr="00E47A42">
        <w:rPr>
          <w:rFonts w:ascii="Book Antiqua" w:hAnsi="Book Antiqua" w:cs="Times New Roman"/>
          <w:sz w:val="24"/>
          <w:szCs w:val="24"/>
          <w:lang w:val="en-US"/>
        </w:rPr>
        <w:t>,</w:t>
      </w:r>
      <w:r w:rsidR="009346E7"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but also </w:t>
      </w:r>
      <w:r w:rsidR="00395747" w:rsidRPr="00E47A42">
        <w:rPr>
          <w:rFonts w:ascii="Book Antiqua" w:hAnsi="Book Antiqua" w:cs="Times New Roman"/>
          <w:sz w:val="24"/>
          <w:szCs w:val="24"/>
          <w:lang w:val="en-US"/>
        </w:rPr>
        <w:t xml:space="preserve">after </w:t>
      </w:r>
      <w:r w:rsidRPr="00E47A42">
        <w:rPr>
          <w:rFonts w:ascii="Book Antiqua" w:hAnsi="Book Antiqua" w:cs="Times New Roman"/>
          <w:sz w:val="24"/>
          <w:szCs w:val="24"/>
          <w:lang w:val="en-US"/>
        </w:rPr>
        <w:t>bleeding prolongation upon amputation and the administration of anticoagulants and aspirin</w:t>
      </w:r>
      <w:r w:rsidR="00B62926"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thromres.2011.07.035","ISSN":"00493848","author":[{"dropping-particle":"","family":"Stupnisek","given":"Mirjana","non-dropping-particle":"","parse-names":false,"suffix":""},{"dropping-particle":"","family":"Franjic","given":"Sandra","non-dropping-particle":"","parse-names":false,"suffix":""},{"dropping-particle":"","family":"Drmic","given":"Domagoj","non-dropping-particle":"","parse-names":false,"suffix":""},{"dropping-particle":"","family":"Hrelec","given":"Masa","non-dropping-particle":"","parse-names":false,"suffix":""},{"dropping-particle":"","family":"Kolenc","given":"Danijela","non-dropping-particle":"","parse-names":false,"suffix":""},{"dropping-particle":"","family":"Radic","given":"Bozo","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Thrombosis Research","id":"ITEM-1","issue":"5","issued":{"date-parts":[["2012","5"]]},"page":"652-659","title":"Pentadecapeptide BPC 157 reduces bleeding time and thrombocytopenia after amputation in rats treated with heparin, warfarin or aspirin","type":"article-journal","volume":"129"},"uris":["http://www.mendeley.com/documents/?uuid=bb95af62-4403-4eee-ac11-2bc57c640536"]},{"id":"ITEM-2","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ONE","editor":[{"dropping-particle":"","family":"Yu","given":"Jun","non-dropping-particle":"","parse-names":false,"suffix":""}],"id":"ITEM-2","issue":"4","issued":{"date-parts":[["2015","4","21"]]},"page":"e0123454","title":"Pentadecapeptide BPC 157 Reduces Bleeding and Thrombocytopenia after Amputation in Rats Treated with Heparin, Warfarin, L-NAME and L-Arginine","type":"article-journal","volume":"10"},"uris":["http://www.mendeley.com/documents/?uuid=5b43fc49-e4f1-4278-be61-83d97a236221"]}],"mendeley":{"formattedCitation":"&lt;sup&gt;[42,43]&lt;/sup&gt;","plainTextFormattedCitation":"[42,43]","previouslyFormattedCitation":"&lt;sup&gt;[42,43]&lt;/sup&gt;"},"properties":{"noteIndex":0},"schema":"https://github.com/citation-style-language/schema/raw/master/csl-citation.json"}</w:instrText>
      </w:r>
      <w:r w:rsidR="00B62926"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[42,43]</w:t>
      </w:r>
      <w:r w:rsidR="00B62926" w:rsidRPr="00E47A42">
        <w:rPr>
          <w:rFonts w:ascii="Book Antiqua" w:hAnsi="Book Antiqua" w:cs="Times New Roman"/>
          <w:sz w:val="24"/>
          <w:szCs w:val="24"/>
          <w:lang w:val="en-US"/>
        </w:rPr>
        <w:fldChar w:fldCharType="end"/>
      </w:r>
      <w:r w:rsidR="001846EF"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or inferior </w:t>
      </w:r>
      <w:proofErr w:type="spellStart"/>
      <w:r w:rsidRPr="00E47A42">
        <w:rPr>
          <w:rFonts w:ascii="Book Antiqua" w:hAnsi="Book Antiqua" w:cs="Times New Roman"/>
          <w:sz w:val="24"/>
          <w:szCs w:val="24"/>
          <w:lang w:val="en-US"/>
        </w:rPr>
        <w:t>caval</w:t>
      </w:r>
      <w:proofErr w:type="spellEnd"/>
      <w:r w:rsidRPr="00E47A42">
        <w:rPr>
          <w:rFonts w:ascii="Book Antiqua" w:hAnsi="Book Antiqua" w:cs="Times New Roman"/>
          <w:sz w:val="24"/>
          <w:szCs w:val="24"/>
          <w:lang w:val="en-US"/>
        </w:rPr>
        <w:t xml:space="preserve"> vein ligation</w:t>
      </w:r>
      <w:r w:rsidR="00B62926"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B62926"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w:t>
      </w:r>
      <w:r w:rsidR="00B62926" w:rsidRPr="00E47A42">
        <w:rPr>
          <w:rFonts w:ascii="Book Antiqua" w:hAnsi="Book Antiqua" w:cs="Times New Roman"/>
          <w:sz w:val="24"/>
          <w:szCs w:val="24"/>
          <w:lang w:val="en-US"/>
        </w:rPr>
        <w:fldChar w:fldCharType="end"/>
      </w:r>
      <w:r w:rsidR="0024515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111B7C" w:rsidRPr="00E47A42">
        <w:rPr>
          <w:rFonts w:ascii="Book Antiqua" w:hAnsi="Book Antiqua" w:cs="Times New Roman"/>
          <w:sz w:val="24"/>
          <w:szCs w:val="24"/>
          <w:lang w:val="en-US"/>
        </w:rPr>
        <w:t>This</w:t>
      </w:r>
      <w:r w:rsidRPr="00E47A42">
        <w:rPr>
          <w:rFonts w:ascii="Book Antiqua" w:hAnsi="Book Antiqua" w:cs="Times New Roman"/>
          <w:sz w:val="24"/>
          <w:szCs w:val="24"/>
          <w:lang w:val="en-US"/>
        </w:rPr>
        <w:t xml:space="preserve"> effect </w:t>
      </w:r>
      <w:r w:rsidR="00111B7C" w:rsidRPr="00E47A42">
        <w:rPr>
          <w:rFonts w:ascii="Book Antiqua" w:hAnsi="Book Antiqua" w:cs="Times New Roman"/>
          <w:sz w:val="24"/>
          <w:szCs w:val="24"/>
          <w:lang w:val="en-US"/>
        </w:rPr>
        <w:t xml:space="preserve">is </w:t>
      </w:r>
      <w:r w:rsidRPr="00E47A42">
        <w:rPr>
          <w:rFonts w:ascii="Book Antiqua" w:hAnsi="Book Antiqua" w:cs="Times New Roman"/>
          <w:sz w:val="24"/>
          <w:szCs w:val="24"/>
          <w:lang w:val="en-US"/>
        </w:rPr>
        <w:t>related to its endothelial maintenance</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thromres.2011.07.035","ISSN":"00493848","author":[{"dropping-particle":"","family":"Stupnisek","given":"Mirjana","non-dropping-particle":"","parse-names":false,"suffix":""},{"dropping-particle":"","family":"Franjic","given":"Sandra","non-dropping-particle":"","parse-names":false,"suffix":""},{"dropping-particle":"","family":"Drmic","given":"Domagoj","non-dropping-particle":"","parse-names":false,"suffix":""},{"dropping-particle":"","family":"Hrelec","given":"Masa","non-dropping-particle":"","parse-names":false,"suffix":""},{"dropping-particle":"","family":"Kolenc","given":"Danijela","non-dropping-particle":"","parse-names":false,"suffix":""},{"dropping-particle":"","family":"Radic","given":"Bozo","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Thrombosis Research","id":"ITEM-1","issue":"5","issued":{"date-parts":[["2012","5"]]},"page":"652-659","title":"Pentadecapeptide BPC 157 reduces bleeding time and thrombocytopenia after amputation in rats treated with heparin, warfarin or aspirin","type":"article-journal","volume":"129"},"uris":["http://www.mendeley.com/documents/?uuid=bb95af62-4403-4eee-ac11-2bc57c640536"]},{"id":"ITEM-2","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ONE","editor":[{"dropping-particle":"","family":"Yu","given":"Jun","non-dropping-particle":"","parse-names":false,"suffix":""}],"id":"ITEM-2","issue":"4","issued":{"date-parts":[["2015","4","21"]]},"page":"e0123454","title":"Pentadecapeptide BPC 157 Reduces Bleeding and Thrombocytopenia after Amputation in Rats Treated with Heparin, Warfarin, L-NAME and L-Arginine","type":"article-journal","volume":"10"},"uris":["http://www.mendeley.com/documents/?uuid=5b43fc49-e4f1-4278-be61-83d97a236221"]},{"id":"ITEM-3","itemData":{"DOI":"10.1016/j.vph.2018.02.010","ISSN":"18793649","abstract":"©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Pharmacology","id":"ITEM-3","issued":{"date-parts":[["2018"]]},"page":"54-66","title":"Rat inferior caval vein (ICV) ligature and particular new insights with the stable gastric pentadecapeptide BPC 157","type":"article-journal","volume":"106"},"uris":["http://www.mendeley.com/documents/?uuid=0d4e894c-6fc1-3bed-bb8f-4b56e696ff06"]},{"id":"ITEM-4","itemData":{"ISSN":"1899-1505","PMID":"20388960","abstract":"We focused on abdominal aorta, clamped and transected bellow renal arteries, and aortic termino-terminal anastomosis created in Albino male rats. We suggested stomach cytoprotection theory holding endothelium protection and peptidergic anti-ulcer cytoprotection therapy to improve management of abdominal aorta anastomosis and thrombus formation. The stable gastric pentadecapeptide BPC 157 (GEPPPGKPADDAGLV, MW 1419) is a small anti-ulcer peptide efficient in inflammatory bowel disease trials (PL 14736) and various wound treatment, no toxicity reported. After 24 h following aortic termino-terminal anastomosis, we shown that BPC 157 (10 microg/kg) may also decrease formation of cloth after aortic termino-terminal anastomosis and preserved walking ability and muscle strength when given as a bath immediately after aortic anastomosis creation. This may be important since aortic termino-terminal anastomosis is normally presenting in rats with a formed cloth obstructing more than third of aortic lumen, severely impaired walking ability, painful screaming and weak muscle strength. Thereby, the effect of BPC 157 (10 microg/kg) was additionally studied at 24 h following aortic termino-terminal anastomosis. Given at the that point, intraperitoneally, within 3 minutes post-application interval the pentadecapeptide BPC 157 rapidly recovered the function of lower limbs and muscle strength while no cloth could be seen in those rats at the anastomosis site.","author":[{"dropping-particle":"","family":"Hrelec","given":"M.","non-dropping-particle":"","parse-names":false,"suffix":""},{"dropping-particle":"","family":"Klicek","given":"R.","non-dropping-particle":"","parse-names":false,"suffix":""},{"dropping-particle":"","family":"Brcic","given":"L","non-dropping-particle":"","parse-names":false,"suffix":""},{"dropping-particle":"","family":"Brcic","given":"I.","non-dropping-particle":"","parse-names":false,"suffix":""},{"dropping-particle":"","family":"Cvjetko","given":"I.","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Society","id":"ITEM-4","issued":{"date-parts":[["2009","12"]]},"page":"161-5","title":"Abdominal aorta anastomosis in rats and stable gastric pentadecapeptide BPC 157, prophylaxis and therapy.","type":"article-journal","volume":"60 Suppl 7"},"uris":["http://www.mendeley.com/documents/?uuid=e70badf0-408d-3068-a1fe-6cb7fc7efdc2"]}],"mendeley":{"formattedCitation":"&lt;sup&gt;[21,41–43]&lt;/sup&gt;","plainTextFormattedCitation":"[21,41–43]","previouslyFormattedCitation":"&lt;sup&gt;[21,41–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[21,41–43]</w:t>
      </w:r>
      <w:r w:rsidR="00A75220" w:rsidRPr="00E47A42">
        <w:rPr>
          <w:rFonts w:ascii="Book Antiqua" w:hAnsi="Book Antiqua" w:cs="Times New Roman"/>
          <w:sz w:val="24"/>
          <w:szCs w:val="24"/>
          <w:lang w:val="en-US"/>
        </w:rPr>
        <w:fldChar w:fldCharType="end"/>
      </w:r>
      <w:r w:rsidR="00B6292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and its interaction with the NO system, </w:t>
      </w:r>
      <w:r w:rsidR="00C77680" w:rsidRPr="00E47A42">
        <w:rPr>
          <w:rFonts w:ascii="Book Antiqua" w:hAnsi="Book Antiqua" w:cs="Times New Roman"/>
          <w:sz w:val="24"/>
          <w:szCs w:val="24"/>
          <w:lang w:val="en-US"/>
        </w:rPr>
        <w:t>which provides the counteraction of both the</w:t>
      </w:r>
      <w:r w:rsidRPr="00E47A42">
        <w:rPr>
          <w:rFonts w:ascii="Book Antiqua" w:hAnsi="Book Antiqua" w:cs="Times New Roman"/>
          <w:sz w:val="24"/>
          <w:szCs w:val="24"/>
          <w:lang w:val="en-US"/>
        </w:rPr>
        <w:t xml:space="preserve"> opposite effect</w:t>
      </w:r>
      <w:r w:rsidR="00C77680"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of L-NAME (prothrombotic) and L-arginine (antithrombotic) application</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ONE","editor":[{"dropping-particle":"","family":"Yu","given":"Jun","non-dropping-particle":"","parse-names":false,"suffix":""}],"id":"ITEM-1","issue":"4","issued":{"date-parts":[["2015","4","21"]]},"page":"e0123454","title":"Pentadecapeptide BPC 157 Reduces Bleeding and Thrombocytopenia after Amputation in Rats Treated with Heparin, Warfarin, L-NAME and L-Arginine","type":"article-journal","volume":"10"},"uris":["http://www.mendeley.com/documents/?uuid=5b43fc49-e4f1-4278-be61-83d97a236221"]}],"mendeley":{"formattedCitation":"&lt;sup&gt;[43]&lt;/sup&gt;","plainTextFormattedCitation":"[43]","previouslyFormattedCitation":"&lt;sup&gt;[43]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[43]</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Otherwise, bleeding from the perforated lesion and perforated lesion outcome might be complicated with these innate L-NAME and NOS substrate L-arginine effects</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ONE","editor":[{"dropping-particle":"","family":"Yu","given":"Jun","non-dropping-particle":"","parse-names":false,"suffix":""}],"id":"ITEM-1","issue":"4","issued":{"date-parts":[["2015","4","21"]]},"page":"e0123454","title":"Pentadecapeptide BPC 157 Reduces Bleeding and Thrombocytopenia after Amputation in Rats Treated with Heparin, Warfarin, L-NAME and L-Arginine","type":"article-journal","volume":"10"},"uris":["http://www.mendeley.com/documents/?uuid=5b43fc49-e4f1-4278-be61-83d97a236221"]}],"mendeley":{"formattedCitation":"&lt;sup&gt;[43]&lt;/sup&gt;","plainTextFormattedCitation":"[43]","previouslyFormattedCitation":"&lt;sup&gt;[43]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[43]</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p>
    <w:p w14:paraId="56F84B36" w14:textId="4327A82E" w:rsidR="00E05F1C" w:rsidRPr="00E47A42" w:rsidRDefault="00E05F1C" w:rsidP="00F73ADC">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In practice, as </w:t>
      </w:r>
      <w:r w:rsidR="00395747" w:rsidRPr="00E47A42">
        <w:rPr>
          <w:rFonts w:ascii="Book Antiqua" w:hAnsi="Book Antiqua" w:cs="Times New Roman"/>
          <w:sz w:val="24"/>
          <w:szCs w:val="24"/>
          <w:lang w:val="en-US"/>
        </w:rPr>
        <w:t>described previously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our approach to cure </w:t>
      </w:r>
      <w:r w:rsidR="00820646"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perforated</w:t>
      </w:r>
      <w:r w:rsidR="00CB6D86">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cecum </w:t>
      </w:r>
      <w:r w:rsidR="00111B7C" w:rsidRPr="00E47A42">
        <w:rPr>
          <w:rFonts w:ascii="Book Antiqua" w:hAnsi="Book Antiqua" w:cs="Times New Roman"/>
          <w:sz w:val="24"/>
          <w:szCs w:val="24"/>
          <w:lang w:val="en-US"/>
        </w:rPr>
        <w:t xml:space="preserve">begins </w:t>
      </w:r>
      <w:r w:rsidRPr="00E47A42">
        <w:rPr>
          <w:rFonts w:ascii="Book Antiqua" w:hAnsi="Book Antiqua" w:cs="Times New Roman"/>
          <w:sz w:val="24"/>
          <w:szCs w:val="24"/>
          <w:lang w:val="en-US"/>
        </w:rPr>
        <w:t xml:space="preserve">with the original understanding of stomach </w:t>
      </w:r>
      <w:proofErr w:type="spellStart"/>
      <w:r w:rsidRPr="00E47A42">
        <w:rPr>
          <w:rFonts w:ascii="Book Antiqua" w:hAnsi="Book Antiqua" w:cs="Times New Roman"/>
          <w:sz w:val="24"/>
          <w:szCs w:val="24"/>
          <w:lang w:val="en-US"/>
        </w:rPr>
        <w:t>cytoprotection</w:t>
      </w:r>
      <w:proofErr w:type="spellEnd"/>
      <w:r w:rsidRPr="00E47A42">
        <w:rPr>
          <w:rFonts w:ascii="Book Antiqua" w:hAnsi="Book Antiqua" w:cs="Times New Roman"/>
          <w:sz w:val="24"/>
          <w:szCs w:val="24"/>
          <w:lang w:val="en-US"/>
        </w:rPr>
        <w:t xml:space="preserve"> (a very rapid protection of the stomach endothelium and epithelium against diverse direct injuries</w:t>
      </w:r>
      <w:r w:rsidR="00A93238"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endothelium maintenance → epithelium maintenance</w:t>
      </w:r>
      <w:r w:rsidR="0024515D" w:rsidRPr="00E47A42">
        <w:rPr>
          <w:rFonts w:ascii="Book Antiqua" w:hAnsi="Book Antiqua" w:cs="Times New Roman"/>
          <w:sz w:val="24"/>
          <w:szCs w:val="24"/>
          <w:lang w:val="en-US"/>
        </w:rPr>
        <w:t>)</w:t>
      </w:r>
      <w:r w:rsidRPr="00E47A42">
        <w:rPr>
          <w:rFonts w:ascii="Book Antiqua" w:hAnsi="Book Antiqua" w:cs="Times New Roman"/>
          <w:sz w:val="24"/>
          <w:szCs w:val="24"/>
          <w:lang w:val="en-US"/>
        </w:rPr>
        <w:t>, regularly shown with cytoprotective agents</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{"citationItems":[{"id":"ITEM-1","itemData":{"ISSN":"0016-5085","PMID":"38173","author":[{"dropping-particle":"","family":"Robert","given":"A","non-dropping-particle":"","parse-names":false,"suffix":""}],"container-title":"Gastroenterology","id":"ITEM-1","issue":"4 Pt 1","issued":{"date-parts":[["1979","10"]]},"page":"761-7","title":"Cytoprotection by prostaglandins.","type":"article-journal","volume":"77"},"uris":["http://www.mendeley.com/documents/?uuid=49342c62-22fb-4e9e-8e1d-0c66f6f8fd98"]},{"id":"ITEM-2","itemData":{"DOI":"10.1016/0024-3205(94)00796-9","ISSN":"00243205","abstract":"The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Sciences","id":"ITEM-2","issue":"5","issued":{"date-parts":[["1994"]]},"title":"The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-3","itemData":{"DOI":"10.1007/978-1-4684-5697-4","ISBN":"978-1-4684-5699-8","author":[{"dropping-particle":"","family":"Szabo","given":"Sandor","non-dropping-particle":"","parse-names":false,"suffix":""}],"container-title":"Gastric cytoprotection. A clinician's guide","edition":"1. st","editor":[{"dropping-particle":"","family":"Hollander","given":"Daniel","non-dropping-particle":"","parse-names":false,"suffix":""},{"dropping-particle":"","family":"Tarnawski","given":"Andrzej S.","non-dropping-particle":"","parse-names":false,"suffix":""}],"id":"ITEM-3","issued":{"date-parts":[["1989"]]},"number-of-pages":"49-90","publisher":"Springer US","publisher-place":"Boston, MA","title":"Gastric Cytoprotection","type":"book"},"uris":["http://www.mendeley.com/documents/?uuid=b6143da9-cfd4-4cc4-9ba5-11dff6b9ff7e"]},{"id":"ITEM-4","itemData":{"ISSN":"0016-5085","PMID":"3871087","abstract":"The hypothesis that vascular injury contributes to the development of hemorrhagic erosions after intragastric administration of ethanol has been examined in the rat using vascular tracers. Extravasation of intravenously injected Evans blue into the gastric wall and into gastric contents was used as an indicator of vascular permeability. India ink and monastral blue, which label damaged blood vessels, were used to demonstrate vascular injury morphologically. Intragastric instillation of 75% and 100% ethanol induced increased vascular permeability within 1-3 min and resulted in monastral blue labeling of vessels in 13% and 17%, respectively, of the glandular mucosa within 1 min. After 1 h of 100% ethanol exposure, the areal density of monastral blue-stained blood vessels did not increase compared with that seen at 1 min, but the areal density of grossly visible hemorrhagic lesions increased strikingly and approximated that of vessel staining. The hemorrhagic erosions consistently occurred in regions of glandular mucosa where vessels were stained with monastral blue. Pretreatment with prostaglandin F2 beta or cysteamine reduced ethanol-induced Evans blue extravasation and monastral blue staining of mucosal blood vessels but did not reduce histologic evidence of gastric surface cell damage in the glandular mucosa. As increased vascular permeability and morphologically detectable vascular lesions consistently preceded the development of grossly visible hemorrhagic erosions in the glandular mucosa, we suggest that vascular injury is an early pathogenetic factor in the development of ethanol-induced gastric hemorrhagic erosions. The data also indicate that the degree of vascular damage, unlike the injury to surface epithelial cells, is reduced by pretreatment with prostaglandin F2 beta or the sulfhydryl cysteamine.","author":[{"dropping-particle":"","family":"Szabo","given":"S","non-dropping-particle":"","parse-names":false,"suffix":""},{"dropping-particle":"","family":"Trier","given":"J S","non-dropping-particle":"","parse-names":false,"suffix":""},{"dropping-particle":"","family":"Brown","given":"A","non-dropping-particle":"","parse-names":false,"suffix":""},{"dropping-particle":"","family":"Schnoor","given":"J","non-dropping-particle":"","parse-names":false,"suffix":""}],"container-title":"Gastroenterology","id":"ITEM-4","issue":"1 Pt 2","issued":{"date-parts":[["1985","1"]]},"page":"228-36","title":"Early vascular injury and increased vascular permeability in gastric mucosal injury caused by ethanol in the rat.","type":"article-journal","volume":"88"},"uris":["http://www.mendeley.com/documents/?uuid=a3272911-ef25-495c-85d1-1b71d1d7f12e"]},{"id":"ITEM-5","itemData":{"author":[{"dropping-particle":"","family":"Szabo","given":"Sandor","non-dropping-particle":"","parse-names":false,"suffix":""},{"dropping-particle":"","family":"Trier","given":"JS","non-dropping-particle":"","parse-names":false,"suffix":""}],"container-title":"Mechanism of mucosal protection in the upper gastrointestinal tract","editor":[{"dropping-particle":"","family":"Allen","given":"A","non-dropping-particle":"","parse-names":false,"suffix":""},{"dropping-particle":"","family":"Flemstrom","given":"G","non-dropping-particle":"","parse-names":false,"suffix":""},{"dropping-particle":"","family":"Garner","given":"A","non-dropping-particle":"","parse-names":false,"suffix":""},{"dropping-particle":"","family":"Silen","given":"W","non-dropping-particle":"","parse-names":false,"suffix":""},{"dropping-particle":"","family":"Turnberg","given":"LA","non-dropping-particle":"","parse-names":false,"suffix":""}],"id":"ITEM-5","issued":{"date-parts":[["1984"]]},"page":"387-393","publisher":"Raven","publisher-place":"New York","title":"Pathogenesis of acute gastric mucosal injury: Sulfhydrils as a protector, adrenal cortex as a modulator, and vascular endothelium as a target","type":"chapter"},"uris":["http://www.mendeley.com/documents/?uuid=21df94ec-a5e2-4420-85db-5334a540ef21"]},{"id":"ITEM-6","itemData":{"ISSN":"0016-5085","PMID":"3781180","abstract":"Impairment of the mucosal microcirculation may contribute to ethanol-induced gastric mucosal damage. In this report, we describe diffuse and severe ultrastructural damage to the capillaries of the gastric glandular mucosa of the rat that occurred within 1 min after intragastric instillation of 100% ethanol. There was a gradient of damage in that endothelial cell structure was most severely disrupted in profiles of capillaries located close to the luminal surface but some morphologic evidence of damage was evident in the wall of capillary profiles to a mean depth of 256 micron. Capillary structure was generally normal in the deeper regions of the mucosa. Pretreatment with intragastric cysteamine, 30 mg/100 g, or intragastric prostaglandin F2 beta, 0.5 mg/100 g, significantly reduced the depth in the mucosa to which damage to capillaries extended. Pretreatment with intragastric prostaglandin F2 beta, 0.2 mg/100 g, afforded no significant protection. We conclude that a 1-min exposure to 100% ethanol induces striking damage to the microcirculation of glandular mucosa of the rat stomach with severe damage to capillary profiles near the lumen and sparing of capillary profiles near the muscularis mucosa, and pretreatment with the sulfhydryl agent, cysteamine, or with a large dose of prostaglandin F2 beta reduces the extent of but does not abolish ethanol-induced damage to gastric mucosal capillaries.","author":[{"dropping-particle":"","family":"Trier","given":"JS","non-dropping-particle":"","parse-names":false,"suffix":""},{"dropping-particle":"","family":"Szabo","given":"S","non-dropping-particle":"","parse-names":false,"suffix":""},{"dropping-particle":"","family":"Allan","given":"CH","non-dropping-particle":"","parse-names":false,"suffix":""}],"container-title":"Gastroenterology","id":"ITEM-6","issue":"1","issued":{"date-parts":[["1987","1"]]},"page":"13-22","title":"Ethanol-induced damage to mucosal capillaries of rat stomach. Ultrastructural features and effects of prostaglandin F2 beta and cysteamine.","type":"article-journal","volume":"92"},"uris":["http://www.mendeley.com/documents/?uuid=c3f098f1-f060-4c67-9911-5ab2b4c90217"]}],"mendeley":{"formattedCitation":"&lt;sup&gt;[4–9]&lt;/sup&gt;","plainTextFormattedCitation":"[4–9]","previouslyFormattedCitation":"&lt;sup&gt;[4–9]&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[4–9]</w:t>
      </w:r>
      <w:r w:rsidR="003A6A7D"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This was further perceived as an extended </w:t>
      </w:r>
      <w:proofErr w:type="spellStart"/>
      <w:r w:rsidRPr="00E47A42">
        <w:rPr>
          <w:rFonts w:ascii="Book Antiqua" w:hAnsi="Book Antiqua" w:cs="Times New Roman"/>
          <w:sz w:val="24"/>
          <w:szCs w:val="24"/>
          <w:lang w:val="en-US"/>
        </w:rPr>
        <w:t>cytoprotection</w:t>
      </w:r>
      <w:proofErr w:type="spellEnd"/>
      <w:r w:rsidRPr="00E47A42">
        <w:rPr>
          <w:rFonts w:ascii="Book Antiqua" w:hAnsi="Book Antiqua" w:cs="Times New Roman"/>
          <w:sz w:val="24"/>
          <w:szCs w:val="24"/>
          <w:lang w:val="en-US"/>
        </w:rPr>
        <w:t xml:space="preserve"> background</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(endothelium maintenance → epithelium maintenance = blood vessel recruitment and activation toward</w:t>
      </w:r>
      <w:r w:rsidR="00820646" w:rsidRPr="00E47A42">
        <w:rPr>
          <w:rFonts w:ascii="Book Antiqua" w:hAnsi="Book Antiqua" w:cs="Times New Roman"/>
          <w:sz w:val="24"/>
          <w:szCs w:val="24"/>
          <w:lang w:val="en-US"/>
        </w:rPr>
        <w:t>s the site of</w:t>
      </w:r>
      <w:r w:rsidRPr="00E47A42">
        <w:rPr>
          <w:rFonts w:ascii="Book Antiqua" w:hAnsi="Book Antiqua" w:cs="Times New Roman"/>
          <w:sz w:val="24"/>
          <w:szCs w:val="24"/>
          <w:lang w:val="en-US"/>
        </w:rPr>
        <w:t xml:space="preserve"> injury</w:t>
      </w:r>
      <w:r w:rsidR="009D5024" w:rsidRPr="00E47A42">
        <w:rPr>
          <w:rFonts w:ascii="Book Antiqua" w:hAnsi="Book Antiqua" w:cs="Times New Roman"/>
          <w:sz w:val="24"/>
          <w:szCs w:val="24"/>
          <w:lang w:val="en-US"/>
        </w:rPr>
        <w:t>)</w:t>
      </w:r>
      <w:r w:rsidRPr="00E47A42">
        <w:rPr>
          <w:rFonts w:ascii="Book Antiqua" w:hAnsi="Book Antiqua" w:cs="Times New Roman"/>
          <w:sz w:val="24"/>
          <w:szCs w:val="24"/>
          <w:lang w:val="en-US"/>
        </w:rPr>
        <w:t>, also described</w:t>
      </w:r>
      <w:r w:rsidR="009D5024" w:rsidRPr="00E47A42">
        <w:rPr>
          <w:rFonts w:ascii="Book Antiqua" w:hAnsi="Book Antiqua" w:cs="Times New Roman"/>
          <w:sz w:val="24"/>
          <w:szCs w:val="24"/>
          <w:lang w:val="en-US"/>
        </w:rPr>
        <w:t xml:space="preserve"> as</w:t>
      </w:r>
      <w:r w:rsidRPr="00E47A42">
        <w:rPr>
          <w:rFonts w:ascii="Book Antiqua" w:hAnsi="Book Antiqua" w:cs="Times New Roman"/>
          <w:sz w:val="24"/>
          <w:szCs w:val="24"/>
          <w:lang w:val="en-US"/>
        </w:rPr>
        <w:t xml:space="preserve"> “bypassing” occlusion </w:t>
      </w:r>
      <w:r w:rsidR="009D5024" w:rsidRPr="00E47A42">
        <w:rPr>
          <w:rFonts w:ascii="Book Antiqua" w:hAnsi="Book Antiqua" w:cs="Times New Roman"/>
          <w:sz w:val="24"/>
          <w:szCs w:val="24"/>
          <w:lang w:val="en-US"/>
        </w:rPr>
        <w:t>via</w:t>
      </w:r>
      <w:r w:rsidRPr="00E47A42">
        <w:rPr>
          <w:rFonts w:ascii="Book Antiqua" w:hAnsi="Book Antiqua" w:cs="Times New Roman"/>
          <w:sz w:val="24"/>
          <w:szCs w:val="24"/>
          <w:lang w:val="en-US"/>
        </w:rPr>
        <w:t xml:space="preserve"> alternative ways, </w:t>
      </w:r>
      <w:r w:rsidR="009D5024" w:rsidRPr="00E47A42">
        <w:rPr>
          <w:rFonts w:ascii="Book Antiqua" w:hAnsi="Book Antiqua" w:cs="Times New Roman"/>
          <w:sz w:val="24"/>
          <w:szCs w:val="24"/>
          <w:lang w:val="en-US"/>
        </w:rPr>
        <w:t xml:space="preserve">as </w:t>
      </w:r>
      <w:r w:rsidRPr="00E47A42">
        <w:rPr>
          <w:rFonts w:ascii="Book Antiqua" w:hAnsi="Book Antiqua" w:cs="Times New Roman"/>
          <w:sz w:val="24"/>
          <w:szCs w:val="24"/>
          <w:lang w:val="en-US"/>
        </w:rPr>
        <w:t>demonstrated with BPC 15</w:t>
      </w:r>
      <w:r w:rsidR="00A13458" w:rsidRPr="00E47A42">
        <w:rPr>
          <w:rFonts w:ascii="Book Antiqua" w:hAnsi="Book Antiqua" w:cs="Times New Roman"/>
          <w:sz w:val="24"/>
          <w:szCs w:val="24"/>
          <w:lang w:val="en-US"/>
        </w:rPr>
        <w:t>7</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820646" w:rsidRPr="00E47A42">
        <w:rPr>
          <w:rFonts w:ascii="Book Antiqua" w:hAnsi="Book Antiqua" w:cs="Times New Roman"/>
          <w:sz w:val="24"/>
          <w:szCs w:val="24"/>
          <w:lang w:val="en-US"/>
        </w:rPr>
        <w:t xml:space="preserve">, which </w:t>
      </w:r>
      <w:r w:rsidR="009D5024" w:rsidRPr="00E47A42">
        <w:rPr>
          <w:rFonts w:ascii="Book Antiqua" w:hAnsi="Book Antiqua" w:cs="Times New Roman"/>
          <w:sz w:val="24"/>
          <w:szCs w:val="24"/>
          <w:lang w:val="en-US"/>
        </w:rPr>
        <w:t>can</w:t>
      </w:r>
      <w:r w:rsidRPr="00E47A42">
        <w:rPr>
          <w:rFonts w:ascii="Book Antiqua" w:hAnsi="Book Antiqua" w:cs="Times New Roman"/>
          <w:sz w:val="24"/>
          <w:szCs w:val="24"/>
          <w:lang w:val="en-US"/>
        </w:rPr>
        <w:t xml:space="preserve"> likely cure rats with </w:t>
      </w:r>
      <w:r w:rsidR="00820646"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perforated cecum and thereafter. Furthermore, antagonization o</w:t>
      </w:r>
      <w:r w:rsidR="009A3C66" w:rsidRPr="00E47A42">
        <w:rPr>
          <w:rFonts w:ascii="Book Antiqua" w:hAnsi="Book Antiqua" w:cs="Times New Roman"/>
          <w:sz w:val="24"/>
          <w:szCs w:val="24"/>
          <w:lang w:val="en-US"/>
        </w:rPr>
        <w:t>f t</w:t>
      </w:r>
      <w:r w:rsidR="00820646" w:rsidRPr="00E47A42">
        <w:rPr>
          <w:rFonts w:ascii="Book Antiqua" w:hAnsi="Book Antiqua" w:cs="Times New Roman"/>
          <w:sz w:val="24"/>
          <w:szCs w:val="24"/>
          <w:lang w:val="en-US"/>
        </w:rPr>
        <w:t>wo distinct</w:t>
      </w:r>
      <w:r w:rsidRPr="00E47A42">
        <w:rPr>
          <w:rFonts w:ascii="Book Antiqua" w:hAnsi="Book Antiqua" w:cs="Times New Roman"/>
          <w:sz w:val="24"/>
          <w:szCs w:val="24"/>
          <w:lang w:val="en-US"/>
        </w:rPr>
        <w:t xml:space="preserve"> </w:t>
      </w:r>
      <w:r w:rsidR="00820646" w:rsidRPr="00E47A42">
        <w:rPr>
          <w:rFonts w:ascii="Book Antiqua" w:hAnsi="Book Antiqua" w:cs="Times New Roman"/>
          <w:sz w:val="24"/>
          <w:szCs w:val="24"/>
          <w:lang w:val="en-US"/>
        </w:rPr>
        <w:t xml:space="preserve">detrimental obstructive </w:t>
      </w:r>
      <w:r w:rsidRPr="00E47A42">
        <w:rPr>
          <w:rFonts w:ascii="Book Antiqua" w:hAnsi="Book Antiqua" w:cs="Times New Roman"/>
          <w:sz w:val="24"/>
          <w:szCs w:val="24"/>
          <w:lang w:val="en-US"/>
        </w:rPr>
        <w:t>events (</w:t>
      </w:r>
      <w:r w:rsidRPr="00E47A42">
        <w:rPr>
          <w:rFonts w:ascii="Book Antiqua" w:hAnsi="Book Antiqua" w:cs="Times New Roman"/>
          <w:i/>
          <w:sz w:val="24"/>
          <w:szCs w:val="24"/>
          <w:lang w:val="en-US"/>
        </w:rPr>
        <w:t>i.e</w:t>
      </w:r>
      <w:r w:rsidRPr="00E47A42">
        <w:rPr>
          <w:rFonts w:ascii="Book Antiqua" w:hAnsi="Book Antiqua" w:cs="Times New Roman"/>
          <w:sz w:val="24"/>
          <w:szCs w:val="24"/>
          <w:lang w:val="en-US"/>
        </w:rPr>
        <w:t xml:space="preserve">., left colic artery and vein ligation-colitis and inferior </w:t>
      </w:r>
      <w:proofErr w:type="spellStart"/>
      <w:r w:rsidRPr="00E47A42">
        <w:rPr>
          <w:rFonts w:ascii="Book Antiqua" w:hAnsi="Book Antiqua" w:cs="Times New Roman"/>
          <w:sz w:val="24"/>
          <w:szCs w:val="24"/>
          <w:lang w:val="en-US"/>
        </w:rPr>
        <w:t>caval</w:t>
      </w:r>
      <w:proofErr w:type="spellEnd"/>
      <w:r w:rsidRPr="00E47A42">
        <w:rPr>
          <w:rFonts w:ascii="Book Antiqua" w:hAnsi="Book Antiqua" w:cs="Times New Roman"/>
          <w:sz w:val="24"/>
          <w:szCs w:val="24"/>
          <w:lang w:val="en-US"/>
        </w:rPr>
        <w:t xml:space="preserve"> vein-infrarenal ligation-full syndrome)</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A13458" w:rsidRPr="00E47A42">
        <w:rPr>
          <w:rFonts w:ascii="Book Antiqua" w:hAnsi="Book Antiqua" w:cs="Times New Roman"/>
          <w:sz w:val="24"/>
          <w:szCs w:val="24"/>
          <w:lang w:val="en-US"/>
        </w:rPr>
        <w:t xml:space="preserve"> </w:t>
      </w:r>
      <w:r w:rsidR="00AB6127" w:rsidRPr="00E47A42">
        <w:rPr>
          <w:rFonts w:ascii="Book Antiqua" w:hAnsi="Book Antiqua" w:cs="Times New Roman"/>
          <w:sz w:val="24"/>
          <w:szCs w:val="24"/>
          <w:lang w:val="en-US"/>
        </w:rPr>
        <w:t>ap</w:t>
      </w:r>
      <w:r w:rsidR="00820646" w:rsidRPr="00E47A42">
        <w:rPr>
          <w:rFonts w:ascii="Book Antiqua" w:hAnsi="Book Antiqua" w:cs="Times New Roman"/>
          <w:sz w:val="24"/>
          <w:szCs w:val="24"/>
          <w:lang w:val="en-US"/>
        </w:rPr>
        <w:t xml:space="preserve">pears. Likewise, </w:t>
      </w:r>
      <w:r w:rsidRPr="00E47A42">
        <w:rPr>
          <w:rFonts w:ascii="Book Antiqua" w:hAnsi="Book Antiqua" w:cs="Times New Roman"/>
          <w:sz w:val="24"/>
          <w:szCs w:val="24"/>
          <w:lang w:val="en-US"/>
        </w:rPr>
        <w:t xml:space="preserve">positive outcome matching </w:t>
      </w:r>
      <w:r w:rsidR="00820646" w:rsidRPr="00E47A42">
        <w:rPr>
          <w:rFonts w:ascii="Book Antiqua" w:hAnsi="Book Antiqua" w:cs="Times New Roman"/>
          <w:sz w:val="24"/>
          <w:szCs w:val="24"/>
          <w:lang w:val="en-US"/>
        </w:rPr>
        <w:t xml:space="preserve">also appears, providing a special effect: </w:t>
      </w:r>
      <w:r w:rsidRPr="00E47A42">
        <w:rPr>
          <w:rFonts w:ascii="Book Antiqua" w:hAnsi="Book Antiqua" w:cs="Times New Roman"/>
          <w:sz w:val="24"/>
          <w:szCs w:val="24"/>
          <w:lang w:val="en-US"/>
        </w:rPr>
        <w:t xml:space="preserve">blood vessel recruitment to organize bypassing </w:t>
      </w:r>
      <w:r w:rsidR="000D10D6" w:rsidRPr="00E47A42">
        <w:rPr>
          <w:rFonts w:ascii="Book Antiqua" w:hAnsi="Book Antiqua" w:cs="Times New Roman"/>
          <w:sz w:val="24"/>
          <w:szCs w:val="24"/>
          <w:lang w:val="en-US"/>
        </w:rPr>
        <w:t xml:space="preserve">of </w:t>
      </w:r>
      <w:r w:rsidRPr="00E47A42">
        <w:rPr>
          <w:rFonts w:ascii="Book Antiqua" w:hAnsi="Book Antiqua" w:cs="Times New Roman"/>
          <w:sz w:val="24"/>
          <w:szCs w:val="24"/>
          <w:lang w:val="en-US"/>
        </w:rPr>
        <w:t>vessel occlusions and reestablish</w:t>
      </w:r>
      <w:r w:rsidR="00CC5028" w:rsidRPr="00E47A42">
        <w:rPr>
          <w:rFonts w:ascii="Book Antiqua" w:hAnsi="Book Antiqua" w:cs="Times New Roman"/>
          <w:sz w:val="24"/>
          <w:szCs w:val="24"/>
          <w:lang w:val="en-US"/>
        </w:rPr>
        <w:t xml:space="preserve">ment of </w:t>
      </w:r>
      <w:r w:rsidR="00820646" w:rsidRPr="00E47A42">
        <w:rPr>
          <w:rFonts w:ascii="Book Antiqua" w:hAnsi="Book Antiqua" w:cs="Times New Roman"/>
          <w:sz w:val="24"/>
          <w:szCs w:val="24"/>
          <w:lang w:val="en-US"/>
        </w:rPr>
        <w:t>blood flow by BPC 157 therapy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820646" w:rsidRPr="00E47A42">
        <w:rPr>
          <w:rFonts w:ascii="Book Antiqua" w:hAnsi="Book Antiqua" w:cs="Times New Roman"/>
          <w:sz w:val="24"/>
          <w:szCs w:val="24"/>
          <w:lang w:val="en-US"/>
        </w:rPr>
        <w:t xml:space="preserve">. Thus, </w:t>
      </w:r>
      <w:r w:rsidRPr="00E47A42">
        <w:rPr>
          <w:rFonts w:ascii="Book Antiqua" w:hAnsi="Book Antiqua" w:cs="Times New Roman"/>
          <w:sz w:val="24"/>
          <w:szCs w:val="24"/>
          <w:lang w:val="en-US"/>
        </w:rPr>
        <w:t xml:space="preserve">we can </w:t>
      </w:r>
      <w:r w:rsidR="00820646" w:rsidRPr="00E47A42">
        <w:rPr>
          <w:rFonts w:ascii="Book Antiqua" w:hAnsi="Book Antiqua" w:cs="Times New Roman"/>
          <w:sz w:val="24"/>
          <w:szCs w:val="24"/>
          <w:lang w:val="en-US"/>
        </w:rPr>
        <w:t xml:space="preserve">make the </w:t>
      </w:r>
      <w:r w:rsidRPr="00E47A42">
        <w:rPr>
          <w:rFonts w:ascii="Book Antiqua" w:hAnsi="Book Antiqua" w:cs="Times New Roman"/>
          <w:sz w:val="24"/>
          <w:szCs w:val="24"/>
          <w:lang w:val="en-US"/>
        </w:rPr>
        <w:t>argument that</w:t>
      </w:r>
      <w:r w:rsidR="0082064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F21F35" w:rsidRPr="00E47A42">
        <w:rPr>
          <w:rFonts w:ascii="Book Antiqua" w:hAnsi="Book Antiqua" w:cs="Times New Roman"/>
          <w:sz w:val="24"/>
          <w:szCs w:val="24"/>
          <w:lang w:val="en-US"/>
        </w:rPr>
        <w:t xml:space="preserve">under </w:t>
      </w:r>
      <w:r w:rsidR="00820646" w:rsidRPr="00E47A42">
        <w:rPr>
          <w:rFonts w:ascii="Book Antiqua" w:hAnsi="Book Antiqua" w:cs="Times New Roman"/>
          <w:sz w:val="24"/>
          <w:szCs w:val="24"/>
          <w:lang w:val="en-US"/>
        </w:rPr>
        <w:t xml:space="preserve">analogous or more severe </w:t>
      </w:r>
      <w:r w:rsidRPr="00E47A42">
        <w:rPr>
          <w:rFonts w:ascii="Book Antiqua" w:hAnsi="Book Antiqua" w:cs="Times New Roman"/>
          <w:sz w:val="24"/>
          <w:szCs w:val="24"/>
          <w:lang w:val="en-US"/>
        </w:rPr>
        <w:t>conditions (</w:t>
      </w:r>
      <w:r w:rsidRPr="00E47A42">
        <w:rPr>
          <w:rFonts w:ascii="Book Antiqua" w:hAnsi="Book Antiqua" w:cs="Times New Roman"/>
          <w:i/>
          <w:sz w:val="24"/>
          <w:szCs w:val="24"/>
          <w:lang w:val="en-US"/>
        </w:rPr>
        <w:t>i.e</w:t>
      </w:r>
      <w:r w:rsidR="0026718B" w:rsidRPr="00E47A42">
        <w:rPr>
          <w:rFonts w:ascii="Book Antiqua" w:hAnsi="Book Antiqua" w:cs="Times New Roman"/>
          <w:sz w:val="24"/>
          <w:szCs w:val="24"/>
          <w:lang w:val="en-US"/>
        </w:rPr>
        <w:t>., perforated cecum)</w:t>
      </w:r>
      <w:r w:rsidR="00820646" w:rsidRPr="00E47A42">
        <w:rPr>
          <w:rFonts w:ascii="Book Antiqua" w:hAnsi="Book Antiqua" w:cs="Times New Roman"/>
          <w:sz w:val="24"/>
          <w:szCs w:val="24"/>
          <w:lang w:val="en-US"/>
        </w:rPr>
        <w:t>,</w:t>
      </w:r>
      <w:r w:rsidR="0026718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a</w:t>
      </w:r>
      <w:r w:rsidR="00F21F35" w:rsidRPr="00E47A42">
        <w:rPr>
          <w:rFonts w:ascii="Book Antiqua" w:hAnsi="Book Antiqua" w:cs="Times New Roman"/>
          <w:sz w:val="24"/>
          <w:szCs w:val="24"/>
          <w:lang w:val="en-US"/>
        </w:rPr>
        <w:t xml:space="preserve"> similar</w:t>
      </w:r>
      <w:r w:rsidR="00820646" w:rsidRPr="00E47A42">
        <w:rPr>
          <w:rFonts w:ascii="Book Antiqua" w:hAnsi="Book Antiqua" w:cs="Times New Roman"/>
          <w:sz w:val="24"/>
          <w:szCs w:val="24"/>
          <w:lang w:val="en-US"/>
        </w:rPr>
        <w:t xml:space="preserve"> positive outcome will</w:t>
      </w:r>
      <w:r w:rsidRPr="00E47A42">
        <w:rPr>
          <w:rFonts w:ascii="Book Antiqua" w:hAnsi="Book Antiqua" w:cs="Times New Roman"/>
          <w:sz w:val="24"/>
          <w:szCs w:val="24"/>
          <w:lang w:val="en-US"/>
        </w:rPr>
        <w:t xml:space="preserve"> appear. If this </w:t>
      </w:r>
      <w:r w:rsidR="00F21F35" w:rsidRPr="00E47A42">
        <w:rPr>
          <w:rFonts w:ascii="Book Antiqua" w:hAnsi="Book Antiqua" w:cs="Times New Roman"/>
          <w:sz w:val="24"/>
          <w:szCs w:val="24"/>
          <w:lang w:val="en-US"/>
        </w:rPr>
        <w:t>occurs</w:t>
      </w:r>
      <w:r w:rsidRPr="00E47A42">
        <w:rPr>
          <w:rFonts w:ascii="Book Antiqua" w:hAnsi="Book Antiqua" w:cs="Times New Roman"/>
          <w:sz w:val="24"/>
          <w:szCs w:val="24"/>
          <w:lang w:val="en-US"/>
        </w:rPr>
        <w:t xml:space="preserve">, </w:t>
      </w:r>
      <w:r w:rsidR="00820646" w:rsidRPr="00E47A42">
        <w:rPr>
          <w:rFonts w:ascii="Book Antiqua" w:hAnsi="Book Antiqua" w:cs="Times New Roman"/>
          <w:sz w:val="24"/>
          <w:szCs w:val="24"/>
          <w:lang w:val="en-US"/>
        </w:rPr>
        <w:t xml:space="preserve">we can attenuate </w:t>
      </w:r>
      <w:r w:rsidRPr="00E47A42">
        <w:rPr>
          <w:rFonts w:ascii="Book Antiqua" w:hAnsi="Book Antiqua" w:cs="Times New Roman"/>
          <w:sz w:val="24"/>
          <w:szCs w:val="24"/>
          <w:lang w:val="en-US"/>
        </w:rPr>
        <w:t>cecum perforation syndrome</w:t>
      </w:r>
      <w:r w:rsidR="006D4933"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in BPC 157</w:t>
      </w:r>
      <w:r w:rsidR="00F21F35" w:rsidRPr="00E47A42">
        <w:rPr>
          <w:rFonts w:ascii="Book Antiqua" w:hAnsi="Book Antiqua" w:cs="Times New Roman"/>
          <w:sz w:val="24"/>
          <w:szCs w:val="24"/>
          <w:lang w:val="en-US"/>
        </w:rPr>
        <w:t>-</w:t>
      </w:r>
      <w:r w:rsidRPr="00E47A42">
        <w:rPr>
          <w:rFonts w:ascii="Book Antiqua" w:hAnsi="Book Antiqua" w:cs="Times New Roman"/>
          <w:sz w:val="24"/>
          <w:szCs w:val="24"/>
          <w:lang w:val="en-US"/>
        </w:rPr>
        <w:t>treated rats</w:t>
      </w:r>
      <w:r w:rsidR="00F21F35" w:rsidRPr="00E47A42">
        <w:rPr>
          <w:rFonts w:ascii="Book Antiqua" w:hAnsi="Book Antiqua" w:cs="Times New Roman"/>
          <w:sz w:val="24"/>
          <w:szCs w:val="24"/>
          <w:lang w:val="en-US"/>
        </w:rPr>
        <w:t>,</w:t>
      </w:r>
      <w:r w:rsidR="006D4933" w:rsidRPr="00E47A42">
        <w:rPr>
          <w:rFonts w:ascii="Book Antiqua" w:hAnsi="Book Antiqua" w:cs="Times New Roman"/>
          <w:sz w:val="24"/>
          <w:szCs w:val="24"/>
          <w:lang w:val="en-US"/>
        </w:rPr>
        <w:t xml:space="preserve"> therapy may</w:t>
      </w:r>
      <w:r w:rsidR="00F21F35" w:rsidRPr="00E47A42">
        <w:rPr>
          <w:rFonts w:ascii="Book Antiqua" w:hAnsi="Book Antiqua" w:cs="Times New Roman"/>
          <w:sz w:val="24"/>
          <w:szCs w:val="24"/>
          <w:lang w:val="en-US"/>
        </w:rPr>
        <w:t xml:space="preserve"> lead to</w:t>
      </w:r>
      <w:r w:rsidRPr="00E47A42">
        <w:rPr>
          <w:rFonts w:ascii="Book Antiqua" w:hAnsi="Book Antiqua" w:cs="Times New Roman"/>
          <w:sz w:val="24"/>
          <w:szCs w:val="24"/>
          <w:lang w:val="en-US"/>
        </w:rPr>
        <w:t xml:space="preserve"> attenuatio</w:t>
      </w:r>
      <w:r w:rsidR="00447AB7" w:rsidRPr="00E47A42">
        <w:rPr>
          <w:rFonts w:ascii="Book Antiqua" w:hAnsi="Book Antiqua" w:cs="Times New Roman"/>
          <w:sz w:val="24"/>
          <w:szCs w:val="24"/>
          <w:lang w:val="en-US"/>
        </w:rPr>
        <w:t xml:space="preserve">n and reversal of the consequent </w:t>
      </w:r>
      <w:r w:rsidRPr="00E47A42">
        <w:rPr>
          <w:rFonts w:ascii="Book Antiqua" w:hAnsi="Book Antiqua" w:cs="Times New Roman"/>
          <w:sz w:val="24"/>
          <w:szCs w:val="24"/>
          <w:lang w:val="en-US"/>
        </w:rPr>
        <w:t>tissue damage</w:t>
      </w:r>
      <w:r w:rsidR="006D4933" w:rsidRPr="00E47A42">
        <w:rPr>
          <w:rFonts w:ascii="Book Antiqua" w:hAnsi="Book Antiqua" w:cs="Times New Roman"/>
          <w:sz w:val="24"/>
          <w:szCs w:val="24"/>
          <w:lang w:val="en-US"/>
        </w:rPr>
        <w:t xml:space="preserve">. </w:t>
      </w:r>
      <w:r w:rsidR="00447AB7" w:rsidRPr="00E47A42">
        <w:rPr>
          <w:rFonts w:ascii="Book Antiqua" w:hAnsi="Book Antiqua" w:cs="Times New Roman"/>
          <w:sz w:val="24"/>
          <w:szCs w:val="24"/>
          <w:lang w:val="en-US"/>
        </w:rPr>
        <w:t>Specifically</w:t>
      </w:r>
      <w:r w:rsidR="006D4933" w:rsidRPr="00E47A42">
        <w:rPr>
          <w:rFonts w:ascii="Book Antiqua" w:hAnsi="Book Antiqua" w:cs="Times New Roman"/>
          <w:sz w:val="24"/>
          <w:szCs w:val="24"/>
          <w:lang w:val="en-US"/>
        </w:rPr>
        <w:t xml:space="preserve">, </w:t>
      </w:r>
      <w:r w:rsidR="00447AB7"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r</w:t>
      </w:r>
      <w:r w:rsidR="00447AB7" w:rsidRPr="00E47A42">
        <w:rPr>
          <w:rFonts w:ascii="Book Antiqua" w:hAnsi="Book Antiqua" w:cs="Times New Roman"/>
          <w:sz w:val="24"/>
          <w:szCs w:val="24"/>
          <w:lang w:val="en-US"/>
        </w:rPr>
        <w:t xml:space="preserve">eversal of vessel disappearance by </w:t>
      </w:r>
      <w:r w:rsidRPr="00E47A42">
        <w:rPr>
          <w:rFonts w:ascii="Book Antiqua" w:hAnsi="Book Antiqua" w:cs="Times New Roman"/>
          <w:sz w:val="24"/>
          <w:szCs w:val="24"/>
          <w:lang w:val="en-US"/>
        </w:rPr>
        <w:t>vessel</w:t>
      </w:r>
      <w:r w:rsidR="00447AB7"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“running” toward the defect (vessel</w:t>
      </w:r>
      <w:r w:rsidR="00447AB7"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filled</w:t>
      </w:r>
      <w:r w:rsidR="00F21F35"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reappeared), </w:t>
      </w:r>
      <w:r w:rsidR="00447AB7" w:rsidRPr="00E47A42">
        <w:rPr>
          <w:rFonts w:ascii="Book Antiqua" w:hAnsi="Book Antiqua" w:cs="Times New Roman"/>
          <w:sz w:val="24"/>
          <w:szCs w:val="24"/>
          <w:lang w:val="en-US"/>
        </w:rPr>
        <w:lastRenderedPageBreak/>
        <w:t>transition</w:t>
      </w:r>
      <w:r w:rsidR="0073152B" w:rsidRPr="00E47A42">
        <w:rPr>
          <w:rFonts w:ascii="Book Antiqua" w:hAnsi="Book Antiqua" w:cs="Times New Roman"/>
          <w:sz w:val="24"/>
          <w:szCs w:val="24"/>
          <w:lang w:val="en-US"/>
        </w:rPr>
        <w:t xml:space="preserve"> of </w:t>
      </w:r>
      <w:r w:rsidRPr="00E47A42">
        <w:rPr>
          <w:rFonts w:ascii="Book Antiqua" w:hAnsi="Book Antiqua" w:cs="Times New Roman"/>
          <w:sz w:val="24"/>
          <w:szCs w:val="24"/>
          <w:lang w:val="en-US"/>
        </w:rPr>
        <w:t>defect enlarg</w:t>
      </w:r>
      <w:r w:rsidR="00F21F35" w:rsidRPr="00E47A42">
        <w:rPr>
          <w:rFonts w:ascii="Book Antiqua" w:hAnsi="Book Antiqua" w:cs="Times New Roman"/>
          <w:sz w:val="24"/>
          <w:szCs w:val="24"/>
          <w:lang w:val="en-US"/>
        </w:rPr>
        <w:t>ement</w:t>
      </w:r>
      <w:r w:rsidRPr="00E47A42">
        <w:rPr>
          <w:rFonts w:ascii="Book Antiqua" w:hAnsi="Book Antiqua" w:cs="Times New Roman"/>
          <w:sz w:val="24"/>
          <w:szCs w:val="24"/>
          <w:lang w:val="en-US"/>
        </w:rPr>
        <w:t xml:space="preserve"> to defect narrowing</w:t>
      </w:r>
      <w:r w:rsidR="00427847" w:rsidRPr="00E47A42">
        <w:rPr>
          <w:rFonts w:ascii="Book Antiqua" w:hAnsi="Book Antiqua" w:cs="Times New Roman"/>
          <w:sz w:val="24"/>
          <w:szCs w:val="24"/>
          <w:lang w:val="en-US"/>
        </w:rPr>
        <w:t xml:space="preserve"> (</w:t>
      </w:r>
      <w:r w:rsidR="006D4933" w:rsidRPr="00E47A42">
        <w:rPr>
          <w:rFonts w:ascii="Book Antiqua" w:hAnsi="Book Antiqua" w:cs="Times New Roman"/>
          <w:sz w:val="24"/>
          <w:szCs w:val="24"/>
          <w:lang w:val="en-US"/>
        </w:rPr>
        <w:t xml:space="preserve">note, </w:t>
      </w:r>
      <w:r w:rsidR="00427847" w:rsidRPr="00E47A42">
        <w:rPr>
          <w:rFonts w:ascii="Book Antiqua" w:hAnsi="Book Antiqua" w:cs="Times New Roman"/>
          <w:sz w:val="24"/>
          <w:szCs w:val="24"/>
          <w:lang w:val="en-US"/>
        </w:rPr>
        <w:t>fistula</w:t>
      </w:r>
      <w:r w:rsidR="0024515D" w:rsidRPr="00E47A42">
        <w:rPr>
          <w:rFonts w:ascii="Book Antiqua" w:hAnsi="Book Antiqua" w:cs="Times New Roman"/>
          <w:sz w:val="24"/>
          <w:szCs w:val="24"/>
          <w:lang w:val="en-US"/>
        </w:rPr>
        <w:t xml:space="preserve"> defects</w:t>
      </w:r>
      <w:r w:rsidR="00427847" w:rsidRPr="00E47A42">
        <w:rPr>
          <w:rFonts w:ascii="Book Antiqua" w:hAnsi="Book Antiqua" w:cs="Times New Roman"/>
          <w:sz w:val="24"/>
          <w:szCs w:val="24"/>
          <w:lang w:val="en-US"/>
        </w:rPr>
        <w:t xml:space="preserve"> healing</w:t>
      </w:r>
      <w:r w:rsidR="009606F6" w:rsidRPr="00E47A42">
        <w:rPr>
          <w:rFonts w:ascii="Book Antiqua" w:hAnsi="Book Antiqua" w:cs="Times New Roman"/>
          <w:sz w:val="24"/>
          <w:szCs w:val="24"/>
          <w:lang w:val="en-US"/>
        </w:rPr>
        <w:t>)</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{"citationItems":[{"id":"ITEM-1","itemData":{"DOI":"10.1016/j.lfs.2016.02.029","ISSN":"00243205","author":[{"dropping-particle":"","family":"Baric","given":"Marko","non-dropping-particle":"","parse-names":false,"suffix":""},{"dropping-particle":"","family":"Sever","given":"Anita Zenko","non-dropping-particle":"","parse-names":false,"suffix":""},{"dropping-particle":"","family":"Vuletic","given":"Lovorka Batelja","non-dropping-particle":"","parse-names":false,"suffix":""},{"dropping-particle":"","family":"Rasic","given":"Zarko","non-dropping-particle":"","parse-names":false,"suffix":""},{"dropping-particle":"","family":"Sever","given":"Marko","non-dropping-particle":"","parse-names":false,"suffix":""},{"dropping-particle":"","family":"Drmic","given":"Domagoj","non-dropping-particle":"","parse-names":false,"suffix":""},{"dropping-particle":"","family":"Pavelic-Turudic","given":"Tatjana","non-dropping-particle":"","parse-names":false,"suffix":""},{"dropping-particle":"","family":"Sucic","given":"Mario","non-dropping-particle":"","parse-names":false,"suffix":""},{"dropping-particle":"","family":"Vrcic","given":"Hrvoje","non-dropping-particle":"","parse-names":false,"suffix":""},{"dropping-particle":"","family":"Seiwerth","given":"Sven","non-dropping-particle":"","parse-names":false,"suffix":""},{"dropping-particle":"","family":"Sikiric","given":"Predrag","non-dropping-particle":"","parse-names":false,"suffix":""}],"container-title":"Life Sciences","id":"ITEM-1","issued":{"date-parts":[["2016","3"]]},"page":"63-70","title":"Stable gastric pentadecapeptide BPC 157 heals rectovaginal fistula in rats","type":"article-journal","volume":"148"},"uris":["http://www.mendeley.com/documents/?uuid=9d02cf7d-044d-4060-9f70-c61a10e4d011"]},{"id":"ITEM-2","itemData":{"DOI":"10.1016/j.ejphar.2016.02.038","ISSN":"18790712","PMID":"26875638","abstract":"To establish the effects of BPC 157 on the healing of rat colovesical fistulas, Wistar Albino male rats were randomly assigned to different groups. BPC 157, a stable gastric pentadecapeptide, has been used in clinical applications - specifically, in ulcerative colitis - and was successful in treating both external and internal fistulas. BPC 157 was provided daily, perorally, in drinking water (10 ??g/kg, 12 ml/rat/day) until sacrifice or, alternatively, 10 ??g/kg or 10 ng/kg intraperitoneally, with the first application at 30 min after surgery and the last at 24 h before sacrifice. Controls simultaneously received an equivolume of saline (5.0 ml/kg ip) or water only (12 ml/rat/day). Assessment (i.e., colon and vesical defects, fistula leaking, fecaluria and defecation through the fistula, adhesions and intestinal obstruction as healing processes) took place on days 7, 14 and 28. Control colovesical fistulas regularly exhibited poor healing, with both of the defects persisting; continuous fistula leakage; fecaluria and defecation through the fistula; advanced adhesion formation; and intestinal obstruction. By contrast, BPC 157 given perorally or intraperitoneally and in ??g- and ng-regimens rapidly improved the whole presentation, with both colon and vesical defects simultaneously ameliorated and eventually healed. The maximal instilled volume was continuously raised until it reached the values of healthy rats, there were no signs of fecaluria and no defecation through the fistula, there was counteraction of advanced adhesion formation or there was an intestinal obstruction. In conclusion, BPC 157 effects appear to be suited to inducing full healing of colocutaneous fistulas in rats.","author":[{"dropping-particle":"","family":"Grgic","given":"Tihomir","non-dropping-particle":"","parse-names":false,"suffix":""},{"dropping-particle":"","family":"Grgic","given":"Dora","non-dropping-particle":"","parse-names":false,"suffix":""},{"dropping-particle":"","family":"Drmic","given":"Domagoj","non-dropping-particle":"","parse-names":false,"suffix":""},{"dropping-particle":"","family":"Sever","given":"Anita Zenko","non-dropping-particle":"","parse-names":false,"suffix":""},{"dropping-particle":"","family":"Petrovic","given":"Igor","non-dropping-particle":"","parse-names":false,"suffix":""},{"dropping-particle":"","family":"Sucic","given":"Mario","non-dropping-particle":"","parse-names":false,"suffix":""},{"dropping-particle":"","family":"Kokot","given":"Antonio","non-dropping-particle":"","parse-names":false,"suffix":""},{"dropping-particle":"","family":"Klicek","given":"Robert","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European Journal of Pharmacology","id":"ITEM-2","issued":{"date-parts":[["2016"]]},"page":"1-7","publisher":"Elsevier","title":"Stable gastric pentadecapeptide BPC 157 heals rat colovesical fistula","type":"article-journal","volume":"780"},"uris":["http://www.mendeley.com/documents/?uuid=04542bd7-fb6a-4b51-8eef-04cb7ee8cd51"]},{"id":"ITEM-3","itemData":{"ISSN":"1347-8613","PMID":"18818478","abstract":"We focused on the therapeutic effect of the stable gastric pentadecapeptide BPC 157 and how its action is related to nitric oxide (NO) in persistent colocutaneous fistula in rats (at 5 cm from anus, colon defect of 5 mm, skin defect of 5 mm); this peptide has been shown to be safe in clinical trials for inflammatory bowel disease (PL14736) and safe for intestinal anstomosis therapy. BPC 157 (10 microg/kg, 10 ng/kg) was applied i) in drinking water until the animals were sacrificed at post-operative day 1, 3, 5, 7, 14, 21, and 28; or ii) once daily intraperitoneally (first application 30 min following surgery, last 24 h before sacrifice) alone or with N(G)-nitro-L-arginine methyl ester (L-NAME) (5 mg/kg), L-arginine (200 mg/kg), and their combinations. Sulphasalazine (50 mg/kg) and 6-alpha-methylprednisolone (1 mg/kg) were given once daily intraperitoneally. BPC 157 accelerated parenterally or perorally the healing of colonic and skin defect, leading to the suitable closure of the fistula, macro/microscopically, biomechanically, and functionally (larger water volume sustained without fistula leaking). L-NAME aggravated the healing failure of colocutaneous fistulas, skin, and colon wounds (L-NAME groups). L-Arginine was effective only with blunted NO generation (L-NAME + L-arginine groups) but not without (L-arginine groups). All of the BPC 157 beneficial effects remained unchanged with blunted NO-generation (L-NAME + BPC 157 groups) and with NO substrate (L-arginine + BPC 157 groups) as well as L-NAME and L-arginine co-administration (L-NAME + L-arginine + BPC 157 groups). Sulphasalazine was only moderately effective, and corticosteroid even had an aggravating effect.","author":[{"dropping-particle":"","family":"Klicek","given":"Robert","non-dropping-particle":"","parse-names":false,"suffix":""},{"dropping-particle":"","family":"Sever","given":"Marko","non-dropping-particle":"","parse-names":false,"suffix":""},{"dropping-particle":"","family":"Radic","given":"Bozo","non-dropping-particle":"","parse-names":false,"suffix":""},{"dropping-particle":"","family":"Drmic","given":"Domagoj","non-dropping-particle":"","parse-names":false,"suffix":""},{"dropping-particle":"","family":"Kocman","given":"Ivan","non-dropping-particle":"","parse-names":false,"suffix":""},{"dropping-particle":"","family":"Zoricic","given":"Ivan","non-dropping-particle":"","parse-names":false,"suffix":""},{"dropping-particle":"","family":"Vuksic","given":"Tihomir","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Vrcic","given":"Hrvoje","non-dropping-particle":"","parse-names":false,"suffix":""},{"dropping-particle":"","family":"Brcic","given":"Luka","non-dropping-particle":"","parse-names":false,"suffix":""},{"dropping-particle":"","family":"Blagaic","given":"Alenka Boban","non-dropping-particle":"","parse-names":false,"suffix":""},{"dropping-particle":"","family":"Coric","given":"Marijana","non-dropping-particle":"","parse-names":false,"suffix":""},{"dropping-particle":"","family":"Brcic","given":"Iva","non-dropping-particle":"","parse-names":false,"suffix":""},{"dropping-particle":"","family":"Rokotov","given":"Dinko Stancic","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Journal of pharmacological sciences","id":"ITEM-3","issue":"1","issued":{"date-parts":[["2008","9"]]},"page":"7-17","title":"Pentadecapeptide BPC 157, in clinical trials as a therapy for inflammatory bowel disease (PL14736), is effective in the healing of colocutaneous fistulas in rats: role of the nitric oxide-system.","type":"article-journal","volume":"108"},"uris":["http://www.mendeley.com/documents/?uuid=603bb6e4-0405-4baa-8f6b-0e82c47cd81e"]},{"id":"ITEM-4","itemData":{"ISBN":"1899-1505 (Electronic)\\r0867-5910 (Linking)","ISSN":"18991505","PMID":"26348082","abstract":"While very rarely reported, duodenocutanenous fistula research might alter the duodenal ulcer disease background and therapy. Our research focused on rat duodenocutaneous fistulas, therapy, stable gastric pentadecapeptide BPC 157, an anti-ulcer peptide that healed other fistulas, nitric oxide synthase-substrate L-arginine, and nitric oxide synthase-inhibitor L-nitro-arginine methyl ester (L-NAME). The hypothesis was, duodenal ulcer-healing, like the skin ulcer, using the successful BPC 157, with nitric oxide-system involvement, the \"wound healing-therapy\", to heal the duodenal ulcer, the fistula-model that recently highlighted gastric and skin ulcer healing. Pressure in the lower esophageal and pyloric sphincters was simultaneously assessed. Duodenocutaneous fistula-rats received BPC 157 (10 μg/kg or 10 ng/kg, intraperitoneally or perorally (in drinking water)), L-NAME (5 mg/kg intraperitoneally), L-arginine (100 mg/kg intraperitoneally) alone and/or together, throughout 21 days. Duodenocutaneous fistula-rats maintained persistent defects, continuous fistula leakage, sphincter failure, mortality rate at 40% until the 4(th) day, all fully counteracted in all BPC 157-rats. The BPC 157-rats experienced rapidly improved complete presentation (maximal volume instilled already at 7(th) day). L-NAME further aggravated the duodenocutaneous fistula-course (mortality at 70% until the 4(th) day); L-arginine was beneficial (no mortality; however, maximal volume instilled not before 21(st) day). L-NAME-worsening was counteracted to the control level with the L-arginine effect, and vice versa, while BPC 157 annulled the L-NAME effects (L-NAME + L-arginine; L-NAME + BPC 157; L-NAME + L-arginine + BPC 157 brought below the level of the control). It is likely that duodenocutaneous fistulas, duodenal/skin defect simultaneous healing, reinstated sphincter function, are a new nitric oxide-system related phenomenon. In conclusion, resolving the duodenocutanenous fistulashealing, nitric oxide-system involvement, should illustrate further wound healing therapy to heal duodenal ulcers.","author":[{"dropping-particle":"","family":"Skorjanec","given":"S.","non-dropping-particle":"","parse-names":false,"suffix":""},{"dropping-particle":"","family":"Kokot","given":"A.","non-dropping-particle":"","parse-names":false,"suffix":""},{"dropping-particle":"","family":"Drmic","given":"D.","non-dropping-particle":"","parse-names":false,"suffix":""},{"dropping-particle":"","family":"Radic","given":"B.","non-dropping-particle":"","parse-names":false,"suffix":""},{"dropping-particle":"","family":"Sever","given":"M.","non-dropping-particle":"","parse-names":false,"suffix":""},{"dropping-particle":"","family":"Klicek","given":"R.","non-dropping-particle":"","parse-names":false,"suffix":""},{"dropping-particle":"","family":"Kolenc","given":"D.","non-dropping-particle":"","parse-names":false,"suffix":""},{"dropping-particle":"","family":"Zenko","given":"A.","non-dropping-particle":"","parse-names":false,"suffix":""},{"dropping-particle":"","family":"Lovric Bencic","given":"M.","non-dropping-particle":"","parse-names":false,"suffix":""},{"dropping-particle":"","family":"Belosic Halle","given":"Z.","non-dropping-particle":"","parse-names":false,"suffix":""},{"dropping-particle":"","family":"Situm","given":"A.","non-dropping-particle":"","parse-names":false,"suffix":""},{"dropping-particle":"","family":"Zivanovic Posilovic","given":"G.","non-dropping-particle":"","parse-names":false,"suffix":""},{"dropping-particle":"","family":"Masnec","given":"S.","non-dropping-particle":"","parse-names":false,"suffix":""},{"dropping-particle":"","family":"Suran","given":"J.","non-dropping-particle":"","parse-names":false,"suffix":""},{"dropping-particle":"","family":"Aralica","given":"G.","non-dropping-particle":"","parse-names":false,"suffix":""},{"dropping-particle":"","family":"Seiwerth","given":"S.","non-dropping-particle":"","parse-names":false,"suffix":""},{"dropping-particle":"","family":"Sikiric","given":"Predrag","non-dropping-particle":"","parse-names":false,"suffix":""}],"container-title":"Journal of Physiology and Pharmacology","id":"ITEM-4","issue":"4","issued":{"date-parts":[["2015"]]},"page":"581-590","title":"Duodenocutaneous fistula in rats as a model for ???wound healing-therapy??? in ulcer healing: The effect of pentadecapeptide BPC 157, L-nitro-arginine methyl ester and L-arginine","type":"article-journal","volume":"66"},"uris":["http://www.mendeley.com/documents/?uuid=c8a4ee5b-bf1f-423c-8b99-a3901c408a53"]},{"id":"ITEM-5","itemData":{"DOI":"10.1007/s10620-008-0332-9","ISBN":"1573-2568 (Electronic)\\r0163-2116 (Linking)","ISSN":"01632116","PMID":"18649140","abstract":"OBJECTIVE: This study focused on unhealed gastrocutaneous fistulas to resolve whether standard drugs that promote healing of gastric ulcers may simultaneously have the same effect on cutaneous wounds, and corticosteroid aggravation, and to demonstrate why peptides such as BPC 157 exhibit a greater healing effect. Therefore, with the fistulas therapy, we challenge the wound/growth factors theory of the analogous nonhealing of wounds and persistent gastric ulcers.\\n\\nMETHODS: The healing rate of gastrocutaneous fistula in rat (2-mm-diameter stomach defect, 3-mm-diameter skin defect) validates macro/microscopically and biomechanically a direct skin wound/stomach ulcer relation, and identifies a potential therapy consisting of: (i) stable gastric pentadecapeptide BPC 157 [in drinking water (10 microg/kg) (12 ml/rat/day) or intraperitoneally (10 microg/kg, 10 ng/kg, 10 pg/kg)], (ii) atropine (10 mg/kg), ranitidine (50 mg/kg), and omeprazole (50 mg/kg), (iii) 6-alpha-methylprednisolone (1 mg/kg) [intraperitoneally, once daily, first application at 30 min following surgery; last 24 h before sacrifice (at postoperative days 1, 2, 3, 7, 14, and 21)].\\n\\nRESULTS: Greater anti-ulcer potential and efficiency in wound healing compared with standard agents favor BPC 157, efficient in inflammatory bowel disease (PL-14736, Pliva), given in drinking water or intraperitoneally. Even after 6-alpha-methylprednisolone aggravation, BPC 157 promptly improves both skin and stomach mucosa healing, and closure of fistulas, with no leakage after up to 20 ml water intragastrically. Standard anti-ulcer agents, after a delay, improve firstly skin healing and then stomach mucosal healing, but not fistula leaking and bursting strength (except for atropine).\\n\\nCONCLUSION: We conclude that BPC 157 may resolve analogous nonhealing of wounds and persistent gastric ulcers better than standard agents.","author":[{"dropping-particle":"","family":"Skorjanec","given":"Sandra","non-dropping-particle":"","parse-names":false,"suffix":""},{"dropping-particle":"","family":"Dolovski","given":"Zdravko","non-dropping-particle":"","parse-names":false,"suffix":""},{"dropping-particle":"","family":"Kocman","given":"Ivan","non-dropping-particle":"","parse-names":false,"suffix":""},{"dropping-particle":"","family":"Brcic","given":"Luka","non-dropping-particle":"","parse-names":false,"suffix":""},{"dropping-particle":"","family":"Blagaic Boban","given":"Alenka","non-dropping-particle":"","parse-names":false,"suffix":""},{"dropping-particle":"","family":"Batelja","given":"Lovorka","non-dropping-particle":"","parse-names":false,"suffix":""},{"dropping-particle":"","family":"Coric","given":"Marjana","non-dropping-particle":"","parse-names":false,"suffix":""},{"dropping-particle":"","family":"Sever","given":"Marko","non-dropping-particle":"","parse-names":false,"suffix":""},{"dropping-particle":"","family":"Klicek","given":"Robert","non-dropping-particle":"","parse-names":false,"suffix":""},{"dropping-particle":"","family":"Berkopic","given":"Lidija","non-dropping-particle":"","parse-names":false,"suffix":""},{"dropping-particle":"","family":"Radic","given":"Bozo","non-dropping-particle":"","parse-names":false,"suffix":""},{"dropping-particle":"","family":"Drmic","given":"Domagoj","non-dropping-particle":"","parse-names":false,"suffix":""},{"dropping-particle":"","family":"Kolenc","given":"Danijela","non-dropping-particle":"","parse-names":false,"suffix":""},{"dropping-particle":"","family":"Ilic","given":"Spomenko","non-dropping-particle":"","parse-names":false,"suffix":""},{"dropping-particle":"","family":"Cesarec","given":"Vedran","non-dropping-particle":"","parse-names":false,"suffix":""},{"dropping-particle":"","family":"Tonkic","given":"Ante","non-dropping-particle":"","parse-names":false,"suffix":""},{"dropping-particle":"","family":"Zoricic","given":"Ivan","non-dropping-particle":"","parse-names":false,"suffix":""},{"dropping-particle":"","family":"Mise","given":"Stjepan","non-dropping-particle":"","parse-names":false,"suffix":""},{"dropping-particle":"","family":"Staresinic","given":"Mario","non-dropping-particle":"","parse-names":false,"suffix":""},{"dropping-particle":"","family":"Ivica","given":"Mihovil","non-dropping-particle":"","parse-names":false,"suffix":""},{"dropping-particle":"","family":"Lovric Bencic","given":"Martina","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Sciences","id":"ITEM-5","issue":"1","issued":{"date-parts":[["2009"]]},"page":"46-56","title":"Therapy for unhealed gastrocutaneous fistulas in rats as a model for analogous healing of persistent skin wounds and persistent gastric ulcers: Stable gastric pentadecapeptide BPC 157, atropine, ranitidine, and omeprazole","type":"article-journal","volume":"54"},"uris":["http://www.mendeley.com/documents/?uuid=fdfff0e6-f937-4069-9685-d242c56d6de3"]}],"mendeley":{"formattedCitation":"&lt;sup&gt;[34–38]&lt;/sup&gt;","plainTextFormattedCitation":"[34–38]","previouslyFormattedCitation":"&lt;sup&gt;[34–38]&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[34–38]</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r w:rsidR="00447AB7" w:rsidRPr="00E47A42">
        <w:rPr>
          <w:rFonts w:ascii="Book Antiqua" w:hAnsi="Book Antiqua" w:cs="Times New Roman"/>
          <w:sz w:val="24"/>
          <w:szCs w:val="24"/>
          <w:lang w:val="en-US"/>
        </w:rPr>
        <w:t xml:space="preserve">change from </w:t>
      </w:r>
      <w:r w:rsidRPr="00E47A42">
        <w:rPr>
          <w:rFonts w:ascii="Book Antiqua" w:hAnsi="Book Antiqua" w:cs="Times New Roman"/>
          <w:sz w:val="24"/>
          <w:szCs w:val="24"/>
          <w:lang w:val="en-US"/>
        </w:rPr>
        <w:t>prolonged bleeding to bleeding attenuation</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thromres.2011.07.035","ISSN":"00493848","author":[{"dropping-particle":"","family":"Stupnisek","given":"Mirjana","non-dropping-particle":"","parse-names":false,"suffix":""},{"dropping-particle":"","family":"Franjic","given":"Sandra","non-dropping-particle":"","parse-names":false,"suffix":""},{"dropping-particle":"","family":"Drmic","given":"Domagoj","non-dropping-particle":"","parse-names":false,"suffix":""},{"dropping-particle":"","family":"Hrelec","given":"Masa","non-dropping-particle":"","parse-names":false,"suffix":""},{"dropping-particle":"","family":"Kolenc","given":"Danijela","non-dropping-particle":"","parse-names":false,"suffix":""},{"dropping-particle":"","family":"Radic","given":"Bozo","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Thrombosis Research","id":"ITEM-1","issue":"5","issued":{"date-parts":[["2012","5"]]},"page":"652-659","title":"Pentadecapeptide BPC 157 reduces bleeding time and thrombocytopenia after amputation in rats treated with heparin, warfarin or aspirin","type":"article-journal","volume":"129"},"uris":["http://www.mendeley.com/documents/?uuid=bb95af62-4403-4eee-ac11-2bc57c640536"]},{"id":"ITEM-2","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ONE","editor":[{"dropping-particle":"","family":"Yu","given":"Jun","non-dropping-particle":"","parse-names":false,"suffix":""}],"id":"ITEM-2","issue":"4","issued":{"date-parts":[["2015","4","21"]]},"page":"e0123454","title":"Pentadecapeptide BPC 157 Reduces Bleeding and Thrombocytopenia after Amputation in Rats Treated with Heparin, Warfarin, L-NAME and L-Arginine","type":"article-journal","volume":"10"},"uris":["http://www.mendeley.com/documents/?uuid=5b43fc49-e4f1-4278-be61-83d97a236221"]},{"id":"ITEM-3","itemData":{"DOI":"10.1016/j.vph.2018.02.010","ISSN":"18793649","abstract":"©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Pharmacology","id":"ITEM-3","issued":{"date-parts":[["2018"]]},"page":"54-66","title":"Rat inferior caval vein (ICV) ligature and particular new insights with the stable gastric pentadecapeptide BPC 157","type":"article-journal","volume":"106"},"uris":["http://www.mendeley.com/documents/?uuid=0d4e894c-6fc1-3bed-bb8f-4b56e696ff06"]}],"mendeley":{"formattedCitation":"&lt;sup&gt;[21,42,43]&lt;/sup&gt;","plainTextFormattedCitation":"[21,42,43]","previouslyFormattedCitation":"&lt;sup&gt;[21,42,43]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[21,42,43]</w:t>
      </w:r>
      <w:r w:rsidR="00A75220" w:rsidRPr="00E47A42">
        <w:rPr>
          <w:rFonts w:ascii="Book Antiqua" w:hAnsi="Book Antiqua" w:cs="Times New Roman"/>
          <w:sz w:val="24"/>
          <w:szCs w:val="24"/>
          <w:lang w:val="en-US"/>
        </w:rPr>
        <w:fldChar w:fldCharType="end"/>
      </w:r>
      <w:r w:rsidR="00447AB7" w:rsidRPr="00E47A42">
        <w:rPr>
          <w:rFonts w:ascii="Book Antiqua" w:hAnsi="Book Antiqua" w:cs="Times New Roman"/>
          <w:sz w:val="24"/>
          <w:szCs w:val="24"/>
          <w:lang w:val="en-US"/>
        </w:rPr>
        <w:t>,</w:t>
      </w:r>
      <w:r w:rsidR="00427847" w:rsidRPr="00E47A42">
        <w:rPr>
          <w:rFonts w:ascii="Book Antiqua" w:hAnsi="Book Antiqua" w:cs="Times New Roman"/>
          <w:sz w:val="24"/>
          <w:szCs w:val="24"/>
          <w:lang w:val="en-US"/>
        </w:rPr>
        <w:t xml:space="preserve"> </w:t>
      </w:r>
      <w:r w:rsidR="00D35159" w:rsidRPr="00E47A42">
        <w:rPr>
          <w:rFonts w:ascii="Book Antiqua" w:hAnsi="Book Antiqua" w:cs="Times New Roman"/>
          <w:sz w:val="24"/>
          <w:szCs w:val="24"/>
          <w:lang w:val="en-US"/>
        </w:rPr>
        <w:t>induce</w:t>
      </w:r>
      <w:r w:rsidR="00447AB7" w:rsidRPr="00E47A42">
        <w:rPr>
          <w:rFonts w:ascii="Book Antiqua" w:hAnsi="Book Antiqua" w:cs="Times New Roman"/>
          <w:sz w:val="24"/>
          <w:szCs w:val="24"/>
          <w:lang w:val="en-US"/>
        </w:rPr>
        <w:t xml:space="preserve">d reduction of </w:t>
      </w:r>
      <w:r w:rsidRPr="00E47A42">
        <w:rPr>
          <w:rFonts w:ascii="Book Antiqua" w:hAnsi="Book Antiqua" w:cs="Times New Roman"/>
          <w:sz w:val="24"/>
          <w:szCs w:val="24"/>
          <w:lang w:val="en-US"/>
        </w:rPr>
        <w:t>increased MDA values and normalization of NO values in cecum tissu</w:t>
      </w:r>
      <w:r w:rsidR="00A13458" w:rsidRPr="00E47A42">
        <w:rPr>
          <w:rFonts w:ascii="Book Antiqua" w:hAnsi="Book Antiqua" w:cs="Times New Roman"/>
          <w:sz w:val="24"/>
          <w:szCs w:val="24"/>
          <w:lang w:val="en-US"/>
        </w:rPr>
        <w:t>e</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In subsequent days and weeks, this may </w:t>
      </w:r>
      <w:r w:rsidR="0073152B" w:rsidRPr="00E47A42">
        <w:rPr>
          <w:rFonts w:ascii="Book Antiqua" w:hAnsi="Book Antiqua" w:cs="Times New Roman"/>
          <w:sz w:val="24"/>
          <w:szCs w:val="24"/>
          <w:lang w:val="en-US"/>
        </w:rPr>
        <w:t xml:space="preserve">lead to a </w:t>
      </w:r>
      <w:r w:rsidRPr="00E47A42">
        <w:rPr>
          <w:rFonts w:ascii="Book Antiqua" w:hAnsi="Book Antiqua" w:cs="Times New Roman"/>
          <w:sz w:val="24"/>
          <w:szCs w:val="24"/>
          <w:lang w:val="en-US"/>
        </w:rPr>
        <w:t xml:space="preserve">closed cecum defect and </w:t>
      </w:r>
      <w:r w:rsidR="0073152B" w:rsidRPr="00E47A42">
        <w:rPr>
          <w:rFonts w:ascii="Book Antiqua" w:hAnsi="Book Antiqua" w:cs="Times New Roman"/>
          <w:sz w:val="24"/>
          <w:szCs w:val="24"/>
          <w:lang w:val="en-US"/>
        </w:rPr>
        <w:t xml:space="preserve">attenuation of </w:t>
      </w:r>
      <w:r w:rsidRPr="00E47A42">
        <w:rPr>
          <w:rFonts w:ascii="Book Antiqua" w:hAnsi="Book Antiqua" w:cs="Times New Roman"/>
          <w:sz w:val="24"/>
          <w:szCs w:val="24"/>
          <w:lang w:val="en-US"/>
        </w:rPr>
        <w:t>adhesion formation.</w:t>
      </w:r>
      <w:r w:rsidR="00BC3C35">
        <w:rPr>
          <w:rFonts w:ascii="Book Antiqua" w:hAnsi="Book Antiqua" w:cs="Times New Roman"/>
          <w:sz w:val="24"/>
          <w:szCs w:val="24"/>
          <w:lang w:val="en-US"/>
        </w:rPr>
        <w:t xml:space="preserve"> </w:t>
      </w:r>
      <w:r w:rsidR="00CB6D86">
        <w:rPr>
          <w:rFonts w:ascii="Book Antiqua" w:hAnsi="Book Antiqua" w:cs="Times New Roman"/>
          <w:sz w:val="24"/>
          <w:szCs w:val="24"/>
          <w:lang w:val="en-US"/>
        </w:rPr>
        <w:t xml:space="preserve"> </w:t>
      </w:r>
    </w:p>
    <w:p w14:paraId="0E6A32EF" w14:textId="48091585" w:rsidR="00E05F1C" w:rsidRPr="00E47A42" w:rsidRDefault="00E05F1C" w:rsidP="00F73ADC">
      <w:pPr>
        <w:snapToGrid w:val="0"/>
        <w:spacing w:after="0" w:line="360" w:lineRule="auto"/>
        <w:ind w:firstLineChars="100" w:firstLine="240"/>
        <w:jc w:val="both"/>
        <w:rPr>
          <w:rFonts w:ascii="Book Antiqua" w:eastAsia="Times New Roman" w:hAnsi="Book Antiqua" w:cs="Times New Roman"/>
          <w:sz w:val="24"/>
          <w:szCs w:val="24"/>
          <w:lang w:val="en-US" w:eastAsia="hr-HR"/>
        </w:rPr>
      </w:pPr>
      <w:r w:rsidRPr="00E47A42">
        <w:rPr>
          <w:rFonts w:ascii="Book Antiqua" w:hAnsi="Book Antiqua" w:cs="Times New Roman"/>
          <w:sz w:val="24"/>
          <w:szCs w:val="24"/>
          <w:lang w:val="en-US"/>
        </w:rPr>
        <w:t>For further clarification and to</w:t>
      </w:r>
      <w:r w:rsidR="00CB6D86">
        <w:rPr>
          <w:rFonts w:ascii="Book Antiqua" w:hAnsi="Book Antiqua" w:cs="Times New Roman"/>
          <w:sz w:val="24"/>
          <w:szCs w:val="24"/>
          <w:lang w:val="en-US"/>
        </w:rPr>
        <w:t xml:space="preserve"> </w:t>
      </w:r>
      <w:proofErr w:type="spellStart"/>
      <w:r w:rsidR="00447AB7" w:rsidRPr="00E47A42">
        <w:rPr>
          <w:rFonts w:ascii="Book Antiqua" w:hAnsi="Book Antiqua" w:cs="Times New Roman"/>
          <w:sz w:val="24"/>
          <w:szCs w:val="24"/>
          <w:lang w:val="en-US"/>
        </w:rPr>
        <w:t>demostrate</w:t>
      </w:r>
      <w:proofErr w:type="spellEnd"/>
      <w:r w:rsidR="00447AB7"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a direct beneficial effect, medication (BPC 157, L-NAME, and L-arginine, alone and/or together) was </w:t>
      </w:r>
      <w:r w:rsidR="0073152B" w:rsidRPr="00E47A42">
        <w:rPr>
          <w:rFonts w:ascii="Book Antiqua" w:hAnsi="Book Antiqua" w:cs="Times New Roman"/>
          <w:sz w:val="24"/>
          <w:szCs w:val="24"/>
          <w:lang w:val="en-US"/>
        </w:rPr>
        <w:t xml:space="preserve">applied </w:t>
      </w:r>
      <w:r w:rsidRPr="00E47A42">
        <w:rPr>
          <w:rFonts w:ascii="Book Antiqua" w:hAnsi="Book Antiqua" w:cs="Times New Roman"/>
          <w:sz w:val="24"/>
          <w:szCs w:val="24"/>
          <w:lang w:val="en-US"/>
        </w:rPr>
        <w:t>directly to the injury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once during surgery, as a bath to the perforated cecum</w:t>
      </w:r>
      <w:r w:rsidR="0073152B"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the solution</w:t>
      </w:r>
      <w:r w:rsidR="0073152B"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 xml:space="preserve">then </w:t>
      </w:r>
      <w:r w:rsidRPr="00E47A42">
        <w:rPr>
          <w:rFonts w:ascii="Book Antiqua" w:hAnsi="Book Antiqua" w:cs="Times New Roman"/>
          <w:sz w:val="24"/>
          <w:szCs w:val="24"/>
          <w:lang w:val="en-US"/>
        </w:rPr>
        <w:t>spread through</w:t>
      </w:r>
      <w:r w:rsidR="0073152B" w:rsidRPr="00E47A42">
        <w:rPr>
          <w:rFonts w:ascii="Book Antiqua" w:hAnsi="Book Antiqua" w:cs="Times New Roman"/>
          <w:sz w:val="24"/>
          <w:szCs w:val="24"/>
          <w:lang w:val="en-US"/>
        </w:rPr>
        <w:t>out</w:t>
      </w:r>
      <w:r w:rsidRPr="00E47A42">
        <w:rPr>
          <w:rFonts w:ascii="Book Antiqua" w:hAnsi="Book Antiqua" w:cs="Times New Roman"/>
          <w:sz w:val="24"/>
          <w:szCs w:val="24"/>
          <w:lang w:val="en-US"/>
        </w:rPr>
        <w:t xml:space="preserve"> the abdominal cavity. Consequently, </w:t>
      </w:r>
      <w:r w:rsidR="00C24345"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beneficial effects </w:t>
      </w:r>
      <w:r w:rsidR="00852528" w:rsidRPr="00E47A42">
        <w:rPr>
          <w:rFonts w:ascii="Book Antiqua" w:hAnsi="Book Antiqua" w:cs="Times New Roman"/>
          <w:sz w:val="24"/>
          <w:szCs w:val="24"/>
          <w:lang w:val="en-US"/>
        </w:rPr>
        <w:t>are</w:t>
      </w:r>
      <w:r w:rsidRPr="00E47A42">
        <w:rPr>
          <w:rFonts w:ascii="Book Antiqua" w:hAnsi="Book Antiqua" w:cs="Times New Roman"/>
          <w:sz w:val="24"/>
          <w:szCs w:val="24"/>
          <w:lang w:val="en-US"/>
        </w:rPr>
        <w:t xml:space="preserve"> directly related to the reversal of perforated injury outcome consequences, in both</w:t>
      </w:r>
      <w:r w:rsidR="00C24345" w:rsidRPr="00E47A42">
        <w:rPr>
          <w:rFonts w:ascii="Book Antiqua" w:hAnsi="Book Antiqua" w:cs="Times New Roman"/>
          <w:sz w:val="24"/>
          <w:szCs w:val="24"/>
          <w:lang w:val="en-US"/>
        </w:rPr>
        <w:t xml:space="preserve"> the</w:t>
      </w:r>
      <w:r w:rsidR="00852528" w:rsidRPr="00E47A42">
        <w:rPr>
          <w:rFonts w:ascii="Book Antiqua" w:hAnsi="Book Antiqua" w:cs="Times New Roman"/>
          <w:sz w:val="24"/>
          <w:szCs w:val="24"/>
          <w:lang w:val="en-US"/>
        </w:rPr>
        <w:t xml:space="preserve"> early and later periods.</w:t>
      </w:r>
      <w:r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These effects</w:t>
      </w:r>
      <w:r w:rsidRPr="00E47A42">
        <w:rPr>
          <w:rFonts w:ascii="Book Antiqua" w:hAnsi="Book Antiqua" w:cs="Times New Roman"/>
          <w:sz w:val="24"/>
          <w:szCs w:val="24"/>
          <w:lang w:val="en-US"/>
        </w:rPr>
        <w:t xml:space="preserve"> may be triggered shortly after injury initiation</w:t>
      </w:r>
      <w:r w:rsidR="00852528"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or</w:t>
      </w:r>
      <w:r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reverse</w:t>
      </w:r>
      <w:r w:rsidR="00CB6D86">
        <w:rPr>
          <w:rFonts w:ascii="Book Antiqua" w:hAnsi="Book Antiqua" w:cs="Times New Roman"/>
          <w:sz w:val="24"/>
          <w:szCs w:val="24"/>
          <w:lang w:val="en-US"/>
        </w:rPr>
        <w:t xml:space="preserve"> </w:t>
      </w:r>
      <w:r w:rsidRPr="00E47A42">
        <w:rPr>
          <w:rFonts w:ascii="Book Antiqua" w:hAnsi="Book Antiqua" w:cs="Times New Roman"/>
          <w:sz w:val="24"/>
          <w:szCs w:val="24"/>
          <w:lang w:val="en-US"/>
        </w:rPr>
        <w:t>a</w:t>
      </w:r>
      <w:r w:rsidR="00852528" w:rsidRPr="00E47A42">
        <w:rPr>
          <w:rFonts w:ascii="Book Antiqua" w:hAnsi="Book Antiqua" w:cs="Times New Roman"/>
          <w:sz w:val="24"/>
          <w:szCs w:val="24"/>
          <w:lang w:val="en-US"/>
        </w:rPr>
        <w:t>n already advanced injury course</w:t>
      </w:r>
      <w:r w:rsidRPr="00E47A42">
        <w:rPr>
          <w:rFonts w:ascii="Book Antiqua" w:hAnsi="Book Antiqua" w:cs="Times New Roman"/>
          <w:sz w:val="24"/>
          <w:szCs w:val="24"/>
          <w:lang w:val="en-US"/>
        </w:rPr>
        <w:t>.</w:t>
      </w:r>
    </w:p>
    <w:p w14:paraId="1B30A5E9" w14:textId="77777777" w:rsidR="00E05F1C" w:rsidRPr="00E47A42" w:rsidRDefault="00E05F1C" w:rsidP="00F73ADC">
      <w:pPr>
        <w:snapToGrid w:val="0"/>
        <w:spacing w:after="0" w:line="360" w:lineRule="auto"/>
        <w:jc w:val="both"/>
        <w:rPr>
          <w:rFonts w:ascii="Book Antiqua" w:hAnsi="Book Antiqua" w:cs="Times New Roman"/>
          <w:sz w:val="24"/>
          <w:szCs w:val="24"/>
          <w:lang w:val="en-US"/>
        </w:rPr>
      </w:pPr>
    </w:p>
    <w:p w14:paraId="3459A021" w14:textId="0A32BC50" w:rsidR="006E2F19" w:rsidRPr="00E47A42" w:rsidRDefault="0022476E"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MATERIALS AND METHODS</w:t>
      </w:r>
      <w:r w:rsidR="006E2F19" w:rsidRPr="00E47A42">
        <w:rPr>
          <w:rFonts w:ascii="Book Antiqua" w:hAnsi="Book Antiqua" w:cs="Times New Roman"/>
          <w:b/>
          <w:sz w:val="24"/>
          <w:szCs w:val="24"/>
          <w:lang w:val="en-US"/>
        </w:rPr>
        <w:t xml:space="preserve"> </w:t>
      </w:r>
    </w:p>
    <w:p w14:paraId="6D60EC93" w14:textId="77777777" w:rsidR="006E2F19" w:rsidRPr="00E47A42" w:rsidRDefault="006E2F19" w:rsidP="00F73ADC">
      <w:pPr>
        <w:snapToGrid w:val="0"/>
        <w:spacing w:after="0" w:line="360" w:lineRule="auto"/>
        <w:jc w:val="both"/>
        <w:rPr>
          <w:rFonts w:ascii="Book Antiqua" w:hAnsi="Book Antiqua" w:cs="Times New Roman"/>
          <w:b/>
          <w:i/>
          <w:sz w:val="24"/>
          <w:szCs w:val="24"/>
          <w:lang w:val="en-US"/>
        </w:rPr>
      </w:pPr>
      <w:r w:rsidRPr="00E47A42">
        <w:rPr>
          <w:rFonts w:ascii="Book Antiqua" w:hAnsi="Book Antiqua" w:cs="Times New Roman"/>
          <w:b/>
          <w:i/>
          <w:sz w:val="24"/>
          <w:szCs w:val="24"/>
          <w:lang w:val="en-US"/>
        </w:rPr>
        <w:t>Animals</w:t>
      </w:r>
    </w:p>
    <w:p w14:paraId="3A60B465" w14:textId="43E622D7" w:rsidR="006E2F19" w:rsidRPr="00E47A42" w:rsidRDefault="006E2F19"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Male Albino Wistar rats, 200 g </w:t>
      </w:r>
      <w:proofErr w:type="spellStart"/>
      <w:r w:rsidRPr="00E47A42">
        <w:rPr>
          <w:rFonts w:ascii="Book Antiqua" w:hAnsi="Book Antiqua" w:cs="Times New Roman"/>
          <w:sz w:val="24"/>
          <w:szCs w:val="24"/>
          <w:lang w:val="en-US"/>
        </w:rPr>
        <w:t>b.w.</w:t>
      </w:r>
      <w:proofErr w:type="spellEnd"/>
      <w:r w:rsidRPr="00E47A42">
        <w:rPr>
          <w:rFonts w:ascii="Book Antiqua" w:hAnsi="Book Antiqua" w:cs="Times New Roman"/>
          <w:sz w:val="24"/>
          <w:szCs w:val="24"/>
          <w:lang w:val="en-US"/>
        </w:rPr>
        <w:t>, were randomly assigned (7 rats</w:t>
      </w:r>
      <w:r w:rsidR="009A3C66" w:rsidRPr="00E47A42">
        <w:rPr>
          <w:rFonts w:ascii="Book Antiqua" w:hAnsi="Book Antiqua" w:cs="Times New Roman"/>
          <w:sz w:val="24"/>
          <w:szCs w:val="24"/>
          <w:lang w:val="en-US"/>
        </w:rPr>
        <w:t xml:space="preserve"> per </w:t>
      </w:r>
      <w:r w:rsidRPr="00E47A42">
        <w:rPr>
          <w:rFonts w:ascii="Book Antiqua" w:hAnsi="Book Antiqua" w:cs="Times New Roman"/>
          <w:sz w:val="24"/>
          <w:szCs w:val="24"/>
          <w:lang w:val="en-US"/>
        </w:rPr>
        <w:t xml:space="preserve">group) and used for the experiments, </w:t>
      </w:r>
      <w:r w:rsidR="00D175EE" w:rsidRPr="00E47A42">
        <w:rPr>
          <w:rFonts w:ascii="Book Antiqua" w:hAnsi="Book Antiqua" w:cs="Times New Roman"/>
          <w:sz w:val="24"/>
          <w:szCs w:val="24"/>
          <w:lang w:val="en-US"/>
        </w:rPr>
        <w:t xml:space="preserve">which were </w:t>
      </w:r>
      <w:r w:rsidRPr="00E47A42">
        <w:rPr>
          <w:rFonts w:ascii="Book Antiqua" w:hAnsi="Book Antiqua" w:cs="Times New Roman"/>
          <w:sz w:val="24"/>
          <w:szCs w:val="24"/>
          <w:lang w:val="en-US"/>
        </w:rPr>
        <w:t xml:space="preserve">approved by the local </w:t>
      </w:r>
      <w:r w:rsidR="00DE32EA" w:rsidRPr="00E47A42">
        <w:rPr>
          <w:rFonts w:ascii="Book Antiqua" w:hAnsi="Book Antiqua" w:cs="Times New Roman"/>
          <w:sz w:val="24"/>
          <w:szCs w:val="24"/>
          <w:lang w:val="en-US"/>
        </w:rPr>
        <w:t xml:space="preserve">ethics </w:t>
      </w:r>
      <w:r w:rsidRPr="00E47A42">
        <w:rPr>
          <w:rFonts w:ascii="Book Antiqua" w:hAnsi="Book Antiqua" w:cs="Times New Roman"/>
          <w:sz w:val="24"/>
          <w:szCs w:val="24"/>
          <w:lang w:val="en-US"/>
        </w:rPr>
        <w:t>committee. The perforation procedure was performed in rats that had food and water ad libitum before the procedure and until the end of the experiment.</w:t>
      </w:r>
      <w:r w:rsidR="00CB6D86">
        <w:rPr>
          <w:rFonts w:ascii="Book Antiqua" w:hAnsi="Book Antiqua" w:cs="Times New Roman"/>
          <w:sz w:val="24"/>
          <w:szCs w:val="24"/>
          <w:lang w:val="en-US"/>
        </w:rPr>
        <w:t xml:space="preserve"> </w:t>
      </w:r>
    </w:p>
    <w:p w14:paraId="1E2FD2BA" w14:textId="77777777" w:rsidR="00DE32EA" w:rsidRPr="00E47A42" w:rsidRDefault="00DE32EA" w:rsidP="00F73ADC">
      <w:pPr>
        <w:snapToGrid w:val="0"/>
        <w:spacing w:after="0" w:line="360" w:lineRule="auto"/>
        <w:jc w:val="both"/>
        <w:rPr>
          <w:rFonts w:ascii="Book Antiqua" w:hAnsi="Book Antiqua" w:cs="Times New Roman"/>
          <w:sz w:val="24"/>
          <w:szCs w:val="24"/>
          <w:lang w:val="en-US"/>
        </w:rPr>
      </w:pPr>
    </w:p>
    <w:p w14:paraId="2AF55D3C" w14:textId="77777777" w:rsidR="006E2F19" w:rsidRPr="00E47A42" w:rsidRDefault="006E2F19" w:rsidP="00F73ADC">
      <w:pPr>
        <w:snapToGrid w:val="0"/>
        <w:spacing w:after="0" w:line="360" w:lineRule="auto"/>
        <w:jc w:val="both"/>
        <w:rPr>
          <w:rFonts w:ascii="Book Antiqua" w:hAnsi="Book Antiqua" w:cs="Times New Roman"/>
          <w:b/>
          <w:i/>
          <w:sz w:val="24"/>
          <w:szCs w:val="24"/>
          <w:lang w:val="en-US"/>
        </w:rPr>
      </w:pPr>
      <w:r w:rsidRPr="00E47A42">
        <w:rPr>
          <w:rFonts w:ascii="Book Antiqua" w:hAnsi="Book Antiqua" w:cs="Times New Roman"/>
          <w:b/>
          <w:i/>
          <w:sz w:val="24"/>
          <w:szCs w:val="24"/>
          <w:lang w:val="en-US"/>
        </w:rPr>
        <w:t>Drugs</w:t>
      </w:r>
    </w:p>
    <w:p w14:paraId="220698C5" w14:textId="43561CAD" w:rsidR="006E2F19" w:rsidRPr="00E47A42" w:rsidRDefault="006E2F19" w:rsidP="00F73ADC">
      <w:pPr>
        <w:snapToGrid w:val="0"/>
        <w:spacing w:after="0" w:line="360" w:lineRule="auto"/>
        <w:jc w:val="both"/>
        <w:rPr>
          <w:rFonts w:ascii="Book Antiqua" w:hAnsi="Book Antiqua" w:cs="Times New Roman"/>
          <w:sz w:val="24"/>
          <w:szCs w:val="24"/>
          <w:lang w:val="en-US"/>
        </w:rPr>
      </w:pPr>
      <w:proofErr w:type="spellStart"/>
      <w:r w:rsidRPr="00E47A42">
        <w:rPr>
          <w:rFonts w:ascii="Book Antiqua" w:hAnsi="Book Antiqua" w:cs="Times New Roman"/>
          <w:sz w:val="24"/>
          <w:szCs w:val="24"/>
          <w:lang w:val="en-US"/>
        </w:rPr>
        <w:t>Pentadecapeptide</w:t>
      </w:r>
      <w:proofErr w:type="spellEnd"/>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Gly</w:t>
      </w:r>
      <w:proofErr w:type="spellEnd"/>
      <w:r w:rsidRPr="00E47A42">
        <w:rPr>
          <w:rFonts w:ascii="Book Antiqua" w:hAnsi="Book Antiqua" w:cs="Times New Roman"/>
          <w:sz w:val="24"/>
          <w:szCs w:val="24"/>
          <w:lang w:val="en-US"/>
        </w:rPr>
        <w:t>-Glu-Pro-Pro-Pro-</w:t>
      </w:r>
      <w:proofErr w:type="spellStart"/>
      <w:r w:rsidRPr="00E47A42">
        <w:rPr>
          <w:rFonts w:ascii="Book Antiqua" w:hAnsi="Book Antiqua" w:cs="Times New Roman"/>
          <w:sz w:val="24"/>
          <w:szCs w:val="24"/>
          <w:lang w:val="en-US"/>
        </w:rPr>
        <w:t>Gly</w:t>
      </w:r>
      <w:proofErr w:type="spellEnd"/>
      <w:r w:rsidRPr="00E47A42">
        <w:rPr>
          <w:rFonts w:ascii="Book Antiqua" w:hAnsi="Book Antiqua" w:cs="Times New Roman"/>
          <w:sz w:val="24"/>
          <w:szCs w:val="24"/>
          <w:lang w:val="en-US"/>
        </w:rPr>
        <w:t>-Lys-Pro-Ala-Asp-Asp-Ala-</w:t>
      </w:r>
      <w:proofErr w:type="spellStart"/>
      <w:r w:rsidRPr="00E47A42">
        <w:rPr>
          <w:rFonts w:ascii="Book Antiqua" w:hAnsi="Book Antiqua" w:cs="Times New Roman"/>
          <w:sz w:val="24"/>
          <w:szCs w:val="24"/>
          <w:lang w:val="en-US"/>
        </w:rPr>
        <w:t>Gly</w:t>
      </w:r>
      <w:proofErr w:type="spellEnd"/>
      <w:r w:rsidRPr="00E47A42">
        <w:rPr>
          <w:rFonts w:ascii="Book Antiqua" w:hAnsi="Book Antiqua" w:cs="Times New Roman"/>
          <w:sz w:val="24"/>
          <w:szCs w:val="24"/>
          <w:lang w:val="en-US"/>
        </w:rPr>
        <w:t xml:space="preserve">-Leu-Val, M.W. 1419, named BPC 157, a part of the sequence of human gastric juice protein </w:t>
      </w:r>
      <w:r w:rsidR="00796A99" w:rsidRPr="00E47A42">
        <w:rPr>
          <w:rFonts w:ascii="Book Antiqua" w:hAnsi="Book Antiqua" w:cs="Times New Roman"/>
          <w:sz w:val="24"/>
          <w:szCs w:val="24"/>
          <w:lang w:val="en-US"/>
        </w:rPr>
        <w:t>en</w:t>
      </w:r>
      <w:r w:rsidRPr="00E47A42">
        <w:rPr>
          <w:rFonts w:ascii="Book Antiqua" w:hAnsi="Book Antiqua" w:cs="Times New Roman"/>
          <w:sz w:val="24"/>
          <w:szCs w:val="24"/>
          <w:lang w:val="en-US"/>
        </w:rPr>
        <w:t>coded</w:t>
      </w:r>
      <w:r w:rsidR="00796A99" w:rsidRPr="00E47A42">
        <w:rPr>
          <w:rFonts w:ascii="Book Antiqua" w:hAnsi="Book Antiqua" w:cs="Times New Roman"/>
          <w:sz w:val="24"/>
          <w:szCs w:val="24"/>
          <w:lang w:val="en-US"/>
        </w:rPr>
        <w:t xml:space="preserve"> by</w:t>
      </w:r>
      <w:r w:rsidRPr="00E47A42">
        <w:rPr>
          <w:rFonts w:ascii="Book Antiqua" w:hAnsi="Book Antiqua" w:cs="Times New Roman"/>
          <w:sz w:val="24"/>
          <w:szCs w:val="24"/>
          <w:lang w:val="en-US"/>
        </w:rPr>
        <w:t xml:space="preserve"> BPC, freely soluble in water at pH 7.0 and in saline, was prepared (</w:t>
      </w:r>
      <w:proofErr w:type="spellStart"/>
      <w:r w:rsidRPr="00E47A42">
        <w:rPr>
          <w:rFonts w:ascii="Book Antiqua" w:hAnsi="Book Antiqua" w:cs="Times New Roman"/>
          <w:sz w:val="24"/>
          <w:szCs w:val="24"/>
          <w:lang w:val="en-US"/>
        </w:rPr>
        <w:t>Diagen</w:t>
      </w:r>
      <w:proofErr w:type="spellEnd"/>
      <w:r w:rsidRPr="00E47A42">
        <w:rPr>
          <w:rFonts w:ascii="Book Antiqua" w:hAnsi="Book Antiqua" w:cs="Times New Roman"/>
          <w:sz w:val="24"/>
          <w:szCs w:val="24"/>
          <w:lang w:val="en-US"/>
        </w:rPr>
        <w:t xml:space="preserve">, </w:t>
      </w:r>
      <w:r w:rsidR="00590D76" w:rsidRPr="00E47A42">
        <w:rPr>
          <w:rFonts w:ascii="Book Antiqua" w:hAnsi="Book Antiqua" w:cs="Times New Roman"/>
          <w:sz w:val="24"/>
          <w:szCs w:val="24"/>
          <w:lang w:val="en-US"/>
        </w:rPr>
        <w:t xml:space="preserve">Ljubljana, </w:t>
      </w:r>
      <w:r w:rsidRPr="00E47A42">
        <w:rPr>
          <w:rFonts w:ascii="Book Antiqua" w:hAnsi="Book Antiqua" w:cs="Times New Roman"/>
          <w:sz w:val="24"/>
          <w:szCs w:val="24"/>
          <w:lang w:val="en-US"/>
        </w:rPr>
        <w:t xml:space="preserve">Slovenia) as described </w:t>
      </w:r>
      <w:r w:rsidR="008E6437" w:rsidRPr="00E47A42">
        <w:rPr>
          <w:rFonts w:ascii="Book Antiqua" w:hAnsi="Book Antiqua" w:cs="Times New Roman"/>
          <w:sz w:val="24"/>
          <w:szCs w:val="24"/>
          <w:lang w:val="en-US"/>
        </w:rPr>
        <w:t>previously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BPC.","type":"article-journal","volume":"87"},"uris":["http://www.mendeley.com/documents/?uuid=f738bbb1-8d16-31eb-a5d7-6f273100aa96"]},{"id":"ITEM-11","itemData":{"DOI":"10.3748/wjg.v23.i48.8465","ISSN":"2219-2840","PMID":"29358856","abstract":"AIM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gastroenterology","id":"ITEM-11","issue":"48","issued":{"date-parts":[["2017","12","28"]]},"page":"8465-8488","title":"Stable gastric pentadecapeptide BPC 157 in the treatment of colitis and ischemia and reperfusion in rats: New insights.","type":"article-journal","volume":"23"},"uris":["http://www.mendeley.com/documents/?uuid=2c34d292-0140-3a84-912b-63eda51db635"]},{"id":"ITEM-12","itemData":{"DOI":"10.1016/j.vph.2018.02.010","ISSN":"18793649","abstract":"©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Pharmacology","id":"ITEM-12","issued":{"date-parts":[["2018"]]},"page":"54-66","title":"Rat inferior caval vein (ICV) ligature and particular new insights with the stable gastric pentadecapeptide BPC 157","type":"article-journal","volume":"106"},"uris":["http://www.mendeley.com/documents/?uuid=0d4e894c-6fc1-3bed-bb8f-4b56e696ff06"]}],"mendeley":{"formattedCitation":"&lt;sup&gt;[10,11,20,21,12–19]&lt;/sup&gt;","plainTextFormattedCitation":"[10,11,20,21,12–19]","previouslyFormattedCitation":"&lt;sup&gt;[10,11,20,21,12–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w:t>
      </w:r>
      <w:r w:rsidR="00DA3ACD">
        <w:rPr>
          <w:rFonts w:ascii="Book Antiqua" w:hAnsi="Book Antiqua" w:cs="Times New Roman" w:hint="eastAsia"/>
          <w:noProof/>
          <w:sz w:val="24"/>
          <w:szCs w:val="24"/>
          <w:vertAlign w:val="superscript"/>
          <w:lang w:val="en-US" w:eastAsia="zh-CN"/>
        </w:rPr>
        <w:t>-</w:t>
      </w:r>
      <w:r w:rsidR="00DA3ACD">
        <w:rPr>
          <w:rFonts w:ascii="Book Antiqua" w:hAnsi="Book Antiqua" w:cs="Times New Roman"/>
          <w:noProof/>
          <w:sz w:val="24"/>
          <w:szCs w:val="24"/>
          <w:vertAlign w:val="superscript"/>
          <w:lang w:val="en-US"/>
        </w:rPr>
        <w:t>21</w:t>
      </w:r>
      <w:r w:rsidR="00AB3269" w:rsidRPr="00E47A42">
        <w:rPr>
          <w:rFonts w:ascii="Book Antiqua" w:hAnsi="Book Antiqua" w:cs="Times New Roman"/>
          <w:noProof/>
          <w:sz w:val="24"/>
          <w:szCs w:val="24"/>
          <w:vertAlign w:val="superscript"/>
          <w:lang w:val="en-US"/>
        </w:rPr>
        <w:t>]</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The peptide with 99% high-pressure liquid chromatography (HPLC) purity, 1-des-Gly peptide as a biologically inactive impurity, was used</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BPC.","type":"article-journal","volume":"87"},"uris":["http://www.mendeley.com/documents/?uuid=f738bbb1-8d16-31eb-a5d7-6f273100aa96"]},{"id":"ITEM-11","itemData":{"DOI":"10.3748/wjg.v23.i48.8465","ISSN":"2219-2840","PMID":"29358856","abstract":"AIM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gastroenterology","id":"ITEM-11","issue":"48","issued":{"date-parts":[["2017","12","28"]]},"page":"8465-8488","title":"Stable gastric pentadecapeptide BPC 157 in the treatment of colitis and ischemia and reperfusion in rats: New insights.","type":"article-journal","volume":"23"},"uris":["http://www.mendeley.com/documents/?uuid=2c34d292-0140-3a84-912b-63eda51db635"]},{"id":"ITEM-12","itemData":{"DOI":"10.1016/j.vph.2018.02.010","ISSN":"18793649","abstract":"©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Pharmacology","id":"ITEM-12","issued":{"date-parts":[["2018"]]},"page":"54-66","title":"Rat inferior caval vein (ICV) ligature and particular new insights with the stable gastric pentadecapeptide BPC 157","type":"article-journal","volume":"106"},"uris":["http://www.mendeley.com/documents/?uuid=0d4e894c-6fc1-3bed-bb8f-4b56e696ff06"]}],"mendeley":{"formattedCitation":"&lt;sup&gt;[10,11,20,21,12–19]&lt;/sup&gt;","plainTextFormattedCitation":"[10,11,20,21,12–19]","previouslyFormattedCitation":"&lt;sup&gt;[10,11,20,21,12–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w:t>
      </w:r>
      <w:r w:rsidR="00DA3ACD">
        <w:rPr>
          <w:rFonts w:ascii="Book Antiqua" w:hAnsi="Book Antiqua" w:cs="Times New Roman" w:hint="eastAsia"/>
          <w:noProof/>
          <w:sz w:val="24"/>
          <w:szCs w:val="24"/>
          <w:vertAlign w:val="superscript"/>
          <w:lang w:val="en-US" w:eastAsia="zh-CN"/>
        </w:rPr>
        <w:t>-</w:t>
      </w:r>
      <w:r w:rsidR="00DA3ACD">
        <w:rPr>
          <w:rFonts w:ascii="Book Antiqua" w:hAnsi="Book Antiqua" w:cs="Times New Roman"/>
          <w:noProof/>
          <w:sz w:val="24"/>
          <w:szCs w:val="24"/>
          <w:vertAlign w:val="superscript"/>
          <w:lang w:val="en-US"/>
        </w:rPr>
        <w:t>21</w:t>
      </w:r>
      <w:r w:rsidR="00AB3269" w:rsidRPr="00E47A42">
        <w:rPr>
          <w:rFonts w:ascii="Book Antiqua" w:hAnsi="Book Antiqua" w:cs="Times New Roman"/>
          <w:noProof/>
          <w:sz w:val="24"/>
          <w:szCs w:val="24"/>
          <w:vertAlign w:val="superscript"/>
          <w:lang w:val="en-US"/>
        </w:rPr>
        <w:t>]</w:t>
      </w:r>
      <w:r w:rsidR="00A13458" w:rsidRPr="00E47A42">
        <w:rPr>
          <w:rFonts w:ascii="Book Antiqua" w:hAnsi="Book Antiqua" w:cs="Times New Roman"/>
          <w:sz w:val="24"/>
          <w:szCs w:val="24"/>
          <w:lang w:val="en-US"/>
        </w:rPr>
        <w:fldChar w:fldCharType="end"/>
      </w:r>
      <w:r w:rsidR="00F955AB"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L-NAME and L-arginine were commercially purchased (Sigma, U</w:t>
      </w:r>
      <w:r w:rsidR="005450F5">
        <w:rPr>
          <w:rFonts w:ascii="Book Antiqua" w:hAnsi="Book Antiqua" w:cs="Times New Roman" w:hint="eastAsia"/>
          <w:sz w:val="24"/>
          <w:szCs w:val="24"/>
          <w:lang w:val="en-US" w:eastAsia="zh-CN"/>
        </w:rPr>
        <w:t>nited States</w:t>
      </w:r>
      <w:r w:rsidRPr="00E47A42">
        <w:rPr>
          <w:rFonts w:ascii="Book Antiqua" w:hAnsi="Book Antiqua" w:cs="Times New Roman"/>
          <w:sz w:val="24"/>
          <w:szCs w:val="24"/>
          <w:lang w:val="en-US"/>
        </w:rPr>
        <w:t>).</w:t>
      </w:r>
    </w:p>
    <w:p w14:paraId="477CFCA1" w14:textId="77777777" w:rsidR="00FA1A3B" w:rsidRPr="00E47A42" w:rsidRDefault="00FA1A3B" w:rsidP="00F73ADC">
      <w:pPr>
        <w:snapToGrid w:val="0"/>
        <w:spacing w:after="0" w:line="360" w:lineRule="auto"/>
        <w:jc w:val="both"/>
        <w:rPr>
          <w:rFonts w:ascii="Book Antiqua" w:hAnsi="Book Antiqua" w:cs="Times New Roman"/>
          <w:sz w:val="24"/>
          <w:szCs w:val="24"/>
          <w:lang w:val="en-US"/>
        </w:rPr>
      </w:pPr>
    </w:p>
    <w:p w14:paraId="721F8C77" w14:textId="77777777" w:rsidR="006E2F19" w:rsidRPr="005C4663" w:rsidRDefault="006E2F19" w:rsidP="00F73ADC">
      <w:pPr>
        <w:snapToGrid w:val="0"/>
        <w:spacing w:after="0" w:line="360" w:lineRule="auto"/>
        <w:jc w:val="both"/>
        <w:rPr>
          <w:rFonts w:ascii="Book Antiqua" w:hAnsi="Book Antiqua" w:cs="Times New Roman"/>
          <w:b/>
          <w:i/>
          <w:sz w:val="24"/>
          <w:szCs w:val="24"/>
          <w:lang w:val="en-US"/>
        </w:rPr>
      </w:pPr>
      <w:r w:rsidRPr="005C4663">
        <w:rPr>
          <w:rFonts w:ascii="Book Antiqua" w:hAnsi="Book Antiqua" w:cs="Times New Roman"/>
          <w:b/>
          <w:i/>
          <w:sz w:val="24"/>
          <w:szCs w:val="24"/>
          <w:lang w:val="en-US"/>
        </w:rPr>
        <w:t>Perforated defect creation, medication, assessment</w:t>
      </w:r>
    </w:p>
    <w:p w14:paraId="3F5C9556" w14:textId="3E5A062D" w:rsidR="006E2F19" w:rsidRPr="00E47A42" w:rsidRDefault="006E2F19" w:rsidP="005C46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lastRenderedPageBreak/>
        <w:t>In deeply anaesthetized rats (thiopental (</w:t>
      </w:r>
      <w:proofErr w:type="spellStart"/>
      <w:r w:rsidRPr="00E47A42">
        <w:rPr>
          <w:rFonts w:ascii="Book Antiqua" w:hAnsi="Book Antiqua" w:cs="Times New Roman"/>
          <w:sz w:val="24"/>
          <w:szCs w:val="24"/>
          <w:lang w:val="en-US"/>
        </w:rPr>
        <w:t>Rotexmedica</w:t>
      </w:r>
      <w:proofErr w:type="spellEnd"/>
      <w:r w:rsidRPr="00E47A42">
        <w:rPr>
          <w:rFonts w:ascii="Book Antiqua" w:hAnsi="Book Antiqua" w:cs="Times New Roman"/>
          <w:sz w:val="24"/>
          <w:szCs w:val="24"/>
          <w:lang w:val="en-US"/>
        </w:rPr>
        <w:t xml:space="preserve">, Germany) 40 mg/kg </w:t>
      </w:r>
      <w:r w:rsidRPr="00E47A42">
        <w:rPr>
          <w:rFonts w:ascii="Book Antiqua" w:hAnsi="Book Antiqua" w:cs="Times New Roman"/>
          <w:noProof/>
          <w:sz w:val="24"/>
          <w:szCs w:val="24"/>
          <w:lang w:val="en-US"/>
        </w:rPr>
        <w:t>ip</w:t>
      </w:r>
      <w:r w:rsidRPr="00E47A42">
        <w:rPr>
          <w:rFonts w:ascii="Book Antiqua" w:hAnsi="Book Antiqua" w:cs="Times New Roman"/>
          <w:sz w:val="24"/>
          <w:szCs w:val="24"/>
          <w:lang w:val="en-US"/>
        </w:rPr>
        <w:t>,</w:t>
      </w:r>
      <w:r w:rsidR="00CB6D86">
        <w:rPr>
          <w:rFonts w:ascii="Book Antiqua" w:hAnsi="Book Antiqua" w:cs="Times New Roman"/>
          <w:sz w:val="24"/>
          <w:szCs w:val="24"/>
          <w:lang w:val="en-US"/>
        </w:rPr>
        <w:t xml:space="preserve"> </w:t>
      </w:r>
      <w:r w:rsidRPr="00E47A42">
        <w:rPr>
          <w:rFonts w:ascii="Book Antiqua" w:hAnsi="Book Antiqua" w:cs="Times New Roman"/>
          <w:noProof/>
          <w:sz w:val="24"/>
          <w:szCs w:val="24"/>
          <w:lang w:val="en-US"/>
        </w:rPr>
        <w:t>apaurin</w:t>
      </w:r>
      <w:r w:rsidRPr="00E47A42">
        <w:rPr>
          <w:rFonts w:ascii="Book Antiqua" w:hAnsi="Book Antiqua" w:cs="Times New Roman"/>
          <w:sz w:val="24"/>
          <w:szCs w:val="24"/>
          <w:lang w:val="en-US"/>
        </w:rPr>
        <w:t xml:space="preserve"> (Krka, Slovenia) 10 mg/kg </w:t>
      </w:r>
      <w:r w:rsidRPr="00E47A42">
        <w:rPr>
          <w:rFonts w:ascii="Book Antiqua" w:hAnsi="Book Antiqua" w:cs="Times New Roman"/>
          <w:noProof/>
          <w:sz w:val="24"/>
          <w:szCs w:val="24"/>
          <w:lang w:val="en-US"/>
        </w:rPr>
        <w:t>ip</w:t>
      </w:r>
      <w:r w:rsidRPr="00E47A42">
        <w:rPr>
          <w:rFonts w:ascii="Book Antiqua" w:hAnsi="Book Antiqua" w:cs="Times New Roman"/>
          <w:sz w:val="24"/>
          <w:szCs w:val="24"/>
          <w:lang w:val="en-US"/>
        </w:rPr>
        <w:t>), the cecum was exposed, and a perforation (5</w:t>
      </w:r>
      <w:r w:rsidR="00D46AF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mm diameter) was made at the ventral </w:t>
      </w:r>
      <w:r w:rsidR="00852528" w:rsidRPr="00E47A42">
        <w:rPr>
          <w:rFonts w:ascii="Book Antiqua" w:hAnsi="Book Antiqua" w:cs="Times New Roman"/>
          <w:sz w:val="24"/>
          <w:szCs w:val="24"/>
          <w:lang w:val="en-US"/>
        </w:rPr>
        <w:t xml:space="preserve">aspect </w:t>
      </w:r>
      <w:r w:rsidRPr="00E47A42">
        <w:rPr>
          <w:rFonts w:ascii="Book Antiqua" w:hAnsi="Book Antiqua" w:cs="Times New Roman"/>
          <w:sz w:val="24"/>
          <w:szCs w:val="24"/>
          <w:lang w:val="en-US"/>
        </w:rPr>
        <w:t xml:space="preserve">of </w:t>
      </w:r>
      <w:r w:rsidR="00D46AFD"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basal region of </w:t>
      </w:r>
      <w:r w:rsidR="00D46AFD"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cecum close to the </w:t>
      </w:r>
      <w:r w:rsidR="00D46AFD" w:rsidRPr="00E47A42">
        <w:rPr>
          <w:rFonts w:ascii="Book Antiqua" w:hAnsi="Book Antiqua" w:cs="Times New Roman"/>
          <w:sz w:val="24"/>
          <w:szCs w:val="24"/>
          <w:lang w:val="en-US"/>
        </w:rPr>
        <w:t>lar</w:t>
      </w:r>
      <w:r w:rsidRPr="00E47A42">
        <w:rPr>
          <w:rFonts w:ascii="Book Antiqua" w:hAnsi="Book Antiqua" w:cs="Times New Roman"/>
          <w:sz w:val="24"/>
          <w:szCs w:val="24"/>
          <w:lang w:val="en-US"/>
        </w:rPr>
        <w:t xml:space="preserve">gest curvature; the rats were monitored for the next 15 minutes. </w:t>
      </w:r>
    </w:p>
    <w:p w14:paraId="5DD9D17E" w14:textId="6C0A1702" w:rsidR="006E2F19" w:rsidRPr="00E47A42" w:rsidRDefault="00BC3C35" w:rsidP="00F73ADC">
      <w:pPr>
        <w:snapToGrid w:val="0"/>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 xml:space="preserve">  </w:t>
      </w:r>
      <w:r w:rsidR="00D46AFD" w:rsidRPr="00E47A42">
        <w:rPr>
          <w:rFonts w:ascii="Book Antiqua" w:hAnsi="Book Antiqua" w:cs="Times New Roman"/>
          <w:sz w:val="24"/>
          <w:szCs w:val="24"/>
          <w:lang w:val="en-US"/>
        </w:rPr>
        <w:t xml:space="preserve">After </w:t>
      </w:r>
      <w:r w:rsidR="0094634B" w:rsidRPr="00E47A42">
        <w:rPr>
          <w:rFonts w:ascii="Book Antiqua" w:hAnsi="Book Antiqua" w:cs="Times New Roman"/>
          <w:sz w:val="24"/>
          <w:szCs w:val="24"/>
          <w:lang w:val="en-US"/>
        </w:rPr>
        <w:t xml:space="preserve">1 min, </w:t>
      </w:r>
      <w:r w:rsidR="00D46AFD" w:rsidRPr="00E47A42">
        <w:rPr>
          <w:rFonts w:ascii="Book Antiqua" w:hAnsi="Book Antiqua" w:cs="Times New Roman"/>
          <w:sz w:val="24"/>
          <w:szCs w:val="24"/>
          <w:lang w:val="en-US"/>
        </w:rPr>
        <w:t xml:space="preserve">a </w:t>
      </w:r>
      <w:r w:rsidR="0094634B" w:rsidRPr="00E47A42">
        <w:rPr>
          <w:rFonts w:ascii="Book Antiqua" w:hAnsi="Book Antiqua" w:cs="Times New Roman"/>
          <w:sz w:val="24"/>
          <w:szCs w:val="24"/>
          <w:lang w:val="en-US"/>
        </w:rPr>
        <w:t xml:space="preserve">bath (1 ml/rat) </w:t>
      </w:r>
      <w:r w:rsidR="00B92E42" w:rsidRPr="00E47A42">
        <w:rPr>
          <w:rFonts w:ascii="Book Antiqua" w:hAnsi="Book Antiqua" w:cs="Times New Roman"/>
          <w:sz w:val="24"/>
          <w:szCs w:val="24"/>
          <w:lang w:val="en-US"/>
        </w:rPr>
        <w:t xml:space="preserve">containing </w:t>
      </w:r>
      <w:r w:rsidR="0094634B" w:rsidRPr="00E47A42">
        <w:rPr>
          <w:rFonts w:ascii="Book Antiqua" w:hAnsi="Book Antiqua" w:cs="Times New Roman"/>
          <w:sz w:val="24"/>
          <w:szCs w:val="24"/>
          <w:lang w:val="en-US"/>
        </w:rPr>
        <w:t>BPC 157 (0.01 mg</w:t>
      </w:r>
      <w:r w:rsidR="00E70E7C" w:rsidRPr="00E47A42">
        <w:rPr>
          <w:rFonts w:ascii="Book Antiqua" w:hAnsi="Book Antiqua" w:cs="Times New Roman"/>
          <w:sz w:val="24"/>
          <w:szCs w:val="24"/>
          <w:lang w:val="en-US"/>
        </w:rPr>
        <w:t>/kg</w:t>
      </w:r>
      <w:r w:rsidR="0094634B" w:rsidRPr="00E47A42">
        <w:rPr>
          <w:rFonts w:ascii="Book Antiqua" w:hAnsi="Book Antiqua" w:cs="Times New Roman"/>
          <w:sz w:val="24"/>
          <w:szCs w:val="24"/>
          <w:lang w:val="en-US"/>
        </w:rPr>
        <w:t>), NOS blocker L-NAME (5 mg</w:t>
      </w:r>
      <w:r w:rsidR="00E70E7C" w:rsidRPr="00E47A42">
        <w:rPr>
          <w:rFonts w:ascii="Book Antiqua" w:hAnsi="Book Antiqua" w:cs="Times New Roman"/>
          <w:sz w:val="24"/>
          <w:szCs w:val="24"/>
          <w:lang w:val="en-US"/>
        </w:rPr>
        <w:t>/kg</w:t>
      </w:r>
      <w:r w:rsidR="0094634B" w:rsidRPr="00E47A42">
        <w:rPr>
          <w:rFonts w:ascii="Book Antiqua" w:hAnsi="Book Antiqua" w:cs="Times New Roman"/>
          <w:sz w:val="24"/>
          <w:szCs w:val="24"/>
          <w:lang w:val="en-US"/>
        </w:rPr>
        <w:t>),</w:t>
      </w:r>
      <w:r w:rsidR="00E70E7C" w:rsidRPr="00E47A42">
        <w:rPr>
          <w:rFonts w:ascii="Book Antiqua" w:hAnsi="Book Antiqua" w:cs="Times New Roman"/>
          <w:sz w:val="24"/>
          <w:szCs w:val="24"/>
          <w:lang w:val="en-US"/>
        </w:rPr>
        <w:t xml:space="preserve"> or</w:t>
      </w:r>
      <w:r w:rsidR="0094634B" w:rsidRPr="00E47A42">
        <w:rPr>
          <w:rFonts w:ascii="Book Antiqua" w:hAnsi="Book Antiqua" w:cs="Times New Roman"/>
          <w:sz w:val="24"/>
          <w:szCs w:val="24"/>
          <w:lang w:val="en-US"/>
        </w:rPr>
        <w:t xml:space="preserve"> NOS substrate L-arginine (100 mg</w:t>
      </w:r>
      <w:r w:rsidR="00E70E7C" w:rsidRPr="00E47A42">
        <w:rPr>
          <w:rFonts w:ascii="Book Antiqua" w:hAnsi="Book Antiqua" w:cs="Times New Roman"/>
          <w:sz w:val="24"/>
          <w:szCs w:val="24"/>
          <w:lang w:val="en-US"/>
        </w:rPr>
        <w:t>/kg</w:t>
      </w:r>
      <w:r w:rsidR="0094634B" w:rsidRPr="00E47A42">
        <w:rPr>
          <w:rFonts w:ascii="Book Antiqua" w:hAnsi="Book Antiqua" w:cs="Times New Roman"/>
          <w:sz w:val="24"/>
          <w:szCs w:val="24"/>
          <w:lang w:val="en-US"/>
        </w:rPr>
        <w:t>) was directly applied to the perforated cecum</w:t>
      </w:r>
      <w:r w:rsidR="00852528" w:rsidRPr="00E47A42">
        <w:rPr>
          <w:rFonts w:ascii="Book Antiqua" w:hAnsi="Book Antiqua" w:cs="Times New Roman"/>
          <w:sz w:val="24"/>
          <w:szCs w:val="24"/>
          <w:lang w:val="en-US"/>
        </w:rPr>
        <w:t>, alone or combined</w:t>
      </w:r>
      <w:r w:rsidR="0094634B" w:rsidRPr="00E47A42">
        <w:rPr>
          <w:rFonts w:ascii="Book Antiqua" w:hAnsi="Book Antiqua" w:cs="Times New Roman"/>
          <w:sz w:val="24"/>
          <w:szCs w:val="24"/>
          <w:lang w:val="en-US"/>
        </w:rPr>
        <w:t xml:space="preserve">, </w:t>
      </w:r>
      <w:r w:rsidR="00852528" w:rsidRPr="00E47A42">
        <w:rPr>
          <w:rFonts w:ascii="Book Antiqua" w:hAnsi="Book Antiqua" w:cs="Times New Roman"/>
          <w:sz w:val="24"/>
          <w:szCs w:val="24"/>
          <w:lang w:val="en-US"/>
        </w:rPr>
        <w:t>and spread</w:t>
      </w:r>
      <w:r w:rsidR="0094634B" w:rsidRPr="00E47A42">
        <w:rPr>
          <w:rFonts w:ascii="Book Antiqua" w:hAnsi="Book Antiqua" w:cs="Times New Roman"/>
          <w:sz w:val="24"/>
          <w:szCs w:val="24"/>
          <w:lang w:val="en-US"/>
        </w:rPr>
        <w:t xml:space="preserve"> through </w:t>
      </w:r>
      <w:r w:rsidR="00E70E7C" w:rsidRPr="00E47A42">
        <w:rPr>
          <w:rFonts w:ascii="Book Antiqua" w:hAnsi="Book Antiqua" w:cs="Times New Roman"/>
          <w:sz w:val="24"/>
          <w:szCs w:val="24"/>
          <w:lang w:val="en-US"/>
        </w:rPr>
        <w:t xml:space="preserve">the </w:t>
      </w:r>
      <w:r w:rsidR="0094634B" w:rsidRPr="00E47A42">
        <w:rPr>
          <w:rFonts w:ascii="Book Antiqua" w:hAnsi="Book Antiqua" w:cs="Times New Roman"/>
          <w:sz w:val="24"/>
          <w:szCs w:val="24"/>
          <w:lang w:val="en-US"/>
        </w:rPr>
        <w:t>abdominal cavity</w:t>
      </w:r>
      <w:r w:rsidR="00E70E7C" w:rsidRPr="00E47A42">
        <w:rPr>
          <w:rFonts w:ascii="Book Antiqua" w:hAnsi="Book Antiqua" w:cs="Times New Roman"/>
          <w:sz w:val="24"/>
          <w:szCs w:val="24"/>
          <w:lang w:val="en-US"/>
        </w:rPr>
        <w:t>,</w:t>
      </w:r>
      <w:r w:rsidR="006E2F19" w:rsidRPr="00E47A42">
        <w:rPr>
          <w:rFonts w:ascii="Book Antiqua" w:hAnsi="Book Antiqua" w:cs="Times New Roman"/>
          <w:sz w:val="24"/>
          <w:szCs w:val="24"/>
          <w:lang w:val="en-US"/>
        </w:rPr>
        <w:t xml:space="preserve"> </w:t>
      </w:r>
      <w:r w:rsidR="0094634B" w:rsidRPr="00E47A42">
        <w:rPr>
          <w:rFonts w:ascii="Book Antiqua" w:hAnsi="Book Antiqua" w:cs="Times New Roman"/>
          <w:sz w:val="24"/>
          <w:szCs w:val="24"/>
          <w:lang w:val="en-US"/>
        </w:rPr>
        <w:t>whereas controls accordingly received</w:t>
      </w:r>
      <w:r w:rsidR="006E2F19" w:rsidRPr="00E47A42">
        <w:rPr>
          <w:rFonts w:ascii="Book Antiqua" w:hAnsi="Book Antiqua" w:cs="Times New Roman"/>
          <w:sz w:val="24"/>
          <w:szCs w:val="24"/>
          <w:lang w:val="en-US"/>
        </w:rPr>
        <w:t xml:space="preserve"> a saline bath of equal volume. </w:t>
      </w:r>
      <w:r w:rsidR="00B92E42" w:rsidRPr="00E47A42">
        <w:rPr>
          <w:rFonts w:ascii="Book Antiqua" w:hAnsi="Book Antiqua" w:cs="Times New Roman"/>
          <w:sz w:val="24"/>
          <w:szCs w:val="24"/>
          <w:lang w:val="en-US"/>
        </w:rPr>
        <w:t xml:space="preserve">Using </w:t>
      </w:r>
      <w:r w:rsidR="006E2F19" w:rsidRPr="00E47A42">
        <w:rPr>
          <w:rFonts w:ascii="Book Antiqua" w:hAnsi="Book Antiqua" w:cs="Times New Roman"/>
          <w:sz w:val="24"/>
          <w:szCs w:val="24"/>
          <w:lang w:val="en-US"/>
        </w:rPr>
        <w:t>a USB microscope camera (</w:t>
      </w:r>
      <w:proofErr w:type="spellStart"/>
      <w:r w:rsidR="006E2F19" w:rsidRPr="00E47A42">
        <w:rPr>
          <w:rFonts w:ascii="Book Antiqua" w:hAnsi="Book Antiqua" w:cs="Times New Roman"/>
          <w:sz w:val="24"/>
          <w:szCs w:val="24"/>
          <w:lang w:val="en-US"/>
        </w:rPr>
        <w:t>Veho</w:t>
      </w:r>
      <w:proofErr w:type="spellEnd"/>
      <w:r w:rsidR="006E2F19" w:rsidRPr="00E47A42">
        <w:rPr>
          <w:rFonts w:ascii="Book Antiqua" w:hAnsi="Book Antiqua" w:cs="Times New Roman"/>
          <w:sz w:val="24"/>
          <w:szCs w:val="24"/>
          <w:lang w:val="en-US"/>
        </w:rPr>
        <w:t xml:space="preserve"> discovery VMS-004D-400x USB microscope</w:t>
      </w:r>
      <w:r w:rsidR="00B92E42" w:rsidRPr="00E47A42">
        <w:rPr>
          <w:rFonts w:ascii="Book Antiqua" w:hAnsi="Book Antiqua" w:cs="Times New Roman"/>
          <w:sz w:val="24"/>
          <w:szCs w:val="24"/>
          <w:lang w:val="en-US"/>
        </w:rPr>
        <w:t xml:space="preserve">; </w:t>
      </w:r>
      <w:proofErr w:type="spellStart"/>
      <w:r w:rsidR="006E2F19" w:rsidRPr="00E47A42">
        <w:rPr>
          <w:rFonts w:ascii="Book Antiqua" w:hAnsi="Book Antiqua" w:cs="Times New Roman"/>
          <w:sz w:val="24"/>
          <w:szCs w:val="24"/>
          <w:lang w:val="en-US"/>
        </w:rPr>
        <w:t>Veho</w:t>
      </w:r>
      <w:proofErr w:type="spellEnd"/>
      <w:r w:rsidR="006E2F19" w:rsidRPr="00E47A42">
        <w:rPr>
          <w:rFonts w:ascii="Book Antiqua" w:hAnsi="Book Antiqua" w:cs="Times New Roman"/>
          <w:sz w:val="24"/>
          <w:szCs w:val="24"/>
          <w:lang w:val="en-US"/>
        </w:rPr>
        <w:t xml:space="preserve"> ®, UK), </w:t>
      </w:r>
      <w:r w:rsidR="00852528" w:rsidRPr="00E47A42">
        <w:rPr>
          <w:rFonts w:ascii="Book Antiqua" w:hAnsi="Book Antiqua" w:cs="Times New Roman"/>
          <w:sz w:val="24"/>
          <w:szCs w:val="24"/>
          <w:lang w:val="en-US"/>
        </w:rPr>
        <w:t>from</w:t>
      </w:r>
      <w:r w:rsidR="006E2F19" w:rsidRPr="00E47A42">
        <w:rPr>
          <w:rFonts w:ascii="Book Antiqua" w:hAnsi="Book Antiqua" w:cs="Times New Roman"/>
          <w:sz w:val="24"/>
          <w:szCs w:val="24"/>
          <w:lang w:val="en-US"/>
        </w:rPr>
        <w:t xml:space="preserve"> the point immediately before therapy, we recorded and assessed</w:t>
      </w:r>
      <w:r w:rsidR="00B92E42" w:rsidRPr="00E47A42">
        <w:rPr>
          <w:rFonts w:ascii="Book Antiqua" w:hAnsi="Book Antiqua" w:cs="Times New Roman"/>
          <w:sz w:val="24"/>
          <w:szCs w:val="24"/>
          <w:lang w:val="en-US"/>
        </w:rPr>
        <w:t xml:space="preserve"> the</w:t>
      </w:r>
      <w:r w:rsidR="006E2F19" w:rsidRPr="00E47A42">
        <w:rPr>
          <w:rFonts w:ascii="Book Antiqua" w:hAnsi="Book Antiqua" w:cs="Times New Roman"/>
          <w:sz w:val="24"/>
          <w:szCs w:val="24"/>
          <w:lang w:val="en-US"/>
        </w:rPr>
        <w:t xml:space="preserve"> blood vessels </w:t>
      </w:r>
      <w:r w:rsidR="0094634B" w:rsidRPr="00E47A42">
        <w:rPr>
          <w:rFonts w:ascii="Book Antiqua" w:hAnsi="Book Antiqua" w:cs="Times New Roman"/>
          <w:sz w:val="24"/>
          <w:szCs w:val="24"/>
          <w:lang w:val="en-US"/>
        </w:rPr>
        <w:t>(emptied</w:t>
      </w:r>
      <w:r w:rsidR="00B92E42" w:rsidRPr="00E47A42">
        <w:rPr>
          <w:rFonts w:ascii="Book Antiqua" w:hAnsi="Book Antiqua" w:cs="Times New Roman"/>
          <w:sz w:val="24"/>
          <w:szCs w:val="24"/>
          <w:lang w:val="en-US"/>
        </w:rPr>
        <w:t>/</w:t>
      </w:r>
      <w:r w:rsidR="0094634B" w:rsidRPr="00E47A42">
        <w:rPr>
          <w:rFonts w:ascii="Book Antiqua" w:hAnsi="Book Antiqua" w:cs="Times New Roman"/>
          <w:sz w:val="24"/>
          <w:szCs w:val="24"/>
          <w:lang w:val="en-US"/>
        </w:rPr>
        <w:t>disappeared; refilled</w:t>
      </w:r>
      <w:r w:rsidR="00B92E42" w:rsidRPr="00E47A42">
        <w:rPr>
          <w:rFonts w:ascii="Book Antiqua" w:hAnsi="Book Antiqua" w:cs="Times New Roman"/>
          <w:sz w:val="24"/>
          <w:szCs w:val="24"/>
          <w:lang w:val="en-US"/>
        </w:rPr>
        <w:t>/</w:t>
      </w:r>
      <w:r w:rsidR="0094634B" w:rsidRPr="00E47A42">
        <w:rPr>
          <w:rFonts w:ascii="Book Antiqua" w:hAnsi="Book Antiqua" w:cs="Times New Roman"/>
          <w:sz w:val="24"/>
          <w:szCs w:val="24"/>
          <w:lang w:val="en-US"/>
        </w:rPr>
        <w:t xml:space="preserve">reappeared) </w:t>
      </w:r>
      <w:r w:rsidR="006E2F19" w:rsidRPr="00E47A42">
        <w:rPr>
          <w:rFonts w:ascii="Book Antiqua" w:hAnsi="Book Antiqua" w:cs="Times New Roman"/>
          <w:sz w:val="24"/>
          <w:szCs w:val="24"/>
          <w:lang w:val="en-US"/>
        </w:rPr>
        <w:t xml:space="preserve">(total % of cecum vessel augmentation/reduction from proximal to distal end = [number of blood vessels (10 vessels assessed) /100] </w:t>
      </w:r>
      <w:r w:rsidR="00B92E42" w:rsidRPr="00E47A42">
        <w:rPr>
          <w:rFonts w:ascii="Book Antiqua" w:hAnsi="Book Antiqua" w:cs="Times New Roman"/>
          <w:sz w:val="24"/>
          <w:szCs w:val="24"/>
          <w:lang w:val="en-US"/>
        </w:rPr>
        <w:t>×</w:t>
      </w:r>
      <w:r w:rsidR="006E2F19" w:rsidRPr="00E47A42">
        <w:rPr>
          <w:rFonts w:ascii="Book Antiqua" w:hAnsi="Book Antiqua" w:cs="Times New Roman"/>
          <w:sz w:val="24"/>
          <w:szCs w:val="24"/>
          <w:lang w:val="en-US"/>
        </w:rPr>
        <w:t xml:space="preserve"> %) </w:t>
      </w:r>
      <w:r w:rsidR="008E6437" w:rsidRPr="00E47A42">
        <w:rPr>
          <w:rFonts w:ascii="Book Antiqua" w:hAnsi="Book Antiqua" w:cs="Times New Roman"/>
          <w:sz w:val="24"/>
          <w:szCs w:val="24"/>
          <w:lang w:val="en-US"/>
        </w:rPr>
        <w:t xml:space="preserve">in terms </w:t>
      </w:r>
      <w:r w:rsidR="006E2F19" w:rsidRPr="00E47A42">
        <w:rPr>
          <w:rFonts w:ascii="Book Antiqua" w:hAnsi="Book Antiqua" w:cs="Times New Roman"/>
          <w:sz w:val="24"/>
          <w:szCs w:val="24"/>
          <w:lang w:val="en-US"/>
        </w:rPr>
        <w:t>of augmentation/reduction of each vasa recta (0 as the point immediately before therapy)</w:t>
      </w:r>
      <w:r w:rsidR="008E6437" w:rsidRPr="00E47A42">
        <w:rPr>
          <w:rFonts w:ascii="Book Antiqua" w:hAnsi="Book Antiqua" w:cs="Times New Roman"/>
          <w:sz w:val="24"/>
          <w:szCs w:val="24"/>
          <w:lang w:val="en-US"/>
        </w:rPr>
        <w:t xml:space="preserve"> and</w:t>
      </w:r>
      <w:r w:rsidR="006E2F19" w:rsidRPr="00E47A42">
        <w:rPr>
          <w:rFonts w:ascii="Book Antiqua" w:hAnsi="Book Antiqua" w:cs="Times New Roman"/>
          <w:sz w:val="24"/>
          <w:szCs w:val="24"/>
          <w:lang w:val="en-US"/>
        </w:rPr>
        <w:t xml:space="preserve"> defect closing or widening (as % of presentation immediately before therapy) and at particular time points: A—after perforation (1 min), B—during application (2 min), C—period after application (2 minutes), D—next 5 min</w:t>
      </w:r>
      <w:r w:rsidR="005C4663">
        <w:rPr>
          <w:rFonts w:ascii="Book Antiqua" w:hAnsi="Book Antiqua" w:cs="Times New Roman" w:hint="eastAsia"/>
          <w:sz w:val="24"/>
          <w:szCs w:val="24"/>
          <w:lang w:val="en-US" w:eastAsia="zh-CN"/>
        </w:rPr>
        <w:t xml:space="preserve"> </w:t>
      </w:r>
      <w:r w:rsidR="006E2F19" w:rsidRPr="00E47A42">
        <w:rPr>
          <w:rFonts w:ascii="Book Antiqua" w:hAnsi="Book Antiqua" w:cs="Times New Roman"/>
          <w:sz w:val="24"/>
          <w:szCs w:val="24"/>
          <w:lang w:val="en-US"/>
        </w:rPr>
        <w:t>period and E—period until the end of observation (15 minutes). The bleeding time (sec) throughout that period was also assessed</w:t>
      </w:r>
      <w:r w:rsidR="00B92E42" w:rsidRPr="00E47A42">
        <w:rPr>
          <w:rFonts w:ascii="Book Antiqua" w:hAnsi="Book Antiqua" w:cs="Times New Roman"/>
          <w:sz w:val="24"/>
          <w:szCs w:val="24"/>
          <w:lang w:val="en-US"/>
        </w:rPr>
        <w:t>;</w:t>
      </w:r>
      <w:r w:rsidR="006E2F19" w:rsidRPr="00E47A42">
        <w:rPr>
          <w:rFonts w:ascii="Book Antiqua" w:hAnsi="Book Antiqua" w:cs="Times New Roman"/>
          <w:sz w:val="24"/>
          <w:szCs w:val="24"/>
          <w:lang w:val="en-US"/>
        </w:rPr>
        <w:t xml:space="preserve"> at 15 minutes, oxidative stress was measured by quantifying </w:t>
      </w:r>
      <w:proofErr w:type="spellStart"/>
      <w:r w:rsidR="006E2F19" w:rsidRPr="00E47A42">
        <w:rPr>
          <w:rFonts w:ascii="Book Antiqua" w:hAnsi="Book Antiqua" w:cs="Times New Roman"/>
          <w:sz w:val="24"/>
          <w:szCs w:val="24"/>
          <w:lang w:val="en-US"/>
        </w:rPr>
        <w:t>thiobarbituric</w:t>
      </w:r>
      <w:proofErr w:type="spellEnd"/>
      <w:r w:rsidR="006E2F19" w:rsidRPr="00E47A42">
        <w:rPr>
          <w:rFonts w:ascii="Book Antiqua" w:hAnsi="Book Antiqua" w:cs="Times New Roman"/>
          <w:sz w:val="24"/>
          <w:szCs w:val="24"/>
          <w:lang w:val="en-US"/>
        </w:rPr>
        <w:t xml:space="preserve"> acid (TBA) reactivity as malondialdehyde </w:t>
      </w:r>
      <w:r w:rsidR="002C514E" w:rsidRPr="00E47A42">
        <w:rPr>
          <w:rFonts w:ascii="Book Antiqua" w:hAnsi="Book Antiqua" w:cs="Times New Roman"/>
          <w:sz w:val="24"/>
          <w:szCs w:val="24"/>
          <w:lang w:val="en-US"/>
        </w:rPr>
        <w:t xml:space="preserve">(MDA) </w:t>
      </w:r>
      <w:r w:rsidR="006E2F19" w:rsidRPr="00E47A42">
        <w:rPr>
          <w:rFonts w:ascii="Book Antiqua" w:hAnsi="Book Antiqua" w:cs="Times New Roman"/>
          <w:sz w:val="24"/>
          <w:szCs w:val="24"/>
          <w:lang w:val="en-US"/>
        </w:rPr>
        <w:t>equivalents, and nitric oxide determination in cecum tissue was also carried out.</w:t>
      </w:r>
      <w:r w:rsidR="00CB6D86">
        <w:rPr>
          <w:rFonts w:ascii="Book Antiqua" w:hAnsi="Book Antiqua" w:cs="Times New Roman"/>
          <w:sz w:val="24"/>
          <w:szCs w:val="24"/>
          <w:lang w:val="en-US"/>
        </w:rPr>
        <w:t xml:space="preserve"> </w:t>
      </w:r>
    </w:p>
    <w:p w14:paraId="0846B308" w14:textId="29DBA99F" w:rsidR="006E2F19" w:rsidRPr="00E47A42" w:rsidRDefault="006E2F19" w:rsidP="005C46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At day 1 and day 7,</w:t>
      </w:r>
      <w:r w:rsidR="009B03BD" w:rsidRPr="00E47A42">
        <w:rPr>
          <w:rFonts w:ascii="Book Antiqua" w:hAnsi="Book Antiqua" w:cs="Times New Roman"/>
          <w:sz w:val="24"/>
          <w:szCs w:val="24"/>
          <w:lang w:val="en-US"/>
        </w:rPr>
        <w:t xml:space="preserve"> </w:t>
      </w:r>
      <w:r w:rsidR="002B3855" w:rsidRPr="00E47A42">
        <w:rPr>
          <w:rFonts w:ascii="Book Antiqua" w:hAnsi="Book Antiqua" w:cs="Times New Roman"/>
          <w:sz w:val="24"/>
          <w:szCs w:val="24"/>
          <w:lang w:val="en-US"/>
        </w:rPr>
        <w:t xml:space="preserve">rats were </w:t>
      </w:r>
      <w:proofErr w:type="spellStart"/>
      <w:r w:rsidR="001343DC" w:rsidRPr="00E47A42">
        <w:rPr>
          <w:rFonts w:ascii="Book Antiqua" w:hAnsi="Book Antiqua" w:cs="Times New Roman"/>
          <w:sz w:val="24"/>
          <w:szCs w:val="24"/>
          <w:lang w:val="en-US"/>
        </w:rPr>
        <w:t>relaparotimiezed</w:t>
      </w:r>
      <w:proofErr w:type="spellEnd"/>
      <w:r w:rsidR="001343DC" w:rsidRPr="00E47A42">
        <w:rPr>
          <w:rFonts w:ascii="Book Antiqua" w:hAnsi="Book Antiqua" w:cs="Times New Roman"/>
          <w:sz w:val="24"/>
          <w:szCs w:val="24"/>
          <w:lang w:val="en-US"/>
        </w:rPr>
        <w:t>, and w</w:t>
      </w:r>
      <w:r w:rsidR="009B03BD" w:rsidRPr="00E47A42">
        <w:rPr>
          <w:rFonts w:ascii="Book Antiqua" w:hAnsi="Book Antiqua" w:cs="Times New Roman"/>
          <w:sz w:val="24"/>
          <w:szCs w:val="24"/>
          <w:lang w:val="en-US"/>
        </w:rPr>
        <w:t>e assessed</w:t>
      </w:r>
      <w:r w:rsidRPr="00E47A42">
        <w:rPr>
          <w:rFonts w:ascii="Book Antiqua" w:hAnsi="Book Antiqua" w:cs="Times New Roman"/>
          <w:sz w:val="24"/>
          <w:szCs w:val="24"/>
          <w:lang w:val="en-US"/>
        </w:rPr>
        <w:t xml:space="preserve"> the </w:t>
      </w:r>
      <w:r w:rsidR="009B03BD" w:rsidRPr="00E47A42">
        <w:rPr>
          <w:rFonts w:ascii="Book Antiqua" w:hAnsi="Book Antiqua" w:cs="Times New Roman"/>
          <w:sz w:val="24"/>
          <w:szCs w:val="24"/>
          <w:lang w:val="en-US"/>
        </w:rPr>
        <w:t xml:space="preserve">serosal/mucosal </w:t>
      </w:r>
      <w:r w:rsidRPr="00E47A42">
        <w:rPr>
          <w:rFonts w:ascii="Book Antiqua" w:hAnsi="Book Antiqua" w:cs="Times New Roman"/>
          <w:sz w:val="24"/>
          <w:szCs w:val="24"/>
          <w:lang w:val="en-US"/>
        </w:rPr>
        <w:t xml:space="preserve">defect (longest lesion diameter, mm) and adhesion severity </w:t>
      </w:r>
      <w:r w:rsidR="009B03BD" w:rsidRPr="00E47A42">
        <w:rPr>
          <w:rFonts w:ascii="Book Antiqua" w:hAnsi="Book Antiqua" w:cs="Times New Roman"/>
          <w:sz w:val="24"/>
          <w:szCs w:val="24"/>
          <w:lang w:val="en-US"/>
        </w:rPr>
        <w:t>scoring</w:t>
      </w:r>
      <w:r w:rsidRPr="00E47A42">
        <w:rPr>
          <w:rFonts w:ascii="Book Antiqua" w:hAnsi="Book Antiqua" w:cs="Times New Roman"/>
          <w:sz w:val="24"/>
          <w:szCs w:val="24"/>
          <w:lang w:val="en-US"/>
        </w:rPr>
        <w:t xml:space="preserve"> (adhesions of the abdominal wall–1 point</w:t>
      </w:r>
      <w:r w:rsidR="009B03B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9B03BD" w:rsidRPr="00E47A42">
        <w:rPr>
          <w:rFonts w:ascii="Book Antiqua" w:hAnsi="Book Antiqua" w:cs="Times New Roman"/>
          <w:sz w:val="24"/>
          <w:szCs w:val="24"/>
          <w:lang w:val="en-US"/>
        </w:rPr>
        <w:t>a</w:t>
      </w:r>
      <w:r w:rsidRPr="00E47A42">
        <w:rPr>
          <w:rFonts w:ascii="Book Antiqua" w:hAnsi="Book Antiqua" w:cs="Times New Roman"/>
          <w:sz w:val="24"/>
          <w:szCs w:val="24"/>
          <w:lang w:val="en-US"/>
        </w:rPr>
        <w:t>dhesions of the intestine–1 point</w:t>
      </w:r>
      <w:r w:rsidR="009B03B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9B03BD" w:rsidRPr="00E47A42">
        <w:rPr>
          <w:rFonts w:ascii="Book Antiqua" w:hAnsi="Book Antiqua" w:cs="Times New Roman"/>
          <w:sz w:val="24"/>
          <w:szCs w:val="24"/>
          <w:lang w:val="en-US"/>
        </w:rPr>
        <w:t>a</w:t>
      </w:r>
      <w:r w:rsidRPr="00E47A42">
        <w:rPr>
          <w:rFonts w:ascii="Book Antiqua" w:hAnsi="Book Antiqua" w:cs="Times New Roman"/>
          <w:sz w:val="24"/>
          <w:szCs w:val="24"/>
          <w:lang w:val="en-US"/>
        </w:rPr>
        <w:t xml:space="preserve">dhesions of the </w:t>
      </w:r>
      <w:proofErr w:type="spellStart"/>
      <w:r w:rsidRPr="00E47A42">
        <w:rPr>
          <w:rFonts w:ascii="Book Antiqua" w:hAnsi="Book Antiqua" w:cs="Times New Roman"/>
          <w:sz w:val="24"/>
          <w:szCs w:val="24"/>
          <w:lang w:val="en-US"/>
        </w:rPr>
        <w:t>cecal</w:t>
      </w:r>
      <w:proofErr w:type="spellEnd"/>
      <w:r w:rsidRPr="00E47A42">
        <w:rPr>
          <w:rFonts w:ascii="Book Antiqua" w:hAnsi="Book Antiqua" w:cs="Times New Roman"/>
          <w:sz w:val="24"/>
          <w:szCs w:val="24"/>
          <w:lang w:val="en-US"/>
        </w:rPr>
        <w:t xml:space="preserve"> area: ventral side–1 point/dorsal side–1 point</w:t>
      </w:r>
      <w:r w:rsidR="009B03B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9B03BD" w:rsidRPr="00E47A42">
        <w:rPr>
          <w:rFonts w:ascii="Book Antiqua" w:hAnsi="Book Antiqua" w:cs="Times New Roman"/>
          <w:sz w:val="24"/>
          <w:szCs w:val="24"/>
          <w:lang w:val="en-US"/>
        </w:rPr>
        <w:t>a</w:t>
      </w:r>
      <w:r w:rsidRPr="00E47A42">
        <w:rPr>
          <w:rFonts w:ascii="Book Antiqua" w:hAnsi="Book Antiqua" w:cs="Times New Roman"/>
          <w:sz w:val="24"/>
          <w:szCs w:val="24"/>
          <w:lang w:val="en-US"/>
        </w:rPr>
        <w:t xml:space="preserve">dhesions involving both </w:t>
      </w:r>
      <w:r w:rsidR="008E6437"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intestine and colon–3 points) (resulting in a total maximum score of 7). Representative tissue sections were processed for further histological analysis as described previousl</w:t>
      </w:r>
      <w:r w:rsidR="009B03BD" w:rsidRPr="00E47A42">
        <w:rPr>
          <w:rFonts w:ascii="Book Antiqua" w:hAnsi="Book Antiqua" w:cs="Times New Roman"/>
          <w:sz w:val="24"/>
          <w:szCs w:val="24"/>
          <w:lang w:val="en-US"/>
        </w:rPr>
        <w:t>y</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BPC.","type":"article-journal","volume":"87"},"uris":["http://www.mendeley.com/documents/?uuid=f738bbb1-8d16-31eb-a5d7-6f273100aa96"]},{"id":"ITEM-11","itemData":{"DOI":"10.3748/wjg.v23.i48.8465","ISSN":"2219-2840","PMID":"29358856","abstract":"AIM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gastroenterology","id":"ITEM-11","issue":"48","issued":{"date-parts":[["2017","12","28"]]},"page":"8465-8488","title":"Stable gastric pentadecapeptide BPC 157 in the treatment of colitis and ischemia and reperfusion in rats: New insights.","type":"article-journal","volume":"23"},"uris":["http://www.mendeley.com/documents/?uuid=2c34d292-0140-3a84-912b-63eda51db635"]},{"id":"ITEM-12","itemData":{"DOI":"10.1016/j.vph.2018.02.010","ISSN":"18793649","abstract":"©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Pharmacology","id":"ITEM-12","issued":{"date-parts":[["2018"]]},"page":"54-66","title":"Rat inferior caval vein (ICV) ligature and particular new insights with the stable gastric pentadecapeptide BPC 157","type":"article-journal","volume":"106"},"uris":["http://www.mendeley.com/documents/?uuid=0d4e894c-6fc1-3bed-bb8f-4b56e696ff06"]}],"mendeley":{"formattedCitation":"&lt;sup&gt;[10,11,20,21,12–19]&lt;/sup&gt;","plainTextFormattedCitation":"[10,11,20,21,12–19]","previouslyFormattedCitation":"&lt;sup&gt;[10,11,20,21,12–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w:t>
      </w:r>
      <w:r w:rsidR="004416D7">
        <w:rPr>
          <w:rFonts w:ascii="Book Antiqua" w:hAnsi="Book Antiqua" w:cs="Times New Roman" w:hint="eastAsia"/>
          <w:noProof/>
          <w:sz w:val="24"/>
          <w:szCs w:val="24"/>
          <w:vertAlign w:val="superscript"/>
          <w:lang w:val="en-US" w:eastAsia="zh-CN"/>
        </w:rPr>
        <w:t>-</w:t>
      </w:r>
      <w:r w:rsidR="004416D7">
        <w:rPr>
          <w:rFonts w:ascii="Book Antiqua" w:hAnsi="Book Antiqua" w:cs="Times New Roman"/>
          <w:noProof/>
          <w:sz w:val="24"/>
          <w:szCs w:val="24"/>
          <w:vertAlign w:val="superscript"/>
          <w:lang w:val="en-US"/>
        </w:rPr>
        <w:t>21</w:t>
      </w:r>
      <w:r w:rsidR="00AB3269" w:rsidRPr="00E47A42">
        <w:rPr>
          <w:rFonts w:ascii="Book Antiqua" w:hAnsi="Book Antiqua" w:cs="Times New Roman"/>
          <w:noProof/>
          <w:sz w:val="24"/>
          <w:szCs w:val="24"/>
          <w:vertAlign w:val="superscript"/>
          <w:lang w:val="en-US"/>
        </w:rPr>
        <w:t>]</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p>
    <w:p w14:paraId="1B4EEEBC" w14:textId="77777777" w:rsidR="009B03BD" w:rsidRPr="00E47A42" w:rsidRDefault="009B03BD" w:rsidP="00F73ADC">
      <w:pPr>
        <w:snapToGrid w:val="0"/>
        <w:spacing w:after="0" w:line="360" w:lineRule="auto"/>
        <w:jc w:val="both"/>
        <w:rPr>
          <w:rFonts w:ascii="Book Antiqua" w:hAnsi="Book Antiqua" w:cs="Times New Roman"/>
          <w:sz w:val="24"/>
          <w:szCs w:val="24"/>
          <w:lang w:val="en-US"/>
        </w:rPr>
      </w:pPr>
    </w:p>
    <w:p w14:paraId="3E2957F2" w14:textId="77777777" w:rsidR="006E2F19" w:rsidRPr="005C4663" w:rsidRDefault="006E2F19" w:rsidP="00F73ADC">
      <w:pPr>
        <w:snapToGrid w:val="0"/>
        <w:spacing w:after="0" w:line="360" w:lineRule="auto"/>
        <w:jc w:val="both"/>
        <w:rPr>
          <w:rFonts w:ascii="Book Antiqua" w:hAnsi="Book Antiqua" w:cs="Times New Roman"/>
          <w:b/>
          <w:i/>
          <w:sz w:val="24"/>
          <w:szCs w:val="24"/>
          <w:lang w:val="en-US"/>
        </w:rPr>
      </w:pPr>
      <w:r w:rsidRPr="005C4663">
        <w:rPr>
          <w:rFonts w:ascii="Book Antiqua" w:hAnsi="Book Antiqua" w:cs="Times New Roman"/>
          <w:b/>
          <w:i/>
          <w:sz w:val="24"/>
          <w:szCs w:val="24"/>
          <w:lang w:val="en-US"/>
        </w:rPr>
        <w:t>Oxidative stress in cecum tissue</w:t>
      </w:r>
    </w:p>
    <w:p w14:paraId="531FBADA" w14:textId="09C1F414" w:rsidR="006E2F19" w:rsidRPr="00E47A42" w:rsidRDefault="006E2F19" w:rsidP="005C4663">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lastRenderedPageBreak/>
        <w:t>At 15 min</w:t>
      </w:r>
      <w:r w:rsidR="005C46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post</w:t>
      </w:r>
      <w:r w:rsidR="008E643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injury, oxidative stress in </w:t>
      </w:r>
      <w:r w:rsidR="008B306C"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tissue samples (1 cm</w:t>
      </w:r>
      <w:r w:rsidRPr="00E47A42">
        <w:rPr>
          <w:rFonts w:ascii="Book Antiqua" w:hAnsi="Book Antiqua" w:cs="Times New Roman"/>
          <w:sz w:val="24"/>
          <w:szCs w:val="24"/>
          <w:vertAlign w:val="superscript"/>
          <w:lang w:val="en-US"/>
        </w:rPr>
        <w:t>2</w:t>
      </w:r>
      <w:r w:rsidRPr="00E47A42">
        <w:rPr>
          <w:rFonts w:ascii="Book Antiqua" w:hAnsi="Book Antiqua" w:cs="Times New Roman"/>
          <w:sz w:val="24"/>
          <w:szCs w:val="24"/>
          <w:lang w:val="en-US"/>
        </w:rPr>
        <w:t xml:space="preserve"> around</w:t>
      </w:r>
      <w:r w:rsidR="00B96467" w:rsidRPr="00E47A42">
        <w:rPr>
          <w:rFonts w:ascii="Book Antiqua" w:hAnsi="Book Antiqua" w:cs="Times New Roman"/>
          <w:sz w:val="24"/>
          <w:szCs w:val="24"/>
          <w:lang w:val="en-US"/>
        </w:rPr>
        <w:t xml:space="preserve"> the</w:t>
      </w:r>
      <w:r w:rsidRPr="00E47A42">
        <w:rPr>
          <w:rFonts w:ascii="Book Antiqua" w:hAnsi="Book Antiqua" w:cs="Times New Roman"/>
          <w:sz w:val="24"/>
          <w:szCs w:val="24"/>
          <w:lang w:val="en-US"/>
        </w:rPr>
        <w:t xml:space="preserve"> defect) was assessed by quantifying </w:t>
      </w:r>
      <w:proofErr w:type="spellStart"/>
      <w:r w:rsidRPr="00E47A42">
        <w:rPr>
          <w:rFonts w:ascii="Book Antiqua" w:hAnsi="Book Antiqua" w:cs="Times New Roman"/>
          <w:sz w:val="24"/>
          <w:szCs w:val="24"/>
          <w:lang w:val="en-US"/>
        </w:rPr>
        <w:t>thiobarbituric</w:t>
      </w:r>
      <w:proofErr w:type="spellEnd"/>
      <w:r w:rsidRPr="00E47A42">
        <w:rPr>
          <w:rFonts w:ascii="Book Antiqua" w:hAnsi="Book Antiqua" w:cs="Times New Roman"/>
          <w:sz w:val="24"/>
          <w:szCs w:val="24"/>
          <w:lang w:val="en-US"/>
        </w:rPr>
        <w:t xml:space="preserve"> acid (TBA) reactivity as malondialdehyde</w:t>
      </w:r>
      <w:r w:rsidR="008B306C" w:rsidRPr="00E47A42">
        <w:rPr>
          <w:rFonts w:ascii="Book Antiqua" w:hAnsi="Book Antiqua" w:cs="Times New Roman"/>
          <w:sz w:val="24"/>
          <w:szCs w:val="24"/>
          <w:lang w:val="en-US"/>
        </w:rPr>
        <w:t xml:space="preserve"> (MDA)</w:t>
      </w:r>
      <w:r w:rsidRPr="00E47A42">
        <w:rPr>
          <w:rFonts w:ascii="Book Antiqua" w:hAnsi="Book Antiqua" w:cs="Times New Roman"/>
          <w:sz w:val="24"/>
          <w:szCs w:val="24"/>
          <w:lang w:val="en-US"/>
        </w:rPr>
        <w:t xml:space="preserve"> equivalents. Trichloroacetic acid (TCA) was added to homogenize</w:t>
      </w:r>
      <w:r w:rsidR="008B306C" w:rsidRPr="00E47A42">
        <w:rPr>
          <w:rFonts w:ascii="Book Antiqua" w:hAnsi="Book Antiqua" w:cs="Times New Roman"/>
          <w:sz w:val="24"/>
          <w:szCs w:val="24"/>
          <w:lang w:val="en-US"/>
        </w:rPr>
        <w:t xml:space="preserve"> the</w:t>
      </w:r>
      <w:r w:rsidRPr="00E47A42">
        <w:rPr>
          <w:rFonts w:ascii="Book Antiqua" w:hAnsi="Book Antiqua" w:cs="Times New Roman"/>
          <w:sz w:val="24"/>
          <w:szCs w:val="24"/>
          <w:lang w:val="en-US"/>
        </w:rPr>
        <w:t xml:space="preserve"> tissue samples</w:t>
      </w:r>
      <w:r w:rsidR="008B306C" w:rsidRPr="00E47A42">
        <w:rPr>
          <w:rFonts w:ascii="Book Antiqua" w:hAnsi="Book Antiqua" w:cs="Times New Roman"/>
          <w:sz w:val="24"/>
          <w:szCs w:val="24"/>
          <w:lang w:val="en-US"/>
        </w:rPr>
        <w:t>, which were then</w:t>
      </w:r>
      <w:r w:rsidR="005C4663">
        <w:rPr>
          <w:rFonts w:ascii="Book Antiqua" w:hAnsi="Book Antiqua" w:cs="Times New Roman"/>
          <w:sz w:val="24"/>
          <w:szCs w:val="24"/>
          <w:lang w:val="en-US"/>
        </w:rPr>
        <w:t xml:space="preserve"> centrifuged (3</w:t>
      </w:r>
      <w:r w:rsidRPr="00E47A42">
        <w:rPr>
          <w:rFonts w:ascii="Book Antiqua" w:hAnsi="Book Antiqua" w:cs="Times New Roman"/>
          <w:sz w:val="24"/>
          <w:szCs w:val="24"/>
          <w:lang w:val="en-US"/>
        </w:rPr>
        <w:t xml:space="preserve">000 rpm, 5 min), and the supernatant was collected. Thereafter, 1% TBA was added, and </w:t>
      </w:r>
      <w:r w:rsidR="008B306C"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samples were boiled (95</w:t>
      </w:r>
      <w:r w:rsidR="005C46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°C, 60 min). The tubes were kept on ice for 10 min, and the absorbance was determined at the wavelengths of 532 and 570 nm. The concentration of MDA was read from a standard calibration curve plotted using 1,1,3,3’-tetra-ethoxy propane (TEP). The extent of lipid peroxidation was expressed as MDA using a molar extinction coefficient for MDA of 1.56 × 10</w:t>
      </w:r>
      <w:r w:rsidRPr="00E47A42">
        <w:rPr>
          <w:rFonts w:ascii="Book Antiqua" w:hAnsi="Book Antiqua" w:cs="Times New Roman"/>
          <w:sz w:val="24"/>
          <w:szCs w:val="24"/>
          <w:vertAlign w:val="superscript"/>
          <w:lang w:val="en-US"/>
        </w:rPr>
        <w:t>5</w:t>
      </w:r>
      <w:r w:rsidRPr="00E47A42">
        <w:rPr>
          <w:rFonts w:ascii="Times New Roman" w:hAnsi="Times New Roman" w:cs="Times New Roman"/>
          <w:sz w:val="24"/>
          <w:szCs w:val="24"/>
          <w:lang w:val="en-US"/>
        </w:rPr>
        <w:t> </w:t>
      </w:r>
      <w:r w:rsidRPr="00E47A42">
        <w:rPr>
          <w:rFonts w:ascii="Book Antiqua" w:hAnsi="Book Antiqua" w:cs="Times New Roman"/>
          <w:sz w:val="24"/>
          <w:szCs w:val="24"/>
          <w:lang w:val="en-US"/>
        </w:rPr>
        <w:t>mol/L/cm. The results are expressed in nmol/mg of protein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w:t>
      </w:r>
    </w:p>
    <w:p w14:paraId="0350122B" w14:textId="77777777" w:rsidR="009B03BD" w:rsidRPr="00E47A42" w:rsidRDefault="009B03BD" w:rsidP="00F73ADC">
      <w:pPr>
        <w:snapToGrid w:val="0"/>
        <w:spacing w:after="0" w:line="360" w:lineRule="auto"/>
        <w:jc w:val="both"/>
        <w:rPr>
          <w:rFonts w:ascii="Book Antiqua" w:hAnsi="Book Antiqua" w:cs="Times New Roman"/>
          <w:sz w:val="24"/>
          <w:szCs w:val="24"/>
          <w:lang w:val="en-US"/>
        </w:rPr>
      </w:pPr>
    </w:p>
    <w:p w14:paraId="31D5AE59" w14:textId="77777777" w:rsidR="006E2F19" w:rsidRPr="00E9767F" w:rsidRDefault="006E2F19" w:rsidP="00F73ADC">
      <w:pPr>
        <w:snapToGrid w:val="0"/>
        <w:spacing w:after="0" w:line="360" w:lineRule="auto"/>
        <w:jc w:val="both"/>
        <w:rPr>
          <w:rFonts w:ascii="Book Antiqua" w:hAnsi="Book Antiqua" w:cs="Times New Roman"/>
          <w:b/>
          <w:i/>
          <w:sz w:val="24"/>
          <w:szCs w:val="24"/>
          <w:lang w:val="en-US"/>
        </w:rPr>
      </w:pPr>
      <w:r w:rsidRPr="00E9767F">
        <w:rPr>
          <w:rFonts w:ascii="Book Antiqua" w:hAnsi="Book Antiqua" w:cs="Times New Roman"/>
          <w:b/>
          <w:i/>
          <w:sz w:val="24"/>
          <w:szCs w:val="24"/>
          <w:lang w:val="en-US"/>
        </w:rPr>
        <w:t>Nitric oxide determination in cecum tissue</w:t>
      </w:r>
    </w:p>
    <w:p w14:paraId="6D8E650C" w14:textId="2A3CA08A" w:rsidR="006E2F19" w:rsidRPr="00E47A42" w:rsidRDefault="006E2F19" w:rsidP="00E9767F">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At 15 min</w:t>
      </w:r>
      <w:r w:rsidR="00E9767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post-injury, we determined </w:t>
      </w:r>
      <w:r w:rsidR="008B306C"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nitric oxide (NO) levels in cecum tissue samples using the Griess reaction (Griess Reagent System, Promega, USA). Sulfanilamide was </w:t>
      </w:r>
      <w:r w:rsidR="008B306C" w:rsidRPr="00E47A42">
        <w:rPr>
          <w:rFonts w:ascii="Book Antiqua" w:hAnsi="Book Antiqua" w:cs="Times New Roman"/>
          <w:sz w:val="24"/>
          <w:szCs w:val="24"/>
          <w:lang w:val="en-US"/>
        </w:rPr>
        <w:t>then incubated with</w:t>
      </w:r>
      <w:r w:rsidRPr="00E47A42">
        <w:rPr>
          <w:rFonts w:ascii="Book Antiqua" w:hAnsi="Book Antiqua" w:cs="Times New Roman"/>
          <w:sz w:val="24"/>
          <w:szCs w:val="24"/>
          <w:lang w:val="en-US"/>
        </w:rPr>
        <w:t xml:space="preserve"> the homogenized tissue</w:t>
      </w:r>
      <w:r w:rsidR="008B306C"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and then</w:t>
      </w:r>
      <w:r w:rsidR="008E643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N-1-</w:t>
      </w:r>
      <w:r w:rsidRPr="00E47A42">
        <w:rPr>
          <w:rFonts w:ascii="Book Antiqua" w:hAnsi="Book Antiqua" w:cs="Times New Roman"/>
          <w:noProof/>
          <w:sz w:val="24"/>
          <w:szCs w:val="24"/>
          <w:lang w:val="en-US"/>
        </w:rPr>
        <w:t>naphthylethylenediamine</w:t>
      </w:r>
      <w:r w:rsidRPr="00E47A42">
        <w:rPr>
          <w:rFonts w:ascii="Book Antiqua" w:hAnsi="Book Antiqua" w:cs="Times New Roman"/>
          <w:sz w:val="24"/>
          <w:szCs w:val="24"/>
          <w:lang w:val="en-US"/>
        </w:rPr>
        <w:t xml:space="preserve"> dihydrochloride was added. The Griess reaction is based on a diazotization reaction in which acidified nitrite reacts with diazonium ions and</w:t>
      </w:r>
      <w:r w:rsidR="008B306C"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in a further step</w:t>
      </w:r>
      <w:r w:rsidR="008B306C"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are coupled to N-1-</w:t>
      </w:r>
      <w:r w:rsidRPr="00E47A42">
        <w:rPr>
          <w:rFonts w:ascii="Book Antiqua" w:hAnsi="Book Antiqua" w:cs="Times New Roman"/>
          <w:noProof/>
          <w:sz w:val="24"/>
          <w:szCs w:val="24"/>
          <w:lang w:val="en-US"/>
        </w:rPr>
        <w:t>naphthylethylenediamine</w:t>
      </w:r>
      <w:r w:rsidRPr="00E47A42">
        <w:rPr>
          <w:rFonts w:ascii="Book Antiqua" w:hAnsi="Book Antiqua" w:cs="Times New Roman"/>
          <w:sz w:val="24"/>
          <w:szCs w:val="24"/>
          <w:lang w:val="en-US"/>
        </w:rPr>
        <w:t xml:space="preserve"> dihydrochloride</w:t>
      </w:r>
      <w:r w:rsidR="008E6437"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forming</w:t>
      </w:r>
      <w:r w:rsidR="008B306C" w:rsidRPr="00E47A42">
        <w:rPr>
          <w:rFonts w:ascii="Book Antiqua" w:hAnsi="Book Antiqua" w:cs="Times New Roman"/>
          <w:sz w:val="24"/>
          <w:szCs w:val="24"/>
          <w:lang w:val="en-US"/>
        </w:rPr>
        <w:t xml:space="preserve"> a</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chromophoric</w:t>
      </w:r>
      <w:proofErr w:type="spellEnd"/>
      <w:r w:rsidRPr="00E47A42">
        <w:rPr>
          <w:rFonts w:ascii="Book Antiqua" w:hAnsi="Book Antiqua" w:cs="Times New Roman"/>
          <w:sz w:val="24"/>
          <w:szCs w:val="24"/>
          <w:lang w:val="en-US"/>
        </w:rPr>
        <w:t xml:space="preserve"> azo derivate. </w:t>
      </w:r>
      <w:r w:rsidR="008B306C" w:rsidRPr="00E47A42">
        <w:rPr>
          <w:rFonts w:ascii="Book Antiqua" w:hAnsi="Book Antiqua" w:cs="Times New Roman"/>
          <w:sz w:val="24"/>
          <w:szCs w:val="24"/>
          <w:lang w:val="en-US"/>
        </w:rPr>
        <w:t>The a</w:t>
      </w:r>
      <w:r w:rsidRPr="00E47A42">
        <w:rPr>
          <w:rFonts w:ascii="Book Antiqua" w:hAnsi="Book Antiqua" w:cs="Times New Roman"/>
          <w:sz w:val="24"/>
          <w:szCs w:val="24"/>
          <w:lang w:val="en-US"/>
        </w:rPr>
        <w:t xml:space="preserve">bsorbance was measured at 540 nm using sodium nitrite solution as the standard. NO levels are reported in µmol/mg protein. </w:t>
      </w:r>
      <w:r w:rsidR="008B306C" w:rsidRPr="00E47A42">
        <w:rPr>
          <w:rFonts w:ascii="Book Antiqua" w:hAnsi="Book Antiqua" w:cs="Times New Roman"/>
          <w:sz w:val="24"/>
          <w:szCs w:val="24"/>
          <w:lang w:val="en-US"/>
        </w:rPr>
        <w:t>The p</w:t>
      </w:r>
      <w:r w:rsidRPr="00E47A42">
        <w:rPr>
          <w:rFonts w:ascii="Book Antiqua" w:hAnsi="Book Antiqua" w:cs="Times New Roman"/>
          <w:sz w:val="24"/>
          <w:szCs w:val="24"/>
          <w:lang w:val="en-US"/>
        </w:rPr>
        <w:t>rotein concentrations were determined using a commercial kit (</w:t>
      </w:r>
      <w:proofErr w:type="spellStart"/>
      <w:r w:rsidRPr="00E47A42">
        <w:rPr>
          <w:rFonts w:ascii="Book Antiqua" w:hAnsi="Book Antiqua" w:cs="Times New Roman"/>
          <w:sz w:val="24"/>
          <w:szCs w:val="24"/>
          <w:lang w:val="en-US"/>
        </w:rPr>
        <w:t>BioRad</w:t>
      </w:r>
      <w:proofErr w:type="spellEnd"/>
      <w:r w:rsidRPr="00E47A42">
        <w:rPr>
          <w:rFonts w:ascii="Book Antiqua" w:hAnsi="Book Antiqua" w:cs="Times New Roman"/>
          <w:sz w:val="24"/>
          <w:szCs w:val="24"/>
          <w:lang w:val="en-US"/>
        </w:rPr>
        <w:t xml:space="preserve"> Protein DR Assay Reagent Kit, U</w:t>
      </w:r>
      <w:r w:rsidR="0053735E">
        <w:rPr>
          <w:rFonts w:ascii="Book Antiqua" w:hAnsi="Book Antiqua" w:cs="Times New Roman" w:hint="eastAsia"/>
          <w:sz w:val="24"/>
          <w:szCs w:val="24"/>
          <w:lang w:val="en-US" w:eastAsia="zh-CN"/>
        </w:rPr>
        <w:t>nited States</w:t>
      </w:r>
      <w:r w:rsidRPr="00E47A42">
        <w:rPr>
          <w:rFonts w:ascii="Book Antiqua" w:hAnsi="Book Antiqua" w:cs="Times New Roman"/>
          <w:sz w:val="24"/>
          <w:szCs w:val="24"/>
          <w:lang w:val="en-US"/>
        </w:rPr>
        <w:t>)</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w:t>
      </w:r>
    </w:p>
    <w:p w14:paraId="2765DE01" w14:textId="77777777" w:rsidR="0022476E" w:rsidRPr="00E47A42" w:rsidRDefault="0022476E" w:rsidP="00F73ADC">
      <w:pPr>
        <w:snapToGrid w:val="0"/>
        <w:spacing w:after="0" w:line="360" w:lineRule="auto"/>
        <w:ind w:firstLine="720"/>
        <w:jc w:val="both"/>
        <w:rPr>
          <w:rFonts w:ascii="Book Antiqua" w:hAnsi="Book Antiqua" w:cs="Times New Roman"/>
          <w:sz w:val="24"/>
          <w:szCs w:val="24"/>
          <w:lang w:val="en-US"/>
        </w:rPr>
      </w:pPr>
    </w:p>
    <w:p w14:paraId="0AC7709A" w14:textId="77777777" w:rsidR="006E2F19" w:rsidRPr="00006E2F" w:rsidRDefault="006E2F19" w:rsidP="00F73ADC">
      <w:pPr>
        <w:snapToGrid w:val="0"/>
        <w:spacing w:after="0" w:line="360" w:lineRule="auto"/>
        <w:jc w:val="both"/>
        <w:rPr>
          <w:rFonts w:ascii="Book Antiqua" w:hAnsi="Book Antiqua" w:cs="Times New Roman"/>
          <w:b/>
          <w:i/>
          <w:sz w:val="24"/>
          <w:szCs w:val="24"/>
          <w:lang w:val="en-US"/>
        </w:rPr>
      </w:pPr>
      <w:r w:rsidRPr="00006E2F">
        <w:rPr>
          <w:rFonts w:ascii="Book Antiqua" w:hAnsi="Book Antiqua" w:cs="Times New Roman"/>
          <w:b/>
          <w:i/>
          <w:sz w:val="24"/>
          <w:szCs w:val="24"/>
          <w:lang w:val="en-US"/>
        </w:rPr>
        <w:t xml:space="preserve">Statistical analyses </w:t>
      </w:r>
    </w:p>
    <w:p w14:paraId="20378583" w14:textId="6175DB51" w:rsidR="006E2F19" w:rsidRPr="00E47A42" w:rsidRDefault="006E2F19" w:rsidP="00006E2F">
      <w:pPr>
        <w:snapToGrid w:val="0"/>
        <w:spacing w:after="0" w:line="360" w:lineRule="auto"/>
        <w:jc w:val="both"/>
        <w:rPr>
          <w:rFonts w:ascii="Book Antiqua" w:hAnsi="Book Antiqua" w:cs="Times New Roman"/>
          <w:sz w:val="24"/>
          <w:szCs w:val="24"/>
          <w:lang w:val="en-US" w:eastAsia="zh-CN"/>
        </w:rPr>
      </w:pPr>
      <w:r w:rsidRPr="00E47A42">
        <w:rPr>
          <w:rFonts w:ascii="Book Antiqua" w:hAnsi="Book Antiqua" w:cs="Times New Roman"/>
          <w:sz w:val="24"/>
          <w:szCs w:val="24"/>
          <w:lang w:val="en-US"/>
        </w:rPr>
        <w:t xml:space="preserve">Statistical analysis was performed by parametric one-way ANOVA with </w:t>
      </w:r>
      <w:r w:rsidR="008B306C" w:rsidRPr="00E47A42">
        <w:rPr>
          <w:rFonts w:ascii="Book Antiqua" w:hAnsi="Book Antiqua" w:cs="Times New Roman"/>
          <w:sz w:val="24"/>
          <w:szCs w:val="24"/>
          <w:lang w:val="en-US"/>
        </w:rPr>
        <w:t xml:space="preserve">the </w:t>
      </w:r>
      <w:r w:rsidRPr="00E47A42">
        <w:rPr>
          <w:rFonts w:ascii="Book Antiqua" w:hAnsi="Book Antiqua" w:cs="Times New Roman"/>
          <w:noProof/>
          <w:sz w:val="24"/>
          <w:szCs w:val="24"/>
          <w:lang w:val="en-US"/>
        </w:rPr>
        <w:t>post</w:t>
      </w:r>
      <w:r w:rsidR="008B306C" w:rsidRPr="00E47A42">
        <w:rPr>
          <w:rFonts w:ascii="Book Antiqua" w:hAnsi="Book Antiqua" w:cs="Times New Roman"/>
          <w:noProof/>
          <w:sz w:val="24"/>
          <w:szCs w:val="24"/>
          <w:lang w:val="en-US"/>
        </w:rPr>
        <w:t>-</w:t>
      </w:r>
      <w:r w:rsidRPr="00E47A42">
        <w:rPr>
          <w:rFonts w:ascii="Book Antiqua" w:hAnsi="Book Antiqua" w:cs="Times New Roman"/>
          <w:noProof/>
          <w:sz w:val="24"/>
          <w:szCs w:val="24"/>
          <w:lang w:val="en-US"/>
        </w:rPr>
        <w:t>hoc</w:t>
      </w:r>
      <w:r w:rsidRPr="00E47A42">
        <w:rPr>
          <w:rFonts w:ascii="Book Antiqua" w:hAnsi="Book Antiqua" w:cs="Times New Roman"/>
          <w:sz w:val="24"/>
          <w:szCs w:val="24"/>
          <w:lang w:val="en-US"/>
        </w:rPr>
        <w:t xml:space="preserve"> Newman-</w:t>
      </w:r>
      <w:proofErr w:type="spellStart"/>
      <w:r w:rsidRPr="00E47A42">
        <w:rPr>
          <w:rFonts w:ascii="Book Antiqua" w:hAnsi="Book Antiqua" w:cs="Times New Roman"/>
          <w:sz w:val="24"/>
          <w:szCs w:val="24"/>
          <w:lang w:val="en-US"/>
        </w:rPr>
        <w:t>Keuls</w:t>
      </w:r>
      <w:proofErr w:type="spellEnd"/>
      <w:r w:rsidRPr="00E47A42">
        <w:rPr>
          <w:rFonts w:ascii="Book Antiqua" w:hAnsi="Book Antiqua" w:cs="Times New Roman"/>
          <w:sz w:val="24"/>
          <w:szCs w:val="24"/>
          <w:lang w:val="en-US"/>
        </w:rPr>
        <w:t xml:space="preserve"> test and non-parametric Kruskal-Wallis and subsequent Mann-Whitney </w:t>
      </w:r>
      <w:r w:rsidRPr="00340C53">
        <w:rPr>
          <w:rFonts w:ascii="Book Antiqua" w:hAnsi="Book Antiqua" w:cs="Times New Roman"/>
          <w:i/>
          <w:sz w:val="24"/>
          <w:szCs w:val="24"/>
          <w:lang w:val="en-US"/>
        </w:rPr>
        <w:t>U</w:t>
      </w:r>
      <w:r w:rsidRPr="00E47A42">
        <w:rPr>
          <w:rFonts w:ascii="Book Antiqua" w:hAnsi="Book Antiqua" w:cs="Times New Roman"/>
          <w:sz w:val="24"/>
          <w:szCs w:val="24"/>
          <w:lang w:val="en-US"/>
        </w:rPr>
        <w:t xml:space="preserve">-tests to compare </w:t>
      </w:r>
      <w:r w:rsidR="008B306C"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 xml:space="preserve">groups. </w:t>
      </w:r>
      <w:r w:rsidR="008B306C" w:rsidRPr="00E47A42">
        <w:rPr>
          <w:rFonts w:ascii="Book Antiqua" w:hAnsi="Book Antiqua" w:cs="Times New Roman"/>
          <w:sz w:val="24"/>
          <w:szCs w:val="24"/>
          <w:lang w:val="en-US"/>
        </w:rPr>
        <w:t>The v</w:t>
      </w:r>
      <w:r w:rsidRPr="00E47A42">
        <w:rPr>
          <w:rFonts w:ascii="Book Antiqua" w:hAnsi="Book Antiqua" w:cs="Times New Roman"/>
          <w:sz w:val="24"/>
          <w:szCs w:val="24"/>
          <w:lang w:val="en-US"/>
        </w:rPr>
        <w:t>alues are represented as mean</w:t>
      </w:r>
      <w:r w:rsidR="008B306C" w:rsidRPr="00E47A42">
        <w:rPr>
          <w:rFonts w:ascii="Book Antiqua" w:hAnsi="Book Antiqua" w:cs="Times New Roman"/>
          <w:sz w:val="24"/>
          <w:szCs w:val="24"/>
          <w:lang w:val="en-US"/>
        </w:rPr>
        <w:t>s</w:t>
      </w:r>
      <w:r w:rsidR="00BC3C35">
        <w:rPr>
          <w:rFonts w:ascii="Book Antiqua" w:hAnsi="Book Antiqua" w:cs="Times New Roman"/>
          <w:sz w:val="24"/>
          <w:szCs w:val="24"/>
          <w:lang w:val="en-US"/>
        </w:rPr>
        <w:t xml:space="preserve"> ± </w:t>
      </w:r>
      <w:r w:rsidRPr="00E47A42">
        <w:rPr>
          <w:rFonts w:ascii="Book Antiqua" w:hAnsi="Book Antiqua" w:cs="Times New Roman"/>
          <w:sz w:val="24"/>
          <w:szCs w:val="24"/>
          <w:lang w:val="en-US"/>
        </w:rPr>
        <w:t>SD and minimum/median/maximum. The results</w:t>
      </w:r>
      <w:r w:rsidR="008B306C" w:rsidRPr="00E47A42">
        <w:rPr>
          <w:rFonts w:ascii="Book Antiqua" w:hAnsi="Book Antiqua" w:cs="Times New Roman"/>
          <w:sz w:val="24"/>
          <w:szCs w:val="24"/>
          <w:lang w:val="en-US"/>
        </w:rPr>
        <w:t xml:space="preserve"> </w:t>
      </w:r>
      <w:r w:rsidR="008E6437" w:rsidRPr="00E47A42">
        <w:rPr>
          <w:rFonts w:ascii="Book Antiqua" w:hAnsi="Book Antiqua" w:cs="Times New Roman"/>
          <w:sz w:val="24"/>
          <w:szCs w:val="24"/>
          <w:lang w:val="en-US"/>
        </w:rPr>
        <w:t>with</w:t>
      </w:r>
      <w:r w:rsidRPr="00E47A42">
        <w:rPr>
          <w:rFonts w:ascii="Book Antiqua" w:hAnsi="Book Antiqua" w:cs="Times New Roman"/>
          <w:sz w:val="24"/>
          <w:szCs w:val="24"/>
          <w:lang w:val="en-US"/>
        </w:rPr>
        <w:t xml:space="preserve"> </w:t>
      </w:r>
      <w:r w:rsidRPr="00006E2F">
        <w:rPr>
          <w:rFonts w:ascii="Book Antiqua" w:hAnsi="Book Antiqua" w:cs="Times New Roman"/>
          <w:i/>
          <w:sz w:val="24"/>
          <w:szCs w:val="24"/>
          <w:lang w:val="en-US"/>
        </w:rPr>
        <w:t>P</w:t>
      </w:r>
      <w:r w:rsidR="00006E2F" w:rsidRPr="00006E2F">
        <w:rPr>
          <w:rFonts w:ascii="Book Antiqua" w:hAnsi="Book Antiqua" w:cs="Times New Roman" w:hint="eastAsia"/>
          <w:i/>
          <w:sz w:val="24"/>
          <w:szCs w:val="24"/>
          <w:lang w:val="en-US" w:eastAsia="zh-CN"/>
        </w:rPr>
        <w:t xml:space="preserve"> </w:t>
      </w:r>
      <w:r w:rsidRPr="00E47A42">
        <w:rPr>
          <w:rFonts w:ascii="Book Antiqua" w:hAnsi="Book Antiqua" w:cs="Times New Roman"/>
          <w:sz w:val="24"/>
          <w:szCs w:val="24"/>
          <w:lang w:val="en-US"/>
        </w:rPr>
        <w:t>&lt;</w:t>
      </w:r>
      <w:r w:rsidR="00006E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0.05 were considered significant.</w:t>
      </w:r>
      <w:r w:rsidR="00006E2F">
        <w:rPr>
          <w:rFonts w:ascii="Book Antiqua" w:hAnsi="Book Antiqua" w:cs="Times New Roman" w:hint="eastAsia"/>
          <w:sz w:val="24"/>
          <w:szCs w:val="24"/>
          <w:lang w:val="en-US" w:eastAsia="zh-CN"/>
        </w:rPr>
        <w:t xml:space="preserve"> </w:t>
      </w:r>
    </w:p>
    <w:p w14:paraId="0D09A399" w14:textId="77777777" w:rsidR="006E2F19" w:rsidRPr="00E47A42" w:rsidRDefault="006E2F19" w:rsidP="00F73ADC">
      <w:pPr>
        <w:snapToGrid w:val="0"/>
        <w:spacing w:after="0" w:line="360" w:lineRule="auto"/>
        <w:ind w:firstLine="720"/>
        <w:jc w:val="both"/>
        <w:rPr>
          <w:rFonts w:ascii="Book Antiqua" w:hAnsi="Book Antiqua" w:cs="Times New Roman"/>
          <w:sz w:val="24"/>
          <w:szCs w:val="24"/>
          <w:lang w:val="en-US"/>
        </w:rPr>
      </w:pPr>
    </w:p>
    <w:p w14:paraId="45D5D01E" w14:textId="78A04149" w:rsidR="009B03BD" w:rsidRPr="00E47A42" w:rsidRDefault="0022476E" w:rsidP="00F73ADC">
      <w:pPr>
        <w:snapToGrid w:val="0"/>
        <w:spacing w:after="0"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lastRenderedPageBreak/>
        <w:t>RESULTS</w:t>
      </w:r>
    </w:p>
    <w:p w14:paraId="369DD6D5" w14:textId="58D2DBE6" w:rsidR="009B03BD" w:rsidRPr="00E47A42" w:rsidRDefault="009B03BD" w:rsidP="004A46B7">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After direct administration of the agents to the </w:t>
      </w:r>
      <w:r w:rsidR="00852528" w:rsidRPr="00E47A42">
        <w:rPr>
          <w:rFonts w:ascii="Book Antiqua" w:hAnsi="Book Antiqua" w:cs="Times New Roman"/>
          <w:sz w:val="24"/>
          <w:szCs w:val="24"/>
          <w:lang w:val="en-US"/>
        </w:rPr>
        <w:t xml:space="preserve">site of injury </w:t>
      </w:r>
      <w:r w:rsidRPr="00E47A42">
        <w:rPr>
          <w:rFonts w:ascii="Book Antiqua" w:hAnsi="Book Antiqua" w:cs="Times New Roman"/>
          <w:sz w:val="24"/>
          <w:szCs w:val="24"/>
          <w:lang w:val="en-US"/>
        </w:rPr>
        <w:t xml:space="preserve">one minute after cecum perforation, the results obtained can clearly describe the ongoing events. Of note, after the </w:t>
      </w:r>
      <w:r w:rsidR="00852528" w:rsidRPr="00E47A42">
        <w:rPr>
          <w:rFonts w:ascii="Book Antiqua" w:hAnsi="Book Antiqua" w:cs="Times New Roman"/>
          <w:sz w:val="24"/>
          <w:szCs w:val="24"/>
          <w:lang w:val="en-US"/>
        </w:rPr>
        <w:t xml:space="preserve">administration of the drug directly to the </w:t>
      </w:r>
      <w:r w:rsidRPr="00E47A42">
        <w:rPr>
          <w:rFonts w:ascii="Book Antiqua" w:hAnsi="Book Antiqua" w:cs="Times New Roman"/>
          <w:sz w:val="24"/>
          <w:szCs w:val="24"/>
          <w:lang w:val="en-US"/>
        </w:rPr>
        <w:t>lesion, the solution spread through the abdominal cavity</w:t>
      </w:r>
      <w:r w:rsidR="008B306C" w:rsidRPr="00E47A42">
        <w:rPr>
          <w:rFonts w:ascii="Book Antiqua" w:hAnsi="Book Antiqua" w:cs="Times New Roman"/>
          <w:sz w:val="24"/>
          <w:szCs w:val="24"/>
          <w:lang w:val="en-US"/>
        </w:rPr>
        <w:t>;</w:t>
      </w:r>
      <w:r w:rsidR="00852528" w:rsidRPr="00E47A42">
        <w:rPr>
          <w:rFonts w:ascii="Book Antiqua" w:hAnsi="Book Antiqua" w:cs="Times New Roman"/>
          <w:sz w:val="24"/>
          <w:szCs w:val="24"/>
          <w:lang w:val="en-US"/>
        </w:rPr>
        <w:t xml:space="preserve"> </w:t>
      </w:r>
      <w:r w:rsidR="008B306C" w:rsidRPr="00E47A42">
        <w:rPr>
          <w:rFonts w:ascii="Book Antiqua" w:hAnsi="Book Antiqua" w:cs="Times New Roman"/>
          <w:sz w:val="24"/>
          <w:szCs w:val="24"/>
          <w:lang w:val="en-US"/>
        </w:rPr>
        <w:t>however</w:t>
      </w:r>
      <w:r w:rsidRPr="00E47A42">
        <w:rPr>
          <w:rFonts w:ascii="Book Antiqua" w:hAnsi="Book Antiqua" w:cs="Times New Roman"/>
          <w:sz w:val="24"/>
          <w:szCs w:val="24"/>
          <w:lang w:val="en-US"/>
        </w:rPr>
        <w:t xml:space="preserve">, </w:t>
      </w:r>
      <w:r w:rsidR="00A173B6" w:rsidRPr="00E47A42">
        <w:rPr>
          <w:rFonts w:ascii="Book Antiqua" w:hAnsi="Book Antiqua" w:cs="Times New Roman"/>
          <w:sz w:val="24"/>
          <w:szCs w:val="24"/>
          <w:lang w:val="en-US"/>
        </w:rPr>
        <w:t xml:space="preserve">its </w:t>
      </w:r>
      <w:r w:rsidRPr="00E47A42">
        <w:rPr>
          <w:rFonts w:ascii="Book Antiqua" w:hAnsi="Book Antiqua" w:cs="Times New Roman"/>
          <w:sz w:val="24"/>
          <w:szCs w:val="24"/>
          <w:lang w:val="en-US"/>
        </w:rPr>
        <w:t xml:space="preserve">effect can </w:t>
      </w:r>
      <w:r w:rsidR="008B306C" w:rsidRPr="00E47A42">
        <w:rPr>
          <w:rFonts w:ascii="Book Antiqua" w:hAnsi="Book Antiqua" w:cs="Times New Roman"/>
          <w:sz w:val="24"/>
          <w:szCs w:val="24"/>
          <w:lang w:val="en-US"/>
        </w:rPr>
        <w:t xml:space="preserve">still </w:t>
      </w:r>
      <w:r w:rsidRPr="00E47A42">
        <w:rPr>
          <w:rFonts w:ascii="Book Antiqua" w:hAnsi="Book Antiqua" w:cs="Times New Roman"/>
          <w:sz w:val="24"/>
          <w:szCs w:val="24"/>
          <w:lang w:val="en-US"/>
        </w:rPr>
        <w:t>be directly correlated with the injury course (aggravated, regular, reversed), particularly in the earliest period, and then</w:t>
      </w:r>
      <w:r w:rsidR="00A173B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the final outcome is seen at one week after surgery and medication application.</w:t>
      </w:r>
    </w:p>
    <w:p w14:paraId="02E792B8" w14:textId="6F964335" w:rsidR="00F82C98" w:rsidRPr="00E47A42" w:rsidRDefault="00CB471C" w:rsidP="004A46B7">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The numerous negative changes</w:t>
      </w:r>
      <w:r w:rsidR="006A5C3B" w:rsidRPr="00E47A42">
        <w:rPr>
          <w:rFonts w:ascii="Book Antiqua" w:hAnsi="Book Antiqua" w:cs="Times New Roman"/>
          <w:sz w:val="24"/>
          <w:szCs w:val="24"/>
          <w:lang w:val="en-US"/>
        </w:rPr>
        <w:t xml:space="preserve"> </w:t>
      </w:r>
      <w:r w:rsidR="00695CC8">
        <w:rPr>
          <w:rFonts w:ascii="Book Antiqua" w:hAnsi="Book Antiqua" w:cs="Times New Roman" w:hint="eastAsia"/>
          <w:sz w:val="24"/>
          <w:szCs w:val="24"/>
          <w:lang w:val="en-US" w:eastAsia="zh-CN"/>
        </w:rPr>
        <w:t>[</w:t>
      </w:r>
      <w:r w:rsidR="006A5C3B" w:rsidRPr="00E47A42">
        <w:rPr>
          <w:rFonts w:ascii="Book Antiqua" w:hAnsi="Book Antiqua" w:cs="Times New Roman"/>
          <w:i/>
          <w:sz w:val="24"/>
          <w:szCs w:val="24"/>
          <w:lang w:val="en-US"/>
        </w:rPr>
        <w:t>i.e.,</w:t>
      </w:r>
      <w:r w:rsidR="006A5C3B" w:rsidRPr="00E47A42">
        <w:rPr>
          <w:rFonts w:ascii="Book Antiqua" w:hAnsi="Book Antiqua" w:cs="Times New Roman"/>
          <w:sz w:val="24"/>
          <w:szCs w:val="24"/>
          <w:lang w:val="en-US"/>
        </w:rPr>
        <w:t xml:space="preserve"> initial course: vessel presentation (</w:t>
      </w:r>
      <w:r w:rsidR="004A46B7" w:rsidRPr="00E47A42">
        <w:rPr>
          <w:rFonts w:ascii="Book Antiqua" w:hAnsi="Book Antiqua" w:cs="Times New Roman"/>
          <w:sz w:val="24"/>
          <w:szCs w:val="24"/>
          <w:lang w:val="en-US"/>
        </w:rPr>
        <w:t>Fig</w:t>
      </w:r>
      <w:r w:rsidR="004A46B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1), defect closing or widening (</w:t>
      </w:r>
      <w:r w:rsidR="004A46B7" w:rsidRPr="00E47A42">
        <w:rPr>
          <w:rFonts w:ascii="Book Antiqua" w:hAnsi="Book Antiqua" w:cs="Times New Roman"/>
          <w:sz w:val="24"/>
          <w:szCs w:val="24"/>
          <w:lang w:val="en-US"/>
        </w:rPr>
        <w:t>Fig</w:t>
      </w:r>
      <w:r w:rsidR="004A46B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2), bleeding time (Fig</w:t>
      </w:r>
      <w:r w:rsidR="004A46B7">
        <w:rPr>
          <w:rFonts w:ascii="Book Antiqua" w:hAnsi="Book Antiqua" w:cs="Times New Roman" w:hint="eastAsia"/>
          <w:sz w:val="24"/>
          <w:szCs w:val="24"/>
          <w:lang w:val="en-US" w:eastAsia="zh-CN"/>
        </w:rPr>
        <w:t xml:space="preserve">ure </w:t>
      </w:r>
      <w:r w:rsidR="006A5C3B" w:rsidRPr="00E47A42">
        <w:rPr>
          <w:rFonts w:ascii="Book Antiqua" w:hAnsi="Book Antiqua" w:cs="Times New Roman"/>
          <w:sz w:val="24"/>
          <w:szCs w:val="24"/>
          <w:lang w:val="en-US"/>
        </w:rPr>
        <w:t>3), NO-cecum level (</w:t>
      </w:r>
      <w:r w:rsidR="004A46B7" w:rsidRPr="00E47A42">
        <w:rPr>
          <w:rFonts w:ascii="Book Antiqua" w:hAnsi="Book Antiqua" w:cs="Times New Roman"/>
          <w:sz w:val="24"/>
          <w:szCs w:val="24"/>
          <w:lang w:val="en-US"/>
        </w:rPr>
        <w:t>Fig</w:t>
      </w:r>
      <w:r w:rsidR="004A46B7">
        <w:rPr>
          <w:rFonts w:ascii="Book Antiqua" w:hAnsi="Book Antiqua" w:cs="Times New Roman" w:hint="eastAsia"/>
          <w:sz w:val="24"/>
          <w:szCs w:val="24"/>
          <w:lang w:val="en-US" w:eastAsia="zh-CN"/>
        </w:rPr>
        <w:t>ure</w:t>
      </w:r>
      <w:r w:rsidR="004A46B7" w:rsidRPr="00E47A42">
        <w:rPr>
          <w:rFonts w:ascii="Book Antiqua" w:hAnsi="Book Antiqua" w:cs="Times New Roman"/>
          <w:sz w:val="24"/>
          <w:szCs w:val="24"/>
          <w:lang w:val="en-US"/>
        </w:rPr>
        <w:t xml:space="preserve"> </w:t>
      </w:r>
      <w:r w:rsidR="006A5C3B" w:rsidRPr="00E47A42">
        <w:rPr>
          <w:rFonts w:ascii="Book Antiqua" w:hAnsi="Book Antiqua" w:cs="Times New Roman"/>
          <w:sz w:val="24"/>
          <w:szCs w:val="24"/>
          <w:lang w:val="en-US"/>
        </w:rPr>
        <w:t>4), MDA-cecum level (</w:t>
      </w:r>
      <w:r w:rsidR="004A46B7" w:rsidRPr="00E47A42">
        <w:rPr>
          <w:rFonts w:ascii="Book Antiqua" w:hAnsi="Book Antiqua" w:cs="Times New Roman"/>
          <w:sz w:val="24"/>
          <w:szCs w:val="24"/>
          <w:lang w:val="en-US"/>
        </w:rPr>
        <w:t>Fig</w:t>
      </w:r>
      <w:r w:rsidR="004A46B7">
        <w:rPr>
          <w:rFonts w:ascii="Book Antiqua" w:hAnsi="Book Antiqua" w:cs="Times New Roman" w:hint="eastAsia"/>
          <w:sz w:val="24"/>
          <w:szCs w:val="24"/>
          <w:lang w:val="en-US" w:eastAsia="zh-CN"/>
        </w:rPr>
        <w:t xml:space="preserve">ure </w:t>
      </w:r>
      <w:r w:rsidR="006A5C3B" w:rsidRPr="00E47A42">
        <w:rPr>
          <w:rFonts w:ascii="Book Antiqua" w:hAnsi="Book Antiqua" w:cs="Times New Roman"/>
          <w:sz w:val="24"/>
          <w:szCs w:val="24"/>
          <w:lang w:val="en-US"/>
        </w:rPr>
        <w:t>5); and final course</w:t>
      </w:r>
      <w:r w:rsidRPr="00E47A42">
        <w:rPr>
          <w:rFonts w:ascii="Book Antiqua" w:hAnsi="Book Antiqua" w:cs="Times New Roman"/>
          <w:sz w:val="24"/>
          <w:szCs w:val="24"/>
          <w:lang w:val="en-US"/>
        </w:rPr>
        <w:t xml:space="preserve"> of the injury</w:t>
      </w:r>
      <w:r w:rsidR="006A5C3B" w:rsidRPr="00E47A42">
        <w:rPr>
          <w:rFonts w:ascii="Book Antiqua" w:hAnsi="Book Antiqua" w:cs="Times New Roman"/>
          <w:sz w:val="24"/>
          <w:szCs w:val="24"/>
          <w:lang w:val="en-US"/>
        </w:rPr>
        <w:t>: cecum defect and adhesions at 1 or 7 days (Table 1)</w:t>
      </w:r>
      <w:r w:rsidR="00695CC8">
        <w:rPr>
          <w:rFonts w:ascii="Book Antiqua" w:hAnsi="Book Antiqua" w:cs="Times New Roman" w:hint="eastAsia"/>
          <w:sz w:val="24"/>
          <w:szCs w:val="24"/>
          <w:lang w:val="en-US" w:eastAsia="zh-CN"/>
        </w:rPr>
        <w:t>]</w:t>
      </w:r>
      <w:r w:rsidR="006A5C3B" w:rsidRPr="00E47A42">
        <w:rPr>
          <w:rFonts w:ascii="Book Antiqua" w:hAnsi="Book Antiqua" w:cs="Times New Roman"/>
          <w:sz w:val="24"/>
          <w:szCs w:val="24"/>
          <w:lang w:val="en-US"/>
        </w:rPr>
        <w:t xml:space="preserve"> are significant in several respects. </w:t>
      </w:r>
    </w:p>
    <w:p w14:paraId="1E421BEC" w14:textId="3F2DD141" w:rsidR="006A5C3B" w:rsidRPr="00E47A42" w:rsidRDefault="006729D6" w:rsidP="00C14212">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D</w:t>
      </w:r>
      <w:r w:rsidR="00763AE7" w:rsidRPr="00E47A42">
        <w:rPr>
          <w:rFonts w:ascii="Book Antiqua" w:hAnsi="Book Antiqua" w:cs="Times New Roman"/>
          <w:sz w:val="24"/>
          <w:szCs w:val="24"/>
          <w:lang w:val="en-US"/>
        </w:rPr>
        <w:t>epending on the agent appli</w:t>
      </w:r>
      <w:r w:rsidRPr="00E47A42">
        <w:rPr>
          <w:rFonts w:ascii="Book Antiqua" w:hAnsi="Book Antiqua" w:cs="Times New Roman"/>
          <w:sz w:val="24"/>
          <w:szCs w:val="24"/>
          <w:lang w:val="en-US"/>
        </w:rPr>
        <w:t>ed</w:t>
      </w:r>
      <w:r w:rsidR="00763AE7" w:rsidRPr="00E47A42">
        <w:rPr>
          <w:rFonts w:ascii="Book Antiqua" w:hAnsi="Book Antiqua" w:cs="Times New Roman"/>
          <w:sz w:val="24"/>
          <w:szCs w:val="24"/>
          <w:lang w:val="en-US"/>
        </w:rPr>
        <w:t xml:space="preserve">, </w:t>
      </w:r>
      <w:r w:rsidR="006A5C3B" w:rsidRPr="00E47A42">
        <w:rPr>
          <w:rFonts w:ascii="Book Antiqua" w:hAnsi="Book Antiqua" w:cs="Times New Roman"/>
          <w:sz w:val="24"/>
          <w:szCs w:val="24"/>
          <w:lang w:val="en-US"/>
        </w:rPr>
        <w:t>the initial defensive response confers blood vessel presentation (emptied/disappeared; refilled/reappeared) and augmentation/reduction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1,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6,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006A5C3B" w:rsidRPr="00E47A42">
        <w:rPr>
          <w:rFonts w:ascii="Book Antiqua" w:hAnsi="Book Antiqua" w:cs="Times New Roman"/>
          <w:sz w:val="24"/>
          <w:szCs w:val="24"/>
          <w:lang w:val="en-US"/>
        </w:rPr>
        <w:t xml:space="preserve"> 7), defect </w:t>
      </w:r>
      <w:r w:rsidR="00763AE7" w:rsidRPr="00E47A42">
        <w:rPr>
          <w:rFonts w:ascii="Book Antiqua" w:hAnsi="Book Antiqua" w:cs="Times New Roman"/>
          <w:sz w:val="24"/>
          <w:szCs w:val="24"/>
          <w:lang w:val="en-US"/>
        </w:rPr>
        <w:t>closing or widening</w:t>
      </w:r>
      <w:r w:rsidR="006A5C3B" w:rsidRPr="00E47A42">
        <w:rPr>
          <w:rFonts w:ascii="Book Antiqua" w:hAnsi="Book Antiqua" w:cs="Times New Roman"/>
          <w:sz w:val="24"/>
          <w:szCs w:val="24"/>
          <w:lang w:val="en-US"/>
        </w:rPr>
        <w:t xml:space="preserve"> (Fig. 2) and bleeding </w:t>
      </w:r>
      <w:r w:rsidR="00763AE7" w:rsidRPr="00E47A42">
        <w:rPr>
          <w:rFonts w:ascii="Book Antiqua" w:hAnsi="Book Antiqua" w:cs="Times New Roman"/>
          <w:sz w:val="24"/>
          <w:szCs w:val="24"/>
          <w:lang w:val="en-US"/>
        </w:rPr>
        <w:t xml:space="preserve">prolongation or shortening </w:t>
      </w:r>
      <w:r w:rsidR="006A5C3B" w:rsidRPr="00E47A42">
        <w:rPr>
          <w:rFonts w:ascii="Book Antiqua" w:hAnsi="Book Antiqua" w:cs="Times New Roman"/>
          <w:sz w:val="24"/>
          <w:szCs w:val="24"/>
          <w:lang w:val="en-US"/>
        </w:rPr>
        <w:t>(Fig. 3, Fig. 7). MDA oxidative stress (Fig. 5) and NO levels (Fig. 4) were determined in the cecum tissue as well.</w:t>
      </w:r>
      <w:r w:rsidR="00763AE7" w:rsidRPr="00E47A42">
        <w:rPr>
          <w:rFonts w:ascii="Book Antiqua" w:hAnsi="Book Antiqua" w:cs="Times New Roman"/>
          <w:sz w:val="24"/>
          <w:szCs w:val="24"/>
          <w:lang w:val="en-US"/>
        </w:rPr>
        <w:t xml:space="preserve"> They permit combining of initial response to </w:t>
      </w:r>
      <w:r w:rsidRPr="00E47A42">
        <w:rPr>
          <w:rFonts w:ascii="Book Antiqua" w:hAnsi="Book Antiqua" w:cs="Times New Roman"/>
          <w:sz w:val="24"/>
          <w:szCs w:val="24"/>
          <w:lang w:val="en-US"/>
        </w:rPr>
        <w:t>the</w:t>
      </w:r>
      <w:r w:rsidR="00763AE7" w:rsidRPr="00E47A42">
        <w:rPr>
          <w:rFonts w:ascii="Book Antiqua" w:hAnsi="Book Antiqua" w:cs="Times New Roman"/>
          <w:sz w:val="24"/>
          <w:szCs w:val="24"/>
          <w:lang w:val="en-US"/>
        </w:rPr>
        <w:t xml:space="preserve"> final response (cecum defect and adhesions at 1 or 7 days (Table 1)).</w:t>
      </w:r>
    </w:p>
    <w:p w14:paraId="77C14F6C" w14:textId="77777777" w:rsidR="00F82C98" w:rsidRPr="00E47A42" w:rsidRDefault="00F82C98" w:rsidP="00F73ADC">
      <w:pPr>
        <w:snapToGrid w:val="0"/>
        <w:spacing w:after="0" w:line="360" w:lineRule="auto"/>
        <w:jc w:val="both"/>
        <w:rPr>
          <w:rFonts w:ascii="Book Antiqua" w:hAnsi="Book Antiqua" w:cs="Times New Roman"/>
          <w:i/>
          <w:sz w:val="24"/>
          <w:szCs w:val="24"/>
          <w:lang w:val="en-US" w:eastAsia="zh-CN"/>
        </w:rPr>
      </w:pPr>
    </w:p>
    <w:p w14:paraId="2EE9F667" w14:textId="6EE07709" w:rsidR="009B03BD" w:rsidRPr="00C54837" w:rsidRDefault="009B03BD" w:rsidP="00F73ADC">
      <w:pPr>
        <w:snapToGrid w:val="0"/>
        <w:spacing w:after="0" w:line="360" w:lineRule="auto"/>
        <w:jc w:val="both"/>
        <w:rPr>
          <w:rFonts w:ascii="Book Antiqua" w:hAnsi="Book Antiqua" w:cs="Times New Roman"/>
          <w:b/>
          <w:sz w:val="24"/>
          <w:szCs w:val="24"/>
          <w:lang w:val="en-US"/>
        </w:rPr>
      </w:pPr>
      <w:r w:rsidRPr="00C54837">
        <w:rPr>
          <w:rFonts w:ascii="Book Antiqua" w:hAnsi="Book Antiqua" w:cs="Times New Roman"/>
          <w:b/>
          <w:i/>
          <w:sz w:val="24"/>
          <w:szCs w:val="24"/>
          <w:lang w:val="en-US"/>
        </w:rPr>
        <w:t xml:space="preserve">Initial course, blood vessel presentation, bleeding, and defect contraction </w:t>
      </w:r>
    </w:p>
    <w:p w14:paraId="609E8ED4" w14:textId="5A8B8045" w:rsidR="009B03BD" w:rsidRPr="00E47A42" w:rsidRDefault="009B03BD" w:rsidP="00C54837">
      <w:pPr>
        <w:snapToGrid w:val="0"/>
        <w:spacing w:after="0" w:line="360" w:lineRule="auto"/>
        <w:jc w:val="both"/>
        <w:rPr>
          <w:rFonts w:ascii="Book Antiqua" w:hAnsi="Book Antiqua" w:cs="Times New Roman"/>
          <w:sz w:val="24"/>
          <w:szCs w:val="24"/>
          <w:lang w:val="en-US"/>
        </w:rPr>
      </w:pPr>
      <w:r w:rsidRPr="00C54837">
        <w:rPr>
          <w:rFonts w:ascii="Book Antiqua" w:hAnsi="Book Antiqua" w:cs="Times New Roman"/>
          <w:b/>
          <w:sz w:val="24"/>
          <w:szCs w:val="24"/>
          <w:lang w:val="en-US"/>
        </w:rPr>
        <w:t>Controls</w:t>
      </w:r>
      <w:r w:rsidR="00C54837" w:rsidRPr="00C54837">
        <w:rPr>
          <w:rFonts w:ascii="Book Antiqua" w:hAnsi="Book Antiqua" w:cs="Times New Roman" w:hint="eastAsia"/>
          <w:b/>
          <w:sz w:val="24"/>
          <w:szCs w:val="24"/>
          <w:lang w:val="en-US" w:eastAsia="zh-CN"/>
        </w:rPr>
        <w:t>:</w:t>
      </w:r>
      <w:r w:rsidR="00C54837">
        <w:rPr>
          <w:rFonts w:ascii="Book Antiqua" w:hAnsi="Book Antiqua" w:cs="Times New Roman" w:hint="eastAsia"/>
          <w:i/>
          <w:sz w:val="24"/>
          <w:szCs w:val="24"/>
          <w:lang w:val="en-US" w:eastAsia="zh-CN"/>
        </w:rPr>
        <w:t xml:space="preserve"> </w:t>
      </w:r>
      <w:r w:rsidRPr="00E47A42">
        <w:rPr>
          <w:rFonts w:ascii="Book Antiqua" w:hAnsi="Book Antiqua" w:cs="Times New Roman"/>
          <w:sz w:val="24"/>
          <w:szCs w:val="24"/>
          <w:lang w:val="en-US"/>
        </w:rPr>
        <w:t>In rats that received a saline bath, the initial course was progressive vessel disappearance</w:t>
      </w:r>
      <w:r w:rsidR="008B306C" w:rsidRPr="00E47A42">
        <w:rPr>
          <w:rFonts w:ascii="Book Antiqua" w:hAnsi="Book Antiqua" w:cs="Times New Roman"/>
          <w:sz w:val="24"/>
          <w:szCs w:val="24"/>
          <w:lang w:val="en-US"/>
        </w:rPr>
        <w:t xml:space="preserve"> and</w:t>
      </w:r>
      <w:r w:rsidRPr="00E47A42">
        <w:rPr>
          <w:rFonts w:ascii="Book Antiqua" w:hAnsi="Book Antiqua" w:cs="Times New Roman"/>
          <w:sz w:val="24"/>
          <w:szCs w:val="24"/>
          <w:lang w:val="en-US"/>
        </w:rPr>
        <w:t xml:space="preserve"> very poor vessel branching, which occurred during application (Fig</w:t>
      </w:r>
      <w:r w:rsidR="00C54837">
        <w:rPr>
          <w:rFonts w:ascii="Book Antiqua" w:hAnsi="Book Antiqua" w:cs="Times New Roman" w:hint="eastAsia"/>
          <w:sz w:val="24"/>
          <w:szCs w:val="24"/>
          <w:lang w:val="en-US" w:eastAsia="zh-CN"/>
        </w:rPr>
        <w:t xml:space="preserve">ure </w:t>
      </w:r>
      <w:r w:rsidRPr="00E47A42">
        <w:rPr>
          <w:rFonts w:ascii="Book Antiqua" w:hAnsi="Book Antiqua" w:cs="Times New Roman"/>
          <w:sz w:val="24"/>
          <w:szCs w:val="24"/>
          <w:lang w:val="en-US"/>
        </w:rPr>
        <w:t xml:space="preserve">1,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00C54837"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6). </w:t>
      </w:r>
      <w:r w:rsidR="008B306C" w:rsidRPr="00E47A42">
        <w:rPr>
          <w:rFonts w:ascii="Book Antiqua" w:hAnsi="Book Antiqua" w:cs="Times New Roman"/>
          <w:sz w:val="24"/>
          <w:szCs w:val="24"/>
          <w:lang w:val="en-US"/>
        </w:rPr>
        <w:t>T</w:t>
      </w:r>
      <w:r w:rsidRPr="00E47A42">
        <w:rPr>
          <w:rFonts w:ascii="Book Antiqua" w:hAnsi="Book Antiqua" w:cs="Times New Roman"/>
          <w:sz w:val="24"/>
          <w:szCs w:val="24"/>
          <w:lang w:val="en-US"/>
        </w:rPr>
        <w:t>hereafter, the defect only had a small initial contraction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2) and then continuous widening. A</w:t>
      </w:r>
      <w:r w:rsidR="008B306C" w:rsidRPr="00E47A42">
        <w:rPr>
          <w:rFonts w:ascii="Book Antiqua" w:hAnsi="Book Antiqua" w:cs="Times New Roman"/>
          <w:sz w:val="24"/>
          <w:szCs w:val="24"/>
          <w:lang w:val="en-US"/>
        </w:rPr>
        <w:t>dditionally</w:t>
      </w:r>
      <w:r w:rsidRPr="00E47A42">
        <w:rPr>
          <w:rFonts w:ascii="Book Antiqua" w:hAnsi="Book Antiqua" w:cs="Times New Roman"/>
          <w:sz w:val="24"/>
          <w:szCs w:val="24"/>
          <w:lang w:val="en-US"/>
        </w:rPr>
        <w:t>, there was a significant bleeding period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 </w:t>
      </w:r>
      <w:r w:rsidR="00C54837" w:rsidRPr="00E47A42">
        <w:rPr>
          <w:rFonts w:ascii="Book Antiqua" w:hAnsi="Book Antiqua" w:cs="Times New Roman"/>
          <w:sz w:val="24"/>
          <w:szCs w:val="24"/>
          <w:lang w:val="en-US"/>
        </w:rPr>
        <w:t>Fig</w:t>
      </w:r>
      <w:r w:rsidR="00C54837">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7).</w:t>
      </w:r>
    </w:p>
    <w:p w14:paraId="34C4C237" w14:textId="77777777" w:rsidR="000B12C8" w:rsidRDefault="000B12C8" w:rsidP="000B12C8">
      <w:pPr>
        <w:snapToGrid w:val="0"/>
        <w:spacing w:after="0" w:line="360" w:lineRule="auto"/>
        <w:jc w:val="both"/>
        <w:rPr>
          <w:rFonts w:ascii="Book Antiqua" w:hAnsi="Book Antiqua" w:cs="Times New Roman"/>
          <w:i/>
          <w:sz w:val="24"/>
          <w:szCs w:val="24"/>
          <w:lang w:val="en-US" w:eastAsia="zh-CN"/>
        </w:rPr>
      </w:pPr>
    </w:p>
    <w:p w14:paraId="3DDA4ACF" w14:textId="7CD5CC59" w:rsidR="009B03BD" w:rsidRPr="00E47A42" w:rsidRDefault="009B03BD" w:rsidP="000B12C8">
      <w:pPr>
        <w:snapToGrid w:val="0"/>
        <w:spacing w:after="0" w:line="360" w:lineRule="auto"/>
        <w:jc w:val="both"/>
        <w:rPr>
          <w:rFonts w:ascii="Book Antiqua" w:hAnsi="Book Antiqua" w:cs="Times New Roman"/>
          <w:sz w:val="24"/>
          <w:szCs w:val="24"/>
          <w:lang w:val="en-US"/>
        </w:rPr>
      </w:pPr>
      <w:r w:rsidRPr="000B12C8">
        <w:rPr>
          <w:rFonts w:ascii="Book Antiqua" w:hAnsi="Book Antiqua" w:cs="Times New Roman"/>
          <w:b/>
          <w:sz w:val="24"/>
          <w:szCs w:val="24"/>
          <w:lang w:val="en-US"/>
        </w:rPr>
        <w:t>BPC 157 therapy</w:t>
      </w:r>
      <w:r w:rsidR="000B12C8">
        <w:rPr>
          <w:rFonts w:ascii="Book Antiqua" w:hAnsi="Book Antiqua" w:cs="Times New Roman" w:hint="eastAsia"/>
          <w:b/>
          <w:sz w:val="24"/>
          <w:szCs w:val="24"/>
          <w:lang w:val="en-US" w:eastAsia="zh-CN"/>
        </w:rPr>
        <w:t>:</w:t>
      </w:r>
      <w:r w:rsidRPr="000B12C8">
        <w:rPr>
          <w:rFonts w:ascii="Book Antiqua" w:hAnsi="Book Antiqua" w:cs="Times New Roman"/>
          <w:b/>
          <w:sz w:val="24"/>
          <w:szCs w:val="24"/>
          <w:lang w:val="en-US"/>
        </w:rPr>
        <w:t xml:space="preserve"> </w:t>
      </w:r>
      <w:r w:rsidRPr="00E47A42">
        <w:rPr>
          <w:rFonts w:ascii="Book Antiqua" w:hAnsi="Book Antiqua" w:cs="Times New Roman"/>
          <w:sz w:val="24"/>
          <w:szCs w:val="24"/>
          <w:lang w:val="en-US"/>
        </w:rPr>
        <w:t>Rats with a perforated cecum that underwent a BPC 157 bath exhibited progressive vessel</w:t>
      </w:r>
      <w:r w:rsidR="006729D6" w:rsidRPr="00E47A42">
        <w:rPr>
          <w:rFonts w:ascii="Book Antiqua" w:hAnsi="Book Antiqua" w:cs="Times New Roman"/>
          <w:sz w:val="24"/>
          <w:szCs w:val="24"/>
          <w:lang w:val="en-US"/>
        </w:rPr>
        <w:t xml:space="preserve"> presentation toward the injury</w:t>
      </w:r>
      <w:r w:rsidRPr="00E47A42">
        <w:rPr>
          <w:rFonts w:ascii="Book Antiqua" w:hAnsi="Book Antiqua" w:cs="Times New Roman"/>
          <w:sz w:val="24"/>
          <w:szCs w:val="24"/>
          <w:lang w:val="en-US"/>
        </w:rPr>
        <w:t xml:space="preserve"> </w:t>
      </w:r>
      <w:r w:rsidR="006729D6" w:rsidRPr="00E47A42">
        <w:rPr>
          <w:rFonts w:ascii="Book Antiqua" w:hAnsi="Book Antiqua" w:cs="Times New Roman"/>
          <w:sz w:val="24"/>
          <w:szCs w:val="24"/>
          <w:lang w:val="en-US"/>
        </w:rPr>
        <w:t>(</w:t>
      </w:r>
      <w:r w:rsidR="006729D6" w:rsidRPr="006F1A45">
        <w:rPr>
          <w:rFonts w:ascii="Book Antiqua" w:hAnsi="Book Antiqua" w:cs="Times New Roman"/>
          <w:i/>
          <w:sz w:val="24"/>
          <w:szCs w:val="24"/>
          <w:lang w:val="en-US"/>
        </w:rPr>
        <w:t>i.e.</w:t>
      </w:r>
      <w:r w:rsidR="006F1A45">
        <w:rPr>
          <w:rFonts w:ascii="Book Antiqua" w:hAnsi="Book Antiqua" w:cs="Times New Roman" w:hint="eastAsia"/>
          <w:sz w:val="24"/>
          <w:szCs w:val="24"/>
          <w:lang w:val="en-US" w:eastAsia="zh-CN"/>
        </w:rPr>
        <w:t>,</w:t>
      </w:r>
      <w:r w:rsidR="006729D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a network of small vessels branching around the injury</w:t>
      </w:r>
      <w:r w:rsidR="006729D6"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1,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6). The defect contract</w:t>
      </w:r>
      <w:r w:rsidR="006729D6" w:rsidRPr="00E47A42">
        <w:rPr>
          <w:rFonts w:ascii="Book Antiqua" w:hAnsi="Book Antiqua" w:cs="Times New Roman"/>
          <w:sz w:val="24"/>
          <w:szCs w:val="24"/>
          <w:lang w:val="en-US"/>
        </w:rPr>
        <w:t>ed during application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006729D6" w:rsidRPr="00E47A42">
        <w:rPr>
          <w:rFonts w:ascii="Book Antiqua" w:hAnsi="Book Antiqua" w:cs="Times New Roman"/>
          <w:sz w:val="24"/>
          <w:szCs w:val="24"/>
          <w:lang w:val="en-US"/>
        </w:rPr>
        <w:t xml:space="preserve"> 2) and </w:t>
      </w:r>
      <w:r w:rsidRPr="00E47A42">
        <w:rPr>
          <w:rFonts w:ascii="Book Antiqua" w:hAnsi="Book Antiqua" w:cs="Times New Roman"/>
          <w:sz w:val="24"/>
          <w:szCs w:val="24"/>
          <w:lang w:val="en-US"/>
        </w:rPr>
        <w:t>the bleeding period was significantly shortened</w:t>
      </w:r>
      <w:r w:rsidR="006729D6" w:rsidRPr="00E47A42">
        <w:rPr>
          <w:rFonts w:ascii="Book Antiqua" w:hAnsi="Book Antiqua" w:cs="Times New Roman"/>
          <w:sz w:val="24"/>
          <w:szCs w:val="24"/>
          <w:lang w:val="en-US"/>
        </w:rPr>
        <w:t xml:space="preserve"> thereafter</w:t>
      </w:r>
      <w:r w:rsidRPr="00E47A42">
        <w:rPr>
          <w:rFonts w:ascii="Book Antiqua" w:hAnsi="Book Antiqua" w:cs="Times New Roman"/>
          <w:sz w:val="24"/>
          <w:szCs w:val="24"/>
          <w:lang w:val="en-US"/>
        </w:rPr>
        <w:t xml:space="preserve"> (</w:t>
      </w:r>
      <w:r w:rsidR="000B12C8" w:rsidRPr="00E47A42">
        <w:rPr>
          <w:rFonts w:ascii="Book Antiqua" w:hAnsi="Book Antiqua" w:cs="Times New Roman"/>
          <w:sz w:val="24"/>
          <w:szCs w:val="24"/>
          <w:lang w:val="en-US"/>
        </w:rPr>
        <w:t>Fig</w:t>
      </w:r>
      <w:r w:rsidR="000B12C8">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 </w:t>
      </w:r>
    </w:p>
    <w:p w14:paraId="1209F980" w14:textId="77777777" w:rsidR="00077DB0" w:rsidRDefault="00077DB0" w:rsidP="00077DB0">
      <w:pPr>
        <w:snapToGrid w:val="0"/>
        <w:spacing w:after="0" w:line="360" w:lineRule="auto"/>
        <w:jc w:val="both"/>
        <w:rPr>
          <w:rFonts w:ascii="Book Antiqua" w:hAnsi="Book Antiqua" w:cs="Times New Roman"/>
          <w:i/>
          <w:sz w:val="24"/>
          <w:szCs w:val="24"/>
          <w:lang w:val="en-US" w:eastAsia="zh-CN"/>
        </w:rPr>
      </w:pPr>
    </w:p>
    <w:p w14:paraId="7A74C156" w14:textId="73888240" w:rsidR="009B03BD" w:rsidRPr="00E47A42" w:rsidRDefault="009B03BD" w:rsidP="00077DB0">
      <w:pPr>
        <w:snapToGrid w:val="0"/>
        <w:spacing w:after="0" w:line="360" w:lineRule="auto"/>
        <w:jc w:val="both"/>
        <w:rPr>
          <w:rFonts w:ascii="Book Antiqua" w:hAnsi="Book Antiqua" w:cs="Times New Roman"/>
          <w:sz w:val="24"/>
          <w:szCs w:val="24"/>
          <w:lang w:val="en-US"/>
        </w:rPr>
      </w:pPr>
      <w:r w:rsidRPr="00077DB0">
        <w:rPr>
          <w:rFonts w:ascii="Book Antiqua" w:hAnsi="Book Antiqua" w:cs="Times New Roman"/>
          <w:b/>
          <w:sz w:val="24"/>
          <w:szCs w:val="24"/>
          <w:lang w:val="en-US"/>
        </w:rPr>
        <w:t>L-arginine therapy</w:t>
      </w:r>
      <w:r w:rsidR="00077DB0">
        <w:rPr>
          <w:rFonts w:ascii="Book Antiqua" w:hAnsi="Book Antiqua" w:cs="Times New Roman" w:hint="eastAsia"/>
          <w:b/>
          <w:sz w:val="24"/>
          <w:szCs w:val="24"/>
          <w:lang w:val="en-US" w:eastAsia="zh-CN"/>
        </w:rPr>
        <w:t>:</w:t>
      </w:r>
      <w:r w:rsidR="00077DB0">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After application of L-arginine, rats with a perforated cecum exhibited less vessel disappearance (</w:t>
      </w:r>
      <w:r w:rsidR="00077DB0" w:rsidRPr="00E47A42">
        <w:rPr>
          <w:rFonts w:ascii="Book Antiqua" w:hAnsi="Book Antiqua" w:cs="Times New Roman"/>
          <w:sz w:val="24"/>
          <w:szCs w:val="24"/>
          <w:lang w:val="en-US"/>
        </w:rPr>
        <w:t>Fig</w:t>
      </w:r>
      <w:r w:rsidR="00077DB0">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1). We noted </w:t>
      </w:r>
      <w:r w:rsidR="00F955AB" w:rsidRPr="00E47A42">
        <w:rPr>
          <w:rFonts w:ascii="Book Antiqua" w:hAnsi="Book Antiqua" w:cs="Times New Roman"/>
          <w:sz w:val="24"/>
          <w:szCs w:val="24"/>
          <w:lang w:val="en-US"/>
        </w:rPr>
        <w:t>counteracted defect widening</w:t>
      </w:r>
      <w:r w:rsidRPr="00E47A42">
        <w:rPr>
          <w:rFonts w:ascii="Book Antiqua" w:hAnsi="Book Antiqua" w:cs="Times New Roman"/>
          <w:sz w:val="24"/>
          <w:szCs w:val="24"/>
          <w:lang w:val="en-US"/>
        </w:rPr>
        <w:t xml:space="preserve"> (</w:t>
      </w:r>
      <w:r w:rsidR="00077DB0" w:rsidRPr="00E47A42">
        <w:rPr>
          <w:rFonts w:ascii="Book Antiqua" w:hAnsi="Book Antiqua" w:cs="Times New Roman"/>
          <w:sz w:val="24"/>
          <w:szCs w:val="24"/>
          <w:lang w:val="en-US"/>
        </w:rPr>
        <w:t>Fig</w:t>
      </w:r>
      <w:r w:rsidR="00077DB0">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2)</w:t>
      </w:r>
      <w:r w:rsidR="008B306C" w:rsidRPr="00E47A42">
        <w:rPr>
          <w:rFonts w:ascii="Book Antiqua" w:hAnsi="Book Antiqua" w:cs="Times New Roman"/>
          <w:sz w:val="24"/>
          <w:szCs w:val="24"/>
          <w:lang w:val="en-US"/>
        </w:rPr>
        <w:t>, and t</w:t>
      </w:r>
      <w:r w:rsidRPr="00E47A42">
        <w:rPr>
          <w:rFonts w:ascii="Book Antiqua" w:hAnsi="Book Antiqua" w:cs="Times New Roman"/>
          <w:sz w:val="24"/>
          <w:szCs w:val="24"/>
          <w:lang w:val="en-US"/>
        </w:rPr>
        <w:t>he bleeding period was significantly prolonged (</w:t>
      </w:r>
      <w:r w:rsidR="00077DB0" w:rsidRPr="00E47A42">
        <w:rPr>
          <w:rFonts w:ascii="Book Antiqua" w:hAnsi="Book Antiqua" w:cs="Times New Roman"/>
          <w:sz w:val="24"/>
          <w:szCs w:val="24"/>
          <w:lang w:val="en-US"/>
        </w:rPr>
        <w:t>Fig</w:t>
      </w:r>
      <w:r w:rsidR="00077DB0">
        <w:rPr>
          <w:rFonts w:ascii="Book Antiqua" w:hAnsi="Book Antiqua" w:cs="Times New Roman" w:hint="eastAsia"/>
          <w:sz w:val="24"/>
          <w:szCs w:val="24"/>
          <w:lang w:val="en-US" w:eastAsia="zh-CN"/>
        </w:rPr>
        <w:t>ure</w:t>
      </w:r>
      <w:r w:rsidR="00077DB0"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3).</w:t>
      </w:r>
    </w:p>
    <w:p w14:paraId="3747341A" w14:textId="77777777" w:rsidR="00077DB0" w:rsidRDefault="00077DB0" w:rsidP="00077DB0">
      <w:pPr>
        <w:snapToGrid w:val="0"/>
        <w:spacing w:after="0" w:line="360" w:lineRule="auto"/>
        <w:jc w:val="both"/>
        <w:rPr>
          <w:rFonts w:ascii="Book Antiqua" w:hAnsi="Book Antiqua" w:cs="Times New Roman"/>
          <w:i/>
          <w:sz w:val="24"/>
          <w:szCs w:val="24"/>
          <w:lang w:val="en-US" w:eastAsia="zh-CN"/>
        </w:rPr>
      </w:pPr>
    </w:p>
    <w:p w14:paraId="6C29EDC9" w14:textId="42CCF778" w:rsidR="009B03BD" w:rsidRPr="00E47A42" w:rsidRDefault="009B03BD" w:rsidP="00077DB0">
      <w:pPr>
        <w:snapToGrid w:val="0"/>
        <w:spacing w:after="0" w:line="360" w:lineRule="auto"/>
        <w:jc w:val="both"/>
        <w:rPr>
          <w:rFonts w:ascii="Book Antiqua" w:hAnsi="Book Antiqua" w:cs="Times New Roman"/>
          <w:sz w:val="24"/>
          <w:szCs w:val="24"/>
          <w:lang w:val="en-US"/>
        </w:rPr>
      </w:pPr>
      <w:r w:rsidRPr="00077DB0">
        <w:rPr>
          <w:rFonts w:ascii="Book Antiqua" w:hAnsi="Book Antiqua" w:cs="Times New Roman"/>
          <w:b/>
          <w:sz w:val="24"/>
          <w:szCs w:val="24"/>
          <w:lang w:val="en-US"/>
        </w:rPr>
        <w:t>L-NAME therapy</w:t>
      </w:r>
      <w:r w:rsidR="00077DB0">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After application of L-NAME, rats with a perforated cecum exhibited vessel disappearance similar to controls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1). There was </w:t>
      </w:r>
      <w:r w:rsidR="002C14F0" w:rsidRPr="00E47A42">
        <w:rPr>
          <w:rFonts w:ascii="Book Antiqua" w:hAnsi="Book Antiqua" w:cs="Times New Roman"/>
          <w:sz w:val="24"/>
          <w:szCs w:val="24"/>
          <w:lang w:val="en-US"/>
        </w:rPr>
        <w:t>counteraction of defect widening</w:t>
      </w:r>
      <w:r w:rsidR="009E7736"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2)</w:t>
      </w:r>
      <w:r w:rsidR="008B306C" w:rsidRPr="00E47A42">
        <w:rPr>
          <w:rFonts w:ascii="Book Antiqua" w:hAnsi="Book Antiqua" w:cs="Times New Roman"/>
          <w:sz w:val="24"/>
          <w:szCs w:val="24"/>
          <w:lang w:val="en-US"/>
        </w:rPr>
        <w:t>, and</w:t>
      </w:r>
      <w:r w:rsidRPr="00E47A42">
        <w:rPr>
          <w:rFonts w:ascii="Book Antiqua" w:hAnsi="Book Antiqua" w:cs="Times New Roman"/>
          <w:sz w:val="24"/>
          <w:szCs w:val="24"/>
          <w:lang w:val="en-US"/>
        </w:rPr>
        <w:t xml:space="preserve"> </w:t>
      </w:r>
      <w:r w:rsidR="008B306C" w:rsidRPr="00E47A42">
        <w:rPr>
          <w:rFonts w:ascii="Book Antiqua" w:hAnsi="Book Antiqua" w:cs="Times New Roman"/>
          <w:sz w:val="24"/>
          <w:szCs w:val="24"/>
          <w:lang w:val="en-US"/>
        </w:rPr>
        <w:t>t</w:t>
      </w:r>
      <w:r w:rsidRPr="00E47A42">
        <w:rPr>
          <w:rFonts w:ascii="Book Antiqua" w:hAnsi="Book Antiqua" w:cs="Times New Roman"/>
          <w:sz w:val="24"/>
          <w:szCs w:val="24"/>
          <w:lang w:val="en-US"/>
        </w:rPr>
        <w:t>he bleeding period was shortened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w:t>
      </w:r>
    </w:p>
    <w:p w14:paraId="53103E3F" w14:textId="77777777" w:rsidR="00184239" w:rsidRDefault="00184239" w:rsidP="00184239">
      <w:pPr>
        <w:snapToGrid w:val="0"/>
        <w:spacing w:after="0" w:line="360" w:lineRule="auto"/>
        <w:jc w:val="both"/>
        <w:rPr>
          <w:rFonts w:ascii="Book Antiqua" w:hAnsi="Book Antiqua" w:cs="Times New Roman"/>
          <w:i/>
          <w:sz w:val="24"/>
          <w:szCs w:val="24"/>
          <w:lang w:val="en-US" w:eastAsia="zh-CN"/>
        </w:rPr>
      </w:pPr>
    </w:p>
    <w:p w14:paraId="1F942771" w14:textId="41134785" w:rsidR="009B03BD" w:rsidRPr="00E47A42" w:rsidRDefault="009B03BD" w:rsidP="00184239">
      <w:pPr>
        <w:snapToGrid w:val="0"/>
        <w:spacing w:after="0" w:line="360" w:lineRule="auto"/>
        <w:jc w:val="both"/>
        <w:rPr>
          <w:rFonts w:ascii="Book Antiqua" w:hAnsi="Book Antiqua" w:cs="Times New Roman"/>
          <w:sz w:val="24"/>
          <w:szCs w:val="24"/>
          <w:lang w:val="en-US"/>
        </w:rPr>
      </w:pPr>
      <w:r w:rsidRPr="00184239">
        <w:rPr>
          <w:rFonts w:ascii="Book Antiqua" w:hAnsi="Book Antiqua" w:cs="Times New Roman"/>
          <w:b/>
          <w:sz w:val="24"/>
          <w:szCs w:val="24"/>
          <w:lang w:val="en-US"/>
        </w:rPr>
        <w:t>Combination therapy of L-arginine and L-NAME</w:t>
      </w:r>
      <w:r w:rsidR="00184239">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After application of L-arginine and L-NAME, rats with a perforated cecum exhibited a combined effect, with less vessel disappearance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00184239"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1), </w:t>
      </w:r>
      <w:r w:rsidR="002C14F0" w:rsidRPr="00E47A42">
        <w:rPr>
          <w:rFonts w:ascii="Book Antiqua" w:hAnsi="Book Antiqua" w:cs="Times New Roman"/>
          <w:sz w:val="24"/>
          <w:szCs w:val="24"/>
          <w:lang w:val="en-US"/>
        </w:rPr>
        <w:t>counteracted defect widening</w:t>
      </w:r>
      <w:r w:rsidRPr="00E47A42">
        <w:rPr>
          <w:rFonts w:ascii="Book Antiqua" w:hAnsi="Book Antiqua" w:cs="Times New Roman"/>
          <w:sz w:val="24"/>
          <w:szCs w:val="24"/>
          <w:lang w:val="en-US"/>
        </w:rPr>
        <w:t xml:space="preserve">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2) and a bleeding period in the range of </w:t>
      </w:r>
      <w:r w:rsidR="00A173B6" w:rsidRPr="00E47A42">
        <w:rPr>
          <w:rFonts w:ascii="Book Antiqua" w:hAnsi="Book Antiqua" w:cs="Times New Roman"/>
          <w:sz w:val="24"/>
          <w:szCs w:val="24"/>
          <w:lang w:val="en-US"/>
        </w:rPr>
        <w:t xml:space="preserve">that for </w:t>
      </w:r>
      <w:r w:rsidRPr="00E47A42">
        <w:rPr>
          <w:rFonts w:ascii="Book Antiqua" w:hAnsi="Book Antiqua" w:cs="Times New Roman"/>
          <w:sz w:val="24"/>
          <w:szCs w:val="24"/>
          <w:lang w:val="en-US"/>
        </w:rPr>
        <w:t>the control animals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w:t>
      </w:r>
    </w:p>
    <w:p w14:paraId="6C1CBD5F" w14:textId="77777777" w:rsidR="00184239" w:rsidRDefault="00184239" w:rsidP="00184239">
      <w:pPr>
        <w:snapToGrid w:val="0"/>
        <w:spacing w:after="0" w:line="360" w:lineRule="auto"/>
        <w:jc w:val="both"/>
        <w:rPr>
          <w:rFonts w:ascii="Book Antiqua" w:hAnsi="Book Antiqua" w:cs="Times New Roman"/>
          <w:i/>
          <w:sz w:val="24"/>
          <w:szCs w:val="24"/>
          <w:lang w:val="en-US" w:eastAsia="zh-CN"/>
        </w:rPr>
      </w:pPr>
    </w:p>
    <w:p w14:paraId="11B9D16D" w14:textId="7820852C" w:rsidR="009B03BD" w:rsidRPr="00E47A42" w:rsidRDefault="009B03BD" w:rsidP="00184239">
      <w:pPr>
        <w:snapToGrid w:val="0"/>
        <w:spacing w:after="0" w:line="360" w:lineRule="auto"/>
        <w:jc w:val="both"/>
        <w:rPr>
          <w:rFonts w:ascii="Book Antiqua" w:hAnsi="Book Antiqua" w:cs="Times New Roman"/>
          <w:sz w:val="24"/>
          <w:szCs w:val="24"/>
          <w:lang w:val="en-US"/>
        </w:rPr>
      </w:pPr>
      <w:r w:rsidRPr="00184239">
        <w:rPr>
          <w:rFonts w:ascii="Book Antiqua" w:hAnsi="Book Antiqua" w:cs="Times New Roman"/>
          <w:b/>
          <w:sz w:val="24"/>
          <w:szCs w:val="24"/>
          <w:lang w:val="en-US"/>
        </w:rPr>
        <w:t>Combined therapy of L-arginine and/or L-NAME with BPC 157</w:t>
      </w:r>
      <w:r w:rsidR="00184239">
        <w:rPr>
          <w:rFonts w:ascii="Book Antiqua" w:hAnsi="Book Antiqua" w:cs="Times New Roman" w:hint="eastAsia"/>
          <w:b/>
          <w:sz w:val="24"/>
          <w:szCs w:val="24"/>
          <w:lang w:val="en-US" w:eastAsia="zh-CN"/>
        </w:rPr>
        <w:t>:</w:t>
      </w:r>
      <w:r w:rsidRPr="00E47A42">
        <w:rPr>
          <w:rFonts w:ascii="Book Antiqua" w:hAnsi="Book Antiqua" w:cs="Times New Roman"/>
          <w:sz w:val="24"/>
          <w:szCs w:val="24"/>
          <w:lang w:val="en-US"/>
        </w:rPr>
        <w:t xml:space="preserve"> After application of BPC 157 with L-arginine and/or L-NAME, rats with a perforated cecum that underwent combined BPC 157 therapy (L-NAME</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BPC 157; L-arginine</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BPC 157; L-NAME</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18423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BPC 157) regularly exhibited progressive vessel presentation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00184239"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1) and a shortened bleeding time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3), similar to the rats that receive</w:t>
      </w:r>
      <w:r w:rsidR="008B306C"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BPC 157 alone. </w:t>
      </w:r>
      <w:r w:rsidR="009858B7" w:rsidRPr="00E47A42">
        <w:rPr>
          <w:rFonts w:ascii="Book Antiqua" w:hAnsi="Book Antiqua" w:cs="Times New Roman"/>
          <w:sz w:val="24"/>
          <w:szCs w:val="24"/>
          <w:lang w:val="en-US"/>
        </w:rPr>
        <w:t xml:space="preserve">All rats </w:t>
      </w:r>
      <w:r w:rsidR="00492A9B" w:rsidRPr="00E47A42">
        <w:rPr>
          <w:rFonts w:ascii="Book Antiqua" w:hAnsi="Book Antiqua" w:cs="Times New Roman"/>
          <w:sz w:val="24"/>
          <w:szCs w:val="24"/>
          <w:lang w:val="en-US"/>
        </w:rPr>
        <w:t>exhibited counteraction of defect widening (</w:t>
      </w:r>
      <w:r w:rsidR="00184239" w:rsidRPr="00E47A42">
        <w:rPr>
          <w:rFonts w:ascii="Book Antiqua" w:hAnsi="Book Antiqua" w:cs="Times New Roman"/>
          <w:sz w:val="24"/>
          <w:szCs w:val="24"/>
          <w:lang w:val="en-US"/>
        </w:rPr>
        <w:t>Fig</w:t>
      </w:r>
      <w:r w:rsidR="00184239">
        <w:rPr>
          <w:rFonts w:ascii="Book Antiqua" w:hAnsi="Book Antiqua" w:cs="Times New Roman" w:hint="eastAsia"/>
          <w:sz w:val="24"/>
          <w:szCs w:val="24"/>
          <w:lang w:val="en-US" w:eastAsia="zh-CN"/>
        </w:rPr>
        <w:t>ure</w:t>
      </w:r>
      <w:r w:rsidR="00184239" w:rsidRPr="00E47A42">
        <w:rPr>
          <w:rFonts w:ascii="Book Antiqua" w:hAnsi="Book Antiqua" w:cs="Times New Roman"/>
          <w:sz w:val="24"/>
          <w:szCs w:val="24"/>
          <w:lang w:val="en-US"/>
        </w:rPr>
        <w:t xml:space="preserve"> </w:t>
      </w:r>
      <w:r w:rsidR="00492A9B" w:rsidRPr="00E47A42">
        <w:rPr>
          <w:rFonts w:ascii="Book Antiqua" w:hAnsi="Book Antiqua" w:cs="Times New Roman"/>
          <w:sz w:val="24"/>
          <w:szCs w:val="24"/>
          <w:lang w:val="en-US"/>
        </w:rPr>
        <w:t>2).</w:t>
      </w:r>
    </w:p>
    <w:p w14:paraId="20A3FEFE" w14:textId="77777777" w:rsidR="009B03BD" w:rsidRPr="00E47A42" w:rsidRDefault="009B03BD" w:rsidP="00F73ADC">
      <w:pPr>
        <w:snapToGrid w:val="0"/>
        <w:spacing w:after="0" w:line="360" w:lineRule="auto"/>
        <w:jc w:val="both"/>
        <w:rPr>
          <w:rFonts w:ascii="Book Antiqua" w:hAnsi="Book Antiqua" w:cs="Times New Roman"/>
          <w:i/>
          <w:sz w:val="24"/>
          <w:szCs w:val="24"/>
          <w:lang w:val="en-US"/>
        </w:rPr>
      </w:pPr>
    </w:p>
    <w:p w14:paraId="4E7A192F" w14:textId="34284FAC" w:rsidR="009B03BD" w:rsidRPr="006905E1" w:rsidRDefault="009B03BD" w:rsidP="00F73ADC">
      <w:pPr>
        <w:snapToGrid w:val="0"/>
        <w:spacing w:after="0" w:line="360" w:lineRule="auto"/>
        <w:jc w:val="both"/>
        <w:rPr>
          <w:rFonts w:ascii="Book Antiqua" w:hAnsi="Book Antiqua" w:cs="Times New Roman"/>
          <w:b/>
          <w:i/>
          <w:sz w:val="24"/>
          <w:szCs w:val="24"/>
          <w:lang w:val="en-US"/>
        </w:rPr>
      </w:pPr>
      <w:r w:rsidRPr="006905E1">
        <w:rPr>
          <w:rFonts w:ascii="Book Antiqua" w:hAnsi="Book Antiqua" w:cs="Times New Roman"/>
          <w:b/>
          <w:i/>
          <w:noProof/>
          <w:sz w:val="24"/>
          <w:szCs w:val="24"/>
          <w:lang w:val="en-US"/>
        </w:rPr>
        <w:t>Final</w:t>
      </w:r>
      <w:r w:rsidRPr="006905E1">
        <w:rPr>
          <w:rFonts w:ascii="Book Antiqua" w:hAnsi="Book Antiqua" w:cs="Times New Roman"/>
          <w:b/>
          <w:i/>
          <w:sz w:val="24"/>
          <w:szCs w:val="24"/>
          <w:lang w:val="en-US"/>
        </w:rPr>
        <w:t xml:space="preserve"> course, defect and adhesion presentation at one day and one week of follow up</w:t>
      </w:r>
    </w:p>
    <w:p w14:paraId="3D2501C8" w14:textId="5FC2DEB5" w:rsidR="009B03BD" w:rsidRPr="00E47A42" w:rsidRDefault="009B03BD" w:rsidP="006905E1">
      <w:pPr>
        <w:snapToGrid w:val="0"/>
        <w:spacing w:after="0" w:line="360" w:lineRule="auto"/>
        <w:jc w:val="both"/>
        <w:rPr>
          <w:rFonts w:ascii="Book Antiqua" w:hAnsi="Book Antiqua" w:cs="Times New Roman"/>
          <w:sz w:val="24"/>
          <w:szCs w:val="24"/>
          <w:lang w:val="en-US"/>
        </w:rPr>
      </w:pPr>
      <w:r w:rsidRPr="006905E1">
        <w:rPr>
          <w:rFonts w:ascii="Book Antiqua" w:hAnsi="Book Antiqua" w:cs="Times New Roman"/>
          <w:b/>
          <w:sz w:val="24"/>
          <w:szCs w:val="24"/>
          <w:lang w:val="en-US"/>
        </w:rPr>
        <w:t>Controls</w:t>
      </w:r>
      <w:r w:rsidR="006905E1">
        <w:rPr>
          <w:rFonts w:ascii="Book Antiqua" w:hAnsi="Book Antiqua" w:cs="Times New Roman" w:hint="eastAsia"/>
          <w:b/>
          <w:sz w:val="24"/>
          <w:szCs w:val="24"/>
          <w:lang w:val="en-US" w:eastAsia="zh-CN"/>
        </w:rPr>
        <w:t>:</w:t>
      </w:r>
      <w:r w:rsidR="006905E1">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Regularly, after one day or one week, rats that underwent cecum perforation presented with a significant defect (Table 1, Fig. 8) that remained open and </w:t>
      </w:r>
      <w:r w:rsidR="008B306C" w:rsidRPr="00E47A42">
        <w:rPr>
          <w:rFonts w:ascii="Book Antiqua" w:hAnsi="Book Antiqua" w:cs="Times New Roman"/>
          <w:sz w:val="24"/>
          <w:szCs w:val="24"/>
          <w:lang w:val="en-US"/>
        </w:rPr>
        <w:t>showed</w:t>
      </w:r>
      <w:r w:rsidRPr="00E47A42">
        <w:rPr>
          <w:rFonts w:ascii="Book Antiqua" w:hAnsi="Book Antiqua" w:cs="Times New Roman"/>
          <w:sz w:val="24"/>
          <w:szCs w:val="24"/>
          <w:lang w:val="en-US"/>
        </w:rPr>
        <w:t xml:space="preserve"> significant adhesions (Table 1).</w:t>
      </w:r>
    </w:p>
    <w:p w14:paraId="51E6A9A2" w14:textId="77777777" w:rsidR="006905E1" w:rsidRDefault="006905E1" w:rsidP="006905E1">
      <w:pPr>
        <w:snapToGrid w:val="0"/>
        <w:spacing w:after="0" w:line="360" w:lineRule="auto"/>
        <w:jc w:val="both"/>
        <w:rPr>
          <w:rFonts w:ascii="Book Antiqua" w:hAnsi="Book Antiqua" w:cs="Times New Roman"/>
          <w:i/>
          <w:sz w:val="24"/>
          <w:szCs w:val="24"/>
          <w:lang w:val="en-US" w:eastAsia="zh-CN"/>
        </w:rPr>
      </w:pPr>
    </w:p>
    <w:p w14:paraId="4FC22A1A" w14:textId="665C17A0" w:rsidR="009B03BD" w:rsidRPr="00E47A42" w:rsidRDefault="009B03BD" w:rsidP="006905E1">
      <w:pPr>
        <w:snapToGrid w:val="0"/>
        <w:spacing w:after="0" w:line="360" w:lineRule="auto"/>
        <w:jc w:val="both"/>
        <w:rPr>
          <w:rFonts w:ascii="Book Antiqua" w:hAnsi="Book Antiqua" w:cs="Times New Roman"/>
          <w:sz w:val="24"/>
          <w:szCs w:val="24"/>
          <w:lang w:val="en-US"/>
        </w:rPr>
      </w:pPr>
      <w:r w:rsidRPr="006905E1">
        <w:rPr>
          <w:rFonts w:ascii="Book Antiqua" w:hAnsi="Book Antiqua" w:cs="Times New Roman"/>
          <w:b/>
          <w:sz w:val="24"/>
          <w:szCs w:val="24"/>
          <w:lang w:val="en-US"/>
        </w:rPr>
        <w:t>BPC 157 therapy</w:t>
      </w:r>
      <w:r w:rsidR="006905E1">
        <w:rPr>
          <w:rFonts w:ascii="Book Antiqua" w:hAnsi="Book Antiqua" w:cs="Times New Roman" w:hint="eastAsia"/>
          <w:b/>
          <w:sz w:val="24"/>
          <w:szCs w:val="24"/>
          <w:lang w:val="en-US" w:eastAsia="zh-CN"/>
        </w:rPr>
        <w:t>:</w:t>
      </w:r>
      <w:r w:rsidRPr="006905E1">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 with a perforated cecum that underwent a BPC 157 bath exhibited an attenua</w:t>
      </w:r>
      <w:r w:rsidR="009858B7" w:rsidRPr="00E47A42">
        <w:rPr>
          <w:rFonts w:ascii="Book Antiqua" w:hAnsi="Book Antiqua" w:cs="Times New Roman"/>
          <w:sz w:val="24"/>
          <w:szCs w:val="24"/>
          <w:lang w:val="en-US"/>
        </w:rPr>
        <w:t>ted defect and finally,</w:t>
      </w:r>
      <w:r w:rsidRPr="00E47A42">
        <w:rPr>
          <w:rFonts w:ascii="Book Antiqua" w:hAnsi="Book Antiqua" w:cs="Times New Roman"/>
          <w:sz w:val="24"/>
          <w:szCs w:val="24"/>
          <w:lang w:val="en-US"/>
        </w:rPr>
        <w:t xml:space="preserve"> no</w:t>
      </w:r>
      <w:r w:rsidR="009858B7" w:rsidRPr="00E47A42">
        <w:rPr>
          <w:rFonts w:ascii="Book Antiqua" w:hAnsi="Book Antiqua" w:cs="Times New Roman"/>
          <w:sz w:val="24"/>
          <w:szCs w:val="24"/>
          <w:lang w:val="en-US"/>
        </w:rPr>
        <w:t xml:space="preserve"> gross</w:t>
      </w:r>
      <w:r w:rsidRPr="00E47A42">
        <w:rPr>
          <w:rFonts w:ascii="Book Antiqua" w:hAnsi="Book Antiqua" w:cs="Times New Roman"/>
          <w:sz w:val="24"/>
          <w:szCs w:val="24"/>
          <w:lang w:val="en-US"/>
        </w:rPr>
        <w:t xml:space="preserve"> defect (Table 1, </w:t>
      </w:r>
      <w:r w:rsidR="00827922" w:rsidRPr="00E47A42">
        <w:rPr>
          <w:rFonts w:ascii="Book Antiqua" w:hAnsi="Book Antiqua" w:cs="Times New Roman"/>
          <w:sz w:val="24"/>
          <w:szCs w:val="24"/>
          <w:lang w:val="en-US"/>
        </w:rPr>
        <w:t>Fig</w:t>
      </w:r>
      <w:r w:rsidR="00827922">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8)</w:t>
      </w:r>
      <w:r w:rsidR="00844520"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and markedly fewer adhesions were present. </w:t>
      </w:r>
    </w:p>
    <w:p w14:paraId="200EAF09" w14:textId="77777777" w:rsidR="002F61DE" w:rsidRPr="00E47A42" w:rsidRDefault="002F61DE" w:rsidP="00827922">
      <w:pPr>
        <w:snapToGrid w:val="0"/>
        <w:spacing w:after="0" w:line="360" w:lineRule="auto"/>
        <w:jc w:val="both"/>
        <w:rPr>
          <w:rFonts w:ascii="Book Antiqua" w:hAnsi="Book Antiqua" w:cs="Times New Roman"/>
          <w:sz w:val="24"/>
          <w:szCs w:val="24"/>
          <w:lang w:val="en-US" w:eastAsia="zh-CN"/>
        </w:rPr>
      </w:pPr>
    </w:p>
    <w:p w14:paraId="66D5F61E" w14:textId="749A9AFA" w:rsidR="009B03BD" w:rsidRPr="00E47A42" w:rsidRDefault="009B03BD" w:rsidP="00827922">
      <w:pPr>
        <w:snapToGrid w:val="0"/>
        <w:spacing w:after="0" w:line="360" w:lineRule="auto"/>
        <w:jc w:val="both"/>
        <w:rPr>
          <w:rFonts w:ascii="Book Antiqua" w:hAnsi="Book Antiqua" w:cs="Times New Roman"/>
          <w:sz w:val="24"/>
          <w:szCs w:val="24"/>
          <w:lang w:val="en-US"/>
        </w:rPr>
      </w:pPr>
      <w:r w:rsidRPr="00827922">
        <w:rPr>
          <w:rFonts w:ascii="Book Antiqua" w:hAnsi="Book Antiqua" w:cs="Times New Roman"/>
          <w:b/>
          <w:sz w:val="24"/>
          <w:szCs w:val="24"/>
          <w:lang w:val="en-US"/>
        </w:rPr>
        <w:lastRenderedPageBreak/>
        <w:t>L-arginine therapy</w:t>
      </w:r>
      <w:r w:rsidR="00827922">
        <w:rPr>
          <w:rFonts w:ascii="Book Antiqua" w:hAnsi="Book Antiqua" w:cs="Times New Roman" w:hint="eastAsia"/>
          <w:b/>
          <w:sz w:val="24"/>
          <w:szCs w:val="24"/>
          <w:lang w:val="en-US" w:eastAsia="zh-CN"/>
        </w:rPr>
        <w:t>:</w:t>
      </w:r>
      <w:r w:rsidRPr="00827922">
        <w:rPr>
          <w:rFonts w:ascii="Book Antiqua" w:hAnsi="Book Antiqua" w:cs="Times New Roman"/>
          <w:b/>
          <w:sz w:val="24"/>
          <w:szCs w:val="24"/>
          <w:lang w:val="en-US"/>
        </w:rPr>
        <w:t xml:space="preserve"> </w:t>
      </w:r>
      <w:r w:rsidRPr="00E47A42">
        <w:rPr>
          <w:rFonts w:ascii="Book Antiqua" w:hAnsi="Book Antiqua" w:cs="Times New Roman"/>
          <w:sz w:val="24"/>
          <w:szCs w:val="24"/>
          <w:lang w:val="en-US"/>
        </w:rPr>
        <w:t>Rats with a perforated cecum that underwent an L-arginine bath initially exhibited an open defect larger than in the controls, and markedly more adhesions were present (Table 1).</w:t>
      </w:r>
    </w:p>
    <w:p w14:paraId="6A384FFF" w14:textId="77777777" w:rsidR="00827922" w:rsidRDefault="00827922" w:rsidP="00827922">
      <w:pPr>
        <w:snapToGrid w:val="0"/>
        <w:spacing w:after="0" w:line="360" w:lineRule="auto"/>
        <w:jc w:val="both"/>
        <w:rPr>
          <w:rFonts w:ascii="Book Antiqua" w:hAnsi="Book Antiqua" w:cs="Times New Roman"/>
          <w:i/>
          <w:sz w:val="24"/>
          <w:szCs w:val="24"/>
          <w:lang w:val="en-US" w:eastAsia="zh-CN"/>
        </w:rPr>
      </w:pPr>
    </w:p>
    <w:p w14:paraId="394FD276" w14:textId="73FBBEE2" w:rsidR="009B03BD" w:rsidRPr="00E47A42" w:rsidRDefault="009B03BD" w:rsidP="00827922">
      <w:pPr>
        <w:snapToGrid w:val="0"/>
        <w:spacing w:after="0" w:line="360" w:lineRule="auto"/>
        <w:jc w:val="both"/>
        <w:rPr>
          <w:rFonts w:ascii="Book Antiqua" w:hAnsi="Book Antiqua" w:cs="Times New Roman"/>
          <w:sz w:val="24"/>
          <w:szCs w:val="24"/>
          <w:lang w:val="en-US"/>
        </w:rPr>
      </w:pPr>
      <w:r w:rsidRPr="00827922">
        <w:rPr>
          <w:rFonts w:ascii="Book Antiqua" w:hAnsi="Book Antiqua" w:cs="Times New Roman"/>
          <w:b/>
          <w:sz w:val="24"/>
          <w:szCs w:val="24"/>
          <w:lang w:val="en-US"/>
        </w:rPr>
        <w:t>L-NAME therapy</w:t>
      </w:r>
      <w:r w:rsidR="00827922">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Rats with a perforated cecum that underwent an L-NAME bath exhibited an open defect larger than</w:t>
      </w:r>
      <w:r w:rsidR="00844520" w:rsidRPr="00E47A42">
        <w:rPr>
          <w:rFonts w:ascii="Book Antiqua" w:hAnsi="Book Antiqua" w:cs="Times New Roman"/>
          <w:sz w:val="24"/>
          <w:szCs w:val="24"/>
          <w:lang w:val="en-US"/>
        </w:rPr>
        <w:t xml:space="preserve"> that</w:t>
      </w:r>
      <w:r w:rsidRPr="00E47A42">
        <w:rPr>
          <w:rFonts w:ascii="Book Antiqua" w:hAnsi="Book Antiqua" w:cs="Times New Roman"/>
          <w:sz w:val="24"/>
          <w:szCs w:val="24"/>
          <w:lang w:val="en-US"/>
        </w:rPr>
        <w:t xml:space="preserve"> in the controls, and markedly more adhesions were present (Table 1).</w:t>
      </w:r>
    </w:p>
    <w:p w14:paraId="1BD6C9A2" w14:textId="77777777" w:rsidR="00827922" w:rsidRDefault="00827922" w:rsidP="00827922">
      <w:pPr>
        <w:snapToGrid w:val="0"/>
        <w:spacing w:after="0" w:line="360" w:lineRule="auto"/>
        <w:jc w:val="both"/>
        <w:rPr>
          <w:rFonts w:ascii="Book Antiqua" w:hAnsi="Book Antiqua" w:cs="Times New Roman"/>
          <w:i/>
          <w:sz w:val="24"/>
          <w:szCs w:val="24"/>
          <w:lang w:val="en-US" w:eastAsia="zh-CN"/>
        </w:rPr>
      </w:pPr>
    </w:p>
    <w:p w14:paraId="4649D27B" w14:textId="5A6502E9" w:rsidR="009B03BD" w:rsidRPr="00E47A42" w:rsidRDefault="009B03BD" w:rsidP="00827922">
      <w:pPr>
        <w:snapToGrid w:val="0"/>
        <w:spacing w:after="0" w:line="360" w:lineRule="auto"/>
        <w:jc w:val="both"/>
        <w:rPr>
          <w:rFonts w:ascii="Book Antiqua" w:hAnsi="Book Antiqua" w:cs="Times New Roman"/>
          <w:sz w:val="24"/>
          <w:szCs w:val="24"/>
          <w:lang w:val="en-US"/>
        </w:rPr>
      </w:pPr>
      <w:r w:rsidRPr="00827922">
        <w:rPr>
          <w:rFonts w:ascii="Book Antiqua" w:hAnsi="Book Antiqua" w:cs="Times New Roman"/>
          <w:b/>
          <w:sz w:val="24"/>
          <w:szCs w:val="24"/>
          <w:lang w:val="en-US"/>
        </w:rPr>
        <w:t>Combined therapy of L-arginine and L-NAME</w:t>
      </w:r>
      <w:r w:rsidR="00827922">
        <w:rPr>
          <w:rFonts w:ascii="Book Antiqua" w:hAnsi="Book Antiqua" w:cs="Times New Roman" w:hint="eastAsia"/>
          <w:b/>
          <w:sz w:val="24"/>
          <w:szCs w:val="24"/>
          <w:lang w:val="en-US" w:eastAsia="zh-CN"/>
        </w:rPr>
        <w:t>:</w:t>
      </w:r>
      <w:r w:rsidRPr="00E47A42">
        <w:rPr>
          <w:rFonts w:ascii="Book Antiqua" w:hAnsi="Book Antiqua" w:cs="Times New Roman"/>
          <w:i/>
          <w:sz w:val="24"/>
          <w:szCs w:val="24"/>
          <w:lang w:val="en-US"/>
        </w:rPr>
        <w:t xml:space="preserve"> </w:t>
      </w:r>
      <w:r w:rsidRPr="00E47A42">
        <w:rPr>
          <w:rFonts w:ascii="Book Antiqua" w:hAnsi="Book Antiqua" w:cs="Times New Roman"/>
          <w:sz w:val="24"/>
          <w:szCs w:val="24"/>
          <w:lang w:val="en-US"/>
        </w:rPr>
        <w:t>Rats with a perforated cecum that underwent this combined therapy exhibited an open defect that was found to be larger than</w:t>
      </w:r>
      <w:r w:rsidR="00844520" w:rsidRPr="00E47A42">
        <w:rPr>
          <w:rFonts w:ascii="Book Antiqua" w:hAnsi="Book Antiqua" w:cs="Times New Roman"/>
          <w:sz w:val="24"/>
          <w:szCs w:val="24"/>
          <w:lang w:val="en-US"/>
        </w:rPr>
        <w:t xml:space="preserve"> that</w:t>
      </w:r>
      <w:r w:rsidRPr="00E47A42">
        <w:rPr>
          <w:rFonts w:ascii="Book Antiqua" w:hAnsi="Book Antiqua" w:cs="Times New Roman"/>
          <w:sz w:val="24"/>
          <w:szCs w:val="24"/>
          <w:lang w:val="en-US"/>
        </w:rPr>
        <w:t xml:space="preserve"> in the controls, and markedly more adhesions were present (Table 1).</w:t>
      </w:r>
    </w:p>
    <w:p w14:paraId="702D82D4" w14:textId="77777777" w:rsidR="00827922" w:rsidRDefault="00827922" w:rsidP="00827922">
      <w:pPr>
        <w:snapToGrid w:val="0"/>
        <w:spacing w:after="0" w:line="360" w:lineRule="auto"/>
        <w:jc w:val="both"/>
        <w:rPr>
          <w:rFonts w:ascii="Book Antiqua" w:hAnsi="Book Antiqua" w:cs="Times New Roman"/>
          <w:i/>
          <w:sz w:val="24"/>
          <w:szCs w:val="24"/>
          <w:lang w:val="en-US" w:eastAsia="zh-CN"/>
        </w:rPr>
      </w:pPr>
    </w:p>
    <w:p w14:paraId="191C9BD1" w14:textId="466665E4" w:rsidR="009B03BD" w:rsidRPr="00E47A42" w:rsidRDefault="009B03BD" w:rsidP="00827922">
      <w:pPr>
        <w:snapToGrid w:val="0"/>
        <w:spacing w:after="0" w:line="360" w:lineRule="auto"/>
        <w:jc w:val="both"/>
        <w:rPr>
          <w:rFonts w:ascii="Book Antiqua" w:hAnsi="Book Antiqua" w:cs="Times New Roman"/>
          <w:sz w:val="24"/>
          <w:szCs w:val="24"/>
          <w:lang w:val="en-US"/>
        </w:rPr>
      </w:pPr>
      <w:r w:rsidRPr="00827922">
        <w:rPr>
          <w:rFonts w:ascii="Book Antiqua" w:hAnsi="Book Antiqua" w:cs="Times New Roman"/>
          <w:b/>
          <w:sz w:val="24"/>
          <w:szCs w:val="24"/>
          <w:lang w:val="en-US"/>
        </w:rPr>
        <w:t>Combined therapy of L-arginine and/or L-NAME with BPC 157</w:t>
      </w:r>
      <w:r w:rsidR="00827922">
        <w:rPr>
          <w:rFonts w:ascii="Book Antiqua" w:hAnsi="Book Antiqua" w:cs="Times New Roman" w:hint="eastAsia"/>
          <w:b/>
          <w:sz w:val="24"/>
          <w:szCs w:val="24"/>
          <w:lang w:val="en-US" w:eastAsia="zh-CN"/>
        </w:rPr>
        <w:t>:</w:t>
      </w:r>
      <w:r w:rsidRPr="00827922">
        <w:rPr>
          <w:rFonts w:ascii="Book Antiqua" w:hAnsi="Book Antiqua" w:cs="Times New Roman"/>
          <w:b/>
          <w:sz w:val="24"/>
          <w:szCs w:val="24"/>
          <w:lang w:val="en-US"/>
        </w:rPr>
        <w:t xml:space="preserve"> </w:t>
      </w:r>
      <w:r w:rsidRPr="00E47A42">
        <w:rPr>
          <w:rFonts w:ascii="Book Antiqua" w:hAnsi="Book Antiqua" w:cs="Times New Roman"/>
          <w:sz w:val="24"/>
          <w:szCs w:val="24"/>
          <w:lang w:val="en-US"/>
        </w:rPr>
        <w:t xml:space="preserve">BPC 157 with L-arginine and/or L-NAME (L-NAME+BPC 157; </w:t>
      </w:r>
      <w:proofErr w:type="spellStart"/>
      <w:r w:rsidRPr="00E47A42">
        <w:rPr>
          <w:rFonts w:ascii="Book Antiqua" w:hAnsi="Book Antiqua" w:cs="Times New Roman"/>
          <w:sz w:val="24"/>
          <w:szCs w:val="24"/>
          <w:lang w:val="en-US"/>
        </w:rPr>
        <w:t>L-arginine+BPC</w:t>
      </w:r>
      <w:proofErr w:type="spellEnd"/>
      <w:r w:rsidRPr="00E47A42">
        <w:rPr>
          <w:rFonts w:ascii="Book Antiqua" w:hAnsi="Book Antiqua" w:cs="Times New Roman"/>
          <w:sz w:val="24"/>
          <w:szCs w:val="24"/>
          <w:lang w:val="en-US"/>
        </w:rPr>
        <w:t xml:space="preserve"> 157; </w:t>
      </w:r>
      <w:proofErr w:type="spellStart"/>
      <w:r w:rsidRPr="00E47A42">
        <w:rPr>
          <w:rFonts w:ascii="Book Antiqua" w:hAnsi="Book Antiqua" w:cs="Times New Roman"/>
          <w:sz w:val="24"/>
          <w:szCs w:val="24"/>
          <w:lang w:val="en-US"/>
        </w:rPr>
        <w:t>L-NAME+L-arginine+BPC</w:t>
      </w:r>
      <w:proofErr w:type="spellEnd"/>
      <w:r w:rsidRPr="00E47A42">
        <w:rPr>
          <w:rFonts w:ascii="Book Antiqua" w:hAnsi="Book Antiqua" w:cs="Times New Roman"/>
          <w:sz w:val="24"/>
          <w:szCs w:val="24"/>
          <w:lang w:val="en-US"/>
        </w:rPr>
        <w:t xml:space="preserve"> 157) le</w:t>
      </w:r>
      <w:r w:rsidR="00844520"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to defect attenuation and eventually no defect grossly present with fewer adhesions, similar to the rats that receive</w:t>
      </w:r>
      <w:r w:rsidR="005F62B1"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BPC 157 alone (Table 1).</w:t>
      </w:r>
      <w:r w:rsidR="00CB6D86">
        <w:rPr>
          <w:rFonts w:ascii="Book Antiqua" w:hAnsi="Book Antiqua" w:cs="Times New Roman"/>
          <w:sz w:val="24"/>
          <w:szCs w:val="24"/>
          <w:lang w:val="en-US"/>
        </w:rPr>
        <w:t xml:space="preserve"> </w:t>
      </w:r>
    </w:p>
    <w:p w14:paraId="79926050" w14:textId="77777777" w:rsidR="009B03BD" w:rsidRPr="00E47A42" w:rsidRDefault="009B03BD" w:rsidP="00F73ADC">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NO level</w:t>
      </w:r>
    </w:p>
    <w:p w14:paraId="7F85D086" w14:textId="6187B8E7" w:rsidR="009B03BD" w:rsidRPr="00E47A42" w:rsidRDefault="009B03BD" w:rsidP="00827922">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In the early term, NO level assessment demonstrated a </w:t>
      </w:r>
      <w:r w:rsidR="005F62B1" w:rsidRPr="00E47A42">
        <w:rPr>
          <w:rFonts w:ascii="Book Antiqua" w:hAnsi="Book Antiqua" w:cs="Times New Roman"/>
          <w:sz w:val="24"/>
          <w:szCs w:val="24"/>
          <w:lang w:val="en-US"/>
        </w:rPr>
        <w:t>reduction</w:t>
      </w:r>
      <w:r w:rsidRPr="00E47A42">
        <w:rPr>
          <w:rFonts w:ascii="Book Antiqua" w:hAnsi="Book Antiqua" w:cs="Times New Roman"/>
          <w:sz w:val="24"/>
          <w:szCs w:val="24"/>
          <w:lang w:val="en-US"/>
        </w:rPr>
        <w:t xml:space="preserve"> in the levels in rats that underwent cecum perforation, but the NO values in rats with a perforated cecum that underwent BPC 157 medication were similar to th</w:t>
      </w:r>
      <w:r w:rsidR="005F62B1" w:rsidRPr="00E47A42">
        <w:rPr>
          <w:rFonts w:ascii="Book Antiqua" w:hAnsi="Book Antiqua" w:cs="Times New Roman"/>
          <w:sz w:val="24"/>
          <w:szCs w:val="24"/>
          <w:lang w:val="en-US"/>
        </w:rPr>
        <w:t>ose</w:t>
      </w:r>
      <w:r w:rsidRPr="00E47A42">
        <w:rPr>
          <w:rFonts w:ascii="Book Antiqua" w:hAnsi="Book Antiqua" w:cs="Times New Roman"/>
          <w:sz w:val="24"/>
          <w:szCs w:val="24"/>
          <w:lang w:val="en-US"/>
        </w:rPr>
        <w:t xml:space="preserve"> in healthy rats (</w:t>
      </w:r>
      <w:r w:rsidR="00AE4E06" w:rsidRPr="00E47A42">
        <w:rPr>
          <w:rFonts w:ascii="Book Antiqua" w:hAnsi="Book Antiqua" w:cs="Times New Roman"/>
          <w:sz w:val="24"/>
          <w:szCs w:val="24"/>
          <w:lang w:val="en-US"/>
        </w:rPr>
        <w:t>Fig</w:t>
      </w:r>
      <w:r w:rsidR="00AE4E06">
        <w:rPr>
          <w:rFonts w:ascii="Book Antiqua" w:hAnsi="Book Antiqua" w:cs="Times New Roman" w:hint="eastAsia"/>
          <w:sz w:val="24"/>
          <w:szCs w:val="24"/>
          <w:lang w:val="en-US" w:eastAsia="zh-CN"/>
        </w:rPr>
        <w:t xml:space="preserve">ure </w:t>
      </w:r>
      <w:r w:rsidRPr="00E47A42">
        <w:rPr>
          <w:rFonts w:ascii="Book Antiqua" w:hAnsi="Book Antiqua" w:cs="Times New Roman"/>
          <w:sz w:val="24"/>
          <w:szCs w:val="24"/>
          <w:lang w:val="en-US"/>
        </w:rPr>
        <w:t>4).</w:t>
      </w:r>
    </w:p>
    <w:p w14:paraId="7224B29F" w14:textId="77777777" w:rsidR="00AE4E06" w:rsidRPr="00AE4E06" w:rsidRDefault="00AE4E06" w:rsidP="00F73ADC">
      <w:pPr>
        <w:snapToGrid w:val="0"/>
        <w:spacing w:after="0" w:line="360" w:lineRule="auto"/>
        <w:jc w:val="both"/>
        <w:rPr>
          <w:rFonts w:ascii="Book Antiqua" w:hAnsi="Book Antiqua" w:cs="Times New Roman"/>
          <w:sz w:val="24"/>
          <w:szCs w:val="24"/>
          <w:lang w:val="en-US" w:eastAsia="zh-CN"/>
        </w:rPr>
      </w:pPr>
    </w:p>
    <w:p w14:paraId="4B9DA16F" w14:textId="77777777" w:rsidR="009B03BD" w:rsidRPr="00AE4E06" w:rsidRDefault="009B03BD" w:rsidP="00F73ADC">
      <w:pPr>
        <w:snapToGrid w:val="0"/>
        <w:spacing w:after="0" w:line="360" w:lineRule="auto"/>
        <w:jc w:val="both"/>
        <w:rPr>
          <w:rFonts w:ascii="Book Antiqua" w:hAnsi="Book Antiqua" w:cs="Times New Roman"/>
          <w:b/>
          <w:i/>
          <w:sz w:val="24"/>
          <w:szCs w:val="24"/>
          <w:lang w:val="en-US"/>
        </w:rPr>
      </w:pPr>
      <w:r w:rsidRPr="00AE4E06">
        <w:rPr>
          <w:rFonts w:ascii="Book Antiqua" w:hAnsi="Book Antiqua" w:cs="Times New Roman"/>
          <w:b/>
          <w:i/>
          <w:sz w:val="24"/>
          <w:szCs w:val="24"/>
          <w:lang w:val="en-US"/>
        </w:rPr>
        <w:t>Lipid peroxidation</w:t>
      </w:r>
    </w:p>
    <w:p w14:paraId="794709CB" w14:textId="77777777" w:rsidR="009B03BD" w:rsidRPr="00E47A42" w:rsidRDefault="009B03BD" w:rsidP="00AE4E06">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In the early stages, lipid peroxidation assessment demonstrated a huge increase in rats that underwent cecum perforation but no MDA oxidative stress in rats with a </w:t>
      </w:r>
      <w:r w:rsidRPr="00E47A42">
        <w:rPr>
          <w:rFonts w:ascii="Book Antiqua" w:hAnsi="Book Antiqua" w:cs="Times New Roman"/>
          <w:noProof/>
          <w:sz w:val="24"/>
          <w:szCs w:val="24"/>
          <w:lang w:val="en-US"/>
        </w:rPr>
        <w:t>perforate</w:t>
      </w:r>
      <w:r w:rsidRPr="00E47A42">
        <w:rPr>
          <w:rFonts w:ascii="Book Antiqua" w:hAnsi="Book Antiqua" w:cs="Times New Roman"/>
          <w:sz w:val="24"/>
          <w:szCs w:val="24"/>
          <w:lang w:val="en-US"/>
        </w:rPr>
        <w:t xml:space="preserve"> cecum that underwent BPC 157 medication (Fig. 5).</w:t>
      </w:r>
    </w:p>
    <w:p w14:paraId="04E566E4" w14:textId="77777777" w:rsidR="00AE4E06" w:rsidRDefault="00AE4E06" w:rsidP="00F73ADC">
      <w:pPr>
        <w:snapToGrid w:val="0"/>
        <w:spacing w:after="0" w:line="360" w:lineRule="auto"/>
        <w:jc w:val="both"/>
        <w:rPr>
          <w:rFonts w:ascii="Book Antiqua" w:hAnsi="Book Antiqua" w:cs="Times New Roman"/>
          <w:sz w:val="24"/>
          <w:szCs w:val="24"/>
          <w:lang w:val="en-US" w:eastAsia="zh-CN"/>
        </w:rPr>
      </w:pPr>
    </w:p>
    <w:p w14:paraId="354FB538" w14:textId="77777777" w:rsidR="009B03BD" w:rsidRPr="00AE4E06" w:rsidRDefault="009B03BD" w:rsidP="00F73ADC">
      <w:pPr>
        <w:snapToGrid w:val="0"/>
        <w:spacing w:after="0" w:line="360" w:lineRule="auto"/>
        <w:jc w:val="both"/>
        <w:rPr>
          <w:rFonts w:ascii="Book Antiqua" w:hAnsi="Book Antiqua" w:cs="Times New Roman"/>
          <w:b/>
          <w:i/>
          <w:sz w:val="24"/>
          <w:szCs w:val="24"/>
          <w:lang w:val="en-US"/>
        </w:rPr>
      </w:pPr>
      <w:r w:rsidRPr="00AE4E06">
        <w:rPr>
          <w:rFonts w:ascii="Book Antiqua" w:hAnsi="Book Antiqua" w:cs="Times New Roman"/>
          <w:b/>
          <w:i/>
          <w:sz w:val="24"/>
          <w:szCs w:val="24"/>
          <w:lang w:val="en-US"/>
        </w:rPr>
        <w:t>Microscopy</w:t>
      </w:r>
    </w:p>
    <w:p w14:paraId="11141F0F" w14:textId="155718B4" w:rsidR="00F82C98" w:rsidRPr="00E47A42" w:rsidRDefault="009B03BD" w:rsidP="00AE4E06">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At the first day post-injury, controls exhibited intensive </w:t>
      </w:r>
      <w:r w:rsidRPr="00E47A42">
        <w:rPr>
          <w:rFonts w:ascii="Book Antiqua" w:hAnsi="Book Antiqua" w:cs="Times New Roman"/>
          <w:noProof/>
          <w:sz w:val="24"/>
          <w:szCs w:val="24"/>
          <w:lang w:val="en-US"/>
        </w:rPr>
        <w:t>edema</w:t>
      </w:r>
      <w:r w:rsidRPr="00E47A42">
        <w:rPr>
          <w:rFonts w:ascii="Book Antiqua" w:hAnsi="Book Antiqua" w:cs="Times New Roman"/>
          <w:sz w:val="24"/>
          <w:szCs w:val="24"/>
          <w:lang w:val="en-US"/>
        </w:rPr>
        <w:t xml:space="preserve">, loss of glands in the vicinity of the perforation, scarce inflammation, and neutrophils. </w:t>
      </w:r>
      <w:r w:rsidR="005F62B1" w:rsidRPr="00E47A42">
        <w:rPr>
          <w:rFonts w:ascii="Book Antiqua" w:hAnsi="Book Antiqua" w:cs="Times New Roman"/>
          <w:sz w:val="24"/>
          <w:szCs w:val="24"/>
          <w:lang w:val="en-US"/>
        </w:rPr>
        <w:t>By</w:t>
      </w:r>
      <w:r w:rsidRPr="00E47A42">
        <w:rPr>
          <w:rFonts w:ascii="Book Antiqua" w:hAnsi="Book Antiqua" w:cs="Times New Roman"/>
          <w:sz w:val="24"/>
          <w:szCs w:val="24"/>
          <w:lang w:val="en-US"/>
        </w:rPr>
        <w:t xml:space="preserve"> contrast, BPC </w:t>
      </w:r>
      <w:r w:rsidRPr="00E47A42">
        <w:rPr>
          <w:rFonts w:ascii="Book Antiqua" w:hAnsi="Book Antiqua" w:cs="Times New Roman"/>
          <w:sz w:val="24"/>
          <w:szCs w:val="24"/>
          <w:lang w:val="en-US"/>
        </w:rPr>
        <w:lastRenderedPageBreak/>
        <w:t xml:space="preserve">157-treated animals had much less </w:t>
      </w:r>
      <w:r w:rsidRPr="00E47A42">
        <w:rPr>
          <w:rFonts w:ascii="Book Antiqua" w:hAnsi="Book Antiqua" w:cs="Times New Roman"/>
          <w:noProof/>
          <w:sz w:val="24"/>
          <w:szCs w:val="24"/>
          <w:lang w:val="en-US"/>
        </w:rPr>
        <w:t>edema</w:t>
      </w:r>
      <w:r w:rsidRPr="00E47A42">
        <w:rPr>
          <w:rFonts w:ascii="Book Antiqua" w:hAnsi="Book Antiqua" w:cs="Times New Roman"/>
          <w:sz w:val="24"/>
          <w:szCs w:val="24"/>
          <w:lang w:val="en-US"/>
        </w:rPr>
        <w:t>, intensive inflammation (mixed</w:t>
      </w:r>
      <w:r w:rsidR="00907686" w:rsidRPr="00E47A42">
        <w:rPr>
          <w:rFonts w:ascii="Book Antiqua" w:hAnsi="Book Antiqua" w:cs="Times New Roman"/>
          <w:sz w:val="24"/>
          <w:szCs w:val="24"/>
          <w:lang w:val="en-US"/>
        </w:rPr>
        <w:t xml:space="preserve"> </w:t>
      </w:r>
      <w:r w:rsidRPr="00E47A42">
        <w:rPr>
          <w:rFonts w:ascii="Book Antiqua" w:hAnsi="Book Antiqua" w:cs="Times New Roman"/>
          <w:noProof/>
          <w:sz w:val="24"/>
          <w:szCs w:val="24"/>
          <w:lang w:val="en-US"/>
        </w:rPr>
        <w:t>neutro</w:t>
      </w:r>
      <w:r w:rsidRPr="00E47A42">
        <w:rPr>
          <w:rFonts w:ascii="Book Antiqua" w:hAnsi="Book Antiqua" w:cs="Times New Roman"/>
          <w:sz w:val="24"/>
          <w:szCs w:val="24"/>
          <w:lang w:val="en-US"/>
        </w:rPr>
        <w:t xml:space="preserve"> and mono) and a fibrin cloth attached to the defect (‘holding’ the edges) (</w:t>
      </w:r>
      <w:r w:rsidR="00AE4E06" w:rsidRPr="00E47A42">
        <w:rPr>
          <w:rFonts w:ascii="Book Antiqua" w:hAnsi="Book Antiqua" w:cs="Times New Roman"/>
          <w:sz w:val="24"/>
          <w:szCs w:val="24"/>
          <w:lang w:val="en-US"/>
        </w:rPr>
        <w:t>Fig</w:t>
      </w:r>
      <w:r w:rsidR="00AE4E06">
        <w:rPr>
          <w:rFonts w:ascii="Book Antiqua" w:hAnsi="Book Antiqua" w:cs="Times New Roman" w:hint="eastAsia"/>
          <w:sz w:val="24"/>
          <w:szCs w:val="24"/>
          <w:lang w:val="en-US" w:eastAsia="zh-CN"/>
        </w:rPr>
        <w:t>ure</w:t>
      </w:r>
      <w:r w:rsidRPr="00E47A42">
        <w:rPr>
          <w:rFonts w:ascii="Book Antiqua" w:hAnsi="Book Antiqua" w:cs="Times New Roman"/>
          <w:sz w:val="24"/>
          <w:szCs w:val="24"/>
          <w:lang w:val="en-US"/>
        </w:rPr>
        <w:t xml:space="preserve"> 9). </w:t>
      </w:r>
    </w:p>
    <w:p w14:paraId="4DE80494" w14:textId="29B4803E" w:rsidR="009B03BD" w:rsidRPr="00E47A42" w:rsidRDefault="00D72C63" w:rsidP="00AE4E06">
      <w:pPr>
        <w:snapToGrid w:val="0"/>
        <w:spacing w:after="0" w:line="360" w:lineRule="auto"/>
        <w:ind w:firstLineChars="100" w:firstLine="240"/>
        <w:jc w:val="both"/>
        <w:rPr>
          <w:rFonts w:ascii="Book Antiqua" w:hAnsi="Book Antiqua" w:cs="Times New Roman"/>
          <w:sz w:val="24"/>
          <w:szCs w:val="24"/>
          <w:lang w:val="en-US"/>
        </w:rPr>
      </w:pPr>
      <w:r>
        <w:rPr>
          <w:rFonts w:ascii="Book Antiqua" w:hAnsi="Book Antiqua" w:cs="Times New Roman"/>
          <w:sz w:val="24"/>
          <w:szCs w:val="24"/>
          <w:lang w:val="en-US"/>
        </w:rPr>
        <w:t>In control animals, after 7 d</w:t>
      </w:r>
      <w:r w:rsidR="009B03BD" w:rsidRPr="00E47A42">
        <w:rPr>
          <w:rFonts w:ascii="Book Antiqua" w:hAnsi="Book Antiqua" w:cs="Times New Roman"/>
          <w:sz w:val="24"/>
          <w:szCs w:val="24"/>
          <w:lang w:val="en-US"/>
        </w:rPr>
        <w:t xml:space="preserve">, the perforation showed communication between the lumen and peritoneal cavity that was partly closed by a loose clot with </w:t>
      </w:r>
      <w:r w:rsidR="00907686" w:rsidRPr="00E47A42">
        <w:rPr>
          <w:rFonts w:ascii="Book Antiqua" w:hAnsi="Book Antiqua" w:cs="Times New Roman"/>
          <w:sz w:val="24"/>
          <w:szCs w:val="24"/>
          <w:lang w:val="en-US"/>
        </w:rPr>
        <w:t xml:space="preserve">much </w:t>
      </w:r>
      <w:r w:rsidR="009B03BD" w:rsidRPr="00E47A42">
        <w:rPr>
          <w:rFonts w:ascii="Book Antiqua" w:hAnsi="Book Antiqua" w:cs="Times New Roman"/>
          <w:sz w:val="24"/>
          <w:szCs w:val="24"/>
          <w:lang w:val="en-US"/>
        </w:rPr>
        <w:t xml:space="preserve">debris and </w:t>
      </w:r>
      <w:r w:rsidR="00907686" w:rsidRPr="00E47A42">
        <w:rPr>
          <w:rFonts w:ascii="Book Antiqua" w:hAnsi="Book Antiqua" w:cs="Times New Roman"/>
          <w:sz w:val="24"/>
          <w:szCs w:val="24"/>
          <w:lang w:val="en-US"/>
        </w:rPr>
        <w:t xml:space="preserve">many </w:t>
      </w:r>
      <w:r w:rsidR="009B03BD" w:rsidRPr="00E47A42">
        <w:rPr>
          <w:rFonts w:ascii="Book Antiqua" w:hAnsi="Book Antiqua" w:cs="Times New Roman"/>
          <w:sz w:val="24"/>
          <w:szCs w:val="24"/>
          <w:lang w:val="en-US"/>
        </w:rPr>
        <w:t>inflammatory cells (</w:t>
      </w:r>
      <w:r w:rsidR="00AE4E06" w:rsidRPr="00E47A42">
        <w:rPr>
          <w:rFonts w:ascii="Book Antiqua" w:hAnsi="Book Antiqua" w:cs="Times New Roman"/>
          <w:sz w:val="24"/>
          <w:szCs w:val="24"/>
          <w:lang w:val="en-US"/>
        </w:rPr>
        <w:t>Fig</w:t>
      </w:r>
      <w:r w:rsidR="00AE4E06">
        <w:rPr>
          <w:rFonts w:ascii="Book Antiqua" w:hAnsi="Book Antiqua" w:cs="Times New Roman" w:hint="eastAsia"/>
          <w:sz w:val="24"/>
          <w:szCs w:val="24"/>
          <w:lang w:val="en-US" w:eastAsia="zh-CN"/>
        </w:rPr>
        <w:t>ure</w:t>
      </w:r>
      <w:r w:rsidR="005C3032">
        <w:rPr>
          <w:rFonts w:ascii="Book Antiqua" w:hAnsi="Book Antiqua" w:cs="Times New Roman" w:hint="eastAsia"/>
          <w:sz w:val="24"/>
          <w:szCs w:val="24"/>
          <w:lang w:val="en-US" w:eastAsia="zh-CN"/>
        </w:rPr>
        <w:t xml:space="preserve"> </w:t>
      </w:r>
      <w:r w:rsidR="009B03BD" w:rsidRPr="00E47A42">
        <w:rPr>
          <w:rFonts w:ascii="Book Antiqua" w:hAnsi="Book Antiqua" w:cs="Times New Roman"/>
          <w:sz w:val="24"/>
          <w:szCs w:val="24"/>
          <w:lang w:val="en-US"/>
        </w:rPr>
        <w:t>10). In treated animals, the defect was sealed with well-formed granulation tissue. The surrounding mucosa in controls was edematous, and the epithelium showed practically no regenerative activity</w:t>
      </w:r>
      <w:r w:rsidR="005F62B1" w:rsidRPr="00E47A42">
        <w:rPr>
          <w:rFonts w:ascii="Book Antiqua" w:hAnsi="Book Antiqua" w:cs="Times New Roman"/>
          <w:sz w:val="24"/>
          <w:szCs w:val="24"/>
          <w:lang w:val="en-US"/>
        </w:rPr>
        <w:t>.</w:t>
      </w:r>
      <w:r w:rsidR="009B03BD" w:rsidRPr="00E47A42">
        <w:rPr>
          <w:rFonts w:ascii="Book Antiqua" w:hAnsi="Book Antiqua" w:cs="Times New Roman"/>
          <w:sz w:val="24"/>
          <w:szCs w:val="24"/>
          <w:lang w:val="en-US"/>
        </w:rPr>
        <w:t xml:space="preserve"> </w:t>
      </w:r>
      <w:r w:rsidR="005F62B1" w:rsidRPr="00E47A42">
        <w:rPr>
          <w:rFonts w:ascii="Book Antiqua" w:hAnsi="Book Antiqua" w:cs="Times New Roman"/>
          <w:sz w:val="24"/>
          <w:szCs w:val="24"/>
          <w:lang w:val="en-US"/>
        </w:rPr>
        <w:t>However,</w:t>
      </w:r>
      <w:r w:rsidR="009B03BD" w:rsidRPr="00E47A42">
        <w:rPr>
          <w:rFonts w:ascii="Book Antiqua" w:hAnsi="Book Antiqua" w:cs="Times New Roman"/>
          <w:sz w:val="24"/>
          <w:szCs w:val="24"/>
          <w:lang w:val="en-US"/>
        </w:rPr>
        <w:t xml:space="preserve"> in treated animals, the </w:t>
      </w:r>
      <w:r w:rsidR="009B03BD" w:rsidRPr="00E47A42">
        <w:rPr>
          <w:rFonts w:ascii="Book Antiqua" w:hAnsi="Book Antiqua" w:cs="Times New Roman"/>
          <w:noProof/>
          <w:sz w:val="24"/>
          <w:szCs w:val="24"/>
          <w:lang w:val="en-US"/>
        </w:rPr>
        <w:t>edema</w:t>
      </w:r>
      <w:r w:rsidR="009B03BD" w:rsidRPr="00E47A42">
        <w:rPr>
          <w:rFonts w:ascii="Book Antiqua" w:hAnsi="Book Antiqua" w:cs="Times New Roman"/>
          <w:sz w:val="24"/>
          <w:szCs w:val="24"/>
          <w:lang w:val="en-US"/>
        </w:rPr>
        <w:t xml:space="preserve"> was much less pronounced</w:t>
      </w:r>
      <w:r w:rsidR="005F62B1" w:rsidRPr="00E47A42">
        <w:rPr>
          <w:rFonts w:ascii="Book Antiqua" w:hAnsi="Book Antiqua" w:cs="Times New Roman"/>
          <w:sz w:val="24"/>
          <w:szCs w:val="24"/>
          <w:lang w:val="en-US"/>
        </w:rPr>
        <w:t>,</w:t>
      </w:r>
      <w:r w:rsidR="009B03BD" w:rsidRPr="00E47A42">
        <w:rPr>
          <w:rFonts w:ascii="Book Antiqua" w:hAnsi="Book Antiqua" w:cs="Times New Roman"/>
          <w:sz w:val="24"/>
          <w:szCs w:val="24"/>
          <w:lang w:val="en-US"/>
        </w:rPr>
        <w:t xml:space="preserve"> and the surface epithelium </w:t>
      </w:r>
      <w:r w:rsidR="00907686" w:rsidRPr="00E47A42">
        <w:rPr>
          <w:rFonts w:ascii="Book Antiqua" w:hAnsi="Book Antiqua" w:cs="Times New Roman"/>
          <w:sz w:val="24"/>
          <w:szCs w:val="24"/>
          <w:lang w:val="en-US"/>
        </w:rPr>
        <w:t xml:space="preserve">began </w:t>
      </w:r>
      <w:r w:rsidR="009B03BD" w:rsidRPr="00E47A42">
        <w:rPr>
          <w:rFonts w:ascii="Book Antiqua" w:hAnsi="Book Antiqua" w:cs="Times New Roman"/>
          <w:sz w:val="24"/>
          <w:szCs w:val="24"/>
          <w:lang w:val="en-US"/>
        </w:rPr>
        <w:t>to migrate over the defect.</w:t>
      </w:r>
    </w:p>
    <w:p w14:paraId="72D38DD7" w14:textId="3184F581" w:rsidR="00BE6650" w:rsidRPr="00E47A42" w:rsidRDefault="00BE6650" w:rsidP="00AE4E06">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However, no lethal outcome was noted during the experiment.</w:t>
      </w:r>
    </w:p>
    <w:p w14:paraId="1B5B5651" w14:textId="77777777" w:rsidR="002F61DE" w:rsidRPr="00E47A42" w:rsidRDefault="002F61DE" w:rsidP="00F73ADC">
      <w:pPr>
        <w:snapToGrid w:val="0"/>
        <w:spacing w:after="0" w:line="360" w:lineRule="auto"/>
        <w:jc w:val="both"/>
        <w:rPr>
          <w:rFonts w:ascii="Book Antiqua" w:hAnsi="Book Antiqua" w:cs="Times New Roman"/>
          <w:sz w:val="24"/>
          <w:szCs w:val="24"/>
          <w:lang w:val="en-US" w:eastAsia="zh-CN"/>
        </w:rPr>
      </w:pPr>
    </w:p>
    <w:p w14:paraId="10457E1F" w14:textId="7E2E5B18" w:rsidR="00A302B4" w:rsidRPr="00E47A42" w:rsidRDefault="0022476E" w:rsidP="00F73ADC">
      <w:pPr>
        <w:pStyle w:val="PlainText"/>
        <w:snapToGrid w:val="0"/>
        <w:spacing w:line="360" w:lineRule="auto"/>
        <w:jc w:val="both"/>
        <w:rPr>
          <w:rFonts w:ascii="Book Antiqua" w:hAnsi="Book Antiqua" w:cs="Times New Roman"/>
          <w:b/>
          <w:sz w:val="24"/>
          <w:szCs w:val="24"/>
          <w:lang w:val="en-US"/>
        </w:rPr>
      </w:pPr>
      <w:r w:rsidRPr="00E47A42">
        <w:rPr>
          <w:rFonts w:ascii="Book Antiqua" w:hAnsi="Book Antiqua" w:cs="Times New Roman"/>
          <w:b/>
          <w:sz w:val="24"/>
          <w:szCs w:val="24"/>
          <w:lang w:val="en-US"/>
        </w:rPr>
        <w:t>DISCUSSION</w:t>
      </w:r>
    </w:p>
    <w:p w14:paraId="507BF5BC" w14:textId="5D045114" w:rsidR="00AF42FF" w:rsidRPr="00E47A42" w:rsidRDefault="00BE7057" w:rsidP="00F73ADC">
      <w:pPr>
        <w:pStyle w:val="PlainText"/>
        <w:snapToGrid w:val="0"/>
        <w:spacing w:line="360" w:lineRule="auto"/>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Major </w:t>
      </w:r>
      <w:r w:rsidR="00495E6D" w:rsidRPr="00E47A42">
        <w:rPr>
          <w:rFonts w:ascii="Book Antiqua" w:hAnsi="Book Antiqua" w:cs="Times New Roman"/>
          <w:sz w:val="24"/>
          <w:szCs w:val="24"/>
          <w:lang w:val="en-US"/>
        </w:rPr>
        <w:t>disturbance</w:t>
      </w:r>
      <w:r w:rsidR="009234D0"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a</w:t>
      </w:r>
      <w:r w:rsidR="00EC0007" w:rsidRPr="00E47A42">
        <w:rPr>
          <w:rFonts w:ascii="Book Antiqua" w:hAnsi="Book Antiqua" w:cs="Times New Roman"/>
          <w:sz w:val="24"/>
          <w:szCs w:val="24"/>
          <w:lang w:val="en-US"/>
        </w:rPr>
        <w:t xml:space="preserve">n immediate post-injury period </w:t>
      </w:r>
      <w:r w:rsidR="009234D0" w:rsidRPr="00E47A42">
        <w:rPr>
          <w:rFonts w:ascii="Book Antiqua" w:hAnsi="Book Antiqua" w:cs="Times New Roman"/>
          <w:sz w:val="24"/>
          <w:szCs w:val="24"/>
          <w:lang w:val="en-US"/>
        </w:rPr>
        <w:t xml:space="preserve">also </w:t>
      </w:r>
      <w:r w:rsidRPr="00E47A42">
        <w:rPr>
          <w:rFonts w:ascii="Book Antiqua" w:hAnsi="Book Antiqua" w:cs="Times New Roman"/>
          <w:noProof/>
          <w:sz w:val="24"/>
          <w:szCs w:val="24"/>
          <w:lang w:val="en-US"/>
        </w:rPr>
        <w:t>entails</w:t>
      </w:r>
      <w:r w:rsidR="00E17A75"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the</w:t>
      </w:r>
      <w:r w:rsidR="00E17A75" w:rsidRPr="00E47A42">
        <w:rPr>
          <w:rFonts w:ascii="Book Antiqua" w:hAnsi="Book Antiqua" w:cs="Times New Roman"/>
          <w:sz w:val="24"/>
          <w:szCs w:val="24"/>
          <w:lang w:val="en-US"/>
        </w:rPr>
        <w:t xml:space="preserve"> possible injury reversal</w:t>
      </w:r>
      <w:r w:rsidR="00EC0007" w:rsidRPr="00E47A42">
        <w:rPr>
          <w:rFonts w:ascii="Book Antiqua" w:hAnsi="Book Antiqua" w:cs="Times New Roman"/>
          <w:sz w:val="24"/>
          <w:szCs w:val="24"/>
          <w:lang w:val="en-US"/>
        </w:rPr>
        <w:t xml:space="preserve"> in studies of ischemic colitis and inferior </w:t>
      </w:r>
      <w:r w:rsidR="00EC0007" w:rsidRPr="00E47A42">
        <w:rPr>
          <w:rFonts w:ascii="Book Antiqua" w:hAnsi="Book Antiqua" w:cs="Times New Roman"/>
          <w:noProof/>
          <w:sz w:val="24"/>
          <w:szCs w:val="24"/>
          <w:lang w:val="en-US"/>
        </w:rPr>
        <w:t>caval</w:t>
      </w:r>
      <w:r w:rsidR="00EC0007" w:rsidRPr="00E47A42">
        <w:rPr>
          <w:rFonts w:ascii="Book Antiqua" w:hAnsi="Book Antiqua" w:cs="Times New Roman"/>
          <w:sz w:val="24"/>
          <w:szCs w:val="24"/>
          <w:lang w:val="en-US"/>
        </w:rPr>
        <w:t xml:space="preserve"> vein occlusion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EC0007" w:rsidRPr="00E47A42">
        <w:rPr>
          <w:rFonts w:ascii="Book Antiqua" w:hAnsi="Book Antiqua" w:cs="Times New Roman"/>
          <w:sz w:val="24"/>
          <w:szCs w:val="24"/>
          <w:lang w:val="en-US"/>
        </w:rPr>
        <w:t>.</w:t>
      </w:r>
      <w:r w:rsidR="00E17A75" w:rsidRPr="00E47A42">
        <w:rPr>
          <w:rFonts w:ascii="Book Antiqua" w:hAnsi="Book Antiqua" w:cs="Times New Roman"/>
          <w:sz w:val="24"/>
          <w:szCs w:val="24"/>
          <w:lang w:val="en-US"/>
        </w:rPr>
        <w:t xml:space="preserve"> Th</w:t>
      </w:r>
      <w:r w:rsidR="003A308D" w:rsidRPr="00E47A42">
        <w:rPr>
          <w:rFonts w:ascii="Book Antiqua" w:hAnsi="Book Antiqua" w:cs="Times New Roman"/>
          <w:sz w:val="24"/>
          <w:szCs w:val="24"/>
          <w:lang w:val="en-US"/>
        </w:rPr>
        <w:t>us</w:t>
      </w:r>
      <w:r w:rsidR="00E17A75" w:rsidRPr="00E47A42">
        <w:rPr>
          <w:rFonts w:ascii="Book Antiqua" w:hAnsi="Book Antiqua" w:cs="Times New Roman"/>
          <w:sz w:val="24"/>
          <w:szCs w:val="24"/>
          <w:lang w:val="en-US"/>
        </w:rPr>
        <w:t>, t</w:t>
      </w:r>
      <w:r w:rsidR="00A302B4" w:rsidRPr="00E47A42">
        <w:rPr>
          <w:rFonts w:ascii="Book Antiqua" w:hAnsi="Book Antiqua" w:cs="Times New Roman"/>
          <w:sz w:val="24"/>
          <w:szCs w:val="24"/>
          <w:lang w:val="en-US"/>
        </w:rPr>
        <w:t xml:space="preserve">o reverse the immediate post-perforation threat in </w:t>
      </w:r>
      <w:r w:rsidR="003A308D"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cecum (and</w:t>
      </w:r>
      <w:r w:rsidR="00802EF1"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therefore</w:t>
      </w:r>
      <w:r w:rsidR="00802EF1"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the complete downhill course) we </w:t>
      </w:r>
      <w:r w:rsidR="00802EF1" w:rsidRPr="00E47A42">
        <w:rPr>
          <w:rFonts w:ascii="Book Antiqua" w:hAnsi="Book Antiqua" w:cs="Times New Roman"/>
          <w:sz w:val="24"/>
          <w:szCs w:val="24"/>
          <w:lang w:val="en-US"/>
        </w:rPr>
        <w:t>focused on</w:t>
      </w:r>
      <w:r w:rsidR="00A302B4" w:rsidRPr="00E47A42">
        <w:rPr>
          <w:rFonts w:ascii="Book Antiqua" w:hAnsi="Book Antiqua" w:cs="Times New Roman"/>
          <w:sz w:val="24"/>
          <w:szCs w:val="24"/>
          <w:lang w:val="en-US"/>
        </w:rPr>
        <w:t xml:space="preserve"> th</w:t>
      </w:r>
      <w:r w:rsidR="009234D0" w:rsidRPr="00E47A42">
        <w:rPr>
          <w:rFonts w:ascii="Book Antiqua" w:hAnsi="Book Antiqua" w:cs="Times New Roman"/>
          <w:sz w:val="24"/>
          <w:szCs w:val="24"/>
          <w:lang w:val="en-US"/>
        </w:rPr>
        <w:t>e</w:t>
      </w:r>
      <w:r w:rsidR="00A302B4" w:rsidRPr="00E47A42">
        <w:rPr>
          <w:rFonts w:ascii="Book Antiqua" w:hAnsi="Book Antiqua" w:cs="Times New Roman"/>
          <w:sz w:val="24"/>
          <w:szCs w:val="24"/>
          <w:lang w:val="en-US"/>
        </w:rPr>
        <w:t xml:space="preserve"> immediate post-perforation period</w:t>
      </w:r>
      <w:r w:rsidR="00EC0007" w:rsidRPr="00E47A42">
        <w:rPr>
          <w:rFonts w:ascii="Book Antiqua" w:hAnsi="Book Antiqua" w:cs="Times New Roman"/>
          <w:sz w:val="24"/>
          <w:szCs w:val="24"/>
          <w:lang w:val="en-US"/>
        </w:rPr>
        <w:t xml:space="preserve">. We also </w:t>
      </w:r>
      <w:r w:rsidR="00802EF1" w:rsidRPr="00E47A42">
        <w:rPr>
          <w:rFonts w:ascii="Book Antiqua" w:hAnsi="Book Antiqua" w:cs="Times New Roman"/>
          <w:sz w:val="24"/>
          <w:szCs w:val="24"/>
          <w:lang w:val="en-US"/>
        </w:rPr>
        <w:t>addressed</w:t>
      </w:r>
      <w:r w:rsidR="00A302B4" w:rsidRPr="00E47A42">
        <w:rPr>
          <w:rFonts w:ascii="Book Antiqua" w:hAnsi="Book Antiqua" w:cs="Times New Roman"/>
          <w:sz w:val="24"/>
          <w:szCs w:val="24"/>
          <w:lang w:val="en-US"/>
        </w:rPr>
        <w:t xml:space="preserve"> the novel aspect of vascular rescue </w:t>
      </w:r>
      <w:r w:rsidR="00907686" w:rsidRPr="00E47A42">
        <w:rPr>
          <w:rFonts w:ascii="Book Antiqua" w:hAnsi="Book Antiqua" w:cs="Times New Roman"/>
          <w:sz w:val="24"/>
          <w:szCs w:val="24"/>
          <w:lang w:val="en-US"/>
        </w:rPr>
        <w:t xml:space="preserve">through </w:t>
      </w:r>
      <w:r w:rsidR="003A308D"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application of cytoprotective agents, known</w:t>
      </w:r>
      <w:r w:rsidR="00802EF1"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as a class</w:t>
      </w:r>
      <w:r w:rsidR="00802EF1" w:rsidRPr="00E47A42">
        <w:rPr>
          <w:rFonts w:ascii="Book Antiqua" w:hAnsi="Book Antiqua" w:cs="Times New Roman"/>
          <w:sz w:val="24"/>
          <w:szCs w:val="24"/>
          <w:lang w:val="en-US"/>
        </w:rPr>
        <w:t>, to</w:t>
      </w:r>
      <w:r w:rsidR="007840FD" w:rsidRPr="00E47A42">
        <w:rPr>
          <w:rFonts w:ascii="Book Antiqua" w:hAnsi="Book Antiqua" w:cs="Times New Roman"/>
          <w:sz w:val="24"/>
          <w:szCs w:val="24"/>
          <w:lang w:val="en-US"/>
        </w:rPr>
        <w:t xml:space="preserve"> </w:t>
      </w:r>
      <w:r w:rsidR="00802EF1" w:rsidRPr="00E47A42">
        <w:rPr>
          <w:rFonts w:ascii="Book Antiqua" w:hAnsi="Book Antiqua" w:cs="Times New Roman"/>
          <w:sz w:val="24"/>
          <w:szCs w:val="24"/>
          <w:lang w:val="en-US"/>
        </w:rPr>
        <w:t xml:space="preserve">function </w:t>
      </w:r>
      <w:r w:rsidR="003A308D" w:rsidRPr="00E47A42">
        <w:rPr>
          <w:rFonts w:ascii="Book Antiqua" w:hAnsi="Book Antiqua" w:cs="Times New Roman"/>
          <w:sz w:val="24"/>
          <w:szCs w:val="24"/>
          <w:lang w:val="en-US"/>
        </w:rPr>
        <w:t>in</w:t>
      </w:r>
      <w:r w:rsidR="00A302B4" w:rsidRPr="00E47A42">
        <w:rPr>
          <w:rFonts w:ascii="Book Antiqua" w:hAnsi="Book Antiqua" w:cs="Times New Roman"/>
          <w:sz w:val="24"/>
          <w:szCs w:val="24"/>
          <w:lang w:val="en-US"/>
        </w:rPr>
        <w:t xml:space="preserve"> endothelium maintenance in</w:t>
      </w:r>
      <w:r w:rsidR="003A308D" w:rsidRPr="00E47A42">
        <w:rPr>
          <w:rFonts w:ascii="Book Antiqua" w:hAnsi="Book Antiqua" w:cs="Times New Roman"/>
          <w:sz w:val="24"/>
          <w:szCs w:val="24"/>
          <w:lang w:val="en-US"/>
        </w:rPr>
        <w:t xml:space="preserve"> the</w:t>
      </w:r>
      <w:r w:rsidR="00A302B4" w:rsidRPr="00E47A42">
        <w:rPr>
          <w:rFonts w:ascii="Book Antiqua" w:hAnsi="Book Antiqua" w:cs="Times New Roman"/>
          <w:sz w:val="24"/>
          <w:szCs w:val="24"/>
          <w:lang w:val="en-US"/>
        </w:rPr>
        <w:t xml:space="preserve"> gastrointestinal tract (and</w:t>
      </w:r>
      <w:r w:rsidR="003A308D"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th</w:t>
      </w:r>
      <w:r w:rsidR="003A308D" w:rsidRPr="00E47A42">
        <w:rPr>
          <w:rFonts w:ascii="Book Antiqua" w:hAnsi="Book Antiqua" w:cs="Times New Roman"/>
          <w:sz w:val="24"/>
          <w:szCs w:val="24"/>
          <w:lang w:val="en-US"/>
        </w:rPr>
        <w:t>us</w:t>
      </w:r>
      <w:r w:rsidR="00A302B4" w:rsidRPr="00E47A42">
        <w:rPr>
          <w:rFonts w:ascii="Book Antiqua" w:hAnsi="Book Antiqua" w:cs="Times New Roman"/>
          <w:sz w:val="24"/>
          <w:szCs w:val="24"/>
          <w:lang w:val="en-US"/>
        </w:rPr>
        <w:t>, mucosal maintenance)</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{"citationItems":[{"id":"ITEM-1","itemData":{"ISSN":"0016-5085","PMID":"38173","author":[{"dropping-particle":"","family":"Robert","given":"A","non-dropping-particle":"","parse-names":false,"suffix":""}],"container-title":"Gastroenterology","id":"ITEM-1","issue":"4 Pt 1","issued":{"date-parts":[["1979","10"]]},"page":"761-7","title":"Cytoprotection by prostaglandins.","type":"article-journal","volume":"77"},"uris":["http://www.mendeley.com/documents/?uuid=49342c62-22fb-4e9e-8e1d-0c66f6f8fd98"]},{"id":"ITEM-2","itemData":{"DOI":"10.1016/0024-3205(94)00796-9","ISSN":"00243205","abstract":"The protection of stomach and duodenum in conjecture with anti-inflammatory effect was demonstrated for a novel 15 amino acid peptide, coded BPC 157, a fragment of the recently discovered gastric juice peptide BPC. BPC 157 (i.p./i.g.) was investigated in rats in comparison with several reference standards in three experimental ulcer models (48 h-restriant stress, subcutaneous cysteamine, intragastrical 96% ethanol ulcer tests) (pre-/co-/post-treatment). Only BPC 157 regimes were consistently effective in all of the tested models. On the other hand, bromocriptine, amantadine, famotidine, cimetidine and somatostatin were in effective (restraint stress). A dose-dependent protection (cysteamine) and/or partial positive effect (related to treatment conditions) (ethanol), was obtained with glucagon, NPY and secretin whereas CCK/26- 30/ was not effective. Based on Monastral blue studies BPC 157 beneficial effect appears to be related to a strong endothelial protection. © 1993.","author":[{"dropping-particle":"","family":"Sikiric","given":"P.","non-dropping-particle":"","parse-names":false,"suffix":""},{"dropping-particle":"","family":"Seiwerth","given":"S.","non-dropping-particle":"","parse-names":false,"suffix":""},{"dropping-particle":"","family":"Grabarevic","given":"Z.","non-dropping-particle":"","parse-names":false,"suffix":""},{"dropping-particle":"","family":"Petek","given":"M.","non-dropping-particle":"","parse-names":false,"suffix":""},{"dropping-particle":"","family":"Rucman","given":"R.","non-dropping-particle":"","parse-names":false,"suffix":""},{"dropping-particle":"","family":"Turkovic","given":"B.","non-dropping-particle":"","parse-names":false,"suffix":""},{"dropping-particle":"","family":"Rotkvic","given":"I.","non-dropping-particle":"","parse-names":false,"suffix":""},{"dropping-particle":"","family":"Jagic","given":"V.","non-dropping-particle":"","parse-names":false,"suffix":""},{"dropping-particle":"","family":"Duvnjak","given":"M.","non-dropping-particle":"","parse-names":false,"suffix":""},{"dropping-particle":"","family":"Mise","given":"S.","non-dropping-particle":"","parse-names":false,"suffix":""},{"dropping-particle":"","family":"Djacic","given":"S.","non-dropping-particle":"","parse-names":false,"suffix":""},{"dropping-particle":"","family":"Separovic","given":"J.","non-dropping-particle":"","parse-names":false,"suffix":""},{"dropping-particle":"","family":"Veljaca","given":"M.","non-dropping-particle":"","parse-names":false,"suffix":""},{"dropping-particle":"","family":"Sallmani","given":"A.","non-dropping-particle":"","parse-names":false,"suffix":""},{"dropping-particle":"","family":"Banic","given":"M.","non-dropping-particle":"","parse-names":false,"suffix":""},{"dropping-particle":"","family":"Brkic","given":"T.","non-dropping-particle":"","parse-names":false,"suffix":""}],"container-title":"Life Sciences","id":"ITEM-2","issue":"5","issued":{"date-parts":[["1994"]]},"title":"The beneficial effect of BPC 157, a 15 amino acid peptide BPC fragment, on gastric and duodenal lesions induced by restraint stress, cysteamine and 96% ethanol in rats. A comparative study with H&lt;inf&gt;2&lt;/inf&gt; receptor antagonists, dopamine promotors and gu","type":"article-journal","volume":"54"},"uris":["http://www.mendeley.com/documents/?uuid=72c1326c-4932-3348-bdfb-2924965ab9c5"]},{"id":"ITEM-3","itemData":{"DOI":"10.1007/978-1-4684-5697-4","ISBN":"978-1-4684-5699-8","author":[{"dropping-particle":"","family":"Szabo","given":"Sandor","non-dropping-particle":"","parse-names":false,"suffix":""}],"container-title":"Gastric cytoprotection. A clinician's guide","edition":"1. st","editor":[{"dropping-particle":"","family":"Hollander","given":"Daniel","non-dropping-particle":"","parse-names":false,"suffix":""},{"dropping-particle":"","family":"Tarnawski","given":"Andrzej S.","non-dropping-particle":"","parse-names":false,"suffix":""}],"id":"ITEM-3","issued":{"date-parts":[["1989"]]},"number-of-pages":"49-90","publisher":"Springer US","publisher-place":"Boston, MA","title":"Gastric Cytoprotection","type":"book"},"uris":["http://www.mendeley.com/documents/?uuid=b6143da9-cfd4-4cc4-9ba5-11dff6b9ff7e"]},{"id":"ITEM-4","itemData":{"ISSN":"0016-5085","PMID":"3871087","abstract":"The hypothesis that vascular injury contributes to the development of hemorrhagic erosions after intragastric administration of ethanol has been examined in the rat using vascular tracers. Extravasation of intravenously injected Evans blue into the gastric wall and into gastric contents was used as an indicator of vascular permeability. India ink and monastral blue, which label damaged blood vessels, were used to demonstrate vascular injury morphologically. Intragastric instillation of 75% and 100% ethanol induced increased vascular permeability within 1-3 min and resulted in monastral blue labeling of vessels in 13% and 17%, respectively, of the glandular mucosa within 1 min. After 1 h of 100% ethanol exposure, the areal density of monastral blue-stained blood vessels did not increase compared with that seen at 1 min, but the areal density of grossly visible hemorrhagic lesions increased strikingly and approximated that of vessel staining. The hemorrhagic erosions consistently occurred in regions of glandular mucosa where vessels were stained with monastral blue. Pretreatment with prostaglandin F2 beta or cysteamine reduced ethanol-induced Evans blue extravasation and monastral blue staining of mucosal blood vessels but did not reduce histologic evidence of gastric surface cell damage in the glandular mucosa. As increased vascular permeability and morphologically detectable vascular lesions consistently preceded the development of grossly visible hemorrhagic erosions in the glandular mucosa, we suggest that vascular injury is an early pathogenetic factor in the development of ethanol-induced gastric hemorrhagic erosions. The data also indicate that the degree of vascular damage, unlike the injury to surface epithelial cells, is reduced by pretreatment with prostaglandin F2 beta or the sulfhydryl cysteamine.","author":[{"dropping-particle":"","family":"Szabo","given":"S","non-dropping-particle":"","parse-names":false,"suffix":""},{"dropping-particle":"","family":"Trier","given":"J S","non-dropping-particle":"","parse-names":false,"suffix":""},{"dropping-particle":"","family":"Brown","given":"A","non-dropping-particle":"","parse-names":false,"suffix":""},{"dropping-particle":"","family":"Schnoor","given":"J","non-dropping-particle":"","parse-names":false,"suffix":""}],"container-title":"Gastroenterology","id":"ITEM-4","issue":"1 Pt 2","issued":{"date-parts":[["1985","1"]]},"page":"228-36","title":"Early vascular injury and increased vascular permeability in gastric mucosal injury caused by ethanol in the rat.","type":"article-journal","volume":"88"},"uris":["http://www.mendeley.com/documents/?uuid=a3272911-ef25-495c-85d1-1b71d1d7f12e"]},{"id":"ITEM-5","itemData":{"author":[{"dropping-particle":"","family":"Szabo","given":"Sandor","non-dropping-particle":"","parse-names":false,"suffix":""},{"dropping-particle":"","family":"Trier","given":"JS","non-dropping-particle":"","parse-names":false,"suffix":""}],"container-title":"Mechanism of mucosal protection in the upper gastrointestinal tract","editor":[{"dropping-particle":"","family":"Allen","given":"A","non-dropping-particle":"","parse-names":false,"suffix":""},{"dropping-particle":"","family":"Flemstrom","given":"G","non-dropping-particle":"","parse-names":false,"suffix":""},{"dropping-particle":"","family":"Garner","given":"A","non-dropping-particle":"","parse-names":false,"suffix":""},{"dropping-particle":"","family":"Silen","given":"W","non-dropping-particle":"","parse-names":false,"suffix":""},{"dropping-particle":"","family":"Turnberg","given":"LA","non-dropping-particle":"","parse-names":false,"suffix":""}],"id":"ITEM-5","issued":{"date-parts":[["1984"]]},"page":"387-393","publisher":"Raven","publisher-place":"New York","title":"Pathogenesis of acute gastric mucosal injury: Sulfhydrils as a protector, adrenal cortex as a modulator, and vascular endothelium as a target","type":"chapter"},"uris":["http://www.mendeley.com/documents/?uuid=21df94ec-a5e2-4420-85db-5334a540ef21"]},{"id":"ITEM-6","itemData":{"ISSN":"0016-5085","PMID":"3781180","abstract":"Impairment of the mucosal microcirculation may contribute to ethanol-induced gastric mucosal damage. In this report, we describe diffuse and severe ultrastructural damage to the capillaries of the gastric glandular mucosa of the rat that occurred within 1 min after intragastric instillation of 100% ethanol. There was a gradient of damage in that endothelial cell structure was most severely disrupted in profiles of capillaries located close to the luminal surface but some morphologic evidence of damage was evident in the wall of capillary profiles to a mean depth of 256 micron. Capillary structure was generally normal in the deeper regions of the mucosa. Pretreatment with intragastric cysteamine, 30 mg/100 g, or intragastric prostaglandin F2 beta, 0.5 mg/100 g, significantly reduced the depth in the mucosa to which damage to capillaries extended. Pretreatment with intragastric prostaglandin F2 beta, 0.2 mg/100 g, afforded no significant protection. We conclude that a 1-min exposure to 100% ethanol induces striking damage to the microcirculation of glandular mucosa of the rat stomach with severe damage to capillary profiles near the lumen and sparing of capillary profiles near the muscularis mucosa, and pretreatment with the sulfhydryl agent, cysteamine, or with a large dose of prostaglandin F2 beta reduces the extent of but does not abolish ethanol-induced damage to gastric mucosal capillaries.","author":[{"dropping-particle":"","family":"Trier","given":"JS","non-dropping-particle":"","parse-names":false,"suffix":""},{"dropping-particle":"","family":"Szabo","given":"S","non-dropping-particle":"","parse-names":false,"suffix":""},{"dropping-particle":"","family":"Allan","given":"CH","non-dropping-particle":"","parse-names":false,"suffix":""}],"container-title":"Gastroenterology","id":"ITEM-6","issue":"1","issued":{"date-parts":[["1987","1"]]},"page":"13-22","title":"Ethanol-induced damage to mucosal capillaries of rat stomach. Ultrastructural features and effects of prostaglandin F2 beta and cysteamine.","type":"article-journal","volume":"92"},"uris":["http://www.mendeley.com/documents/?uuid=c3f098f1-f060-4c67-9911-5ab2b4c90217"]}],"mendeley":{"formattedCitation":"&lt;sup&gt;[4–9]&lt;/sup&gt;","plainTextFormattedCitation":"[4–9]","previouslyFormattedCitation":"&lt;sup&gt;[4–9]&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[4–9]</w:t>
      </w:r>
      <w:r w:rsidR="003A6A7D"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9234D0" w:rsidRPr="00E47A42">
        <w:rPr>
          <w:rFonts w:ascii="Book Antiqua" w:hAnsi="Book Antiqua" w:cs="Times New Roman"/>
          <w:sz w:val="24"/>
          <w:szCs w:val="24"/>
          <w:lang w:val="en-US"/>
        </w:rPr>
        <w:t>I</w:t>
      </w:r>
      <w:r w:rsidR="00A302B4" w:rsidRPr="00E47A42">
        <w:rPr>
          <w:rFonts w:ascii="Book Antiqua" w:hAnsi="Book Antiqua" w:cs="Times New Roman"/>
          <w:sz w:val="24"/>
          <w:szCs w:val="24"/>
          <w:lang w:val="en-US"/>
        </w:rPr>
        <w:t xml:space="preserve">nstant application of the stable gastric </w:t>
      </w:r>
      <w:proofErr w:type="spellStart"/>
      <w:r w:rsidR="00A302B4" w:rsidRPr="00E47A42">
        <w:rPr>
          <w:rFonts w:ascii="Book Antiqua" w:hAnsi="Book Antiqua" w:cs="Times New Roman"/>
          <w:sz w:val="24"/>
          <w:szCs w:val="24"/>
          <w:lang w:val="en-US"/>
        </w:rPr>
        <w:t>pentadecapeptide</w:t>
      </w:r>
      <w:proofErr w:type="spellEnd"/>
      <w:r w:rsidR="00A302B4" w:rsidRPr="00E47A42">
        <w:rPr>
          <w:rFonts w:ascii="Book Antiqua" w:hAnsi="Book Antiqua" w:cs="Times New Roman"/>
          <w:sz w:val="24"/>
          <w:szCs w:val="24"/>
          <w:lang w:val="en-US"/>
        </w:rPr>
        <w:t xml:space="preserve"> BPC 157 </w:t>
      </w:r>
      <w:r w:rsidR="009234D0" w:rsidRPr="00E47A42">
        <w:rPr>
          <w:rFonts w:ascii="Book Antiqua" w:hAnsi="Book Antiqua" w:cs="Times New Roman"/>
          <w:sz w:val="24"/>
          <w:szCs w:val="24"/>
          <w:lang w:val="en-US"/>
        </w:rPr>
        <w:t xml:space="preserve">was used </w:t>
      </w:r>
      <w:r w:rsidR="00A302B4" w:rsidRPr="00E47A42">
        <w:rPr>
          <w:rFonts w:ascii="Book Antiqua" w:hAnsi="Book Antiqua" w:cs="Times New Roman"/>
          <w:sz w:val="24"/>
          <w:szCs w:val="24"/>
          <w:lang w:val="en-US"/>
        </w:rPr>
        <w:t>as a prototype agent rapidly acting on endothelium integrity maintenance</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1381612823666170220163219","ISSN":"13816128","author":[{"dropping-particle":"","family":"Sikiric","given":"Predrag","non-dropping-particle":"","parse-names":false,"suffix":""},{"dropping-particle":"","family":"Seiwerth","given":"Sven","non-dropping-particle":"","parse-names":false,"suffix":""},{"dropping-particle":"","family":"Rucman","given":"Rudolf","non-dropping-particle":"","parse-names":false,"suffix":""},{"dropping-particle":"","family":"Drmic","given":"Domagoj","non-dropping-particle":"","parse-names":false,"suffix":""},{"dropping-particle":"","family":"Stupnisek","given":"Mirjana","non-dropping-particle":"","parse-names":false,"suffix":""},{"dropping-particle":"","family":"Kokot","given":"Antonio","non-dropping-particle":"","parse-names":false,"suffix":""},{"dropping-particle":"","family":"Sever","given":"Marko","non-dropping-particle":"","parse-names":false,"suffix":""},{"dropping-particle":"","family":"Zoricic","given":"Ivan","non-dropping-particle":"","parse-names":false,"suffix":""},{"dropping-particle":"","family":"Zoricic","given":"Zoran","non-dropping-particle":"","parse-names":false,"suffix":""},{"dropping-particle":"","family":"Batelja","given":"Lovorka","non-dropping-particle":"","parse-names":false,"suffix":""},{"dropping-particle":"","family":"Ziger","given":"Tihomil","non-dropping-particle":"","parse-names":false,"suffix":""},{"dropping-particle":"","family":"Luetic","given":"Kresimir","non-dropping-particle":"","parse-names":false,"suffix":""},{"dropping-particle":"","family":"Vlainic","given":"Josipa","non-dropping-particle":"","parse-names":false,"suffix":""},{"dropping-particle":"","family":"Rasic","given":"Zarko","non-dropping-particle":"","parse-names":false,"suffix":""},{"dropping-particle":"","family":"Bencic","given":"Martina Lovric","non-dropping-particle":"","parse-names":false,"suffix":""}],"container-title":"Current Pharmaceutical Design","id":"ITEM-1","issue":"27","issued":{"date-parts":[["2017","10","30"]]},"page":"4012-4028","title":"Stress in Gastrointestinal Tract and Stable Gastric Pentadecapeptide BPC 157. Finally, do we have a Solution?","type":"article-journal","volume":"23"},"uris":["http://www.mendeley.com/documents/?uuid=bb09abfa-dd18-4e07-99e3-5e0c5e908cc9"]},{"id":"ITEM-2","itemData":{"ISSN":"1875-6190","PMID":"27138887","abstract":"BACKGROUND Brain-gut interaction involves, among others, peptidergic growth factors which are native in GI tract and have strong antiulcer potency and thus could from periphery beneficially affect CNS-disorders. We focused on the stable gastric pentadecapeptide BPC 157, an antiulcer peptidergic agent, safe in inflammatory bowel disease trials and now in multiple sclerosis trial, native and stable in human gastric juice. METHODS Review of our research on BPC 157 in terms of brain-gut axis. RESULTS BPC 157 may serve as a novel mediator of Robert's cytoprotection, involved in maintaining of GI mucosa integrity, with no toxic effect. BPC 157 was successful in the therapy of GI tract, periodontitis, liver and pancreas lesions, and in the healing of various tissues and wounds. Stimulated Egr-1 gene, NAB2, FAK-paxillin and JAK-2 pathways are hitherto implicated. Initially corresponding beneficial central influence was seen when BPC 157 was given peripherally and a serotonin release in particular brain areas, mostly nigrostriatal, was changed. BPC 157 modulates serotonergic and dopaminergic systems, beneficially affects various behavioral disturbances that otherwise appeared due to specifically (over)stimulated/damaged neurotransmitters systems. Besides, BPC 157 has neuroprotective effects: protects somatosensory neurons; peripheral nerve regeneration appearent after transection; after traumatic brain injury counteracts the otherwise progressing course, in rat spinal cord compression with tail paralysis, axonal and neuronal necrosis, demyelination, cyst formation and rescues tail function in both short-terms and long-terms; after NSAIDs or insulin overdose or cuprizone encephalopathies were attenuated along with GI, liver and vascular injuries. CONCLUSION BPC 157, a gastric peptide, may serve as remedy in various CNS-disorders.","author":[{"dropping-particle":"","family":"Sikiric","given":"Predrag","non-dropping-particle":"","parse-names":false,"suffix":""},{"dropping-particle":"","family":"Seiwerth","given":"Sven","non-dropping-particle":"","parse-names":false,"suffix":""},{"dropping-particle":"","family":"Rucman","given":"Rudolf","non-dropping-particle":"","parse-names":false,"suffix":""},{"dropping-particle":"","family":"Kolenc","given":"Danijela","non-dropping-particle":"","parse-names":false,"suffix":""},{"dropping-particle":"","family":"Vuletic","given":"Lovorka Batelja","non-dropping-particle":"","parse-names":false,"suffix":""},{"dropping-particle":"","family":"Drmic","given":"Domagoj","non-dropping-particle":"","parse-names":false,"suffix":""},{"dropping-particle":"","family":"Grgic","given":"Tihomir","non-dropping-particle":"","parse-names":false,"suffix":""},{"dropping-particle":"","family":"Strbe","given":"Sanja","non-dropping-particle":"","parse-names":false,"suffix":""},{"dropping-particle":"","family":"Zukanovic","given":"Goran","non-dropping-particle":"","parse-names":false,"suffix":""},{"dropping-particle":"","family":"Crvenkovic","given":"Dalibor","non-dropping-particle":"","parse-names":false,"suffix":""},{"dropping-particle":"","family":"Madzarac","given":"Goran","non-dropping-particle":"","parse-names":false,"suffix":""},{"dropping-particle":"","family":"Rukavina","given":"Iva","non-dropping-particle":"","parse-names":false,"suffix":""},{"dropping-particle":"","family":"Sucic","given":"Mario","non-dropping-particle":"","parse-names":false,"suffix":""},{"dropping-particle":"","family":"Baric","given":"Marko","non-dropping-particle":"","parse-names":false,"suffix":""},{"dropping-particle":"","family":"Starcevic","given":"Neven","non-dropping-particle":"","parse-names":false,"suffix":""},{"dropping-particle":"","family":"Krstonijevic","given":"Zoran","non-dropping-particle":"","parse-names":false,"suffix":""},{"dropping-particle":"","family":"Bencic","given":"Martina Lovric","non-dropping-particle":"","parse-names":false,"suffix":""},{"dropping-particle":"","family":"Filipcic","given":"Igor","non-dropping-particle":"","parse-names":false,"suffix":""},{"dropping-particle":"","family":"Rokotov","given":"Dinko Stancic","non-dropping-particle":"","parse-names":false,"suffix":""},{"dropping-particle":"","family":"Vlainic","given":"Josipa","non-dropping-particle":"","parse-names":false,"suffix":""}],"container-title":"Current neuropharmacology","id":"ITEM-2","issue":"8","issued":{"date-parts":[["2016"]]},"page":"857-865","title":"Brain-gut Axis and Pentadecapeptide BPC 157: Theoretical and Practical Implications.","type":"article-journal","volume":"14"},"uris":["http://www.mendeley.com/documents/?uuid=b275ba93-1b42-319f-8107-0555cf4884b9"]},{"id":"ITEM-3","itemData":{"DOI":"10.2174/13816128113199990421","ISBN":"1873-4286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design","id":"ITEM-3","issue":"7","issued":{"date-parts":[["2014"]]},"page":"1121-5","title":"BPC 157 and blood vessels.","type":"article-journal","volume":"20"},"uris":["http://www.mendeley.com/documents/?uuid=58f78828-3983-4cbc-86f3-3b54e9721a52"]},{"id":"ITEM-4","itemData":{"ISSN":"1873-4286","PMID":"23755725","abstract":"We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design","id":"ITEM-4","issue":"7","issued":{"date-parts":[["2014"]]},"page":"1126-35","title":"Stable gastric pentadecapeptide BPC 157-NO-system relation.","type":"article-journal","volume":"20"},"uris":["http://www.mendeley.com/documents/?uuid=74ead48f-0c75-446a-a19b-49bb02b31992"]},{"id":"ITEM-5","itemData":{"ISSN":"1873-4286","PMID":"22950504","abstract":"Stable gastric pentadecapeptide BPC 157 is an anti-ulcer peptidergic agent, proven in clinical trials to be both safe in inflammatory bowel disease (PL-10, PLD-116, PL 14736) and wound healing, stable in human gastric juice, with no toxicity being reported. Recently, we claim that BPC 157 may be used as an antidote against NSAIDs. We focused on BPC 157 beneficial effects on stomach, duodenum, intestine, liver and brain injuries, adjuvant arthritis, pain, hyper/hypothermia, obstructive thrombus formation and thrombolysis, blood vessel function, counteraction of prolonged bleeding and thrombocytopenia after application of various anticoagulants and antiplatelet agents and wound healing improvement. The arguments for BPC 157 antidote activity (i.e., the role of BPC 157 in cytoprotection, being a novel mediator of Robert's cytoprotection and BPC 157 beneficial effects on NSAIDs mediated lesions in the gastrointestinal tract, liver and brain and finally, counteraction of aspirin-induced prolonged bleeding and thrombocytopenia) obviously have a counteracting effect on several established side-effects of NSAIDs use. The mentioned variety of the beneficial effects portrayed by BPC 157 may well be a foundation for establishing BPC 157 as a NSAIDs antidote since no other single agent has portrayed a similar array of effects. Unlike NSAIDs, a very high safety (no reported toxicity (LD1 could be not achieved)) profile is reported for BPC 157. Also, unlike the different dosage levels of aspirin, as a NSAIDs prototype, which differ by a factor of about ten, all these beneficial and counteracting effects of BPC 157 were obtained using the equipotent dosage (μg, ng/kg) in parenteral or peroral regimens.","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afic","given":"Hana","non-dropping-particle":"","parse-names":false,"suffix":""},{"dropping-particle":"","family":"Suran","given":"Jelena","non-dropping-particle":"","parse-names":false,"suffix":""},{"dropping-particle":"","family":"Rak","given":"Davor","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design","id":"ITEM-5","issue":"1","issued":{"date-parts":[["2013"]]},"page":"76-83","title":"Toxicity by NSAIDs. Counteraction by stable gastric pentadecapeptide BPC 157.","type":"article-journal","volume":"19"},"uris":["http://www.mendeley.com/documents/?uuid=b4d81bb8-a391-4622-abb3-23195e4a65ff"]},{"id":"ITEM-6","itemData":{"DOI":"CMC-19-1-126 [pii]","ISBN":"0929-8673\\r1875-533X","ISSN":"09298673","PMID":"2012120682","abstract":"Stable gastric pentadecapeptide BPC 157 (GEPPPGKPADDAGLV, M.W. 1419) may be the new drug stable in human gastric juice, effective both in the upper and lower GI tract, and free of side effects. BPC 157, in addition to an antiulcer effect efficient in therapy of inflammatory bowel disease (IBD) (PL 14736) so far only tested in clinical phase II, has a very safe profile, and exhibited a particular wound healing effect. It also has shown to interact with the NO-system, providing endothelium protection and angiogenic effect, even in severely impaired conditions (i.e., it stimulated expression of early growth response 1 gene responsible for cytokine and growth factor generation and early extracellular matrix (collagen) formation (but also its repressor nerve growth factor 1- A binding protein-2)), important to counteract severe complications of advanced and poorly controlled IBD. Hopefully, the lessons from animal studies, particularly advanced intestinal anastomosis healing, reversed short bowel syndrome and fistula healing indicate BPC 157's high significance in further IBD therapy. Also, this supportive evidence (i.e., no toxic effect, limit test negative, LD1 not achieved, no side effect in trials) may counteract the problems commonly exercised in the use of peptidergic agents, particularly those used on a long-term basis. © 2012 Bentham Science Publishers.","author":[{"dropping-particle":"","family":"Sikiric","given":"P","non-dropping-particle":"","parse-names":false,"suffix":""},{"dropping-particle":"","family":"Seiwerth","given":"S","non-dropping-particle":"","parse-names":false,"suffix":""},{"dropping-particle":"","family":"Rucman","given":"R","non-dropping-particle":"","parse-names":false,"suffix":""},{"dropping-particle":"","family":"Turkovic","given":"B","non-dropping-particle":"","parse-names":false,"suffix":""},{"dropping-particle":"","family":"D","given":"S Rokotov","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Drmic","given":"D","non-dropping-particle":"","parse-names":false,"suffix":""},{"dropping-particle":"","family":"Ilic","given":"S","non-dropping-particle":"","parse-names":false,"suffix":""},{"dropping-particle":"","family":"Kolenc","given":"D","non-dropping-particle":"","parse-names":false,"suffix":""},{"dropping-particle":"","family":"Stambolija","given":"V","non-dropping-particle":"","parse-names":false,"suffix":""},{"dropping-particle":"","family":"Zoricic","given":"Z","non-dropping-particle":"","parse-names":false,"suffix":""},{"dropping-particle":"","family":"Vrcic","given":"H","non-dropping-particle":"","parse-names":false,"suffix":""},{"dropping-particle":"","family":"Sebecic","given":"B","non-dropping-particle":"","parse-names":false,"suffix":""}],"container-title":"Current Medicinal Chemistry","id":"ITEM-6","issue":"1","issued":{"date-parts":[["2012"]]},"page":"126-132","title":"Focus on ulcerative colitis: Stable gastric pentadecapeptide BPC 157","type":"article-journal","volume":"19"},"uris":["http://www.mendeley.com/documents/?uuid=7b0917ea-0d35-4426-b536-aa3cf6522fbf"]},{"id":"ITEM-7","itemData":{"DOI":"10.2174/138161211796196954","ISBN":"1873-4286 (Electronic)\\n1381-6128 (Linking)","ISSN":"1873-4286","PMID":"21548867","abstract":"Stable gastric pentadecapeptide BPC 157 is an anti-ulcer peptidergic agent, safe in inflammatory bowel disease clinical trials (GEPPPGKPADDAGLV, M.W. 1419, PL 14736) and wound healing, stable in human gastric juice and has no reported toxicity. We focused on BPC 157 as a therapy in peridontitis, esophagus, stomach, duodenum, intestine, liver and pancreas lesions. Particularly, it has a prominent effect on alcohol-lesions (i.e., acute, chronic) and NSAIDs-lesions (interestingly, BPC 157 both prevents and reverses adjuvant arthritis). In rat esophagitis and failed function of both lower esophageal sphincter (LES) and pyloric sphincters (PS), BPC 157 increased pressure in both sphincters till normal and reduced esophagitis. However, in healthy rats, it may decrease (PS) or increase (LES) the pressure in sphincters. It has strong angiogenic potential, it acts protectively on endothelium, prevents and reverses thrombus formation after abdominal aorta anastomosis, affects many central disturbances (i.e., dopamine and 5-HT system), the NO-system (either L-arginine and L-NAME effects), endothelin, acts as a free radical scavenger (counteracting CCl4-, paracetamol-, diclofenac-injuries) and exhibits neuroprotective properties. BPC 157 successfully heals the intestinal anastomosis, gastrocutaneous, duodenocutaneous and colocutaneous fistulas in rats, as well as interacting with the NO-system. Interestingly, the fistula closure was achieved even when the BPC 157 therapy was postponed for one month. In short-bowel syndrome escalating throughout 4 weeks, the constant weight gain above preoperative values started immediately with peroral and parental BPC 157 therapy and the villus height, crypth depth and muscle thickness (inner (circular) muscular layer) additionally increased. Thus, BPC 157 may improve gastrointestinal tract therapy.","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Vrcic","given":"Hrvoje","non-dropping-particle":"","parse-names":false,"suffix":""},{"dropping-particle":"","family":"Sebecic","given":"Bozidar","non-dropping-particle":"","parse-names":false,"suffix":""}],"container-title":"Current pharmaceutical design","id":"ITEM-7","issue":"16","issued":{"date-parts":[["2011"]]},"page":"1612-32","title":"Stable gastric pentadecapeptide BPC 157: novel therapy in gastrointestinal tract.","type":"article-journal","volume":"17"},"uris":["http://www.mendeley.com/documents/?uuid=899df84f-aa5b-428d-b746-b746c53bb74c"]},{"id":"ITEM-8","itemData":{"ISSN":"1873-4286","PMID":"20166993","abstract":"The significance of cytoprotection and adaptive cytoprotection and the peptides importance remained to be not completely determined. BPC 157 is an anti-ulcer peptidergic agent, proven in clinical trials to be both safe in inflammatory bowel disease (PL-10, PLD-116, PL 14736) and wound healing, and stable in human gastric juice, with no toxicity being reported. It has a prominent effect on alcohol- lesions (i.e., induced acutely and chronically) and non-steroidal anti-inflammatory drugs-lesions (while interestingly BPC 157 may both prevent and reverse adjuvant arthritis). To review the importance of BPC 157, this review focused on Robert's cytoprotection concept described in rat stomach, reviewing our evidence that may resolve whether the cytoprotection and adaptive cytoprotection is an uniform phenomenon or not; whether the phenomenon or phenomena are endogenous or not, depending on nature of the irritants (mild or strong); whether this may contribute to stomach mucosa defense either when threaten by various ulcerogens or afforded by various antiulcer agents; whether these phenomena are uniform in whole gastrointestinal tract or not; whether they are interrelated or not. Finally, the importance of the cytoprotection phenomena and cytoprotection activity for skin wound healing, and wound healing in general was challenged. Thereby, this review focused on BPC 157 role in cytoprotection and adaptative cytoprotection suggesting that it may be the essential endogenous mediator able to mediate both cytoprotective and adaptive cytoprotective response in stomach and the whole gastrointestinal tract with significant importance in wound healing as well.","author":[{"dropping-particle":"","family":"Sikiric","given":"Predrag","non-dropping-particle":"","parse-names":false,"suffix":""},{"dropping-particle":"","family":"Seiwerth","given":"Sven","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container-title":"Current pharmaceutical design","id":"ITEM-8","issue":"10","issued":{"date-parts":[["2010"]]},"page":"1224-34","title":"Revised Robert's cytoprotection and adaptive cytoprotection and stable gastric pentadecapeptide BPC 157. Possible significance and implications for novel mediator.","type":"article-journal","volume":"16"},"uris":["http://www.mendeley.com/documents/?uuid=6164415b-2518-453f-82c4-4562e66e7572"]},{"id":"ITEM-9","itemData":{"DOI":"10.1007/s10787-006-1531-7","ISSN":"0925-4692","PMID":"17186181","abstract":"Gastric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-9","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response.","type":"article-journal","volume":"14"},"uris":["http://www.mendeley.com/documents/?uuid=42aef3b5-c994-4583-beee-f11cd4b7859a"]},{"id":"ITEM-10","itemData":{"DOI":"10.1016/0928-4257(93)90038-U","ISSN":"0928-4257","PMID":"8298609","abstract":"The possibility that the stomach, affected by general stress, might initiate a counter-response has not until recently been considered in theories of stress. We suggest that the stomach, as the most sensitive part of the gastrointestinal tract and the largest neuroendocrine organ in the body, is crucial for the initiation of a full stress response against all noxious stress pathology. The end result would be a strong protection of all organs invaded by 'stress'. Consistent with this assumption, this coping response is best explained in terms of 'organoprotection'. Endogenous organoprotectors (eg prostaglandins, somatostatin, dopamine) are proposed as mediators. Such an endogenous counteraction could even be afforded by their suitable application. A new gastric juice peptide, M(r) 40,000, named BPC, was recently isolated. Herein, a 15 amino acid fragment (BPC 157), thought to be essential for its activity, has been fully characterized and investigated. As has been demonstrated for many organoprotective agents using different models of various tissue lesions, despite the poorly understood final mechanism, practically all organ systems appear to benefit from BPC activity. These effects have been achieved in many species using very low dosages (mostly microgram and ng/kg range) after ip, ig, and intramucosal (local) application. The effect was apparent already after one application. Long lasting activity was also demonstrated. BPC was highly effective when applied simultaneously with noxious agents or in already pathological, as well as chronical, conditions. Therefore, it seems that BPC treatment does not share any of the so far known limitations for 'conventional organoprotectors'. No influence on different basal parameters and no toxicity were observed. These findings provide a breakthrough in stress theory. BPC, as a possible endogenous free radical scavenger and organoprotection mediator, could be a useful prototype of a new class of drugs, organoprotective agents.","author":[{"dropping-particle":"","family":"Sikirić","given":"P.","non-dropping-particle":"","parse-names":false,"suffix":""},{"dropping-particle":"","family":"Petek","given":"M.","non-dropping-particle":"","parse-names":false,"suffix":""},{"dropping-particle":"","family":"Rucman","given":"R","non-dropping-particle":"","parse-names":false,"suffix":""},{"dropping-particle":"","family":"Seiwerth","given":"S.","non-dropping-particle":"","parse-names":false,"suffix":""},{"dropping-particle":"","family":"Grabarević","given":"Z.","non-dropping-particle":"","parse-names":false,"suffix":""},{"dropping-particle":"","family":"Rotkvić","given":"I.","non-dropping-particle":"","parse-names":false,"suffix":""},{"dropping-particle":"","family":"Turković","given":"B.","non-dropping-particle":"","parse-names":false,"suffix":""},{"dropping-particle":"","family":"Jagić","given":"V.","non-dropping-particle":"","parse-names":false,"suffix":""},{"dropping-particle":"","family":"Mildner","given":"B.","non-dropping-particle":"","parse-names":false,"suffix":""},{"dropping-particle":"","family":"Duvnjak","given":"M.","non-dropping-particle":"","parse-names":false,"suffix":""}],"container-title":"Journal of physiology, Paris","id":"ITEM-10","issue":"5","issued":{"date-parts":[["1993"]]},"page":"313-27","title":"A new gastric juice peptide, BPC. An overview of the stomach-stress-organoprotection hypothesis and beneficial effects of BPC.","type":"article-journal","volume":"87"},"uris":["http://www.mendeley.com/documents/?uuid=f738bbb1-8d16-31eb-a5d7-6f273100aa96"]}],"mendeley":{"formattedCitation":"&lt;sup&gt;[10–19]&lt;/sup&gt;","plainTextFormattedCitation":"[10–19]","previouslyFormattedCitation":"&lt;sup&gt;[10–19]&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[10–19]</w:t>
      </w:r>
      <w:r w:rsidR="00A13458" w:rsidRPr="00E47A42">
        <w:rPr>
          <w:rFonts w:ascii="Book Antiqua" w:hAnsi="Book Antiqua" w:cs="Times New Roman"/>
          <w:sz w:val="24"/>
          <w:szCs w:val="24"/>
          <w:lang w:val="en-US"/>
        </w:rPr>
        <w:fldChar w:fldCharType="end"/>
      </w:r>
      <w:r w:rsidR="00907686"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907686" w:rsidRPr="00E47A42">
        <w:rPr>
          <w:rFonts w:ascii="Book Antiqua" w:hAnsi="Book Antiqua" w:cs="Times New Roman"/>
          <w:sz w:val="24"/>
          <w:szCs w:val="24"/>
          <w:lang w:val="en-US"/>
        </w:rPr>
        <w:t>which</w:t>
      </w:r>
      <w:r w:rsidR="00802EF1" w:rsidRPr="00E47A42">
        <w:rPr>
          <w:rFonts w:ascii="Book Antiqua" w:hAnsi="Book Antiqua" w:cs="Times New Roman"/>
          <w:sz w:val="24"/>
          <w:szCs w:val="24"/>
          <w:lang w:val="en-US"/>
        </w:rPr>
        <w:t xml:space="preserve"> is </w:t>
      </w:r>
      <w:r w:rsidR="00EC0007" w:rsidRPr="00E47A42">
        <w:rPr>
          <w:rFonts w:ascii="Book Antiqua" w:hAnsi="Book Antiqua" w:cs="Times New Roman"/>
          <w:sz w:val="24"/>
          <w:szCs w:val="24"/>
          <w:lang w:val="en-US"/>
        </w:rPr>
        <w:t xml:space="preserve">known to be of therapeutic value in rats with ischemic colitis and inferior </w:t>
      </w:r>
      <w:r w:rsidR="00EC0007" w:rsidRPr="00E47A42">
        <w:rPr>
          <w:rFonts w:ascii="Book Antiqua" w:hAnsi="Book Antiqua" w:cs="Times New Roman"/>
          <w:noProof/>
          <w:sz w:val="24"/>
          <w:szCs w:val="24"/>
          <w:lang w:val="en-US"/>
        </w:rPr>
        <w:t>caval</w:t>
      </w:r>
      <w:r w:rsidR="00EC0007" w:rsidRPr="00E47A42">
        <w:rPr>
          <w:rFonts w:ascii="Book Antiqua" w:hAnsi="Book Antiqua" w:cs="Times New Roman"/>
          <w:sz w:val="24"/>
          <w:szCs w:val="24"/>
          <w:lang w:val="en-US"/>
        </w:rPr>
        <w:t xml:space="preserve"> vein ligation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EC0007" w:rsidRPr="00E47A42">
        <w:rPr>
          <w:rFonts w:ascii="Book Antiqua" w:hAnsi="Book Antiqua" w:cs="Times New Roman"/>
          <w:sz w:val="24"/>
          <w:szCs w:val="24"/>
          <w:lang w:val="en-US"/>
        </w:rPr>
        <w:t xml:space="preserve">. </w:t>
      </w:r>
    </w:p>
    <w:p w14:paraId="744763CE" w14:textId="5E16702D" w:rsidR="006162EC" w:rsidRPr="00E47A42" w:rsidRDefault="00A302B4" w:rsidP="00D72C63">
      <w:pPr>
        <w:pStyle w:val="PlainText"/>
        <w:snapToGrid w:val="0"/>
        <w:spacing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Of note, the whole initial syndrome (in particular</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instantly emptied blo</w:t>
      </w:r>
      <w:r w:rsidR="009234D0" w:rsidRPr="00E47A42">
        <w:rPr>
          <w:rFonts w:ascii="Book Antiqua" w:hAnsi="Book Antiqua" w:cs="Times New Roman"/>
          <w:sz w:val="24"/>
          <w:szCs w:val="24"/>
          <w:lang w:val="en-US"/>
        </w:rPr>
        <w:t xml:space="preserve">od vessels at the cecum serosa and </w:t>
      </w:r>
      <w:r w:rsidRPr="00E47A42">
        <w:rPr>
          <w:rFonts w:ascii="Book Antiqua" w:hAnsi="Book Antiqua" w:cs="Times New Roman"/>
          <w:sz w:val="24"/>
          <w:szCs w:val="24"/>
          <w:lang w:val="en-US"/>
        </w:rPr>
        <w:t>th</w:t>
      </w:r>
      <w:r w:rsidR="003A308D" w:rsidRPr="00E47A42">
        <w:rPr>
          <w:rFonts w:ascii="Book Antiqua" w:hAnsi="Book Antiqua" w:cs="Times New Roman"/>
          <w:sz w:val="24"/>
          <w:szCs w:val="24"/>
          <w:lang w:val="en-US"/>
        </w:rPr>
        <w:t>us</w:t>
      </w:r>
      <w:r w:rsidRPr="00E47A42">
        <w:rPr>
          <w:rFonts w:ascii="Book Antiqua" w:hAnsi="Book Antiqua" w:cs="Times New Roman"/>
          <w:sz w:val="24"/>
          <w:szCs w:val="24"/>
          <w:lang w:val="en-US"/>
        </w:rPr>
        <w:t xml:space="preserve"> </w:t>
      </w:r>
      <w:r w:rsidR="009234D0" w:rsidRPr="00E47A42">
        <w:rPr>
          <w:rFonts w:ascii="Book Antiqua" w:hAnsi="Book Antiqua" w:cs="Times New Roman"/>
          <w:sz w:val="24"/>
          <w:szCs w:val="24"/>
          <w:lang w:val="en-US"/>
        </w:rPr>
        <w:t>the rapid “disappearance” of</w:t>
      </w:r>
      <w:r w:rsidRPr="00E47A42">
        <w:rPr>
          <w:rFonts w:ascii="Book Antiqua" w:hAnsi="Book Antiqua" w:cs="Times New Roman"/>
          <w:sz w:val="24"/>
          <w:szCs w:val="24"/>
          <w:lang w:val="en-US"/>
        </w:rPr>
        <w:t xml:space="preserve"> existing ves</w:t>
      </w:r>
      <w:r w:rsidR="009234D0" w:rsidRPr="00E47A42">
        <w:rPr>
          <w:rFonts w:ascii="Book Antiqua" w:hAnsi="Book Antiqua" w:cs="Times New Roman"/>
          <w:sz w:val="24"/>
          <w:szCs w:val="24"/>
          <w:lang w:val="en-US"/>
        </w:rPr>
        <w:t>sels and failure of vessel function</w:t>
      </w:r>
      <w:r w:rsidRPr="00E47A42">
        <w:rPr>
          <w:rFonts w:ascii="Book Antiqua" w:hAnsi="Book Antiqua" w:cs="Times New Roman"/>
          <w:sz w:val="24"/>
          <w:szCs w:val="24"/>
          <w:lang w:val="en-US"/>
        </w:rPr>
        <w:t xml:space="preserve"> upon injury</w:t>
      </w:r>
      <w:r w:rsidR="00AF42FF"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and</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consequently</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perforation defect enlargement and fluid leak</w:t>
      </w:r>
      <w:r w:rsidR="00057402" w:rsidRPr="00E47A42">
        <w:rPr>
          <w:rFonts w:ascii="Book Antiqua" w:hAnsi="Book Antiqua" w:cs="Times New Roman"/>
          <w:sz w:val="24"/>
          <w:szCs w:val="24"/>
          <w:lang w:val="en-US"/>
        </w:rPr>
        <w:t>age</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profuse bleeding</w:t>
      </w:r>
      <w:r w:rsidR="003A308D"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increased oxidative stress and disturbed NO level</w:t>
      </w:r>
      <w:r w:rsidR="003A308D"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cecum tissue w</w:t>
      </w:r>
      <w:r w:rsidR="00057402" w:rsidRPr="00E47A42">
        <w:rPr>
          <w:rFonts w:ascii="Book Antiqua" w:hAnsi="Book Antiqua" w:cs="Times New Roman"/>
          <w:sz w:val="24"/>
          <w:szCs w:val="24"/>
          <w:lang w:val="en-US"/>
        </w:rPr>
        <w:t xml:space="preserve">ere </w:t>
      </w:r>
      <w:r w:rsidRPr="00E47A42">
        <w:rPr>
          <w:rFonts w:ascii="Book Antiqua" w:hAnsi="Book Antiqua" w:cs="Times New Roman"/>
          <w:sz w:val="24"/>
          <w:szCs w:val="24"/>
          <w:lang w:val="en-US"/>
        </w:rPr>
        <w:t>accordingly affected.</w:t>
      </w:r>
      <w:r w:rsidR="006162EC" w:rsidRPr="00E47A42">
        <w:rPr>
          <w:rFonts w:ascii="Book Antiqua" w:hAnsi="Book Antiqua" w:cs="Times New Roman"/>
          <w:sz w:val="24"/>
          <w:szCs w:val="24"/>
          <w:lang w:val="en-US"/>
        </w:rPr>
        <w:t xml:space="preserve"> </w:t>
      </w:r>
    </w:p>
    <w:p w14:paraId="55041FA3" w14:textId="377AD1B9" w:rsidR="00A302B4" w:rsidRPr="00E47A42" w:rsidRDefault="006162EC" w:rsidP="00D72C63">
      <w:pPr>
        <w:pStyle w:val="PlainText"/>
        <w:snapToGrid w:val="0"/>
        <w:spacing w:line="360" w:lineRule="auto"/>
        <w:ind w:firstLineChars="100" w:firstLine="240"/>
        <w:jc w:val="both"/>
        <w:rPr>
          <w:rFonts w:ascii="Book Antiqua" w:hAnsi="Book Antiqua" w:cs="Times New Roman"/>
          <w:sz w:val="24"/>
          <w:szCs w:val="24"/>
          <w:lang w:val="en-US" w:eastAsia="zh-CN"/>
        </w:rPr>
      </w:pPr>
      <w:r w:rsidRPr="00E47A42">
        <w:rPr>
          <w:rFonts w:ascii="Book Antiqua" w:hAnsi="Book Antiqua" w:cs="Times New Roman"/>
          <w:sz w:val="24"/>
          <w:szCs w:val="24"/>
          <w:lang w:val="en-US"/>
        </w:rPr>
        <w:t xml:space="preserve">We suggest </w:t>
      </w:r>
      <w:r w:rsidR="00A302B4" w:rsidRPr="00E47A42">
        <w:rPr>
          <w:rFonts w:ascii="Book Antiqua" w:hAnsi="Book Antiqua" w:cs="Times New Roman"/>
          <w:sz w:val="24"/>
          <w:szCs w:val="24"/>
          <w:lang w:val="en-US"/>
        </w:rPr>
        <w:t xml:space="preserve">that this </w:t>
      </w:r>
      <w:r w:rsidR="009234D0" w:rsidRPr="00E47A42">
        <w:rPr>
          <w:rFonts w:ascii="Book Antiqua" w:hAnsi="Book Antiqua" w:cs="Times New Roman"/>
          <w:sz w:val="24"/>
          <w:szCs w:val="24"/>
          <w:lang w:val="en-US"/>
        </w:rPr>
        <w:t>effect should be</w:t>
      </w:r>
      <w:r w:rsidR="00907686"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seen</w:t>
      </w:r>
      <w:r w:rsidR="009234D0"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9234D0" w:rsidRPr="00E47A42">
        <w:rPr>
          <w:rFonts w:ascii="Book Antiqua" w:hAnsi="Book Antiqua" w:cs="Times New Roman"/>
          <w:sz w:val="24"/>
          <w:szCs w:val="24"/>
          <w:lang w:val="en-US"/>
        </w:rPr>
        <w:t>based on evidence of BPC 157 rapidly activating</w:t>
      </w:r>
      <w:r w:rsidR="00A302B4" w:rsidRPr="00E47A42">
        <w:rPr>
          <w:rFonts w:ascii="Book Antiqua" w:hAnsi="Book Antiqua" w:cs="Times New Roman"/>
          <w:sz w:val="24"/>
          <w:szCs w:val="24"/>
          <w:lang w:val="en-US"/>
        </w:rPr>
        <w:t xml:space="preserve"> </w:t>
      </w:r>
      <w:r w:rsidR="00AF42FF" w:rsidRPr="00E47A42">
        <w:rPr>
          <w:rFonts w:ascii="Book Antiqua" w:hAnsi="Book Antiqua" w:cs="Times New Roman"/>
          <w:sz w:val="24"/>
          <w:szCs w:val="24"/>
          <w:lang w:val="en-US"/>
        </w:rPr>
        <w:t xml:space="preserve">the collateral circulation </w:t>
      </w:r>
      <w:r w:rsidR="00A302B4" w:rsidRPr="00E47A42">
        <w:rPr>
          <w:rFonts w:ascii="Book Antiqua" w:hAnsi="Book Antiqua" w:cs="Times New Roman"/>
          <w:sz w:val="24"/>
          <w:szCs w:val="24"/>
          <w:lang w:val="en-US"/>
        </w:rPr>
        <w:t>from existing vessels</w:t>
      </w:r>
      <w:r w:rsidR="003A308D"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in rats with ischemic colitis</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mendeley":{"formattedCitation":"&lt;sup&gt;[20]&lt;/sup&gt;","plainTextFormattedCitation":"[20]","previouslyFormattedCitation":"&lt;sup&gt;[20]&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w:t>
      </w:r>
      <w:r w:rsidR="00A75220"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xml:space="preserve"> or inferior </w:t>
      </w:r>
      <w:r w:rsidR="00A302B4" w:rsidRPr="00E47A42">
        <w:rPr>
          <w:rFonts w:ascii="Book Antiqua" w:hAnsi="Book Antiqua" w:cs="Times New Roman"/>
          <w:noProof/>
          <w:sz w:val="24"/>
          <w:szCs w:val="24"/>
          <w:lang w:val="en-US"/>
        </w:rPr>
        <w:t>caval</w:t>
      </w:r>
      <w:r w:rsidR="00A302B4" w:rsidRPr="00E47A42">
        <w:rPr>
          <w:rFonts w:ascii="Book Antiqua" w:hAnsi="Book Antiqua" w:cs="Times New Roman"/>
          <w:sz w:val="24"/>
          <w:szCs w:val="24"/>
          <w:lang w:val="en-US"/>
        </w:rPr>
        <w:t xml:space="preserve"> vein occlusion</w:t>
      </w:r>
      <w:r w:rsidR="00B62926"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B62926"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w:t>
      </w:r>
      <w:r w:rsidR="00B62926"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Th</w:t>
      </w:r>
      <w:r w:rsidR="003A308D" w:rsidRPr="00E47A42">
        <w:rPr>
          <w:rFonts w:ascii="Book Antiqua" w:hAnsi="Book Antiqua" w:cs="Times New Roman"/>
          <w:sz w:val="24"/>
          <w:szCs w:val="24"/>
          <w:lang w:val="en-US"/>
        </w:rPr>
        <w:t>us</w:t>
      </w:r>
      <w:r w:rsidR="00A302B4" w:rsidRPr="00E47A42">
        <w:rPr>
          <w:rFonts w:ascii="Book Antiqua" w:hAnsi="Book Antiqua" w:cs="Times New Roman"/>
          <w:sz w:val="24"/>
          <w:szCs w:val="24"/>
          <w:lang w:val="en-US"/>
        </w:rPr>
        <w:t>, the essential findings (</w:t>
      </w:r>
      <w:r w:rsidR="00A302B4" w:rsidRPr="00E47A42">
        <w:rPr>
          <w:rFonts w:ascii="Book Antiqua" w:hAnsi="Book Antiqua" w:cs="Times New Roman"/>
          <w:i/>
          <w:sz w:val="24"/>
          <w:szCs w:val="24"/>
          <w:lang w:val="en-US"/>
        </w:rPr>
        <w:t>i.e</w:t>
      </w:r>
      <w:r w:rsidR="00A302B4" w:rsidRPr="00E47A42">
        <w:rPr>
          <w:rFonts w:ascii="Book Antiqua" w:hAnsi="Book Antiqua" w:cs="Times New Roman"/>
          <w:sz w:val="24"/>
          <w:szCs w:val="24"/>
          <w:lang w:val="en-US"/>
        </w:rPr>
        <w:t xml:space="preserve">., cecum perforation syndrome </w:t>
      </w:r>
      <w:r w:rsidR="00AA1218" w:rsidRPr="00E47A42">
        <w:rPr>
          <w:rFonts w:ascii="Book Antiqua" w:hAnsi="Book Antiqua" w:cs="Times New Roman"/>
          <w:noProof/>
          <w:sz w:val="24"/>
          <w:szCs w:val="24"/>
          <w:lang w:val="en-US"/>
        </w:rPr>
        <w:t>occu</w:t>
      </w:r>
      <w:r w:rsidR="005B46CC" w:rsidRPr="00E47A42">
        <w:rPr>
          <w:rFonts w:ascii="Book Antiqua" w:hAnsi="Book Antiqua" w:cs="Times New Roman"/>
          <w:noProof/>
          <w:sz w:val="24"/>
          <w:szCs w:val="24"/>
          <w:lang w:val="en-US"/>
        </w:rPr>
        <w:t>r</w:t>
      </w:r>
      <w:r w:rsidR="00AA1218" w:rsidRPr="00E47A42">
        <w:rPr>
          <w:rFonts w:ascii="Book Antiqua" w:hAnsi="Book Antiqua" w:cs="Times New Roman"/>
          <w:noProof/>
          <w:sz w:val="24"/>
          <w:szCs w:val="24"/>
          <w:lang w:val="en-US"/>
        </w:rPr>
        <w:t>ring</w:t>
      </w:r>
      <w:r w:rsidR="00907686"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in BPC 157</w:t>
      </w:r>
      <w:r w:rsidR="00907686"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treated rats </w:t>
      </w:r>
      <w:r w:rsidR="00AA1218" w:rsidRPr="00E47A42">
        <w:rPr>
          <w:rFonts w:ascii="Book Antiqua" w:hAnsi="Book Antiqua" w:cs="Times New Roman"/>
          <w:sz w:val="24"/>
          <w:szCs w:val="24"/>
          <w:lang w:val="en-US"/>
        </w:rPr>
        <w:t>shows</w:t>
      </w:r>
      <w:r w:rsidR="00A302B4" w:rsidRPr="00E47A42">
        <w:rPr>
          <w:rFonts w:ascii="Book Antiqua" w:hAnsi="Book Antiqua" w:cs="Times New Roman"/>
          <w:sz w:val="24"/>
          <w:szCs w:val="24"/>
          <w:lang w:val="en-US"/>
        </w:rPr>
        <w:t xml:space="preserve"> attenuation and </w:t>
      </w:r>
      <w:r w:rsidR="00A302B4" w:rsidRPr="00E47A42">
        <w:rPr>
          <w:rFonts w:ascii="Book Antiqua" w:hAnsi="Book Antiqua" w:cs="Times New Roman"/>
          <w:sz w:val="24"/>
          <w:szCs w:val="24"/>
          <w:lang w:val="en-US"/>
        </w:rPr>
        <w:lastRenderedPageBreak/>
        <w:t>reversal of the consequent tissue damages) indicate the rapidly activated bypassing loops (</w:t>
      </w:r>
      <w:r w:rsidR="00A302B4" w:rsidRPr="00E47A42">
        <w:rPr>
          <w:rFonts w:ascii="Book Antiqua" w:hAnsi="Book Antiqua" w:cs="Times New Roman"/>
          <w:i/>
          <w:sz w:val="24"/>
          <w:szCs w:val="24"/>
          <w:lang w:val="en-US"/>
        </w:rPr>
        <w:t>i.e</w:t>
      </w:r>
      <w:r w:rsidR="00A302B4" w:rsidRPr="00E47A42">
        <w:rPr>
          <w:rFonts w:ascii="Book Antiqua" w:hAnsi="Book Antiqua" w:cs="Times New Roman"/>
          <w:sz w:val="24"/>
          <w:szCs w:val="24"/>
          <w:lang w:val="en-US"/>
        </w:rPr>
        <w:t>., through arcade vessels or</w:t>
      </w:r>
      <w:r w:rsidR="008D5461" w:rsidRPr="00E47A42">
        <w:rPr>
          <w:rFonts w:ascii="Book Antiqua" w:hAnsi="Book Antiqua" w:cs="Times New Roman"/>
          <w:sz w:val="24"/>
          <w:szCs w:val="24"/>
          <w:lang w:val="en-US"/>
        </w:rPr>
        <w:t xml:space="preserve"> the</w:t>
      </w:r>
      <w:r w:rsidR="00A302B4" w:rsidRPr="00E47A42">
        <w:rPr>
          <w:rFonts w:ascii="Book Antiqua" w:hAnsi="Book Antiqua" w:cs="Times New Roman"/>
          <w:sz w:val="24"/>
          <w:szCs w:val="24"/>
          <w:lang w:val="en-US"/>
        </w:rPr>
        <w:t xml:space="preserve"> left ovarian vein and other veins</w:t>
      </w:r>
      <w:r w:rsidR="00907686" w:rsidRPr="00E47A42">
        <w:rPr>
          <w:rFonts w:ascii="Book Antiqua" w:hAnsi="Book Antiqua" w:cs="Times New Roman"/>
          <w:sz w:val="24"/>
          <w:szCs w:val="24"/>
          <w:lang w:val="en-US"/>
        </w:rPr>
        <w:t>)</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8D5461" w:rsidRPr="00E47A42">
        <w:rPr>
          <w:rFonts w:ascii="Book Antiqua" w:hAnsi="Book Antiqua" w:cs="Times New Roman"/>
          <w:sz w:val="24"/>
          <w:szCs w:val="24"/>
          <w:lang w:val="en-US"/>
        </w:rPr>
        <w:t>,</w:t>
      </w:r>
      <w:r w:rsidR="00E17A75"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corresponding to </w:t>
      </w:r>
      <w:r w:rsidR="008D5461"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 xml:space="preserve">prompt </w:t>
      </w:r>
      <w:r w:rsidR="00AA1218" w:rsidRPr="00E47A42">
        <w:rPr>
          <w:rFonts w:ascii="Book Antiqua" w:hAnsi="Book Antiqua" w:cs="Times New Roman"/>
          <w:sz w:val="24"/>
          <w:szCs w:val="24"/>
          <w:lang w:val="en-US"/>
        </w:rPr>
        <w:t>reperfusion</w:t>
      </w:r>
      <w:r w:rsidR="00A302B4" w:rsidRPr="00E47A42">
        <w:rPr>
          <w:rFonts w:ascii="Book Antiqua" w:hAnsi="Book Antiqua" w:cs="Times New Roman"/>
          <w:sz w:val="24"/>
          <w:szCs w:val="24"/>
          <w:lang w:val="en-US"/>
        </w:rPr>
        <w:t xml:space="preserve"> seen after perforation. </w:t>
      </w:r>
      <w:r w:rsidR="00AA1218" w:rsidRPr="00E47A42">
        <w:rPr>
          <w:rFonts w:ascii="Book Antiqua" w:hAnsi="Book Antiqua" w:cs="Times New Roman"/>
          <w:sz w:val="24"/>
          <w:szCs w:val="24"/>
          <w:lang w:val="en-US"/>
        </w:rPr>
        <w:t>Reperfusion</w:t>
      </w:r>
      <w:r w:rsidR="00A302B4" w:rsidRPr="00E47A42">
        <w:rPr>
          <w:rFonts w:ascii="Book Antiqua" w:hAnsi="Book Antiqua" w:cs="Times New Roman"/>
          <w:sz w:val="24"/>
          <w:szCs w:val="24"/>
          <w:lang w:val="en-US"/>
        </w:rPr>
        <w:t xml:space="preserve"> may be </w:t>
      </w:r>
      <w:r w:rsidR="00AA1218" w:rsidRPr="00E47A42">
        <w:rPr>
          <w:rFonts w:ascii="Book Antiqua" w:hAnsi="Book Antiqua" w:cs="Times New Roman"/>
          <w:sz w:val="24"/>
          <w:szCs w:val="24"/>
          <w:lang w:val="en-US"/>
        </w:rPr>
        <w:t xml:space="preserve">observed by </w:t>
      </w:r>
      <w:r w:rsidR="00A302B4" w:rsidRPr="00E47A42">
        <w:rPr>
          <w:rFonts w:ascii="Book Antiqua" w:hAnsi="Book Antiqua" w:cs="Times New Roman"/>
          <w:sz w:val="24"/>
          <w:szCs w:val="24"/>
          <w:lang w:val="en-US"/>
        </w:rPr>
        <w:t>vessel</w:t>
      </w:r>
      <w:r w:rsidR="00057402"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“running” toward the defect (vessel</w:t>
      </w:r>
      <w:r w:rsidR="00AA1218"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filled</w:t>
      </w:r>
      <w:r w:rsidR="008D5461"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reappeared), </w:t>
      </w:r>
      <w:r w:rsidR="008D5461" w:rsidRPr="00E47A42">
        <w:rPr>
          <w:rFonts w:ascii="Book Antiqua" w:hAnsi="Book Antiqua" w:cs="Times New Roman"/>
          <w:sz w:val="24"/>
          <w:szCs w:val="24"/>
          <w:lang w:val="en-US"/>
        </w:rPr>
        <w:t xml:space="preserve">and a </w:t>
      </w:r>
      <w:r w:rsidR="00A302B4" w:rsidRPr="00E47A42">
        <w:rPr>
          <w:rFonts w:ascii="Book Antiqua" w:hAnsi="Book Antiqua" w:cs="Times New Roman"/>
          <w:sz w:val="24"/>
          <w:szCs w:val="24"/>
          <w:lang w:val="en-US"/>
        </w:rPr>
        <w:t>small</w:t>
      </w:r>
      <w:r w:rsidR="008D5461" w:rsidRPr="00E47A42">
        <w:rPr>
          <w:rFonts w:ascii="Book Antiqua" w:hAnsi="Book Antiqua" w:cs="Times New Roman"/>
          <w:sz w:val="24"/>
          <w:szCs w:val="24"/>
          <w:lang w:val="en-US"/>
        </w:rPr>
        <w:t>-</w:t>
      </w:r>
      <w:r w:rsidR="00AA1218" w:rsidRPr="00E47A42">
        <w:rPr>
          <w:rFonts w:ascii="Book Antiqua" w:hAnsi="Book Antiqua" w:cs="Times New Roman"/>
          <w:sz w:val="24"/>
          <w:szCs w:val="24"/>
          <w:lang w:val="en-US"/>
        </w:rPr>
        <w:t>vessel network appearing</w:t>
      </w:r>
      <w:r w:rsidR="00A302B4" w:rsidRPr="00E47A42">
        <w:rPr>
          <w:rFonts w:ascii="Book Antiqua" w:hAnsi="Book Antiqua" w:cs="Times New Roman"/>
          <w:sz w:val="24"/>
          <w:szCs w:val="24"/>
          <w:lang w:val="en-US"/>
        </w:rPr>
        <w:t xml:space="preserve"> around the perforated defect with BPC 157 bath administration. </w:t>
      </w:r>
      <w:r w:rsidR="00C901D5" w:rsidRPr="00E47A42">
        <w:rPr>
          <w:rFonts w:ascii="Book Antiqua" w:hAnsi="Book Antiqua" w:cs="Times New Roman"/>
          <w:sz w:val="24"/>
          <w:szCs w:val="24"/>
          <w:lang w:val="en-US"/>
        </w:rPr>
        <w:t>E</w:t>
      </w:r>
      <w:r w:rsidR="00B43B28" w:rsidRPr="00E47A42">
        <w:rPr>
          <w:rFonts w:ascii="Book Antiqua" w:hAnsi="Book Antiqua" w:cs="Times New Roman"/>
          <w:sz w:val="24"/>
          <w:szCs w:val="24"/>
          <w:lang w:val="en-US"/>
        </w:rPr>
        <w:t>ach</w:t>
      </w:r>
      <w:r w:rsidR="00A302B4" w:rsidRPr="00E47A42">
        <w:rPr>
          <w:rFonts w:ascii="Book Antiqua" w:hAnsi="Book Antiqua" w:cs="Times New Roman"/>
          <w:sz w:val="24"/>
          <w:szCs w:val="24"/>
          <w:lang w:val="en-US"/>
        </w:rPr>
        <w:t xml:space="preserve"> </w:t>
      </w:r>
      <w:r w:rsidR="00B43B28" w:rsidRPr="00E47A42">
        <w:rPr>
          <w:rFonts w:ascii="Book Antiqua" w:hAnsi="Book Antiqua" w:cs="Times New Roman"/>
          <w:sz w:val="24"/>
          <w:szCs w:val="24"/>
          <w:lang w:val="en-US"/>
        </w:rPr>
        <w:t xml:space="preserve">considered </w:t>
      </w:r>
      <w:r w:rsidR="00A302B4" w:rsidRPr="00E47A42">
        <w:rPr>
          <w:rFonts w:ascii="Book Antiqua" w:hAnsi="Book Antiqua" w:cs="Times New Roman"/>
          <w:sz w:val="24"/>
          <w:szCs w:val="24"/>
          <w:lang w:val="en-US"/>
        </w:rPr>
        <w:t>a break of blood flow</w:t>
      </w:r>
      <w:r w:rsidR="00E148F3"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AA1218" w:rsidRPr="00E47A42">
        <w:rPr>
          <w:rFonts w:ascii="Book Antiqua" w:hAnsi="Book Antiqua" w:cs="Times New Roman"/>
          <w:sz w:val="24"/>
          <w:szCs w:val="24"/>
          <w:lang w:val="en-US"/>
        </w:rPr>
        <w:t xml:space="preserve">this </w:t>
      </w:r>
      <w:r w:rsidR="00A302B4" w:rsidRPr="00E47A42">
        <w:rPr>
          <w:rFonts w:ascii="Book Antiqua" w:hAnsi="Book Antiqua" w:cs="Times New Roman"/>
          <w:sz w:val="24"/>
          <w:szCs w:val="24"/>
          <w:lang w:val="en-US"/>
        </w:rPr>
        <w:t>suggest</w:t>
      </w:r>
      <w:r w:rsidR="00B43B28"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that the therapy resolving the defect (</w:t>
      </w:r>
      <w:r w:rsidR="00A302B4" w:rsidRPr="00E47A42">
        <w:rPr>
          <w:rFonts w:ascii="Book Antiqua" w:hAnsi="Book Antiqua" w:cs="Times New Roman"/>
          <w:i/>
          <w:sz w:val="24"/>
          <w:szCs w:val="24"/>
          <w:lang w:val="en-US"/>
        </w:rPr>
        <w:t>i.e</w:t>
      </w:r>
      <w:r w:rsidR="00A302B4" w:rsidRPr="00E47A42">
        <w:rPr>
          <w:rFonts w:ascii="Book Antiqua" w:hAnsi="Book Antiqua" w:cs="Times New Roman"/>
          <w:sz w:val="24"/>
          <w:szCs w:val="24"/>
          <w:lang w:val="en-US"/>
        </w:rPr>
        <w:t>., cecum defect enlarg</w:t>
      </w:r>
      <w:r w:rsidR="00B43B28" w:rsidRPr="00E47A42">
        <w:rPr>
          <w:rFonts w:ascii="Book Antiqua" w:hAnsi="Book Antiqua" w:cs="Times New Roman"/>
          <w:sz w:val="24"/>
          <w:szCs w:val="24"/>
          <w:lang w:val="en-US"/>
        </w:rPr>
        <w:t>ement</w:t>
      </w:r>
      <w:r w:rsidR="00A302B4" w:rsidRPr="00E47A42">
        <w:rPr>
          <w:rFonts w:ascii="Book Antiqua" w:hAnsi="Book Antiqua" w:cs="Times New Roman"/>
          <w:sz w:val="24"/>
          <w:szCs w:val="24"/>
          <w:lang w:val="en-US"/>
        </w:rPr>
        <w:t xml:space="preserve"> reversed to defect contraction in BPC 157</w:t>
      </w:r>
      <w:r w:rsidR="00B43B28"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treated rats) may be </w:t>
      </w:r>
      <w:r w:rsidR="00AA1218" w:rsidRPr="00E47A42">
        <w:rPr>
          <w:rFonts w:ascii="Book Antiqua" w:hAnsi="Book Antiqua" w:cs="Times New Roman"/>
          <w:sz w:val="24"/>
          <w:szCs w:val="24"/>
          <w:lang w:val="en-US"/>
        </w:rPr>
        <w:t xml:space="preserve">a result of </w:t>
      </w:r>
      <w:r w:rsidR="005B46CC" w:rsidRPr="00E47A42">
        <w:rPr>
          <w:rFonts w:ascii="Book Antiqua" w:hAnsi="Book Antiqua" w:cs="Times New Roman"/>
          <w:sz w:val="24"/>
          <w:szCs w:val="24"/>
          <w:lang w:val="en-US"/>
        </w:rPr>
        <w:t xml:space="preserve">the </w:t>
      </w:r>
      <w:r w:rsidR="00A302B4" w:rsidRPr="00E47A42">
        <w:rPr>
          <w:rFonts w:ascii="Book Antiqua" w:hAnsi="Book Antiqua" w:cs="Times New Roman"/>
          <w:noProof/>
          <w:sz w:val="24"/>
          <w:szCs w:val="24"/>
          <w:lang w:val="en-US"/>
        </w:rPr>
        <w:t>reestablish</w:t>
      </w:r>
      <w:r w:rsidR="00AA1218" w:rsidRPr="00E47A42">
        <w:rPr>
          <w:rFonts w:ascii="Book Antiqua" w:hAnsi="Book Antiqua" w:cs="Times New Roman"/>
          <w:noProof/>
          <w:sz w:val="24"/>
          <w:szCs w:val="24"/>
          <w:lang w:val="en-US"/>
        </w:rPr>
        <w:t>ment</w:t>
      </w:r>
      <w:r w:rsidR="00AA1218" w:rsidRPr="00E47A42">
        <w:rPr>
          <w:rFonts w:ascii="Book Antiqua" w:hAnsi="Book Antiqua" w:cs="Times New Roman"/>
          <w:sz w:val="24"/>
          <w:szCs w:val="24"/>
          <w:lang w:val="en-US"/>
        </w:rPr>
        <w:t xml:space="preserve"> of</w:t>
      </w:r>
      <w:r w:rsidR="00A302B4" w:rsidRPr="00E47A42">
        <w:rPr>
          <w:rFonts w:ascii="Book Antiqua" w:hAnsi="Book Antiqua" w:cs="Times New Roman"/>
          <w:sz w:val="24"/>
          <w:szCs w:val="24"/>
          <w:lang w:val="en-US"/>
        </w:rPr>
        <w:t xml:space="preserve"> blood flow. </w:t>
      </w:r>
      <w:r w:rsidR="00057402" w:rsidRPr="00E47A42">
        <w:rPr>
          <w:rFonts w:ascii="Book Antiqua" w:hAnsi="Book Antiqua" w:cs="Times New Roman"/>
          <w:sz w:val="24"/>
          <w:szCs w:val="24"/>
          <w:lang w:val="en-US"/>
        </w:rPr>
        <w:t xml:space="preserve">The bleeding </w:t>
      </w:r>
      <w:r w:rsidR="00A302B4" w:rsidRPr="00E47A42">
        <w:rPr>
          <w:rFonts w:ascii="Book Antiqua" w:hAnsi="Book Antiqua" w:cs="Times New Roman"/>
          <w:sz w:val="24"/>
          <w:szCs w:val="24"/>
          <w:lang w:val="en-US"/>
        </w:rPr>
        <w:t xml:space="preserve">time from </w:t>
      </w:r>
      <w:r w:rsidR="00907686"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perforated cecum is thereby shortened, as demonstrated in rats with amputation, anticoagulant application, or vein obstruction</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thromres.2011.07.035","ISSN":"00493848","author":[{"dropping-particle":"","family":"Stupnisek","given":"Mirjana","non-dropping-particle":"","parse-names":false,"suffix":""},{"dropping-particle":"","family":"Franjic","given":"Sandra","non-dropping-particle":"","parse-names":false,"suffix":""},{"dropping-particle":"","family":"Drmic","given":"Domagoj","non-dropping-particle":"","parse-names":false,"suffix":""},{"dropping-particle":"","family":"Hrelec","given":"Masa","non-dropping-particle":"","parse-names":false,"suffix":""},{"dropping-particle":"","family":"Kolenc","given":"Danijela","non-dropping-particle":"","parse-names":false,"suffix":""},{"dropping-particle":"","family":"Radic","given":"Bozo","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Thrombosis Research","id":"ITEM-1","issue":"5","issued":{"date-parts":[["2012","5"]]},"page":"652-659","title":"Pentadecapeptide BPC 157 reduces bleeding time and thrombocytopenia after amputation in rats treated with heparin, warfarin or aspirin","type":"article-journal","volume":"129"},"uris":["http://www.mendeley.com/documents/?uuid=bb95af62-4403-4eee-ac11-2bc57c640536"]},{"id":"ITEM-2","itemData":{"DOI":"10.1371/journal.pone.0123454","ISSN":"1932-6203","author":[{"dropping-particle":"","family":"Stupnisek","given":"Mirjana","non-dropping-particle":"","parse-names":false,"suffix":""},{"dropping-particle":"","family":"Kokot","given":"Antonio","non-dropping-particle":"","parse-names":false,"suffix":""},{"dropping-particle":"","family":"Drmic","given":"Domagoj","non-dropping-particle":"","parse-names":false,"suffix":""},{"dropping-particle":"","family":"Hrelec Patrlj","given":"Masa","non-dropping-particle":"","parse-names":false,"suffix":""},{"dropping-particle":"","family":"Zenko Sever","given":"Anita","non-dropping-particle":"","parse-names":false,"suffix":""},{"dropping-particle":"","family":"Kolenc","given":"Danijela","non-dropping-particle":"","parse-names":false,"suffix":""},{"dropping-particle":"","family":"Radic","given":"Bozo","non-dropping-particle":"","parse-names":false,"suffix":""},{"dropping-particle":"","family":"Suran","given":"Jelena","non-dropping-particle":"","parse-names":false,"suffix":""},{"dropping-particle":"","family":"Bojic","given":"Davor","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PLOS ONE","editor":[{"dropping-particle":"","family":"Yu","given":"Jun","non-dropping-particle":"","parse-names":false,"suffix":""}],"id":"ITEM-2","issue":"4","issued":{"date-parts":[["2015","4","21"]]},"page":"e0123454","title":"Pentadecapeptide BPC 157 Reduces Bleeding and Thrombocytopenia after Amputation in Rats Treated with Heparin, Warfarin, L-NAME and L-Arginine","type":"article-journal","volume":"10"},"uris":["http://www.mendeley.com/documents/?uuid=5b43fc49-e4f1-4278-be61-83d97a236221"]},{"id":"ITEM-3","itemData":{"DOI":"10.1016/j.vph.2018.02.010","ISSN":"18793649","abstract":"©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Pharmacology","id":"ITEM-3","issued":{"date-parts":[["2018"]]},"page":"54-66","title":"Rat inferior caval vein (ICV) ligature and particular new insights with the stable gastric pentadecapeptide BPC 157","type":"article-journal","volume":"106"},"uris":["http://www.mendeley.com/documents/?uuid=0d4e894c-6fc1-3bed-bb8f-4b56e696ff06"]}],"mendeley":{"formattedCitation":"&lt;sup&gt;[21,42,43]&lt;/sup&gt;","plainTextFormattedCitation":"[21,42,43]","previouslyFormattedCitation":"&lt;sup&gt;[21,42,43]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[21,42,43]</w:t>
      </w:r>
      <w:r w:rsidR="00A75220"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Furthermore, defect closing c</w:t>
      </w:r>
      <w:r w:rsidR="00AA1218" w:rsidRPr="00E47A42">
        <w:rPr>
          <w:rFonts w:ascii="Book Antiqua" w:hAnsi="Book Antiqua" w:cs="Times New Roman"/>
          <w:sz w:val="24"/>
          <w:szCs w:val="24"/>
          <w:lang w:val="en-US"/>
        </w:rPr>
        <w:t>orresponds to the closing of</w:t>
      </w:r>
      <w:r w:rsidR="00A302B4" w:rsidRPr="00E47A42">
        <w:rPr>
          <w:rFonts w:ascii="Book Antiqua" w:hAnsi="Book Antiqua" w:cs="Times New Roman"/>
          <w:sz w:val="24"/>
          <w:szCs w:val="24"/>
          <w:lang w:val="en-US"/>
        </w:rPr>
        <w:t xml:space="preserve"> various fistula defects</w:t>
      </w:r>
      <w:r w:rsidR="007B7943"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which were surgically made by particular defect creation</w:t>
      </w:r>
      <w:r w:rsidR="007B7943"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in corresponding organs</w:t>
      </w:r>
      <w:r w:rsidR="007807F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{"citationItems":[{"id":"ITEM-1","itemData":{"DOI":"10.1016/j.lfs.2016.02.029","ISSN":"00243205","author":[{"dropping-particle":"","family":"Baric","given":"Marko","non-dropping-particle":"","parse-names":false,"suffix":""},{"dropping-particle":"","family":"Sever","given":"Anita Zenko","non-dropping-particle":"","parse-names":false,"suffix":""},{"dropping-particle":"","family":"Vuletic","given":"Lovorka Batelja","non-dropping-particle":"","parse-names":false,"suffix":""},{"dropping-particle":"","family":"Rasic","given":"Zarko","non-dropping-particle":"","parse-names":false,"suffix":""},{"dropping-particle":"","family":"Sever","given":"Marko","non-dropping-particle":"","parse-names":false,"suffix":""},{"dropping-particle":"","family":"Drmic","given":"Domagoj","non-dropping-particle":"","parse-names":false,"suffix":""},{"dropping-particle":"","family":"Pavelic-Turudic","given":"Tatjana","non-dropping-particle":"","parse-names":false,"suffix":""},{"dropping-particle":"","family":"Sucic","given":"Mario","non-dropping-particle":"","parse-names":false,"suffix":""},{"dropping-particle":"","family":"Vrcic","given":"Hrvoje","non-dropping-particle":"","parse-names":false,"suffix":""},{"dropping-particle":"","family":"Seiwerth","given":"Sven","non-dropping-particle":"","parse-names":false,"suffix":""},{"dropping-particle":"","family":"Sikiric","given":"Predrag","non-dropping-particle":"","parse-names":false,"suffix":""}],"container-title":"Life Sciences","id":"ITEM-1","issued":{"date-parts":[["2016","3"]]},"page":"63-70","title":"Stable gastric pentadecapeptide BPC 157 heals rectovaginal fistula in rats","type":"article-journal","volume":"148"},"uris":["http://www.mendeley.com/documents/?uuid=9d02cf7d-044d-4060-9f70-c61a10e4d011"]},{"id":"ITEM-2","itemData":{"DOI":"10.1016/j.ejphar.2016.02.038","ISSN":"18790712","PMID":"26875638","abstract":"To establish the effects of BPC 157 on the healing of rat colovesical fistulas, Wistar Albino male rats were randomly assigned to different groups. BPC 157, a stable gastric pentadecapeptide, has been used in clinical applications - specifically, in ulcerative colitis - and was successful in treating both external and internal fistulas. BPC 157 was provided daily, perorally, in drinking water (10 ??g/kg, 12 ml/rat/day) until sacrifice or, alternatively, 10 ??g/kg or 10 ng/kg intraperitoneally, with the first application at 30 min after surgery and the last at 24 h before sacrifice. Controls simultaneously received an equivolume of saline (5.0 ml/kg ip) or water only (12 ml/rat/day). Assessment (i.e., colon and vesical defects, fistula leaking, fecaluria and defecation through the fistula, adhesions and intestinal obstruction as healing processes) took place on days 7, 14 and 28. Control colovesical fistulas regularly exhibited poor healing, with both of the defects persisting; continuous fistula leakage; fecaluria and defecation through the fistula; advanced adhesion formation; and intestinal obstruction. By contrast, BPC 157 given perorally or intraperitoneally and in ??g- and ng-regimens rapidly improved the whole presentation, with both colon and vesical defects simultaneously ameliorated and eventually healed. The maximal instilled volume was continuously raised until it reached the values of healthy rats, there were no signs of fecaluria and no defecation through the fistula, there was counteraction of advanced adhesion formation or there was an intestinal obstruction. In conclusion, BPC 157 effects appear to be suited to inducing full healing of colocutaneous fistulas in rats.","author":[{"dropping-particle":"","family":"Grgic","given":"Tihomir","non-dropping-particle":"","parse-names":false,"suffix":""},{"dropping-particle":"","family":"Grgic","given":"Dora","non-dropping-particle":"","parse-names":false,"suffix":""},{"dropping-particle":"","family":"Drmic","given":"Domagoj","non-dropping-particle":"","parse-names":false,"suffix":""},{"dropping-particle":"","family":"Sever","given":"Anita Zenko","non-dropping-particle":"","parse-names":false,"suffix":""},{"dropping-particle":"","family":"Petrovic","given":"Igor","non-dropping-particle":"","parse-names":false,"suffix":""},{"dropping-particle":"","family":"Sucic","given":"Mario","non-dropping-particle":"","parse-names":false,"suffix":""},{"dropping-particle":"","family":"Kokot","given":"Antonio","non-dropping-particle":"","parse-names":false,"suffix":""},{"dropping-particle":"","family":"Klicek","given":"Robert","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European Journal of Pharmacology","id":"ITEM-2","issued":{"date-parts":[["2016"]]},"page":"1-7","publisher":"Elsevier","title":"Stable gastric pentadecapeptide BPC 157 heals rat colovesical fistula","type":"article-journal","volume":"780"},"uris":["http://www.mendeley.com/documents/?uuid=04542bd7-fb6a-4b51-8eef-04cb7ee8cd51"]},{"id":"ITEM-3","itemData":{"ISSN":"1347-8613","PMID":"18818478","abstract":"We focused on the therapeutic effect of the stable gastric pentadecapeptide BPC 157 and how its action is related to nitric oxide (NO) in persistent colocutaneous fistula in rats (at 5 cm from anus, colon defect of 5 mm, skin defect of 5 mm); this peptide has been shown to be safe in clinical trials for inflammatory bowel disease (PL14736) and safe for intestinal anstomosis therapy. BPC 157 (10 microg/kg, 10 ng/kg) was applied i) in drinking water until the animals were sacrificed at post-operative day 1, 3, 5, 7, 14, 21, and 28; or ii) once daily intraperitoneally (first application 30 min following surgery, last 24 h before sacrifice) alone or with N(G)-nitro-L-arginine methyl ester (L-NAME) (5 mg/kg), L-arginine (200 mg/kg), and their combinations. Sulphasalazine (50 mg/kg) and 6-alpha-methylprednisolone (1 mg/kg) were given once daily intraperitoneally. BPC 157 accelerated parenterally or perorally the healing of colonic and skin defect, leading to the suitable closure of the fistula, macro/microscopically, biomechanically, and functionally (larger water volume sustained without fistula leaking). L-NAME aggravated the healing failure of colocutaneous fistulas, skin, and colon wounds (L-NAME groups). L-Arginine was effective only with blunted NO generation (L-NAME + L-arginine groups) but not without (L-arginine groups). All of the BPC 157 beneficial effects remained unchanged with blunted NO-generation (L-NAME + BPC 157 groups) and with NO substrate (L-arginine + BPC 157 groups) as well as L-NAME and L-arginine co-administration (L-NAME + L-arginine + BPC 157 groups). Sulphasalazine was only moderately effective, and corticosteroid even had an aggravating effect.","author":[{"dropping-particle":"","family":"Klicek","given":"Robert","non-dropping-particle":"","parse-names":false,"suffix":""},{"dropping-particle":"","family":"Sever","given":"Marko","non-dropping-particle":"","parse-names":false,"suffix":""},{"dropping-particle":"","family":"Radic","given":"Bozo","non-dropping-particle":"","parse-names":false,"suffix":""},{"dropping-particle":"","family":"Drmic","given":"Domagoj","non-dropping-particle":"","parse-names":false,"suffix":""},{"dropping-particle":"","family":"Kocman","given":"Ivan","non-dropping-particle":"","parse-names":false,"suffix":""},{"dropping-particle":"","family":"Zoricic","given":"Ivan","non-dropping-particle":"","parse-names":false,"suffix":""},{"dropping-particle":"","family":"Vuksic","given":"Tihomir","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Vrcic","given":"Hrvoje","non-dropping-particle":"","parse-names":false,"suffix":""},{"dropping-particle":"","family":"Brcic","given":"Luka","non-dropping-particle":"","parse-names":false,"suffix":""},{"dropping-particle":"","family":"Blagaic","given":"Alenka Boban","non-dropping-particle":"","parse-names":false,"suffix":""},{"dropping-particle":"","family":"Coric","given":"Marijana","non-dropping-particle":"","parse-names":false,"suffix":""},{"dropping-particle":"","family":"Brcic","given":"Iva","non-dropping-particle":"","parse-names":false,"suffix":""},{"dropping-particle":"","family":"Rokotov","given":"Dinko Stancic","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Journal of pharmacological sciences","id":"ITEM-3","issue":"1","issued":{"date-parts":[["2008","9"]]},"page":"7-17","title":"Pentadecapeptide BPC 157, in clinical trials as a therapy for inflammatory bowel disease (PL14736), is effective in the healing of colocutaneous fistulas in rats: role of the nitric oxide-system.","type":"article-journal","volume":"108"},"uris":["http://www.mendeley.com/documents/?uuid=603bb6e4-0405-4baa-8f6b-0e82c47cd81e"]},{"id":"ITEM-4","itemData":{"ISBN":"1899-1505 (Electronic)\\r0867-5910 (Linking)","ISSN":"18991505","PMID":"26348082","abstract":"While very rarely reported, duodenocutanenous fistula research might alter the duodenal ulcer disease background and therapy. Our research focused on rat duodenocutaneous fistulas, therapy, stable gastric pentadecapeptide BPC 157, an anti-ulcer peptide that healed other fistulas, nitric oxide synthase-substrate L-arginine, and nitric oxide synthase-inhibitor L-nitro-arginine methyl ester (L-NAME). The hypothesis was, duodenal ulcer-healing, like the skin ulcer, using the successful BPC 157, with nitric oxide-system involvement, the \"wound healing-therapy\", to heal the duodenal ulcer, the fistula-model that recently highlighted gastric and skin ulcer healing. Pressure in the lower esophageal and pyloric sphincters was simultaneously assessed. Duodenocutaneous fistula-rats received BPC 157 (10 μg/kg or 10 ng/kg, intraperitoneally or perorally (in drinking water)), L-NAME (5 mg/kg intraperitoneally), L-arginine (100 mg/kg intraperitoneally) alone and/or together, throughout 21 days. Duodenocutaneous fistula-rats maintained persistent defects, continuous fistula leakage, sphincter failure, mortality rate at 40% until the 4(th) day, all fully counteracted in all BPC 157-rats. The BPC 157-rats experienced rapidly improved complete presentation (maximal volume instilled already at 7(th) day). L-NAME further aggravated the duodenocutaneous fistula-course (mortality at 70% until the 4(th) day); L-arginine was beneficial (no mortality; however, maximal volume instilled not before 21(st) day). L-NAME-worsening was counteracted to the control level with the L-arginine effect, and vice versa, while BPC 157 annulled the L-NAME effects (L-NAME + L-arginine; L-NAME + BPC 157; L-NAME + L-arginine + BPC 157 brought below the level of the control). It is likely that duodenocutaneous fistulas, duodenal/skin defect simultaneous healing, reinstated sphincter function, are a new nitric oxide-system related phenomenon. In conclusion, resolving the duodenocutanenous fistulashealing, nitric oxide-system involvement, should illustrate further wound healing therapy to heal duodenal ulcers.","author":[{"dropping-particle":"","family":"Skorjanec","given":"S.","non-dropping-particle":"","parse-names":false,"suffix":""},{"dropping-particle":"","family":"Kokot","given":"A.","non-dropping-particle":"","parse-names":false,"suffix":""},{"dropping-particle":"","family":"Drmic","given":"D.","non-dropping-particle":"","parse-names":false,"suffix":""},{"dropping-particle":"","family":"Radic","given":"B.","non-dropping-particle":"","parse-names":false,"suffix":""},{"dropping-particle":"","family":"Sever","given":"M.","non-dropping-particle":"","parse-names":false,"suffix":""},{"dropping-particle":"","family":"Klicek","given":"R.","non-dropping-particle":"","parse-names":false,"suffix":""},{"dropping-particle":"","family":"Kolenc","given":"D.","non-dropping-particle":"","parse-names":false,"suffix":""},{"dropping-particle":"","family":"Zenko","given":"A.","non-dropping-particle":"","parse-names":false,"suffix":""},{"dropping-particle":"","family":"Lovric Bencic","given":"M.","non-dropping-particle":"","parse-names":false,"suffix":""},{"dropping-particle":"","family":"Belosic Halle","given":"Z.","non-dropping-particle":"","parse-names":false,"suffix":""},{"dropping-particle":"","family":"Situm","given":"A.","non-dropping-particle":"","parse-names":false,"suffix":""},{"dropping-particle":"","family":"Zivanovic Posilovic","given":"G.","non-dropping-particle":"","parse-names":false,"suffix":""},{"dropping-particle":"","family":"Masnec","given":"S.","non-dropping-particle":"","parse-names":false,"suffix":""},{"dropping-particle":"","family":"Suran","given":"J.","non-dropping-particle":"","parse-names":false,"suffix":""},{"dropping-particle":"","family":"Aralica","given":"G.","non-dropping-particle":"","parse-names":false,"suffix":""},{"dropping-particle":"","family":"Seiwerth","given":"S.","non-dropping-particle":"","parse-names":false,"suffix":""},{"dropping-particle":"","family":"Sikiric","given":"Predrag","non-dropping-particle":"","parse-names":false,"suffix":""}],"container-title":"Journal of Physiology and Pharmacology","id":"ITEM-4","issue":"4","issued":{"date-parts":[["2015"]]},"page":"581-590","title":"Duodenocutaneous fistula in rats as a model for ???wound healing-therapy??? in ulcer healing: The effect of pentadecapeptide BPC 157, L-nitro-arginine methyl ester and L-arginine","type":"article-journal","volume":"66"},"uris":["http://www.mendeley.com/documents/?uuid=c8a4ee5b-bf1f-423c-8b99-a3901c408a53"]},{"id":"ITEM-5","itemData":{"DOI":"10.1007/s10620-008-0332-9","ISBN":"1573-2568 (Electronic)\\r0163-2116 (Linking)","ISSN":"01632116","PMID":"18649140","abstract":"OBJECTIVE: This study focused on unhealed gastrocutaneous fistulas to resolve whether standard drugs that promote healing of gastric ulcers may simultaneously have the same effect on cutaneous wounds, and corticosteroid aggravation, and to demonstrate why peptides such as BPC 157 exhibit a greater healing effect. Therefore, with the fistulas therapy, we challenge the wound/growth factors theory of the analogous nonhealing of wounds and persistent gastric ulcers.\\n\\nMETHODS: The healing rate of gastrocutaneous fistula in rat (2-mm-diameter stomach defect, 3-mm-diameter skin defect) validates macro/microscopically and biomechanically a direct skin wound/stomach ulcer relation, and identifies a potential therapy consisting of: (i) stable gastric pentadecapeptide BPC 157 [in drinking water (10 microg/kg) (12 ml/rat/day) or intraperitoneally (10 microg/kg, 10 ng/kg, 10 pg/kg)], (ii) atropine (10 mg/kg), ranitidine (50 mg/kg), and omeprazole (50 mg/kg), (iii) 6-alpha-methylprednisolone (1 mg/kg) [intraperitoneally, once daily, first application at 30 min following surgery; last 24 h before sacrifice (at postoperative days 1, 2, 3, 7, 14, and 21)].\\n\\nRESULTS: Greater anti-ulcer potential and efficiency in wound healing compared with standard agents favor BPC 157, efficient in inflammatory bowel disease (PL-14736, Pliva), given in drinking water or intraperitoneally. Even after 6-alpha-methylprednisolone aggravation, BPC 157 promptly improves both skin and stomach mucosa healing, and closure of fistulas, with no leakage after up to 20 ml water intragastrically. Standard anti-ulcer agents, after a delay, improve firstly skin healing and then stomach mucosal healing, but not fistula leaking and bursting strength (except for atropine).\\n\\nCONCLUSION: We conclude that BPC 157 may resolve analogous nonhealing of wounds and persistent gastric ulcers better than standard agents.","author":[{"dropping-particle":"","family":"Skorjanec","given":"Sandra","non-dropping-particle":"","parse-names":false,"suffix":""},{"dropping-particle":"","family":"Dolovski","given":"Zdravko","non-dropping-particle":"","parse-names":false,"suffix":""},{"dropping-particle":"","family":"Kocman","given":"Ivan","non-dropping-particle":"","parse-names":false,"suffix":""},{"dropping-particle":"","family":"Brcic","given":"Luka","non-dropping-particle":"","parse-names":false,"suffix":""},{"dropping-particle":"","family":"Blagaic Boban","given":"Alenka","non-dropping-particle":"","parse-names":false,"suffix":""},{"dropping-particle":"","family":"Batelja","given":"Lovorka","non-dropping-particle":"","parse-names":false,"suffix":""},{"dropping-particle":"","family":"Coric","given":"Marjana","non-dropping-particle":"","parse-names":false,"suffix":""},{"dropping-particle":"","family":"Sever","given":"Marko","non-dropping-particle":"","parse-names":false,"suffix":""},{"dropping-particle":"","family":"Klicek","given":"Robert","non-dropping-particle":"","parse-names":false,"suffix":""},{"dropping-particle":"","family":"Berkopic","given":"Lidija","non-dropping-particle":"","parse-names":false,"suffix":""},{"dropping-particle":"","family":"Radic","given":"Bozo","non-dropping-particle":"","parse-names":false,"suffix":""},{"dropping-particle":"","family":"Drmic","given":"Domagoj","non-dropping-particle":"","parse-names":false,"suffix":""},{"dropping-particle":"","family":"Kolenc","given":"Danijela","non-dropping-particle":"","parse-names":false,"suffix":""},{"dropping-particle":"","family":"Ilic","given":"Spomenko","non-dropping-particle":"","parse-names":false,"suffix":""},{"dropping-particle":"","family":"Cesarec","given":"Vedran","non-dropping-particle":"","parse-names":false,"suffix":""},{"dropping-particle":"","family":"Tonkic","given":"Ante","non-dropping-particle":"","parse-names":false,"suffix":""},{"dropping-particle":"","family":"Zoricic","given":"Ivan","non-dropping-particle":"","parse-names":false,"suffix":""},{"dropping-particle":"","family":"Mise","given":"Stjepan","non-dropping-particle":"","parse-names":false,"suffix":""},{"dropping-particle":"","family":"Staresinic","given":"Mario","non-dropping-particle":"","parse-names":false,"suffix":""},{"dropping-particle":"","family":"Ivica","given":"Mihovil","non-dropping-particle":"","parse-names":false,"suffix":""},{"dropping-particle":"","family":"Lovric Bencic","given":"Martina","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Sciences","id":"ITEM-5","issue":"1","issued":{"date-parts":[["2009"]]},"page":"46-56","title":"Therapy for unhealed gastrocutaneous fistulas in rats as a model for analogous healing of persistent skin wounds and persistent gastric ulcers: Stable gastric pentadecapeptide BPC 157, atropine, ranitidine, and omeprazole","type":"article-journal","volume":"54"},"uris":["http://www.mendeley.com/documents/?uuid=fdfff0e6-f937-4069-9685-d242c56d6de3"]}],"mendeley":{"formattedCitation":"&lt;sup&gt;[34–38]&lt;/sup&gt;","plainTextFormattedCitation":"[34–38]","previouslyFormattedCitation":"&lt;sup&gt;[34–38]&lt;/sup&gt;"},"properties":{"noteIndex":0},"schema":"https://github.com/citation-style-language/schema/raw/master/csl-citation.json"}</w:instrText>
      </w:r>
      <w:r w:rsidR="007807F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[34–38]</w:t>
      </w:r>
      <w:r w:rsidR="007807F8" w:rsidRPr="00E47A42">
        <w:rPr>
          <w:rFonts w:ascii="Book Antiqua" w:hAnsi="Book Antiqua" w:cs="Times New Roman"/>
          <w:sz w:val="24"/>
          <w:szCs w:val="24"/>
          <w:lang w:val="en-US"/>
        </w:rPr>
        <w:fldChar w:fldCharType="end"/>
      </w:r>
      <w:r w:rsidR="00D72C63">
        <w:rPr>
          <w:rFonts w:ascii="Book Antiqua" w:hAnsi="Book Antiqua" w:cs="Times New Roman"/>
          <w:sz w:val="24"/>
          <w:szCs w:val="24"/>
          <w:lang w:val="en-US"/>
        </w:rPr>
        <w:t>.</w:t>
      </w:r>
    </w:p>
    <w:p w14:paraId="1A3E88C8" w14:textId="6C89A044" w:rsidR="00A302B4" w:rsidRPr="00E47A42" w:rsidRDefault="004B7A8B" w:rsidP="00D72C63">
      <w:pPr>
        <w:snapToGrid w:val="0"/>
        <w:spacing w:after="0" w:line="360" w:lineRule="auto"/>
        <w:ind w:firstLineChars="100" w:firstLine="240"/>
        <w:jc w:val="both"/>
        <w:rPr>
          <w:rFonts w:ascii="Book Antiqua" w:eastAsia="Times New Roman" w:hAnsi="Book Antiqua" w:cs="Times New Roman"/>
          <w:sz w:val="24"/>
          <w:szCs w:val="24"/>
          <w:lang w:val="en-US" w:eastAsia="hr-HR"/>
        </w:rPr>
      </w:pPr>
      <w:r w:rsidRPr="00E47A42">
        <w:rPr>
          <w:rFonts w:ascii="Book Antiqua" w:hAnsi="Book Antiqua" w:cs="Times New Roman"/>
          <w:sz w:val="24"/>
          <w:szCs w:val="24"/>
          <w:lang w:val="en-US"/>
        </w:rPr>
        <w:t>In addition</w:t>
      </w:r>
      <w:r w:rsidR="00A302B4" w:rsidRPr="00E47A42">
        <w:rPr>
          <w:rFonts w:ascii="Book Antiqua" w:hAnsi="Book Antiqua" w:cs="Times New Roman"/>
          <w:sz w:val="24"/>
          <w:szCs w:val="24"/>
          <w:lang w:val="en-US"/>
        </w:rPr>
        <w:t>,</w:t>
      </w:r>
      <w:r w:rsidR="007B7943" w:rsidRPr="00E47A42">
        <w:rPr>
          <w:rFonts w:ascii="Book Antiqua" w:hAnsi="Book Antiqua" w:cs="Times New Roman"/>
          <w:sz w:val="24"/>
          <w:szCs w:val="24"/>
          <w:lang w:val="en-US"/>
        </w:rPr>
        <w:t xml:space="preserve"> the</w:t>
      </w:r>
      <w:r w:rsidR="00A302B4" w:rsidRPr="00E47A42">
        <w:rPr>
          <w:rFonts w:ascii="Book Antiqua" w:hAnsi="Book Antiqua" w:cs="Times New Roman"/>
          <w:sz w:val="24"/>
          <w:szCs w:val="24"/>
          <w:lang w:val="en-US"/>
        </w:rPr>
        <w:t xml:space="preserve"> free radical scavenger effect and normalization of NO</w:t>
      </w:r>
      <w:r w:rsidR="007B7943"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tissue values noted in rats with ischemic colitis or inferior vein obstruction in </w:t>
      </w:r>
      <w:r w:rsidR="00A302B4" w:rsidRPr="00E47A42">
        <w:rPr>
          <w:rFonts w:ascii="Book Antiqua" w:hAnsi="Book Antiqua" w:cs="Times New Roman"/>
          <w:noProof/>
          <w:sz w:val="24"/>
          <w:szCs w:val="24"/>
          <w:lang w:val="en-US"/>
        </w:rPr>
        <w:t>colon</w:t>
      </w:r>
      <w:r w:rsidR="00A302B4" w:rsidRPr="00E47A42">
        <w:rPr>
          <w:rFonts w:ascii="Book Antiqua" w:hAnsi="Book Antiqua" w:cs="Times New Roman"/>
          <w:sz w:val="24"/>
          <w:szCs w:val="24"/>
          <w:lang w:val="en-US"/>
        </w:rPr>
        <w:t xml:space="preserve"> and venous tissues in both ischemia and reperfusion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correspond</w:t>
      </w:r>
      <w:r w:rsidR="00050D94"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to </w:t>
      </w:r>
      <w:r w:rsidR="007B7943"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reduction in increased MDA values and normalization of NO values in cecum tissue in perforation studies</w:t>
      </w:r>
      <w:r w:rsidR="001060C4" w:rsidRPr="00E47A42">
        <w:rPr>
          <w:rFonts w:ascii="Book Antiqua" w:hAnsi="Book Antiqua" w:cs="Times New Roman"/>
          <w:sz w:val="24"/>
          <w:szCs w:val="24"/>
          <w:lang w:val="en-US"/>
        </w:rPr>
        <w:t xml:space="preserve">. Heavy loss of endothelium cells from the vascular wall and, therefore, less </w:t>
      </w:r>
      <w:proofErr w:type="spellStart"/>
      <w:r w:rsidR="001060C4" w:rsidRPr="00E47A42">
        <w:rPr>
          <w:rFonts w:ascii="Book Antiqua" w:hAnsi="Book Antiqua" w:cs="Times New Roman"/>
          <w:sz w:val="24"/>
          <w:szCs w:val="24"/>
          <w:lang w:val="en-US"/>
        </w:rPr>
        <w:t>eNOS</w:t>
      </w:r>
      <w:proofErr w:type="spellEnd"/>
      <w:r w:rsidR="001060C4" w:rsidRPr="00E47A42">
        <w:rPr>
          <w:rFonts w:ascii="Book Antiqua" w:hAnsi="Book Antiqua" w:cs="Times New Roman"/>
          <w:sz w:val="24"/>
          <w:szCs w:val="24"/>
          <w:lang w:val="en-US"/>
        </w:rPr>
        <w:t xml:space="preserve"> NO production ability</w:t>
      </w:r>
      <w:r w:rsidR="007807F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{"citationItems":[{"id":"ITEM-1","itemData":{"DOI":"10.1186/1471-2482-13-S2-S40","ISSN":"1471-2482","PMID":"24266895","abstract":"BACKGROUND Nitric oxide is key to endothelial regeneration, but it is still unknown whether endothelial cell (EC) loss results in an increase in NO levels at the wound edge. We have already shown that endothelial damage induces a long-lasting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xml:space="preserve"> entry into surviving cells though connexin hemichannels (CxHcs) uncoupled from their counterparts on ruptured cells. The physiological outcome of injury-induced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xml:space="preserve"> inflow is, however, unknown. METHODS In this study, we sought to determine whether and how endothelial scraping induces NO production (NOP) in the endothelium of excised rat aorta by exploiting the NO-sensitive fluorochrome, DAF-FM diacetate and the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-sensitive fluorescent dye, Fura-2/AM. RESULTS We demonstrated that injury-induced NOP at the lesion site is prevented in presence of the endothelial NO synthase inhibitor, L-NAME, and in absence of extracellular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Unlike ATP-dependent NO liberation, the NO response to injury is insensitive to BTP-2, which selectively blocks store-operated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xml:space="preserve"> inflow. However, injury-induced NOP is significantly reduced by classic gap junction blockers, and by connexin mimetic peptides specifically targeting Cx37Hcs, Cx40HCs, and Cx43Hcs. Moreover, disruption of caveolar integrity prevents injury-elicited NO signaling, but not the accompanying Ca²</w:instrText>
      </w:r>
      <w:r w:rsidR="00AB3269" w:rsidRPr="00E47A42">
        <w:rPr>
          <w:rFonts w:ascii="Cambria Math" w:hAnsi="Cambria Math" w:cs="Cambria Math"/>
          <w:sz w:val="24"/>
          <w:szCs w:val="24"/>
          <w:lang w:val="en-US"/>
        </w:rPr>
        <w:instrText>⁺</w:instrText>
      </w:r>
      <w:r w:rsidR="00AB3269" w:rsidRPr="00E47A42">
        <w:rPr>
          <w:rFonts w:ascii="Book Antiqua" w:hAnsi="Book Antiqua" w:cs="Times New Roman"/>
          <w:sz w:val="24"/>
          <w:szCs w:val="24"/>
          <w:lang w:val="en-US"/>
        </w:rPr>
        <w:instrText xml:space="preserve"> response. CONCLUSIONS The data presented provide the first evidence that endothelial scraping stimulates NO synthesis at the wound edge, which might both exert an immediate anti-thrombotic and anti-inflammatory action and promote the subsequent re-endothelialization.","author":[{"dropping-particle":"","family":"Berra-Romani","given":"Roberto","non-dropping-particle":"","parse-names":false,"suffix":""},{"dropping-particle":"","family":"Avelino-Cruz","given":"José Everardo","non-dropping-particle":"","parse-names":false,"suffix":""},{"dropping-particle":"","family":"Raqeeb","given":"Abdul","non-dropping-particle":"","parse-names":false,"suffix":""},{"dropping-particle":"","family":"Corte","given":"Alessandro","non-dropping-particle":"Della","parse-names":false,"suffix":""},{"dropping-particle":"","family":"Cinelli","given":"Mariapia","non-dropping-particle":"","parse-names":false,"suffix":""},{"dropping-particle":"","family":"Montagnani","given":"Stefania","non-dropping-particle":"","parse-names":false,"suffix":""},{"dropping-particle":"","family":"Guerra","given":"Germano","non-dropping-particle":"","parse-names":false,"suffix":""},{"dropping-particle":"","family":"Moccia","given":"Francesco","non-dropping-particle":"","parse-names":false,"suffix":""},{"dropping-particle":"","family":"Tanzi","given":"Franco","non-dropping-particle":"","parse-names":false,"suffix":""}],"container-title":"BMC Surgery","id":"ITEM-1","issue":"Suppl 2","issued":{"date-parts":[["2013"]]},"page":"S40","title":"Ca2+-dependent nitric oxide release in the injured endothelium of excised rat aorta: a promising mechanism applying in vascular prosthetic devices in aging patients","type":"article-journal","volume":"13"},"uris":["http://www.mendeley.com/documents/?uuid=65032624-a7e4-4dba-a6be-2c1566965646"]}],"mendeley":{"formattedCitation":"&lt;sup&gt;[44]&lt;/sup&gt;","plainTextFormattedCitation":"[44]","previouslyFormattedCitation":"&lt;sup&gt;[44]&lt;/sup&gt;"},"properties":{"noteIndex":0},"schema":"https://github.com/citation-style-language/schema/raw/master/csl-citation.json"}</w:instrText>
      </w:r>
      <w:r w:rsidR="007807F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[44]</w:t>
      </w:r>
      <w:r w:rsidR="007807F8" w:rsidRPr="00E47A42">
        <w:rPr>
          <w:rFonts w:ascii="Book Antiqua" w:hAnsi="Book Antiqua" w:cs="Times New Roman"/>
          <w:sz w:val="24"/>
          <w:szCs w:val="24"/>
          <w:lang w:val="en-US"/>
        </w:rPr>
        <w:fldChar w:fldCharType="end"/>
      </w:r>
      <w:r w:rsidR="001060C4" w:rsidRPr="00E47A42">
        <w:rPr>
          <w:rFonts w:ascii="Book Antiqua" w:hAnsi="Book Antiqua" w:cs="Times New Roman"/>
          <w:sz w:val="24"/>
          <w:szCs w:val="24"/>
          <w:lang w:val="en-US"/>
        </w:rPr>
        <w:t xml:space="preserve"> would </w:t>
      </w:r>
      <w:r w:rsidR="00BC41A6" w:rsidRPr="00E47A42">
        <w:rPr>
          <w:rFonts w:ascii="Book Antiqua" w:hAnsi="Book Antiqua" w:cs="Times New Roman"/>
          <w:sz w:val="24"/>
          <w:szCs w:val="24"/>
          <w:lang w:val="en-US"/>
        </w:rPr>
        <w:t xml:space="preserve">explain </w:t>
      </w:r>
      <w:r w:rsidR="00A302B4" w:rsidRPr="00E47A42">
        <w:rPr>
          <w:rFonts w:ascii="Book Antiqua" w:hAnsi="Book Antiqua" w:cs="Times New Roman"/>
          <w:sz w:val="24"/>
          <w:szCs w:val="24"/>
          <w:lang w:val="en-US"/>
        </w:rPr>
        <w:t xml:space="preserve">increased MDA values and decreased NO </w:t>
      </w:r>
      <w:r w:rsidR="00BC41A6" w:rsidRPr="00E47A42">
        <w:rPr>
          <w:rFonts w:ascii="Book Antiqua" w:hAnsi="Book Antiqua" w:cs="Times New Roman"/>
          <w:sz w:val="24"/>
          <w:szCs w:val="24"/>
          <w:lang w:val="en-US"/>
        </w:rPr>
        <w:t>levels, which</w:t>
      </w:r>
      <w:r w:rsidR="001060C4" w:rsidRPr="00E47A42">
        <w:rPr>
          <w:rFonts w:ascii="Book Antiqua" w:hAnsi="Book Antiqua" w:cs="Times New Roman"/>
          <w:sz w:val="24"/>
          <w:szCs w:val="24"/>
          <w:lang w:val="en-US"/>
        </w:rPr>
        <w:t xml:space="preserve"> </w:t>
      </w:r>
      <w:r w:rsidR="00B97AF9" w:rsidRPr="00E47A42">
        <w:rPr>
          <w:rFonts w:ascii="Book Antiqua" w:hAnsi="Book Antiqua" w:cs="Times New Roman"/>
          <w:sz w:val="24"/>
          <w:szCs w:val="24"/>
          <w:lang w:val="en-US"/>
        </w:rPr>
        <w:t>were regularly found in the cecum</w:t>
      </w:r>
      <w:r w:rsidR="00A302B4" w:rsidRPr="00E47A42">
        <w:rPr>
          <w:rFonts w:ascii="Book Antiqua" w:hAnsi="Book Antiqua" w:cs="Times New Roman"/>
          <w:sz w:val="24"/>
          <w:szCs w:val="24"/>
          <w:lang w:val="en-US"/>
        </w:rPr>
        <w:t>. Additionally, various free radical</w:t>
      </w:r>
      <w:r w:rsidR="007B7943"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induced</w:t>
      </w:r>
      <w:r w:rsidR="007B7943"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lesions in other organs were counteracted by BPC 157 administration</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157","type":"article-journal","volume":"106"},"uris":["http://www.mendeley.com/documents/?uuid=0d4e894c-6fc1-3bed-bb8f-4b56e696ff06"]},{"id":"ITEM-3","itemData":{"DOI":"10.1007/s10787-017-0358-8","ISSN":"0925-4692","author":[{"dropping-particle":"","family":"Belosic Halle","given":"Zeljka","non-dropping-particle":"","parse-names":false,"suffix":""},{"dropping-particle":"","family":"Vlainic","given":"Josipa","non-dropping-particle":"","parse-names":false,"suffix":""},{"dropping-particle":"","family":"Drmic","given":"Domagoj","non-dropping-particle":"","parse-names":false,"suffix":""},{"dropping-particle":"","family":"Strinic","given":"Dean","non-dropping-particle":"","parse-names":false,"suffix":""},{"dropping-particle":"","family":"Luetic","given":"Kresimir","non-dropping-particle":"","parse-names":false,"suffix":""},{"dropping-particle":"","family":"Sucic","given":"Mario","non-dropping-particle":"","parse-names":false,"suffix":""},{"dropping-particle":"","family":"Medvidovic-Grubisic","given":"Maria","non-dropping-particle":"","parse-names":false,"suffix":""},{"dropping-particle":"","family":"Pavelic Turudic","given":"Tatjana","non-dropping-particle":"","parse-names":false,"suffix":""},{"dropping-particle":"","family":"Petrovic","given":"Igor","non-dropping-particle":"","parse-names":false,"suffix":""},{"dropping-particle":"","family":"Seiwerth","given":"Sven","non-dropping-particle":"","parse-names":false,"suffix":""},{"dropping-particle":"","family":"Sikiric","given":"Predrag","non-dropping-particle":"","parse-names":false,"suffix":""}],"container-title":"Inflammopharmacology","id":"ITEM-3","issue":"5","issued":{"date-parts":[["2017","10","17"]]},"page":"511-522","title":"Class side effects: decreased pressure in the lower oesophageal and the pyloric sphincters after the administration of dopamine antagonists, neuroleptics, anti-emetics, l-NAME, pentadecapeptide BPC 157 and l-arginine","type":"article-journal","volume":"25"},"uris":["http://www.mendeley.com/documents/?uuid=5389b2e5-0894-46fa-bcb0-27fbe4291011"]},{"id":"ITEM-4","itemData":{"ISSN":"1899-1505","PMID":"20436226","abstract":"We focused on stable gastric pentadecapeptide BPC 157 (GEPPPGKPADDAGLV, MW 1419, an anti-ulcer peptide efficient in inflammatory bowel disease trials (PL 14736), no toxicity reported) because of its hepatoprotective effects. We investigate a particular aspect of the sudden onset of encephalopathy with extreme paracetamol overdose (5 g/kg intraperitoneally) so far not reported: rapidly induced progressive hepatic encephalopathy with generalized convulsions in rats. BPC 157 therapy (10 microg, 10 ng, 10 pg/kg, intraperitoneally or intragastrically) was effective (microg-ng range) against paracetamol toxicity, given in early (BPC 157 immediately after paracetamol, prophylactically) or advanced stage (BPC 157 at 3 hours after paracetamol, therapeutically). At 25 min post-paracetamol increased ALT, AST and ammonium serum values precede liver lesion while in several brain areas, significant damage became apparent, accompanied by generalized convulsions. Through the next 5 hour seizure period and thereafter, the brain damage, liver damage enzyme values and hyperammonemia increased, particularly throughout the 3-24 h post-paracetamol period. BPC 157 demonstrated clinical (no convulsions (prophylactic application) or convulsions rapidly disappeared (therapeutic effect within 25 min)), microscopical (markedly less liver and brain lesions) and biochemical (enzyme and ammonium serum levels decreased) counteraction. Both, the prophylactic and therapeutic benefits (intraperitoneally and intragastrically) clearly imply BPC 157 (microg-ng range) as a highly effective paracetamol antidote even against highly advanced damaging processes induced by an extreme paracetamol over-dose.","author":[{"dropping-particle":"","family":"Ilic","given":"S","non-dropping-particle":"","parse-names":false,"suffix":""},{"dropping-particle":"","family":"Drmic","given":"D","non-dropping-particle":"","parse-names":false,"suffix":""},{"dropping-particle":"","family":"Zarkovic","given":"K","non-dropping-particle":"","parse-names":false,"suffix":""},{"dropping-particle":"","family":"Kolenc","given":"D","non-dropping-particle":"","parse-names":false,"suffix":""},{"dropping-particle":"","family":"Coric","given":"M","non-dropping-particle":"","parse-names":false,"suffix":""},{"dropping-particle":"","family":"Brcic","given":"L","non-dropping-particle":"","parse-names":false,"suffix":""},{"dropping-particle":"","family":"Klicek","given":"R","non-dropping-particle":"","parse-names":false,"suffix":""},{"dropping-particle":"","family":"Radic","given":"B","non-dropping-particle":"","parse-names":false,"suffix":""},{"dropping-particle":"","family":"Sever","given":"M","non-dropping-particle":"","parse-names":false,"suffix":""},{"dropping-particle":"","family":"Djuzel","given":"V","non-dropping-particle":"","parse-names":false,"suffix":""},{"dropping-particle":"","family":"Ivica","given":"M","non-dropping-particle":"","parse-names":false,"suffix":""},{"dropping-particle":"","family":"Boban Blagaic","given":"A","non-dropping-particle":"","parse-names":false,"suffix":""},{"dropping-particle":"","family":"Zoricic","given":"Z","non-dropping-particle":"","parse-names":false,"suffix":""},{"dropping-particle":"","family":"Anic","given":"T","non-dropping-particle":"","parse-names":false,"suffix":""},{"dropping-particle":"","family":"Zoricic","given":"I","non-dropping-particle":"","parse-names":false,"suffix":""},{"dropping-particle":"","family":"Djidic","given":"S","non-dropping-particle":"","parse-names":false,"suffix":""},{"dropping-particle":"","family":"Romic","given":"Z","non-dropping-particle":"","parse-names":false,"suffix":""},{"dropping-particle":"","family":"Seiwerth","given":"S","non-dropping-particle":"","parse-names":false,"suffix":""},{"dropping-particle":"","family":"Sikiric","given":"P","non-dropping-particle":"","parse-names":false,"suffix":""}],"container-title":"Journal of physiology and pharmacology : an official journal of the Polish Physiological Society","id":"ITEM-4","issue":"2","issued":{"date-parts":[["2010","4"]]},"page":"241-50","title":"High hepatotoxic dose of paracetamol produces generalized convulsions and brain damage in rats. A counteraction with the stable gastric pentadecapeptide BPC 157 (PL 14736).","type":"article-journal","volume":"61"},"uris":["http://www.mendeley.com/documents/?uuid=dc977973-31f8-4eb0-b3e1-53e02e48fee8"]},{"id":"ITEM-5","itemData":{"DOI":"10.1007/s10787-017-0330-7","ISSN":"0925-4692","author":[{"dropping-particle":"","family":"Luetic","given":"Krešimir","non-dropping-particle":"","parse-names":false,"suffix":""},{"dropping-particle":"","family":"Sucic","given":"Mario","non-dropping-particle":"","parse-names":false,"suffix":""},{"dropping-particle":"","family":"Vlainic","given":"Josipa","non-dropping-particle":"","parse-names":false,"suffix":""},{"dropping-particle":"","family":"Halle","given":"Zeljka Belosic","non-dropping-particle":"","parse-names":false,"suffix":""},{"dropping-particle":"","family":"Strinic","given":"Dean","non-dropping-particle":"","parse-names":false,"suffix":""},{"dropping-particle":"","family":"Vidovic","given":"Tinka","non-dropping-particle":"","parse-names":false,"suffix":""},{"dropping-particle":"","family":"Luetic","given":"Franka","non-dropping-particle":"","parse-names":false,"suffix":""},{"dropping-particle":"","family":"Marusic","given":"Marinko","non-dropping-particle":"","parse-names":false,"suffix":""},{"dropping-particle":"","family":"Gulic","given":"Sasa","non-dropping-particle":"","parse-names":false,"suffix":""},{"dropping-particle":"","family":"Pavelic","given":"Tatjana Turudic","non-dropping-particle":"","parse-names":false,"suffix":""},{"dropping-particle":"","family":"Kokot","given":"Antonio","non-dropping-particle":"","parse-names":false,"suffix":""},{"dropping-particle":"","family":"Seiwerth","given":"Ranka Serventi","non-dropping-particle":"","parse-names":false,"suffix":""},{"dropping-particle":"","family":"Drmic","given":"Domagoj","non-dropping-particle":"","parse-names":false,"suffix":""},{"dropping-particle":"","family":"Batelja","given":"Lovorka","non-dropping-particle":"","parse-names":false,"suffix":""},{"dropping-particle":"","family":"Seiwerth","given":"Sven","non-dropping-particle":"","parse-names":false,"suffix":""},{"dropping-particle":"","family":"Sikiric","given":"Predrag","non-dropping-particle":"","parse-names":false,"suffix":""}],"container-title":"Inflammopharmacology","id":"ITEM-5","issue":"2","issued":{"date-parts":[["2017","4","2"]]},"page":"255-264","title":"Cyclophosphamide induced stomach and duodenal lesions as a NO-system disturbance in rats: l-NAME, l-arginine, stable gastric pentadecapeptide BPC 157","type":"article-journal","volume":"25"},"uris":["http://www.mendeley.com/documents/?uuid=7a9c17a8-1ede-4fdb-a39e-6f13a454436f"]},{"id":"ITEM-6","itemData":{"ISSN":"0024-3205","PMID":"7901724","abstract":"The hepatoprotective effects of a newly synthesized 15 amino acid fragment code named BPC 157 was evaluated in comparison with the reference standards (bromocriptine, amantadine and somatostatin) in various experimental models of liver injury in rats: 24 h-bile duct+hepatic artery ligation 48 h-restraint stress and CCl4 administration. BPC 157 administered either intragastrically or intraperitoneally, significantly prevented the development of liver necrosis or fatty changes in rats subjected to 24 h bile duct + hepatic artery ligation, 48 h-restraint stress, CCl4 treatment (1 ml/kg i.p., sacrifice 48 h thereafter). The other reference drugs had either little or no protective actions in these models. Noteworthy, the laboratory test results for bilirubin, SGOT, SGPT fully correlated with the macro/microscopical findings. Thus, on the basis of consistent protective effect of BPC 157, possible clinical application in liver diseases is now warranted.","author":[{"dropping-particle":"","family":"Sikiric","given":"P","non-dropping-particle":"","parse-names":false,"suffix":""},{"dropping-particle":"","family":"Seiwerth","given":"S","non-dropping-particle":"","parse-names":false,"suffix":""},{"dropping-particle":"","family":"Grabarevic","given":"Z","non-dropping-particle":"","parse-names":false,"suffix":""},{"dropping-particle":"","family":"Rucman","given":"R","non-dropping-particle":"","parse-names":false,"suffix":""},{"dropping-particle":"","family":"Petek","given":"M","non-dropping-particle":"","parse-names":false,"suffix":""},{"dropping-particle":"","family":"Rotkvic","given":"I","non-dropping-particle":"","parse-names":false,"suffix":""},{"dropping-particle":"","family":"Turkovic","given":"B","non-dropping-particle":"","parse-names":false,"suffix":""},{"dropping-particle":"","family":"Jagic","given":"V","non-dropping-particle":"","parse-names":false,"suffix":""},{"dropping-particle":"","family":"Mildner","given":"B","non-dropping-particle":"","parse-names":false,"suffix":""},{"dropping-particle":"","family":"Duvnjak","given":"M","non-dropping-particle":"","parse-names":false,"suffix":""}],"container-title":"Life sciences","id":"ITEM-6","issue":"18","issued":{"date-parts":[["1993"]]},"page":"PL291-6","title":"Hepatoprotective effect of BPC 157, a 15-amino acid peptide, on liver lesions induced by either restraint stress or bile duct and hepatic artery ligation or CCl4 administration. A comparative study with dopamine agonists and somatostatin.","type":"article-journal","volume":"53"},"uris":["http://www.mendeley.com/documents/?uuid=f7621342-726b-4da6-99be-be9eb33bff16"]}],"mendeley":{"formattedCitation":"&lt;sup&gt;[20,21,45–48]&lt;/sup&gt;","plainTextFormattedCitation":"[20,21,45–48]","previouslyFormattedCitation":"&lt;sup&gt;[20,21,45–48]&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[20,21,45–48]</w:t>
      </w:r>
      <w:r w:rsidR="00A13458" w:rsidRPr="00E47A42">
        <w:rPr>
          <w:rFonts w:ascii="Book Antiqua" w:hAnsi="Book Antiqua" w:cs="Times New Roman"/>
          <w:sz w:val="24"/>
          <w:szCs w:val="24"/>
          <w:lang w:val="en-US"/>
        </w:rPr>
        <w:fldChar w:fldCharType="end"/>
      </w:r>
      <w:r w:rsidR="00602616" w:rsidRPr="00E47A42">
        <w:rPr>
          <w:rFonts w:ascii="Book Antiqua" w:hAnsi="Book Antiqua" w:cs="Times New Roman"/>
          <w:sz w:val="24"/>
          <w:szCs w:val="24"/>
          <w:lang w:val="en-US"/>
        </w:rPr>
        <w:t>.</w:t>
      </w:r>
    </w:p>
    <w:p w14:paraId="6C122EF4" w14:textId="3BF6AD22" w:rsidR="00A302B4" w:rsidRPr="00E47A42" w:rsidRDefault="007B7943" w:rsidP="00D72C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T</w:t>
      </w:r>
      <w:r w:rsidR="00A302B4" w:rsidRPr="00E47A42">
        <w:rPr>
          <w:rFonts w:ascii="Book Antiqua" w:hAnsi="Book Antiqua" w:cs="Times New Roman"/>
          <w:sz w:val="24"/>
          <w:szCs w:val="24"/>
          <w:lang w:val="en-US"/>
        </w:rPr>
        <w:t>h</w:t>
      </w:r>
      <w:r w:rsidR="00AC29F3" w:rsidRPr="00E47A42">
        <w:rPr>
          <w:rFonts w:ascii="Book Antiqua" w:hAnsi="Book Antiqua" w:cs="Times New Roman"/>
          <w:sz w:val="24"/>
          <w:szCs w:val="24"/>
          <w:lang w:val="en-US"/>
        </w:rPr>
        <w:t>e importance of</w:t>
      </w:r>
      <w:r w:rsidR="00A302B4" w:rsidRPr="00E47A42">
        <w:rPr>
          <w:rFonts w:ascii="Book Antiqua" w:hAnsi="Book Antiqua" w:cs="Times New Roman"/>
          <w:sz w:val="24"/>
          <w:szCs w:val="24"/>
          <w:lang w:val="en-US"/>
        </w:rPr>
        <w:t xml:space="preserve"> these beneficial effects </w:t>
      </w:r>
      <w:r w:rsidRPr="00E47A42">
        <w:rPr>
          <w:rFonts w:ascii="Book Antiqua" w:hAnsi="Book Antiqua" w:cs="Times New Roman"/>
          <w:sz w:val="24"/>
          <w:szCs w:val="24"/>
          <w:lang w:val="en-US"/>
        </w:rPr>
        <w:t>wa</w:t>
      </w:r>
      <w:r w:rsidR="00A302B4" w:rsidRPr="00E47A42">
        <w:rPr>
          <w:rFonts w:ascii="Book Antiqua" w:hAnsi="Book Antiqua" w:cs="Times New Roman"/>
          <w:sz w:val="24"/>
          <w:szCs w:val="24"/>
          <w:lang w:val="en-US"/>
        </w:rPr>
        <w:t xml:space="preserve">s verified by the final complete closing of the defect, both grossly and microscopically, </w:t>
      </w:r>
      <w:r w:rsidRPr="00E47A42">
        <w:rPr>
          <w:rFonts w:ascii="Book Antiqua" w:hAnsi="Book Antiqua" w:cs="Times New Roman"/>
          <w:sz w:val="24"/>
          <w:szCs w:val="24"/>
          <w:lang w:val="en-US"/>
        </w:rPr>
        <w:t xml:space="preserve">with </w:t>
      </w:r>
      <w:r w:rsidR="00A302B4" w:rsidRPr="00E47A42">
        <w:rPr>
          <w:rFonts w:ascii="Book Antiqua" w:hAnsi="Book Antiqua" w:cs="Times New Roman"/>
          <w:sz w:val="24"/>
          <w:szCs w:val="24"/>
          <w:lang w:val="en-US"/>
        </w:rPr>
        <w:t xml:space="preserve">the surface epithelium </w:t>
      </w:r>
      <w:r w:rsidR="00F748BA" w:rsidRPr="00E47A42">
        <w:rPr>
          <w:rFonts w:ascii="Book Antiqua" w:hAnsi="Book Antiqua" w:cs="Times New Roman"/>
          <w:sz w:val="24"/>
          <w:szCs w:val="24"/>
          <w:lang w:val="en-US"/>
        </w:rPr>
        <w:t xml:space="preserve">beginning </w:t>
      </w:r>
      <w:r w:rsidR="00A302B4" w:rsidRPr="00E47A42">
        <w:rPr>
          <w:rFonts w:ascii="Book Antiqua" w:hAnsi="Book Antiqua" w:cs="Times New Roman"/>
          <w:sz w:val="24"/>
          <w:szCs w:val="24"/>
          <w:lang w:val="en-US"/>
        </w:rPr>
        <w:t xml:space="preserve">to migrate over the defect and </w:t>
      </w:r>
      <w:r w:rsidRPr="00E47A42">
        <w:rPr>
          <w:rFonts w:ascii="Book Antiqua" w:hAnsi="Book Antiqua" w:cs="Times New Roman"/>
          <w:sz w:val="24"/>
          <w:szCs w:val="24"/>
          <w:lang w:val="en-US"/>
        </w:rPr>
        <w:t>a lower</w:t>
      </w:r>
      <w:r w:rsidR="00A302B4" w:rsidRPr="00E47A42">
        <w:rPr>
          <w:rFonts w:ascii="Book Antiqua" w:hAnsi="Book Antiqua" w:cs="Times New Roman"/>
          <w:sz w:val="24"/>
          <w:szCs w:val="24"/>
          <w:lang w:val="en-US"/>
        </w:rPr>
        <w:t xml:space="preserve"> adhesion severity score. It may also</w:t>
      </w:r>
      <w:r w:rsidRPr="00E47A42">
        <w:rPr>
          <w:rFonts w:ascii="Book Antiqua" w:hAnsi="Book Antiqua" w:cs="Times New Roman"/>
          <w:sz w:val="24"/>
          <w:szCs w:val="24"/>
          <w:lang w:val="en-US"/>
        </w:rPr>
        <w:t xml:space="preserve"> be</w:t>
      </w:r>
      <w:r w:rsidR="00AC29F3" w:rsidRPr="00E47A42">
        <w:rPr>
          <w:rFonts w:ascii="Book Antiqua" w:hAnsi="Book Antiqua" w:cs="Times New Roman"/>
          <w:sz w:val="24"/>
          <w:szCs w:val="24"/>
          <w:lang w:val="en-US"/>
        </w:rPr>
        <w:t xml:space="preserve"> that BPC 157 </w:t>
      </w:r>
      <w:r w:rsidR="00A302B4" w:rsidRPr="00E47A42">
        <w:rPr>
          <w:rFonts w:ascii="Book Antiqua" w:hAnsi="Book Antiqua" w:cs="Times New Roman"/>
          <w:sz w:val="24"/>
          <w:szCs w:val="24"/>
          <w:lang w:val="en-US"/>
        </w:rPr>
        <w:t>exhibit</w:t>
      </w:r>
      <w:r w:rsidR="00AC29F3" w:rsidRPr="00E47A42">
        <w:rPr>
          <w:rFonts w:ascii="Book Antiqua" w:hAnsi="Book Antiqua" w:cs="Times New Roman"/>
          <w:sz w:val="24"/>
          <w:szCs w:val="24"/>
          <w:lang w:val="en-US"/>
        </w:rPr>
        <w:t>s</w:t>
      </w:r>
      <w:r w:rsidR="00A302B4" w:rsidRPr="00E47A42">
        <w:rPr>
          <w:rFonts w:ascii="Book Antiqua" w:hAnsi="Book Antiqua" w:cs="Times New Roman"/>
          <w:sz w:val="24"/>
          <w:szCs w:val="24"/>
          <w:lang w:val="en-US"/>
        </w:rPr>
        <w:t xml:space="preserve"> an additional beneficial effect because it counteracts peritonitis and adhesion formation along with beneficial effects in diverse intestinal lesion models</w:t>
      </w:r>
      <w:r w:rsidR="00424272"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{"citationItems":[{"id":"ITEM-1","itemData":{"DOI":"10.1016/j.lfs.2016.02.029","ISSN":"00243205","author":[{"dropping-particle":"","family":"Baric","given":"Marko","non-dropping-particle":"","parse-names":false,"suffix":""},{"dropping-particle":"","family":"Sever","given":"Anita Zenko","non-dropping-particle":"","parse-names":false,"suffix":""},{"dropping-particle":"","family":"Vuletic","given":"Lovorka Batelja","non-dropping-particle":"","parse-names":false,"suffix":""},{"dropping-particle":"","family":"Rasic","given":"Zarko","non-dropping-particle":"","parse-names":false,"suffix":""},{"dropping-particle":"","family":"Sever","given":"Marko","non-dropping-particle":"","parse-names":false,"suffix":""},{"dropping-particle":"","family":"Drmic","given":"Domagoj","non-dropping-particle":"","parse-names":false,"suffix":""},{"dropping-particle":"","family":"Pavelic-Turudic","given":"Tatjana","non-dropping-particle":"","parse-names":false,"suffix":""},{"dropping-particle":"","family":"Sucic","given":"Mario","non-dropping-particle":"","parse-names":false,"suffix":""},{"dropping-particle":"","family":"Vrcic","given":"Hrvoje","non-dropping-particle":"","parse-names":false,"suffix":""},{"dropping-particle":"","family":"Seiwerth","given":"Sven","non-dropping-particle":"","parse-names":false,"suffix":""},{"dropping-particle":"","family":"Sikiric","given":"Predrag","non-dropping-particle":"","parse-names":false,"suffix":""}],"container-title":"Life Sciences","id":"ITEM-1","issued":{"date-parts":[["2016","3"]]},"page":"63-70","title":"Stable gastric pentadecapeptide BPC 157 heals rectovaginal fistula in rats","type":"article-journal","volume":"148"},"uris":["http://www.mendeley.com/documents/?uuid=9d02cf7d-044d-4060-9f70-c61a10e4d011"]},{"id":"ITEM-2","itemData":{"DOI":"10.1016/j.ejphar.2016.02.038","ISSN":"18790712","PMID":"26875638","abstract":"To establish the effects of BPC 157 on the healing of rat colovesical fistulas, Wistar Albino male rats were randomly assigned to different groups. BPC 157, a stable gastric pentadecapeptide, has been used in clinical applications - specifically, in ulcerative colitis - and was successful in treating both external and internal fistulas. BPC 157 was provided daily, perorally, in drinking water (10 ??g/kg, 12 ml/rat/day) until sacrifice or, alternatively, 10 ??g/kg or 10 ng/kg intraperitoneally, with the first application at 30 min after surgery and the last at 24 h before sacrifice. Controls simultaneously received an equivolume of saline (5.0 ml/kg ip) or water only (12 ml/rat/day). Assessment (i.e., colon and vesical defects, fistula leaking, fecaluria and defecation through the fistula, adhesions and intestinal obstruction as healing processes) took place on days 7, 14 and 28. Control colovesical fistulas regularly exhibited poor healing, with both of the defects persisting; continuous fistula leakage; fecaluria and defecation through the fistula; advanced adhesion formation; and intestinal obstruction. By contrast, BPC 157 given perorally or intraperitoneally and in ??g- and ng-regimens rapidly improved the whole presentation, with both colon and vesical defects simultaneously ameliorated and eventually healed. The maximal instilled volume was continuously raised until it reached the values of healthy rats, there were no signs of fecaluria and no defecation through the fistula, there was counteraction of advanced adhesion formation or there was an intestinal obstruction. In conclusion, BPC 157 effects appear to be suited to inducing full healing of colocutaneous fistulas in rats.","author":[{"dropping-particle":"","family":"Grgic","given":"Tihomir","non-dropping-particle":"","parse-names":false,"suffix":""},{"dropping-particle":"","family":"Grgic","given":"Dora","non-dropping-particle":"","parse-names":false,"suffix":""},{"dropping-particle":"","family":"Drmic","given":"Domagoj","non-dropping-particle":"","parse-names":false,"suffix":""},{"dropping-particle":"","family":"Sever","given":"Anita Zenko","non-dropping-particle":"","parse-names":false,"suffix":""},{"dropping-particle":"","family":"Petrovic","given":"Igor","non-dropping-particle":"","parse-names":false,"suffix":""},{"dropping-particle":"","family":"Sucic","given":"Mario","non-dropping-particle":"","parse-names":false,"suffix":""},{"dropping-particle":"","family":"Kokot","given":"Antonio","non-dropping-particle":"","parse-names":false,"suffix":""},{"dropping-particle":"","family":"Klicek","given":"Robert","non-dropping-particle":"","parse-names":false,"suffix":""},{"dropping-particle":"","family":"Sever","given":"Marko","non-dropping-particle":"","parse-names":false,"suffix":""},{"dropping-particle":"","family":"Seiwerth","given":"Sven","non-dropping-particle":"","parse-names":false,"suffix":""},{"dropping-particle":"","family":"Sikiric","given":"Predrag","non-dropping-particle":"","parse-names":false,"suffix":""}],"container-title":"European Journal of Pharmacology","id":"ITEM-2","issued":{"date-parts":[["2016"]]},"page":"1-7","publisher":"Elsevier","title":"Stable gastric pentadecapeptide BPC 157 heals rat colovesical fistula","type":"article-journal","volume":"780"},"uris":["http://www.mendeley.com/documents/?uuid=04542bd7-fb6a-4b51-8eef-04cb7ee8cd51"]},{"id":"ITEM-3","itemData":{"ISSN":"1347-8613","PMID":"18818478","abstract":"We focused on the therapeutic effect of the stable gastric pentadecapeptide BPC 157 and how its action is related to nitric oxide (NO) in persistent colocutaneous fistula in rats (at 5 cm from anus, colon defect of 5 mm, skin defect of 5 mm); this peptide has been shown to be safe in clinical trials for inflammatory bowel disease (PL14736) and safe for intestinal anstomosis therapy. BPC 157 (10 microg/kg, 10 ng/kg) was applied i) in drinking water until the animals were sacrificed at post-operative day 1, 3, 5, 7, 14, 21, and 28; or ii) once daily intraperitoneally (first application 30 min following surgery, last 24 h before sacrifice) alone or with N(G)-nitro-L-arginine methyl ester (L-NAME) (5 mg/kg), L-arginine (200 mg/kg), and their combinations. Sulphasalazine (50 mg/kg) and 6-alpha-methylprednisolone (1 mg/kg) were given once daily intraperitoneally. BPC 157 accelerated parenterally or perorally the healing of colonic and skin defect, leading to the suitable closure of the fistula, macro/microscopically, biomechanically, and functionally (larger water volume sustained without fistula leaking). L-NAME aggravated the healing failure of colocutaneous fistulas, skin, and colon wounds (L-NAME groups). L-Arginine was effective only with blunted NO generation (L-NAME + L-arginine groups) but not without (L-arginine groups). All of the BPC 157 beneficial effects remained unchanged with blunted NO-generation (L-NAME + BPC 157 groups) and with NO substrate (L-arginine + BPC 157 groups) as well as L-NAME and L-arginine co-administration (L-NAME + L-arginine + BPC 157 groups). Sulphasalazine was only moderately effective, and corticosteroid even had an aggravating effect.","author":[{"dropping-particle":"","family":"Klicek","given":"Robert","non-dropping-particle":"","parse-names":false,"suffix":""},{"dropping-particle":"","family":"Sever","given":"Marko","non-dropping-particle":"","parse-names":false,"suffix":""},{"dropping-particle":"","family":"Radic","given":"Bozo","non-dropping-particle":"","parse-names":false,"suffix":""},{"dropping-particle":"","family":"Drmic","given":"Domagoj","non-dropping-particle":"","parse-names":false,"suffix":""},{"dropping-particle":"","family":"Kocman","given":"Ivan","non-dropping-particle":"","parse-names":false,"suffix":""},{"dropping-particle":"","family":"Zoricic","given":"Ivan","non-dropping-particle":"","parse-names":false,"suffix":""},{"dropping-particle":"","family":"Vuksic","given":"Tihomir","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Vrcic","given":"Hrvoje","non-dropping-particle":"","parse-names":false,"suffix":""},{"dropping-particle":"","family":"Brcic","given":"Luka","non-dropping-particle":"","parse-names":false,"suffix":""},{"dropping-particle":"","family":"Blagaic","given":"Alenka Boban","non-dropping-particle":"","parse-names":false,"suffix":""},{"dropping-particle":"","family":"Coric","given":"Marijana","non-dropping-particle":"","parse-names":false,"suffix":""},{"dropping-particle":"","family":"Brcic","given":"Iva","non-dropping-particle":"","parse-names":false,"suffix":""},{"dropping-particle":"","family":"Rokotov","given":"Dinko Stancic","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Journal of pharmacological sciences","id":"ITEM-3","issue":"1","issued":{"date-parts":[["2008","9"]]},"page":"7-17","title":"Pentadecapeptide BPC 157, in clinical trials as a therapy for inflammatory bowel disease (PL14736), is effective in the healing of colocutaneous fistulas in rats: role of the nitric oxide-system.","type":"article-journal","volume":"108"},"uris":["http://www.mendeley.com/documents/?uuid=603bb6e4-0405-4baa-8f6b-0e82c47cd81e"]},{"id":"ITEM-4","itemData":{"DOI":"10.1007/s10620-008-0598-y","ISSN":"0163-2116","author":[{"dropping-particle":"","family":"Sever","given":"Marko","non-dropping-particle":"","parse-names":false,"suffix":""},{"dropping-particle":"","family":"Klicek","given":"Robert","non-dropping-particle":"","parse-names":false,"suffix":""},{"dropping-particle":"","family":"Radic","given":"Bozo","non-dropping-particle":"","parse-names":false,"suffix":""},{"dropping-particle":"","family":"Brcic","given":"Luka","non-dropping-particle":"","parse-names":false,"suffix":""},{"dropping-particle":"","family":"Zoricic","given":"Ivan","non-dropping-particle":"","parse-names":false,"suffix":""},{"dropping-particle":"","family":"Drmic","given":"Domagoj","non-dropping-particle":"","parse-names":false,"suffix":""},{"dropping-particle":"","family":"Ivica","given":"Mihovil","non-dropping-particle":"","parse-names":false,"suffix":""},{"dropping-particle":"","family":"Barisic","given":"Ivan","non-dropping-particle":"","parse-names":false,"suffix":""},{"dropping-particle":"","family":"Ilic","given":"Spomenko","non-dropping-particle":"","parse-names":false,"suffix":""},{"dropping-particle":"","family":"Berkopic","given":"Lidija","non-dropping-particle":"","parse-names":false,"suffix":""},{"dropping-particle":"","family":"Blagaic","given":"Alenka Boban","non-dropping-particle":"","parse-names":false,"suffix":""},{"dropping-particle":"","family":"Coric","given":"Marijana","non-dropping-particle":"","parse-names":false,"suffix":""},{"dropping-particle":"","family":"Kolenc","given":"Danijela","non-dropping-particle":"","parse-names":false,"suffix":""},{"dropping-particle":"","family":"Vrcic","given":"Hrvoje","non-dropping-particle":"","parse-names":false,"suffix":""},{"dropping-particle":"","family":"Anic","given":"Tomislav","non-dropping-particle":"","parse-names":false,"suffix":""},{"dropping-particle":"","family":"Seiwerth","given":"Sven","non-dropping-particle":"","parse-names":false,"suffix":""},{"dropping-particle":"","family":"Sikiric","given":"Predrag","non-dropping-particle":"","parse-names":false,"suffix":""}],"container-title":"Digestive Diseases and Sciences","id":"ITEM-4","issue":"10","issued":{"date-parts":[["2009","10","18"]]},"page":"2070-2083","title":"Gastric Pentadecapeptide BPC 157 and Short Bowel Syndrome in Rats","type":"article-journal","volume":"54"},"uris":["http://www.mendeley.com/documents/?uuid=d5bae549-2131-457d-a9d4-d06841712948"]},{"id":"ITEM-5","itemData":{"DOI":"10.1007/s00595-006-3498-9","ISSN":"09411291","abstract":"Purpose. Gastric pentadecapeptide BPC 157 (BPC 157), which has been shown to be safe in clinical trials for inflammatory bowel disease (PL-10, PLD-116, PL14736, Pliva, Croatia), may be able to cure intestinal anastomosis dehiscence. This antiulcer peptide shows no toxicity, is limit test negative, and a lethal dose is not achieved. It is stable in human gastric juice. In comparison with other standard treatments it is more effective for ulcers and various wounds, and can be used without a carrier needed for other peptides, both locally and systemically (i.e., perorally, parenterally). We studied the effectiveness of BPC 157 for ileoileal anastomosis healing in rats. Methods. We assessed ileoileal anastomosis dehiscence macroscopically, histologically, and biomechanically (volume [ml] infused through a syringe-perfusion pump system (1 ml/10 s), and pressure [mmHg]  to leak induction [catheter connected to a chamber and a monitor, at 10 cm proximal to anastomosis]), at 1, 2, 3, 4, 5, 6, 7, and 14 days. BPC 157 (10 μg, 10 ng, 10 pg/kg i.p. (or saline [5 ml/kg] ) was first administered after surgery, while it was last given 24 h before either assessment or sacrifice. Results. Throughout the experiment, both higher doses of BPC 157 were shown to improve all parameters of anastomotic wound healing. The formation of adhesions remained slight, the blood vessels were filled with blood, and a mild intestinal passage obstruction was only temporarily observed. Anastomosis without leakage induces markedly higher volume and pressure values, with a continuous increase toward healthy values. From day 1, edema was markedly attenuated and the number of granulocytes decreased, while from days 4 or 5 necrosis decreased and granulation tissue, reticulin, and collagen formation substantially increased, thus resulting in increased epithelization. Conclusion. This study showed BPC 157 to have a beneficial effect on ileoileal anastomosis healing in the rat. © 2007 Springer-Verlag.","author":[{"dropping-particle":"","family":"Vuksic","given":"T.","non-dropping-particle":"","parse-names":false,"suffix":""},{"dropping-particle":"","family":"Zoricic","given":"I.","non-dropping-particle":"","parse-names":false,"suffix":""},{"dropping-particle":"","family":"Brcic","given":"L.","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Cesarec","given":"V.","non-dropping-particle":"","parse-names":false,"suffix":""},{"dropping-particle":"","family":"Berkopic","given":"L.","non-dropping-particle":"","parse-names":false,"suffix":""},{"dropping-particle":"","family":"Keller","given":"N.","non-dropping-particle":"","parse-names":false,"suffix":""},{"dropping-particle":"","family":"Blagaic","given":"A.B.","non-dropping-particle":"","parse-names":false,"suffix":""},{"dropping-particle":"","family":"Kokic","given":"N.","non-dropping-particle":"","parse-names":false,"suffix":""},{"dropping-particle":"","family":"Jelic","given":"I.","non-dropping-particle":"","parse-names":false,"suffix":""},{"dropping-particle":"","family":"Geber","given":"J.","non-dropping-particle":"","parse-names":false,"suffix":""},{"dropping-particle":"","family":"Anic","given":"T.","non-dropping-particle":"","parse-names":false,"suffix":""},{"dropping-particle":"","family":"Seiwerth","given":"S.","non-dropping-particle":"","parse-names":false,"suffix":""},{"dropping-particle":"","family":"Sikiric","given":"P.","non-dropping-particle":"","parse-names":false,"suffix":""}],"container-title":"Surgery Today","id":"ITEM-5","issue":"9","issued":{"date-parts":[["2007"]]},"title":"Stable gastric pentadecapeptide BPC 157 in trials for inflammatory bowel disease (PL-10, PLD-116, PL14736, Pliva, Croatia) heals ileoileal anastomosis in the rat","type":"article-journal","volume":"37"},"uris":["http://www.mendeley.com/documents/?uuid=349c7d36-04ba-3487-b4e9-2775a64e164d"]}],"mendeley":{"formattedCitation":"&lt;sup&gt;[34–36,39,40]&lt;/sup&gt;","plainTextFormattedCitation":"[34–36,39,40]","previouslyFormattedCitation":"&lt;sup&gt;[34–36,39,40]&lt;/sup&gt;"},"properties":{"noteIndex":0},"schema":"https://github.com/citation-style-language/schema/raw/master/csl-citation.json"}</w:instrText>
      </w:r>
      <w:r w:rsidR="00424272"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[34–36,39,40]</w:t>
      </w:r>
      <w:r w:rsidR="00424272"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w:t>
      </w:r>
    </w:p>
    <w:p w14:paraId="6923833F" w14:textId="34E4F920" w:rsidR="001060C4" w:rsidRPr="00E47A42" w:rsidRDefault="00A302B4" w:rsidP="00D72C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Thus, it may be </w:t>
      </w:r>
      <w:r w:rsidR="0080664F" w:rsidRPr="00E47A42">
        <w:rPr>
          <w:rFonts w:ascii="Book Antiqua" w:hAnsi="Book Antiqua" w:cs="Times New Roman"/>
          <w:sz w:val="24"/>
          <w:szCs w:val="24"/>
          <w:lang w:val="en-US"/>
        </w:rPr>
        <w:t>generally</w:t>
      </w:r>
      <w:r w:rsidR="00AC29F3" w:rsidRPr="00E47A42">
        <w:rPr>
          <w:rFonts w:ascii="Book Antiqua" w:hAnsi="Book Antiqua" w:cs="Times New Roman"/>
          <w:sz w:val="24"/>
          <w:szCs w:val="24"/>
          <w:lang w:val="en-US"/>
        </w:rPr>
        <w:t xml:space="preserve"> observed</w:t>
      </w:r>
      <w:r w:rsidRPr="00E47A42">
        <w:rPr>
          <w:rFonts w:ascii="Book Antiqua" w:hAnsi="Book Antiqua" w:cs="Times New Roman"/>
          <w:sz w:val="24"/>
          <w:szCs w:val="24"/>
          <w:lang w:val="en-US"/>
        </w:rPr>
        <w:t>, that BPC 157 promptly facilitate</w:t>
      </w:r>
      <w:r w:rsidR="007B7943"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and extend</w:t>
      </w:r>
      <w:r w:rsidR="007B7943" w:rsidRPr="00E47A42">
        <w:rPr>
          <w:rFonts w:ascii="Book Antiqua" w:hAnsi="Book Antiqua" w:cs="Times New Roman"/>
          <w:sz w:val="24"/>
          <w:szCs w:val="24"/>
          <w:lang w:val="en-US"/>
        </w:rPr>
        <w:t>s the</w:t>
      </w:r>
      <w:r w:rsidRPr="00E47A42">
        <w:rPr>
          <w:rFonts w:ascii="Book Antiqua" w:hAnsi="Book Antiqua" w:cs="Times New Roman"/>
          <w:sz w:val="24"/>
          <w:szCs w:val="24"/>
          <w:lang w:val="en-US"/>
        </w:rPr>
        <w:t xml:space="preserve"> </w:t>
      </w:r>
      <w:proofErr w:type="spellStart"/>
      <w:r w:rsidRPr="00E47A42">
        <w:rPr>
          <w:rFonts w:ascii="Book Antiqua" w:hAnsi="Book Antiqua" w:cs="Times New Roman"/>
          <w:sz w:val="24"/>
          <w:szCs w:val="24"/>
          <w:lang w:val="en-US"/>
        </w:rPr>
        <w:t>cytoprotection</w:t>
      </w:r>
      <w:proofErr w:type="spellEnd"/>
      <w:r w:rsidRPr="00E47A42">
        <w:rPr>
          <w:rFonts w:ascii="Book Antiqua" w:hAnsi="Book Antiqua" w:cs="Times New Roman"/>
          <w:sz w:val="24"/>
          <w:szCs w:val="24"/>
          <w:lang w:val="en-US"/>
        </w:rPr>
        <w:t xml:space="preserve"> background (endothelium maintenance → epithelium maintenance = blood vessel recruitment and activation toward injury, providing also </w:t>
      </w:r>
      <w:r w:rsidRPr="00E47A42">
        <w:rPr>
          <w:rFonts w:ascii="Book Antiqua" w:hAnsi="Book Antiqua" w:cs="Times New Roman"/>
          <w:sz w:val="24"/>
          <w:szCs w:val="24"/>
          <w:lang w:val="en-US"/>
        </w:rPr>
        <w:lastRenderedPageBreak/>
        <w:t xml:space="preserve">described “bypassing” of occlusion </w:t>
      </w:r>
      <w:r w:rsidR="003519B4" w:rsidRPr="00E47A42">
        <w:rPr>
          <w:rFonts w:ascii="Book Antiqua" w:hAnsi="Book Antiqua" w:cs="Times New Roman"/>
          <w:sz w:val="24"/>
          <w:szCs w:val="24"/>
          <w:lang w:val="en-US"/>
        </w:rPr>
        <w:t xml:space="preserve">through </w:t>
      </w:r>
      <w:r w:rsidRPr="00E47A42">
        <w:rPr>
          <w:rFonts w:ascii="Book Antiqua" w:hAnsi="Book Antiqua" w:cs="Times New Roman"/>
          <w:sz w:val="24"/>
          <w:szCs w:val="24"/>
          <w:lang w:val="en-US"/>
        </w:rPr>
        <w:t>alternative ways)</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7B7943" w:rsidRPr="00E47A42">
        <w:rPr>
          <w:rFonts w:ascii="Book Antiqua" w:hAnsi="Book Antiqua" w:cs="Times New Roman"/>
          <w:sz w:val="24"/>
          <w:szCs w:val="24"/>
          <w:lang w:val="en-US"/>
        </w:rPr>
        <w:t>; thus,</w:t>
      </w:r>
      <w:r w:rsidRPr="00E47A42">
        <w:rPr>
          <w:rFonts w:ascii="Book Antiqua" w:hAnsi="Book Antiqua" w:cs="Times New Roman"/>
          <w:sz w:val="24"/>
          <w:szCs w:val="24"/>
          <w:lang w:val="en-US"/>
        </w:rPr>
        <w:t xml:space="preserve"> all chains of events </w:t>
      </w:r>
      <w:r w:rsidR="007B7943" w:rsidRPr="00E47A42">
        <w:rPr>
          <w:rFonts w:ascii="Book Antiqua" w:hAnsi="Book Antiqua" w:cs="Times New Roman"/>
          <w:sz w:val="24"/>
          <w:szCs w:val="24"/>
          <w:lang w:val="en-US"/>
        </w:rPr>
        <w:t xml:space="preserve">were </w:t>
      </w:r>
      <w:r w:rsidRPr="00E47A42">
        <w:rPr>
          <w:rFonts w:ascii="Book Antiqua" w:hAnsi="Book Antiqua" w:cs="Times New Roman"/>
          <w:sz w:val="24"/>
          <w:szCs w:val="24"/>
          <w:lang w:val="en-US"/>
        </w:rPr>
        <w:t xml:space="preserve">accordingly and promptly involved to rapidly initiate and achieve </w:t>
      </w:r>
      <w:r w:rsidR="007B7943" w:rsidRPr="00E47A42">
        <w:rPr>
          <w:rFonts w:ascii="Book Antiqua" w:hAnsi="Book Antiqua" w:cs="Times New Roman"/>
          <w:sz w:val="24"/>
          <w:szCs w:val="24"/>
          <w:lang w:val="en-US"/>
        </w:rPr>
        <w:t xml:space="preserve">a </w:t>
      </w:r>
      <w:r w:rsidRPr="00E47A42">
        <w:rPr>
          <w:rFonts w:ascii="Book Antiqua" w:hAnsi="Book Antiqua" w:cs="Times New Roman"/>
          <w:sz w:val="24"/>
          <w:szCs w:val="24"/>
          <w:lang w:val="en-US"/>
        </w:rPr>
        <w:t xml:space="preserve">full healing effect. </w:t>
      </w:r>
    </w:p>
    <w:p w14:paraId="10A03FBA" w14:textId="5F7595F1" w:rsidR="00A302B4" w:rsidRPr="00E47A42" w:rsidRDefault="00A302B4" w:rsidP="00D72C63">
      <w:pPr>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This specific </w:t>
      </w:r>
      <w:r w:rsidR="00AC29F3" w:rsidRPr="00E47A42">
        <w:rPr>
          <w:rFonts w:ascii="Book Antiqua" w:hAnsi="Book Antiqua" w:cs="Times New Roman"/>
          <w:sz w:val="24"/>
          <w:szCs w:val="24"/>
          <w:lang w:val="en-US"/>
        </w:rPr>
        <w:t>level of healing</w:t>
      </w:r>
      <w:r w:rsidRPr="00E47A42">
        <w:rPr>
          <w:rFonts w:ascii="Book Antiqua" w:hAnsi="Book Antiqua" w:cs="Times New Roman"/>
          <w:sz w:val="24"/>
          <w:szCs w:val="24"/>
          <w:lang w:val="en-US"/>
        </w:rPr>
        <w:t xml:space="preserve"> (initial and final)</w:t>
      </w:r>
      <w:r w:rsidR="008C0D85" w:rsidRPr="00E47A42">
        <w:rPr>
          <w:rFonts w:ascii="Book Antiqua" w:hAnsi="Book Antiqua" w:cs="Times New Roman"/>
          <w:sz w:val="24"/>
          <w:szCs w:val="24"/>
          <w:lang w:val="en-US"/>
        </w:rPr>
        <w:t xml:space="preserve"> can be not obtained from </w:t>
      </w:r>
      <w:r w:rsidRPr="00E47A42">
        <w:rPr>
          <w:rFonts w:ascii="Book Antiqua" w:hAnsi="Book Antiqua" w:cs="Times New Roman"/>
          <w:sz w:val="24"/>
          <w:szCs w:val="24"/>
          <w:lang w:val="en-US"/>
        </w:rPr>
        <w:t xml:space="preserve">the effect of NOS-blockade (L-NAME) or NOS-substrate (L-arginine), two pharmacologically distinct mechanisms with opposite effects on the same </w:t>
      </w:r>
      <w:r w:rsidRPr="00E47A42">
        <w:rPr>
          <w:rFonts w:ascii="Book Antiqua" w:hAnsi="Book Antiqua" w:cs="Times New Roman"/>
          <w:noProof/>
          <w:sz w:val="24"/>
          <w:szCs w:val="24"/>
          <w:lang w:val="en-US"/>
        </w:rPr>
        <w:t>signaling</w:t>
      </w:r>
      <w:r w:rsidRPr="00E47A42">
        <w:rPr>
          <w:rFonts w:ascii="Book Antiqua" w:hAnsi="Book Antiqua" w:cs="Times New Roman"/>
          <w:sz w:val="24"/>
          <w:szCs w:val="24"/>
          <w:lang w:val="en-US"/>
        </w:rPr>
        <w:t xml:space="preserve"> NO-pathway</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Initially, L-arginine reduced vessel disappearance and </w:t>
      </w:r>
      <w:r w:rsidR="00ED5FE3" w:rsidRPr="00E47A42">
        <w:rPr>
          <w:rFonts w:ascii="Book Antiqua" w:hAnsi="Book Antiqua" w:cs="Times New Roman"/>
          <w:sz w:val="24"/>
          <w:szCs w:val="24"/>
          <w:lang w:val="en-US"/>
        </w:rPr>
        <w:t>counteracted defect widening</w:t>
      </w:r>
      <w:r w:rsidRPr="00E47A42">
        <w:rPr>
          <w:rFonts w:ascii="Book Antiqua" w:hAnsi="Book Antiqua" w:cs="Times New Roman"/>
          <w:sz w:val="24"/>
          <w:szCs w:val="24"/>
          <w:lang w:val="en-US"/>
        </w:rPr>
        <w:t xml:space="preserve">, and </w:t>
      </w:r>
      <w:r w:rsidR="008C0D85" w:rsidRPr="00E47A42">
        <w:rPr>
          <w:rFonts w:ascii="Book Antiqua" w:hAnsi="Book Antiqua" w:cs="Times New Roman"/>
          <w:sz w:val="24"/>
          <w:szCs w:val="24"/>
          <w:lang w:val="en-US"/>
        </w:rPr>
        <w:t xml:space="preserve">prolonged </w:t>
      </w:r>
      <w:r w:rsidRPr="00E47A42">
        <w:rPr>
          <w:rFonts w:ascii="Book Antiqua" w:hAnsi="Book Antiqua" w:cs="Times New Roman"/>
          <w:sz w:val="24"/>
          <w:szCs w:val="24"/>
          <w:lang w:val="en-US"/>
        </w:rPr>
        <w:t>the bleeding period</w:t>
      </w:r>
      <w:r w:rsidR="003519B4" w:rsidRPr="00E47A42">
        <w:rPr>
          <w:rFonts w:ascii="Book Antiqua" w:hAnsi="Book Antiqua" w:cs="Times New Roman"/>
          <w:sz w:val="24"/>
          <w:szCs w:val="24"/>
          <w:lang w:val="en-US"/>
        </w:rPr>
        <w:t>. W</w:t>
      </w:r>
      <w:r w:rsidRPr="00E47A42">
        <w:rPr>
          <w:rFonts w:ascii="Book Antiqua" w:hAnsi="Book Antiqua" w:cs="Times New Roman"/>
          <w:sz w:val="24"/>
          <w:szCs w:val="24"/>
          <w:lang w:val="en-US"/>
        </w:rPr>
        <w:t xml:space="preserve">ith L-NAME, vessel disappearance was similar to </w:t>
      </w:r>
      <w:r w:rsidR="00D23F57" w:rsidRPr="00E47A42">
        <w:rPr>
          <w:rFonts w:ascii="Book Antiqua" w:hAnsi="Book Antiqua" w:cs="Times New Roman"/>
          <w:sz w:val="24"/>
          <w:szCs w:val="24"/>
          <w:lang w:val="en-US"/>
        </w:rPr>
        <w:t xml:space="preserve">that </w:t>
      </w:r>
      <w:r w:rsidR="003519B4" w:rsidRPr="00E47A42">
        <w:rPr>
          <w:rFonts w:ascii="Book Antiqua" w:hAnsi="Book Antiqua" w:cs="Times New Roman"/>
          <w:sz w:val="24"/>
          <w:szCs w:val="24"/>
          <w:lang w:val="en-US"/>
        </w:rPr>
        <w:t>in</w:t>
      </w:r>
      <w:r w:rsidR="00D23F57"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the controls</w:t>
      </w:r>
      <w:r w:rsidR="003519B4" w:rsidRPr="00E47A42">
        <w:rPr>
          <w:rFonts w:ascii="Book Antiqua" w:hAnsi="Book Antiqua" w:cs="Times New Roman"/>
          <w:sz w:val="24"/>
          <w:szCs w:val="24"/>
          <w:lang w:val="en-US"/>
        </w:rPr>
        <w:t>; however,</w:t>
      </w:r>
      <w:r w:rsidRPr="00E47A42">
        <w:rPr>
          <w:rFonts w:ascii="Book Antiqua" w:hAnsi="Book Antiqua" w:cs="Times New Roman"/>
          <w:sz w:val="24"/>
          <w:szCs w:val="24"/>
          <w:lang w:val="en-US"/>
        </w:rPr>
        <w:t xml:space="preserve"> there was </w:t>
      </w:r>
      <w:r w:rsidR="00ED5FE3" w:rsidRPr="00E47A42">
        <w:rPr>
          <w:rFonts w:ascii="Book Antiqua" w:hAnsi="Book Antiqua" w:cs="Times New Roman"/>
          <w:sz w:val="24"/>
          <w:szCs w:val="24"/>
          <w:lang w:val="en-US"/>
        </w:rPr>
        <w:t>counteraction of defect widening</w:t>
      </w:r>
      <w:r w:rsidRPr="00E47A42">
        <w:rPr>
          <w:rFonts w:ascii="Book Antiqua" w:hAnsi="Book Antiqua" w:cs="Times New Roman"/>
          <w:sz w:val="24"/>
          <w:szCs w:val="24"/>
          <w:lang w:val="en-US"/>
        </w:rPr>
        <w:t xml:space="preserve">, and the bleeding period was shortened. These would </w:t>
      </w:r>
      <w:r w:rsidR="003519B4" w:rsidRPr="00E47A42">
        <w:rPr>
          <w:rFonts w:ascii="Book Antiqua" w:hAnsi="Book Antiqua" w:cs="Times New Roman"/>
          <w:sz w:val="24"/>
          <w:szCs w:val="24"/>
          <w:lang w:val="en-US"/>
        </w:rPr>
        <w:t xml:space="preserve">both </w:t>
      </w:r>
      <w:r w:rsidRPr="00E47A42">
        <w:rPr>
          <w:rFonts w:ascii="Book Antiqua" w:hAnsi="Book Antiqua" w:cs="Times New Roman"/>
          <w:sz w:val="24"/>
          <w:szCs w:val="24"/>
          <w:lang w:val="en-US"/>
        </w:rPr>
        <w:t>be inadequate</w:t>
      </w:r>
      <w:r w:rsidR="005A3B6E"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though NO-specific</w:t>
      </w:r>
      <w:r w:rsidR="003519B4"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w:t>
      </w:r>
      <w:r w:rsidR="003519B4" w:rsidRPr="00E47A42">
        <w:rPr>
          <w:rFonts w:ascii="Book Antiqua" w:hAnsi="Book Antiqua" w:cs="Times New Roman"/>
          <w:sz w:val="24"/>
          <w:szCs w:val="24"/>
          <w:lang w:val="en-US"/>
        </w:rPr>
        <w:t xml:space="preserve">responses </w:t>
      </w:r>
      <w:r w:rsidRPr="00E47A42">
        <w:rPr>
          <w:rFonts w:ascii="Book Antiqua" w:hAnsi="Book Antiqua" w:cs="Times New Roman"/>
          <w:sz w:val="24"/>
          <w:szCs w:val="24"/>
          <w:lang w:val="en-US"/>
        </w:rPr>
        <w:t>(given together, L-NAME+L-arginine regularly reversed each other's initial response</w:t>
      </w:r>
      <w:r w:rsidR="003519B4"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being not different from </w:t>
      </w:r>
      <w:r w:rsidR="00D23F57"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controls</w:t>
      </w:r>
      <w:r w:rsidR="003519B4" w:rsidRPr="00E47A42">
        <w:rPr>
          <w:rFonts w:ascii="Book Antiqua" w:hAnsi="Book Antiqua" w:cs="Times New Roman"/>
          <w:sz w:val="24"/>
          <w:szCs w:val="24"/>
          <w:lang w:val="en-US"/>
        </w:rPr>
        <w:t>, with</w:t>
      </w:r>
      <w:r w:rsidRPr="00E47A42">
        <w:rPr>
          <w:rFonts w:ascii="Book Antiqua" w:hAnsi="Book Antiqua" w:cs="Times New Roman"/>
          <w:sz w:val="24"/>
          <w:szCs w:val="24"/>
          <w:lang w:val="en-US"/>
        </w:rPr>
        <w:t xml:space="preserve"> a bleeding period similar to the controls (L-NAME+L-arginine)). Namely, they both eventually aggravate</w:t>
      </w:r>
      <w:r w:rsidR="005A3B6E"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perforated lesion</w:t>
      </w:r>
      <w:r w:rsidR="00D23F57"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in the cecum, a non-NO-specific effect (given together, they did not reverse each other's final response</w:t>
      </w:r>
      <w:r w:rsidR="003519B4" w:rsidRPr="00E47A42">
        <w:rPr>
          <w:rFonts w:ascii="Book Antiqua" w:hAnsi="Book Antiqua" w:cs="Times New Roman"/>
          <w:sz w:val="24"/>
          <w:szCs w:val="24"/>
          <w:lang w:val="en-US"/>
        </w:rPr>
        <w:t>s</w:t>
      </w:r>
      <w:r w:rsidR="005A3B6E"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L-NAME+L-arginine</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 still ha</w:t>
      </w:r>
      <w:r w:rsidR="003519B4" w:rsidRPr="00E47A42">
        <w:rPr>
          <w:rFonts w:ascii="Book Antiqua" w:hAnsi="Book Antiqua" w:cs="Times New Roman"/>
          <w:sz w:val="24"/>
          <w:szCs w:val="24"/>
          <w:lang w:val="en-US"/>
        </w:rPr>
        <w:t>d</w:t>
      </w:r>
      <w:r w:rsidRPr="00E47A42">
        <w:rPr>
          <w:rFonts w:ascii="Book Antiqua" w:hAnsi="Book Antiqua" w:cs="Times New Roman"/>
          <w:sz w:val="24"/>
          <w:szCs w:val="24"/>
          <w:lang w:val="en-US"/>
        </w:rPr>
        <w:t xml:space="preserve"> an open defect larger than </w:t>
      </w:r>
      <w:r w:rsidR="00D23F57" w:rsidRPr="00E47A42">
        <w:rPr>
          <w:rFonts w:ascii="Book Antiqua" w:hAnsi="Book Antiqua" w:cs="Times New Roman"/>
          <w:sz w:val="24"/>
          <w:szCs w:val="24"/>
          <w:lang w:val="en-US"/>
        </w:rPr>
        <w:t xml:space="preserve">that </w:t>
      </w:r>
      <w:r w:rsidRPr="00E47A42">
        <w:rPr>
          <w:rFonts w:ascii="Book Antiqua" w:hAnsi="Book Antiqua" w:cs="Times New Roman"/>
          <w:sz w:val="24"/>
          <w:szCs w:val="24"/>
          <w:lang w:val="en-US"/>
        </w:rPr>
        <w:t>in the controls</w:t>
      </w:r>
      <w:r w:rsidR="005A3B6E" w:rsidRPr="00E47A42">
        <w:rPr>
          <w:rFonts w:ascii="Book Antiqua" w:hAnsi="Book Antiqua" w:cs="Times New Roman"/>
          <w:sz w:val="24"/>
          <w:szCs w:val="24"/>
          <w:lang w:val="en-US"/>
        </w:rPr>
        <w:t xml:space="preserve"> with</w:t>
      </w:r>
      <w:r w:rsidRPr="00E47A42">
        <w:rPr>
          <w:rFonts w:ascii="Book Antiqua" w:hAnsi="Book Antiqua" w:cs="Times New Roman"/>
          <w:sz w:val="24"/>
          <w:szCs w:val="24"/>
          <w:lang w:val="en-US"/>
        </w:rPr>
        <w:t xml:space="preserve"> adhesions of higher score). </w:t>
      </w:r>
      <w:r w:rsidR="00D23F57" w:rsidRPr="00E47A42">
        <w:rPr>
          <w:rFonts w:ascii="Book Antiqua" w:hAnsi="Book Antiqua" w:cs="Times New Roman"/>
          <w:sz w:val="24"/>
          <w:szCs w:val="24"/>
          <w:lang w:val="en-US"/>
        </w:rPr>
        <w:t>By contrast</w:t>
      </w:r>
      <w:r w:rsidRPr="00E47A42">
        <w:rPr>
          <w:rFonts w:ascii="Book Antiqua" w:hAnsi="Book Antiqua" w:cs="Times New Roman"/>
          <w:sz w:val="24"/>
          <w:szCs w:val="24"/>
          <w:lang w:val="en-US"/>
        </w:rPr>
        <w:t xml:space="preserve">, as a proof </w:t>
      </w:r>
      <w:r w:rsidR="00D23F57" w:rsidRPr="00E47A42">
        <w:rPr>
          <w:rFonts w:ascii="Book Antiqua" w:hAnsi="Book Antiqua" w:cs="Times New Roman"/>
          <w:sz w:val="24"/>
          <w:szCs w:val="24"/>
          <w:lang w:val="en-US"/>
        </w:rPr>
        <w:t>of</w:t>
      </w:r>
      <w:r w:rsidRPr="00E47A42">
        <w:rPr>
          <w:rFonts w:ascii="Book Antiqua" w:hAnsi="Book Antiqua" w:cs="Times New Roman"/>
          <w:sz w:val="24"/>
          <w:szCs w:val="24"/>
          <w:lang w:val="en-US"/>
        </w:rPr>
        <w:t xml:space="preserve"> concept </w:t>
      </w:r>
      <w:r w:rsidR="003519B4" w:rsidRPr="00E47A42">
        <w:rPr>
          <w:rFonts w:ascii="Book Antiqua" w:hAnsi="Book Antiqua" w:cs="Times New Roman"/>
          <w:sz w:val="24"/>
          <w:szCs w:val="24"/>
          <w:lang w:val="en-US"/>
        </w:rPr>
        <w:t xml:space="preserve">regarding </w:t>
      </w:r>
      <w:r w:rsidR="00AC29F3" w:rsidRPr="00E47A42">
        <w:rPr>
          <w:rFonts w:ascii="Book Antiqua" w:hAnsi="Book Antiqua" w:cs="Times New Roman"/>
          <w:sz w:val="24"/>
          <w:szCs w:val="24"/>
          <w:lang w:val="en-US"/>
        </w:rPr>
        <w:t xml:space="preserve">the </w:t>
      </w:r>
      <w:r w:rsidRPr="00E47A42">
        <w:rPr>
          <w:rFonts w:ascii="Book Antiqua" w:hAnsi="Book Antiqua" w:cs="Times New Roman"/>
          <w:sz w:val="24"/>
          <w:szCs w:val="24"/>
          <w:lang w:val="en-US"/>
        </w:rPr>
        <w:t>beneficial effects</w:t>
      </w:r>
      <w:r w:rsidR="00AC29F3" w:rsidRPr="00E47A42">
        <w:rPr>
          <w:rFonts w:ascii="Book Antiqua" w:hAnsi="Book Antiqua" w:cs="Times New Roman"/>
          <w:sz w:val="24"/>
          <w:szCs w:val="24"/>
          <w:lang w:val="en-US"/>
        </w:rPr>
        <w:t xml:space="preserve"> of BPC 157, rats in experiments with</w:t>
      </w:r>
      <w:r w:rsidRPr="00E47A42">
        <w:rPr>
          <w:rFonts w:ascii="Book Antiqua" w:hAnsi="Book Antiqua" w:cs="Times New Roman"/>
          <w:sz w:val="24"/>
          <w:szCs w:val="24"/>
          <w:lang w:val="en-US"/>
        </w:rPr>
        <w:t xml:space="preserve"> perforated cecum and colitis syndromes</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mendeley":{"formattedCitation":"&lt;sup&gt;[20]&lt;/sup&gt;","plainTextFormattedCitation":"[20]","previouslyFormattedCitation":"&lt;sup&gt;[20]&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show</w:t>
      </w:r>
      <w:r w:rsidR="005A3B6E" w:rsidRPr="00E47A42">
        <w:rPr>
          <w:rFonts w:ascii="Book Antiqua" w:hAnsi="Book Antiqua" w:cs="Times New Roman"/>
          <w:sz w:val="24"/>
          <w:szCs w:val="24"/>
          <w:lang w:val="en-US"/>
        </w:rPr>
        <w:t>ed</w:t>
      </w:r>
      <w:r w:rsidRPr="00E47A42">
        <w:rPr>
          <w:rFonts w:ascii="Book Antiqua" w:hAnsi="Book Antiqua" w:cs="Times New Roman"/>
          <w:sz w:val="24"/>
          <w:szCs w:val="24"/>
          <w:lang w:val="en-US"/>
        </w:rPr>
        <w:t xml:space="preserve"> the counteraction of the worsening of the course</w:t>
      </w:r>
      <w:r w:rsidR="00AC29F3" w:rsidRPr="00E47A42">
        <w:rPr>
          <w:rFonts w:ascii="Book Antiqua" w:hAnsi="Book Antiqua" w:cs="Times New Roman"/>
          <w:sz w:val="24"/>
          <w:szCs w:val="24"/>
          <w:lang w:val="en-US"/>
        </w:rPr>
        <w:t xml:space="preserve"> of injury</w:t>
      </w:r>
      <w:r w:rsidRPr="00E47A42">
        <w:rPr>
          <w:rFonts w:ascii="Book Antiqua" w:hAnsi="Book Antiqua" w:cs="Times New Roman"/>
          <w:sz w:val="24"/>
          <w:szCs w:val="24"/>
          <w:lang w:val="en-US"/>
        </w:rPr>
        <w:t xml:space="preserve"> after L-NAME and L-arginine application as individual agents (L-NAME</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 L-arginine</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 → L-NAME+BPC 157</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rats, </w:t>
      </w:r>
      <w:proofErr w:type="spellStart"/>
      <w:r w:rsidRPr="00E47A42">
        <w:rPr>
          <w:rFonts w:ascii="Book Antiqua" w:hAnsi="Book Antiqua" w:cs="Times New Roman"/>
          <w:sz w:val="24"/>
          <w:szCs w:val="24"/>
          <w:lang w:val="en-US"/>
        </w:rPr>
        <w:t>L-arginine+BPC</w:t>
      </w:r>
      <w:proofErr w:type="spellEnd"/>
      <w:r w:rsidRPr="00E47A42">
        <w:rPr>
          <w:rFonts w:ascii="Book Antiqua" w:hAnsi="Book Antiqua" w:cs="Times New Roman"/>
          <w:sz w:val="24"/>
          <w:szCs w:val="24"/>
          <w:lang w:val="en-US"/>
        </w:rPr>
        <w:t xml:space="preserve"> 157</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w:t>
      </w:r>
      <w:r w:rsidR="00EF1909" w:rsidRPr="00E47A42">
        <w:rPr>
          <w:rFonts w:ascii="Book Antiqua" w:hAnsi="Book Antiqua" w:cs="Times New Roman"/>
          <w:sz w:val="24"/>
          <w:szCs w:val="24"/>
          <w:lang w:val="en-US"/>
        </w:rPr>
        <w:t xml:space="preserve"> ≈ BPC 157 rats</w:t>
      </w:r>
      <w:r w:rsidRPr="00E47A42">
        <w:rPr>
          <w:rFonts w:ascii="Book Antiqua" w:hAnsi="Book Antiqua" w:cs="Times New Roman"/>
          <w:sz w:val="24"/>
          <w:szCs w:val="24"/>
          <w:lang w:val="en-US"/>
        </w:rPr>
        <w:t>)</w:t>
      </w:r>
      <w:r w:rsidR="00EF1909" w:rsidRPr="00E47A42">
        <w:rPr>
          <w:rFonts w:ascii="Book Antiqua" w:hAnsi="Book Antiqua" w:cs="Times New Roman"/>
          <w:sz w:val="24"/>
          <w:szCs w:val="24"/>
          <w:lang w:val="en-US"/>
        </w:rPr>
        <w:t xml:space="preserve"> </w:t>
      </w:r>
      <w:r w:rsidR="005A3B6E" w:rsidRPr="00E47A42">
        <w:rPr>
          <w:rFonts w:ascii="Book Antiqua" w:hAnsi="Book Antiqua" w:cs="Times New Roman"/>
          <w:sz w:val="24"/>
          <w:szCs w:val="24"/>
          <w:lang w:val="en-US"/>
        </w:rPr>
        <w:t>. Wh</w:t>
      </w:r>
      <w:r w:rsidRPr="00E47A42">
        <w:rPr>
          <w:rFonts w:ascii="Book Antiqua" w:hAnsi="Book Antiqua" w:cs="Times New Roman"/>
          <w:sz w:val="24"/>
          <w:szCs w:val="24"/>
          <w:lang w:val="en-US"/>
        </w:rPr>
        <w:t>en given together</w:t>
      </w:r>
      <w:r w:rsidR="005A3B6E" w:rsidRPr="00E47A42">
        <w:rPr>
          <w:rFonts w:ascii="Book Antiqua" w:hAnsi="Book Antiqua" w:cs="Times New Roman"/>
          <w:sz w:val="24"/>
          <w:szCs w:val="24"/>
          <w:lang w:val="en-US"/>
        </w:rPr>
        <w:t>,</w:t>
      </w:r>
      <w:r w:rsidRPr="00E47A42">
        <w:rPr>
          <w:rFonts w:ascii="Book Antiqua" w:hAnsi="Book Antiqua" w:cs="Times New Roman"/>
          <w:sz w:val="24"/>
          <w:szCs w:val="24"/>
          <w:lang w:val="en-US"/>
        </w:rPr>
        <w:t xml:space="preserve"> the counteraction of the remaining </w:t>
      </w:r>
      <w:r w:rsidR="003519B4" w:rsidRPr="00E47A42">
        <w:rPr>
          <w:rFonts w:ascii="Book Antiqua" w:hAnsi="Book Antiqua" w:cs="Times New Roman"/>
          <w:sz w:val="24"/>
          <w:szCs w:val="24"/>
          <w:lang w:val="en-US"/>
        </w:rPr>
        <w:t xml:space="preserve">extensive </w:t>
      </w:r>
      <w:r w:rsidRPr="00E47A42">
        <w:rPr>
          <w:rFonts w:ascii="Book Antiqua" w:hAnsi="Book Antiqua" w:cs="Times New Roman"/>
          <w:sz w:val="24"/>
          <w:szCs w:val="24"/>
          <w:lang w:val="en-US"/>
        </w:rPr>
        <w:t xml:space="preserve">pathology </w:t>
      </w:r>
      <w:r w:rsidR="00316EBD" w:rsidRPr="00E47A42">
        <w:rPr>
          <w:rFonts w:ascii="Book Antiqua" w:hAnsi="Book Antiqua" w:cs="Times New Roman"/>
          <w:sz w:val="24"/>
          <w:szCs w:val="24"/>
          <w:lang w:val="en-US"/>
        </w:rPr>
        <w:t xml:space="preserve">was observed regardless of </w:t>
      </w:r>
      <w:r w:rsidRPr="00E47A42">
        <w:rPr>
          <w:rFonts w:ascii="Book Antiqua" w:hAnsi="Book Antiqua" w:cs="Times New Roman"/>
          <w:sz w:val="24"/>
          <w:szCs w:val="24"/>
          <w:lang w:val="en-US"/>
        </w:rPr>
        <w:t>w</w:t>
      </w:r>
      <w:r w:rsidR="00D23F57" w:rsidRPr="00E47A42">
        <w:rPr>
          <w:rFonts w:ascii="Book Antiqua" w:hAnsi="Book Antiqua" w:cs="Times New Roman"/>
          <w:sz w:val="24"/>
          <w:szCs w:val="24"/>
          <w:lang w:val="en-US"/>
        </w:rPr>
        <w:t>heth</w:t>
      </w:r>
      <w:r w:rsidRPr="00E47A42">
        <w:rPr>
          <w:rFonts w:ascii="Book Antiqua" w:hAnsi="Book Antiqua" w:cs="Times New Roman"/>
          <w:sz w:val="24"/>
          <w:szCs w:val="24"/>
          <w:lang w:val="en-US"/>
        </w:rPr>
        <w:t>er L-NAME and L-arginine reversed each other's worsening response</w:t>
      </w:r>
      <w:r w:rsidR="00316EBD" w:rsidRPr="00E47A42">
        <w:rPr>
          <w:rFonts w:ascii="Book Antiqua" w:hAnsi="Book Antiqua" w:cs="Times New Roman"/>
          <w:sz w:val="24"/>
          <w:szCs w:val="24"/>
          <w:lang w:val="en-US"/>
        </w:rPr>
        <w:t>s</w:t>
      </w:r>
      <w:r w:rsidRPr="00E47A42">
        <w:rPr>
          <w:rFonts w:ascii="Book Antiqua" w:hAnsi="Book Antiqua" w:cs="Times New Roman"/>
          <w:sz w:val="24"/>
          <w:szCs w:val="24"/>
          <w:lang w:val="en-US"/>
        </w:rPr>
        <w:t xml:space="preserve"> (L-NAME</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rats </w:t>
      </w:r>
      <w:r w:rsidR="002D03EA" w:rsidRPr="00E47A42">
        <w:rPr>
          <w:rFonts w:ascii="Book Antiqua" w:hAnsi="Book Antiqua" w:cs="Calibri"/>
          <w:sz w:val="24"/>
          <w:szCs w:val="24"/>
          <w:lang w:val="en-US"/>
        </w:rPr>
        <w:t>→</w:t>
      </w:r>
      <w:r w:rsidRPr="00E47A42">
        <w:rPr>
          <w:rFonts w:ascii="Book Antiqua" w:hAnsi="Book Antiqua" w:cs="Times New Roman"/>
          <w:sz w:val="24"/>
          <w:szCs w:val="24"/>
          <w:lang w:val="en-US"/>
        </w:rPr>
        <w:t xml:space="preserve"> L-NAME</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L-arginine</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w:t>
      </w:r>
      <w:r w:rsidR="00D72C63">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BPC 157</w:t>
      </w:r>
      <w:r w:rsidR="003519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rats</w:t>
      </w:r>
      <w:r w:rsidR="00CB6D86">
        <w:rPr>
          <w:rFonts w:ascii="Book Antiqua" w:hAnsi="Book Antiqua" w:cs="Times New Roman"/>
          <w:sz w:val="24"/>
          <w:szCs w:val="24"/>
          <w:lang w:val="en-US"/>
        </w:rPr>
        <w:t xml:space="preserve"> </w:t>
      </w:r>
      <w:r w:rsidR="00EF1909" w:rsidRPr="00E47A42">
        <w:rPr>
          <w:rFonts w:ascii="Book Antiqua" w:hAnsi="Book Antiqua" w:cs="Times New Roman"/>
          <w:sz w:val="24"/>
          <w:szCs w:val="24"/>
          <w:lang w:val="en-US"/>
        </w:rPr>
        <w:t>≈ BPC 157 rats</w:t>
      </w:r>
      <w:r w:rsidRPr="00E47A42">
        <w:rPr>
          <w:rFonts w:ascii="Book Antiqua" w:hAnsi="Book Antiqua" w:cs="Times New Roman"/>
          <w:sz w:val="24"/>
          <w:szCs w:val="24"/>
          <w:lang w:val="en-US"/>
        </w:rPr>
        <w:t>)</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mendeley":{"formattedCitation":"&lt;sup&gt;[20]&lt;/sup&gt;","plainTextFormattedCitation":"[20]","previouslyFormattedCitation":"&lt;sup&gt;[20]&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w:t>
      </w:r>
      <w:r w:rsidR="00A75220" w:rsidRPr="00E47A42">
        <w:rPr>
          <w:rFonts w:ascii="Book Antiqua" w:hAnsi="Book Antiqua" w:cs="Times New Roman"/>
          <w:sz w:val="24"/>
          <w:szCs w:val="24"/>
          <w:lang w:val="en-US"/>
        </w:rPr>
        <w:fldChar w:fldCharType="end"/>
      </w:r>
      <w:r w:rsidRPr="00E47A42">
        <w:rPr>
          <w:rFonts w:ascii="Book Antiqua" w:hAnsi="Book Antiqua" w:cs="Times New Roman"/>
          <w:sz w:val="24"/>
          <w:szCs w:val="24"/>
          <w:lang w:val="en-US"/>
        </w:rPr>
        <w:t xml:space="preserve">. </w:t>
      </w:r>
    </w:p>
    <w:p w14:paraId="6EB98A6D" w14:textId="3563D3E5" w:rsidR="00A302B4" w:rsidRPr="00E47A42" w:rsidRDefault="00D23F57" w:rsidP="00D72C63">
      <w:pPr>
        <w:autoSpaceDE w:val="0"/>
        <w:adjustRightInd w:val="0"/>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In c</w:t>
      </w:r>
      <w:r w:rsidR="00A302B4" w:rsidRPr="00E47A42">
        <w:rPr>
          <w:rFonts w:ascii="Book Antiqua" w:hAnsi="Book Antiqua" w:cs="Times New Roman"/>
          <w:sz w:val="24"/>
          <w:szCs w:val="24"/>
          <w:lang w:val="en-US"/>
        </w:rPr>
        <w:t>onclu</w:t>
      </w:r>
      <w:r w:rsidRPr="00E47A42">
        <w:rPr>
          <w:rFonts w:ascii="Book Antiqua" w:hAnsi="Book Antiqua" w:cs="Times New Roman"/>
          <w:sz w:val="24"/>
          <w:szCs w:val="24"/>
          <w:lang w:val="en-US"/>
        </w:rPr>
        <w:t>sion</w:t>
      </w:r>
      <w:r w:rsidR="00A302B4" w:rsidRPr="00E47A42">
        <w:rPr>
          <w:rFonts w:ascii="Book Antiqua" w:hAnsi="Book Antiqua" w:cs="Times New Roman"/>
          <w:sz w:val="24"/>
          <w:szCs w:val="24"/>
          <w:lang w:val="en-US"/>
        </w:rPr>
        <w:t xml:space="preserve">, the remaining </w:t>
      </w:r>
      <w:r w:rsidR="003519B4" w:rsidRPr="00E47A42">
        <w:rPr>
          <w:rFonts w:ascii="Book Antiqua" w:hAnsi="Book Antiqua" w:cs="Times New Roman"/>
          <w:sz w:val="24"/>
          <w:szCs w:val="24"/>
          <w:lang w:val="en-US"/>
        </w:rPr>
        <w:t xml:space="preserve">extensive </w:t>
      </w:r>
      <w:r w:rsidR="00A302B4" w:rsidRPr="00E47A42">
        <w:rPr>
          <w:rFonts w:ascii="Book Antiqua" w:hAnsi="Book Antiqua" w:cs="Times New Roman"/>
          <w:sz w:val="24"/>
          <w:szCs w:val="24"/>
          <w:lang w:val="en-US"/>
        </w:rPr>
        <w:t xml:space="preserve">pathology in the L-NAME+L-arginine animals (both in early and final terms) means that </w:t>
      </w:r>
      <w:r w:rsidR="00AC29F3" w:rsidRPr="00E47A42">
        <w:rPr>
          <w:rFonts w:ascii="Book Antiqua" w:hAnsi="Book Antiqua" w:cs="Times New Roman"/>
          <w:sz w:val="24"/>
          <w:szCs w:val="24"/>
          <w:lang w:val="en-US"/>
        </w:rPr>
        <w:t>other systems</w:t>
      </w:r>
      <w:r w:rsidR="00A302B4" w:rsidRPr="00E47A42">
        <w:rPr>
          <w:rFonts w:ascii="Book Antiqua" w:hAnsi="Book Antiqua" w:cs="Times New Roman"/>
          <w:sz w:val="24"/>
          <w:szCs w:val="24"/>
          <w:lang w:val="en-US"/>
        </w:rPr>
        <w:t xml:space="preserve"> (</w:t>
      </w:r>
      <w:r w:rsidR="00A302B4" w:rsidRPr="00E47A42">
        <w:rPr>
          <w:rFonts w:ascii="Book Antiqua" w:hAnsi="Book Antiqua" w:cs="Times New Roman"/>
          <w:i/>
          <w:sz w:val="24"/>
          <w:szCs w:val="24"/>
          <w:lang w:val="en-US"/>
        </w:rPr>
        <w:t>i.e</w:t>
      </w:r>
      <w:r w:rsidR="00A302B4" w:rsidRPr="00E47A42">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the </w:t>
      </w:r>
      <w:r w:rsidR="00A302B4" w:rsidRPr="00E47A42">
        <w:rPr>
          <w:rFonts w:ascii="Book Antiqua" w:hAnsi="Book Antiqua" w:cs="Times New Roman"/>
          <w:sz w:val="24"/>
          <w:szCs w:val="24"/>
          <w:lang w:val="en-US"/>
        </w:rPr>
        <w:t>BPC 157</w:t>
      </w:r>
      <w:r w:rsidR="003519B4"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system) may function along with the NO system (previously supposed to be immobilized by the mutual actions of combined L-NAME and L-arginine)</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A75220" w:rsidRPr="00E47A42">
        <w:rPr>
          <w:rFonts w:ascii="Book Antiqua" w:hAnsi="Book Antiqua" w:cs="Times New Roman"/>
          <w:sz w:val="24"/>
          <w:szCs w:val="24"/>
          <w:lang w:val="en-US"/>
        </w:rPr>
        <w:fldChar w:fldCharType="end"/>
      </w:r>
      <w:r w:rsidR="002E0052"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In the case of </w:t>
      </w:r>
      <w:r w:rsidRPr="00E47A42">
        <w:rPr>
          <w:rFonts w:ascii="Book Antiqua" w:hAnsi="Book Antiqua" w:cs="Times New Roman"/>
          <w:sz w:val="24"/>
          <w:szCs w:val="24"/>
          <w:lang w:val="en-US"/>
        </w:rPr>
        <w:t xml:space="preserve">the effectiveness of </w:t>
      </w:r>
      <w:r w:rsidR="00A302B4" w:rsidRPr="00E47A42">
        <w:rPr>
          <w:rFonts w:ascii="Book Antiqua" w:hAnsi="Book Antiqua" w:cs="Times New Roman"/>
          <w:sz w:val="24"/>
          <w:szCs w:val="24"/>
          <w:lang w:val="en-US"/>
        </w:rPr>
        <w:t>BPC 157</w:t>
      </w:r>
      <w:r w:rsidR="003519B4" w:rsidRPr="00E47A42">
        <w:rPr>
          <w:rFonts w:ascii="Book Antiqua" w:hAnsi="Book Antiqua" w:cs="Times New Roman"/>
          <w:sz w:val="24"/>
          <w:szCs w:val="24"/>
          <w:lang w:val="en-US"/>
        </w:rPr>
        <w:t>,</w:t>
      </w:r>
      <w:r w:rsidR="00A302B4" w:rsidRPr="00E47A42">
        <w:rPr>
          <w:rFonts w:ascii="Book Antiqua" w:hAnsi="Book Antiqua" w:cs="Times New Roman"/>
          <w:sz w:val="24"/>
          <w:szCs w:val="24"/>
          <w:lang w:val="en-US"/>
        </w:rPr>
        <w:t xml:space="preserve"> </w:t>
      </w:r>
      <w:r w:rsidR="003519B4" w:rsidRPr="00E47A42">
        <w:rPr>
          <w:rFonts w:ascii="Book Antiqua" w:hAnsi="Book Antiqua" w:cs="Times New Roman"/>
          <w:sz w:val="24"/>
          <w:szCs w:val="24"/>
          <w:lang w:val="en-US"/>
        </w:rPr>
        <w:t>the</w:t>
      </w:r>
      <w:r w:rsidR="00A302B4" w:rsidRPr="00E47A42">
        <w:rPr>
          <w:rFonts w:ascii="Book Antiqua" w:hAnsi="Book Antiqua" w:cs="Times New Roman"/>
          <w:sz w:val="24"/>
          <w:szCs w:val="24"/>
          <w:lang w:val="en-US"/>
        </w:rPr>
        <w:t xml:space="preserve"> normalized MDA values and NO levels (always with progressive vessel presentation,</w:t>
      </w:r>
      <w:r w:rsidR="00496E79" w:rsidRPr="00E47A42">
        <w:rPr>
          <w:rFonts w:ascii="Book Antiqua" w:hAnsi="Book Antiqua" w:cs="Times New Roman"/>
          <w:sz w:val="24"/>
          <w:szCs w:val="24"/>
          <w:lang w:val="en-US"/>
        </w:rPr>
        <w:t xml:space="preserve"> a</w:t>
      </w:r>
      <w:r w:rsidR="00A302B4" w:rsidRPr="00E47A42">
        <w:rPr>
          <w:rFonts w:ascii="Book Antiqua" w:hAnsi="Book Antiqua" w:cs="Times New Roman"/>
          <w:sz w:val="24"/>
          <w:szCs w:val="24"/>
          <w:lang w:val="en-US"/>
        </w:rPr>
        <w:t xml:space="preserve"> shortened bleeding time, </w:t>
      </w:r>
      <w:r w:rsidR="004F7356" w:rsidRPr="00E47A42">
        <w:rPr>
          <w:rFonts w:ascii="Book Antiqua" w:hAnsi="Book Antiqua" w:cs="Times New Roman"/>
          <w:sz w:val="24"/>
          <w:szCs w:val="24"/>
          <w:lang w:val="en-US"/>
        </w:rPr>
        <w:t xml:space="preserve">closure of </w:t>
      </w:r>
      <w:r w:rsidR="00A302B4" w:rsidRPr="00E47A42">
        <w:rPr>
          <w:rFonts w:ascii="Book Antiqua" w:hAnsi="Book Antiqua" w:cs="Times New Roman"/>
          <w:sz w:val="24"/>
          <w:szCs w:val="24"/>
          <w:lang w:val="en-US"/>
        </w:rPr>
        <w:t xml:space="preserve">the defect </w:t>
      </w:r>
      <w:r w:rsidR="004F7356" w:rsidRPr="00E47A42">
        <w:rPr>
          <w:rFonts w:ascii="Book Antiqua" w:hAnsi="Book Antiqua" w:cs="Times New Roman"/>
          <w:sz w:val="24"/>
          <w:szCs w:val="24"/>
          <w:lang w:val="en-US"/>
        </w:rPr>
        <w:t>,</w:t>
      </w:r>
      <w:r w:rsidR="00496E79"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surface epithelium </w:t>
      </w:r>
      <w:r w:rsidR="004F7356" w:rsidRPr="00E47A42">
        <w:rPr>
          <w:rFonts w:ascii="Book Antiqua" w:hAnsi="Book Antiqua" w:cs="Times New Roman"/>
          <w:sz w:val="24"/>
          <w:szCs w:val="24"/>
          <w:lang w:val="en-US"/>
        </w:rPr>
        <w:t>migration</w:t>
      </w:r>
      <w:r w:rsidR="00A302B4" w:rsidRPr="00E47A42">
        <w:rPr>
          <w:rFonts w:ascii="Book Antiqua" w:hAnsi="Book Antiqua" w:cs="Times New Roman"/>
          <w:sz w:val="24"/>
          <w:szCs w:val="24"/>
          <w:lang w:val="en-US"/>
        </w:rPr>
        <w:t xml:space="preserve"> over the defect and fewer adhesions) </w:t>
      </w:r>
      <w:r w:rsidR="00496E79" w:rsidRPr="00E47A42">
        <w:rPr>
          <w:rFonts w:ascii="Book Antiqua" w:hAnsi="Book Antiqua" w:cs="Times New Roman"/>
          <w:sz w:val="24"/>
          <w:szCs w:val="24"/>
          <w:lang w:val="en-US"/>
        </w:rPr>
        <w:lastRenderedPageBreak/>
        <w:t>indicat</w:t>
      </w:r>
      <w:r w:rsidR="003519B4" w:rsidRPr="00E47A42">
        <w:rPr>
          <w:rFonts w:ascii="Book Antiqua" w:hAnsi="Book Antiqua" w:cs="Times New Roman"/>
          <w:sz w:val="24"/>
          <w:szCs w:val="24"/>
          <w:lang w:val="en-US"/>
        </w:rPr>
        <w:t>ed</w:t>
      </w:r>
      <w:r w:rsidR="00A302B4" w:rsidRPr="00E47A42">
        <w:rPr>
          <w:rFonts w:ascii="Book Antiqua" w:hAnsi="Book Antiqua" w:cs="Times New Roman"/>
          <w:sz w:val="24"/>
          <w:szCs w:val="24"/>
          <w:lang w:val="en-US"/>
        </w:rPr>
        <w:t xml:space="preserve"> effectiveness over the background of the NO-system, </w:t>
      </w:r>
      <w:r w:rsidR="004F7356" w:rsidRPr="00E47A42">
        <w:rPr>
          <w:rFonts w:ascii="Book Antiqua" w:hAnsi="Book Antiqua" w:cs="Times New Roman"/>
          <w:sz w:val="24"/>
          <w:szCs w:val="24"/>
          <w:lang w:val="en-US"/>
        </w:rPr>
        <w:t xml:space="preserve">whether </w:t>
      </w:r>
      <w:r w:rsidR="00A302B4" w:rsidRPr="00E47A42">
        <w:rPr>
          <w:rFonts w:ascii="Book Antiqua" w:hAnsi="Book Antiqua" w:cs="Times New Roman"/>
          <w:sz w:val="24"/>
          <w:szCs w:val="24"/>
          <w:lang w:val="en-US"/>
        </w:rPr>
        <w:t>immobil</w:t>
      </w:r>
      <w:r w:rsidR="004F7356" w:rsidRPr="00E47A42">
        <w:rPr>
          <w:rFonts w:ascii="Book Antiqua" w:hAnsi="Book Antiqua" w:cs="Times New Roman"/>
          <w:sz w:val="24"/>
          <w:szCs w:val="24"/>
          <w:lang w:val="en-US"/>
        </w:rPr>
        <w:t>ized (L-NAME</w:t>
      </w:r>
      <w:r w:rsidR="00603BC0">
        <w:rPr>
          <w:rFonts w:ascii="Book Antiqua" w:hAnsi="Book Antiqua" w:cs="Times New Roman" w:hint="eastAsia"/>
          <w:sz w:val="24"/>
          <w:szCs w:val="24"/>
          <w:lang w:val="en-US" w:eastAsia="zh-CN"/>
        </w:rPr>
        <w:t xml:space="preserve"> </w:t>
      </w:r>
      <w:r w:rsidR="004F7356" w:rsidRPr="00E47A42">
        <w:rPr>
          <w:rFonts w:ascii="Book Antiqua" w:hAnsi="Book Antiqua" w:cs="Times New Roman"/>
          <w:sz w:val="24"/>
          <w:szCs w:val="24"/>
          <w:lang w:val="en-US"/>
        </w:rPr>
        <w:t>+</w:t>
      </w:r>
      <w:r w:rsidR="00603BC0">
        <w:rPr>
          <w:rFonts w:ascii="Book Antiqua" w:hAnsi="Book Antiqua" w:cs="Times New Roman" w:hint="eastAsia"/>
          <w:sz w:val="24"/>
          <w:szCs w:val="24"/>
          <w:lang w:val="en-US" w:eastAsia="zh-CN"/>
        </w:rPr>
        <w:t xml:space="preserve"> </w:t>
      </w:r>
      <w:r w:rsidR="004F7356" w:rsidRPr="00E47A42">
        <w:rPr>
          <w:rFonts w:ascii="Book Antiqua" w:hAnsi="Book Antiqua" w:cs="Times New Roman"/>
          <w:sz w:val="24"/>
          <w:szCs w:val="24"/>
          <w:lang w:val="en-US"/>
        </w:rPr>
        <w:t>L-arginine), over</w:t>
      </w:r>
      <w:r w:rsidR="00A302B4" w:rsidRPr="00E47A42">
        <w:rPr>
          <w:rFonts w:ascii="Book Antiqua" w:hAnsi="Book Antiqua" w:cs="Times New Roman"/>
          <w:sz w:val="24"/>
          <w:szCs w:val="24"/>
          <w:lang w:val="en-US"/>
        </w:rPr>
        <w:t>stimulated (L-arginine) or blocked (L-NAME)</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A75220"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Thus, BPC 157 could consolidate the NO system’s stimulating and inhibiting effects toward more effective</w:t>
      </w:r>
      <w:r w:rsidR="004F7356" w:rsidRPr="00E47A42">
        <w:rPr>
          <w:rFonts w:ascii="Book Antiqua" w:hAnsi="Book Antiqua" w:cs="Times New Roman"/>
          <w:sz w:val="24"/>
          <w:szCs w:val="24"/>
          <w:lang w:val="en-US"/>
        </w:rPr>
        <w:t xml:space="preserve"> healing</w:t>
      </w:r>
      <w:r w:rsidR="00A302B4" w:rsidRPr="00E47A42">
        <w:rPr>
          <w:rFonts w:ascii="Book Antiqua" w:hAnsi="Book Antiqua" w:cs="Times New Roman"/>
          <w:sz w:val="24"/>
          <w:szCs w:val="24"/>
          <w:lang w:val="en-US"/>
        </w:rPr>
        <w:t xml:space="preserve"> (</w:t>
      </w:r>
      <w:r w:rsidR="00A302B4" w:rsidRPr="00E47A42">
        <w:rPr>
          <w:rFonts w:ascii="Book Antiqua" w:hAnsi="Book Antiqua" w:cs="Times New Roman"/>
          <w:i/>
          <w:iCs/>
          <w:sz w:val="24"/>
          <w:szCs w:val="24"/>
          <w:lang w:val="en-US"/>
        </w:rPr>
        <w:t>i.e.</w:t>
      </w:r>
      <w:r w:rsidR="00A302B4" w:rsidRPr="00E47A42">
        <w:rPr>
          <w:rFonts w:ascii="Book Antiqua" w:hAnsi="Book Antiqua" w:cs="Times New Roman"/>
          <w:sz w:val="24"/>
          <w:szCs w:val="24"/>
          <w:lang w:val="en-US"/>
        </w:rPr>
        <w:t xml:space="preserve">, </w:t>
      </w:r>
      <w:r w:rsidR="004F7356" w:rsidRPr="00E47A42">
        <w:rPr>
          <w:rFonts w:ascii="Book Antiqua" w:hAnsi="Book Antiqua" w:cs="Times New Roman"/>
          <w:sz w:val="24"/>
          <w:szCs w:val="24"/>
          <w:lang w:val="en-US"/>
        </w:rPr>
        <w:t>revascularization</w:t>
      </w:r>
      <w:r w:rsidR="00A302B4" w:rsidRPr="00E47A42">
        <w:rPr>
          <w:rFonts w:ascii="Book Antiqua" w:hAnsi="Book Antiqua" w:cs="Times New Roman"/>
          <w:sz w:val="24"/>
          <w:szCs w:val="24"/>
          <w:lang w:val="en-US"/>
        </w:rPr>
        <w:t xml:space="preserve"> (vessel “running” toward the defect</w:t>
      </w:r>
      <w:r w:rsidR="006670EC" w:rsidRPr="00E47A42">
        <w:rPr>
          <w:rFonts w:ascii="Book Antiqua" w:hAnsi="Book Antiqua" w:cs="Times New Roman"/>
          <w:sz w:val="24"/>
          <w:szCs w:val="24"/>
          <w:lang w:val="en-US"/>
        </w:rPr>
        <w:t xml:space="preserve"> and</w:t>
      </w:r>
      <w:r w:rsidR="00A302B4" w:rsidRPr="00E47A42">
        <w:rPr>
          <w:rFonts w:ascii="Book Antiqua" w:hAnsi="Book Antiqua" w:cs="Times New Roman"/>
          <w:sz w:val="24"/>
          <w:szCs w:val="24"/>
          <w:lang w:val="en-US"/>
        </w:rPr>
        <w:t xml:space="preserve"> small vessel network aroun</w:t>
      </w:r>
      <w:r w:rsidR="004F7356" w:rsidRPr="00E47A42">
        <w:rPr>
          <w:rFonts w:ascii="Book Antiqua" w:hAnsi="Book Antiqua" w:cs="Times New Roman"/>
          <w:sz w:val="24"/>
          <w:szCs w:val="24"/>
          <w:lang w:val="en-US"/>
        </w:rPr>
        <w:t>d the perforated defect) appearing</w:t>
      </w:r>
      <w:r w:rsidR="00A302B4" w:rsidRPr="00E47A42">
        <w:rPr>
          <w:rFonts w:ascii="Book Antiqua" w:hAnsi="Book Antiqua" w:cs="Times New Roman"/>
          <w:sz w:val="24"/>
          <w:szCs w:val="24"/>
          <w:lang w:val="en-US"/>
        </w:rPr>
        <w:t xml:space="preserve"> with BPC 157 bath administration)</w:t>
      </w:r>
      <w:r w:rsidR="00A75220"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A75220"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A75220"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 Furthermore, this additional rapid cytoprotective vascular recovery and presentation leads to a consequent strong angiogenic effect in subsequent days</w:t>
      </w:r>
      <w:r w:rsidR="00424272"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{"citationItems":[{"id":"ITEM-1","itemData":{"DOI":"10.2174/13816128113199990421","ISBN":"1873-4286 (Electronic)\\r1381-6128 (Linking)","ISSN":"1873-4286","PMID":"23782145","abstract":"This review focuses on the described effects of BPC 157 on blood vessels after different types of damage, and elucidate by investigating different aspects of vascular response to injury (endothelium damage, clotting, thrombosis, vasoconstriction, vasodilatation, vasculoneogenesis and edema formation) especially in connection to the healing processes. In this respect, BPC 157 was concluded to be the most potent angiomodulatory agent, acting through different vasoactive pathways and systems (e.g. NO, VEGF, FAK) and leading to optimization of the vascular response followed, as it has to be expected, by optimization of the healing process. Formation of new blood vessels involves two main, partly overlapping mechanisms, angiogenesis and vasculogenesis. The additional mechanism of arteriogenesis is involved in the formation of collaterals. In conjunction with blood vessel function, we at least have to consider leakage of fluid/proteins/plasma, resulting in edema/exudate formation as well as thrombogenesis. Blood vessels are also strongly involved in tumor biology. In this aspect, we have neoangiogenesis resulting in pathological vascularization, vascular invasion resulting in release of metastatic cells and the phenomenon of homing resulting in formation of secondary tumors--metastases.","author":[{"dropping-particle":"","family":"Seiwerth","given":"Sven","non-dropping-particle":"","parse-names":false,"suffix":""},{"dropping-particle":"","family":"Brcic","given":"Luka","non-dropping-particle":"","parse-names":false,"suffix":""},{"dropping-particle":"","family":"Vuletic","given":"Lovorka Batelja","non-dropping-particle":"","parse-names":false,"suffix":""},{"dropping-particle":"","family":"Kolenc","given":"Danijela","non-dropping-particle":"","parse-names":false,"suffix":""},{"dropping-particle":"","family":"Aralica","given":"Gorana","non-dropping-particle":"","parse-names":false,"suffix":""},{"dropping-particle":"","family":"Misic","given":"Marija","non-dropping-particle":"","parse-names":false,"suffix":""},{"dropping-particle":"","family":"Zenko","given":"Anita","non-dropping-particle":"","parse-names":false,"suffix":""},{"dropping-particle":"","family":"Drmic","given":"Domagoj","non-dropping-particle":"","parse-names":false,"suffix":""},{"dropping-particle":"","family":"Rucman","given":"Rudolf","non-dropping-particle":"","parse-names":false,"suffix":""},{"dropping-particle":"","family":"Sikiric","given":"Predrag","non-dropping-particle":"","parse-names":false,"suffix":""}],"container-title":"Current pharmaceutical design","id":"ITEM-1","issue":"7","issued":{"date-parts":[["2014"]]},"page":"1121-5","title":"BPC 157 and blood vessels.","type":"article-journal","volume":"20"},"uris":["http://www.mendeley.com/documents/?uuid=58f78828-3983-4cbc-86f3-3b54e9721a52"]},{"id":"ITEM-2","itemData":{"DOI":"10.1007/s10787-006-1531-7","ISSN":"0925-4692","PMID":"17186181","abstract":"Gastric pentadecapeptide BPC 157 (GEPPPGKPADDAGLV, M.W. 1419, safe in clinical trials for inflammatory bowel disease (PL 10, PLD 116, PLD 14736, Pliva, Croatia)) has a particular cytoprotective/adaptive cytoprotective activity. The cytoprotective/adaptive cytoprotection researches largely neglect that stomach distension could per se jeopardize the mucosal integrity, with constantly stretched mucosa and blood vessels, and sphincters more prone for reflux induction. After absolute alcohol instillation in fully distended rat stomach, gastric, esophageal and duodenal lesions occur. Throughout next 3 min, left gastric artery blood vessels clearly disappear at the serosal site, indicative for loss of vessels both integrity and function. Contrary, constant vessels presentation could predict the beneficial effect of applied agent. After pentadecapeptide BPC 157 instillation into the stomach the vessels presentation remains constant, and lesions of stomach, esophagus, and duodenum are inhibited. Standards (atropine, ranitidine, omeprazole) could only slightly improve the vessels presentation compared to control values, and they have only a partial effect on the lesions. In this review we emphasize BPC 157 unusual stability, and some of its important effects: effectiveness against various lesions in gastrointestinal tract, on nitric oxide (NO)-system, and NO-agents effects, on somatosensory neurons, salivary glands function, recovery of AMP-ADP-ATP system, endothelium protection, effect on endothelin, and on angiogenesis promotion. It also antagonizes other alcohol effects, including acute and chronic intoxication. Given peripherally, it counteracts the consequence of central dopamine system disturbances (receptor blockade), and induces serotonin release in substantia nigra. Therapeutic potential of BPC 157 as a cytoprotective agent is also seen in its capability to heal various wounds. Given directly into the stomach, BPC 157 instantly recovers disturbed lower esophageal and pyloric sphincter pressure in rats after 12-20 months of untreated esophagitis. All these could be suggestive for its role as a natural protectant in gastric juice with particular function throughout stomach distension.","author":[{"dropping-particle":"","family":"Sikiric","given":"P","non-dropping-particle":"","parse-names":false,"suffix":""},{"dropping-particle":"","family":"Seiwerth","given":"S","non-dropping-particle":"","parse-names":false,"suffix":""},{"dropping-particle":"","family":"Brcic","given":"L","non-dropping-particle":"","parse-names":false,"suffix":""},{"dropping-particle":"","family":"Blagaic","given":"A B","non-dropping-particle":"","parse-names":false,"suffix":""},{"dropping-particle":"","family":"Zoricic","given":"I","non-dropping-particle":"","parse-names":false,"suffix":""},{"dropping-particle":"","family":"Sever","given":"M","non-dropping-particle":"","parse-names":false,"suffix":""},{"dropping-particle":"","family":"Klicek","given":"R","non-dropping-particle":"","parse-names":false,"suffix":""},{"dropping-particle":"","family":"Radic","given":"B","non-dropping-particle":"","parse-names":false,"suffix":""},{"dropping-particle":"","family":"Keller","given":"N","non-dropping-particle":"","parse-names":false,"suffix":""},{"dropping-particle":"","family":"Sipos","given":"K","non-dropping-particle":"","parse-names":false,"suffix":""},{"dropping-particle":"","family":"Jakir","given":"A","non-dropping-particle":"","parse-names":false,"suffix":""},{"dropping-particle":"","family":"Udovicic","given":"M","non-dropping-particle":"","parse-names":false,"suffix":""},{"dropping-particle":"","family":"Tonkic","given":"A","non-dropping-particle":"","parse-names":false,"suffix":""},{"dropping-particle":"","family":"Kokic","given":"N","non-dropping-particle":"","parse-names":false,"suffix":""},{"dropping-particle":"","family":"Turkovic","given":"B","non-dropping-particle":"","parse-names":false,"suffix":""},{"dropping-particle":"","family":"Mise","given":"S","non-dropping-particle":"","parse-names":false,"suffix":""},{"dropping-particle":"","family":"Anic","given":"T","non-dropping-particle":"","parse-names":false,"suffix":""}],"container-title":"Inflammopharmacology","id":"ITEM-2","issue":"5-6","issued":{"date-parts":[["2006","12"]]},"page":"214-21","title":"Stable gastric pentadecapeptide BPC 157 in trials for inflammatory bowel disease (PL-10, PLD-116, PL 14736, Pliva, Croatia). Full and distended stomach, and vascular response.","type":"article-journal","volume":"14"},"uris":["http://www.mendeley.com/documents/?uuid=42aef3b5-c994-4583-beee-f11cd4b7859a"]},{"id":"ITEM-3","itemData":{"DOI":"10.1152/japplphysiol.00945.2010","ISSN":"1522-1601","PMID":"21030672","abstract":"Pentadecapeptide BPC 157, composed of 15 amino acids, is a partial sequence of body protection compound (BPC) that is discovered in and isolated from human gastric juice. Experimentally it has been demonstrated to accelerate the healing of many different wounds, including transected rat Achilles tendon. This study was designed to investigate the potential mechanism of BPC 157 to enhance healing of injured tendon. The outgrowth of tendon fibroblasts from tendon explants cultured with or without BPC 157 was examined. Results showed that BPC 157 significantly accelerated the outgrowth of tendon explants. Cell proliferation of cultured tendon fibroblasts derived from rat Achilles tendon was not directly affected by BPC 157 as evaluated by MTT assay. However, the survival of BPC 157-treated cells was significantly increased under the H(2)O(2) stress. BPC 157 markedly increased the in vitro migration of tendon fibroblasts in a dose-dependent manner as revealed by transwell filter migration assay. BPC 157 also dose dependently accelerated the spreading of tendon fibroblasts on culture dishes. The F-actin formation as detected by FITC-phalloidin staining was induced in BPC 157-treated fibroblasts. The protein expression and activation of FAK and paxillin were determined by Western blot analysis, and the phosphorylation levels of both FAK and paxillin were dose dependently increased by BPC 157 while the total amounts of protein was unaltered. In conclusion, BPC 157 promotes the ex vivo outgrowth of tendon fibroblasts from tendon explants, cell survival under stress, and the in vitro migration of tendon fibroblasts, which is likely mediated by the activation of the FAK-paxillin pathway.","author":[{"dropping-particle":"","family":"Chang","given":"Chung-Hsun","non-dropping-particle":"","parse-names":false,"suffix":""},{"dropping-particle":"","family":"Tsai","given":"Wen-Chung","non-dropping-particle":"","parse-names":false,"suffix":""},{"dropping-particle":"","family":"Lin","given":"Miao-Sui","non-dropping-particle":"","parse-names":false,"suffix":""},{"dropping-particle":"","family":"Hsu","given":"Ya-Hui","non-dropping-particle":"","parse-names":false,"suffix":""},{"dropping-particle":"","family":"Pang","given":"Jong-Hwei Su","non-dropping-particle":"","parse-names":false,"suffix":""}],"container-title":"Journal of applied physiology (Bethesda, Md. : 1985)","id":"ITEM-3","issue":"3","issued":{"date-parts":[["2011","3"]]},"page":"774-80","title":"The promoting effect of pentadecapeptide BPC 157 on tendon healing involves tendon outgrowth, cell survival, and cell migration.","type":"article-journal","volume":"110"},"uris":["http://www.mendeley.com/documents/?uuid=6729f5a4-ea79-4adb-aac1-570591ef479a"]},{"id":"ITEM-4","itemData":{"DOI":"10.3390/molecules191119066","ISSN":"1420-3049","PMID":"25415472","abstract":"BPC 157, a pentadecapeptide derived from human gastric juice, has been demonstrated to promote the healing of different tissues, including skin, muscle, bone, ligament and tendon in many animal studies. However, the underlying mechanism has not been fully clarified. The present study aimed to explore the effect of BPC 157 on tendon fibroblasts isolated from Achilles tendon of male Sprague-Dawley rat. From the result of cDNA microarray analysis, growth hormone receptor was revealed as one of the most abundantly up-regulated genes in tendon fibroblasts by BPC 157. BPC 157 dose- and time-dependently increased the expression of growth hormone receptor in tendon fibroblasts at both the mRNA and protein levels as measured by RT/real-time PCR and Western blot, respectively. The addition of growth hormone to BPC 157-treated tendon fibroblasts dose- and time-dependently increased the cell proliferation as determined by MTT assay and PCNA expression by RT/real-time PCR. Janus kinase 2, the downstream signal pathway of growth hormone receptor, was activated time-dependently by stimulating the BPC 157-treated tendon fibroblasts with growth hormone. In conclusion, the BPC 157-induced increase of growth hormone receptor in tendon fibroblasts may potentiate the proliferation-promoting effect of growth hormone and contribute to the healing of tendon.","author":[{"dropping-particle":"","family":"Chang","given":"Chung-Hsun","non-dropping-particle":"","parse-names":false,"suffix":""},{"dropping-particle":"","family":"Tsai","given":"Wen-Chung","non-dropping-particle":"","parse-names":false,"suffix":""},{"dropping-particle":"","family":"Hsu","given":"Ya-Hui","non-dropping-particle":"","parse-names":false,"suffix":""},{"dropping-particle":"","family":"Pang","given":"Jong-Hwei Su","non-dropping-particle":"","parse-names":false,"suffix":""}],"container-title":"Molecules (Basel, Switzerland)","id":"ITEM-4","issue":"11","issued":{"date-parts":[["2014","11","19"]]},"page":"19066-77","title":"Pentadecapeptide BPC 157 enhances the growth hormone receptor expression in tendon fibroblasts.","type":"article-journal","volume":"19"},"uris":["http://www.mendeley.com/documents/?uuid=f3f7100e-ea85-4e6c-a171-398e2a6cd3e4"]},{"id":"ITEM-5","itemData":{"DOI":"10.1007/s00109-016-1488-y","ISSN":"0946-2716","author":[{"dropping-particle":"","family":"Hsieh","given":"Ming-Jer","non-dropping-particle":"","parse-names":false,"suffix":""},{"dropping-particle":"","family":"Liu","given":"Hsien-Ta","non-dropping-particle":"","parse-names":false,"suffix":""},{"dropping-particle":"","family":"Wang","given":"Chao-Nin","non-dropping-particle":"","parse-names":false,"suffix":""},{"dropping-particle":"","family":"Huang","given":"Hsiu-Yun","non-dropping-particle":"","parse-names":false,"suffix":""},{"dropping-particle":"","family":"Lin","given":"Yuling","non-dropping-particle":"","parse-names":false,"suffix":""},{"dropping-particle":"","family":"Ko","given":"Yu-Shien","non-dropping-particle":"","parse-names":false,"suffix":""},{"dropping-particle":"","family":"Wang","given":"Jong-Shyan","non-dropping-particle":"","parse-names":false,"suffix":""},{"dropping-particle":"","family":"Chang","given":"Vincent Hung-Shu","non-dropping-particle":"","parse-names":false,"suffix":""},{"dropping-particle":"","family":"Pang","given":"Jong-Hwei S.","non-dropping-particle":"","parse-names":false,"suffix":""}],"container-title":"Journal of Molecular Medicine","id":"ITEM-5","issue":"3","issued":{"date-parts":[["2017","3","15"]]},"page":"323-333","title":"Therapeutic potential of pro-angiogenic BPC157 is associated with VEGFR2 activation and up-regulation","type":"article-journal","volume":"95"},"uris":["http://www.mendeley.com/documents/?uuid=d0162b37-24df-4fed-8888-a128d80ca9cc"]},{"id":"ITEM-6","itemData":{"DOI":"10.2147/DDDT.S82030","ISBN":"1177-8881 (Electronic)\\r1177-8881 (Linking)","ISSN":"11778881","PMID":"25995620","abstract":"Chemical burns take up a high proportion of burns admissions and can penetrate deep into tissues. Various reagents have been applied in the treatment of skin chemical burns; however, no optimal reagent for skin chemical burns currently exists. The present study investigated the effect of topical body protective compound (BPC)-157 treatment on skin wound healing, using an alkali burn rat model. Topical treatment with BPC-157 was shown to accelerate wound closure following an alkali burn. Histological examination of skin sections with hematoxylin–eosin and Masson staining showed better granulation tissue formation, reepithelialization, dermal remodeling, and a higher extent of collagen deposition when compared to the model control group on the 18th day postwounding. BPC-157 could promote vascular endothelial growth factor expression in wounded skin tissues. Furthermore, 3-(4,5-dimethylthiazol-2-yl)-2,5-diphenyltetrazolium bromide and cell cycle analysis demonstrated that BPC-157 enhanced the proliferation of human umbilical vein endothelial cells (HUVECs). Transwell assay and wound healing assay showed that BPC-157 significantly promoted migration of HUVECs. We also observed that BPC-157 upregulated the expression of VEGF-a and accelerated vascular tube formation in vitro. Moreover, further studies suggested that BPC-157 regulated the phosphorylation level of extracellular signal-regulated kinases 1 and 2 (ERK1/2) as well as its downstream targets, including c-Fos, c-Jun, and Egr-1, which are key molecules involved in cell growth, migration, and angiogenesis. Altogether, our results indicated that BPC-157 treatment may accelerate wound healing in a model of alkali burn-induced skin injury. The therapeutic mechanism may be associated with accelerated granulation tissue formation, reepithelialization, dermal remodeling, and collagen deposition through ERK1/2 signaling pathway.","author":[{"dropping-particle":"","family":"Huang","given":"Tonglie","non-dropping-particle":"","parse-names":false,"suffix":""},{"dropping-particle":"","family":"Zhang","given":"Kuo","non-dropping-particle":"","parse-names":false,"suffix":""},{"dropping-particle":"","family":"Sun","given":"Lijuan","non-dropping-particle":"","parse-names":false,"suffix":""},{"dropping-particle":"","family":"Xue","given":"Xiaochang","non-dropping-particle":"","parse-names":false,"suffix":""},{"dropping-particle":"","family":"Zhang","given":"Cun","non-dropping-particle":"","parse-names":false,"suffix":""},{"dropping-particle":"","family":"Shu","given":"Zhen","non-dropping-particle":"","parse-names":false,"suffix":""},{"dropping-particle":"","family":"Mu","given":"Nan","non-dropping-particle":"","parse-names":false,"suffix":""},{"dropping-particle":"","family":"Gu","given":"Jintao","non-dropping-particle":"","parse-names":false,"suffix":""},{"dropping-particle":"","family":"Zhang","given":"Wangqian","non-dropping-particle":"","parse-names":false,"suffix":""},{"dropping-particle":"","family":"Wang","given":"Yukun","non-dropping-particle":"","parse-names":false,"suffix":""},{"dropping-particle":"","family":"Zhang","given":"Yingqi","non-dropping-particle":"","parse-names":false,"suffix":""},{"dropping-particle":"","family":"Zhang","given":"Wei","non-dropping-particle":"","parse-names":false,"suffix":""}],"container-title":"Drug Design, Development and Therapy","id":"ITEM-6","issued":{"date-parts":[["2015"]]},"page":"2485-2499","title":"Body protective compound-157 enhances alkali-burn wound healing in vivo and promotes proliferation, migration, and angiogenesis in vitro","type":"article-journal","volume":"9"},"uris":["http://www.mendeley.com/documents/?uuid=26d2fbb4-3df9-4f39-9e6c-53a37fe7bcce"]},{"id":"ITEM-7","itemData":{"DOI":"10.1016/j.ejphar.2007.05.072","ISSN":"00142999","author":[{"dropping-particle":"","family":"Tkalčević","given":"Vanesa Ivetić","non-dropping-particle":"","parse-names":false,"suffix":""},{"dropping-particle":"","family":"Čužić","given":"Snježana","non-dropping-particle":"","parse-names":false,"suffix":""},{"dropping-particle":"","family":"Brajša","given":"Karmen","non-dropping-particle":"","parse-names":false,"suffix":""},{"dropping-particle":"","family":"Mildner","given":"Boris","non-dropping-particle":"","parse-names":false,"suffix":""},{"dropping-particle":"","family":"Bokulić","given":"Ana","non-dropping-particle":"","parse-names":false,"suffix":""},{"dropping-particle":"","family":"Šitum","given":"Kristina","non-dropping-particle":"","parse-names":false,"suffix":""},{"dropping-particle":"","family":"Perović","given":"Daniela","non-dropping-particle":"","parse-names":false,"suffix":""},{"dropping-particle":"","family":"Glojnarić","given":"Ines","non-dropping-particle":"","parse-names":false,"suffix":""},{"dropping-particle":"","family":"Parnham","given":"Michael J.","non-dropping-particle":"","parse-names":false,"suffix":""}],"container-title":"European Journal of Pharmacology","id":"ITEM-7","issue":"1-3","issued":{"date-parts":[["2007","9"]]},"page":"212-221","title":"Enhancement by PL 14736 of granulation and collagen organization in healing wounds and the potential role of egr-1 expression","type":"article-journal","volume":"570"},"uris":["http://www.mendeley.com/documents/?uuid=d6bef086-cfda-49af-8cf8-b62dc1ddbbd0"]},{"id":"ITEM-8","itemData":{"ISSN":"1899-1505","PMID":"20388964","abstract":"Angiogenesis is a natural and complex process controlled by angiogenic and angiostatic molecules, with a central role in healing process. One of the most important modulating factors in angiogenesis is the vascular endothelial growth factor (VEGF). Pentadecapeptide BPC 157 promotes healing demonstrating particular angiogenic/angiomodulatory potential. We correlated the angiogenic effect of BPC 157 with VEGF expression using in vitro (cell culture) and in vivo (crushed muscle and transected muscle and tendon) models. Results revealed that there is no direct angiogenic effect of BPC 157 on cell cultures. On the other hand, immunohistochemical analysis of muscle and tendon healing using VEGF, CD34 and FVIII antibodies showed adequately modulated angiogenesis in BPC 157 treated animals, resulting in a more adequate healing. Therefore the angiogenic potential of BPC 157 seems to be closely related to the healing process in vivo with BPC 157 stimulating angiogenesis by up-regulating VEGF expression.","author":[{"dropping-particle":"","family":"Brcic","given":"L","non-dropping-particle":"","parse-names":false,"suffix":""},{"dropping-particle":"","family":"Brcic","given":"I","non-dropping-particle":"","parse-names":false,"suffix":""},{"dropping-particle":"","family":"Staresinic","given":"M","non-dropping-particle":"","parse-names":false,"suffix":""},{"dropping-particle":"","family":"Novinscak","given":"T","non-dropping-particle":"","parse-names":false,"suffix":""},{"dropping-particle":"","family":"Sikiric","given":"P","non-dropping-particle":"","parse-names":false,"suffix":""},{"dropping-particle":"","family":"Seiwerth","given":"S","non-dropping-particle":"","parse-names":false,"suffix":""}],"container-title":"Journal of physiology and pharmacology : an official journal of the Polish Physiological Society","id":"ITEM-8","issued":{"date-parts":[["2009","12"]]},"page":"191-6","title":"Modulatory effect of gastric pentadecapeptide BPC 157 on angiogenesis in muscle and tendon healing.","type":"article-journal","volume":"60 Suppl 7"},"uris":["http://www.mendeley.com/documents/?uuid=ff536d43-5510-4cb6-8b5b-f5050078ecb2"]},{"id":"ITEM-9","itemData":{"ISSN":"0928-4257","PMID":"10672992","abstract":"A clear protection of the gastrointestinal tract and an evident anti-inflammatory effect were shown for a novel stomach pentadecapeptide BPC 157 (i.p./i.g.) in comparison with several reference standards in various ulcer models along with a protection of endothelium and particular interaction with the NO-system. Thus, we evaluated whether this pentadecapeptide along with other gastroprotective agents could affect angiogenesis and the healing process in vivo using a procedure initially described by Szabo and co-workers. In each rat, two sterile sponges (1 x 1 x 0.25 cm; V = 0.25 mL) with the same quantities of BPC 157 (10 ng x mL(-1), 10 microg x mL(-1), 50 microg x kg(-1)) or reference agents (cimetidine: 10, 100, 500 mg x mL(-1); ranitidine: 2.5, 25, 250 mg x mL(-1); famotidine: 10, 50, 100 mg x mL(-1); omeprazole: 10, 50, 100 mg x mL(-1); sucralfate: 1, 5, 10 mg x mL(-1) were implanted subcutaneously in the lumbar region. The sponges were removed after 3 or 7 d, fixed in formalin, and processed for histologic and histochemical evaluation and morphometry assessment. Compared with the control values, the number of newly formed endothelial spaces inside newly formed granulation tissue was markedly increased in all animals treated with BPC 157, cimetidine, ranitidine, famotidine, sucralfate and omeprazole, a consistent finding noted after either 3 or 7 d. Compared with control values, markedly more granulation tissue was noted in the rats in the groups of animals treated with BPC 157 (50 microg) and in the rats treated with sucralfate in all dosages used, euthanized after 3 d. In all groups treated with H2-blockers however, similar values to those of controls were noted. Thus, it could be concluded that an evident angiogenic property was consistently noted for the novel pentadecapeptide BPC 157, H2-blockers (cimetidine, famotidine and ranitidine) and omeprazole, besides the well known angiogenic effect of sucralfate. Furthermore, unlike H2-blockers and omeprazole, BPC 157 stimulates the formation of granulation tissue, suggesting a particular activity, similar to that previously noted for sucralfate.","author":[{"dropping-particle":"","family":"Sikiric","given":"P","non-dropping-particle":"","parse-names":false,"suffix":""},{"dropping-particle":"","family":"Separovic","given":"J","non-dropping-particle":"","parse-names":false,"suffix":""},{"dropping-particle":"","family":"Anic","given":"T","non-dropping-particle":"","parse-names":false,"suffix":""},{"dropping-particle":"","family":"Buljat","given":"G","non-dropping-particle":"","parse-names":false,"suffix":""},{"dropping-particle":"","family":"Mikus","given":"D","non-dropping-particle":"","parse-names":false,"suffix":""},{"dropping-particle":"","family":"Seiwerth","given":"S","non-dropping-particle":"","parse-names":false,"suffix":""},{"dropping-particle":"","family":"Grabarevic","given":"Z","non-dropping-particle":"","parse-names":false,"suffix":""},{"dropping-particle":"","family":"Stancic-Rokotov","given":"D","non-dropping-particle":"","parse-names":false,"suffix":""},{"dropping-particle":"","family":"Pigac","given":"B","non-dropping-particle":"","parse-names":false,"suffix":""},{"dropping-particle":"","family":"Hanzevacki","given":"M","non-dropping-particle":"","parse-names":false,"suffix":""},{"dropping-particle":"","family":"Marovic","given":"A","non-dropping-particle":"","parse-names":false,"suffix":""},{"dropping-particle":"","family":"Rucman","given":"R","non-dropping-particle":"","parse-names":false,"suffix":""},{"dropping-particle":"","family":"Petek","given":"M","non-dropping-particle":"","parse-names":false,"suffix":""},{"dropping-particle":"","family":"Zoricic","given":"I","non-dropping-particle":"","parse-names":false,"suffix":""},{"dropping-particle":"","family":"Ziger","given":"T","non-dropping-particle":"","parse-names":false,"suffix":""},{"dropping-particle":"","family":"Aralica","given":"G","non-dropping-particle":"","parse-names":false,"suffix":""},{"dropping-particle":"","family":"Konjevoda","given":"P","non-dropping-particle":"","parse-names":false,"suffix":""},{"dropping-particle":"","family":"Prkacin","given":"I","non-dropping-particle":"","parse-names":false,"suffix":""},{"dropping-particle":"","family":"Gjurasin","given":"M","non-dropping-particle":"","parse-names":false,"suffix":""},{"dropping-particle":"","family":"Miklic","given":"P","non-dropping-particle":"","parse-names":false,"suffix":""},{"dropping-particle":"","family":"Artukovic","given":"B","non-dropping-particle":"","parse-names":false,"suffix":""},{"dropping-particle":"","family":"Tisljar","given":"M","non-dropping-particle":"","parse-names":false,"suffix":""},{"dropping-particle":"","family":"Bratulic","given":"M","non-dropping-particle":"","parse-names":false,"suffix":""},{"dropping-particle":"","family":"Mise","given":"S","non-dropping-particle":"","parse-names":false,"suffix":""},{"dropping-particle":"","family":"Rotkvic","given":"I","non-dropping-particle":"","parse-names":false,"suffix":""}],"container-title":"Journal of physiology, Paris","id":"ITEM-9","issue":"6","issued":{"date-parts":[["1999","12"]]},"page":"479-85","title":"The effect of pentadecapeptide BPC 157, H2-blockers, omeprazole and sucralfate on new vessels and new granulation tissue formation.","type":"article-journal","volume":"93"},"uris":["http://www.mendeley.com/documents/?uuid=af060808-43aa-41af-a53b-192eebb7b799"]}],"mendeley":{"formattedCitation":"&lt;sup&gt;[12,18,23–27,49,50]&lt;/sup&gt;","plainTextFormattedCitation":"[12,18,23–27,49,50]","previouslyFormattedCitation":"&lt;sup&gt;[12,18,23–27,49,50]&lt;/sup&gt;"},"properties":{"noteIndex":0},"schema":"https://github.com/citation-style-language/schema/raw/master/csl-citation.json"}</w:instrText>
      </w:r>
      <w:r w:rsidR="00424272"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[12,18,23–27,49,50]</w:t>
      </w:r>
      <w:r w:rsidR="00424272" w:rsidRPr="00E47A42">
        <w:rPr>
          <w:rFonts w:ascii="Book Antiqua" w:hAnsi="Book Antiqua" w:cs="Times New Roman"/>
          <w:sz w:val="24"/>
          <w:szCs w:val="24"/>
          <w:lang w:val="en-US"/>
        </w:rPr>
        <w:fldChar w:fldCharType="end"/>
      </w:r>
      <w:r w:rsidR="006670EC" w:rsidRPr="00E47A42">
        <w:rPr>
          <w:rFonts w:ascii="Book Antiqua" w:hAnsi="Book Antiqua" w:cs="Times New Roman"/>
          <w:sz w:val="24"/>
          <w:szCs w:val="24"/>
          <w:lang w:val="en-US"/>
        </w:rPr>
        <w:t>,</w:t>
      </w:r>
      <w:r w:rsidR="006546E4" w:rsidRPr="00E47A42">
        <w:rPr>
          <w:rFonts w:ascii="Book Antiqua" w:hAnsi="Book Antiqua" w:cs="Times New Roman"/>
          <w:sz w:val="24"/>
          <w:szCs w:val="24"/>
          <w:lang w:val="en-US"/>
        </w:rPr>
        <w:t xml:space="preserve"> </w:t>
      </w:r>
      <w:r w:rsidR="00381543" w:rsidRPr="00E47A42">
        <w:rPr>
          <w:rFonts w:ascii="Book Antiqua" w:hAnsi="Book Antiqua" w:cs="Times New Roman"/>
          <w:sz w:val="24"/>
          <w:szCs w:val="24"/>
          <w:lang w:val="en-US"/>
        </w:rPr>
        <w:t>more profound than the angiogenesis of standard anti-ulcer agents</w:t>
      </w:r>
      <w:r w:rsidR="00424272"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{"citationItems":[{"id":"ITEM-1","itemData":{"ISSN":"0928-4257","PMID":"10672992","abstract":"A clear protection of the gastrointestinal tract and an evident anti-inflammatory effect were shown for a novel stomach pentadecapeptide BPC 157 (i.p./i.g.) in comparison with several reference standards in various ulcer models along with a protection of endothelium and particular interaction with the NO-system. Thus, we evaluated whether this pentadecapeptide along with other gastroprotective agents could affect angiogenesis and the healing process in vivo using a procedure initially described by Szabo and co-workers. In each rat, two sterile sponges (1 x 1 x 0.25 cm; V = 0.25 mL) with the same quantities of BPC 157 (10 ng x mL(-1), 10 microg x mL(-1), 50 microg x kg(-1)) or reference agents (cimetidine: 10, 100, 500 mg x mL(-1); ranitidine: 2.5, 25, 250 mg x mL(-1); famotidine: 10, 50, 100 mg x mL(-1); omeprazole: 10, 50, 100 mg x mL(-1); sucralfate: 1, 5, 10 mg x mL(-1) were implanted subcutaneously in the lumbar region. The sponges were removed after 3 or 7 d, fixed in formalin, and processed for histologic and histochemical evaluation and morphometry assessment. Compared with the control values, the number of newly formed endothelial spaces inside newly formed granulation tissue was markedly increased in all animals treated with BPC 157, cimetidine, ranitidine, famotidine, sucralfate and omeprazole, a consistent finding noted after either 3 or 7 d. Compared with control values, markedly more granulation tissue was noted in the rats in the groups of animals treated with BPC 157 (50 microg) and in the rats treated with sucralfate in all dosages used, euthanized after 3 d. In all groups treated with H2-blockers however, similar values to those of controls were noted. Thus, it could be concluded that an evident angiogenic property was consistently noted for the novel pentadecapeptide BPC 157, H2-blockers (cimetidine, famotidine and ranitidine) and omeprazole, besides the well known angiogenic effect of sucralfate. Furthermore, unlike H2-blockers and omeprazole, BPC 157 stimulates the formation of granulation tissue, suggesting a particular activity, similar to that previously noted for sucralfate.","author":[{"dropping-particle":"","family":"Sikiric","given":"P","non-dropping-particle":"","parse-names":false,"suffix":""},{"dropping-particle":"","family":"Separovic","given":"J","non-dropping-particle":"","parse-names":false,"suffix":""},{"dropping-particle":"","family":"Anic","given":"T","non-dropping-particle":"","parse-names":false,"suffix":""},{"dropping-particle":"","family":"Buljat","given":"G","non-dropping-particle":"","parse-names":false,"suffix":""},{"dropping-particle":"","family":"Mikus","given":"D","non-dropping-particle":"","parse-names":false,"suffix":""},{"dropping-particle":"","family":"Seiwerth","given":"S","non-dropping-particle":"","parse-names":false,"suffix":""},{"dropping-particle":"","family":"Grabarevic","given":"Z","non-dropping-particle":"","parse-names":false,"suffix":""},{"dropping-particle":"","family":"Stancic-Rokotov","given":"D","non-dropping-particle":"","parse-names":false,"suffix":""},{"dropping-particle":"","family":"Pigac","given":"B","non-dropping-particle":"","parse-names":false,"suffix":""},{"dropping-particle":"","family":"Hanzevacki","given":"M","non-dropping-particle":"","parse-names":false,"suffix":""},{"dropping-particle":"","family":"Marovic","given":"A","non-dropping-particle":"","parse-names":false,"suffix":""},{"dropping-particle":"","family":"Rucman","given":"R","non-dropping-particle":"","parse-names":false,"suffix":""},{"dropping-particle":"","family":"Petek","given":"M","non-dropping-particle":"","parse-names":false,"suffix":""},{"dropping-particle":"","family":"Zoricic","given":"I","non-dropping-particle":"","parse-names":false,"suffix":""},{"dropping-particle":"","family":"Ziger","given":"T","non-dropping-particle":"","parse-names":false,"suffix":""},{"dropping-particle":"","family":"Aralica","given":"G","non-dropping-particle":"","parse-names":false,"suffix":""},{"dropping-particle":"","family":"Konjevoda","given":"P","non-dropping-particle":"","parse-names":false,"suffix":""},{"dropping-particle":"","family":"Prkacin","given":"I","non-dropping-particle":"","parse-names":false,"suffix":""},{"dropping-particle":"","family":"Gjurasin","given":"M","non-dropping-particle":"","parse-names":false,"suffix":""},{"dropping-particle":"","family":"Miklic","given":"P","non-dropping-particle":"","parse-names":false,"suffix":""},{"dropping-particle":"","family":"Artukovic","given":"B","non-dropping-particle":"","parse-names":false,"suffix":""},{"dropping-particle":"","family":"Tisljar","given":"M","non-dropping-particle":"","parse-names":false,"suffix":""},{"dropping-particle":"","family":"Bratulic","given":"M","non-dropping-particle":"","parse-names":false,"suffix":""},{"dropping-particle":"","family":"Mise","given":"S","non-dropping-particle":"","parse-names":false,"suffix":""},{"dropping-particle":"","family":"Rotkvic","given":"I","non-dropping-particle":"","parse-names":false,"suffix":""}],"container-title":"Journal of physiology, Paris","id":"ITEM-1","issue":"6","issued":{"date-parts":[["1999","12"]]},"page":"479-85","title":"The effect of pentadecapeptide BPC 157, H2-blockers, omeprazole and sucralfate on new vessels and new granulation tissue formation.","type":"article-journal","volume":"93"},"uris":["http://www.mendeley.com/documents/?uuid=af060808-43aa-41af-a53b-192eebb7b799"]}],"mendeley":{"formattedCitation":"&lt;sup&gt;[50]&lt;/sup&gt;","plainTextFormattedCitation":"[50]","previouslyFormattedCitation":"&lt;sup&gt;[50]&lt;/sup&gt;"},"properties":{"noteIndex":0},"schema":"https://github.com/citation-style-language/schema/raw/master/csl-citation.json"}</w:instrText>
      </w:r>
      <w:r w:rsidR="00424272"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[50]</w:t>
      </w:r>
      <w:r w:rsidR="00424272" w:rsidRPr="00E47A42">
        <w:rPr>
          <w:rFonts w:ascii="Book Antiqua" w:hAnsi="Book Antiqua" w:cs="Times New Roman"/>
          <w:sz w:val="24"/>
          <w:szCs w:val="24"/>
          <w:lang w:val="en-US"/>
        </w:rPr>
        <w:fldChar w:fldCharType="end"/>
      </w:r>
      <w:r w:rsidR="00381543" w:rsidRPr="00E47A42">
        <w:rPr>
          <w:rFonts w:ascii="Book Antiqua" w:hAnsi="Book Antiqua" w:cs="Times New Roman"/>
          <w:sz w:val="24"/>
          <w:szCs w:val="24"/>
          <w:lang w:val="en-US"/>
        </w:rPr>
        <w:t xml:space="preserve"> </w:t>
      </w:r>
      <w:r w:rsidR="004F7356" w:rsidRPr="00E47A42">
        <w:rPr>
          <w:rFonts w:ascii="Book Antiqua" w:hAnsi="Book Antiqua" w:cs="Times New Roman"/>
          <w:sz w:val="24"/>
          <w:szCs w:val="24"/>
          <w:lang w:val="en-US"/>
        </w:rPr>
        <w:t>because of</w:t>
      </w:r>
      <w:r w:rsidR="00CB5745" w:rsidRPr="00E47A42">
        <w:rPr>
          <w:rFonts w:ascii="Book Antiqua" w:hAnsi="Book Antiqua" w:cs="Times New Roman"/>
          <w:sz w:val="24"/>
          <w:szCs w:val="24"/>
          <w:lang w:val="en-US"/>
        </w:rPr>
        <w:t xml:space="preserve"> </w:t>
      </w:r>
      <w:r w:rsidR="004F7356" w:rsidRPr="00E47A42">
        <w:rPr>
          <w:rFonts w:ascii="Book Antiqua" w:hAnsi="Book Antiqua" w:cs="Times New Roman"/>
          <w:sz w:val="24"/>
          <w:szCs w:val="24"/>
          <w:lang w:val="en-US"/>
        </w:rPr>
        <w:t>its</w:t>
      </w:r>
      <w:r w:rsidR="006670EC"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interaction with several molecular pathways</w:t>
      </w:r>
      <w:r w:rsidR="003A6A7D"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157","type":"article-journal","volume":"106"},"uris":["http://www.mendeley.com/documents/?uuid=0d4e894c-6fc1-3bed-bb8f-4b56e696ff06"]},{"id":"ITEM-2","itemData":{"DOI":"10.1016/j.ejphar.2012.11.055","ISBN":"1879-0712 (Electronic)\\r0014-2999 (Linking)","ISSN":"00142999","PMID":"23220707","abstract":"Esophagocutaneous fistulas are a failure of the NO-system, due to NO-synthase blockage by the NOS-blocker L-NAME consequently counteracted by l-arginine and gastric pentadecapeptide BPC 157 (l-arginine &lt;BPC 157), precipitating a therapeutic benefit. Previously, there was an established BPC 157 - NO-system interaction. BPC 157 GEPPPGKPADDAGLV, MW 1419 (LD1 not achieved), is a safe and stable anti-ulcer peptide, successful in inflammatory bowel disease trials, counteracting esophagitis, sphincter failure, gastrointestinal and skin ulcers, gastrocutaneous or colocutaneous fistulas. We treated rats with established cervical esophagocutaneous fistulas throughout four days (both open skin and esophageal defects, with significant leakage) with BPC 157 (parenterally and perorally) and L-NAME (blocking NO genesis) and l-arginine (NO-substrate) alone or in combination. RT-PCR investigated eNOS, iNOS, COX-2 mRNA levels in the fistulas. We evidenced a closely inter-related process of unhealed skin, esophageal defects, unhealed fistulas (up regulated eNOS, iNOS and COX2 mRNA levels), usually lethal, particularly NO-system related and therapy dependent. Generally, the course of fistula healing was accelerated either to a greater extent (with BPC 157 (in particular, less eNOS gene expression) completely counteracting L-NAME effects, in L-NAME+BPC 157 and L-NAME+l-arginine+BPC 157 groups), or to a lesser extent (with l-arginine). Conversely, the process was aggravated, rapidly and prominently (with L-NAME). In particular, BPC 157 was effective either given per-orally/intraperitoneally, in μg- and ng-regimens. Shortly, defects started to heal, with less fistula leakage and no mortality at day 4. Failure of pyloric and lower esophageal sphincter pressure was restored, with practically no esophagitis. © 2012 Elsevier B.V. All rights reserved.","author":[{"dropping-particle":"","family":"Cesarec","given":"Vedran","non-dropping-particle":"","parse-names":false,"suffix":""},{"dropping-particle":"","family":"Becejac","given":"Tomislav","non-dropping-particle":"","parse-names":false,"suffix":""},{"dropping-particle":"","family":"Misic","given":"Marija","non-dropping-particle":"","parse-names":false,"suffix":""},{"dropping-particle":"","family":"Djakovic","given":"Zeljko","non-dropping-particle":"","parse-names":false,"suffix":""},{"dropping-particle":"","family":"Olujic","given":"Danijela","non-dropping-particle":"","parse-names":false,"suffix":""},{"dropping-particle":"","family":"Drmic","given":"Domagoj","non-dropping-particle":"","parse-names":false,"suffix":""},{"dropping-particle":"","family":"Brcic","given":"Luka","non-dropping-particle":"","parse-names":false,"suffix":""},{"dropping-particle":"","family":"Rokotov","given":"Dinko Stancic","non-dropping-particle":"","parse-names":false,"suffix":""},{"dropping-particle":"","family":"Seiwerth","given":"Sven","non-dropping-particle":"","parse-names":false,"suffix":""},{"dropping-particle":"","family":"Sikiric","given":"Predrag","non-dropping-particle":"","parse-names":false,"suffix":""}],"container-title":"European Journal of Pharmacology","id":"ITEM-2","issue":"1-3","issued":{"date-parts":[["2013"]]},"page":"203-212","publisher":"Elsevier","title":"Pentadecapeptide BPC 157 and the esophagocutaneous fistula healing therapy","type":"article-journal","volume":"701"},"uris":["http://www.mendeley.com/documents/?uuid=41a5ff22-e5c0-4417-b310-4125e014ffdd"]},{"id":"ITEM-3","itemData":{"DOI":"10.1152/japplphysiol.00945.2010","ISSN":"1522-1601","PMID":"21030672","abstract":"Pentadecapeptide BPC 157, composed of 15 amino acids, is a partial sequence of body protection compound (BPC) that is discovered in and isolated from human gastric juice. Experimentally it has been demonstrated to accelerate the healing of many different wounds, including transected rat Achilles tendon. This study was designed to investigate the potential mechanism of BPC 157 to enhance healing of injured tendon. The outgrowth of tendon fibroblasts from tendon explants cultured with or without BPC 157 was examined. Results showed that BPC 157 significantly accelerated the outgrowth of tendon explants. Cell proliferation of cultured tendon fibroblasts derived from rat Achilles tendon was not directly affected by BPC 157 as evaluated by MTT assay. However, the survival of BPC 157-treated cells was significantly increased under the H(2)O(2) stress. BPC 157 markedly increased the in vitro migration of tendon fibroblasts in a dose-dependent manner as revealed by transwell filter migration assay. BPC 157 also dose dependently accelerated the spreading of tendon fibroblasts on culture dishes. The F-actin formation as detected by FITC-phalloidin staining was induced in BPC 157-treated fibroblasts. The protein expression and activation of FAK and paxillin were determined by Western blot analysis, and the phosphorylation levels of both FAK and paxillin were dose dependently increased by BPC 157 while the total amounts of protein was unaltered. In conclusion, BPC 157 promotes the ex vivo outgrowth of tendon fibroblasts from tendon explants, cell survival under stress, and the in vitro migration of tendon fibroblasts, which is likely mediated by the activation of the FAK-paxillin pathway.","author":[{"dropping-particle":"","family":"Chang","given":"Chung-Hsun","non-dropping-particle":"","parse-names":false,"suffix":""},{"dropping-particle":"","family":"Tsai","given":"Wen-Chung","non-dropping-particle":"","parse-names":false,"suffix":""},{"dropping-particle":"","family":"Lin","given":"Miao-Sui","non-dropping-particle":"","parse-names":false,"suffix":""},{"dropping-particle":"","family":"Hsu","given":"Ya-Hui","non-dropping-particle":"","parse-names":false,"suffix":""},{"dropping-particle":"","family":"Pang","given":"Jong-Hwei Su","non-dropping-particle":"","parse-names":false,"suffix":""}],"container-title":"Journal of applied physiology (Bethesda, Md. : 1985)","id":"ITEM-3","issue":"3","issued":{"date-parts":[["2011","3"]]},"page":"774-80","title":"The promoting effect of pentadecapeptide BPC 157 on tendon healing involves tendon outgrowth, cell survival, and cell migration.","type":"article-journal","volume":"110"},"uris":["http://www.mendeley.com/documents/?uuid=6729f5a4-ea79-4adb-aac1-570591ef479a"]},{"id":"ITEM-4","itemData":{"DOI":"10.3390/molecules191119066","ISSN":"1420-3049","PMID":"25415472","abstract":"BPC 157, a pentadecapeptide derived from human gastric juice, has been demonstrated to promote the healing of different tissues, including skin, muscle, bone, ligament and tendon in many animal studies. However, the underlying mechanism has not been fully clarified. The present study aimed to explore the effect of BPC 157 on tendon fibroblasts isolated from Achilles tendon of male Sprague-Dawley rat. From the result of cDNA microarray analysis, growth hormone receptor was revealed as one of the most abundantly up-regulated genes in tendon fibroblasts by BPC 157. BPC 157 dose- and time-dependently increased the expression of growth hormone receptor in tendon fibroblasts at both the mRNA and protein levels as measured by RT/real-time PCR and Western blot, respectively. The addition of growth hormone to BPC 157-treated tendon fibroblasts dose- and time-dependently increased the cell proliferation as determined by MTT assay and PCNA expression by RT/real-time PCR. Janus kinase 2, the downstream signal pathway of growth hormone receptor, was activated time-dependently by stimulating the BPC 157-treated tendon fibroblasts with growth hormone. In conclusion, the BPC 157-induced increase of growth hormone receptor in tendon fibroblasts may potentiate the proliferation-promoting effect of growth hormone and contribute to the healing of tendon.","author":[{"dropping-particle":"","family":"Chang","given":"Chung-Hsun","non-dropping-particle":"","parse-names":false,"suffix":""},{"dropping-particle":"","family":"Tsai","given":"Wen-Chung","non-dropping-particle":"","parse-names":false,"suffix":""},{"dropping-particle":"","family":"Hsu","given":"Ya-Hui","non-dropping-particle":"","parse-names":false,"suffix":""},{"dropping-particle":"","family":"Pang","given":"Jong-Hwei Su","non-dropping-particle":"","parse-names":false,"suffix":""}],"container-title":"Molecules (Basel, Switzerland)","id":"ITEM-4","issue":"11","issued":{"date-parts":[["2014","11","19"]]},"page":"19066-77","title":"Pentadecapeptide BPC 157 enhances the growth hormone receptor expression in tendon fibroblasts.","type":"article-journal","volume":"19"},"uris":["http://www.mendeley.com/documents/?uuid=f3f7100e-ea85-4e6c-a171-398e2a6cd3e4"]},{"id":"ITEM-5","itemData":{"DOI":"10.1007/s00109-016-1488-y","ISSN":"0946-2716","author":[{"dropping-particle":"","family":"Hsieh","given":"Ming-Jer","non-dropping-particle":"","parse-names":false,"suffix":""},{"dropping-particle":"","family":"Liu","given":"Hsien-Ta","non-dropping-particle":"","parse-names":false,"suffix":""},{"dropping-particle":"","family":"Wang","given":"Chao-Nin","non-dropping-particle":"","parse-names":false,"suffix":""},{"dropping-particle":"","family":"Huang","given":"Hsiu-Yun","non-dropping-particle":"","parse-names":false,"suffix":""},{"dropping-particle":"","family":"Lin","given":"Yuling","non-dropping-particle":"","parse-names":false,"suffix":""},{"dropping-particle":"","family":"Ko","given":"Yu-Shien","non-dropping-particle":"","parse-names":false,"suffix":""},{"dropping-particle":"","family":"Wang","given":"Jong-Shyan","non-dropping-particle":"","parse-names":false,"suffix":""},{"dropping-particle":"","family":"Chang","given":"Vincent Hung-Shu","non-dropping-particle":"","parse-names":false,"suffix":""},{"dropping-particle":"","family":"Pang","given":"Jong-Hwei S.","non-dropping-particle":"","parse-names":false,"suffix":""}],"container-title":"Journal of Molecular Medicine","id":"ITEM-5","issue":"3","issued":{"date-parts":[["2017","3","15"]]},"page":"323-333","title":"Therapeutic potential of pro-angiogenic BPC157 is associated with VEGFR2 activation and up-regulation","type":"article-journal","volume":"95"},"uris":["http://www.mendeley.com/documents/?uuid=d0162b37-24df-4fed-8888-a128d80ca9cc"]},{"id":"ITEM-6","itemData":{"DOI":"10.2147/DDDT.S82030","ISBN":"1177-8881 (Electronic)\\r1177-8881 (Linking)","ISSN":"11778881","PMID":"25995620","abstract":"Chemical burns take up a high proportion of burns admissions and can penetrate deep into tissues. Various reagents have been applied in the treatment of skin chemical burns; however, no optimal reagent for skin chemical burns currently exists. The present study investigated the effect of topical body protective compound (BPC)-157 treatment on skin wound healing, using an alkali burn rat model. Topical treatment with BPC-157 was shown to accelerate wound closure following an alkali burn. Histological examination of skin sections with hematoxylin–eosin and Masson staining showed better granulation tissue formation, reepithelialization, dermal remodeling, and a higher extent of collagen deposition when compared to the model control group on the 18th day postwounding. BPC-157 could promote vascular endothelial growth factor expression in wounded skin tissues. Furthermore, 3-(4,5-dimethylthiazol-2-yl)-2,5-diphenyltetrazolium bromide and cell cycle analysis demonstrated that BPC-157 enhanced the proliferation of human umbilical vein endothelial cells (HUVECs). Transwell assay and wound healing assay showed that BPC-157 significantly promoted migration of HUVECs. We also observed that BPC-157 upregulated the expression of VEGF-a and accelerated vascular tube formation in vitro. Moreover, further studies suggested that BPC-157 regulated the phosphorylation level of extracellular signal-regulated kinases 1 and 2 (ERK1/2) as well as its downstream targets, including c-Fos, c-Jun, and Egr-1, which are key molecules involved in cell growth, migration, and angiogenesis. Altogether, our results indicated that BPC-157 treatment may accelerate wound healing in a model of alkali burn-induced skin injury. The therapeutic mechanism may be associated with accelerated granulation tissue formation, reepithelialization, dermal remodeling, and collagen deposition through ERK1/2 signaling pathway.","author":[{"dropping-particle":"","family":"Huang","given":"Tonglie","non-dropping-particle":"","parse-names":false,"suffix":""},{"dropping-particle":"","family":"Zhang","given":"Kuo","non-dropping-particle":"","parse-names":false,"suffix":""},{"dropping-particle":"","family":"Sun","given":"Lijuan","non-dropping-particle":"","parse-names":false,"suffix":""},{"dropping-particle":"","family":"Xue","given":"Xiaochang","non-dropping-particle":"","parse-names":false,"suffix":""},{"dropping-particle":"","family":"Zhang","given":"Cun","non-dropping-particle":"","parse-names":false,"suffix":""},{"dropping-particle":"","family":"Shu","given":"Zhen","non-dropping-particle":"","parse-names":false,"suffix":""},{"dropping-particle":"","family":"Mu","given":"Nan","non-dropping-particle":"","parse-names":false,"suffix":""},{"dropping-particle":"","family":"Gu","given":"Jintao","non-dropping-particle":"","parse-names":false,"suffix":""},{"dropping-particle":"","family":"Zhang","given":"Wangqian","non-dropping-particle":"","parse-names":false,"suffix":""},{"dropping-particle":"","family":"Wang","given":"Yukun","non-dropping-particle":"","parse-names":false,"suffix":""},{"dropping-particle":"","family":"Zhang","given":"Yingqi","non-dropping-particle":"","parse-names":false,"suffix":""},{"dropping-particle":"","family":"Zhang","given":"Wei","non-dropping-particle":"","parse-names":false,"suffix":""}],"container-title":"Drug Design, Development and Therapy","id":"ITEM-6","issued":{"date-parts":[["2015"]]},"page":"2485-2499","title":"Body protective compound-157 enhances alkali-burn wound healing in vivo and promotes proliferation, migration, and angiogenesis in vitro","type":"article-journal","volume":"9"},"uris":["http://www.mendeley.com/documents/?uuid=26d2fbb4-3df9-4f39-9e6c-53a37fe7bcce"]},{"id":"ITEM-7","itemData":{"DOI":"10.1016/j.ejphar.2007.05.072","ISSN":"00142999","author":[{"dropping-particle":"","family":"Tkalčević","given":"Vanesa Ivetić","non-dropping-particle":"","parse-names":false,"suffix":""},{"dropping-particle":"","family":"Čužić","given":"Snježana","non-dropping-particle":"","parse-names":false,"suffix":""},{"dropping-particle":"","family":"Brajša","given":"Karmen","non-dropping-particle":"","parse-names":false,"suffix":""},{"dropping-particle":"","family":"Mildner","given":"Boris","non-dropping-particle":"","parse-names":false,"suffix":""},{"dropping-particle":"","family":"Bokulić","given":"Ana","non-dropping-particle":"","parse-names":false,"suffix":""},{"dropping-particle":"","family":"Šitum","given":"Kristina","non-dropping-particle":"","parse-names":false,"suffix":""},{"dropping-particle":"","family":"Perović","given":"Daniela","non-dropping-particle":"","parse-names":false,"suffix":""},{"dropping-particle":"","family":"Glojnarić","given":"Ines","non-dropping-particle":"","parse-names":false,"suffix":""},{"dropping-particle":"","family":"Parnham","given":"Michael J.","non-dropping-particle":"","parse-names":false,"suffix":""}],"container-title":"European Journal of Pharmacology","id":"ITEM-7","issue":"1-3","issued":{"date-parts":[["2007","9"]]},"page":"212-221","title":"Enhancement by PL 14736 of granulation and collagen organization in healing wounds and the potential role of egr-1 expression","type":"article-journal","volume":"570"},"uris":["http://www.mendeley.com/documents/?uuid=d6bef086-cfda-49af-8cf8-b62dc1ddbbd0"]}],"mendeley":{"formattedCitation":"&lt;sup&gt;[21–27]&lt;/sup&gt;","plainTextFormattedCitation":"[21–27]","previouslyFormattedCitation":"&lt;sup&gt;[21–27]&lt;/sup&gt;"},"properties":{"noteIndex":0},"schema":"https://github.com/citation-style-language/schema/raw/master/csl-citation.json"}</w:instrText>
      </w:r>
      <w:r w:rsidR="003A6A7D"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[21–27]</w:t>
      </w:r>
      <w:r w:rsidR="003A6A7D" w:rsidRPr="00E47A42">
        <w:rPr>
          <w:rFonts w:ascii="Book Antiqua" w:hAnsi="Book Antiqua" w:cs="Times New Roman"/>
          <w:sz w:val="24"/>
          <w:szCs w:val="24"/>
          <w:lang w:val="en-US"/>
        </w:rPr>
        <w:fldChar w:fldCharType="end"/>
      </w:r>
      <w:r w:rsidR="00A302B4" w:rsidRPr="00E47A42">
        <w:rPr>
          <w:rFonts w:ascii="Book Antiqua" w:hAnsi="Book Antiqua" w:cs="Times New Roman"/>
          <w:sz w:val="24"/>
          <w:szCs w:val="24"/>
          <w:lang w:val="en-US"/>
        </w:rPr>
        <w:t>.</w:t>
      </w:r>
      <w:r w:rsidR="00CB5745"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Illustratively, in other studies</w:t>
      </w:r>
      <w:r w:rsidR="009A3C66" w:rsidRPr="00E47A42">
        <w:rPr>
          <w:rFonts w:ascii="Book Antiqua" w:hAnsi="Book Antiqua" w:cs="Times New Roman"/>
          <w:sz w:val="24"/>
          <w:szCs w:val="24"/>
          <w:lang w:val="en-US"/>
        </w:rPr>
        <w:t>, B</w:t>
      </w:r>
      <w:r w:rsidR="00A302B4" w:rsidRPr="00E47A42">
        <w:rPr>
          <w:rFonts w:ascii="Book Antiqua" w:hAnsi="Book Antiqua" w:cs="Times New Roman"/>
          <w:sz w:val="24"/>
          <w:szCs w:val="24"/>
          <w:lang w:val="en-US"/>
        </w:rPr>
        <w:t>PC 157 induce</w:t>
      </w:r>
      <w:r w:rsidR="006670EC" w:rsidRPr="00E47A42">
        <w:rPr>
          <w:rFonts w:ascii="Book Antiqua" w:hAnsi="Book Antiqua" w:cs="Times New Roman"/>
          <w:sz w:val="24"/>
          <w:szCs w:val="24"/>
          <w:lang w:val="en-US"/>
        </w:rPr>
        <w:t>d</w:t>
      </w:r>
      <w:r w:rsidR="00A302B4" w:rsidRPr="00E47A42">
        <w:rPr>
          <w:rFonts w:ascii="Book Antiqua" w:hAnsi="Book Antiqua" w:cs="Times New Roman"/>
          <w:sz w:val="24"/>
          <w:szCs w:val="24"/>
          <w:lang w:val="en-US"/>
        </w:rPr>
        <w:t xml:space="preserve"> an acceleration of blood flow recovery</w:t>
      </w:r>
      <w:r w:rsidR="00602616" w:rsidRPr="00E47A42">
        <w:rPr>
          <w:rFonts w:ascii="Book Antiqua" w:hAnsi="Book Antiqua" w:cs="Times New Roman"/>
          <w:sz w:val="24"/>
          <w:szCs w:val="24"/>
          <w:lang w:val="en-US"/>
        </w:rPr>
        <w:t xml:space="preserve"> </w:t>
      </w:r>
      <w:r w:rsidR="00A302B4" w:rsidRPr="00E47A42">
        <w:rPr>
          <w:rFonts w:ascii="Book Antiqua" w:hAnsi="Book Antiqua" w:cs="Times New Roman"/>
          <w:sz w:val="24"/>
          <w:szCs w:val="24"/>
          <w:lang w:val="en-US"/>
        </w:rPr>
        <w:t xml:space="preserve">and vessel number within days in rats with </w:t>
      </w:r>
      <w:r w:rsidR="00A302B4" w:rsidRPr="00E47A42">
        <w:rPr>
          <w:rFonts w:ascii="Book Antiqua" w:hAnsi="Book Antiqua" w:cs="Times New Roman"/>
          <w:noProof/>
          <w:sz w:val="24"/>
          <w:szCs w:val="24"/>
          <w:lang w:val="en-US"/>
        </w:rPr>
        <w:t>hind limb</w:t>
      </w:r>
      <w:r w:rsidR="00A302B4" w:rsidRPr="00E47A42">
        <w:rPr>
          <w:rFonts w:ascii="Book Antiqua" w:hAnsi="Book Antiqua" w:cs="Times New Roman"/>
          <w:sz w:val="24"/>
          <w:szCs w:val="24"/>
          <w:lang w:val="en-US"/>
        </w:rPr>
        <w:t xml:space="preserve"> ischemia</w:t>
      </w:r>
      <w:r w:rsidR="00424272"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10.1007/s00109-016-1488-y","ISSN":"0946-2716","author":[{"dropping-particle":"","family":"Hsieh","given":"Ming-Jer","non-dropping-particle":"","parse-names":false,"suffix":""},{"dropping-particle":"","family":"Liu","given":"Hsien-Ta","non-dropping-particle":"","parse-names":false,"suffix":""},{"dropping-particle":"","family":"Wang","given":"Chao-Nin","non-dropping-particle":"","parse-names":false,"suffix":""},{"dropping-particle":"","family":"Huang","given":"Hsiu-Yun","non-dropping-particle":"","parse-names":false,"suffix":""},{"dropping-particle":"","family":"Lin","given":"Yuling","non-dropping-particle":"","parse-names":false,"suffix":""},{"dropping-particle":"","family":"Ko","given":"Yu-Shien","non-dropping-particle":"","parse-names":false,"suffix":""},{"dropping-particle":"","family":"Wang","given":"Jong-Shyan","non-dropping-particle":"","parse-names":false,"suffix":""},{"dropping-particle":"","family":"Chang","given":"Vincent Hung-Shu","non-dropping-particle":"","parse-names":false,"suffix":""},{"dropping-particle":"","family":"Pang","given":"Jong-Hwei S.","non-dropping-particle":"","parse-names":false,"suffix":""}],"container-title":"Journal of Molecular Medicine","id":"ITEM-1","issue":"3","issued":{"date-parts":[["2017","3","15"]]},"page":"323-333","title":"Therapeutic potential of pro-angiogenic BPC157 is associated with VEGFR2 activation and up-regulation","type":"article-journal","volume":"95"},"uris":["http://www.mendeley.com/documents/?uuid=d0162b37-24df-4fed-8888-a128d80ca9cc"]}],"mendeley":{"formattedCitation":"&lt;sup&gt;[25]&lt;/sup&gt;","plainTextFormattedCitation":"[25]","previouslyFormattedCitation":"&lt;sup&gt;[25]&lt;/sup&gt;"},"properties":{"noteIndex":0},"schema":"https://github.com/citation-style-language/schema/raw/master/csl-citation.json"}</w:instrText>
      </w:r>
      <w:r w:rsidR="00424272"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[25]</w:t>
      </w:r>
      <w:r w:rsidR="00424272" w:rsidRPr="00E47A42">
        <w:rPr>
          <w:rFonts w:ascii="Book Antiqua" w:hAnsi="Book Antiqua" w:cs="Times New Roman"/>
          <w:sz w:val="24"/>
          <w:szCs w:val="24"/>
          <w:lang w:val="en-US"/>
        </w:rPr>
        <w:fldChar w:fldCharType="end"/>
      </w:r>
      <w:r w:rsidR="00EF3098" w:rsidRPr="00E47A42">
        <w:rPr>
          <w:rFonts w:ascii="Book Antiqua" w:hAnsi="Book Antiqua" w:cs="Times New Roman"/>
          <w:bCs/>
          <w:sz w:val="24"/>
          <w:szCs w:val="24"/>
          <w:lang w:val="en-US"/>
        </w:rPr>
        <w:t>.</w:t>
      </w:r>
    </w:p>
    <w:p w14:paraId="2B5D9AB5" w14:textId="492ADD3D" w:rsidR="00A302B4" w:rsidRPr="00E47A42" w:rsidRDefault="00A302B4" w:rsidP="00C14212">
      <w:pPr>
        <w:pStyle w:val="title1"/>
        <w:snapToGrid w:val="0"/>
        <w:spacing w:line="360" w:lineRule="auto"/>
        <w:ind w:firstLineChars="100" w:firstLine="240"/>
        <w:jc w:val="both"/>
        <w:rPr>
          <w:rFonts w:ascii="Book Antiqua" w:hAnsi="Book Antiqua"/>
          <w:sz w:val="24"/>
          <w:szCs w:val="24"/>
          <w:lang w:val="en-US"/>
        </w:rPr>
      </w:pPr>
      <w:r w:rsidRPr="00E47A42">
        <w:rPr>
          <w:rFonts w:ascii="Book Antiqua" w:hAnsi="Book Antiqua"/>
          <w:sz w:val="24"/>
          <w:szCs w:val="24"/>
          <w:lang w:val="en-US"/>
        </w:rPr>
        <w:t>Additionally, in practice, this means distinct endpoints should be overwhelmed to achieve</w:t>
      </w:r>
      <w:r w:rsidR="00CB5745" w:rsidRPr="00E47A42">
        <w:rPr>
          <w:rFonts w:ascii="Book Antiqua" w:hAnsi="Book Antiqua"/>
          <w:sz w:val="24"/>
          <w:szCs w:val="24"/>
          <w:lang w:val="en-US"/>
        </w:rPr>
        <w:t xml:space="preserve"> the</w:t>
      </w:r>
      <w:r w:rsidRPr="00E47A42">
        <w:rPr>
          <w:rFonts w:ascii="Book Antiqua" w:hAnsi="Book Antiqua"/>
          <w:sz w:val="24"/>
          <w:szCs w:val="24"/>
          <w:lang w:val="en-US"/>
        </w:rPr>
        <w:t xml:space="preserve"> presentation seen in rats that underwent BPC 157 application. Finally, in addition to counteract</w:t>
      </w:r>
      <w:r w:rsidR="00CB5745" w:rsidRPr="00E47A42">
        <w:rPr>
          <w:rFonts w:ascii="Book Antiqua" w:hAnsi="Book Antiqua"/>
          <w:sz w:val="24"/>
          <w:szCs w:val="24"/>
          <w:lang w:val="en-US"/>
        </w:rPr>
        <w:t>ing the</w:t>
      </w:r>
      <w:r w:rsidRPr="00E47A42">
        <w:rPr>
          <w:rFonts w:ascii="Book Antiqua" w:hAnsi="Book Antiqua"/>
          <w:sz w:val="24"/>
          <w:szCs w:val="24"/>
          <w:lang w:val="en-US"/>
        </w:rPr>
        <w:t xml:space="preserve"> parallel (worsenin</w:t>
      </w:r>
      <w:r w:rsidR="004F7356" w:rsidRPr="00E47A42">
        <w:rPr>
          <w:rFonts w:ascii="Book Antiqua" w:hAnsi="Book Antiqua"/>
          <w:sz w:val="24"/>
          <w:szCs w:val="24"/>
          <w:lang w:val="en-US"/>
        </w:rPr>
        <w:t>g) effect of L-NAME/L-arginine o</w:t>
      </w:r>
      <w:r w:rsidRPr="00E47A42">
        <w:rPr>
          <w:rFonts w:ascii="Book Antiqua" w:hAnsi="Book Antiqua"/>
          <w:sz w:val="24"/>
          <w:szCs w:val="24"/>
          <w:lang w:val="en-US"/>
        </w:rPr>
        <w:t>n ischemic colitis and cecum perforation syndromes</w:t>
      </w:r>
      <w:r w:rsidR="00B62926" w:rsidRPr="00E47A42">
        <w:rPr>
          <w:rFonts w:ascii="Book Antiqua" w:hAnsi="Book Antiqua"/>
          <w:sz w:val="24"/>
          <w:szCs w:val="24"/>
          <w:lang w:val="en-US"/>
        </w:rPr>
        <w:fldChar w:fldCharType="begin" w:fldLock="1"/>
      </w:r>
      <w:r w:rsidR="00AB3269" w:rsidRPr="00E47A42">
        <w:rPr>
          <w:rFonts w:ascii="Book Antiqua" w:hAnsi="Book Antiqua"/>
          <w:sz w:val="24"/>
          <w:szCs w:val="24"/>
          <w:lang w:val="en-US"/>
        </w:rPr>
        <w:instrText>ADDIN CSL_CITATION {"citationItems":[{"id":"ITEM-1","itemData":{"DOI":"10.1016/j.vph.2018.02.010","ISSN":"18793649","abstract":"©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Pharmacology","id":"ITEM-1","issued":{"date-parts":[["2018"]]},"page":"54-66","title":"Rat inferior caval vein (ICV) ligature and particular new insights with the stable gastric pentadecapeptide BPC 157","type":"article-journal","volume":"106"},"uris":["http://www.mendeley.com/documents/?uuid=0d4e894c-6fc1-3bed-bb8f-4b56e696ff06"]}],"mendeley":{"formattedCitation":"&lt;sup&gt;[21]&lt;/sup&gt;","plainTextFormattedCitation":"[21]","previouslyFormattedCitation":"&lt;sup&gt;[21]&lt;/sup&gt;"},"properties":{"noteIndex":0},"schema":"https://github.com/citation-style-language/schema/raw/master/csl-citation.json"}</w:instrText>
      </w:r>
      <w:r w:rsidR="00B62926" w:rsidRPr="00E47A42">
        <w:rPr>
          <w:rFonts w:ascii="Book Antiqua" w:hAnsi="Book Antiqua"/>
          <w:sz w:val="24"/>
          <w:szCs w:val="24"/>
          <w:lang w:val="en-US"/>
        </w:rPr>
        <w:fldChar w:fldCharType="separate"/>
      </w:r>
      <w:r w:rsidR="00AB3269" w:rsidRPr="00E47A42">
        <w:rPr>
          <w:rFonts w:ascii="Book Antiqua" w:hAnsi="Book Antiqua"/>
          <w:noProof/>
          <w:sz w:val="24"/>
          <w:szCs w:val="24"/>
          <w:vertAlign w:val="superscript"/>
          <w:lang w:val="en-US"/>
        </w:rPr>
        <w:t>[21]</w:t>
      </w:r>
      <w:r w:rsidR="00B62926" w:rsidRPr="00E47A42">
        <w:rPr>
          <w:rFonts w:ascii="Book Antiqua" w:hAnsi="Book Antiqua"/>
          <w:sz w:val="24"/>
          <w:szCs w:val="24"/>
          <w:lang w:val="en-US"/>
        </w:rPr>
        <w:fldChar w:fldCharType="end"/>
      </w:r>
      <w:r w:rsidRPr="00E47A42">
        <w:rPr>
          <w:rFonts w:ascii="Book Antiqua" w:hAnsi="Book Antiqua"/>
          <w:sz w:val="24"/>
          <w:szCs w:val="24"/>
          <w:lang w:val="en-US"/>
        </w:rPr>
        <w:t xml:space="preserve">, BPC 157 counteracts </w:t>
      </w:r>
      <w:r w:rsidR="00CB5745" w:rsidRPr="00E47A42">
        <w:rPr>
          <w:rFonts w:ascii="Book Antiqua" w:hAnsi="Book Antiqua"/>
          <w:sz w:val="24"/>
          <w:szCs w:val="24"/>
          <w:lang w:val="en-US"/>
        </w:rPr>
        <w:t xml:space="preserve">the </w:t>
      </w:r>
      <w:r w:rsidRPr="00E47A42">
        <w:rPr>
          <w:rFonts w:ascii="Book Antiqua" w:hAnsi="Book Antiqua"/>
          <w:sz w:val="24"/>
          <w:szCs w:val="24"/>
          <w:lang w:val="en-US"/>
        </w:rPr>
        <w:t>common parallel L-NAME/L-arginine activity points in other assays (</w:t>
      </w:r>
      <w:r w:rsidRPr="00E47A42">
        <w:rPr>
          <w:rFonts w:ascii="Book Antiqua" w:hAnsi="Book Antiqua"/>
          <w:i/>
          <w:sz w:val="24"/>
          <w:szCs w:val="24"/>
          <w:lang w:val="en-US"/>
        </w:rPr>
        <w:t>i.e</w:t>
      </w:r>
      <w:r w:rsidRPr="00E47A42">
        <w:rPr>
          <w:rFonts w:ascii="Book Antiqua" w:hAnsi="Book Antiqua"/>
          <w:sz w:val="24"/>
          <w:szCs w:val="24"/>
          <w:lang w:val="en-US"/>
        </w:rPr>
        <w:t>., magnesium intoxication</w:t>
      </w:r>
      <w:r w:rsidR="006670EC" w:rsidRPr="00E47A42">
        <w:rPr>
          <w:rFonts w:ascii="Book Antiqua" w:hAnsi="Book Antiqua"/>
          <w:sz w:val="24"/>
          <w:szCs w:val="24"/>
          <w:lang w:val="en-US"/>
        </w:rPr>
        <w:t xml:space="preserve"> and</w:t>
      </w:r>
      <w:r w:rsidRPr="00E47A42">
        <w:rPr>
          <w:rFonts w:ascii="Book Antiqua" w:hAnsi="Book Antiqua"/>
          <w:sz w:val="24"/>
          <w:szCs w:val="24"/>
          <w:lang w:val="en-US"/>
        </w:rPr>
        <w:t xml:space="preserve"> miosis/mydriasis)</w:t>
      </w:r>
      <w:r w:rsidR="00424272" w:rsidRPr="00E47A42">
        <w:rPr>
          <w:rFonts w:ascii="Book Antiqua" w:hAnsi="Book Antiqua"/>
          <w:sz w:val="24"/>
          <w:szCs w:val="24"/>
          <w:lang w:val="en-US"/>
        </w:rPr>
        <w:fldChar w:fldCharType="begin" w:fldLock="1"/>
      </w:r>
      <w:r w:rsidR="00AB3269" w:rsidRPr="00E47A42">
        <w:rPr>
          <w:rFonts w:ascii="Book Antiqua" w:hAnsi="Book Antiqua"/>
          <w:sz w:val="24"/>
          <w:szCs w:val="24"/>
          <w:lang w:val="en-US"/>
        </w:rPr>
        <w:instrText>ADDIN CSL_CITATION {"citationItems":[{"id":"ITEM-1","itemData":{"DOI":"10.1007/s10787-017-0323-6","ISSN":"15685608","abstract":"© 2017, Springer International Publishing. Aim: Stable gastric pentadecapeptide BPC 157, administered before a high-dose magnesium injection in rats, might be a useful peptide therapy against magnesium toxicity and the magnesium-induced effect on cell depolarization. Moreover, this might be an NO-system-related effect. Previously, BPC 157 counteracts paralysis, arrhythmias and hyperkalaemia, extreme muscle weakness; parasympathetic and neuromuscular blockade; injured muscle healing and interacts with the NOS-blocker and NOS-substrate effects. Main methods: Assessment included magnesium sulfate (560 mg/kg intraperitoneally)-induced muscle weakness, muscle and brain lesions, hypermagnesemia, hyperkalaemia, increased serum enzyme values assessed in rats during and at the end of a 30-min period and medication (given intraperitoneally/kg at 15 min before magnesium) [BPC 157 (10 µg, 10 ng), l-NAME (5 mg), l-arginine (100 mg), alone and/or together]. In HEK293 cells, the increasing magnesium concentration from 1 to 5 mM could depolarize the cells at 1.75 ± 0.44 mV. Key findings: l-NAME + magnesium-rats and l-arginine + magnesium-rats exhibited worsened severe muscle weakness and lesions, brain lesions, hypermagnesemia and serum enzymes values, with emerging hyperkalaemia. However, l-NAME + l-arginine + magnesium-rats exhibited all control values and normokalaemia. BPC 157 abrogated hypermagnesemia and counteracted all of the magnesium-induced disturbances (including those aggravated by l-NAME or l-arginine). Thus, cell depolarization due to increasing magnesium concentration was inhibited in the presence of BPC 157 (1 µM) in vitro. Significance: BPC 157 likely counteracts the initial event leading to hypermagnesemia and the life-threatening actions after a magnesium overdose. In contrast, a worsened clinical course, higher hypermagnesemia, and emerging hyperkalaemia might cause both l-NAME and l-arginine to affect the same events adversely. These events were also opposed by BPC 157.","author":[{"dropping-particle":"","family":"Medvidovic-Grubisic","given":"M.","non-dropping-particle":"","parse-names":false,"suffix":""},{"dropping-particle":"","family":"Stambolija","given":"V.","non-dropping-particle":"","parse-names":false,"suffix":""},{"dropping-particle":"","family":"Kolenc","given":"D.","non-dropping-particle":"","parse-names":false,"suffix":""},{"dropping-particle":"","family":"Katancic","given":"J.","non-dropping-particle":"","parse-names":false,"suffix":""},{"dropping-particle":"","family":"Murselovic","given":"T.","non-dropping-particle":"","parse-names":false,"suffix":""},{"dropping-particle":"","family":"Plestina-Borjan","given":"I.","non-dropping-particle":"","parse-names":false,"suffix":""},{"dropping-particle":"","family":"Strbe","given":"S.","non-dropping-particle":"","parse-names":false,"suffix":""},{"dropping-particle":"","family":"Drmic","given":"D.","non-dropping-particle":"","parse-names":false,"suffix":""},{"dropping-particle":"","family":"Barisic","given":"I.","non-dropping-particle":"","parse-names":false,"suffix":""},{"dropping-particle":"","family":"Sindic","given":"A.","non-dropping-particle":"","parse-names":false,"suffix":""},{"dropping-particle":"","family":"Seiwerth","given":"S.","non-dropping-particle":"","parse-names":false,"suffix":""},{"dropping-particle":"","family":"Sikiric","given":"P.","non-dropping-particle":"","parse-names":false,"suffix":""}],"container-title":"Inflammopharmacology","id":"ITEM-1","issue":"4","issued":{"date-parts":[["2017"]]},"title":"Hypermagnesemia disturbances in rats, NO-related: pentadecapeptide BPC 157 abrogates, l-NAME and l-arginine worsen","type":"article-journal","volume":"25"},"uris":["http://www.mendeley.com/documents/?uuid=372f9f85-7d86-3df0-9517-2ba95d921675"]},{"id":"ITEM-2","itemData":{"DOI":"10.1016/j.ejphar.2015.12.016","ISSN":"00142999","author":[{"dropping-particle":"","family":"Kokot","given":"Antonio","non-dropping-particle":"","parse-names":false,"suffix":""},{"dropping-particle":"","family":"Zlatar","given":"Mirna","non-dropping-particle":"","parse-names":false,"suffix":""},{"dropping-particle":"","family":"Stupnisek","given":"Mirjana","non-dropping-particle":"","parse-names":false,"suffix":""},{"dropping-particle":"","family":"Drmic","given":"Domagoj","non-dropping-particle":"","parse-names":false,"suffix":""},{"dropping-particle":"","family":"Radic","given":"Radivoje","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European Journal of Pharmacology","id":"ITEM-2","issued":{"date-parts":[["2016","1"]]},"page":"211-219","title":"NO system dependence of atropine-induced mydriasis and L-NAME- and L-arginine-induced miosis: Reversal by the pentadecapeptide BPC 157 in rats and guinea pigs","type":"article-journal","volume":"771"},"uris":["http://www.mendeley.com/documents/?uuid=ead82f41-d78d-4c3a-8b32-53cca4af2019"]}],"mendeley":{"formattedCitation":"&lt;sup&gt;[51,52]&lt;/sup&gt;","plainTextFormattedCitation":"[51,52]","previouslyFormattedCitation":"&lt;sup&gt;[51,52]&lt;/sup&gt;"},"properties":{"noteIndex":0},"schema":"https://github.com/citation-style-language/schema/raw/master/csl-citation.json"}</w:instrText>
      </w:r>
      <w:r w:rsidR="00424272" w:rsidRPr="00E47A42">
        <w:rPr>
          <w:rFonts w:ascii="Book Antiqua" w:hAnsi="Book Antiqua"/>
          <w:sz w:val="24"/>
          <w:szCs w:val="24"/>
          <w:lang w:val="en-US"/>
        </w:rPr>
        <w:fldChar w:fldCharType="separate"/>
      </w:r>
      <w:r w:rsidR="00AB3269" w:rsidRPr="00E47A42">
        <w:rPr>
          <w:rFonts w:ascii="Book Antiqua" w:hAnsi="Book Antiqua"/>
          <w:noProof/>
          <w:sz w:val="24"/>
          <w:szCs w:val="24"/>
          <w:vertAlign w:val="superscript"/>
          <w:lang w:val="en-US"/>
        </w:rPr>
        <w:t>[51,52]</w:t>
      </w:r>
      <w:r w:rsidR="00424272" w:rsidRPr="00E47A42">
        <w:rPr>
          <w:rFonts w:ascii="Book Antiqua" w:hAnsi="Book Antiqua"/>
          <w:sz w:val="24"/>
          <w:szCs w:val="24"/>
          <w:lang w:val="en-US"/>
        </w:rPr>
        <w:fldChar w:fldCharType="end"/>
      </w:r>
      <w:r w:rsidRPr="00E47A42">
        <w:rPr>
          <w:rFonts w:ascii="Book Antiqua" w:hAnsi="Book Antiqua"/>
          <w:sz w:val="24"/>
          <w:szCs w:val="24"/>
          <w:lang w:val="en-US"/>
        </w:rPr>
        <w:t>. Notably, BPC 157 instantly prevents and reverses L-NAME-induced hypertension and L-NAME-</w:t>
      </w:r>
      <w:r w:rsidR="00495E6D" w:rsidRPr="00E47A42">
        <w:rPr>
          <w:rFonts w:ascii="Book Antiqua" w:hAnsi="Book Antiqua"/>
          <w:sz w:val="24"/>
          <w:szCs w:val="24"/>
          <w:lang w:val="en-US"/>
        </w:rPr>
        <w:t xml:space="preserve">induced </w:t>
      </w:r>
      <w:r w:rsidRPr="00E47A42">
        <w:rPr>
          <w:rFonts w:ascii="Book Antiqua" w:hAnsi="Book Antiqua"/>
          <w:sz w:val="24"/>
          <w:szCs w:val="24"/>
          <w:lang w:val="en-US"/>
        </w:rPr>
        <w:t>thrombocytopenia as well as L-arginine-induced hypotension and L-arginine-</w:t>
      </w:r>
      <w:r w:rsidR="00495E6D" w:rsidRPr="00E47A42">
        <w:rPr>
          <w:rFonts w:ascii="Book Antiqua" w:hAnsi="Book Antiqua"/>
          <w:sz w:val="24"/>
          <w:szCs w:val="24"/>
          <w:lang w:val="en-US"/>
        </w:rPr>
        <w:t xml:space="preserve">induced </w:t>
      </w:r>
      <w:r w:rsidRPr="00E47A42">
        <w:rPr>
          <w:rFonts w:ascii="Book Antiqua" w:hAnsi="Book Antiqua"/>
          <w:sz w:val="24"/>
          <w:szCs w:val="24"/>
          <w:lang w:val="en-US"/>
        </w:rPr>
        <w:t>prolong</w:t>
      </w:r>
      <w:r w:rsidR="00EF3098" w:rsidRPr="00E47A42">
        <w:rPr>
          <w:rFonts w:ascii="Book Antiqua" w:hAnsi="Book Antiqua"/>
          <w:sz w:val="24"/>
          <w:szCs w:val="24"/>
          <w:lang w:val="en-US"/>
        </w:rPr>
        <w:t>ed bleeding</w:t>
      </w:r>
      <w:r w:rsidR="00495E6D" w:rsidRPr="00E47A42">
        <w:rPr>
          <w:rFonts w:ascii="Book Antiqua" w:hAnsi="Book Antiqua"/>
          <w:sz w:val="24"/>
          <w:szCs w:val="24"/>
          <w:lang w:val="en-US"/>
        </w:rPr>
        <w:t xml:space="preserve"> and</w:t>
      </w:r>
      <w:r w:rsidR="00EF3098" w:rsidRPr="00E47A42">
        <w:rPr>
          <w:rFonts w:ascii="Book Antiqua" w:hAnsi="Book Antiqua"/>
          <w:sz w:val="24"/>
          <w:szCs w:val="24"/>
          <w:lang w:val="en-US"/>
        </w:rPr>
        <w:t xml:space="preserve"> thrombocytopenia</w:t>
      </w:r>
      <w:r w:rsidR="00053992" w:rsidRPr="00E47A42">
        <w:rPr>
          <w:rFonts w:ascii="Book Antiqua" w:hAnsi="Book Antiqua"/>
          <w:sz w:val="24"/>
          <w:szCs w:val="24"/>
          <w:lang w:val="en-US"/>
        </w:rPr>
        <w:fldChar w:fldCharType="begin" w:fldLock="1"/>
      </w:r>
      <w:r w:rsidR="00053992" w:rsidRPr="00E47A42">
        <w:rPr>
          <w:rFonts w:ascii="Book Antiqua" w:hAnsi="Book Antiqua"/>
          <w:sz w:val="24"/>
          <w:szCs w:val="24"/>
          <w:lang w:val="en-US"/>
        </w:rPr>
        <w:instrText>ADDIN CSL_CITATION {"citationItems":[{"id":"ITEM-1","itemData":{"DOI":"10.1007/s10787-017-0323-6","ISSN":"15685608","abstract":"© 2017, Springer International Publishing. Aim: Stable gastric pentadecapeptide BPC 157, administered before a high-dose magnesium injection in rats, might be a useful peptide therapy against magnesium toxicity and the magnesium-induced effect on cell depolarization. Moreover, this might be an NO-system-related effect. Previously, BPC 157 counteracts paralysis, arrhythmias and hyperkalaemia, extreme muscle weakness; parasympathetic and neuromuscular blockade; injured muscle healing and interacts with the NOS-blocker and NOS-substrate effects. Main methods: Assessment included magnesium sulfate (560 mg/kg intraperitoneally)-induced muscle weakness, muscle and brain lesions, hypermagnesemia, hyperkalaemia, increased serum enzyme values assessed in rats during and at the end of a 30-min period and medication (given intraperitoneally/kg at 15 min before magnesium) [BPC 157 (10 µg, 10 ng), l-NAME (5 mg), l-arginine (100 mg), alone and/or together]. In HEK293 cells, the increasing magnesium concentration from 1 to 5 mM could depolarize the cells at 1.75 ± 0.44 mV. Key findings: l-NAME + magnesium-rats and l-arginine + magnesium-rats exhibited worsened severe muscle weakness and lesions, brain lesions, hypermagnesemia and serum enzymes values, with emerging hyperkalaemia. However, l-NAME + l-arginine + magnesium-rats exhibited all control values and normokalaemia. BPC 157 abrogated hypermagnesemia and counteracted all of the magnesium-induced disturbances (including those aggravated by l-NAME or l-arginine). Thus, cell depolarization due to increasing magnesium concentration was inhibited in the presence of BPC 157 (1 µM) in vitro. Significance: BPC 157 likely counteracts the initial event leading to hypermagnesemia and the life-threatening actions after a magnesium overdose. In contrast, a worsened clinical course, higher hypermagnesemia, and emerging hyperkalaemia might cause both l-NAME and l-arginine to affect the same events adversely. These events were also opposed by BPC 157.","author":[{"dropping-particle":"","family":"Medvidovic-Grubisic","given":"M.","non-dropping-particle":"","parse-names":false,"suffix":""},{"dropping-particle":"","family":"Stambolija","given":"V.","non-dropping-particle":"","parse-names":false,"suffix":""},{"dropping-particle":"","family":"Kolenc","given":"D.","non-dropping-particle":"","parse-names":false,"suffix":""},{"dropping-particle":"","family":"Katancic","given":"J.","non-dropping-particle":"","parse-names":false,"suffix":""},{"dropping-particle":"","family":"Murselovic","given":"T.","non-dropping-particle":"","parse-names":false,"suffix":""},{"dropping-particle":"","family":"Plestina-Borjan","given":"I.","non-dropping-particle":"","parse-names":false,"suffix":""},{"dropping-particle":"","family":"Strbe","given":"S.","non-dropping-particle":"","parse-names":false,"suffix":""},{"dropping-particle":"","family":"Drmic","given":"D.","non-dropping-particle":"","parse-names":false,"suffix":""},{"dropping-particle":"","family":"Barisic","given":"I.","non-dropping-particle":"","parse-names":false,"suffix":""},{"dropping-particle":"","family":"Sindic","given":"A.","non-dropping-particle":"","parse-names":false,"suffix":""},{"dropping-particle":"","family":"Seiwerth","given":"S.","non-dropping-particle":"","parse-names":false,"suffix":""},{"dropping-particle":"","family":"Sikiric","given":"P.","non-dropping-particle":"","parse-names":false,"suffix":""}],"container-title":"Inflammopharmacology","id":"ITEM-1","issue":"4","issued":{"date-parts":[["2017"]]},"title":"Hypermagnesemia disturbances in rats, NO-related: pentadecapeptide BPC 157 abrogates, l-NAME and l-arginine worsen","type":"article-journal","volume":"25"},"uris":["http://www.mendeley.com/documents/?uuid=372f9f85-7d86-3df0-9517-2ba95d921675"]},{"id":"ITEM-2","itemData":{"DOI":"10.1016/j.ejphar.2015.12.016","ISSN":"00142999","author":[{"dropping-particle":"","family":"Kokot","given":"Antonio","non-dropping-particle":"","parse-names":false,"suffix":""},{"dropping-particle":"","family":"Zlatar","given":"Mirna","non-dropping-particle":"","parse-names":false,"suffix":""},{"dropping-particle":"","family":"Stupnisek","given":"Mirjana","non-dropping-particle":"","parse-names":false,"suffix":""},{"dropping-particle":"","family":"Drmic","given":"Domagoj","non-dropping-particle":"","parse-names":false,"suffix":""},{"dropping-particle":"","family":"Radic","given":"Radivoje","non-dropping-particle":"","parse-names":false,"suffix":""},{"dropping-particle":"","family":"Vcev","given":"Aleksandar","non-dropping-particle":"","parse-names":false,"suffix":""},{"dropping-particle":"","family":"Seiwerth","given":"Sven","non-dropping-particle":"","parse-names":false,"suffix":""},{"dropping-particle":"","family":"Sikiric","given":"Predrag","non-dropping-particle":"","parse-names":false,"suffix":""}],"container-title":"European Journal of Pharmacology","id":"ITEM-2","issued":{"date-parts":[["2016","1"]]},"page":"211-219","title":"NO system dependence of atropine-induced mydriasis and L-NAME- and L-arginine-induced miosis: Reversal by the pentadecapeptide BPC 157 in rats and guinea pigs","type":"article-journal","volume":"771"},"uris":["http://www.mendeley.com/documents/?uuid=ead82f41-d78d-4c3a-8b32-53cca4af2019"]}],"mendeley":{"formattedCitation":"&lt;sup&gt;[51,52]&lt;/sup&gt;","plainTextFormattedCitation":"[51,52]","previouslyFormattedCitation":"&lt;sup&gt;[51,52]&lt;/sup&gt;"},"properties":{"noteIndex":0},"schema":"https://github.com/citation-style-language/schema/raw/master/csl-citation.json"}</w:instrText>
      </w:r>
      <w:r w:rsidR="00053992" w:rsidRPr="00E47A42">
        <w:rPr>
          <w:rFonts w:ascii="Book Antiqua" w:hAnsi="Book Antiqua"/>
          <w:sz w:val="24"/>
          <w:szCs w:val="24"/>
          <w:lang w:val="en-US"/>
        </w:rPr>
        <w:fldChar w:fldCharType="separate"/>
      </w:r>
      <w:r w:rsidR="00053992" w:rsidRPr="00E47A42">
        <w:rPr>
          <w:rFonts w:ascii="Book Antiqua" w:hAnsi="Book Antiqua"/>
          <w:noProof/>
          <w:sz w:val="24"/>
          <w:szCs w:val="24"/>
          <w:vertAlign w:val="superscript"/>
          <w:lang w:val="en-US"/>
        </w:rPr>
        <w:t>[13]</w:t>
      </w:r>
      <w:r w:rsidR="00053992" w:rsidRPr="00E47A42">
        <w:rPr>
          <w:rFonts w:ascii="Book Antiqua" w:hAnsi="Book Antiqua"/>
          <w:sz w:val="24"/>
          <w:szCs w:val="24"/>
          <w:lang w:val="en-US"/>
        </w:rPr>
        <w:fldChar w:fldCharType="end"/>
      </w:r>
      <w:r w:rsidRPr="00E47A42">
        <w:rPr>
          <w:rFonts w:ascii="Book Antiqua" w:hAnsi="Book Antiqua"/>
          <w:sz w:val="24"/>
          <w:szCs w:val="24"/>
          <w:lang w:val="en-US"/>
        </w:rPr>
        <w:t xml:space="preserve">. </w:t>
      </w:r>
    </w:p>
    <w:p w14:paraId="4104E0BB" w14:textId="6509724F" w:rsidR="00A302B4" w:rsidRPr="00E47A42" w:rsidRDefault="00A302B4" w:rsidP="00C14212">
      <w:pPr>
        <w:autoSpaceDE w:val="0"/>
        <w:adjustRightInd w:val="0"/>
        <w:snapToGrid w:val="0"/>
        <w:spacing w:after="0" w:line="360" w:lineRule="auto"/>
        <w:ind w:firstLineChars="100" w:firstLine="240"/>
        <w:jc w:val="both"/>
        <w:rPr>
          <w:rFonts w:ascii="Book Antiqua" w:hAnsi="Book Antiqua" w:cs="Times New Roman"/>
          <w:sz w:val="24"/>
          <w:szCs w:val="24"/>
          <w:lang w:val="en-US"/>
        </w:rPr>
      </w:pPr>
      <w:r w:rsidRPr="00E47A42">
        <w:rPr>
          <w:rFonts w:ascii="Book Antiqua" w:hAnsi="Book Antiqua" w:cs="Times New Roman"/>
          <w:sz w:val="24"/>
          <w:szCs w:val="24"/>
          <w:lang w:val="en-US"/>
        </w:rPr>
        <w:t xml:space="preserve">Therefore, </w:t>
      </w:r>
      <w:r w:rsidR="00514918" w:rsidRPr="00E47A42">
        <w:rPr>
          <w:rFonts w:ascii="Book Antiqua" w:hAnsi="Book Antiqua" w:cs="Times New Roman"/>
          <w:sz w:val="24"/>
          <w:szCs w:val="24"/>
          <w:lang w:val="en-US"/>
        </w:rPr>
        <w:t>BPC 157</w:t>
      </w:r>
      <w:r w:rsidR="002410ED" w:rsidRPr="00E47A42">
        <w:rPr>
          <w:rFonts w:ascii="Book Antiqua" w:hAnsi="Book Antiqua" w:cs="Times New Roman"/>
          <w:sz w:val="24"/>
          <w:szCs w:val="24"/>
          <w:lang w:val="en-US"/>
        </w:rPr>
        <w:t>,</w:t>
      </w:r>
      <w:r w:rsidR="00514918" w:rsidRPr="00E47A42">
        <w:rPr>
          <w:rFonts w:ascii="Book Antiqua" w:hAnsi="Book Antiqua" w:cs="Times New Roman"/>
          <w:sz w:val="24"/>
          <w:szCs w:val="24"/>
          <w:lang w:val="en-US"/>
        </w:rPr>
        <w:t xml:space="preserve"> with </w:t>
      </w:r>
      <w:r w:rsidR="0080664F" w:rsidRPr="00E47A42">
        <w:rPr>
          <w:rFonts w:ascii="Book Antiqua" w:hAnsi="Book Antiqua" w:cs="Times New Roman"/>
          <w:sz w:val="24"/>
          <w:szCs w:val="24"/>
          <w:lang w:val="en-US"/>
        </w:rPr>
        <w:t xml:space="preserve">certain </w:t>
      </w:r>
      <w:r w:rsidR="00514918" w:rsidRPr="00E47A42">
        <w:rPr>
          <w:rFonts w:ascii="Book Antiqua" w:hAnsi="Book Antiqua" w:cs="Times New Roman"/>
          <w:sz w:val="24"/>
          <w:szCs w:val="24"/>
          <w:lang w:val="en-US"/>
        </w:rPr>
        <w:t>vascular effect</w:t>
      </w:r>
      <w:r w:rsidR="0080664F" w:rsidRPr="00E47A42">
        <w:rPr>
          <w:rFonts w:ascii="Book Antiqua" w:hAnsi="Book Antiqua" w:cs="Times New Roman"/>
          <w:sz w:val="24"/>
          <w:szCs w:val="24"/>
          <w:lang w:val="en-US"/>
        </w:rPr>
        <w:t>s</w:t>
      </w:r>
      <w:r w:rsidR="00A13458"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{"citationItems":[{"id":"ITEM-1","itemData":{"DOI":"10.3748/wjg.v23.i48.8465","ISSN":"2219-2840","PMID":"29358856","abstract":"AIM To provide new insights in treatment of colitis and ischemia and reperfusion in rats using stable gastric pentadecapeptide BPC 157. METHODS Medication [BPC 157, L-NAME, L-arginine (alone/combined), saline] was bath at the blood deprived colon segment. During reperfusion, medication was BPC 157 or saline. We recorded (USB microscope camera) vessel presentation through next 15 min of ischemic colitis (IC-rats) or reperfusion (removed ligations) (IC + RL-rats); oxidative stress as MDA (increased (IC- and IC + RL-rats)) and NO levels (decreased (IC-rats); increased (IC + RL-rats)) in colon tissue. IC + OB-rats [IC-rats had additional colon obstruction (OB)] for 3 d (IC + OB-rats), then received BPC 157 bath. RESULTS Commonly, in colon segment (25 mm, 2 ligations on left colic artery and vein, 3 arcade vessels within ligated segment), in IC-, IC + RL-, IC + OB-rats, BPC 157 (10 μg/kg) bath (1 mL/rat) increased vessel presentation, inside/outside arcade interconnections quickly reappeared, mucosal folds were preserved and the pale areas were small and markedly reduced. BPC 157 counteracted worsening effects induced by L-NAME (5 mg) and L-arginine (100 mg). MDA- and NO-levels were normal in BPC 157 treated IC-rats and IC + RL-rats. In addition, on day 10, BPC 157-treated IC + OB-rats presented almost completely spared mucosa with very small pale areas and no gross mucosal defects; the treated colon segment was of normal diameter, and only small adhesions were present. CONCLUSION BPC 157 is a fundamental treatment that quickly restores blood supply to the ischemically injured area and rapidly activates collaterals. This effect involves the NO system.","author":[{"dropping-particle":"","family":"Duzel","given":"Antonija","non-dropping-particle":"","parse-names":false,"suffix":""},{"dropping-particle":"","family":"Vlainic","given":"Josipa","non-dropping-particle":"","parse-names":false,"suffix":""},{"dropping-particle":"","family":"Antunovic","given":"Marko","non-dropping-particle":"","parse-names":false,"suffix":""},{"dropping-particle":"","family":"Malekinusic","given":"Dominik","non-dropping-particle":"","parse-names":false,"suffix":""},{"dropping-particle":"","family":"Vrdoljak","given":"Borna","non-dropping-particle":"","parse-names":false,"suffix":""},{"dropping-particle":"","family":"Samara","given":"Mariam","non-dropping-particle":"","parse-names":false,"suffix":""},{"dropping-particle":"","family":"Gojkovic","given":"Slaven","non-dropping-particle":"","parse-names":false,"suffix":""},{"dropping-particle":"","family":"Krezic","given":"Ivan","non-dropping-particle":"","parse-names":false,"suffix":""},{"dropping-particle":"","family":"Vidovic","given":"Tinka","non-dropping-particle":"","parse-names":false,"suffix":""},{"dropping-particle":"","family":"Bilic","given":"Zdenko","non-dropping-particle":"","parse-names":false,"suffix":""},{"dropping-particle":"","family":"Knezevic","given":"Mario","non-dropping-particle":"","parse-names":false,"suffix":""},{"dropping-particle":"","family":"Sever","given":"Marko","non-dropping-particle":"","parse-names":false,"suffix":""},{"dropping-particle":"","family":"Lojo","given":"Nermin","non-dropping-particle":"","parse-names":false,"suffix":""},{"dropping-particle":"","family":"Kokot","given":"Antonio","non-dropping-particle":"","parse-names":false,"suffix":""},{"dropping-particle":"","family":"Kolovrat","given":"Marijan","non-dropping-particle":"","parse-names":false,"suffix":""},{"dropping-particle":"","family":"Drmic","given":"Domagoj","non-dropping-particle":"","parse-names":false,"suffix":""},{"dropping-particle":"","family":"Vukojevic","given":"Jaksa","non-dropping-particle":"","parse-names":false,"suffix":""},{"dropping-particle":"","family":"Kralj","given":"Tamara","non-dropping-particle":"","parse-names":false,"suffix":""},{"dropping-particle":"","family":"Kasnik","given":"Katarina","non-dropping-particle":"","parse-names":false,"suffix":""},{"dropping-particle":"","family":"Siroglavic","given":"Marko","non-dropping-particle":"","parse-names":false,"suffix":""},{"dropping-particle":"","family":"Seiwerth","given":"Sven","non-dropping-particle":"","parse-names":false,"suffix":""},{"dropping-particle":"","family":"Sikiric","given":"Predrag","non-dropping-particle":"","parse-names":false,"suffix":""}],"container-title":"World journal of gastroenterology","id":"ITEM-1","issue":"48","issued":{"date-parts":[["2017","12","28"]]},"page":"8465-8488","title":"Stable gastric pentadecapeptide BPC 157 in the treatment of colitis and ischemia and reperfusion in rats: New insights.","type":"article-journal","volume":"23"},"uris":["http://www.mendeley.com/documents/?uuid=2c34d292-0140-3a84-912b-63eda51db635"]},{"id":"ITEM-2","itemData":{"DOI":"10.1016/j.vph.2018.02.010","ISSN":"18793649","abstract":"© 2018 Elsevier Inc. Rat inferior caval vein (ICV) ligation (up to the right ovarian vein (ROV)) commonly represents a recapitulation of Virchow: with ligation leading to vessel injury, stasis, thrombosis and hemodynamic changes. We revealed that BPC 157's therapy collectively attenuated or counteracted all these events and the full syndrome. Methods: We applied BPC 157 (10 μg, 10 ng/kg) as an early regimen or as a delayed therapy. Assessment includes gross assessment by microcamera; microscopy, venography, bleeding, blood pressure, ECG, thermography, MDA and NO-level in plasma and ICV, and gene expression. Results: Direct vein injury, thrombosis, thrombocytopenia, prolonged bleeding were all counteracted. Also, rapid presentation of collaterals and redistribution of otherwise trapped blood volume (bypassing through the left ovarian vein (LOV) and other veins), with venous hypertension, arterial hypotension and tachycardia counteraction were shown. BPC 157-rats presented raised plasma NO-values, but normal MDA-values; in ICV tissue reverted low NO-values and counteracted increased MDA-levels. Altered expression of EGR, NOS, SRF, VEGFR and KRAS in ICV, ROV and LOV revealed increased or decreased levels, while some genes continuously remained unchanged. Conclusion: As a new insight, BPC 157 application largely attenuated or even completely eliminated all consequences of ICV ligation in rats.","author":[{"dropping-particle":"","family":"Vukojević","given":"J.","non-dropping-particle":"","parse-names":false,"suffix":""},{"dropping-particle":"","family":"Siroglavić","given":"M.","non-dropping-particle":"","parse-names":false,"suffix":""},{"dropping-particle":"","family":"Kašnik","given":"K.","non-dropping-particle":"","parse-names":false,"suffix":""},{"dropping-particle":"","family":"Kralj","given":"T.","non-dropping-particle":"","parse-names":false,"suffix":""},{"dropping-particle":"","family":"Stanćić","given":"D.","non-dropping-particle":"","parse-names":false,"suffix":""},{"dropping-particle":"","family":"Kokot","given":"A.","non-dropping-particle":"","parse-names":false,"suffix":""},{"dropping-particle":"","family":"Kolarić","given":"D.","non-dropping-particle":"","parse-names":false,"suffix":""},{"dropping-particle":"","family":"Drmić","given":"D.","non-dropping-particle":"","parse-names":false,"suffix":""},{"dropping-particle":"","family":"Sever","given":"A.Z.","non-dropping-particle":"","parse-names":false,"suffix":""},{"dropping-particle":"","family":"Barišić","given":"I.","non-dropping-particle":"","parse-names":false,"suffix":""},{"dropping-particle":"","family":"Šuran","given":"J.","non-dropping-particle":"","parse-names":false,"suffix":""},{"dropping-particle":"","family":"Bojić","given":"D.","non-dropping-particle":"","parse-names":false,"suffix":""},{"dropping-particle":"","family":"Patrlj","given":"M.H.","non-dropping-particle":"","parse-names":false,"suffix":""},{"dropping-particle":"","family":"Sjekavica","given":"I.","non-dropping-particle":"","parse-names":false,"suffix":""},{"dropping-particle":"","family":"Pavlov","given":"K.H.","non-dropping-particle":"","parse-names":false,"suffix":""},{"dropping-particle":"","family":"Vidović","given":"T.","non-dropping-particle":"","parse-names":false,"suffix":""},{"dropping-particle":"","family":"Vlainić","given":"J.","non-dropping-particle":"","parse-names":false,"suffix":""},{"dropping-particle":"","family":"Stupnišek","given":"M.","non-dropping-particle":"","parse-names":false,"suffix":""},{"dropping-particle":"","family":"Seiwerth","given":"S.","non-dropping-particle":"","parse-names":false,"suffix":""},{"dropping-particle":"","family":"Sikirić","given":"P.","non-dropping-particle":"","parse-names":false,"suffix":""}],"container-title":"Vascular Pharmacology","id":"ITEM-2","issued":{"date-parts":[["2018"]]},"page":"54-66","title":"Rat inferior caval vein (ICV) ligature and particular new insights with the stable gastric pentadecapeptide BPC 157","type":"article-journal","volume":"106"},"uris":["http://www.mendeley.com/documents/?uuid=0d4e894c-6fc1-3bed-bb8f-4b56e696ff06"]}],"mendeley":{"formattedCitation":"&lt;sup&gt;[20,21]&lt;/sup&gt;","plainTextFormattedCitation":"[20,21]","previouslyFormattedCitation":"&lt;sup&gt;[20,21]&lt;/sup&gt;"},"properties":{"noteIndex":0},"schema":"https://github.com/citation-style-language/schema/raw/master/csl-citation.json"}</w:instrText>
      </w:r>
      <w:r w:rsidR="00A13458"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[20,21]</w:t>
      </w:r>
      <w:r w:rsidR="00A13458" w:rsidRPr="00E47A42">
        <w:rPr>
          <w:rFonts w:ascii="Book Antiqua" w:hAnsi="Book Antiqua" w:cs="Times New Roman"/>
          <w:sz w:val="24"/>
          <w:szCs w:val="24"/>
          <w:lang w:val="en-US"/>
        </w:rPr>
        <w:fldChar w:fldCharType="end"/>
      </w:r>
      <w:r w:rsidR="00514918" w:rsidRPr="00E47A42">
        <w:rPr>
          <w:rFonts w:ascii="Book Antiqua" w:hAnsi="Book Antiqua" w:cs="Times New Roman"/>
          <w:sz w:val="24"/>
          <w:szCs w:val="24"/>
          <w:lang w:val="en-US"/>
        </w:rPr>
        <w:t xml:space="preserve"> </w:t>
      </w:r>
      <w:r w:rsidR="00BC41A6" w:rsidRPr="00E47A42">
        <w:rPr>
          <w:rFonts w:ascii="Book Antiqua" w:hAnsi="Book Antiqua" w:cs="Times New Roman"/>
          <w:sz w:val="24"/>
          <w:szCs w:val="24"/>
          <w:lang w:val="en-US"/>
        </w:rPr>
        <w:t>and NO-effect</w:t>
      </w:r>
      <w:r w:rsidR="00755369" w:rsidRPr="00E47A42">
        <w:rPr>
          <w:rFonts w:ascii="Book Antiqua" w:hAnsi="Book Antiqua" w:cs="Times New Roman"/>
          <w:sz w:val="24"/>
          <w:szCs w:val="24"/>
          <w:lang w:val="en-US"/>
        </w:rPr>
        <w:fldChar w:fldCharType="begin" w:fldLock="1"/>
      </w:r>
      <w:r w:rsidR="00AB3269" w:rsidRPr="00E47A42">
        <w:rPr>
          <w:rFonts w:ascii="Book Antiqua" w:hAnsi="Book Antiqua" w:cs="Times New Roman"/>
          <w:sz w:val="24"/>
          <w:szCs w:val="24"/>
          <w:lang w:val="en-US"/>
        </w:rPr>
        <w:instrText>ADDIN CSL_CITATION {"citationItems":[{"id":"ITEM-1","itemData":{"ISSN":"1873-4286","PMID":"23755725","abstract":"We reviewed stable gastric pentadecapeptide BPC 157-NO-system-relation, its close participation in Moncada's (maintained vascular integrity, platelets control) homeostatic healing response of NO-system to injury. Namely, BPC 157's particular healing effect also affects all events after vascular integrity loss (dependent on circumstances, it reduces either thrombosis (abdominal aorta anastomosis) or bleeding/thrombocytopenia (amputation, heparin, warfarin, aspirin)) and in a series of different injurious models, acute and chronic, BPC 157 consistently advances healing after severe injuries in various tissues spontaneously unable to heal; stimulates egr-1 and naB2 genes; exhibits high safety (LD1 not achieved)). Hypothesis, that BPC 157 (since formed constitutively in the gastric mucosa, stable in human gastric juice, along with significance of NO-synthase and the basal formation of NO in stomach mucosa, greater than that seen in other tissues) exhibits a general, effective competing both with L-arginine analogues (i. e., L-NAME) and L-arginine, and that this has some physiologic importance (NO-generation), later, practically supports its beneficial effects illustrating BPC 157 and NOsystem mutual (with L-NAME/L-arginine; alone and together) relations in (i) gastric mucosa and mucosal protection, following alcohol lesions, in cytoprotection course, NO-generation, and blood pressure regulation; (ii) alcohol acute/chronic intoxication, and withdrawal; (iii) cardiovascular disturbances, chronic heart failure, pulmonary hypertension, and arrhythmias; (iv) disturbances after hypokalemia and hyperkalemia, and potassium-cell membrane dysfunction; and finally, in (v) complex healing failure, proved by the fistulas healing, colocutaneous and esophagocutaneous. However, how this advantage of modulating NO-system (i. e., particular effect on eNOS gene), may be practically translated into an enhanced clinical performance remains to be determined.","author":[{"dropping-particle":"","family":"Sikiric","given":"Predrag","non-dropping-particle":"","parse-names":false,"suffix":""},{"dropping-particle":"","family":"Seiwerth","given":"Sven","non-dropping-particle":"","parse-names":false,"suffix":""},{"dropping-particle":"","family":"Rucman","given":"Rudolf","non-dropping-particle":"","parse-names":false,"suffix":""},{"dropping-particle":"","family":"Turkovic","given":"Branko","non-dropping-particle":"","parse-names":false,"suffix":""},{"dropping-particle":"","family":"Rokotov","given":"Dinko Stancic","non-dropping-particle":"","parse-names":false,"suffix":""},{"dropping-particle":"","family":"Brcic","given":"Luka","non-dropping-particle":"","parse-names":false,"suffix":""},{"dropping-particle":"","family":"Sever","given":"Marko","non-dropping-particle":"","parse-names":false,"suffix":""},{"dropping-particle":"","family":"Klicek","given":"Robert","non-dropping-particle":"","parse-names":false,"suffix":""},{"dropping-particle":"","family":"Radic","given":"Bozo","non-dropping-particle":"","parse-names":false,"suffix":""},{"dropping-particle":"","family":"Drmic","given":"Domagoj","non-dropping-particle":"","parse-names":false,"suffix":""},{"dropping-particle":"","family":"Ilic","given":"Spomenko","non-dropping-particle":"","parse-names":false,"suffix":""},{"dropping-particle":"","family":"Kolenc","given":"Danijela","non-dropping-particle":"","parse-names":false,"suffix":""},{"dropping-particle":"","family":"Aralica","given":"Gorana","non-dropping-particle":"","parse-names":false,"suffix":""},{"dropping-particle":"","family":"Stupnisek","given":"Mirjana","non-dropping-particle":"","parse-names":false,"suffix":""},{"dropping-particle":"","family":"Suran","given":"Jelena","non-dropping-particle":"","parse-names":false,"suffix":""},{"dropping-particle":"","family":"Barisic","given":"Ivan","non-dropping-particle":"","parse-names":false,"suffix":""},{"dropping-particle":"","family":"Dzidic","given":"Senka","non-dropping-particle":"","parse-names":false,"suffix":""},{"dropping-particle":"","family":"Vrcic","given":"Hrvoje","non-dropping-particle":"","parse-names":false,"suffix":""},{"dropping-particle":"","family":"Sebecic","given":"Bozidar","non-dropping-particle":"","parse-names":false,"suffix":""}],"container-title":"Current pharmaceutical design","id":"ITEM-1","issue":"7","issued":{"date-parts":[["2014"]]},"page":"1126-35","title":"Stable gastric pentadecapeptide BPC 157-NO-system relation.","type":"article-journal","volume":"20"},"uris":["http://www.mendeley.com/documents/?uuid=74ead48f-0c75-446a-a19b-49bb02b31992"]}],"mendeley":{"formattedCitation":"&lt;sup&gt;[13]&lt;/sup&gt;","plainTextFormattedCitation":"[13]","previouslyFormattedCitation":"&lt;sup&gt;[13]&lt;/sup&gt;"},"properties":{"noteIndex":0},"schema":"https://github.com/citation-style-language/schema/raw/master/csl-citation.json"}</w:instrText>
      </w:r>
      <w:r w:rsidR="00755369" w:rsidRPr="00E47A42">
        <w:rPr>
          <w:rFonts w:ascii="Book Antiqua" w:hAnsi="Book Antiqua" w:cs="Times New Roman"/>
          <w:sz w:val="24"/>
          <w:szCs w:val="24"/>
          <w:lang w:val="en-US"/>
        </w:rPr>
        <w:fldChar w:fldCharType="separate"/>
      </w:r>
      <w:r w:rsidR="00AB3269" w:rsidRPr="00E47A42">
        <w:rPr>
          <w:rFonts w:ascii="Book Antiqua" w:hAnsi="Book Antiqua" w:cs="Times New Roman"/>
          <w:noProof/>
          <w:sz w:val="24"/>
          <w:szCs w:val="24"/>
          <w:vertAlign w:val="superscript"/>
          <w:lang w:val="en-US"/>
        </w:rPr>
        <w:t>[13]</w:t>
      </w:r>
      <w:r w:rsidR="00755369" w:rsidRPr="00E47A42">
        <w:rPr>
          <w:rFonts w:ascii="Book Antiqua" w:hAnsi="Book Antiqua" w:cs="Times New Roman"/>
          <w:sz w:val="24"/>
          <w:szCs w:val="24"/>
          <w:lang w:val="en-US"/>
        </w:rPr>
        <w:fldChar w:fldCharType="end"/>
      </w:r>
      <w:r w:rsidR="00BC41A6" w:rsidRPr="00E47A42">
        <w:rPr>
          <w:rFonts w:ascii="Book Antiqua" w:hAnsi="Book Antiqua" w:cs="Times New Roman"/>
          <w:sz w:val="24"/>
          <w:szCs w:val="24"/>
          <w:lang w:val="en-US"/>
        </w:rPr>
        <w:t xml:space="preserve"> </w:t>
      </w:r>
      <w:r w:rsidR="00514918" w:rsidRPr="00E47A42">
        <w:rPr>
          <w:rFonts w:ascii="Book Antiqua" w:hAnsi="Book Antiqua" w:cs="Times New Roman"/>
          <w:sz w:val="24"/>
          <w:szCs w:val="24"/>
          <w:lang w:val="en-US"/>
        </w:rPr>
        <w:t>can be</w:t>
      </w:r>
      <w:r w:rsidR="0080664F" w:rsidRPr="00E47A42">
        <w:rPr>
          <w:rFonts w:ascii="Book Antiqua" w:hAnsi="Book Antiqua" w:cs="Times New Roman"/>
          <w:sz w:val="24"/>
          <w:szCs w:val="24"/>
          <w:lang w:val="en-US"/>
        </w:rPr>
        <w:t xml:space="preserve"> used in</w:t>
      </w:r>
      <w:r w:rsidR="00514918" w:rsidRPr="00E47A42">
        <w:rPr>
          <w:rFonts w:ascii="Book Antiqua" w:hAnsi="Book Antiqua" w:cs="Times New Roman"/>
          <w:sz w:val="24"/>
          <w:szCs w:val="24"/>
          <w:lang w:val="en-US"/>
        </w:rPr>
        <w:t xml:space="preserve"> </w:t>
      </w:r>
      <w:r w:rsidR="00514918" w:rsidRPr="00E47A42">
        <w:rPr>
          <w:rFonts w:ascii="Book Antiqua" w:hAnsi="Book Antiqua" w:cs="Times New Roman"/>
          <w:noProof/>
          <w:sz w:val="24"/>
          <w:szCs w:val="24"/>
          <w:lang w:val="en-US"/>
        </w:rPr>
        <w:t>perforated</w:t>
      </w:r>
      <w:r w:rsidR="00514918" w:rsidRPr="00E47A42">
        <w:rPr>
          <w:rFonts w:ascii="Book Antiqua" w:hAnsi="Book Antiqua" w:cs="Times New Roman"/>
          <w:sz w:val="24"/>
          <w:szCs w:val="24"/>
          <w:lang w:val="en-US"/>
        </w:rPr>
        <w:t xml:space="preserve"> cecum and bleeding therapy.</w:t>
      </w:r>
    </w:p>
    <w:p w14:paraId="3CF2508C" w14:textId="77777777" w:rsidR="00C14212" w:rsidRDefault="00C14212" w:rsidP="00F73ADC">
      <w:pPr>
        <w:snapToGrid w:val="0"/>
        <w:spacing w:after="0" w:line="360" w:lineRule="auto"/>
        <w:jc w:val="both"/>
        <w:rPr>
          <w:rFonts w:ascii="Book Antiqua" w:hAnsi="Book Antiqua" w:cs="Times New Roman"/>
          <w:sz w:val="24"/>
          <w:szCs w:val="24"/>
          <w:lang w:val="en-US" w:eastAsia="zh-CN"/>
        </w:rPr>
      </w:pPr>
      <w:bookmarkStart w:id="17" w:name="OLE_LINK43"/>
      <w:bookmarkStart w:id="18" w:name="_GoBack"/>
      <w:bookmarkEnd w:id="18"/>
    </w:p>
    <w:p w14:paraId="0F873932" w14:textId="325E1124" w:rsidR="002D03EA" w:rsidRPr="00E47A42" w:rsidRDefault="002D03EA" w:rsidP="00F73ADC">
      <w:pPr>
        <w:snapToGrid w:val="0"/>
        <w:spacing w:after="0" w:line="360" w:lineRule="auto"/>
        <w:jc w:val="both"/>
        <w:rPr>
          <w:rFonts w:ascii="Book Antiqua" w:hAnsi="Book Antiqua" w:cs="Segoe UI"/>
          <w:b/>
          <w:caps/>
          <w:sz w:val="24"/>
          <w:szCs w:val="24"/>
          <w:shd w:val="clear" w:color="auto" w:fill="FFFFFF"/>
        </w:rPr>
      </w:pPr>
      <w:r w:rsidRPr="00E47A42">
        <w:rPr>
          <w:rFonts w:ascii="Book Antiqua" w:hAnsi="Book Antiqua" w:cs="Segoe UI"/>
          <w:b/>
          <w:caps/>
          <w:sz w:val="24"/>
          <w:szCs w:val="24"/>
          <w:shd w:val="clear" w:color="auto" w:fill="FFFFFF"/>
        </w:rPr>
        <w:t>Article Highlights</w:t>
      </w:r>
      <w:r w:rsidR="00CB6D86">
        <w:rPr>
          <w:rFonts w:ascii="Book Antiqua" w:hAnsi="Book Antiqua" w:cs="Segoe UI"/>
          <w:b/>
          <w:caps/>
          <w:sz w:val="24"/>
          <w:szCs w:val="24"/>
          <w:shd w:val="clear" w:color="auto" w:fill="FFFFFF"/>
        </w:rPr>
        <w:t xml:space="preserve"> </w:t>
      </w:r>
    </w:p>
    <w:p w14:paraId="51A9E777"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background</w:t>
      </w:r>
    </w:p>
    <w:p w14:paraId="68E4446F" w14:textId="695AA002" w:rsidR="002D03EA" w:rsidRPr="00E47A42" w:rsidRDefault="002D03EA" w:rsidP="00F73ADC">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To illustrate the background, present status, and significance of the study we should emphasize that in cecum perforation studies the immediate post-perforation threat is rarely studied. On the other hand, we recently claimed that treatment with the prototype cytoprotective agent, stable gastric pentadecapeptide BPC 157, induces bypassing of occlusions in rats that underwent vessel occlusions through the rapid presentation of collaterals,</w:t>
      </w:r>
      <w:r w:rsidRPr="008B3B59">
        <w:rPr>
          <w:rFonts w:ascii="Book Antiqua" w:hAnsi="Book Antiqua" w:cs="Courier New"/>
          <w:sz w:val="24"/>
          <w:szCs w:val="24"/>
        </w:rPr>
        <w:t xml:space="preserve"> </w:t>
      </w:r>
      <w:r w:rsidRPr="00E47A42">
        <w:rPr>
          <w:rFonts w:ascii="Book Antiqua" w:hAnsi="Book Antiqua" w:cs="Courier New"/>
          <w:sz w:val="24"/>
          <w:szCs w:val="24"/>
        </w:rPr>
        <w:t xml:space="preserve">and exert its free radical scavenger effect in both ischemia </w:t>
      </w:r>
      <w:r w:rsidRPr="00E47A42">
        <w:rPr>
          <w:rFonts w:ascii="Book Antiqua" w:hAnsi="Book Antiqua" w:cs="Courier New"/>
          <w:sz w:val="24"/>
          <w:szCs w:val="24"/>
        </w:rPr>
        <w:lastRenderedPageBreak/>
        <w:t>and reperfusion. As a consequence, in this study</w:t>
      </w:r>
      <w:r w:rsidRPr="008B3B59">
        <w:rPr>
          <w:rFonts w:ascii="Book Antiqua" w:hAnsi="Book Antiqua" w:cs="Courier New"/>
          <w:sz w:val="24"/>
          <w:szCs w:val="24"/>
        </w:rPr>
        <w:t xml:space="preserve">, </w:t>
      </w:r>
      <w:r w:rsidRPr="00E47A42">
        <w:rPr>
          <w:rFonts w:ascii="Book Antiqua" w:hAnsi="Book Antiqua" w:cs="Courier New"/>
          <w:sz w:val="24"/>
          <w:szCs w:val="24"/>
        </w:rPr>
        <w:t xml:space="preserve">we focused on the resolving of the cecum perforation lesion, particularly the rapid disappearance of blood vessels in the cecum serosa that </w:t>
      </w:r>
      <w:r w:rsidRPr="00E47A42">
        <w:rPr>
          <w:rFonts w:ascii="Book Antiqua" w:hAnsi="Book Antiqua" w:cs="Courier New"/>
          <w:noProof/>
          <w:sz w:val="24"/>
          <w:szCs w:val="24"/>
        </w:rPr>
        <w:t>are</w:t>
      </w:r>
      <w:r w:rsidRPr="00E47A42">
        <w:rPr>
          <w:rFonts w:ascii="Book Antiqua" w:hAnsi="Book Antiqua" w:cs="Courier New"/>
          <w:sz w:val="24"/>
          <w:szCs w:val="24"/>
        </w:rPr>
        <w:t xml:space="preserve"> instantly emptied and thereby “disappear”, perforation defect enlargement, bleeding and fluid leakage, increased oxidative stress and disturbed </w:t>
      </w:r>
      <w:r w:rsidR="004416D7" w:rsidRPr="00E47A42">
        <w:rPr>
          <w:rFonts w:ascii="Book Antiqua" w:hAnsi="Book Antiqua" w:cs="Times New Roman"/>
          <w:sz w:val="24"/>
          <w:szCs w:val="24"/>
          <w:lang w:val="en-US"/>
        </w:rPr>
        <w:t>nitric oxide (NO)</w:t>
      </w:r>
      <w:r w:rsidRPr="00E47A42">
        <w:rPr>
          <w:rFonts w:ascii="Book Antiqua" w:hAnsi="Book Antiqua" w:cs="Courier New"/>
          <w:sz w:val="24"/>
          <w:szCs w:val="24"/>
        </w:rPr>
        <w:t xml:space="preserve"> levels in cecum tissue. </w:t>
      </w:r>
    </w:p>
    <w:p w14:paraId="1B9E70ED" w14:textId="77777777" w:rsidR="00FE11C3" w:rsidRPr="008B3B59" w:rsidRDefault="00FE11C3" w:rsidP="00F73ADC">
      <w:pPr>
        <w:snapToGrid w:val="0"/>
        <w:spacing w:after="0" w:line="360" w:lineRule="auto"/>
        <w:jc w:val="both"/>
        <w:rPr>
          <w:rFonts w:ascii="Book Antiqua" w:hAnsi="Book Antiqua" w:cs="Courier New"/>
          <w:color w:val="FF0000"/>
          <w:sz w:val="24"/>
          <w:szCs w:val="24"/>
        </w:rPr>
      </w:pPr>
    </w:p>
    <w:p w14:paraId="18224F09"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motivation</w:t>
      </w:r>
    </w:p>
    <w:p w14:paraId="40E3CACE" w14:textId="542A9F82" w:rsidR="002D03EA" w:rsidRPr="00E47A42" w:rsidRDefault="002D03EA" w:rsidP="00F73ADC">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The main topics, the key problems to be solved,</w:t>
      </w:r>
      <w:r w:rsidR="00CB6D86">
        <w:rPr>
          <w:rFonts w:ascii="Book Antiqua" w:hAnsi="Book Antiqua" w:cs="Courier New"/>
          <w:sz w:val="24"/>
          <w:szCs w:val="24"/>
        </w:rPr>
        <w:t xml:space="preserve"> </w:t>
      </w:r>
      <w:r w:rsidRPr="00E47A42">
        <w:rPr>
          <w:rFonts w:ascii="Book Antiqua" w:hAnsi="Book Antiqua" w:cs="Courier New"/>
          <w:sz w:val="24"/>
          <w:szCs w:val="24"/>
        </w:rPr>
        <w:t xml:space="preserve">and the significance of solving these problems for further research are related </w:t>
      </w:r>
      <w:r w:rsidRPr="00E47A42">
        <w:rPr>
          <w:rFonts w:ascii="Book Antiqua" w:hAnsi="Book Antiqua" w:cs="Courier New"/>
          <w:noProof/>
          <w:sz w:val="24"/>
          <w:szCs w:val="24"/>
        </w:rPr>
        <w:t xml:space="preserve">to </w:t>
      </w:r>
      <w:r w:rsidRPr="00E47A42">
        <w:rPr>
          <w:rFonts w:ascii="Book Antiqua" w:hAnsi="Book Antiqua" w:cs="Courier New"/>
          <w:sz w:val="24"/>
          <w:szCs w:val="24"/>
        </w:rPr>
        <w:t xml:space="preserve">reverse the immediate post-perforation threat in the cecum (and, therefore, the complete downhill course). We focused on perforated cecum, the stable gastric pentadecapeptide BPC 157, the NOS-blocker L-NAME, and the NOS-substrate L-arginine, as well as on the initial post-perforation period, rapid disappearance of blood vessels at the cecum serosa (emptied/disappeared), a large immediate defect, bleeding, leakage of fluid, increased oxidative stress and disturbed NO levels in cecum tissue. The rationale was that BPC 157 rapidly activated the collateral circulation from the existing vessels in rats with ischemic colitis or inferior </w:t>
      </w:r>
      <w:r w:rsidRPr="00E47A42">
        <w:rPr>
          <w:rFonts w:ascii="Book Antiqua" w:hAnsi="Book Antiqua" w:cs="Courier New"/>
          <w:noProof/>
          <w:sz w:val="24"/>
          <w:szCs w:val="24"/>
        </w:rPr>
        <w:t>caval</w:t>
      </w:r>
      <w:r w:rsidRPr="00E47A42">
        <w:rPr>
          <w:rFonts w:ascii="Book Antiqua" w:hAnsi="Book Antiqua" w:cs="Courier New"/>
          <w:sz w:val="24"/>
          <w:szCs w:val="24"/>
        </w:rPr>
        <w:t xml:space="preserve"> vein occlusion. This was further perceived as an extended cytoprotection background (endothelium maintenance → epithelium maintenance = blood vessel recruitment and activation toward injury), also described as “bypassing” occlusion via alternative ways, as demonstrated with BPC 157, which, in principle, can likely cure rats with perforated cecum and thereafter.</w:t>
      </w:r>
    </w:p>
    <w:p w14:paraId="285EF00B" w14:textId="77777777" w:rsidR="00FE11C3" w:rsidRPr="00E47A42" w:rsidRDefault="00FE11C3" w:rsidP="00F73ADC">
      <w:pPr>
        <w:snapToGrid w:val="0"/>
        <w:spacing w:after="0" w:line="360" w:lineRule="auto"/>
        <w:jc w:val="both"/>
        <w:rPr>
          <w:rFonts w:ascii="Book Antiqua" w:hAnsi="Book Antiqua" w:cs="Courier New"/>
          <w:sz w:val="24"/>
          <w:szCs w:val="24"/>
        </w:rPr>
      </w:pPr>
    </w:p>
    <w:p w14:paraId="7DE81008"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objectives</w:t>
      </w:r>
    </w:p>
    <w:p w14:paraId="29C77B3C" w14:textId="53885D02" w:rsidR="002D03EA" w:rsidRPr="00E47A42" w:rsidRDefault="002D03EA" w:rsidP="00256526">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 xml:space="preserve">The main objectives, the objectives that were realized, and the significance of these objectives for future research could be summarized as follows. In practice, as described previously, our approach to </w:t>
      </w:r>
      <w:r w:rsidRPr="00E47A42">
        <w:rPr>
          <w:rFonts w:ascii="Book Antiqua" w:hAnsi="Book Antiqua" w:cs="Courier New"/>
          <w:noProof/>
          <w:sz w:val="24"/>
          <w:szCs w:val="24"/>
        </w:rPr>
        <w:t>cure</w:t>
      </w:r>
      <w:r w:rsidRPr="00E47A42">
        <w:rPr>
          <w:rFonts w:ascii="Book Antiqua" w:hAnsi="Book Antiqua" w:cs="Courier New"/>
          <w:sz w:val="24"/>
          <w:szCs w:val="24"/>
        </w:rPr>
        <w:t xml:space="preserve"> perforated cecum begins with the original understanding of stomach cytoprotection (a very rapid protection of the stomach endothelium and epithelium against diverse direct injuries; endothelium maintenance → epithelium maintenance), as “bypassing” occlusion via alternative ways, as demonstrated with BPC 157. Furthermore, we used these findings as the general argument that under analogous or even worse conditions (</w:t>
      </w:r>
      <w:r w:rsidRPr="00E47A42">
        <w:rPr>
          <w:rFonts w:ascii="Book Antiqua" w:hAnsi="Book Antiqua" w:cs="Courier New"/>
          <w:i/>
          <w:sz w:val="24"/>
          <w:szCs w:val="24"/>
        </w:rPr>
        <w:t>i.e</w:t>
      </w:r>
      <w:r w:rsidRPr="00E47A42">
        <w:rPr>
          <w:rFonts w:ascii="Book Antiqua" w:hAnsi="Book Antiqua" w:cs="Courier New"/>
          <w:sz w:val="24"/>
          <w:szCs w:val="24"/>
        </w:rPr>
        <w:t xml:space="preserve">., perforated </w:t>
      </w:r>
      <w:r w:rsidRPr="00E47A42">
        <w:rPr>
          <w:rFonts w:ascii="Book Antiqua" w:hAnsi="Book Antiqua" w:cs="Courier New"/>
          <w:sz w:val="24"/>
          <w:szCs w:val="24"/>
        </w:rPr>
        <w:lastRenderedPageBreak/>
        <w:t xml:space="preserve">cecum) a similar positive outcome can appear. Consequently, BPC 157 can attenuate cecum perforation syndrome; in BPC 157-treated rats, therapy may lead to attenuation and reversal of the consequent tissue damage. Especially, reversal of vessel disappearance to vessel “running” toward the defect (vessel filled/reappeared), reversal of defect enlargement to defect narrowing, reversal of prolonged bleeding to bleeding attenuation can induce </w:t>
      </w:r>
      <w:r w:rsidRPr="00E47A42">
        <w:rPr>
          <w:rFonts w:ascii="Book Antiqua" w:hAnsi="Book Antiqua" w:cs="Courier New"/>
          <w:noProof/>
          <w:sz w:val="24"/>
          <w:szCs w:val="24"/>
        </w:rPr>
        <w:t>reduction</w:t>
      </w:r>
      <w:r w:rsidRPr="00E47A42">
        <w:rPr>
          <w:rFonts w:ascii="Book Antiqua" w:hAnsi="Book Antiqua" w:cs="Courier New"/>
          <w:sz w:val="24"/>
          <w:szCs w:val="24"/>
        </w:rPr>
        <w:t xml:space="preserve"> in the increased MDA values and normalization of NO values in cecum tissue. In subsequent days and weeks, this may lead to a closed cecum defect and attenuation of adhesion formation.</w:t>
      </w:r>
      <w:r w:rsidR="00BC3C35">
        <w:rPr>
          <w:rFonts w:ascii="Book Antiqua" w:hAnsi="Book Antiqua" w:cs="Courier New"/>
          <w:sz w:val="24"/>
          <w:szCs w:val="24"/>
        </w:rPr>
        <w:t xml:space="preserve"> </w:t>
      </w:r>
      <w:r w:rsidR="00CB6D86">
        <w:rPr>
          <w:rFonts w:ascii="Book Antiqua" w:hAnsi="Book Antiqua" w:cs="Courier New"/>
          <w:sz w:val="24"/>
          <w:szCs w:val="24"/>
        </w:rPr>
        <w:t xml:space="preserve"> </w:t>
      </w:r>
    </w:p>
    <w:p w14:paraId="64CF6C2F" w14:textId="77777777" w:rsidR="002D03EA" w:rsidRPr="00E47A42" w:rsidRDefault="002D03EA" w:rsidP="00256526">
      <w:pPr>
        <w:snapToGrid w:val="0"/>
        <w:spacing w:after="0" w:line="360" w:lineRule="auto"/>
        <w:jc w:val="both"/>
        <w:rPr>
          <w:rFonts w:ascii="Book Antiqua" w:hAnsi="Book Antiqua" w:cs="Courier New"/>
          <w:sz w:val="24"/>
          <w:szCs w:val="24"/>
          <w:lang w:eastAsia="zh-CN"/>
        </w:rPr>
      </w:pPr>
    </w:p>
    <w:p w14:paraId="46B09673"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methods</w:t>
      </w:r>
    </w:p>
    <w:p w14:paraId="3703D584" w14:textId="1832D327" w:rsidR="002D03EA" w:rsidRPr="00E47A42" w:rsidRDefault="002D03EA" w:rsidP="00256526">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 xml:space="preserve">As an advantageous principle, </w:t>
      </w:r>
      <w:r w:rsidRPr="00E47A42">
        <w:rPr>
          <w:rFonts w:ascii="Book Antiqua" w:hAnsi="Book Antiqua" w:cs="Courier New"/>
          <w:noProof/>
          <w:sz w:val="24"/>
          <w:szCs w:val="24"/>
        </w:rPr>
        <w:t>methodology</w:t>
      </w:r>
      <w:r w:rsidRPr="00E47A42">
        <w:rPr>
          <w:rFonts w:ascii="Book Antiqua" w:hAnsi="Book Antiqua" w:cs="Courier New"/>
          <w:sz w:val="24"/>
          <w:szCs w:val="24"/>
        </w:rPr>
        <w:t xml:space="preserve"> includes direct monitoring of the events occurring in rats during perforation of the cecum and immediately thereafter with the application of the stable gastric pentadecapeptide BPC 157, as </w:t>
      </w:r>
      <w:r w:rsidRPr="00E47A42">
        <w:rPr>
          <w:rFonts w:ascii="Book Antiqua" w:hAnsi="Book Antiqua" w:cs="Courier New"/>
          <w:noProof/>
          <w:sz w:val="24"/>
          <w:szCs w:val="24"/>
        </w:rPr>
        <w:t>a cytoprotective agent</w:t>
      </w:r>
      <w:r w:rsidRPr="00E47A42">
        <w:rPr>
          <w:rFonts w:ascii="Book Antiqua" w:hAnsi="Book Antiqua" w:cs="Courier New"/>
          <w:sz w:val="24"/>
          <w:szCs w:val="24"/>
        </w:rPr>
        <w:t>, and NO-agents, L-NAME and L-arginine.</w:t>
      </w:r>
      <w:r w:rsidR="00CB6D86">
        <w:rPr>
          <w:rFonts w:ascii="Book Antiqua" w:hAnsi="Book Antiqua" w:cs="Courier New"/>
          <w:sz w:val="24"/>
          <w:szCs w:val="24"/>
        </w:rPr>
        <w:t xml:space="preserve"> </w:t>
      </w:r>
      <w:r w:rsidRPr="00E47A42">
        <w:rPr>
          <w:rFonts w:ascii="Book Antiqua" w:hAnsi="Book Antiqua" w:cs="Courier New"/>
          <w:sz w:val="24"/>
          <w:szCs w:val="24"/>
        </w:rPr>
        <w:t>In deeply anaesthetized rats the cecum was exposed, and a perforation (5-mm diameter) was made at the ventral face of the basal region of the cecum close to the largest curvature; the rats were monitored for the next 15 minutes.</w:t>
      </w:r>
      <w:r w:rsidR="00CB6D86">
        <w:rPr>
          <w:rFonts w:ascii="Book Antiqua" w:hAnsi="Book Antiqua" w:cs="Courier New"/>
          <w:sz w:val="24"/>
          <w:szCs w:val="24"/>
        </w:rPr>
        <w:t xml:space="preserve"> </w:t>
      </w:r>
      <w:r w:rsidRPr="00E47A42">
        <w:rPr>
          <w:rFonts w:ascii="Book Antiqua" w:hAnsi="Book Antiqua" w:cs="Courier New"/>
          <w:sz w:val="24"/>
          <w:szCs w:val="24"/>
        </w:rPr>
        <w:t>The agents’ application (after 1 minute, medication (/kg, 10ml/2min bath/rat) includes: BPC 157 (10ug), L-NAME (5mg), L-arginine (100mg) alone or combined, and saline baths (controls)) on the rat perforate caecum injury. Alongside with the agents’ application, we continuously assessed the gross reappearance of the vessels (USB microcamera) quickly propagating toward the defect at the caecum surface, defect contraction, bleeding attenuation,</w:t>
      </w:r>
      <w:r w:rsidR="00CB6D86">
        <w:rPr>
          <w:rFonts w:ascii="Book Antiqua" w:hAnsi="Book Antiqua" w:cs="Courier New"/>
          <w:sz w:val="24"/>
          <w:szCs w:val="24"/>
        </w:rPr>
        <w:t xml:space="preserve"> </w:t>
      </w:r>
      <w:r w:rsidRPr="00E47A42">
        <w:rPr>
          <w:rFonts w:ascii="Book Antiqua" w:hAnsi="Book Antiqua" w:cs="Courier New"/>
          <w:sz w:val="24"/>
          <w:szCs w:val="24"/>
        </w:rPr>
        <w:t xml:space="preserve">MDA- and NO-levels in colon tissue at 15 minutes, and, in </w:t>
      </w:r>
      <w:r w:rsidRPr="00E47A42">
        <w:rPr>
          <w:rFonts w:ascii="Book Antiqua" w:hAnsi="Book Antiqua" w:cs="Courier New"/>
          <w:noProof/>
          <w:sz w:val="24"/>
          <w:szCs w:val="24"/>
        </w:rPr>
        <w:t>repalaratomized</w:t>
      </w:r>
      <w:r w:rsidRPr="00E47A42">
        <w:rPr>
          <w:rFonts w:ascii="Book Antiqua" w:hAnsi="Book Antiqua" w:cs="Courier New"/>
          <w:sz w:val="24"/>
          <w:szCs w:val="24"/>
        </w:rPr>
        <w:t xml:space="preserve"> rats severity of colon lesions and adhesions at 1 and 7 days.</w:t>
      </w:r>
      <w:r w:rsidRPr="00E47A42">
        <w:rPr>
          <w:rFonts w:ascii="Book Antiqua" w:hAnsi="Book Antiqua" w:cs="Times New Roman"/>
          <w:sz w:val="24"/>
          <w:szCs w:val="24"/>
        </w:rPr>
        <w:t xml:space="preserve"> </w:t>
      </w:r>
    </w:p>
    <w:p w14:paraId="40936762" w14:textId="77777777" w:rsidR="002D03EA" w:rsidRPr="00E47A42" w:rsidRDefault="002D03EA" w:rsidP="00F73ADC">
      <w:pPr>
        <w:snapToGrid w:val="0"/>
        <w:spacing w:after="0" w:line="360" w:lineRule="auto"/>
        <w:jc w:val="both"/>
        <w:rPr>
          <w:rFonts w:ascii="Book Antiqua" w:hAnsi="Book Antiqua"/>
          <w:b/>
          <w:color w:val="FF0000"/>
          <w:sz w:val="24"/>
          <w:szCs w:val="24"/>
          <w:lang w:eastAsia="zh-CN"/>
        </w:rPr>
      </w:pPr>
    </w:p>
    <w:p w14:paraId="71F1E7B3" w14:textId="77777777" w:rsidR="002D03EA" w:rsidRPr="00E47A42" w:rsidRDefault="002D03EA" w:rsidP="00F73ADC">
      <w:pPr>
        <w:snapToGrid w:val="0"/>
        <w:spacing w:after="0" w:line="360" w:lineRule="auto"/>
        <w:jc w:val="both"/>
        <w:rPr>
          <w:rFonts w:ascii="Book Antiqua" w:hAnsi="Book Antiqua"/>
          <w:b/>
          <w:i/>
          <w:sz w:val="24"/>
          <w:szCs w:val="24"/>
        </w:rPr>
      </w:pPr>
      <w:r w:rsidRPr="00E47A42">
        <w:rPr>
          <w:rFonts w:ascii="Book Antiqua" w:hAnsi="Book Antiqua"/>
          <w:b/>
          <w:i/>
          <w:sz w:val="24"/>
          <w:szCs w:val="24"/>
        </w:rPr>
        <w:t>Research results</w:t>
      </w:r>
    </w:p>
    <w:p w14:paraId="48D1952F" w14:textId="08AA83C8" w:rsidR="002D03EA" w:rsidRPr="00E47A42" w:rsidRDefault="002D03EA" w:rsidP="00F73ADC">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 xml:space="preserve">The study of the counteraction of perforated cecum lesions in rats and the effects of pentadecapeptide BPC 157, L-NAME and L-arginine </w:t>
      </w:r>
      <w:r w:rsidRPr="00E47A42">
        <w:rPr>
          <w:rFonts w:ascii="Book Antiqua" w:hAnsi="Book Antiqua" w:cs="Courier New"/>
          <w:noProof/>
          <w:sz w:val="24"/>
          <w:szCs w:val="24"/>
        </w:rPr>
        <w:t>merits several</w:t>
      </w:r>
      <w:r w:rsidRPr="00E47A42">
        <w:rPr>
          <w:rFonts w:ascii="Book Antiqua" w:hAnsi="Book Antiqua" w:cs="Courier New"/>
          <w:sz w:val="24"/>
          <w:szCs w:val="24"/>
        </w:rPr>
        <w:t xml:space="preserve"> emphasizes to summarize the research findings, their contribution to the research in the field, and the problems that remain to be solved. First, as an issue so far not fully addressed, to </w:t>
      </w:r>
      <w:r w:rsidRPr="00E47A42">
        <w:rPr>
          <w:rFonts w:ascii="Book Antiqua" w:hAnsi="Book Antiqua" w:cs="Courier New"/>
          <w:sz w:val="24"/>
          <w:szCs w:val="24"/>
        </w:rPr>
        <w:lastRenderedPageBreak/>
        <w:t>reverse the immediate post-perforation threat in the cecum (and, therefore, the complete downhill course) we focused on this immediate post-perforation period. We also addressed the novel aspect of vascular rescue through the application of cytoprotective agents, known, as a class, to function in endothelium maintenance in the gastrointestinal tract (and, thus, mucosal maintenance). Of note, with applied BPC 157 therapy, the whole initial syndrome (in particular, instantly emptied blood vessels at the cecum serosa (thus rapid “disappearance” of the existing vessels and vessel function failure upon injury)) and, consequently, perforation defect enlargement and fluid leakage, profuse bleeding, increased oxidative stress and disturbed NO levels in cecum tissue were accordingly affected. This specific level of healing (initial and final) can be not obtained from the effect of NOS-blockade (L-NAME) or NOS-substrate (L-arginine).</w:t>
      </w:r>
    </w:p>
    <w:p w14:paraId="2B550757" w14:textId="77777777" w:rsidR="002D03EA" w:rsidRPr="00E47A42" w:rsidRDefault="002D03EA" w:rsidP="00F73ADC">
      <w:pPr>
        <w:snapToGrid w:val="0"/>
        <w:spacing w:after="0" w:line="360" w:lineRule="auto"/>
        <w:ind w:left="1"/>
        <w:jc w:val="both"/>
        <w:rPr>
          <w:rFonts w:ascii="Book Antiqua" w:hAnsi="Book Antiqua" w:cs="Segoe UI"/>
          <w:color w:val="FF0000"/>
          <w:sz w:val="24"/>
          <w:szCs w:val="24"/>
          <w:shd w:val="clear" w:color="auto" w:fill="FFFFFF"/>
        </w:rPr>
      </w:pPr>
    </w:p>
    <w:p w14:paraId="78075138" w14:textId="77777777" w:rsidR="002D03EA" w:rsidRPr="00E47A42" w:rsidRDefault="002D03EA" w:rsidP="00F73ADC">
      <w:pPr>
        <w:snapToGrid w:val="0"/>
        <w:spacing w:after="0" w:line="360" w:lineRule="auto"/>
        <w:jc w:val="both"/>
        <w:rPr>
          <w:rFonts w:ascii="Book Antiqua" w:hAnsi="Book Antiqua" w:cs="Segoe UI"/>
          <w:b/>
          <w:i/>
          <w:sz w:val="24"/>
          <w:szCs w:val="24"/>
          <w:shd w:val="clear" w:color="auto" w:fill="FFFFFF"/>
        </w:rPr>
      </w:pPr>
      <w:r w:rsidRPr="00E47A42">
        <w:rPr>
          <w:rFonts w:ascii="Book Antiqua" w:hAnsi="Book Antiqua"/>
          <w:b/>
          <w:i/>
          <w:sz w:val="24"/>
          <w:szCs w:val="24"/>
        </w:rPr>
        <w:t>Research conclusions</w:t>
      </w:r>
    </w:p>
    <w:p w14:paraId="025B3DC0" w14:textId="25E7A1F5" w:rsidR="002D03EA" w:rsidRPr="00E47A42" w:rsidRDefault="005B46CC" w:rsidP="00F73ADC">
      <w:pPr>
        <w:snapToGrid w:val="0"/>
        <w:spacing w:after="0" w:line="360" w:lineRule="auto"/>
        <w:jc w:val="both"/>
        <w:rPr>
          <w:rFonts w:ascii="Book Antiqua" w:hAnsi="Book Antiqua" w:cs="Segoe UI"/>
          <w:sz w:val="24"/>
          <w:szCs w:val="24"/>
          <w:shd w:val="clear" w:color="auto" w:fill="FFFFFF"/>
        </w:rPr>
      </w:pPr>
      <w:r w:rsidRPr="00E47A42">
        <w:rPr>
          <w:rFonts w:ascii="Book Antiqua" w:hAnsi="Book Antiqua" w:cs="Segoe UI"/>
          <w:sz w:val="24"/>
          <w:szCs w:val="24"/>
          <w:shd w:val="clear" w:color="auto" w:fill="FFFFFF"/>
        </w:rPr>
        <w:t xml:space="preserve">As the new findings, we suggest that this recovering of the perforated cecum should be an activity much like an activity seen when BPC 157 rapidly activated the collateral circulation from existing vessels in rats with ischemic colitis or inferior </w:t>
      </w:r>
      <w:r w:rsidRPr="00E47A42">
        <w:rPr>
          <w:rFonts w:ascii="Book Antiqua" w:hAnsi="Book Antiqua" w:cs="Segoe UI"/>
          <w:noProof/>
          <w:sz w:val="24"/>
          <w:szCs w:val="24"/>
          <w:shd w:val="clear" w:color="auto" w:fill="FFFFFF"/>
        </w:rPr>
        <w:t>caval</w:t>
      </w:r>
      <w:r w:rsidRPr="00E47A42">
        <w:rPr>
          <w:rFonts w:ascii="Book Antiqua" w:hAnsi="Book Antiqua" w:cs="Segoe UI"/>
          <w:sz w:val="24"/>
          <w:szCs w:val="24"/>
          <w:shd w:val="clear" w:color="auto" w:fill="FFFFFF"/>
        </w:rPr>
        <w:t xml:space="preserve"> vein occlusion. Thus, the essential findings (i.e., cecum perforation syndrome occurs in BPC 157-treated rats with attenuation and reversal of the consequent tissue damages) indicate the rapidly activated bypassing loops (i.e., through arcade vessels or the left ovarian vein and other veins, corresponding to the prompt particular vascular rescue seen after perforation. Vascular rescue may be vessels “running” toward the defect (vessel filled/reappeared), and a small-vessel network appears around the perforated defect with BPC 157 bath administration. Each considered a break of blood flow, suggests that the therapy resolving the defect (i.e., cecum defect enlargement reversed to defect contraction in BPC 157-treated rats) may be reestablishing blood flow. That explanation represents the newest theoretical extension of cytoprotection theory background (endothelium maintenance → epithelium maintenance = blood vessel recruitment and activation toward injury, providing also described “bypassing” of occlusion through alternative ways). Since all chains of events could be accordingly and promptly involved to rapidly initiate </w:t>
      </w:r>
      <w:r w:rsidRPr="00E47A42">
        <w:rPr>
          <w:rFonts w:ascii="Book Antiqua" w:hAnsi="Book Antiqua" w:cs="Segoe UI"/>
          <w:sz w:val="24"/>
          <w:szCs w:val="24"/>
          <w:shd w:val="clear" w:color="auto" w:fill="FFFFFF"/>
        </w:rPr>
        <w:lastRenderedPageBreak/>
        <w:t>and achieve a full healing effect. The bleeding time from the perforated cecum is thereby shortened, as previously demonstrated in rats with amputation, anticoagulant application, or vein obstruction. Furthermore, defect closing corresponds to the previously demonstrated closing of various fistula defects, which were surgically made by particular defect creations in corresponding organs. The implications of this study for clinical practice in the future can be that</w:t>
      </w:r>
      <w:r w:rsidR="00CB6D86">
        <w:rPr>
          <w:rFonts w:ascii="Book Antiqua" w:hAnsi="Book Antiqua" w:cs="Segoe UI"/>
          <w:sz w:val="24"/>
          <w:szCs w:val="24"/>
          <w:shd w:val="clear" w:color="auto" w:fill="FFFFFF"/>
        </w:rPr>
        <w:t xml:space="preserve"> </w:t>
      </w:r>
      <w:r w:rsidRPr="00E47A42">
        <w:rPr>
          <w:rFonts w:ascii="Book Antiqua" w:hAnsi="Book Antiqua" w:cs="Segoe UI"/>
          <w:sz w:val="24"/>
          <w:szCs w:val="24"/>
          <w:shd w:val="clear" w:color="auto" w:fill="FFFFFF"/>
        </w:rPr>
        <w:t>BPC 157, with certain vascular effects and NO-effect, can be used in the perforated cecum and bleeding therapy.</w:t>
      </w:r>
    </w:p>
    <w:p w14:paraId="2C9DC209" w14:textId="77777777" w:rsidR="005B46CC" w:rsidRPr="00E47A42" w:rsidRDefault="005B46CC" w:rsidP="00F73ADC">
      <w:pPr>
        <w:snapToGrid w:val="0"/>
        <w:spacing w:after="0" w:line="360" w:lineRule="auto"/>
        <w:jc w:val="both"/>
        <w:rPr>
          <w:rFonts w:ascii="Book Antiqua" w:hAnsi="Book Antiqua" w:cs="Segoe UI"/>
          <w:color w:val="FF0000"/>
          <w:sz w:val="24"/>
          <w:szCs w:val="24"/>
          <w:shd w:val="clear" w:color="auto" w:fill="FFFFFF"/>
        </w:rPr>
      </w:pPr>
    </w:p>
    <w:p w14:paraId="015C9471" w14:textId="77777777" w:rsidR="002D03EA" w:rsidRPr="00E47A42" w:rsidRDefault="002D03EA" w:rsidP="00F73ADC">
      <w:pPr>
        <w:snapToGrid w:val="0"/>
        <w:spacing w:after="0" w:line="360" w:lineRule="auto"/>
        <w:rPr>
          <w:rFonts w:ascii="Book Antiqua" w:hAnsi="Book Antiqua" w:cs="Segoe UI"/>
          <w:b/>
          <w:i/>
          <w:sz w:val="24"/>
          <w:szCs w:val="24"/>
          <w:shd w:val="clear" w:color="auto" w:fill="FFFFFF"/>
        </w:rPr>
      </w:pPr>
      <w:r w:rsidRPr="00E47A42">
        <w:rPr>
          <w:rFonts w:ascii="Book Antiqua" w:hAnsi="Book Antiqua" w:cs="Segoe UI"/>
          <w:b/>
          <w:i/>
          <w:sz w:val="24"/>
          <w:szCs w:val="24"/>
          <w:shd w:val="clear" w:color="auto" w:fill="FFFFFF"/>
        </w:rPr>
        <w:t>Research perspectives</w:t>
      </w:r>
    </w:p>
    <w:bookmarkEnd w:id="17"/>
    <w:p w14:paraId="48B389C8" w14:textId="3954BFA5" w:rsidR="002D03EA" w:rsidRPr="00E47A42" w:rsidRDefault="002D03EA" w:rsidP="00256526">
      <w:pPr>
        <w:snapToGrid w:val="0"/>
        <w:spacing w:after="0" w:line="360" w:lineRule="auto"/>
        <w:jc w:val="both"/>
        <w:rPr>
          <w:rFonts w:ascii="Book Antiqua" w:hAnsi="Book Antiqua" w:cs="Courier New"/>
          <w:sz w:val="24"/>
          <w:szCs w:val="24"/>
        </w:rPr>
      </w:pPr>
      <w:r w:rsidRPr="00E47A42">
        <w:rPr>
          <w:rFonts w:ascii="Book Antiqua" w:hAnsi="Book Antiqua" w:cs="Courier New"/>
          <w:sz w:val="24"/>
          <w:szCs w:val="24"/>
        </w:rPr>
        <w:t>The main experiences and lessons that can be learnt from this study may be the evidence that</w:t>
      </w:r>
      <w:r w:rsidR="00CB6D86">
        <w:rPr>
          <w:rFonts w:ascii="Book Antiqua" w:hAnsi="Book Antiqua" w:cs="Courier New"/>
          <w:sz w:val="24"/>
          <w:szCs w:val="24"/>
        </w:rPr>
        <w:t xml:space="preserve"> </w:t>
      </w:r>
      <w:r w:rsidRPr="00E47A42">
        <w:rPr>
          <w:rFonts w:ascii="Book Antiqua" w:hAnsi="Book Antiqua" w:cs="Courier New"/>
          <w:sz w:val="24"/>
          <w:szCs w:val="24"/>
        </w:rPr>
        <w:t xml:space="preserve">BPC 157 promptly facilitates and extends the cytoprotection background (endothelium maintenance → epithelium maintenance = blood vessel recruitment and activation toward injury, providing also described “bypassing” of occlusion through alternative ways). Thus, the evidence was obtained that all chains of events were accordingly and promptly involved to rapidly initiate and achieve a full healing effect, and with the respect to the corresponding positive effects in two other studies (ischemic/reperfusion colitis; inferior </w:t>
      </w:r>
      <w:r w:rsidRPr="00E47A42">
        <w:rPr>
          <w:rFonts w:ascii="Book Antiqua" w:hAnsi="Book Antiqua" w:cs="Courier New"/>
          <w:noProof/>
          <w:sz w:val="24"/>
          <w:szCs w:val="24"/>
        </w:rPr>
        <w:t>caval</w:t>
      </w:r>
      <w:r w:rsidRPr="00E47A42">
        <w:rPr>
          <w:rFonts w:ascii="Book Antiqua" w:hAnsi="Book Antiqua" w:cs="Courier New"/>
          <w:sz w:val="24"/>
          <w:szCs w:val="24"/>
        </w:rPr>
        <w:t xml:space="preserve"> vein occlusion), the beneficial effect in rats with perforated cecum may be generally observed. Thereby, the future research should be related to </w:t>
      </w:r>
      <w:r w:rsidR="005B46CC" w:rsidRPr="00E47A42">
        <w:rPr>
          <w:rFonts w:ascii="Book Antiqua" w:hAnsi="Book Antiqua" w:cs="Courier New"/>
          <w:sz w:val="24"/>
          <w:szCs w:val="24"/>
        </w:rPr>
        <w:t xml:space="preserve">the </w:t>
      </w:r>
      <w:r w:rsidRPr="00E47A42">
        <w:rPr>
          <w:rFonts w:ascii="Book Antiqua" w:hAnsi="Book Antiqua" w:cs="Courier New"/>
          <w:noProof/>
          <w:sz w:val="24"/>
          <w:szCs w:val="24"/>
        </w:rPr>
        <w:t>similar</w:t>
      </w:r>
      <w:r w:rsidRPr="00E47A42">
        <w:rPr>
          <w:rFonts w:ascii="Book Antiqua" w:hAnsi="Book Antiqua" w:cs="Courier New"/>
          <w:sz w:val="24"/>
          <w:szCs w:val="24"/>
        </w:rPr>
        <w:t xml:space="preserve"> and/or even worse condition, </w:t>
      </w:r>
      <w:r w:rsidRPr="00E47A42">
        <w:rPr>
          <w:rFonts w:ascii="Book Antiqua" w:hAnsi="Book Antiqua" w:cs="Courier New"/>
          <w:noProof/>
          <w:sz w:val="24"/>
          <w:szCs w:val="24"/>
        </w:rPr>
        <w:t>to</w:t>
      </w:r>
      <w:r w:rsidRPr="00E47A42">
        <w:rPr>
          <w:rFonts w:ascii="Book Antiqua" w:hAnsi="Book Antiqua" w:cs="Courier New"/>
          <w:sz w:val="24"/>
          <w:szCs w:val="24"/>
        </w:rPr>
        <w:t xml:space="preserve"> verify </w:t>
      </w:r>
      <w:r w:rsidRPr="00E47A42">
        <w:rPr>
          <w:rFonts w:ascii="Book Antiqua" w:hAnsi="Book Antiqua" w:cs="Courier New"/>
          <w:noProof/>
          <w:sz w:val="24"/>
          <w:szCs w:val="24"/>
        </w:rPr>
        <w:t>full</w:t>
      </w:r>
      <w:r w:rsidRPr="00E47A42">
        <w:rPr>
          <w:rFonts w:ascii="Book Antiqua" w:hAnsi="Book Antiqua" w:cs="Courier New"/>
          <w:sz w:val="24"/>
          <w:szCs w:val="24"/>
        </w:rPr>
        <w:t xml:space="preserve"> significance of the presented beneficial findings seen in rats after cecum perforation and BPC 157 therapy application. </w:t>
      </w:r>
    </w:p>
    <w:p w14:paraId="2AB99207" w14:textId="77777777" w:rsidR="002D03EA" w:rsidRPr="00E47A42" w:rsidRDefault="002D03EA" w:rsidP="00F73ADC">
      <w:pPr>
        <w:snapToGrid w:val="0"/>
        <w:spacing w:after="0" w:line="360" w:lineRule="auto"/>
        <w:rPr>
          <w:rFonts w:ascii="Book Antiqua" w:hAnsi="Book Antiqua"/>
          <w:sz w:val="24"/>
          <w:szCs w:val="24"/>
        </w:rPr>
      </w:pPr>
    </w:p>
    <w:p w14:paraId="3BF11BB6" w14:textId="7B9F05CB" w:rsidR="00256526" w:rsidRDefault="00256526">
      <w:pPr>
        <w:rPr>
          <w:rFonts w:ascii="Book Antiqua" w:hAnsi="Book Antiqua"/>
          <w:sz w:val="24"/>
          <w:szCs w:val="24"/>
        </w:rPr>
      </w:pPr>
      <w:r>
        <w:rPr>
          <w:rFonts w:ascii="Book Antiqua" w:hAnsi="Book Antiqua"/>
          <w:sz w:val="24"/>
          <w:szCs w:val="24"/>
        </w:rPr>
        <w:br w:type="page"/>
      </w:r>
    </w:p>
    <w:p w14:paraId="176B64EA" w14:textId="77777777" w:rsidR="002E7EFE" w:rsidRPr="00256526" w:rsidRDefault="002E7EFE" w:rsidP="00256526">
      <w:pPr>
        <w:autoSpaceDE w:val="0"/>
        <w:adjustRightInd w:val="0"/>
        <w:snapToGrid w:val="0"/>
        <w:spacing w:after="0" w:line="360" w:lineRule="auto"/>
        <w:jc w:val="both"/>
        <w:rPr>
          <w:rFonts w:ascii="Book Antiqua" w:hAnsi="Book Antiqua" w:cs="Times New Roman"/>
          <w:b/>
          <w:caps/>
          <w:sz w:val="24"/>
          <w:szCs w:val="24"/>
          <w:lang w:val="en-US"/>
        </w:rPr>
      </w:pPr>
      <w:r w:rsidRPr="00256526">
        <w:rPr>
          <w:rFonts w:ascii="Book Antiqua" w:hAnsi="Book Antiqua" w:cs="Times New Roman"/>
          <w:b/>
          <w:caps/>
          <w:sz w:val="24"/>
          <w:szCs w:val="24"/>
          <w:lang w:val="en-US"/>
        </w:rPr>
        <w:lastRenderedPageBreak/>
        <w:t>References</w:t>
      </w:r>
    </w:p>
    <w:p w14:paraId="7F5341FE"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 </w:t>
      </w:r>
      <w:r w:rsidRPr="005605FF">
        <w:rPr>
          <w:rFonts w:ascii="Book Antiqua" w:eastAsia="SimSun" w:hAnsi="Book Antiqua" w:cs="Times New Roman"/>
          <w:b/>
          <w:kern w:val="2"/>
          <w:sz w:val="24"/>
          <w:szCs w:val="24"/>
          <w:lang w:val="en-US" w:eastAsia="zh-CN"/>
        </w:rPr>
        <w:t>Aslan MK</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Boybeyi</w:t>
      </w:r>
      <w:proofErr w:type="spellEnd"/>
      <w:r w:rsidRPr="005605FF">
        <w:rPr>
          <w:rFonts w:ascii="Book Antiqua" w:eastAsia="SimSun" w:hAnsi="Book Antiqua" w:cs="Times New Roman"/>
          <w:kern w:val="2"/>
          <w:sz w:val="24"/>
          <w:szCs w:val="24"/>
          <w:lang w:val="en-US" w:eastAsia="zh-CN"/>
        </w:rPr>
        <w:t xml:space="preserve"> O, </w:t>
      </w:r>
      <w:proofErr w:type="spellStart"/>
      <w:r w:rsidRPr="005605FF">
        <w:rPr>
          <w:rFonts w:ascii="Book Antiqua" w:eastAsia="SimSun" w:hAnsi="Book Antiqua" w:cs="Times New Roman"/>
          <w:kern w:val="2"/>
          <w:sz w:val="24"/>
          <w:szCs w:val="24"/>
          <w:lang w:val="en-US" w:eastAsia="zh-CN"/>
        </w:rPr>
        <w:t>Soyer</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Senyücel</w:t>
      </w:r>
      <w:proofErr w:type="spellEnd"/>
      <w:r w:rsidRPr="005605FF">
        <w:rPr>
          <w:rFonts w:ascii="Book Antiqua" w:eastAsia="SimSun" w:hAnsi="Book Antiqua" w:cs="Times New Roman"/>
          <w:kern w:val="2"/>
          <w:sz w:val="24"/>
          <w:szCs w:val="24"/>
          <w:lang w:val="en-US" w:eastAsia="zh-CN"/>
        </w:rPr>
        <w:t xml:space="preserve"> MF, </w:t>
      </w:r>
      <w:proofErr w:type="spellStart"/>
      <w:r w:rsidRPr="005605FF">
        <w:rPr>
          <w:rFonts w:ascii="Book Antiqua" w:eastAsia="SimSun" w:hAnsi="Book Antiqua" w:cs="Times New Roman"/>
          <w:kern w:val="2"/>
          <w:sz w:val="24"/>
          <w:szCs w:val="24"/>
          <w:lang w:val="en-US" w:eastAsia="zh-CN"/>
        </w:rPr>
        <w:t>Ayva</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Kısa</w:t>
      </w:r>
      <w:proofErr w:type="spellEnd"/>
      <w:r w:rsidRPr="005605FF">
        <w:rPr>
          <w:rFonts w:ascii="Book Antiqua" w:eastAsia="SimSun" w:hAnsi="Book Antiqua" w:cs="Times New Roman"/>
          <w:kern w:val="2"/>
          <w:sz w:val="24"/>
          <w:szCs w:val="24"/>
          <w:lang w:val="en-US" w:eastAsia="zh-CN"/>
        </w:rPr>
        <w:t xml:space="preserve"> U, </w:t>
      </w:r>
      <w:proofErr w:type="spellStart"/>
      <w:r w:rsidRPr="005605FF">
        <w:rPr>
          <w:rFonts w:ascii="Book Antiqua" w:eastAsia="SimSun" w:hAnsi="Book Antiqua" w:cs="Times New Roman"/>
          <w:kern w:val="2"/>
          <w:sz w:val="24"/>
          <w:szCs w:val="24"/>
          <w:lang w:val="en-US" w:eastAsia="zh-CN"/>
        </w:rPr>
        <w:t>Cesur</w:t>
      </w:r>
      <w:proofErr w:type="spellEnd"/>
      <w:r w:rsidRPr="005605FF">
        <w:rPr>
          <w:rFonts w:ascii="Book Antiqua" w:eastAsia="SimSun" w:hAnsi="Book Antiqua" w:cs="Times New Roman"/>
          <w:kern w:val="2"/>
          <w:sz w:val="24"/>
          <w:szCs w:val="24"/>
          <w:lang w:val="en-US" w:eastAsia="zh-CN"/>
        </w:rPr>
        <w:t xml:space="preserve"> O, </w:t>
      </w:r>
      <w:proofErr w:type="spellStart"/>
      <w:r w:rsidRPr="005605FF">
        <w:rPr>
          <w:rFonts w:ascii="Book Antiqua" w:eastAsia="SimSun" w:hAnsi="Book Antiqua" w:cs="Times New Roman"/>
          <w:kern w:val="2"/>
          <w:sz w:val="24"/>
          <w:szCs w:val="24"/>
          <w:lang w:val="en-US" w:eastAsia="zh-CN"/>
        </w:rPr>
        <w:t>Cakmak</w:t>
      </w:r>
      <w:proofErr w:type="spellEnd"/>
      <w:r w:rsidRPr="005605FF">
        <w:rPr>
          <w:rFonts w:ascii="Book Antiqua" w:eastAsia="SimSun" w:hAnsi="Book Antiqua" w:cs="Times New Roman"/>
          <w:kern w:val="2"/>
          <w:sz w:val="24"/>
          <w:szCs w:val="24"/>
          <w:lang w:val="en-US" w:eastAsia="zh-CN"/>
        </w:rPr>
        <w:t xml:space="preserve"> M. Evaluation of omental inflammatory response with P-/E-selectin levels and histopathologic findings in experimental model.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Pediatr</w:t>
      </w:r>
      <w:proofErr w:type="spellEnd"/>
      <w:r w:rsidRPr="005605FF">
        <w:rPr>
          <w:rFonts w:ascii="Book Antiqua" w:eastAsia="SimSun" w:hAnsi="Book Antiqua" w:cs="Times New Roman"/>
          <w:i/>
          <w:kern w:val="2"/>
          <w:sz w:val="24"/>
          <w:szCs w:val="24"/>
          <w:lang w:val="en-US" w:eastAsia="zh-CN"/>
        </w:rPr>
        <w:t xml:space="preserve"> Surg</w:t>
      </w:r>
      <w:r w:rsidRPr="005605FF">
        <w:rPr>
          <w:rFonts w:ascii="Book Antiqua" w:eastAsia="SimSun" w:hAnsi="Book Antiqua" w:cs="Times New Roman"/>
          <w:kern w:val="2"/>
          <w:sz w:val="24"/>
          <w:szCs w:val="24"/>
          <w:lang w:val="en-US" w:eastAsia="zh-CN"/>
        </w:rPr>
        <w:t xml:space="preserve"> 2012; </w:t>
      </w:r>
      <w:r w:rsidRPr="005605FF">
        <w:rPr>
          <w:rFonts w:ascii="Book Antiqua" w:eastAsia="SimSun" w:hAnsi="Book Antiqua" w:cs="Times New Roman"/>
          <w:b/>
          <w:kern w:val="2"/>
          <w:sz w:val="24"/>
          <w:szCs w:val="24"/>
          <w:lang w:val="en-US" w:eastAsia="zh-CN"/>
        </w:rPr>
        <w:t>47</w:t>
      </w:r>
      <w:r w:rsidRPr="005605FF">
        <w:rPr>
          <w:rFonts w:ascii="Book Antiqua" w:eastAsia="SimSun" w:hAnsi="Book Antiqua" w:cs="Times New Roman"/>
          <w:kern w:val="2"/>
          <w:sz w:val="24"/>
          <w:szCs w:val="24"/>
          <w:lang w:val="en-US" w:eastAsia="zh-CN"/>
        </w:rPr>
        <w:t>: 2050-2054 [PMID: 23163997 DOI: 10.1016/j.jpedsurg.2012.06.024]</w:t>
      </w:r>
    </w:p>
    <w:p w14:paraId="3817A349"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 </w:t>
      </w:r>
      <w:r w:rsidRPr="005605FF">
        <w:rPr>
          <w:rFonts w:ascii="Book Antiqua" w:eastAsia="SimSun" w:hAnsi="Book Antiqua" w:cs="Times New Roman"/>
          <w:b/>
          <w:kern w:val="2"/>
          <w:sz w:val="24"/>
          <w:szCs w:val="24"/>
          <w:lang w:val="en-US" w:eastAsia="zh-CN"/>
        </w:rPr>
        <w:t>Liu J</w:t>
      </w:r>
      <w:r w:rsidRPr="005605FF">
        <w:rPr>
          <w:rFonts w:ascii="Book Antiqua" w:eastAsia="SimSun" w:hAnsi="Book Antiqua" w:cs="Times New Roman"/>
          <w:kern w:val="2"/>
          <w:sz w:val="24"/>
          <w:szCs w:val="24"/>
          <w:lang w:val="en-US" w:eastAsia="zh-CN"/>
        </w:rPr>
        <w:t xml:space="preserve">, Shi B, Shi K, Ma G, Zhang H, Lou X, Liu H, Wan S, Liang D. Ghrelin upregulates PepT1 activity in the small intestine epithelium of rats with sepsis. </w:t>
      </w:r>
      <w:r w:rsidRPr="005605FF">
        <w:rPr>
          <w:rFonts w:ascii="Book Antiqua" w:eastAsia="SimSun" w:hAnsi="Book Antiqua" w:cs="Times New Roman"/>
          <w:i/>
          <w:kern w:val="2"/>
          <w:sz w:val="24"/>
          <w:szCs w:val="24"/>
          <w:lang w:val="en-US" w:eastAsia="zh-CN"/>
        </w:rPr>
        <w:t xml:space="preserve">Biomed </w:t>
      </w:r>
      <w:proofErr w:type="spellStart"/>
      <w:r w:rsidRPr="005605FF">
        <w:rPr>
          <w:rFonts w:ascii="Book Antiqua" w:eastAsia="SimSun" w:hAnsi="Book Antiqua" w:cs="Times New Roman"/>
          <w:i/>
          <w:kern w:val="2"/>
          <w:sz w:val="24"/>
          <w:szCs w:val="24"/>
          <w:lang w:val="en-US" w:eastAsia="zh-CN"/>
        </w:rPr>
        <w:t>Pharmacother</w:t>
      </w:r>
      <w:proofErr w:type="spellEnd"/>
      <w:r w:rsidRPr="005605FF">
        <w:rPr>
          <w:rFonts w:ascii="Book Antiqua" w:eastAsia="SimSun" w:hAnsi="Book Antiqua" w:cs="Times New Roman"/>
          <w:kern w:val="2"/>
          <w:sz w:val="24"/>
          <w:szCs w:val="24"/>
          <w:lang w:val="en-US" w:eastAsia="zh-CN"/>
        </w:rPr>
        <w:t xml:space="preserve"> 2017; </w:t>
      </w:r>
      <w:r w:rsidRPr="005605FF">
        <w:rPr>
          <w:rFonts w:ascii="Book Antiqua" w:eastAsia="SimSun" w:hAnsi="Book Antiqua" w:cs="Times New Roman"/>
          <w:b/>
          <w:kern w:val="2"/>
          <w:sz w:val="24"/>
          <w:szCs w:val="24"/>
          <w:lang w:val="en-US" w:eastAsia="zh-CN"/>
        </w:rPr>
        <w:t>86</w:t>
      </w:r>
      <w:r w:rsidRPr="005605FF">
        <w:rPr>
          <w:rFonts w:ascii="Book Antiqua" w:eastAsia="SimSun" w:hAnsi="Book Antiqua" w:cs="Times New Roman"/>
          <w:kern w:val="2"/>
          <w:sz w:val="24"/>
          <w:szCs w:val="24"/>
          <w:lang w:val="en-US" w:eastAsia="zh-CN"/>
        </w:rPr>
        <w:t>: 669-676 [PMID: 28038428 DOI: 10.1016/j.biopha.2016.12.026]</w:t>
      </w:r>
    </w:p>
    <w:p w14:paraId="7DE004A7"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 </w:t>
      </w:r>
      <w:r w:rsidRPr="005605FF">
        <w:rPr>
          <w:rFonts w:ascii="Book Antiqua" w:eastAsia="SimSun" w:hAnsi="Book Antiqua" w:cs="Times New Roman"/>
          <w:b/>
          <w:kern w:val="2"/>
          <w:sz w:val="24"/>
          <w:szCs w:val="24"/>
          <w:lang w:val="en-US" w:eastAsia="zh-CN"/>
        </w:rPr>
        <w:t>Santiago MB</w:t>
      </w:r>
      <w:r w:rsidRPr="005605FF">
        <w:rPr>
          <w:rFonts w:ascii="Book Antiqua" w:eastAsia="SimSun" w:hAnsi="Book Antiqua" w:cs="Times New Roman"/>
          <w:kern w:val="2"/>
          <w:sz w:val="24"/>
          <w:szCs w:val="24"/>
          <w:lang w:val="en-US" w:eastAsia="zh-CN"/>
        </w:rPr>
        <w:t xml:space="preserve">, Vieira AA, Giusti-Paiva A. Impaired chemoreflex sensitivity during septic shock induced by </w:t>
      </w:r>
      <w:proofErr w:type="spellStart"/>
      <w:r w:rsidRPr="005605FF">
        <w:rPr>
          <w:rFonts w:ascii="Book Antiqua" w:eastAsia="SimSun" w:hAnsi="Book Antiqua" w:cs="Times New Roman"/>
          <w:kern w:val="2"/>
          <w:sz w:val="24"/>
          <w:szCs w:val="24"/>
          <w:lang w:val="en-US" w:eastAsia="zh-CN"/>
        </w:rPr>
        <w:t>cecal</w:t>
      </w:r>
      <w:proofErr w:type="spellEnd"/>
      <w:r w:rsidRPr="005605FF">
        <w:rPr>
          <w:rFonts w:ascii="Book Antiqua" w:eastAsia="SimSun" w:hAnsi="Book Antiqua" w:cs="Times New Roman"/>
          <w:kern w:val="2"/>
          <w:sz w:val="24"/>
          <w:szCs w:val="24"/>
          <w:lang w:val="en-US" w:eastAsia="zh-CN"/>
        </w:rPr>
        <w:t xml:space="preserve"> ligation and perforation. </w:t>
      </w:r>
      <w:r w:rsidRPr="005605FF">
        <w:rPr>
          <w:rFonts w:ascii="Book Antiqua" w:eastAsia="SimSun" w:hAnsi="Book Antiqua" w:cs="Times New Roman"/>
          <w:i/>
          <w:kern w:val="2"/>
          <w:sz w:val="24"/>
          <w:szCs w:val="24"/>
          <w:lang w:val="en-US" w:eastAsia="zh-CN"/>
        </w:rPr>
        <w:t xml:space="preserve">Can 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2013; </w:t>
      </w:r>
      <w:r w:rsidRPr="005605FF">
        <w:rPr>
          <w:rFonts w:ascii="Book Antiqua" w:eastAsia="SimSun" w:hAnsi="Book Antiqua" w:cs="Times New Roman"/>
          <w:b/>
          <w:kern w:val="2"/>
          <w:sz w:val="24"/>
          <w:szCs w:val="24"/>
          <w:lang w:val="en-US" w:eastAsia="zh-CN"/>
        </w:rPr>
        <w:t>91</w:t>
      </w:r>
      <w:r w:rsidRPr="005605FF">
        <w:rPr>
          <w:rFonts w:ascii="Book Antiqua" w:eastAsia="SimSun" w:hAnsi="Book Antiqua" w:cs="Times New Roman"/>
          <w:kern w:val="2"/>
          <w:sz w:val="24"/>
          <w:szCs w:val="24"/>
          <w:lang w:val="en-US" w:eastAsia="zh-CN"/>
        </w:rPr>
        <w:t>: 1107-1111 [PMID: 24289082 DOI: 10.1139/cjpp-2013-0219]</w:t>
      </w:r>
    </w:p>
    <w:p w14:paraId="161F7268"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 </w:t>
      </w:r>
      <w:r w:rsidRPr="005605FF">
        <w:rPr>
          <w:rFonts w:ascii="Book Antiqua" w:eastAsia="SimSun" w:hAnsi="Book Antiqua" w:cs="Times New Roman"/>
          <w:b/>
          <w:kern w:val="2"/>
          <w:sz w:val="24"/>
          <w:szCs w:val="24"/>
          <w:lang w:val="en-US" w:eastAsia="zh-CN"/>
        </w:rPr>
        <w:t>Robert A</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Cytoprotection</w:t>
      </w:r>
      <w:proofErr w:type="spellEnd"/>
      <w:r w:rsidRPr="005605FF">
        <w:rPr>
          <w:rFonts w:ascii="Book Antiqua" w:eastAsia="SimSun" w:hAnsi="Book Antiqua" w:cs="Times New Roman"/>
          <w:kern w:val="2"/>
          <w:sz w:val="24"/>
          <w:szCs w:val="24"/>
          <w:lang w:val="en-US" w:eastAsia="zh-CN"/>
        </w:rPr>
        <w:t xml:space="preserve"> by prostaglandins. </w:t>
      </w:r>
      <w:r w:rsidRPr="005605FF">
        <w:rPr>
          <w:rFonts w:ascii="Book Antiqua" w:eastAsia="SimSun" w:hAnsi="Book Antiqua" w:cs="Times New Roman"/>
          <w:i/>
          <w:kern w:val="2"/>
          <w:sz w:val="24"/>
          <w:szCs w:val="24"/>
          <w:lang w:val="en-US" w:eastAsia="zh-CN"/>
        </w:rPr>
        <w:t>Gastroenterology</w:t>
      </w:r>
      <w:r w:rsidRPr="005605FF">
        <w:rPr>
          <w:rFonts w:ascii="Book Antiqua" w:eastAsia="SimSun" w:hAnsi="Book Antiqua" w:cs="Times New Roman"/>
          <w:kern w:val="2"/>
          <w:sz w:val="24"/>
          <w:szCs w:val="24"/>
          <w:lang w:val="en-US" w:eastAsia="zh-CN"/>
        </w:rPr>
        <w:t xml:space="preserve"> 1979; </w:t>
      </w:r>
      <w:r w:rsidRPr="005605FF">
        <w:rPr>
          <w:rFonts w:ascii="Book Antiqua" w:eastAsia="SimSun" w:hAnsi="Book Antiqua" w:cs="Times New Roman"/>
          <w:b/>
          <w:kern w:val="2"/>
          <w:sz w:val="24"/>
          <w:szCs w:val="24"/>
          <w:lang w:val="en-US" w:eastAsia="zh-CN"/>
        </w:rPr>
        <w:t>77</w:t>
      </w:r>
      <w:r w:rsidRPr="005605FF">
        <w:rPr>
          <w:rFonts w:ascii="Book Antiqua" w:eastAsia="SimSun" w:hAnsi="Book Antiqua" w:cs="Times New Roman"/>
          <w:kern w:val="2"/>
          <w:sz w:val="24"/>
          <w:szCs w:val="24"/>
          <w:lang w:val="en-US" w:eastAsia="zh-CN"/>
        </w:rPr>
        <w:t>: 761-767 [PMID: 38173]</w:t>
      </w:r>
    </w:p>
    <w:p w14:paraId="4F74BD4C"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5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w:t>
      </w:r>
      <w:r w:rsidRPr="005605FF">
        <w:rPr>
          <w:rFonts w:ascii="Book Antiqua" w:eastAsia="SimSun" w:hAnsi="Book Antiqua" w:cs="Times New Roman" w:hint="eastAsia"/>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Grabarevic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Petek</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Turkovic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Rotkvic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Jagic</w:t>
      </w:r>
      <w:proofErr w:type="spellEnd"/>
      <w:r w:rsidRPr="005605FF">
        <w:rPr>
          <w:rFonts w:ascii="Book Antiqua" w:eastAsia="SimSun" w:hAnsi="Book Antiqua" w:cs="Times New Roman"/>
          <w:kern w:val="2"/>
          <w:sz w:val="24"/>
          <w:szCs w:val="24"/>
          <w:lang w:val="en-US" w:eastAsia="zh-CN"/>
        </w:rPr>
        <w:t xml:space="preserve"> V, </w:t>
      </w:r>
      <w:proofErr w:type="spellStart"/>
      <w:r w:rsidRPr="005605FF">
        <w:rPr>
          <w:rFonts w:ascii="Book Antiqua" w:eastAsia="SimSun" w:hAnsi="Book Antiqua" w:cs="Times New Roman"/>
          <w:kern w:val="2"/>
          <w:sz w:val="24"/>
          <w:szCs w:val="24"/>
          <w:lang w:val="en-US" w:eastAsia="zh-CN"/>
        </w:rPr>
        <w:t>Duvnjak</w:t>
      </w:r>
      <w:proofErr w:type="spellEnd"/>
      <w:r w:rsidRPr="005605FF">
        <w:rPr>
          <w:rFonts w:ascii="Book Antiqua" w:eastAsia="SimSun" w:hAnsi="Book Antiqua" w:cs="Times New Roman"/>
          <w:kern w:val="2"/>
          <w:sz w:val="24"/>
          <w:szCs w:val="24"/>
          <w:lang w:val="en-US" w:eastAsia="zh-CN"/>
        </w:rPr>
        <w:t xml:space="preserve"> M, Mise S, </w:t>
      </w:r>
      <w:proofErr w:type="spellStart"/>
      <w:r w:rsidRPr="005605FF">
        <w:rPr>
          <w:rFonts w:ascii="Book Antiqua" w:eastAsia="SimSun" w:hAnsi="Book Antiqua" w:cs="Times New Roman"/>
          <w:kern w:val="2"/>
          <w:sz w:val="24"/>
          <w:szCs w:val="24"/>
          <w:lang w:val="en-US" w:eastAsia="zh-CN"/>
        </w:rPr>
        <w:t>Djacic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Separovic</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Veljaca</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Sallmani</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Banic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Brkic</w:t>
      </w:r>
      <w:proofErr w:type="spellEnd"/>
      <w:r w:rsidRPr="005605FF">
        <w:rPr>
          <w:rFonts w:ascii="Book Antiqua" w:eastAsia="SimSun" w:hAnsi="Book Antiqua" w:cs="Times New Roman"/>
          <w:kern w:val="2"/>
          <w:sz w:val="24"/>
          <w:szCs w:val="24"/>
          <w:lang w:val="en-US" w:eastAsia="zh-CN"/>
        </w:rPr>
        <w:t xml:space="preserve"> T. The beneficial effect of BPC 157, a 15 amino acid peptide BPC fragment, on gastric and duodenal lesions induced by restraint stress, cysteamine and 96% ethanol in rats. A comparative study with H2 receptor antagonists, dopamine promotors and gut peptides.</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i/>
          <w:kern w:val="2"/>
          <w:sz w:val="24"/>
          <w:szCs w:val="24"/>
          <w:lang w:val="en-US" w:eastAsia="zh-CN"/>
        </w:rPr>
        <w:t xml:space="preserve">Life Sci </w:t>
      </w:r>
      <w:r w:rsidRPr="005605FF">
        <w:rPr>
          <w:rFonts w:ascii="Book Antiqua" w:eastAsia="SimSun" w:hAnsi="Book Antiqua" w:cs="Times New Roman"/>
          <w:kern w:val="2"/>
          <w:sz w:val="24"/>
          <w:szCs w:val="24"/>
          <w:lang w:val="en-US" w:eastAsia="zh-CN"/>
        </w:rPr>
        <w:t>1994;</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b/>
          <w:kern w:val="2"/>
          <w:sz w:val="24"/>
          <w:szCs w:val="24"/>
          <w:lang w:val="en-US" w:eastAsia="zh-CN"/>
        </w:rPr>
        <w:t>54</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kern w:val="2"/>
          <w:sz w:val="24"/>
          <w:szCs w:val="24"/>
          <w:lang w:val="en-US" w:eastAsia="zh-CN"/>
        </w:rPr>
        <w:t>PL63-</w:t>
      </w:r>
      <w:r w:rsidRPr="005605FF">
        <w:rPr>
          <w:rFonts w:ascii="Book Antiqua" w:eastAsia="SimSun" w:hAnsi="Book Antiqua" w:cs="Times New Roman" w:hint="eastAsia"/>
          <w:kern w:val="2"/>
          <w:sz w:val="24"/>
          <w:szCs w:val="24"/>
          <w:lang w:val="en-US" w:eastAsia="zh-CN"/>
        </w:rPr>
        <w:t>6</w:t>
      </w:r>
      <w:r w:rsidRPr="005605FF">
        <w:rPr>
          <w:rFonts w:ascii="Book Antiqua" w:eastAsia="SimSun" w:hAnsi="Book Antiqua" w:cs="Times New Roman"/>
          <w:kern w:val="2"/>
          <w:sz w:val="24"/>
          <w:szCs w:val="24"/>
          <w:lang w:val="en-US" w:eastAsia="zh-CN"/>
        </w:rPr>
        <w:t>8 [PMID: 7904712</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kern w:val="2"/>
          <w:sz w:val="24"/>
          <w:szCs w:val="24"/>
          <w:lang w:val="en-US" w:eastAsia="zh-CN"/>
        </w:rPr>
        <w:t>DOI: 10.1016/0024-3205(94)00796-9]</w:t>
      </w:r>
    </w:p>
    <w:p w14:paraId="4C8EEB51"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6 </w:t>
      </w:r>
      <w:r w:rsidRPr="005605FF">
        <w:rPr>
          <w:rFonts w:ascii="Book Antiqua" w:eastAsia="SimSun" w:hAnsi="Book Antiqua" w:cs="Times New Roman"/>
          <w:b/>
          <w:kern w:val="2"/>
          <w:sz w:val="24"/>
          <w:szCs w:val="24"/>
          <w:lang w:val="en-US" w:eastAsia="zh-CN"/>
        </w:rPr>
        <w:t>Szabo S.</w:t>
      </w:r>
      <w:r w:rsidRPr="005605FF">
        <w:rPr>
          <w:rFonts w:ascii="Book Antiqua" w:eastAsia="SimSun" w:hAnsi="Book Antiqua" w:cs="Times New Roman" w:hint="eastAsia"/>
          <w:b/>
          <w:kern w:val="2"/>
          <w:sz w:val="24"/>
          <w:szCs w:val="24"/>
          <w:lang w:val="en-US" w:eastAsia="zh-CN"/>
        </w:rPr>
        <w:t xml:space="preserve"> </w:t>
      </w:r>
      <w:r w:rsidRPr="005605FF">
        <w:rPr>
          <w:rFonts w:ascii="Book Antiqua" w:eastAsia="SimSun" w:hAnsi="Book Antiqua" w:cs="Times New Roman"/>
          <w:kern w:val="2"/>
          <w:sz w:val="24"/>
          <w:szCs w:val="24"/>
          <w:lang w:val="en-US" w:eastAsia="zh-CN"/>
        </w:rPr>
        <w:t xml:space="preserve">Gastric </w:t>
      </w:r>
      <w:proofErr w:type="spellStart"/>
      <w:r w:rsidRPr="005605FF">
        <w:rPr>
          <w:rFonts w:ascii="Book Antiqua" w:eastAsia="SimSun" w:hAnsi="Book Antiqua" w:cs="Times New Roman"/>
          <w:kern w:val="2"/>
          <w:sz w:val="24"/>
          <w:szCs w:val="24"/>
          <w:lang w:val="en-US" w:eastAsia="zh-CN"/>
        </w:rPr>
        <w:t>Cytoprotection</w:t>
      </w:r>
      <w:proofErr w:type="spellEnd"/>
      <w:r w:rsidRPr="005605FF">
        <w:rPr>
          <w:rFonts w:ascii="Book Antiqua" w:eastAsia="SimSun" w:hAnsi="Book Antiqua" w:cs="Times New Roman"/>
          <w:kern w:val="2"/>
          <w:sz w:val="24"/>
          <w:szCs w:val="24"/>
          <w:lang w:val="en-US" w:eastAsia="zh-CN"/>
        </w:rPr>
        <w:t xml:space="preserve"> [Internet]. 1. </w:t>
      </w:r>
      <w:proofErr w:type="spellStart"/>
      <w:r w:rsidRPr="005605FF">
        <w:rPr>
          <w:rFonts w:ascii="Book Antiqua" w:eastAsia="SimSun" w:hAnsi="Book Antiqua" w:cs="Times New Roman"/>
          <w:kern w:val="2"/>
          <w:sz w:val="24"/>
          <w:szCs w:val="24"/>
          <w:lang w:val="en-US" w:eastAsia="zh-CN"/>
        </w:rPr>
        <w:t>st.</w:t>
      </w:r>
      <w:proofErr w:type="spellEnd"/>
      <w:r w:rsidRPr="005605FF">
        <w:rPr>
          <w:rFonts w:ascii="Book Antiqua" w:eastAsia="SimSun" w:hAnsi="Book Antiqua" w:cs="Times New Roman"/>
          <w:kern w:val="2"/>
          <w:sz w:val="24"/>
          <w:szCs w:val="24"/>
          <w:lang w:val="en-US" w:eastAsia="zh-CN"/>
        </w:rPr>
        <w:t xml:space="preserve"> Boston,</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kern w:val="2"/>
          <w:sz w:val="24"/>
          <w:szCs w:val="24"/>
          <w:lang w:val="en-US" w:eastAsia="zh-CN"/>
        </w:rPr>
        <w:t xml:space="preserve">MA: Springer US; 1989. Available from: </w:t>
      </w:r>
      <w:r w:rsidRPr="005605FF">
        <w:rPr>
          <w:rFonts w:ascii="Book Antiqua" w:eastAsia="SimSun" w:hAnsi="Book Antiqua" w:cs="Times New Roman" w:hint="eastAsia"/>
          <w:kern w:val="2"/>
          <w:sz w:val="24"/>
          <w:szCs w:val="24"/>
          <w:lang w:val="en-US" w:eastAsia="zh-CN"/>
        </w:rPr>
        <w:t xml:space="preserve">URL: </w:t>
      </w:r>
      <w:hyperlink r:id="rId9" w:history="1">
        <w:r w:rsidRPr="005605FF">
          <w:rPr>
            <w:rFonts w:ascii="Book Antiqua" w:eastAsia="SimSun" w:hAnsi="Book Antiqua" w:cs="Times New Roman"/>
            <w:color w:val="0000FF"/>
            <w:kern w:val="2"/>
            <w:sz w:val="24"/>
            <w:szCs w:val="24"/>
            <w:u w:val="single"/>
            <w:lang w:val="en-US" w:eastAsia="zh-CN"/>
          </w:rPr>
          <w:t>http://link.springer.com/10.1007/978-1-4684-5697-4</w:t>
        </w:r>
      </w:hyperlink>
      <w:r w:rsidRPr="005605FF">
        <w:rPr>
          <w:rFonts w:ascii="Book Antiqua" w:eastAsia="SimSun" w:hAnsi="Book Antiqua" w:cs="Times New Roman" w:hint="eastAsia"/>
          <w:kern w:val="2"/>
          <w:sz w:val="24"/>
          <w:szCs w:val="24"/>
          <w:lang w:val="en-US" w:eastAsia="zh-CN"/>
        </w:rPr>
        <w:t xml:space="preserve"> </w:t>
      </w:r>
    </w:p>
    <w:p w14:paraId="21E6730C"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7 </w:t>
      </w:r>
      <w:r w:rsidRPr="005605FF">
        <w:rPr>
          <w:rFonts w:ascii="Book Antiqua" w:eastAsia="SimSun" w:hAnsi="Book Antiqua" w:cs="Times New Roman"/>
          <w:b/>
          <w:kern w:val="2"/>
          <w:sz w:val="24"/>
          <w:szCs w:val="24"/>
          <w:lang w:val="en-US" w:eastAsia="zh-CN"/>
        </w:rPr>
        <w:t>Szabo S</w:t>
      </w:r>
      <w:r w:rsidRPr="005605FF">
        <w:rPr>
          <w:rFonts w:ascii="Book Antiqua" w:eastAsia="SimSun" w:hAnsi="Book Antiqua" w:cs="Times New Roman"/>
          <w:kern w:val="2"/>
          <w:sz w:val="24"/>
          <w:szCs w:val="24"/>
          <w:lang w:val="en-US" w:eastAsia="zh-CN"/>
        </w:rPr>
        <w:t xml:space="preserve">, Trier JS, Brown A, </w:t>
      </w:r>
      <w:proofErr w:type="spellStart"/>
      <w:r w:rsidRPr="005605FF">
        <w:rPr>
          <w:rFonts w:ascii="Book Antiqua" w:eastAsia="SimSun" w:hAnsi="Book Antiqua" w:cs="Times New Roman"/>
          <w:kern w:val="2"/>
          <w:sz w:val="24"/>
          <w:szCs w:val="24"/>
          <w:lang w:val="en-US" w:eastAsia="zh-CN"/>
        </w:rPr>
        <w:t>Schnoor</w:t>
      </w:r>
      <w:proofErr w:type="spellEnd"/>
      <w:r w:rsidRPr="005605FF">
        <w:rPr>
          <w:rFonts w:ascii="Book Antiqua" w:eastAsia="SimSun" w:hAnsi="Book Antiqua" w:cs="Times New Roman"/>
          <w:kern w:val="2"/>
          <w:sz w:val="24"/>
          <w:szCs w:val="24"/>
          <w:lang w:val="en-US" w:eastAsia="zh-CN"/>
        </w:rPr>
        <w:t xml:space="preserve"> J. Early vascular injury and increased vascular permeability in gastric mucosal injury caused by ethanol in the rat. </w:t>
      </w:r>
      <w:r w:rsidRPr="005605FF">
        <w:rPr>
          <w:rFonts w:ascii="Book Antiqua" w:eastAsia="SimSun" w:hAnsi="Book Antiqua" w:cs="Times New Roman"/>
          <w:i/>
          <w:kern w:val="2"/>
          <w:sz w:val="24"/>
          <w:szCs w:val="24"/>
          <w:lang w:val="en-US" w:eastAsia="zh-CN"/>
        </w:rPr>
        <w:t>Gastroenterology</w:t>
      </w:r>
      <w:r w:rsidRPr="005605FF">
        <w:rPr>
          <w:rFonts w:ascii="Book Antiqua" w:eastAsia="SimSun" w:hAnsi="Book Antiqua" w:cs="Times New Roman"/>
          <w:kern w:val="2"/>
          <w:sz w:val="24"/>
          <w:szCs w:val="24"/>
          <w:lang w:val="en-US" w:eastAsia="zh-CN"/>
        </w:rPr>
        <w:t xml:space="preserve"> 1985; </w:t>
      </w:r>
      <w:r w:rsidRPr="005605FF">
        <w:rPr>
          <w:rFonts w:ascii="Book Antiqua" w:eastAsia="SimSun" w:hAnsi="Book Antiqua" w:cs="Times New Roman"/>
          <w:b/>
          <w:kern w:val="2"/>
          <w:sz w:val="24"/>
          <w:szCs w:val="24"/>
          <w:lang w:val="en-US" w:eastAsia="zh-CN"/>
        </w:rPr>
        <w:t>88</w:t>
      </w:r>
      <w:r w:rsidRPr="005605FF">
        <w:rPr>
          <w:rFonts w:ascii="Book Antiqua" w:eastAsia="SimSun" w:hAnsi="Book Antiqua" w:cs="Times New Roman"/>
          <w:kern w:val="2"/>
          <w:sz w:val="24"/>
          <w:szCs w:val="24"/>
          <w:lang w:val="en-US" w:eastAsia="zh-CN"/>
        </w:rPr>
        <w:t>: 228-236 [PMID: 3871087]</w:t>
      </w:r>
    </w:p>
    <w:p w14:paraId="20D84710"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8 </w:t>
      </w:r>
      <w:r w:rsidRPr="005605FF">
        <w:rPr>
          <w:rFonts w:ascii="Book Antiqua" w:eastAsia="SimSun" w:hAnsi="Book Antiqua" w:cs="Times New Roman"/>
          <w:b/>
          <w:kern w:val="2"/>
          <w:sz w:val="24"/>
          <w:szCs w:val="24"/>
          <w:lang w:val="en-US" w:eastAsia="zh-CN"/>
        </w:rPr>
        <w:t>Szabo S</w:t>
      </w:r>
      <w:r w:rsidRPr="005605FF">
        <w:rPr>
          <w:rFonts w:ascii="Book Antiqua" w:eastAsia="SimSun" w:hAnsi="Book Antiqua" w:cs="Times New Roman"/>
          <w:kern w:val="2"/>
          <w:sz w:val="24"/>
          <w:szCs w:val="24"/>
          <w:lang w:val="en-US" w:eastAsia="zh-CN"/>
        </w:rPr>
        <w:t>,</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kern w:val="2"/>
          <w:sz w:val="24"/>
          <w:szCs w:val="24"/>
          <w:lang w:val="en-US" w:eastAsia="zh-CN"/>
        </w:rPr>
        <w:t xml:space="preserve">Trier J. Pathogenesis of acute gastric mucosal injury: </w:t>
      </w:r>
      <w:proofErr w:type="spellStart"/>
      <w:r w:rsidRPr="005605FF">
        <w:rPr>
          <w:rFonts w:ascii="Book Antiqua" w:eastAsia="SimSun" w:hAnsi="Book Antiqua" w:cs="Times New Roman"/>
          <w:kern w:val="2"/>
          <w:sz w:val="24"/>
          <w:szCs w:val="24"/>
          <w:lang w:val="en-US" w:eastAsia="zh-CN"/>
        </w:rPr>
        <w:t>Sulfhydrils</w:t>
      </w:r>
      <w:proofErr w:type="spellEnd"/>
      <w:r w:rsidRPr="005605FF">
        <w:rPr>
          <w:rFonts w:ascii="Book Antiqua" w:eastAsia="SimSun" w:hAnsi="Book Antiqua" w:cs="Times New Roman"/>
          <w:kern w:val="2"/>
          <w:sz w:val="24"/>
          <w:szCs w:val="24"/>
          <w:lang w:val="en-US" w:eastAsia="zh-CN"/>
        </w:rPr>
        <w:t xml:space="preserve"> as a protector, adrenal cortex as a modulator, and vascular endothelium as a target. In: Allen A, </w:t>
      </w:r>
      <w:proofErr w:type="spellStart"/>
      <w:r w:rsidRPr="005605FF">
        <w:rPr>
          <w:rFonts w:ascii="Book Antiqua" w:eastAsia="SimSun" w:hAnsi="Book Antiqua" w:cs="Times New Roman"/>
          <w:kern w:val="2"/>
          <w:sz w:val="24"/>
          <w:szCs w:val="24"/>
          <w:lang w:val="en-US" w:eastAsia="zh-CN"/>
        </w:rPr>
        <w:t>Flemstrom</w:t>
      </w:r>
      <w:proofErr w:type="spellEnd"/>
      <w:r w:rsidRPr="005605FF">
        <w:rPr>
          <w:rFonts w:ascii="Book Antiqua" w:eastAsia="SimSun" w:hAnsi="Book Antiqua" w:cs="Times New Roman"/>
          <w:kern w:val="2"/>
          <w:sz w:val="24"/>
          <w:szCs w:val="24"/>
          <w:lang w:val="en-US" w:eastAsia="zh-CN"/>
        </w:rPr>
        <w:t xml:space="preserve"> G, Garner A, </w:t>
      </w:r>
      <w:proofErr w:type="spellStart"/>
      <w:r w:rsidRPr="005605FF">
        <w:rPr>
          <w:rFonts w:ascii="Book Antiqua" w:eastAsia="SimSun" w:hAnsi="Book Antiqua" w:cs="Times New Roman"/>
          <w:kern w:val="2"/>
          <w:sz w:val="24"/>
          <w:szCs w:val="24"/>
          <w:lang w:val="en-US" w:eastAsia="zh-CN"/>
        </w:rPr>
        <w:t>Silen</w:t>
      </w:r>
      <w:proofErr w:type="spellEnd"/>
      <w:r w:rsidRPr="005605FF">
        <w:rPr>
          <w:rFonts w:ascii="Book Antiqua" w:eastAsia="SimSun" w:hAnsi="Book Antiqua" w:cs="Times New Roman"/>
          <w:kern w:val="2"/>
          <w:sz w:val="24"/>
          <w:szCs w:val="24"/>
          <w:lang w:val="en-US" w:eastAsia="zh-CN"/>
        </w:rPr>
        <w:t xml:space="preserve"> W, </w:t>
      </w:r>
      <w:proofErr w:type="spellStart"/>
      <w:r w:rsidRPr="005605FF">
        <w:rPr>
          <w:rFonts w:ascii="Book Antiqua" w:eastAsia="SimSun" w:hAnsi="Book Antiqua" w:cs="Times New Roman"/>
          <w:kern w:val="2"/>
          <w:sz w:val="24"/>
          <w:szCs w:val="24"/>
          <w:lang w:val="en-US" w:eastAsia="zh-CN"/>
        </w:rPr>
        <w:t>Turnberg</w:t>
      </w:r>
      <w:proofErr w:type="spellEnd"/>
      <w:r w:rsidRPr="005605FF">
        <w:rPr>
          <w:rFonts w:ascii="Book Antiqua" w:eastAsia="SimSun" w:hAnsi="Book Antiqua" w:cs="Times New Roman"/>
          <w:kern w:val="2"/>
          <w:sz w:val="24"/>
          <w:szCs w:val="24"/>
          <w:lang w:val="en-US" w:eastAsia="zh-CN"/>
        </w:rPr>
        <w:t xml:space="preserve"> L. Mechanism of mucosal protection in the upper gastrointestinal tract. New York: Raven; 1984</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kern w:val="2"/>
          <w:sz w:val="24"/>
          <w:szCs w:val="24"/>
          <w:lang w:val="en-US" w:eastAsia="zh-CN"/>
        </w:rPr>
        <w:t>387–</w:t>
      </w:r>
      <w:r w:rsidRPr="005605FF">
        <w:rPr>
          <w:rFonts w:ascii="Book Antiqua" w:eastAsia="SimSun" w:hAnsi="Book Antiqua" w:cs="Times New Roman" w:hint="eastAsia"/>
          <w:kern w:val="2"/>
          <w:sz w:val="24"/>
          <w:szCs w:val="24"/>
          <w:lang w:val="en-US" w:eastAsia="zh-CN"/>
        </w:rPr>
        <w:t>3</w:t>
      </w:r>
      <w:r w:rsidRPr="005605FF">
        <w:rPr>
          <w:rFonts w:ascii="Book Antiqua" w:eastAsia="SimSun" w:hAnsi="Book Antiqua" w:cs="Times New Roman"/>
          <w:kern w:val="2"/>
          <w:sz w:val="24"/>
          <w:szCs w:val="24"/>
          <w:lang w:val="en-US" w:eastAsia="zh-CN"/>
        </w:rPr>
        <w:t>93</w:t>
      </w:r>
    </w:p>
    <w:p w14:paraId="242AF107"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9 </w:t>
      </w:r>
      <w:r w:rsidRPr="005605FF">
        <w:rPr>
          <w:rFonts w:ascii="Book Antiqua" w:eastAsia="SimSun" w:hAnsi="Book Antiqua" w:cs="Times New Roman"/>
          <w:b/>
          <w:kern w:val="2"/>
          <w:sz w:val="24"/>
          <w:szCs w:val="24"/>
          <w:lang w:val="en-US" w:eastAsia="zh-CN"/>
        </w:rPr>
        <w:t>Trier JS</w:t>
      </w:r>
      <w:r w:rsidRPr="005605FF">
        <w:rPr>
          <w:rFonts w:ascii="Book Antiqua" w:eastAsia="SimSun" w:hAnsi="Book Antiqua" w:cs="Times New Roman"/>
          <w:kern w:val="2"/>
          <w:sz w:val="24"/>
          <w:szCs w:val="24"/>
          <w:lang w:val="en-US" w:eastAsia="zh-CN"/>
        </w:rPr>
        <w:t xml:space="preserve">, Szabo S, Allan CH. Ethanol-induced damage to mucosal capillaries of rat </w:t>
      </w:r>
      <w:r w:rsidRPr="005605FF">
        <w:rPr>
          <w:rFonts w:ascii="Book Antiqua" w:eastAsia="SimSun" w:hAnsi="Book Antiqua" w:cs="Times New Roman"/>
          <w:kern w:val="2"/>
          <w:sz w:val="24"/>
          <w:szCs w:val="24"/>
          <w:lang w:val="en-US" w:eastAsia="zh-CN"/>
        </w:rPr>
        <w:lastRenderedPageBreak/>
        <w:t xml:space="preserve">stomach. Ultrastructural features and effects of prostaglandin F2 beta and cysteamine. </w:t>
      </w:r>
      <w:r w:rsidRPr="005605FF">
        <w:rPr>
          <w:rFonts w:ascii="Book Antiqua" w:eastAsia="SimSun" w:hAnsi="Book Antiqua" w:cs="Times New Roman"/>
          <w:i/>
          <w:kern w:val="2"/>
          <w:sz w:val="24"/>
          <w:szCs w:val="24"/>
          <w:lang w:val="en-US" w:eastAsia="zh-CN"/>
        </w:rPr>
        <w:t>Gastroenterology</w:t>
      </w:r>
      <w:r w:rsidRPr="005605FF">
        <w:rPr>
          <w:rFonts w:ascii="Book Antiqua" w:eastAsia="SimSun" w:hAnsi="Book Antiqua" w:cs="Times New Roman"/>
          <w:kern w:val="2"/>
          <w:sz w:val="24"/>
          <w:szCs w:val="24"/>
          <w:lang w:val="en-US" w:eastAsia="zh-CN"/>
        </w:rPr>
        <w:t xml:space="preserve"> 1987; </w:t>
      </w:r>
      <w:r w:rsidRPr="005605FF">
        <w:rPr>
          <w:rFonts w:ascii="Book Antiqua" w:eastAsia="SimSun" w:hAnsi="Book Antiqua" w:cs="Times New Roman"/>
          <w:b/>
          <w:kern w:val="2"/>
          <w:sz w:val="24"/>
          <w:szCs w:val="24"/>
          <w:lang w:val="en-US" w:eastAsia="zh-CN"/>
        </w:rPr>
        <w:t>92</w:t>
      </w:r>
      <w:r w:rsidRPr="005605FF">
        <w:rPr>
          <w:rFonts w:ascii="Book Antiqua" w:eastAsia="SimSun" w:hAnsi="Book Antiqua" w:cs="Times New Roman"/>
          <w:kern w:val="2"/>
          <w:sz w:val="24"/>
          <w:szCs w:val="24"/>
          <w:lang w:val="en-US" w:eastAsia="zh-CN"/>
        </w:rPr>
        <w:t>: 13-22 [PMID: 3781180]</w:t>
      </w:r>
    </w:p>
    <w:p w14:paraId="1E6D6692"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10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Drmic D, </w:t>
      </w:r>
      <w:proofErr w:type="spellStart"/>
      <w:r w:rsidRPr="005605FF">
        <w:rPr>
          <w:rFonts w:ascii="Book Antiqua" w:eastAsia="SimSun" w:hAnsi="Book Antiqua" w:cs="Times New Roman"/>
          <w:kern w:val="2"/>
          <w:sz w:val="24"/>
          <w:szCs w:val="24"/>
          <w:lang w:val="en-US" w:eastAsia="zh-CN"/>
        </w:rPr>
        <w:t>Stupnisek</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Kokot</w:t>
      </w:r>
      <w:proofErr w:type="spellEnd"/>
      <w:r w:rsidRPr="005605FF">
        <w:rPr>
          <w:rFonts w:ascii="Book Antiqua" w:eastAsia="SimSun" w:hAnsi="Book Antiqua" w:cs="Times New Roman"/>
          <w:kern w:val="2"/>
          <w:sz w:val="24"/>
          <w:szCs w:val="24"/>
          <w:lang w:val="en-US" w:eastAsia="zh-CN"/>
        </w:rPr>
        <w:t xml:space="preserve"> A, Sever M,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Batelja</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Ziger</w:t>
      </w:r>
      <w:proofErr w:type="spellEnd"/>
      <w:r w:rsidRPr="005605FF">
        <w:rPr>
          <w:rFonts w:ascii="Book Antiqua" w:eastAsia="SimSun" w:hAnsi="Book Antiqua" w:cs="Times New Roman"/>
          <w:kern w:val="2"/>
          <w:sz w:val="24"/>
          <w:szCs w:val="24"/>
          <w:lang w:val="en-US" w:eastAsia="zh-CN"/>
        </w:rPr>
        <w:t xml:space="preserve"> T, Luetic K, </w:t>
      </w:r>
      <w:proofErr w:type="spellStart"/>
      <w:r w:rsidRPr="005605FF">
        <w:rPr>
          <w:rFonts w:ascii="Book Antiqua" w:eastAsia="SimSun" w:hAnsi="Book Antiqua" w:cs="Times New Roman"/>
          <w:kern w:val="2"/>
          <w:sz w:val="24"/>
          <w:szCs w:val="24"/>
          <w:lang w:val="en-US" w:eastAsia="zh-CN"/>
        </w:rPr>
        <w:t>Vlainic</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Rasic</w:t>
      </w:r>
      <w:proofErr w:type="spellEnd"/>
      <w:r w:rsidRPr="005605FF">
        <w:rPr>
          <w:rFonts w:ascii="Book Antiqua" w:eastAsia="SimSun" w:hAnsi="Book Antiqua" w:cs="Times New Roman"/>
          <w:kern w:val="2"/>
          <w:sz w:val="24"/>
          <w:szCs w:val="24"/>
          <w:lang w:val="en-US" w:eastAsia="zh-CN"/>
        </w:rPr>
        <w:t xml:space="preserve"> Z, Bencic ML. Stress in Gastrointestinal Tract and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Finally, do we have a Solution? </w:t>
      </w:r>
      <w:proofErr w:type="spellStart"/>
      <w:r w:rsidRPr="005605FF">
        <w:rPr>
          <w:rFonts w:ascii="Book Antiqua" w:eastAsia="SimSun" w:hAnsi="Book Antiqua" w:cs="Times New Roman"/>
          <w:i/>
          <w:kern w:val="2"/>
          <w:sz w:val="24"/>
          <w:szCs w:val="24"/>
          <w:lang w:val="en-US" w:eastAsia="zh-CN"/>
        </w:rPr>
        <w:t>Curr</w:t>
      </w:r>
      <w:proofErr w:type="spellEnd"/>
      <w:r w:rsidRPr="005605FF">
        <w:rPr>
          <w:rFonts w:ascii="Book Antiqua" w:eastAsia="SimSun" w:hAnsi="Book Antiqua" w:cs="Times New Roman"/>
          <w:i/>
          <w:kern w:val="2"/>
          <w:sz w:val="24"/>
          <w:szCs w:val="24"/>
          <w:lang w:val="en-US" w:eastAsia="zh-CN"/>
        </w:rPr>
        <w:t xml:space="preserve"> Pharm Des</w:t>
      </w:r>
      <w:r w:rsidRPr="005605FF">
        <w:rPr>
          <w:rFonts w:ascii="Book Antiqua" w:eastAsia="SimSun" w:hAnsi="Book Antiqua" w:cs="Times New Roman"/>
          <w:kern w:val="2"/>
          <w:sz w:val="24"/>
          <w:szCs w:val="24"/>
          <w:lang w:val="en-US" w:eastAsia="zh-CN"/>
        </w:rPr>
        <w:t xml:space="preserve"> 2017; </w:t>
      </w:r>
      <w:r w:rsidRPr="005605FF">
        <w:rPr>
          <w:rFonts w:ascii="Book Antiqua" w:eastAsia="SimSun" w:hAnsi="Book Antiqua" w:cs="Times New Roman"/>
          <w:b/>
          <w:kern w:val="2"/>
          <w:sz w:val="24"/>
          <w:szCs w:val="24"/>
          <w:lang w:val="en-US" w:eastAsia="zh-CN"/>
        </w:rPr>
        <w:t>23</w:t>
      </w:r>
      <w:r w:rsidRPr="005605FF">
        <w:rPr>
          <w:rFonts w:ascii="Book Antiqua" w:eastAsia="SimSun" w:hAnsi="Book Antiqua" w:cs="Times New Roman"/>
          <w:kern w:val="2"/>
          <w:sz w:val="24"/>
          <w:szCs w:val="24"/>
          <w:lang w:val="en-US" w:eastAsia="zh-CN"/>
        </w:rPr>
        <w:t>: 4012-4028 [PMID: 28228068 DOI: 10.2174/1381612823666170220163219]</w:t>
      </w:r>
    </w:p>
    <w:p w14:paraId="6604BE63"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11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Vuletic</w:t>
      </w:r>
      <w:proofErr w:type="spellEnd"/>
      <w:r w:rsidRPr="005605FF">
        <w:rPr>
          <w:rFonts w:ascii="Book Antiqua" w:eastAsia="SimSun" w:hAnsi="Book Antiqua" w:cs="Times New Roman"/>
          <w:kern w:val="2"/>
          <w:sz w:val="24"/>
          <w:szCs w:val="24"/>
          <w:lang w:val="en-US" w:eastAsia="zh-CN"/>
        </w:rPr>
        <w:t xml:space="preserve"> LB, Drmic D, </w:t>
      </w:r>
      <w:proofErr w:type="spellStart"/>
      <w:r w:rsidRPr="005605FF">
        <w:rPr>
          <w:rFonts w:ascii="Book Antiqua" w:eastAsia="SimSun" w:hAnsi="Book Antiqua" w:cs="Times New Roman"/>
          <w:kern w:val="2"/>
          <w:sz w:val="24"/>
          <w:szCs w:val="24"/>
          <w:lang w:val="en-US" w:eastAsia="zh-CN"/>
        </w:rPr>
        <w:t>Grgic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Strbe</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Zukanovic</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Crvenkovic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Madzarac</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Rukavina</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Sucic</w:t>
      </w:r>
      <w:proofErr w:type="spellEnd"/>
      <w:r w:rsidRPr="005605FF">
        <w:rPr>
          <w:rFonts w:ascii="Book Antiqua" w:eastAsia="SimSun" w:hAnsi="Book Antiqua" w:cs="Times New Roman"/>
          <w:kern w:val="2"/>
          <w:sz w:val="24"/>
          <w:szCs w:val="24"/>
          <w:lang w:val="en-US" w:eastAsia="zh-CN"/>
        </w:rPr>
        <w:t xml:space="preserve"> M, Baric M, </w:t>
      </w:r>
      <w:proofErr w:type="spellStart"/>
      <w:r w:rsidRPr="005605FF">
        <w:rPr>
          <w:rFonts w:ascii="Book Antiqua" w:eastAsia="SimSun" w:hAnsi="Book Antiqua" w:cs="Times New Roman"/>
          <w:kern w:val="2"/>
          <w:sz w:val="24"/>
          <w:szCs w:val="24"/>
          <w:lang w:val="en-US" w:eastAsia="zh-CN"/>
        </w:rPr>
        <w:t>Starcevic</w:t>
      </w:r>
      <w:proofErr w:type="spellEnd"/>
      <w:r w:rsidRPr="005605FF">
        <w:rPr>
          <w:rFonts w:ascii="Book Antiqua" w:eastAsia="SimSun" w:hAnsi="Book Antiqua" w:cs="Times New Roman"/>
          <w:kern w:val="2"/>
          <w:sz w:val="24"/>
          <w:szCs w:val="24"/>
          <w:lang w:val="en-US" w:eastAsia="zh-CN"/>
        </w:rPr>
        <w:t xml:space="preserve"> N, </w:t>
      </w:r>
      <w:proofErr w:type="spellStart"/>
      <w:r w:rsidRPr="005605FF">
        <w:rPr>
          <w:rFonts w:ascii="Book Antiqua" w:eastAsia="SimSun" w:hAnsi="Book Antiqua" w:cs="Times New Roman"/>
          <w:kern w:val="2"/>
          <w:sz w:val="24"/>
          <w:szCs w:val="24"/>
          <w:lang w:val="en-US" w:eastAsia="zh-CN"/>
        </w:rPr>
        <w:t>Krstonijevic</w:t>
      </w:r>
      <w:proofErr w:type="spellEnd"/>
      <w:r w:rsidRPr="005605FF">
        <w:rPr>
          <w:rFonts w:ascii="Book Antiqua" w:eastAsia="SimSun" w:hAnsi="Book Antiqua" w:cs="Times New Roman"/>
          <w:kern w:val="2"/>
          <w:sz w:val="24"/>
          <w:szCs w:val="24"/>
          <w:lang w:val="en-US" w:eastAsia="zh-CN"/>
        </w:rPr>
        <w:t xml:space="preserve"> Z, Bencic ML, </w:t>
      </w:r>
      <w:proofErr w:type="spellStart"/>
      <w:r w:rsidRPr="005605FF">
        <w:rPr>
          <w:rFonts w:ascii="Book Antiqua" w:eastAsia="SimSun" w:hAnsi="Book Antiqua" w:cs="Times New Roman"/>
          <w:kern w:val="2"/>
          <w:sz w:val="24"/>
          <w:szCs w:val="24"/>
          <w:lang w:val="en-US" w:eastAsia="zh-CN"/>
        </w:rPr>
        <w:t>Filipcic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Rokotov</w:t>
      </w:r>
      <w:proofErr w:type="spellEnd"/>
      <w:r w:rsidRPr="005605FF">
        <w:rPr>
          <w:rFonts w:ascii="Book Antiqua" w:eastAsia="SimSun" w:hAnsi="Book Antiqua" w:cs="Times New Roman"/>
          <w:kern w:val="2"/>
          <w:sz w:val="24"/>
          <w:szCs w:val="24"/>
          <w:lang w:val="en-US" w:eastAsia="zh-CN"/>
        </w:rPr>
        <w:t xml:space="preserve"> DS, </w:t>
      </w:r>
      <w:proofErr w:type="spellStart"/>
      <w:r w:rsidRPr="005605FF">
        <w:rPr>
          <w:rFonts w:ascii="Book Antiqua" w:eastAsia="SimSun" w:hAnsi="Book Antiqua" w:cs="Times New Roman"/>
          <w:kern w:val="2"/>
          <w:sz w:val="24"/>
          <w:szCs w:val="24"/>
          <w:lang w:val="en-US" w:eastAsia="zh-CN"/>
        </w:rPr>
        <w:t>Vlainic</w:t>
      </w:r>
      <w:proofErr w:type="spellEnd"/>
      <w:r w:rsidRPr="005605FF">
        <w:rPr>
          <w:rFonts w:ascii="Book Antiqua" w:eastAsia="SimSun" w:hAnsi="Book Antiqua" w:cs="Times New Roman"/>
          <w:kern w:val="2"/>
          <w:sz w:val="24"/>
          <w:szCs w:val="24"/>
          <w:lang w:val="en-US" w:eastAsia="zh-CN"/>
        </w:rPr>
        <w:t xml:space="preserve"> J. Brain-gut Axis and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Theoretical and Practical Implications. </w:t>
      </w:r>
      <w:proofErr w:type="spellStart"/>
      <w:r w:rsidRPr="005605FF">
        <w:rPr>
          <w:rFonts w:ascii="Book Antiqua" w:eastAsia="SimSun" w:hAnsi="Book Antiqua" w:cs="Times New Roman"/>
          <w:i/>
          <w:kern w:val="2"/>
          <w:sz w:val="24"/>
          <w:szCs w:val="24"/>
          <w:lang w:val="en-US" w:eastAsia="zh-CN"/>
        </w:rPr>
        <w:t>Curr</w:t>
      </w:r>
      <w:proofErr w:type="spellEnd"/>
      <w:r w:rsidRPr="005605FF">
        <w:rPr>
          <w:rFonts w:ascii="Book Antiqua" w:eastAsia="SimSun" w:hAnsi="Book Antiqua" w:cs="Times New Roman"/>
          <w:i/>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Neuropharmacol</w:t>
      </w:r>
      <w:proofErr w:type="spellEnd"/>
      <w:r w:rsidRPr="005605FF">
        <w:rPr>
          <w:rFonts w:ascii="Book Antiqua" w:eastAsia="SimSun" w:hAnsi="Book Antiqua" w:cs="Times New Roman"/>
          <w:kern w:val="2"/>
          <w:sz w:val="24"/>
          <w:szCs w:val="24"/>
          <w:lang w:val="en-US" w:eastAsia="zh-CN"/>
        </w:rPr>
        <w:t xml:space="preserve"> 2016; </w:t>
      </w:r>
      <w:r w:rsidRPr="005605FF">
        <w:rPr>
          <w:rFonts w:ascii="Book Antiqua" w:eastAsia="SimSun" w:hAnsi="Book Antiqua" w:cs="Times New Roman"/>
          <w:b/>
          <w:kern w:val="2"/>
          <w:sz w:val="24"/>
          <w:szCs w:val="24"/>
          <w:lang w:val="en-US" w:eastAsia="zh-CN"/>
        </w:rPr>
        <w:t>14</w:t>
      </w:r>
      <w:r w:rsidRPr="005605FF">
        <w:rPr>
          <w:rFonts w:ascii="Book Antiqua" w:eastAsia="SimSun" w:hAnsi="Book Antiqua" w:cs="Times New Roman"/>
          <w:kern w:val="2"/>
          <w:sz w:val="24"/>
          <w:szCs w:val="24"/>
          <w:lang w:val="en-US" w:eastAsia="zh-CN"/>
        </w:rPr>
        <w:t>: 857-865 [PMID: 27138887]</w:t>
      </w:r>
    </w:p>
    <w:p w14:paraId="5F08C384"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12 </w:t>
      </w:r>
      <w:proofErr w:type="spellStart"/>
      <w:r w:rsidRPr="005605FF">
        <w:rPr>
          <w:rFonts w:ascii="Book Antiqua" w:eastAsia="SimSun" w:hAnsi="Book Antiqua" w:cs="Times New Roman"/>
          <w:b/>
          <w:kern w:val="2"/>
          <w:sz w:val="24"/>
          <w:szCs w:val="24"/>
          <w:lang w:val="en-US" w:eastAsia="zh-CN"/>
        </w:rPr>
        <w:t>Seiwerth</w:t>
      </w:r>
      <w:proofErr w:type="spellEnd"/>
      <w:r w:rsidRPr="005605FF">
        <w:rPr>
          <w:rFonts w:ascii="Book Antiqua" w:eastAsia="SimSun" w:hAnsi="Book Antiqua" w:cs="Times New Roman"/>
          <w:b/>
          <w:kern w:val="2"/>
          <w:sz w:val="24"/>
          <w:szCs w:val="24"/>
          <w:lang w:val="en-US" w:eastAsia="zh-CN"/>
        </w:rPr>
        <w:t xml:space="preserve"> S</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Vuletic</w:t>
      </w:r>
      <w:proofErr w:type="spellEnd"/>
      <w:r w:rsidRPr="005605FF">
        <w:rPr>
          <w:rFonts w:ascii="Book Antiqua" w:eastAsia="SimSun" w:hAnsi="Book Antiqua" w:cs="Times New Roman"/>
          <w:kern w:val="2"/>
          <w:sz w:val="24"/>
          <w:szCs w:val="24"/>
          <w:lang w:val="en-US" w:eastAsia="zh-CN"/>
        </w:rPr>
        <w:t xml:space="preserve"> LB,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Aralica</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Misic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Zenko</w:t>
      </w:r>
      <w:proofErr w:type="spellEnd"/>
      <w:r w:rsidRPr="005605FF">
        <w:rPr>
          <w:rFonts w:ascii="Book Antiqua" w:eastAsia="SimSun" w:hAnsi="Book Antiqua" w:cs="Times New Roman"/>
          <w:kern w:val="2"/>
          <w:sz w:val="24"/>
          <w:szCs w:val="24"/>
          <w:lang w:val="en-US" w:eastAsia="zh-CN"/>
        </w:rPr>
        <w:t xml:space="preserve"> A, Drmic D,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BPC 157 and blood vessels. </w:t>
      </w:r>
      <w:proofErr w:type="spellStart"/>
      <w:r w:rsidRPr="005605FF">
        <w:rPr>
          <w:rFonts w:ascii="Book Antiqua" w:eastAsia="SimSun" w:hAnsi="Book Antiqua" w:cs="Times New Roman"/>
          <w:i/>
          <w:kern w:val="2"/>
          <w:sz w:val="24"/>
          <w:szCs w:val="24"/>
          <w:lang w:val="en-US" w:eastAsia="zh-CN"/>
        </w:rPr>
        <w:t>Curr</w:t>
      </w:r>
      <w:proofErr w:type="spellEnd"/>
      <w:r w:rsidRPr="005605FF">
        <w:rPr>
          <w:rFonts w:ascii="Book Antiqua" w:eastAsia="SimSun" w:hAnsi="Book Antiqua" w:cs="Times New Roman"/>
          <w:i/>
          <w:kern w:val="2"/>
          <w:sz w:val="24"/>
          <w:szCs w:val="24"/>
          <w:lang w:val="en-US" w:eastAsia="zh-CN"/>
        </w:rPr>
        <w:t xml:space="preserve"> Pharm Des</w:t>
      </w:r>
      <w:r w:rsidRPr="005605FF">
        <w:rPr>
          <w:rFonts w:ascii="Book Antiqua" w:eastAsia="SimSun" w:hAnsi="Book Antiqua" w:cs="Times New Roman"/>
          <w:kern w:val="2"/>
          <w:sz w:val="24"/>
          <w:szCs w:val="24"/>
          <w:lang w:val="en-US" w:eastAsia="zh-CN"/>
        </w:rPr>
        <w:t xml:space="preserve"> 2014; </w:t>
      </w:r>
      <w:r w:rsidRPr="005605FF">
        <w:rPr>
          <w:rFonts w:ascii="Book Antiqua" w:eastAsia="SimSun" w:hAnsi="Book Antiqua" w:cs="Times New Roman"/>
          <w:b/>
          <w:kern w:val="2"/>
          <w:sz w:val="24"/>
          <w:szCs w:val="24"/>
          <w:lang w:val="en-US" w:eastAsia="zh-CN"/>
        </w:rPr>
        <w:t>20</w:t>
      </w:r>
      <w:r w:rsidRPr="005605FF">
        <w:rPr>
          <w:rFonts w:ascii="Book Antiqua" w:eastAsia="SimSun" w:hAnsi="Book Antiqua" w:cs="Times New Roman"/>
          <w:kern w:val="2"/>
          <w:sz w:val="24"/>
          <w:szCs w:val="24"/>
          <w:lang w:val="en-US" w:eastAsia="zh-CN"/>
        </w:rPr>
        <w:t>: 1121-1125 [PMID: 23782145 DOI: 10.2174/13816128113199990421]</w:t>
      </w:r>
    </w:p>
    <w:p w14:paraId="6E4179D7"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13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Turkovic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Rokotov</w:t>
      </w:r>
      <w:proofErr w:type="spellEnd"/>
      <w:r w:rsidRPr="005605FF">
        <w:rPr>
          <w:rFonts w:ascii="Book Antiqua" w:eastAsia="SimSun" w:hAnsi="Book Antiqua" w:cs="Times New Roman"/>
          <w:kern w:val="2"/>
          <w:sz w:val="24"/>
          <w:szCs w:val="24"/>
          <w:lang w:val="en-US" w:eastAsia="zh-CN"/>
        </w:rPr>
        <w:t xml:space="preserve"> DS,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Sever M,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Drmic D, </w:t>
      </w:r>
      <w:proofErr w:type="spellStart"/>
      <w:r w:rsidRPr="005605FF">
        <w:rPr>
          <w:rFonts w:ascii="Book Antiqua" w:eastAsia="SimSun" w:hAnsi="Book Antiqua" w:cs="Times New Roman"/>
          <w:kern w:val="2"/>
          <w:sz w:val="24"/>
          <w:szCs w:val="24"/>
          <w:lang w:val="en-US" w:eastAsia="zh-CN"/>
        </w:rPr>
        <w:t>Ilic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Aralica</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Stupnisek</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Suran</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Barisic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Dzidic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Vrcic</w:t>
      </w:r>
      <w:proofErr w:type="spellEnd"/>
      <w:r w:rsidRPr="005605FF">
        <w:rPr>
          <w:rFonts w:ascii="Book Antiqua" w:eastAsia="SimSun" w:hAnsi="Book Antiqua" w:cs="Times New Roman"/>
          <w:kern w:val="2"/>
          <w:sz w:val="24"/>
          <w:szCs w:val="24"/>
          <w:lang w:val="en-US" w:eastAsia="zh-CN"/>
        </w:rPr>
        <w:t xml:space="preserve"> H, </w:t>
      </w:r>
      <w:proofErr w:type="spellStart"/>
      <w:r w:rsidRPr="005605FF">
        <w:rPr>
          <w:rFonts w:ascii="Book Antiqua" w:eastAsia="SimSun" w:hAnsi="Book Antiqua" w:cs="Times New Roman"/>
          <w:kern w:val="2"/>
          <w:sz w:val="24"/>
          <w:szCs w:val="24"/>
          <w:lang w:val="en-US" w:eastAsia="zh-CN"/>
        </w:rPr>
        <w:t>Sebecic</w:t>
      </w:r>
      <w:proofErr w:type="spellEnd"/>
      <w:r w:rsidRPr="005605FF">
        <w:rPr>
          <w:rFonts w:ascii="Book Antiqua" w:eastAsia="SimSun" w:hAnsi="Book Antiqua" w:cs="Times New Roman"/>
          <w:kern w:val="2"/>
          <w:sz w:val="24"/>
          <w:szCs w:val="24"/>
          <w:lang w:val="en-US" w:eastAsia="zh-CN"/>
        </w:rPr>
        <w:t xml:space="preserve"> B.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157-NO-system relation. </w:t>
      </w:r>
      <w:proofErr w:type="spellStart"/>
      <w:r w:rsidRPr="005605FF">
        <w:rPr>
          <w:rFonts w:ascii="Book Antiqua" w:eastAsia="SimSun" w:hAnsi="Book Antiqua" w:cs="Times New Roman"/>
          <w:i/>
          <w:kern w:val="2"/>
          <w:sz w:val="24"/>
          <w:szCs w:val="24"/>
          <w:lang w:val="en-US" w:eastAsia="zh-CN"/>
        </w:rPr>
        <w:t>Curr</w:t>
      </w:r>
      <w:proofErr w:type="spellEnd"/>
      <w:r w:rsidRPr="005605FF">
        <w:rPr>
          <w:rFonts w:ascii="Book Antiqua" w:eastAsia="SimSun" w:hAnsi="Book Antiqua" w:cs="Times New Roman"/>
          <w:i/>
          <w:kern w:val="2"/>
          <w:sz w:val="24"/>
          <w:szCs w:val="24"/>
          <w:lang w:val="en-US" w:eastAsia="zh-CN"/>
        </w:rPr>
        <w:t xml:space="preserve"> Pharm Des</w:t>
      </w:r>
      <w:r w:rsidRPr="005605FF">
        <w:rPr>
          <w:rFonts w:ascii="Book Antiqua" w:eastAsia="SimSun" w:hAnsi="Book Antiqua" w:cs="Times New Roman"/>
          <w:kern w:val="2"/>
          <w:sz w:val="24"/>
          <w:szCs w:val="24"/>
          <w:lang w:val="en-US" w:eastAsia="zh-CN"/>
        </w:rPr>
        <w:t xml:space="preserve"> 2014; </w:t>
      </w:r>
      <w:r w:rsidRPr="005605FF">
        <w:rPr>
          <w:rFonts w:ascii="Book Antiqua" w:eastAsia="SimSun" w:hAnsi="Book Antiqua" w:cs="Times New Roman"/>
          <w:b/>
          <w:kern w:val="2"/>
          <w:sz w:val="24"/>
          <w:szCs w:val="24"/>
          <w:lang w:val="en-US" w:eastAsia="zh-CN"/>
        </w:rPr>
        <w:t>20</w:t>
      </w:r>
      <w:r w:rsidRPr="005605FF">
        <w:rPr>
          <w:rFonts w:ascii="Book Antiqua" w:eastAsia="SimSun" w:hAnsi="Book Antiqua" w:cs="Times New Roman"/>
          <w:kern w:val="2"/>
          <w:sz w:val="24"/>
          <w:szCs w:val="24"/>
          <w:lang w:val="en-US" w:eastAsia="zh-CN"/>
        </w:rPr>
        <w:t>: 1126-1135 [PMID: 23755725]</w:t>
      </w:r>
    </w:p>
    <w:p w14:paraId="60EC139B"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14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Turkovic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Rokotov</w:t>
      </w:r>
      <w:proofErr w:type="spellEnd"/>
      <w:r w:rsidRPr="005605FF">
        <w:rPr>
          <w:rFonts w:ascii="Book Antiqua" w:eastAsia="SimSun" w:hAnsi="Book Antiqua" w:cs="Times New Roman"/>
          <w:kern w:val="2"/>
          <w:sz w:val="24"/>
          <w:szCs w:val="24"/>
          <w:lang w:val="en-US" w:eastAsia="zh-CN"/>
        </w:rPr>
        <w:t xml:space="preserve"> DS,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Sever M,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Drmic D, </w:t>
      </w:r>
      <w:proofErr w:type="spellStart"/>
      <w:r w:rsidRPr="005605FF">
        <w:rPr>
          <w:rFonts w:ascii="Book Antiqua" w:eastAsia="SimSun" w:hAnsi="Book Antiqua" w:cs="Times New Roman"/>
          <w:kern w:val="2"/>
          <w:sz w:val="24"/>
          <w:szCs w:val="24"/>
          <w:lang w:val="en-US" w:eastAsia="zh-CN"/>
        </w:rPr>
        <w:t>Ilic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Aralica</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Safic</w:t>
      </w:r>
      <w:proofErr w:type="spellEnd"/>
      <w:r w:rsidRPr="005605FF">
        <w:rPr>
          <w:rFonts w:ascii="Book Antiqua" w:eastAsia="SimSun" w:hAnsi="Book Antiqua" w:cs="Times New Roman"/>
          <w:kern w:val="2"/>
          <w:sz w:val="24"/>
          <w:szCs w:val="24"/>
          <w:lang w:val="en-US" w:eastAsia="zh-CN"/>
        </w:rPr>
        <w:t xml:space="preserve"> H, </w:t>
      </w:r>
      <w:proofErr w:type="spellStart"/>
      <w:r w:rsidRPr="005605FF">
        <w:rPr>
          <w:rFonts w:ascii="Book Antiqua" w:eastAsia="SimSun" w:hAnsi="Book Antiqua" w:cs="Times New Roman"/>
          <w:kern w:val="2"/>
          <w:sz w:val="24"/>
          <w:szCs w:val="24"/>
          <w:lang w:val="en-US" w:eastAsia="zh-CN"/>
        </w:rPr>
        <w:t>Suran</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Rak</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Dzidic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Vrcic</w:t>
      </w:r>
      <w:proofErr w:type="spellEnd"/>
      <w:r w:rsidRPr="005605FF">
        <w:rPr>
          <w:rFonts w:ascii="Book Antiqua" w:eastAsia="SimSun" w:hAnsi="Book Antiqua" w:cs="Times New Roman"/>
          <w:kern w:val="2"/>
          <w:sz w:val="24"/>
          <w:szCs w:val="24"/>
          <w:lang w:val="en-US" w:eastAsia="zh-CN"/>
        </w:rPr>
        <w:t xml:space="preserve"> H, </w:t>
      </w:r>
      <w:proofErr w:type="spellStart"/>
      <w:r w:rsidRPr="005605FF">
        <w:rPr>
          <w:rFonts w:ascii="Book Antiqua" w:eastAsia="SimSun" w:hAnsi="Book Antiqua" w:cs="Times New Roman"/>
          <w:kern w:val="2"/>
          <w:sz w:val="24"/>
          <w:szCs w:val="24"/>
          <w:lang w:val="en-US" w:eastAsia="zh-CN"/>
        </w:rPr>
        <w:t>Sebecic</w:t>
      </w:r>
      <w:proofErr w:type="spellEnd"/>
      <w:r w:rsidRPr="005605FF">
        <w:rPr>
          <w:rFonts w:ascii="Book Antiqua" w:eastAsia="SimSun" w:hAnsi="Book Antiqua" w:cs="Times New Roman"/>
          <w:kern w:val="2"/>
          <w:sz w:val="24"/>
          <w:szCs w:val="24"/>
          <w:lang w:val="en-US" w:eastAsia="zh-CN"/>
        </w:rPr>
        <w:t xml:space="preserve"> B. Toxicity by NSAIDs. Counteraction by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w:t>
      </w:r>
      <w:r w:rsidRPr="005605FF">
        <w:rPr>
          <w:rFonts w:ascii="Book Antiqua" w:eastAsia="SimSun" w:hAnsi="Book Antiqua" w:cs="Times New Roman" w:hint="eastAsia"/>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Curr</w:t>
      </w:r>
      <w:proofErr w:type="spellEnd"/>
      <w:r w:rsidRPr="005605FF">
        <w:rPr>
          <w:rFonts w:ascii="Book Antiqua" w:eastAsia="SimSun" w:hAnsi="Book Antiqua" w:cs="Times New Roman"/>
          <w:i/>
          <w:kern w:val="2"/>
          <w:sz w:val="24"/>
          <w:szCs w:val="24"/>
          <w:lang w:val="en-US" w:eastAsia="zh-CN"/>
        </w:rPr>
        <w:t xml:space="preserve"> Pharm Des</w:t>
      </w:r>
      <w:r w:rsidRPr="005605FF">
        <w:rPr>
          <w:rFonts w:ascii="Book Antiqua" w:eastAsia="SimSun" w:hAnsi="Book Antiqua" w:cs="Times New Roman"/>
          <w:kern w:val="2"/>
          <w:sz w:val="24"/>
          <w:szCs w:val="24"/>
          <w:lang w:val="en-US" w:eastAsia="zh-CN"/>
        </w:rPr>
        <w:t xml:space="preserve"> 2013; </w:t>
      </w:r>
      <w:r w:rsidRPr="005605FF">
        <w:rPr>
          <w:rFonts w:ascii="Book Antiqua" w:eastAsia="SimSun" w:hAnsi="Book Antiqua" w:cs="Times New Roman"/>
          <w:b/>
          <w:kern w:val="2"/>
          <w:sz w:val="24"/>
          <w:szCs w:val="24"/>
          <w:lang w:val="en-US" w:eastAsia="zh-CN"/>
        </w:rPr>
        <w:t>19</w:t>
      </w:r>
      <w:r w:rsidRPr="005605FF">
        <w:rPr>
          <w:rFonts w:ascii="Book Antiqua" w:eastAsia="SimSun" w:hAnsi="Book Antiqua" w:cs="Times New Roman"/>
          <w:kern w:val="2"/>
          <w:sz w:val="24"/>
          <w:szCs w:val="24"/>
          <w:lang w:val="en-US" w:eastAsia="zh-CN"/>
        </w:rPr>
        <w:t>: 76-83 [PMID: 22950504]</w:t>
      </w:r>
    </w:p>
    <w:p w14:paraId="5BB90DBA"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15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w:t>
      </w:r>
      <w:r w:rsidRPr="005605FF">
        <w:rPr>
          <w:rFonts w:ascii="Book Antiqua" w:eastAsia="SimSun" w:hAnsi="Book Antiqua" w:cs="Times New Roman" w:hint="eastAsia"/>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Turkovic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Rokotov</w:t>
      </w:r>
      <w:proofErr w:type="spellEnd"/>
      <w:r w:rsidRPr="005605FF">
        <w:rPr>
          <w:rFonts w:ascii="Book Antiqua" w:eastAsia="SimSun" w:hAnsi="Book Antiqua" w:cs="Times New Roman"/>
          <w:kern w:val="2"/>
          <w:sz w:val="24"/>
          <w:szCs w:val="24"/>
          <w:lang w:val="en-US" w:eastAsia="zh-CN"/>
        </w:rPr>
        <w:t xml:space="preserve"> DS,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Sever M,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Drmic D, </w:t>
      </w:r>
      <w:proofErr w:type="spellStart"/>
      <w:r w:rsidRPr="005605FF">
        <w:rPr>
          <w:rFonts w:ascii="Book Antiqua" w:eastAsia="SimSun" w:hAnsi="Book Antiqua" w:cs="Times New Roman"/>
          <w:kern w:val="2"/>
          <w:sz w:val="24"/>
          <w:szCs w:val="24"/>
          <w:lang w:val="en-US" w:eastAsia="zh-CN"/>
        </w:rPr>
        <w:t>Ilic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Stambolija</w:t>
      </w:r>
      <w:proofErr w:type="spellEnd"/>
      <w:r w:rsidRPr="005605FF">
        <w:rPr>
          <w:rFonts w:ascii="Book Antiqua" w:eastAsia="SimSun" w:hAnsi="Book Antiqua" w:cs="Times New Roman"/>
          <w:kern w:val="2"/>
          <w:sz w:val="24"/>
          <w:szCs w:val="24"/>
          <w:lang w:val="en-US" w:eastAsia="zh-CN"/>
        </w:rPr>
        <w:t xml:space="preserve"> V,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Vrcic</w:t>
      </w:r>
      <w:proofErr w:type="spellEnd"/>
      <w:r w:rsidRPr="005605FF">
        <w:rPr>
          <w:rFonts w:ascii="Book Antiqua" w:eastAsia="SimSun" w:hAnsi="Book Antiqua" w:cs="Times New Roman"/>
          <w:kern w:val="2"/>
          <w:sz w:val="24"/>
          <w:szCs w:val="24"/>
          <w:lang w:val="en-US" w:eastAsia="zh-CN"/>
        </w:rPr>
        <w:t xml:space="preserve"> H, </w:t>
      </w:r>
      <w:proofErr w:type="spellStart"/>
      <w:r w:rsidRPr="005605FF">
        <w:rPr>
          <w:rFonts w:ascii="Book Antiqua" w:eastAsia="SimSun" w:hAnsi="Book Antiqua" w:cs="Times New Roman"/>
          <w:kern w:val="2"/>
          <w:sz w:val="24"/>
          <w:szCs w:val="24"/>
          <w:lang w:val="en-US" w:eastAsia="zh-CN"/>
        </w:rPr>
        <w:t>Sebecic</w:t>
      </w:r>
      <w:proofErr w:type="spellEnd"/>
      <w:r w:rsidRPr="005605FF">
        <w:rPr>
          <w:rFonts w:ascii="Book Antiqua" w:eastAsia="SimSun" w:hAnsi="Book Antiqua" w:cs="Times New Roman"/>
          <w:kern w:val="2"/>
          <w:sz w:val="24"/>
          <w:szCs w:val="24"/>
          <w:lang w:val="en-US" w:eastAsia="zh-CN"/>
        </w:rPr>
        <w:t xml:space="preserve"> B. Focus on ulcerative colitis: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w:t>
      </w:r>
      <w:proofErr w:type="spellStart"/>
      <w:r w:rsidRPr="005605FF">
        <w:rPr>
          <w:rFonts w:ascii="Book Antiqua" w:eastAsia="SimSun" w:hAnsi="Book Antiqua" w:cs="Times New Roman"/>
          <w:i/>
          <w:kern w:val="2"/>
          <w:sz w:val="24"/>
          <w:szCs w:val="24"/>
          <w:lang w:val="en-US" w:eastAsia="zh-CN"/>
        </w:rPr>
        <w:t>Curr</w:t>
      </w:r>
      <w:proofErr w:type="spellEnd"/>
      <w:r w:rsidRPr="005605FF">
        <w:rPr>
          <w:rFonts w:ascii="Book Antiqua" w:eastAsia="SimSun" w:hAnsi="Book Antiqua" w:cs="Times New Roman"/>
          <w:i/>
          <w:kern w:val="2"/>
          <w:sz w:val="24"/>
          <w:szCs w:val="24"/>
          <w:lang w:val="en-US" w:eastAsia="zh-CN"/>
        </w:rPr>
        <w:t xml:space="preserve"> Med Chem</w:t>
      </w:r>
      <w:r w:rsidRPr="005605FF">
        <w:rPr>
          <w:rFonts w:ascii="Book Antiqua" w:eastAsia="SimSun" w:hAnsi="Book Antiqua" w:cs="Times New Roman" w:hint="eastAsia"/>
          <w:i/>
          <w:kern w:val="2"/>
          <w:sz w:val="24"/>
          <w:szCs w:val="24"/>
          <w:lang w:val="en-US" w:eastAsia="zh-CN"/>
        </w:rPr>
        <w:t xml:space="preserve"> </w:t>
      </w:r>
      <w:r w:rsidRPr="005605FF">
        <w:rPr>
          <w:rFonts w:ascii="Book Antiqua" w:eastAsia="SimSun" w:hAnsi="Book Antiqua" w:cs="Times New Roman"/>
          <w:kern w:val="2"/>
          <w:sz w:val="24"/>
          <w:szCs w:val="24"/>
          <w:lang w:val="en-US" w:eastAsia="zh-CN"/>
        </w:rPr>
        <w:t>2012;</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b/>
          <w:kern w:val="2"/>
          <w:sz w:val="24"/>
          <w:szCs w:val="24"/>
          <w:lang w:val="en-US" w:eastAsia="zh-CN"/>
        </w:rPr>
        <w:t>19</w:t>
      </w:r>
      <w:r w:rsidRPr="005605FF">
        <w:rPr>
          <w:rFonts w:ascii="Book Antiqua" w:eastAsia="SimSun" w:hAnsi="Book Antiqua" w:cs="Times New Roman"/>
          <w:kern w:val="2"/>
          <w:sz w:val="24"/>
          <w:szCs w:val="24"/>
          <w:lang w:val="en-US" w:eastAsia="zh-CN"/>
        </w:rPr>
        <w:t>:</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kern w:val="2"/>
          <w:sz w:val="24"/>
          <w:szCs w:val="24"/>
          <w:lang w:val="en-US" w:eastAsia="zh-CN"/>
        </w:rPr>
        <w:t>126–</w:t>
      </w:r>
      <w:r w:rsidRPr="005605FF">
        <w:rPr>
          <w:rFonts w:ascii="Book Antiqua" w:eastAsia="SimSun" w:hAnsi="Book Antiqua" w:cs="Times New Roman" w:hint="eastAsia"/>
          <w:kern w:val="2"/>
          <w:sz w:val="24"/>
          <w:szCs w:val="24"/>
          <w:lang w:val="en-US" w:eastAsia="zh-CN"/>
        </w:rPr>
        <w:t>1</w:t>
      </w:r>
      <w:r w:rsidRPr="005605FF">
        <w:rPr>
          <w:rFonts w:ascii="Book Antiqua" w:eastAsia="SimSun" w:hAnsi="Book Antiqua" w:cs="Times New Roman"/>
          <w:kern w:val="2"/>
          <w:sz w:val="24"/>
          <w:szCs w:val="24"/>
          <w:lang w:val="en-US" w:eastAsia="zh-CN"/>
        </w:rPr>
        <w:t>32 [PMID: 22300085]</w:t>
      </w:r>
    </w:p>
    <w:p w14:paraId="65509267"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16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Turkovic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Rokotov</w:t>
      </w:r>
      <w:proofErr w:type="spellEnd"/>
      <w:r w:rsidRPr="005605FF">
        <w:rPr>
          <w:rFonts w:ascii="Book Antiqua" w:eastAsia="SimSun" w:hAnsi="Book Antiqua" w:cs="Times New Roman"/>
          <w:kern w:val="2"/>
          <w:sz w:val="24"/>
          <w:szCs w:val="24"/>
          <w:lang w:val="en-US" w:eastAsia="zh-CN"/>
        </w:rPr>
        <w:t xml:space="preserve"> DS,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Sever M,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Drmic D, </w:t>
      </w:r>
      <w:proofErr w:type="spellStart"/>
      <w:r w:rsidRPr="005605FF">
        <w:rPr>
          <w:rFonts w:ascii="Book Antiqua" w:eastAsia="SimSun" w:hAnsi="Book Antiqua" w:cs="Times New Roman"/>
          <w:kern w:val="2"/>
          <w:sz w:val="24"/>
          <w:szCs w:val="24"/>
          <w:lang w:val="en-US" w:eastAsia="zh-CN"/>
        </w:rPr>
        <w:t>Ilic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Vrcic</w:t>
      </w:r>
      <w:proofErr w:type="spellEnd"/>
      <w:r w:rsidRPr="005605FF">
        <w:rPr>
          <w:rFonts w:ascii="Book Antiqua" w:eastAsia="SimSun" w:hAnsi="Book Antiqua" w:cs="Times New Roman"/>
          <w:kern w:val="2"/>
          <w:sz w:val="24"/>
          <w:szCs w:val="24"/>
          <w:lang w:val="en-US" w:eastAsia="zh-CN"/>
        </w:rPr>
        <w:t xml:space="preserve"> H, </w:t>
      </w:r>
      <w:proofErr w:type="spellStart"/>
      <w:r w:rsidRPr="005605FF">
        <w:rPr>
          <w:rFonts w:ascii="Book Antiqua" w:eastAsia="SimSun" w:hAnsi="Book Antiqua" w:cs="Times New Roman"/>
          <w:kern w:val="2"/>
          <w:sz w:val="24"/>
          <w:szCs w:val="24"/>
          <w:lang w:val="en-US" w:eastAsia="zh-CN"/>
        </w:rPr>
        <w:t>Sebecic</w:t>
      </w:r>
      <w:proofErr w:type="spellEnd"/>
      <w:r w:rsidRPr="005605FF">
        <w:rPr>
          <w:rFonts w:ascii="Book Antiqua" w:eastAsia="SimSun" w:hAnsi="Book Antiqua" w:cs="Times New Roman"/>
          <w:kern w:val="2"/>
          <w:sz w:val="24"/>
          <w:szCs w:val="24"/>
          <w:lang w:val="en-US" w:eastAsia="zh-CN"/>
        </w:rPr>
        <w:t xml:space="preserve"> B.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novel therapy in gastrointestinal tract. </w:t>
      </w:r>
      <w:proofErr w:type="spellStart"/>
      <w:r w:rsidRPr="005605FF">
        <w:rPr>
          <w:rFonts w:ascii="Book Antiqua" w:eastAsia="SimSun" w:hAnsi="Book Antiqua" w:cs="Times New Roman"/>
          <w:i/>
          <w:kern w:val="2"/>
          <w:sz w:val="24"/>
          <w:szCs w:val="24"/>
          <w:lang w:val="en-US" w:eastAsia="zh-CN"/>
        </w:rPr>
        <w:t>Curr</w:t>
      </w:r>
      <w:proofErr w:type="spellEnd"/>
      <w:r w:rsidRPr="005605FF">
        <w:rPr>
          <w:rFonts w:ascii="Book Antiqua" w:eastAsia="SimSun" w:hAnsi="Book Antiqua" w:cs="Times New Roman"/>
          <w:i/>
          <w:kern w:val="2"/>
          <w:sz w:val="24"/>
          <w:szCs w:val="24"/>
          <w:lang w:val="en-US" w:eastAsia="zh-CN"/>
        </w:rPr>
        <w:t xml:space="preserve"> Pharm Des</w:t>
      </w:r>
      <w:r w:rsidRPr="005605FF">
        <w:rPr>
          <w:rFonts w:ascii="Book Antiqua" w:eastAsia="SimSun" w:hAnsi="Book Antiqua" w:cs="Times New Roman"/>
          <w:kern w:val="2"/>
          <w:sz w:val="24"/>
          <w:szCs w:val="24"/>
          <w:lang w:val="en-US" w:eastAsia="zh-CN"/>
        </w:rPr>
        <w:t xml:space="preserve"> 2011; </w:t>
      </w:r>
      <w:r w:rsidRPr="005605FF">
        <w:rPr>
          <w:rFonts w:ascii="Book Antiqua" w:eastAsia="SimSun" w:hAnsi="Book Antiqua" w:cs="Times New Roman"/>
          <w:b/>
          <w:kern w:val="2"/>
          <w:sz w:val="24"/>
          <w:szCs w:val="24"/>
          <w:lang w:val="en-US" w:eastAsia="zh-CN"/>
        </w:rPr>
        <w:t>17</w:t>
      </w:r>
      <w:r w:rsidRPr="005605FF">
        <w:rPr>
          <w:rFonts w:ascii="Book Antiqua" w:eastAsia="SimSun" w:hAnsi="Book Antiqua" w:cs="Times New Roman"/>
          <w:kern w:val="2"/>
          <w:sz w:val="24"/>
          <w:szCs w:val="24"/>
          <w:lang w:val="en-US" w:eastAsia="zh-CN"/>
        </w:rPr>
        <w:t>: 1612-1632 [PMID: 21548867 DOI: 10.2174/138161211796196954]</w:t>
      </w:r>
    </w:p>
    <w:p w14:paraId="5F0D6098"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lastRenderedPageBreak/>
        <w:t xml:space="preserve">17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Sever M,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Drmic D, </w:t>
      </w:r>
      <w:proofErr w:type="spellStart"/>
      <w:r w:rsidRPr="005605FF">
        <w:rPr>
          <w:rFonts w:ascii="Book Antiqua" w:eastAsia="SimSun" w:hAnsi="Book Antiqua" w:cs="Times New Roman"/>
          <w:kern w:val="2"/>
          <w:sz w:val="24"/>
          <w:szCs w:val="24"/>
          <w:lang w:val="en-US" w:eastAsia="zh-CN"/>
        </w:rPr>
        <w:t>Ilic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Revised Robert's </w:t>
      </w:r>
      <w:proofErr w:type="spellStart"/>
      <w:r w:rsidRPr="005605FF">
        <w:rPr>
          <w:rFonts w:ascii="Book Antiqua" w:eastAsia="SimSun" w:hAnsi="Book Antiqua" w:cs="Times New Roman"/>
          <w:kern w:val="2"/>
          <w:sz w:val="24"/>
          <w:szCs w:val="24"/>
          <w:lang w:val="en-US" w:eastAsia="zh-CN"/>
        </w:rPr>
        <w:t>cytoprotection</w:t>
      </w:r>
      <w:proofErr w:type="spellEnd"/>
      <w:r w:rsidRPr="005605FF">
        <w:rPr>
          <w:rFonts w:ascii="Book Antiqua" w:eastAsia="SimSun" w:hAnsi="Book Antiqua" w:cs="Times New Roman"/>
          <w:kern w:val="2"/>
          <w:sz w:val="24"/>
          <w:szCs w:val="24"/>
          <w:lang w:val="en-US" w:eastAsia="zh-CN"/>
        </w:rPr>
        <w:t xml:space="preserve"> and adaptive </w:t>
      </w:r>
      <w:proofErr w:type="spellStart"/>
      <w:r w:rsidRPr="005605FF">
        <w:rPr>
          <w:rFonts w:ascii="Book Antiqua" w:eastAsia="SimSun" w:hAnsi="Book Antiqua" w:cs="Times New Roman"/>
          <w:kern w:val="2"/>
          <w:sz w:val="24"/>
          <w:szCs w:val="24"/>
          <w:lang w:val="en-US" w:eastAsia="zh-CN"/>
        </w:rPr>
        <w:t>cytoprotection</w:t>
      </w:r>
      <w:proofErr w:type="spellEnd"/>
      <w:r w:rsidRPr="005605FF">
        <w:rPr>
          <w:rFonts w:ascii="Book Antiqua" w:eastAsia="SimSun" w:hAnsi="Book Antiqua" w:cs="Times New Roman"/>
          <w:kern w:val="2"/>
          <w:sz w:val="24"/>
          <w:szCs w:val="24"/>
          <w:lang w:val="en-US" w:eastAsia="zh-CN"/>
        </w:rPr>
        <w:t xml:space="preserve"> and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Possible significance and implications for novel mediator. </w:t>
      </w:r>
      <w:proofErr w:type="spellStart"/>
      <w:r w:rsidRPr="005605FF">
        <w:rPr>
          <w:rFonts w:ascii="Book Antiqua" w:eastAsia="SimSun" w:hAnsi="Book Antiqua" w:cs="Times New Roman"/>
          <w:i/>
          <w:kern w:val="2"/>
          <w:sz w:val="24"/>
          <w:szCs w:val="24"/>
          <w:lang w:val="en-US" w:eastAsia="zh-CN"/>
        </w:rPr>
        <w:t>Curr</w:t>
      </w:r>
      <w:proofErr w:type="spellEnd"/>
      <w:r w:rsidRPr="005605FF">
        <w:rPr>
          <w:rFonts w:ascii="Book Antiqua" w:eastAsia="SimSun" w:hAnsi="Book Antiqua" w:cs="Times New Roman"/>
          <w:i/>
          <w:kern w:val="2"/>
          <w:sz w:val="24"/>
          <w:szCs w:val="24"/>
          <w:lang w:val="en-US" w:eastAsia="zh-CN"/>
        </w:rPr>
        <w:t xml:space="preserve"> Pharm Des</w:t>
      </w:r>
      <w:r w:rsidRPr="005605FF">
        <w:rPr>
          <w:rFonts w:ascii="Book Antiqua" w:eastAsia="SimSun" w:hAnsi="Book Antiqua" w:cs="Times New Roman"/>
          <w:kern w:val="2"/>
          <w:sz w:val="24"/>
          <w:szCs w:val="24"/>
          <w:lang w:val="en-US" w:eastAsia="zh-CN"/>
        </w:rPr>
        <w:t xml:space="preserve"> 2010; </w:t>
      </w:r>
      <w:r w:rsidRPr="005605FF">
        <w:rPr>
          <w:rFonts w:ascii="Book Antiqua" w:eastAsia="SimSun" w:hAnsi="Book Antiqua" w:cs="Times New Roman"/>
          <w:b/>
          <w:kern w:val="2"/>
          <w:sz w:val="24"/>
          <w:szCs w:val="24"/>
          <w:lang w:val="en-US" w:eastAsia="zh-CN"/>
        </w:rPr>
        <w:t>16</w:t>
      </w:r>
      <w:r w:rsidRPr="005605FF">
        <w:rPr>
          <w:rFonts w:ascii="Book Antiqua" w:eastAsia="SimSun" w:hAnsi="Book Antiqua" w:cs="Times New Roman"/>
          <w:kern w:val="2"/>
          <w:sz w:val="24"/>
          <w:szCs w:val="24"/>
          <w:lang w:val="en-US" w:eastAsia="zh-CN"/>
        </w:rPr>
        <w:t>: 1224-1234 [PMID: 20166993]</w:t>
      </w:r>
    </w:p>
    <w:p w14:paraId="1F3F85A1"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18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Blagaic</w:t>
      </w:r>
      <w:proofErr w:type="spellEnd"/>
      <w:r w:rsidRPr="005605FF">
        <w:rPr>
          <w:rFonts w:ascii="Book Antiqua" w:eastAsia="SimSun" w:hAnsi="Book Antiqua" w:cs="Times New Roman"/>
          <w:kern w:val="2"/>
          <w:sz w:val="24"/>
          <w:szCs w:val="24"/>
          <w:lang w:val="en-US" w:eastAsia="zh-CN"/>
        </w:rPr>
        <w:t xml:space="preserve"> AB,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I, Sever M,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Keller N, Sipos K, </w:t>
      </w:r>
      <w:proofErr w:type="spellStart"/>
      <w:r w:rsidRPr="005605FF">
        <w:rPr>
          <w:rFonts w:ascii="Book Antiqua" w:eastAsia="SimSun" w:hAnsi="Book Antiqua" w:cs="Times New Roman"/>
          <w:kern w:val="2"/>
          <w:sz w:val="24"/>
          <w:szCs w:val="24"/>
          <w:lang w:val="en-US" w:eastAsia="zh-CN"/>
        </w:rPr>
        <w:t>Jakir</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Udovicic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Tonkic</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Kokic</w:t>
      </w:r>
      <w:proofErr w:type="spellEnd"/>
      <w:r w:rsidRPr="005605FF">
        <w:rPr>
          <w:rFonts w:ascii="Book Antiqua" w:eastAsia="SimSun" w:hAnsi="Book Antiqua" w:cs="Times New Roman"/>
          <w:kern w:val="2"/>
          <w:sz w:val="24"/>
          <w:szCs w:val="24"/>
          <w:lang w:val="en-US" w:eastAsia="zh-CN"/>
        </w:rPr>
        <w:t xml:space="preserve"> N, </w:t>
      </w:r>
      <w:proofErr w:type="spellStart"/>
      <w:r w:rsidRPr="005605FF">
        <w:rPr>
          <w:rFonts w:ascii="Book Antiqua" w:eastAsia="SimSun" w:hAnsi="Book Antiqua" w:cs="Times New Roman"/>
          <w:kern w:val="2"/>
          <w:sz w:val="24"/>
          <w:szCs w:val="24"/>
          <w:lang w:val="en-US" w:eastAsia="zh-CN"/>
        </w:rPr>
        <w:t>Turkovic</w:t>
      </w:r>
      <w:proofErr w:type="spellEnd"/>
      <w:r w:rsidRPr="005605FF">
        <w:rPr>
          <w:rFonts w:ascii="Book Antiqua" w:eastAsia="SimSun" w:hAnsi="Book Antiqua" w:cs="Times New Roman"/>
          <w:kern w:val="2"/>
          <w:sz w:val="24"/>
          <w:szCs w:val="24"/>
          <w:lang w:val="en-US" w:eastAsia="zh-CN"/>
        </w:rPr>
        <w:t xml:space="preserve"> B, Mise S, </w:t>
      </w:r>
      <w:proofErr w:type="spellStart"/>
      <w:r w:rsidRPr="005605FF">
        <w:rPr>
          <w:rFonts w:ascii="Book Antiqua" w:eastAsia="SimSun" w:hAnsi="Book Antiqua" w:cs="Times New Roman"/>
          <w:kern w:val="2"/>
          <w:sz w:val="24"/>
          <w:szCs w:val="24"/>
          <w:lang w:val="en-US" w:eastAsia="zh-CN"/>
        </w:rPr>
        <w:t>Anic</w:t>
      </w:r>
      <w:proofErr w:type="spellEnd"/>
      <w:r w:rsidRPr="005605FF">
        <w:rPr>
          <w:rFonts w:ascii="Book Antiqua" w:eastAsia="SimSun" w:hAnsi="Book Antiqua" w:cs="Times New Roman"/>
          <w:kern w:val="2"/>
          <w:sz w:val="24"/>
          <w:szCs w:val="24"/>
          <w:lang w:val="en-US" w:eastAsia="zh-CN"/>
        </w:rPr>
        <w:t xml:space="preserve"> T.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in trials for inflammatory bowel disease (PL-10, PLD-116, PL 14736, </w:t>
      </w:r>
      <w:proofErr w:type="spellStart"/>
      <w:r w:rsidRPr="005605FF">
        <w:rPr>
          <w:rFonts w:ascii="Book Antiqua" w:eastAsia="SimSun" w:hAnsi="Book Antiqua" w:cs="Times New Roman"/>
          <w:kern w:val="2"/>
          <w:sz w:val="24"/>
          <w:szCs w:val="24"/>
          <w:lang w:val="en-US" w:eastAsia="zh-CN"/>
        </w:rPr>
        <w:t>Pliva</w:t>
      </w:r>
      <w:proofErr w:type="spellEnd"/>
      <w:r w:rsidRPr="005605FF">
        <w:rPr>
          <w:rFonts w:ascii="Book Antiqua" w:eastAsia="SimSun" w:hAnsi="Book Antiqua" w:cs="Times New Roman"/>
          <w:kern w:val="2"/>
          <w:sz w:val="24"/>
          <w:szCs w:val="24"/>
          <w:lang w:val="en-US" w:eastAsia="zh-CN"/>
        </w:rPr>
        <w:t xml:space="preserve">, Croatia). Full and distended stomach, and vascular response. </w:t>
      </w:r>
      <w:proofErr w:type="spellStart"/>
      <w:r w:rsidRPr="005605FF">
        <w:rPr>
          <w:rFonts w:ascii="Book Antiqua" w:eastAsia="SimSun" w:hAnsi="Book Antiqua" w:cs="Times New Roman"/>
          <w:i/>
          <w:kern w:val="2"/>
          <w:sz w:val="24"/>
          <w:szCs w:val="24"/>
          <w:lang w:val="en-US" w:eastAsia="zh-CN"/>
        </w:rPr>
        <w:t>Inflammopharmacology</w:t>
      </w:r>
      <w:proofErr w:type="spellEnd"/>
      <w:r w:rsidRPr="005605FF">
        <w:rPr>
          <w:rFonts w:ascii="Book Antiqua" w:eastAsia="SimSun" w:hAnsi="Book Antiqua" w:cs="Times New Roman"/>
          <w:kern w:val="2"/>
          <w:sz w:val="24"/>
          <w:szCs w:val="24"/>
          <w:lang w:val="en-US" w:eastAsia="zh-CN"/>
        </w:rPr>
        <w:t xml:space="preserve"> 2006; </w:t>
      </w:r>
      <w:r w:rsidRPr="005605FF">
        <w:rPr>
          <w:rFonts w:ascii="Book Antiqua" w:eastAsia="SimSun" w:hAnsi="Book Antiqua" w:cs="Times New Roman"/>
          <w:b/>
          <w:kern w:val="2"/>
          <w:sz w:val="24"/>
          <w:szCs w:val="24"/>
          <w:lang w:val="en-US" w:eastAsia="zh-CN"/>
        </w:rPr>
        <w:t>14</w:t>
      </w:r>
      <w:r w:rsidRPr="005605FF">
        <w:rPr>
          <w:rFonts w:ascii="Book Antiqua" w:eastAsia="SimSun" w:hAnsi="Book Antiqua" w:cs="Times New Roman"/>
          <w:kern w:val="2"/>
          <w:sz w:val="24"/>
          <w:szCs w:val="24"/>
          <w:lang w:val="en-US" w:eastAsia="zh-CN"/>
        </w:rPr>
        <w:t>: 214-221 [PMID: 17186181 DOI: 10.1007/s10787-006-1531-7]</w:t>
      </w:r>
    </w:p>
    <w:p w14:paraId="62F6463B"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19 </w:t>
      </w:r>
      <w:proofErr w:type="spellStart"/>
      <w:r w:rsidRPr="005605FF">
        <w:rPr>
          <w:rFonts w:ascii="Book Antiqua" w:eastAsia="SimSun" w:hAnsi="Book Antiqua" w:cs="Times New Roman"/>
          <w:b/>
          <w:kern w:val="2"/>
          <w:sz w:val="24"/>
          <w:szCs w:val="24"/>
          <w:lang w:val="en-US" w:eastAsia="zh-CN"/>
        </w:rPr>
        <w:t>Sikirić</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Petek</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Grabarević</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Rotkvić</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Turković</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Jagić</w:t>
      </w:r>
      <w:proofErr w:type="spellEnd"/>
      <w:r w:rsidRPr="005605FF">
        <w:rPr>
          <w:rFonts w:ascii="Book Antiqua" w:eastAsia="SimSun" w:hAnsi="Book Antiqua" w:cs="Times New Roman"/>
          <w:kern w:val="2"/>
          <w:sz w:val="24"/>
          <w:szCs w:val="24"/>
          <w:lang w:val="en-US" w:eastAsia="zh-CN"/>
        </w:rPr>
        <w:t xml:space="preserve"> V, </w:t>
      </w:r>
      <w:proofErr w:type="spellStart"/>
      <w:r w:rsidRPr="005605FF">
        <w:rPr>
          <w:rFonts w:ascii="Book Antiqua" w:eastAsia="SimSun" w:hAnsi="Book Antiqua" w:cs="Times New Roman"/>
          <w:kern w:val="2"/>
          <w:sz w:val="24"/>
          <w:szCs w:val="24"/>
          <w:lang w:val="en-US" w:eastAsia="zh-CN"/>
        </w:rPr>
        <w:t>Mildner</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Duvnjak</w:t>
      </w:r>
      <w:proofErr w:type="spellEnd"/>
      <w:r w:rsidRPr="005605FF">
        <w:rPr>
          <w:rFonts w:ascii="Book Antiqua" w:eastAsia="SimSun" w:hAnsi="Book Antiqua" w:cs="Times New Roman"/>
          <w:kern w:val="2"/>
          <w:sz w:val="24"/>
          <w:szCs w:val="24"/>
          <w:lang w:val="en-US" w:eastAsia="zh-CN"/>
        </w:rPr>
        <w:t xml:space="preserve"> M. A new gastric juice peptide, BPC. An overview of the stomach-stress-</w:t>
      </w:r>
      <w:proofErr w:type="spellStart"/>
      <w:r w:rsidRPr="005605FF">
        <w:rPr>
          <w:rFonts w:ascii="Book Antiqua" w:eastAsia="SimSun" w:hAnsi="Book Antiqua" w:cs="Times New Roman"/>
          <w:kern w:val="2"/>
          <w:sz w:val="24"/>
          <w:szCs w:val="24"/>
          <w:lang w:val="en-US" w:eastAsia="zh-CN"/>
        </w:rPr>
        <w:t>organoprotection</w:t>
      </w:r>
      <w:proofErr w:type="spellEnd"/>
      <w:r w:rsidRPr="005605FF">
        <w:rPr>
          <w:rFonts w:ascii="Book Antiqua" w:eastAsia="SimSun" w:hAnsi="Book Antiqua" w:cs="Times New Roman"/>
          <w:kern w:val="2"/>
          <w:sz w:val="24"/>
          <w:szCs w:val="24"/>
          <w:lang w:val="en-US" w:eastAsia="zh-CN"/>
        </w:rPr>
        <w:t xml:space="preserve"> hypothesis and beneficial effects of BPC.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Paris</w:t>
      </w:r>
      <w:r w:rsidRPr="005605FF">
        <w:rPr>
          <w:rFonts w:ascii="Book Antiqua" w:eastAsia="SimSun" w:hAnsi="Book Antiqua" w:cs="Times New Roman"/>
          <w:kern w:val="2"/>
          <w:sz w:val="24"/>
          <w:szCs w:val="24"/>
          <w:lang w:val="en-US" w:eastAsia="zh-CN"/>
        </w:rPr>
        <w:t xml:space="preserve"> 1993; </w:t>
      </w:r>
      <w:r w:rsidRPr="005605FF">
        <w:rPr>
          <w:rFonts w:ascii="Book Antiqua" w:eastAsia="SimSun" w:hAnsi="Book Antiqua" w:cs="Times New Roman"/>
          <w:b/>
          <w:kern w:val="2"/>
          <w:sz w:val="24"/>
          <w:szCs w:val="24"/>
          <w:lang w:val="en-US" w:eastAsia="zh-CN"/>
        </w:rPr>
        <w:t>87</w:t>
      </w:r>
      <w:r w:rsidRPr="005605FF">
        <w:rPr>
          <w:rFonts w:ascii="Book Antiqua" w:eastAsia="SimSun" w:hAnsi="Book Antiqua" w:cs="Times New Roman"/>
          <w:kern w:val="2"/>
          <w:sz w:val="24"/>
          <w:szCs w:val="24"/>
          <w:lang w:val="en-US" w:eastAsia="zh-CN"/>
        </w:rPr>
        <w:t>: 313-327 [PMID: 8298609 DOI: 10.1016/0928-4257(93)90038-U]</w:t>
      </w:r>
    </w:p>
    <w:p w14:paraId="1CF12FFC"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20 </w:t>
      </w:r>
      <w:proofErr w:type="spellStart"/>
      <w:r w:rsidRPr="005605FF">
        <w:rPr>
          <w:rFonts w:ascii="Book Antiqua" w:eastAsia="SimSun" w:hAnsi="Book Antiqua" w:cs="Times New Roman"/>
          <w:b/>
          <w:kern w:val="2"/>
          <w:sz w:val="24"/>
          <w:szCs w:val="24"/>
          <w:lang w:val="en-US" w:eastAsia="zh-CN"/>
        </w:rPr>
        <w:t>Duzel</w:t>
      </w:r>
      <w:proofErr w:type="spellEnd"/>
      <w:r w:rsidRPr="005605FF">
        <w:rPr>
          <w:rFonts w:ascii="Book Antiqua" w:eastAsia="SimSun" w:hAnsi="Book Antiqua" w:cs="Times New Roman"/>
          <w:b/>
          <w:kern w:val="2"/>
          <w:sz w:val="24"/>
          <w:szCs w:val="24"/>
          <w:lang w:val="en-US" w:eastAsia="zh-CN"/>
        </w:rPr>
        <w:t xml:space="preserve"> A</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Vlainic</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Antunovic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Malekinusic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Vrdoljak</w:t>
      </w:r>
      <w:proofErr w:type="spellEnd"/>
      <w:r w:rsidRPr="005605FF">
        <w:rPr>
          <w:rFonts w:ascii="Book Antiqua" w:eastAsia="SimSun" w:hAnsi="Book Antiqua" w:cs="Times New Roman"/>
          <w:kern w:val="2"/>
          <w:sz w:val="24"/>
          <w:szCs w:val="24"/>
          <w:lang w:val="en-US" w:eastAsia="zh-CN"/>
        </w:rPr>
        <w:t xml:space="preserve"> B, Samara M, </w:t>
      </w:r>
      <w:proofErr w:type="spellStart"/>
      <w:r w:rsidRPr="005605FF">
        <w:rPr>
          <w:rFonts w:ascii="Book Antiqua" w:eastAsia="SimSun" w:hAnsi="Book Antiqua" w:cs="Times New Roman"/>
          <w:kern w:val="2"/>
          <w:sz w:val="24"/>
          <w:szCs w:val="24"/>
          <w:lang w:val="en-US" w:eastAsia="zh-CN"/>
        </w:rPr>
        <w:t>Gojkovic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Krezic</w:t>
      </w:r>
      <w:proofErr w:type="spellEnd"/>
      <w:r w:rsidRPr="005605FF">
        <w:rPr>
          <w:rFonts w:ascii="Book Antiqua" w:eastAsia="SimSun" w:hAnsi="Book Antiqua" w:cs="Times New Roman"/>
          <w:kern w:val="2"/>
          <w:sz w:val="24"/>
          <w:szCs w:val="24"/>
          <w:lang w:val="en-US" w:eastAsia="zh-CN"/>
        </w:rPr>
        <w:t xml:space="preserve"> I, Vidovic T, </w:t>
      </w:r>
      <w:proofErr w:type="spellStart"/>
      <w:r w:rsidRPr="005605FF">
        <w:rPr>
          <w:rFonts w:ascii="Book Antiqua" w:eastAsia="SimSun" w:hAnsi="Book Antiqua" w:cs="Times New Roman"/>
          <w:kern w:val="2"/>
          <w:sz w:val="24"/>
          <w:szCs w:val="24"/>
          <w:lang w:val="en-US" w:eastAsia="zh-CN"/>
        </w:rPr>
        <w:t>Bilic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Knezevic</w:t>
      </w:r>
      <w:proofErr w:type="spellEnd"/>
      <w:r w:rsidRPr="005605FF">
        <w:rPr>
          <w:rFonts w:ascii="Book Antiqua" w:eastAsia="SimSun" w:hAnsi="Book Antiqua" w:cs="Times New Roman"/>
          <w:kern w:val="2"/>
          <w:sz w:val="24"/>
          <w:szCs w:val="24"/>
          <w:lang w:val="en-US" w:eastAsia="zh-CN"/>
        </w:rPr>
        <w:t xml:space="preserve"> M, Sever M, </w:t>
      </w:r>
      <w:proofErr w:type="spellStart"/>
      <w:r w:rsidRPr="005605FF">
        <w:rPr>
          <w:rFonts w:ascii="Book Antiqua" w:eastAsia="SimSun" w:hAnsi="Book Antiqua" w:cs="Times New Roman"/>
          <w:kern w:val="2"/>
          <w:sz w:val="24"/>
          <w:szCs w:val="24"/>
          <w:lang w:val="en-US" w:eastAsia="zh-CN"/>
        </w:rPr>
        <w:t>Lojo</w:t>
      </w:r>
      <w:proofErr w:type="spellEnd"/>
      <w:r w:rsidRPr="005605FF">
        <w:rPr>
          <w:rFonts w:ascii="Book Antiqua" w:eastAsia="SimSun" w:hAnsi="Book Antiqua" w:cs="Times New Roman"/>
          <w:kern w:val="2"/>
          <w:sz w:val="24"/>
          <w:szCs w:val="24"/>
          <w:lang w:val="en-US" w:eastAsia="zh-CN"/>
        </w:rPr>
        <w:t xml:space="preserve"> N, </w:t>
      </w:r>
      <w:proofErr w:type="spellStart"/>
      <w:r w:rsidRPr="005605FF">
        <w:rPr>
          <w:rFonts w:ascii="Book Antiqua" w:eastAsia="SimSun" w:hAnsi="Book Antiqua" w:cs="Times New Roman"/>
          <w:kern w:val="2"/>
          <w:sz w:val="24"/>
          <w:szCs w:val="24"/>
          <w:lang w:val="en-US" w:eastAsia="zh-CN"/>
        </w:rPr>
        <w:t>Kokot</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Kolovrat</w:t>
      </w:r>
      <w:proofErr w:type="spellEnd"/>
      <w:r w:rsidRPr="005605FF">
        <w:rPr>
          <w:rFonts w:ascii="Book Antiqua" w:eastAsia="SimSun" w:hAnsi="Book Antiqua" w:cs="Times New Roman"/>
          <w:kern w:val="2"/>
          <w:sz w:val="24"/>
          <w:szCs w:val="24"/>
          <w:lang w:val="en-US" w:eastAsia="zh-CN"/>
        </w:rPr>
        <w:t xml:space="preserve"> M, Drmic D, </w:t>
      </w:r>
      <w:proofErr w:type="spellStart"/>
      <w:r w:rsidRPr="005605FF">
        <w:rPr>
          <w:rFonts w:ascii="Book Antiqua" w:eastAsia="SimSun" w:hAnsi="Book Antiqua" w:cs="Times New Roman"/>
          <w:kern w:val="2"/>
          <w:sz w:val="24"/>
          <w:szCs w:val="24"/>
          <w:lang w:val="en-US" w:eastAsia="zh-CN"/>
        </w:rPr>
        <w:t>Vukojevic</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Kralj</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Kasnik</w:t>
      </w:r>
      <w:proofErr w:type="spellEnd"/>
      <w:r w:rsidRPr="005605FF">
        <w:rPr>
          <w:rFonts w:ascii="Book Antiqua" w:eastAsia="SimSun" w:hAnsi="Book Antiqua" w:cs="Times New Roman"/>
          <w:kern w:val="2"/>
          <w:sz w:val="24"/>
          <w:szCs w:val="24"/>
          <w:lang w:val="en-US" w:eastAsia="zh-CN"/>
        </w:rPr>
        <w:t xml:space="preserve"> K, </w:t>
      </w:r>
      <w:proofErr w:type="spellStart"/>
      <w:r w:rsidRPr="005605FF">
        <w:rPr>
          <w:rFonts w:ascii="Book Antiqua" w:eastAsia="SimSun" w:hAnsi="Book Antiqua" w:cs="Times New Roman"/>
          <w:kern w:val="2"/>
          <w:sz w:val="24"/>
          <w:szCs w:val="24"/>
          <w:lang w:val="en-US" w:eastAsia="zh-CN"/>
        </w:rPr>
        <w:t>Siroglavic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in the treatment of colitis and ischemia and reperfusion in rats: New insights. </w:t>
      </w:r>
      <w:r w:rsidRPr="005605FF">
        <w:rPr>
          <w:rFonts w:ascii="Book Antiqua" w:eastAsia="SimSun" w:hAnsi="Book Antiqua" w:cs="Times New Roman"/>
          <w:i/>
          <w:kern w:val="2"/>
          <w:sz w:val="24"/>
          <w:szCs w:val="24"/>
          <w:lang w:val="en-US" w:eastAsia="zh-CN"/>
        </w:rPr>
        <w:t>World J Gastroenterol</w:t>
      </w:r>
      <w:r w:rsidRPr="005605FF">
        <w:rPr>
          <w:rFonts w:ascii="Book Antiqua" w:eastAsia="SimSun" w:hAnsi="Book Antiqua" w:cs="Times New Roman"/>
          <w:kern w:val="2"/>
          <w:sz w:val="24"/>
          <w:szCs w:val="24"/>
          <w:lang w:val="en-US" w:eastAsia="zh-CN"/>
        </w:rPr>
        <w:t xml:space="preserve"> 2017; </w:t>
      </w:r>
      <w:r w:rsidRPr="005605FF">
        <w:rPr>
          <w:rFonts w:ascii="Book Antiqua" w:eastAsia="SimSun" w:hAnsi="Book Antiqua" w:cs="Times New Roman"/>
          <w:b/>
          <w:kern w:val="2"/>
          <w:sz w:val="24"/>
          <w:szCs w:val="24"/>
          <w:lang w:val="en-US" w:eastAsia="zh-CN"/>
        </w:rPr>
        <w:t>23</w:t>
      </w:r>
      <w:r w:rsidRPr="005605FF">
        <w:rPr>
          <w:rFonts w:ascii="Book Antiqua" w:eastAsia="SimSun" w:hAnsi="Book Antiqua" w:cs="Times New Roman"/>
          <w:kern w:val="2"/>
          <w:sz w:val="24"/>
          <w:szCs w:val="24"/>
          <w:lang w:val="en-US" w:eastAsia="zh-CN"/>
        </w:rPr>
        <w:t>: 8465-8488 [PMID: 29358856 DOI: 10.3748/wjg.v23.i48.8465]</w:t>
      </w:r>
    </w:p>
    <w:p w14:paraId="6BCA9542"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21 </w:t>
      </w:r>
      <w:proofErr w:type="spellStart"/>
      <w:r w:rsidRPr="005605FF">
        <w:rPr>
          <w:rFonts w:ascii="Book Antiqua" w:eastAsia="SimSun" w:hAnsi="Book Antiqua" w:cs="Times New Roman"/>
          <w:b/>
          <w:kern w:val="2"/>
          <w:sz w:val="24"/>
          <w:szCs w:val="24"/>
          <w:lang w:val="en-US" w:eastAsia="zh-CN"/>
        </w:rPr>
        <w:t>Vukojević</w:t>
      </w:r>
      <w:proofErr w:type="spellEnd"/>
      <w:r w:rsidRPr="005605FF">
        <w:rPr>
          <w:rFonts w:ascii="Book Antiqua" w:eastAsia="SimSun" w:hAnsi="Book Antiqua" w:cs="Times New Roman"/>
          <w:b/>
          <w:kern w:val="2"/>
          <w:sz w:val="24"/>
          <w:szCs w:val="24"/>
          <w:lang w:val="en-US" w:eastAsia="zh-CN"/>
        </w:rPr>
        <w:t xml:space="preserve"> J</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Siroglavić</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Kašnik</w:t>
      </w:r>
      <w:proofErr w:type="spellEnd"/>
      <w:r w:rsidRPr="005605FF">
        <w:rPr>
          <w:rFonts w:ascii="Book Antiqua" w:eastAsia="SimSun" w:hAnsi="Book Antiqua" w:cs="Times New Roman"/>
          <w:kern w:val="2"/>
          <w:sz w:val="24"/>
          <w:szCs w:val="24"/>
          <w:lang w:val="en-US" w:eastAsia="zh-CN"/>
        </w:rPr>
        <w:t xml:space="preserve"> K, </w:t>
      </w:r>
      <w:proofErr w:type="spellStart"/>
      <w:r w:rsidRPr="005605FF">
        <w:rPr>
          <w:rFonts w:ascii="Book Antiqua" w:eastAsia="SimSun" w:hAnsi="Book Antiqua" w:cs="Times New Roman"/>
          <w:kern w:val="2"/>
          <w:sz w:val="24"/>
          <w:szCs w:val="24"/>
          <w:lang w:val="en-US" w:eastAsia="zh-CN"/>
        </w:rPr>
        <w:t>Kralj</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Stanćić</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Kokot</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Kolarić</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Drmić</w:t>
      </w:r>
      <w:proofErr w:type="spellEnd"/>
      <w:r w:rsidRPr="005605FF">
        <w:rPr>
          <w:rFonts w:ascii="Book Antiqua" w:eastAsia="SimSun" w:hAnsi="Book Antiqua" w:cs="Times New Roman"/>
          <w:kern w:val="2"/>
          <w:sz w:val="24"/>
          <w:szCs w:val="24"/>
          <w:lang w:val="en-US" w:eastAsia="zh-CN"/>
        </w:rPr>
        <w:t xml:space="preserve"> D, Sever AZ, </w:t>
      </w:r>
      <w:proofErr w:type="spellStart"/>
      <w:r w:rsidRPr="005605FF">
        <w:rPr>
          <w:rFonts w:ascii="Book Antiqua" w:eastAsia="SimSun" w:hAnsi="Book Antiqua" w:cs="Times New Roman"/>
          <w:kern w:val="2"/>
          <w:sz w:val="24"/>
          <w:szCs w:val="24"/>
          <w:lang w:val="en-US" w:eastAsia="zh-CN"/>
        </w:rPr>
        <w:t>Barišić</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Šuran</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Bojić</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Patrlj</w:t>
      </w:r>
      <w:proofErr w:type="spellEnd"/>
      <w:r w:rsidRPr="005605FF">
        <w:rPr>
          <w:rFonts w:ascii="Book Antiqua" w:eastAsia="SimSun" w:hAnsi="Book Antiqua" w:cs="Times New Roman"/>
          <w:kern w:val="2"/>
          <w:sz w:val="24"/>
          <w:szCs w:val="24"/>
          <w:lang w:val="en-US" w:eastAsia="zh-CN"/>
        </w:rPr>
        <w:t xml:space="preserve"> MH, </w:t>
      </w:r>
      <w:proofErr w:type="spellStart"/>
      <w:r w:rsidRPr="005605FF">
        <w:rPr>
          <w:rFonts w:ascii="Book Antiqua" w:eastAsia="SimSun" w:hAnsi="Book Antiqua" w:cs="Times New Roman"/>
          <w:kern w:val="2"/>
          <w:sz w:val="24"/>
          <w:szCs w:val="24"/>
          <w:lang w:val="en-US" w:eastAsia="zh-CN"/>
        </w:rPr>
        <w:t>Sjekavica</w:t>
      </w:r>
      <w:proofErr w:type="spellEnd"/>
      <w:r w:rsidRPr="005605FF">
        <w:rPr>
          <w:rFonts w:ascii="Book Antiqua" w:eastAsia="SimSun" w:hAnsi="Book Antiqua" w:cs="Times New Roman"/>
          <w:kern w:val="2"/>
          <w:sz w:val="24"/>
          <w:szCs w:val="24"/>
          <w:lang w:val="en-US" w:eastAsia="zh-CN"/>
        </w:rPr>
        <w:t xml:space="preserve"> I, Pavlov KH, </w:t>
      </w:r>
      <w:proofErr w:type="spellStart"/>
      <w:r w:rsidRPr="005605FF">
        <w:rPr>
          <w:rFonts w:ascii="Book Antiqua" w:eastAsia="SimSun" w:hAnsi="Book Antiqua" w:cs="Times New Roman"/>
          <w:kern w:val="2"/>
          <w:sz w:val="24"/>
          <w:szCs w:val="24"/>
          <w:lang w:val="en-US" w:eastAsia="zh-CN"/>
        </w:rPr>
        <w:t>Vidović</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Vlainić</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Stupnišek</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Sikirić</w:t>
      </w:r>
      <w:proofErr w:type="spellEnd"/>
      <w:r w:rsidRPr="005605FF">
        <w:rPr>
          <w:rFonts w:ascii="Book Antiqua" w:eastAsia="SimSun" w:hAnsi="Book Antiqua" w:cs="Times New Roman"/>
          <w:kern w:val="2"/>
          <w:sz w:val="24"/>
          <w:szCs w:val="24"/>
          <w:lang w:val="en-US" w:eastAsia="zh-CN"/>
        </w:rPr>
        <w:t xml:space="preserve"> P. Rat inferior </w:t>
      </w:r>
      <w:proofErr w:type="spellStart"/>
      <w:r w:rsidRPr="005605FF">
        <w:rPr>
          <w:rFonts w:ascii="Book Antiqua" w:eastAsia="SimSun" w:hAnsi="Book Antiqua" w:cs="Times New Roman"/>
          <w:kern w:val="2"/>
          <w:sz w:val="24"/>
          <w:szCs w:val="24"/>
          <w:lang w:val="en-US" w:eastAsia="zh-CN"/>
        </w:rPr>
        <w:t>caval</w:t>
      </w:r>
      <w:proofErr w:type="spellEnd"/>
      <w:r w:rsidRPr="005605FF">
        <w:rPr>
          <w:rFonts w:ascii="Book Antiqua" w:eastAsia="SimSun" w:hAnsi="Book Antiqua" w:cs="Times New Roman"/>
          <w:kern w:val="2"/>
          <w:sz w:val="24"/>
          <w:szCs w:val="24"/>
          <w:lang w:val="en-US" w:eastAsia="zh-CN"/>
        </w:rPr>
        <w:t xml:space="preserve"> vein (ICV) ligature and particular new insights with the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w:t>
      </w:r>
      <w:proofErr w:type="spellStart"/>
      <w:r w:rsidRPr="005605FF">
        <w:rPr>
          <w:rFonts w:ascii="Book Antiqua" w:eastAsia="SimSun" w:hAnsi="Book Antiqua" w:cs="Times New Roman"/>
          <w:i/>
          <w:kern w:val="2"/>
          <w:sz w:val="24"/>
          <w:szCs w:val="24"/>
          <w:lang w:val="en-US" w:eastAsia="zh-CN"/>
        </w:rPr>
        <w:t>Vascul</w:t>
      </w:r>
      <w:proofErr w:type="spellEnd"/>
      <w:r w:rsidRPr="005605FF">
        <w:rPr>
          <w:rFonts w:ascii="Book Antiqua" w:eastAsia="SimSun" w:hAnsi="Book Antiqua" w:cs="Times New Roman"/>
          <w:i/>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2018; </w:t>
      </w:r>
      <w:r w:rsidRPr="005605FF">
        <w:rPr>
          <w:rFonts w:ascii="Book Antiqua" w:eastAsia="SimSun" w:hAnsi="Book Antiqua" w:cs="Times New Roman"/>
          <w:b/>
          <w:kern w:val="2"/>
          <w:sz w:val="24"/>
          <w:szCs w:val="24"/>
          <w:lang w:val="en-US" w:eastAsia="zh-CN"/>
        </w:rPr>
        <w:t>106</w:t>
      </w:r>
      <w:r w:rsidRPr="005605FF">
        <w:rPr>
          <w:rFonts w:ascii="Book Antiqua" w:eastAsia="SimSun" w:hAnsi="Book Antiqua" w:cs="Times New Roman"/>
          <w:kern w:val="2"/>
          <w:sz w:val="24"/>
          <w:szCs w:val="24"/>
          <w:lang w:val="en-US" w:eastAsia="zh-CN"/>
        </w:rPr>
        <w:t>: 54-66 [PMID: 29510201 DOI: 10.1016/j.vph.2018.02.010]</w:t>
      </w:r>
    </w:p>
    <w:p w14:paraId="55CD0674"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22 </w:t>
      </w:r>
      <w:proofErr w:type="spellStart"/>
      <w:r w:rsidRPr="005605FF">
        <w:rPr>
          <w:rFonts w:ascii="Book Antiqua" w:eastAsia="SimSun" w:hAnsi="Book Antiqua" w:cs="Times New Roman"/>
          <w:b/>
          <w:kern w:val="2"/>
          <w:sz w:val="24"/>
          <w:szCs w:val="24"/>
          <w:lang w:val="en-US" w:eastAsia="zh-CN"/>
        </w:rPr>
        <w:t>Cesarec</w:t>
      </w:r>
      <w:proofErr w:type="spellEnd"/>
      <w:r w:rsidRPr="005605FF">
        <w:rPr>
          <w:rFonts w:ascii="Book Antiqua" w:eastAsia="SimSun" w:hAnsi="Book Antiqua" w:cs="Times New Roman"/>
          <w:b/>
          <w:kern w:val="2"/>
          <w:sz w:val="24"/>
          <w:szCs w:val="24"/>
          <w:lang w:val="en-US" w:eastAsia="zh-CN"/>
        </w:rPr>
        <w:t xml:space="preserve"> V</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Becejac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Misic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Djakovic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Olujic</w:t>
      </w:r>
      <w:proofErr w:type="spellEnd"/>
      <w:r w:rsidRPr="005605FF">
        <w:rPr>
          <w:rFonts w:ascii="Book Antiqua" w:eastAsia="SimSun" w:hAnsi="Book Antiqua" w:cs="Times New Roman"/>
          <w:kern w:val="2"/>
          <w:sz w:val="24"/>
          <w:szCs w:val="24"/>
          <w:lang w:val="en-US" w:eastAsia="zh-CN"/>
        </w:rPr>
        <w:t xml:space="preserve"> D, Drmic D,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Rokotov</w:t>
      </w:r>
      <w:proofErr w:type="spellEnd"/>
      <w:r w:rsidRPr="005605FF">
        <w:rPr>
          <w:rFonts w:ascii="Book Antiqua" w:eastAsia="SimSun" w:hAnsi="Book Antiqua" w:cs="Times New Roman"/>
          <w:kern w:val="2"/>
          <w:sz w:val="24"/>
          <w:szCs w:val="24"/>
          <w:lang w:val="en-US" w:eastAsia="zh-CN"/>
        </w:rPr>
        <w:t xml:space="preserve"> DS,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and the </w:t>
      </w:r>
      <w:proofErr w:type="spellStart"/>
      <w:r w:rsidRPr="005605FF">
        <w:rPr>
          <w:rFonts w:ascii="Book Antiqua" w:eastAsia="SimSun" w:hAnsi="Book Antiqua" w:cs="Times New Roman"/>
          <w:kern w:val="2"/>
          <w:sz w:val="24"/>
          <w:szCs w:val="24"/>
          <w:lang w:val="en-US" w:eastAsia="zh-CN"/>
        </w:rPr>
        <w:t>esophagocutaneous</w:t>
      </w:r>
      <w:proofErr w:type="spellEnd"/>
      <w:r w:rsidRPr="005605FF">
        <w:rPr>
          <w:rFonts w:ascii="Book Antiqua" w:eastAsia="SimSun" w:hAnsi="Book Antiqua" w:cs="Times New Roman"/>
          <w:kern w:val="2"/>
          <w:sz w:val="24"/>
          <w:szCs w:val="24"/>
          <w:lang w:val="en-US" w:eastAsia="zh-CN"/>
        </w:rPr>
        <w:t xml:space="preserve"> fistula healing therapy. </w:t>
      </w:r>
      <w:r w:rsidRPr="005605FF">
        <w:rPr>
          <w:rFonts w:ascii="Book Antiqua" w:eastAsia="SimSun" w:hAnsi="Book Antiqua" w:cs="Times New Roman"/>
          <w:i/>
          <w:kern w:val="2"/>
          <w:sz w:val="24"/>
          <w:szCs w:val="24"/>
          <w:lang w:val="en-US" w:eastAsia="zh-CN"/>
        </w:rPr>
        <w:t xml:space="preserve">Eur J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2013; </w:t>
      </w:r>
      <w:r w:rsidRPr="005605FF">
        <w:rPr>
          <w:rFonts w:ascii="Book Antiqua" w:eastAsia="SimSun" w:hAnsi="Book Antiqua" w:cs="Times New Roman"/>
          <w:b/>
          <w:kern w:val="2"/>
          <w:sz w:val="24"/>
          <w:szCs w:val="24"/>
          <w:lang w:val="en-US" w:eastAsia="zh-CN"/>
        </w:rPr>
        <w:t>701</w:t>
      </w:r>
      <w:r w:rsidRPr="005605FF">
        <w:rPr>
          <w:rFonts w:ascii="Book Antiqua" w:eastAsia="SimSun" w:hAnsi="Book Antiqua" w:cs="Times New Roman"/>
          <w:kern w:val="2"/>
          <w:sz w:val="24"/>
          <w:szCs w:val="24"/>
          <w:lang w:val="en-US" w:eastAsia="zh-CN"/>
        </w:rPr>
        <w:t>: 203-212 [PMID: 23220707 DOI: 10.1016/j.ejphar.2012.11.055]</w:t>
      </w:r>
    </w:p>
    <w:p w14:paraId="357D652F"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23 </w:t>
      </w:r>
      <w:r w:rsidRPr="005605FF">
        <w:rPr>
          <w:rFonts w:ascii="Book Antiqua" w:eastAsia="SimSun" w:hAnsi="Book Antiqua" w:cs="Times New Roman"/>
          <w:b/>
          <w:kern w:val="2"/>
          <w:sz w:val="24"/>
          <w:szCs w:val="24"/>
          <w:lang w:val="en-US" w:eastAsia="zh-CN"/>
        </w:rPr>
        <w:t>Chang CH</w:t>
      </w:r>
      <w:r w:rsidRPr="005605FF">
        <w:rPr>
          <w:rFonts w:ascii="Book Antiqua" w:eastAsia="SimSun" w:hAnsi="Book Antiqua" w:cs="Times New Roman"/>
          <w:kern w:val="2"/>
          <w:sz w:val="24"/>
          <w:szCs w:val="24"/>
          <w:lang w:val="en-US" w:eastAsia="zh-CN"/>
        </w:rPr>
        <w:t xml:space="preserve">, Tsai WC, Lin MS, Hsu YH, Pang JH. The promoting effect of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on tendon healing involves tendon outgrowth, cell </w:t>
      </w:r>
      <w:r w:rsidRPr="005605FF">
        <w:rPr>
          <w:rFonts w:ascii="Book Antiqua" w:eastAsia="SimSun" w:hAnsi="Book Antiqua" w:cs="Times New Roman"/>
          <w:kern w:val="2"/>
          <w:sz w:val="24"/>
          <w:szCs w:val="24"/>
          <w:lang w:val="en-US" w:eastAsia="zh-CN"/>
        </w:rPr>
        <w:lastRenderedPageBreak/>
        <w:t xml:space="preserve">survival, and cell migration. </w:t>
      </w:r>
      <w:r w:rsidRPr="005605FF">
        <w:rPr>
          <w:rFonts w:ascii="Book Antiqua" w:eastAsia="SimSun" w:hAnsi="Book Antiqua" w:cs="Times New Roman"/>
          <w:i/>
          <w:kern w:val="2"/>
          <w:sz w:val="24"/>
          <w:szCs w:val="24"/>
          <w:lang w:val="en-US" w:eastAsia="zh-CN"/>
        </w:rPr>
        <w:t xml:space="preserve">J Appl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(1985)</w:t>
      </w:r>
      <w:r w:rsidRPr="005605FF">
        <w:rPr>
          <w:rFonts w:ascii="Book Antiqua" w:eastAsia="SimSun" w:hAnsi="Book Antiqua" w:cs="Times New Roman"/>
          <w:kern w:val="2"/>
          <w:sz w:val="24"/>
          <w:szCs w:val="24"/>
          <w:lang w:val="en-US" w:eastAsia="zh-CN"/>
        </w:rPr>
        <w:t xml:space="preserve"> 2011; </w:t>
      </w:r>
      <w:r w:rsidRPr="005605FF">
        <w:rPr>
          <w:rFonts w:ascii="Book Antiqua" w:eastAsia="SimSun" w:hAnsi="Book Antiqua" w:cs="Times New Roman"/>
          <w:b/>
          <w:kern w:val="2"/>
          <w:sz w:val="24"/>
          <w:szCs w:val="24"/>
          <w:lang w:val="en-US" w:eastAsia="zh-CN"/>
        </w:rPr>
        <w:t>110</w:t>
      </w:r>
      <w:r w:rsidRPr="005605FF">
        <w:rPr>
          <w:rFonts w:ascii="Book Antiqua" w:eastAsia="SimSun" w:hAnsi="Book Antiqua" w:cs="Times New Roman"/>
          <w:kern w:val="2"/>
          <w:sz w:val="24"/>
          <w:szCs w:val="24"/>
          <w:lang w:val="en-US" w:eastAsia="zh-CN"/>
        </w:rPr>
        <w:t>: 774-780 [PMID: 21030672 DOI: 10.1152/japplphysiol.00945.2010]</w:t>
      </w:r>
    </w:p>
    <w:p w14:paraId="269F9C22"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24 </w:t>
      </w:r>
      <w:r w:rsidRPr="005605FF">
        <w:rPr>
          <w:rFonts w:ascii="Book Antiqua" w:eastAsia="SimSun" w:hAnsi="Book Antiqua" w:cs="Times New Roman"/>
          <w:b/>
          <w:kern w:val="2"/>
          <w:sz w:val="24"/>
          <w:szCs w:val="24"/>
          <w:lang w:val="en-US" w:eastAsia="zh-CN"/>
        </w:rPr>
        <w:t>Chang CH</w:t>
      </w:r>
      <w:r w:rsidRPr="005605FF">
        <w:rPr>
          <w:rFonts w:ascii="Book Antiqua" w:eastAsia="SimSun" w:hAnsi="Book Antiqua" w:cs="Times New Roman"/>
          <w:kern w:val="2"/>
          <w:sz w:val="24"/>
          <w:szCs w:val="24"/>
          <w:lang w:val="en-US" w:eastAsia="zh-CN"/>
        </w:rPr>
        <w:t xml:space="preserve">, Tsai WC, Hsu YH, Pang JH.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enhances the growth hormone receptor expression in tendon fibroblasts. </w:t>
      </w:r>
      <w:r w:rsidRPr="005605FF">
        <w:rPr>
          <w:rFonts w:ascii="Book Antiqua" w:eastAsia="SimSun" w:hAnsi="Book Antiqua" w:cs="Times New Roman"/>
          <w:i/>
          <w:kern w:val="2"/>
          <w:sz w:val="24"/>
          <w:szCs w:val="24"/>
          <w:lang w:val="en-US" w:eastAsia="zh-CN"/>
        </w:rPr>
        <w:t>Molecules</w:t>
      </w:r>
      <w:r w:rsidRPr="005605FF">
        <w:rPr>
          <w:rFonts w:ascii="Book Antiqua" w:eastAsia="SimSun" w:hAnsi="Book Antiqua" w:cs="Times New Roman"/>
          <w:kern w:val="2"/>
          <w:sz w:val="24"/>
          <w:szCs w:val="24"/>
          <w:lang w:val="en-US" w:eastAsia="zh-CN"/>
        </w:rPr>
        <w:t xml:space="preserve"> 2014; </w:t>
      </w:r>
      <w:r w:rsidRPr="005605FF">
        <w:rPr>
          <w:rFonts w:ascii="Book Antiqua" w:eastAsia="SimSun" w:hAnsi="Book Antiqua" w:cs="Times New Roman"/>
          <w:b/>
          <w:kern w:val="2"/>
          <w:sz w:val="24"/>
          <w:szCs w:val="24"/>
          <w:lang w:val="en-US" w:eastAsia="zh-CN"/>
        </w:rPr>
        <w:t>19</w:t>
      </w:r>
      <w:r w:rsidRPr="005605FF">
        <w:rPr>
          <w:rFonts w:ascii="Book Antiqua" w:eastAsia="SimSun" w:hAnsi="Book Antiqua" w:cs="Times New Roman"/>
          <w:kern w:val="2"/>
          <w:sz w:val="24"/>
          <w:szCs w:val="24"/>
          <w:lang w:val="en-US" w:eastAsia="zh-CN"/>
        </w:rPr>
        <w:t>: 19066-19077 [PMID: 25415472 DOI: 10.3390/molecules191119066]</w:t>
      </w:r>
    </w:p>
    <w:p w14:paraId="543598F2"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25 </w:t>
      </w:r>
      <w:r w:rsidRPr="005605FF">
        <w:rPr>
          <w:rFonts w:ascii="Book Antiqua" w:eastAsia="SimSun" w:hAnsi="Book Antiqua" w:cs="Times New Roman"/>
          <w:b/>
          <w:kern w:val="2"/>
          <w:sz w:val="24"/>
          <w:szCs w:val="24"/>
          <w:lang w:val="en-US" w:eastAsia="zh-CN"/>
        </w:rPr>
        <w:t>Hsieh MJ</w:t>
      </w:r>
      <w:r w:rsidRPr="005605FF">
        <w:rPr>
          <w:rFonts w:ascii="Book Antiqua" w:eastAsia="SimSun" w:hAnsi="Book Antiqua" w:cs="Times New Roman"/>
          <w:kern w:val="2"/>
          <w:sz w:val="24"/>
          <w:szCs w:val="24"/>
          <w:lang w:val="en-US" w:eastAsia="zh-CN"/>
        </w:rPr>
        <w:t xml:space="preserve">, Liu HT, Wang CN, Huang HY, Lin Y, Ko YS, Wang JS, Chang VH, Pang JS. Therapeutic potential of pro-angiogenic BPC157 is associated with VEGFR2 activation and up-regulation. </w:t>
      </w:r>
      <w:r w:rsidRPr="005605FF">
        <w:rPr>
          <w:rFonts w:ascii="Book Antiqua" w:eastAsia="SimSun" w:hAnsi="Book Antiqua" w:cs="Times New Roman"/>
          <w:i/>
          <w:kern w:val="2"/>
          <w:sz w:val="24"/>
          <w:szCs w:val="24"/>
          <w:lang w:val="en-US" w:eastAsia="zh-CN"/>
        </w:rPr>
        <w:t>J Mol Med (</w:t>
      </w:r>
      <w:proofErr w:type="spellStart"/>
      <w:r w:rsidRPr="005605FF">
        <w:rPr>
          <w:rFonts w:ascii="Book Antiqua" w:eastAsia="SimSun" w:hAnsi="Book Antiqua" w:cs="Times New Roman"/>
          <w:i/>
          <w:kern w:val="2"/>
          <w:sz w:val="24"/>
          <w:szCs w:val="24"/>
          <w:lang w:val="en-US" w:eastAsia="zh-CN"/>
        </w:rPr>
        <w:t>Berl</w:t>
      </w:r>
      <w:proofErr w:type="spellEnd"/>
      <w:r w:rsidRPr="005605FF">
        <w:rPr>
          <w:rFonts w:ascii="Book Antiqua" w:eastAsia="SimSun" w:hAnsi="Book Antiqua" w:cs="Times New Roman"/>
          <w:i/>
          <w:kern w:val="2"/>
          <w:sz w:val="24"/>
          <w:szCs w:val="24"/>
          <w:lang w:val="en-US" w:eastAsia="zh-CN"/>
        </w:rPr>
        <w:t>)</w:t>
      </w:r>
      <w:r w:rsidRPr="005605FF">
        <w:rPr>
          <w:rFonts w:ascii="Book Antiqua" w:eastAsia="SimSun" w:hAnsi="Book Antiqua" w:cs="Times New Roman"/>
          <w:kern w:val="2"/>
          <w:sz w:val="24"/>
          <w:szCs w:val="24"/>
          <w:lang w:val="en-US" w:eastAsia="zh-CN"/>
        </w:rPr>
        <w:t xml:space="preserve"> 2017; </w:t>
      </w:r>
      <w:r w:rsidRPr="005605FF">
        <w:rPr>
          <w:rFonts w:ascii="Book Antiqua" w:eastAsia="SimSun" w:hAnsi="Book Antiqua" w:cs="Times New Roman"/>
          <w:b/>
          <w:kern w:val="2"/>
          <w:sz w:val="24"/>
          <w:szCs w:val="24"/>
          <w:lang w:val="en-US" w:eastAsia="zh-CN"/>
        </w:rPr>
        <w:t>95</w:t>
      </w:r>
      <w:r w:rsidRPr="005605FF">
        <w:rPr>
          <w:rFonts w:ascii="Book Antiqua" w:eastAsia="SimSun" w:hAnsi="Book Antiqua" w:cs="Times New Roman"/>
          <w:kern w:val="2"/>
          <w:sz w:val="24"/>
          <w:szCs w:val="24"/>
          <w:lang w:val="en-US" w:eastAsia="zh-CN"/>
        </w:rPr>
        <w:t>: 323-333 [PMID: 27847966 DOI: 10.1007/s00109-016-1488-y]</w:t>
      </w:r>
    </w:p>
    <w:p w14:paraId="27395887"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26 </w:t>
      </w:r>
      <w:r w:rsidRPr="005605FF">
        <w:rPr>
          <w:rFonts w:ascii="Book Antiqua" w:eastAsia="SimSun" w:hAnsi="Book Antiqua" w:cs="Times New Roman"/>
          <w:b/>
          <w:kern w:val="2"/>
          <w:sz w:val="24"/>
          <w:szCs w:val="24"/>
          <w:lang w:val="en-US" w:eastAsia="zh-CN"/>
        </w:rPr>
        <w:t>Huang T</w:t>
      </w:r>
      <w:r w:rsidRPr="005605FF">
        <w:rPr>
          <w:rFonts w:ascii="Book Antiqua" w:eastAsia="SimSun" w:hAnsi="Book Antiqua" w:cs="Times New Roman"/>
          <w:kern w:val="2"/>
          <w:sz w:val="24"/>
          <w:szCs w:val="24"/>
          <w:lang w:val="en-US" w:eastAsia="zh-CN"/>
        </w:rPr>
        <w:t xml:space="preserve">, Zhang K, Sun L, </w:t>
      </w:r>
      <w:proofErr w:type="spellStart"/>
      <w:r w:rsidRPr="005605FF">
        <w:rPr>
          <w:rFonts w:ascii="Book Antiqua" w:eastAsia="SimSun" w:hAnsi="Book Antiqua" w:cs="Times New Roman"/>
          <w:kern w:val="2"/>
          <w:sz w:val="24"/>
          <w:szCs w:val="24"/>
          <w:lang w:val="en-US" w:eastAsia="zh-CN"/>
        </w:rPr>
        <w:t>Xue</w:t>
      </w:r>
      <w:proofErr w:type="spellEnd"/>
      <w:r w:rsidRPr="005605FF">
        <w:rPr>
          <w:rFonts w:ascii="Book Antiqua" w:eastAsia="SimSun" w:hAnsi="Book Antiqua" w:cs="Times New Roman"/>
          <w:kern w:val="2"/>
          <w:sz w:val="24"/>
          <w:szCs w:val="24"/>
          <w:lang w:val="en-US" w:eastAsia="zh-CN"/>
        </w:rPr>
        <w:t xml:space="preserve"> X, Zhang C, Shu Z, Mu N, Gu J, Zhang W, Wang Y, Zhang Y, Zhang W. Body protective compound-157 enhances alkali-burn wound healing in vivo and promotes proliferation, migration, and angiogenesis in vitro. </w:t>
      </w:r>
      <w:r w:rsidRPr="005605FF">
        <w:rPr>
          <w:rFonts w:ascii="Book Antiqua" w:eastAsia="SimSun" w:hAnsi="Book Antiqua" w:cs="Times New Roman"/>
          <w:i/>
          <w:kern w:val="2"/>
          <w:sz w:val="24"/>
          <w:szCs w:val="24"/>
          <w:lang w:val="en-US" w:eastAsia="zh-CN"/>
        </w:rPr>
        <w:t xml:space="preserve">Drug Des </w:t>
      </w:r>
      <w:proofErr w:type="spellStart"/>
      <w:r w:rsidRPr="005605FF">
        <w:rPr>
          <w:rFonts w:ascii="Book Antiqua" w:eastAsia="SimSun" w:hAnsi="Book Antiqua" w:cs="Times New Roman"/>
          <w:i/>
          <w:kern w:val="2"/>
          <w:sz w:val="24"/>
          <w:szCs w:val="24"/>
          <w:lang w:val="en-US" w:eastAsia="zh-CN"/>
        </w:rPr>
        <w:t>Devel</w:t>
      </w:r>
      <w:proofErr w:type="spellEnd"/>
      <w:r w:rsidRPr="005605FF">
        <w:rPr>
          <w:rFonts w:ascii="Book Antiqua" w:eastAsia="SimSun" w:hAnsi="Book Antiqua" w:cs="Times New Roman"/>
          <w:i/>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Ther</w:t>
      </w:r>
      <w:proofErr w:type="spellEnd"/>
      <w:r w:rsidRPr="005605FF">
        <w:rPr>
          <w:rFonts w:ascii="Book Antiqua" w:eastAsia="SimSun" w:hAnsi="Book Antiqua" w:cs="Times New Roman"/>
          <w:kern w:val="2"/>
          <w:sz w:val="24"/>
          <w:szCs w:val="24"/>
          <w:lang w:val="en-US" w:eastAsia="zh-CN"/>
        </w:rPr>
        <w:t xml:space="preserve"> 2015; </w:t>
      </w:r>
      <w:r w:rsidRPr="005605FF">
        <w:rPr>
          <w:rFonts w:ascii="Book Antiqua" w:eastAsia="SimSun" w:hAnsi="Book Antiqua" w:cs="Times New Roman"/>
          <w:b/>
          <w:kern w:val="2"/>
          <w:sz w:val="24"/>
          <w:szCs w:val="24"/>
          <w:lang w:val="en-US" w:eastAsia="zh-CN"/>
        </w:rPr>
        <w:t>9</w:t>
      </w:r>
      <w:r w:rsidRPr="005605FF">
        <w:rPr>
          <w:rFonts w:ascii="Book Antiqua" w:eastAsia="SimSun" w:hAnsi="Book Antiqua" w:cs="Times New Roman"/>
          <w:kern w:val="2"/>
          <w:sz w:val="24"/>
          <w:szCs w:val="24"/>
          <w:lang w:val="en-US" w:eastAsia="zh-CN"/>
        </w:rPr>
        <w:t>: 2485-2499 [PMID: 25995620 DOI: 10.2147/DDDT.S82030]</w:t>
      </w:r>
    </w:p>
    <w:p w14:paraId="5E05FA00"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27 </w:t>
      </w:r>
      <w:proofErr w:type="spellStart"/>
      <w:r w:rsidRPr="005605FF">
        <w:rPr>
          <w:rFonts w:ascii="Book Antiqua" w:eastAsia="SimSun" w:hAnsi="Book Antiqua" w:cs="Times New Roman"/>
          <w:b/>
          <w:kern w:val="2"/>
          <w:sz w:val="24"/>
          <w:szCs w:val="24"/>
          <w:lang w:val="en-US" w:eastAsia="zh-CN"/>
        </w:rPr>
        <w:t>Tkalcević</w:t>
      </w:r>
      <w:proofErr w:type="spellEnd"/>
      <w:r w:rsidRPr="005605FF">
        <w:rPr>
          <w:rFonts w:ascii="Book Antiqua" w:eastAsia="SimSun" w:hAnsi="Book Antiqua" w:cs="Times New Roman"/>
          <w:b/>
          <w:kern w:val="2"/>
          <w:sz w:val="24"/>
          <w:szCs w:val="24"/>
          <w:lang w:val="en-US" w:eastAsia="zh-CN"/>
        </w:rPr>
        <w:t xml:space="preserve"> VI</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Cuzić</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Brajsa</w:t>
      </w:r>
      <w:proofErr w:type="spellEnd"/>
      <w:r w:rsidRPr="005605FF">
        <w:rPr>
          <w:rFonts w:ascii="Book Antiqua" w:eastAsia="SimSun" w:hAnsi="Book Antiqua" w:cs="Times New Roman"/>
          <w:kern w:val="2"/>
          <w:sz w:val="24"/>
          <w:szCs w:val="24"/>
          <w:lang w:val="en-US" w:eastAsia="zh-CN"/>
        </w:rPr>
        <w:t xml:space="preserve"> K, </w:t>
      </w:r>
      <w:proofErr w:type="spellStart"/>
      <w:r w:rsidRPr="005605FF">
        <w:rPr>
          <w:rFonts w:ascii="Book Antiqua" w:eastAsia="SimSun" w:hAnsi="Book Antiqua" w:cs="Times New Roman"/>
          <w:kern w:val="2"/>
          <w:sz w:val="24"/>
          <w:szCs w:val="24"/>
          <w:lang w:val="en-US" w:eastAsia="zh-CN"/>
        </w:rPr>
        <w:t>Mildner</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Bokulić</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Situm</w:t>
      </w:r>
      <w:proofErr w:type="spellEnd"/>
      <w:r w:rsidRPr="005605FF">
        <w:rPr>
          <w:rFonts w:ascii="Book Antiqua" w:eastAsia="SimSun" w:hAnsi="Book Antiqua" w:cs="Times New Roman"/>
          <w:kern w:val="2"/>
          <w:sz w:val="24"/>
          <w:szCs w:val="24"/>
          <w:lang w:val="en-US" w:eastAsia="zh-CN"/>
        </w:rPr>
        <w:t xml:space="preserve"> K, </w:t>
      </w:r>
      <w:proofErr w:type="spellStart"/>
      <w:r w:rsidRPr="005605FF">
        <w:rPr>
          <w:rFonts w:ascii="Book Antiqua" w:eastAsia="SimSun" w:hAnsi="Book Antiqua" w:cs="Times New Roman"/>
          <w:kern w:val="2"/>
          <w:sz w:val="24"/>
          <w:szCs w:val="24"/>
          <w:lang w:val="en-US" w:eastAsia="zh-CN"/>
        </w:rPr>
        <w:t>Perović</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Glojnarić</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Parnham</w:t>
      </w:r>
      <w:proofErr w:type="spellEnd"/>
      <w:r w:rsidRPr="005605FF">
        <w:rPr>
          <w:rFonts w:ascii="Book Antiqua" w:eastAsia="SimSun" w:hAnsi="Book Antiqua" w:cs="Times New Roman"/>
          <w:kern w:val="2"/>
          <w:sz w:val="24"/>
          <w:szCs w:val="24"/>
          <w:lang w:val="en-US" w:eastAsia="zh-CN"/>
        </w:rPr>
        <w:t xml:space="preserve"> MJ. Enhancement by PL 14736 of granulation and collagen organization in healing wounds and the potential role of egr-1 expression. </w:t>
      </w:r>
      <w:r w:rsidRPr="005605FF">
        <w:rPr>
          <w:rFonts w:ascii="Book Antiqua" w:eastAsia="SimSun" w:hAnsi="Book Antiqua" w:cs="Times New Roman"/>
          <w:i/>
          <w:kern w:val="2"/>
          <w:sz w:val="24"/>
          <w:szCs w:val="24"/>
          <w:lang w:val="en-US" w:eastAsia="zh-CN"/>
        </w:rPr>
        <w:t xml:space="preserve">Eur J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2007; </w:t>
      </w:r>
      <w:r w:rsidRPr="005605FF">
        <w:rPr>
          <w:rFonts w:ascii="Book Antiqua" w:eastAsia="SimSun" w:hAnsi="Book Antiqua" w:cs="Times New Roman"/>
          <w:b/>
          <w:kern w:val="2"/>
          <w:sz w:val="24"/>
          <w:szCs w:val="24"/>
          <w:lang w:val="en-US" w:eastAsia="zh-CN"/>
        </w:rPr>
        <w:t>570</w:t>
      </w:r>
      <w:r w:rsidRPr="005605FF">
        <w:rPr>
          <w:rFonts w:ascii="Book Antiqua" w:eastAsia="SimSun" w:hAnsi="Book Antiqua" w:cs="Times New Roman"/>
          <w:kern w:val="2"/>
          <w:sz w:val="24"/>
          <w:szCs w:val="24"/>
          <w:lang w:val="en-US" w:eastAsia="zh-CN"/>
        </w:rPr>
        <w:t>: 212-221 [PMID: 17628536 DOI: 10.1016/j.ejphar.2007.05.072]</w:t>
      </w:r>
    </w:p>
    <w:p w14:paraId="2654AC5E"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28 </w:t>
      </w:r>
      <w:proofErr w:type="spellStart"/>
      <w:r w:rsidRPr="005605FF">
        <w:rPr>
          <w:rFonts w:ascii="Book Antiqua" w:eastAsia="SimSun" w:hAnsi="Book Antiqua" w:cs="Times New Roman"/>
          <w:b/>
          <w:kern w:val="2"/>
          <w:sz w:val="24"/>
          <w:szCs w:val="24"/>
          <w:lang w:val="en-US" w:eastAsia="zh-CN"/>
        </w:rPr>
        <w:t>Klicek</w:t>
      </w:r>
      <w:proofErr w:type="spellEnd"/>
      <w:r w:rsidRPr="005605FF">
        <w:rPr>
          <w:rFonts w:ascii="Book Antiqua" w:eastAsia="SimSun" w:hAnsi="Book Antiqua" w:cs="Times New Roman"/>
          <w:b/>
          <w:kern w:val="2"/>
          <w:sz w:val="24"/>
          <w:szCs w:val="24"/>
          <w:lang w:val="en-US" w:eastAsia="zh-CN"/>
        </w:rPr>
        <w:t xml:space="preserve"> R</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Suran</w:t>
      </w:r>
      <w:proofErr w:type="spellEnd"/>
      <w:r w:rsidRPr="005605FF">
        <w:rPr>
          <w:rFonts w:ascii="Book Antiqua" w:eastAsia="SimSun" w:hAnsi="Book Antiqua" w:cs="Times New Roman"/>
          <w:kern w:val="2"/>
          <w:sz w:val="24"/>
          <w:szCs w:val="24"/>
          <w:lang w:val="en-US" w:eastAsia="zh-CN"/>
        </w:rPr>
        <w:t xml:space="preserve"> J, Drmic D,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Aralica</w:t>
      </w:r>
      <w:proofErr w:type="spellEnd"/>
      <w:r w:rsidRPr="005605FF">
        <w:rPr>
          <w:rFonts w:ascii="Book Antiqua" w:eastAsia="SimSun" w:hAnsi="Book Antiqua" w:cs="Times New Roman"/>
          <w:kern w:val="2"/>
          <w:sz w:val="24"/>
          <w:szCs w:val="24"/>
          <w:lang w:val="en-US" w:eastAsia="zh-CN"/>
        </w:rPr>
        <w:t xml:space="preserve"> G, Sever M, </w:t>
      </w:r>
      <w:proofErr w:type="spellStart"/>
      <w:r w:rsidRPr="005605FF">
        <w:rPr>
          <w:rFonts w:ascii="Book Antiqua" w:eastAsia="SimSun" w:hAnsi="Book Antiqua" w:cs="Times New Roman"/>
          <w:kern w:val="2"/>
          <w:sz w:val="24"/>
          <w:szCs w:val="24"/>
          <w:lang w:val="en-US" w:eastAsia="zh-CN"/>
        </w:rPr>
        <w:t>Holjevac</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Turudic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Kokot</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Patrlj</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heals cysteamine-colitis and colon-colon-anastomosis and counteracts cuprizone brain injuries and motor disability.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2013; </w:t>
      </w:r>
      <w:r w:rsidRPr="005605FF">
        <w:rPr>
          <w:rFonts w:ascii="Book Antiqua" w:eastAsia="SimSun" w:hAnsi="Book Antiqua" w:cs="Times New Roman"/>
          <w:b/>
          <w:kern w:val="2"/>
          <w:sz w:val="24"/>
          <w:szCs w:val="24"/>
          <w:lang w:val="en-US" w:eastAsia="zh-CN"/>
        </w:rPr>
        <w:t>64</w:t>
      </w:r>
      <w:r w:rsidRPr="005605FF">
        <w:rPr>
          <w:rFonts w:ascii="Book Antiqua" w:eastAsia="SimSun" w:hAnsi="Book Antiqua" w:cs="Times New Roman"/>
          <w:kern w:val="2"/>
          <w:sz w:val="24"/>
          <w:szCs w:val="24"/>
          <w:lang w:val="en-US" w:eastAsia="zh-CN"/>
        </w:rPr>
        <w:t>: 597-612 [PMID: 24304574]</w:t>
      </w:r>
    </w:p>
    <w:p w14:paraId="196547E0"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29 </w:t>
      </w:r>
      <w:proofErr w:type="spellStart"/>
      <w:r w:rsidRPr="005605FF">
        <w:rPr>
          <w:rFonts w:ascii="Book Antiqua" w:eastAsia="SimSun" w:hAnsi="Book Antiqua" w:cs="Times New Roman"/>
          <w:b/>
          <w:kern w:val="2"/>
          <w:sz w:val="24"/>
          <w:szCs w:val="24"/>
          <w:lang w:val="en-US" w:eastAsia="zh-CN"/>
        </w:rPr>
        <w:t>Lojo</w:t>
      </w:r>
      <w:proofErr w:type="spellEnd"/>
      <w:r w:rsidRPr="005605FF">
        <w:rPr>
          <w:rFonts w:ascii="Book Antiqua" w:eastAsia="SimSun" w:hAnsi="Book Antiqua" w:cs="Times New Roman"/>
          <w:b/>
          <w:kern w:val="2"/>
          <w:sz w:val="24"/>
          <w:szCs w:val="24"/>
          <w:lang w:val="en-US" w:eastAsia="zh-CN"/>
        </w:rPr>
        <w:t xml:space="preserve"> N</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Rasic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Zenko</w:t>
      </w:r>
      <w:proofErr w:type="spellEnd"/>
      <w:r w:rsidRPr="005605FF">
        <w:rPr>
          <w:rFonts w:ascii="Book Antiqua" w:eastAsia="SimSun" w:hAnsi="Book Antiqua" w:cs="Times New Roman"/>
          <w:kern w:val="2"/>
          <w:sz w:val="24"/>
          <w:szCs w:val="24"/>
          <w:lang w:val="en-US" w:eastAsia="zh-CN"/>
        </w:rPr>
        <w:t xml:space="preserve"> Sever A,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Vukusic</w:t>
      </w:r>
      <w:proofErr w:type="spellEnd"/>
      <w:r w:rsidRPr="005605FF">
        <w:rPr>
          <w:rFonts w:ascii="Book Antiqua" w:eastAsia="SimSun" w:hAnsi="Book Antiqua" w:cs="Times New Roman"/>
          <w:kern w:val="2"/>
          <w:sz w:val="24"/>
          <w:szCs w:val="24"/>
          <w:lang w:val="en-US" w:eastAsia="zh-CN"/>
        </w:rPr>
        <w:t xml:space="preserve"> D, Drmic D,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I, Sever M,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Effects of Diclofenac, L-NAME, L-Arginine, and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on Gastrointestinal, Liver, and Brain Lesions, Failed Anastomosis, and Intestinal Adaptation Deterioration in 24 Hour-Short-Bowel Rats. </w:t>
      </w:r>
      <w:proofErr w:type="spellStart"/>
      <w:r w:rsidRPr="005605FF">
        <w:rPr>
          <w:rFonts w:ascii="Book Antiqua" w:eastAsia="SimSun" w:hAnsi="Book Antiqua" w:cs="Times New Roman"/>
          <w:i/>
          <w:kern w:val="2"/>
          <w:sz w:val="24"/>
          <w:szCs w:val="24"/>
          <w:lang w:val="en-US" w:eastAsia="zh-CN"/>
        </w:rPr>
        <w:t>PLoS</w:t>
      </w:r>
      <w:proofErr w:type="spellEnd"/>
      <w:r w:rsidRPr="005605FF">
        <w:rPr>
          <w:rFonts w:ascii="Book Antiqua" w:eastAsia="SimSun" w:hAnsi="Book Antiqua" w:cs="Times New Roman"/>
          <w:i/>
          <w:kern w:val="2"/>
          <w:sz w:val="24"/>
          <w:szCs w:val="24"/>
          <w:lang w:val="en-US" w:eastAsia="zh-CN"/>
        </w:rPr>
        <w:t xml:space="preserve"> One</w:t>
      </w:r>
      <w:r w:rsidRPr="005605FF">
        <w:rPr>
          <w:rFonts w:ascii="Book Antiqua" w:eastAsia="SimSun" w:hAnsi="Book Antiqua" w:cs="Times New Roman"/>
          <w:kern w:val="2"/>
          <w:sz w:val="24"/>
          <w:szCs w:val="24"/>
          <w:lang w:val="en-US" w:eastAsia="zh-CN"/>
        </w:rPr>
        <w:t xml:space="preserve"> 2016; </w:t>
      </w:r>
      <w:r w:rsidRPr="005605FF">
        <w:rPr>
          <w:rFonts w:ascii="Book Antiqua" w:eastAsia="SimSun" w:hAnsi="Book Antiqua" w:cs="Times New Roman"/>
          <w:b/>
          <w:kern w:val="2"/>
          <w:sz w:val="24"/>
          <w:szCs w:val="24"/>
          <w:lang w:val="en-US" w:eastAsia="zh-CN"/>
        </w:rPr>
        <w:t>11</w:t>
      </w:r>
      <w:r w:rsidRPr="005605FF">
        <w:rPr>
          <w:rFonts w:ascii="Book Antiqua" w:eastAsia="SimSun" w:hAnsi="Book Antiqua" w:cs="Times New Roman"/>
          <w:kern w:val="2"/>
          <w:sz w:val="24"/>
          <w:szCs w:val="24"/>
          <w:lang w:val="en-US" w:eastAsia="zh-CN"/>
        </w:rPr>
        <w:t>: e0162590 [PMID: 27627764 DOI: 10.1371/journal.pone.0162590]</w:t>
      </w:r>
    </w:p>
    <w:p w14:paraId="5D8318EA" w14:textId="077588CB"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30 </w:t>
      </w:r>
      <w:r w:rsidRPr="005605FF">
        <w:rPr>
          <w:rFonts w:ascii="Book Antiqua" w:eastAsia="SimSun" w:hAnsi="Book Antiqua" w:cs="Times New Roman"/>
          <w:b/>
          <w:kern w:val="2"/>
          <w:sz w:val="24"/>
          <w:szCs w:val="24"/>
          <w:lang w:val="en-US" w:eastAsia="zh-CN"/>
        </w:rPr>
        <w:t>Sandor Z,</w:t>
      </w:r>
      <w:r w:rsidR="00BC3C35">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Vincze</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Jadus</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Dohoczky</w:t>
      </w:r>
      <w:proofErr w:type="spellEnd"/>
      <w:r w:rsidRPr="005605FF">
        <w:rPr>
          <w:rFonts w:ascii="Book Antiqua" w:eastAsia="SimSun" w:hAnsi="Book Antiqua" w:cs="Times New Roman"/>
          <w:kern w:val="2"/>
          <w:sz w:val="24"/>
          <w:szCs w:val="24"/>
          <w:lang w:val="en-US" w:eastAsia="zh-CN"/>
        </w:rPr>
        <w:t xml:space="preserve"> C, Erceg D, </w:t>
      </w:r>
      <w:proofErr w:type="spellStart"/>
      <w:r w:rsidRPr="005605FF">
        <w:rPr>
          <w:rFonts w:ascii="Book Antiqua" w:eastAsia="SimSun" w:hAnsi="Book Antiqua" w:cs="Times New Roman"/>
          <w:kern w:val="2"/>
          <w:sz w:val="24"/>
          <w:szCs w:val="24"/>
          <w:lang w:val="en-US" w:eastAsia="zh-CN"/>
        </w:rPr>
        <w:t>Brajsa</w:t>
      </w:r>
      <w:proofErr w:type="spellEnd"/>
      <w:r w:rsidRPr="005605FF">
        <w:rPr>
          <w:rFonts w:ascii="Book Antiqua" w:eastAsia="SimSun" w:hAnsi="Book Antiqua" w:cs="Times New Roman"/>
          <w:kern w:val="2"/>
          <w:sz w:val="24"/>
          <w:szCs w:val="24"/>
          <w:lang w:val="en-US" w:eastAsia="zh-CN"/>
        </w:rPr>
        <w:t xml:space="preserve"> K, </w:t>
      </w:r>
      <w:proofErr w:type="spellStart"/>
      <w:r w:rsidRPr="005605FF">
        <w:rPr>
          <w:rFonts w:ascii="Book Antiqua" w:eastAsia="SimSun" w:hAnsi="Book Antiqua" w:cs="Times New Roman"/>
          <w:kern w:val="2"/>
          <w:sz w:val="24"/>
          <w:szCs w:val="24"/>
          <w:lang w:val="en-US" w:eastAsia="zh-CN"/>
        </w:rPr>
        <w:t>Kolega</w:t>
      </w:r>
      <w:proofErr w:type="spellEnd"/>
      <w:r w:rsidRPr="005605FF">
        <w:rPr>
          <w:rFonts w:ascii="Book Antiqua" w:eastAsia="SimSun" w:hAnsi="Book Antiqua" w:cs="Times New Roman"/>
          <w:kern w:val="2"/>
          <w:sz w:val="24"/>
          <w:szCs w:val="24"/>
          <w:lang w:val="en-US" w:eastAsia="zh-CN"/>
        </w:rPr>
        <w:t xml:space="preserve"> M, Szabo S. The protective effect of newly isolated peptide PL-10 in the iodoacetamide colitis model in rats. In: Gastroenterology. 1997. page </w:t>
      </w:r>
      <w:proofErr w:type="gramStart"/>
      <w:r w:rsidRPr="005605FF">
        <w:rPr>
          <w:rFonts w:ascii="Book Antiqua" w:eastAsia="SimSun" w:hAnsi="Book Antiqua" w:cs="Times New Roman"/>
          <w:kern w:val="2"/>
          <w:sz w:val="24"/>
          <w:szCs w:val="24"/>
          <w:lang w:val="en-US" w:eastAsia="zh-CN"/>
        </w:rPr>
        <w:t>112:A</w:t>
      </w:r>
      <w:proofErr w:type="gramEnd"/>
      <w:r w:rsidRPr="005605FF">
        <w:rPr>
          <w:rFonts w:ascii="Book Antiqua" w:eastAsia="SimSun" w:hAnsi="Book Antiqua" w:cs="Times New Roman"/>
          <w:kern w:val="2"/>
          <w:sz w:val="24"/>
          <w:szCs w:val="24"/>
          <w:lang w:val="en-US" w:eastAsia="zh-CN"/>
        </w:rPr>
        <w:t>400</w:t>
      </w:r>
    </w:p>
    <w:p w14:paraId="095FC039"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31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Grabarevic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Balen</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Aralica</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Gjurasin</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Komericki</w:t>
      </w:r>
      <w:proofErr w:type="spellEnd"/>
      <w:r w:rsidRPr="005605FF">
        <w:rPr>
          <w:rFonts w:ascii="Book Antiqua" w:eastAsia="SimSun" w:hAnsi="Book Antiqua" w:cs="Times New Roman"/>
          <w:kern w:val="2"/>
          <w:sz w:val="24"/>
          <w:szCs w:val="24"/>
          <w:lang w:val="en-US" w:eastAsia="zh-CN"/>
        </w:rPr>
        <w:t xml:space="preserve"> L, </w:t>
      </w:r>
      <w:r w:rsidRPr="005605FF">
        <w:rPr>
          <w:rFonts w:ascii="Book Antiqua" w:eastAsia="SimSun" w:hAnsi="Book Antiqua" w:cs="Times New Roman"/>
          <w:kern w:val="2"/>
          <w:sz w:val="24"/>
          <w:szCs w:val="24"/>
          <w:lang w:val="en-US" w:eastAsia="zh-CN"/>
        </w:rPr>
        <w:lastRenderedPageBreak/>
        <w:t xml:space="preserve">Perovic D, </w:t>
      </w:r>
      <w:proofErr w:type="spellStart"/>
      <w:r w:rsidRPr="005605FF">
        <w:rPr>
          <w:rFonts w:ascii="Book Antiqua" w:eastAsia="SimSun" w:hAnsi="Book Antiqua" w:cs="Times New Roman"/>
          <w:kern w:val="2"/>
          <w:sz w:val="24"/>
          <w:szCs w:val="24"/>
          <w:lang w:val="en-US" w:eastAsia="zh-CN"/>
        </w:rPr>
        <w:t>Ziger</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Anic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Prkacin</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Separovic</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Stancic-Rokotov</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Lovric</w:t>
      </w:r>
      <w:proofErr w:type="spellEnd"/>
      <w:r w:rsidRPr="005605FF">
        <w:rPr>
          <w:rFonts w:ascii="Book Antiqua" w:eastAsia="SimSun" w:hAnsi="Book Antiqua" w:cs="Times New Roman"/>
          <w:kern w:val="2"/>
          <w:sz w:val="24"/>
          <w:szCs w:val="24"/>
          <w:lang w:val="en-US" w:eastAsia="zh-CN"/>
        </w:rPr>
        <w:t xml:space="preserve">-Bencic M, </w:t>
      </w:r>
      <w:proofErr w:type="spellStart"/>
      <w:r w:rsidRPr="005605FF">
        <w:rPr>
          <w:rFonts w:ascii="Book Antiqua" w:eastAsia="SimSun" w:hAnsi="Book Antiqua" w:cs="Times New Roman"/>
          <w:kern w:val="2"/>
          <w:sz w:val="24"/>
          <w:szCs w:val="24"/>
          <w:lang w:val="en-US" w:eastAsia="zh-CN"/>
        </w:rPr>
        <w:t>Mikus</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Staresinic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Aralica</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DiBiaggio</w:t>
      </w:r>
      <w:proofErr w:type="spellEnd"/>
      <w:r w:rsidRPr="005605FF">
        <w:rPr>
          <w:rFonts w:ascii="Book Antiqua" w:eastAsia="SimSun" w:hAnsi="Book Antiqua" w:cs="Times New Roman"/>
          <w:kern w:val="2"/>
          <w:sz w:val="24"/>
          <w:szCs w:val="24"/>
          <w:lang w:val="en-US" w:eastAsia="zh-CN"/>
        </w:rPr>
        <w:t xml:space="preserve"> N, </w:t>
      </w:r>
      <w:proofErr w:type="spellStart"/>
      <w:r w:rsidRPr="005605FF">
        <w:rPr>
          <w:rFonts w:ascii="Book Antiqua" w:eastAsia="SimSun" w:hAnsi="Book Antiqua" w:cs="Times New Roman"/>
          <w:kern w:val="2"/>
          <w:sz w:val="24"/>
          <w:szCs w:val="24"/>
          <w:lang w:val="en-US" w:eastAsia="zh-CN"/>
        </w:rPr>
        <w:t>Simec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Turkovic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Rotkvic</w:t>
      </w:r>
      <w:proofErr w:type="spellEnd"/>
      <w:r w:rsidRPr="005605FF">
        <w:rPr>
          <w:rFonts w:ascii="Book Antiqua" w:eastAsia="SimSun" w:hAnsi="Book Antiqua" w:cs="Times New Roman"/>
          <w:kern w:val="2"/>
          <w:sz w:val="24"/>
          <w:szCs w:val="24"/>
          <w:lang w:val="en-US" w:eastAsia="zh-CN"/>
        </w:rPr>
        <w:t xml:space="preserve"> I, Mise S,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Petek</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Sebecic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Ivasovic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Boban-Blagaic</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Sjekavica</w:t>
      </w:r>
      <w:proofErr w:type="spellEnd"/>
      <w:r w:rsidRPr="005605FF">
        <w:rPr>
          <w:rFonts w:ascii="Book Antiqua" w:eastAsia="SimSun" w:hAnsi="Book Antiqua" w:cs="Times New Roman"/>
          <w:kern w:val="2"/>
          <w:sz w:val="24"/>
          <w:szCs w:val="24"/>
          <w:lang w:val="en-US" w:eastAsia="zh-CN"/>
        </w:rPr>
        <w:t xml:space="preserve"> I. Cysteamine-colon and cysteamine-duodenum lesions in rats. Attenuation by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cimetidine, ranitidine, atropine, omeprazole, </w:t>
      </w:r>
      <w:proofErr w:type="spellStart"/>
      <w:r w:rsidRPr="005605FF">
        <w:rPr>
          <w:rFonts w:ascii="Book Antiqua" w:eastAsia="SimSun" w:hAnsi="Book Antiqua" w:cs="Times New Roman"/>
          <w:kern w:val="2"/>
          <w:sz w:val="24"/>
          <w:szCs w:val="24"/>
          <w:lang w:val="en-US" w:eastAsia="zh-CN"/>
        </w:rPr>
        <w:t>sulphasalazine</w:t>
      </w:r>
      <w:proofErr w:type="spellEnd"/>
      <w:r w:rsidRPr="005605FF">
        <w:rPr>
          <w:rFonts w:ascii="Book Antiqua" w:eastAsia="SimSun" w:hAnsi="Book Antiqua" w:cs="Times New Roman"/>
          <w:kern w:val="2"/>
          <w:sz w:val="24"/>
          <w:szCs w:val="24"/>
          <w:lang w:val="en-US" w:eastAsia="zh-CN"/>
        </w:rPr>
        <w:t xml:space="preserve"> and methylprednisolone.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Paris</w:t>
      </w:r>
      <w:r w:rsidRPr="005605FF">
        <w:rPr>
          <w:rFonts w:ascii="Book Antiqua" w:eastAsia="SimSun" w:hAnsi="Book Antiqua" w:cs="Times New Roman"/>
          <w:kern w:val="2"/>
          <w:sz w:val="24"/>
          <w:szCs w:val="24"/>
          <w:lang w:val="en-US" w:eastAsia="zh-CN"/>
        </w:rPr>
        <w:t xml:space="preserve"> 2001; </w:t>
      </w:r>
      <w:r w:rsidRPr="005605FF">
        <w:rPr>
          <w:rFonts w:ascii="Book Antiqua" w:eastAsia="SimSun" w:hAnsi="Book Antiqua" w:cs="Times New Roman"/>
          <w:b/>
          <w:kern w:val="2"/>
          <w:sz w:val="24"/>
          <w:szCs w:val="24"/>
          <w:lang w:val="en-US" w:eastAsia="zh-CN"/>
        </w:rPr>
        <w:t>95</w:t>
      </w:r>
      <w:r w:rsidRPr="005605FF">
        <w:rPr>
          <w:rFonts w:ascii="Book Antiqua" w:eastAsia="SimSun" w:hAnsi="Book Antiqua" w:cs="Times New Roman"/>
          <w:kern w:val="2"/>
          <w:sz w:val="24"/>
          <w:szCs w:val="24"/>
          <w:lang w:val="en-US" w:eastAsia="zh-CN"/>
        </w:rPr>
        <w:t>: 261-270 [PMID: 11595448 DOI: 10.1016/S0928-4257(01)00036-5]</w:t>
      </w:r>
    </w:p>
    <w:p w14:paraId="395DFDCF"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32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Aralica</w:t>
      </w:r>
      <w:proofErr w:type="spellEnd"/>
      <w:r w:rsidRPr="005605FF">
        <w:rPr>
          <w:rFonts w:ascii="Book Antiqua" w:eastAsia="SimSun" w:hAnsi="Book Antiqua" w:cs="Times New Roman"/>
          <w:kern w:val="2"/>
          <w:sz w:val="24"/>
          <w:szCs w:val="24"/>
          <w:lang w:val="en-US" w:eastAsia="zh-CN"/>
        </w:rPr>
        <w:t xml:space="preserve"> G, Perovic D, </w:t>
      </w:r>
      <w:proofErr w:type="spellStart"/>
      <w:r w:rsidRPr="005605FF">
        <w:rPr>
          <w:rFonts w:ascii="Book Antiqua" w:eastAsia="SimSun" w:hAnsi="Book Antiqua" w:cs="Times New Roman"/>
          <w:kern w:val="2"/>
          <w:sz w:val="24"/>
          <w:szCs w:val="24"/>
          <w:lang w:val="en-US" w:eastAsia="zh-CN"/>
        </w:rPr>
        <w:t>Staresinic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Anic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Gjurasin</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Prkacin</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Separovic</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Stancic-Rokotov</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Lovric</w:t>
      </w:r>
      <w:proofErr w:type="spellEnd"/>
      <w:r w:rsidRPr="005605FF">
        <w:rPr>
          <w:rFonts w:ascii="Book Antiqua" w:eastAsia="SimSun" w:hAnsi="Book Antiqua" w:cs="Times New Roman"/>
          <w:kern w:val="2"/>
          <w:sz w:val="24"/>
          <w:szCs w:val="24"/>
          <w:lang w:val="en-US" w:eastAsia="zh-CN"/>
        </w:rPr>
        <w:t xml:space="preserve">-Bencic M, </w:t>
      </w:r>
      <w:proofErr w:type="spellStart"/>
      <w:r w:rsidRPr="005605FF">
        <w:rPr>
          <w:rFonts w:ascii="Book Antiqua" w:eastAsia="SimSun" w:hAnsi="Book Antiqua" w:cs="Times New Roman"/>
          <w:kern w:val="2"/>
          <w:sz w:val="24"/>
          <w:szCs w:val="24"/>
          <w:lang w:val="en-US" w:eastAsia="zh-CN"/>
        </w:rPr>
        <w:t>Mikus</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Turkovic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Rotkvic</w:t>
      </w:r>
      <w:proofErr w:type="spellEnd"/>
      <w:r w:rsidRPr="005605FF">
        <w:rPr>
          <w:rFonts w:ascii="Book Antiqua" w:eastAsia="SimSun" w:hAnsi="Book Antiqua" w:cs="Times New Roman"/>
          <w:kern w:val="2"/>
          <w:sz w:val="24"/>
          <w:szCs w:val="24"/>
          <w:lang w:val="en-US" w:eastAsia="zh-CN"/>
        </w:rPr>
        <w:t xml:space="preserve"> I, Mise S,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Petek</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Ziger</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Sebecic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Ivasovic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Jagic</w:t>
      </w:r>
      <w:proofErr w:type="spellEnd"/>
      <w:r w:rsidRPr="005605FF">
        <w:rPr>
          <w:rFonts w:ascii="Book Antiqua" w:eastAsia="SimSun" w:hAnsi="Book Antiqua" w:cs="Times New Roman"/>
          <w:kern w:val="2"/>
          <w:sz w:val="24"/>
          <w:szCs w:val="24"/>
          <w:lang w:val="en-US" w:eastAsia="zh-CN"/>
        </w:rPr>
        <w:t xml:space="preserve"> V, </w:t>
      </w:r>
      <w:proofErr w:type="spellStart"/>
      <w:r w:rsidRPr="005605FF">
        <w:rPr>
          <w:rFonts w:ascii="Book Antiqua" w:eastAsia="SimSun" w:hAnsi="Book Antiqua" w:cs="Times New Roman"/>
          <w:kern w:val="2"/>
          <w:sz w:val="24"/>
          <w:szCs w:val="24"/>
          <w:lang w:val="en-US" w:eastAsia="zh-CN"/>
        </w:rPr>
        <w:t>Komericki</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Balen</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Boban-Blagaic</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Sjekavica</w:t>
      </w:r>
      <w:proofErr w:type="spellEnd"/>
      <w:r w:rsidRPr="005605FF">
        <w:rPr>
          <w:rFonts w:ascii="Book Antiqua" w:eastAsia="SimSun" w:hAnsi="Book Antiqua" w:cs="Times New Roman"/>
          <w:kern w:val="2"/>
          <w:sz w:val="24"/>
          <w:szCs w:val="24"/>
          <w:lang w:val="en-US" w:eastAsia="zh-CN"/>
        </w:rPr>
        <w:t xml:space="preserve"> I. Therapy effect of antiulcer agents on new chronic cysteamine colon lesion in rat.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Paris</w:t>
      </w:r>
      <w:r w:rsidRPr="005605FF">
        <w:rPr>
          <w:rFonts w:ascii="Book Antiqua" w:eastAsia="SimSun" w:hAnsi="Book Antiqua" w:cs="Times New Roman"/>
          <w:kern w:val="2"/>
          <w:sz w:val="24"/>
          <w:szCs w:val="24"/>
          <w:lang w:val="en-US" w:eastAsia="zh-CN"/>
        </w:rPr>
        <w:t xml:space="preserve"> 2001; </w:t>
      </w:r>
      <w:r w:rsidRPr="005605FF">
        <w:rPr>
          <w:rFonts w:ascii="Book Antiqua" w:eastAsia="SimSun" w:hAnsi="Book Antiqua" w:cs="Times New Roman"/>
          <w:b/>
          <w:kern w:val="2"/>
          <w:sz w:val="24"/>
          <w:szCs w:val="24"/>
          <w:lang w:val="en-US" w:eastAsia="zh-CN"/>
        </w:rPr>
        <w:t>95</w:t>
      </w:r>
      <w:r w:rsidRPr="005605FF">
        <w:rPr>
          <w:rFonts w:ascii="Book Antiqua" w:eastAsia="SimSun" w:hAnsi="Book Antiqua" w:cs="Times New Roman"/>
          <w:kern w:val="2"/>
          <w:sz w:val="24"/>
          <w:szCs w:val="24"/>
          <w:lang w:val="en-US" w:eastAsia="zh-CN"/>
        </w:rPr>
        <w:t>: 283-288 [PMID: 11595451 DOI: 10.1016/S0928-4257(01)00039-0]</w:t>
      </w:r>
    </w:p>
    <w:p w14:paraId="65DEC364"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33 </w:t>
      </w:r>
      <w:proofErr w:type="spellStart"/>
      <w:r w:rsidRPr="005605FF">
        <w:rPr>
          <w:rFonts w:ascii="Book Antiqua" w:eastAsia="SimSun" w:hAnsi="Book Antiqua" w:cs="Times New Roman"/>
          <w:b/>
          <w:kern w:val="2"/>
          <w:sz w:val="24"/>
          <w:szCs w:val="24"/>
          <w:lang w:val="en-US" w:eastAsia="zh-CN"/>
        </w:rPr>
        <w:t>Veljaca</w:t>
      </w:r>
      <w:proofErr w:type="spellEnd"/>
      <w:r w:rsidRPr="005605FF">
        <w:rPr>
          <w:rFonts w:ascii="Book Antiqua" w:eastAsia="SimSun" w:hAnsi="Book Antiqua" w:cs="Times New Roman"/>
          <w:b/>
          <w:kern w:val="2"/>
          <w:sz w:val="24"/>
          <w:szCs w:val="24"/>
          <w:lang w:val="en-US" w:eastAsia="zh-CN"/>
        </w:rPr>
        <w:t xml:space="preserve"> M</w:t>
      </w:r>
      <w:r w:rsidRPr="005605FF">
        <w:rPr>
          <w:rFonts w:ascii="Book Antiqua" w:eastAsia="SimSun" w:hAnsi="Book Antiqua" w:cs="Times New Roman"/>
          <w:kern w:val="2"/>
          <w:sz w:val="24"/>
          <w:szCs w:val="24"/>
          <w:lang w:val="en-US" w:eastAsia="zh-CN"/>
        </w:rPr>
        <w:t>,</w:t>
      </w:r>
      <w:r w:rsidRPr="005605FF">
        <w:rPr>
          <w:rFonts w:ascii="Book Antiqua" w:eastAsia="SimSun" w:hAnsi="Book Antiqua" w:cs="Times New Roman" w:hint="eastAsia"/>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Lesch</w:t>
      </w:r>
      <w:proofErr w:type="spellEnd"/>
      <w:r w:rsidRPr="005605FF">
        <w:rPr>
          <w:rFonts w:ascii="Book Antiqua" w:eastAsia="SimSun" w:hAnsi="Book Antiqua" w:cs="Times New Roman"/>
          <w:kern w:val="2"/>
          <w:sz w:val="24"/>
          <w:szCs w:val="24"/>
          <w:lang w:val="en-US" w:eastAsia="zh-CN"/>
        </w:rPr>
        <w:t xml:space="preserve"> C, Sanchez B, Low J, </w:t>
      </w:r>
      <w:proofErr w:type="spellStart"/>
      <w:r w:rsidRPr="005605FF">
        <w:rPr>
          <w:rFonts w:ascii="Book Antiqua" w:eastAsia="SimSun" w:hAnsi="Book Antiqua" w:cs="Times New Roman"/>
          <w:kern w:val="2"/>
          <w:sz w:val="24"/>
          <w:szCs w:val="24"/>
          <w:lang w:val="en-US" w:eastAsia="zh-CN"/>
        </w:rPr>
        <w:t>Guglietta</w:t>
      </w:r>
      <w:proofErr w:type="spellEnd"/>
      <w:r w:rsidRPr="005605FF">
        <w:rPr>
          <w:rFonts w:ascii="Book Antiqua" w:eastAsia="SimSun" w:hAnsi="Book Antiqua" w:cs="Times New Roman"/>
          <w:kern w:val="2"/>
          <w:sz w:val="24"/>
          <w:szCs w:val="24"/>
          <w:lang w:val="en-US" w:eastAsia="zh-CN"/>
        </w:rPr>
        <w:t xml:space="preserve"> A. Protection of BPC-15 on TNBS-induced colitis in rats: possible mechanisms of action. </w:t>
      </w:r>
      <w:r w:rsidRPr="005605FF">
        <w:rPr>
          <w:rFonts w:ascii="Book Antiqua" w:eastAsia="SimSun" w:hAnsi="Book Antiqua" w:cs="Times New Roman"/>
          <w:i/>
          <w:kern w:val="2"/>
          <w:sz w:val="24"/>
          <w:szCs w:val="24"/>
          <w:lang w:val="en-US" w:eastAsia="zh-CN"/>
        </w:rPr>
        <w:t>Gastroenterology</w:t>
      </w:r>
      <w:r w:rsidRPr="005605FF">
        <w:rPr>
          <w:rFonts w:ascii="Book Antiqua" w:eastAsia="SimSun" w:hAnsi="Book Antiqua" w:cs="Times New Roman"/>
          <w:kern w:val="2"/>
          <w:sz w:val="24"/>
          <w:szCs w:val="24"/>
          <w:lang w:val="en-US" w:eastAsia="zh-CN"/>
        </w:rPr>
        <w:t xml:space="preserve"> 1995;</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b/>
          <w:kern w:val="2"/>
          <w:sz w:val="24"/>
          <w:szCs w:val="24"/>
          <w:lang w:val="en-US" w:eastAsia="zh-CN"/>
        </w:rPr>
        <w:t>108</w:t>
      </w:r>
      <w:r w:rsidRPr="005605FF">
        <w:rPr>
          <w:rFonts w:ascii="Book Antiqua" w:eastAsia="SimSun" w:hAnsi="Book Antiqua" w:cs="Times New Roman"/>
          <w:kern w:val="2"/>
          <w:sz w:val="24"/>
          <w:szCs w:val="24"/>
          <w:lang w:val="en-US" w:eastAsia="zh-CN"/>
        </w:rPr>
        <w:t>:</w:t>
      </w:r>
      <w:r w:rsidRPr="005605FF">
        <w:rPr>
          <w:rFonts w:ascii="Book Antiqua" w:eastAsia="SimSun" w:hAnsi="Book Antiqua" w:cs="Times New Roman" w:hint="eastAsia"/>
          <w:kern w:val="2"/>
          <w:sz w:val="24"/>
          <w:szCs w:val="24"/>
          <w:lang w:val="en-US" w:eastAsia="zh-CN"/>
        </w:rPr>
        <w:t xml:space="preserve"> </w:t>
      </w:r>
      <w:r w:rsidRPr="005605FF">
        <w:rPr>
          <w:rFonts w:ascii="Book Antiqua" w:eastAsia="SimSun" w:hAnsi="Book Antiqua" w:cs="Times New Roman"/>
          <w:kern w:val="2"/>
          <w:sz w:val="24"/>
          <w:szCs w:val="24"/>
          <w:lang w:val="en-US" w:eastAsia="zh-CN"/>
        </w:rPr>
        <w:t>936</w:t>
      </w:r>
    </w:p>
    <w:p w14:paraId="2DFAC153"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34 </w:t>
      </w:r>
      <w:r w:rsidRPr="005605FF">
        <w:rPr>
          <w:rFonts w:ascii="Book Antiqua" w:eastAsia="SimSun" w:hAnsi="Book Antiqua" w:cs="Times New Roman"/>
          <w:b/>
          <w:kern w:val="2"/>
          <w:sz w:val="24"/>
          <w:szCs w:val="24"/>
          <w:lang w:val="en-US" w:eastAsia="zh-CN"/>
        </w:rPr>
        <w:t>Baric M</w:t>
      </w:r>
      <w:r w:rsidRPr="005605FF">
        <w:rPr>
          <w:rFonts w:ascii="Book Antiqua" w:eastAsia="SimSun" w:hAnsi="Book Antiqua" w:cs="Times New Roman"/>
          <w:kern w:val="2"/>
          <w:sz w:val="24"/>
          <w:szCs w:val="24"/>
          <w:lang w:val="en-US" w:eastAsia="zh-CN"/>
        </w:rPr>
        <w:t xml:space="preserve">, Sever AZ, </w:t>
      </w:r>
      <w:proofErr w:type="spellStart"/>
      <w:r w:rsidRPr="005605FF">
        <w:rPr>
          <w:rFonts w:ascii="Book Antiqua" w:eastAsia="SimSun" w:hAnsi="Book Antiqua" w:cs="Times New Roman"/>
          <w:kern w:val="2"/>
          <w:sz w:val="24"/>
          <w:szCs w:val="24"/>
          <w:lang w:val="en-US" w:eastAsia="zh-CN"/>
        </w:rPr>
        <w:t>Vuletic</w:t>
      </w:r>
      <w:proofErr w:type="spellEnd"/>
      <w:r w:rsidRPr="005605FF">
        <w:rPr>
          <w:rFonts w:ascii="Book Antiqua" w:eastAsia="SimSun" w:hAnsi="Book Antiqua" w:cs="Times New Roman"/>
          <w:kern w:val="2"/>
          <w:sz w:val="24"/>
          <w:szCs w:val="24"/>
          <w:lang w:val="en-US" w:eastAsia="zh-CN"/>
        </w:rPr>
        <w:t xml:space="preserve"> LB, </w:t>
      </w:r>
      <w:proofErr w:type="spellStart"/>
      <w:r w:rsidRPr="005605FF">
        <w:rPr>
          <w:rFonts w:ascii="Book Antiqua" w:eastAsia="SimSun" w:hAnsi="Book Antiqua" w:cs="Times New Roman"/>
          <w:kern w:val="2"/>
          <w:sz w:val="24"/>
          <w:szCs w:val="24"/>
          <w:lang w:val="en-US" w:eastAsia="zh-CN"/>
        </w:rPr>
        <w:t>Rasic</w:t>
      </w:r>
      <w:proofErr w:type="spellEnd"/>
      <w:r w:rsidRPr="005605FF">
        <w:rPr>
          <w:rFonts w:ascii="Book Antiqua" w:eastAsia="SimSun" w:hAnsi="Book Antiqua" w:cs="Times New Roman"/>
          <w:kern w:val="2"/>
          <w:sz w:val="24"/>
          <w:szCs w:val="24"/>
          <w:lang w:val="en-US" w:eastAsia="zh-CN"/>
        </w:rPr>
        <w:t xml:space="preserve"> Z, Sever M, Drmic D, Pavelic-</w:t>
      </w:r>
      <w:proofErr w:type="spellStart"/>
      <w:r w:rsidRPr="005605FF">
        <w:rPr>
          <w:rFonts w:ascii="Book Antiqua" w:eastAsia="SimSun" w:hAnsi="Book Antiqua" w:cs="Times New Roman"/>
          <w:kern w:val="2"/>
          <w:sz w:val="24"/>
          <w:szCs w:val="24"/>
          <w:lang w:val="en-US" w:eastAsia="zh-CN"/>
        </w:rPr>
        <w:t>Turudic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Sucic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Vrcic</w:t>
      </w:r>
      <w:proofErr w:type="spellEnd"/>
      <w:r w:rsidRPr="005605FF">
        <w:rPr>
          <w:rFonts w:ascii="Book Antiqua" w:eastAsia="SimSun" w:hAnsi="Book Antiqua" w:cs="Times New Roman"/>
          <w:kern w:val="2"/>
          <w:sz w:val="24"/>
          <w:szCs w:val="24"/>
          <w:lang w:val="en-US" w:eastAsia="zh-CN"/>
        </w:rPr>
        <w:t xml:space="preserve"> H,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heals rectovaginal fistula in rats. </w:t>
      </w:r>
      <w:r w:rsidRPr="005605FF">
        <w:rPr>
          <w:rFonts w:ascii="Book Antiqua" w:eastAsia="SimSun" w:hAnsi="Book Antiqua" w:cs="Times New Roman"/>
          <w:i/>
          <w:kern w:val="2"/>
          <w:sz w:val="24"/>
          <w:szCs w:val="24"/>
          <w:lang w:val="en-US" w:eastAsia="zh-CN"/>
        </w:rPr>
        <w:t>Life Sci</w:t>
      </w:r>
      <w:r w:rsidRPr="005605FF">
        <w:rPr>
          <w:rFonts w:ascii="Book Antiqua" w:eastAsia="SimSun" w:hAnsi="Book Antiqua" w:cs="Times New Roman"/>
          <w:kern w:val="2"/>
          <w:sz w:val="24"/>
          <w:szCs w:val="24"/>
          <w:lang w:val="en-US" w:eastAsia="zh-CN"/>
        </w:rPr>
        <w:t xml:space="preserve"> 2016; </w:t>
      </w:r>
      <w:r w:rsidRPr="005605FF">
        <w:rPr>
          <w:rFonts w:ascii="Book Antiqua" w:eastAsia="SimSun" w:hAnsi="Book Antiqua" w:cs="Times New Roman"/>
          <w:b/>
          <w:kern w:val="2"/>
          <w:sz w:val="24"/>
          <w:szCs w:val="24"/>
          <w:lang w:val="en-US" w:eastAsia="zh-CN"/>
        </w:rPr>
        <w:t>148</w:t>
      </w:r>
      <w:r w:rsidRPr="005605FF">
        <w:rPr>
          <w:rFonts w:ascii="Book Antiqua" w:eastAsia="SimSun" w:hAnsi="Book Antiqua" w:cs="Times New Roman"/>
          <w:kern w:val="2"/>
          <w:sz w:val="24"/>
          <w:szCs w:val="24"/>
          <w:lang w:val="en-US" w:eastAsia="zh-CN"/>
        </w:rPr>
        <w:t>: 63-70 [PMID: 26872976 DOI: 10.1016/j.lfs.2016.02.029]</w:t>
      </w:r>
    </w:p>
    <w:p w14:paraId="07D75982"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35 </w:t>
      </w:r>
      <w:proofErr w:type="spellStart"/>
      <w:r w:rsidRPr="005605FF">
        <w:rPr>
          <w:rFonts w:ascii="Book Antiqua" w:eastAsia="SimSun" w:hAnsi="Book Antiqua" w:cs="Times New Roman"/>
          <w:b/>
          <w:kern w:val="2"/>
          <w:sz w:val="24"/>
          <w:szCs w:val="24"/>
          <w:lang w:val="en-US" w:eastAsia="zh-CN"/>
        </w:rPr>
        <w:t>Grgic</w:t>
      </w:r>
      <w:proofErr w:type="spellEnd"/>
      <w:r w:rsidRPr="005605FF">
        <w:rPr>
          <w:rFonts w:ascii="Book Antiqua" w:eastAsia="SimSun" w:hAnsi="Book Antiqua" w:cs="Times New Roman"/>
          <w:b/>
          <w:kern w:val="2"/>
          <w:sz w:val="24"/>
          <w:szCs w:val="24"/>
          <w:lang w:val="en-US" w:eastAsia="zh-CN"/>
        </w:rPr>
        <w:t xml:space="preserve"> T</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Grgic</w:t>
      </w:r>
      <w:proofErr w:type="spellEnd"/>
      <w:r w:rsidRPr="005605FF">
        <w:rPr>
          <w:rFonts w:ascii="Book Antiqua" w:eastAsia="SimSun" w:hAnsi="Book Antiqua" w:cs="Times New Roman"/>
          <w:kern w:val="2"/>
          <w:sz w:val="24"/>
          <w:szCs w:val="24"/>
          <w:lang w:val="en-US" w:eastAsia="zh-CN"/>
        </w:rPr>
        <w:t xml:space="preserve"> D, Drmic D, Sever AZ, </w:t>
      </w:r>
      <w:proofErr w:type="spellStart"/>
      <w:r w:rsidRPr="005605FF">
        <w:rPr>
          <w:rFonts w:ascii="Book Antiqua" w:eastAsia="SimSun" w:hAnsi="Book Antiqua" w:cs="Times New Roman"/>
          <w:kern w:val="2"/>
          <w:sz w:val="24"/>
          <w:szCs w:val="24"/>
          <w:lang w:val="en-US" w:eastAsia="zh-CN"/>
        </w:rPr>
        <w:t>Petrovic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Sucic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Kokot</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Sever M,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heals rat </w:t>
      </w:r>
      <w:proofErr w:type="spellStart"/>
      <w:r w:rsidRPr="005605FF">
        <w:rPr>
          <w:rFonts w:ascii="Book Antiqua" w:eastAsia="SimSun" w:hAnsi="Book Antiqua" w:cs="Times New Roman"/>
          <w:kern w:val="2"/>
          <w:sz w:val="24"/>
          <w:szCs w:val="24"/>
          <w:lang w:val="en-US" w:eastAsia="zh-CN"/>
        </w:rPr>
        <w:t>colovesical</w:t>
      </w:r>
      <w:proofErr w:type="spellEnd"/>
      <w:r w:rsidRPr="005605FF">
        <w:rPr>
          <w:rFonts w:ascii="Book Antiqua" w:eastAsia="SimSun" w:hAnsi="Book Antiqua" w:cs="Times New Roman"/>
          <w:kern w:val="2"/>
          <w:sz w:val="24"/>
          <w:szCs w:val="24"/>
          <w:lang w:val="en-US" w:eastAsia="zh-CN"/>
        </w:rPr>
        <w:t xml:space="preserve"> fistula. </w:t>
      </w:r>
      <w:r w:rsidRPr="005605FF">
        <w:rPr>
          <w:rFonts w:ascii="Book Antiqua" w:eastAsia="SimSun" w:hAnsi="Book Antiqua" w:cs="Times New Roman"/>
          <w:i/>
          <w:kern w:val="2"/>
          <w:sz w:val="24"/>
          <w:szCs w:val="24"/>
          <w:lang w:val="en-US" w:eastAsia="zh-CN"/>
        </w:rPr>
        <w:t xml:space="preserve">Eur J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2016; </w:t>
      </w:r>
      <w:r w:rsidRPr="005605FF">
        <w:rPr>
          <w:rFonts w:ascii="Book Antiqua" w:eastAsia="SimSun" w:hAnsi="Book Antiqua" w:cs="Times New Roman"/>
          <w:b/>
          <w:kern w:val="2"/>
          <w:sz w:val="24"/>
          <w:szCs w:val="24"/>
          <w:lang w:val="en-US" w:eastAsia="zh-CN"/>
        </w:rPr>
        <w:t>780</w:t>
      </w:r>
      <w:r w:rsidRPr="005605FF">
        <w:rPr>
          <w:rFonts w:ascii="Book Antiqua" w:eastAsia="SimSun" w:hAnsi="Book Antiqua" w:cs="Times New Roman"/>
          <w:kern w:val="2"/>
          <w:sz w:val="24"/>
          <w:szCs w:val="24"/>
          <w:lang w:val="en-US" w:eastAsia="zh-CN"/>
        </w:rPr>
        <w:t>: 1-7 [PMID: 26875638 DOI: 10.1016/j.ejphar.2016.02.038]</w:t>
      </w:r>
    </w:p>
    <w:p w14:paraId="6B918739"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36 </w:t>
      </w:r>
      <w:proofErr w:type="spellStart"/>
      <w:r w:rsidRPr="005605FF">
        <w:rPr>
          <w:rFonts w:ascii="Book Antiqua" w:eastAsia="SimSun" w:hAnsi="Book Antiqua" w:cs="Times New Roman"/>
          <w:b/>
          <w:kern w:val="2"/>
          <w:sz w:val="24"/>
          <w:szCs w:val="24"/>
          <w:lang w:val="en-US" w:eastAsia="zh-CN"/>
        </w:rPr>
        <w:t>Klicek</w:t>
      </w:r>
      <w:proofErr w:type="spellEnd"/>
      <w:r w:rsidRPr="005605FF">
        <w:rPr>
          <w:rFonts w:ascii="Book Antiqua" w:eastAsia="SimSun" w:hAnsi="Book Antiqua" w:cs="Times New Roman"/>
          <w:b/>
          <w:kern w:val="2"/>
          <w:sz w:val="24"/>
          <w:szCs w:val="24"/>
          <w:lang w:val="en-US" w:eastAsia="zh-CN"/>
        </w:rPr>
        <w:t xml:space="preserve"> R</w:t>
      </w:r>
      <w:r w:rsidRPr="005605FF">
        <w:rPr>
          <w:rFonts w:ascii="Book Antiqua" w:eastAsia="SimSun" w:hAnsi="Book Antiqua" w:cs="Times New Roman"/>
          <w:kern w:val="2"/>
          <w:sz w:val="24"/>
          <w:szCs w:val="24"/>
          <w:lang w:val="en-US" w:eastAsia="zh-CN"/>
        </w:rPr>
        <w:t xml:space="preserve">, Sever M,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Drmic D, </w:t>
      </w:r>
      <w:proofErr w:type="spellStart"/>
      <w:r w:rsidRPr="005605FF">
        <w:rPr>
          <w:rFonts w:ascii="Book Antiqua" w:eastAsia="SimSun" w:hAnsi="Book Antiqua" w:cs="Times New Roman"/>
          <w:kern w:val="2"/>
          <w:sz w:val="24"/>
          <w:szCs w:val="24"/>
          <w:lang w:val="en-US" w:eastAsia="zh-CN"/>
        </w:rPr>
        <w:t>Kocman</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Vuksic</w:t>
      </w:r>
      <w:proofErr w:type="spellEnd"/>
      <w:r w:rsidRPr="005605FF">
        <w:rPr>
          <w:rFonts w:ascii="Book Antiqua" w:eastAsia="SimSun" w:hAnsi="Book Antiqua" w:cs="Times New Roman"/>
          <w:kern w:val="2"/>
          <w:sz w:val="24"/>
          <w:szCs w:val="24"/>
          <w:lang w:val="en-US" w:eastAsia="zh-CN"/>
        </w:rPr>
        <w:t xml:space="preserve"> T, Ivica M, </w:t>
      </w:r>
      <w:proofErr w:type="spellStart"/>
      <w:r w:rsidRPr="005605FF">
        <w:rPr>
          <w:rFonts w:ascii="Book Antiqua" w:eastAsia="SimSun" w:hAnsi="Book Antiqua" w:cs="Times New Roman"/>
          <w:kern w:val="2"/>
          <w:sz w:val="24"/>
          <w:szCs w:val="24"/>
          <w:lang w:val="en-US" w:eastAsia="zh-CN"/>
        </w:rPr>
        <w:t>Barisic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Ilic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Berkopic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Vrcic</w:t>
      </w:r>
      <w:proofErr w:type="spellEnd"/>
      <w:r w:rsidRPr="005605FF">
        <w:rPr>
          <w:rFonts w:ascii="Book Antiqua" w:eastAsia="SimSun" w:hAnsi="Book Antiqua" w:cs="Times New Roman"/>
          <w:kern w:val="2"/>
          <w:sz w:val="24"/>
          <w:szCs w:val="24"/>
          <w:lang w:val="en-US" w:eastAsia="zh-CN"/>
        </w:rPr>
        <w:t xml:space="preserve"> H,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Blagaic</w:t>
      </w:r>
      <w:proofErr w:type="spellEnd"/>
      <w:r w:rsidRPr="005605FF">
        <w:rPr>
          <w:rFonts w:ascii="Book Antiqua" w:eastAsia="SimSun" w:hAnsi="Book Antiqua" w:cs="Times New Roman"/>
          <w:kern w:val="2"/>
          <w:sz w:val="24"/>
          <w:szCs w:val="24"/>
          <w:lang w:val="en-US" w:eastAsia="zh-CN"/>
        </w:rPr>
        <w:t xml:space="preserve"> AB, </w:t>
      </w:r>
      <w:proofErr w:type="spellStart"/>
      <w:r w:rsidRPr="005605FF">
        <w:rPr>
          <w:rFonts w:ascii="Book Antiqua" w:eastAsia="SimSun" w:hAnsi="Book Antiqua" w:cs="Times New Roman"/>
          <w:kern w:val="2"/>
          <w:sz w:val="24"/>
          <w:szCs w:val="24"/>
          <w:lang w:val="en-US" w:eastAsia="zh-CN"/>
        </w:rPr>
        <w:t>Coric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Rokotov</w:t>
      </w:r>
      <w:proofErr w:type="spellEnd"/>
      <w:r w:rsidRPr="005605FF">
        <w:rPr>
          <w:rFonts w:ascii="Book Antiqua" w:eastAsia="SimSun" w:hAnsi="Book Antiqua" w:cs="Times New Roman"/>
          <w:kern w:val="2"/>
          <w:sz w:val="24"/>
          <w:szCs w:val="24"/>
          <w:lang w:val="en-US" w:eastAsia="zh-CN"/>
        </w:rPr>
        <w:t xml:space="preserve"> DS, </w:t>
      </w:r>
      <w:proofErr w:type="spellStart"/>
      <w:r w:rsidRPr="005605FF">
        <w:rPr>
          <w:rFonts w:ascii="Book Antiqua" w:eastAsia="SimSun" w:hAnsi="Book Antiqua" w:cs="Times New Roman"/>
          <w:kern w:val="2"/>
          <w:sz w:val="24"/>
          <w:szCs w:val="24"/>
          <w:lang w:val="en-US" w:eastAsia="zh-CN"/>
        </w:rPr>
        <w:t>Anic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in clinical trials as a therapy for inflammatory bowel disease (PL14736), is effective in the healing of </w:t>
      </w:r>
      <w:proofErr w:type="spellStart"/>
      <w:r w:rsidRPr="005605FF">
        <w:rPr>
          <w:rFonts w:ascii="Book Antiqua" w:eastAsia="SimSun" w:hAnsi="Book Antiqua" w:cs="Times New Roman"/>
          <w:kern w:val="2"/>
          <w:sz w:val="24"/>
          <w:szCs w:val="24"/>
          <w:lang w:val="en-US" w:eastAsia="zh-CN"/>
        </w:rPr>
        <w:t>colocutaneous</w:t>
      </w:r>
      <w:proofErr w:type="spellEnd"/>
      <w:r w:rsidRPr="005605FF">
        <w:rPr>
          <w:rFonts w:ascii="Book Antiqua" w:eastAsia="SimSun" w:hAnsi="Book Antiqua" w:cs="Times New Roman"/>
          <w:kern w:val="2"/>
          <w:sz w:val="24"/>
          <w:szCs w:val="24"/>
          <w:lang w:val="en-US" w:eastAsia="zh-CN"/>
        </w:rPr>
        <w:t xml:space="preserve"> fistulas in rats: role of the nitric oxide-system.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i/>
          <w:kern w:val="2"/>
          <w:sz w:val="24"/>
          <w:szCs w:val="24"/>
          <w:lang w:val="en-US" w:eastAsia="zh-CN"/>
        </w:rPr>
        <w:t xml:space="preserve"> Sci</w:t>
      </w:r>
      <w:r w:rsidRPr="005605FF">
        <w:rPr>
          <w:rFonts w:ascii="Book Antiqua" w:eastAsia="SimSun" w:hAnsi="Book Antiqua" w:cs="Times New Roman"/>
          <w:kern w:val="2"/>
          <w:sz w:val="24"/>
          <w:szCs w:val="24"/>
          <w:lang w:val="en-US" w:eastAsia="zh-CN"/>
        </w:rPr>
        <w:t xml:space="preserve"> 2008; </w:t>
      </w:r>
      <w:r w:rsidRPr="005605FF">
        <w:rPr>
          <w:rFonts w:ascii="Book Antiqua" w:eastAsia="SimSun" w:hAnsi="Book Antiqua" w:cs="Times New Roman"/>
          <w:b/>
          <w:kern w:val="2"/>
          <w:sz w:val="24"/>
          <w:szCs w:val="24"/>
          <w:lang w:val="en-US" w:eastAsia="zh-CN"/>
        </w:rPr>
        <w:t>108</w:t>
      </w:r>
      <w:r w:rsidRPr="005605FF">
        <w:rPr>
          <w:rFonts w:ascii="Book Antiqua" w:eastAsia="SimSun" w:hAnsi="Book Antiqua" w:cs="Times New Roman"/>
          <w:kern w:val="2"/>
          <w:sz w:val="24"/>
          <w:szCs w:val="24"/>
          <w:lang w:val="en-US" w:eastAsia="zh-CN"/>
        </w:rPr>
        <w:t>: 7-17 [PMID: 18818478]</w:t>
      </w:r>
    </w:p>
    <w:p w14:paraId="48FD7BFC"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37 </w:t>
      </w:r>
      <w:proofErr w:type="spellStart"/>
      <w:r w:rsidRPr="005605FF">
        <w:rPr>
          <w:rFonts w:ascii="Book Antiqua" w:eastAsia="SimSun" w:hAnsi="Book Antiqua" w:cs="Times New Roman"/>
          <w:b/>
          <w:kern w:val="2"/>
          <w:sz w:val="24"/>
          <w:szCs w:val="24"/>
          <w:lang w:val="en-US" w:eastAsia="zh-CN"/>
        </w:rPr>
        <w:t>Skorjanec</w:t>
      </w:r>
      <w:proofErr w:type="spellEnd"/>
      <w:r w:rsidRPr="005605FF">
        <w:rPr>
          <w:rFonts w:ascii="Book Antiqua" w:eastAsia="SimSun" w:hAnsi="Book Antiqua" w:cs="Times New Roman"/>
          <w:b/>
          <w:kern w:val="2"/>
          <w:sz w:val="24"/>
          <w:szCs w:val="24"/>
          <w:lang w:val="en-US" w:eastAsia="zh-CN"/>
        </w:rPr>
        <w:t xml:space="preserve"> S</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Kokot</w:t>
      </w:r>
      <w:proofErr w:type="spellEnd"/>
      <w:r w:rsidRPr="005605FF">
        <w:rPr>
          <w:rFonts w:ascii="Book Antiqua" w:eastAsia="SimSun" w:hAnsi="Book Antiqua" w:cs="Times New Roman"/>
          <w:kern w:val="2"/>
          <w:sz w:val="24"/>
          <w:szCs w:val="24"/>
          <w:lang w:val="en-US" w:eastAsia="zh-CN"/>
        </w:rPr>
        <w:t xml:space="preserve"> A, Drmic D,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Sever M,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Zenko</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lastRenderedPageBreak/>
        <w:t>Lovric</w:t>
      </w:r>
      <w:proofErr w:type="spellEnd"/>
      <w:r w:rsidRPr="005605FF">
        <w:rPr>
          <w:rFonts w:ascii="Book Antiqua" w:eastAsia="SimSun" w:hAnsi="Book Antiqua" w:cs="Times New Roman"/>
          <w:kern w:val="2"/>
          <w:sz w:val="24"/>
          <w:szCs w:val="24"/>
          <w:lang w:val="en-US" w:eastAsia="zh-CN"/>
        </w:rPr>
        <w:t xml:space="preserve"> Bencic M, </w:t>
      </w:r>
      <w:proofErr w:type="spellStart"/>
      <w:r w:rsidRPr="005605FF">
        <w:rPr>
          <w:rFonts w:ascii="Book Antiqua" w:eastAsia="SimSun" w:hAnsi="Book Antiqua" w:cs="Times New Roman"/>
          <w:kern w:val="2"/>
          <w:sz w:val="24"/>
          <w:szCs w:val="24"/>
          <w:lang w:val="en-US" w:eastAsia="zh-CN"/>
        </w:rPr>
        <w:t>Belosic</w:t>
      </w:r>
      <w:proofErr w:type="spellEnd"/>
      <w:r w:rsidRPr="005605FF">
        <w:rPr>
          <w:rFonts w:ascii="Book Antiqua" w:eastAsia="SimSun" w:hAnsi="Book Antiqua" w:cs="Times New Roman"/>
          <w:kern w:val="2"/>
          <w:sz w:val="24"/>
          <w:szCs w:val="24"/>
          <w:lang w:val="en-US" w:eastAsia="zh-CN"/>
        </w:rPr>
        <w:t xml:space="preserve"> Halle Z, </w:t>
      </w:r>
      <w:proofErr w:type="spellStart"/>
      <w:r w:rsidRPr="005605FF">
        <w:rPr>
          <w:rFonts w:ascii="Book Antiqua" w:eastAsia="SimSun" w:hAnsi="Book Antiqua" w:cs="Times New Roman"/>
          <w:kern w:val="2"/>
          <w:sz w:val="24"/>
          <w:szCs w:val="24"/>
          <w:lang w:val="en-US" w:eastAsia="zh-CN"/>
        </w:rPr>
        <w:t>Situm</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Zivanovic</w:t>
      </w:r>
      <w:proofErr w:type="spellEnd"/>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Posilovic</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Masnec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Suran</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Aralica</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w:t>
      </w:r>
      <w:proofErr w:type="spellStart"/>
      <w:r w:rsidRPr="005605FF">
        <w:rPr>
          <w:rFonts w:ascii="Book Antiqua" w:eastAsia="SimSun" w:hAnsi="Book Antiqua" w:cs="Times New Roman"/>
          <w:kern w:val="2"/>
          <w:sz w:val="24"/>
          <w:szCs w:val="24"/>
          <w:lang w:val="en-US" w:eastAsia="zh-CN"/>
        </w:rPr>
        <w:t>Duodenocutaneous</w:t>
      </w:r>
      <w:proofErr w:type="spellEnd"/>
      <w:r w:rsidRPr="005605FF">
        <w:rPr>
          <w:rFonts w:ascii="Book Antiqua" w:eastAsia="SimSun" w:hAnsi="Book Antiqua" w:cs="Times New Roman"/>
          <w:kern w:val="2"/>
          <w:sz w:val="24"/>
          <w:szCs w:val="24"/>
          <w:lang w:val="en-US" w:eastAsia="zh-CN"/>
        </w:rPr>
        <w:t xml:space="preserve"> fistula in rats as a model for "wound healing-therapy" in ulcer healing: the effect of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L-nitro-arginine methyl ester and L-arginine.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2015; </w:t>
      </w:r>
      <w:r w:rsidRPr="005605FF">
        <w:rPr>
          <w:rFonts w:ascii="Book Antiqua" w:eastAsia="SimSun" w:hAnsi="Book Antiqua" w:cs="Times New Roman"/>
          <w:b/>
          <w:kern w:val="2"/>
          <w:sz w:val="24"/>
          <w:szCs w:val="24"/>
          <w:lang w:val="en-US" w:eastAsia="zh-CN"/>
        </w:rPr>
        <w:t>66</w:t>
      </w:r>
      <w:r w:rsidRPr="005605FF">
        <w:rPr>
          <w:rFonts w:ascii="Book Antiqua" w:eastAsia="SimSun" w:hAnsi="Book Antiqua" w:cs="Times New Roman"/>
          <w:kern w:val="2"/>
          <w:sz w:val="24"/>
          <w:szCs w:val="24"/>
          <w:lang w:val="en-US" w:eastAsia="zh-CN"/>
        </w:rPr>
        <w:t>: 581-590 [PMID: 26348082]</w:t>
      </w:r>
    </w:p>
    <w:p w14:paraId="3F8A4A23"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38 </w:t>
      </w:r>
      <w:proofErr w:type="spellStart"/>
      <w:r w:rsidRPr="005605FF">
        <w:rPr>
          <w:rFonts w:ascii="Book Antiqua" w:eastAsia="SimSun" w:hAnsi="Book Antiqua" w:cs="Times New Roman"/>
          <w:b/>
          <w:kern w:val="2"/>
          <w:sz w:val="24"/>
          <w:szCs w:val="24"/>
          <w:lang w:val="en-US" w:eastAsia="zh-CN"/>
        </w:rPr>
        <w:t>Skorjanec</w:t>
      </w:r>
      <w:proofErr w:type="spellEnd"/>
      <w:r w:rsidRPr="005605FF">
        <w:rPr>
          <w:rFonts w:ascii="Book Antiqua" w:eastAsia="SimSun" w:hAnsi="Book Antiqua" w:cs="Times New Roman"/>
          <w:b/>
          <w:kern w:val="2"/>
          <w:sz w:val="24"/>
          <w:szCs w:val="24"/>
          <w:lang w:val="en-US" w:eastAsia="zh-CN"/>
        </w:rPr>
        <w:t xml:space="preserve"> S</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Dolovski</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Kocman</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Blagaic</w:t>
      </w:r>
      <w:proofErr w:type="spellEnd"/>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Boban</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Batelja</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Coric</w:t>
      </w:r>
      <w:proofErr w:type="spellEnd"/>
      <w:r w:rsidRPr="005605FF">
        <w:rPr>
          <w:rFonts w:ascii="Book Antiqua" w:eastAsia="SimSun" w:hAnsi="Book Antiqua" w:cs="Times New Roman"/>
          <w:kern w:val="2"/>
          <w:sz w:val="24"/>
          <w:szCs w:val="24"/>
          <w:lang w:val="en-US" w:eastAsia="zh-CN"/>
        </w:rPr>
        <w:t xml:space="preserve"> M, Sever M,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Berkopic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Drmic D,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Ilic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Cesarec</w:t>
      </w:r>
      <w:proofErr w:type="spellEnd"/>
      <w:r w:rsidRPr="005605FF">
        <w:rPr>
          <w:rFonts w:ascii="Book Antiqua" w:eastAsia="SimSun" w:hAnsi="Book Antiqua" w:cs="Times New Roman"/>
          <w:kern w:val="2"/>
          <w:sz w:val="24"/>
          <w:szCs w:val="24"/>
          <w:lang w:val="en-US" w:eastAsia="zh-CN"/>
        </w:rPr>
        <w:t xml:space="preserve"> V, </w:t>
      </w:r>
      <w:proofErr w:type="spellStart"/>
      <w:r w:rsidRPr="005605FF">
        <w:rPr>
          <w:rFonts w:ascii="Book Antiqua" w:eastAsia="SimSun" w:hAnsi="Book Antiqua" w:cs="Times New Roman"/>
          <w:kern w:val="2"/>
          <w:sz w:val="24"/>
          <w:szCs w:val="24"/>
          <w:lang w:val="en-US" w:eastAsia="zh-CN"/>
        </w:rPr>
        <w:t>Tonkic</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I, Mise S, </w:t>
      </w:r>
      <w:proofErr w:type="spellStart"/>
      <w:r w:rsidRPr="005605FF">
        <w:rPr>
          <w:rFonts w:ascii="Book Antiqua" w:eastAsia="SimSun" w:hAnsi="Book Antiqua" w:cs="Times New Roman"/>
          <w:kern w:val="2"/>
          <w:sz w:val="24"/>
          <w:szCs w:val="24"/>
          <w:lang w:val="en-US" w:eastAsia="zh-CN"/>
        </w:rPr>
        <w:t>Staresinic</w:t>
      </w:r>
      <w:proofErr w:type="spellEnd"/>
      <w:r w:rsidRPr="005605FF">
        <w:rPr>
          <w:rFonts w:ascii="Book Antiqua" w:eastAsia="SimSun" w:hAnsi="Book Antiqua" w:cs="Times New Roman"/>
          <w:kern w:val="2"/>
          <w:sz w:val="24"/>
          <w:szCs w:val="24"/>
          <w:lang w:val="en-US" w:eastAsia="zh-CN"/>
        </w:rPr>
        <w:t xml:space="preserve"> M, Ivica M, </w:t>
      </w:r>
      <w:proofErr w:type="spellStart"/>
      <w:r w:rsidRPr="005605FF">
        <w:rPr>
          <w:rFonts w:ascii="Book Antiqua" w:eastAsia="SimSun" w:hAnsi="Book Antiqua" w:cs="Times New Roman"/>
          <w:kern w:val="2"/>
          <w:sz w:val="24"/>
          <w:szCs w:val="24"/>
          <w:lang w:val="en-US" w:eastAsia="zh-CN"/>
        </w:rPr>
        <w:t>Lovric</w:t>
      </w:r>
      <w:proofErr w:type="spellEnd"/>
      <w:r w:rsidRPr="005605FF">
        <w:rPr>
          <w:rFonts w:ascii="Book Antiqua" w:eastAsia="SimSun" w:hAnsi="Book Antiqua" w:cs="Times New Roman"/>
          <w:kern w:val="2"/>
          <w:sz w:val="24"/>
          <w:szCs w:val="24"/>
          <w:lang w:val="en-US" w:eastAsia="zh-CN"/>
        </w:rPr>
        <w:t xml:space="preserve"> Bencic M, </w:t>
      </w:r>
      <w:proofErr w:type="spellStart"/>
      <w:r w:rsidRPr="005605FF">
        <w:rPr>
          <w:rFonts w:ascii="Book Antiqua" w:eastAsia="SimSun" w:hAnsi="Book Antiqua" w:cs="Times New Roman"/>
          <w:kern w:val="2"/>
          <w:sz w:val="24"/>
          <w:szCs w:val="24"/>
          <w:lang w:val="en-US" w:eastAsia="zh-CN"/>
        </w:rPr>
        <w:t>Anic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Therapy for unhealed </w:t>
      </w:r>
      <w:proofErr w:type="spellStart"/>
      <w:r w:rsidRPr="005605FF">
        <w:rPr>
          <w:rFonts w:ascii="Book Antiqua" w:eastAsia="SimSun" w:hAnsi="Book Antiqua" w:cs="Times New Roman"/>
          <w:kern w:val="2"/>
          <w:sz w:val="24"/>
          <w:szCs w:val="24"/>
          <w:lang w:val="en-US" w:eastAsia="zh-CN"/>
        </w:rPr>
        <w:t>gastrocutaneous</w:t>
      </w:r>
      <w:proofErr w:type="spellEnd"/>
      <w:r w:rsidRPr="005605FF">
        <w:rPr>
          <w:rFonts w:ascii="Book Antiqua" w:eastAsia="SimSun" w:hAnsi="Book Antiqua" w:cs="Times New Roman"/>
          <w:kern w:val="2"/>
          <w:sz w:val="24"/>
          <w:szCs w:val="24"/>
          <w:lang w:val="en-US" w:eastAsia="zh-CN"/>
        </w:rPr>
        <w:t xml:space="preserve"> fistulas in rats as a model for analogous healing of persistent skin wounds and persistent gastric ulcers: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atropine, ranitidine, and omeprazole. </w:t>
      </w:r>
      <w:r w:rsidRPr="005605FF">
        <w:rPr>
          <w:rFonts w:ascii="Book Antiqua" w:eastAsia="SimSun" w:hAnsi="Book Antiqua" w:cs="Times New Roman"/>
          <w:i/>
          <w:kern w:val="2"/>
          <w:sz w:val="24"/>
          <w:szCs w:val="24"/>
          <w:lang w:val="en-US" w:eastAsia="zh-CN"/>
        </w:rPr>
        <w:t>Dig Dis Sci</w:t>
      </w:r>
      <w:r w:rsidRPr="005605FF">
        <w:rPr>
          <w:rFonts w:ascii="Book Antiqua" w:eastAsia="SimSun" w:hAnsi="Book Antiqua" w:cs="Times New Roman"/>
          <w:kern w:val="2"/>
          <w:sz w:val="24"/>
          <w:szCs w:val="24"/>
          <w:lang w:val="en-US" w:eastAsia="zh-CN"/>
        </w:rPr>
        <w:t xml:space="preserve"> 2009; </w:t>
      </w:r>
      <w:r w:rsidRPr="005605FF">
        <w:rPr>
          <w:rFonts w:ascii="Book Antiqua" w:eastAsia="SimSun" w:hAnsi="Book Antiqua" w:cs="Times New Roman"/>
          <w:b/>
          <w:kern w:val="2"/>
          <w:sz w:val="24"/>
          <w:szCs w:val="24"/>
          <w:lang w:val="en-US" w:eastAsia="zh-CN"/>
        </w:rPr>
        <w:t>54</w:t>
      </w:r>
      <w:r w:rsidRPr="005605FF">
        <w:rPr>
          <w:rFonts w:ascii="Book Antiqua" w:eastAsia="SimSun" w:hAnsi="Book Antiqua" w:cs="Times New Roman"/>
          <w:kern w:val="2"/>
          <w:sz w:val="24"/>
          <w:szCs w:val="24"/>
          <w:lang w:val="en-US" w:eastAsia="zh-CN"/>
        </w:rPr>
        <w:t>: 46-56 [PMID: 18649140 DOI: 10.1007/s10620-008-0332-9]</w:t>
      </w:r>
    </w:p>
    <w:p w14:paraId="374B0784"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39 </w:t>
      </w:r>
      <w:r w:rsidRPr="005605FF">
        <w:rPr>
          <w:rFonts w:ascii="Book Antiqua" w:eastAsia="SimSun" w:hAnsi="Book Antiqua" w:cs="Times New Roman"/>
          <w:b/>
          <w:kern w:val="2"/>
          <w:sz w:val="24"/>
          <w:szCs w:val="24"/>
          <w:lang w:val="en-US" w:eastAsia="zh-CN"/>
        </w:rPr>
        <w:t>Sever M</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I, Drmic D, Ivica M, </w:t>
      </w:r>
      <w:proofErr w:type="spellStart"/>
      <w:r w:rsidRPr="005605FF">
        <w:rPr>
          <w:rFonts w:ascii="Book Antiqua" w:eastAsia="SimSun" w:hAnsi="Book Antiqua" w:cs="Times New Roman"/>
          <w:kern w:val="2"/>
          <w:sz w:val="24"/>
          <w:szCs w:val="24"/>
          <w:lang w:val="en-US" w:eastAsia="zh-CN"/>
        </w:rPr>
        <w:t>Barisic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Ilic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Berkopic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Blagaic</w:t>
      </w:r>
      <w:proofErr w:type="spellEnd"/>
      <w:r w:rsidRPr="005605FF">
        <w:rPr>
          <w:rFonts w:ascii="Book Antiqua" w:eastAsia="SimSun" w:hAnsi="Book Antiqua" w:cs="Times New Roman"/>
          <w:kern w:val="2"/>
          <w:sz w:val="24"/>
          <w:szCs w:val="24"/>
          <w:lang w:val="en-US" w:eastAsia="zh-CN"/>
        </w:rPr>
        <w:t xml:space="preserve"> AB, </w:t>
      </w:r>
      <w:proofErr w:type="spellStart"/>
      <w:r w:rsidRPr="005605FF">
        <w:rPr>
          <w:rFonts w:ascii="Book Antiqua" w:eastAsia="SimSun" w:hAnsi="Book Antiqua" w:cs="Times New Roman"/>
          <w:kern w:val="2"/>
          <w:sz w:val="24"/>
          <w:szCs w:val="24"/>
          <w:lang w:val="en-US" w:eastAsia="zh-CN"/>
        </w:rPr>
        <w:t>Coric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Vrcic</w:t>
      </w:r>
      <w:proofErr w:type="spellEnd"/>
      <w:r w:rsidRPr="005605FF">
        <w:rPr>
          <w:rFonts w:ascii="Book Antiqua" w:eastAsia="SimSun" w:hAnsi="Book Antiqua" w:cs="Times New Roman"/>
          <w:kern w:val="2"/>
          <w:sz w:val="24"/>
          <w:szCs w:val="24"/>
          <w:lang w:val="en-US" w:eastAsia="zh-CN"/>
        </w:rPr>
        <w:t xml:space="preserve"> H, </w:t>
      </w:r>
      <w:proofErr w:type="spellStart"/>
      <w:r w:rsidRPr="005605FF">
        <w:rPr>
          <w:rFonts w:ascii="Book Antiqua" w:eastAsia="SimSun" w:hAnsi="Book Antiqua" w:cs="Times New Roman"/>
          <w:kern w:val="2"/>
          <w:sz w:val="24"/>
          <w:szCs w:val="24"/>
          <w:lang w:val="en-US" w:eastAsia="zh-CN"/>
        </w:rPr>
        <w:t>Anic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and short bowel syndrome in rats. </w:t>
      </w:r>
      <w:r w:rsidRPr="005605FF">
        <w:rPr>
          <w:rFonts w:ascii="Book Antiqua" w:eastAsia="SimSun" w:hAnsi="Book Antiqua" w:cs="Times New Roman"/>
          <w:i/>
          <w:kern w:val="2"/>
          <w:sz w:val="24"/>
          <w:szCs w:val="24"/>
          <w:lang w:val="en-US" w:eastAsia="zh-CN"/>
        </w:rPr>
        <w:t>Dig Dis Sci</w:t>
      </w:r>
      <w:r w:rsidRPr="005605FF">
        <w:rPr>
          <w:rFonts w:ascii="Book Antiqua" w:eastAsia="SimSun" w:hAnsi="Book Antiqua" w:cs="Times New Roman"/>
          <w:kern w:val="2"/>
          <w:sz w:val="24"/>
          <w:szCs w:val="24"/>
          <w:lang w:val="en-US" w:eastAsia="zh-CN"/>
        </w:rPr>
        <w:t xml:space="preserve"> 2009; </w:t>
      </w:r>
      <w:r w:rsidRPr="005605FF">
        <w:rPr>
          <w:rFonts w:ascii="Book Antiqua" w:eastAsia="SimSun" w:hAnsi="Book Antiqua" w:cs="Times New Roman"/>
          <w:b/>
          <w:kern w:val="2"/>
          <w:sz w:val="24"/>
          <w:szCs w:val="24"/>
          <w:lang w:val="en-US" w:eastAsia="zh-CN"/>
        </w:rPr>
        <w:t>54</w:t>
      </w:r>
      <w:r w:rsidRPr="005605FF">
        <w:rPr>
          <w:rFonts w:ascii="Book Antiqua" w:eastAsia="SimSun" w:hAnsi="Book Antiqua" w:cs="Times New Roman"/>
          <w:kern w:val="2"/>
          <w:sz w:val="24"/>
          <w:szCs w:val="24"/>
          <w:lang w:val="en-US" w:eastAsia="zh-CN"/>
        </w:rPr>
        <w:t>: 2070-2083 [PMID: 19093208 DOI: 10.1007/s10620-008-0598-y]</w:t>
      </w:r>
    </w:p>
    <w:p w14:paraId="546C34E2"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40 </w:t>
      </w:r>
      <w:proofErr w:type="spellStart"/>
      <w:r w:rsidRPr="005605FF">
        <w:rPr>
          <w:rFonts w:ascii="Book Antiqua" w:eastAsia="SimSun" w:hAnsi="Book Antiqua" w:cs="Times New Roman"/>
          <w:b/>
          <w:kern w:val="2"/>
          <w:sz w:val="24"/>
          <w:szCs w:val="24"/>
          <w:lang w:val="en-US" w:eastAsia="zh-CN"/>
        </w:rPr>
        <w:t>Vuksic</w:t>
      </w:r>
      <w:proofErr w:type="spellEnd"/>
      <w:r w:rsidRPr="005605FF">
        <w:rPr>
          <w:rFonts w:ascii="Book Antiqua" w:eastAsia="SimSun" w:hAnsi="Book Antiqua" w:cs="Times New Roman"/>
          <w:b/>
          <w:kern w:val="2"/>
          <w:sz w:val="24"/>
          <w:szCs w:val="24"/>
          <w:lang w:val="en-US" w:eastAsia="zh-CN"/>
        </w:rPr>
        <w:t xml:space="preserve"> T</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Sever M,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Cesarec</w:t>
      </w:r>
      <w:proofErr w:type="spellEnd"/>
      <w:r w:rsidRPr="005605FF">
        <w:rPr>
          <w:rFonts w:ascii="Book Antiqua" w:eastAsia="SimSun" w:hAnsi="Book Antiqua" w:cs="Times New Roman"/>
          <w:kern w:val="2"/>
          <w:sz w:val="24"/>
          <w:szCs w:val="24"/>
          <w:lang w:val="en-US" w:eastAsia="zh-CN"/>
        </w:rPr>
        <w:t xml:space="preserve"> V, </w:t>
      </w:r>
      <w:proofErr w:type="spellStart"/>
      <w:r w:rsidRPr="005605FF">
        <w:rPr>
          <w:rFonts w:ascii="Book Antiqua" w:eastAsia="SimSun" w:hAnsi="Book Antiqua" w:cs="Times New Roman"/>
          <w:kern w:val="2"/>
          <w:sz w:val="24"/>
          <w:szCs w:val="24"/>
          <w:lang w:val="en-US" w:eastAsia="zh-CN"/>
        </w:rPr>
        <w:t>Berkopic</w:t>
      </w:r>
      <w:proofErr w:type="spellEnd"/>
      <w:r w:rsidRPr="005605FF">
        <w:rPr>
          <w:rFonts w:ascii="Book Antiqua" w:eastAsia="SimSun" w:hAnsi="Book Antiqua" w:cs="Times New Roman"/>
          <w:kern w:val="2"/>
          <w:sz w:val="24"/>
          <w:szCs w:val="24"/>
          <w:lang w:val="en-US" w:eastAsia="zh-CN"/>
        </w:rPr>
        <w:t xml:space="preserve"> L, Keller N, </w:t>
      </w:r>
      <w:proofErr w:type="spellStart"/>
      <w:r w:rsidRPr="005605FF">
        <w:rPr>
          <w:rFonts w:ascii="Book Antiqua" w:eastAsia="SimSun" w:hAnsi="Book Antiqua" w:cs="Times New Roman"/>
          <w:kern w:val="2"/>
          <w:sz w:val="24"/>
          <w:szCs w:val="24"/>
          <w:lang w:val="en-US" w:eastAsia="zh-CN"/>
        </w:rPr>
        <w:t>Blagaic</w:t>
      </w:r>
      <w:proofErr w:type="spellEnd"/>
      <w:r w:rsidRPr="005605FF">
        <w:rPr>
          <w:rFonts w:ascii="Book Antiqua" w:eastAsia="SimSun" w:hAnsi="Book Antiqua" w:cs="Times New Roman"/>
          <w:kern w:val="2"/>
          <w:sz w:val="24"/>
          <w:szCs w:val="24"/>
          <w:lang w:val="en-US" w:eastAsia="zh-CN"/>
        </w:rPr>
        <w:t xml:space="preserve"> AB, </w:t>
      </w:r>
      <w:proofErr w:type="spellStart"/>
      <w:r w:rsidRPr="005605FF">
        <w:rPr>
          <w:rFonts w:ascii="Book Antiqua" w:eastAsia="SimSun" w:hAnsi="Book Antiqua" w:cs="Times New Roman"/>
          <w:kern w:val="2"/>
          <w:sz w:val="24"/>
          <w:szCs w:val="24"/>
          <w:lang w:val="en-US" w:eastAsia="zh-CN"/>
        </w:rPr>
        <w:t>Kokic</w:t>
      </w:r>
      <w:proofErr w:type="spellEnd"/>
      <w:r w:rsidRPr="005605FF">
        <w:rPr>
          <w:rFonts w:ascii="Book Antiqua" w:eastAsia="SimSun" w:hAnsi="Book Antiqua" w:cs="Times New Roman"/>
          <w:kern w:val="2"/>
          <w:sz w:val="24"/>
          <w:szCs w:val="24"/>
          <w:lang w:val="en-US" w:eastAsia="zh-CN"/>
        </w:rPr>
        <w:t xml:space="preserve"> N, </w:t>
      </w:r>
      <w:proofErr w:type="spellStart"/>
      <w:r w:rsidRPr="005605FF">
        <w:rPr>
          <w:rFonts w:ascii="Book Antiqua" w:eastAsia="SimSun" w:hAnsi="Book Antiqua" w:cs="Times New Roman"/>
          <w:kern w:val="2"/>
          <w:sz w:val="24"/>
          <w:szCs w:val="24"/>
          <w:lang w:val="en-US" w:eastAsia="zh-CN"/>
        </w:rPr>
        <w:t>Jelic</w:t>
      </w:r>
      <w:proofErr w:type="spellEnd"/>
      <w:r w:rsidRPr="005605FF">
        <w:rPr>
          <w:rFonts w:ascii="Book Antiqua" w:eastAsia="SimSun" w:hAnsi="Book Antiqua" w:cs="Times New Roman"/>
          <w:kern w:val="2"/>
          <w:sz w:val="24"/>
          <w:szCs w:val="24"/>
          <w:lang w:val="en-US" w:eastAsia="zh-CN"/>
        </w:rPr>
        <w:t xml:space="preserve"> I, Geber J, </w:t>
      </w:r>
      <w:proofErr w:type="spellStart"/>
      <w:r w:rsidRPr="005605FF">
        <w:rPr>
          <w:rFonts w:ascii="Book Antiqua" w:eastAsia="SimSun" w:hAnsi="Book Antiqua" w:cs="Times New Roman"/>
          <w:kern w:val="2"/>
          <w:sz w:val="24"/>
          <w:szCs w:val="24"/>
          <w:lang w:val="en-US" w:eastAsia="zh-CN"/>
        </w:rPr>
        <w:t>Anic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in trials for inflammatory bowel disease (PL-10, PLD-116, PL14736, </w:t>
      </w:r>
      <w:proofErr w:type="spellStart"/>
      <w:r w:rsidRPr="005605FF">
        <w:rPr>
          <w:rFonts w:ascii="Book Antiqua" w:eastAsia="SimSun" w:hAnsi="Book Antiqua" w:cs="Times New Roman"/>
          <w:kern w:val="2"/>
          <w:sz w:val="24"/>
          <w:szCs w:val="24"/>
          <w:lang w:val="en-US" w:eastAsia="zh-CN"/>
        </w:rPr>
        <w:t>Pliva</w:t>
      </w:r>
      <w:proofErr w:type="spellEnd"/>
      <w:r w:rsidRPr="005605FF">
        <w:rPr>
          <w:rFonts w:ascii="Book Antiqua" w:eastAsia="SimSun" w:hAnsi="Book Antiqua" w:cs="Times New Roman"/>
          <w:kern w:val="2"/>
          <w:sz w:val="24"/>
          <w:szCs w:val="24"/>
          <w:lang w:val="en-US" w:eastAsia="zh-CN"/>
        </w:rPr>
        <w:t xml:space="preserve">, Croatia) heals </w:t>
      </w:r>
      <w:proofErr w:type="spellStart"/>
      <w:r w:rsidRPr="005605FF">
        <w:rPr>
          <w:rFonts w:ascii="Book Antiqua" w:eastAsia="SimSun" w:hAnsi="Book Antiqua" w:cs="Times New Roman"/>
          <w:kern w:val="2"/>
          <w:sz w:val="24"/>
          <w:szCs w:val="24"/>
          <w:lang w:val="en-US" w:eastAsia="zh-CN"/>
        </w:rPr>
        <w:t>ileoileal</w:t>
      </w:r>
      <w:proofErr w:type="spellEnd"/>
      <w:r w:rsidRPr="005605FF">
        <w:rPr>
          <w:rFonts w:ascii="Book Antiqua" w:eastAsia="SimSun" w:hAnsi="Book Antiqua" w:cs="Times New Roman"/>
          <w:kern w:val="2"/>
          <w:sz w:val="24"/>
          <w:szCs w:val="24"/>
          <w:lang w:val="en-US" w:eastAsia="zh-CN"/>
        </w:rPr>
        <w:t xml:space="preserve"> anastomosis in the rat. </w:t>
      </w:r>
      <w:r w:rsidRPr="005605FF">
        <w:rPr>
          <w:rFonts w:ascii="Book Antiqua" w:eastAsia="SimSun" w:hAnsi="Book Antiqua" w:cs="Times New Roman"/>
          <w:i/>
          <w:kern w:val="2"/>
          <w:sz w:val="24"/>
          <w:szCs w:val="24"/>
          <w:lang w:val="en-US" w:eastAsia="zh-CN"/>
        </w:rPr>
        <w:t>Surg Today</w:t>
      </w:r>
      <w:r w:rsidRPr="005605FF">
        <w:rPr>
          <w:rFonts w:ascii="Book Antiqua" w:eastAsia="SimSun" w:hAnsi="Book Antiqua" w:cs="Times New Roman"/>
          <w:kern w:val="2"/>
          <w:sz w:val="24"/>
          <w:szCs w:val="24"/>
          <w:lang w:val="en-US" w:eastAsia="zh-CN"/>
        </w:rPr>
        <w:t xml:space="preserve"> 2007; </w:t>
      </w:r>
      <w:r w:rsidRPr="005605FF">
        <w:rPr>
          <w:rFonts w:ascii="Book Antiqua" w:eastAsia="SimSun" w:hAnsi="Book Antiqua" w:cs="Times New Roman"/>
          <w:b/>
          <w:kern w:val="2"/>
          <w:sz w:val="24"/>
          <w:szCs w:val="24"/>
          <w:lang w:val="en-US" w:eastAsia="zh-CN"/>
        </w:rPr>
        <w:t>37</w:t>
      </w:r>
      <w:r w:rsidRPr="005605FF">
        <w:rPr>
          <w:rFonts w:ascii="Book Antiqua" w:eastAsia="SimSun" w:hAnsi="Book Antiqua" w:cs="Times New Roman"/>
          <w:kern w:val="2"/>
          <w:sz w:val="24"/>
          <w:szCs w:val="24"/>
          <w:lang w:val="en-US" w:eastAsia="zh-CN"/>
        </w:rPr>
        <w:t>: 768-777 [PMID: 17713731 DOI: 10.1007/s00595-006-3498-9]</w:t>
      </w:r>
    </w:p>
    <w:p w14:paraId="5635AB73"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41 </w:t>
      </w:r>
      <w:proofErr w:type="spellStart"/>
      <w:r w:rsidRPr="005605FF">
        <w:rPr>
          <w:rFonts w:ascii="Book Antiqua" w:eastAsia="SimSun" w:hAnsi="Book Antiqua" w:cs="Times New Roman"/>
          <w:b/>
          <w:kern w:val="2"/>
          <w:sz w:val="24"/>
          <w:szCs w:val="24"/>
          <w:lang w:val="en-US" w:eastAsia="zh-CN"/>
        </w:rPr>
        <w:t>Hrelec</w:t>
      </w:r>
      <w:proofErr w:type="spellEnd"/>
      <w:r w:rsidRPr="005605FF">
        <w:rPr>
          <w:rFonts w:ascii="Book Antiqua" w:eastAsia="SimSun" w:hAnsi="Book Antiqua" w:cs="Times New Roman"/>
          <w:b/>
          <w:kern w:val="2"/>
          <w:sz w:val="24"/>
          <w:szCs w:val="24"/>
          <w:lang w:val="en-US" w:eastAsia="zh-CN"/>
        </w:rPr>
        <w:t xml:space="preserve"> M</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Cvjetko</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Abdominal aorta anastomosis in rats and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prophylaxis and therapy.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2009; </w:t>
      </w:r>
      <w:r w:rsidRPr="005605FF">
        <w:rPr>
          <w:rFonts w:ascii="Book Antiqua" w:eastAsia="SimSun" w:hAnsi="Book Antiqua" w:cs="Times New Roman"/>
          <w:b/>
          <w:kern w:val="2"/>
          <w:sz w:val="24"/>
          <w:szCs w:val="24"/>
          <w:lang w:val="en-US" w:eastAsia="zh-CN"/>
        </w:rPr>
        <w:t>60 Suppl 7</w:t>
      </w:r>
      <w:r w:rsidRPr="005605FF">
        <w:rPr>
          <w:rFonts w:ascii="Book Antiqua" w:eastAsia="SimSun" w:hAnsi="Book Antiqua" w:cs="Times New Roman"/>
          <w:kern w:val="2"/>
          <w:sz w:val="24"/>
          <w:szCs w:val="24"/>
          <w:lang w:val="en-US" w:eastAsia="zh-CN"/>
        </w:rPr>
        <w:t>: 161-165 [PMID: 20388960]</w:t>
      </w:r>
    </w:p>
    <w:p w14:paraId="63FF4373"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42 </w:t>
      </w:r>
      <w:proofErr w:type="spellStart"/>
      <w:r w:rsidRPr="005605FF">
        <w:rPr>
          <w:rFonts w:ascii="Book Antiqua" w:eastAsia="SimSun" w:hAnsi="Book Antiqua" w:cs="Times New Roman"/>
          <w:b/>
          <w:kern w:val="2"/>
          <w:sz w:val="24"/>
          <w:szCs w:val="24"/>
          <w:lang w:val="en-US" w:eastAsia="zh-CN"/>
        </w:rPr>
        <w:t>Stupnisek</w:t>
      </w:r>
      <w:proofErr w:type="spellEnd"/>
      <w:r w:rsidRPr="005605FF">
        <w:rPr>
          <w:rFonts w:ascii="Book Antiqua" w:eastAsia="SimSun" w:hAnsi="Book Antiqua" w:cs="Times New Roman"/>
          <w:b/>
          <w:kern w:val="2"/>
          <w:sz w:val="24"/>
          <w:szCs w:val="24"/>
          <w:lang w:val="en-US" w:eastAsia="zh-CN"/>
        </w:rPr>
        <w:t xml:space="preserve"> M</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Franjic</w:t>
      </w:r>
      <w:proofErr w:type="spellEnd"/>
      <w:r w:rsidRPr="005605FF">
        <w:rPr>
          <w:rFonts w:ascii="Book Antiqua" w:eastAsia="SimSun" w:hAnsi="Book Antiqua" w:cs="Times New Roman"/>
          <w:kern w:val="2"/>
          <w:sz w:val="24"/>
          <w:szCs w:val="24"/>
          <w:lang w:val="en-US" w:eastAsia="zh-CN"/>
        </w:rPr>
        <w:t xml:space="preserve"> S, Drmic D, </w:t>
      </w:r>
      <w:proofErr w:type="spellStart"/>
      <w:r w:rsidRPr="005605FF">
        <w:rPr>
          <w:rFonts w:ascii="Book Antiqua" w:eastAsia="SimSun" w:hAnsi="Book Antiqua" w:cs="Times New Roman"/>
          <w:kern w:val="2"/>
          <w:sz w:val="24"/>
          <w:szCs w:val="24"/>
          <w:lang w:val="en-US" w:eastAsia="zh-CN"/>
        </w:rPr>
        <w:t>Hrelec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Bojic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Vcev</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reduces bleeding time and thrombocytopenia after amputation in rats treated with heparin, warfarin or aspirin. </w:t>
      </w:r>
      <w:proofErr w:type="spellStart"/>
      <w:r w:rsidRPr="005605FF">
        <w:rPr>
          <w:rFonts w:ascii="Book Antiqua" w:eastAsia="SimSun" w:hAnsi="Book Antiqua" w:cs="Times New Roman"/>
          <w:i/>
          <w:kern w:val="2"/>
          <w:sz w:val="24"/>
          <w:szCs w:val="24"/>
          <w:lang w:val="en-US" w:eastAsia="zh-CN"/>
        </w:rPr>
        <w:t>Thromb</w:t>
      </w:r>
      <w:proofErr w:type="spellEnd"/>
      <w:r w:rsidRPr="005605FF">
        <w:rPr>
          <w:rFonts w:ascii="Book Antiqua" w:eastAsia="SimSun" w:hAnsi="Book Antiqua" w:cs="Times New Roman"/>
          <w:i/>
          <w:kern w:val="2"/>
          <w:sz w:val="24"/>
          <w:szCs w:val="24"/>
          <w:lang w:val="en-US" w:eastAsia="zh-CN"/>
        </w:rPr>
        <w:t xml:space="preserve"> Res</w:t>
      </w:r>
      <w:r w:rsidRPr="005605FF">
        <w:rPr>
          <w:rFonts w:ascii="Book Antiqua" w:eastAsia="SimSun" w:hAnsi="Book Antiqua" w:cs="Times New Roman"/>
          <w:kern w:val="2"/>
          <w:sz w:val="24"/>
          <w:szCs w:val="24"/>
          <w:lang w:val="en-US" w:eastAsia="zh-CN"/>
        </w:rPr>
        <w:t xml:space="preserve"> 2012; </w:t>
      </w:r>
      <w:r w:rsidRPr="005605FF">
        <w:rPr>
          <w:rFonts w:ascii="Book Antiqua" w:eastAsia="SimSun" w:hAnsi="Book Antiqua" w:cs="Times New Roman"/>
          <w:b/>
          <w:kern w:val="2"/>
          <w:sz w:val="24"/>
          <w:szCs w:val="24"/>
          <w:lang w:val="en-US" w:eastAsia="zh-CN"/>
        </w:rPr>
        <w:t>129</w:t>
      </w:r>
      <w:r w:rsidRPr="005605FF">
        <w:rPr>
          <w:rFonts w:ascii="Book Antiqua" w:eastAsia="SimSun" w:hAnsi="Book Antiqua" w:cs="Times New Roman"/>
          <w:kern w:val="2"/>
          <w:sz w:val="24"/>
          <w:szCs w:val="24"/>
          <w:lang w:val="en-US" w:eastAsia="zh-CN"/>
        </w:rPr>
        <w:t>: 652-659 [PMID: 21840572 DOI: 10.1016/j.thromres.2011.07.035]</w:t>
      </w:r>
    </w:p>
    <w:p w14:paraId="52CB8977"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43 </w:t>
      </w:r>
      <w:proofErr w:type="spellStart"/>
      <w:r w:rsidRPr="005605FF">
        <w:rPr>
          <w:rFonts w:ascii="Book Antiqua" w:eastAsia="SimSun" w:hAnsi="Book Antiqua" w:cs="Times New Roman"/>
          <w:b/>
          <w:kern w:val="2"/>
          <w:sz w:val="24"/>
          <w:szCs w:val="24"/>
          <w:lang w:val="en-US" w:eastAsia="zh-CN"/>
        </w:rPr>
        <w:t>Stupnisek</w:t>
      </w:r>
      <w:proofErr w:type="spellEnd"/>
      <w:r w:rsidRPr="005605FF">
        <w:rPr>
          <w:rFonts w:ascii="Book Antiqua" w:eastAsia="SimSun" w:hAnsi="Book Antiqua" w:cs="Times New Roman"/>
          <w:b/>
          <w:kern w:val="2"/>
          <w:sz w:val="24"/>
          <w:szCs w:val="24"/>
          <w:lang w:val="en-US" w:eastAsia="zh-CN"/>
        </w:rPr>
        <w:t xml:space="preserve"> M</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Kokot</w:t>
      </w:r>
      <w:proofErr w:type="spellEnd"/>
      <w:r w:rsidRPr="005605FF">
        <w:rPr>
          <w:rFonts w:ascii="Book Antiqua" w:eastAsia="SimSun" w:hAnsi="Book Antiqua" w:cs="Times New Roman"/>
          <w:kern w:val="2"/>
          <w:sz w:val="24"/>
          <w:szCs w:val="24"/>
          <w:lang w:val="en-US" w:eastAsia="zh-CN"/>
        </w:rPr>
        <w:t xml:space="preserve"> A, Drmic D, </w:t>
      </w:r>
      <w:proofErr w:type="spellStart"/>
      <w:r w:rsidRPr="005605FF">
        <w:rPr>
          <w:rFonts w:ascii="Book Antiqua" w:eastAsia="SimSun" w:hAnsi="Book Antiqua" w:cs="Times New Roman"/>
          <w:kern w:val="2"/>
          <w:sz w:val="24"/>
          <w:szCs w:val="24"/>
          <w:lang w:val="en-US" w:eastAsia="zh-CN"/>
        </w:rPr>
        <w:t>Hrelec</w:t>
      </w:r>
      <w:proofErr w:type="spellEnd"/>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Patrlj</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Zenko</w:t>
      </w:r>
      <w:proofErr w:type="spellEnd"/>
      <w:r w:rsidRPr="005605FF">
        <w:rPr>
          <w:rFonts w:ascii="Book Antiqua" w:eastAsia="SimSun" w:hAnsi="Book Antiqua" w:cs="Times New Roman"/>
          <w:kern w:val="2"/>
          <w:sz w:val="24"/>
          <w:szCs w:val="24"/>
          <w:lang w:val="en-US" w:eastAsia="zh-CN"/>
        </w:rPr>
        <w:t xml:space="preserve"> Sever A,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Suran</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Bojic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Vcev</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Reduces Bleeding and Thrombocytopenia after Amputation in Rats Treated with Heparin, </w:t>
      </w:r>
      <w:r w:rsidRPr="005605FF">
        <w:rPr>
          <w:rFonts w:ascii="Book Antiqua" w:eastAsia="SimSun" w:hAnsi="Book Antiqua" w:cs="Times New Roman"/>
          <w:kern w:val="2"/>
          <w:sz w:val="24"/>
          <w:szCs w:val="24"/>
          <w:lang w:val="en-US" w:eastAsia="zh-CN"/>
        </w:rPr>
        <w:lastRenderedPageBreak/>
        <w:t xml:space="preserve">Warfarin, L-NAME and L-Arginine. </w:t>
      </w:r>
      <w:proofErr w:type="spellStart"/>
      <w:r w:rsidRPr="005605FF">
        <w:rPr>
          <w:rFonts w:ascii="Book Antiqua" w:eastAsia="SimSun" w:hAnsi="Book Antiqua" w:cs="Times New Roman"/>
          <w:i/>
          <w:kern w:val="2"/>
          <w:sz w:val="24"/>
          <w:szCs w:val="24"/>
          <w:lang w:val="en-US" w:eastAsia="zh-CN"/>
        </w:rPr>
        <w:t>PLoS</w:t>
      </w:r>
      <w:proofErr w:type="spellEnd"/>
      <w:r w:rsidRPr="005605FF">
        <w:rPr>
          <w:rFonts w:ascii="Book Antiqua" w:eastAsia="SimSun" w:hAnsi="Book Antiqua" w:cs="Times New Roman"/>
          <w:i/>
          <w:kern w:val="2"/>
          <w:sz w:val="24"/>
          <w:szCs w:val="24"/>
          <w:lang w:val="en-US" w:eastAsia="zh-CN"/>
        </w:rPr>
        <w:t xml:space="preserve"> One</w:t>
      </w:r>
      <w:r w:rsidRPr="005605FF">
        <w:rPr>
          <w:rFonts w:ascii="Book Antiqua" w:eastAsia="SimSun" w:hAnsi="Book Antiqua" w:cs="Times New Roman"/>
          <w:kern w:val="2"/>
          <w:sz w:val="24"/>
          <w:szCs w:val="24"/>
          <w:lang w:val="en-US" w:eastAsia="zh-CN"/>
        </w:rPr>
        <w:t xml:space="preserve"> 2015; </w:t>
      </w:r>
      <w:r w:rsidRPr="005605FF">
        <w:rPr>
          <w:rFonts w:ascii="Book Antiqua" w:eastAsia="SimSun" w:hAnsi="Book Antiqua" w:cs="Times New Roman"/>
          <w:b/>
          <w:kern w:val="2"/>
          <w:sz w:val="24"/>
          <w:szCs w:val="24"/>
          <w:lang w:val="en-US" w:eastAsia="zh-CN"/>
        </w:rPr>
        <w:t>10</w:t>
      </w:r>
      <w:r w:rsidRPr="005605FF">
        <w:rPr>
          <w:rFonts w:ascii="Book Antiqua" w:eastAsia="SimSun" w:hAnsi="Book Antiqua" w:cs="Times New Roman"/>
          <w:kern w:val="2"/>
          <w:sz w:val="24"/>
          <w:szCs w:val="24"/>
          <w:lang w:val="en-US" w:eastAsia="zh-CN"/>
        </w:rPr>
        <w:t>: e0123454 [PMID: 25897838 DOI: 10.1371/journal.pone.0123454]</w:t>
      </w:r>
    </w:p>
    <w:p w14:paraId="65656947"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44 </w:t>
      </w:r>
      <w:r w:rsidRPr="005605FF">
        <w:rPr>
          <w:rFonts w:ascii="Book Antiqua" w:eastAsia="SimSun" w:hAnsi="Book Antiqua" w:cs="Times New Roman"/>
          <w:b/>
          <w:kern w:val="2"/>
          <w:sz w:val="24"/>
          <w:szCs w:val="24"/>
          <w:lang w:val="en-US" w:eastAsia="zh-CN"/>
        </w:rPr>
        <w:t>Berra-Romani R</w:t>
      </w:r>
      <w:r w:rsidRPr="005605FF">
        <w:rPr>
          <w:rFonts w:ascii="Book Antiqua" w:eastAsia="SimSun" w:hAnsi="Book Antiqua" w:cs="Times New Roman"/>
          <w:kern w:val="2"/>
          <w:sz w:val="24"/>
          <w:szCs w:val="24"/>
          <w:lang w:val="en-US" w:eastAsia="zh-CN"/>
        </w:rPr>
        <w:t xml:space="preserve">, Avelino-Cruz JE, </w:t>
      </w:r>
      <w:proofErr w:type="spellStart"/>
      <w:r w:rsidRPr="005605FF">
        <w:rPr>
          <w:rFonts w:ascii="Book Antiqua" w:eastAsia="SimSun" w:hAnsi="Book Antiqua" w:cs="Times New Roman"/>
          <w:kern w:val="2"/>
          <w:sz w:val="24"/>
          <w:szCs w:val="24"/>
          <w:lang w:val="en-US" w:eastAsia="zh-CN"/>
        </w:rPr>
        <w:t>Raqeeb</w:t>
      </w:r>
      <w:proofErr w:type="spellEnd"/>
      <w:r w:rsidRPr="005605FF">
        <w:rPr>
          <w:rFonts w:ascii="Book Antiqua" w:eastAsia="SimSun" w:hAnsi="Book Antiqua" w:cs="Times New Roman"/>
          <w:kern w:val="2"/>
          <w:sz w:val="24"/>
          <w:szCs w:val="24"/>
          <w:lang w:val="en-US" w:eastAsia="zh-CN"/>
        </w:rPr>
        <w:t xml:space="preserve"> A, Della Corte A, Cinelli M, </w:t>
      </w:r>
      <w:proofErr w:type="spellStart"/>
      <w:r w:rsidRPr="005605FF">
        <w:rPr>
          <w:rFonts w:ascii="Book Antiqua" w:eastAsia="SimSun" w:hAnsi="Book Antiqua" w:cs="Times New Roman"/>
          <w:kern w:val="2"/>
          <w:sz w:val="24"/>
          <w:szCs w:val="24"/>
          <w:lang w:val="en-US" w:eastAsia="zh-CN"/>
        </w:rPr>
        <w:t>Montagnani</w:t>
      </w:r>
      <w:proofErr w:type="spellEnd"/>
      <w:r w:rsidRPr="005605FF">
        <w:rPr>
          <w:rFonts w:ascii="Book Antiqua" w:eastAsia="SimSun" w:hAnsi="Book Antiqua" w:cs="Times New Roman"/>
          <w:kern w:val="2"/>
          <w:sz w:val="24"/>
          <w:szCs w:val="24"/>
          <w:lang w:val="en-US" w:eastAsia="zh-CN"/>
        </w:rPr>
        <w:t xml:space="preserve"> S, Guerra G, Moccia F, </w:t>
      </w:r>
      <w:proofErr w:type="spellStart"/>
      <w:r w:rsidRPr="005605FF">
        <w:rPr>
          <w:rFonts w:ascii="Book Antiqua" w:eastAsia="SimSun" w:hAnsi="Book Antiqua" w:cs="Times New Roman"/>
          <w:kern w:val="2"/>
          <w:sz w:val="24"/>
          <w:szCs w:val="24"/>
          <w:lang w:val="en-US" w:eastAsia="zh-CN"/>
        </w:rPr>
        <w:t>Tanzi</w:t>
      </w:r>
      <w:proofErr w:type="spellEnd"/>
      <w:r w:rsidRPr="005605FF">
        <w:rPr>
          <w:rFonts w:ascii="Book Antiqua" w:eastAsia="SimSun" w:hAnsi="Book Antiqua" w:cs="Times New Roman"/>
          <w:kern w:val="2"/>
          <w:sz w:val="24"/>
          <w:szCs w:val="24"/>
          <w:lang w:val="en-US" w:eastAsia="zh-CN"/>
        </w:rPr>
        <w:t xml:space="preserve"> F. Ca²</w:t>
      </w:r>
      <w:r w:rsidRPr="005605FF">
        <w:rPr>
          <w:rFonts w:ascii="Cambria Math" w:eastAsia="SimSun" w:hAnsi="Cambria Math" w:cs="Cambria Math"/>
          <w:kern w:val="2"/>
          <w:sz w:val="24"/>
          <w:szCs w:val="24"/>
          <w:lang w:val="en-US" w:eastAsia="zh-CN"/>
        </w:rPr>
        <w:t>⁺</w:t>
      </w:r>
      <w:r w:rsidRPr="005605FF">
        <w:rPr>
          <w:rFonts w:ascii="Book Antiqua" w:eastAsia="SimSun" w:hAnsi="Book Antiqua" w:cs="Times New Roman"/>
          <w:kern w:val="2"/>
          <w:sz w:val="24"/>
          <w:szCs w:val="24"/>
          <w:lang w:val="en-US" w:eastAsia="zh-CN"/>
        </w:rPr>
        <w:t xml:space="preserve">-dependent nitric oxide release in the injured endothelium of excised rat aorta: a promising mechanism applying in vascular prosthetic devices in aging patients. </w:t>
      </w:r>
      <w:r w:rsidRPr="005605FF">
        <w:rPr>
          <w:rFonts w:ascii="Book Antiqua" w:eastAsia="SimSun" w:hAnsi="Book Antiqua" w:cs="Times New Roman"/>
          <w:i/>
          <w:kern w:val="2"/>
          <w:sz w:val="24"/>
          <w:szCs w:val="24"/>
          <w:lang w:val="en-US" w:eastAsia="zh-CN"/>
        </w:rPr>
        <w:t>BMC Surg</w:t>
      </w:r>
      <w:r w:rsidRPr="005605FF">
        <w:rPr>
          <w:rFonts w:ascii="Book Antiqua" w:eastAsia="SimSun" w:hAnsi="Book Antiqua" w:cs="Times New Roman"/>
          <w:kern w:val="2"/>
          <w:sz w:val="24"/>
          <w:szCs w:val="24"/>
          <w:lang w:val="en-US" w:eastAsia="zh-CN"/>
        </w:rPr>
        <w:t xml:space="preserve"> 2013; </w:t>
      </w:r>
      <w:r w:rsidRPr="005605FF">
        <w:rPr>
          <w:rFonts w:ascii="Book Antiqua" w:eastAsia="SimSun" w:hAnsi="Book Antiqua" w:cs="Times New Roman"/>
          <w:b/>
          <w:kern w:val="2"/>
          <w:sz w:val="24"/>
          <w:szCs w:val="24"/>
          <w:lang w:val="en-US" w:eastAsia="zh-CN"/>
        </w:rPr>
        <w:t>13 Suppl 2</w:t>
      </w:r>
      <w:r w:rsidRPr="005605FF">
        <w:rPr>
          <w:rFonts w:ascii="Book Antiqua" w:eastAsia="SimSun" w:hAnsi="Book Antiqua" w:cs="Times New Roman"/>
          <w:kern w:val="2"/>
          <w:sz w:val="24"/>
          <w:szCs w:val="24"/>
          <w:lang w:val="en-US" w:eastAsia="zh-CN"/>
        </w:rPr>
        <w:t>: S40 [PMID: 24266895 DOI: 10.1186/1471-2482-13-S2-S40]</w:t>
      </w:r>
    </w:p>
    <w:p w14:paraId="7E84BAD5"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45 </w:t>
      </w:r>
      <w:proofErr w:type="spellStart"/>
      <w:r w:rsidRPr="005605FF">
        <w:rPr>
          <w:rFonts w:ascii="Book Antiqua" w:eastAsia="SimSun" w:hAnsi="Book Antiqua" w:cs="Times New Roman"/>
          <w:b/>
          <w:kern w:val="2"/>
          <w:sz w:val="24"/>
          <w:szCs w:val="24"/>
          <w:lang w:val="en-US" w:eastAsia="zh-CN"/>
        </w:rPr>
        <w:t>Belosic</w:t>
      </w:r>
      <w:proofErr w:type="spellEnd"/>
      <w:r w:rsidRPr="005605FF">
        <w:rPr>
          <w:rFonts w:ascii="Book Antiqua" w:eastAsia="SimSun" w:hAnsi="Book Antiqua" w:cs="Times New Roman"/>
          <w:b/>
          <w:kern w:val="2"/>
          <w:sz w:val="24"/>
          <w:szCs w:val="24"/>
          <w:lang w:val="en-US" w:eastAsia="zh-CN"/>
        </w:rPr>
        <w:t xml:space="preserve"> Halle Z</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Vlainic</w:t>
      </w:r>
      <w:proofErr w:type="spellEnd"/>
      <w:r w:rsidRPr="005605FF">
        <w:rPr>
          <w:rFonts w:ascii="Book Antiqua" w:eastAsia="SimSun" w:hAnsi="Book Antiqua" w:cs="Times New Roman"/>
          <w:kern w:val="2"/>
          <w:sz w:val="24"/>
          <w:szCs w:val="24"/>
          <w:lang w:val="en-US" w:eastAsia="zh-CN"/>
        </w:rPr>
        <w:t xml:space="preserve"> J, Drmic D, </w:t>
      </w:r>
      <w:proofErr w:type="spellStart"/>
      <w:r w:rsidRPr="005605FF">
        <w:rPr>
          <w:rFonts w:ascii="Book Antiqua" w:eastAsia="SimSun" w:hAnsi="Book Antiqua" w:cs="Times New Roman"/>
          <w:kern w:val="2"/>
          <w:sz w:val="24"/>
          <w:szCs w:val="24"/>
          <w:lang w:val="en-US" w:eastAsia="zh-CN"/>
        </w:rPr>
        <w:t>Strinic</w:t>
      </w:r>
      <w:proofErr w:type="spellEnd"/>
      <w:r w:rsidRPr="005605FF">
        <w:rPr>
          <w:rFonts w:ascii="Book Antiqua" w:eastAsia="SimSun" w:hAnsi="Book Antiqua" w:cs="Times New Roman"/>
          <w:kern w:val="2"/>
          <w:sz w:val="24"/>
          <w:szCs w:val="24"/>
          <w:lang w:val="en-US" w:eastAsia="zh-CN"/>
        </w:rPr>
        <w:t xml:space="preserve"> D, Luetic K, </w:t>
      </w:r>
      <w:proofErr w:type="spellStart"/>
      <w:r w:rsidRPr="005605FF">
        <w:rPr>
          <w:rFonts w:ascii="Book Antiqua" w:eastAsia="SimSun" w:hAnsi="Book Antiqua" w:cs="Times New Roman"/>
          <w:kern w:val="2"/>
          <w:sz w:val="24"/>
          <w:szCs w:val="24"/>
          <w:lang w:val="en-US" w:eastAsia="zh-CN"/>
        </w:rPr>
        <w:t>Sucic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Medvidovic-Grubisic</w:t>
      </w:r>
      <w:proofErr w:type="spellEnd"/>
      <w:r w:rsidRPr="005605FF">
        <w:rPr>
          <w:rFonts w:ascii="Book Antiqua" w:eastAsia="SimSun" w:hAnsi="Book Antiqua" w:cs="Times New Roman"/>
          <w:kern w:val="2"/>
          <w:sz w:val="24"/>
          <w:szCs w:val="24"/>
          <w:lang w:val="en-US" w:eastAsia="zh-CN"/>
        </w:rPr>
        <w:t xml:space="preserve"> M, Pavelic </w:t>
      </w:r>
      <w:proofErr w:type="spellStart"/>
      <w:r w:rsidRPr="005605FF">
        <w:rPr>
          <w:rFonts w:ascii="Book Antiqua" w:eastAsia="SimSun" w:hAnsi="Book Antiqua" w:cs="Times New Roman"/>
          <w:kern w:val="2"/>
          <w:sz w:val="24"/>
          <w:szCs w:val="24"/>
          <w:lang w:val="en-US" w:eastAsia="zh-CN"/>
        </w:rPr>
        <w:t>Turudic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Petrovic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Class side effects: decreased pressure in the lower </w:t>
      </w:r>
      <w:proofErr w:type="spellStart"/>
      <w:r w:rsidRPr="005605FF">
        <w:rPr>
          <w:rFonts w:ascii="Book Antiqua" w:eastAsia="SimSun" w:hAnsi="Book Antiqua" w:cs="Times New Roman"/>
          <w:kern w:val="2"/>
          <w:sz w:val="24"/>
          <w:szCs w:val="24"/>
          <w:lang w:val="en-US" w:eastAsia="zh-CN"/>
        </w:rPr>
        <w:t>oesophageal</w:t>
      </w:r>
      <w:proofErr w:type="spellEnd"/>
      <w:r w:rsidRPr="005605FF">
        <w:rPr>
          <w:rFonts w:ascii="Book Antiqua" w:eastAsia="SimSun" w:hAnsi="Book Antiqua" w:cs="Times New Roman"/>
          <w:kern w:val="2"/>
          <w:sz w:val="24"/>
          <w:szCs w:val="24"/>
          <w:lang w:val="en-US" w:eastAsia="zh-CN"/>
        </w:rPr>
        <w:t xml:space="preserve"> and the pyloric sphincters after the administration of dopamine antagonists, neuroleptics, anti-emetics, L-NAME,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and L-arginine. </w:t>
      </w:r>
      <w:proofErr w:type="spellStart"/>
      <w:r w:rsidRPr="005605FF">
        <w:rPr>
          <w:rFonts w:ascii="Book Antiqua" w:eastAsia="SimSun" w:hAnsi="Book Antiqua" w:cs="Times New Roman"/>
          <w:i/>
          <w:kern w:val="2"/>
          <w:sz w:val="24"/>
          <w:szCs w:val="24"/>
          <w:lang w:val="en-US" w:eastAsia="zh-CN"/>
        </w:rPr>
        <w:t>Inflammopharmacology</w:t>
      </w:r>
      <w:proofErr w:type="spellEnd"/>
      <w:r w:rsidRPr="005605FF">
        <w:rPr>
          <w:rFonts w:ascii="Book Antiqua" w:eastAsia="SimSun" w:hAnsi="Book Antiqua" w:cs="Times New Roman"/>
          <w:kern w:val="2"/>
          <w:sz w:val="24"/>
          <w:szCs w:val="24"/>
          <w:lang w:val="en-US" w:eastAsia="zh-CN"/>
        </w:rPr>
        <w:t xml:space="preserve"> 2017; </w:t>
      </w:r>
      <w:proofErr w:type="spellStart"/>
      <w:r w:rsidRPr="005605FF">
        <w:rPr>
          <w:rFonts w:ascii="Book Antiqua" w:eastAsia="SimSun" w:hAnsi="Book Antiqua" w:cs="Times New Roman"/>
          <w:kern w:val="2"/>
          <w:sz w:val="24"/>
          <w:szCs w:val="24"/>
          <w:lang w:val="en-US" w:eastAsia="zh-CN"/>
        </w:rPr>
        <w:t>Epub</w:t>
      </w:r>
      <w:proofErr w:type="spellEnd"/>
      <w:r w:rsidRPr="005605FF">
        <w:rPr>
          <w:rFonts w:ascii="Book Antiqua" w:eastAsia="SimSun" w:hAnsi="Book Antiqua" w:cs="Times New Roman"/>
          <w:kern w:val="2"/>
          <w:sz w:val="24"/>
          <w:szCs w:val="24"/>
          <w:lang w:val="en-US" w:eastAsia="zh-CN"/>
        </w:rPr>
        <w:t xml:space="preserve"> ahead of print [PMID: 28516373 DOI: 10.1007/s10787-017-0358-8]</w:t>
      </w:r>
    </w:p>
    <w:p w14:paraId="450068C0"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46 </w:t>
      </w:r>
      <w:proofErr w:type="spellStart"/>
      <w:r w:rsidRPr="005605FF">
        <w:rPr>
          <w:rFonts w:ascii="Book Antiqua" w:eastAsia="SimSun" w:hAnsi="Book Antiqua" w:cs="Times New Roman"/>
          <w:b/>
          <w:kern w:val="2"/>
          <w:sz w:val="24"/>
          <w:szCs w:val="24"/>
          <w:lang w:val="en-US" w:eastAsia="zh-CN"/>
        </w:rPr>
        <w:t>Ilic</w:t>
      </w:r>
      <w:proofErr w:type="spellEnd"/>
      <w:r w:rsidRPr="005605FF">
        <w:rPr>
          <w:rFonts w:ascii="Book Antiqua" w:eastAsia="SimSun" w:hAnsi="Book Antiqua" w:cs="Times New Roman"/>
          <w:b/>
          <w:kern w:val="2"/>
          <w:sz w:val="24"/>
          <w:szCs w:val="24"/>
          <w:lang w:val="en-US" w:eastAsia="zh-CN"/>
        </w:rPr>
        <w:t xml:space="preserve"> S</w:t>
      </w:r>
      <w:r w:rsidRPr="005605FF">
        <w:rPr>
          <w:rFonts w:ascii="Book Antiqua" w:eastAsia="SimSun" w:hAnsi="Book Antiqua" w:cs="Times New Roman"/>
          <w:kern w:val="2"/>
          <w:sz w:val="24"/>
          <w:szCs w:val="24"/>
          <w:lang w:val="en-US" w:eastAsia="zh-CN"/>
        </w:rPr>
        <w:t xml:space="preserve">, Drmic D, </w:t>
      </w:r>
      <w:proofErr w:type="spellStart"/>
      <w:r w:rsidRPr="005605FF">
        <w:rPr>
          <w:rFonts w:ascii="Book Antiqua" w:eastAsia="SimSun" w:hAnsi="Book Antiqua" w:cs="Times New Roman"/>
          <w:kern w:val="2"/>
          <w:sz w:val="24"/>
          <w:szCs w:val="24"/>
          <w:lang w:val="en-US" w:eastAsia="zh-CN"/>
        </w:rPr>
        <w:t>Zarkovic</w:t>
      </w:r>
      <w:proofErr w:type="spellEnd"/>
      <w:r w:rsidRPr="005605FF">
        <w:rPr>
          <w:rFonts w:ascii="Book Antiqua" w:eastAsia="SimSun" w:hAnsi="Book Antiqua" w:cs="Times New Roman"/>
          <w:kern w:val="2"/>
          <w:sz w:val="24"/>
          <w:szCs w:val="24"/>
          <w:lang w:val="en-US" w:eastAsia="zh-CN"/>
        </w:rPr>
        <w:t xml:space="preserve"> K,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Coric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Klicek</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B, Sever M, </w:t>
      </w:r>
      <w:proofErr w:type="spellStart"/>
      <w:r w:rsidRPr="005605FF">
        <w:rPr>
          <w:rFonts w:ascii="Book Antiqua" w:eastAsia="SimSun" w:hAnsi="Book Antiqua" w:cs="Times New Roman"/>
          <w:kern w:val="2"/>
          <w:sz w:val="24"/>
          <w:szCs w:val="24"/>
          <w:lang w:val="en-US" w:eastAsia="zh-CN"/>
        </w:rPr>
        <w:t>Djuzel</w:t>
      </w:r>
      <w:proofErr w:type="spellEnd"/>
      <w:r w:rsidRPr="005605FF">
        <w:rPr>
          <w:rFonts w:ascii="Book Antiqua" w:eastAsia="SimSun" w:hAnsi="Book Antiqua" w:cs="Times New Roman"/>
          <w:kern w:val="2"/>
          <w:sz w:val="24"/>
          <w:szCs w:val="24"/>
          <w:lang w:val="en-US" w:eastAsia="zh-CN"/>
        </w:rPr>
        <w:t xml:space="preserve"> V, Ivica M, </w:t>
      </w:r>
      <w:proofErr w:type="spellStart"/>
      <w:r w:rsidRPr="005605FF">
        <w:rPr>
          <w:rFonts w:ascii="Book Antiqua" w:eastAsia="SimSun" w:hAnsi="Book Antiqua" w:cs="Times New Roman"/>
          <w:kern w:val="2"/>
          <w:sz w:val="24"/>
          <w:szCs w:val="24"/>
          <w:lang w:val="en-US" w:eastAsia="zh-CN"/>
        </w:rPr>
        <w:t>Boban</w:t>
      </w:r>
      <w:proofErr w:type="spellEnd"/>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Blagaic</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Anic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Djidic</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Romic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High hepatotoxic dose of paracetamol produces generalized convulsions and brain damage in rats. A counteraction with the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(PL 14736).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2010; </w:t>
      </w:r>
      <w:r w:rsidRPr="005605FF">
        <w:rPr>
          <w:rFonts w:ascii="Book Antiqua" w:eastAsia="SimSun" w:hAnsi="Book Antiqua" w:cs="Times New Roman"/>
          <w:b/>
          <w:kern w:val="2"/>
          <w:sz w:val="24"/>
          <w:szCs w:val="24"/>
          <w:lang w:val="en-US" w:eastAsia="zh-CN"/>
        </w:rPr>
        <w:t>61</w:t>
      </w:r>
      <w:r w:rsidRPr="005605FF">
        <w:rPr>
          <w:rFonts w:ascii="Book Antiqua" w:eastAsia="SimSun" w:hAnsi="Book Antiqua" w:cs="Times New Roman"/>
          <w:kern w:val="2"/>
          <w:sz w:val="24"/>
          <w:szCs w:val="24"/>
          <w:lang w:val="en-US" w:eastAsia="zh-CN"/>
        </w:rPr>
        <w:t>: 241-250 [PMID: 20436226]</w:t>
      </w:r>
    </w:p>
    <w:p w14:paraId="3BBF72D4"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47 </w:t>
      </w:r>
      <w:r w:rsidRPr="005605FF">
        <w:rPr>
          <w:rFonts w:ascii="Book Antiqua" w:eastAsia="SimSun" w:hAnsi="Book Antiqua" w:cs="Times New Roman"/>
          <w:b/>
          <w:kern w:val="2"/>
          <w:sz w:val="24"/>
          <w:szCs w:val="24"/>
          <w:lang w:val="en-US" w:eastAsia="zh-CN"/>
        </w:rPr>
        <w:t>Luetic K</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Sucic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Vlainic</w:t>
      </w:r>
      <w:proofErr w:type="spellEnd"/>
      <w:r w:rsidRPr="005605FF">
        <w:rPr>
          <w:rFonts w:ascii="Book Antiqua" w:eastAsia="SimSun" w:hAnsi="Book Antiqua" w:cs="Times New Roman"/>
          <w:kern w:val="2"/>
          <w:sz w:val="24"/>
          <w:szCs w:val="24"/>
          <w:lang w:val="en-US" w:eastAsia="zh-CN"/>
        </w:rPr>
        <w:t xml:space="preserve"> J, Halle ZB, </w:t>
      </w:r>
      <w:proofErr w:type="spellStart"/>
      <w:r w:rsidRPr="005605FF">
        <w:rPr>
          <w:rFonts w:ascii="Book Antiqua" w:eastAsia="SimSun" w:hAnsi="Book Antiqua" w:cs="Times New Roman"/>
          <w:kern w:val="2"/>
          <w:sz w:val="24"/>
          <w:szCs w:val="24"/>
          <w:lang w:val="en-US" w:eastAsia="zh-CN"/>
        </w:rPr>
        <w:t>Strinic</w:t>
      </w:r>
      <w:proofErr w:type="spellEnd"/>
      <w:r w:rsidRPr="005605FF">
        <w:rPr>
          <w:rFonts w:ascii="Book Antiqua" w:eastAsia="SimSun" w:hAnsi="Book Antiqua" w:cs="Times New Roman"/>
          <w:kern w:val="2"/>
          <w:sz w:val="24"/>
          <w:szCs w:val="24"/>
          <w:lang w:val="en-US" w:eastAsia="zh-CN"/>
        </w:rPr>
        <w:t xml:space="preserve"> D, Vidovic T, Luetic F, </w:t>
      </w:r>
      <w:proofErr w:type="spellStart"/>
      <w:r w:rsidRPr="005605FF">
        <w:rPr>
          <w:rFonts w:ascii="Book Antiqua" w:eastAsia="SimSun" w:hAnsi="Book Antiqua" w:cs="Times New Roman"/>
          <w:kern w:val="2"/>
          <w:sz w:val="24"/>
          <w:szCs w:val="24"/>
          <w:lang w:val="en-US" w:eastAsia="zh-CN"/>
        </w:rPr>
        <w:t>Marusic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Gulic</w:t>
      </w:r>
      <w:proofErr w:type="spellEnd"/>
      <w:r w:rsidRPr="005605FF">
        <w:rPr>
          <w:rFonts w:ascii="Book Antiqua" w:eastAsia="SimSun" w:hAnsi="Book Antiqua" w:cs="Times New Roman"/>
          <w:kern w:val="2"/>
          <w:sz w:val="24"/>
          <w:szCs w:val="24"/>
          <w:lang w:val="en-US" w:eastAsia="zh-CN"/>
        </w:rPr>
        <w:t xml:space="preserve"> S, Pavelic TT, </w:t>
      </w:r>
      <w:proofErr w:type="spellStart"/>
      <w:r w:rsidRPr="005605FF">
        <w:rPr>
          <w:rFonts w:ascii="Book Antiqua" w:eastAsia="SimSun" w:hAnsi="Book Antiqua" w:cs="Times New Roman"/>
          <w:kern w:val="2"/>
          <w:sz w:val="24"/>
          <w:szCs w:val="24"/>
          <w:lang w:val="en-US" w:eastAsia="zh-CN"/>
        </w:rPr>
        <w:t>Kokot</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RS, Drmic D, </w:t>
      </w:r>
      <w:proofErr w:type="spellStart"/>
      <w:r w:rsidRPr="005605FF">
        <w:rPr>
          <w:rFonts w:ascii="Book Antiqua" w:eastAsia="SimSun" w:hAnsi="Book Antiqua" w:cs="Times New Roman"/>
          <w:kern w:val="2"/>
          <w:sz w:val="24"/>
          <w:szCs w:val="24"/>
          <w:lang w:val="en-US" w:eastAsia="zh-CN"/>
        </w:rPr>
        <w:t>Batelja</w:t>
      </w:r>
      <w:proofErr w:type="spellEnd"/>
      <w:r w:rsidRPr="005605FF">
        <w:rPr>
          <w:rFonts w:ascii="Book Antiqua" w:eastAsia="SimSun" w:hAnsi="Book Antiqua" w:cs="Times New Roman"/>
          <w:kern w:val="2"/>
          <w:sz w:val="24"/>
          <w:szCs w:val="24"/>
          <w:lang w:val="en-US" w:eastAsia="zh-CN"/>
        </w:rPr>
        <w:t xml:space="preserve"> L,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Cyclophosphamide induced stomach and duodenal lesions as a NO-system disturbance in rats: L-NAME, L-arginine, stable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w:t>
      </w:r>
      <w:proofErr w:type="spellStart"/>
      <w:r w:rsidRPr="005605FF">
        <w:rPr>
          <w:rFonts w:ascii="Book Antiqua" w:eastAsia="SimSun" w:hAnsi="Book Antiqua" w:cs="Times New Roman"/>
          <w:i/>
          <w:kern w:val="2"/>
          <w:sz w:val="24"/>
          <w:szCs w:val="24"/>
          <w:lang w:val="en-US" w:eastAsia="zh-CN"/>
        </w:rPr>
        <w:t>Inflammopharmacology</w:t>
      </w:r>
      <w:proofErr w:type="spellEnd"/>
      <w:r w:rsidRPr="005605FF">
        <w:rPr>
          <w:rFonts w:ascii="Book Antiqua" w:eastAsia="SimSun" w:hAnsi="Book Antiqua" w:cs="Times New Roman"/>
          <w:kern w:val="2"/>
          <w:sz w:val="24"/>
          <w:szCs w:val="24"/>
          <w:lang w:val="en-US" w:eastAsia="zh-CN"/>
        </w:rPr>
        <w:t xml:space="preserve"> 2017; </w:t>
      </w:r>
      <w:r w:rsidRPr="005605FF">
        <w:rPr>
          <w:rFonts w:ascii="Book Antiqua" w:eastAsia="SimSun" w:hAnsi="Book Antiqua" w:cs="Times New Roman"/>
          <w:b/>
          <w:kern w:val="2"/>
          <w:sz w:val="24"/>
          <w:szCs w:val="24"/>
          <w:lang w:val="en-US" w:eastAsia="zh-CN"/>
        </w:rPr>
        <w:t>25</w:t>
      </w:r>
      <w:r w:rsidRPr="005605FF">
        <w:rPr>
          <w:rFonts w:ascii="Book Antiqua" w:eastAsia="SimSun" w:hAnsi="Book Antiqua" w:cs="Times New Roman"/>
          <w:kern w:val="2"/>
          <w:sz w:val="24"/>
          <w:szCs w:val="24"/>
          <w:lang w:val="en-US" w:eastAsia="zh-CN"/>
        </w:rPr>
        <w:t>: 255-264 [PMID: 28255738 DOI: 10.1007/s10787-017-0330-7]</w:t>
      </w:r>
    </w:p>
    <w:p w14:paraId="3AA50A21"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48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Grabarevic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Petek</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Rotkvic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Turkovic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Jagic</w:t>
      </w:r>
      <w:proofErr w:type="spellEnd"/>
      <w:r w:rsidRPr="005605FF">
        <w:rPr>
          <w:rFonts w:ascii="Book Antiqua" w:eastAsia="SimSun" w:hAnsi="Book Antiqua" w:cs="Times New Roman"/>
          <w:kern w:val="2"/>
          <w:sz w:val="24"/>
          <w:szCs w:val="24"/>
          <w:lang w:val="en-US" w:eastAsia="zh-CN"/>
        </w:rPr>
        <w:t xml:space="preserve"> V, </w:t>
      </w:r>
      <w:proofErr w:type="spellStart"/>
      <w:r w:rsidRPr="005605FF">
        <w:rPr>
          <w:rFonts w:ascii="Book Antiqua" w:eastAsia="SimSun" w:hAnsi="Book Antiqua" w:cs="Times New Roman"/>
          <w:kern w:val="2"/>
          <w:sz w:val="24"/>
          <w:szCs w:val="24"/>
          <w:lang w:val="en-US" w:eastAsia="zh-CN"/>
        </w:rPr>
        <w:t>Mildner</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Duvnjak</w:t>
      </w:r>
      <w:proofErr w:type="spellEnd"/>
      <w:r w:rsidRPr="005605FF">
        <w:rPr>
          <w:rFonts w:ascii="Book Antiqua" w:eastAsia="SimSun" w:hAnsi="Book Antiqua" w:cs="Times New Roman"/>
          <w:kern w:val="2"/>
          <w:sz w:val="24"/>
          <w:szCs w:val="24"/>
          <w:lang w:val="en-US" w:eastAsia="zh-CN"/>
        </w:rPr>
        <w:t xml:space="preserve"> M. Hepatoprotective effect of BPC 157, a 15-amino acid peptide, on liver lesions induced by either restraint stress or bile duct and hepatic artery ligation or CCl4 administration. A comparative study with dopamine agonists and somatostatin. </w:t>
      </w:r>
      <w:r w:rsidRPr="005605FF">
        <w:rPr>
          <w:rFonts w:ascii="Book Antiqua" w:eastAsia="SimSun" w:hAnsi="Book Antiqua" w:cs="Times New Roman"/>
          <w:i/>
          <w:kern w:val="2"/>
          <w:sz w:val="24"/>
          <w:szCs w:val="24"/>
          <w:lang w:val="en-US" w:eastAsia="zh-CN"/>
        </w:rPr>
        <w:t>Life Sci</w:t>
      </w:r>
      <w:r w:rsidRPr="005605FF">
        <w:rPr>
          <w:rFonts w:ascii="Book Antiqua" w:eastAsia="SimSun" w:hAnsi="Book Antiqua" w:cs="Times New Roman"/>
          <w:kern w:val="2"/>
          <w:sz w:val="24"/>
          <w:szCs w:val="24"/>
          <w:lang w:val="en-US" w:eastAsia="zh-CN"/>
        </w:rPr>
        <w:t xml:space="preserve"> 1993; </w:t>
      </w:r>
      <w:r w:rsidRPr="005605FF">
        <w:rPr>
          <w:rFonts w:ascii="Book Antiqua" w:eastAsia="SimSun" w:hAnsi="Book Antiqua" w:cs="Times New Roman"/>
          <w:b/>
          <w:kern w:val="2"/>
          <w:sz w:val="24"/>
          <w:szCs w:val="24"/>
          <w:lang w:val="en-US" w:eastAsia="zh-CN"/>
        </w:rPr>
        <w:t>53</w:t>
      </w:r>
      <w:r w:rsidRPr="005605FF">
        <w:rPr>
          <w:rFonts w:ascii="Book Antiqua" w:eastAsia="SimSun" w:hAnsi="Book Antiqua" w:cs="Times New Roman"/>
          <w:kern w:val="2"/>
          <w:sz w:val="24"/>
          <w:szCs w:val="24"/>
          <w:lang w:val="en-US" w:eastAsia="zh-CN"/>
        </w:rPr>
        <w:t>: PL291-PL296 [PMID: 7901724]</w:t>
      </w:r>
    </w:p>
    <w:p w14:paraId="68826908"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49 </w:t>
      </w:r>
      <w:proofErr w:type="spellStart"/>
      <w:r w:rsidRPr="005605FF">
        <w:rPr>
          <w:rFonts w:ascii="Book Antiqua" w:eastAsia="SimSun" w:hAnsi="Book Antiqua" w:cs="Times New Roman"/>
          <w:b/>
          <w:kern w:val="2"/>
          <w:sz w:val="24"/>
          <w:szCs w:val="24"/>
          <w:lang w:val="en-US" w:eastAsia="zh-CN"/>
        </w:rPr>
        <w:t>Brcic</w:t>
      </w:r>
      <w:proofErr w:type="spellEnd"/>
      <w:r w:rsidRPr="005605FF">
        <w:rPr>
          <w:rFonts w:ascii="Book Antiqua" w:eastAsia="SimSun" w:hAnsi="Book Antiqua" w:cs="Times New Roman"/>
          <w:b/>
          <w:kern w:val="2"/>
          <w:sz w:val="24"/>
          <w:szCs w:val="24"/>
          <w:lang w:val="en-US" w:eastAsia="zh-CN"/>
        </w:rPr>
        <w:t xml:space="preserve"> L</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Brcic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Staresinic</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Novinscak</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Modulatory effect </w:t>
      </w:r>
      <w:r w:rsidRPr="005605FF">
        <w:rPr>
          <w:rFonts w:ascii="Book Antiqua" w:eastAsia="SimSun" w:hAnsi="Book Antiqua" w:cs="Times New Roman"/>
          <w:kern w:val="2"/>
          <w:sz w:val="24"/>
          <w:szCs w:val="24"/>
          <w:lang w:val="en-US" w:eastAsia="zh-CN"/>
        </w:rPr>
        <w:lastRenderedPageBreak/>
        <w:t xml:space="preserve">of gastric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on angiogenesis in muscle and tendon healing.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2009; </w:t>
      </w:r>
      <w:r w:rsidRPr="005605FF">
        <w:rPr>
          <w:rFonts w:ascii="Book Antiqua" w:eastAsia="SimSun" w:hAnsi="Book Antiqua" w:cs="Times New Roman"/>
          <w:b/>
          <w:kern w:val="2"/>
          <w:sz w:val="24"/>
          <w:szCs w:val="24"/>
          <w:lang w:val="en-US" w:eastAsia="zh-CN"/>
        </w:rPr>
        <w:t>60 Suppl 7</w:t>
      </w:r>
      <w:r w:rsidRPr="005605FF">
        <w:rPr>
          <w:rFonts w:ascii="Book Antiqua" w:eastAsia="SimSun" w:hAnsi="Book Antiqua" w:cs="Times New Roman"/>
          <w:kern w:val="2"/>
          <w:sz w:val="24"/>
          <w:szCs w:val="24"/>
          <w:lang w:val="en-US" w:eastAsia="zh-CN"/>
        </w:rPr>
        <w:t>: 191-196 [PMID: 20388964]</w:t>
      </w:r>
    </w:p>
    <w:p w14:paraId="6E0437F6"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50 </w:t>
      </w:r>
      <w:proofErr w:type="spellStart"/>
      <w:r w:rsidRPr="005605FF">
        <w:rPr>
          <w:rFonts w:ascii="Book Antiqua" w:eastAsia="SimSun" w:hAnsi="Book Antiqua" w:cs="Times New Roman"/>
          <w:b/>
          <w:kern w:val="2"/>
          <w:sz w:val="24"/>
          <w:szCs w:val="24"/>
          <w:lang w:val="en-US" w:eastAsia="zh-CN"/>
        </w:rPr>
        <w:t>Sikiric</w:t>
      </w:r>
      <w:proofErr w:type="spellEnd"/>
      <w:r w:rsidRPr="005605FF">
        <w:rPr>
          <w:rFonts w:ascii="Book Antiqua" w:eastAsia="SimSun" w:hAnsi="Book Antiqua" w:cs="Times New Roman"/>
          <w:b/>
          <w:kern w:val="2"/>
          <w:sz w:val="24"/>
          <w:szCs w:val="24"/>
          <w:lang w:val="en-US" w:eastAsia="zh-CN"/>
        </w:rPr>
        <w:t xml:space="preserve"> P</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Separovic</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Anic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Buljat</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Mikus</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Grabarevic</w:t>
      </w:r>
      <w:proofErr w:type="spellEnd"/>
      <w:r w:rsidRPr="005605FF">
        <w:rPr>
          <w:rFonts w:ascii="Book Antiqua" w:eastAsia="SimSun" w:hAnsi="Book Antiqua" w:cs="Times New Roman"/>
          <w:kern w:val="2"/>
          <w:sz w:val="24"/>
          <w:szCs w:val="24"/>
          <w:lang w:val="en-US" w:eastAsia="zh-CN"/>
        </w:rPr>
        <w:t xml:space="preserve"> Z, </w:t>
      </w:r>
      <w:proofErr w:type="spellStart"/>
      <w:r w:rsidRPr="005605FF">
        <w:rPr>
          <w:rFonts w:ascii="Book Antiqua" w:eastAsia="SimSun" w:hAnsi="Book Antiqua" w:cs="Times New Roman"/>
          <w:kern w:val="2"/>
          <w:sz w:val="24"/>
          <w:szCs w:val="24"/>
          <w:lang w:val="en-US" w:eastAsia="zh-CN"/>
        </w:rPr>
        <w:t>Stancic-Rokotov</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Pigac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Hanzevacki</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Marovic</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Rucman</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Petek</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Zoricic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Ziger</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Aralica</w:t>
      </w:r>
      <w:proofErr w:type="spellEnd"/>
      <w:r w:rsidRPr="005605FF">
        <w:rPr>
          <w:rFonts w:ascii="Book Antiqua" w:eastAsia="SimSun" w:hAnsi="Book Antiqua" w:cs="Times New Roman"/>
          <w:kern w:val="2"/>
          <w:sz w:val="24"/>
          <w:szCs w:val="24"/>
          <w:lang w:val="en-US" w:eastAsia="zh-CN"/>
        </w:rPr>
        <w:t xml:space="preserve"> G, </w:t>
      </w:r>
      <w:proofErr w:type="spellStart"/>
      <w:r w:rsidRPr="005605FF">
        <w:rPr>
          <w:rFonts w:ascii="Book Antiqua" w:eastAsia="SimSun" w:hAnsi="Book Antiqua" w:cs="Times New Roman"/>
          <w:kern w:val="2"/>
          <w:sz w:val="24"/>
          <w:szCs w:val="24"/>
          <w:lang w:val="en-US" w:eastAsia="zh-CN"/>
        </w:rPr>
        <w:t>Konjevoda</w:t>
      </w:r>
      <w:proofErr w:type="spellEnd"/>
      <w:r w:rsidRPr="005605FF">
        <w:rPr>
          <w:rFonts w:ascii="Book Antiqua" w:eastAsia="SimSun" w:hAnsi="Book Antiqua" w:cs="Times New Roman"/>
          <w:kern w:val="2"/>
          <w:sz w:val="24"/>
          <w:szCs w:val="24"/>
          <w:lang w:val="en-US" w:eastAsia="zh-CN"/>
        </w:rPr>
        <w:t xml:space="preserve"> P, </w:t>
      </w:r>
      <w:proofErr w:type="spellStart"/>
      <w:r w:rsidRPr="005605FF">
        <w:rPr>
          <w:rFonts w:ascii="Book Antiqua" w:eastAsia="SimSun" w:hAnsi="Book Antiqua" w:cs="Times New Roman"/>
          <w:kern w:val="2"/>
          <w:sz w:val="24"/>
          <w:szCs w:val="24"/>
          <w:lang w:val="en-US" w:eastAsia="zh-CN"/>
        </w:rPr>
        <w:t>Prkacin</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Gjurasin</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Miklic</w:t>
      </w:r>
      <w:proofErr w:type="spellEnd"/>
      <w:r w:rsidRPr="005605FF">
        <w:rPr>
          <w:rFonts w:ascii="Book Antiqua" w:eastAsia="SimSun" w:hAnsi="Book Antiqua" w:cs="Times New Roman"/>
          <w:kern w:val="2"/>
          <w:sz w:val="24"/>
          <w:szCs w:val="24"/>
          <w:lang w:val="en-US" w:eastAsia="zh-CN"/>
        </w:rPr>
        <w:t xml:space="preserve"> P, </w:t>
      </w:r>
      <w:proofErr w:type="spellStart"/>
      <w:r w:rsidRPr="005605FF">
        <w:rPr>
          <w:rFonts w:ascii="Book Antiqua" w:eastAsia="SimSun" w:hAnsi="Book Antiqua" w:cs="Times New Roman"/>
          <w:kern w:val="2"/>
          <w:sz w:val="24"/>
          <w:szCs w:val="24"/>
          <w:lang w:val="en-US" w:eastAsia="zh-CN"/>
        </w:rPr>
        <w:t>Artukovic</w:t>
      </w:r>
      <w:proofErr w:type="spellEnd"/>
      <w:r w:rsidRPr="005605FF">
        <w:rPr>
          <w:rFonts w:ascii="Book Antiqua" w:eastAsia="SimSun" w:hAnsi="Book Antiqua" w:cs="Times New Roman"/>
          <w:kern w:val="2"/>
          <w:sz w:val="24"/>
          <w:szCs w:val="24"/>
          <w:lang w:val="en-US" w:eastAsia="zh-CN"/>
        </w:rPr>
        <w:t xml:space="preserve"> B, </w:t>
      </w:r>
      <w:proofErr w:type="spellStart"/>
      <w:r w:rsidRPr="005605FF">
        <w:rPr>
          <w:rFonts w:ascii="Book Antiqua" w:eastAsia="SimSun" w:hAnsi="Book Antiqua" w:cs="Times New Roman"/>
          <w:kern w:val="2"/>
          <w:sz w:val="24"/>
          <w:szCs w:val="24"/>
          <w:lang w:val="en-US" w:eastAsia="zh-CN"/>
        </w:rPr>
        <w:t>Tisljar</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Bratulic</w:t>
      </w:r>
      <w:proofErr w:type="spellEnd"/>
      <w:r w:rsidRPr="005605FF">
        <w:rPr>
          <w:rFonts w:ascii="Book Antiqua" w:eastAsia="SimSun" w:hAnsi="Book Antiqua" w:cs="Times New Roman"/>
          <w:kern w:val="2"/>
          <w:sz w:val="24"/>
          <w:szCs w:val="24"/>
          <w:lang w:val="en-US" w:eastAsia="zh-CN"/>
        </w:rPr>
        <w:t xml:space="preserve"> M, Mise S, </w:t>
      </w:r>
      <w:proofErr w:type="spellStart"/>
      <w:r w:rsidRPr="005605FF">
        <w:rPr>
          <w:rFonts w:ascii="Book Antiqua" w:eastAsia="SimSun" w:hAnsi="Book Antiqua" w:cs="Times New Roman"/>
          <w:kern w:val="2"/>
          <w:sz w:val="24"/>
          <w:szCs w:val="24"/>
          <w:lang w:val="en-US" w:eastAsia="zh-CN"/>
        </w:rPr>
        <w:t>Rotkvic</w:t>
      </w:r>
      <w:proofErr w:type="spellEnd"/>
      <w:r w:rsidRPr="005605FF">
        <w:rPr>
          <w:rFonts w:ascii="Book Antiqua" w:eastAsia="SimSun" w:hAnsi="Book Antiqua" w:cs="Times New Roman"/>
          <w:kern w:val="2"/>
          <w:sz w:val="24"/>
          <w:szCs w:val="24"/>
          <w:lang w:val="en-US" w:eastAsia="zh-CN"/>
        </w:rPr>
        <w:t xml:space="preserve"> I. The effect of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H2-blockers, omeprazole and sucralfate on new vessels and new granulation tissue formation. </w:t>
      </w:r>
      <w:r w:rsidRPr="005605FF">
        <w:rPr>
          <w:rFonts w:ascii="Book Antiqua" w:eastAsia="SimSun" w:hAnsi="Book Antiqua" w:cs="Times New Roman"/>
          <w:i/>
          <w:kern w:val="2"/>
          <w:sz w:val="24"/>
          <w:szCs w:val="24"/>
          <w:lang w:val="en-US" w:eastAsia="zh-CN"/>
        </w:rPr>
        <w:t xml:space="preserve">J </w:t>
      </w:r>
      <w:proofErr w:type="spellStart"/>
      <w:r w:rsidRPr="005605FF">
        <w:rPr>
          <w:rFonts w:ascii="Book Antiqua" w:eastAsia="SimSun" w:hAnsi="Book Antiqua" w:cs="Times New Roman"/>
          <w:i/>
          <w:kern w:val="2"/>
          <w:sz w:val="24"/>
          <w:szCs w:val="24"/>
          <w:lang w:val="en-US" w:eastAsia="zh-CN"/>
        </w:rPr>
        <w:t>Physiol</w:t>
      </w:r>
      <w:proofErr w:type="spellEnd"/>
      <w:r w:rsidRPr="005605FF">
        <w:rPr>
          <w:rFonts w:ascii="Book Antiqua" w:eastAsia="SimSun" w:hAnsi="Book Antiqua" w:cs="Times New Roman"/>
          <w:i/>
          <w:kern w:val="2"/>
          <w:sz w:val="24"/>
          <w:szCs w:val="24"/>
          <w:lang w:val="en-US" w:eastAsia="zh-CN"/>
        </w:rPr>
        <w:t xml:space="preserve"> Paris</w:t>
      </w:r>
      <w:r w:rsidRPr="005605FF">
        <w:rPr>
          <w:rFonts w:ascii="Book Antiqua" w:eastAsia="SimSun" w:hAnsi="Book Antiqua" w:cs="Times New Roman"/>
          <w:kern w:val="2"/>
          <w:sz w:val="24"/>
          <w:szCs w:val="24"/>
          <w:lang w:val="en-US" w:eastAsia="zh-CN"/>
        </w:rPr>
        <w:t xml:space="preserve"> 1999; </w:t>
      </w:r>
      <w:r w:rsidRPr="005605FF">
        <w:rPr>
          <w:rFonts w:ascii="Book Antiqua" w:eastAsia="SimSun" w:hAnsi="Book Antiqua" w:cs="Times New Roman"/>
          <w:b/>
          <w:kern w:val="2"/>
          <w:sz w:val="24"/>
          <w:szCs w:val="24"/>
          <w:lang w:val="en-US" w:eastAsia="zh-CN"/>
        </w:rPr>
        <w:t>93</w:t>
      </w:r>
      <w:r w:rsidRPr="005605FF">
        <w:rPr>
          <w:rFonts w:ascii="Book Antiqua" w:eastAsia="SimSun" w:hAnsi="Book Antiqua" w:cs="Times New Roman"/>
          <w:kern w:val="2"/>
          <w:sz w:val="24"/>
          <w:szCs w:val="24"/>
          <w:lang w:val="en-US" w:eastAsia="zh-CN"/>
        </w:rPr>
        <w:t>: 479-485 [PMID: 10672992]</w:t>
      </w:r>
    </w:p>
    <w:p w14:paraId="32E3D353"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51 </w:t>
      </w:r>
      <w:proofErr w:type="spellStart"/>
      <w:r w:rsidRPr="005605FF">
        <w:rPr>
          <w:rFonts w:ascii="Book Antiqua" w:eastAsia="SimSun" w:hAnsi="Book Antiqua" w:cs="Times New Roman"/>
          <w:b/>
          <w:kern w:val="2"/>
          <w:sz w:val="24"/>
          <w:szCs w:val="24"/>
          <w:lang w:val="en-US" w:eastAsia="zh-CN"/>
        </w:rPr>
        <w:t>Medvidovic-Grubisic</w:t>
      </w:r>
      <w:proofErr w:type="spellEnd"/>
      <w:r w:rsidRPr="005605FF">
        <w:rPr>
          <w:rFonts w:ascii="Book Antiqua" w:eastAsia="SimSun" w:hAnsi="Book Antiqua" w:cs="Times New Roman"/>
          <w:b/>
          <w:kern w:val="2"/>
          <w:sz w:val="24"/>
          <w:szCs w:val="24"/>
          <w:lang w:val="en-US" w:eastAsia="zh-CN"/>
        </w:rPr>
        <w:t xml:space="preserve"> M</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Stambolija</w:t>
      </w:r>
      <w:proofErr w:type="spellEnd"/>
      <w:r w:rsidRPr="005605FF">
        <w:rPr>
          <w:rFonts w:ascii="Book Antiqua" w:eastAsia="SimSun" w:hAnsi="Book Antiqua" w:cs="Times New Roman"/>
          <w:kern w:val="2"/>
          <w:sz w:val="24"/>
          <w:szCs w:val="24"/>
          <w:lang w:val="en-US" w:eastAsia="zh-CN"/>
        </w:rPr>
        <w:t xml:space="preserve"> V, </w:t>
      </w:r>
      <w:proofErr w:type="spellStart"/>
      <w:r w:rsidRPr="005605FF">
        <w:rPr>
          <w:rFonts w:ascii="Book Antiqua" w:eastAsia="SimSun" w:hAnsi="Book Antiqua" w:cs="Times New Roman"/>
          <w:kern w:val="2"/>
          <w:sz w:val="24"/>
          <w:szCs w:val="24"/>
          <w:lang w:val="en-US" w:eastAsia="zh-CN"/>
        </w:rPr>
        <w:t>Kolenc</w:t>
      </w:r>
      <w:proofErr w:type="spellEnd"/>
      <w:r w:rsidRPr="005605FF">
        <w:rPr>
          <w:rFonts w:ascii="Book Antiqua" w:eastAsia="SimSun" w:hAnsi="Book Antiqua" w:cs="Times New Roman"/>
          <w:kern w:val="2"/>
          <w:sz w:val="24"/>
          <w:szCs w:val="24"/>
          <w:lang w:val="en-US" w:eastAsia="zh-CN"/>
        </w:rPr>
        <w:t xml:space="preserve"> D, </w:t>
      </w:r>
      <w:proofErr w:type="spellStart"/>
      <w:r w:rsidRPr="005605FF">
        <w:rPr>
          <w:rFonts w:ascii="Book Antiqua" w:eastAsia="SimSun" w:hAnsi="Book Antiqua" w:cs="Times New Roman"/>
          <w:kern w:val="2"/>
          <w:sz w:val="24"/>
          <w:szCs w:val="24"/>
          <w:lang w:val="en-US" w:eastAsia="zh-CN"/>
        </w:rPr>
        <w:t>Katancic</w:t>
      </w:r>
      <w:proofErr w:type="spellEnd"/>
      <w:r w:rsidRPr="005605FF">
        <w:rPr>
          <w:rFonts w:ascii="Book Antiqua" w:eastAsia="SimSun" w:hAnsi="Book Antiqua" w:cs="Times New Roman"/>
          <w:kern w:val="2"/>
          <w:sz w:val="24"/>
          <w:szCs w:val="24"/>
          <w:lang w:val="en-US" w:eastAsia="zh-CN"/>
        </w:rPr>
        <w:t xml:space="preserve"> J, </w:t>
      </w:r>
      <w:proofErr w:type="spellStart"/>
      <w:r w:rsidRPr="005605FF">
        <w:rPr>
          <w:rFonts w:ascii="Book Antiqua" w:eastAsia="SimSun" w:hAnsi="Book Antiqua" w:cs="Times New Roman"/>
          <w:kern w:val="2"/>
          <w:sz w:val="24"/>
          <w:szCs w:val="24"/>
          <w:lang w:val="en-US" w:eastAsia="zh-CN"/>
        </w:rPr>
        <w:t>Murselovic</w:t>
      </w:r>
      <w:proofErr w:type="spellEnd"/>
      <w:r w:rsidRPr="005605FF">
        <w:rPr>
          <w:rFonts w:ascii="Book Antiqua" w:eastAsia="SimSun" w:hAnsi="Book Antiqua" w:cs="Times New Roman"/>
          <w:kern w:val="2"/>
          <w:sz w:val="24"/>
          <w:szCs w:val="24"/>
          <w:lang w:val="en-US" w:eastAsia="zh-CN"/>
        </w:rPr>
        <w:t xml:space="preserve"> T, </w:t>
      </w:r>
      <w:proofErr w:type="spellStart"/>
      <w:r w:rsidRPr="005605FF">
        <w:rPr>
          <w:rFonts w:ascii="Book Antiqua" w:eastAsia="SimSun" w:hAnsi="Book Antiqua" w:cs="Times New Roman"/>
          <w:kern w:val="2"/>
          <w:sz w:val="24"/>
          <w:szCs w:val="24"/>
          <w:lang w:val="en-US" w:eastAsia="zh-CN"/>
        </w:rPr>
        <w:t>Plestina-Borjan</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Strbe</w:t>
      </w:r>
      <w:proofErr w:type="spellEnd"/>
      <w:r w:rsidRPr="005605FF">
        <w:rPr>
          <w:rFonts w:ascii="Book Antiqua" w:eastAsia="SimSun" w:hAnsi="Book Antiqua" w:cs="Times New Roman"/>
          <w:kern w:val="2"/>
          <w:sz w:val="24"/>
          <w:szCs w:val="24"/>
          <w:lang w:val="en-US" w:eastAsia="zh-CN"/>
        </w:rPr>
        <w:t xml:space="preserve"> S, Drmic D, </w:t>
      </w:r>
      <w:proofErr w:type="spellStart"/>
      <w:r w:rsidRPr="005605FF">
        <w:rPr>
          <w:rFonts w:ascii="Book Antiqua" w:eastAsia="SimSun" w:hAnsi="Book Antiqua" w:cs="Times New Roman"/>
          <w:kern w:val="2"/>
          <w:sz w:val="24"/>
          <w:szCs w:val="24"/>
          <w:lang w:val="en-US" w:eastAsia="zh-CN"/>
        </w:rPr>
        <w:t>Barisic</w:t>
      </w:r>
      <w:proofErr w:type="spellEnd"/>
      <w:r w:rsidRPr="005605FF">
        <w:rPr>
          <w:rFonts w:ascii="Book Antiqua" w:eastAsia="SimSun" w:hAnsi="Book Antiqua" w:cs="Times New Roman"/>
          <w:kern w:val="2"/>
          <w:sz w:val="24"/>
          <w:szCs w:val="24"/>
          <w:lang w:val="en-US" w:eastAsia="zh-CN"/>
        </w:rPr>
        <w:t xml:space="preserve"> I, </w:t>
      </w:r>
      <w:proofErr w:type="spellStart"/>
      <w:r w:rsidRPr="005605FF">
        <w:rPr>
          <w:rFonts w:ascii="Book Antiqua" w:eastAsia="SimSun" w:hAnsi="Book Antiqua" w:cs="Times New Roman"/>
          <w:kern w:val="2"/>
          <w:sz w:val="24"/>
          <w:szCs w:val="24"/>
          <w:lang w:val="en-US" w:eastAsia="zh-CN"/>
        </w:rPr>
        <w:t>Sindic</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Hypermagnesemia disturbances in rats, NO-related: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abrogates, L-NAME and L-arginine worsen. </w:t>
      </w:r>
      <w:proofErr w:type="spellStart"/>
      <w:r w:rsidRPr="005605FF">
        <w:rPr>
          <w:rFonts w:ascii="Book Antiqua" w:eastAsia="SimSun" w:hAnsi="Book Antiqua" w:cs="Times New Roman"/>
          <w:i/>
          <w:kern w:val="2"/>
          <w:sz w:val="24"/>
          <w:szCs w:val="24"/>
          <w:lang w:val="en-US" w:eastAsia="zh-CN"/>
        </w:rPr>
        <w:t>Inflammopharmacology</w:t>
      </w:r>
      <w:proofErr w:type="spellEnd"/>
      <w:r w:rsidRPr="005605FF">
        <w:rPr>
          <w:rFonts w:ascii="Book Antiqua" w:eastAsia="SimSun" w:hAnsi="Book Antiqua" w:cs="Times New Roman"/>
          <w:kern w:val="2"/>
          <w:sz w:val="24"/>
          <w:szCs w:val="24"/>
          <w:lang w:val="en-US" w:eastAsia="zh-CN"/>
        </w:rPr>
        <w:t xml:space="preserve"> 2017; </w:t>
      </w:r>
      <w:r w:rsidRPr="005605FF">
        <w:rPr>
          <w:rFonts w:ascii="Book Antiqua" w:eastAsia="SimSun" w:hAnsi="Book Antiqua" w:cs="Times New Roman"/>
          <w:b/>
          <w:kern w:val="2"/>
          <w:sz w:val="24"/>
          <w:szCs w:val="24"/>
          <w:lang w:val="en-US" w:eastAsia="zh-CN"/>
        </w:rPr>
        <w:t>25</w:t>
      </w:r>
      <w:r w:rsidRPr="005605FF">
        <w:rPr>
          <w:rFonts w:ascii="Book Antiqua" w:eastAsia="SimSun" w:hAnsi="Book Antiqua" w:cs="Times New Roman"/>
          <w:kern w:val="2"/>
          <w:sz w:val="24"/>
          <w:szCs w:val="24"/>
          <w:lang w:val="en-US" w:eastAsia="zh-CN"/>
        </w:rPr>
        <w:t>: 439-449 [PMID: 28210905 DOI: 10.1007/s10787-017-0323-6]</w:t>
      </w:r>
    </w:p>
    <w:p w14:paraId="692EF3D6" w14:textId="77777777" w:rsidR="005605FF" w:rsidRPr="005605FF" w:rsidRDefault="005605FF" w:rsidP="005605FF">
      <w:pPr>
        <w:widowControl w:val="0"/>
        <w:snapToGrid w:val="0"/>
        <w:spacing w:after="0" w:line="360" w:lineRule="auto"/>
        <w:jc w:val="both"/>
        <w:rPr>
          <w:rFonts w:ascii="Book Antiqua" w:eastAsia="SimSun" w:hAnsi="Book Antiqua" w:cs="Times New Roman"/>
          <w:kern w:val="2"/>
          <w:sz w:val="24"/>
          <w:szCs w:val="24"/>
          <w:lang w:val="en-US" w:eastAsia="zh-CN"/>
        </w:rPr>
      </w:pPr>
      <w:r w:rsidRPr="005605FF">
        <w:rPr>
          <w:rFonts w:ascii="Book Antiqua" w:eastAsia="SimSun" w:hAnsi="Book Antiqua" w:cs="Times New Roman"/>
          <w:kern w:val="2"/>
          <w:sz w:val="24"/>
          <w:szCs w:val="24"/>
          <w:lang w:val="en-US" w:eastAsia="zh-CN"/>
        </w:rPr>
        <w:t xml:space="preserve">52 </w:t>
      </w:r>
      <w:proofErr w:type="spellStart"/>
      <w:r w:rsidRPr="005605FF">
        <w:rPr>
          <w:rFonts w:ascii="Book Antiqua" w:eastAsia="SimSun" w:hAnsi="Book Antiqua" w:cs="Times New Roman"/>
          <w:b/>
          <w:kern w:val="2"/>
          <w:sz w:val="24"/>
          <w:szCs w:val="24"/>
          <w:lang w:val="en-US" w:eastAsia="zh-CN"/>
        </w:rPr>
        <w:t>Kokot</w:t>
      </w:r>
      <w:proofErr w:type="spellEnd"/>
      <w:r w:rsidRPr="005605FF">
        <w:rPr>
          <w:rFonts w:ascii="Book Antiqua" w:eastAsia="SimSun" w:hAnsi="Book Antiqua" w:cs="Times New Roman"/>
          <w:b/>
          <w:kern w:val="2"/>
          <w:sz w:val="24"/>
          <w:szCs w:val="24"/>
          <w:lang w:val="en-US" w:eastAsia="zh-CN"/>
        </w:rPr>
        <w:t xml:space="preserve"> A</w:t>
      </w:r>
      <w:r w:rsidRPr="005605FF">
        <w:rPr>
          <w:rFonts w:ascii="Book Antiqua" w:eastAsia="SimSun" w:hAnsi="Book Antiqua" w:cs="Times New Roman"/>
          <w:kern w:val="2"/>
          <w:sz w:val="24"/>
          <w:szCs w:val="24"/>
          <w:lang w:val="en-US" w:eastAsia="zh-CN"/>
        </w:rPr>
        <w:t xml:space="preserve">, </w:t>
      </w:r>
      <w:proofErr w:type="spellStart"/>
      <w:r w:rsidRPr="005605FF">
        <w:rPr>
          <w:rFonts w:ascii="Book Antiqua" w:eastAsia="SimSun" w:hAnsi="Book Antiqua" w:cs="Times New Roman"/>
          <w:kern w:val="2"/>
          <w:sz w:val="24"/>
          <w:szCs w:val="24"/>
          <w:lang w:val="en-US" w:eastAsia="zh-CN"/>
        </w:rPr>
        <w:t>Zlatar</w:t>
      </w:r>
      <w:proofErr w:type="spellEnd"/>
      <w:r w:rsidRPr="005605FF">
        <w:rPr>
          <w:rFonts w:ascii="Book Antiqua" w:eastAsia="SimSun" w:hAnsi="Book Antiqua" w:cs="Times New Roman"/>
          <w:kern w:val="2"/>
          <w:sz w:val="24"/>
          <w:szCs w:val="24"/>
          <w:lang w:val="en-US" w:eastAsia="zh-CN"/>
        </w:rPr>
        <w:t xml:space="preserve"> M, </w:t>
      </w:r>
      <w:proofErr w:type="spellStart"/>
      <w:r w:rsidRPr="005605FF">
        <w:rPr>
          <w:rFonts w:ascii="Book Antiqua" w:eastAsia="SimSun" w:hAnsi="Book Antiqua" w:cs="Times New Roman"/>
          <w:kern w:val="2"/>
          <w:sz w:val="24"/>
          <w:szCs w:val="24"/>
          <w:lang w:val="en-US" w:eastAsia="zh-CN"/>
        </w:rPr>
        <w:t>Stupnisek</w:t>
      </w:r>
      <w:proofErr w:type="spellEnd"/>
      <w:r w:rsidRPr="005605FF">
        <w:rPr>
          <w:rFonts w:ascii="Book Antiqua" w:eastAsia="SimSun" w:hAnsi="Book Antiqua" w:cs="Times New Roman"/>
          <w:kern w:val="2"/>
          <w:sz w:val="24"/>
          <w:szCs w:val="24"/>
          <w:lang w:val="en-US" w:eastAsia="zh-CN"/>
        </w:rPr>
        <w:t xml:space="preserve"> M, Drmic D, </w:t>
      </w:r>
      <w:proofErr w:type="spellStart"/>
      <w:r w:rsidRPr="005605FF">
        <w:rPr>
          <w:rFonts w:ascii="Book Antiqua" w:eastAsia="SimSun" w:hAnsi="Book Antiqua" w:cs="Times New Roman"/>
          <w:kern w:val="2"/>
          <w:sz w:val="24"/>
          <w:szCs w:val="24"/>
          <w:lang w:val="en-US" w:eastAsia="zh-CN"/>
        </w:rPr>
        <w:t>Radic</w:t>
      </w:r>
      <w:proofErr w:type="spellEnd"/>
      <w:r w:rsidRPr="005605FF">
        <w:rPr>
          <w:rFonts w:ascii="Book Antiqua" w:eastAsia="SimSun" w:hAnsi="Book Antiqua" w:cs="Times New Roman"/>
          <w:kern w:val="2"/>
          <w:sz w:val="24"/>
          <w:szCs w:val="24"/>
          <w:lang w:val="en-US" w:eastAsia="zh-CN"/>
        </w:rPr>
        <w:t xml:space="preserve"> R, </w:t>
      </w:r>
      <w:proofErr w:type="spellStart"/>
      <w:r w:rsidRPr="005605FF">
        <w:rPr>
          <w:rFonts w:ascii="Book Antiqua" w:eastAsia="SimSun" w:hAnsi="Book Antiqua" w:cs="Times New Roman"/>
          <w:kern w:val="2"/>
          <w:sz w:val="24"/>
          <w:szCs w:val="24"/>
          <w:lang w:val="en-US" w:eastAsia="zh-CN"/>
        </w:rPr>
        <w:t>Vcev</w:t>
      </w:r>
      <w:proofErr w:type="spellEnd"/>
      <w:r w:rsidRPr="005605FF">
        <w:rPr>
          <w:rFonts w:ascii="Book Antiqua" w:eastAsia="SimSun" w:hAnsi="Book Antiqua" w:cs="Times New Roman"/>
          <w:kern w:val="2"/>
          <w:sz w:val="24"/>
          <w:szCs w:val="24"/>
          <w:lang w:val="en-US" w:eastAsia="zh-CN"/>
        </w:rPr>
        <w:t xml:space="preserve"> A, </w:t>
      </w:r>
      <w:proofErr w:type="spellStart"/>
      <w:r w:rsidRPr="005605FF">
        <w:rPr>
          <w:rFonts w:ascii="Book Antiqua" w:eastAsia="SimSun" w:hAnsi="Book Antiqua" w:cs="Times New Roman"/>
          <w:kern w:val="2"/>
          <w:sz w:val="24"/>
          <w:szCs w:val="24"/>
          <w:lang w:val="en-US" w:eastAsia="zh-CN"/>
        </w:rPr>
        <w:t>Seiwerth</w:t>
      </w:r>
      <w:proofErr w:type="spellEnd"/>
      <w:r w:rsidRPr="005605FF">
        <w:rPr>
          <w:rFonts w:ascii="Book Antiqua" w:eastAsia="SimSun" w:hAnsi="Book Antiqua" w:cs="Times New Roman"/>
          <w:kern w:val="2"/>
          <w:sz w:val="24"/>
          <w:szCs w:val="24"/>
          <w:lang w:val="en-US" w:eastAsia="zh-CN"/>
        </w:rPr>
        <w:t xml:space="preserve"> S, </w:t>
      </w:r>
      <w:proofErr w:type="spellStart"/>
      <w:r w:rsidRPr="005605FF">
        <w:rPr>
          <w:rFonts w:ascii="Book Antiqua" w:eastAsia="SimSun" w:hAnsi="Book Antiqua" w:cs="Times New Roman"/>
          <w:kern w:val="2"/>
          <w:sz w:val="24"/>
          <w:szCs w:val="24"/>
          <w:lang w:val="en-US" w:eastAsia="zh-CN"/>
        </w:rPr>
        <w:t>Sikiric</w:t>
      </w:r>
      <w:proofErr w:type="spellEnd"/>
      <w:r w:rsidRPr="005605FF">
        <w:rPr>
          <w:rFonts w:ascii="Book Antiqua" w:eastAsia="SimSun" w:hAnsi="Book Antiqua" w:cs="Times New Roman"/>
          <w:kern w:val="2"/>
          <w:sz w:val="24"/>
          <w:szCs w:val="24"/>
          <w:lang w:val="en-US" w:eastAsia="zh-CN"/>
        </w:rPr>
        <w:t xml:space="preserve"> P. NO system dependence of atropine-induced mydriasis and L-NAME- and L-arginine-induced miosis: Reversal by the </w:t>
      </w:r>
      <w:proofErr w:type="spellStart"/>
      <w:r w:rsidRPr="005605FF">
        <w:rPr>
          <w:rFonts w:ascii="Book Antiqua" w:eastAsia="SimSun" w:hAnsi="Book Antiqua" w:cs="Times New Roman"/>
          <w:kern w:val="2"/>
          <w:sz w:val="24"/>
          <w:szCs w:val="24"/>
          <w:lang w:val="en-US" w:eastAsia="zh-CN"/>
        </w:rPr>
        <w:t>pentadecapeptide</w:t>
      </w:r>
      <w:proofErr w:type="spellEnd"/>
      <w:r w:rsidRPr="005605FF">
        <w:rPr>
          <w:rFonts w:ascii="Book Antiqua" w:eastAsia="SimSun" w:hAnsi="Book Antiqua" w:cs="Times New Roman"/>
          <w:kern w:val="2"/>
          <w:sz w:val="24"/>
          <w:szCs w:val="24"/>
          <w:lang w:val="en-US" w:eastAsia="zh-CN"/>
        </w:rPr>
        <w:t xml:space="preserve"> BPC 157 in rats and guinea pigs. </w:t>
      </w:r>
      <w:r w:rsidRPr="005605FF">
        <w:rPr>
          <w:rFonts w:ascii="Book Antiqua" w:eastAsia="SimSun" w:hAnsi="Book Antiqua" w:cs="Times New Roman"/>
          <w:i/>
          <w:kern w:val="2"/>
          <w:sz w:val="24"/>
          <w:szCs w:val="24"/>
          <w:lang w:val="en-US" w:eastAsia="zh-CN"/>
        </w:rPr>
        <w:t xml:space="preserve">Eur J </w:t>
      </w:r>
      <w:proofErr w:type="spellStart"/>
      <w:r w:rsidRPr="005605FF">
        <w:rPr>
          <w:rFonts w:ascii="Book Antiqua" w:eastAsia="SimSun" w:hAnsi="Book Antiqua" w:cs="Times New Roman"/>
          <w:i/>
          <w:kern w:val="2"/>
          <w:sz w:val="24"/>
          <w:szCs w:val="24"/>
          <w:lang w:val="en-US" w:eastAsia="zh-CN"/>
        </w:rPr>
        <w:t>Pharmacol</w:t>
      </w:r>
      <w:proofErr w:type="spellEnd"/>
      <w:r w:rsidRPr="005605FF">
        <w:rPr>
          <w:rFonts w:ascii="Book Antiqua" w:eastAsia="SimSun" w:hAnsi="Book Antiqua" w:cs="Times New Roman"/>
          <w:kern w:val="2"/>
          <w:sz w:val="24"/>
          <w:szCs w:val="24"/>
          <w:lang w:val="en-US" w:eastAsia="zh-CN"/>
        </w:rPr>
        <w:t xml:space="preserve"> 2016; </w:t>
      </w:r>
      <w:r w:rsidRPr="005605FF">
        <w:rPr>
          <w:rFonts w:ascii="Book Antiqua" w:eastAsia="SimSun" w:hAnsi="Book Antiqua" w:cs="Times New Roman"/>
          <w:b/>
          <w:kern w:val="2"/>
          <w:sz w:val="24"/>
          <w:szCs w:val="24"/>
          <w:lang w:val="en-US" w:eastAsia="zh-CN"/>
        </w:rPr>
        <w:t>771</w:t>
      </w:r>
      <w:r w:rsidRPr="005605FF">
        <w:rPr>
          <w:rFonts w:ascii="Book Antiqua" w:eastAsia="SimSun" w:hAnsi="Book Antiqua" w:cs="Times New Roman"/>
          <w:kern w:val="2"/>
          <w:sz w:val="24"/>
          <w:szCs w:val="24"/>
          <w:lang w:val="en-US" w:eastAsia="zh-CN"/>
        </w:rPr>
        <w:t>: 211-219 [PMID: 26698393 DOI: 10.1016/j.ejphar.2015.12.016]</w:t>
      </w:r>
    </w:p>
    <w:p w14:paraId="494D4D08" w14:textId="77777777" w:rsidR="005605FF" w:rsidRPr="005605FF" w:rsidRDefault="005605FF" w:rsidP="005605FF">
      <w:pPr>
        <w:wordWrap w:val="0"/>
        <w:snapToGrid w:val="0"/>
        <w:spacing w:after="0" w:line="360" w:lineRule="auto"/>
        <w:jc w:val="right"/>
        <w:rPr>
          <w:rFonts w:ascii="Book Antiqua" w:eastAsia="SimSun" w:hAnsi="Book Antiqua" w:cs="Times New Roman"/>
          <w:sz w:val="24"/>
          <w:szCs w:val="24"/>
          <w:lang w:val="en-US" w:eastAsia="zh-CN"/>
        </w:rPr>
      </w:pPr>
      <w:bookmarkStart w:id="19" w:name="OLE_LINK51"/>
      <w:bookmarkStart w:id="20" w:name="OLE_LINK52"/>
      <w:bookmarkStart w:id="21" w:name="OLE_LINK120"/>
      <w:bookmarkStart w:id="22" w:name="OLE_LINK148"/>
      <w:bookmarkStart w:id="23" w:name="OLE_LINK72"/>
      <w:bookmarkStart w:id="24" w:name="OLE_LINK112"/>
      <w:bookmarkStart w:id="25" w:name="OLE_LINK320"/>
      <w:bookmarkStart w:id="26" w:name="OLE_LINK387"/>
      <w:bookmarkStart w:id="27" w:name="OLE_LINK183"/>
      <w:bookmarkStart w:id="28" w:name="OLE_LINK254"/>
      <w:bookmarkStart w:id="29" w:name="OLE_LINK149"/>
      <w:bookmarkStart w:id="30" w:name="OLE_LINK225"/>
      <w:bookmarkStart w:id="31" w:name="OLE_LINK207"/>
      <w:bookmarkStart w:id="32" w:name="OLE_LINK226"/>
      <w:bookmarkStart w:id="33" w:name="OLE_LINK212"/>
      <w:bookmarkStart w:id="34" w:name="OLE_LINK250"/>
      <w:bookmarkStart w:id="35" w:name="OLE_LINK281"/>
      <w:bookmarkStart w:id="36" w:name="OLE_LINK282"/>
      <w:bookmarkStart w:id="37" w:name="OLE_LINK313"/>
      <w:bookmarkStart w:id="38" w:name="OLE_LINK304"/>
      <w:bookmarkStart w:id="39" w:name="OLE_LINK321"/>
      <w:bookmarkStart w:id="40" w:name="OLE_LINK385"/>
      <w:bookmarkStart w:id="41" w:name="OLE_LINK400"/>
      <w:bookmarkStart w:id="42" w:name="OLE_LINK346"/>
      <w:bookmarkStart w:id="43" w:name="OLE_LINK371"/>
      <w:bookmarkStart w:id="44" w:name="OLE_LINK334"/>
      <w:bookmarkStart w:id="45" w:name="OLE_LINK1830"/>
      <w:bookmarkStart w:id="46" w:name="OLE_LINK457"/>
      <w:bookmarkStart w:id="47" w:name="OLE_LINK288"/>
      <w:bookmarkStart w:id="48" w:name="OLE_LINK384"/>
      <w:bookmarkStart w:id="49" w:name="OLE_LINK379"/>
      <w:bookmarkStart w:id="50" w:name="OLE_LINK303"/>
      <w:bookmarkStart w:id="51" w:name="OLE_LINK450"/>
      <w:bookmarkStart w:id="52" w:name="OLE_LINK489"/>
      <w:bookmarkStart w:id="53" w:name="OLE_LINK535"/>
      <w:bookmarkStart w:id="54" w:name="OLE_LINK648"/>
      <w:bookmarkStart w:id="55" w:name="OLE_LINK686"/>
      <w:bookmarkStart w:id="56" w:name="OLE_LINK471"/>
      <w:bookmarkStart w:id="57" w:name="OLE_LINK462"/>
      <w:bookmarkStart w:id="58" w:name="OLE_LINK519"/>
      <w:bookmarkStart w:id="59" w:name="OLE_LINK575"/>
      <w:bookmarkStart w:id="60" w:name="OLE_LINK491"/>
      <w:bookmarkStart w:id="61" w:name="OLE_LINK532"/>
      <w:bookmarkStart w:id="62" w:name="OLE_LINK572"/>
      <w:bookmarkStart w:id="63" w:name="OLE_LINK574"/>
      <w:bookmarkStart w:id="64" w:name="OLE_LINK480"/>
      <w:bookmarkStart w:id="65" w:name="OLE_LINK567"/>
      <w:bookmarkStart w:id="66" w:name="OLE_LINK2700"/>
      <w:bookmarkStart w:id="67" w:name="OLE_LINK581"/>
      <w:bookmarkStart w:id="68" w:name="OLE_LINK639"/>
      <w:bookmarkStart w:id="69" w:name="OLE_LINK688"/>
      <w:bookmarkStart w:id="70" w:name="OLE_LINK722"/>
      <w:bookmarkStart w:id="71" w:name="OLE_LINK542"/>
      <w:bookmarkStart w:id="72" w:name="OLE_LINK589"/>
      <w:bookmarkStart w:id="73" w:name="OLE_LINK582"/>
      <w:bookmarkStart w:id="74" w:name="OLE_LINK640"/>
      <w:bookmarkStart w:id="75" w:name="OLE_LINK714"/>
      <w:bookmarkStart w:id="76" w:name="OLE_LINK593"/>
      <w:bookmarkStart w:id="77" w:name="OLE_LINK716"/>
      <w:bookmarkStart w:id="78" w:name="OLE_LINK770"/>
      <w:bookmarkStart w:id="79" w:name="OLE_LINK801"/>
      <w:bookmarkStart w:id="80" w:name="OLE_LINK660"/>
      <w:bookmarkStart w:id="81" w:name="OLE_LINK781"/>
      <w:bookmarkStart w:id="82" w:name="OLE_LINK833"/>
      <w:bookmarkStart w:id="83" w:name="OLE_LINK642"/>
      <w:bookmarkStart w:id="84" w:name="OLE_LINK700"/>
      <w:bookmarkStart w:id="85" w:name="OLE_LINK792"/>
      <w:bookmarkStart w:id="86" w:name="OLE_LINK2882"/>
      <w:bookmarkStart w:id="87" w:name="OLE_LINK836"/>
      <w:bookmarkStart w:id="88" w:name="OLE_LINK889"/>
      <w:bookmarkStart w:id="89" w:name="OLE_LINK782"/>
      <w:bookmarkStart w:id="90" w:name="OLE_LINK826"/>
      <w:bookmarkStart w:id="91" w:name="OLE_LINK865"/>
      <w:bookmarkStart w:id="92" w:name="OLE_LINK856"/>
      <w:bookmarkStart w:id="93" w:name="OLE_LINK908"/>
      <w:bookmarkStart w:id="94" w:name="OLE_LINK980"/>
      <w:bookmarkStart w:id="95" w:name="OLE_LINK1018"/>
      <w:bookmarkStart w:id="96" w:name="OLE_LINK1049"/>
      <w:bookmarkStart w:id="97" w:name="OLE_LINK1076"/>
      <w:bookmarkStart w:id="98" w:name="OLE_LINK1106"/>
      <w:bookmarkStart w:id="99" w:name="OLE_LINK891"/>
      <w:bookmarkStart w:id="100" w:name="OLE_LINK943"/>
      <w:bookmarkStart w:id="101" w:name="OLE_LINK981"/>
      <w:bookmarkStart w:id="102" w:name="OLE_LINK1030"/>
      <w:bookmarkStart w:id="103" w:name="OLE_LINK847"/>
      <w:bookmarkStart w:id="104" w:name="OLE_LINK909"/>
      <w:bookmarkStart w:id="105" w:name="OLE_LINK906"/>
      <w:bookmarkStart w:id="106" w:name="OLE_LINK992"/>
      <w:bookmarkStart w:id="107" w:name="OLE_LINK993"/>
      <w:bookmarkStart w:id="108" w:name="OLE_LINK1052"/>
      <w:bookmarkStart w:id="109" w:name="OLE_LINK946"/>
      <w:bookmarkStart w:id="110" w:name="OLE_LINK911"/>
      <w:bookmarkStart w:id="111" w:name="OLE_LINK930"/>
      <w:bookmarkStart w:id="112" w:name="OLE_LINK1059"/>
      <w:bookmarkStart w:id="113" w:name="OLE_LINK1174"/>
      <w:bookmarkStart w:id="114" w:name="OLE_LINK1137"/>
      <w:bookmarkStart w:id="115" w:name="OLE_LINK1167"/>
      <w:bookmarkStart w:id="116" w:name="OLE_LINK1200"/>
      <w:bookmarkStart w:id="117" w:name="OLE_LINK1241"/>
      <w:bookmarkStart w:id="118" w:name="OLE_LINK1288"/>
      <w:bookmarkStart w:id="119" w:name="OLE_LINK1056"/>
      <w:bookmarkStart w:id="120" w:name="OLE_LINK1158"/>
      <w:bookmarkStart w:id="121" w:name="OLE_LINK1175"/>
      <w:bookmarkStart w:id="122" w:name="OLE_LINK1074"/>
      <w:bookmarkStart w:id="123" w:name="OLE_LINK1169"/>
      <w:bookmarkStart w:id="124" w:name="OLE_LINK1053"/>
      <w:bookmarkStart w:id="125" w:name="OLE_LINK1054"/>
      <w:r w:rsidRPr="005605FF">
        <w:rPr>
          <w:rFonts w:ascii="Book Antiqua" w:eastAsia="SimSun" w:hAnsi="Book Antiqua" w:cs="Times New Roman"/>
          <w:b/>
          <w:bCs/>
          <w:sz w:val="24"/>
          <w:szCs w:val="24"/>
          <w:lang w:val="en-US" w:eastAsia="zh-CN"/>
        </w:rPr>
        <w:t xml:space="preserve">P-Reviewer: </w:t>
      </w:r>
      <w:r w:rsidRPr="005605FF">
        <w:rPr>
          <w:rFonts w:ascii="Book Antiqua" w:eastAsia="SimSun" w:hAnsi="Book Antiqua" w:cs="Times New Roman"/>
          <w:bCs/>
          <w:sz w:val="24"/>
          <w:szCs w:val="24"/>
          <w:lang w:val="en-US" w:eastAsia="zh-CN"/>
        </w:rPr>
        <w:t>Николаевич</w:t>
      </w:r>
      <w:r w:rsidRPr="005605FF">
        <w:rPr>
          <w:rFonts w:ascii="Book Antiqua" w:eastAsia="SimSun" w:hAnsi="Book Antiqua" w:cs="Times New Roman" w:hint="eastAsia"/>
          <w:b/>
          <w:bCs/>
          <w:sz w:val="24"/>
          <w:szCs w:val="24"/>
          <w:lang w:val="en-US" w:eastAsia="zh-CN"/>
        </w:rPr>
        <w:t xml:space="preserve"> </w:t>
      </w:r>
      <w:r w:rsidRPr="005605FF">
        <w:rPr>
          <w:rFonts w:ascii="Book Antiqua" w:eastAsia="SimSun" w:hAnsi="Book Antiqua" w:cs="Times New Roman" w:hint="eastAsia"/>
          <w:bCs/>
          <w:sz w:val="24"/>
          <w:szCs w:val="24"/>
          <w:lang w:val="en-US" w:eastAsia="zh-CN"/>
        </w:rPr>
        <w:t xml:space="preserve">YN, </w:t>
      </w:r>
      <w:r w:rsidRPr="005605FF">
        <w:rPr>
          <w:rFonts w:ascii="Book Antiqua" w:eastAsia="SimSun" w:hAnsi="Book Antiqua" w:cs="Times New Roman"/>
          <w:bCs/>
          <w:sz w:val="24"/>
          <w:szCs w:val="24"/>
          <w:lang w:val="en-US" w:eastAsia="zh-CN"/>
        </w:rPr>
        <w:t>Ricci</w:t>
      </w:r>
      <w:r w:rsidRPr="005605FF">
        <w:rPr>
          <w:rFonts w:ascii="Book Antiqua" w:eastAsia="SimSun" w:hAnsi="Book Antiqua" w:cs="Times New Roman" w:hint="eastAsia"/>
          <w:bCs/>
          <w:sz w:val="24"/>
          <w:szCs w:val="24"/>
          <w:lang w:val="en-US" w:eastAsia="zh-CN"/>
        </w:rPr>
        <w:t xml:space="preserve"> G</w:t>
      </w:r>
      <w:r w:rsidRPr="005605FF">
        <w:rPr>
          <w:rFonts w:ascii="Book Antiqua" w:eastAsia="SimSun" w:hAnsi="Book Antiqua" w:cs="Times New Roman" w:hint="eastAsia"/>
          <w:b/>
          <w:bCs/>
          <w:sz w:val="24"/>
          <w:szCs w:val="24"/>
          <w:lang w:val="en-US" w:eastAsia="zh-CN"/>
        </w:rPr>
        <w:t xml:space="preserve"> </w:t>
      </w:r>
      <w:r w:rsidRPr="005605FF">
        <w:rPr>
          <w:rFonts w:ascii="Book Antiqua" w:eastAsia="SimSun" w:hAnsi="Book Antiqua" w:cs="Times New Roman"/>
          <w:b/>
          <w:bCs/>
          <w:sz w:val="24"/>
          <w:szCs w:val="24"/>
          <w:lang w:val="en-US" w:eastAsia="zh-CN"/>
        </w:rPr>
        <w:t>S-Editor:</w:t>
      </w:r>
      <w:r w:rsidRPr="005605FF">
        <w:rPr>
          <w:rFonts w:ascii="Book Antiqua" w:eastAsia="SimSun" w:hAnsi="Book Antiqua" w:cs="Times New Roman"/>
          <w:sz w:val="24"/>
          <w:szCs w:val="24"/>
          <w:lang w:val="en-US" w:eastAsia="zh-CN"/>
        </w:rPr>
        <w:t xml:space="preserve"> Gong ZM</w:t>
      </w:r>
    </w:p>
    <w:p w14:paraId="35910226" w14:textId="77777777" w:rsidR="005605FF" w:rsidRPr="005605FF" w:rsidRDefault="005605FF" w:rsidP="005605FF">
      <w:pPr>
        <w:snapToGrid w:val="0"/>
        <w:spacing w:after="0" w:line="360" w:lineRule="auto"/>
        <w:jc w:val="right"/>
        <w:rPr>
          <w:rFonts w:ascii="Book Antiqua" w:eastAsia="SimSun" w:hAnsi="Book Antiqua" w:cs="Times New Roman"/>
          <w:b/>
          <w:bCs/>
          <w:sz w:val="24"/>
          <w:szCs w:val="24"/>
          <w:lang w:val="en-US" w:eastAsia="zh-CN"/>
        </w:rPr>
      </w:pPr>
      <w:r w:rsidRPr="005605FF">
        <w:rPr>
          <w:rFonts w:ascii="Book Antiqua" w:eastAsia="SimSun" w:hAnsi="Book Antiqua" w:cs="Times New Roman"/>
          <w:b/>
          <w:bCs/>
          <w:sz w:val="24"/>
          <w:szCs w:val="24"/>
          <w:lang w:val="en-US" w:eastAsia="zh-CN"/>
        </w:rPr>
        <w:t>L-Editor:</w:t>
      </w:r>
      <w:r w:rsidRPr="005605FF">
        <w:rPr>
          <w:rFonts w:ascii="Book Antiqua" w:eastAsia="SimSun" w:hAnsi="Book Antiqua" w:cs="Times New Roman"/>
          <w:sz w:val="24"/>
          <w:szCs w:val="24"/>
          <w:lang w:val="en-US" w:eastAsia="zh-CN"/>
        </w:rPr>
        <w:t xml:space="preserve"> </w:t>
      </w:r>
      <w:r w:rsidRPr="005605FF">
        <w:rPr>
          <w:rFonts w:ascii="Book Antiqua" w:eastAsia="SimSun" w:hAnsi="Book Antiqua" w:cs="Times New Roman"/>
          <w:b/>
          <w:bCs/>
          <w:sz w:val="24"/>
          <w:szCs w:val="24"/>
          <w:lang w:val="en-US" w:eastAsia="zh-CN"/>
        </w:rPr>
        <w:t>E-Editor:</w:t>
      </w:r>
    </w:p>
    <w:p w14:paraId="170C4845" w14:textId="77777777" w:rsidR="005605FF" w:rsidRPr="005605FF" w:rsidRDefault="005605FF" w:rsidP="005605FF">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26" w:name="OLE_LINK880"/>
      <w:bookmarkStart w:id="127" w:name="OLE_LINK881"/>
      <w:bookmarkStart w:id="128" w:name="OLE_LINK497"/>
      <w:bookmarkStart w:id="129" w:name="OLE_LINK81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5605FF">
        <w:rPr>
          <w:rFonts w:ascii="Book Antiqua" w:eastAsia="SimSun" w:hAnsi="Book Antiqua" w:cs="Helvetica"/>
          <w:b/>
          <w:sz w:val="24"/>
          <w:szCs w:val="24"/>
          <w:lang w:val="en-US" w:eastAsia="zh-CN"/>
        </w:rPr>
        <w:t xml:space="preserve">Specialty type: </w:t>
      </w:r>
      <w:r w:rsidRPr="005605FF">
        <w:rPr>
          <w:rFonts w:ascii="Book Antiqua" w:eastAsia="SimSun" w:hAnsi="Book Antiqua" w:cs="Helvetica"/>
          <w:sz w:val="24"/>
          <w:szCs w:val="24"/>
          <w:lang w:val="en-US" w:eastAsia="zh-CN"/>
        </w:rPr>
        <w:t>Gastroenterology and hepatology</w:t>
      </w:r>
    </w:p>
    <w:p w14:paraId="4D3D3816" w14:textId="77777777" w:rsidR="005605FF" w:rsidRPr="005605FF" w:rsidRDefault="005605FF" w:rsidP="005605FF">
      <w:pPr>
        <w:shd w:val="clear" w:color="auto" w:fill="FFFFFF"/>
        <w:snapToGrid w:val="0"/>
        <w:spacing w:after="0" w:line="360" w:lineRule="auto"/>
        <w:jc w:val="both"/>
        <w:rPr>
          <w:rFonts w:ascii="Book Antiqua" w:eastAsia="SimSun" w:hAnsi="Book Antiqua" w:cs="Helvetica"/>
          <w:b/>
          <w:sz w:val="24"/>
          <w:szCs w:val="24"/>
          <w:lang w:val="en-US" w:eastAsia="zh-CN"/>
        </w:rPr>
      </w:pPr>
      <w:r w:rsidRPr="005605FF">
        <w:rPr>
          <w:rFonts w:ascii="Book Antiqua" w:eastAsia="SimSun" w:hAnsi="Book Antiqua" w:cs="Helvetica"/>
          <w:b/>
          <w:sz w:val="24"/>
          <w:szCs w:val="24"/>
          <w:lang w:val="en-US" w:eastAsia="zh-CN"/>
        </w:rPr>
        <w:t xml:space="preserve">Country of origin: </w:t>
      </w:r>
      <w:r w:rsidRPr="005605FF">
        <w:rPr>
          <w:rFonts w:ascii="Book Antiqua" w:eastAsia="SimSun" w:hAnsi="Book Antiqua" w:cs="Helvetica"/>
          <w:sz w:val="24"/>
          <w:szCs w:val="24"/>
          <w:lang w:val="en-US" w:eastAsia="zh-CN"/>
        </w:rPr>
        <w:t>Croatia</w:t>
      </w:r>
    </w:p>
    <w:p w14:paraId="409D8699" w14:textId="77777777" w:rsidR="005605FF" w:rsidRPr="005605FF" w:rsidRDefault="005605FF" w:rsidP="005605FF">
      <w:pPr>
        <w:shd w:val="clear" w:color="auto" w:fill="FFFFFF"/>
        <w:snapToGrid w:val="0"/>
        <w:spacing w:after="0" w:line="360" w:lineRule="auto"/>
        <w:jc w:val="both"/>
        <w:rPr>
          <w:rFonts w:ascii="Book Antiqua" w:eastAsia="SimSun" w:hAnsi="Book Antiqua" w:cs="Helvetica"/>
          <w:b/>
          <w:sz w:val="24"/>
          <w:szCs w:val="24"/>
          <w:lang w:val="en-US" w:eastAsia="zh-CN"/>
        </w:rPr>
      </w:pPr>
      <w:r w:rsidRPr="005605FF">
        <w:rPr>
          <w:rFonts w:ascii="Book Antiqua" w:eastAsia="SimSun" w:hAnsi="Book Antiqua" w:cs="Helvetica"/>
          <w:b/>
          <w:sz w:val="24"/>
          <w:szCs w:val="24"/>
          <w:lang w:val="en-US" w:eastAsia="zh-CN"/>
        </w:rPr>
        <w:t>Peer-review report classification</w:t>
      </w:r>
    </w:p>
    <w:p w14:paraId="764176EB" w14:textId="77777777" w:rsidR="005605FF" w:rsidRPr="005605FF" w:rsidRDefault="005605FF" w:rsidP="005605FF">
      <w:pPr>
        <w:shd w:val="clear" w:color="auto" w:fill="FFFFFF"/>
        <w:snapToGrid w:val="0"/>
        <w:spacing w:after="0" w:line="360" w:lineRule="auto"/>
        <w:jc w:val="both"/>
        <w:rPr>
          <w:rFonts w:ascii="Book Antiqua" w:eastAsia="SimSun" w:hAnsi="Book Antiqua" w:cs="Helvetica"/>
          <w:sz w:val="24"/>
          <w:szCs w:val="24"/>
          <w:lang w:val="en-US" w:eastAsia="zh-CN"/>
        </w:rPr>
      </w:pPr>
      <w:r w:rsidRPr="005605FF">
        <w:rPr>
          <w:rFonts w:ascii="Book Antiqua" w:eastAsia="SimSun" w:hAnsi="Book Antiqua" w:cs="Helvetica"/>
          <w:sz w:val="24"/>
          <w:szCs w:val="24"/>
          <w:lang w:val="en-US" w:eastAsia="zh-CN"/>
        </w:rPr>
        <w:t>Grade A (Excellent): 0</w:t>
      </w:r>
    </w:p>
    <w:p w14:paraId="487BFF52" w14:textId="77777777" w:rsidR="005605FF" w:rsidRPr="005605FF" w:rsidRDefault="005605FF" w:rsidP="005605FF">
      <w:pPr>
        <w:shd w:val="clear" w:color="auto" w:fill="FFFFFF"/>
        <w:snapToGrid w:val="0"/>
        <w:spacing w:after="0" w:line="360" w:lineRule="auto"/>
        <w:jc w:val="both"/>
        <w:rPr>
          <w:rFonts w:ascii="Book Antiqua" w:eastAsia="SimSun" w:hAnsi="Book Antiqua" w:cs="Helvetica"/>
          <w:sz w:val="24"/>
          <w:szCs w:val="24"/>
          <w:lang w:val="en-US" w:eastAsia="zh-CN"/>
        </w:rPr>
      </w:pPr>
      <w:r w:rsidRPr="005605FF">
        <w:rPr>
          <w:rFonts w:ascii="Book Antiqua" w:eastAsia="SimSun" w:hAnsi="Book Antiqua" w:cs="Helvetica"/>
          <w:sz w:val="24"/>
          <w:szCs w:val="24"/>
          <w:lang w:val="en-US" w:eastAsia="zh-CN"/>
        </w:rPr>
        <w:t xml:space="preserve">Grade B (Very good): </w:t>
      </w:r>
      <w:r w:rsidRPr="005605FF">
        <w:rPr>
          <w:rFonts w:ascii="Book Antiqua" w:eastAsia="SimSun" w:hAnsi="Book Antiqua" w:cs="Helvetica" w:hint="eastAsia"/>
          <w:sz w:val="24"/>
          <w:szCs w:val="24"/>
          <w:lang w:val="en-US" w:eastAsia="zh-CN"/>
        </w:rPr>
        <w:t>B</w:t>
      </w:r>
    </w:p>
    <w:p w14:paraId="57FEC07C" w14:textId="77777777" w:rsidR="005605FF" w:rsidRPr="005605FF" w:rsidRDefault="005605FF" w:rsidP="005605FF">
      <w:pPr>
        <w:shd w:val="clear" w:color="auto" w:fill="FFFFFF"/>
        <w:snapToGrid w:val="0"/>
        <w:spacing w:after="0" w:line="360" w:lineRule="auto"/>
        <w:jc w:val="both"/>
        <w:rPr>
          <w:rFonts w:ascii="Book Antiqua" w:eastAsia="SimSun" w:hAnsi="Book Antiqua" w:cs="Helvetica"/>
          <w:sz w:val="24"/>
          <w:szCs w:val="24"/>
          <w:lang w:val="en-US" w:eastAsia="zh-CN"/>
        </w:rPr>
      </w:pPr>
      <w:r w:rsidRPr="005605FF">
        <w:rPr>
          <w:rFonts w:ascii="Book Antiqua" w:eastAsia="SimSun" w:hAnsi="Book Antiqua" w:cs="Helvetica"/>
          <w:sz w:val="24"/>
          <w:szCs w:val="24"/>
          <w:lang w:val="en-US" w:eastAsia="zh-CN"/>
        </w:rPr>
        <w:t>Grade C (Good): C</w:t>
      </w:r>
    </w:p>
    <w:p w14:paraId="632B2AC3" w14:textId="77777777" w:rsidR="005605FF" w:rsidRPr="005605FF" w:rsidRDefault="005605FF" w:rsidP="005605FF">
      <w:pPr>
        <w:shd w:val="clear" w:color="auto" w:fill="FFFFFF"/>
        <w:snapToGrid w:val="0"/>
        <w:spacing w:after="0" w:line="360" w:lineRule="auto"/>
        <w:jc w:val="both"/>
        <w:rPr>
          <w:rFonts w:ascii="Book Antiqua" w:eastAsia="SimSun" w:hAnsi="Book Antiqua" w:cs="Helvetica"/>
          <w:sz w:val="24"/>
          <w:szCs w:val="24"/>
          <w:lang w:val="en-US" w:eastAsia="zh-CN"/>
        </w:rPr>
      </w:pPr>
      <w:r w:rsidRPr="005605FF">
        <w:rPr>
          <w:rFonts w:ascii="Book Antiqua" w:eastAsia="SimSun" w:hAnsi="Book Antiqua" w:cs="Helvetica"/>
          <w:sz w:val="24"/>
          <w:szCs w:val="24"/>
          <w:lang w:val="en-US" w:eastAsia="zh-CN"/>
        </w:rPr>
        <w:t>Grade D (Fair): 0</w:t>
      </w:r>
    </w:p>
    <w:p w14:paraId="0A147341" w14:textId="77777777" w:rsidR="005605FF" w:rsidRPr="005605FF" w:rsidRDefault="005605FF" w:rsidP="005605FF">
      <w:pPr>
        <w:shd w:val="clear" w:color="auto" w:fill="FFFFFF"/>
        <w:snapToGrid w:val="0"/>
        <w:spacing w:after="0" w:line="360" w:lineRule="auto"/>
        <w:jc w:val="both"/>
        <w:rPr>
          <w:rFonts w:ascii="Book Antiqua" w:eastAsia="SimSun" w:hAnsi="Book Antiqua" w:cs="Helvetica"/>
          <w:sz w:val="24"/>
          <w:szCs w:val="24"/>
          <w:lang w:val="en-US" w:eastAsia="zh-CN"/>
        </w:rPr>
      </w:pPr>
      <w:r w:rsidRPr="005605FF">
        <w:rPr>
          <w:rFonts w:ascii="Book Antiqua" w:eastAsia="SimSun" w:hAnsi="Book Antiqua" w:cs="Helvetica"/>
          <w:sz w:val="24"/>
          <w:szCs w:val="24"/>
          <w:lang w:val="en-US" w:eastAsia="zh-CN"/>
        </w:rPr>
        <w:t>Grade E (Poor): 0</w:t>
      </w:r>
      <w:bookmarkEnd w:id="126"/>
      <w:bookmarkEnd w:id="127"/>
      <w:r w:rsidRPr="005605FF">
        <w:rPr>
          <w:rFonts w:ascii="Book Antiqua" w:eastAsia="SimSun" w:hAnsi="Book Antiqua" w:cs="Helvetica"/>
          <w:sz w:val="24"/>
          <w:szCs w:val="24"/>
          <w:lang w:val="en-US" w:eastAsia="zh-CN"/>
        </w:rPr>
        <w:t xml:space="preserve"> </w:t>
      </w:r>
    </w:p>
    <w:bookmarkEnd w:id="124"/>
    <w:bookmarkEnd w:id="125"/>
    <w:bookmarkEnd w:id="128"/>
    <w:bookmarkEnd w:id="129"/>
    <w:p w14:paraId="752A063B" w14:textId="756BD68B" w:rsidR="002E7EFE" w:rsidRPr="00E47A42" w:rsidRDefault="002E7EFE" w:rsidP="005605FF">
      <w:pPr>
        <w:widowControl w:val="0"/>
        <w:autoSpaceDE w:val="0"/>
        <w:autoSpaceDN w:val="0"/>
        <w:adjustRightInd w:val="0"/>
        <w:snapToGrid w:val="0"/>
        <w:spacing w:after="0" w:line="360" w:lineRule="auto"/>
        <w:rPr>
          <w:rFonts w:ascii="Book Antiqua" w:hAnsi="Book Antiqua" w:cs="Times New Roman"/>
          <w:b/>
          <w:sz w:val="24"/>
          <w:szCs w:val="24"/>
          <w:lang w:val="en-US" w:eastAsia="zh-CN"/>
        </w:rPr>
      </w:pPr>
    </w:p>
    <w:p w14:paraId="44768E56" w14:textId="37E90008" w:rsidR="00DB7042" w:rsidRDefault="00DB7042">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710DE0C5" w14:textId="5C5EF939" w:rsidR="00DB7042" w:rsidRPr="00E47A42" w:rsidRDefault="00E933B0" w:rsidP="00DB7042">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763712" behindDoc="0" locked="0" layoutInCell="1" allowOverlap="1" wp14:anchorId="34F0FA32" wp14:editId="0AF77818">
                <wp:simplePos x="0" y="0"/>
                <wp:positionH relativeFrom="column">
                  <wp:posOffset>3510280</wp:posOffset>
                </wp:positionH>
                <wp:positionV relativeFrom="paragraph">
                  <wp:posOffset>5167630</wp:posOffset>
                </wp:positionV>
                <wp:extent cx="304800" cy="285750"/>
                <wp:effectExtent l="0" t="0" r="19050" b="19050"/>
                <wp:wrapNone/>
                <wp:docPr id="66" name="文本框 6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6EF83F"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0FA32" id="_x0000_t202" coordsize="21600,21600" o:spt="202" path="m,l,21600r21600,l21600,xe">
                <v:stroke joinstyle="miter"/>
                <v:path gradientshapeok="t" o:connecttype="rect"/>
              </v:shapetype>
              <v:shape id="文本框 66" o:spid="_x0000_s1026" type="#_x0000_t202" style="position:absolute;left:0;text-align:left;margin-left:276.4pt;margin-top:406.9pt;width:24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c5mgIAALQFAAAOAAAAZHJzL2Uyb0RvYy54bWysVM1OGzEQvlfqO1i+l01C+GnEBqUgqkoI&#10;UKHi7HjtZFWv7dpOdtMHoG/QUy+997l4jn72bkKgXEC97I4934xnvvk5Om4qRZbC+dLonPZ3epQI&#10;zU1R6llOv9ycvTukxAemC6aMFjldCU+Px2/fHNV2JAZmblQhHIET7Ue1zek8BDvKMs/nomJ+x1ih&#10;oZTGVSzg6GZZ4VgN75XKBr3eflYbV1hnuPAet6etko6TfykFD5dSehGIyiliC+nr0ncav9n4iI1m&#10;jtl5ybsw2CuiqFip8ejG1SkLjCxc+Y+rquTOeCPDDjdVZqQsuUg5IJt+70k213NmRcoF5Hi7ocn/&#10;P7f8YnnlSFnkdH+fEs0q1Oj+54/7X3/uf98R3IGg2voRcNcWyNB8MA0Kvb73uIx5N9JV8Y+MCPSg&#10;erWhVzSBcFzu9oaHPWg4VIPDvYO9RH/2YGydDx+FqUgUcupQvUQqW577gEAAXUPiW96osjgrlUqH&#10;2DHiRDmyZKj1dJZChMUjlNKkRqq7ePpVHuBP6WgpUm91YUWCWiKSFFZKRIzSn4UEt4mPZ2JknAsd&#10;1nEmdERJZPQSww7/ENVLjNs8YJFeNjpsjKtSG9ey9Jja4us6ZNniUZitvKMYmmnTNc7UFCv0jTPt&#10;6HnLz0pU95z5cMUcZg0Ngf0RLvGRyqA6ppMomRv3/bn7iMcIQEtJjdnNqf+2YE5Qoj5pDMf7/nAY&#10;hz0dhnsHAxzctma6rdGL6sSgZfrYVJYnMeKDWovSmeoWa2YSX4WKaY63cxrW4kloNwrWFBeTSQJh&#10;vC0L5/ra8ug60ht796a5Zc52DR4wGRdmPeVs9KTPW2y01GayCEaWaQgiwS2rHfFYDWk2ujUWd8/2&#10;OaEelu34LwAAAP//AwBQSwMEFAAGAAgAAAAhAK1XxHLeAAAACwEAAA8AAABkcnMvZG93bnJldi54&#10;bWxMj8FOwzAQRO9I/IO1SNyo3aIUE+JUEVJPPdFG5erGJokaryPbScPfs5zgNrszmn1b7BY3sNmG&#10;2HtUsF4JYBYbb3psFdSn/ZMEFpNGowePVsG3jbAr7+8KnRt/ww87H1PLqARjrhV0KY0557HprNNx&#10;5UeL5H354HSiMbTcBH2jcjfwjRBb7nSPdKHTo33vbHM9Tk7B+XDaczzIqc76qrri58v8WgelHh+W&#10;6g1Yskv6C8MvPqFDSUwXP6GJbFCQZRtCTwrk+pkEJbZCkLjQJpMSeFnw/z+UPwAAAP//AwBQSwEC&#10;LQAUAAYACAAAACEAtoM4kv4AAADhAQAAEwAAAAAAAAAAAAAAAAAAAAAAW0NvbnRlbnRfVHlwZXNd&#10;LnhtbFBLAQItABQABgAIAAAAIQA4/SH/1gAAAJQBAAALAAAAAAAAAAAAAAAAAC8BAABfcmVscy8u&#10;cmVsc1BLAQItABQABgAIAAAAIQDfSCc5mgIAALQFAAAOAAAAAAAAAAAAAAAAAC4CAABkcnMvZTJv&#10;RG9jLnhtbFBLAQItABQABgAIAAAAIQCtV8Ry3gAAAAsBAAAPAAAAAAAAAAAAAAAAAPQEAABkcnMv&#10;ZG93bnJldi54bWxQSwUGAAAAAAQABADzAAAA/wUAAAAA&#10;" fillcolor="white [3212]" strokecolor="white [3212]" strokeweight=".5pt">
                <v:textbox>
                  <w:txbxContent>
                    <w:p w14:paraId="376EF83F"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65760" behindDoc="0" locked="0" layoutInCell="1" allowOverlap="1" wp14:anchorId="050768F9" wp14:editId="4052DDC4">
                <wp:simplePos x="0" y="0"/>
                <wp:positionH relativeFrom="column">
                  <wp:posOffset>3900805</wp:posOffset>
                </wp:positionH>
                <wp:positionV relativeFrom="paragraph">
                  <wp:posOffset>5015230</wp:posOffset>
                </wp:positionV>
                <wp:extent cx="304800" cy="285750"/>
                <wp:effectExtent l="0" t="0" r="19050" b="19050"/>
                <wp:wrapNone/>
                <wp:docPr id="67" name="文本框 6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DA817A"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68F9" id="文本框 67" o:spid="_x0000_s1027" type="#_x0000_t202" style="position:absolute;left:0;text-align:left;margin-left:307.15pt;margin-top:394.9pt;width:24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B4nAIAALsFAAAOAAAAZHJzL2Uyb0RvYy54bWysVM1OGzEQvlfqO1i+l01C+GnEBqUgqkoI&#10;UKHi7HjtZFWv7dpOdtMHoG/QUy+997l4jn72bkKgXEC97I4934xnvvk5Om4qRZbC+dLonPZ3epQI&#10;zU1R6llOv9ycvTukxAemC6aMFjldCU+Px2/fHNV2JAZmblQhHIET7Ue1zek8BDvKMs/nomJ+x1ih&#10;oZTGVSzg6GZZ4VgN75XKBr3eflYbV1hnuPAet6etko6TfykFD5dSehGIyiliC+nr0ncav9n4iI1m&#10;jtl5ybsw2CuiqFip8ejG1SkLjCxc+Y+rquTOeCPDDjdVZqQsuUg5IJt+70k213NmRcoF5Hi7ocn/&#10;P7f8YnnlSFnkdP+AEs0q1Oj+54/7X3/uf98R3IGg2voRcNcWyNB8MA0Kvb73uIx5N9JV8Y+MCPSg&#10;erWhVzSBcFzu9oaHPWg4VIPDvYO9RH/2YGydDx+FqUgUcupQvUQqW577gEAAXUPiW96osjgrlUqH&#10;2DHiRDmyZKj1dJZChMUjlNKkRqq7ePpVHuBP6WgpUm91YUWCWiKSFFZKRIzSn4UEt4mPZ2JknAsd&#10;1nEmdERJZPQSww7/ENVLjNs8YJFeNjpsjKtSG9ey9Jja4us6ZNniUZitvKMYmmmTmmrTJ1NTrNA+&#10;zrQT6C0/K1Hkc+bDFXMYOfQF1ki4xEcqgyKZTqJkbtz35+4jHpMALSU1Rjin/tuCOUGJ+qQxI+/7&#10;w2Gc+XQY7h0McHDbmum2Ri+qE4PO6WNhWZ7EiA9qLUpnqltsm0l8FSqmOd7OaViLJ6FdLNhWXEwm&#10;CYQptyyc62vLo+vIcmzhm+aWOdv1ecCAXJj1sLPRk3ZvsdFSm8kiGFmmWYg8t6x2/GNDpBHptllc&#10;QdvnhHrYueO/AAAA//8DAFBLAwQUAAYACAAAACEAGtQjb98AAAALAQAADwAAAGRycy9kb3ducmV2&#10;LnhtbEyPy07DMBBF90j8gzVI7KjTB6kb4lQRUldd0UZl68YmiRqPI9tJw98zrGA5M0d3zs33s+3Z&#10;ZHzoHEpYLhJgBmunO2wkVOfDiwAWokKteodGwrcJsC8eH3KVaXfHDzOdYsMoBEOmJLQxDhnnoW6N&#10;VWHhBoN0+3Leqkijb7j26k7htuerJEm5VR3Sh1YN5r019e00WgmX4/nA8SjG6rUryxt+bqdd5aV8&#10;fprLN2DRzPEPhl99UoeCnK5uRB1YLyFdbtaEStiKHXUgIk1XtLlKEOuNAF7k/H+H4gcAAP//AwBQ&#10;SwECLQAUAAYACAAAACEAtoM4kv4AAADhAQAAEwAAAAAAAAAAAAAAAAAAAAAAW0NvbnRlbnRfVHlw&#10;ZXNdLnhtbFBLAQItABQABgAIAAAAIQA4/SH/1gAAAJQBAAALAAAAAAAAAAAAAAAAAC8BAABfcmVs&#10;cy8ucmVsc1BLAQItABQABgAIAAAAIQBnBWB4nAIAALsFAAAOAAAAAAAAAAAAAAAAAC4CAABkcnMv&#10;ZTJvRG9jLnhtbFBLAQItABQABgAIAAAAIQAa1CNv3wAAAAsBAAAPAAAAAAAAAAAAAAAAAPYEAABk&#10;cnMvZG93bnJldi54bWxQSwUGAAAAAAQABADzAAAAAgYAAAAA&#10;" fillcolor="white [3212]" strokecolor="white [3212]" strokeweight=".5pt">
                <v:textbox>
                  <w:txbxContent>
                    <w:p w14:paraId="72DA817A"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67808" behindDoc="0" locked="0" layoutInCell="1" allowOverlap="1" wp14:anchorId="2861B209" wp14:editId="7E5F8990">
                <wp:simplePos x="0" y="0"/>
                <wp:positionH relativeFrom="column">
                  <wp:posOffset>4272280</wp:posOffset>
                </wp:positionH>
                <wp:positionV relativeFrom="paragraph">
                  <wp:posOffset>4729480</wp:posOffset>
                </wp:positionV>
                <wp:extent cx="304800" cy="285750"/>
                <wp:effectExtent l="0" t="0" r="19050" b="19050"/>
                <wp:wrapNone/>
                <wp:docPr id="68" name="文本框 6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07033B"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1B209" id="文本框 68" o:spid="_x0000_s1028" type="#_x0000_t202" style="position:absolute;left:0;text-align:left;margin-left:336.4pt;margin-top:372.4pt;width:24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5snAIAALsFAAAOAAAAZHJzL2Uyb0RvYy54bWysVM1OGzEQvlfqO1i+l01C+GnEBqUgqkoI&#10;UKHi7HjtZFWv7dpOdtMHoG/QUy+997l4jn72ZkOgXEC97I4934xnvvk5Om4qRZbC+dLonPZ3epQI&#10;zU1R6llOv9ycvTukxAemC6aMFjldCU+Px2/fHNV2JAZmblQhHIET7Ue1zek8BDvKMs/nomJ+x1ih&#10;oZTGVSzg6GZZ4VgN75XKBr3eflYbV1hnuPAet6etko6TfykFD5dSehGIyiliC+nr0ncav9n4iI1m&#10;jtl5yddhsFdEUbFS49GNq1MWGFm48h9XVcmd8UaGHW6qzEhZcpFyQDb93pNsrufMipQLyPF2Q5P/&#10;f275xfLKkbLI6T4qpVmFGt3//HH/68/97zuCOxBUWz8C7toCGZoPpkGhu3uPy5h3I10V/8iIQA+q&#10;Vxt6RRMIx+Vub3jYg4ZDNTjcO9hL9GcPxtb58FGYikQhpw7VS6Sy5bkPCATQDhLf8kaVxVmpVDrE&#10;jhEnypElQ62nsxQiLB6hlCY1Ut3F06/yAH9KR0uRemsdViSoJSJJYaVExCj9WUhwm/h4JkbGudCh&#10;izOhI0oio5cYrvEPUb3EuM0DFullo8PGuCq1cS1Lj6ktvnYhyxaPwmzlHcXQTJvUVIOuT6amWKF9&#10;nGkn0Ft+VqLI58yHK+YwcugLrJFwiY9UBkUya4mSuXHfn7uPeEwCtJTUGOGc+m8L5gQl6pPGjLzv&#10;D4dx5tNhuHcwwMFta6bbGr2oTgw6p4+FZXkSIz6oTpTOVLfYNpP4KlRMc7yd09CJJ6FdLNhWXEwm&#10;CYQptyyc62vLo+vIcmzhm+aWObvu84ABuTDdsLPRk3ZvsdFSm8kiGFmmWYg8t6yu+ceGSCOy3mZx&#10;BW2fE+ph547/AgAA//8DAFBLAwQUAAYACAAAACEAPdb+Hd0AAAALAQAADwAAAGRycy9kb3ducmV2&#10;LnhtbEyPwW6DMAyG75P2DpEn7baGoa5QRqjQpJ56aou2a0o8QCUOIoGyt6932m6f5V+/P+e7xfZi&#10;xtF3jhS8riIQSLUzHTUKqvP+JQXhgyaje0eo4Ac97IrHh1xnxt3oiPMpNIJLyGdaQRvCkEnp6xat&#10;9is3IPHu241WBx7HRppR37jc9jKOoo20uiO+0OoBP1qsr6fJKvg8nPeSDulUvXVleaWvZN5Wo1LP&#10;T0v5DiLgEv7C8KvP6lCw08VNZLzoFWySmNWDgmS9ZuBEEkcMF4Z0m4Iscvn/h+IOAAD//wMAUEsB&#10;Ai0AFAAGAAgAAAAhALaDOJL+AAAA4QEAABMAAAAAAAAAAAAAAAAAAAAAAFtDb250ZW50X1R5cGVz&#10;XS54bWxQSwECLQAUAAYACAAAACEAOP0h/9YAAACUAQAACwAAAAAAAAAAAAAAAAAvAQAAX3JlbHMv&#10;LnJlbHNQSwECLQAUAAYACAAAACEAyk5ubJwCAAC7BQAADgAAAAAAAAAAAAAAAAAuAgAAZHJzL2Uy&#10;b0RvYy54bWxQSwECLQAUAAYACAAAACEAPdb+Hd0AAAALAQAADwAAAAAAAAAAAAAAAAD2BAAAZHJz&#10;L2Rvd25yZXYueG1sUEsFBgAAAAAEAAQA8wAAAAAGAAAAAA==&#10;" fillcolor="white [3212]" strokecolor="white [3212]" strokeweight=".5pt">
                <v:textbox>
                  <w:txbxContent>
                    <w:p w14:paraId="6E07033B"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69856" behindDoc="0" locked="0" layoutInCell="1" allowOverlap="1" wp14:anchorId="172477C7" wp14:editId="14213797">
                <wp:simplePos x="0" y="0"/>
                <wp:positionH relativeFrom="column">
                  <wp:posOffset>4710430</wp:posOffset>
                </wp:positionH>
                <wp:positionV relativeFrom="paragraph">
                  <wp:posOffset>4558030</wp:posOffset>
                </wp:positionV>
                <wp:extent cx="304800" cy="285750"/>
                <wp:effectExtent l="0" t="0" r="19050" b="19050"/>
                <wp:wrapNone/>
                <wp:docPr id="69" name="文本框 6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0A16EF"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77C7" id="文本框 69" o:spid="_x0000_s1029" type="#_x0000_t202" style="position:absolute;left:0;text-align:left;margin-left:370.9pt;margin-top:358.9pt;width:24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3nAIAALsFAAAOAAAAZHJzL2Uyb0RvYy54bWysVM1OGzEQvlfqO1i+l01C+IvYoBREVQkB&#10;KlScHa+drOq1XdvJbvoA7Rv01EvvfS6eo5+92RAoF1Avu2PPN+OZb36OT5pKkaVwvjQ6p/2dHiVC&#10;c1OUepbTz7fn7w4p8YHpgimjRU5XwtOT8ds3x7UdiYGZG1UIR+BE+1FtczoPwY6yzPO5qJjfMVZo&#10;KKVxFQs4ullWOFbDe6WyQa+3n9XGFdYZLrzH7VmrpOPkX0rBw5WUXgSicorYQvq69J3GbzY+ZqOZ&#10;Y3Ze8nUY7BVRVKzUeHTj6owFRhau/MdVVXJnvJFhh5sqM1KWXKQckE2/9ySbmzmzIuUCcrzd0OT/&#10;n1t+ubx2pCxyun9EiWYVanT/88f9rz/3v78T3IGg2voRcDcWyNC8Nw0K3d17XMa8G+mq+EdGBHpQ&#10;vdrQK5pAOC53e8PDHjQcqsHh3sFeoj97MLbOhw/CVCQKOXWoXiKVLS98QCCAdpD4ljeqLM5LpdIh&#10;dow4VY4sGWo9naUQYfEIpTSpkeounn6VB/hTOlqK1FvrsCJBLRFJCislIkbpT0KC28THMzEyzoUO&#10;XZwJHVESGb3EcI1/iOolxm0esEgvGx02xlWpjWtZekxt8aULWbZ4FGYr7yiGZtqkptrt+mRqihXa&#10;x5l2Ar3l5yWKfMF8uGYOI4e+wBoJV/hIZVAks5YomRv37bn7iMckQEtJjRHOqf+6YE5Qoj5qzMhR&#10;fziMM58Ow72DAQ5uWzPd1uhFdWrQOX0sLMuTGPFBdaJ0prrDtpnEV6FimuPtnIZOPA3tYsG24mIy&#10;SSBMuWXhQt9YHl1HlmML3zZ3zNl1nwcMyKXphp2NnrR7i42W2kwWwcgyzULkuWV1zT82RBqR9TaL&#10;K2j7nFAPO3f8FwAA//8DAFBLAwQUAAYACAAAACEAkaEa4dwAAAALAQAADwAAAGRycy9kb3ducmV2&#10;LnhtbEyPwW6DMAyG75P2DpEn7bYGqq1QRqjQpJ56Wou2a0o8QCUOIoGyt593am+f5V+/P+e7xfZi&#10;xtF3jhTEqwgEUu1MR42C6rR/SUH4oMno3hEq+EUPu+LxIdeZcVf6xPkYGsEl5DOtoA1hyKT0dYtW&#10;+5UbkHj340arA49jI82or1xue7mOoo20uiO+0OoBP1qsL8fJKvg6nPaSDulUvXVleaHvZN5Wo1LP&#10;T0v5DiLgEm5h+NdndSjY6ewmMl70CpLXmNUDQ5wwcCJJtwxnhs06BVnk8v6H4g8AAP//AwBQSwEC&#10;LQAUAAYACAAAACEAtoM4kv4AAADhAQAAEwAAAAAAAAAAAAAAAAAAAAAAW0NvbnRlbnRfVHlwZXNd&#10;LnhtbFBLAQItABQABgAIAAAAIQA4/SH/1gAAAJQBAAALAAAAAAAAAAAAAAAAAC8BAABfcmVscy8u&#10;cmVsc1BLAQItABQABgAIAAAAIQC+GrM3nAIAALsFAAAOAAAAAAAAAAAAAAAAAC4CAABkcnMvZTJv&#10;RG9jLnhtbFBLAQItABQABgAIAAAAIQCRoRrh3AAAAAsBAAAPAAAAAAAAAAAAAAAAAPYEAABkcnMv&#10;ZG93bnJldi54bWxQSwUGAAAAAAQABADzAAAA/wUAAAAA&#10;" fillcolor="white [3212]" strokecolor="white [3212]" strokeweight=".5pt">
                <v:textbox>
                  <w:txbxContent>
                    <w:p w14:paraId="2D0A16EF"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9376" behindDoc="0" locked="0" layoutInCell="1" allowOverlap="1" wp14:anchorId="1232B3B9" wp14:editId="057101CE">
                <wp:simplePos x="0" y="0"/>
                <wp:positionH relativeFrom="column">
                  <wp:posOffset>1995805</wp:posOffset>
                </wp:positionH>
                <wp:positionV relativeFrom="paragraph">
                  <wp:posOffset>4739005</wp:posOffset>
                </wp:positionV>
                <wp:extent cx="304800" cy="285750"/>
                <wp:effectExtent l="0" t="0" r="19050" b="19050"/>
                <wp:wrapNone/>
                <wp:docPr id="59" name="文本框 5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F77F57"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2B3B9" id="文本框 59" o:spid="_x0000_s1030" type="#_x0000_t202" style="position:absolute;left:0;text-align:left;margin-left:157.15pt;margin-top:373.15pt;width:24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sSnQIAALsFAAAOAAAAZHJzL2Uyb0RvYy54bWysVM1OGzEQvlfqO1i+l01CAiFig1IQVSUE&#10;qFBxdrx2YtXrcW0nu+kDtG/QUy+997l4jo69uyFQLqBedseeb8Yz3/wcn9SlJmvhvAKT0/5ejxJh&#10;OBTKLHL6+fb83ZgSH5gpmAYjcroRnp5M3745ruxEDGAJuhCOoBPjJ5XN6TIEO8kyz5eiZH4PrDCo&#10;lOBKFvDoFlnhWIXeS50Ner2DrAJXWAdceI+3Z42STpN/KQUPV1J6EYjOKcYW0tel7zx+s+kxmywc&#10;s0vF2zDYK6IomTL46NbVGQuMrJz6x1WpuAMPMuxxKDOQUnGRcsBs+r0n2dwsmRUpFyTH2y1N/v+5&#10;5Zfra0dUkdPRESWGlVij+58/7n/9uf/9neAdElRZP0HcjUVkqN9DjYXu7j1exrxr6cr4x4wI6pHq&#10;zZZeUQfC8XK/Nxz3UMNRNRiPDkeJ/uzB2DofPggoSRRy6rB6iVS2vvABA0FoB4lvedCqOFdap0Ps&#10;GHGqHVkzrPV8kUJEi0cobUiV04N9fPpVHtCfNtFSpN5qw4oENUQkKWy0iBhtPgmJ3CY+nomRcS5M&#10;6OJM6IiSmNFLDFv8Q1QvMW7yQIv0MpiwNS6VAdew9Jja4ksXsmzwWJidvKMY6nmdmmrY9ckcig22&#10;j4NmAr3l5wqLfMF8uGYORw77AtdIuMKP1IBFglaiZAnu23P3EY+TgFpKKhzhnPqvK+YEJfqjwRk5&#10;6g+HcebTYTg6HODB7WrmuxqzKk8BO6ePC8vyJEZ80J0oHZR3uG1m8VVUMcPx7ZyGTjwNzWLBbcXF&#10;bJZAOOWWhQtzY3l0HVmOLXxb3zFn2z4POCCX0A07mzxp9wYbLQ3MVgGkSrMQeW5YbfnHDZFGpN1m&#10;cQXtnhPqYedO/wIAAP//AwBQSwMEFAAGAAgAAAAhAKG3UcbfAAAACwEAAA8AAABkcnMvZG93bnJl&#10;di54bWxMj8FugzAQRO+V+g/WRuqtMYSUJAQToUo55dQEpVcHu4CC18g2hP59t6f2Nrszmn2bH2bT&#10;s0k731kUEC8jYBprqzpsBFSX4+sWmA8SlewtagHf2sOheH7KZabsAz/0dA4NoxL0mRTQhjBknPu6&#10;1Ub6pR00kvdlnZGBRtdw5eSDyk3PV1GUciM7pAutHPR7q+v7eTQCrqfLkeNpO1ZvXVne8XMz7Son&#10;xMtiLvfAgp7DXxh+8QkdCmK62RGVZ72AJF4nFBWwWackKJGkKxI32uziBHiR8/8/FD8AAAD//wMA&#10;UEsBAi0AFAAGAAgAAAAhALaDOJL+AAAA4QEAABMAAAAAAAAAAAAAAAAAAAAAAFtDb250ZW50X1R5&#10;cGVzXS54bWxQSwECLQAUAAYACAAAACEAOP0h/9YAAACUAQAACwAAAAAAAAAAAAAAAAAvAQAAX3Jl&#10;bHMvLnJlbHNQSwECLQAUAAYACAAAACEA89RbEp0CAAC7BQAADgAAAAAAAAAAAAAAAAAuAgAAZHJz&#10;L2Uyb0RvYy54bWxQSwECLQAUAAYACAAAACEAobdRxt8AAAALAQAADwAAAAAAAAAAAAAAAAD3BAAA&#10;ZHJzL2Rvd25yZXYueG1sUEsFBgAAAAAEAAQA8wAAAAMGAAAAAA==&#10;" fillcolor="white [3212]" strokecolor="white [3212]" strokeweight=".5pt">
                <v:textbox>
                  <w:txbxContent>
                    <w:p w14:paraId="48F77F57"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71904" behindDoc="0" locked="0" layoutInCell="1" allowOverlap="1" wp14:anchorId="12F00829" wp14:editId="5BAFCAC0">
                <wp:simplePos x="0" y="0"/>
                <wp:positionH relativeFrom="column">
                  <wp:posOffset>1148080</wp:posOffset>
                </wp:positionH>
                <wp:positionV relativeFrom="paragraph">
                  <wp:posOffset>5329555</wp:posOffset>
                </wp:positionV>
                <wp:extent cx="304800" cy="285750"/>
                <wp:effectExtent l="0" t="0" r="19050" b="19050"/>
                <wp:wrapNone/>
                <wp:docPr id="70" name="文本框 7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E7D3EF"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0829" id="文本框 70" o:spid="_x0000_s1031" type="#_x0000_t202" style="position:absolute;left:0;text-align:left;margin-left:90.4pt;margin-top:419.65pt;width:24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4TnQIAALsFAAAOAAAAZHJzL2Uyb0RvYy54bWysVM1OGzEQvlfqO1i+l01CAjRig1IQVSVU&#10;UKHi7HjtZFWv7dpOsukDtG/QUy+997l4jn727oZAuYB62R17vhnPfPNzfFJXiqyE86XROe3v9SgR&#10;mpui1POcfr45f3NEiQ9MF0wZLXK6EZ6eTF6/Ol7bsRiYhVGFcAROtB+vbU4XIdhxlnm+EBXze8YK&#10;DaU0rmIBRzfPCsfW8F6pbNDrHWRr4wrrDBfe4/asUdJJ8i+l4OFSSi8CUTlFbCF9XfrO4jebHLPx&#10;3DG7KHkbBntBFBUrNR7dujpjgZGlK/9xVZXcGW9k2OOmyoyUJRcpB2TT7z3K5nrBrEi5gBxvtzT5&#10;/+eWf1xdOVIWOT0EPZpVqNHdzx93v/7c/f5OcAeC1taPgbu2QIb6nalR6O7e4zLmXUtXxT8yItDD&#10;12ZLr6gD4bjc7w2PetBwqAZHo8NR8p7dG1vnw3thKhKFnDpUL5HKVhc+IBBAO0h8yxtVFuelUukQ&#10;O0acKkdWDLWezVOIsHiAUpqsc3qwj6df5AH+lI6WIvVWG1YkqCEiSWGjRMQo/UlIcJv4eCJGxrnQ&#10;oYszoSNKIqPnGLb4+6ieY9zkAYv0stFha1yV2riGpYfUFl+6kGWDR2F28o5iqGd1aqpR1yczU2zQ&#10;Ps40E+gtPy9R5AvmwxVzGDn0BdZIuMRHKoMimVaiZGHct6fuIx6TAC0la4xwTv3XJXOCEvVBY0be&#10;9odDuA3pMBwdDnBwu5rZrkYvq1ODzuljYVmexIgPqhOlM9Utts00vgoV0xxv5zR04mloFgu2FRfT&#10;aQJhyi0LF/ra8ug6shxb+Ka+Zc62fR4wIB9NN+xs/KjdG2y01Ga6DEaWaRYizw2rLf/YEGlE2m0W&#10;V9DuOaHud+7kLwAAAP//AwBQSwMEFAAGAAgAAAAhANjCC13dAAAACwEAAA8AAABkcnMvZG93bnJl&#10;di54bWxMj8FOwzAQRO9I/IO1SNyo0wSKm8apIqSeeqKN4OrGJokaryPbScPfs5zgOLOj2TfFfrED&#10;m40PvUMJ61UCzGDjdI+thPp8eBLAQlSo1eDQSPg2Afbl/V2hcu1u+G7mU2wZlWDIlYQuxjHnPDSd&#10;sSqs3GiQbl/OWxVJ+pZrr25UbgeeJsmGW9UjfejUaN4601xPk5XwcTwfOB7FVL/0VXXFz9d5W3sp&#10;Hx+WagcsmiX+heEXn9ChJKaLm1AHNpAWCaFHCSLbZsAokaaCnAs54jkDXhb8/4byBwAA//8DAFBL&#10;AQItABQABgAIAAAAIQC2gziS/gAAAOEBAAATAAAAAAAAAAAAAAAAAAAAAABbQ29udGVudF9UeXBl&#10;c10ueG1sUEsBAi0AFAAGAAgAAAAhADj9If/WAAAAlAEAAAsAAAAAAAAAAAAAAAAALwEAAF9yZWxz&#10;Ly5yZWxzUEsBAi0AFAAGAAgAAAAhAMQ1/hOdAgAAuwUAAA4AAAAAAAAAAAAAAAAALgIAAGRycy9l&#10;Mm9Eb2MueG1sUEsBAi0AFAAGAAgAAAAhANjCC13dAAAACwEAAA8AAAAAAAAAAAAAAAAA9wQAAGRy&#10;cy9kb3ducmV2LnhtbFBLBQYAAAAABAAEAPMAAAABBgAAAAA=&#10;" fillcolor="white [3212]" strokecolor="white [3212]" strokeweight=".5pt">
                <v:textbox>
                  <w:txbxContent>
                    <w:p w14:paraId="2CE7D3EF"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73952" behindDoc="0" locked="0" layoutInCell="1" allowOverlap="1" wp14:anchorId="6CE42793" wp14:editId="3CB72777">
                <wp:simplePos x="0" y="0"/>
                <wp:positionH relativeFrom="column">
                  <wp:posOffset>1557655</wp:posOffset>
                </wp:positionH>
                <wp:positionV relativeFrom="paragraph">
                  <wp:posOffset>5224780</wp:posOffset>
                </wp:positionV>
                <wp:extent cx="304800" cy="285750"/>
                <wp:effectExtent l="0" t="0" r="19050" b="19050"/>
                <wp:wrapNone/>
                <wp:docPr id="71" name="文本框 7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7BAD05"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2793" id="文本框 71" o:spid="_x0000_s1032" type="#_x0000_t202" style="position:absolute;left:0;text-align:left;margin-left:122.65pt;margin-top:411.4pt;width:24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05nQIAALsFAAAOAAAAZHJzL2Uyb0RvYy54bWysVM1OGzEQvlfqO1i+l01C+GnEBqUgqkoI&#10;UKHi7HjtZFWv7dpOsukD0DfoqZfe+1w8Rz97d0OgXEC97I4934xnvvk5Oq4rRZbC+dLonPZ3epQI&#10;zU1R6llOv9ycvTukxAemC6aMFjldC0+Px2/fHK3sSAzM3KhCOAIn2o9WNqfzEOwoyzyfi4r5HWOF&#10;hlIaV7GAo5tlhWMreK9UNuj19rOVcYV1hgvvcXvaKOk4+ZdS8HAppReBqJwitpC+Ln2n8ZuNj9ho&#10;5pidl7wNg70iioqVGo9uXJ2ywMjClf+4qkrujDcy7HBTZUbKkouUA7Lp955kcz1nVqRcQI63G5r8&#10;/3PLL5ZXjpRFTg/6lGhWoUb3P3/c//pz//uO4A4ErawfAXdtgQz1B1Oj0N29x2XMu5auin9kRKAH&#10;1esNvaIOhONytzc87EHDoRoc7h3sJfqzB2PrfPgoTEWikFOH6iVS2fLcBwQCaAeJb3mjyuKsVCod&#10;YseIE+XIkqHW01kKERaPUEqTVU73d/H0qzzAn9LRUqTeasOKBDVEJCmslYgYpT8LCW4TH8/EyDgX&#10;OnRxJnRESWT0EsMW/xDVS4ybPGCRXjY6bIyrUhvXsPSY2uJrF7Js8CjMVt5RDPW0Tk213/XJ1BRr&#10;tI8zzQR6y89KFPmc+XDFHEYOfYE1Ei7xkcqgSKaVKJkb9/25+4jHJEBLyQojnFP/bcGcoER90piR&#10;9/3hMM58Ogz3DgY4uG3NdFujF9WJQedgDBBdEiM+qE6UzlS32DaT+CpUTHO8ndPQiSehWSzYVlxM&#10;JgmEKbcsnOtry6PryHJs4Zv6ljnb9nnAgFyYbtjZ6Em7N9hoqc1kEYws0yxEnhtWW/6xIdKItNss&#10;rqDtc0I97NzxXwAAAP//AwBQSwMEFAAGAAgAAAAhAGr5l5TeAAAACwEAAA8AAABkcnMvZG93bnJl&#10;di54bWxMjz1vwjAQhvdK/Q/WVepWnJoCIcRBUSUmpkLUriY2SUR8jmwnpP++16kd771H70e+n23P&#10;JuND51DC6yIBZrB2usNGQnU+vKTAQlSoVe/QSPg2AfbF40OuMu3u+GGmU2wYmWDIlIQ2xiHjPNSt&#10;sSos3GCQflfnrYp0+oZrr+5kbnsukmTNreqQElo1mPfW1LfTaCV8Hs8Hjsd0rFZdWd7wazNtKy/l&#10;89Nc7oBFM8c/GH7rU3UoqNPFjagD6yWIt9WSUAmpELSBCLFdknIhZb1JgRc5/7+h+AEAAP//AwBQ&#10;SwECLQAUAAYACAAAACEAtoM4kv4AAADhAQAAEwAAAAAAAAAAAAAAAAAAAAAAW0NvbnRlbnRfVHlw&#10;ZXNdLnhtbFBLAQItABQABgAIAAAAIQA4/SH/1gAAAJQBAAALAAAAAAAAAAAAAAAAAC8BAABfcmVs&#10;cy8ucmVsc1BLAQItABQABgAIAAAAIQAPA805nQIAALsFAAAOAAAAAAAAAAAAAAAAAC4CAABkcnMv&#10;ZTJvRG9jLnhtbFBLAQItABQABgAIAAAAIQBq+ZeU3gAAAAsBAAAPAAAAAAAAAAAAAAAAAPcEAABk&#10;cnMvZG93bnJldi54bWxQSwUGAAAAAAQABADzAAAAAgYAAAAA&#10;" fillcolor="white [3212]" strokecolor="white [3212]" strokeweight=".5pt">
                <v:textbox>
                  <w:txbxContent>
                    <w:p w14:paraId="497BAD05"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1424" behindDoc="0" locked="0" layoutInCell="1" allowOverlap="1" wp14:anchorId="43C8F13A" wp14:editId="7D38C50D">
                <wp:simplePos x="0" y="0"/>
                <wp:positionH relativeFrom="column">
                  <wp:posOffset>2386330</wp:posOffset>
                </wp:positionH>
                <wp:positionV relativeFrom="paragraph">
                  <wp:posOffset>4558030</wp:posOffset>
                </wp:positionV>
                <wp:extent cx="304800" cy="285750"/>
                <wp:effectExtent l="0" t="0" r="19050" b="19050"/>
                <wp:wrapNone/>
                <wp:docPr id="60" name="文本框 6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664024"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F13A" id="文本框 60" o:spid="_x0000_s1033" type="#_x0000_t202" style="position:absolute;left:0;text-align:left;margin-left:187.9pt;margin-top:358.9pt;width:24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z1nAIAALsFAAAOAAAAZHJzL2Uyb0RvYy54bWysVM1OGzEQvlfqO1i+l01C+GnEBqUgqkoI&#10;UKHi7HjtZFWv7dpOdtMHoG/QUy+997l4jn72ZkOgXEC97I4934xnvvk5Om4qRZbC+dLonPZ3epQI&#10;zU1R6llOv9ycvTukxAemC6aMFjldCU+Px2/fHNV2JAZmblQhHIET7Ue1zek8BDvKMs/nomJ+x1ih&#10;oZTGVSzg6GZZ4VgN75XKBr3eflYbV1hnuPAet6etko6TfykFD5dSehGIyiliC+nr0ncav9n4iI1m&#10;jtl5yddhsFdEUbFS49GNq1MWGFm48h9XVcmd8UaGHW6qzEhZcpFyQDb93pNsrufMipQLyPF2Q5P/&#10;f275xfLKkbLI6T7o0axCje5//rj/9ef+9x3BHQiqrR8Bd22BDM0H06DQ3b3HZcy7ka6Kf2REoIev&#10;1YZe0QTCcbnbGx72oOFQDQ73DvaS9+zB2DofPgpTkSjk1KF6iVS2PPcBgQDaQeJb3qiyOCuVSofY&#10;MeJEObJkqPV0lkKExSOU0qRGqrt4+lUe4E/paClSb63DigS1RCQprJSIGKU/CwluEx/PxMg4Fzp0&#10;cSZ0RElk9BLDNf4hqpcYt3nAIr1sdNgYV6U2rmXpMbXF1y5k2eJRmK28oxiaaZOa6qDrk6kpVmgf&#10;Z9oJ9JaflSjyOfPhijmMHPoCayRc4iOVQZHMWqJkbtz35+4jHpMALSU1Rjin/tuCOUGJ+qQxI+/7&#10;wyHchnQY7h0McHDbmum2Ri+qE4PO6WNhWZ7EiA+qE6Uz1S22zSS+ChXTHG/nNHTiSWgXC7YVF5NJ&#10;AmHKLQvn+try6DqyHFv4prllzq77PGBALkw37Gz0pN1bbLTUZrIIRpZpFiLPLatr/rEh0oist1lc&#10;QdvnhHrYueO/AAAA//8DAFBLAwQUAAYACAAAACEAJ5/ist4AAAALAQAADwAAAGRycy9kb3ducmV2&#10;LnhtbEyPQU+DQBCF7yb+h82YeLNLqS2ILA0x6aknW6LXLYxAys6S3YXiv3c86e3NvJc33+T7xQxi&#10;Rud7SwrWqwgEUm2bnloF1fnwlILwQVOjB0uo4Bs97Iv7u1xnjb3RO86n0AouIZ9pBV0IYyalrzs0&#10;2q/siMTel3VGBx5dKxunb1xuBhlH0U4a3RNf6PSIbx3W19NkFHwczwdJx3Sqtn1ZXukzmV8qp9Tj&#10;w1K+ggi4hL8w/OIzOhTMdLETNV4MCjbJltGDgmSdsODEc7xhceHNLk5BFrn8/0PxAwAA//8DAFBL&#10;AQItABQABgAIAAAAIQC2gziS/gAAAOEBAAATAAAAAAAAAAAAAAAAAAAAAABbQ29udGVudF9UeXBl&#10;c10ueG1sUEsBAi0AFAAGAAgAAAAhADj9If/WAAAAlAEAAAsAAAAAAAAAAAAAAAAALwEAAF9yZWxz&#10;Ly5yZWxzUEsBAi0AFAAGAAgAAAAhABUcTPWcAgAAuwUAAA4AAAAAAAAAAAAAAAAALgIAAGRycy9l&#10;Mm9Eb2MueG1sUEsBAi0AFAAGAAgAAAAhACef4rLeAAAACwEAAA8AAAAAAAAAAAAAAAAA9gQAAGRy&#10;cy9kb3ducmV2LnhtbFBLBQYAAAAABAAEAPMAAAABBgAAAAA=&#10;" fillcolor="white [3212]" strokecolor="white [3212]" strokeweight=".5pt">
                <v:textbox>
                  <w:txbxContent>
                    <w:p w14:paraId="3F664024"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3472" behindDoc="0" locked="0" layoutInCell="1" allowOverlap="1" wp14:anchorId="12108BC3" wp14:editId="47F89BE5">
                <wp:simplePos x="0" y="0"/>
                <wp:positionH relativeFrom="column">
                  <wp:posOffset>3405505</wp:posOffset>
                </wp:positionH>
                <wp:positionV relativeFrom="paragraph">
                  <wp:posOffset>986155</wp:posOffset>
                </wp:positionV>
                <wp:extent cx="304800" cy="285750"/>
                <wp:effectExtent l="0" t="0" r="19050" b="19050"/>
                <wp:wrapNone/>
                <wp:docPr id="61" name="文本框 6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BD99F7"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8BC3" id="文本框 61" o:spid="_x0000_s1034" type="#_x0000_t202" style="position:absolute;left:0;text-align:left;margin-left:268.15pt;margin-top:77.65pt;width:24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sgnAIAALsFAAAOAAAAZHJzL2Uyb0RvYy54bWysVM1OGzEQvlfqO1i+l01CoGnEBqUgqkoI&#10;UKHi7HjtZFWv7dpOsukDtG/QUy+997l4jn727oZAuYB62R17vhnPfPNzdFxXiqyE86XROe3v9SgR&#10;mpui1POcfr45ezOixAemC6aMFjndCE+PJ69fHa3tWAzMwqhCOAIn2o/XNqeLEOw4yzxfiIr5PWOF&#10;hlIaV7GAo5tnhWNreK9UNuj1DrO1cYV1hgvvcXvaKOkk+ZdS8HAppReBqJwitpC+Ln1n8ZtNjth4&#10;7phdlLwNg70gioqVGo9uXZ2ywMjSlf+4qkrujDcy7HFTZUbKkouUA7Lp9x5lc71gVqRcQI63W5r8&#10;/3PLL1ZXjpRFTg/7lGhWoUZ3P3/c/fpz9/s7wR0IWls/Bu7aAhnq96ZGobt7j8uYdy1dFf/IiEAP&#10;qjdbekUdCMflfm846kHDoRqMDt4eJPqze2PrfPggTEWikFOH6iVS2ercBwQCaAeJb3mjyuKsVCod&#10;YseIE+XIiqHWs3kKERYPUEqTNVLdx9Mv8gB/SkdLkXqrDSsS1BCRpLBRImKU/iQkuE18PBEj41zo&#10;0MWZ0BElkdFzDFv8fVTPMW7ygEV62eiwNa5KbVzD0kNqiy9dyLLBozA7eUcx1LM6NdWo65OZKTZo&#10;H2eaCfSWn5Uo8jnz4Yo5jBz6AmskXOIjlUGRTCtRsjDu21P3EY9JgJaSNUY4p/7rkjlBifqoMSPv&#10;+sNhnPl0GB68HeDgdjWzXY1eVicGnYMxQHRJjPigOlE6U91i20zjq1AxzfF2TkMnnoRmsWBbcTGd&#10;JhCm3LJwrq8tj64jy7GFb+pb5mzb5wEDcmG6YWfjR+3eYKOlNtNlMLJMsxB5blht+ceGSCPSbrO4&#10;gnbPCXW/cyd/AQAA//8DAFBLAwQUAAYACAAAACEAxUwpPt0AAAALAQAADwAAAGRycy9kb3ducmV2&#10;LnhtbEyPwU7DMBBE70j8g7VI3KhTgktI41QRUk890Ubl6sYmiRqvI9tJw9+znOA2qxnNvC12ix3Y&#10;bHzoHUpYrxJgBhune2wl1Kf9UwYsRIVaDQ6NhG8TYFfe3xUq1+6GH2Y+xpZRCYZcSehiHHPOQ9MZ&#10;q8LKjQbJ+3Leqkinb7n26kblduDPSbLhVvVIC50azXtnmutxshLOh9Oe4yGbatFX1RU/X+e32kv5&#10;+LBUW2DRLPEvDL/4hA4lMV3chDqwQYJINylFyRCCBCVE9kLiIoGGU+Blwf//UP4AAAD//wMAUEsB&#10;Ai0AFAAGAAgAAAAhALaDOJL+AAAA4QEAABMAAAAAAAAAAAAAAAAAAAAAAFtDb250ZW50X1R5cGVz&#10;XS54bWxQSwECLQAUAAYACAAAACEAOP0h/9YAAACUAQAACwAAAAAAAAAAAAAAAAAvAQAAX3JlbHMv&#10;LnJlbHNQSwECLQAUAAYACAAAACEAHWNrIJwCAAC7BQAADgAAAAAAAAAAAAAAAAAuAgAAZHJzL2Uy&#10;b0RvYy54bWxQSwECLQAUAAYACAAAACEAxUwpPt0AAAALAQAADwAAAAAAAAAAAAAAAAD2BAAAZHJz&#10;L2Rvd25yZXYueG1sUEsFBgAAAAAEAAQA8wAAAAAGAAAAAA==&#10;" fillcolor="white [3212]" strokecolor="white [3212]" strokeweight=".5pt">
                <v:textbox>
                  <w:txbxContent>
                    <w:p w14:paraId="08BD99F7"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5520" behindDoc="0" locked="0" layoutInCell="1" allowOverlap="1" wp14:anchorId="705AEC44" wp14:editId="45511CD7">
                <wp:simplePos x="0" y="0"/>
                <wp:positionH relativeFrom="column">
                  <wp:posOffset>3815080</wp:posOffset>
                </wp:positionH>
                <wp:positionV relativeFrom="paragraph">
                  <wp:posOffset>700405</wp:posOffset>
                </wp:positionV>
                <wp:extent cx="304800" cy="285750"/>
                <wp:effectExtent l="0" t="0" r="19050" b="19050"/>
                <wp:wrapNone/>
                <wp:docPr id="62" name="文本框 6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5F7AF4"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EC44" id="文本框 62" o:spid="_x0000_s1035" type="#_x0000_t202" style="position:absolute;left:0;text-align:left;margin-left:300.4pt;margin-top:55.15pt;width:24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nAIAALsFAAAOAAAAZHJzL2Uyb0RvYy54bWysVM1OGzEQvlfqO1i+l01C+IvYoBREVQkB&#10;KlScHa+drOq1XdvJbvoA7Rv01EvvfS6eo5+92RAoF1Avu2PPN+OZb36OT5pKkaVwvjQ6p/2dHiVC&#10;c1OUepbTz7fn7w4p8YHpgimjRU5XwtOT8ds3x7UdiYGZG1UIR+BE+1FtczoPwY6yzPO5qJjfMVZo&#10;KKVxFQs4ullWOFbDe6WyQa+3n9XGFdYZLrzH7VmrpOPkX0rBw5WUXgSicorYQvq69J3GbzY+ZqOZ&#10;Y3Ze8nUY7BVRVKzUeHTj6owFRhau/MdVVXJnvJFhh5sqM1KWXKQckE2/9ySbmzmzIuUCcrzd0OT/&#10;n1t+ubx2pCxyuj+gRLMKNbr/+eP+15/7398J7kBQbf0IuBsLZGjemwaF7u49LmPejXRV/CMjAj2o&#10;Xm3oFU0gHJe7veFhDxoO1eBw72Av0Z89GFvnwwdhKhKFnDpUL5HKlhc+IBBAO0h8yxtVFuelUukQ&#10;O0acKkeWDLWezlKIsHiEUprUSHUXT7/KA/wpHS1F6q11WJGglogkhZUSEaP0JyHBbeLjmRgZ50KH&#10;Ls6EjiiJjF5iuMY/RPUS4zYPWKSXjQ4b46rUxrUsPaa2+NKFLFs8CrOVdxRDM21SUx11fTI1xQrt&#10;40w7gd7y8xJFvmA+XDOHkUNfYI2EK3ykMiiSWUuUzI379tx9xGMSoKWkxgjn1H9dMCcoUR81ZuSo&#10;PxzGmU+H4d7BAAe3rZlua/SiOjXonD4WluVJjPigOlE6U91h20ziq1AxzfF2TkMnnoZ2sWBbcTGZ&#10;JBCm3LJwoW8sj64jy7GFb5s75uy6zwMG5NJ0w85GT9q9xUZLbSaLYGSZZiHy3LK65h8bIo3IepvF&#10;FbR9TqiHnTv+CwAA//8DAFBLAwQUAAYACAAAACEAvX5T0t4AAAALAQAADwAAAGRycy9kb3ducmV2&#10;LnhtbEyPwU7DMBBE70j8g7VI3KhdSkIIcaoIqaeeaCO4urFJosbryHbS8Pcsp/a4M6PZN8V2sQOb&#10;jQ+9QwnrlQBmsHG6x1ZCfdw9ZcBCVKjV4NBI+DUBtuX9XaFy7S74aeZDbBmVYMiVhC7GMec8NJ2x&#10;KqzcaJC8H+etinT6lmuvLlRuB/4sRMqt6pE+dGo0H51pzofJSvjaH3cc99lUJ31VnfH7dX6rvZSP&#10;D0v1DiyaJV7D8I9P6FAS08lNqAMbJKRCEHokYy02wCiRvmSknEhJkg3wsuC3G8o/AAAA//8DAFBL&#10;AQItABQABgAIAAAAIQC2gziS/gAAAOEBAAATAAAAAAAAAAAAAAAAAAAAAABbQ29udGVudF9UeXBl&#10;c10ueG1sUEsBAi0AFAAGAAgAAAAhADj9If/WAAAAlAEAAAsAAAAAAAAAAAAAAAAALwEAAF9yZWxz&#10;Ly5yZWxzUEsBAi0AFAAGAAgAAAAhAD794r2cAgAAuwUAAA4AAAAAAAAAAAAAAAAALgIAAGRycy9l&#10;Mm9Eb2MueG1sUEsBAi0AFAAGAAgAAAAhAL1+U9LeAAAACwEAAA8AAAAAAAAAAAAAAAAA9gQAAGRy&#10;cy9kb3ducmV2LnhtbFBLBQYAAAAABAAEAPMAAAABBgAAAAA=&#10;" fillcolor="white [3212]" strokecolor="white [3212]" strokeweight=".5pt">
                <v:textbox>
                  <w:txbxContent>
                    <w:p w14:paraId="4C5F7AF4"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7568" behindDoc="0" locked="0" layoutInCell="1" allowOverlap="1" wp14:anchorId="6CED381F" wp14:editId="4CF21D45">
                <wp:simplePos x="0" y="0"/>
                <wp:positionH relativeFrom="column">
                  <wp:posOffset>4272280</wp:posOffset>
                </wp:positionH>
                <wp:positionV relativeFrom="paragraph">
                  <wp:posOffset>643255</wp:posOffset>
                </wp:positionV>
                <wp:extent cx="304800" cy="285750"/>
                <wp:effectExtent l="0" t="0" r="19050" b="19050"/>
                <wp:wrapNone/>
                <wp:docPr id="63" name="文本框 6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F68B0B"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381F" id="文本框 63" o:spid="_x0000_s1036" type="#_x0000_t202" style="position:absolute;left:0;text-align:left;margin-left:336.4pt;margin-top:50.65pt;width:24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cfmwIAALwFAAAOAAAAZHJzL2Uyb0RvYy54bWysVM1OGzEQvlfqO1i+l01CgDRig1IQVSUE&#10;qFBxdrx2YtXrcW0nu+kD0DfoqZfe+1w8R8fe3SRQLqBedu2Zb8Yz3/wcn9SlJivhvAKT0/5ejxJh&#10;OBTKzHP65fb83YgSH5gpmAYjcroWnp5M3r45ruxYDGABuhCOoBPjx5XN6SIEO84yzxeiZH4PrDCo&#10;lOBKFvDq5lnhWIXeS50Ner3DrAJXWAdceI/Ss0ZJJ8m/lIKHKym9CETnFGML6evSdxa/2eSYjeeO&#10;2YXibRjsFVGUTBl8dOPqjAVGlk7946pU3IEHGfY4lBlIqbhIOWA2/d6TbG4WzIqUC5Lj7YYm///c&#10;8svVtSOqyOnhPiWGlVijh58/Hn79efh9T1CGBFXWjxF3YxEZ6g9QY6E7uUdhzLuWrox/zIigHqle&#10;b+gVdSAchfu94aiHGo6qwejg6CDRn22NrfPho4CSxENOHVYvkcpWFz5gIAjtIPEtD1oV50rrdIkd&#10;I061IyuGtZ7NU4ho8QilDaliqvj0qzygP22ipUi91YYVCWqISKew1iJitPksJHKb+HgmRsa5MKGL&#10;M6EjSmJGLzFs8duoXmLc5IEW6WUwYWNcKgOuYekxtcXXLmTZ4LEwO3nHY6hndWqqfipxFM2gWGP/&#10;OGhG0Ft+rrDKF8yHa+Zw5rAxcI+EK/xIDVglaE+ULMB9f04e8TgKqKWkwhnOqf+2ZE5Qoj8ZHJL3&#10;/eEwDn26DA+OBnhxu5rZrsYsy1PA1unjxrI8HSM+6O4oHZR3uG6m8VVUMcPx7ZyG7ngams2C64qL&#10;6TSBcMwtCxfmxvLoOtIce/i2vmPOto0ecEIuoZt2Nn7S7w02WhqYLgNIlYZhy2pbAFwRaUbadRZ3&#10;0O49obZLd/IXAAD//wMAUEsDBBQABgAIAAAAIQA/sb9q3gAAAAsBAAAPAAAAZHJzL2Rvd25yZXYu&#10;eG1sTI/BTsMwEETvSPyDtUjcqN0UkhLiVBFSTz3RRuXqxiaJGq8j20nD37Oc4Lgzo9k3xW6xA5uN&#10;D71DCeuVAGawcbrHVkJ92j9tgYWoUKvBoZHwbQLsyvu7QuXa3fDDzMfYMirBkCsJXYxjznloOmNV&#10;WLnRIHlfzlsV6fQt117dqNwOPBEi5Vb1SB86NZr3zjTX42QlnA+nPcfDdqpf+qq64mc2v9ZeyseH&#10;pXoDFs0S/8Lwi0/oUBLTxU2oAxskpFlC6JEMsd4Ao0SWCFIupDynG+Blwf9vKH8AAAD//wMAUEsB&#10;Ai0AFAAGAAgAAAAhALaDOJL+AAAA4QEAABMAAAAAAAAAAAAAAAAAAAAAAFtDb250ZW50X1R5cGVz&#10;XS54bWxQSwECLQAUAAYACAAAACEAOP0h/9YAAACUAQAACwAAAAAAAAAAAAAAAAAvAQAAX3JlbHMv&#10;LnJlbHNQSwECLQAUAAYACAAAACEAgJIXH5sCAAC8BQAADgAAAAAAAAAAAAAAAAAuAgAAZHJzL2Uy&#10;b0RvYy54bWxQSwECLQAUAAYACAAAACEAP7G/at4AAAALAQAADwAAAAAAAAAAAAAAAAD1BAAAZHJz&#10;L2Rvd25yZXYueG1sUEsFBgAAAAAEAAQA8wAAAAAGAAAAAA==&#10;" fillcolor="white [3212]" strokecolor="white [3212]" strokeweight=".5pt">
                <v:textbox>
                  <w:txbxContent>
                    <w:p w14:paraId="4FF68B0B"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59616" behindDoc="0" locked="0" layoutInCell="1" allowOverlap="1" wp14:anchorId="148B765A" wp14:editId="1B55E300">
                <wp:simplePos x="0" y="0"/>
                <wp:positionH relativeFrom="column">
                  <wp:posOffset>4653280</wp:posOffset>
                </wp:positionH>
                <wp:positionV relativeFrom="paragraph">
                  <wp:posOffset>414655</wp:posOffset>
                </wp:positionV>
                <wp:extent cx="304800" cy="285750"/>
                <wp:effectExtent l="0" t="0" r="19050" b="19050"/>
                <wp:wrapNone/>
                <wp:docPr id="64" name="文本框 6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0C4D84"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765A" id="文本框 64" o:spid="_x0000_s1037" type="#_x0000_t202" style="position:absolute;left:0;text-align:left;margin-left:366.4pt;margin-top:32.65pt;width:24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YnQIAALwFAAAOAAAAZHJzL2Uyb0RvYy54bWysVM1OGzEQvlfqO1i+l01C+GnEBqUgqkoI&#10;UKHi7HjtZFWv7dpOdtMHoG/QUy+997l4jn72bkKgXEC97I4934xnvvk5Om4qRZbC+dLonPZ3epQI&#10;zU1R6llOv9ycvTukxAemC6aMFjldCU+Px2/fHNV2JAZmblQhHIET7Ue1zek8BDvKMs/nomJ+x1ih&#10;oZTGVSzg6GZZ4VgN75XKBr3eflYbV1hnuPAet6etko6TfykFD5dSehGIyiliC+nr0ncav9n4iI1m&#10;jtl5ybsw2CuiqFip8ejG1SkLjCxc+Y+rquTOeCPDDjdVZqQsuUg5IJt+70k213NmRcoF5Hi7ocn/&#10;P7f8YnnlSFnkdH9IiWYVanT/88f9rz/3v+8I7kBQbf0IuGsLZGg+mAaFXt97XMa8G+mq+EdGBHpQ&#10;vdrQK5pAOC53e8PDHjQcqsHh3sFeoj97MLbOh4/CVCQKOXWoXiKVLc99QCCAriHxLW9UWZyVSqVD&#10;7BhxohxZMtR6OkshwuIRSmlSI9VdPP0qD/CndLQUqbe6sCJBLRFJCislIkbpz0KC28THMzEyzoUO&#10;6zgTOqIkMnqJYYd/iOolxm0esEgvGx02xlWpjWtZekxt8XUdsmzxKMxW3lEMzbRJTdXfNMrUFCv0&#10;jzPtCHrLz0pU+Zz5cMUcZg6NgT0SLvGRyqBKppMomRv3/bn7iMcoQEtJjRnOqf+2YE5Qoj5pDMn7&#10;/nAYhz4dhnsHAxzctma6rdGL6sSgdfrYWJYnMeKDWovSmeoW62YSX4WKaY63cxrW4kloNwvWFReT&#10;SQJhzC0L5/ra8ug60hx7+Ka5Zc52jR4wIRdmPe1s9KTfW2y01GayCEaWaRgi0S2rXQGwItKMdOss&#10;7qDtc0I9LN3xXwAAAP//AwBQSwMEFAAGAAgAAAAhALGB/A7eAAAACgEAAA8AAABkcnMvZG93bnJl&#10;di54bWxMj8FugzAMhu+T9g6RJ+22Ji1qYYxQoUk99bQWddeUZIBKHJQEyt5+3mk72v70+/uL/WIH&#10;NhsfeocS1isBzGDjdI+thPp8eMmAhahQq8GhkfBtAuzLx4dC5drd8cPMp9gyCsGQKwldjGPOeWg6&#10;Y1VYudEg3b6ctyrS6FuuvbpTuB34Rogdt6pH+tCp0bx3prmdJivhcjwfOB6zqd72VXXDz3R+rb2U&#10;z09L9QYsmiX+wfCrT+pQktPVTagDGySkyYbUo4TdNgFGQJoJWlyJXIsEeFnw/xXKHwAAAP//AwBQ&#10;SwECLQAUAAYACAAAACEAtoM4kv4AAADhAQAAEwAAAAAAAAAAAAAAAAAAAAAAW0NvbnRlbnRfVHlw&#10;ZXNdLnhtbFBLAQItABQABgAIAAAAIQA4/SH/1gAAAJQBAAALAAAAAAAAAAAAAAAAAC8BAABfcmVs&#10;cy8ucmVsc1BLAQItABQABgAIAAAAIQB33C+YnQIAALwFAAAOAAAAAAAAAAAAAAAAAC4CAABkcnMv&#10;ZTJvRG9jLnhtbFBLAQItABQABgAIAAAAIQCxgfwO3gAAAAoBAAAPAAAAAAAAAAAAAAAAAPcEAABk&#10;cnMvZG93bnJldi54bWxQSwUGAAAAAAQABADzAAAAAgYAAAAA&#10;" fillcolor="white [3212]" strokecolor="white [3212]" strokeweight=".5pt">
                <v:textbox>
                  <w:txbxContent>
                    <w:p w14:paraId="7D0C4D84"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61664" behindDoc="0" locked="0" layoutInCell="1" allowOverlap="1" wp14:anchorId="1A30B6C9" wp14:editId="7A411723">
                <wp:simplePos x="0" y="0"/>
                <wp:positionH relativeFrom="column">
                  <wp:posOffset>3453130</wp:posOffset>
                </wp:positionH>
                <wp:positionV relativeFrom="paragraph">
                  <wp:posOffset>1891030</wp:posOffset>
                </wp:positionV>
                <wp:extent cx="304800" cy="285750"/>
                <wp:effectExtent l="0" t="0" r="19050" b="19050"/>
                <wp:wrapNone/>
                <wp:docPr id="65" name="文本框 6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FD957E"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B6C9" id="文本框 65" o:spid="_x0000_s1038" type="#_x0000_t202" style="position:absolute;left:0;text-align:left;margin-left:271.9pt;margin-top:148.9pt;width:24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Krng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mLnB6MKNGsQo3ufv64+/Xn7vd3gjsQtLZ+DNy1BTLU702NQnf3Hpcx71q6Kv6REYEe&#10;VG+29Io6EI7L/d7wsAcNh2pwOHo7SvRn98bW+fBBmIpEIacO1UukstW5DwgE0A4S3/JGlcVZqVQ6&#10;xI4RJ8qRFUOtZ/MUIiweoJQma6S6j6df5AH+lI6WIvVWG1YkqCEiSWGjRMQo/UlIcJv4eCJGxrnQ&#10;oYszoSNKIqPnGLb4+6ieY9zkAYv0stFha1yV2riGpYfUFl+6kGWDR2F28o5iqGd1aqr+oGuUmSk2&#10;6B9nmhH0lp+VqPI58+GKOcwcGgN7JFziI5VBlUwrUbIw7ttT9xGPUYCWkjVmOKf+65I5QYn6qDEk&#10;7/rDYRz6dBiO3g5wcLua2a5GL6sTg9bpY2NZnsSID6oTpTPVLdbNNL4KFdMcb+c0dOJJaDYL1hUX&#10;02kCYcwtC+f62vLoOtIce/imvmXOto0eMCEXppt2Nn7U7w02WmozXQYjyzQMkeiG1bYAWBFpRtp1&#10;FnfQ7jmh7pfu5C8AAAD//wMAUEsDBBQABgAIAAAAIQBaDCGn3wAAAAsBAAAPAAAAZHJzL2Rvd25y&#10;ZXYueG1sTI/BboMwEETvlfoP1lbqrTEhIQGKiVClnHJqgtqrg11AwWtkG0L/vttTe5vVjGbeFofF&#10;DGzWzvcWBaxXETCNjVU9tgLqy/ElBeaDRCUHi1rAt/ZwKB8fCpkre8d3PZ9Dy6gEfS4FdCGMOee+&#10;6bSRfmVHjeR9WWdkoNO1XDl5p3Iz8DiKdtzIHmmhk6N+63RzO09GwMfpcuR4Sqc66avqhp/7Oaud&#10;EM9PS/UKLOgl/IXhF5/QoSSmq51QeTYISLYbQg8C4mxPghJJtiZxFbDZxinwsuD/fyh/AAAA//8D&#10;AFBLAQItABQABgAIAAAAIQC2gziS/gAAAOEBAAATAAAAAAAAAAAAAAAAAAAAAABbQ29udGVudF9U&#10;eXBlc10ueG1sUEsBAi0AFAAGAAgAAAAhADj9If/WAAAAlAEAAAsAAAAAAAAAAAAAAAAALwEAAF9y&#10;ZWxzLy5yZWxzUEsBAi0AFAAGAAgAAAAhANlH0queAgAAvAUAAA4AAAAAAAAAAAAAAAAALgIAAGRy&#10;cy9lMm9Eb2MueG1sUEsBAi0AFAAGAAgAAAAhAFoMIaffAAAACwEAAA8AAAAAAAAAAAAAAAAA+AQA&#10;AGRycy9kb3ducmV2LnhtbFBLBQYAAAAABAAEAPMAAAAEBgAAAAA=&#10;" fillcolor="white [3212]" strokecolor="white [3212]" strokeweight=".5pt">
                <v:textbox>
                  <w:txbxContent>
                    <w:p w14:paraId="7BFD957E"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35040" behindDoc="0" locked="0" layoutInCell="1" allowOverlap="1" wp14:anchorId="7048B947" wp14:editId="61104A19">
                <wp:simplePos x="0" y="0"/>
                <wp:positionH relativeFrom="column">
                  <wp:posOffset>3900805</wp:posOffset>
                </wp:positionH>
                <wp:positionV relativeFrom="paragraph">
                  <wp:posOffset>2091055</wp:posOffset>
                </wp:positionV>
                <wp:extent cx="304800" cy="285750"/>
                <wp:effectExtent l="0" t="0" r="19050" b="19050"/>
                <wp:wrapNone/>
                <wp:docPr id="50" name="文本框 5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5F4393"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B947" id="文本框 50" o:spid="_x0000_s1039" type="#_x0000_t202" style="position:absolute;left:0;text-align:left;margin-left:307.15pt;margin-top:164.65pt;width:24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9nQIAALwFAAAOAAAAZHJzL2Uyb0RvYy54bWysVM1OGzEQvlfqO1i+l01C+GnEBqUgqkoI&#10;UKHi7HjtZFWv7dpOsukD0DfoqZfe+1w8Rz97d0OgXEC97I4934xnvvk5Oq4rRZbC+dLonPZ3epQI&#10;zU1R6llOv9ycvTukxAemC6aMFjldC0+Px2/fHK3sSAzM3KhCOAIn2o9WNqfzEOwoyzyfi4r5HWOF&#10;hlIaV7GAo5tlhWMreK9UNuj19rOVcYV1hgvvcXvaKOk4+ZdS8HAppReBqJwitpC+Ln2n8ZuNj9ho&#10;5pidl7wNg70iioqVGo9uXJ2ywMjClf+4qkrujDcy7HBTZUbKkouUA7Lp955kcz1nVqRcQI63G5r8&#10;/3PLL5ZXjpRFTvdAj2YVanT/88f9rz/3v+8I7kDQyvoRcNcWyFB/MDUK3d17XMa8a+mq+EdGBHr4&#10;Wm/oFXUgHJe7veFhDxoO1eBw76Dxnj0YW+fDR2EqEoWcOlQvkcqW5z4gEEA7SHzLG1UWZ6VS6RA7&#10;RpwoR5YMtZ7OUoiweIRSmqxyur+Lp1/lAf6UjpYi9VYbViSoISJJYa1ExCj9WUhwm/h4JkbGudCh&#10;izOhI0oio5cYtviHqF5i3OQBi/Sy0WFjXJXauIalx9QWX7uQZYNHYbbyjmKop3Vqqv5u1yhTU6zR&#10;P840I+gtPytR5XPmwxVzmDk0BvZIuMRHKoMqmVaiZG7c9+fuIx6jAC0lK8xwTv23BXOCEvVJY0je&#10;94dDuA3pMNw7GODgtjXTbY1eVCcGrdPHxrI8iREfVCdKZ6pbrJtJfBUqpjnezmnoxJPQbBasKy4m&#10;kwTCmFsWzvW15dF1pDn28E19y5xtGz1gQi5MN+1s9KTfG2y01GayCEaWaRgi0Q2rbQGwItKMtOss&#10;7qDtc0I9LN3xXwAAAP//AwBQSwMEFAAGAAgAAAAhANVRmYXeAAAACwEAAA8AAABkcnMvZG93bnJl&#10;di54bWxMj0FvgzAMhe+T9h8iT9ptDaUbbSmhQpN66mkt2q4pcQGVOIgEyv79vNN2e/Z7ev6c7Wfb&#10;iQkH3zpSsFxEIJAqZ1qqFZTnw8sGhA+ajO4coYJv9LDPHx8ynRp3pw+cTqEWXEI+1QqaEPpUSl81&#10;aLVfuB6JvasbrA48DrU0g75zue1kHEWJtLolvtDoHt8brG6n0Sr4PJ4Pko6bsXxri+JGX+tpWw5K&#10;PT/NxQ5EwDn8heEXn9EhZ6aLG8l40SlIlq8rjipYxVsWnEiSmMWFN2u2ZJ7J/z/kPwAAAP//AwBQ&#10;SwECLQAUAAYACAAAACEAtoM4kv4AAADhAQAAEwAAAAAAAAAAAAAAAAAAAAAAW0NvbnRlbnRfVHlw&#10;ZXNdLnhtbFBLAQItABQABgAIAAAAIQA4/SH/1gAAAJQBAAALAAAAAAAAAAAAAAAAAC8BAABfcmVs&#10;cy8ucmVsc1BLAQItABQABgAIAAAAIQDOr/X9nQIAALwFAAAOAAAAAAAAAAAAAAAAAC4CAABkcnMv&#10;ZTJvRG9jLnhtbFBLAQItABQABgAIAAAAIQDVUZmF3gAAAAsBAAAPAAAAAAAAAAAAAAAAAPcEAABk&#10;cnMvZG93bnJldi54bWxQSwUGAAAAAAQABADzAAAAAgYAAAAA&#10;" fillcolor="white [3212]" strokecolor="white [3212]" strokeweight=".5pt">
                <v:textbox>
                  <w:txbxContent>
                    <w:p w14:paraId="1F5F4393"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37088" behindDoc="0" locked="0" layoutInCell="1" allowOverlap="1" wp14:anchorId="2DC2A862" wp14:editId="32611619">
                <wp:simplePos x="0" y="0"/>
                <wp:positionH relativeFrom="column">
                  <wp:posOffset>4348480</wp:posOffset>
                </wp:positionH>
                <wp:positionV relativeFrom="paragraph">
                  <wp:posOffset>2576830</wp:posOffset>
                </wp:positionV>
                <wp:extent cx="304800" cy="285750"/>
                <wp:effectExtent l="0" t="0" r="19050" b="19050"/>
                <wp:wrapNone/>
                <wp:docPr id="51" name="文本框 5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3C9C51"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A862" id="文本框 51" o:spid="_x0000_s1040" type="#_x0000_t202" style="position:absolute;left:0;text-align:left;margin-left:342.4pt;margin-top:202.9pt;width:24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Qtng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mLnI76lGhWoUZ3P3/c/fpz9/s7wR0IWls/Bu7aAhnq96ZGobt7j8uYdy1dFf/IiEAP&#10;qjdbekUdCMflfm942IOGQzU4HL0dJfqze2PrfPggTEWikFOH6iVS2ercBwQCaAeJb3mjyuKsVCod&#10;YseIE+XIiqHWs3kKERYPUEqTdU4P9vH0izzAn9LRUqTeasOKBDVEJClslIgYpT8JCW4TH0/EyDgX&#10;OnRxJnRESWT0HMMWfx/Vc4ybPGCRXjY6bI2rUhvXsPSQ2uJLF7Js8CjMTt5RDPWsTk3VH3aNMjPF&#10;Bv3jTDOC3vKzElU+Zz5cMYeZQ2Ngj4RLfKQyqJJpJUoWxn176j7iMQrQUrLGDOfUf10yJyhRHzWG&#10;5F1/OIxDnw7D0dsBDm5XM9vV6GV1YtA6mANEl8SID6oTpTPVLdbNNL4KFdMcb+c0dOJJaDYL1hUX&#10;02kCYcwtC+f62vLoOtIce/imvmXOto0eMCEXppt2Nn7U7w02WmozXQYjyzQMkeiG1bYAWBFpRtp1&#10;FnfQ7jmh7pfu5C8AAAD//wMAUEsDBBQABgAIAAAAIQC/92ni3wAAAAsBAAAPAAAAZHJzL2Rvd25y&#10;ZXYueG1sTI/BTsMwEETvSPyDtUjcqE1p2pDGqSKknnqijcrVjd0karyObCcNf89ygtvszmj2bb6b&#10;bc8m40PnUMLrQgAzWDvdYSOhOu1fUmAhKtSqd2gkfJsAu+LxIVeZdnf8NNMxNoxKMGRKQhvjkHEe&#10;6tZYFRZuMEje1XmrIo2+4dqrO5Xbni+FWHOrOqQLrRrMR2vq23G0Es6H057jIR2rpCvLG35tpvfK&#10;S/n8NJdbYNHM8S8Mv/iEDgUxXdyIOrBewjpdEXqUsBIJCUps3pYkLrRJRAq8yPn/H4ofAAAA//8D&#10;AFBLAQItABQABgAIAAAAIQC2gziS/gAAAOEBAAATAAAAAAAAAAAAAAAAAAAAAABbQ29udGVudF9U&#10;eXBlc10ueG1sUEsBAi0AFAAGAAgAAAAhADj9If/WAAAAlAEAAAsAAAAAAAAAAAAAAAAALwEAAF9y&#10;ZWxzLy5yZWxzUEsBAi0AFAAGAAgAAAAhAB7x1C2eAgAAvAUAAA4AAAAAAAAAAAAAAAAALgIAAGRy&#10;cy9lMm9Eb2MueG1sUEsBAi0AFAAGAAgAAAAhAL/3aeLfAAAACwEAAA8AAAAAAAAAAAAAAAAA+AQA&#10;AGRycy9kb3ducmV2LnhtbFBLBQYAAAAABAAEAPMAAAAEBgAAAAA=&#10;" fillcolor="white [3212]" strokecolor="white [3212]" strokeweight=".5pt">
                <v:textbox>
                  <w:txbxContent>
                    <w:p w14:paraId="533C9C51"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39136" behindDoc="0" locked="0" layoutInCell="1" allowOverlap="1" wp14:anchorId="0895104D" wp14:editId="49382564">
                <wp:simplePos x="0" y="0"/>
                <wp:positionH relativeFrom="column">
                  <wp:posOffset>4710430</wp:posOffset>
                </wp:positionH>
                <wp:positionV relativeFrom="paragraph">
                  <wp:posOffset>2595880</wp:posOffset>
                </wp:positionV>
                <wp:extent cx="304800" cy="285750"/>
                <wp:effectExtent l="0" t="0" r="19050" b="19050"/>
                <wp:wrapNone/>
                <wp:docPr id="52" name="文本框 5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CE8AB2"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5104D" id="文本框 52" o:spid="_x0000_s1041" type="#_x0000_t202" style="position:absolute;left:0;text-align:left;margin-left:370.9pt;margin-top:204.4pt;width:24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6a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ejASWGaazR/c8f97/+3P++I3iHBFXWTxB3bREZ6g9QY6G7e4+XMe9aOh3/mBFBPVK9&#10;2dIr6kA4Xu73huMeajiqBuPR4SjRnz0YW+fDRwGaRCGnDquXSGXrcx8wEIR2kPiWB1UWZ6VS6RA7&#10;RpwoR9YMaz1fpBDR4hFKGVLl9GAfn36VB/SnTLQUqbfasCJBDRFJChslIkaZz0Iit4mPZ2JknAsT&#10;ujgTOqIkZvQSwxb/ENVLjJs80CK9DCZsjXVpwDUsPaa2+NqFLBs8FmYn7yiGel6npuqPukaZQ7HB&#10;/nHQjKC3/KzEKp8zH66Yw5nDxsA9Ei7xIxVglaCVKFmC+/7cfcTjKKCWkgpnOKf+24o5QYn6ZHBI&#10;3veHwzj06TAcHQ7w4HY1812NWekTwNbp48ayPIkRH1QnSgf6FtfNLL6KKmY4vp3T0IknodksuK64&#10;mM0SCMfcsnBuri2PriPNsYdv6lvmbNvoASfkArppZ5Mn/d5go6WB2SqALNMwRKIbVtsC4IpIM9Ku&#10;s7iDds8J9bB0p38BAAD//wMAUEsDBBQABgAIAAAAIQDvCRcD3wAAAAsBAAAPAAAAZHJzL2Rvd25y&#10;ZXYueG1sTI/BTsMwEETvSPyDtUjcqFNoGzeNU0VIPfVEG8HVjd0karyObCcNf89ygtvszmj2bb6f&#10;bc8m40PnUMJykQAzWDvdYSOhOh9eBLAQFWrVOzQSvk2AffH4kKtMuzt+mOkUG0YlGDIloY1xyDgP&#10;dWusCgs3GCTv6rxVkUbfcO3Vncptz1+TZMOt6pAutGow762pb6fRSvg8ng8cj2Ks1l1Z3vArnbaV&#10;l/L5aS53wKKZ418YfvEJHQpiurgRdWC9hHS1JPQoYZUIEpRIxZbEhTbrNwG8yPn/H4ofAAAA//8D&#10;AFBLAQItABQABgAIAAAAIQC2gziS/gAAAOEBAAATAAAAAAAAAAAAAAAAAAAAAABbQ29udGVudF9U&#10;eXBlc10ueG1sUEsBAi0AFAAGAAgAAAAhADj9If/WAAAAlAEAAAsAAAAAAAAAAAAAAAAALwEAAF9y&#10;ZWxzLy5yZWxzUEsBAi0AFAAGAAgAAAAhAJKYDpqeAgAAvAUAAA4AAAAAAAAAAAAAAAAALgIAAGRy&#10;cy9lMm9Eb2MueG1sUEsBAi0AFAAGAAgAAAAhAO8JFwPfAAAACwEAAA8AAAAAAAAAAAAAAAAA+AQA&#10;AGRycy9kb3ducmV2LnhtbFBLBQYAAAAABAAEAPMAAAAEBgAAAAA=&#10;" fillcolor="white [3212]" strokecolor="white [3212]" strokeweight=".5pt">
                <v:textbox>
                  <w:txbxContent>
                    <w:p w14:paraId="03CE8AB2"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1184" behindDoc="0" locked="0" layoutInCell="1" allowOverlap="1" wp14:anchorId="53C2865C" wp14:editId="629490A5">
                <wp:simplePos x="0" y="0"/>
                <wp:positionH relativeFrom="column">
                  <wp:posOffset>3510280</wp:posOffset>
                </wp:positionH>
                <wp:positionV relativeFrom="paragraph">
                  <wp:posOffset>3662680</wp:posOffset>
                </wp:positionV>
                <wp:extent cx="304800" cy="285750"/>
                <wp:effectExtent l="0" t="0" r="19050" b="19050"/>
                <wp:wrapNone/>
                <wp:docPr id="53" name="文本框 5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8BE9AF"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865C" id="文本框 53" o:spid="_x0000_s1042" type="#_x0000_t202" style="position:absolute;left:0;text-align:left;margin-left:276.4pt;margin-top:288.4pt;width:24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pngIAALwFAAAOAAAAZHJzL2Uyb0RvYy54bWysVM1OGzEQvlfqO1i+l01CAmnEBqUgqkoI&#10;UKHi7HjtxKrX49pOdtMHoG/QUy+997l4jo69uyFQLqBedseeb8Yz3/wcHdelJmvhvAKT0/5ejxJh&#10;OBTKLHL65ebs3ZgSH5gpmAYjcroRnh5P3745quxEDGAJuhCOoBPjJ5XN6TIEO8kyz5eiZH4PrDCo&#10;lOBKFvDoFlnhWIXeS50Ner2DrAJXWAdceI+3p42STpN/KQUPl1J6EYjOKcYW0tel7zx+s+kRmywc&#10;s0vF2zDYK6IomTL46NbVKQuMrJz6x1WpuAMPMuxxKDOQUnGRcsBs+r0n2VwvmRUpFyTH2y1N/v+5&#10;5RfrK0dUkdPRPiWGlVij+58/7n/9uf99R/AOCaqsnyDu2iIy1B+gxkJ39x4vY961dGX8Y0YE9Uj1&#10;ZkuvqAPheLnfG457qOGoGoxHh6NEf/ZgbJ0PHwWUJAo5dVi9RCpbn/uAgSC0g8S3PGhVnCmt0yF2&#10;jDjRjqwZ1nq+SCGixSOUNqTK6cE+Pv0qD+hPm2gpUm+1YUWCGiKSFDZaRIw2n4VEbhMfz8TIOBcm&#10;dHEmdERJzOglhi3+IaqXGDd5oEV6GUzYGpfKgGtYekxt8bULWTZ4LMxO3lEM9bxOTdU/6BplDsUG&#10;+8dBM4Le8jOFVT5nPlwxhzOHjYF7JFziR2rAKkErUbIE9/25+4jHUUAtJRXOcE79txVzghL9yeCQ&#10;vO8Ph3Ho02E4Ohzgwe1q5rsasypPAFunjxvL8iRGfNCdKB2Ut7huZvFVVDHD8e2chk48Cc1mwXXF&#10;xWyWQDjmloVzc215dB1pjj18U98yZ9tGDzghF9BNO5s86fcGGy0NzFYBpErDEIluWG0LgCsizUi7&#10;zuIO2j0n1MPSnf4FAAD//wMAUEsDBBQABgAIAAAAIQD4L+SH3AAAAAsBAAAPAAAAZHJzL2Rvd25y&#10;ZXYueG1sTI/BboMwDIbvk/YOkSfttiZFgjJGqNCknnpai7prSjJAJQ5KAmVvP++03T7Lv35/Lver&#10;HdlifBgcSthuBDCDrdMDdhKa8+ElBxaiQq1Gh0bCtwmwrx4fSlVod8cPs5xix6gEQ6Ek9DFOBeeh&#10;7Y1VYeMmg7T7ct6qSKPvuPbqTuV25IkQGbdqQLrQq8m896a9nWYr4XI8Hzge87lJh7q+4edueW28&#10;lM9Pa/0GLJo1/oXhV5/UoSKnq5tRBzZKSNOE1CPBLiOgRCYEwZUg2ebAq5L//6H6AQAA//8DAFBL&#10;AQItABQABgAIAAAAIQC2gziS/gAAAOEBAAATAAAAAAAAAAAAAAAAAAAAAABbQ29udGVudF9UeXBl&#10;c10ueG1sUEsBAi0AFAAGAAgAAAAhADj9If/WAAAAlAEAAAsAAAAAAAAAAAAAAAAALwEAAF9yZWxz&#10;Ly5yZWxzUEsBAi0AFAAGAAgAAAAhADwD86meAgAAvAUAAA4AAAAAAAAAAAAAAAAALgIAAGRycy9l&#10;Mm9Eb2MueG1sUEsBAi0AFAAGAAgAAAAhAPgv5IfcAAAACwEAAA8AAAAAAAAAAAAAAAAA+AQAAGRy&#10;cy9kb3ducmV2LnhtbFBLBQYAAAAABAAEAPMAAAABBgAAAAA=&#10;" fillcolor="white [3212]" strokecolor="white [3212]" strokeweight=".5pt">
                <v:textbox>
                  <w:txbxContent>
                    <w:p w14:paraId="458BE9AF"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3232" behindDoc="0" locked="0" layoutInCell="1" allowOverlap="1" wp14:anchorId="1EBA5CE0" wp14:editId="7CD4C250">
                <wp:simplePos x="0" y="0"/>
                <wp:positionH relativeFrom="column">
                  <wp:posOffset>3900805</wp:posOffset>
                </wp:positionH>
                <wp:positionV relativeFrom="paragraph">
                  <wp:posOffset>3472180</wp:posOffset>
                </wp:positionV>
                <wp:extent cx="304800" cy="285750"/>
                <wp:effectExtent l="0" t="0" r="19050" b="19050"/>
                <wp:wrapNone/>
                <wp:docPr id="54" name="文本框 5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011300"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A5CE0" id="文本框 54" o:spid="_x0000_s1043" type="#_x0000_t202" style="position:absolute;left:0;text-align:left;margin-left:307.15pt;margin-top:273.4pt;width:24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su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ejISWGaazR/c8f97/+3P++I3iHBFXWTxB3bREZ6g9QY6G7e4+XMe9aOh3/mBFBPVK9&#10;2dIr6kA4Xu73huMeajiqBuPR4SjRnz0YW+fDRwGaRCGnDquXSGXrcx8wEIR2kPiWB1UWZ6VS6RA7&#10;RpwoR9YMaz1fpBDR4hFKGVLl9GAfn36VB/SnTLQUqbfasCJBDRFJChslIkaZz0Iit4mPZ2JknAsT&#10;ujgTOqIkZvQSwxb/ENVLjJs80CK9DCZsjXVpwDUsPaa2+NqFLBs8FmYn7yiGel6npuofdo0yh2KD&#10;/eOgGUFv+VmJVT5nPlwxhzOHjYF7JFziRyrAKkErUbIE9/25+4jHUUAtJRXOcE79txVzghL1yeCQ&#10;vO8Ph3Ho02E4Ohzgwe1q5rsas9IngK3Tx41leRIjPqhOlA70La6bWXwVVcxwfDunoRNPQrNZcF1x&#10;MZslEI65ZeHcXFseXUeaYw/f1LfM2bbRA07IBXTTziZP+r3BRksDs1UAWaZhiEQ3rLYFwBWRZqRd&#10;Z3EH7Z4T6mHpTv8CAAD//wMAUEsDBBQABgAIAAAAIQDVhxqr3gAAAAsBAAAPAAAAZHJzL2Rvd25y&#10;ZXYueG1sTI89T8MwEIZ3JP6DdUhs1ElpTRriVBFSp060EaxubJKo8TmynTT8e44Jxnvv0ftR7Bc7&#10;sNn40DuUkK4SYAYbp3tsJdTnw1MGLESFWg0OjYRvE2Bf3t8VKtfuhu9mPsWWkQmGXEnoYhxzzkPT&#10;GavCyo0G6fflvFWRTt9y7dWNzO3A10kiuFU9UkKnRvPWmeZ6mqyEj+P5wPGYTfW2r6orfr7Mu9pL&#10;+fiwVK/AolniHwy/9ak6lNTp4ibUgQ0SRLp5JlTCdiNoAxFCrEm5kLJLM+Blwf9vKH8AAAD//wMA&#10;UEsBAi0AFAAGAAgAAAAhALaDOJL+AAAA4QEAABMAAAAAAAAAAAAAAAAAAAAAAFtDb250ZW50X1R5&#10;cGVzXS54bWxQSwECLQAUAAYACAAAACEAOP0h/9YAAACUAQAACwAAAAAAAAAAAAAAAAAvAQAAX3Jl&#10;bHMvLnJlbHNQSwECLQAUAAYACAAAACEAy03LLp4CAAC8BQAADgAAAAAAAAAAAAAAAAAuAgAAZHJz&#10;L2Uyb0RvYy54bWxQSwECLQAUAAYACAAAACEA1Ycaq94AAAALAQAADwAAAAAAAAAAAAAAAAD4BAAA&#10;ZHJzL2Rvd25yZXYueG1sUEsFBgAAAAAEAAQA8wAAAAMGAAAAAA==&#10;" fillcolor="white [3212]" strokecolor="white [3212]" strokeweight=".5pt">
                <v:textbox>
                  <w:txbxContent>
                    <w:p w14:paraId="43011300"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5280" behindDoc="0" locked="0" layoutInCell="1" allowOverlap="1" wp14:anchorId="3BAA231B" wp14:editId="7B8711CE">
                <wp:simplePos x="0" y="0"/>
                <wp:positionH relativeFrom="column">
                  <wp:posOffset>4348480</wp:posOffset>
                </wp:positionH>
                <wp:positionV relativeFrom="paragraph">
                  <wp:posOffset>3395980</wp:posOffset>
                </wp:positionV>
                <wp:extent cx="304800" cy="285750"/>
                <wp:effectExtent l="0" t="0" r="19050" b="19050"/>
                <wp:wrapNone/>
                <wp:docPr id="55" name="文本框 5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A7FAF3"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A231B" id="文本框 55" o:spid="_x0000_s1044" type="#_x0000_t202" style="position:absolute;left:0;text-align:left;margin-left:342.4pt;margin-top:267.4pt;width:24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Li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ejESWGaazR/c8f97/+3P++I3iHBFXWTxB3bREZ6g9QY6G7e4+XMe9aOh3/mBFBPVK9&#10;2dIr6kA4Xu73huMeajiqBuPR4SjRnz0YW+fDRwGaRCGnDquXSGXrcx8wEIR2kPiWB1UWZ6VS6RA7&#10;RpwoR9YMaz1fpBDR4hFKGVLl9GAfn36VB/SnTLQUqbfasCJBDRFJChslIkaZz0Iit4mPZ2JknAsT&#10;ujgTOqIkZvQSwxb/ENVLjJs80CK9DCZsjXVpwDUsPaa2+NqFLBs8FmYn7yiGel6npuqPu0aZQ7HB&#10;/nHQjKC3/KzEKp8zH66Yw5nDxsA9Ei7xIxVglaCVKFmC+/7cfcTjKKCWkgpnOKf+24o5QYn6ZHBI&#10;3veHwzj06TAcHQ7w4HY1812NWekTwNbp48ayPIkRH1QnSgf6FtfNLL6KKmY4vp3T0IknodksuK64&#10;mM0SCMfcsnBuri2PriPNsYdv6lvmbNvoASfkArppZ5Mn/d5go6WB2SqALNMwRKIbVtsC4IpIM9Ku&#10;s7iDds8J9bB0p38BAAD//wMAUEsDBBQABgAIAAAAIQCoDG4Y3gAAAAsBAAAPAAAAZHJzL2Rvd25y&#10;ZXYueG1sTI9Bb4MwDIXvk/YfIk/abQ1r10IZoUKTeuppLequKfEAlTiIBMr+/dzTdnv2e3r+nO1m&#10;24kJB986UvC6iEAgVc60VCsoT/uXBIQPmozuHKGCH/Swyx8fMp0ad6NPnI6hFlxCPtUKmhD6VEpf&#10;NWi1X7geib1vN1gdeBxqaQZ943LbyWUUbaTVLfGFRvf40WB1PY5Wwflw2ks6JGO5boviSl/xtC0H&#10;pZ6f5uIdRMA5/IXhjs/okDPTxY1kvOgUbJI3Rg8K1qu74ES8WrK48CbeJiDzTP7/If8FAAD//wMA&#10;UEsBAi0AFAAGAAgAAAAhALaDOJL+AAAA4QEAABMAAAAAAAAAAAAAAAAAAAAAAFtDb250ZW50X1R5&#10;cGVzXS54bWxQSwECLQAUAAYACAAAACEAOP0h/9YAAACUAQAACwAAAAAAAAAAAAAAAAAvAQAAX3Jl&#10;bHMvLnJlbHNQSwECLQAUAAYACAAAACEApp8i4p4CAAC8BQAADgAAAAAAAAAAAAAAAAAuAgAAZHJz&#10;L2Uyb0RvYy54bWxQSwECLQAUAAYACAAAACEAqAxuGN4AAAALAQAADwAAAAAAAAAAAAAAAAD4BAAA&#10;ZHJzL2Rvd25yZXYueG1sUEsFBgAAAAAEAAQA8wAAAAMGAAAAAA==&#10;" fillcolor="white [3212]" strokecolor="white [3212]" strokeweight=".5pt">
                <v:textbox>
                  <w:txbxContent>
                    <w:p w14:paraId="37A7FAF3" w14:textId="77777777" w:rsidR="00E933B0" w:rsidRDefault="00E933B0" w:rsidP="00E933B0">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47328" behindDoc="0" locked="0" layoutInCell="1" allowOverlap="1" wp14:anchorId="36632B80" wp14:editId="3652F739">
                <wp:simplePos x="0" y="0"/>
                <wp:positionH relativeFrom="column">
                  <wp:posOffset>4653280</wp:posOffset>
                </wp:positionH>
                <wp:positionV relativeFrom="paragraph">
                  <wp:posOffset>3262630</wp:posOffset>
                </wp:positionV>
                <wp:extent cx="304800" cy="285750"/>
                <wp:effectExtent l="0" t="0" r="19050" b="19050"/>
                <wp:wrapNone/>
                <wp:docPr id="58" name="文本框 5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55BAE9" w14:textId="77777777" w:rsidR="00E933B0" w:rsidRDefault="00E933B0" w:rsidP="00E933B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32B80" id="文本框 58" o:spid="_x0000_s1045" type="#_x0000_t202" style="position:absolute;left:0;text-align:left;margin-left:366.4pt;margin-top:256.9pt;width:24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fxngIAALwFAAAOAAAAZHJzL2Uyb0RvYy54bWysVM1OGzEQvlfqO1i+l01CAiFig1IQVSUE&#10;qFBxdrx2YtXrcW0nu+kDtG/QUy+997l4jo69uyFQLqBedseeb8Yz3/wcn9SlJmvhvAKT0/5ejxJh&#10;OBTKLHL6+fb83ZgSH5gpmAYjcroRnp5M3745ruxEDGAJuhCOoBPjJ5XN6TIEO8kyz5eiZH4PrDCo&#10;lOBKFvDoFlnhWIXeS50Ner2DrAJXWAdceI+3Z42STpN/KQUPV1J6EYjOKcYW0tel7zx+s+kxmywc&#10;s0vF2zDYK6IomTL46NbVGQuMrJz6x1WpuAMPMuxxKDOQUnGRcsBs+r0n2dwsmRUpFyTH2y1N/v+5&#10;5Zfra0dUkdMRVsqwEmt0//PH/a8/97+/E7xDgirrJ4i7sYgM9XuosdDdvcfLmHctXRn/mBFBPVK9&#10;2dIr6kA4Xu73huMeajiqBuPR4SjRnz0YW+fDBwEliUJOHVYvkcrWFz5gIAjtIPEtD1oV50rrdIgd&#10;I061I2uGtZ4vUoho8QilDalyerCPT7/KA/rTJlqK1FttWJGghogkhY0WEaPNJyGR28THMzEyzoUJ&#10;XZwJHVESM3qJYYt/iOolxk0eaJFeBhO2xqUy4BqWHlNbfOlClg0eC7OTdxRDPa9TU/WPukaZQ7HB&#10;/nHQjKC3/FxhlS+YD9fM4cxhY+AeCVf4kRqwStBKlCzBfXvuPuJxFFBLSYUznFP/dcWcoER/NDgk&#10;R/3hMA59OgxHhwM8uF3NfFdjVuUpYOv0cWNZnsSID7oTpYPyDtfNLL6KKmY4vp3T0ImnodksuK64&#10;mM0SCMfcsnBhbiyPriPNsYdv6zvmbNvoASfkErppZ5Mn/d5go6WB2SqAVGkYItENq20BcEWkGWnX&#10;WdxBu+eEeli6078AAAD//wMAUEsDBBQABgAIAAAAIQB1Ekz73gAAAAsBAAAPAAAAZHJzL2Rvd25y&#10;ZXYueG1sTI/BboMwEETvlfoP1kbqrTFJRHEJJkKVcsqpCWqvDnYBBa+RbQj9+25P7W12ZzT7tjgs&#10;dmCz8aF3KGGzToAZbJzusZVQX47PAliICrUaHBoJ3ybAoXx8KFSu3R3fzXyOLaMSDLmS0MU45pyH&#10;pjNWhbUbDZL35bxVkUbfcu3VncrtwLdJ8sKt6pEudGo0b51pbufJSvg4XY4cT2Kq076qbviZza+1&#10;l/JptVR7YNEs8S8Mv/iEDiUxXd2EOrBBQrbbEnqUkG52JCiRiYTElTapEMDLgv//ofwBAAD//wMA&#10;UEsBAi0AFAAGAAgAAAAhALaDOJL+AAAA4QEAABMAAAAAAAAAAAAAAAAAAAAAAFtDb250ZW50X1R5&#10;cGVzXS54bWxQSwECLQAUAAYACAAAACEAOP0h/9YAAACUAQAACwAAAAAAAAAAAAAAAAAvAQAAX3Jl&#10;bHMvLnJlbHNQSwECLQAUAAYACAAAACEAOg8X8Z4CAAC8BQAADgAAAAAAAAAAAAAAAAAuAgAAZHJz&#10;L2Uyb0RvYy54bWxQSwECLQAUAAYACAAAACEAdRJM+94AAAALAQAADwAAAAAAAAAAAAAAAAD4BAAA&#10;ZHJzL2Rvd25yZXYueG1sUEsFBgAAAAAEAAQA8wAAAAMGAAAAAA==&#10;" fillcolor="white [3212]" strokecolor="white [3212]" strokeweight=".5pt">
                <v:textbox>
                  <w:txbxContent>
                    <w:p w14:paraId="5E55BAE9" w14:textId="77777777" w:rsidR="00E933B0" w:rsidRDefault="00E933B0" w:rsidP="00E933B0">
                      <w:pPr>
                        <w:rPr>
                          <w:lang w:eastAsia="zh-CN"/>
                        </w:rPr>
                      </w:pPr>
                      <w:r>
                        <w:rPr>
                          <w:rFonts w:hint="eastAsia"/>
                          <w:lang w:eastAsia="zh-CN"/>
                        </w:rPr>
                        <w:t>a</w:t>
                      </w:r>
                    </w:p>
                  </w:txbxContent>
                </v:textbox>
              </v:shape>
            </w:pict>
          </mc:Fallback>
        </mc:AlternateContent>
      </w:r>
      <w:r w:rsidR="00DB7042" w:rsidRPr="00E47A42">
        <w:rPr>
          <w:rFonts w:ascii="Book Antiqua" w:hAnsi="Book Antiqua" w:cs="Times New Roman"/>
          <w:noProof/>
          <w:sz w:val="24"/>
          <w:szCs w:val="24"/>
          <w:lang w:val="en-US" w:eastAsia="zh-CN"/>
        </w:rPr>
        <w:drawing>
          <wp:inline distT="0" distB="0" distL="0" distR="0" wp14:anchorId="5D9B8D1A" wp14:editId="428BDF04">
            <wp:extent cx="4823856" cy="6515100"/>
            <wp:effectExtent l="0" t="0" r="0" b="0"/>
            <wp:docPr id="1" name="Picture 1" descr="D:\Users\predrag.sikiric\Documents\drmic radovi\drmic caecum\Figures TIFF revised  9.4.2018\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redrag.sikiric\Documents\drmic radovi\drmic caecum\Figures TIFF revised  9.4.2018\Fig.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2929" cy="6513848"/>
                    </a:xfrm>
                    <a:prstGeom prst="rect">
                      <a:avLst/>
                    </a:prstGeom>
                    <a:noFill/>
                    <a:ln>
                      <a:noFill/>
                    </a:ln>
                  </pic:spPr>
                </pic:pic>
              </a:graphicData>
            </a:graphic>
          </wp:inline>
        </w:drawing>
      </w:r>
    </w:p>
    <w:p w14:paraId="136D27C6" w14:textId="0DD4E7D9" w:rsidR="00EE3106" w:rsidRDefault="00DB7042" w:rsidP="00DB7042">
      <w:pPr>
        <w:autoSpaceDE w:val="0"/>
        <w:adjustRightInd w:val="0"/>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1</w:t>
      </w:r>
      <w:r>
        <w:rPr>
          <w:rFonts w:ascii="Book Antiqua" w:hAnsi="Book Antiqua" w:cs="Times New Roman" w:hint="eastAsia"/>
          <w:b/>
          <w:sz w:val="24"/>
          <w:szCs w:val="24"/>
          <w:lang w:val="en-US" w:eastAsia="zh-CN"/>
        </w:rPr>
        <w:t xml:space="preserve"> </w:t>
      </w:r>
      <w:r w:rsidRPr="00986BA6">
        <w:rPr>
          <w:rFonts w:ascii="Book Antiqua" w:hAnsi="Book Antiqua" w:cs="Times New Roman"/>
          <w:b/>
          <w:sz w:val="24"/>
          <w:szCs w:val="24"/>
          <w:lang w:val="en-US"/>
        </w:rPr>
        <w:t xml:space="preserve">Blood vessels, filled/appearance or cleared out/disappearance (assessed with a USB microscope camera, </w:t>
      </w:r>
      <w:proofErr w:type="spellStart"/>
      <w:r w:rsidRPr="00986BA6">
        <w:rPr>
          <w:rFonts w:ascii="Book Antiqua" w:hAnsi="Book Antiqua" w:cs="Times New Roman"/>
          <w:b/>
          <w:sz w:val="24"/>
          <w:szCs w:val="24"/>
          <w:lang w:val="en-US"/>
        </w:rPr>
        <w:t>Veho</w:t>
      </w:r>
      <w:proofErr w:type="spellEnd"/>
      <w:r w:rsidRPr="00986BA6">
        <w:rPr>
          <w:rFonts w:ascii="Book Antiqua" w:hAnsi="Book Antiqua" w:cs="Times New Roman"/>
          <w:b/>
          <w:sz w:val="24"/>
          <w:szCs w:val="24"/>
          <w:lang w:val="en-US"/>
        </w:rPr>
        <w:t xml:space="preserve"> discovery VMS-004D-400x USB microscope, as </w:t>
      </w:r>
      <w:r w:rsidR="00986BA6" w:rsidRPr="00986BA6">
        <w:rPr>
          <w:rFonts w:ascii="Book Antiqua" w:hAnsi="Book Antiqua" w:cs="Times New Roman" w:hint="eastAsia"/>
          <w:b/>
          <w:sz w:val="24"/>
          <w:szCs w:val="24"/>
          <w:lang w:val="en-US" w:eastAsia="zh-CN"/>
        </w:rPr>
        <w:t>[</w:t>
      </w:r>
      <w:r w:rsidRPr="00986BA6">
        <w:rPr>
          <w:rFonts w:ascii="Book Antiqua" w:hAnsi="Book Antiqua" w:cs="Times New Roman"/>
          <w:b/>
          <w:sz w:val="24"/>
          <w:szCs w:val="24"/>
          <w:lang w:val="en-US"/>
        </w:rPr>
        <w:t>total % of cecum vessels augmentation/reduction from proximal to distal end = [number of blood vessels (10 vessels assessed) /100] x % of augmentation/reducing of each vasa recta (0 as point immediately before therapy) (A</w:t>
      </w:r>
      <w:r w:rsidR="00986BA6" w:rsidRPr="00986BA6">
        <w:rPr>
          <w:rFonts w:ascii="Book Antiqua" w:hAnsi="Book Antiqua" w:cs="Times New Roman"/>
          <w:b/>
          <w:sz w:val="24"/>
          <w:szCs w:val="24"/>
          <w:lang w:val="en-US" w:eastAsia="zh-CN"/>
        </w:rPr>
        <w:t>)</w:t>
      </w:r>
      <w:r w:rsidR="00986BA6" w:rsidRPr="00986BA6">
        <w:rPr>
          <w:rFonts w:ascii="Book Antiqua" w:hAnsi="Book Antiqua" w:cs="Times New Roman" w:hint="eastAsia"/>
          <w:b/>
          <w:sz w:val="24"/>
          <w:szCs w:val="24"/>
          <w:lang w:val="en-US" w:eastAsia="zh-CN"/>
        </w:rPr>
        <w:t>]</w:t>
      </w:r>
      <w:r w:rsidRPr="00986BA6">
        <w:rPr>
          <w:rFonts w:ascii="Book Antiqua" w:hAnsi="Book Antiqua" w:cs="Times New Roman"/>
          <w:b/>
          <w:sz w:val="24"/>
          <w:szCs w:val="24"/>
          <w:lang w:val="en-US"/>
        </w:rPr>
        <w:t>.</w:t>
      </w:r>
      <w:r w:rsidRPr="00E47A42">
        <w:rPr>
          <w:rFonts w:ascii="Book Antiqua" w:hAnsi="Book Antiqua" w:cs="Times New Roman"/>
          <w:sz w:val="24"/>
          <w:szCs w:val="24"/>
          <w:lang w:val="en-US"/>
        </w:rPr>
        <w:t xml:space="preserve"> A–after perforation (1 min);</w:t>
      </w:r>
      <w:r w:rsidR="00986BA6">
        <w:rPr>
          <w:rFonts w:ascii="Book Antiqua" w:hAnsi="Book Antiqua" w:cs="Times New Roman"/>
          <w:sz w:val="24"/>
          <w:szCs w:val="24"/>
          <w:lang w:val="en-US"/>
        </w:rPr>
        <w:t xml:space="preserve"> B–during application (2 min</w:t>
      </w:r>
      <w:r w:rsidRPr="00E47A42">
        <w:rPr>
          <w:rFonts w:ascii="Book Antiqua" w:hAnsi="Book Antiqua" w:cs="Times New Roman"/>
          <w:sz w:val="24"/>
          <w:szCs w:val="24"/>
          <w:lang w:val="en-US"/>
        </w:rPr>
        <w:t>); C– the per</w:t>
      </w:r>
      <w:r w:rsidR="00986BA6">
        <w:rPr>
          <w:rFonts w:ascii="Book Antiqua" w:hAnsi="Book Antiqua" w:cs="Times New Roman"/>
          <w:sz w:val="24"/>
          <w:szCs w:val="24"/>
          <w:lang w:val="en-US"/>
        </w:rPr>
        <w:t>iod after application (2 min</w:t>
      </w:r>
      <w:r w:rsidRPr="00E47A42">
        <w:rPr>
          <w:rFonts w:ascii="Book Antiqua" w:hAnsi="Book Antiqua" w:cs="Times New Roman"/>
          <w:sz w:val="24"/>
          <w:szCs w:val="24"/>
          <w:lang w:val="en-US"/>
        </w:rPr>
        <w:t xml:space="preserve">); </w:t>
      </w:r>
      <w:r w:rsidR="00986BA6">
        <w:rPr>
          <w:rFonts w:ascii="Book Antiqua" w:hAnsi="Book Antiqua" w:cs="Times New Roman"/>
          <w:sz w:val="24"/>
          <w:szCs w:val="24"/>
          <w:lang w:val="en-US"/>
        </w:rPr>
        <w:t>D- the subsequent 5</w:t>
      </w:r>
      <w:r w:rsidR="00986BA6">
        <w:rPr>
          <w:rFonts w:ascii="Book Antiqua" w:hAnsi="Book Antiqua" w:cs="Times New Roman" w:hint="eastAsia"/>
          <w:sz w:val="24"/>
          <w:szCs w:val="24"/>
          <w:lang w:val="en-US" w:eastAsia="zh-CN"/>
        </w:rPr>
        <w:t>-</w:t>
      </w:r>
      <w:r w:rsidR="00986BA6">
        <w:rPr>
          <w:rFonts w:ascii="Book Antiqua" w:hAnsi="Book Antiqua" w:cs="Times New Roman"/>
          <w:sz w:val="24"/>
          <w:szCs w:val="24"/>
          <w:lang w:val="en-US"/>
        </w:rPr>
        <w:t>min</w:t>
      </w:r>
      <w:r w:rsidRPr="00E47A42">
        <w:rPr>
          <w:rFonts w:ascii="Book Antiqua" w:hAnsi="Book Antiqua" w:cs="Times New Roman"/>
          <w:sz w:val="24"/>
          <w:szCs w:val="24"/>
          <w:lang w:val="en-US"/>
        </w:rPr>
        <w:t xml:space="preserve"> period; E– the period until the en</w:t>
      </w:r>
      <w:r w:rsidR="00986BA6">
        <w:rPr>
          <w:rFonts w:ascii="Book Antiqua" w:hAnsi="Book Antiqua" w:cs="Times New Roman"/>
          <w:sz w:val="24"/>
          <w:szCs w:val="24"/>
          <w:lang w:val="en-US"/>
        </w:rPr>
        <w:t>d of the observation (15 min</w:t>
      </w:r>
      <w:r w:rsidRPr="00E47A42">
        <w:rPr>
          <w:rFonts w:ascii="Book Antiqua" w:hAnsi="Book Antiqua" w:cs="Times New Roman"/>
          <w:sz w:val="24"/>
          <w:szCs w:val="24"/>
          <w:lang w:val="en-US"/>
        </w:rPr>
        <w:t>). At 1 min post-injury, medication (/kg, 10 m</w:t>
      </w:r>
      <w:r w:rsidRPr="00986BA6">
        <w:rPr>
          <w:rFonts w:ascii="Book Antiqua" w:hAnsi="Book Antiqua" w:cs="Times New Roman"/>
          <w:caps/>
          <w:sz w:val="24"/>
          <w:szCs w:val="24"/>
          <w:lang w:val="en-US"/>
        </w:rPr>
        <w:t>l</w:t>
      </w:r>
      <w:r w:rsidRPr="00E47A42">
        <w:rPr>
          <w:rFonts w:ascii="Book Antiqua" w:hAnsi="Book Antiqua" w:cs="Times New Roman"/>
          <w:sz w:val="24"/>
          <w:szCs w:val="24"/>
          <w:lang w:val="en-US"/>
        </w:rPr>
        <w:t xml:space="preserve">/2 min bath/rat) administered at the </w:t>
      </w:r>
      <w:r w:rsidRPr="00E47A42">
        <w:rPr>
          <w:rFonts w:ascii="Book Antiqua" w:hAnsi="Book Antiqua" w:cs="Times New Roman"/>
          <w:sz w:val="24"/>
          <w:szCs w:val="24"/>
          <w:lang w:val="en-US"/>
        </w:rPr>
        <w:lastRenderedPageBreak/>
        <w:t>perforated (5 mm diameter) cecum lesion and cecum (M-mucosa; S-serosa), including BPC 157 (10 µg), NOS blocker L-NAME (5 mg), NOS substrate L-arginine (100 mg) alone or combined, and saline bath of equal volume (controls).</w:t>
      </w:r>
      <w:r>
        <w:rPr>
          <w:rFonts w:ascii="Book Antiqua" w:hAnsi="Book Antiqua" w:cs="Times New Roman"/>
          <w:sz w:val="24"/>
          <w:szCs w:val="24"/>
          <w:lang w:val="en-US"/>
        </w:rPr>
        <w:t xml:space="preserve"> </w:t>
      </w:r>
      <w:r w:rsidRPr="00E47A42">
        <w:rPr>
          <w:rFonts w:ascii="Book Antiqua" w:hAnsi="Book Antiqua" w:cs="Times New Roman"/>
          <w:sz w:val="24"/>
          <w:szCs w:val="24"/>
          <w:lang w:val="en-US"/>
        </w:rPr>
        <w:t xml:space="preserve">Rats were then left after abdominal closure undisturbed until sacrifice, at day 1 or day 7. </w:t>
      </w:r>
      <w:proofErr w:type="spellStart"/>
      <w:r w:rsidR="008C4C80" w:rsidRPr="008C4C80">
        <w:rPr>
          <w:rFonts w:ascii="Book Antiqua" w:hAnsi="Book Antiqua" w:cs="Times New Roman" w:hint="eastAsia"/>
          <w:sz w:val="24"/>
          <w:szCs w:val="24"/>
          <w:vertAlign w:val="superscript"/>
          <w:lang w:val="en-US" w:eastAsia="zh-CN"/>
        </w:rPr>
        <w:t>a</w:t>
      </w:r>
      <w:r w:rsidRPr="00E104E4">
        <w:rPr>
          <w:rFonts w:ascii="Book Antiqua" w:hAnsi="Book Antiqua" w:cs="Times New Roman"/>
          <w:i/>
          <w:sz w:val="24"/>
          <w:szCs w:val="24"/>
          <w:lang w:val="en-US"/>
        </w:rPr>
        <w:t>P</w:t>
      </w:r>
      <w:proofErr w:type="spellEnd"/>
      <w:r w:rsidR="00E104E4">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&lt;</w:t>
      </w:r>
      <w:r w:rsidR="00E104E4">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0.05 </w:t>
      </w:r>
      <w:r w:rsidR="00C8364B" w:rsidRPr="00C8364B">
        <w:rPr>
          <w:rFonts w:ascii="Book Antiqua" w:hAnsi="Book Antiqua" w:cs="Times New Roman" w:hint="eastAsia"/>
          <w:i/>
          <w:sz w:val="24"/>
          <w:szCs w:val="24"/>
          <w:lang w:val="en-US" w:eastAsia="zh-CN"/>
        </w:rPr>
        <w:t xml:space="preserve">vs </w:t>
      </w:r>
      <w:r w:rsidRPr="00E47A42">
        <w:rPr>
          <w:rFonts w:ascii="Book Antiqua" w:hAnsi="Book Antiqua" w:cs="Times New Roman"/>
          <w:sz w:val="24"/>
          <w:szCs w:val="24"/>
          <w:lang w:val="en-US"/>
        </w:rPr>
        <w:t>control.</w:t>
      </w:r>
    </w:p>
    <w:p w14:paraId="75D00C17" w14:textId="77777777" w:rsidR="00EE3106" w:rsidRDefault="00EE3106">
      <w:pPr>
        <w:rPr>
          <w:rFonts w:ascii="Book Antiqua" w:hAnsi="Book Antiqua" w:cs="Times New Roman"/>
          <w:sz w:val="24"/>
          <w:szCs w:val="24"/>
          <w:lang w:val="en-US"/>
        </w:rPr>
      </w:pPr>
      <w:r>
        <w:rPr>
          <w:rFonts w:ascii="Book Antiqua" w:hAnsi="Book Antiqua" w:cs="Times New Roman"/>
          <w:sz w:val="24"/>
          <w:szCs w:val="24"/>
          <w:lang w:val="en-US"/>
        </w:rPr>
        <w:br w:type="page"/>
      </w:r>
    </w:p>
    <w:p w14:paraId="6977D0E6" w14:textId="6CF822CD" w:rsidR="00EA6E12" w:rsidRDefault="008B5977" w:rsidP="00EE3106">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732992" behindDoc="0" locked="0" layoutInCell="1" allowOverlap="1" wp14:anchorId="5A9C968D" wp14:editId="254D7784">
                <wp:simplePos x="0" y="0"/>
                <wp:positionH relativeFrom="column">
                  <wp:posOffset>5501005</wp:posOffset>
                </wp:positionH>
                <wp:positionV relativeFrom="paragraph">
                  <wp:posOffset>6634480</wp:posOffset>
                </wp:positionV>
                <wp:extent cx="304800" cy="285750"/>
                <wp:effectExtent l="0" t="0" r="19050" b="19050"/>
                <wp:wrapNone/>
                <wp:docPr id="49" name="文本框 4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6106DA"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C968D" id="文本框 49" o:spid="_x0000_s1046" type="#_x0000_t202" style="position:absolute;left:0;text-align:left;margin-left:433.15pt;margin-top:522.4pt;width:24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GenQIAALwFAAAOAAAAZHJzL2Uyb0RvYy54bWysVM1OGzEQvlfqO1i+l01CgBCxQSmIqhIC&#10;VKg4O147ser1uLaT3fQB2jfoqZfe+1w8R8fe3SRQLqBedu2Zb8Yz3/ycnNalJivhvAKT0/5ejxJh&#10;OBTKzHP6+e7i3YgSH5gpmAYjcroWnp5O3r45qexYDGABuhCOoBPjx5XN6SIEO84yzxeiZH4PrDCo&#10;lOBKFvDq5lnhWIXeS50Ner3DrAJXWAdceI/S80ZJJ8m/lIKHaym9CETnFGML6evSdxa/2eSEjeeO&#10;2YXibRjsFVGUTBl8dOPqnAVGlk7946pU3IEHGfY4lBlIqbhIOWA2/d6TbG4XzIqUC5Lj7YYm///c&#10;8qvVjSOqyOnwmBLDSqzRw88fD7/+PPz+TlCGBFXWjxF3axEZ6vdQY6E7uUdhzLuWrox/zIigHqle&#10;b+gVdSAchfu94aiHGo6qwejg6CDRn22NrfPhg4CSxENOHVYvkcpWlz5gIAjtIPEtD1oVF0rrdIkd&#10;I860IyuGtZ7NU4ho8QilDalyeriPT7/KA/rTJlqK1FttWJGghoh0CmstIkabT0Iit4mPZ2JknAsT&#10;ujgTOqIkZvQSwxa/jeolxk0eaJFeBhM2xqUy4BqWHlNbfOlClg0eC7OTdzyGelanphqkEkfRDIo1&#10;9o+DZgS95RcKq3zJfLhhDmcOGwP3SLjGj9SAVYL2RMkC3Lfn5BGPo4BaSiqc4Zz6r0vmBCX6o8Eh&#10;Oe4Ph3Ho02V4cITRELerme1qzLI8A2ydPm4sy9Mx4oPujtJBeY/rZhpfRRUzHN/OaeiOZ6HZLLiu&#10;uJhOEwjH3LJwaW4tj64jzbGH7+p75mzb6AEn5Aq6aWfjJ/3eYKOlgekygFRpGLastgXAFZFmpF1n&#10;cQft3hNqu3QnfwEAAP//AwBQSwMEFAAGAAgAAAAhAPdmoGvfAAAADQEAAA8AAABkcnMvZG93bnJl&#10;di54bWxMj8FugzAQRO+V+g/WVuqtMWkpNQQToUo55dQEpVcHHEDBa2QbQv++m1N73Jmn2Zl8u5iB&#10;zdr53qKE9SoCprG2TY+thOq4exHAfFDYqMGilvCjPWyLx4dcZY294ZeeD6FlFII+UxK6EMaMc193&#10;2ii/sqNG8i7WGRXodC1vnLpRuBn4axQl3Kge6UOnRv3Z6fp6mIyE0/6447gXU/Xel+UVvz/mtHJS&#10;Pj8t5QZY0Ev4g+Fen6pDQZ3OdsLGs0GCSJI3QsmI4phGEJKuY5LOd0mkAniR8/8ril8AAAD//wMA&#10;UEsBAi0AFAAGAAgAAAAhALaDOJL+AAAA4QEAABMAAAAAAAAAAAAAAAAAAAAAAFtDb250ZW50X1R5&#10;cGVzXS54bWxQSwECLQAUAAYACAAAACEAOP0h/9YAAACUAQAACwAAAAAAAAAAAAAAAAAvAQAAX3Jl&#10;bHMvLnJlbHNQSwECLQAUAAYACAAAACEA4gmRnp0CAAC8BQAADgAAAAAAAAAAAAAAAAAuAgAAZHJz&#10;L2Uyb0RvYy54bWxQSwECLQAUAAYACAAAACEA92aga98AAAANAQAADwAAAAAAAAAAAAAAAAD3BAAA&#10;ZHJzL2Rvd25yZXYueG1sUEsFBgAAAAAEAAQA8wAAAAMGAAAAAA==&#10;" fillcolor="white [3212]" strokecolor="white [3212]" strokeweight=".5pt">
                <v:textbox>
                  <w:txbxContent>
                    <w:p w14:paraId="356106DA"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30944" behindDoc="0" locked="0" layoutInCell="1" allowOverlap="1" wp14:anchorId="1B90E712" wp14:editId="065BFE73">
                <wp:simplePos x="0" y="0"/>
                <wp:positionH relativeFrom="column">
                  <wp:posOffset>5034280</wp:posOffset>
                </wp:positionH>
                <wp:positionV relativeFrom="paragraph">
                  <wp:posOffset>6634480</wp:posOffset>
                </wp:positionV>
                <wp:extent cx="304800" cy="285750"/>
                <wp:effectExtent l="0" t="0" r="19050" b="19050"/>
                <wp:wrapNone/>
                <wp:docPr id="48" name="文本框 4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958181"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0E712" id="文本框 48" o:spid="_x0000_s1047" type="#_x0000_t202" style="position:absolute;left:0;text-align:left;margin-left:396.4pt;margin-top:522.4pt;width:24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LcnQIAALwFAAAOAAAAZHJzL2Uyb0RvYy54bWysVM1OGzEQvlfqO1i+l01C+GnEBqUgqkoI&#10;UKHi7HjtZFWv7dpOdtMHoG/QUy+997l4jn72bkKgXEC97I4934xnvvk5Om4qRZbC+dLonPZ3epQI&#10;zU1R6llOv9ycvTukxAemC6aMFjldCU+Px2/fHNV2JAZmblQhHIET7Ue1zek8BDvKMs/nomJ+x1ih&#10;oZTGVSzg6GZZ4VgN75XKBr3eflYbV1hnuPAet6etko6TfykFD5dSehGIyiliC+nr0ncav9n4iI1m&#10;jtl5ybsw2CuiqFip8ejG1SkLjCxc+Y+rquTOeCPDDjdVZqQsuUg5IJt+70k213NmRcoF5Hi7ocn/&#10;P7f8YnnlSFnkdIhKaVahRvc/f9z/+nP/+47gDgTV1o+Au7ZAhuaDaVDo9b3HZcy7ka6Kf2REoAfV&#10;qw29ogmE43K3NzzsQcOhGhzuHewl+rMHY+t8+ChMRaKQU4fqJVLZ8twHBALoGhLf8kaVxVmpVDrE&#10;jhEnypElQ62nsxQiLB6hlCZ1Tvd38fSrPMCf0tFSpN7qwooEtUQkKayUiBilPwsJbhMfz8TIOBc6&#10;rONM6IiSyOglhh3+IaqXGLd5wCK9bHTYGFelNq5l6TG1xdd1yLLFozBbeUcxNNMmNdVg0yhTU6zQ&#10;P860I+gtPytR5XPmwxVzmDk0BvZIuMRHKoMqmU6iZG7c9+fuIx6jAC0lNWY4p/7bgjlBifqkMSTv&#10;+8NhHPp0GO4dDHBw25rptkYvqhOD1uljY1mexIgPai1KZ6pbrJtJfBUqpjnezmlYiyeh3SxYV1xM&#10;JgmEMbcsnOtry6PrSHPs4ZvmljnbNXrAhFyY9bSz0ZN+b7HRUpvJIhhZpmGIRLesdgXAikgz0q2z&#10;uIO2zwn1sHTHfwEAAP//AwBQSwMEFAAGAAgAAAAhANAhOFnfAAAADQEAAA8AAABkcnMvZG93bnJl&#10;di54bWxMj8FugzAQRO+V+g/WVuqtsRvRxhBMhCrllFMT1F4d7AAKXiNsCP37bk7tbXZnNPs23y2u&#10;Z7MdQ+dRwetKALNYe9Nho6A67V8ksBA1Gt17tAp+bIBd8fiQ68z4G37a+RgbRiUYMq2gjXHIOA91&#10;a50OKz9YJO/iR6cjjWPDzahvVO56vhbinTvdIV1o9WA/Wltfj5NT8HU47Tke5FS9dWV5xe/NnFaj&#10;Us9PS7kFFu0S/8Jwxyd0KIjp7Cc0gfUKNuma0CMZIklIUUQmgsT5vpKpBF7k/P8XxS8AAAD//wMA&#10;UEsBAi0AFAAGAAgAAAAhALaDOJL+AAAA4QEAABMAAAAAAAAAAAAAAAAAAAAAAFtDb250ZW50X1R5&#10;cGVzXS54bWxQSwECLQAUAAYACAAAACEAOP0h/9YAAACUAQAACwAAAAAAAAAAAAAAAAAvAQAAX3Jl&#10;bHMvLnJlbHNQSwECLQAUAAYACAAAACEA8/CC3J0CAAC8BQAADgAAAAAAAAAAAAAAAAAuAgAAZHJz&#10;L2Uyb0RvYy54bWxQSwECLQAUAAYACAAAACEA0CE4Wd8AAAANAQAADwAAAAAAAAAAAAAAAAD3BAAA&#10;ZHJzL2Rvd25yZXYueG1sUEsFBgAAAAAEAAQA8wAAAAMGAAAAAA==&#10;" fillcolor="white [3212]" strokecolor="white [3212]" strokeweight=".5pt">
                <v:textbox>
                  <w:txbxContent>
                    <w:p w14:paraId="13958181"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6848" behindDoc="0" locked="0" layoutInCell="1" allowOverlap="1" wp14:anchorId="25E29A19" wp14:editId="18952783">
                <wp:simplePos x="0" y="0"/>
                <wp:positionH relativeFrom="column">
                  <wp:posOffset>4577080</wp:posOffset>
                </wp:positionH>
                <wp:positionV relativeFrom="paragraph">
                  <wp:posOffset>6644005</wp:posOffset>
                </wp:positionV>
                <wp:extent cx="304800" cy="285750"/>
                <wp:effectExtent l="0" t="0" r="19050" b="19050"/>
                <wp:wrapNone/>
                <wp:docPr id="46" name="文本框 4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420A48"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9A19" id="文本框 46" o:spid="_x0000_s1048" type="#_x0000_t202" style="position:absolute;left:0;text-align:left;margin-left:360.4pt;margin-top:523.15pt;width:24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zcngIAALwFAAAOAAAAZHJzL2Uyb0RvYy54bWysVM1OGzEQvlfqO1i+l01C+GnEBqVBVJUQ&#10;oELF2fHayaq2x7Wd7KYPQN+gp15673PxHB17d5NAuYB62R17vhnPfPNzclprRVbC+RJMTvt7PUqE&#10;4VCUZp7TL7fn744p8YGZgikwIqdr4enp+O2bk8qOxAAWoArhCDoxflTZnC5CsKMs83whNPN7YIVB&#10;pQSnWcCjm2eFYxV61yob9HqHWQWusA648B5vzxolHSf/UgoerqT0IhCVU4wtpK9L31n8ZuMTNpo7&#10;Zhclb8Ngr4hCs9LgoxtXZywwsnTlP650yR14kGGPg85AypKLlANm0+89yeZmwaxIuSA53m5o8v/P&#10;Lb9cXTtSFjkdHlJimMYaPfz88fDrz8Pve4J3SFBl/QhxNxaRof4ANRa6u/d4GfOupdPxjxkR1CPV&#10;6w29og6E4+V+b3jcQw1H1eD44Ogg0Z9tja3z4aMATaKQU4fVS6Sy1YUPGAhCO0h8y4Mqi/NSqXSI&#10;HSOmypEVw1rP5ilEtHiEUoZUOT3cx6df5QH9KRMtReqtNqxIUENEksJaiYhR5rOQyG3i45kYGefC&#10;hC7OhI4oiRm9xLDFb6N6iXGTB1qkl8GEjbEuDbiGpcfUFl+7kGWDx8Ls5B3FUM/q1FSDQdcoMyjW&#10;2D8OmhH0lp+XWOUL5sM1czhz2Bi4R8IVfqQCrBK0EiULcN+fu494HAXUUlLhDOfUf1syJyhRnwwO&#10;yfv+cBiHPh2GB0cDPLhdzWxXY5Z6Ctg6fdxYlicx4oPqROlA3+G6mcRXUcUMx7dzGjpxGprNguuK&#10;i8kkgXDMLQsX5sby6DrSHHv4tr5jzraNHnBCLqGbdjZ60u8NNloamCwDyDINQyS6YbUtAK6INCPt&#10;Oos7aPecUNulO/4LAAD//wMAUEsDBBQABgAIAAAAIQAqRSCA3wAAAA0BAAAPAAAAZHJzL2Rvd25y&#10;ZXYueG1sTI/BboMwEETvlfoP1kbqrTFJWiAEE6FKOeXUBKVXB7uAgtfINoT+fTen9rgzo9k3+X42&#10;PZu0851FAatlBExjbVWHjYDqfHhNgfkgUcneohbwoz3si+enXGbK3vFTT6fQMCpBn0kBbQhDxrmv&#10;W22kX9pBI3nf1hkZ6HQNV07eqdz0fB1FMTeyQ/rQykF/tLq+nUYj4HI8Hzge07F678ryhl/JtK2c&#10;EC+LudwBC3oOf2F44BM6FMR0tSMqz3oByToi9EBG9BZvgFEkiVOSrg9pu9oAL3L+f0XxCwAA//8D&#10;AFBLAQItABQABgAIAAAAIQC2gziS/gAAAOEBAAATAAAAAAAAAAAAAAAAAAAAAABbQ29udGVudF9U&#10;eXBlc10ueG1sUEsBAi0AFAAGAAgAAAAhADj9If/WAAAAlAEAAAsAAAAAAAAAAAAAAAAALwEAAF9y&#10;ZWxzLy5yZWxzUEsBAi0AFAAGAAgAAAAhACPZzNyeAgAAvAUAAA4AAAAAAAAAAAAAAAAALgIAAGRy&#10;cy9lMm9Eb2MueG1sUEsBAi0AFAAGAAgAAAAhACpFIIDfAAAADQEAAA8AAAAAAAAAAAAAAAAA+AQA&#10;AGRycy9kb3ducmV2LnhtbFBLBQYAAAAABAAEAPMAAAAEBgAAAAA=&#10;" fillcolor="white [3212]" strokecolor="white [3212]" strokeweight=".5pt">
                <v:textbox>
                  <w:txbxContent>
                    <w:p w14:paraId="43420A48"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8896" behindDoc="0" locked="0" layoutInCell="1" allowOverlap="1" wp14:anchorId="37EEBA6C" wp14:editId="7D98FEFB">
                <wp:simplePos x="0" y="0"/>
                <wp:positionH relativeFrom="column">
                  <wp:posOffset>4034155</wp:posOffset>
                </wp:positionH>
                <wp:positionV relativeFrom="paragraph">
                  <wp:posOffset>6634480</wp:posOffset>
                </wp:positionV>
                <wp:extent cx="304800" cy="285750"/>
                <wp:effectExtent l="0" t="0" r="19050" b="19050"/>
                <wp:wrapNone/>
                <wp:docPr id="47" name="文本框 4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D9F600"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BA6C" id="文本框 47" o:spid="_x0000_s1049" type="#_x0000_t202" style="position:absolute;left:0;text-align:left;margin-left:317.65pt;margin-top:522.4pt;width:24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engIAALwFAAAOAAAAZHJzL2Uyb0RvYy54bWysVEtu2zAQ3RfoHQjuG/mXT43IgZsgRYEg&#10;CZoUWdMUaQslOSxJW3IPkN6gq26677lyjg4pyXbSbBJ0Iw05b4Yzbz7HJ7VWZCWcL8HktL/Xo0QY&#10;DkVp5jn9cnv+7ogSH5gpmAIjcroWnp5M3r45ruxYDGABqhCOoBPjx5XN6SIEO84yzxdCM78HVhhU&#10;SnCaBTy6eVY4VqF3rbJBr3eQVeAK64AL7/H2rFHSSfIvpeDhSkovAlE5xdhC+rr0ncVvNjlm47lj&#10;dlHyNgz2iig0Kw0+unF1xgIjS1f+40qX3IEHGfY46AykLLlIOWA2/d6TbG4WzIqUC5Lj7YYm///c&#10;8svVtSNlkdPRISWGaazRw88fD7/+PPy+J3iHBFXWjxF3YxEZ6g9QY6G7e4+XMe9aOh3/mBFBPVK9&#10;3tAr6kA4Xg57o6MeajiqBkf7h/uJ/mxrbJ0PHwVoEoWcOqxeIpWtLnzAQBDaQeJbHlRZnJdKpUPs&#10;GHGqHFkxrPVsnkJEi0coZUiV04MhPv0qD+hPmWgpUm+1YUWCGiKSFNZKRIwyn4VEbhMfz8TIOBcm&#10;dHEmdERJzOglhi1+G9VLjJs80CK9DCZsjHVpwDUsPaa2+NqFLBs8FmYn7yiGelanphoMu0aZQbHG&#10;/nHQjKC3/LzEKl8wH66Zw5nDxsA9Eq7wIxVglaCVKFmA+/7cfcTjKKCWkgpnOKf+25I5QYn6ZHBI&#10;3vdHozj06TDaPxzgwe1qZrsas9SngK3Tx41leRIjPqhOlA70Ha6baXwVVcxwfDunoRNPQ7NZcF1x&#10;MZ0mEI65ZeHC3FgeXUeaYw/f1nfM2bbRA07IJXTTzsZP+r3BRksD02UAWaZhiEQ3rLYFwBWRZqRd&#10;Z3EH7Z4Tart0J38BAAD//wMAUEsDBBQABgAIAAAAIQCh5HN53wAAAA0BAAAPAAAAZHJzL2Rvd25y&#10;ZXYueG1sTI/BTsMwEETvSPyDtUjcqANpgxviVBFSTz3RRnB1Y5NEjdeR7aTh79me4LgzT7MzxW6x&#10;A5uND71DCc+rBJjBxukeWwn1af8kgIWoUKvBoZHwYwLsyvu7QuXaXfHDzMfYMgrBkCsJXYxjznlo&#10;OmNVWLnRIHnfzlsV6fQt115dKdwO/CVJMm5Vj/ShU6N570xzOU5WwufhtOd4EFO96avqgl+v87b2&#10;Uj4+LNUbsGiW+AfDrT5Vh5I6nd2EOrBBQpZuUkLJSNZrGkFIJlKSzjdJbAXwsuD/V5S/AAAA//8D&#10;AFBLAQItABQABgAIAAAAIQC2gziS/gAAAOEBAAATAAAAAAAAAAAAAAAAAAAAAABbQ29udGVudF9U&#10;eXBlc10ueG1sUEsBAi0AFAAGAAgAAAAhADj9If/WAAAAlAEAAAsAAAAAAAAAAAAAAAAALwEAAF9y&#10;ZWxzLy5yZWxzUEsBAi0AFAAGAAgAAAAhADIg356eAgAAvAUAAA4AAAAAAAAAAAAAAAAALgIAAGRy&#10;cy9lMm9Eb2MueG1sUEsBAi0AFAAGAAgAAAAhAKHkc3nfAAAADQEAAA8AAAAAAAAAAAAAAAAA+AQA&#10;AGRycy9kb3ducmV2LnhtbFBLBQYAAAAABAAEAPMAAAAEBgAAAAA=&#10;" fillcolor="white [3212]" strokecolor="white [3212]" strokeweight=".5pt">
                <v:textbox>
                  <w:txbxContent>
                    <w:p w14:paraId="4DD9F600"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4800" behindDoc="0" locked="0" layoutInCell="1" allowOverlap="1" wp14:anchorId="79254FA9" wp14:editId="667BA91F">
                <wp:simplePos x="0" y="0"/>
                <wp:positionH relativeFrom="column">
                  <wp:posOffset>2872105</wp:posOffset>
                </wp:positionH>
                <wp:positionV relativeFrom="paragraph">
                  <wp:posOffset>6634480</wp:posOffset>
                </wp:positionV>
                <wp:extent cx="304800" cy="285750"/>
                <wp:effectExtent l="0" t="0" r="19050" b="19050"/>
                <wp:wrapNone/>
                <wp:docPr id="45" name="文本框 4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596B6B"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4FA9" id="文本框 45" o:spid="_x0000_s1050" type="#_x0000_t202" style="position:absolute;left:0;text-align:left;margin-left:226.15pt;margin-top:522.4pt;width:24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ss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fDESWGaazR/c8f97/+3P++I3iHBFXWTxB3bREZ6g9QY6G7e4+XMe9aOh3/mBFBPVK9&#10;2dIr6kA4Xu73huMeajiqBuPR4SjRnz0YW+fDRwGaRCGnDquXSGXrcx8wEIR2kPiWB1UWZ6VS6RA7&#10;RpwoR9YMaz1fpBDR4hFKGVLl9GAfn36VB/SnTLQUqbfasCJBDRFJChslIkaZz0Iit4mPZ2JknAsT&#10;ujgTOqIkZvQSwxb/ENVLjJs80CK9DCZsjXVpwDUsPaa2+NqFLBs8FmYn7yiGel6nphoMu0aZQ7HB&#10;/nHQjKC3/KzEKp8zH66Yw5nDxsA9Ei7xIxVglaCVKFmC+/7cfcTjKKCWkgpnOKf+24o5QYn6ZHBI&#10;3veHwzj06TAcHQ7w4HY1812NWekTwNbp48ayPIkRH1QnSgf6FtfNLL6KKmY4vp3T0IknodksuK64&#10;mM0SCMfcsnBuri2PriPNsYdv6lvmbNvoASfkArppZ5Mn/d5go6WB2SqALNMwRKIbVtsC4IpIM9Ku&#10;s7iDds8J9bB0p38BAAD//wMAUEsDBBQABgAIAAAAIQC299B43wAAAA0BAAAPAAAAZHJzL2Rvd25y&#10;ZXYueG1sTI/BTsMwEETvSPyDtUjcqE1JShriVBFSTz3RRnB1Y5NEjdeR7aTh79me4LgzT7MzxW6x&#10;A5uND71DCc8rAcxg43SPrYT6tH/KgIWoUKvBoZHwYwLsyvu7QuXaXfHDzMfYMgrBkCsJXYxjznlo&#10;OmNVWLnRIHnfzlsV6fQt115dKdwOfC3EhlvVI33o1GjeO9NcjpOV8Hk47TkesqlO+6q64NfrvK29&#10;lI8PS/UGLJol/sFwq0/VoaROZzehDmyQkKTrF0LJEElCIwhJhSDpfJOybQa8LPj/FeUvAAAA//8D&#10;AFBLAQItABQABgAIAAAAIQC2gziS/gAAAOEBAAATAAAAAAAAAAAAAAAAAAAAAABbQ29udGVudF9U&#10;eXBlc10ueG1sUEsBAi0AFAAGAAgAAAAhADj9If/WAAAAlAEAAAsAAAAAAAAAAAAAAAAALwEAAF9y&#10;ZWxzLy5yZWxzUEsBAi0AFAAGAAgAAAAhABGlayyeAgAAvAUAAA4AAAAAAAAAAAAAAAAALgIAAGRy&#10;cy9lMm9Eb2MueG1sUEsBAi0AFAAGAAgAAAAhALb30HjfAAAADQEAAA8AAAAAAAAAAAAAAAAA+AQA&#10;AGRycy9kb3ducmV2LnhtbFBLBQYAAAAABAAEAPMAAAAEBgAAAAA=&#10;" fillcolor="white [3212]" strokecolor="white [3212]" strokeweight=".5pt">
                <v:textbox>
                  <w:txbxContent>
                    <w:p w14:paraId="13596B6B"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0704" behindDoc="0" locked="0" layoutInCell="1" allowOverlap="1" wp14:anchorId="55D50C19" wp14:editId="4267C7A8">
                <wp:simplePos x="0" y="0"/>
                <wp:positionH relativeFrom="column">
                  <wp:posOffset>1452880</wp:posOffset>
                </wp:positionH>
                <wp:positionV relativeFrom="paragraph">
                  <wp:posOffset>6644005</wp:posOffset>
                </wp:positionV>
                <wp:extent cx="304800" cy="285750"/>
                <wp:effectExtent l="0" t="0" r="19050" b="19050"/>
                <wp:wrapNone/>
                <wp:docPr id="43" name="文本框 4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B1CADC"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0C19" id="文本框 43" o:spid="_x0000_s1051" type="#_x0000_t202" style="position:absolute;left:0;text-align:left;margin-left:114.4pt;margin-top:523.15pt;width:24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88ngIAALwFAAAOAAAAZHJzL2Uyb0RvYy54bWysVM1OGzEQvlfqO1i+l01CAmnEBqUgqkoI&#10;UKHi7HjtxKrX49pOdtMHoG/QUy+997l4jo69uyFQLqBedseeb8Yz3/wcHdelJmvhvAKT0/5ejxJh&#10;OBTKLHL65ebs3ZgSH5gpmAYjcroRnh5P3745quxEDGAJuhCOoBPjJ5XN6TIEO8kyz5eiZH4PrDCo&#10;lOBKFvDoFlnhWIXeS50Ner2DrAJXWAdceI+3p42STpN/KQUPl1J6EYjOKcYW0tel7zx+s+kRmywc&#10;s0vF2zDYK6IomTL46NbVKQuMrJz6x1WpuAMPMuxxKDOQUnGRcsBs+r0n2VwvmRUpFyTH2y1N/v+5&#10;5RfrK0dUkdPhPiWGlVij+58/7n/9uf99R/AOCaqsnyDu2iIy1B+gxkJ39x4vY961dGX8Y0YE9Uj1&#10;ZkuvqAPheLnfG457qOGoGoxHh6NEf/ZgbJ0PHwWUJAo5dVi9RCpbn/uAgSC0g8S3PGhVnCmt0yF2&#10;jDjRjqwZ1nq+SCGixSOUNqTK6cE+Pv0qD+hPm2gpUm+1YUWCGiKSFDZaRIw2n4VEbhMfz8TIOBcm&#10;dHEmdERJzOglhi3+IaqXGDd5oEV6GUzYGpfKgGtYekxt8bULWTZ4LMxO3lEM9bxOTTUYdY0yh2KD&#10;/eOgGUFv+ZnCKp8zH66Yw5nDxsA9Ei7xIzVglaCVKFmC+/7cfcTjKKCWkgpnOKf+24o5QYn+ZHBI&#10;3veHwzj06TAcHQ7w4HY1812NWZUngK3Tx41leRIjPuhOlA7KW1w3s/gqqpjh+HZOQyeehGaz4Lri&#10;YjZLIBxzy8K5ubY8uo40xx6+qW+Zs22jB5yQC+imnU2e9HuDjZYGZqsAUqVhiEQ3rLYFwBWRZqRd&#10;Z3EH7Z4T6mHpTv8CAAD//wMAUEsDBBQABgAIAAAAIQAJumNK3wAAAA0BAAAPAAAAZHJzL2Rvd25y&#10;ZXYueG1sTI/BboMwEETvlfoP1kbqrTEhLSEEE6FKOeXUBKVXB7uAgtfINoT+fTen9rgzo9k3+X42&#10;PZu0851FAatlBExjbVWHjYDqfHhNgfkgUcneohbwoz3si+enXGbK3vFTT6fQMCpBn0kBbQhDxrmv&#10;W22kX9pBI3nf1hkZ6HQNV07eqdz0PI6ihBvZIX1o5aA/Wl3fTqMRcDmeDxyP6Vi9d2V5w6/NtK2c&#10;EC+LudwBC3oOf2F44BM6FMR0tSMqz3oBcZwSeiAjekvWwCgSbxKSrg9pu1oDL3L+f0XxCwAA//8D&#10;AFBLAQItABQABgAIAAAAIQC2gziS/gAAAOEBAAATAAAAAAAAAAAAAAAAAAAAAABbQ29udGVudF9U&#10;eXBlc10ueG1sUEsBAi0AFAAGAAgAAAAhADj9If/WAAAAlAEAAAsAAAAAAAAAAAAAAAAALwEAAF9y&#10;ZWxzLy5yZWxzUEsBAi0AFAAGAAgAAAAhAIigDzyeAgAAvAUAAA4AAAAAAAAAAAAAAAAALgIAAGRy&#10;cy9lMm9Eb2MueG1sUEsBAi0AFAAGAAgAAAAhAAm6Y0rfAAAADQEAAA8AAAAAAAAAAAAAAAAA+AQA&#10;AGRycy9kb3ducmV2LnhtbFBLBQYAAAAABAAEAPMAAAAEBgAAAAA=&#10;" fillcolor="white [3212]" strokecolor="white [3212]" strokeweight=".5pt">
                <v:textbox>
                  <w:txbxContent>
                    <w:p w14:paraId="2DB1CADC"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22752" behindDoc="0" locked="0" layoutInCell="1" allowOverlap="1" wp14:anchorId="5AE94F8D" wp14:editId="74686415">
                <wp:simplePos x="0" y="0"/>
                <wp:positionH relativeFrom="column">
                  <wp:posOffset>1929130</wp:posOffset>
                </wp:positionH>
                <wp:positionV relativeFrom="paragraph">
                  <wp:posOffset>6634480</wp:posOffset>
                </wp:positionV>
                <wp:extent cx="304800" cy="285750"/>
                <wp:effectExtent l="0" t="0" r="19050" b="19050"/>
                <wp:wrapNone/>
                <wp:docPr id="44" name="文本框 4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573A01"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94F8D" id="文本框 44" o:spid="_x0000_s1052" type="#_x0000_t202" style="position:absolute;left:0;text-align:left;margin-left:151.9pt;margin-top:522.4pt;width:24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nKngIAALwFAAAOAAAAZHJzL2Uyb0RvYy54bWysVM1OGzEQvlfqO1i+l01C+GnEBqVBVJUQ&#10;oELF2fHayaq2x7Wd7KYPQN+gp15673PxHB17d5NAuYB62R17vhnPfPNzclprRVbC+RJMTvt7PUqE&#10;4VCUZp7TL7fn744p8YGZgikwIqdr4enp+O2bk8qOxAAWoArhCDoxflTZnC5CsKMs83whNPN7YIVB&#10;pQSnWcCjm2eFYxV61yob9HqHWQWusA648B5vzxolHSf/UgoerqT0IhCVU4wtpK9L31n8ZuMTNpo7&#10;Zhclb8Ngr4hCs9LgoxtXZywwsnTlP650yR14kGGPg85AypKLlANm0+89yeZmwaxIuSA53m5o8v/P&#10;Lb9cXTtSFjkdDikxTGONHn7+ePj15+H3PcE7JKiyfoS4G4vIUH+AGgvd3Xu8jHnX0un4x4wI6pHq&#10;9YZeUQfC8XK/NzzuoYajanB8cHSQ6M+2xtb58FGAJlHIqcPqJVLZ6sIHDAShHSS+5UGVxXmpVDrE&#10;jhFT5ciKYa1n8xQiWjxCKUOqnB7u49Ov8oD+lImWIvVWG1YkqCEiSWGtRMQo81lI5Dbx8UyMjHNh&#10;QhdnQkeUxIxeYtjit1G9xLjJAy3Sy2DCxliXBlzD0mNqi69dyLLBY2F28o5iqGd1aqrBYdcoMyjW&#10;2D8OmhH0lp+XWOUL5sM1czhz2Bi4R8IVfqQCrBK0EiULcN+fu494HAXUUlLhDOfUf1syJyhRnwwO&#10;yfv+cBiHPh2GB0cDPLhdzWxXY5Z6Ctg6fdxYlicx4oPqROlA3+G6mcRXUcUMx7dzGjpxGprNguuK&#10;i8kkgXDMLQsX5sby6DrSHHv4tr5jzraNHnBCLqGbdjZ60u8NNloamCwDyDINQyS6YbUtAK6INCPt&#10;Oos7aPecUNulO/4LAAD//wMAUEsDBBQABgAIAAAAIQDAOGou3wAAAA0BAAAPAAAAZHJzL2Rvd25y&#10;ZXYueG1sTI/BTsMwEETvSPyDtUjcqF3SQprGqSKknnqijeDqxm4SNV5HtpOGv2d7gtvszmj2bb6b&#10;bc8m40PnUMJyIYAZrJ3usJFQnfYvKbAQFWrVOzQSfkyAXfH4kKtMuxt+mukYG0YlGDIloY1xyDgP&#10;dWusCgs3GCTv4rxVkUbfcO3Vjcptz1+FeONWdUgXWjWYj9bU1+NoJXwdTnuOh3Ss1l1ZXvH7fdpU&#10;Xsrnp7ncAotmjn9huOMTOhTEdHYj6sB6CYlICD2SIVYrUhRJ1ksS5/sq3aTAi5z//6L4BQAA//8D&#10;AFBLAQItABQABgAIAAAAIQC2gziS/gAAAOEBAAATAAAAAAAAAAAAAAAAAAAAAABbQ29udGVudF9U&#10;eXBlc10ueG1sUEsBAi0AFAAGAAgAAAAhADj9If/WAAAAlAEAAAsAAAAAAAAAAAAAAAAALwEAAF9y&#10;ZWxzLy5yZWxzUEsBAi0AFAAGAAgAAAAhAMCM2cqeAgAAvAUAAA4AAAAAAAAAAAAAAAAALgIAAGRy&#10;cy9lMm9Eb2MueG1sUEsBAi0AFAAGAAgAAAAhAMA4ai7fAAAADQEAAA8AAAAAAAAAAAAAAAAA+AQA&#10;AGRycy9kb3ducmV2LnhtbFBLBQYAAAAABAAEAPMAAAAEBgAAAAA=&#10;" fillcolor="white [3212]" strokecolor="white [3212]" strokeweight=".5pt">
                <v:textbox>
                  <w:txbxContent>
                    <w:p w14:paraId="08573A01"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8656" behindDoc="0" locked="0" layoutInCell="1" allowOverlap="1" wp14:anchorId="690795B6" wp14:editId="25B7D12C">
                <wp:simplePos x="0" y="0"/>
                <wp:positionH relativeFrom="column">
                  <wp:posOffset>2433955</wp:posOffset>
                </wp:positionH>
                <wp:positionV relativeFrom="paragraph">
                  <wp:posOffset>6634480</wp:posOffset>
                </wp:positionV>
                <wp:extent cx="304800" cy="285750"/>
                <wp:effectExtent l="0" t="0" r="19050" b="19050"/>
                <wp:wrapNone/>
                <wp:docPr id="42" name="文本框 4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355D3A"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95B6" id="文本框 42" o:spid="_x0000_s1053" type="#_x0000_t202" style="position:absolute;left:0;text-align:left;margin-left:191.65pt;margin-top:522.4pt;width:24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3angIAALwFAAAOAAAAZHJzL2Uyb0RvYy54bWysVM1OGzEQvlfqO1i+l01C+GnEBqVBVJUQ&#10;oELF2fHayaq2x7Wd7KYPQN+gp15673PxHB17d5NAuYB62R17vhnPfPNzclprRVbC+RJMTvt7PUqE&#10;4VCUZp7TL7fn744p8YGZgikwIqdr4enp+O2bk8qOxAAWoArhCDoxflTZnC5CsKMs83whNPN7YIVB&#10;pQSnWcCjm2eFYxV61yob9HqHWQWusA648B5vzxolHSf/UgoerqT0IhCVU4wtpK9L31n8ZuMTNpo7&#10;Zhclb8Ngr4hCs9LgoxtXZywwsnTlP650yR14kGGPg85AypKLlANm0+89yeZmwaxIuSA53m5o8v/P&#10;Lb9cXTtSFjkdDigxTGONHn7+ePj15+H3PcE7JKiyfoS4G4vIUH+AGgvd3Xu8jHnX0un4x4wI6pHq&#10;9YZeUQfC8XK/NzzuoYajanB8cHSQ6M+2xtb58FGAJlHIqcPqJVLZ6sIHDAShHSS+5UGVxXmpVDrE&#10;jhFT5ciKYa1n8xQiWjxCKUOqnB7u49Ov8oD+lImWIvVWG1YkqCEiSWGtRMQo81lI5Dbx8UyMjHNh&#10;QhdnQkeUxIxeYtjit1G9xLjJAy3Sy2DCxliXBlzD0mNqi69dyLLBY2F28o5iqGd1aqrBUdcoMyjW&#10;2D8OmhH0lp+XWOUL5sM1czhz2Bi4R8IVfqQCrBK0EiULcN+fu494HAXUUlLhDOfUf1syJyhRnwwO&#10;yfv+cBiHPh2GB0cDPLhdzWxXY5Z6Ctg6fdxYlicx4oPqROlA3+G6mcRXUcUMx7dzGjpxGprNguuK&#10;i8kkgXDMLQsX5sby6DrSHHv4tr5jzraNHnBCLqGbdjZ60u8NNloamCwDyDINQyS6YbUtAK6INCPt&#10;Oos7aPecUNulO/4LAAD//wMAUEsDBBQABgAIAAAAIQC2efkx3wAAAA0BAAAPAAAAZHJzL2Rvd25y&#10;ZXYueG1sTI/BTsMwEETvSPyDtUjcqFMSihviVBFSTz3RRnB1Y5NEjdeR7aTh79me4LgzT7MzxW6x&#10;A5uND71DCetVAsxg43SPrYT6tH8SwEJUqNXg0Ej4MQF25f1doXLtrvhh5mNsGYVgyJWELsYx5zw0&#10;nbEqrNxokLxv562KdPqWa6+uFG4H/pwkG25Vj/ShU6N570xzOU5WwufhtOd4EFP90lfVBb9e523t&#10;pXx8WKo3YNEs8Q+GW32qDiV1OrsJdWCDhFSkKaFkJFlGIwjJ0jVJ55sktgJ4WfD/K8pfAAAA//8D&#10;AFBLAQItABQABgAIAAAAIQC2gziS/gAAAOEBAAATAAAAAAAAAAAAAAAAAAAAAABbQ29udGVudF9U&#10;eXBlc10ueG1sUEsBAi0AFAAGAAgAAAAhADj9If/WAAAAlAEAAAsAAAAAAAAAAAAAAAAALwEAAF9y&#10;ZWxzLy5yZWxzUEsBAi0AFAAGAAgAAAAhAFmJvdqeAgAAvAUAAA4AAAAAAAAAAAAAAAAALgIAAGRy&#10;cy9lMm9Eb2MueG1sUEsBAi0AFAAGAAgAAAAhALZ5+THfAAAADQEAAA8AAAAAAAAAAAAAAAAA+AQA&#10;AGRycy9kb3ducmV2LnhtbFBLBQYAAAAABAAEAPMAAAAEBgAAAAA=&#10;" fillcolor="white [3212]" strokecolor="white [3212]" strokeweight=".5pt">
                <v:textbox>
                  <w:txbxContent>
                    <w:p w14:paraId="13355D3A"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5888" behindDoc="0" locked="0" layoutInCell="1" allowOverlap="1" wp14:anchorId="4ADC86D3" wp14:editId="12A8F3D3">
                <wp:simplePos x="0" y="0"/>
                <wp:positionH relativeFrom="column">
                  <wp:posOffset>2357755</wp:posOffset>
                </wp:positionH>
                <wp:positionV relativeFrom="paragraph">
                  <wp:posOffset>5024755</wp:posOffset>
                </wp:positionV>
                <wp:extent cx="304800" cy="285750"/>
                <wp:effectExtent l="0" t="0" r="19050" b="19050"/>
                <wp:wrapNone/>
                <wp:docPr id="26" name="文本框 2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A0BA46"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86D3" id="文本框 26" o:spid="_x0000_s1054" type="#_x0000_t202" style="position:absolute;left:0;text-align:left;margin-left:185.65pt;margin-top:395.65pt;width:24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b4nQIAALwFAAAOAAAAZHJzL2Uyb0RvYy54bWysVM1OGzEQvlfqO1i+l01CgDRig1IQVSUE&#10;qFBxdrx2YtXrcW0nu+kD0DfoqZfe+1x5jo69uyFQLqBedseeb8Yz3/wcn9SlJivhvAKT0/5ejxJh&#10;OBTKzHP65fb83YgSH5gpmAYjcroWnp5M3r45ruxYDGABuhCOoBPjx5XN6SIEO84yzxeiZH4PrDCo&#10;lOBKFvDo5lnhWIXeS50Ner3DrAJXWAdceI+3Z42STpJ/KQUPV1J6EYjOKcYW0tel7yx+s8kxG88d&#10;swvF2zDYK6IomTL46NbVGQuMLJ36x1WpuAMPMuxxKDOQUnGRcsBs+r0n2dwsmBUpFyTH2y1N/v+5&#10;5Zera0dUkdPBISWGlVijzc8fm19/Nr/vCd4hQZX1Y8TdWESG+gPUWOju3uNlzLuWrox/zIigHqle&#10;b+kVdSAcL/d7w1EPNRxVg9HB0UGiP3swts6HjwJKEoWcOqxeIpWtLnzAQBDaQeJbHrQqzpXW6RA7&#10;RpxqR1YMaz2bpxDR4hFKG1Ll9HAfn36VB/SnTbQUqbfasCJBDRFJCmstIkabz0Iit4mPZ2JknAsT&#10;ujgTOqIkZvQSwxb/ENVLjJs80CK9DCZsjUtlwDUsPaa2+NqFLBs8FmYn7yiGelY3TTXqGmUGxRr7&#10;x0Ezgt7yc4VVvmA+XDOHM4eNgXskXOFHasAqQStRsgD3/bn7iMdRQC0lFc5wTv23JXOCEv3J4JC8&#10;7w+HcejTYXhwNMCD29XMdjVmWZ4Ctk4fN5blSYz4oDtROijvcN1M46uoYobj2zkNnXgams2C64qL&#10;6TSBcMwtCxfmxvLoOtIce/i2vmPOto0ecEIuoZt2Nn7S7w02WhqYLgNIlYYhEt2w2hYAV0SakXad&#10;xR20e06oh6U7+QsAAP//AwBQSwMEFAAGAAgAAAAhACtf75beAAAACwEAAA8AAABkcnMvZG93bnJl&#10;di54bWxMj8tOwzAQRfdI/IM1SOyoEwLNgzhVhNRVV7QRbN3YJFHjcWQ7afh7pivY3dEc3TlT7lYz&#10;skU7P1gUEG8iYBpbqwbsBDSn/VMGzAeJSo4WtYAf7WFX3d+VslD2ih96OYaOUQn6QgroQ5gKzn3b&#10;ayP9xk4aafdtnZGBRtdx5eSVys3In6Noy40ckC70ctLvvW4vx9kI+Dyc9hwP2dy8DnV9wa90yRsn&#10;xOPDWr8BC3oNfzDc9EkdKnI62xmVZ6OAJI0TQgWk+S0Q8RLnFM4CsmSbAK9K/v+H6hcAAP//AwBQ&#10;SwECLQAUAAYACAAAACEAtoM4kv4AAADhAQAAEwAAAAAAAAAAAAAAAAAAAAAAW0NvbnRlbnRfVHlw&#10;ZXNdLnhtbFBLAQItABQABgAIAAAAIQA4/SH/1gAAAJQBAAALAAAAAAAAAAAAAAAAAC8BAABfcmVs&#10;cy8ucmVsc1BLAQItABQABgAIAAAAIQDbW0b4nQIAALwFAAAOAAAAAAAAAAAAAAAAAC4CAABkcnMv&#10;ZTJvRG9jLnhtbFBLAQItABQABgAIAAAAIQArX++W3gAAAAsBAAAPAAAAAAAAAAAAAAAAAPcEAABk&#10;cnMvZG93bnJldi54bWxQSwUGAAAAAAQABADzAAAAAgYAAAAA&#10;" fillcolor="white [3212]" strokecolor="white [3212]" strokeweight=".5pt">
                <v:textbox>
                  <w:txbxContent>
                    <w:p w14:paraId="47A0BA46"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4560" behindDoc="0" locked="0" layoutInCell="1" allowOverlap="1" wp14:anchorId="52C6880A" wp14:editId="0D11399D">
                <wp:simplePos x="0" y="0"/>
                <wp:positionH relativeFrom="column">
                  <wp:posOffset>5043805</wp:posOffset>
                </wp:positionH>
                <wp:positionV relativeFrom="paragraph">
                  <wp:posOffset>5053330</wp:posOffset>
                </wp:positionV>
                <wp:extent cx="304800" cy="285750"/>
                <wp:effectExtent l="0" t="0" r="19050" b="19050"/>
                <wp:wrapNone/>
                <wp:docPr id="40" name="文本框 4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53EB90"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880A" id="文本框 40" o:spid="_x0000_s1055" type="#_x0000_t202" style="position:absolute;left:0;text-align:left;margin-left:397.15pt;margin-top:397.9pt;width:24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6hnQIAALwFAAAOAAAAZHJzL2Uyb0RvYy54bWysVM1OGzEQvlfqO1i+l01C+IvYoBREVQkB&#10;KlScHa+drOq1XdvJbvoA7Rv01EvvfS6eo5+92RAoF1Avu2PPN+OZb36OT5pKkaVwvjQ6p/2dHiVC&#10;c1OUepbTz7fn7w4p8YHpgimjRU5XwtOT8ds3x7UdiYGZG1UIR+BE+1FtczoPwY6yzPO5qJjfMVZo&#10;KKVxFQs4ullWOFbDe6WyQa+3n9XGFdYZLrzH7VmrpOPkX0rBw5WUXgSicorYQvq69J3GbzY+ZqOZ&#10;Y3Ze8nUY7BVRVKzUeHTj6owFRhau/MdVVXJnvJFhh5sqM1KWXKQckE2/9ySbmzmzIuUCcrzd0OT/&#10;n1t+ubx2pCxyOgQ9mlWo0f3PH/e//tz//k5wB4Jq60fA3VggQ/PeNCh0d+9xGfNupKviHxkR6OFr&#10;taFXNIFwXO72hoc9aDhUg8O9g73kPXswts6HD8JUJAo5daheIpUtL3xAIIB2kPiWN6oszkul0iF2&#10;jDhVjiwZaj2dpRBh8QilNKlzur+Lp1/lAf6UjpYi9dY6rEhQS0SSwkqJiFH6k5DgNvHxTIyMc6FD&#10;F2dCR5RERi8xXOMfonqJcZsHLNLLRoeNcVVq41qWHlNbfOlCli0ehdnKO4qhmTapqQZHXaNMTbFC&#10;/zjTjqC3/LxElS+YD9fMYebQGNgj4QofqQyqZNYSJXPjvj13H/EYBWgpqTHDOfVfF8wJStRHjSE5&#10;6g9jV4d0GO4dDHBw25rptkYvqlOD1uljY1mexIgPqhOlM9Ud1s0kvgoV0xxv5zR04mloNwvWFReT&#10;SQJhzC0LF/rG8ug60hx7+La5Y86uGz1gQi5NN+1s9KTfW2y01GayCEaWaRgi0S2r6wJgRaQZWa+z&#10;uIO2zwn1sHTHfwEAAP//AwBQSwMEFAAGAAgAAAAhAKMIeXrdAAAACwEAAA8AAABkcnMvZG93bnJl&#10;di54bWxMj0FvgzAMhe+T9h8iT9ptDe3alVJChSb11NNatF1T4gEqcRAJlP37mdN2e7afnr+XHibb&#10;ihF73zhSsFxEIJBKZxqqFBSX40sMwgdNRreOUMEPejhkjw+pToy70weO51AJDiGfaAV1CF0ipS9r&#10;tNovXIfEt2/XWx147Ctpen3ncNvKVRS9Sasb4g+17vC9xvJ2HqyCz9PlKOkUD8WmyfMbfW3HXdEr&#10;9fw05XsQAafwZ4YZn9EhY6arG8h40SrY7tavbJ3FhjuwI16veHOdRRSDzFL5v0P2CwAA//8DAFBL&#10;AQItABQABgAIAAAAIQC2gziS/gAAAOEBAAATAAAAAAAAAAAAAAAAAAAAAABbQ29udGVudF9UeXBl&#10;c10ueG1sUEsBAi0AFAAGAAgAAAAhADj9If/WAAAAlAEAAAsAAAAAAAAAAAAAAAAALwEAAF9yZWxz&#10;Ly5yZWxzUEsBAi0AFAAGAAgAAAAhALgyjqGdAgAAvAUAAA4AAAAAAAAAAAAAAAAALgIAAGRycy9l&#10;Mm9Eb2MueG1sUEsBAi0AFAAGAAgAAAAhAKMIeXrdAAAACwEAAA8AAAAAAAAAAAAAAAAA9wQAAGRy&#10;cy9kb3ducmV2LnhtbFBLBQYAAAAABAAEAPMAAAABBgAAAAA=&#10;" fillcolor="white [3212]" strokecolor="white [3212]" strokeweight=".5pt">
                <v:textbox>
                  <w:txbxContent>
                    <w:p w14:paraId="0053EB90"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6608" behindDoc="0" locked="0" layoutInCell="1" allowOverlap="1" wp14:anchorId="7CC1F14F" wp14:editId="3F570A14">
                <wp:simplePos x="0" y="0"/>
                <wp:positionH relativeFrom="column">
                  <wp:posOffset>5491480</wp:posOffset>
                </wp:positionH>
                <wp:positionV relativeFrom="paragraph">
                  <wp:posOffset>5034280</wp:posOffset>
                </wp:positionV>
                <wp:extent cx="304800" cy="285750"/>
                <wp:effectExtent l="0" t="0" r="19050" b="19050"/>
                <wp:wrapNone/>
                <wp:docPr id="41" name="文本框 4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1EF8C7"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1F14F" id="文本框 41" o:spid="_x0000_s1056" type="#_x0000_t202" style="position:absolute;left:0;text-align:left;margin-left:432.4pt;margin-top:396.4pt;width:24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o/nAIAALwFAAAOAAAAZHJzL2Uyb0RvYy54bWysVM1OGzEQvlfqO1i+l01CoDRig1IQVSUE&#10;qFBxdrx2sqrXdm0n2fQB2jfoqZfe+1w8Rz97d5NAuYB62bVnvhnPfPNzfFJXiiyF86XROe3v9SgR&#10;mpui1LOcfr49f3NEiQ9MF0wZLXK6Fp6ejF+/Ol7ZkRiYuVGFcAROtB+tbE7nIdhRlnk+FxXze8YK&#10;DaU0rmIBVzfLCsdW8F6pbNDrHWYr4wrrDBfeQ3rWKOk4+ZdS8HAlpReBqJwitpC+Ln2n8ZuNj9lo&#10;5pidl7wNg70gioqVGo9uXJ2xwMjClf+4qkrujDcy7HFTZUbKkouUA7Lp9x5lczNnVqRcQI63G5r8&#10;/3PLL5fXjpRFTod9SjSrUKP7nz/uf/25//2dQAaCVtaPgLuxQIb6valR6E7uIYx519JV8Y+MCPSg&#10;er2hV9SBcAj3e8OjHjQcqsHRwduDRH+2NbbOhw/CVCQecupQvUQqW174gEAA7SDxLW9UWZyXSqVL&#10;7BhxqhxZMtR6OkshwuIBSmmyyunhPp5+kQf4UzpaitRbbViRoIaIdAprJSJG6U9CgtvExxMxMs6F&#10;Dl2cCR1REhk9x7DFb6N6jnGTByzSy0aHjXFVauMalh5SW3zpQpYNHoXZyTseQz2tU1PtpxJH0dQU&#10;a/SPM80IesvPS1T5gvlwzRxmDo2BPRKu8JHKoEqmPVEyN+7bU/KIxyhAS8kKM5xT/3XBnKBEfdQY&#10;knf94TAOfboMD94OcHG7mumuRi+qU4PWwRwgunSM+KC6o3SmusO6mcRXoWKa4+2chu54GprNgnXF&#10;xWSSQBhzy8KFvrE8uo40xx6+re+Ys22jB0zIpemmnY0e9XuDjZbaTBbByDINw5bVtgBYEWlG2nUW&#10;d9DuPaG2S3f8FwAA//8DAFBLAwQUAAYACAAAACEAjYtl3d4AAAALAQAADwAAAGRycy9kb3ducmV2&#10;LnhtbEyPzU7DMBCE70i8g7VI3KjTAs0PcaoIqaeeaCO4uvGSRI3XUeyk4e3ZnuA2qxnNfpPvFtuL&#10;GUffOVKwXkUgkGpnOmoUVKf9UwLCB01G945QwQ962BX3d7nOjLvSB87H0AguIZ9pBW0IQyalr1u0&#10;2q/cgMTetxutDnyOjTSjvnK57eUmirbS6o74Q6sHfG+xvhwnq+DzcNpLOiRT9dqV5YW+4jmtRqUe&#10;H5byDUTAJfyF4YbP6FAw09lNZLzoFSTbF0YPCuJ0w4IT6fomzmw9xwnIIpf/NxS/AAAA//8DAFBL&#10;AQItABQABgAIAAAAIQC2gziS/gAAAOEBAAATAAAAAAAAAAAAAAAAAAAAAABbQ29udGVudF9UeXBl&#10;c10ueG1sUEsBAi0AFAAGAAgAAAAhADj9If/WAAAAlAEAAAsAAAAAAAAAAAAAAAAALwEAAF9yZWxz&#10;Ly5yZWxzUEsBAi0AFAAGAAgAAAAhAAtkOj+cAgAAvAUAAA4AAAAAAAAAAAAAAAAALgIAAGRycy9l&#10;Mm9Eb2MueG1sUEsBAi0AFAAGAAgAAAAhAI2LZd3eAAAACwEAAA8AAAAAAAAAAAAAAAAA9gQAAGRy&#10;cy9kb3ducmV2LnhtbFBLBQYAAAAABAAEAPMAAAABBgAAAAA=&#10;" fillcolor="white [3212]" strokecolor="white [3212]" strokeweight=".5pt">
                <v:textbox>
                  <w:txbxContent>
                    <w:p w14:paraId="181EF8C7"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2512" behindDoc="0" locked="0" layoutInCell="1" allowOverlap="1" wp14:anchorId="08D1AA5F" wp14:editId="04ECF47F">
                <wp:simplePos x="0" y="0"/>
                <wp:positionH relativeFrom="column">
                  <wp:posOffset>4577080</wp:posOffset>
                </wp:positionH>
                <wp:positionV relativeFrom="paragraph">
                  <wp:posOffset>5053330</wp:posOffset>
                </wp:positionV>
                <wp:extent cx="304800" cy="285750"/>
                <wp:effectExtent l="0" t="0" r="19050" b="19050"/>
                <wp:wrapNone/>
                <wp:docPr id="39" name="文本框 3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B9F4E0"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AA5F" id="文本框 39" o:spid="_x0000_s1057" type="#_x0000_t202" style="position:absolute;left:0;text-align:left;margin-left:360.4pt;margin-top:397.9pt;width:24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BonAIAALwFAAAOAAAAZHJzL2Uyb0RvYy54bWysVEtu2zAQ3RfoHQjuG/mXnxE5cB2kKBAk&#10;QZMia5oibaEkhyVpS+4B2ht01U33PVfO0SElOU6aTYJupCHnzXDmzefktNaKrIXzJZic9vd6lAjD&#10;oSjNIqefb8/fHVHiAzMFU2BETjfC09PJ2zcnlR2LASxBFcIRdGL8uLI5XYZgx1nm+VJo5vfACoNK&#10;CU6zgEe3yArHKvSuVTbo9Q6yClxhHXDhPd6eNUo6Sf6lFDxcSelFICqnGFtIX5e+8/jNJidsvHDM&#10;LkvehsFeEYVmpcFHt67OWGBk5cp/XOmSO/Agwx4HnYGUJRcpB8ym33uSzc2SWZFyQXK83dLk/59b&#10;frm+dqQscjo8psQwjTW6//nj/tef+9/fCd4hQZX1Y8TdWESG+j3UWOju3uNlzLuWTsc/ZkRQj1Rv&#10;tvSKOhCOl8Pe6KiHGo6qwdH+4X6iP3swts6HDwI0iUJOHVYvkcrWFz5gIAjtIPEtD6oszkul0iF2&#10;jJgpR9YMaz1fpBDR4hFKGVLl9GCIT7/KA/pTJlqK1FttWJGghogkhY0SEaPMJyGR28THMzEyzoUJ&#10;XZwJHVESM3qJYYt/iOolxk0eaJFeBhO2xro04BqWHlNbfOlClg0eC7OTdxRDPa+bpto2yhyKDfaP&#10;g2YEveXnJVb5gvlwzRzOHDYG7pFwhR+pAKsErUTJEty35+4jHkcBtZRUOMM59V9XzAlK1EeDQ3Lc&#10;H43i0KfDaP9wgAe3q5nvasxKzwBbp48by/IkRnxQnSgd6DtcN9P4KqqY4fh2TkMnzkKzWXBdcTGd&#10;JhCOuWXhwtxYHl1HmmMP39Z3zNm20QNOyCV0087GT/q9wUZLA9NVAFmmYYhEN6y2BcAVkWakXWdx&#10;B+2eE+ph6U7+AgAA//8DAFBLAwQUAAYACAAAACEAlojf/N0AAAALAQAADwAAAGRycy9kb3ducmV2&#10;LnhtbEyPwU7DMBBE70j8g7VI3KhDRZs0xKkipJ56oo3g6sZLEjVeR7aThr9nOcFtVjOafVPsFzuI&#10;GX3oHSl4XiUgkBpnemoV1OfDUwYiRE1GD45QwTcG2Jf3d4XOjbvRO86n2AouoZBrBV2MYy5laDq0&#10;OqzciMTel/NWRz59K43XNy63g1wnyVZa3RN/6PSIbx0219NkFXwczwdJx2yqN31VXekznXe1V+rx&#10;YaleQURc4l8YfvEZHUpmuriJTBCDgnSdMHpksduw4ES6zVhcFGQvbMmykP83lD8AAAD//wMAUEsB&#10;Ai0AFAAGAAgAAAAhALaDOJL+AAAA4QEAABMAAAAAAAAAAAAAAAAAAAAAAFtDb250ZW50X1R5cGVz&#10;XS54bWxQSwECLQAUAAYACAAAACEAOP0h/9YAAACUAQAACwAAAAAAAAAAAAAAAAAvAQAAX3JlbHMv&#10;LnJlbHNQSwECLQAUAAYACAAAACEAbOSAaJwCAAC8BQAADgAAAAAAAAAAAAAAAAAuAgAAZHJzL2Uy&#10;b0RvYy54bWxQSwECLQAUAAYACAAAACEAlojf/N0AAAALAQAADwAAAAAAAAAAAAAAAAD2BAAAZHJz&#10;L2Rvd25yZXYueG1sUEsFBgAAAAAEAAQA8wAAAAAGAAAAAA==&#10;" fillcolor="white [3212]" strokecolor="white [3212]" strokeweight=".5pt">
                <v:textbox>
                  <w:txbxContent>
                    <w:p w14:paraId="2CB9F4E0"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79744" behindDoc="0" locked="0" layoutInCell="1" allowOverlap="1" wp14:anchorId="2EC0E2E0" wp14:editId="1152B36C">
                <wp:simplePos x="0" y="0"/>
                <wp:positionH relativeFrom="column">
                  <wp:posOffset>4167505</wp:posOffset>
                </wp:positionH>
                <wp:positionV relativeFrom="paragraph">
                  <wp:posOffset>5053330</wp:posOffset>
                </wp:positionV>
                <wp:extent cx="304800" cy="285750"/>
                <wp:effectExtent l="0" t="0" r="19050" b="19050"/>
                <wp:wrapNone/>
                <wp:docPr id="23" name="文本框 2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02ABF1"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0E2E0" id="文本框 23" o:spid="_x0000_s1058" type="#_x0000_t202" style="position:absolute;left:0;text-align:left;margin-left:328.15pt;margin-top:397.9pt;width:24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yngIAALwFAAAOAAAAZHJzL2Uyb0RvYy54bWysVM1OGzEQvlfqO1i+l80fkEZsUAqiqoQA&#10;FSrOjtdOVrU9ru1kN30A+gY99dJ7n4vn6Ni7GwLlAupld+z5Zjzzzc/Rca0VWQvnSzA57e/1KBGG&#10;Q1GaRU6/3Jy9G1PiAzMFU2BETjfC0+Pp2zdHlZ2IASxBFcIRdGL8pLI5XYZgJ1nm+VJo5vfACoNK&#10;CU6zgEe3yArHKvSuVTbo9Q6yClxhHXDhPd6eNko6Tf6lFDxcSulFICqnGFtIX5e+8/jNpkdssnDM&#10;LkvehsFeEYVmpcFHt65OWWBk5cp/XOmSO/Agwx4HnYGUJRcpB8ym33uSzfWSWZFyQXK83dLk/59b&#10;frG+cqQscjoYUmKYxhrd//xx/+vP/e87gndIUGX9BHHXFpGh/gA1Frq793gZ866l0/GPGRHUI9Wb&#10;Lb2iDoTj5bA3GvdQw1E1GO8f7if6swdj63z4KECTKOTUYfUSqWx97gMGgtAOEt/yoMrirFQqHWLH&#10;iBPlyJphreeLFCJaPEIpQ6qcHgzx6Vd5QH/KREuReqsNKxLUEJGksFEiYpT5LCRym/h4JkbGuTCh&#10;izOhI0piRi8xbPEPUb3EuMkDLdLLYMLWWJcGXMPSY2qLr13IssFjYXbyjmKo53VqquGga5Q5FBvs&#10;HwfNCHrLz0qs8jnz4Yo5nDlsDNwj4RI/UgFWCVqJkiW478/dRzyOAmopqXCGc+q/rZgTlKhPBofk&#10;fX80ikOfDqP9wwEe3K5mvqsxK30C2Dp93FiWJzHig+pE6UDf4rqZxVdRxQzHt3MaOvEkNJsF1xUX&#10;s1kC4ZhbFs7NteXRdaQ59vBNfcucbRs94IRcQDftbPKk3xtstDQwWwWQZRqGSHTDalsAXBFpRtp1&#10;FnfQ7jmhHpbu9C8AAAD//wMAUEsDBBQABgAIAAAAIQCtYoDY3wAAAAsBAAAPAAAAZHJzL2Rvd25y&#10;ZXYueG1sTI/LTsMwEEX3SPyDNUjsqFNoHk3jVBFSV13RRmXrxiaJGo8j20nD3zOsYDkzR3fOLfaL&#10;Gdisne8tClivImAaG6t6bAXU58NLBswHiUoOFrWAb+1hXz4+FDJX9o4fej6FllEI+lwK6EIYc859&#10;02kj/cqOGun2ZZ2RgUbXcuXkncLNwF+jKOFG9kgfOjnq9043t9NkBFyO5wPHYzbVcV9VN/xM523t&#10;hHh+WqodsKCX8AfDrz6pQ0lOVzuh8mwQkMTJG6EC0m1MHYhIow1trgKyTZQBLwv+v0P5AwAA//8D&#10;AFBLAQItABQABgAIAAAAIQC2gziS/gAAAOEBAAATAAAAAAAAAAAAAAAAAAAAAABbQ29udGVudF9U&#10;eXBlc10ueG1sUEsBAi0AFAAGAAgAAAAhADj9If/WAAAAlAEAAAsAAAAAAAAAAAAAAAAALwEAAF9y&#10;ZWxzLy5yZWxzUEsBAi0AFAAGAAgAAAAhANP6sfKeAgAAvAUAAA4AAAAAAAAAAAAAAAAALgIAAGRy&#10;cy9lMm9Eb2MueG1sUEsBAi0AFAAGAAgAAAAhAK1igNjfAAAACwEAAA8AAAAAAAAAAAAAAAAA+AQA&#10;AGRycy9kb3ducmV2LnhtbFBLBQYAAAAABAAEAPMAAAAEBgAAAAA=&#10;" fillcolor="white [3212]" strokecolor="white [3212]" strokeweight=".5pt">
                <v:textbox>
                  <w:txbxContent>
                    <w:p w14:paraId="1902ABF1"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1792" behindDoc="0" locked="0" layoutInCell="1" allowOverlap="1" wp14:anchorId="6269B6F7" wp14:editId="21000981">
                <wp:simplePos x="0" y="0"/>
                <wp:positionH relativeFrom="column">
                  <wp:posOffset>1471930</wp:posOffset>
                </wp:positionH>
                <wp:positionV relativeFrom="paragraph">
                  <wp:posOffset>5005705</wp:posOffset>
                </wp:positionV>
                <wp:extent cx="304800" cy="285750"/>
                <wp:effectExtent l="0" t="0" r="19050" b="19050"/>
                <wp:wrapNone/>
                <wp:docPr id="24" name="文本框 2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08B8B6"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B6F7" id="文本框 24" o:spid="_x0000_s1059" type="#_x0000_t202" style="position:absolute;left:0;text-align:left;margin-left:115.9pt;margin-top:394.15pt;width:24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l1ngIAALwFAAAOAAAAZHJzL2Uyb0RvYy54bWysVM1OGzEQvlfqO1i+l80fkEZsUAqiqoQA&#10;FSrOjtdOrHo9ru1kN30A+gY99dJ7n4vn6Ni7GwLlAupld+z5Zjzzzc/RcV1qshbOKzA57e/1KBGG&#10;Q6HMIqdfbs7ejSnxgZmCaTAipxvh6fH07Zujyk7EAJagC+EIOjF+UtmcLkOwkyzzfClK5vfACoNK&#10;Ca5kAY9ukRWOVei91Nmg1zvIKnCFdcCF93h72ijpNPmXUvBwKaUXgeicYmwhfV36zuM3mx6xycIx&#10;u1S8DYO9IoqSKYOPbl2dssDIyql/XJWKO/Agwx6HMgMpFRcpB8ym33uSzfWSWZFyQXK83dLk/59b&#10;frG+ckQVOR2MKDGsxBrd//xx/+vP/e87gndIUGX9BHHXFpGh/gA1Frq793gZ866lK+MfMyKoR6o3&#10;W3pFHQjHy2FvNO6hhqNqMN4/3E/0Zw/G1vnwUUBJopBTh9VLpLL1uQ8YCEI7SHzLg1bFmdI6HWLH&#10;iBPtyJphreeLFCJaPEJpQ6qcHgzx6Vd5QH/aREuReqsNKxLUEJGksNEiYrT5LCRym/h4JkbGuTCh&#10;izOhI0piRi8xbPEPUb3EuMkDLdLLYMLWuFQGXMPSY2qLr13IssFjYXbyjmKo53VqquGwa5Q5FBvs&#10;HwfNCHrLzxRW+Zz5cMUczhw2Bu6RcIkfqQGrBK1EyRLc9+fuIx5HAbWUVDjDOfXfVswJSvQng0Py&#10;vj8axaFPh9H+4QAPblcz39WYVXkC2Dp93FiWJzHig+5E6aC8xXUzi6+iihmOb+c0dOJJaDYLrisu&#10;ZrMEwjG3LJyba8uj60hz7OGb+pY52zZ6wAm5gG7a2eRJvzfYaGlgtgogVRqGSHTDalsAXBFpRtp1&#10;FnfQ7jmhHpbu9C8AAAD//wMAUEsDBBQABgAIAAAAIQA8tA3Y3wAAAAsBAAAPAAAAZHJzL2Rvd25y&#10;ZXYueG1sTI/BTsMwEETvSPyDtUjcqNNEEDfEqSKknnqijeDqxiaJGq8j20nD37Oc4Lizo5k35X61&#10;I1uMD4NDCdtNAsxg6/SAnYTmfHgSwEJUqNXo0Ej4NgH21f1dqQrtbvhullPsGIVgKJSEPsap4Dy0&#10;vbEqbNxkkH5fzlsV6fQd117dKNyOPE2SF27VgNTQq8m89aa9nmYr4eN4PnA8irl5Hur6ip/5smu8&#10;lI8Pa/0KLJo1/pnhF5/QoSKmi5tRBzZKSLMtoUcJuRAZMHKk+Y6UiwSRZRnwquT/N1Q/AAAA//8D&#10;AFBLAQItABQABgAIAAAAIQC2gziS/gAAAOEBAAATAAAAAAAAAAAAAAAAAAAAAABbQ29udGVudF9U&#10;eXBlc10ueG1sUEsBAi0AFAAGAAgAAAAhADj9If/WAAAAlAEAAAsAAAAAAAAAAAAAAAAALwEAAF9y&#10;ZWxzLy5yZWxzUEsBAi0AFAAGAAgAAAAhACS0iXWeAgAAvAUAAA4AAAAAAAAAAAAAAAAALgIAAGRy&#10;cy9lMm9Eb2MueG1sUEsBAi0AFAAGAAgAAAAhADy0DdjfAAAACwEAAA8AAAAAAAAAAAAAAAAA+AQA&#10;AGRycy9kb3ducmV2LnhtbFBLBQYAAAAABAAEAPMAAAAEBgAAAAA=&#10;" fillcolor="white [3212]" strokecolor="white [3212]" strokeweight=".5pt">
                <v:textbox>
                  <w:txbxContent>
                    <w:p w14:paraId="1708B8B6"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3840" behindDoc="0" locked="0" layoutInCell="1" allowOverlap="1" wp14:anchorId="2CFE839B" wp14:editId="4448F5AC">
                <wp:simplePos x="0" y="0"/>
                <wp:positionH relativeFrom="column">
                  <wp:posOffset>1929130</wp:posOffset>
                </wp:positionH>
                <wp:positionV relativeFrom="paragraph">
                  <wp:posOffset>5005705</wp:posOffset>
                </wp:positionV>
                <wp:extent cx="304800" cy="285750"/>
                <wp:effectExtent l="0" t="0" r="19050" b="19050"/>
                <wp:wrapNone/>
                <wp:docPr id="25" name="文本框 2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881DE4"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E839B" id="文本框 25" o:spid="_x0000_s1060" type="#_x0000_t202" style="position:absolute;left:0;text-align:left;margin-left:151.9pt;margin-top:394.15pt;width:24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ilngIAALwFAAAOAAAAZHJzL2Uyb0RvYy54bWysVM1OGzEQvlfqO1i+l01CAmnEBqUgqkoI&#10;UKHi7HjtxKrX49pOdtMHoG/QUy+997l4jo69uyFQLqBedseeb8Yz3/wcHdelJmvhvAKT0/5ejxJh&#10;OBTKLHL65ebs3ZgSH5gpmAYjcroRnh5P3745quxEDGAJuhCOoBPjJ5XN6TIEO8kyz5eiZH4PrDCo&#10;lOBKFvDoFlnhWIXeS50Ner2DrAJXWAdceI+3p42STpN/KQUPl1J6EYjOKcYW0tel7zx+s+kRmywc&#10;s0vF2zDYK6IomTL46NbVKQuMrJz6x1WpuAMPMuxxKDOQUnGRcsBs+r0n2VwvmRUpFyTH2y1N/v+5&#10;5RfrK0dUkdPBiBLDSqzR/c8f97/+3P++I3iHBFXWTxB3bREZ6g9QY6G7e4+XMe9aujL+MSOCeqR6&#10;s6VX1IFwvNzvDcc91HBUDcajw1GiP3swts6HjwJKEoWcOqxeIpWtz33AQBDaQeJbHrQqzpTW6RA7&#10;RpxoR9YMaz1fpBDR4hFKG1Ll9GAfn36VB/SnTbQUqbfasCJBDRFJChstIkabz0Iit4mPZ2JknAsT&#10;ujgTOqIkZvQSwxb/ENVLjJs80CK9DCZsjUtlwDUsPaa2+NqFLBs8FmYn7yiGel6nptofdo0yh2KD&#10;/eOgGUFv+ZnCKp8zH66Yw5nDxsA9Ei7xIzVglaCVKFmC+/7cfcTjKKCWkgpnOKf+24o5QYn+ZHBI&#10;3veHwzj06TAcHQ7w4HY1812NWZUngK3Tx41leRIjPuhOlA7KW1w3s/gqqpjh+HZOQyeehGaz4Lri&#10;YjZLIBxzy8K5ubY8uo40xx6+qW+Zs22jB5yQC+imnU2e9HuDjZYGZqsAUqVhiEQ3rLYFwBWRZqRd&#10;Z3EH7Z4T6mHpTv8CAAD//wMAUEsDBBQABgAIAAAAIQDiU48b3gAAAAsBAAAPAAAAZHJzL2Rvd25y&#10;ZXYueG1sTI/BTsMwEETvSPyDtUjcqFOsUhPiVBFSTz3RRuXqxiaJGq8j20nD37Oc4Lizo5k3xW5x&#10;A5ttiL1HBetVBsxi402PrYL6tH+SwGLSaPTg0Sr4thF25f1doXPjb/hh52NqGYVgzLWCLqUx5zw2&#10;nXU6rvxokX5fPjid6AwtN0HfKNwN/DnLXrjTPVJDp0f73tnmepycgvPhtOd4kFO96avqip/b+bUO&#10;Sj0+LNUbsGSX9GeGX3xCh5KYLn5CE9mgQGSC0JOCrZQCGDnEZk3KRYEUQgAvC/5/Q/kDAAD//wMA&#10;UEsBAi0AFAAGAAgAAAAhALaDOJL+AAAA4QEAABMAAAAAAAAAAAAAAAAAAAAAAFtDb250ZW50X1R5&#10;cGVzXS54bWxQSwECLQAUAAYACAAAACEAOP0h/9YAAACUAQAACwAAAAAAAAAAAAAAAAAvAQAAX3Jl&#10;bHMvLnJlbHNQSwECLQAUAAYACAAAACEA9OqopZ4CAAC8BQAADgAAAAAAAAAAAAAAAAAuAgAAZHJz&#10;L2Uyb0RvYy54bWxQSwECLQAUAAYACAAAACEA4lOPG94AAAALAQAADwAAAAAAAAAAAAAAAAD4BAAA&#10;ZHJzL2Rvd25yZXYueG1sUEsFBgAAAAAEAAQA8wAAAAMGAAAAAA==&#10;" fillcolor="white [3212]" strokecolor="white [3212]" strokeweight=".5pt">
                <v:textbox>
                  <w:txbxContent>
                    <w:p w14:paraId="00881DE4"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77696" behindDoc="0" locked="0" layoutInCell="1" allowOverlap="1" wp14:anchorId="46AB217D" wp14:editId="75FFC6B6">
                <wp:simplePos x="0" y="0"/>
                <wp:positionH relativeFrom="column">
                  <wp:posOffset>2881630</wp:posOffset>
                </wp:positionH>
                <wp:positionV relativeFrom="paragraph">
                  <wp:posOffset>5005705</wp:posOffset>
                </wp:positionV>
                <wp:extent cx="304800" cy="285750"/>
                <wp:effectExtent l="0" t="0" r="19050" b="19050"/>
                <wp:wrapNone/>
                <wp:docPr id="22" name="文本框 2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90F8CB"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217D" id="文本框 22" o:spid="_x0000_s1061" type="#_x0000_t202" style="position:absolute;left:0;text-align:left;margin-left:226.9pt;margin-top:394.15pt;width:24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Ai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eDASWGaazR/c8f97/+3P++I3iHBFXWTxB3bREZ6g9QY6G7e4+XMe9aOh3/mBFBPVK9&#10;2dIr6kA4Xu73huMeajiqBuPR4SjRnz0YW+fDRwGaRCGnDquXSGXrcx8wEIR2kPiWB1UWZ6VS6RA7&#10;RpwoR9YMaz1fpBDR4hFKGVLl9GAfn36VB/SnTLQUqbfasCJBDRFJChslIkaZz0Iit4mPZ2JknAsT&#10;ujgTOqIkZvQSwxb/ENVLjJs80CK9DCZsjXVpwDUsPaa2+NqFLBs8FmYn7yiGel6nptofdY0yh2KD&#10;/eOgGUFv+VmJVT5nPlwxhzOHjYF7JFziRyrAKkErUbIE9/25+4jHUUAtJRXOcE79txVzghL1yeCQ&#10;vO8Ph3Ho02E4Ohzgwe1q5rsas9IngK3Tx41leRIjPqhOlA70La6bWXwVVcxwfDunoRNPQrNZcF1x&#10;MZslEI65ZeHcXFseXUeaYw/f1LfM2bbRA07IBXTTziZP+r3BRksDs1UAWaZhiEQ3rLYFwBWRZqRd&#10;Z3EH7Z4T6mHpTv8CAAD//wMAUEsDBBQABgAIAAAAIQB70CAh3wAAAAsBAAAPAAAAZHJzL2Rvd25y&#10;ZXYueG1sTI/BTsMwEETvSPyDtUjcqFNMqEnjVBFSTz3RRnB1EzeJGq8j20nD37Oc4Lizo5k3+W6x&#10;A5uND71DBetVAsxg7ZoeWwXVaf8kgYWosdGDQ6Pg2wTYFfd3uc4ad8MPMx9jyygEQ6YVdDGOGeeh&#10;7ozVYeVGg/S7OG91pNO3vPH6RuF24M9J8sqt7pEaOj2a987U1+NkFXweTnuOBzlVaV+WV/zazG+V&#10;V+rxYSm3wKJZ4p8ZfvEJHQpiOrsJm8AGBS+pIPSoYCOlAEaONFmTclYghRDAi5z/31D8AAAA//8D&#10;AFBLAQItABQABgAIAAAAIQC2gziS/gAAAOEBAAATAAAAAAAAAAAAAAAAAAAAAABbQ29udGVudF9U&#10;eXBlc10ueG1sUEsBAi0AFAAGAAgAAAAhADj9If/WAAAAlAEAAAsAAAAAAAAAAAAAAAAALwEAAF9y&#10;ZWxzLy5yZWxzUEsBAi0AFAAGAAgAAAAhAAOkkCKeAgAAvAUAAA4AAAAAAAAAAAAAAAAALgIAAGRy&#10;cy9lMm9Eb2MueG1sUEsBAi0AFAAGAAgAAAAhAHvQICHfAAAACwEAAA8AAAAAAAAAAAAAAAAA+AQA&#10;AGRycy9kb3ducmV2LnhtbFBLBQYAAAAABAAEAPMAAAAEBgAAAAA=&#10;" fillcolor="white [3212]" strokecolor="white [3212]" strokeweight=".5pt">
                <v:textbox>
                  <w:txbxContent>
                    <w:p w14:paraId="7690F8CB"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7936" behindDoc="0" locked="0" layoutInCell="1" allowOverlap="1" wp14:anchorId="57967EC1" wp14:editId="6616A2A1">
                <wp:simplePos x="0" y="0"/>
                <wp:positionH relativeFrom="column">
                  <wp:posOffset>1471930</wp:posOffset>
                </wp:positionH>
                <wp:positionV relativeFrom="paragraph">
                  <wp:posOffset>3376930</wp:posOffset>
                </wp:positionV>
                <wp:extent cx="304800" cy="285750"/>
                <wp:effectExtent l="0" t="0" r="19050" b="19050"/>
                <wp:wrapNone/>
                <wp:docPr id="27" name="文本框 2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D9828A"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67EC1" id="文本框 27" o:spid="_x0000_s1062" type="#_x0000_t202" style="position:absolute;left:0;text-align:left;margin-left:115.9pt;margin-top:265.9pt;width:24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8hngIAALwFAAAOAAAAZHJzL2Uyb0RvYy54bWysVEtu2zAQ3RfoHQjuG/mXT43IgZsgRYEg&#10;CZoUWdMUaROlOCxJW3IPkN6gq26677lyjg4pyXbSbBJ0Iw05b4Yzbz7HJ3WpyUo4r8DktL/Xo0QY&#10;DoUy85x+uT1/d0SJD8wUTIMROV0LT08mb98cV3YsBrAAXQhH0Inx48rmdBGCHWeZ5wtRMr8HVhhU&#10;SnAlC3h086xwrELvpc4Gvd5BVoErrAMuvMfbs0ZJJ8m/lIKHKym9CETnFGML6evSdxa/2eSYjeeO&#10;2YXibRjsFVGUTBl8dOPqjAVGlk7946pU3IEHGfY4lBlIqbhIOWA2/d6TbG4WzIqUC5Lj7YYm///c&#10;8svVtSOqyOngkBLDSqzRw88fD7/+PPy+J3iHBFXWjxF3YxEZ6g9QY6G7e4+XMe9aujL+MSOCeqR6&#10;vaFX1IFwvBz2Rkc91HBUDY72D/cT/dnW2DofPgooSRRy6rB6iVS2uvABA0FoB4lvedCqOFdap0Ps&#10;GHGqHVkxrPVsnkJEi0cobUiV04MhPv0qD+hPm2gpUm+1YUWCGiKSFNZaRIw2n4VEbhMfz8TIOBcm&#10;dHEmdERJzOglhi1+G9VLjJs80CK9DCZsjEtlwDUsPaa2+NqFLBs8FmYn7yiGelanphoedI0yg2KN&#10;/eOgGUFv+bnCKl8wH66Zw5nDxsA9Eq7wIzVglaCVKFmA+/7cfcTjKKCWkgpnOKf+25I5QYn+ZHBI&#10;3vdHozj06TDaPxzgwe1qZrsasyxPAVunjxvL8iRGfNCdKB2Ud7hupvFVVDHD8e2chk48Dc1mwXXF&#10;xXSaQDjmloULc2N5dB1pjj18W98xZ9tGDzghl9BNOxs/6fcGGy0NTJcBpErDEIluWG0LgCsizUi7&#10;zuIO2j0n1HbpTv4CAAD//wMAUEsDBBQABgAIAAAAIQCh1tVK3gAAAAsBAAAPAAAAZHJzL2Rvd25y&#10;ZXYueG1sTI9BT4NAEIXvJv6HzZh4s0sxLRRZGmLSU0+2RK9bdgRSdpawC8V/7+hFbzPvvbz5Jt8v&#10;thczjr5zpGC9ikAg1c501CiozoenFIQPmozuHaGCL/SwL+7vcp0Zd6M3nE+hEVxCPtMK2hCGTEpf&#10;t2i1X7kBib1PN1odeB0baUZ943LbyziKttLqjvhCqwd8bbG+niar4P14Pkg6plO16crySh/JvKtG&#10;pR4flvIFRMAl/IXhB5/RoWCmi5vIeNEriJ/XjB4UbH4HTsTJjpULK8k2BVnk8v8PxTcAAAD//wMA&#10;UEsBAi0AFAAGAAgAAAAhALaDOJL+AAAA4QEAABMAAAAAAAAAAAAAAAAAAAAAAFtDb250ZW50X1R5&#10;cGVzXS54bWxQSwECLQAUAAYACAAAACEAOP0h/9YAAACUAQAACwAAAAAAAAAAAAAAAAAvAQAAX3Jl&#10;bHMvLnJlbHNQSwECLQAUAAYACAAAACEA1hiPIZ4CAAC8BQAADgAAAAAAAAAAAAAAAAAuAgAAZHJz&#10;L2Uyb0RvYy54bWxQSwECLQAUAAYACAAAACEAodbVSt4AAAALAQAADwAAAAAAAAAAAAAAAAD4BAAA&#10;ZHJzL2Rvd25yZXYueG1sUEsFBgAAAAAEAAQA8wAAAAMGAAAAAA==&#10;" fillcolor="white [3212]" strokecolor="white [3212]" strokeweight=".5pt">
                <v:textbox>
                  <w:txbxContent>
                    <w:p w14:paraId="26D9828A"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89984" behindDoc="0" locked="0" layoutInCell="1" allowOverlap="1" wp14:anchorId="4A09DA85" wp14:editId="4EF721C6">
                <wp:simplePos x="0" y="0"/>
                <wp:positionH relativeFrom="column">
                  <wp:posOffset>1929130</wp:posOffset>
                </wp:positionH>
                <wp:positionV relativeFrom="paragraph">
                  <wp:posOffset>3367405</wp:posOffset>
                </wp:positionV>
                <wp:extent cx="304800" cy="285750"/>
                <wp:effectExtent l="0" t="0" r="19050" b="19050"/>
                <wp:wrapNone/>
                <wp:docPr id="28" name="文本框 2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10B780"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DA85" id="文本框 28" o:spid="_x0000_s1063" type="#_x0000_t202" style="position:absolute;left:0;text-align:left;margin-left:151.9pt;margin-top:265.15pt;width:24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PHngIAALwFAAAOAAAAZHJzL2Uyb0RvYy54bWysVM1OGzEQvlfqO1i+l01C+GnEBqUgqkoI&#10;UKHi7HjtZFWv7dpOdtMHoG/QUy+997l4jn72ZkOgXEC97I4934xnvvk5Om4qRZbC+dLonPZ3epQI&#10;zU1R6llOv9ycvTukxAemC6aMFjldCU+Px2/fHNV2JAZmblQhHIET7Ue1zek8BDvKMs/nomJ+x1ih&#10;oZTGVSzg6GZZ4VgN75XKBr3eflYbV1hnuPAet6etko6TfykFD5dSehGIyiliC+nr0ncav9n4iI1m&#10;jtl5yddhsFdEUbFS49GNq1MWGFm48h9XVcmd8UaGHW6qzEhZcpFyQDb93pNsrufMipQLyPF2Q5P/&#10;f275xfLKkbLI6QCV0qxCje5//rj/9ef+9x3BHQiqrR8Bd22BDM0H06DQ3b3HZcy7ka6Kf2REoAfV&#10;qw29ogmE43K3NzzsQcOhGhzuHewl+rMHY+t8+ChMRaKQU4fqJVLZ8twHBAJoB4lveaPK4qxUKh1i&#10;x4gT5ciSodbTWQoRFo9QSpM6p/u7ePpVHuBP6WgpUm+tw4oEtUQkKayUiBilPwsJbhMfz8TIOBc6&#10;dHEmdERJZPQSwzX+IaqXGLd5wCK9bHTYGFelNq5l6TG1xdcuZNniUZitvKMYmmmTmmr3oGuUqSlW&#10;6B9n2hH0lp+VqPI58+GKOcwcGgN7JFziI5VBlcxaomRu3Pfn7iMeowAtJTVmOKf+24I5QYn6pDEk&#10;7/vDYRz6dBjuHQxwcNua6bZGL6oTg9bpY2NZnsSID6oTpTPVLdbNJL4KFdMcb+c0dOJJaDcL1hUX&#10;k0kCYcwtC+f62vLoOtIce/imuWXOrhs9YEIuTDftbPSk31tstNRmsghGlmkYItEtq+sCYEWkGVmv&#10;s7iDts8J9bB0x38BAAD//wMAUEsDBBQABgAIAAAAIQBliEaH3gAAAAsBAAAPAAAAZHJzL2Rvd25y&#10;ZXYueG1sTI9BT8MwDIXvSPyHyEjcWDqqslGaThXSTjuxVeOaNaat1jhVknbl32NOcLPfe3r+XOwW&#10;O4gZfegdKVivEhBIjTM9tQrq0/5pCyJETUYPjlDBNwbYlfd3hc6Nu9EHzsfYCi6hkGsFXYxjLmVo&#10;OrQ6rNyIxN6X81ZHXn0rjdc3LreDfE6SF2l1T3yh0yO+d9hcj5NVcD6c9pIO26nO+qq60udmfq29&#10;Uo8PS/UGIuIS/8Lwi8/oUDLTxU1kghgUpEnK6FFBxhMITqTZmpULK5ssBVkW8v8P5Q8AAAD//wMA&#10;UEsBAi0AFAAGAAgAAAAhALaDOJL+AAAA4QEAABMAAAAAAAAAAAAAAAAAAAAAAFtDb250ZW50X1R5&#10;cGVzXS54bWxQSwECLQAUAAYACAAAACEAOP0h/9YAAACUAQAACwAAAAAAAAAAAAAAAAAvAQAAX3Jl&#10;bHMvLnJlbHNQSwECLQAUAAYACAAAACEA1xhzx54CAAC8BQAADgAAAAAAAAAAAAAAAAAuAgAAZHJz&#10;L2Uyb0RvYy54bWxQSwECLQAUAAYACAAAACEAZYhGh94AAAALAQAADwAAAAAAAAAAAAAAAAD4BAAA&#10;ZHJzL2Rvd25yZXYueG1sUEsFBgAAAAAEAAQA8wAAAAMGAAAAAA==&#10;" fillcolor="white [3212]" strokecolor="white [3212]" strokeweight=".5pt">
                <v:textbox>
                  <w:txbxContent>
                    <w:p w14:paraId="1210B780"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92032" behindDoc="0" locked="0" layoutInCell="1" allowOverlap="1" wp14:anchorId="2934DAAF" wp14:editId="12243D65">
                <wp:simplePos x="0" y="0"/>
                <wp:positionH relativeFrom="column">
                  <wp:posOffset>2433955</wp:posOffset>
                </wp:positionH>
                <wp:positionV relativeFrom="paragraph">
                  <wp:posOffset>3367405</wp:posOffset>
                </wp:positionV>
                <wp:extent cx="304800" cy="285750"/>
                <wp:effectExtent l="0" t="0" r="19050" b="19050"/>
                <wp:wrapNone/>
                <wp:docPr id="29" name="文本框 2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9B93B8"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DAAF" id="文本框 29" o:spid="_x0000_s1064" type="#_x0000_t202" style="position:absolute;left:0;text-align:left;margin-left:191.65pt;margin-top:265.15pt;width:24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oLngIAALwFAAAOAAAAZHJzL2Uyb0RvYy54bWysVM1OGzEQvlfqO1i+l01CgBCxQSmIqhIC&#10;1FBxdrx2sqrtcW0nu+kDtG/QUy+997l4jo69uyFQLqBedseeb8Yz3/ycnNZakbVwvgST0/5ejxJh&#10;OBSlWeT08+3FuxElPjBTMAVG5HQjPD2dvH1zUtmxGMASVCEcQSfGjyub02UIdpxlni+FZn4PrDCo&#10;lOA0C3h0i6xwrELvWmWDXu8wq8AV1gEX3uPteaOkk+RfSsHDtZReBKJyirGF9HXpO4/fbHLCxgvH&#10;7LLkbRjsFVFoVhp8dOvqnAVGVq78x5UuuQMPMuxx0BlIWXKRcsBs+r0n2cyWzIqUC5Lj7ZYm///c&#10;8qv1jSNlkdPBMSWGaazR/c8f97/+3P/+TvAOCaqsHyNuZhEZ6vdQY6G7e4+XMe9aOh3/mBFBPVK9&#10;2dIr6kA4Xu73hqMeajiqBqODo4NEf/ZgbJ0PHwRoEoWcOqxeIpWtL33AQBDaQeJbHlRZXJRKpUPs&#10;GHGmHFkzrPV8kUJEi0coZUiV08N9fPpVHtCfMtFSpN5qw4oENUQkKWyUiBhlPgmJ3CY+nomRcS5M&#10;6OJM6IiSmNFLDFv8Q1QvMW7yQIv0MpiwNdalAdew9Jja4ksXsmzwWJidvKMY6nmdmmp/1DXKHIoN&#10;9o+DZgS95RclVvmS+XDDHM4cNgbukXCNH6kAqwStRMkS3Lfn7iMeRwG1lFQ4wzn1X1fMCUrUR4ND&#10;ctwfDuPQp8Pw4GiAB7erme9qzEqfAbZOHzeW5UmM+KA6UTrQd7hupvFVVDHD8e2chk48C81mwXXF&#10;xXSaQDjmloVLM7M8uo40xx6+re+Ys22jB5yQK+imnY2f9HuDjZYGpqsAskzDEIluWG0LgCsizUi7&#10;zuIO2j0n1MPSnfwFAAD//wMAUEsDBBQABgAIAAAAIQCjq8jX3gAAAAsBAAAPAAAAZHJzL2Rvd25y&#10;ZXYueG1sTI/BTsMwEETvSPyDtUjcqFNMaEjjVBFSTz3RRnB1YzeJGq8j20nD37Oc4Da7M5p9W+wW&#10;O7DZ+NA7lLBeJcAMNk732EqoT/unDFiICrUaHBoJ3ybArry/K1Su3Q0/zHyMLaMSDLmS0MU45pyH&#10;pjNWhZUbDZJ3cd6qSKNvufbqRuV24M9J8sqt6pEudGo0751prsfJSvg8nPYcD9lUp31VXfFrM7/V&#10;XsrHh6XaAotmiX9h+MUndCiJ6ewm1IENEkQmBEUlpCIhQYkXsSZxps0mFcDLgv//ofwBAAD//wMA&#10;UEsBAi0AFAAGAAgAAAAhALaDOJL+AAAA4QEAABMAAAAAAAAAAAAAAAAAAAAAAFtDb250ZW50X1R5&#10;cGVzXS54bWxQSwECLQAUAAYACAAAACEAOP0h/9YAAACUAQAACwAAAAAAAAAAAAAAAAAvAQAAX3Jl&#10;bHMvLnJlbHNQSwECLQAUAAYACAAAACEAusqaC54CAAC8BQAADgAAAAAAAAAAAAAAAAAuAgAAZHJz&#10;L2Uyb0RvYy54bWxQSwECLQAUAAYACAAAACEAo6vI194AAAALAQAADwAAAAAAAAAAAAAAAAD4BAAA&#10;ZHJzL2Rvd25yZXYueG1sUEsFBgAAAAAEAAQA8wAAAAMGAAAAAA==&#10;" fillcolor="white [3212]" strokecolor="white [3212]" strokeweight=".5pt">
                <v:textbox>
                  <w:txbxContent>
                    <w:p w14:paraId="629B93B8"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94080" behindDoc="0" locked="0" layoutInCell="1" allowOverlap="1" wp14:anchorId="627286D2" wp14:editId="6F5EF722">
                <wp:simplePos x="0" y="0"/>
                <wp:positionH relativeFrom="column">
                  <wp:posOffset>2814955</wp:posOffset>
                </wp:positionH>
                <wp:positionV relativeFrom="paragraph">
                  <wp:posOffset>3386455</wp:posOffset>
                </wp:positionV>
                <wp:extent cx="304800" cy="285750"/>
                <wp:effectExtent l="0" t="0" r="19050" b="19050"/>
                <wp:wrapNone/>
                <wp:docPr id="30" name="文本框 30"/>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9AE752"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86D2" id="文本框 30" o:spid="_x0000_s1065" type="#_x0000_t202" style="position:absolute;left:0;text-align:left;margin-left:221.65pt;margin-top:266.65pt;width:24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CCnQIAALwFAAAOAAAAZHJzL2Uyb0RvYy54bWysVM1OGzEQvlfqO1i+l01C+IvYoBREVQkB&#10;KlScHa+drOq1XdvJbvoA7Rv01EvvfS6eo5+92RAoF1Avu2PPN+OZb36OT5pKkaVwvjQ6p/2dHiVC&#10;c1OUepbTz7fn7w4p8YHpgimjRU5XwtOT8ds3x7UdiYGZG1UIR+BE+1FtczoPwY6yzPO5qJjfMVZo&#10;KKVxFQs4ullWOFbDe6WyQa+3n9XGFdYZLrzH7VmrpOPkX0rBw5WUXgSicorYQvq69J3GbzY+ZqOZ&#10;Y3Ze8nUY7BVRVKzUeHTj6owFRhau/MdVVXJnvJFhh5sqM1KWXKQckE2/9ySbmzmzIuUCcrzd0OT/&#10;n1t+ubx2pCxyugt6NKtQo/ufP+5//bn//Z3gDgTV1o+Au7FAhua9aVDo7t7jMubdSFfFPzIi0MPX&#10;akOvaALhuNztDQ970HCoBod7B3vJe/ZgbJ0PH4SpSBRy6lC9RCpbXviAQADtIPEtb1RZnJdKpUPs&#10;GHGqHFky1Ho6SyHC4hFKaVLndH8XT7/KA/wpHS1F6q11WJGglogkhZUSEaP0JyHBbeLjmRgZ50KH&#10;Ls6EjiiJjF5iuMY/RPUS4zYPWKSXjQ4b46rUxrUsPaa2+NKFLFs8CrOVdxRDM23apjrqGmVqihX6&#10;x5l2BL3l5yWqfMF8uGYOM4fGwB4JV/hIZVAls5YomRv37bn7iMcoQEtJjRnOqf+6YE5Qoj5qDMlR&#10;fziE25AOw72DAQ5uWzPd1uhFdWrQOn1sLMuTGPFBdaJ0prrDupnEV6FimuPtnIZOPA3tZsG64mIy&#10;SSCMuWXhQt9YHl1HmmMP3zZ3zNl1owdMyKXppp2NnvR7i42W2kwWwcgyDUMkumV1XQCsiDQj63UW&#10;d9D2OaEelu74LwAAAP//AwBQSwMEFAAGAAgAAAAhAFJnlbbeAAAACwEAAA8AAABkcnMvZG93bnJl&#10;di54bWxMj8FugzAQRO+V+g/WVuqtMSkkIQQToUo55dQEtVcHO4CC18g2hP59N6f2Nrszmn2b72fT&#10;s0k731kUsFxEwDTWVnXYCKjOh7cUmA8SlewtagE/2sO+eH7KZabsHT/1dAoNoxL0mRTQhjBknPu6&#10;1Ub6hR00kne1zshAo2u4cvJO5abn71G05kZ2SBdaOeiPVte302gEfB3PB47HdKxWXVne8HszbSsn&#10;xOvLXO6ABT2HvzA88AkdCmK62BGVZ72AJIljigpYxQ9BiWS7JHGhzSaNgRc5//9D8QsAAP//AwBQ&#10;SwECLQAUAAYACAAAACEAtoM4kv4AAADhAQAAEwAAAAAAAAAAAAAAAAAAAAAAW0NvbnRlbnRfVHlw&#10;ZXNdLnhtbFBLAQItABQABgAIAAAAIQA4/SH/1gAAAJQBAAALAAAAAAAAAAAAAAAAAC8BAABfcmVs&#10;cy8ucmVsc1BLAQItABQABgAIAAAAIQBJbdCCnQIAALwFAAAOAAAAAAAAAAAAAAAAAC4CAABkcnMv&#10;ZTJvRG9jLnhtbFBLAQItABQABgAIAAAAIQBSZ5W23gAAAAsBAAAPAAAAAAAAAAAAAAAAAPcEAABk&#10;cnMvZG93bnJldi54bWxQSwUGAAAAAAQABADzAAAAAgYAAAAA&#10;" fillcolor="white [3212]" strokecolor="white [3212]" strokeweight=".5pt">
                <v:textbox>
                  <w:txbxContent>
                    <w:p w14:paraId="479AE752"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96128" behindDoc="0" locked="0" layoutInCell="1" allowOverlap="1" wp14:anchorId="29B84BED" wp14:editId="0B1257D0">
                <wp:simplePos x="0" y="0"/>
                <wp:positionH relativeFrom="column">
                  <wp:posOffset>4091305</wp:posOffset>
                </wp:positionH>
                <wp:positionV relativeFrom="paragraph">
                  <wp:posOffset>3405505</wp:posOffset>
                </wp:positionV>
                <wp:extent cx="304800" cy="285750"/>
                <wp:effectExtent l="0" t="0" r="19050" b="19050"/>
                <wp:wrapNone/>
                <wp:docPr id="31" name="文本框 3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B1C6D2"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4BED" id="文本框 31" o:spid="_x0000_s1066" type="#_x0000_t202" style="position:absolute;left:0;text-align:left;margin-left:322.15pt;margin-top:268.15pt;width:24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wnAIAALwFAAAOAAAAZHJzL2Uyb0RvYy54bWysVM1OGzEQvlfqO1i+l01CoDRig1IQVSUE&#10;qFBxdrx2sqrXdm0n2fQB2jfoqZfe+1w8Rz97d5NAuYB62bVnvhnPfPNzfFJXiiyF86XROe3v9SgR&#10;mpui1LOcfr49f3NEiQ9MF0wZLXK6Fp6ejF+/Ol7ZkRiYuVGFcAROtB+tbE7nIdhRlnk+FxXze8YK&#10;DaU0rmIBVzfLCsdW8F6pbNDrHWYr4wrrDBfeQ3rWKOk4+ZdS8HAlpReBqJwitpC+Ln2n8ZuNj9lo&#10;5pidl7wNg70gioqVGo9uXJ2xwMjClf+4qkrujDcy7HFTZUbKkouUA7Lp9x5lczNnVqRcQI63G5r8&#10;/3PLL5fXjpRFTvf7lGhWoUb3P3/c//pz//s7gQwErawfAXdjgQz1e1Oj0J3cQxjzrqWr4h8ZEehB&#10;9XpDr6gD4RDu94ZHPWg4VIOjg7cHif5sa2ydDx+EqUg85NSheolUtrzwAYEA2kHiW96osjgvlUqX&#10;2DHiVDmyZKj1dJZChMUDlNJkldPDfTz9Ig/wp3S0FKm32rAiQQ0R6RTWSkSM0p+EBLeJjydiZJwL&#10;Hbo4EzqiJDJ6jmGL30b1HOMmD1ikl40OG+Oq1MY1LD2ktvjShSwbPAqzk3c8hnpap6YaphJH0dQU&#10;a/SPM80IesvPS1T5gvlwzRxmDo2BPRKu8JHKoEqmPVEyN+7bU/KIxyhAS8kKM5xT/3XBnKBEfdQY&#10;knf9IQIgIV2GB28HuLhdzXRXoxfVqUHrYA4QXTpGfFDdUTpT3WHdTOKrUDHN8XZOQ3c8Dc1mwbri&#10;YjJJIIy5ZeFC31geXUeaYw/f1nfM2bbRAybk0nTTzkaP+r3BRkttJotgZJmGYctqWwCsiDQj7TqL&#10;O2j3nlDbpTv+CwAA//8DAFBLAwQUAAYACAAAACEA8tEcbN8AAAALAQAADwAAAGRycy9kb3ducmV2&#10;LnhtbEyPwW6DMBBE75X6D9ZW6q0xCQklBBOhSjnl1ASlVwc7gILXyDaE/n23p/Y2uzOafZvvZ9Oz&#10;STvfWRSwXETANNZWddgIqM6HtxSYDxKV7C1qAd/aw754fsplpuwDP/V0Cg2jEvSZFNCGMGSc+7rV&#10;RvqFHTSSd7POyECja7hy8kHlpuerKEq4kR3ShVYO+qPV9f00GgGX4/nA8ZiO1aYryzt+vU/bygnx&#10;+jKXO2BBz+EvDL/4hA4FMV3tiMqzXkCyXscUFbCJExKUSLYrElfapMsYeJHz/z8UPwAAAP//AwBQ&#10;SwECLQAUAAYACAAAACEAtoM4kv4AAADhAQAAEwAAAAAAAAAAAAAAAAAAAAAAW0NvbnRlbnRfVHlw&#10;ZXNdLnhtbFBLAQItABQABgAIAAAAIQA4/SH/1gAAAJQBAAALAAAAAAAAAAAAAAAAAC8BAABfcmVs&#10;cy8ucmVsc1BLAQItABQABgAIAAAAIQB7+5XwnAIAALwFAAAOAAAAAAAAAAAAAAAAAC4CAABkcnMv&#10;ZTJvRG9jLnhtbFBLAQItABQABgAIAAAAIQDy0Rxs3wAAAAsBAAAPAAAAAAAAAAAAAAAAAPYEAABk&#10;cnMvZG93bnJldi54bWxQSwUGAAAAAAQABADzAAAAAgYAAAAA&#10;" fillcolor="white [3212]" strokecolor="white [3212]" strokeweight=".5pt">
                <v:textbox>
                  <w:txbxContent>
                    <w:p w14:paraId="63B1C6D2"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98176" behindDoc="0" locked="0" layoutInCell="1" allowOverlap="1" wp14:anchorId="1F55FAAE" wp14:editId="1AC00F6A">
                <wp:simplePos x="0" y="0"/>
                <wp:positionH relativeFrom="column">
                  <wp:posOffset>4577080</wp:posOffset>
                </wp:positionH>
                <wp:positionV relativeFrom="paragraph">
                  <wp:posOffset>3386455</wp:posOffset>
                </wp:positionV>
                <wp:extent cx="304800" cy="285750"/>
                <wp:effectExtent l="0" t="0" r="19050" b="19050"/>
                <wp:wrapNone/>
                <wp:docPr id="32" name="文本框 32"/>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D93DE9"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5FAAE" id="文本框 32" o:spid="_x0000_s1067" type="#_x0000_t202" style="position:absolute;left:0;text-align:left;margin-left:360.4pt;margin-top:266.65pt;width:24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9HnQIAALwFAAAOAAAAZHJzL2Uyb0RvYy54bWysVEtu2zAQ3RfoHQjuG/mXT43IgZsgRYEg&#10;CZoUWdMUaQslOSxJW3IPkN6gq26677lyjg4pyXbSbBJ0Iw05b4Yzbz7HJ7VWZCWcL8HktL/Xo0QY&#10;DkVp5jn9cnv+7ogSH5gpmAIjcroWnp5M3r45ruxYDGABqhCOoBPjx5XN6SIEO84yzxdCM78HVhhU&#10;SnCaBTy6eVY4VqF3rbJBr3eQVeAK64AL7/H2rFHSSfIvpeDhSkovAlE5xdhC+rr0ncVvNjlm47lj&#10;dlHyNgz2iig0Kw0+unF1xgIjS1f+40qX3IEHGfY46AykLLlIOWA2/d6TbG4WzIqUC5Lj7YYm///c&#10;8svVtSNlkdPhgBLDNNbo4eePh19/Hn7fE7xDgirrx4i7sYgM9QeosdDdvcfLmHctnY5/zIigHqle&#10;b+gVdSAcL4e90VEPNRxVg6P9w/1Ef7Y1ts6HjwI0iUJOHVYvkcpWFz5gIAjtIPEtD6oszkul0iF2&#10;jDhVjqwY1no2TyGixSOUMqTK6cEQn36VB/SnTLQUqbfasCJBDRFJCmslIkaZz0Iit4mPZ2JknAsT&#10;ujgTOqIkZvQSwxa/jeolxk0eaJFeBhM2xro04BqWHlNbfO1Clg0eC7OTdxRDPatTU402jTKDYo39&#10;46AZQW/5eYlVvmA+XDOHM4eNgXskXOFHKsAqQStRsgD3/bn7iMdRQC0lFc5wTv23JXOCEvXJ4JC8&#10;749GcejTYbR/OMCD29XMdjVmqU8BW6ePG8vyJEZ8UJ0oHeg7XDfT+CqqmOH4dk5DJ56GZrPguuJi&#10;Ok0gHHPLwoW5sTy6jjTHHr6t75izbaMHnJBL6KadjZ/0e4ONlgamywCyTMMQiW5YbQuAKyLNSLvO&#10;4g7aPSfUdulO/gIAAP//AwBQSwMEFAAGAAgAAAAhAO1mAV7eAAAACwEAAA8AAABkcnMvZG93bnJl&#10;di54bWxMjz1vgzAQhvdK/Q/WVerWmAQlUIKJUKVMmZqgdnXwFVDwGWFD6L/vdWrH90PvPZcfFtuL&#10;GUffOVKwXkUgkGpnOmoUVJfjSwrCB01G945QwTd6OBSPD7nOjLvTO87n0AgeIZ9pBW0IQyalr1u0&#10;2q/cgMTZlxutDizHRppR33nc9nITRTtpdUd8odUDvrVY386TVfBxuhwlndKp2nZleaPPZH6tRqWe&#10;n5ZyDyLgEv7K8IvP6FAw09VNZLzoFSSbiNGDgm0cxyC4kexSdq7sJGkMssjl/x+KHwAAAP//AwBQ&#10;SwECLQAUAAYACAAAACEAtoM4kv4AAADhAQAAEwAAAAAAAAAAAAAAAAAAAAAAW0NvbnRlbnRfVHlw&#10;ZXNdLnhtbFBLAQItABQABgAIAAAAIQA4/SH/1gAAAJQBAAALAAAAAAAAAAAAAAAAAC8BAABfcmVs&#10;cy8ucmVsc1BLAQItABQABgAIAAAAIQD3kk9HnQIAALwFAAAOAAAAAAAAAAAAAAAAAC4CAABkcnMv&#10;ZTJvRG9jLnhtbFBLAQItABQABgAIAAAAIQDtZgFe3gAAAAsBAAAPAAAAAAAAAAAAAAAAAPcEAABk&#10;cnMvZG93bnJldi54bWxQSwUGAAAAAAQABADzAAAAAgYAAAAA&#10;" fillcolor="white [3212]" strokecolor="white [3212]" strokeweight=".5pt">
                <v:textbox>
                  <w:txbxContent>
                    <w:p w14:paraId="6ED93DE9"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0224" behindDoc="0" locked="0" layoutInCell="1" allowOverlap="1" wp14:anchorId="4F197AFD" wp14:editId="7AC608F8">
                <wp:simplePos x="0" y="0"/>
                <wp:positionH relativeFrom="column">
                  <wp:posOffset>5024755</wp:posOffset>
                </wp:positionH>
                <wp:positionV relativeFrom="paragraph">
                  <wp:posOffset>3395980</wp:posOffset>
                </wp:positionV>
                <wp:extent cx="304800" cy="285750"/>
                <wp:effectExtent l="0" t="0" r="19050" b="19050"/>
                <wp:wrapNone/>
                <wp:docPr id="33" name="文本框 3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723813"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97AFD" id="文本框 33" o:spid="_x0000_s1068" type="#_x0000_t202" style="position:absolute;left:0;text-align:left;margin-left:395.65pt;margin-top:267.4pt;width:24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J0ngIAALwFAAAOAAAAZHJzL2Uyb0RvYy54bWysVM1OGzEQvlfqO1i+l80fkEZsUAqiqoQA&#10;FSrOjtdOrHo9ru1kN30A+gY99dJ7n4vn6Ni7GwLlAupld+z5Zjzzzc/RcV1qshbOKzA57e/1KBGG&#10;Q6HMIqdfbs7ejSnxgZmCaTAipxvh6fH07Zujyk7EAJagC+EIOjF+UtmcLkOwkyzzfClK5vfACoNK&#10;Ca5kAY9ukRWOVei91Nmg1zvIKnCFdcCF93h72ijpNPmXUvBwKaUXgeicYmwhfV36zuM3mx6xycIx&#10;u1S8DYO9IoqSKYOPbl2dssDIyql/XJWKO/Agwx6HMgMpFRcpB8ym33uSzfWSWZFyQXK83dLk/59b&#10;frG+ckQVOR0OKTGsxBrd//xx/+vP/e87gndIUGX9BHHXFpGh/gA1Frq793gZ866lK+MfMyKoR6o3&#10;W3pFHQjHy2FvNO6hhqNqMN4/3E/0Zw/G1vnwUUBJopBTh9VLpLL1uQ8YCEI7SHzLg1bFmdI6HWLH&#10;iBPtyJphreeLFCJaPEJpQ6qcHgzx6Vd5QH/aREuReqsNKxLUEJGksNEiYrT5LCRym/h4JkbGuTCh&#10;izOhI0piRi8xbPEPUb3EuMkDLdLLYMLWuFQGXMPSY2qLr13IssFjYXbyjmKo53VqqtGga5Q5FBvs&#10;HwfNCHrLzxRW+Zz5cMUczhw2Bu6RcIkfqQGrBK1EyRLc9+fuIx5HAbWUVDjDOfXfVswJSvQng0Py&#10;vj8axaFPh9H+4QAPblcz39WYVXkC2Dp93FiWJzHig+5E6aC8xXUzi6+iihmOb+c0dOJJaDYLrisu&#10;ZrMEwjG3LJyba8uj60hz7OGb+pY52zZ6wAm5gG7a2eRJvzfYaGlgtgogVRqGSHTDalsAXBFpRtp1&#10;FnfQ7jmhHpbu9C8AAAD//wMAUEsDBBQABgAIAAAAIQDGDrIu3gAAAAsBAAAPAAAAZHJzL2Rvd25y&#10;ZXYueG1sTI/LboMwEEX3lfoP1lTqrjEpTXgEE6FKWWXVBLVbBzuAgsfINoT+faerdjl3ju6j2C9m&#10;YLN2vrcoYL2KgGlsrOqxFVCfDy8pMB8kKjlY1AK+tYd9+fhQyFzZO37o+RRaRibocymgC2HMOfdN&#10;p430KztqpN/VOiMDna7lysk7mZuBv0bRlhvZIyV0ctTvnW5up8kI+DyeDxyP6VRv+qq64VcyZ7UT&#10;4vlpqXbAgl7CHwy/9ak6lNTpYidUng0CkmwdEypgE7/RBiLSOCPlQkqSpcDLgv/fUP4AAAD//wMA&#10;UEsBAi0AFAAGAAgAAAAhALaDOJL+AAAA4QEAABMAAAAAAAAAAAAAAAAAAAAAAFtDb250ZW50X1R5&#10;cGVzXS54bWxQSwECLQAUAAYACAAAACEAOP0h/9YAAACUAQAACwAAAAAAAAAAAAAAAAAvAQAAX3Jl&#10;bHMvLnJlbHNQSwECLQAUAAYACAAAACEAWQmydJ4CAAC8BQAADgAAAAAAAAAAAAAAAAAuAgAAZHJz&#10;L2Uyb0RvYy54bWxQSwECLQAUAAYACAAAACEAxg6yLt4AAAALAQAADwAAAAAAAAAAAAAAAAD4BAAA&#10;ZHJzL2Rvd25yZXYueG1sUEsFBgAAAAAEAAQA8wAAAAMGAAAAAA==&#10;" fillcolor="white [3212]" strokecolor="white [3212]" strokeweight=".5pt">
                <v:textbox>
                  <w:txbxContent>
                    <w:p w14:paraId="54723813"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2272" behindDoc="0" locked="0" layoutInCell="1" allowOverlap="1" wp14:anchorId="103C8DCC" wp14:editId="3C330DA3">
                <wp:simplePos x="0" y="0"/>
                <wp:positionH relativeFrom="column">
                  <wp:posOffset>5481955</wp:posOffset>
                </wp:positionH>
                <wp:positionV relativeFrom="paragraph">
                  <wp:posOffset>3386455</wp:posOffset>
                </wp:positionV>
                <wp:extent cx="304800" cy="285750"/>
                <wp:effectExtent l="0" t="0" r="19050" b="19050"/>
                <wp:wrapNone/>
                <wp:docPr id="34" name="文本框 3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AAB7E7"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C8DCC" id="文本框 34" o:spid="_x0000_s1069" type="#_x0000_t202" style="position:absolute;left:0;text-align:left;margin-left:431.65pt;margin-top:266.65pt;width:24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rzngIAALwFAAAOAAAAZHJzL2Uyb0RvYy54bWysVM1OGzEQvlfqO1i+l80fkEZsUAqiqoQA&#10;FSrOjtdOVrU9ru1kN30A+gY99dJ7n4vn6Ni7GwLlAupld+z5Zjzzzc/Rca0VWQvnSzA57e/1KBGG&#10;Q1GaRU6/3Jy9G1PiAzMFU2BETjfC0+Pp2zdHlZ2IASxBFcIRdGL8pLI5XYZgJ1nm+VJo5vfACoNK&#10;CU6zgEe3yArHKvSuVTbo9Q6yClxhHXDhPd6eNko6Tf6lFDxcSulFICqnGFtIX5e+8/jNpkdssnDM&#10;LkvehsFeEYVmpcFHt65OWWBk5cp/XOmSO/Agwx4HnYGUJRcpB8ym33uSzfWSWZFyQXK83dLk/59b&#10;frG+cqQscjocUWKYxhrd//xx/+vP/e87gndIUGX9BHHXFpGh/gA1Frq793gZ866l0/GPGRHUI9Wb&#10;Lb2iDoTj5bA3GvdQw1E1GO8f7if6swdj63z4KECTKOTUYfUSqWx97gMGgtAOEt/yoMrirFQqHWLH&#10;iBPlyJphreeLFCJaPEIpQ6qcHgzx6Vd5QH/KREuReqsNKxLUEJGksFEiYpT5LCRym/h4JkbGuTCh&#10;izOhI0piRi8xbPEPUb3EuMkDLdLLYMLWWJcGXMPSY2qLr13IssFjYXbyjmKo53VqqtGwa5Q5FBvs&#10;HwfNCHrLz0qs8jnz4Yo5nDlsDNwj4RI/UgFWCVqJkiW478/dRzyOAmopqXCGc+q/rZgTlKhPBofk&#10;fX80ikOfDqP9wwEe3K5mvqsxK30C2Dp93FiWJzHig+pE6UDf4rqZxVdRxQzHt3MaOvEkNJsF1xUX&#10;s1kC4ZhbFs7NteXRdaQ59vBNfcucbRs94IRcQDftbPKk3xtstDQwWwWQZRqGSHTDalsAXBFpRtp1&#10;FnfQ7jmhHpbu9C8AAAD//wMAUEsDBBQABgAIAAAAIQBndtNG3gAAAAsBAAAPAAAAZHJzL2Rvd25y&#10;ZXYueG1sTI9Bb4MwDIXvk/YfIk/abQ0MtaWMUKFJPfW0Fm3XlHiAShxEAmX/fu5puz37PT1/zveL&#10;7cWMo+8cKYhXEQik2pmOGgXV+fCSgvBBk9G9I1Twgx72xeNDrjPjbvSB8yk0gkvIZ1pBG8KQSenr&#10;Fq32KzcgsfftRqsDj2MjzahvXG57+RpFG2l1R3yh1QO+t1hfT5NV8Hk8HyQd06lad2V5pa/tvKtG&#10;pZ6flvINRMAl/IXhjs/oUDDTxU1kvOgVpJsk4aiCdXIXnNjFMYsLb7ZpArLI5f8fil8AAAD//wMA&#10;UEsBAi0AFAAGAAgAAAAhALaDOJL+AAAA4QEAABMAAAAAAAAAAAAAAAAAAAAAAFtDb250ZW50X1R5&#10;cGVzXS54bWxQSwECLQAUAAYACAAAACEAOP0h/9YAAACUAQAACwAAAAAAAAAAAAAAAAAvAQAAX3Jl&#10;bHMvLnJlbHNQSwECLQAUAAYACAAAACEArkeK854CAAC8BQAADgAAAAAAAAAAAAAAAAAuAgAAZHJz&#10;L2Uyb0RvYy54bWxQSwECLQAUAAYACAAAACEAZ3bTRt4AAAALAQAADwAAAAAAAAAAAAAAAAD4BAAA&#10;ZHJzL2Rvd25yZXYueG1sUEsFBgAAAAAEAAQA8wAAAAMGAAAAAA==&#10;" fillcolor="white [3212]" strokecolor="white [3212]" strokeweight=".5pt">
                <v:textbox>
                  <w:txbxContent>
                    <w:p w14:paraId="75AAB7E7"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4320" behindDoc="0" locked="0" layoutInCell="1" allowOverlap="1" wp14:anchorId="2E26E57C" wp14:editId="172D8BDA">
                <wp:simplePos x="0" y="0"/>
                <wp:positionH relativeFrom="column">
                  <wp:posOffset>4053205</wp:posOffset>
                </wp:positionH>
                <wp:positionV relativeFrom="paragraph">
                  <wp:posOffset>1214755</wp:posOffset>
                </wp:positionV>
                <wp:extent cx="304800" cy="285750"/>
                <wp:effectExtent l="0" t="0" r="19050" b="19050"/>
                <wp:wrapNone/>
                <wp:docPr id="35" name="文本框 3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F078D2"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E57C" id="文本框 35" o:spid="_x0000_s1070" type="#_x0000_t202" style="position:absolute;left:0;text-align:left;margin-left:319.15pt;margin-top:95.65pt;width:24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jngIAALwFAAAOAAAAZHJzL2Uyb0RvYy54bWysVM1OGzEQvlfqO1i+l01CAmnEBqUgqkoI&#10;UKHi7HjtZFXb49pOdtMHoG/QUy+997l4jo69uyFQLqBedseeb8Yz3/wcHddakbVwvgST0/5ejxJh&#10;OBSlWeT0y83ZuzElPjBTMAVG5HQjPD2evn1zVNmJGMASVCEcQSfGTyqb02UIdpJlni+FZn4PrDCo&#10;lOA0C3h0i6xwrELvWmWDXu8gq8AV1gEX3uPtaaOk0+RfSsHDpZReBKJyirGF9HXpO4/fbHrEJgvH&#10;7LLkbRjsFVFoVhp8dOvqlAVGVq78x5UuuQMPMuxx0BlIWXKRcsBs+r0n2VwvmRUpFyTH2y1N/v+5&#10;5RfrK0fKIqf7I0oM01ij+58/7n/9uf99R/AOCaqsnyDu2iIy1B+gxkJ39x4vY961dDr+MSOCeqR6&#10;s6VX1IFwvNzvDcc91HBUDcajw1GiP3swts6HjwI0iUJOHVYvkcrW5z5gIAjtIPEtD6oszkql0iF2&#10;jDhRjqwZ1nq+SCGixSOUMqTK6cE+Pv0qD+hPmWgpUm+1YUWCGiKSFDZKRIwyn4VEbhMfz8TIOBcm&#10;dHEmdERJzOglhi3+IaqXGDd5oEV6GUzYGuvSgGtYekxt8bULWTZ4LMxO3lEM9bxOTTUcdo0yh2KD&#10;/eOgGUFv+VmJVT5nPlwxhzOHjYF7JFziRyrAKkErUbIE9/25+4jHUUAtJRXOcE79txVzghL1yeCQ&#10;vO8Ph3Ho02E4Ohzgwe1q5rsas9IngK3Tx41leRIjPqhOlA70La6bWXwVVcxwfDunoRNPQrNZcF1x&#10;MZslEI65ZeHcXFseXUeaYw/f1LfM2bbRA07IBXTTziZP+r3BRksDs1UAWaZhiEQ3rLYFwBWRZqRd&#10;Z3EH7Z4T6mHpTv8CAAD//wMAUEsDBBQABgAIAAAAIQAsR9ms3QAAAAsBAAAPAAAAZHJzL2Rvd25y&#10;ZXYueG1sTI/BboMwEETvlfoP1kbqrTEJKiUEE6FKOeXUBLVXB28BBa8RNoT+fben9jareZqdyQ+L&#10;7cWMo+8cKdisIxBItTMdNQqqy/E5BeGDJqN7R6jgGz0ciseHXGfG3ekd53NoBIeQz7SCNoQhk9LX&#10;LVrt125AYu/LjVYHPsdGmlHfOdz2chtFibS6I/7Q6gHfWqxv58kq+DhdjpJO6VS9dGV5o8/XeVeN&#10;Sj2tlnIPIuAS/mD4rc/VoeBOVzeR8aJXkMRpzCgbuw0LJpI0YXFVsI1ZyCKX/zcUPwAAAP//AwBQ&#10;SwECLQAUAAYACAAAACEAtoM4kv4AAADhAQAAEwAAAAAAAAAAAAAAAAAAAAAAW0NvbnRlbnRfVHlw&#10;ZXNdLnhtbFBLAQItABQABgAIAAAAIQA4/SH/1gAAAJQBAAALAAAAAAAAAAAAAAAAAC8BAABfcmVs&#10;cy8ucmVsc1BLAQItABQABgAIAAAAIQB+GasjngIAALwFAAAOAAAAAAAAAAAAAAAAAC4CAABkcnMv&#10;ZTJvRG9jLnhtbFBLAQItABQABgAIAAAAIQAsR9ms3QAAAAsBAAAPAAAAAAAAAAAAAAAAAPgEAABk&#10;cnMvZG93bnJldi54bWxQSwUGAAAAAAQABADzAAAAAgYAAAAA&#10;" fillcolor="white [3212]" strokecolor="white [3212]" strokeweight=".5pt">
                <v:textbox>
                  <w:txbxContent>
                    <w:p w14:paraId="0EF078D2"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6368" behindDoc="0" locked="0" layoutInCell="1" allowOverlap="1" wp14:anchorId="0677C11A" wp14:editId="53CF9E4C">
                <wp:simplePos x="0" y="0"/>
                <wp:positionH relativeFrom="column">
                  <wp:posOffset>4491355</wp:posOffset>
                </wp:positionH>
                <wp:positionV relativeFrom="paragraph">
                  <wp:posOffset>1348105</wp:posOffset>
                </wp:positionV>
                <wp:extent cx="304800" cy="285750"/>
                <wp:effectExtent l="0" t="0" r="19050" b="19050"/>
                <wp:wrapNone/>
                <wp:docPr id="36" name="文本框 3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E2632A"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7C11A" id="文本框 36" o:spid="_x0000_s1071" type="#_x0000_t202" style="position:absolute;left:0;text-align:left;margin-left:353.65pt;margin-top:106.15pt;width:24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UngIAALwFAAAOAAAAZHJzL2Uyb0RvYy54bWysVM1OGzEQvlfqO1i+l01CAmnEBqUgqkoI&#10;UKHi7HjtxKrX49pOdtMHoG/QUy+997l4jo69uyFQLqBedseeb8Yz3/wcHdelJmvhvAKT0/5ejxJh&#10;OBTKLHL65ebs3ZgSH5gpmAYjcroRnh5P3745quxEDGAJuhCOoBPjJ5XN6TIEO8kyz5eiZH4PrDCo&#10;lOBKFvDoFlnhWIXeS50Ner2DrAJXWAdceI+3p42STpN/KQUPl1J6EYjOKcYW0tel7zx+s+kRmywc&#10;s0vF2zDYK6IomTL46NbVKQuMrJz6x1WpuAMPMuxxKDOQUnGRcsBs+r0n2VwvmRUpFyTH2y1N/v+5&#10;5RfrK0dUkdP9A0oMK7FG9z9/3P/6c//7juAdElRZP0HctUVkqD9AjYXu7j1exrxr6cr4x4wI6pHq&#10;zZZeUQfC8XK/Nxz3UMNRNRiPDkeJ/uzB2DofPgooSRRy6rB6iVS2PvcBA0FoB4lvedCqOFNap0Ps&#10;GHGiHVkzrPV8kUJEi0cobUiV04N9fPpVHtCfNtFSpN5qw4oENUQkKWy0iBhtPguJ3CY+nomRcS5M&#10;6OJM6IiSmNFLDFv8Q1QvMW7yQIv0MpiwNS6VAdew9Jja4msXsmzwWJidvKMY6nmdmmo46hplDsUG&#10;+8dBM4Le8jOFVT5nPlwxhzOHjYF7JFziR2rAKkErUbIE9/25+4jHUUAtJRXOcE79txVzghL9yeCQ&#10;vO8Ph3Ho02E4Ohzgwe1q5rsasypPAFunjxvL8iRGfNCdKB2Ut7huZvFVVDHD8e2chk48Cc1mwXXF&#10;xWyWQDjmloVzc215dB1pjj18U98yZ9tGDzghF9BNO5s86fcGGy0NzFYBpErDEIluWG0LgCsizUi7&#10;zuIO2j0n1MPSnf4FAAD//wMAUEsDBBQABgAIAAAAIQD7F8ju3QAAAAsBAAAPAAAAZHJzL2Rvd25y&#10;ZXYueG1sTI9Bb4MwDIXvk/YfIk/abQ1lYnSUUKFJPfW0FnXXlLiAShxEAmX/ft5puz37PT1/zneL&#10;7cWMo+8cKVivIhBItTMdNQqq0/5lA8IHTUb3jlDBN3rYFY8Puc6Mu9MnzsfQCC4hn2kFbQhDJqWv&#10;W7Tar9yAxN7VjVYHHsdGmlHfudz2Mo6iN2l1R3yh1QN+tFjfjpNVcD6c9pIOm6lKurK80Vc6v1ej&#10;Us9PS7kFEXAJf2H4xWd0KJjp4iYyXvQK0ih95aiCeB2z4ESaJCwuvEnYkkUu//9Q/AAAAP//AwBQ&#10;SwECLQAUAAYACAAAACEAtoM4kv4AAADhAQAAEwAAAAAAAAAAAAAAAAAAAAAAW0NvbnRlbnRfVHlw&#10;ZXNdLnhtbFBLAQItABQABgAIAAAAIQA4/SH/1gAAAJQBAAALAAAAAAAAAAAAAAAAAC8BAABfcmVs&#10;cy8ucmVsc1BLAQItABQABgAIAAAAIQDycHGUngIAALwFAAAOAAAAAAAAAAAAAAAAAC4CAABkcnMv&#10;ZTJvRG9jLnhtbFBLAQItABQABgAIAAAAIQD7F8ju3QAAAAsBAAAPAAAAAAAAAAAAAAAAAPgEAABk&#10;cnMvZG93bnJldi54bWxQSwUGAAAAAAQABADzAAAAAgYAAAAA&#10;" fillcolor="white [3212]" strokecolor="white [3212]" strokeweight=".5pt">
                <v:textbox>
                  <w:txbxContent>
                    <w:p w14:paraId="6AE2632A"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10464" behindDoc="0" locked="0" layoutInCell="1" allowOverlap="1" wp14:anchorId="440DC167" wp14:editId="4DCAB1E3">
                <wp:simplePos x="0" y="0"/>
                <wp:positionH relativeFrom="column">
                  <wp:posOffset>4948555</wp:posOffset>
                </wp:positionH>
                <wp:positionV relativeFrom="paragraph">
                  <wp:posOffset>1576705</wp:posOffset>
                </wp:positionV>
                <wp:extent cx="304800" cy="285750"/>
                <wp:effectExtent l="0" t="0" r="19050" b="19050"/>
                <wp:wrapNone/>
                <wp:docPr id="38" name="文本框 38"/>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F41C0C"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DC167" id="文本框 38" o:spid="_x0000_s1072" type="#_x0000_t202" style="position:absolute;left:0;text-align:left;margin-left:389.65pt;margin-top:124.15pt;width:24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UngIAALwFAAAOAAAAZHJzL2Uyb0RvYy54bWysVM1OGzEQvlfqO1i+l01C+GnEBqUgqkoI&#10;UKHi7HjtZFWv7dpOdtMHoG/QUy+997l4jn72ZkOgXEC97I4934xnvvk5Om4qRZbC+dLonPZ3epQI&#10;zU1R6llOv9ycvTukxAemC6aMFjldCU+Px2/fHNV2JAZmblQhHIET7Ue1zek8BDvKMs/nomJ+x1ih&#10;oZTGVSzg6GZZ4VgN75XKBr3eflYbV1hnuPAet6etko6TfykFD5dSehGIyiliC+nr0ncav9n4iI1m&#10;jtl5yddhsFdEUbFS49GNq1MWGFm48h9XVcmd8UaGHW6qzEhZcpFyQDb93pNsrufMipQLyPF2Q5P/&#10;f275xfLKkbLI6S4qpVmFGt3//HH/68/97zuCOxBUWz8C7toCGZoPpkGhu3uPy5h3I10V/8iIQA+q&#10;Vxt6RRMIx+Vub3jYg4ZDNTjcO9hL9GcPxtb58FGYikQhpw7VS6Sy5bkPCATQDhLf8kaVxVmpVDrE&#10;jhEnypElQ62nsxQiLB6hlCZ1Tvd38fSrPMCf0tFSpN5ahxUJaolIUlgpETFKfxYS3CY+nomRcS50&#10;6OJM6IiSyOglhmv8Q1QvMW7zgEV62eiwMa5KbVzL0mNqi69dyLLFozBbeUcxNNMmNdVwv2uUqSlW&#10;6B9n2hH0lp+VqPI58+GKOcwcGgN7JFziI5VBlcxaomRu3Pfn7iMeowAtJTVmOKf+24I5QYn6pDEk&#10;7/vDYRz6dBjuHQxwcNua6bZGL6oTg9bpY2NZnsSID6oTpTPVLdbNJL4KFdMcb+c0dOJJaDcL1hUX&#10;k0kCYcwtC+f62vLoOtIce/imuWXOrhs9YEIuTDftbPSk31tstNRmsghGlmkYItEtq+sCYEWkGVmv&#10;s7iDts8J9bB0x38BAAD//wMAUEsDBBQABgAIAAAAIQBe/g6C3gAAAAsBAAAPAAAAZHJzL2Rvd25y&#10;ZXYueG1sTI/NTsMwEITvSLyDtUjcqNMEyE/jVBFSTz3RRnB1Y5NEjdeR7aTh7VlOcJvdGc1+W+5X&#10;M7JFOz9YFLDdRMA0tlYN2AlozoenDJgPEpUcLWoB39rDvrq/K2Wh7A3f9XIKHaMS9IUU0IcwFZz7&#10;ttdG+o2dNJL3ZZ2RgUbXceXkjcrNyOMoeuVGDkgXejnpt16319NsBHwczweOx2xuXoa6vuJnuuSN&#10;E+LxYa13wIJew18YfvEJHSpiutgZlWejgDTNE4oKiJ8zEpTI4pTEhTZ5kgCvSv7/h+oHAAD//wMA&#10;UEsBAi0AFAAGAAgAAAAhALaDOJL+AAAA4QEAABMAAAAAAAAAAAAAAAAAAAAAAFtDb250ZW50X1R5&#10;cGVzXS54bWxQSwECLQAUAAYACAAAACEAOP0h/9YAAACUAQAACwAAAAAAAAAAAAAAAAAvAQAAX3Jl&#10;bHMvLnJlbHNQSwECLQAUAAYACAAAACEAIlk/lJ4CAAC8BQAADgAAAAAAAAAAAAAAAAAuAgAAZHJz&#10;L2Uyb0RvYy54bWxQSwECLQAUAAYACAAAACEAXv4Ogt4AAAALAQAADwAAAAAAAAAAAAAAAAD4BAAA&#10;ZHJzL2Rvd25yZXYueG1sUEsFBgAAAAAEAAQA8wAAAAMGAAAAAA==&#10;" fillcolor="white [3212]" strokecolor="white [3212]" strokeweight=".5pt">
                <v:textbox>
                  <w:txbxContent>
                    <w:p w14:paraId="55F41C0C"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708416" behindDoc="0" locked="0" layoutInCell="1" allowOverlap="1" wp14:anchorId="5A979802" wp14:editId="2506CF7D">
                <wp:simplePos x="0" y="0"/>
                <wp:positionH relativeFrom="column">
                  <wp:posOffset>5377180</wp:posOffset>
                </wp:positionH>
                <wp:positionV relativeFrom="paragraph">
                  <wp:posOffset>1586230</wp:posOffset>
                </wp:positionV>
                <wp:extent cx="304800" cy="285750"/>
                <wp:effectExtent l="0" t="0" r="19050" b="19050"/>
                <wp:wrapNone/>
                <wp:docPr id="37" name="文本框 3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702337"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9802" id="文本框 37" o:spid="_x0000_s1073" type="#_x0000_t202" style="position:absolute;left:0;text-align:left;margin-left:423.4pt;margin-top:124.9pt;width:24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NynQIAALwFAAAOAAAAZHJzL2Uyb0RvYy54bWysVEtu2zAQ3RfoHQjuG/mXT43IgZsgRYEg&#10;CZoUWdMUaQslOSxJW3IPkN6gq26677lyjg4pyXbSbBJ0Iw05b4Yzbz7HJ7VWZCWcL8HktL/Xo0QY&#10;DkVp5jn9cnv+7ogSH5gpmAIjcroWnp5M3r45ruxYDGABqhCOoBPjx5XN6SIEO84yzxdCM78HVhhU&#10;SnCaBTy6eVY4VqF3rbJBr3eQVeAK64AL7/H2rFHSSfIvpeDhSkovAlE5xdhC+rr0ncVvNjlm47lj&#10;dlHyNgz2iig0Kw0+unF1xgIjS1f+40qX3IEHGfY46AykLLlIOWA2/d6TbG4WzIqUC5Lj7YYm///c&#10;8svVtSNlkdPhISWGaazRw88fD7/+PPy+J3iHBFXWjxF3YxEZ6g9QY6G7e4+XMe9aOh3/mBFBPVK9&#10;3tAr6kA4Xg57o6MeajiqBkf7h/uJ/mxrbJ0PHwVoEoWcOqxeIpWtLnzAQBDaQeJbHlRZnJdKpUPs&#10;GHGqHFkxrPVsnkJEi0coZUiV04MhPv0qD+hPmWgpUm+1YUWCGiKSFNZKRIwyn4VEbhMfz8TIOBcm&#10;dHEmdERJzOglhi1+G9VLjJs80CK9DCZsjHVpwDUsPaa2+NqFLBs8FmYn7yiGelanphptGmgGxRr7&#10;x0Ezgt7y8xKrfMF8uGYOZw4bA/dIuMKPVIBVglaiZAHu+3P3EY+jgFpKKpzhnPpvS+YEJeqTwSF5&#10;3x+N4tCnw2j/cIAHt6uZ7WrMUp8Ctk4fN5blSYz4oDpROtB3uG6m8VVUMcPx7ZyGTjwNzWbBdcXF&#10;dJpAOOaWhQtzY3l0HWmOPXxb3zFn20YPOCGX0E07Gz/p9wYbLQ1MlwFkmYYhEt2w2hYAV0SakXad&#10;xR20e06o7dKd/AUAAP//AwBQSwMEFAAGAAgAAAAhAFmXwxndAAAACwEAAA8AAABkcnMvZG93bnJl&#10;di54bWxMj0FvgzAMhe+T9h8iT9ptDa1YB5RQoUk99bQWbdeUeIBKHEQCZf9+7mm7Pfs9PX/O94vt&#10;xYyj7xwpWK8iEEi1Mx01Cqrz4SUB4YMmo3tHqOAHPeyLx4dcZ8bd6APnU2gEl5DPtII2hCGT0tct&#10;Wu1XbkBi79uNVgcex0aaUd+43PZyE0VbaXVHfKHVA763WF9Pk1XweTwfJB2TqXrtyvJKX29zWo1K&#10;PT8t5Q5EwCX8heGOz+hQMNPFTWS86BUk8ZbRg4JNnLLgRJLGLC68uQtZ5PL/D8UvAAAA//8DAFBL&#10;AQItABQABgAIAAAAIQC2gziS/gAAAOEBAAATAAAAAAAAAAAAAAAAAAAAAABbQ29udGVudF9UeXBl&#10;c10ueG1sUEsBAi0AFAAGAAgAAAAhADj9If/WAAAAlAEAAAsAAAAAAAAAAAAAAAAALwEAAF9yZWxz&#10;Ly5yZWxzUEsBAi0AFAAGAAgAAAAhACNZw3KdAgAAvAUAAA4AAAAAAAAAAAAAAAAALgIAAGRycy9l&#10;Mm9Eb2MueG1sUEsBAi0AFAAGAAgAAAAhAFmXwxndAAAACwEAAA8AAAAAAAAAAAAAAAAA9wQAAGRy&#10;cy9kb3ducmV2LnhtbFBLBQYAAAAABAAEAPMAAAABBgAAAAA=&#10;" fillcolor="white [3212]" strokecolor="white [3212]" strokeweight=".5pt">
                <v:textbox>
                  <w:txbxContent>
                    <w:p w14:paraId="64702337" w14:textId="77777777" w:rsidR="008B5977" w:rsidRDefault="008B5977" w:rsidP="008B5977">
                      <w:pPr>
                        <w:rPr>
                          <w:lang w:eastAsia="zh-CN"/>
                        </w:rPr>
                      </w:pPr>
                      <w:r>
                        <w:rPr>
                          <w:rFonts w:hint="eastAsia"/>
                          <w:lang w:eastAsia="zh-CN"/>
                        </w:rPr>
                        <w:t>a</w:t>
                      </w:r>
                    </w:p>
                  </w:txbxContent>
                </v:textbox>
              </v:shape>
            </w:pict>
          </mc:Fallback>
        </mc:AlternateContent>
      </w:r>
      <w:r w:rsidR="00EE3106" w:rsidRPr="00E47A42">
        <w:rPr>
          <w:rFonts w:ascii="Book Antiqua" w:hAnsi="Book Antiqua" w:cs="Times New Roman"/>
          <w:noProof/>
          <w:sz w:val="24"/>
          <w:szCs w:val="24"/>
          <w:lang w:val="en-US" w:eastAsia="zh-CN"/>
        </w:rPr>
        <w:drawing>
          <wp:inline distT="0" distB="0" distL="0" distR="0" wp14:anchorId="3495FE9E" wp14:editId="7955BEEC">
            <wp:extent cx="5760720" cy="7683316"/>
            <wp:effectExtent l="0" t="0" r="0" b="0"/>
            <wp:docPr id="2" name="Picture 2" descr="D:\Users\predrag.sikiric\Documents\drmic radovi\drmic caecum\Figures TIFF revised  9.4.2018\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redrag.sikiric\Documents\drmic radovi\drmic caecum\Figures TIFF revised  9.4.2018\Fig.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83316"/>
                    </a:xfrm>
                    <a:prstGeom prst="rect">
                      <a:avLst/>
                    </a:prstGeom>
                    <a:noFill/>
                    <a:ln>
                      <a:noFill/>
                    </a:ln>
                  </pic:spPr>
                </pic:pic>
              </a:graphicData>
            </a:graphic>
          </wp:inline>
        </w:drawing>
      </w:r>
      <w:r w:rsidR="00EE3106" w:rsidRPr="00E47A42">
        <w:rPr>
          <w:rFonts w:ascii="Book Antiqua" w:hAnsi="Book Antiqua" w:cs="Times New Roman"/>
          <w:b/>
          <w:sz w:val="24"/>
          <w:szCs w:val="24"/>
          <w:lang w:val="en-US"/>
        </w:rPr>
        <w:t>Fig</w:t>
      </w:r>
      <w:r w:rsidR="00EE3106">
        <w:rPr>
          <w:rFonts w:ascii="Book Antiqua" w:hAnsi="Book Antiqua" w:cs="Times New Roman" w:hint="eastAsia"/>
          <w:b/>
          <w:sz w:val="24"/>
          <w:szCs w:val="24"/>
          <w:lang w:val="en-US" w:eastAsia="zh-CN"/>
        </w:rPr>
        <w:t>ure</w:t>
      </w:r>
      <w:r w:rsidR="00EE3106" w:rsidRPr="00E47A42">
        <w:rPr>
          <w:rFonts w:ascii="Book Antiqua" w:hAnsi="Book Antiqua" w:cs="Times New Roman"/>
          <w:b/>
          <w:sz w:val="24"/>
          <w:szCs w:val="24"/>
          <w:lang w:val="en-US"/>
        </w:rPr>
        <w:t xml:space="preserve"> 2</w:t>
      </w:r>
      <w:r w:rsidR="00EE3106">
        <w:rPr>
          <w:rFonts w:ascii="Book Antiqua" w:hAnsi="Book Antiqua" w:cs="Times New Roman" w:hint="eastAsia"/>
          <w:b/>
          <w:sz w:val="24"/>
          <w:szCs w:val="24"/>
          <w:lang w:val="en-US" w:eastAsia="zh-CN"/>
        </w:rPr>
        <w:t xml:space="preserve"> </w:t>
      </w:r>
      <w:r w:rsidR="00EE3106" w:rsidRPr="008C4C80">
        <w:rPr>
          <w:rFonts w:ascii="Book Antiqua" w:hAnsi="Book Antiqua" w:cs="Times New Roman"/>
          <w:b/>
          <w:sz w:val="24"/>
          <w:szCs w:val="24"/>
          <w:lang w:val="en-US"/>
        </w:rPr>
        <w:t xml:space="preserve">Defect closing or widening </w:t>
      </w:r>
      <w:r w:rsidR="008C4C80" w:rsidRPr="008C4C80">
        <w:rPr>
          <w:rFonts w:ascii="Book Antiqua" w:hAnsi="Book Antiqua" w:cs="Times New Roman" w:hint="eastAsia"/>
          <w:b/>
          <w:sz w:val="24"/>
          <w:szCs w:val="24"/>
          <w:lang w:val="en-US" w:eastAsia="zh-CN"/>
        </w:rPr>
        <w:t>[</w:t>
      </w:r>
      <w:r w:rsidR="00EE3106" w:rsidRPr="008C4C80">
        <w:rPr>
          <w:rFonts w:ascii="Book Antiqua" w:hAnsi="Book Antiqua" w:cs="Times New Roman"/>
          <w:b/>
          <w:sz w:val="24"/>
          <w:szCs w:val="24"/>
          <w:lang w:val="en-US"/>
        </w:rPr>
        <w:t>both as % of presentation immediately before therapy (A)</w:t>
      </w:r>
      <w:r w:rsidR="008C4C80" w:rsidRPr="008C4C80">
        <w:rPr>
          <w:rFonts w:ascii="Book Antiqua" w:hAnsi="Book Antiqua" w:cs="Times New Roman" w:hint="eastAsia"/>
          <w:b/>
          <w:sz w:val="24"/>
          <w:szCs w:val="24"/>
          <w:lang w:val="en-US" w:eastAsia="zh-CN"/>
        </w:rPr>
        <w:t>]</w:t>
      </w:r>
      <w:r w:rsidR="008C4C80" w:rsidRPr="008C4C80">
        <w:rPr>
          <w:rFonts w:ascii="Book Antiqua" w:hAnsi="Book Antiqua" w:cs="Times New Roman"/>
          <w:b/>
          <w:sz w:val="24"/>
          <w:szCs w:val="24"/>
          <w:lang w:val="en-US"/>
        </w:rPr>
        <w:t>; bleeding time (s</w:t>
      </w:r>
      <w:r w:rsidR="00EE3106" w:rsidRPr="008C4C80">
        <w:rPr>
          <w:rFonts w:ascii="Book Antiqua" w:hAnsi="Book Antiqua" w:cs="Times New Roman"/>
          <w:b/>
          <w:sz w:val="24"/>
          <w:szCs w:val="24"/>
          <w:lang w:val="en-US"/>
        </w:rPr>
        <w:t>); A–after perforation (1 min); B–during application (2 min</w:t>
      </w:r>
      <w:r w:rsidR="008C4C80" w:rsidRPr="008C4C80">
        <w:rPr>
          <w:rFonts w:ascii="Book Antiqua" w:hAnsi="Book Antiqua" w:cs="Times New Roman"/>
          <w:b/>
          <w:sz w:val="24"/>
          <w:szCs w:val="24"/>
          <w:lang w:val="en-US"/>
        </w:rPr>
        <w:t>); C–</w:t>
      </w:r>
      <w:r w:rsidR="00EE3106" w:rsidRPr="008C4C80">
        <w:rPr>
          <w:rFonts w:ascii="Book Antiqua" w:hAnsi="Book Antiqua" w:cs="Times New Roman"/>
          <w:b/>
          <w:sz w:val="24"/>
          <w:szCs w:val="24"/>
          <w:lang w:val="en-US"/>
        </w:rPr>
        <w:t>the period after application (2 min); D–the subsequent 5</w:t>
      </w:r>
      <w:r w:rsidR="008C4C80" w:rsidRPr="008C4C80">
        <w:rPr>
          <w:rFonts w:ascii="Book Antiqua" w:hAnsi="Book Antiqua" w:cs="Times New Roman" w:hint="eastAsia"/>
          <w:b/>
          <w:sz w:val="24"/>
          <w:szCs w:val="24"/>
          <w:lang w:val="en-US" w:eastAsia="zh-CN"/>
        </w:rPr>
        <w:t>-</w:t>
      </w:r>
      <w:r w:rsidR="00EE3106" w:rsidRPr="008C4C80">
        <w:rPr>
          <w:rFonts w:ascii="Book Antiqua" w:hAnsi="Book Antiqua" w:cs="Times New Roman"/>
          <w:b/>
          <w:sz w:val="24"/>
          <w:szCs w:val="24"/>
          <w:lang w:val="en-US"/>
        </w:rPr>
        <w:t>min</w:t>
      </w:r>
      <w:r w:rsidR="008C4C80" w:rsidRPr="008C4C80">
        <w:rPr>
          <w:rFonts w:ascii="Book Antiqua" w:hAnsi="Book Antiqua" w:cs="Times New Roman" w:hint="eastAsia"/>
          <w:b/>
          <w:sz w:val="24"/>
          <w:szCs w:val="24"/>
          <w:lang w:val="en-US" w:eastAsia="zh-CN"/>
        </w:rPr>
        <w:t xml:space="preserve"> </w:t>
      </w:r>
      <w:r w:rsidR="008C4C80" w:rsidRPr="008C4C80">
        <w:rPr>
          <w:rFonts w:ascii="Book Antiqua" w:hAnsi="Book Antiqua" w:cs="Times New Roman"/>
          <w:b/>
          <w:sz w:val="24"/>
          <w:szCs w:val="24"/>
          <w:lang w:val="en-US"/>
        </w:rPr>
        <w:t>period; E–</w:t>
      </w:r>
      <w:r w:rsidR="00EE3106" w:rsidRPr="008C4C80">
        <w:rPr>
          <w:rFonts w:ascii="Book Antiqua" w:hAnsi="Book Antiqua" w:cs="Times New Roman"/>
          <w:b/>
          <w:sz w:val="24"/>
          <w:szCs w:val="24"/>
          <w:lang w:val="en-US"/>
        </w:rPr>
        <w:t xml:space="preserve">the period until the end of the observation (15 min). </w:t>
      </w:r>
      <w:r w:rsidR="00EE3106" w:rsidRPr="00E47A42">
        <w:rPr>
          <w:rFonts w:ascii="Book Antiqua" w:hAnsi="Book Antiqua" w:cs="Times New Roman"/>
          <w:sz w:val="24"/>
          <w:szCs w:val="24"/>
          <w:lang w:val="en-US"/>
        </w:rPr>
        <w:t xml:space="preserve">At 1 min post-injury, </w:t>
      </w:r>
      <w:r w:rsidR="00EE3106" w:rsidRPr="00E47A42">
        <w:rPr>
          <w:rFonts w:ascii="Book Antiqua" w:hAnsi="Book Antiqua" w:cs="Times New Roman"/>
          <w:sz w:val="24"/>
          <w:szCs w:val="24"/>
          <w:lang w:val="en-US"/>
        </w:rPr>
        <w:lastRenderedPageBreak/>
        <w:t>administration of medication (/kg, 10 m</w:t>
      </w:r>
      <w:r w:rsidR="00EE3106" w:rsidRPr="008C4C80">
        <w:rPr>
          <w:rFonts w:ascii="Book Antiqua" w:hAnsi="Book Antiqua" w:cs="Times New Roman"/>
          <w:caps/>
          <w:sz w:val="24"/>
          <w:szCs w:val="24"/>
          <w:lang w:val="en-US"/>
        </w:rPr>
        <w:t>l</w:t>
      </w:r>
      <w:r w:rsidR="00EE3106" w:rsidRPr="00E47A42">
        <w:rPr>
          <w:rFonts w:ascii="Book Antiqua" w:hAnsi="Book Antiqua" w:cs="Times New Roman"/>
          <w:sz w:val="24"/>
          <w:szCs w:val="24"/>
          <w:lang w:val="en-US"/>
        </w:rPr>
        <w:t>/2 min bath/rat) at the perforated (5 mm diameter) cecum lesion and cecum (M-mucosa; S-serosa), including BPC 157 (10 µg), NOS blocker L-NAME (5 mg), NOS substrate L-arginine (100 mg) alone or combined, and a saline bath equal volume (controls). Rats were then left after abdominal closure undisturbed until s</w:t>
      </w:r>
      <w:r w:rsidR="008C4C80">
        <w:rPr>
          <w:rFonts w:ascii="Book Antiqua" w:hAnsi="Book Antiqua" w:cs="Times New Roman"/>
          <w:sz w:val="24"/>
          <w:szCs w:val="24"/>
          <w:lang w:val="en-US"/>
        </w:rPr>
        <w:t xml:space="preserve">acrifice, at day 1 or day 7. </w:t>
      </w:r>
      <w:proofErr w:type="spellStart"/>
      <w:r w:rsidR="008C4C80" w:rsidRPr="008C4C80">
        <w:rPr>
          <w:rFonts w:ascii="Book Antiqua" w:hAnsi="Book Antiqua" w:cs="Times New Roman" w:hint="eastAsia"/>
          <w:sz w:val="24"/>
          <w:szCs w:val="24"/>
          <w:vertAlign w:val="superscript"/>
          <w:lang w:val="en-US" w:eastAsia="zh-CN"/>
        </w:rPr>
        <w:t>a</w:t>
      </w:r>
      <w:r w:rsidR="00EE3106" w:rsidRPr="008C4C80">
        <w:rPr>
          <w:rFonts w:ascii="Book Antiqua" w:hAnsi="Book Antiqua" w:cs="Times New Roman"/>
          <w:i/>
          <w:sz w:val="24"/>
          <w:szCs w:val="24"/>
          <w:lang w:val="en-US"/>
        </w:rPr>
        <w:t>P</w:t>
      </w:r>
      <w:proofErr w:type="spellEnd"/>
      <w:r w:rsidR="008C4C80">
        <w:rPr>
          <w:rFonts w:ascii="Book Antiqua" w:hAnsi="Book Antiqua" w:cs="Times New Roman" w:hint="eastAsia"/>
          <w:sz w:val="24"/>
          <w:szCs w:val="24"/>
          <w:lang w:val="en-US" w:eastAsia="zh-CN"/>
        </w:rPr>
        <w:t xml:space="preserve"> </w:t>
      </w:r>
      <w:r w:rsidR="00EE3106" w:rsidRPr="00E47A42">
        <w:rPr>
          <w:rFonts w:ascii="Book Antiqua" w:hAnsi="Book Antiqua" w:cs="Times New Roman"/>
          <w:sz w:val="24"/>
          <w:szCs w:val="24"/>
          <w:lang w:val="en-US"/>
        </w:rPr>
        <w:t>&lt;</w:t>
      </w:r>
      <w:r w:rsidR="008C4C80">
        <w:rPr>
          <w:rFonts w:ascii="Book Antiqua" w:hAnsi="Book Antiqua" w:cs="Times New Roman" w:hint="eastAsia"/>
          <w:sz w:val="24"/>
          <w:szCs w:val="24"/>
          <w:lang w:val="en-US" w:eastAsia="zh-CN"/>
        </w:rPr>
        <w:t xml:space="preserve"> </w:t>
      </w:r>
      <w:r w:rsidR="00EE3106" w:rsidRPr="00E47A42">
        <w:rPr>
          <w:rFonts w:ascii="Book Antiqua" w:hAnsi="Book Antiqua" w:cs="Times New Roman"/>
          <w:sz w:val="24"/>
          <w:szCs w:val="24"/>
          <w:lang w:val="en-US"/>
        </w:rPr>
        <w:t>0.05 at least</w:t>
      </w:r>
      <w:r w:rsidR="00EE3106" w:rsidRPr="00ED410F">
        <w:rPr>
          <w:rFonts w:ascii="Book Antiqua" w:hAnsi="Book Antiqua" w:cs="Times New Roman"/>
          <w:i/>
          <w:sz w:val="24"/>
          <w:szCs w:val="24"/>
          <w:lang w:val="en-US"/>
        </w:rPr>
        <w:t xml:space="preserve"> vs</w:t>
      </w:r>
      <w:r w:rsidR="00ED410F">
        <w:rPr>
          <w:rFonts w:ascii="Book Antiqua" w:hAnsi="Book Antiqua" w:cs="Times New Roman" w:hint="eastAsia"/>
          <w:sz w:val="24"/>
          <w:szCs w:val="24"/>
          <w:lang w:val="en-US" w:eastAsia="zh-CN"/>
        </w:rPr>
        <w:t xml:space="preserve"> </w:t>
      </w:r>
      <w:r w:rsidR="00EE3106" w:rsidRPr="00E47A42">
        <w:rPr>
          <w:rFonts w:ascii="Book Antiqua" w:hAnsi="Book Antiqua" w:cs="Times New Roman"/>
          <w:sz w:val="24"/>
          <w:szCs w:val="24"/>
          <w:lang w:val="en-US"/>
        </w:rPr>
        <w:t>control.</w:t>
      </w:r>
    </w:p>
    <w:p w14:paraId="10DF5FF9" w14:textId="77777777"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647183C9" w14:textId="4CD20C3C" w:rsidR="00EA6E12" w:rsidRPr="00E47A42" w:rsidRDefault="00FC5E5B" w:rsidP="00EA6E12">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671552" behindDoc="0" locked="0" layoutInCell="1" allowOverlap="1" wp14:anchorId="372706A4" wp14:editId="1753F0AB">
                <wp:simplePos x="0" y="0"/>
                <wp:positionH relativeFrom="column">
                  <wp:posOffset>2910205</wp:posOffset>
                </wp:positionH>
                <wp:positionV relativeFrom="paragraph">
                  <wp:posOffset>2110105</wp:posOffset>
                </wp:positionV>
                <wp:extent cx="304800" cy="285750"/>
                <wp:effectExtent l="0" t="0" r="19050" b="19050"/>
                <wp:wrapNone/>
                <wp:docPr id="17" name="文本框 17"/>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38F478" w14:textId="31702157" w:rsidR="00FC5E5B" w:rsidRDefault="00FC5E5B" w:rsidP="00FC5E5B">
                            <w:pPr>
                              <w:rPr>
                                <w:lang w:eastAsia="zh-CN"/>
                              </w:rPr>
                            </w:pPr>
                            <w:r>
                              <w:rPr>
                                <w:rFonts w:hint="eastAsia"/>
                                <w:lang w:eastAsia="zh-CN"/>
                              </w:rPr>
                              <w:t>a</w:t>
                            </w:r>
                            <w:r>
                              <w:rPr>
                                <w:rFonts w:hint="eastAsia"/>
                                <w:noProof/>
                                <w:lang w:val="en-US" w:eastAsia="zh-CN"/>
                              </w:rPr>
                              <w:drawing>
                                <wp:inline distT="0" distB="0" distL="0" distR="0" wp14:anchorId="32EA09BA" wp14:editId="403D4A29">
                                  <wp:extent cx="115570" cy="108566"/>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570" cy="108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706A4" id="文本框 17" o:spid="_x0000_s1074" type="#_x0000_t202" style="position:absolute;left:0;text-align:left;margin-left:229.15pt;margin-top:166.15pt;width:2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2nnQIAALwFAAAOAAAAZHJzL2Uyb0RvYy54bWysVM1OGzEQvlfqO1i+l01CgDRig1IQVSVU&#10;UKHi7HjtZFWv7dpOsukDtG/QUy+997l4jn727oZAuYB62R17vhnPfPNzfFJXiqyE86XROe3v9SgR&#10;mpui1POcfr45fzOixAemC6aMFjndCE9PJq9fHa/tWAzMwqhCOAIn2o/XNqeLEOw4yzxfiIr5PWOF&#10;hlIaV7GAo5tnhWNreK9UNuj1DrO1cYV1hgvvcXvWKOkk+ZdS8HAppReBqJwitpC+Ln1n8ZtNjtl4&#10;7phdlLwNg70gioqVGo9uXZ2xwMjSlf+4qkrujDcy7HFTZUbKkouUA7Lp9x5lc71gVqRcQI63W5r8&#10;/3PLP66uHCkL1O6IEs0q1Oju54+7X3/ufn8nuANBa+vHwF1bIEP9ztQAd/celzHvWroq/pERgR5U&#10;b7b0ijoQjsv93nDUg4ZDNRgdHB0k+rN7Y+t8eC9MRaKQU4fqJVLZ6sIHBAJoB4lveaPK4rxUKh1i&#10;x4hT5ciKodazeQoRFg9QSpN1Tg/38fSLPMCf0tFSpN5qw4oENUQkKWyUiBilPwkJbhMfT8TIOBc6&#10;dHEmdERJZPQcwxZ/H9VzjJs8YJFeNjpsjatSG9ew9JDa4ksXsmzwKMxO3lEM9axOTTUcdY0yM8UG&#10;/eNMM4Le8vMSVb5gPlwxh5lDY2CPhEt8pDKokmklShbGfXvqPuIxCtBSssYM59R/XTInKFEfNIbk&#10;bX84jEOfDsODowEOblcz29XoZXVq0Dp9bCzLkxjxQXWidKa6xbqZxlehYprj7ZyGTjwNzWbBuuJi&#10;Ok0gjLll4UJfWx5dR5pjD9/Ut8zZttEDJuSj6aadjR/1e4ONltpMl8HIMg1DJLphtS0AVkSakXad&#10;xR20e06o+6U7+QsAAP//AwBQSwMEFAAGAAgAAAAhAL1rjePeAAAACwEAAA8AAABkcnMvZG93bnJl&#10;di54bWxMj8FugzAQRO+V+g/WVsqtMQ0lUIqJUKWccmqC0quDXUDBa2QbQv6+21N7m90Zzb4tdosZ&#10;2Kyd7y0KeFlHwDQ2VvXYCqhP++cMmA8SlRwsagF37WFXPj4UMlf2hp96PoaWUQn6XAroQhhzzn3T&#10;aSP92o4ayfu2zshAo2u5cvJG5WbgmyjaciN7pAudHPVHp5vrcTICzofTnuMhm+qkr6orfqXzW+2E&#10;WD0t1TuwoJfwF4ZffEKHkpgudkLl2SDgNcliigqI4w0JSiTRlsSFNmkaAy8L/v+H8gcAAP//AwBQ&#10;SwECLQAUAAYACAAAACEAtoM4kv4AAADhAQAAEwAAAAAAAAAAAAAAAAAAAAAAW0NvbnRlbnRfVHlw&#10;ZXNdLnhtbFBLAQItABQABgAIAAAAIQA4/SH/1gAAAJQBAAALAAAAAAAAAAAAAAAAAC8BAABfcmVs&#10;cy8ucmVsc1BLAQItABQABgAIAAAAIQBJ5j2nnQIAALwFAAAOAAAAAAAAAAAAAAAAAC4CAABkcnMv&#10;ZTJvRG9jLnhtbFBLAQItABQABgAIAAAAIQC9a43j3gAAAAsBAAAPAAAAAAAAAAAAAAAAAPcEAABk&#10;cnMvZG93bnJldi54bWxQSwUGAAAAAAQABADzAAAAAgYAAAAA&#10;" fillcolor="white [3212]" strokecolor="white [3212]" strokeweight=".5pt">
                <v:textbox>
                  <w:txbxContent>
                    <w:p w14:paraId="2F38F478" w14:textId="31702157" w:rsidR="00FC5E5B" w:rsidRDefault="00FC5E5B" w:rsidP="00FC5E5B">
                      <w:pPr>
                        <w:rPr>
                          <w:lang w:eastAsia="zh-CN"/>
                        </w:rPr>
                      </w:pPr>
                      <w:r>
                        <w:rPr>
                          <w:rFonts w:hint="eastAsia"/>
                          <w:lang w:eastAsia="zh-CN"/>
                        </w:rPr>
                        <w:t>a</w:t>
                      </w:r>
                      <w:r>
                        <w:rPr>
                          <w:rFonts w:hint="eastAsia"/>
                          <w:noProof/>
                          <w:lang w:val="en-US" w:eastAsia="zh-CN"/>
                        </w:rPr>
                        <w:drawing>
                          <wp:inline distT="0" distB="0" distL="0" distR="0" wp14:anchorId="32EA09BA" wp14:editId="403D4A29">
                            <wp:extent cx="115570" cy="108566"/>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570" cy="108566"/>
                                    </a:xfrm>
                                    <a:prstGeom prst="rect">
                                      <a:avLst/>
                                    </a:prstGeom>
                                    <a:noFill/>
                                    <a:ln>
                                      <a:noFill/>
                                    </a:ln>
                                  </pic:spPr>
                                </pic:pic>
                              </a:graphicData>
                            </a:graphic>
                          </wp:inline>
                        </w:drawing>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73600" behindDoc="0" locked="0" layoutInCell="1" allowOverlap="1" wp14:anchorId="11A0CAE0" wp14:editId="5BA65C3C">
                <wp:simplePos x="0" y="0"/>
                <wp:positionH relativeFrom="column">
                  <wp:posOffset>3253105</wp:posOffset>
                </wp:positionH>
                <wp:positionV relativeFrom="paragraph">
                  <wp:posOffset>1948180</wp:posOffset>
                </wp:positionV>
                <wp:extent cx="304800" cy="285750"/>
                <wp:effectExtent l="0" t="0" r="19050" b="19050"/>
                <wp:wrapNone/>
                <wp:docPr id="19" name="文本框 19"/>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3399C0" w14:textId="77777777" w:rsidR="00FC5E5B" w:rsidRDefault="00FC5E5B" w:rsidP="00FC5E5B">
                            <w:pPr>
                              <w:rPr>
                                <w:lang w:eastAsia="zh-CN"/>
                              </w:rPr>
                            </w:pPr>
                            <w:r>
                              <w:rPr>
                                <w:rFonts w:hint="eastAsia"/>
                                <w:lang w:eastAsia="zh-CN"/>
                              </w:rPr>
                              <w:t>a</w:t>
                            </w:r>
                            <w:r>
                              <w:rPr>
                                <w:rFonts w:hint="eastAsia"/>
                                <w:noProof/>
                                <w:lang w:val="en-US" w:eastAsia="zh-CN"/>
                              </w:rPr>
                              <w:drawing>
                                <wp:inline distT="0" distB="0" distL="0" distR="0" wp14:anchorId="05653EBC" wp14:editId="18246E51">
                                  <wp:extent cx="115570" cy="108566"/>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570" cy="108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CAE0" id="文本框 19" o:spid="_x0000_s1075" type="#_x0000_t202" style="position:absolute;left:0;text-align:left;margin-left:256.15pt;margin-top:153.4pt;width:2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3WnAIAALwFAAAOAAAAZHJzL2Uyb0RvYy54bWysVM1OGzEQvlfqO1i+l01C+IvYoBREVQkB&#10;KlScHa+drOq1XdvJbvoA7Rv01EvvfS6eo5+9mxAoF1Avu2PPN+OZb36OT5pKkaVwvjQ6p/2dHiVC&#10;c1OUepbTz7fn7w4p8YHpgimjRU5XwtOT8ds3x7UdiYGZG1UIR+BE+1FtczoPwY6yzPO5qJjfMVZo&#10;KKVxFQs4ullWOFbDe6WyQa+3n9XGFdYZLrzH7VmrpOPkX0rBw5WUXgSicorYQvq69J3GbzY+ZqOZ&#10;Y3Ze8i4M9oooKlZqPLpxdcYCIwtX/uOqKrkz3siww02VGSlLLlIOyKbfe5LNzZxZkXIBOd5uaPL/&#10;zy2/XF47Uhao3RElmlWo0f3PH/e//tz//k5wB4Jq60fA3VggQ/PeNACv7z0uY96NdFX8IyMCPahe&#10;begVTSAcl7u94WEPGg7V4HDvYC/Rnz0YW+fDB2EqEoWcOlQvkcqWFz4gEEDXkPiWN6oszkul0iF2&#10;jDhVjiwZaj2dpRBh8QilNKlzur+Lp1/lAf6UjpYi9VYXViSoJSJJYaVExCj9SUhwm/h4JkbGudBh&#10;HWdCR5RERi8x7PAPUb3EuM0DFullo8PGuCq1cS1Lj6ktvqxDli0ehdnKO4qhmTapqYabBpqaYoX+&#10;caYdQW/5eYkqXzAfrpnDzKExsEfCFT5SGVTJdBIlc+O+PXcf8RgFaCmpMcM59V8XzAlK1EeNITnq&#10;D4dx6NNhuHcwwMFta6bbGr2oTg1ap4+NZXkSIz6otSidqe6wbibxVaiY5ng7p2EtnoZ2s2BdcTGZ&#10;JBDG3LJwoW8sj64jzbGHb5s75mzX6AETcmnW085GT/q9xUZLbSaLYGSZhiES3bLaFQArIs1It87i&#10;Dto+J9TD0h3/BQAA//8DAFBLAwQUAAYACAAAACEAPVgVad0AAAALAQAADwAAAGRycy9kb3ducmV2&#10;LnhtbEyPPW+DMBCG90r9D9ZV6tbYJIJSiolQpUyZmqB2dbALKPiMbEPov+91asd779H7Ue5XO7LF&#10;+DA4lJBsBDCDrdMDdhKa8+EpBxaiQq1Gh0bCtwmwr+7vSlVod8N3s5xix8gEQ6Ek9DFOBeeh7Y1V&#10;YeMmg/T7ct6qSKfvuPbqRuZ25FshMm7VgJTQq8m89aa9nmYr4eN4PnA85nOTDnV9xc/n5aXxUj4+&#10;rPUrsGjW+AfDb32qDhV1urgZdWCjhDTZ7giVsBMZbSAizQQpF1LSJAdelfz/huoHAAD//wMAUEsB&#10;Ai0AFAAGAAgAAAAhALaDOJL+AAAA4QEAABMAAAAAAAAAAAAAAAAAAAAAAFtDb250ZW50X1R5cGVz&#10;XS54bWxQSwECLQAUAAYACAAAACEAOP0h/9YAAACUAQAACwAAAAAAAAAAAAAAAAAvAQAAX3JlbHMv&#10;LnJlbHNQSwECLQAUAAYACAAAACEAJq2d1pwCAAC8BQAADgAAAAAAAAAAAAAAAAAuAgAAZHJzL2Uy&#10;b0RvYy54bWxQSwECLQAUAAYACAAAACEAPVgVad0AAAALAQAADwAAAAAAAAAAAAAAAAD2BAAAZHJz&#10;L2Rvd25yZXYueG1sUEsFBgAAAAAEAAQA8wAAAAAGAAAAAA==&#10;" fillcolor="white [3212]" strokecolor="white [3212]" strokeweight=".5pt">
                <v:textbox>
                  <w:txbxContent>
                    <w:p w14:paraId="4D3399C0" w14:textId="77777777" w:rsidR="00FC5E5B" w:rsidRDefault="00FC5E5B" w:rsidP="00FC5E5B">
                      <w:pPr>
                        <w:rPr>
                          <w:lang w:eastAsia="zh-CN"/>
                        </w:rPr>
                      </w:pPr>
                      <w:r>
                        <w:rPr>
                          <w:rFonts w:hint="eastAsia"/>
                          <w:lang w:eastAsia="zh-CN"/>
                        </w:rPr>
                        <w:t>a</w:t>
                      </w:r>
                      <w:r>
                        <w:rPr>
                          <w:rFonts w:hint="eastAsia"/>
                          <w:noProof/>
                          <w:lang w:val="en-US" w:eastAsia="zh-CN"/>
                        </w:rPr>
                        <w:drawing>
                          <wp:inline distT="0" distB="0" distL="0" distR="0" wp14:anchorId="05653EBC" wp14:editId="18246E51">
                            <wp:extent cx="115570" cy="108566"/>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570" cy="108566"/>
                                    </a:xfrm>
                                    <a:prstGeom prst="rect">
                                      <a:avLst/>
                                    </a:prstGeom>
                                    <a:noFill/>
                                    <a:ln>
                                      <a:noFill/>
                                    </a:ln>
                                  </pic:spPr>
                                </pic:pic>
                              </a:graphicData>
                            </a:graphic>
                          </wp:inline>
                        </w:drawing>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69504" behindDoc="0" locked="0" layoutInCell="1" allowOverlap="1" wp14:anchorId="14C9041D" wp14:editId="3C9A2CB3">
                <wp:simplePos x="0" y="0"/>
                <wp:positionH relativeFrom="column">
                  <wp:posOffset>3662680</wp:posOffset>
                </wp:positionH>
                <wp:positionV relativeFrom="paragraph">
                  <wp:posOffset>1976755</wp:posOffset>
                </wp:positionV>
                <wp:extent cx="304800" cy="285750"/>
                <wp:effectExtent l="0" t="0" r="19050" b="19050"/>
                <wp:wrapNone/>
                <wp:docPr id="16" name="文本框 16"/>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596DCB" w14:textId="77777777" w:rsidR="00FC5E5B" w:rsidRDefault="00FC5E5B" w:rsidP="00FC5E5B">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041D" id="文本框 16" o:spid="_x0000_s1076" type="#_x0000_t202" style="position:absolute;left:0;text-align:left;margin-left:288.4pt;margin-top:155.65pt;width:24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bsmwIAALwFAAAOAAAAZHJzL2Uyb0RvYy54bWysVM1OGzEQvlfqO1i+l01CoDRig1IQVSUE&#10;qFBxdrx2sqrXdm0nu+kDtG/QUy+997l4jn72ZpNAuYB62bVnvhnPfPNzfNJUiiyF86XROe3v9SgR&#10;mpui1LOcfr49f3NEiQ9MF0wZLXK6Ep6ejF+/Oq7tSAzM3KhCOAIn2o9qm9N5CHaUZZ7PRcX8nrFC&#10;QymNq1jA1c2ywrEa3iuVDXq9w6w2rrDOcOE9pGetko6TfykFD1dSehGIyiliC+nr0ncav9n4mI1m&#10;jtl5yddhsBdEUbFS49GNqzMWGFm48h9XVcmd8UaGPW6qzEhZcpFyQDb93qNsbubMipQLyPF2Q5P/&#10;f2755fLakbJA7Q4p0axCje5//rj/9ef+93cCGQiqrR8Bd2OBDM170wDcyT2EMe9Guir+kRGBHlSv&#10;NvSKJhAO4X5veNSDhkM1ODp4e5Doz7bG1vnwQZiKxENOHaqXSGXLCx8QCKAdJL7ljSqL81KpdIkd&#10;I06VI0uGWk9nKURYPEApTeqcHu7j6Rd5gD+lo6VIvbUOKxLUEpFOYaVExCj9SUhwm/h4IkbGudCh&#10;izOhI0oio+cYrvHbqJ5j3OYBi/Sy0WFjXJXauJalh9QWX7qQZYtHYXbyjsfQTJvUVG2Jo2hqihX6&#10;x5l2BL3l5yWqfMF8uGYOM4fGwB4JV/hIZVAlsz5RMjfu21PyiMcoQEtJjRnOqf+6YE5Qoj5qDMm7&#10;/nAYhz5dhgdvB7i4Xc10V6MX1alB6/SxsSxPx4gPqjtKZ6o7rJtJfBUqpjnezmnojqeh3SxYV1xM&#10;JgmEMbcsXOgby6PrSHPs4dvmjjm7bvSACbk03bSz0aN+b7HRUpvJIhhZpmHYsrouAFZEmpH1Oos7&#10;aPeeUNulO/4LAAD//wMAUEsDBBQABgAIAAAAIQDmBMF93gAAAAsBAAAPAAAAZHJzL2Rvd25yZXYu&#10;eG1sTI89b4MwEIb3Sv0P1lXK1hhCISnFRKhSpkxNULs62AUUfEa2IeTf9zq14/uh954r9osZ2Kyd&#10;7y0KiNcRMI2NVT22Aurz4XkHzAeJSg4WtYC79rAvHx8KmSt7ww89n0LLaAR9LgV0IYw5577ptJF+&#10;bUeNlH1bZ2Qg6VqunLzRuBn4JooybmSPdKGTo37vdHM9TUbA5/F84HjcTXXaV9UVv7bza+2EWD0t&#10;1RuwoJfwV4ZffEKHkpgudkLl2SAg3WaEHgQkcZwAo0a2eSHnQk6aJcDLgv//ofwBAAD//wMAUEsB&#10;Ai0AFAAGAAgAAAAhALaDOJL+AAAA4QEAABMAAAAAAAAAAAAAAAAAAAAAAFtDb250ZW50X1R5cGVz&#10;XS54bWxQSwECLQAUAAYACAAAACEAOP0h/9YAAACUAQAACwAAAAAAAAAAAAAAAAAvAQAAX3JlbHMv&#10;LnJlbHNQSwECLQAUAAYACAAAACEAhQLG7JsCAAC8BQAADgAAAAAAAAAAAAAAAAAuAgAAZHJzL2Uy&#10;b0RvYy54bWxQSwECLQAUAAYACAAAACEA5gTBfd4AAAALAQAADwAAAAAAAAAAAAAAAAD1BAAAZHJz&#10;L2Rvd25yZXYueG1sUEsFBgAAAAAEAAQA8wAAAAAGAAAAAA==&#10;" fillcolor="white [3212]" strokecolor="white [3212]" strokeweight=".5pt">
                <v:textbox>
                  <w:txbxContent>
                    <w:p w14:paraId="7F596DCB" w14:textId="77777777" w:rsidR="00FC5E5B" w:rsidRDefault="00FC5E5B" w:rsidP="00FC5E5B">
                      <w:pPr>
                        <w:rPr>
                          <w:lang w:eastAsia="zh-CN"/>
                        </w:rPr>
                      </w:pPr>
                      <w:r>
                        <w:rPr>
                          <w:rFonts w:hint="eastAsia"/>
                          <w:lang w:eastAsia="zh-CN"/>
                        </w:rPr>
                        <w:t>a</w:t>
                      </w:r>
                    </w:p>
                  </w:txbxContent>
                </v:textbox>
              </v:shape>
            </w:pict>
          </mc:Fallback>
        </mc:AlternateContent>
      </w:r>
      <w:r w:rsidR="008B5977">
        <w:rPr>
          <w:rFonts w:ascii="Book Antiqua" w:hAnsi="Book Antiqua" w:cs="Times New Roman"/>
          <w:noProof/>
          <w:sz w:val="24"/>
          <w:szCs w:val="24"/>
          <w:lang w:val="en-US" w:eastAsia="zh-CN"/>
        </w:rPr>
        <mc:AlternateContent>
          <mc:Choice Requires="wps">
            <w:drawing>
              <wp:anchor distT="0" distB="0" distL="114300" distR="114300" simplePos="0" relativeHeight="251675648" behindDoc="0" locked="0" layoutInCell="1" allowOverlap="1" wp14:anchorId="312C31B0" wp14:editId="077B0941">
                <wp:simplePos x="0" y="0"/>
                <wp:positionH relativeFrom="column">
                  <wp:posOffset>2357755</wp:posOffset>
                </wp:positionH>
                <wp:positionV relativeFrom="paragraph">
                  <wp:posOffset>281305</wp:posOffset>
                </wp:positionV>
                <wp:extent cx="304800" cy="285750"/>
                <wp:effectExtent l="0" t="0" r="19050" b="19050"/>
                <wp:wrapNone/>
                <wp:docPr id="21" name="文本框 2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BC4B11" w14:textId="77777777" w:rsidR="008B5977" w:rsidRDefault="008B5977" w:rsidP="008B5977">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C31B0" id="文本框 21" o:spid="_x0000_s1077" type="#_x0000_t202" style="position:absolute;left:0;text-align:left;margin-left:185.65pt;margin-top:22.15pt;width:24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hP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mLnA76lGhWoUZ3P3/c/fpz9/s7wR0IWls/Bu7aAhnq96ZGobt7j8uYdy1dFf/IiEAP&#10;qjdbekUdCMflfm942IOGQzU4HL0dJfqze2PrfPggTEWikFOH6iVS2ercBwQCaAeJb3mjyuKsVCod&#10;YseIE+XIiqHWs3kKERYPUEqTdU4P9vH0izzAn9LRUqTeasOKBDVEJClslIgYpT8JCW4TH0/EyDgX&#10;OnRxJnRESWT0HMMWfx/Vc4ybPGCRXjY6bI2rUhvXsPSQ2uJLF7Js8CjMTt5RDPWsTk012jbKzBQb&#10;9I8zzQh6y89KVPmc+XDFHGYOjYE9Ei7xkcqgSqaVKFkY9+2p+4jHKEBLyRoznFP/dcmcoER91BiS&#10;d/3hMA59OgxHbwc4uF3NbFejl9WJQetgDhBdEiM+qE6UzlS3WDfT+CpUTHO8ndPQiSeh2SxYV1xM&#10;pwmEMbcsnOtry6PrSHPs4Zv6ljnbNnrAhFyYbtrZ+FG/N9hoqc10GYws0zBEohtW2wJgRaQZaddZ&#10;3EG754S6X7qTvwAAAP//AwBQSwMEFAAGAAgAAAAhAEz8OITdAAAACQEAAA8AAABkcnMvZG93bnJl&#10;di54bWxMj0FPg0AQhe8m/ofNmHizCxZbigwNMempJ1ui1y27Aik7S9iF4r93POnpzeS9vPkm3y+2&#10;F7MZfecIIV5FIAzVTnfUIFTnw1MKwgdFWvWODMK38bAv7u9ylWl3o3czn0IjuIR8phDaEIZMSl+3&#10;xiq/coMh9r7caFXgdWykHtWNy20vn6NoI63qiC+0ajBvramvp8kifBzPB0nHdKpeurK80ud23lUj&#10;4uPDUr6CCGYJf2H4xWd0KJjp4ibSXvQI62285ihCkrByIIl3PFwQUlZZ5PL/B8UPAAAA//8DAFBL&#10;AQItABQABgAIAAAAIQC2gziS/gAAAOEBAAATAAAAAAAAAAAAAAAAAAAAAABbQ29udGVudF9UeXBl&#10;c10ueG1sUEsBAi0AFAAGAAgAAAAhADj9If/WAAAAlAEAAAsAAAAAAAAAAAAAAAAALwEAAF9yZWxz&#10;Ly5yZWxzUEsBAi0AFAAGAAgAAAAhAA96KE+dAgAAvAUAAA4AAAAAAAAAAAAAAAAALgIAAGRycy9l&#10;Mm9Eb2MueG1sUEsBAi0AFAAGAAgAAAAhAEz8OITdAAAACQEAAA8AAAAAAAAAAAAAAAAA9wQAAGRy&#10;cy9kb3ducmV2LnhtbFBLBQYAAAAABAAEAPMAAAABBgAAAAA=&#10;" fillcolor="white [3212]" strokecolor="white [3212]" strokeweight=".5pt">
                <v:textbox>
                  <w:txbxContent>
                    <w:p w14:paraId="2CBC4B11" w14:textId="77777777" w:rsidR="008B5977" w:rsidRDefault="008B5977" w:rsidP="008B5977">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67456" behindDoc="0" locked="0" layoutInCell="1" allowOverlap="1" wp14:anchorId="45CAD335" wp14:editId="0E6CF476">
                <wp:simplePos x="0" y="0"/>
                <wp:positionH relativeFrom="column">
                  <wp:posOffset>2205355</wp:posOffset>
                </wp:positionH>
                <wp:positionV relativeFrom="paragraph">
                  <wp:posOffset>128905</wp:posOffset>
                </wp:positionV>
                <wp:extent cx="304800" cy="285750"/>
                <wp:effectExtent l="0" t="0" r="19050" b="19050"/>
                <wp:wrapNone/>
                <wp:docPr id="15" name="文本框 15"/>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F0C67C" w14:textId="77777777" w:rsidR="00FC5E5B" w:rsidRDefault="00FC5E5B" w:rsidP="00FC5E5B">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AD335" id="文本框 15" o:spid="_x0000_s1078" type="#_x0000_t202" style="position:absolute;left:0;text-align:left;margin-left:173.65pt;margin-top:10.15pt;width:24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3/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kL1G5EiWYVanT388fdrz93v78T3IGgtfVj4K4tkKF+b2qAu3uPy5h3LV0V/8iIQA+q&#10;N1t6RR0Ix+V+b3jYg4ZDNTgcvR0l+rN7Y+t8+CBMRaKQU4fqJVLZ6twHBAJoB4lveaPK4qxUKh1i&#10;x4gT5ciKodazeQoRFg9QSpN1Tg/28fSLPMCf0tFSpN5qw4oENUQkKWyUiBilPwkJbhMfT8TIOBc6&#10;dHEmdERJZPQcwxZ/H9VzjJs8YJFeNjpsjatSG9ew9JDa4ksXsmzwKMxO3lEM9axOTTUadI0yM8UG&#10;/eNMM4Le8rMSVT5nPlwxh5lDY2CPhEt8pDKokmklShbGfXvqPuIxCtBSssYM59R/XTInKFEfNYbk&#10;XX84jEOfDsPR2wEOblcz29XoZXVi0Dp9bCzLkxjxQXWidKa6xbqZxlehYprj7ZyGTjwJzWbBuuJi&#10;Ok0gjLll4VxfWx5dR5pjD9/Ut8zZttEDJuTCdNPOxo/6vcFGS22my2BkmYYhEt2w2hYAKyLNSLvO&#10;4g7aPSfU/dKd/AUAAP//AwBQSwMEFAAGAAgAAAAhAP+6CJ7dAAAACQEAAA8AAABkcnMvZG93bnJl&#10;di54bWxMj81OwzAQhO9IvIO1SNyoQ0P/QjZVhNRTT7QRXN3YJFHjdWQ7aXh7lhOcZlczmv0238+2&#10;F5PxoXOE8LxIQBiqne6oQajOh6ctiBAVadU7MgjfJsC+uL/LVabdjd7NdIqN4BIKmUJoYxwyKUPd&#10;GqvCwg2G2Pty3qrIq2+k9urG5baXyyRZS6s64gutGsxba+rrabQIH8fzQdJxO1arriyv9LmZdpVH&#10;fHyYy1cQ0czxLwy/+IwOBTNd3Eg6iB4hfdmkHEVYJqwcSHcrHi4Ia1ZZ5PL/B8UPAAAA//8DAFBL&#10;AQItABQABgAIAAAAIQC2gziS/gAAAOEBAAATAAAAAAAAAAAAAAAAAAAAAABbQ29udGVudF9UeXBl&#10;c10ueG1sUEsBAi0AFAAGAAgAAAAhADj9If/WAAAAlAEAAAsAAAAAAAAAAAAAAAAALwEAAF9yZWxz&#10;Ly5yZWxzUEsBAi0AFAAGAAgAAAAhAMm7vf+dAgAAvAUAAA4AAAAAAAAAAAAAAAAALgIAAGRycy9l&#10;Mm9Eb2MueG1sUEsBAi0AFAAGAAgAAAAhAP+6CJ7dAAAACQEAAA8AAAAAAAAAAAAAAAAA9wQAAGRy&#10;cy9kb3ducmV2LnhtbFBLBQYAAAAABAAEAPMAAAABBgAAAAA=&#10;" fillcolor="white [3212]" strokecolor="white [3212]" strokeweight=".5pt">
                <v:textbox>
                  <w:txbxContent>
                    <w:p w14:paraId="4CF0C67C" w14:textId="77777777" w:rsidR="00FC5E5B" w:rsidRDefault="00FC5E5B" w:rsidP="00FC5E5B">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65408" behindDoc="0" locked="0" layoutInCell="1" allowOverlap="1" wp14:anchorId="233BA0F1" wp14:editId="5408EA8C">
                <wp:simplePos x="0" y="0"/>
                <wp:positionH relativeFrom="column">
                  <wp:posOffset>1833880</wp:posOffset>
                </wp:positionH>
                <wp:positionV relativeFrom="paragraph">
                  <wp:posOffset>2214880</wp:posOffset>
                </wp:positionV>
                <wp:extent cx="304800" cy="285750"/>
                <wp:effectExtent l="0" t="0" r="19050" b="19050"/>
                <wp:wrapNone/>
                <wp:docPr id="14" name="文本框 14"/>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FF9F4C" w14:textId="77777777" w:rsidR="00FC5E5B" w:rsidRDefault="00FC5E5B" w:rsidP="00FC5E5B">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BA0F1" id="文本框 14" o:spid="_x0000_s1079" type="#_x0000_t202" style="position:absolute;left:0;text-align:left;margin-left:144.4pt;margin-top:174.4pt;width:2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69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kL1G5IiWYVanT388fdrz93v78T3IGgtfVj4K4tkKF+b2qAu3uPy5h3LV0V/8iIQA+q&#10;N1t6RR0Ix+V+b3jYg4ZDNTgcvR0l+rN7Y+t8+CBMRaKQU4fqJVLZ6twHBAJoB4lveaPK4qxUKh1i&#10;x4gT5ciKodazeQoRFg9QSpN1Tg/28fSLPMCf0tFSpN5qw4oENUQkKWyUiBilPwkJbhMfT8TIOBc6&#10;dHEmdERJZPQcwxZ/H9VzjJs8YJFeNjpsjatSG9ew9JDa4ksXsmzwKMxO3lEM9axOTTXa7xplZooN&#10;+seZZgS95WclqnzOfLhiDjOHxsAeCZf4SGVQJdNKlCyM+/bUfcRjFKClZI0Zzqn/umROUKI+agzJ&#10;u/5wGIc+HYajtwMc3K5mtqvRy+rEoHX62FiWJzHig+pE6Ux1i3Uzja9CxTTH2zkNnXgSms2CdcXF&#10;dJpAGHPLwrm+tjy6jjTHHr6pb5mzbaMHTMiF6aadjR/1e4ONltpMl8HIMg1DJLphtS0AVkSakXad&#10;xR20e06o+6U7+QsAAP//AwBQSwMEFAAGAAgAAAAhABCjntreAAAACwEAAA8AAABkcnMvZG93bnJl&#10;di54bWxMj8FOwzAMhu9IvENkJG4sZYWRdU2nCmmnndiqcc2arK3WOFWSduXt8U5w+yz/+v053862&#10;Z5PxoXMo4XWRADNYO91hI6E67l4EsBAVatU7NBJ+TIBt8fiQq0y7G36Z6RAbRiUYMiWhjXHIOA91&#10;a6wKCzcYpN3Feasijb7h2qsbldueL5Nkxa3qkC60ajCframvh9FKOO2PO457MVbvXVle8ftjWlde&#10;yuenudwAi2aOf2G465M6FOR0diPqwHoJSyFIPUpI3+5AiTRdEZwJ1qkAXuT8/w/FLwAAAP//AwBQ&#10;SwECLQAUAAYACAAAACEAtoM4kv4AAADhAQAAEwAAAAAAAAAAAAAAAAAAAAAAW0NvbnRlbnRfVHlw&#10;ZXNdLnhtbFBLAQItABQABgAIAAAAIQA4/SH/1gAAAJQBAAALAAAAAAAAAAAAAAAAAC8BAABfcmVs&#10;cy8ucmVsc1BLAQItABQABgAIAAAAIQDYQq69nQIAALwFAAAOAAAAAAAAAAAAAAAAAC4CAABkcnMv&#10;ZTJvRG9jLnhtbFBLAQItABQABgAIAAAAIQAQo57a3gAAAAsBAAAPAAAAAAAAAAAAAAAAAPcEAABk&#10;cnMvZG93bnJldi54bWxQSwUGAAAAAAQABADzAAAAAgYAAAAA&#10;" fillcolor="white [3212]" strokecolor="white [3212]" strokeweight=".5pt">
                <v:textbox>
                  <w:txbxContent>
                    <w:p w14:paraId="0BFF9F4C" w14:textId="77777777" w:rsidR="00FC5E5B" w:rsidRDefault="00FC5E5B" w:rsidP="00FC5E5B">
                      <w:pPr>
                        <w:rPr>
                          <w:lang w:eastAsia="zh-CN"/>
                        </w:rPr>
                      </w:pPr>
                      <w:r>
                        <w:rPr>
                          <w:rFonts w:hint="eastAsia"/>
                          <w:lang w:eastAsia="zh-CN"/>
                        </w:rPr>
                        <w:t>a</w:t>
                      </w:r>
                    </w:p>
                  </w:txbxContent>
                </v:textbox>
              </v:shape>
            </w:pict>
          </mc:Fallback>
        </mc:AlternateContent>
      </w:r>
      <w:r>
        <w:rPr>
          <w:rFonts w:ascii="Book Antiqua" w:hAnsi="Book Antiqua" w:cs="Times New Roman"/>
          <w:noProof/>
          <w:sz w:val="24"/>
          <w:szCs w:val="24"/>
          <w:lang w:val="en-US" w:eastAsia="zh-CN"/>
        </w:rPr>
        <mc:AlternateContent>
          <mc:Choice Requires="wps">
            <w:drawing>
              <wp:anchor distT="0" distB="0" distL="114300" distR="114300" simplePos="0" relativeHeight="251663360" behindDoc="0" locked="0" layoutInCell="1" allowOverlap="1" wp14:anchorId="06C97788" wp14:editId="13CEB195">
                <wp:simplePos x="0" y="0"/>
                <wp:positionH relativeFrom="column">
                  <wp:posOffset>1529080</wp:posOffset>
                </wp:positionH>
                <wp:positionV relativeFrom="paragraph">
                  <wp:posOffset>2214880</wp:posOffset>
                </wp:positionV>
                <wp:extent cx="304800" cy="285750"/>
                <wp:effectExtent l="0" t="0" r="19050" b="19050"/>
                <wp:wrapNone/>
                <wp:docPr id="13" name="文本框 13"/>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CB855" w14:textId="77777777" w:rsidR="00FC5E5B" w:rsidRDefault="00FC5E5B" w:rsidP="00FC5E5B">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7788" id="文本框 13" o:spid="_x0000_s1080" type="#_x0000_t202" style="position:absolute;left:0;text-align:left;margin-left:120.4pt;margin-top:174.4pt;width:24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So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kL1G6fEs0q1Oju54+7X3/ufn8nuANBa+vHwF1bIEP93tQAd/celzHvWroq/pERgR5U&#10;b7b0ijoQjsv93vCwBw2HanA4ejtK9Gf3xtb58EGYikQhpw7VS6Sy1bkPCATQDhLf8kaVxVmpVDrE&#10;jhEnypEVQ61n8xQiLB6glCbrnB7s4+kXeYA/paOlSL3VhhUJaohIUtgoETFKfxIS3CY+noiRcS50&#10;6OJM6IiSyOg5hi3+PqrnGDd5wCK9bHTYGlelNq5h6SG1xZcuZNngUZidvKMY6lmdmmo07BplZooN&#10;+seZZgS95WclqnzOfLhiDjOHxsAeCZf4SGVQJdNKlCyM+/bUfcRjFKClZI0Zzqn/umROUKI+agzJ&#10;u/5wGIc+HYajtwMc3K5mtqvRy+rEoHX62FiWJzHig+pE6Ux1i3Uzja9CxTTH2zkNnXgSms2CdcXF&#10;dJpAGHPLwrm+tjy6jjTHHr6pb5mzbaMHTMiF6aadjR/1e4ONltpMl8HIMg1DJLphtS0AVkSakXad&#10;xR20e06o+6U7+QsAAP//AwBQSwMEFAAGAAgAAAAhAJjhAKreAAAACwEAAA8AAABkcnMvZG93bnJl&#10;di54bWxMj8FOwzAQRO9I/IO1SNyo07QUN41TRUg99UQbwdWNTRI1Xke2k4a/Z3uC2+zOaPZtvp9t&#10;zybjQ+dQwnKRADNYO91hI6E6H14EsBAVatU7NBJ+TIB98fiQq0y7G36Y6RQbRiUYMiWhjXHIOA91&#10;a6wKCzcYJO/beasijb7h2qsblduep0my4VZ1SBdaNZj31tTX02glfB7PB45HMVavXVle8ett2lZe&#10;yuenudwBi2aOf2G44xM6FMR0cSPqwHoJ6Toh9ChhtRYkKJGKu7jQZrsSwIuc//+h+AUAAP//AwBQ&#10;SwECLQAUAAYACAAAACEAtoM4kv4AAADhAQAAEwAAAAAAAAAAAAAAAAAAAAAAW0NvbnRlbnRfVHlw&#10;ZXNdLnhtbFBLAQItABQABgAIAAAAIQA4/SH/1gAAAJQBAAALAAAAAAAAAAAAAAAAAC8BAABfcmVs&#10;cy8ucmVsc1BLAQItABQABgAIAAAAIQDuq6SonQIAALwFAAAOAAAAAAAAAAAAAAAAAC4CAABkcnMv&#10;ZTJvRG9jLnhtbFBLAQItABQABgAIAAAAIQCY4QCq3gAAAAsBAAAPAAAAAAAAAAAAAAAAAPcEAABk&#10;cnMvZG93bnJldi54bWxQSwUGAAAAAAQABADzAAAAAgYAAAAA&#10;" fillcolor="white [3212]" strokecolor="white [3212]" strokeweight=".5pt">
                <v:textbox>
                  <w:txbxContent>
                    <w:p w14:paraId="055CB855" w14:textId="77777777" w:rsidR="00FC5E5B" w:rsidRDefault="00FC5E5B" w:rsidP="00FC5E5B">
                      <w:pPr>
                        <w:rPr>
                          <w:lang w:eastAsia="zh-CN"/>
                        </w:rPr>
                      </w:pPr>
                      <w:r>
                        <w:rPr>
                          <w:rFonts w:hint="eastAsia"/>
                          <w:lang w:eastAsia="zh-CN"/>
                        </w:rPr>
                        <w:t>a</w:t>
                      </w:r>
                    </w:p>
                  </w:txbxContent>
                </v:textbox>
              </v:shape>
            </w:pict>
          </mc:Fallback>
        </mc:AlternateContent>
      </w:r>
      <w:r w:rsidR="00EA6E12" w:rsidRPr="00E47A42">
        <w:rPr>
          <w:rFonts w:ascii="Book Antiqua" w:hAnsi="Book Antiqua" w:cs="Times New Roman"/>
          <w:noProof/>
          <w:sz w:val="24"/>
          <w:szCs w:val="24"/>
          <w:lang w:val="en-US" w:eastAsia="zh-CN"/>
        </w:rPr>
        <w:drawing>
          <wp:inline distT="0" distB="0" distL="0" distR="0" wp14:anchorId="73B29F8F" wp14:editId="62890E04">
            <wp:extent cx="3829741" cy="3171825"/>
            <wp:effectExtent l="0" t="0" r="0" b="0"/>
            <wp:docPr id="3" name="Picture 3" descr="D:\Users\predrag.sikiric\Documents\drmic radovi\drmic caecum\Figures TIFF revised  9.4.2018\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redrag.sikiric\Documents\drmic radovi\drmic caecum\Figures TIFF revised  9.4.2018\Fig. 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8981" cy="3171196"/>
                    </a:xfrm>
                    <a:prstGeom prst="rect">
                      <a:avLst/>
                    </a:prstGeom>
                    <a:noFill/>
                    <a:ln>
                      <a:noFill/>
                    </a:ln>
                  </pic:spPr>
                </pic:pic>
              </a:graphicData>
            </a:graphic>
          </wp:inline>
        </w:drawing>
      </w:r>
    </w:p>
    <w:p w14:paraId="4359921E" w14:textId="034DE12E" w:rsidR="00EA6E12" w:rsidRPr="00E47A42" w:rsidRDefault="00EA6E12" w:rsidP="00EA6E12">
      <w:pPr>
        <w:autoSpaceDE w:val="0"/>
        <w:adjustRightInd w:val="0"/>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637649">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3</w:t>
      </w:r>
      <w:r w:rsidR="00637649" w:rsidRPr="00637649">
        <w:rPr>
          <w:rFonts w:ascii="Book Antiqua" w:hAnsi="Book Antiqua" w:cs="Times New Roman" w:hint="eastAsia"/>
          <w:b/>
          <w:sz w:val="24"/>
          <w:szCs w:val="24"/>
          <w:lang w:val="en-US" w:eastAsia="zh-CN"/>
        </w:rPr>
        <w:t xml:space="preserve"> </w:t>
      </w:r>
      <w:r w:rsidRPr="00637649">
        <w:rPr>
          <w:rFonts w:ascii="Book Antiqua" w:hAnsi="Book Antiqua" w:cs="Times New Roman"/>
          <w:b/>
          <w:sz w:val="24"/>
          <w:szCs w:val="24"/>
          <w:lang w:val="en-US"/>
        </w:rPr>
        <w:t>Bleeding time after perforation.</w:t>
      </w:r>
      <w:r w:rsidRPr="00E47A42">
        <w:rPr>
          <w:rFonts w:ascii="Book Antiqua" w:hAnsi="Book Antiqua" w:cs="Times New Roman"/>
          <w:sz w:val="24"/>
          <w:szCs w:val="24"/>
          <w:lang w:val="en-US"/>
        </w:rPr>
        <w:t xml:space="preserve"> At 1 min post-injury, </w:t>
      </w:r>
      <w:r w:rsidRPr="00E47A42">
        <w:rPr>
          <w:rFonts w:ascii="Book Antiqua" w:hAnsi="Book Antiqua" w:cs="Times New Roman"/>
          <w:noProof/>
          <w:sz w:val="24"/>
          <w:szCs w:val="24"/>
          <w:lang w:val="en-US"/>
        </w:rPr>
        <w:t>administration</w:t>
      </w:r>
      <w:r w:rsidRPr="00E47A42">
        <w:rPr>
          <w:rFonts w:ascii="Book Antiqua" w:hAnsi="Book Antiqua" w:cs="Times New Roman"/>
          <w:sz w:val="24"/>
          <w:szCs w:val="24"/>
          <w:lang w:val="en-US"/>
        </w:rPr>
        <w:t xml:space="preserve"> of medication (/kg, 10 m</w:t>
      </w:r>
      <w:r w:rsidRPr="00637649">
        <w:rPr>
          <w:rFonts w:ascii="Book Antiqua" w:hAnsi="Book Antiqua" w:cs="Times New Roman"/>
          <w:caps/>
          <w:sz w:val="24"/>
          <w:szCs w:val="24"/>
          <w:lang w:val="en-US"/>
        </w:rPr>
        <w:t>l</w:t>
      </w:r>
      <w:r w:rsidRPr="00E47A42">
        <w:rPr>
          <w:rFonts w:ascii="Book Antiqua" w:hAnsi="Book Antiqua" w:cs="Times New Roman"/>
          <w:sz w:val="24"/>
          <w:szCs w:val="24"/>
          <w:lang w:val="en-US"/>
        </w:rPr>
        <w:t>/2 min bath/rat) at the perforated (5 mm diameter) cecum lesion and cecum includes BPC 157 (10 µg) (B), NOS blocker L-NAME (5 mg) (N), NOS substrate L-arginine (100 mg) (A) alone or combined, and a saline bath of equal volume (controls) (S). Rats were then left after abdominal closure undisturbed until s</w:t>
      </w:r>
      <w:r w:rsidR="00637649">
        <w:rPr>
          <w:rFonts w:ascii="Book Antiqua" w:hAnsi="Book Antiqua" w:cs="Times New Roman"/>
          <w:sz w:val="24"/>
          <w:szCs w:val="24"/>
          <w:lang w:val="en-US"/>
        </w:rPr>
        <w:t xml:space="preserve">acrifice, at day 1 or day 7. </w:t>
      </w:r>
      <w:proofErr w:type="spellStart"/>
      <w:r w:rsidR="00FC5E5B" w:rsidRPr="00FC5E5B">
        <w:rPr>
          <w:rFonts w:ascii="Book Antiqua" w:hAnsi="Book Antiqua" w:cs="Times New Roman" w:hint="eastAsia"/>
          <w:sz w:val="24"/>
          <w:szCs w:val="24"/>
          <w:vertAlign w:val="superscript"/>
          <w:lang w:val="en-US" w:eastAsia="zh-CN"/>
        </w:rPr>
        <w:t>a</w:t>
      </w:r>
      <w:r w:rsidRPr="00637649">
        <w:rPr>
          <w:rFonts w:ascii="Book Antiqua" w:hAnsi="Book Antiqua" w:cs="Times New Roman"/>
          <w:i/>
          <w:sz w:val="24"/>
          <w:szCs w:val="24"/>
          <w:lang w:val="en-US"/>
        </w:rPr>
        <w:t>P</w:t>
      </w:r>
      <w:proofErr w:type="spellEnd"/>
      <w:r w:rsidR="0063764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&lt;</w:t>
      </w:r>
      <w:r w:rsidR="0063764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0.05 at least </w:t>
      </w:r>
      <w:r w:rsidRPr="00637649">
        <w:rPr>
          <w:rFonts w:ascii="Book Antiqua" w:hAnsi="Book Antiqua" w:cs="Times New Roman"/>
          <w:i/>
          <w:sz w:val="24"/>
          <w:szCs w:val="24"/>
          <w:lang w:val="en-US"/>
        </w:rPr>
        <w:t>vs</w:t>
      </w:r>
      <w:r w:rsidR="00637649">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control (S).</w:t>
      </w:r>
    </w:p>
    <w:p w14:paraId="5E476DD3" w14:textId="6EDBAC50"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754D2B30" w14:textId="348E26ED" w:rsidR="00EA6E12" w:rsidRPr="00E47A42" w:rsidRDefault="007C34A5" w:rsidP="00EA6E12">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659264" behindDoc="0" locked="0" layoutInCell="1" allowOverlap="1" wp14:anchorId="0A607E1C" wp14:editId="604AACEB">
                <wp:simplePos x="0" y="0"/>
                <wp:positionH relativeFrom="column">
                  <wp:posOffset>1948180</wp:posOffset>
                </wp:positionH>
                <wp:positionV relativeFrom="paragraph">
                  <wp:posOffset>776605</wp:posOffset>
                </wp:positionV>
                <wp:extent cx="304800" cy="285750"/>
                <wp:effectExtent l="0" t="0" r="19050" b="19050"/>
                <wp:wrapNone/>
                <wp:docPr id="11" name="文本框 11"/>
                <wp:cNvGraphicFramePr/>
                <a:graphic xmlns:a="http://schemas.openxmlformats.org/drawingml/2006/main">
                  <a:graphicData uri="http://schemas.microsoft.com/office/word/2010/wordprocessingShape">
                    <wps:wsp>
                      <wps:cNvSpPr txBox="1"/>
                      <wps:spPr>
                        <a:xfrm>
                          <a:off x="0" y="0"/>
                          <a:ext cx="30480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52E498" w14:textId="5B25B4A2" w:rsidR="007C34A5" w:rsidRDefault="007C34A5">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07E1C" id="文本框 11" o:spid="_x0000_s1081" type="#_x0000_t202" style="position:absolute;left:0;text-align:left;margin-left:153.4pt;margin-top:61.15pt;width:2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KInQIAALwFAAAOAAAAZHJzL2Uyb0RvYy54bWysVM1OGzEQvlfqO1i+l01CQmnEBqUgqkoI&#10;UKHi7HjtZFWv7dpOsukDtG/QUy+997l4jn727oZAuYB62R17vhnPfPNzdFxXiqyE86XROe3v9SgR&#10;mpui1POcfr45e3NIiQ9MF0wZLXK6EZ4eT16/OlrbsRiYhVGFcAROtB+vbU4XIdhxlnm+EBXze8YK&#10;DaU0rmIBRzfPCsfW8F6pbNDrHWRr4wrrDBfe4/a0UdJJ8i+l4OFSSi8CUTlFbCF9XfrO4jebHLHx&#10;3DG7KHkbBntBFBUrNR7dujplgZGlK/9xVZXcGW9k2OOmyoyUJRcpB2TT7z3K5nrBrEi5gBxvtzT5&#10;/+eWX6yuHCkL1K5PiWYVanT388fdrz93v78T3IGgtfVj4K4tkKF+b2qAu3uPy5h3LV0V/8iIQA+q&#10;N1t6RR0Ix+V+b3jYg4ZDNTgcvR0l+rN7Y+t8+CBMRaKQU4fqJVLZ6twHBAJoB4lveaPK4qxUKh1i&#10;x4gT5ciKodazeQoRFg9QSpN1Tg/28fSLPMCf0tFSpN5qw4oENUQkKWyUiBilPwkJbhMfT8TIOBc6&#10;dHEmdERJZPQcwxZ/H9VzjJs8YJFeNjpsjatSG9ew9JDa4ksXsmzwKMxO3lEM9axOTTUadY0yM8UG&#10;/eNMM4Le8rMSVT5nPlwxh5lDY2CPhEt8pDKokmklShbGfXvqPuIxCtBSssYM59R/XTInKFEfNYbk&#10;XX84jEOfDsPR2wEOblcz29XoZXVi0DqYA0SXxIgPqhOlM9Ut1s00vgoV0xxv5zR04kloNgvWFRfT&#10;aQJhzC0L5/ra8ug60hx7+Ka+Zc62jR4wIRemm3Y2ftTvDTZaajNdBiPLNAyR6IbVtgBYEWlG2nUW&#10;d9DuOaHul+7kLwAAAP//AwBQSwMEFAAGAAgAAAAhAMHAHvPeAAAACwEAAA8AAABkcnMvZG93bnJl&#10;di54bWxMj0FPg0AQhe8m/ofNmHizi2BpRZaGmPTUky2p1y07Aik7S9iF4r93POlx3nt58718t9he&#10;zDj6zpGC51UEAql2pqNGQXXaP21B+KDJ6N4RKvhGD7vi/i7XmXE3+sD5GBrBJeQzraANYcik9HWL&#10;VvuVG5DY+3Kj1YHPsZFm1Dcut72MoyiVVnfEH1o94HuL9fU4WQXnw2kv6bCdqnVXllf63Myv1ajU&#10;48NSvoEIuIS/MPziMzoUzHRxExkvegVJlDJ6YCOOExCcSNYvrFxYSTcJyCKX/zcUPwAAAP//AwBQ&#10;SwECLQAUAAYACAAAACEAtoM4kv4AAADhAQAAEwAAAAAAAAAAAAAAAAAAAAAAW0NvbnRlbnRfVHlw&#10;ZXNdLnhtbFBLAQItABQABgAIAAAAIQA4/SH/1gAAAJQBAAALAAAAAAAAAAAAAAAAAC8BAABfcmVs&#10;cy8ucmVsc1BLAQItABQABgAIAAAAIQAMiSKInQIAALwFAAAOAAAAAAAAAAAAAAAAAC4CAABkcnMv&#10;ZTJvRG9jLnhtbFBLAQItABQABgAIAAAAIQDBwB7z3gAAAAsBAAAPAAAAAAAAAAAAAAAAAPcEAABk&#10;cnMvZG93bnJldi54bWxQSwUGAAAAAAQABADzAAAAAgYAAAAA&#10;" fillcolor="white [3212]" strokecolor="white [3212]" strokeweight=".5pt">
                <v:textbox>
                  <w:txbxContent>
                    <w:p w14:paraId="0F52E498" w14:textId="5B25B4A2" w:rsidR="007C34A5" w:rsidRDefault="007C34A5">
                      <w:pPr>
                        <w:rPr>
                          <w:lang w:eastAsia="zh-CN"/>
                        </w:rPr>
                      </w:pPr>
                      <w:r>
                        <w:rPr>
                          <w:rFonts w:hint="eastAsia"/>
                          <w:lang w:eastAsia="zh-CN"/>
                        </w:rPr>
                        <w:t>a</w:t>
                      </w:r>
                    </w:p>
                  </w:txbxContent>
                </v:textbox>
              </v:shape>
            </w:pict>
          </mc:Fallback>
        </mc:AlternateContent>
      </w:r>
      <w:r w:rsidR="00EA6E12" w:rsidRPr="00E47A42">
        <w:rPr>
          <w:rFonts w:ascii="Book Antiqua" w:hAnsi="Book Antiqua" w:cs="Times New Roman"/>
          <w:noProof/>
          <w:sz w:val="24"/>
          <w:szCs w:val="24"/>
          <w:lang w:val="en-US" w:eastAsia="zh-CN"/>
        </w:rPr>
        <w:drawing>
          <wp:inline distT="0" distB="0" distL="0" distR="0" wp14:anchorId="67EF94EB" wp14:editId="204AC105">
            <wp:extent cx="3426619" cy="2686050"/>
            <wp:effectExtent l="0" t="0" r="2540" b="0"/>
            <wp:docPr id="4" name="Picture 4" descr="D:\Users\predrag.sikiric\Documents\drmic radovi\drmic caecum\Figures TIFF revised  9.4.2018\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redrag.sikiric\Documents\drmic radovi\drmic caecum\Figures TIFF revised  9.4.2018\FIG. 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7264" cy="2686556"/>
                    </a:xfrm>
                    <a:prstGeom prst="rect">
                      <a:avLst/>
                    </a:prstGeom>
                    <a:noFill/>
                    <a:ln>
                      <a:noFill/>
                    </a:ln>
                  </pic:spPr>
                </pic:pic>
              </a:graphicData>
            </a:graphic>
          </wp:inline>
        </w:drawing>
      </w:r>
    </w:p>
    <w:p w14:paraId="74D04205" w14:textId="1CAC158C" w:rsidR="00EA6E1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8F3448">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4</w:t>
      </w:r>
      <w:r w:rsidR="008F3448">
        <w:rPr>
          <w:rFonts w:ascii="Book Antiqua" w:hAnsi="Book Antiqua" w:cs="Times New Roman" w:hint="eastAsia"/>
          <w:b/>
          <w:sz w:val="24"/>
          <w:szCs w:val="24"/>
          <w:lang w:val="en-US" w:eastAsia="zh-CN"/>
        </w:rPr>
        <w:t xml:space="preserve"> </w:t>
      </w:r>
      <w:r w:rsidRPr="008F3448">
        <w:rPr>
          <w:rFonts w:ascii="Book Antiqua" w:hAnsi="Book Antiqua" w:cs="Times New Roman"/>
          <w:b/>
          <w:sz w:val="24"/>
          <w:szCs w:val="24"/>
          <w:lang w:val="en-US"/>
        </w:rPr>
        <w:t>15 min</w:t>
      </w:r>
      <w:r w:rsidR="008F3448" w:rsidRPr="008F3448">
        <w:rPr>
          <w:rFonts w:ascii="Book Antiqua" w:hAnsi="Book Antiqua" w:cs="Times New Roman" w:hint="eastAsia"/>
          <w:b/>
          <w:sz w:val="24"/>
          <w:szCs w:val="24"/>
          <w:lang w:val="en-US" w:eastAsia="zh-CN"/>
        </w:rPr>
        <w:t xml:space="preserve"> </w:t>
      </w:r>
      <w:r w:rsidRPr="008F3448">
        <w:rPr>
          <w:rFonts w:ascii="Book Antiqua" w:hAnsi="Book Antiqua" w:cs="Times New Roman"/>
          <w:b/>
          <w:sz w:val="24"/>
          <w:szCs w:val="24"/>
          <w:lang w:val="en-US"/>
        </w:rPr>
        <w:t>post-injury, we determined nitric oxide</w:t>
      </w:r>
      <w:r w:rsidR="008F3448">
        <w:rPr>
          <w:rFonts w:ascii="Book Antiqua" w:hAnsi="Book Antiqua" w:cs="Times New Roman" w:hint="eastAsia"/>
          <w:b/>
          <w:sz w:val="24"/>
          <w:szCs w:val="24"/>
          <w:lang w:val="en-US" w:eastAsia="zh-CN"/>
        </w:rPr>
        <w:t xml:space="preserve"> </w:t>
      </w:r>
      <w:r w:rsidRPr="008F3448">
        <w:rPr>
          <w:rFonts w:ascii="Book Antiqua" w:hAnsi="Book Antiqua" w:cs="Times New Roman"/>
          <w:b/>
          <w:sz w:val="24"/>
          <w:szCs w:val="24"/>
          <w:lang w:val="en-US"/>
        </w:rPr>
        <w:t>in stomach tissue samples using the Griess reaction. Administration of medication (/kg, 10 m</w:t>
      </w:r>
      <w:r w:rsidRPr="00B473E4">
        <w:rPr>
          <w:rFonts w:ascii="Book Antiqua" w:hAnsi="Book Antiqua" w:cs="Times New Roman"/>
          <w:b/>
          <w:caps/>
          <w:sz w:val="24"/>
          <w:szCs w:val="24"/>
          <w:lang w:val="en-US"/>
        </w:rPr>
        <w:t>l</w:t>
      </w:r>
      <w:r w:rsidRPr="008F3448">
        <w:rPr>
          <w:rFonts w:ascii="Book Antiqua" w:hAnsi="Book Antiqua" w:cs="Times New Roman"/>
          <w:b/>
          <w:sz w:val="24"/>
          <w:szCs w:val="24"/>
          <w:lang w:val="en-US"/>
        </w:rPr>
        <w:t>/2 min bath/rat) at the perforated (5 mm diameter) cecum lesion and cecum was BPC 157 (10 µg) or a saline bath equal volume (controls).</w:t>
      </w:r>
      <w:r w:rsidRPr="00E47A42">
        <w:rPr>
          <w:rFonts w:ascii="Book Antiqua" w:hAnsi="Book Antiqua" w:cs="Times New Roman"/>
          <w:sz w:val="24"/>
          <w:szCs w:val="24"/>
          <w:lang w:val="en-US"/>
        </w:rPr>
        <w:t xml:space="preserve"> </w:t>
      </w:r>
      <w:r w:rsidRPr="007C34A5">
        <w:rPr>
          <w:rFonts w:ascii="Book Antiqua" w:hAnsi="Book Antiqua" w:cs="Times New Roman"/>
          <w:caps/>
          <w:sz w:val="24"/>
          <w:szCs w:val="24"/>
          <w:lang w:val="en-US"/>
        </w:rPr>
        <w:t>m</w:t>
      </w:r>
      <w:r w:rsidRPr="00E47A42">
        <w:rPr>
          <w:rFonts w:ascii="Book Antiqua" w:hAnsi="Book Antiqua" w:cs="Times New Roman"/>
          <w:sz w:val="24"/>
          <w:szCs w:val="24"/>
          <w:lang w:val="en-US"/>
        </w:rPr>
        <w:t xml:space="preserve">inimum </w:t>
      </w:r>
      <w:proofErr w:type="spellStart"/>
      <w:r w:rsidR="007C34A5" w:rsidRPr="007C34A5">
        <w:rPr>
          <w:rFonts w:ascii="Book Antiqua" w:hAnsi="Book Antiqua" w:cs="Times New Roman" w:hint="eastAsia"/>
          <w:sz w:val="24"/>
          <w:szCs w:val="24"/>
          <w:vertAlign w:val="superscript"/>
          <w:lang w:val="en-US" w:eastAsia="zh-CN"/>
        </w:rPr>
        <w:t>a</w:t>
      </w:r>
      <w:r w:rsidRPr="00B473E4">
        <w:rPr>
          <w:rFonts w:ascii="Book Antiqua" w:hAnsi="Book Antiqua" w:cs="Times New Roman"/>
          <w:i/>
          <w:sz w:val="24"/>
          <w:szCs w:val="24"/>
          <w:lang w:val="en-US"/>
        </w:rPr>
        <w:t>P</w:t>
      </w:r>
      <w:proofErr w:type="spellEnd"/>
      <w:r w:rsidR="00B473E4">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&lt;</w:t>
      </w:r>
      <w:r w:rsidR="00B473E4">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0.05 </w:t>
      </w:r>
      <w:r w:rsidR="00B473E4" w:rsidRPr="00B473E4">
        <w:rPr>
          <w:rFonts w:ascii="Book Antiqua" w:hAnsi="Book Antiqua" w:cs="Times New Roman" w:hint="eastAsia"/>
          <w:i/>
          <w:sz w:val="24"/>
          <w:szCs w:val="24"/>
          <w:lang w:val="en-US" w:eastAsia="zh-CN"/>
        </w:rPr>
        <w:t>vs</w:t>
      </w:r>
      <w:r w:rsidRPr="00E47A42">
        <w:rPr>
          <w:rFonts w:ascii="Book Antiqua" w:hAnsi="Book Antiqua" w:cs="Times New Roman"/>
          <w:sz w:val="24"/>
          <w:szCs w:val="24"/>
          <w:lang w:val="en-US"/>
        </w:rPr>
        <w:t xml:space="preserve"> control.</w:t>
      </w:r>
    </w:p>
    <w:p w14:paraId="0710C6F7" w14:textId="77777777"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30A29959" w14:textId="2C5DC148" w:rsidR="00EA6E12" w:rsidRPr="00E47A42" w:rsidRDefault="00C7414F" w:rsidP="00EA6E12">
      <w:pPr>
        <w:snapToGrid w:val="0"/>
        <w:spacing w:after="0" w:line="360" w:lineRule="auto"/>
        <w:ind w:firstLine="720"/>
        <w:jc w:val="both"/>
        <w:rPr>
          <w:rFonts w:ascii="Book Antiqua" w:hAnsi="Book Antiqua" w:cs="Times New Roman"/>
          <w:sz w:val="24"/>
          <w:szCs w:val="24"/>
          <w:lang w:val="en-US"/>
        </w:rPr>
      </w:pPr>
      <w:r>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661312" behindDoc="0" locked="0" layoutInCell="1" allowOverlap="1" wp14:anchorId="23CCA5F3" wp14:editId="27EA1A49">
                <wp:simplePos x="0" y="0"/>
                <wp:positionH relativeFrom="column">
                  <wp:posOffset>1891030</wp:posOffset>
                </wp:positionH>
                <wp:positionV relativeFrom="paragraph">
                  <wp:posOffset>186055</wp:posOffset>
                </wp:positionV>
                <wp:extent cx="266700" cy="266700"/>
                <wp:effectExtent l="0" t="0" r="19050" b="19050"/>
                <wp:wrapNone/>
                <wp:docPr id="12" name="文本框 12"/>
                <wp:cNvGraphicFramePr/>
                <a:graphic xmlns:a="http://schemas.openxmlformats.org/drawingml/2006/main">
                  <a:graphicData uri="http://schemas.microsoft.com/office/word/2010/wordprocessingShape">
                    <wps:wsp>
                      <wps:cNvSpPr txBox="1"/>
                      <wps:spPr>
                        <a:xfrm>
                          <a:off x="0" y="0"/>
                          <a:ext cx="266700" cy="266700"/>
                        </a:xfrm>
                        <a:prstGeom prst="rect">
                          <a:avLst/>
                        </a:prstGeom>
                        <a:solidFill>
                          <a:schemeClr val="bg1"/>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6D9DD002" w14:textId="77777777" w:rsidR="00C7414F" w:rsidRDefault="00C7414F" w:rsidP="00C7414F">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A5F3" id="文本框 12" o:spid="_x0000_s1082" type="#_x0000_t202" style="position:absolute;left:0;text-align:left;margin-left:148.9pt;margin-top:14.65pt;width:2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LjmQIAAKEFAAAOAAAAZHJzL2Uyb0RvYy54bWysVM1uEzEQviPxDpbvdJOQphB1U4VWRUhV&#10;W9Ginh2vnVh4PcZ2shseoLwBJy7cea4+B2PvT9qSU8Vldzzzzf/P8UldarIRziswOR0eDCgRhkOh&#10;zDKnX27P37yjxAdmCqbBiJxuhacns9evjis7FSNYgS6EI2jE+Gllc7oKwU6zzPOVKJk/ACsMCiW4&#10;kgV8umVWOFah9VJno8FgklXgCuuAC++Re9YI6SzZl1LwcCWlF4HonGJsIX1d+i7iN5sds+nSMbtS&#10;vA2DvSCKkimDTntTZywwsnbqH1Ol4g48yHDAocxASsVFygGzGQ6eZXOzYlakXLA43vZl8v/PLL/c&#10;XDuiCuzdiBLDSuzRw88fD7/+PPy+J8jDAlXWTxF3YxEZ6g9QI7jje2TGvGvpyvjHjAjKsdTbvryi&#10;DoQjczSZHA1QwlHU0mg92ylb58NHASWJRE4ddi8VlW0ufGigHST68qBVca60To84MeJUO7Jh2OvF&#10;MoWIxp+gtHmRIpqJmlmsRJNxosJWi2hPm89CYhFjjingNL67YBjnwoS3sWbJEqKjmsTQe8XhPkUd&#10;uixabFQTaax7xcE+xacee43kFUzolUtlwO0zUHztPTf4Lvsm55h+qBd1mpzDSTcNCyi2OCQOmj3z&#10;lp8rbOUF8+GaOVws7D4ei3CFH6mhyim0FCUrcN/38SMe5x2llFS4qDn139bMCUr0J4Ob8H44HsfN&#10;To/x4dEIH+6xZPFYYtblKeB8DPEsWZ7IiA+6I6WD8g5vyjx6RREzHH3nNHTkaWjOB94kLubzBMJd&#10;tixcmBvLo+lY5jiot/Udc7ad5oBrcAndSrPps6FusFHTwHwdQKo08bHQTVXbBuAdSFPU3qx4aB6/&#10;E2p3WWd/AQAA//8DAFBLAwQUAAYACAAAACEAm1eSg+AAAAAJAQAADwAAAGRycy9kb3ducmV2Lnht&#10;bEyPy07DMBBF90j8gzVIbBB1HlJLQpwKIcGCBRItFJZuPCQR9jiK3Tbl65muym4eV2fOVMvJWbHH&#10;MfSeFKSzBARS401PrYL39dPtHYgQNRltPaGCIwZY1pcXlS6NP9Ab7lexFQyhUGoFXYxDKWVoOnQ6&#10;zPyAxLtvPzoduR1baUZ9YLizMkuSuXS6J77Q6QEfO2x+VjvHlPXNZ/HrX7PN1yZ5dvEltcf5h1LX&#10;V9PDPYiIUzyH4aTP6lCz09bvyARhFWTFgtXjqchBcCDPCx5sFSzSHGRdyf8f1H8AAAD//wMAUEsB&#10;Ai0AFAAGAAgAAAAhALaDOJL+AAAA4QEAABMAAAAAAAAAAAAAAAAAAAAAAFtDb250ZW50X1R5cGVz&#10;XS54bWxQSwECLQAUAAYACAAAACEAOP0h/9YAAACUAQAACwAAAAAAAAAAAAAAAAAvAQAAX3JlbHMv&#10;LnJlbHNQSwECLQAUAAYACAAAACEA60Zi45kCAAChBQAADgAAAAAAAAAAAAAAAAAuAgAAZHJzL2Uy&#10;b0RvYy54bWxQSwECLQAUAAYACAAAACEAm1eSg+AAAAAJAQAADwAAAAAAAAAAAAAAAADzBAAAZHJz&#10;L2Rvd25yZXYueG1sUEsFBgAAAAAEAAQA8wAAAAAGAAAAAA==&#10;" fillcolor="white [3212]" strokecolor="white [3212]" strokeweight="1pt">
                <v:textbox>
                  <w:txbxContent>
                    <w:p w14:paraId="6D9DD002" w14:textId="77777777" w:rsidR="00C7414F" w:rsidRDefault="00C7414F" w:rsidP="00C7414F">
                      <w:pPr>
                        <w:rPr>
                          <w:lang w:eastAsia="zh-CN"/>
                        </w:rPr>
                      </w:pPr>
                      <w:r>
                        <w:rPr>
                          <w:rFonts w:hint="eastAsia"/>
                          <w:lang w:eastAsia="zh-CN"/>
                        </w:rPr>
                        <w:t>a</w:t>
                      </w:r>
                    </w:p>
                  </w:txbxContent>
                </v:textbox>
              </v:shape>
            </w:pict>
          </mc:Fallback>
        </mc:AlternateContent>
      </w:r>
      <w:r w:rsidR="00EA6E12" w:rsidRPr="00E47A42">
        <w:rPr>
          <w:rFonts w:ascii="Book Antiqua" w:hAnsi="Book Antiqua" w:cs="Times New Roman"/>
          <w:noProof/>
          <w:sz w:val="24"/>
          <w:szCs w:val="24"/>
          <w:lang w:val="en-US" w:eastAsia="zh-CN"/>
        </w:rPr>
        <w:drawing>
          <wp:inline distT="0" distB="0" distL="0" distR="0" wp14:anchorId="05F76437" wp14:editId="5E80CCCD">
            <wp:extent cx="3061486" cy="2552700"/>
            <wp:effectExtent l="0" t="0" r="5715" b="0"/>
            <wp:docPr id="5" name="Picture 5" descr="D:\Users\predrag.sikiric\Documents\drmic radovi\drmic caecum\Figures TIFF revised  9.4.2018\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redrag.sikiric\Documents\drmic radovi\drmic caecum\Figures TIFF revised  9.4.2018\FIG. 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240" cy="2554163"/>
                    </a:xfrm>
                    <a:prstGeom prst="rect">
                      <a:avLst/>
                    </a:prstGeom>
                    <a:noFill/>
                    <a:ln>
                      <a:noFill/>
                    </a:ln>
                  </pic:spPr>
                </pic:pic>
              </a:graphicData>
            </a:graphic>
          </wp:inline>
        </w:drawing>
      </w:r>
    </w:p>
    <w:p w14:paraId="4FC92C3A" w14:textId="5348BE15" w:rsidR="00EA6E12" w:rsidRPr="00E47A42" w:rsidRDefault="00EA6E12" w:rsidP="00EA6E12">
      <w:pPr>
        <w:snapToGrid w:val="0"/>
        <w:spacing w:after="0" w:line="360" w:lineRule="auto"/>
        <w:jc w:val="both"/>
        <w:rPr>
          <w:rFonts w:ascii="Book Antiqua" w:hAnsi="Book Antiqua" w:cs="Times New Roman"/>
          <w:sz w:val="24"/>
          <w:szCs w:val="24"/>
          <w:lang w:val="en-US" w:eastAsia="zh-CN"/>
        </w:rPr>
      </w:pPr>
      <w:r w:rsidRPr="00C3318D">
        <w:rPr>
          <w:rFonts w:ascii="Book Antiqua" w:hAnsi="Book Antiqua" w:cs="Times New Roman"/>
          <w:b/>
          <w:sz w:val="24"/>
          <w:szCs w:val="24"/>
          <w:lang w:val="en-US"/>
        </w:rPr>
        <w:t>Fig</w:t>
      </w:r>
      <w:r w:rsidR="00C3318D" w:rsidRPr="00C3318D">
        <w:rPr>
          <w:rFonts w:ascii="Book Antiqua" w:hAnsi="Book Antiqua" w:cs="Times New Roman" w:hint="eastAsia"/>
          <w:b/>
          <w:sz w:val="24"/>
          <w:szCs w:val="24"/>
          <w:lang w:val="en-US" w:eastAsia="zh-CN"/>
        </w:rPr>
        <w:t xml:space="preserve">ure </w:t>
      </w:r>
      <w:r w:rsidRPr="00C3318D">
        <w:rPr>
          <w:rFonts w:ascii="Book Antiqua" w:hAnsi="Book Antiqua" w:cs="Times New Roman"/>
          <w:b/>
          <w:sz w:val="24"/>
          <w:szCs w:val="24"/>
          <w:lang w:val="en-US"/>
        </w:rPr>
        <w:t>5</w:t>
      </w:r>
      <w:r w:rsidR="00C3318D" w:rsidRPr="00C3318D">
        <w:rPr>
          <w:rFonts w:ascii="Book Antiqua" w:hAnsi="Book Antiqua" w:cs="Times New Roman" w:hint="eastAsia"/>
          <w:b/>
          <w:sz w:val="24"/>
          <w:szCs w:val="24"/>
          <w:lang w:val="en-US" w:eastAsia="zh-CN"/>
        </w:rPr>
        <w:t xml:space="preserve"> </w:t>
      </w:r>
      <w:r w:rsidRPr="00C3318D">
        <w:rPr>
          <w:rFonts w:ascii="Book Antiqua" w:hAnsi="Book Antiqua" w:cs="Times New Roman"/>
          <w:b/>
          <w:sz w:val="24"/>
          <w:szCs w:val="24"/>
          <w:lang w:val="en-US"/>
        </w:rPr>
        <w:t>At 15 min</w:t>
      </w:r>
      <w:r w:rsidR="00C3318D" w:rsidRPr="00C3318D">
        <w:rPr>
          <w:rFonts w:ascii="Book Antiqua" w:hAnsi="Book Antiqua" w:cs="Times New Roman" w:hint="eastAsia"/>
          <w:b/>
          <w:sz w:val="24"/>
          <w:szCs w:val="24"/>
          <w:lang w:val="en-US" w:eastAsia="zh-CN"/>
        </w:rPr>
        <w:t xml:space="preserve"> </w:t>
      </w:r>
      <w:r w:rsidRPr="00C3318D">
        <w:rPr>
          <w:rFonts w:ascii="Book Antiqua" w:hAnsi="Book Antiqua" w:cs="Times New Roman"/>
          <w:b/>
          <w:sz w:val="24"/>
          <w:szCs w:val="24"/>
          <w:lang w:val="en-US"/>
        </w:rPr>
        <w:t xml:space="preserve">post-injury, oxidative stress in tissue samples was assessed by quantifying </w:t>
      </w:r>
      <w:proofErr w:type="spellStart"/>
      <w:r w:rsidRPr="00C3318D">
        <w:rPr>
          <w:rFonts w:ascii="Book Antiqua" w:hAnsi="Book Antiqua" w:cs="Times New Roman"/>
          <w:b/>
          <w:sz w:val="24"/>
          <w:szCs w:val="24"/>
          <w:lang w:val="en-US"/>
        </w:rPr>
        <w:t>thiobarbituric</w:t>
      </w:r>
      <w:proofErr w:type="spellEnd"/>
      <w:r w:rsidRPr="00C3318D">
        <w:rPr>
          <w:rFonts w:ascii="Book Antiqua" w:hAnsi="Book Antiqua" w:cs="Times New Roman"/>
          <w:b/>
          <w:sz w:val="24"/>
          <w:szCs w:val="24"/>
          <w:lang w:val="en-US"/>
        </w:rPr>
        <w:t xml:space="preserve"> acid</w:t>
      </w:r>
      <w:r w:rsidR="00C3318D" w:rsidRPr="00C3318D">
        <w:rPr>
          <w:rFonts w:ascii="Book Antiqua" w:hAnsi="Book Antiqua" w:cs="Times New Roman" w:hint="eastAsia"/>
          <w:b/>
          <w:sz w:val="24"/>
          <w:szCs w:val="24"/>
          <w:lang w:val="en-US" w:eastAsia="zh-CN"/>
        </w:rPr>
        <w:t xml:space="preserve"> </w:t>
      </w:r>
      <w:r w:rsidRPr="00C3318D">
        <w:rPr>
          <w:rFonts w:ascii="Book Antiqua" w:hAnsi="Book Antiqua" w:cs="Times New Roman"/>
          <w:b/>
          <w:sz w:val="24"/>
          <w:szCs w:val="24"/>
          <w:lang w:val="en-US"/>
        </w:rPr>
        <w:t xml:space="preserve">reactivity as malondialdehyde equivalents. </w:t>
      </w:r>
      <w:r w:rsidRPr="00E47A42">
        <w:rPr>
          <w:rFonts w:ascii="Book Antiqua" w:hAnsi="Book Antiqua" w:cs="Times New Roman"/>
          <w:sz w:val="24"/>
          <w:szCs w:val="24"/>
          <w:lang w:val="en-US"/>
        </w:rPr>
        <w:t>Administration of medication (/kg, 10 m</w:t>
      </w:r>
      <w:r w:rsidRPr="00C3318D">
        <w:rPr>
          <w:rFonts w:ascii="Book Antiqua" w:hAnsi="Book Antiqua" w:cs="Times New Roman"/>
          <w:caps/>
          <w:sz w:val="24"/>
          <w:szCs w:val="24"/>
          <w:lang w:val="en-US"/>
        </w:rPr>
        <w:t>l</w:t>
      </w:r>
      <w:r w:rsidRPr="00E47A42">
        <w:rPr>
          <w:rFonts w:ascii="Book Antiqua" w:hAnsi="Book Antiqua" w:cs="Times New Roman"/>
          <w:sz w:val="24"/>
          <w:szCs w:val="24"/>
          <w:lang w:val="en-US"/>
        </w:rPr>
        <w:t xml:space="preserve">/2 min bath/rat) at the perforated (5 mm diameter) cecum lesion and cecum was BPC 157 (10 µg) or a saline bath of equal volume (controls). </w:t>
      </w:r>
      <w:r w:rsidR="00C3318D" w:rsidRPr="007C34A5">
        <w:rPr>
          <w:rFonts w:ascii="Book Antiqua" w:hAnsi="Book Antiqua" w:cs="Times New Roman"/>
          <w:caps/>
          <w:sz w:val="24"/>
          <w:szCs w:val="24"/>
          <w:lang w:val="en-US"/>
        </w:rPr>
        <w:t>m</w:t>
      </w:r>
      <w:r w:rsidR="00C3318D" w:rsidRPr="00E47A42">
        <w:rPr>
          <w:rFonts w:ascii="Book Antiqua" w:hAnsi="Book Antiqua" w:cs="Times New Roman"/>
          <w:sz w:val="24"/>
          <w:szCs w:val="24"/>
          <w:lang w:val="en-US"/>
        </w:rPr>
        <w:t xml:space="preserve">inimum </w:t>
      </w:r>
      <w:proofErr w:type="spellStart"/>
      <w:r w:rsidR="00C3318D" w:rsidRPr="007C34A5">
        <w:rPr>
          <w:rFonts w:ascii="Book Antiqua" w:hAnsi="Book Antiqua" w:cs="Times New Roman" w:hint="eastAsia"/>
          <w:sz w:val="24"/>
          <w:szCs w:val="24"/>
          <w:vertAlign w:val="superscript"/>
          <w:lang w:val="en-US" w:eastAsia="zh-CN"/>
        </w:rPr>
        <w:t>a</w:t>
      </w:r>
      <w:r w:rsidR="00C3318D" w:rsidRPr="00B473E4">
        <w:rPr>
          <w:rFonts w:ascii="Book Antiqua" w:hAnsi="Book Antiqua" w:cs="Times New Roman"/>
          <w:i/>
          <w:sz w:val="24"/>
          <w:szCs w:val="24"/>
          <w:lang w:val="en-US"/>
        </w:rPr>
        <w:t>P</w:t>
      </w:r>
      <w:proofErr w:type="spellEnd"/>
      <w:r w:rsidR="00C7414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&lt;</w:t>
      </w:r>
      <w:r w:rsidR="00C3318D">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 xml:space="preserve">0.05 </w:t>
      </w:r>
      <w:r w:rsidR="00C7414F" w:rsidRPr="00C7414F">
        <w:rPr>
          <w:rFonts w:ascii="Book Antiqua" w:hAnsi="Book Antiqua" w:cs="Times New Roman" w:hint="eastAsia"/>
          <w:i/>
          <w:sz w:val="24"/>
          <w:szCs w:val="24"/>
          <w:lang w:val="en-US" w:eastAsia="zh-CN"/>
        </w:rPr>
        <w:t>vs</w:t>
      </w:r>
      <w:r w:rsidRPr="00E47A42">
        <w:rPr>
          <w:rFonts w:ascii="Book Antiqua" w:hAnsi="Book Antiqua" w:cs="Times New Roman"/>
          <w:sz w:val="24"/>
          <w:szCs w:val="24"/>
          <w:lang w:val="en-US"/>
        </w:rPr>
        <w:t xml:space="preserve"> control.</w:t>
      </w:r>
      <w:r w:rsidR="00C3318D">
        <w:rPr>
          <w:rFonts w:ascii="Book Antiqua" w:hAnsi="Book Antiqua" w:cs="Times New Roman" w:hint="eastAsia"/>
          <w:sz w:val="24"/>
          <w:szCs w:val="24"/>
          <w:lang w:val="en-US" w:eastAsia="zh-CN"/>
        </w:rPr>
        <w:t xml:space="preserve"> </w:t>
      </w:r>
      <w:r w:rsidR="00C3318D" w:rsidRPr="00E47A42">
        <w:rPr>
          <w:rFonts w:ascii="Book Antiqua" w:hAnsi="Book Antiqua" w:cs="Times New Roman"/>
          <w:sz w:val="24"/>
          <w:szCs w:val="24"/>
          <w:lang w:val="en-US"/>
        </w:rPr>
        <w:t>MDA</w:t>
      </w:r>
      <w:r w:rsidR="00C3318D">
        <w:rPr>
          <w:rFonts w:ascii="Book Antiqua" w:hAnsi="Book Antiqua" w:cs="Times New Roman" w:hint="eastAsia"/>
          <w:sz w:val="24"/>
          <w:szCs w:val="24"/>
          <w:lang w:val="en-US" w:eastAsia="zh-CN"/>
        </w:rPr>
        <w:t xml:space="preserve">: </w:t>
      </w:r>
      <w:r w:rsidR="00C3318D" w:rsidRPr="00C3318D">
        <w:rPr>
          <w:rFonts w:ascii="Book Antiqua" w:hAnsi="Book Antiqua" w:cs="Times New Roman"/>
          <w:caps/>
          <w:sz w:val="24"/>
          <w:szCs w:val="24"/>
          <w:lang w:val="en-US"/>
        </w:rPr>
        <w:t>m</w:t>
      </w:r>
      <w:r w:rsidR="00C3318D" w:rsidRPr="00E47A42">
        <w:rPr>
          <w:rFonts w:ascii="Book Antiqua" w:hAnsi="Book Antiqua" w:cs="Times New Roman"/>
          <w:sz w:val="24"/>
          <w:szCs w:val="24"/>
          <w:lang w:val="en-US"/>
        </w:rPr>
        <w:t>alondialdehyde equivalents</w:t>
      </w:r>
      <w:r w:rsidR="00C3318D">
        <w:rPr>
          <w:rFonts w:ascii="Book Antiqua" w:hAnsi="Book Antiqua" w:cs="Times New Roman" w:hint="eastAsia"/>
          <w:sz w:val="24"/>
          <w:szCs w:val="24"/>
          <w:lang w:val="en-US" w:eastAsia="zh-CN"/>
        </w:rPr>
        <w:t>.</w:t>
      </w:r>
    </w:p>
    <w:p w14:paraId="3F195789" w14:textId="77777777" w:rsidR="00EE3106" w:rsidRPr="00E47A42" w:rsidRDefault="00EE3106" w:rsidP="00EE3106">
      <w:pPr>
        <w:snapToGrid w:val="0"/>
        <w:spacing w:after="0" w:line="360" w:lineRule="auto"/>
        <w:ind w:firstLine="720"/>
        <w:jc w:val="both"/>
        <w:rPr>
          <w:rFonts w:ascii="Book Antiqua" w:hAnsi="Book Antiqua" w:cs="Times New Roman"/>
          <w:sz w:val="24"/>
          <w:szCs w:val="24"/>
          <w:lang w:val="en-US"/>
        </w:rPr>
      </w:pPr>
    </w:p>
    <w:p w14:paraId="05642A06" w14:textId="0678D2CA"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33BD2B14" w14:textId="77777777" w:rsidR="00EA6E12" w:rsidRPr="00E47A4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762B6BD4" wp14:editId="38C0BEB2">
            <wp:extent cx="4315122" cy="3438525"/>
            <wp:effectExtent l="0" t="0" r="9525" b="0"/>
            <wp:docPr id="6" name="Picture 6" descr="D:\Users\predrag.sikiric\Documents\drmic radovi\drmic caecum\Figures TIFF revised  9.4.2018\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predrag.sikiric\Documents\drmic radovi\drmic caecum\Figures TIFF revised  9.4.2018\FIG. 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702" cy="3441378"/>
                    </a:xfrm>
                    <a:prstGeom prst="rect">
                      <a:avLst/>
                    </a:prstGeom>
                    <a:noFill/>
                    <a:ln>
                      <a:noFill/>
                    </a:ln>
                  </pic:spPr>
                </pic:pic>
              </a:graphicData>
            </a:graphic>
          </wp:inline>
        </w:drawing>
      </w:r>
    </w:p>
    <w:p w14:paraId="247A1613" w14:textId="0CB160F3" w:rsidR="00EA6E12" w:rsidRPr="00E47A4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305153">
        <w:rPr>
          <w:rFonts w:ascii="Book Antiqua" w:hAnsi="Book Antiqua" w:cs="Times New Roman" w:hint="eastAsia"/>
          <w:b/>
          <w:sz w:val="24"/>
          <w:szCs w:val="24"/>
          <w:lang w:val="en-US" w:eastAsia="zh-CN"/>
        </w:rPr>
        <w:t>ure</w:t>
      </w:r>
      <w:r w:rsidRPr="00E47A42">
        <w:rPr>
          <w:rFonts w:ascii="Book Antiqua" w:hAnsi="Book Antiqua" w:cs="Times New Roman"/>
          <w:b/>
          <w:sz w:val="24"/>
          <w:szCs w:val="24"/>
          <w:lang w:val="en-US"/>
        </w:rPr>
        <w:t xml:space="preserve"> 6</w:t>
      </w:r>
      <w:r w:rsidR="00305153">
        <w:rPr>
          <w:rFonts w:ascii="Book Antiqua" w:hAnsi="Book Antiqua" w:cs="Times New Roman" w:hint="eastAsia"/>
          <w:b/>
          <w:sz w:val="24"/>
          <w:szCs w:val="24"/>
          <w:lang w:val="en-US" w:eastAsia="zh-CN"/>
        </w:rPr>
        <w:t xml:space="preserve"> </w:t>
      </w:r>
      <w:r w:rsidRPr="00305153">
        <w:rPr>
          <w:rFonts w:ascii="Book Antiqua" w:hAnsi="Book Antiqua" w:cs="Times New Roman"/>
          <w:b/>
          <w:sz w:val="24"/>
          <w:szCs w:val="24"/>
          <w:lang w:val="en-US"/>
        </w:rPr>
        <w:t xml:space="preserve">The perforated cecum. Perforate lesions, before therapy (c, b) (left). Perforate lesions with therapy </w:t>
      </w:r>
      <w:r w:rsidR="00305153" w:rsidRPr="00305153">
        <w:rPr>
          <w:rFonts w:ascii="Book Antiqua" w:hAnsi="Book Antiqua" w:cs="Times New Roman" w:hint="eastAsia"/>
          <w:b/>
          <w:sz w:val="24"/>
          <w:szCs w:val="24"/>
          <w:lang w:val="en-US" w:eastAsia="zh-CN"/>
        </w:rPr>
        <w:t>[</w:t>
      </w:r>
      <w:r w:rsidRPr="00305153">
        <w:rPr>
          <w:rFonts w:ascii="Book Antiqua" w:hAnsi="Book Antiqua" w:cs="Times New Roman"/>
          <w:b/>
          <w:sz w:val="24"/>
          <w:szCs w:val="24"/>
          <w:lang w:val="en-US"/>
        </w:rPr>
        <w:t>control, saline (C), BPC 157 (B)</w:t>
      </w:r>
      <w:r w:rsidR="00305153" w:rsidRPr="00305153">
        <w:rPr>
          <w:rFonts w:ascii="Book Antiqua" w:hAnsi="Book Antiqua" w:cs="Times New Roman" w:hint="eastAsia"/>
          <w:b/>
          <w:sz w:val="24"/>
          <w:szCs w:val="24"/>
          <w:lang w:val="en-US" w:eastAsia="zh-CN"/>
        </w:rPr>
        <w:t>]</w:t>
      </w:r>
      <w:r w:rsidRPr="00305153">
        <w:rPr>
          <w:rFonts w:ascii="Book Antiqua" w:hAnsi="Book Antiqua" w:cs="Times New Roman"/>
          <w:b/>
          <w:sz w:val="24"/>
          <w:szCs w:val="24"/>
          <w:lang w:val="en-US"/>
        </w:rPr>
        <w:t xml:space="preserve"> (right).</w:t>
      </w:r>
      <w:r w:rsidRPr="00E47A42">
        <w:rPr>
          <w:rFonts w:ascii="Book Antiqua" w:hAnsi="Book Antiqua" w:cs="Times New Roman"/>
          <w:sz w:val="24"/>
          <w:szCs w:val="24"/>
          <w:lang w:val="en-US"/>
        </w:rPr>
        <w:t xml:space="preserve"> Illustrative distinctive effect of medication administration (saline bath (right, upper, control (C) versus BPC 157 bath (right, low, BPC 157 (B)). Regular failing effect of saline bath application on vessels presentation (right, upper, control (C)) versus the immediate recruitment effect of BPC 157 bath administration on the blood vessels presentation toward the perforated injury (right, low, BPC 157 (B)). Note the initial recovery of blood vessels that appear alongside with the BPC 157 bath, a network raising toward the perforated defect.</w:t>
      </w:r>
    </w:p>
    <w:p w14:paraId="7AAD8C9F" w14:textId="460D2870"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6EF8B907" w14:textId="77777777" w:rsidR="00EA6E12" w:rsidRPr="00E47A4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475430A1" wp14:editId="356B861E">
            <wp:extent cx="4627339" cy="1905000"/>
            <wp:effectExtent l="0" t="0" r="1905" b="0"/>
            <wp:docPr id="7" name="Picture 7" descr="D:\Users\predrag.sikiric\Documents\drmic radovi\drmic caecum\Figures TIFF revised  9.4.2018\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redrag.sikiric\Documents\drmic radovi\drmic caecum\Figures TIFF revised  9.4.2018\FIG. 7.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9134" cy="1909856"/>
                    </a:xfrm>
                    <a:prstGeom prst="rect">
                      <a:avLst/>
                    </a:prstGeom>
                    <a:noFill/>
                    <a:ln>
                      <a:noFill/>
                    </a:ln>
                  </pic:spPr>
                </pic:pic>
              </a:graphicData>
            </a:graphic>
          </wp:inline>
        </w:drawing>
      </w:r>
    </w:p>
    <w:p w14:paraId="4C911DA7" w14:textId="0EC32D68" w:rsidR="00EA6E1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305153">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7</w:t>
      </w:r>
      <w:r w:rsidR="00305153">
        <w:rPr>
          <w:rFonts w:ascii="Book Antiqua" w:hAnsi="Book Antiqua" w:cs="Times New Roman" w:hint="eastAsia"/>
          <w:b/>
          <w:sz w:val="24"/>
          <w:szCs w:val="24"/>
          <w:lang w:val="en-US" w:eastAsia="zh-CN"/>
        </w:rPr>
        <w:t xml:space="preserve"> </w:t>
      </w:r>
      <w:r w:rsidR="00305153" w:rsidRPr="004142CB">
        <w:rPr>
          <w:rFonts w:ascii="Book Antiqua" w:hAnsi="Book Antiqua" w:cs="Times New Roman"/>
          <w:b/>
          <w:sz w:val="24"/>
          <w:szCs w:val="24"/>
          <w:lang w:val="en-US"/>
        </w:rPr>
        <w:t>At 10 min</w:t>
      </w:r>
      <w:r w:rsidRPr="004142CB">
        <w:rPr>
          <w:rFonts w:ascii="Book Antiqua" w:hAnsi="Book Antiqua" w:cs="Times New Roman"/>
          <w:b/>
          <w:sz w:val="24"/>
          <w:szCs w:val="24"/>
          <w:lang w:val="en-US"/>
        </w:rPr>
        <w:t xml:space="preserve">, in the perforated cecum, the illustrative effect of medication administration </w:t>
      </w:r>
      <w:r w:rsidR="0096438C" w:rsidRPr="004142CB">
        <w:rPr>
          <w:rFonts w:ascii="Book Antiqua" w:hAnsi="Book Antiqua" w:cs="Times New Roman" w:hint="eastAsia"/>
          <w:b/>
          <w:sz w:val="24"/>
          <w:szCs w:val="24"/>
          <w:lang w:val="en-US" w:eastAsia="zh-CN"/>
        </w:rPr>
        <w:t>[</w:t>
      </w:r>
      <w:r w:rsidRPr="004142CB">
        <w:rPr>
          <w:rFonts w:ascii="Book Antiqua" w:hAnsi="Book Antiqua" w:cs="Times New Roman"/>
          <w:b/>
          <w:sz w:val="24"/>
          <w:szCs w:val="24"/>
          <w:lang w:val="en-US"/>
        </w:rPr>
        <w:t>saline bath (left, control (C)</w:t>
      </w:r>
      <w:r w:rsidR="0096438C" w:rsidRPr="004142CB">
        <w:rPr>
          <w:rFonts w:ascii="Book Antiqua" w:hAnsi="Book Antiqua" w:cs="Times New Roman" w:hint="eastAsia"/>
          <w:b/>
          <w:sz w:val="24"/>
          <w:szCs w:val="24"/>
          <w:lang w:val="en-US" w:eastAsia="zh-CN"/>
        </w:rPr>
        <w:t>]</w:t>
      </w:r>
      <w:r w:rsidRPr="004142CB">
        <w:rPr>
          <w:rFonts w:ascii="Book Antiqua" w:hAnsi="Book Antiqua" w:cs="Times New Roman"/>
          <w:b/>
          <w:sz w:val="24"/>
          <w:szCs w:val="24"/>
          <w:lang w:val="en-US"/>
        </w:rPr>
        <w:t xml:space="preserve"> and BPC 157 bath </w:t>
      </w:r>
      <w:r w:rsidR="0096438C" w:rsidRPr="004142CB">
        <w:rPr>
          <w:rFonts w:ascii="Book Antiqua" w:hAnsi="Book Antiqua" w:cs="Times New Roman" w:hint="eastAsia"/>
          <w:b/>
          <w:sz w:val="24"/>
          <w:szCs w:val="24"/>
          <w:lang w:val="en-US" w:eastAsia="zh-CN"/>
        </w:rPr>
        <w:t>[</w:t>
      </w:r>
      <w:r w:rsidRPr="004142CB">
        <w:rPr>
          <w:rFonts w:ascii="Book Antiqua" w:hAnsi="Book Antiqua" w:cs="Times New Roman"/>
          <w:b/>
          <w:sz w:val="24"/>
          <w:szCs w:val="24"/>
          <w:lang w:val="en-US"/>
        </w:rPr>
        <w:t>right, BPC 157 (B)</w:t>
      </w:r>
      <w:r w:rsidR="0096438C" w:rsidRPr="004142CB">
        <w:rPr>
          <w:rFonts w:ascii="Book Antiqua" w:hAnsi="Book Antiqua" w:cs="Times New Roman" w:hint="eastAsia"/>
          <w:b/>
          <w:sz w:val="24"/>
          <w:szCs w:val="24"/>
          <w:lang w:val="en-US" w:eastAsia="zh-CN"/>
        </w:rPr>
        <w:t>]</w:t>
      </w:r>
      <w:r w:rsidRPr="004142CB">
        <w:rPr>
          <w:rFonts w:ascii="Book Antiqua" w:hAnsi="Book Antiqua" w:cs="Times New Roman"/>
          <w:b/>
          <w:sz w:val="24"/>
          <w:szCs w:val="24"/>
          <w:lang w:val="en-US"/>
        </w:rPr>
        <w:t xml:space="preserve">. </w:t>
      </w:r>
      <w:r w:rsidRPr="00E47A42">
        <w:rPr>
          <w:rFonts w:ascii="Book Antiqua" w:hAnsi="Book Antiqua" w:cs="Times New Roman"/>
          <w:sz w:val="24"/>
          <w:szCs w:val="24"/>
          <w:lang w:val="en-US"/>
        </w:rPr>
        <w:t xml:space="preserve">In the damaged cecum, the regular effect of saline bath application on vessels presentation </w:t>
      </w:r>
      <w:r w:rsidR="004142CB">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left, control (C)</w:t>
      </w:r>
      <w:r w:rsidR="004142CB">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 xml:space="preserve"> versus the immediate effect of BPC 157 bath administration on the blood vessels presentation toward the perforated injury </w:t>
      </w:r>
      <w:r w:rsidR="004142CB">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right, BPC 157 (B)</w:t>
      </w:r>
      <w:r w:rsidR="004142CB">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w:t>
      </w:r>
    </w:p>
    <w:p w14:paraId="787B05C6" w14:textId="77777777"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2299860D" w14:textId="77777777" w:rsidR="00EA6E12" w:rsidRPr="00E47A42" w:rsidRDefault="00EA6E12" w:rsidP="00EA6E12">
      <w:pPr>
        <w:snapToGrid w:val="0"/>
        <w:spacing w:after="0" w:line="360" w:lineRule="auto"/>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1AD31F90" wp14:editId="756E510B">
            <wp:extent cx="4657128" cy="2590800"/>
            <wp:effectExtent l="0" t="0" r="0" b="0"/>
            <wp:docPr id="8" name="Picture 8" descr="D:\Users\predrag.sikiric\Documents\drmic radovi\drmic caecum\Figures TIFF revised  9.4.2018\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predrag.sikiric\Documents\drmic radovi\drmic caecum\Figures TIFF revised  9.4.2018\FIG. 8.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8164" cy="2596939"/>
                    </a:xfrm>
                    <a:prstGeom prst="rect">
                      <a:avLst/>
                    </a:prstGeom>
                    <a:noFill/>
                    <a:ln>
                      <a:noFill/>
                    </a:ln>
                  </pic:spPr>
                </pic:pic>
              </a:graphicData>
            </a:graphic>
          </wp:inline>
        </w:drawing>
      </w:r>
    </w:p>
    <w:p w14:paraId="76B863A1" w14:textId="09464984" w:rsidR="00EA6E12" w:rsidRPr="00E47A42" w:rsidRDefault="00EA6E12" w:rsidP="00EA6E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595925">
        <w:rPr>
          <w:rFonts w:ascii="Book Antiqua" w:hAnsi="Book Antiqua" w:cs="Times New Roman" w:hint="eastAsia"/>
          <w:b/>
          <w:sz w:val="24"/>
          <w:szCs w:val="24"/>
          <w:lang w:val="en-US" w:eastAsia="zh-CN"/>
        </w:rPr>
        <w:t>ure</w:t>
      </w:r>
      <w:r w:rsidRPr="00E47A42">
        <w:rPr>
          <w:rFonts w:ascii="Book Antiqua" w:hAnsi="Book Antiqua" w:cs="Times New Roman"/>
          <w:b/>
          <w:sz w:val="24"/>
          <w:szCs w:val="24"/>
          <w:lang w:val="en-US"/>
        </w:rPr>
        <w:t xml:space="preserve"> 8</w:t>
      </w:r>
      <w:r w:rsidR="00595925" w:rsidRPr="0096438C">
        <w:rPr>
          <w:rFonts w:ascii="Book Antiqua" w:hAnsi="Book Antiqua" w:cs="Times New Roman" w:hint="eastAsia"/>
          <w:b/>
          <w:sz w:val="24"/>
          <w:szCs w:val="24"/>
          <w:lang w:val="en-US" w:eastAsia="zh-CN"/>
        </w:rPr>
        <w:t xml:space="preserve"> </w:t>
      </w:r>
      <w:r w:rsidRPr="0096438C">
        <w:rPr>
          <w:rFonts w:ascii="Book Antiqua" w:hAnsi="Book Antiqua" w:cs="Times New Roman"/>
          <w:b/>
          <w:sz w:val="24"/>
          <w:szCs w:val="24"/>
          <w:lang w:val="en-US"/>
        </w:rPr>
        <w:t xml:space="preserve">Gross presentation of the area of perforation </w:t>
      </w:r>
      <w:r w:rsidR="00595925" w:rsidRPr="0096438C">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left, control (C)</w:t>
      </w:r>
      <w:r w:rsidR="00C12642">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 xml:space="preserve"> right, BPC 157 (B)</w:t>
      </w:r>
      <w:r w:rsidR="00595925" w:rsidRPr="0096438C">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 xml:space="preserve"> and perforated injury </w:t>
      </w:r>
      <w:r w:rsidR="00595925" w:rsidRPr="0096438C">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left, control (C)</w:t>
      </w:r>
      <w:r w:rsidR="00595925" w:rsidRPr="0096438C">
        <w:rPr>
          <w:rFonts w:ascii="Book Antiqua" w:hAnsi="Book Antiqua" w:cs="Times New Roman" w:hint="eastAsia"/>
          <w:b/>
          <w:sz w:val="24"/>
          <w:szCs w:val="24"/>
          <w:lang w:val="en-US" w:eastAsia="zh-CN"/>
        </w:rPr>
        <w:t>]</w:t>
      </w:r>
      <w:r w:rsidRPr="0096438C">
        <w:rPr>
          <w:rFonts w:ascii="Book Antiqua" w:hAnsi="Book Antiqua" w:cs="Times New Roman"/>
          <w:b/>
          <w:sz w:val="24"/>
          <w:szCs w:val="24"/>
          <w:lang w:val="en-US"/>
        </w:rPr>
        <w:t>.</w:t>
      </w:r>
      <w:r w:rsidRPr="00E47A42">
        <w:rPr>
          <w:rFonts w:ascii="Book Antiqua" w:hAnsi="Book Antiqua" w:cs="Times New Roman"/>
          <w:sz w:val="24"/>
          <w:szCs w:val="24"/>
          <w:lang w:val="en-US"/>
        </w:rPr>
        <w:t xml:space="preserve"> Presentation </w:t>
      </w:r>
      <w:r w:rsidRPr="00E47A42">
        <w:rPr>
          <w:rFonts w:ascii="Book Antiqua" w:hAnsi="Book Antiqua" w:cs="Times New Roman"/>
          <w:noProof/>
          <w:sz w:val="24"/>
          <w:szCs w:val="24"/>
          <w:lang w:val="en-US"/>
        </w:rPr>
        <w:t>at</w:t>
      </w:r>
      <w:r w:rsidRPr="00E47A42">
        <w:rPr>
          <w:rFonts w:ascii="Book Antiqua" w:hAnsi="Book Antiqua" w:cs="Times New Roman"/>
          <w:sz w:val="24"/>
          <w:szCs w:val="24"/>
          <w:lang w:val="en-US"/>
        </w:rPr>
        <w:t xml:space="preserve"> day 7. </w:t>
      </w:r>
      <w:proofErr w:type="spellStart"/>
      <w:r w:rsidRPr="00E47A42">
        <w:rPr>
          <w:rFonts w:ascii="Book Antiqua" w:hAnsi="Book Antiqua" w:cs="Times New Roman"/>
          <w:sz w:val="24"/>
          <w:szCs w:val="24"/>
          <w:lang w:val="en-US"/>
        </w:rPr>
        <w:t>Veho</w:t>
      </w:r>
      <w:proofErr w:type="spellEnd"/>
      <w:r w:rsidRPr="00E47A42">
        <w:rPr>
          <w:rFonts w:ascii="Book Antiqua" w:hAnsi="Book Antiqua" w:cs="Times New Roman"/>
          <w:sz w:val="24"/>
          <w:szCs w:val="24"/>
          <w:lang w:val="en-US"/>
        </w:rPr>
        <w:t xml:space="preserve"> discovery VMS-004D-400x</w:t>
      </w:r>
      <w:r w:rsidR="00D60ACA">
        <w:rPr>
          <w:rFonts w:ascii="Book Antiqua" w:hAnsi="Book Antiqua" w:cs="Times New Roman"/>
          <w:sz w:val="24"/>
          <w:szCs w:val="24"/>
          <w:lang w:val="en-US"/>
        </w:rPr>
        <w:t xml:space="preserve"> USB microscope. Control, 7 d</w:t>
      </w:r>
      <w:r w:rsidRPr="00E47A42">
        <w:rPr>
          <w:rFonts w:ascii="Book Antiqua" w:hAnsi="Book Antiqua" w:cs="Times New Roman"/>
          <w:sz w:val="24"/>
          <w:szCs w:val="24"/>
          <w:lang w:val="en-US"/>
        </w:rPr>
        <w:t xml:space="preserve">, left, C. Gross lesion </w:t>
      </w:r>
      <w:r w:rsidRPr="00E47A42">
        <w:rPr>
          <w:rFonts w:ascii="Book Antiqua" w:hAnsi="Book Antiqua" w:cs="Times New Roman"/>
          <w:noProof/>
          <w:sz w:val="24"/>
          <w:szCs w:val="24"/>
          <w:lang w:val="en-US"/>
        </w:rPr>
        <w:t>shown</w:t>
      </w:r>
      <w:r w:rsidRPr="00E47A42">
        <w:rPr>
          <w:rFonts w:ascii="Book Antiqua" w:hAnsi="Book Antiqua" w:cs="Times New Roman"/>
          <w:sz w:val="24"/>
          <w:szCs w:val="24"/>
          <w:lang w:val="en-US"/>
        </w:rPr>
        <w:t xml:space="preserve"> upon cecum opening b</w:t>
      </w:r>
      <w:r w:rsidR="00D60ACA">
        <w:rPr>
          <w:rFonts w:ascii="Book Antiqua" w:hAnsi="Book Antiqua" w:cs="Times New Roman"/>
          <w:sz w:val="24"/>
          <w:szCs w:val="24"/>
          <w:lang w:val="en-US"/>
        </w:rPr>
        <w:t>efore sacrifice. BPC 157, 7 d</w:t>
      </w:r>
      <w:r w:rsidRPr="00E47A42">
        <w:rPr>
          <w:rFonts w:ascii="Book Antiqua" w:hAnsi="Book Antiqua" w:cs="Times New Roman"/>
          <w:sz w:val="24"/>
          <w:szCs w:val="24"/>
          <w:lang w:val="en-US"/>
        </w:rPr>
        <w:t>, mucosa presentation without a grossly visible defect (right, BPC 157 (B)).</w:t>
      </w:r>
    </w:p>
    <w:p w14:paraId="4B2781BB" w14:textId="77777777" w:rsidR="00EA6E12" w:rsidRPr="00E47A42" w:rsidRDefault="00EA6E12" w:rsidP="00EA6E12">
      <w:pPr>
        <w:snapToGrid w:val="0"/>
        <w:spacing w:after="0" w:line="360" w:lineRule="auto"/>
        <w:jc w:val="both"/>
        <w:rPr>
          <w:rFonts w:ascii="Book Antiqua" w:hAnsi="Book Antiqua" w:cs="Times New Roman"/>
          <w:sz w:val="24"/>
          <w:szCs w:val="24"/>
          <w:lang w:val="en-US"/>
        </w:rPr>
      </w:pPr>
    </w:p>
    <w:p w14:paraId="643B4D0C" w14:textId="55607B32" w:rsidR="00EA6E12" w:rsidRDefault="00EA6E12">
      <w:pPr>
        <w:rPr>
          <w:rFonts w:ascii="Book Antiqua" w:hAnsi="Book Antiqua" w:cs="Times New Roman"/>
          <w:sz w:val="24"/>
          <w:szCs w:val="24"/>
          <w:lang w:val="en-US"/>
        </w:rPr>
      </w:pPr>
      <w:r>
        <w:rPr>
          <w:rFonts w:ascii="Book Antiqua" w:hAnsi="Book Antiqua" w:cs="Times New Roman"/>
          <w:sz w:val="24"/>
          <w:szCs w:val="24"/>
          <w:lang w:val="en-US"/>
        </w:rPr>
        <w:br w:type="page"/>
      </w:r>
    </w:p>
    <w:p w14:paraId="45F2CE7B" w14:textId="77777777" w:rsidR="00EA6E12" w:rsidRPr="00E47A42" w:rsidRDefault="00EA6E12" w:rsidP="00C14212">
      <w:pPr>
        <w:snapToGrid w:val="0"/>
        <w:spacing w:after="0" w:line="360" w:lineRule="auto"/>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320467ED" wp14:editId="6E13AB30">
            <wp:extent cx="5760720" cy="3890406"/>
            <wp:effectExtent l="0" t="0" r="0" b="0"/>
            <wp:docPr id="9" name="Picture 9" descr="D:\Users\predrag.sikiric\Documents\drmic radovi\drmic caecum\Figures TIFF revised  9.4.2018\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predrag.sikiric\Documents\drmic radovi\drmic caecum\Figures TIFF revised  9.4.2018\Fig. 9.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90406"/>
                    </a:xfrm>
                    <a:prstGeom prst="rect">
                      <a:avLst/>
                    </a:prstGeom>
                    <a:noFill/>
                    <a:ln>
                      <a:noFill/>
                    </a:ln>
                  </pic:spPr>
                </pic:pic>
              </a:graphicData>
            </a:graphic>
          </wp:inline>
        </w:drawing>
      </w:r>
    </w:p>
    <w:p w14:paraId="24BAEC35" w14:textId="5249BECA" w:rsidR="00EA6E12" w:rsidRPr="00E47A42" w:rsidRDefault="00EA6E12" w:rsidP="00C1264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C12642">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9</w:t>
      </w:r>
      <w:r w:rsidR="00C12642">
        <w:rPr>
          <w:rFonts w:ascii="Book Antiqua" w:hAnsi="Book Antiqua" w:cs="Times New Roman" w:hint="eastAsia"/>
          <w:b/>
          <w:sz w:val="24"/>
          <w:szCs w:val="24"/>
          <w:lang w:val="en-US" w:eastAsia="zh-CN"/>
        </w:rPr>
        <w:t xml:space="preserve"> </w:t>
      </w:r>
      <w:r w:rsidRPr="00AA6673">
        <w:rPr>
          <w:rFonts w:ascii="Book Antiqua" w:hAnsi="Book Antiqua" w:cs="Times New Roman"/>
          <w:b/>
          <w:sz w:val="24"/>
          <w:szCs w:val="24"/>
          <w:lang w:val="en-US"/>
        </w:rPr>
        <w:t xml:space="preserve">At the first day post-injury, controls (c, C) exhibited intensive edema, loss of glands in the vicinity of the perforation, not possible to obtain a complete defect (due to </w:t>
      </w:r>
      <w:r w:rsidRPr="00AA6673">
        <w:rPr>
          <w:rFonts w:ascii="Book Antiqua" w:hAnsi="Book Antiqua" w:cs="Times New Roman"/>
          <w:b/>
          <w:noProof/>
          <w:sz w:val="24"/>
          <w:szCs w:val="24"/>
          <w:lang w:val="en-US"/>
        </w:rPr>
        <w:t>edema</w:t>
      </w:r>
      <w:r w:rsidRPr="00AA6673">
        <w:rPr>
          <w:rFonts w:ascii="Book Antiqua" w:hAnsi="Book Antiqua" w:cs="Times New Roman"/>
          <w:b/>
          <w:sz w:val="24"/>
          <w:szCs w:val="24"/>
          <w:lang w:val="en-US"/>
        </w:rPr>
        <w:t>, the tissue is disintegrating), scarce inflammation, and neutrophils</w:t>
      </w:r>
      <w:r w:rsidR="00C12642" w:rsidRPr="00AA6673">
        <w:rPr>
          <w:rFonts w:ascii="Book Antiqua" w:hAnsi="Book Antiqua" w:cs="Times New Roman"/>
          <w:b/>
          <w:sz w:val="24"/>
          <w:szCs w:val="24"/>
          <w:lang w:val="en-US"/>
        </w:rPr>
        <w:t xml:space="preserve"> </w:t>
      </w:r>
      <w:r w:rsidR="00C12642" w:rsidRPr="00AA6673">
        <w:rPr>
          <w:rFonts w:ascii="Book Antiqua" w:hAnsi="Book Antiqua" w:cs="Times New Roman" w:hint="eastAsia"/>
          <w:b/>
          <w:sz w:val="24"/>
          <w:szCs w:val="24"/>
          <w:lang w:val="en-US" w:eastAsia="zh-CN"/>
        </w:rPr>
        <w:t>[</w:t>
      </w:r>
      <w:r w:rsidR="00C12642" w:rsidRPr="00AA6673">
        <w:rPr>
          <w:rFonts w:ascii="Book Antiqua" w:hAnsi="Book Antiqua" w:cs="Times New Roman"/>
          <w:b/>
          <w:sz w:val="24"/>
          <w:szCs w:val="24"/>
          <w:lang w:val="en-US"/>
        </w:rPr>
        <w:t>c, HE</w:t>
      </w:r>
      <w:r w:rsidR="007F4E96">
        <w:rPr>
          <w:rFonts w:ascii="Book Antiqua" w:hAnsi="Book Antiqua" w:cs="Times New Roman" w:hint="eastAsia"/>
          <w:b/>
          <w:sz w:val="24"/>
          <w:szCs w:val="24"/>
          <w:lang w:val="en-US" w:eastAsia="zh-CN"/>
        </w:rPr>
        <w:t xml:space="preserve"> </w:t>
      </w:r>
      <w:r w:rsidR="00C12642" w:rsidRPr="00AA6673">
        <w:rPr>
          <w:rFonts w:ascii="Book Antiqua" w:hAnsi="Book Antiqua" w:cs="Times New Roman"/>
          <w:b/>
          <w:sz w:val="24"/>
          <w:szCs w:val="24"/>
          <w:lang w:val="en-US"/>
        </w:rPr>
        <w:t>x</w:t>
      </w:r>
      <w:r w:rsidR="007F4E96">
        <w:rPr>
          <w:rFonts w:ascii="Book Antiqua" w:hAnsi="Book Antiqua" w:cs="Times New Roman" w:hint="eastAsia"/>
          <w:b/>
          <w:sz w:val="24"/>
          <w:szCs w:val="24"/>
          <w:lang w:val="en-US" w:eastAsia="zh-CN"/>
        </w:rPr>
        <w:t xml:space="preserve"> </w:t>
      </w:r>
      <w:r w:rsidR="00C12642" w:rsidRPr="00AA6673">
        <w:rPr>
          <w:rFonts w:ascii="Book Antiqua" w:hAnsi="Book Antiqua" w:cs="Times New Roman"/>
          <w:b/>
          <w:sz w:val="24"/>
          <w:szCs w:val="24"/>
          <w:lang w:val="en-US"/>
        </w:rPr>
        <w:t>4; C, HE</w:t>
      </w:r>
      <w:r w:rsidR="007F4E96">
        <w:rPr>
          <w:rFonts w:ascii="Book Antiqua" w:hAnsi="Book Antiqua" w:cs="Times New Roman" w:hint="eastAsia"/>
          <w:b/>
          <w:sz w:val="24"/>
          <w:szCs w:val="24"/>
          <w:lang w:val="en-US" w:eastAsia="zh-CN"/>
        </w:rPr>
        <w:t xml:space="preserve"> </w:t>
      </w:r>
      <w:r w:rsidR="00C12642" w:rsidRPr="00AA6673">
        <w:rPr>
          <w:rFonts w:ascii="Book Antiqua" w:hAnsi="Book Antiqua" w:cs="Times New Roman"/>
          <w:b/>
          <w:sz w:val="24"/>
          <w:szCs w:val="24"/>
          <w:lang w:val="en-US"/>
        </w:rPr>
        <w:t>x</w:t>
      </w:r>
      <w:r w:rsidR="007F4E96">
        <w:rPr>
          <w:rFonts w:ascii="Book Antiqua" w:hAnsi="Book Antiqua" w:cs="Times New Roman" w:hint="eastAsia"/>
          <w:b/>
          <w:sz w:val="24"/>
          <w:szCs w:val="24"/>
          <w:lang w:val="en-US" w:eastAsia="zh-CN"/>
        </w:rPr>
        <w:t xml:space="preserve"> </w:t>
      </w:r>
      <w:r w:rsidR="00C12642" w:rsidRPr="00AA6673">
        <w:rPr>
          <w:rFonts w:ascii="Book Antiqua" w:hAnsi="Book Antiqua" w:cs="Times New Roman"/>
          <w:b/>
          <w:sz w:val="24"/>
          <w:szCs w:val="24"/>
          <w:lang w:val="en-US"/>
        </w:rPr>
        <w:t>10 (control)</w:t>
      </w:r>
      <w:r w:rsidR="00C12642" w:rsidRPr="00AA6673">
        <w:rPr>
          <w:rFonts w:ascii="Book Antiqua" w:hAnsi="Book Antiqua" w:cs="Times New Roman" w:hint="eastAsia"/>
          <w:b/>
          <w:sz w:val="24"/>
          <w:szCs w:val="24"/>
          <w:lang w:val="en-US" w:eastAsia="zh-CN"/>
        </w:rPr>
        <w:t>]</w:t>
      </w:r>
      <w:r w:rsidR="00C12642" w:rsidRPr="00AA6673">
        <w:rPr>
          <w:rFonts w:ascii="Book Antiqua" w:hAnsi="Book Antiqua" w:cs="Times New Roman"/>
          <w:b/>
          <w:sz w:val="24"/>
          <w:szCs w:val="24"/>
          <w:lang w:val="en-US"/>
        </w:rPr>
        <w:t>.</w:t>
      </w:r>
      <w:r w:rsidR="00C12642" w:rsidRPr="00AA6673">
        <w:rPr>
          <w:rFonts w:ascii="Book Antiqua" w:hAnsi="Book Antiqua" w:cs="Times New Roman" w:hint="eastAsia"/>
          <w:b/>
          <w:sz w:val="24"/>
          <w:szCs w:val="24"/>
          <w:lang w:val="en-US" w:eastAsia="zh-CN"/>
        </w:rPr>
        <w:t xml:space="preserve"> </w:t>
      </w:r>
      <w:r w:rsidRPr="00E47A42">
        <w:rPr>
          <w:rFonts w:ascii="Book Antiqua" w:hAnsi="Book Antiqua" w:cs="Times New Roman"/>
          <w:sz w:val="24"/>
          <w:szCs w:val="24"/>
          <w:lang w:val="en-US"/>
        </w:rPr>
        <w:t xml:space="preserve">In rats treated with BPC 157 (b, B), we noted much less </w:t>
      </w:r>
      <w:r w:rsidRPr="00E47A42">
        <w:rPr>
          <w:rFonts w:ascii="Book Antiqua" w:hAnsi="Book Antiqua" w:cs="Times New Roman"/>
          <w:noProof/>
          <w:sz w:val="24"/>
          <w:szCs w:val="24"/>
          <w:lang w:val="en-US"/>
        </w:rPr>
        <w:t>edema</w:t>
      </w:r>
      <w:r w:rsidRPr="00E47A42">
        <w:rPr>
          <w:rFonts w:ascii="Book Antiqua" w:hAnsi="Book Antiqua" w:cs="Times New Roman"/>
          <w:sz w:val="24"/>
          <w:szCs w:val="24"/>
          <w:lang w:val="en-US"/>
        </w:rPr>
        <w:t xml:space="preserve"> and intensive inflammation (mixed-</w:t>
      </w:r>
      <w:proofErr w:type="spellStart"/>
      <w:r w:rsidRPr="00E47A42">
        <w:rPr>
          <w:rFonts w:ascii="Book Antiqua" w:hAnsi="Book Antiqua" w:cs="Times New Roman"/>
          <w:noProof/>
          <w:sz w:val="24"/>
          <w:szCs w:val="24"/>
          <w:lang w:val="en-US"/>
        </w:rPr>
        <w:t>neutro</w:t>
      </w:r>
      <w:proofErr w:type="spellEnd"/>
      <w:r w:rsidRPr="00E47A42">
        <w:rPr>
          <w:rFonts w:ascii="Book Antiqua" w:hAnsi="Book Antiqua" w:cs="Times New Roman"/>
          <w:sz w:val="24"/>
          <w:szCs w:val="24"/>
          <w:lang w:val="en-US"/>
        </w:rPr>
        <w:t xml:space="preserve"> and mono). Fibrin cloth attached to defect (“holding” the edges) (b, HEx4; B, HEx10 (BPC 157)). </w:t>
      </w:r>
    </w:p>
    <w:p w14:paraId="77E2B8BC" w14:textId="7275F3BF" w:rsidR="00EE3106" w:rsidRDefault="00EE3106">
      <w:pPr>
        <w:rPr>
          <w:rFonts w:ascii="Book Antiqua" w:hAnsi="Book Antiqua" w:cs="Times New Roman"/>
          <w:b/>
          <w:sz w:val="24"/>
          <w:szCs w:val="24"/>
          <w:lang w:val="en-US"/>
        </w:rPr>
      </w:pPr>
      <w:r>
        <w:rPr>
          <w:rFonts w:ascii="Book Antiqua" w:hAnsi="Book Antiqua" w:cs="Times New Roman"/>
          <w:b/>
          <w:sz w:val="24"/>
          <w:szCs w:val="24"/>
          <w:lang w:val="en-US"/>
        </w:rPr>
        <w:br w:type="page"/>
      </w:r>
    </w:p>
    <w:p w14:paraId="3B5C8340" w14:textId="77777777" w:rsidR="00C14212" w:rsidRPr="00E47A42" w:rsidRDefault="00C14212" w:rsidP="00C142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noProof/>
          <w:sz w:val="24"/>
          <w:szCs w:val="24"/>
          <w:lang w:val="en-US" w:eastAsia="zh-CN"/>
        </w:rPr>
        <w:lastRenderedPageBreak/>
        <w:drawing>
          <wp:inline distT="0" distB="0" distL="0" distR="0" wp14:anchorId="5CD4A71F" wp14:editId="7A161A0D">
            <wp:extent cx="4943475" cy="3592258"/>
            <wp:effectExtent l="0" t="0" r="0" b="8255"/>
            <wp:docPr id="10" name="Picture 10" descr="D:\Users\predrag.sikiric\Documents\drmic radovi\drmic caecum\Figures TIFF revised  9.4.2018\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predrag.sikiric\Documents\drmic radovi\drmic caecum\Figures TIFF revised  9.4.2018\FIG. 10.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8970" cy="3596251"/>
                    </a:xfrm>
                    <a:prstGeom prst="rect">
                      <a:avLst/>
                    </a:prstGeom>
                    <a:noFill/>
                    <a:ln>
                      <a:noFill/>
                    </a:ln>
                  </pic:spPr>
                </pic:pic>
              </a:graphicData>
            </a:graphic>
          </wp:inline>
        </w:drawing>
      </w:r>
    </w:p>
    <w:p w14:paraId="6E4B60FC" w14:textId="481543D1" w:rsidR="00C14212" w:rsidRPr="00E47A42" w:rsidRDefault="00C14212" w:rsidP="00C14212">
      <w:pPr>
        <w:snapToGrid w:val="0"/>
        <w:spacing w:after="0" w:line="360" w:lineRule="auto"/>
        <w:jc w:val="both"/>
        <w:rPr>
          <w:rFonts w:ascii="Book Antiqua" w:hAnsi="Book Antiqua" w:cs="Times New Roman"/>
          <w:sz w:val="24"/>
          <w:szCs w:val="24"/>
          <w:lang w:val="en-US"/>
        </w:rPr>
      </w:pPr>
      <w:r w:rsidRPr="00E47A42">
        <w:rPr>
          <w:rFonts w:ascii="Book Antiqua" w:hAnsi="Book Antiqua" w:cs="Times New Roman"/>
          <w:b/>
          <w:sz w:val="24"/>
          <w:szCs w:val="24"/>
          <w:lang w:val="en-US"/>
        </w:rPr>
        <w:t>Fig</w:t>
      </w:r>
      <w:r w:rsidR="00634A2F">
        <w:rPr>
          <w:rFonts w:ascii="Book Antiqua" w:hAnsi="Book Antiqua" w:cs="Times New Roman" w:hint="eastAsia"/>
          <w:b/>
          <w:sz w:val="24"/>
          <w:szCs w:val="24"/>
          <w:lang w:val="en-US" w:eastAsia="zh-CN"/>
        </w:rPr>
        <w:t xml:space="preserve">ure </w:t>
      </w:r>
      <w:r w:rsidRPr="00E47A42">
        <w:rPr>
          <w:rFonts w:ascii="Book Antiqua" w:hAnsi="Book Antiqua" w:cs="Times New Roman"/>
          <w:b/>
          <w:sz w:val="24"/>
          <w:szCs w:val="24"/>
          <w:lang w:val="en-US"/>
        </w:rPr>
        <w:t>10</w:t>
      </w:r>
      <w:r w:rsidR="00634A2F" w:rsidRPr="000D08E4">
        <w:rPr>
          <w:rFonts w:ascii="Book Antiqua" w:hAnsi="Book Antiqua" w:cs="Times New Roman" w:hint="eastAsia"/>
          <w:b/>
          <w:sz w:val="24"/>
          <w:szCs w:val="24"/>
          <w:lang w:val="en-US" w:eastAsia="zh-CN"/>
        </w:rPr>
        <w:t xml:space="preserve"> </w:t>
      </w:r>
      <w:r w:rsidRPr="000D08E4">
        <w:rPr>
          <w:rFonts w:ascii="Book Antiqua" w:hAnsi="Book Antiqua" w:cs="Times New Roman"/>
          <w:b/>
          <w:sz w:val="24"/>
          <w:szCs w:val="24"/>
          <w:lang w:val="en-US"/>
        </w:rPr>
        <w:t>In control animals (c, C), the perforation after 7 d</w:t>
      </w:r>
      <w:r w:rsidR="00634A2F" w:rsidRPr="000D08E4">
        <w:rPr>
          <w:rFonts w:ascii="Book Antiqua" w:hAnsi="Book Antiqua" w:cs="Times New Roman" w:hint="eastAsia"/>
          <w:b/>
          <w:sz w:val="24"/>
          <w:szCs w:val="24"/>
          <w:lang w:val="en-US" w:eastAsia="zh-CN"/>
        </w:rPr>
        <w:t xml:space="preserve"> </w:t>
      </w:r>
      <w:r w:rsidRPr="000D08E4">
        <w:rPr>
          <w:rFonts w:ascii="Book Antiqua" w:hAnsi="Book Antiqua" w:cs="Times New Roman"/>
          <w:b/>
          <w:sz w:val="24"/>
          <w:szCs w:val="24"/>
          <w:lang w:val="en-US"/>
        </w:rPr>
        <w:t xml:space="preserve">shows a communication between the lumen and peritoneal cavity, partly closed by a loose cloth with many debris and inflammatory cells </w:t>
      </w:r>
      <w:r w:rsidR="00634A2F" w:rsidRPr="000D08E4">
        <w:rPr>
          <w:rFonts w:ascii="Book Antiqua" w:hAnsi="Book Antiqua" w:cs="Times New Roman" w:hint="eastAsia"/>
          <w:b/>
          <w:sz w:val="24"/>
          <w:szCs w:val="24"/>
          <w:lang w:val="en-US" w:eastAsia="zh-CN"/>
        </w:rPr>
        <w:t>[</w:t>
      </w:r>
      <w:r w:rsidRPr="000D08E4">
        <w:rPr>
          <w:rFonts w:ascii="Book Antiqua" w:hAnsi="Book Antiqua" w:cs="Times New Roman"/>
          <w:b/>
          <w:sz w:val="24"/>
          <w:szCs w:val="24"/>
          <w:lang w:val="en-US"/>
        </w:rPr>
        <w:t>c, HEx4; C, HEx10 (control)</w:t>
      </w:r>
      <w:r w:rsidR="00634A2F" w:rsidRPr="000D08E4">
        <w:rPr>
          <w:rFonts w:ascii="Book Antiqua" w:hAnsi="Book Antiqua" w:cs="Times New Roman" w:hint="eastAsia"/>
          <w:b/>
          <w:sz w:val="24"/>
          <w:szCs w:val="24"/>
          <w:lang w:val="en-US" w:eastAsia="zh-CN"/>
        </w:rPr>
        <w:t>]</w:t>
      </w:r>
      <w:r w:rsidRPr="000D08E4">
        <w:rPr>
          <w:rFonts w:ascii="Book Antiqua" w:hAnsi="Book Antiqua" w:cs="Times New Roman"/>
          <w:b/>
          <w:sz w:val="24"/>
          <w:szCs w:val="24"/>
          <w:lang w:val="en-US"/>
        </w:rPr>
        <w:t>.</w:t>
      </w:r>
      <w:r w:rsidRPr="00E47A42">
        <w:rPr>
          <w:rFonts w:ascii="Book Antiqua" w:hAnsi="Book Antiqua" w:cs="Times New Roman"/>
          <w:sz w:val="24"/>
          <w:szCs w:val="24"/>
          <w:lang w:val="en-US"/>
        </w:rPr>
        <w:t xml:space="preserve"> In rats treated with BPC 157 (b, B), the defect was sealed with well-formed granulation tissue. The surrounding mucosa in controls was edematous, and the epithelium shows practically no regenerative activity, while in treated animals, the </w:t>
      </w:r>
      <w:r w:rsidRPr="00E47A42">
        <w:rPr>
          <w:rFonts w:ascii="Book Antiqua" w:hAnsi="Book Antiqua" w:cs="Times New Roman"/>
          <w:noProof/>
          <w:sz w:val="24"/>
          <w:szCs w:val="24"/>
          <w:lang w:val="en-US"/>
        </w:rPr>
        <w:t>edema</w:t>
      </w:r>
      <w:r w:rsidRPr="00E47A42">
        <w:rPr>
          <w:rFonts w:ascii="Book Antiqua" w:hAnsi="Book Antiqua" w:cs="Times New Roman"/>
          <w:sz w:val="24"/>
          <w:szCs w:val="24"/>
          <w:lang w:val="en-US"/>
        </w:rPr>
        <w:t xml:space="preserve"> was much less pronounced and the surface epithelium started to migrate over the defect </w:t>
      </w:r>
      <w:r w:rsidR="00634A2F">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b, HE</w:t>
      </w:r>
      <w:r w:rsidR="00634A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x</w:t>
      </w:r>
      <w:r w:rsidR="00634A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4; B, HE</w:t>
      </w:r>
      <w:r w:rsidR="00634A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x</w:t>
      </w:r>
      <w:r w:rsidR="00634A2F">
        <w:rPr>
          <w:rFonts w:ascii="Book Antiqua" w:hAnsi="Book Antiqua" w:cs="Times New Roman" w:hint="eastAsia"/>
          <w:sz w:val="24"/>
          <w:szCs w:val="24"/>
          <w:lang w:val="en-US" w:eastAsia="zh-CN"/>
        </w:rPr>
        <w:t xml:space="preserve"> </w:t>
      </w:r>
      <w:r w:rsidRPr="00E47A42">
        <w:rPr>
          <w:rFonts w:ascii="Book Antiqua" w:hAnsi="Book Antiqua" w:cs="Times New Roman"/>
          <w:sz w:val="24"/>
          <w:szCs w:val="24"/>
          <w:lang w:val="en-US"/>
        </w:rPr>
        <w:t>10 (BPC 157)</w:t>
      </w:r>
      <w:r w:rsidR="00634A2F">
        <w:rPr>
          <w:rFonts w:ascii="Book Antiqua" w:hAnsi="Book Antiqua" w:cs="Times New Roman" w:hint="eastAsia"/>
          <w:sz w:val="24"/>
          <w:szCs w:val="24"/>
          <w:lang w:val="en-US" w:eastAsia="zh-CN"/>
        </w:rPr>
        <w:t>]</w:t>
      </w:r>
      <w:r w:rsidRPr="00E47A42">
        <w:rPr>
          <w:rFonts w:ascii="Book Antiqua" w:hAnsi="Book Antiqua" w:cs="Times New Roman"/>
          <w:sz w:val="24"/>
          <w:szCs w:val="24"/>
          <w:lang w:val="en-US"/>
        </w:rPr>
        <w:t>.</w:t>
      </w:r>
    </w:p>
    <w:p w14:paraId="3214D6C8" w14:textId="40367EC1" w:rsidR="00C14212" w:rsidRDefault="00C14212">
      <w:pPr>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14:paraId="563F6C3B" w14:textId="38212613" w:rsidR="00C14212" w:rsidRPr="00CA300C" w:rsidRDefault="00C14212" w:rsidP="00C14212">
      <w:pPr>
        <w:snapToGrid w:val="0"/>
        <w:spacing w:after="0" w:line="360" w:lineRule="auto"/>
        <w:jc w:val="both"/>
        <w:rPr>
          <w:rFonts w:ascii="Book Antiqua" w:hAnsi="Book Antiqua" w:cs="Times New Roman"/>
          <w:b/>
          <w:i/>
          <w:sz w:val="24"/>
          <w:szCs w:val="24"/>
          <w:lang w:val="en-GB" w:eastAsia="zh-CN"/>
        </w:rPr>
      </w:pPr>
      <w:r w:rsidRPr="00CA300C">
        <w:rPr>
          <w:rFonts w:ascii="Book Antiqua" w:hAnsi="Book Antiqua" w:cs="Times New Roman"/>
          <w:b/>
          <w:sz w:val="24"/>
          <w:szCs w:val="24"/>
          <w:lang w:val="en-GB"/>
        </w:rPr>
        <w:lastRenderedPageBreak/>
        <w:t>Table 1</w:t>
      </w:r>
      <w:r w:rsidR="00CA300C" w:rsidRPr="00CA300C">
        <w:rPr>
          <w:rFonts w:ascii="Book Antiqua" w:hAnsi="Book Antiqua" w:cs="Times New Roman" w:hint="eastAsia"/>
          <w:b/>
          <w:sz w:val="24"/>
          <w:szCs w:val="24"/>
          <w:lang w:val="en-GB" w:eastAsia="zh-CN"/>
        </w:rPr>
        <w:t xml:space="preserve"> </w:t>
      </w:r>
      <w:r w:rsidRPr="00CA300C">
        <w:rPr>
          <w:rFonts w:ascii="Book Antiqua" w:hAnsi="Book Antiqua" w:cs="Times New Roman"/>
          <w:b/>
          <w:sz w:val="24"/>
          <w:szCs w:val="24"/>
          <w:lang w:val="en-GB"/>
        </w:rPr>
        <w:t xml:space="preserve">Assessed cecum lesion (sum of longest diameters, mm, at </w:t>
      </w:r>
      <w:r w:rsidRPr="00CA300C">
        <w:rPr>
          <w:rFonts w:ascii="Book Antiqua" w:hAnsi="Book Antiqua" w:cs="Times New Roman"/>
          <w:b/>
          <w:noProof/>
          <w:sz w:val="24"/>
          <w:szCs w:val="24"/>
          <w:lang w:val="en-GB"/>
        </w:rPr>
        <w:t>mucosal</w:t>
      </w:r>
      <w:r w:rsidRPr="00CA300C">
        <w:rPr>
          <w:rFonts w:ascii="Book Antiqua" w:hAnsi="Book Antiqua" w:cs="Times New Roman"/>
          <w:b/>
          <w:sz w:val="24"/>
          <w:szCs w:val="24"/>
          <w:lang w:val="en-GB"/>
        </w:rPr>
        <w:t xml:space="preserve"> site (M) and </w:t>
      </w:r>
      <w:proofErr w:type="spellStart"/>
      <w:r w:rsidRPr="00CA300C">
        <w:rPr>
          <w:rFonts w:ascii="Book Antiqua" w:hAnsi="Book Antiqua" w:cs="Times New Roman"/>
          <w:b/>
          <w:sz w:val="24"/>
          <w:szCs w:val="24"/>
          <w:lang w:val="en-GB"/>
        </w:rPr>
        <w:t>serosal</w:t>
      </w:r>
      <w:proofErr w:type="spellEnd"/>
      <w:r w:rsidRPr="00CA300C">
        <w:rPr>
          <w:rFonts w:ascii="Book Antiqua" w:hAnsi="Book Antiqua" w:cs="Times New Roman"/>
          <w:b/>
          <w:sz w:val="24"/>
          <w:szCs w:val="24"/>
          <w:lang w:val="en-GB"/>
        </w:rPr>
        <w:t xml:space="preserve"> site (S), means</w:t>
      </w:r>
      <w:r w:rsidR="00BC3C35">
        <w:rPr>
          <w:rFonts w:ascii="Book Antiqua" w:hAnsi="Book Antiqua" w:cs="Times New Roman" w:hint="eastAsia"/>
          <w:b/>
          <w:sz w:val="24"/>
          <w:szCs w:val="24"/>
          <w:lang w:val="en-GB" w:eastAsia="zh-CN"/>
        </w:rPr>
        <w:t xml:space="preserve"> </w:t>
      </w:r>
      <w:r w:rsidR="00BC3C35">
        <w:rPr>
          <w:rFonts w:ascii="Book Antiqua" w:hAnsi="Book Antiqua" w:cs="Times New Roman"/>
          <w:b/>
          <w:sz w:val="24"/>
          <w:szCs w:val="24"/>
          <w:lang w:val="en-GB"/>
        </w:rPr>
        <w:t xml:space="preserve">± </w:t>
      </w:r>
      <w:r w:rsidRPr="00CA300C">
        <w:rPr>
          <w:rFonts w:ascii="Book Antiqua" w:hAnsi="Book Antiqua" w:cs="Times New Roman"/>
          <w:b/>
          <w:sz w:val="24"/>
          <w:szCs w:val="24"/>
          <w:lang w:val="en-GB"/>
        </w:rPr>
        <w:t>SD) and adhesion se</w:t>
      </w:r>
      <w:r w:rsidR="00CA300C" w:rsidRPr="00CA300C">
        <w:rPr>
          <w:rFonts w:ascii="Book Antiqua" w:hAnsi="Book Antiqua" w:cs="Times New Roman"/>
          <w:b/>
          <w:sz w:val="24"/>
          <w:szCs w:val="24"/>
          <w:lang w:val="en-GB"/>
        </w:rPr>
        <w:t>verity (score 0-7, Min/Med/Max)</w:t>
      </w: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9"/>
        <w:gridCol w:w="1849"/>
        <w:gridCol w:w="1604"/>
        <w:gridCol w:w="1921"/>
        <w:gridCol w:w="1838"/>
      </w:tblGrid>
      <w:tr w:rsidR="00C14212" w:rsidRPr="00E47A42" w14:paraId="07F7DE0D" w14:textId="77777777" w:rsidTr="00135752">
        <w:trPr>
          <w:jc w:val="center"/>
        </w:trPr>
        <w:tc>
          <w:tcPr>
            <w:tcW w:w="2859" w:type="dxa"/>
            <w:vMerge w:val="restart"/>
          </w:tcPr>
          <w:p w14:paraId="5A27FFA1" w14:textId="0A4AF945" w:rsidR="00C14212" w:rsidRPr="00E47A42" w:rsidRDefault="00C14212" w:rsidP="00CB14BD">
            <w:pPr>
              <w:snapToGrid w:val="0"/>
              <w:spacing w:after="0" w:line="360" w:lineRule="auto"/>
              <w:rPr>
                <w:rFonts w:ascii="Book Antiqua" w:hAnsi="Book Antiqua" w:cs="Times New Roman"/>
                <w:sz w:val="24"/>
                <w:szCs w:val="24"/>
                <w:lang w:val="en-GB"/>
              </w:rPr>
            </w:pPr>
            <w:r w:rsidRPr="00E47A42">
              <w:rPr>
                <w:rFonts w:ascii="Book Antiqua" w:hAnsi="Book Antiqua" w:cs="Times New Roman"/>
                <w:b/>
                <w:sz w:val="24"/>
                <w:szCs w:val="24"/>
                <w:lang w:val="en-GB"/>
              </w:rPr>
              <w:t>Medication (/kg, 10</w:t>
            </w:r>
            <w:r w:rsidR="00135752">
              <w:rPr>
                <w:rFonts w:ascii="Book Antiqua" w:hAnsi="Book Antiqua" w:cs="Times New Roman" w:hint="eastAsia"/>
                <w:b/>
                <w:sz w:val="24"/>
                <w:szCs w:val="24"/>
                <w:lang w:val="en-GB" w:eastAsia="zh-CN"/>
              </w:rPr>
              <w:t xml:space="preserve"> </w:t>
            </w:r>
            <w:r w:rsidRPr="00E47A42">
              <w:rPr>
                <w:rFonts w:ascii="Book Antiqua" w:hAnsi="Book Antiqua" w:cs="Times New Roman"/>
                <w:b/>
                <w:sz w:val="24"/>
                <w:szCs w:val="24"/>
                <w:lang w:val="en-GB"/>
              </w:rPr>
              <w:t>m</w:t>
            </w:r>
            <w:r w:rsidRPr="00135752">
              <w:rPr>
                <w:rFonts w:ascii="Book Antiqua" w:hAnsi="Book Antiqua" w:cs="Times New Roman"/>
                <w:b/>
                <w:caps/>
                <w:sz w:val="24"/>
                <w:szCs w:val="24"/>
                <w:lang w:val="en-GB"/>
              </w:rPr>
              <w:t>l</w:t>
            </w:r>
            <w:r w:rsidRPr="00E47A42">
              <w:rPr>
                <w:rFonts w:ascii="Book Antiqua" w:hAnsi="Book Antiqua" w:cs="Times New Roman"/>
                <w:b/>
                <w:sz w:val="24"/>
                <w:szCs w:val="24"/>
                <w:lang w:val="en-GB"/>
              </w:rPr>
              <w:t>/2</w:t>
            </w:r>
            <w:r w:rsidR="00135752">
              <w:rPr>
                <w:rFonts w:ascii="Book Antiqua" w:hAnsi="Book Antiqua" w:cs="Times New Roman" w:hint="eastAsia"/>
                <w:b/>
                <w:sz w:val="24"/>
                <w:szCs w:val="24"/>
                <w:lang w:val="en-GB" w:eastAsia="zh-CN"/>
              </w:rPr>
              <w:t xml:space="preserve"> </w:t>
            </w:r>
            <w:r w:rsidRPr="00E47A42">
              <w:rPr>
                <w:rFonts w:ascii="Book Antiqua" w:hAnsi="Book Antiqua" w:cs="Times New Roman"/>
                <w:b/>
                <w:sz w:val="24"/>
                <w:szCs w:val="24"/>
                <w:lang w:val="en-GB"/>
              </w:rPr>
              <w:t>min bath/rat)</w:t>
            </w:r>
          </w:p>
        </w:tc>
        <w:tc>
          <w:tcPr>
            <w:tcW w:w="7212" w:type="dxa"/>
            <w:gridSpan w:val="4"/>
          </w:tcPr>
          <w:p w14:paraId="4B86A86B" w14:textId="453F67F9"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Assessed cecum lesion (sum of longest diameters, mm, means</w:t>
            </w:r>
            <w:r w:rsidR="00BC3C35" w:rsidRPr="00CB14BD">
              <w:rPr>
                <w:rFonts w:ascii="Book Antiqua" w:hAnsi="Book Antiqua" w:cs="Times New Roman" w:hint="eastAsia"/>
                <w:b/>
                <w:sz w:val="24"/>
                <w:szCs w:val="24"/>
                <w:lang w:val="en-GB" w:eastAsia="zh-CN"/>
              </w:rPr>
              <w:t xml:space="preserve"> </w:t>
            </w:r>
            <w:r w:rsidR="00BC3C35" w:rsidRPr="00CB14BD">
              <w:rPr>
                <w:rFonts w:ascii="Book Antiqua" w:hAnsi="Book Antiqua" w:cs="Times New Roman"/>
                <w:b/>
                <w:sz w:val="24"/>
                <w:szCs w:val="24"/>
                <w:lang w:val="en-GB"/>
              </w:rPr>
              <w:t xml:space="preserve">± </w:t>
            </w:r>
            <w:r w:rsidRPr="00CB14BD">
              <w:rPr>
                <w:rFonts w:ascii="Book Antiqua" w:hAnsi="Book Antiqua" w:cs="Times New Roman"/>
                <w:b/>
                <w:sz w:val="24"/>
                <w:szCs w:val="24"/>
                <w:lang w:val="en-GB"/>
              </w:rPr>
              <w:t>SD) and adhesion severity (score 0-9, Min/Med/Max)</w:t>
            </w:r>
          </w:p>
        </w:tc>
      </w:tr>
      <w:tr w:rsidR="00C14212" w:rsidRPr="00E47A42" w14:paraId="42BBFA00" w14:textId="77777777" w:rsidTr="00135752">
        <w:trPr>
          <w:jc w:val="center"/>
        </w:trPr>
        <w:tc>
          <w:tcPr>
            <w:tcW w:w="2859" w:type="dxa"/>
            <w:vMerge/>
          </w:tcPr>
          <w:p w14:paraId="4B0E4FA5" w14:textId="77777777" w:rsidR="00C14212" w:rsidRPr="00E47A42" w:rsidRDefault="00C14212" w:rsidP="00CB14BD">
            <w:pPr>
              <w:snapToGrid w:val="0"/>
              <w:spacing w:after="0" w:line="360" w:lineRule="auto"/>
              <w:ind w:firstLine="720"/>
              <w:rPr>
                <w:rFonts w:ascii="Book Antiqua" w:hAnsi="Book Antiqua" w:cs="Times New Roman"/>
                <w:sz w:val="24"/>
                <w:szCs w:val="24"/>
                <w:lang w:val="en-GB"/>
              </w:rPr>
            </w:pPr>
          </w:p>
        </w:tc>
        <w:tc>
          <w:tcPr>
            <w:tcW w:w="3453" w:type="dxa"/>
            <w:gridSpan w:val="2"/>
          </w:tcPr>
          <w:p w14:paraId="7F124C3F" w14:textId="77777777" w:rsidR="00C14212" w:rsidRPr="00CB14BD" w:rsidRDefault="00C14212" w:rsidP="00CB14BD">
            <w:pPr>
              <w:snapToGrid w:val="0"/>
              <w:spacing w:after="0" w:line="360" w:lineRule="auto"/>
              <w:ind w:firstLine="720"/>
              <w:jc w:val="center"/>
              <w:rPr>
                <w:rFonts w:ascii="Book Antiqua" w:hAnsi="Book Antiqua" w:cs="Times New Roman"/>
                <w:b/>
                <w:sz w:val="24"/>
                <w:szCs w:val="24"/>
                <w:lang w:val="en-GB"/>
              </w:rPr>
            </w:pPr>
            <w:r w:rsidRPr="00CB14BD">
              <w:rPr>
                <w:rFonts w:ascii="Book Antiqua" w:hAnsi="Book Antiqua" w:cs="Times New Roman"/>
                <w:b/>
                <w:sz w:val="24"/>
                <w:szCs w:val="24"/>
                <w:lang w:val="en-GB"/>
              </w:rPr>
              <w:t>Day 1</w:t>
            </w:r>
          </w:p>
        </w:tc>
        <w:tc>
          <w:tcPr>
            <w:tcW w:w="3759" w:type="dxa"/>
            <w:gridSpan w:val="2"/>
          </w:tcPr>
          <w:p w14:paraId="7C040EE2" w14:textId="77777777" w:rsidR="00C14212" w:rsidRPr="00CB14BD" w:rsidRDefault="00C14212" w:rsidP="00CB14BD">
            <w:pPr>
              <w:snapToGrid w:val="0"/>
              <w:spacing w:after="0" w:line="360" w:lineRule="auto"/>
              <w:ind w:firstLine="720"/>
              <w:jc w:val="center"/>
              <w:rPr>
                <w:rFonts w:ascii="Book Antiqua" w:hAnsi="Book Antiqua" w:cs="Times New Roman"/>
                <w:b/>
                <w:sz w:val="24"/>
                <w:szCs w:val="24"/>
                <w:lang w:val="en-GB"/>
              </w:rPr>
            </w:pPr>
            <w:r w:rsidRPr="00CB14BD">
              <w:rPr>
                <w:rFonts w:ascii="Book Antiqua" w:hAnsi="Book Antiqua" w:cs="Times New Roman"/>
                <w:b/>
                <w:sz w:val="24"/>
                <w:szCs w:val="24"/>
                <w:lang w:val="en-GB"/>
              </w:rPr>
              <w:t>Day 7</w:t>
            </w:r>
          </w:p>
        </w:tc>
      </w:tr>
      <w:tr w:rsidR="00C14212" w:rsidRPr="00E47A42" w14:paraId="4DC29282" w14:textId="77777777" w:rsidTr="00135752">
        <w:trPr>
          <w:jc w:val="center"/>
        </w:trPr>
        <w:tc>
          <w:tcPr>
            <w:tcW w:w="2859" w:type="dxa"/>
            <w:vMerge/>
          </w:tcPr>
          <w:p w14:paraId="40729C41" w14:textId="77777777" w:rsidR="00C14212" w:rsidRPr="00E47A42" w:rsidRDefault="00C14212" w:rsidP="00CB14BD">
            <w:pPr>
              <w:snapToGrid w:val="0"/>
              <w:spacing w:after="0" w:line="360" w:lineRule="auto"/>
              <w:ind w:firstLine="720"/>
              <w:rPr>
                <w:rFonts w:ascii="Book Antiqua" w:hAnsi="Book Antiqua" w:cs="Times New Roman"/>
                <w:sz w:val="24"/>
                <w:szCs w:val="24"/>
                <w:lang w:val="en-GB"/>
              </w:rPr>
            </w:pPr>
          </w:p>
        </w:tc>
        <w:tc>
          <w:tcPr>
            <w:tcW w:w="1849" w:type="dxa"/>
          </w:tcPr>
          <w:p w14:paraId="07E143AE" w14:textId="77777777"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Perforated cecum lesion</w:t>
            </w:r>
          </w:p>
        </w:tc>
        <w:tc>
          <w:tcPr>
            <w:tcW w:w="1604" w:type="dxa"/>
          </w:tcPr>
          <w:p w14:paraId="67EE2A6C" w14:textId="77777777"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Adhesion severity</w:t>
            </w:r>
          </w:p>
        </w:tc>
        <w:tc>
          <w:tcPr>
            <w:tcW w:w="1921" w:type="dxa"/>
          </w:tcPr>
          <w:p w14:paraId="36DE64A0" w14:textId="77777777"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Perforated cecum lesion</w:t>
            </w:r>
          </w:p>
        </w:tc>
        <w:tc>
          <w:tcPr>
            <w:tcW w:w="1838" w:type="dxa"/>
          </w:tcPr>
          <w:p w14:paraId="0CC71D7A" w14:textId="77777777" w:rsidR="00C14212" w:rsidRPr="00CB14BD" w:rsidRDefault="00C14212" w:rsidP="00CB14BD">
            <w:pPr>
              <w:snapToGrid w:val="0"/>
              <w:spacing w:after="0" w:line="360" w:lineRule="auto"/>
              <w:jc w:val="center"/>
              <w:rPr>
                <w:rFonts w:ascii="Book Antiqua" w:hAnsi="Book Antiqua" w:cs="Times New Roman"/>
                <w:b/>
                <w:sz w:val="24"/>
                <w:szCs w:val="24"/>
                <w:lang w:val="en-GB"/>
              </w:rPr>
            </w:pPr>
            <w:r w:rsidRPr="00CB14BD">
              <w:rPr>
                <w:rFonts w:ascii="Book Antiqua" w:hAnsi="Book Antiqua" w:cs="Times New Roman"/>
                <w:b/>
                <w:sz w:val="24"/>
                <w:szCs w:val="24"/>
                <w:lang w:val="en-GB"/>
              </w:rPr>
              <w:t>Adhesion severity</w:t>
            </w:r>
          </w:p>
        </w:tc>
      </w:tr>
      <w:tr w:rsidR="00C14212" w:rsidRPr="00E47A42" w14:paraId="3EC0ADB9" w14:textId="77777777" w:rsidTr="00135752">
        <w:trPr>
          <w:jc w:val="center"/>
        </w:trPr>
        <w:tc>
          <w:tcPr>
            <w:tcW w:w="2859" w:type="dxa"/>
          </w:tcPr>
          <w:p w14:paraId="3C7B601D"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0.9%NaCl (control)</w:t>
            </w:r>
          </w:p>
        </w:tc>
        <w:tc>
          <w:tcPr>
            <w:tcW w:w="1849" w:type="dxa"/>
          </w:tcPr>
          <w:p w14:paraId="64231F09" w14:textId="235ABD27"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(M)</w:t>
            </w:r>
          </w:p>
          <w:p w14:paraId="326A88B1" w14:textId="78F17A1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p>
        </w:tc>
        <w:tc>
          <w:tcPr>
            <w:tcW w:w="1604" w:type="dxa"/>
          </w:tcPr>
          <w:p w14:paraId="3C0AC1C5" w14:textId="77777777"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2/3/3</w:t>
            </w:r>
          </w:p>
        </w:tc>
        <w:tc>
          <w:tcPr>
            <w:tcW w:w="1921" w:type="dxa"/>
          </w:tcPr>
          <w:p w14:paraId="03B889BF" w14:textId="042ADED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(M)</w:t>
            </w:r>
          </w:p>
          <w:p w14:paraId="59891C6F" w14:textId="3D4D7AEB"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6.0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p>
        </w:tc>
        <w:tc>
          <w:tcPr>
            <w:tcW w:w="1838" w:type="dxa"/>
          </w:tcPr>
          <w:p w14:paraId="7C14A311" w14:textId="77777777"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3/3/4</w:t>
            </w:r>
          </w:p>
        </w:tc>
      </w:tr>
      <w:tr w:rsidR="00C14212" w:rsidRPr="00E47A42" w14:paraId="2E6BA3EF" w14:textId="77777777" w:rsidTr="00135752">
        <w:trPr>
          <w:jc w:val="center"/>
        </w:trPr>
        <w:tc>
          <w:tcPr>
            <w:tcW w:w="2859" w:type="dxa"/>
          </w:tcPr>
          <w:p w14:paraId="00D5774A"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BPC 157 (10µg)</w:t>
            </w:r>
          </w:p>
        </w:tc>
        <w:tc>
          <w:tcPr>
            <w:tcW w:w="1849" w:type="dxa"/>
          </w:tcPr>
          <w:p w14:paraId="184E06A3" w14:textId="663C1CB5"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046149E6" w14:textId="1F928EF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604" w:type="dxa"/>
          </w:tcPr>
          <w:p w14:paraId="235CC1C1" w14:textId="70446ED3"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1/1/1</w:t>
            </w:r>
            <w:r w:rsidR="00BC3C35" w:rsidRPr="00BC3C35">
              <w:rPr>
                <w:rFonts w:ascii="Book Antiqua" w:hAnsi="Book Antiqua" w:cs="Times New Roman" w:hint="eastAsia"/>
                <w:sz w:val="24"/>
                <w:szCs w:val="24"/>
                <w:vertAlign w:val="superscript"/>
                <w:lang w:val="en-US" w:eastAsia="zh-CN"/>
              </w:rPr>
              <w:t>a</w:t>
            </w:r>
          </w:p>
        </w:tc>
        <w:tc>
          <w:tcPr>
            <w:tcW w:w="1921" w:type="dxa"/>
          </w:tcPr>
          <w:p w14:paraId="3881C5FE" w14:textId="3AD885D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65957E4C" w14:textId="4FC7B0D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838" w:type="dxa"/>
          </w:tcPr>
          <w:p w14:paraId="331B03C0" w14:textId="2EFB9D63"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1/1/2</w:t>
            </w:r>
            <w:r w:rsidR="00BC3C35" w:rsidRPr="00BC3C35">
              <w:rPr>
                <w:rFonts w:ascii="Book Antiqua" w:hAnsi="Book Antiqua" w:cs="Times New Roman" w:hint="eastAsia"/>
                <w:sz w:val="24"/>
                <w:szCs w:val="24"/>
                <w:vertAlign w:val="superscript"/>
                <w:lang w:val="en-US" w:eastAsia="zh-CN"/>
              </w:rPr>
              <w:t>a</w:t>
            </w:r>
          </w:p>
        </w:tc>
      </w:tr>
      <w:tr w:rsidR="00C14212" w:rsidRPr="00E47A42" w14:paraId="12FB7DBC" w14:textId="77777777" w:rsidTr="00135752">
        <w:trPr>
          <w:jc w:val="center"/>
        </w:trPr>
        <w:tc>
          <w:tcPr>
            <w:tcW w:w="2859" w:type="dxa"/>
          </w:tcPr>
          <w:p w14:paraId="727CD0BA"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L-NAME 5mg</w:t>
            </w:r>
          </w:p>
        </w:tc>
        <w:tc>
          <w:tcPr>
            <w:tcW w:w="1849" w:type="dxa"/>
          </w:tcPr>
          <w:p w14:paraId="396065A8" w14:textId="5483BD73"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7.5</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0.4 (M)</w:t>
            </w:r>
            <w:r w:rsidR="00BC3C35" w:rsidRPr="00BC3C35">
              <w:rPr>
                <w:rFonts w:ascii="Book Antiqua" w:hAnsi="Book Antiqua" w:cs="Times New Roman" w:hint="eastAsia"/>
                <w:sz w:val="24"/>
                <w:szCs w:val="24"/>
                <w:vertAlign w:val="superscript"/>
                <w:lang w:val="en-US" w:eastAsia="zh-CN"/>
              </w:rPr>
              <w:t>a</w:t>
            </w:r>
          </w:p>
          <w:p w14:paraId="4228C210" w14:textId="5D07BA3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7.5</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r w:rsidR="00BC3C35" w:rsidRPr="00BC3C35">
              <w:rPr>
                <w:rFonts w:ascii="Book Antiqua" w:hAnsi="Book Antiqua" w:cs="Times New Roman" w:hint="eastAsia"/>
                <w:sz w:val="24"/>
                <w:szCs w:val="24"/>
                <w:vertAlign w:val="superscript"/>
                <w:lang w:val="en-US" w:eastAsia="zh-CN"/>
              </w:rPr>
              <w:t>a</w:t>
            </w:r>
          </w:p>
        </w:tc>
        <w:tc>
          <w:tcPr>
            <w:tcW w:w="1604" w:type="dxa"/>
          </w:tcPr>
          <w:p w14:paraId="30A9A619" w14:textId="53E7886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5/6/6</w:t>
            </w:r>
            <w:r w:rsidR="00BC3C35" w:rsidRPr="00BC3C35">
              <w:rPr>
                <w:rFonts w:ascii="Book Antiqua" w:hAnsi="Book Antiqua" w:cs="Times New Roman" w:hint="eastAsia"/>
                <w:sz w:val="24"/>
                <w:szCs w:val="24"/>
                <w:vertAlign w:val="superscript"/>
                <w:lang w:val="en-US" w:eastAsia="zh-CN"/>
              </w:rPr>
              <w:t>a</w:t>
            </w:r>
          </w:p>
        </w:tc>
        <w:tc>
          <w:tcPr>
            <w:tcW w:w="1921" w:type="dxa"/>
          </w:tcPr>
          <w:p w14:paraId="7755CF17" w14:textId="729EC3B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0.4 (M)</w:t>
            </w:r>
            <w:r w:rsidR="00BC3C35" w:rsidRPr="00BC3C35">
              <w:rPr>
                <w:rFonts w:ascii="Book Antiqua" w:hAnsi="Book Antiqua" w:cs="Times New Roman" w:hint="eastAsia"/>
                <w:sz w:val="24"/>
                <w:szCs w:val="24"/>
                <w:vertAlign w:val="superscript"/>
                <w:lang w:val="en-US" w:eastAsia="zh-CN"/>
              </w:rPr>
              <w:t>a</w:t>
            </w:r>
          </w:p>
          <w:p w14:paraId="31F6A688" w14:textId="61DCE735"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8.8</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r w:rsidR="00BC3C35" w:rsidRPr="00BC3C35">
              <w:rPr>
                <w:rFonts w:ascii="Book Antiqua" w:hAnsi="Book Antiqua" w:cs="Times New Roman" w:hint="eastAsia"/>
                <w:sz w:val="24"/>
                <w:szCs w:val="24"/>
                <w:vertAlign w:val="superscript"/>
                <w:lang w:val="en-US" w:eastAsia="zh-CN"/>
              </w:rPr>
              <w:t>a</w:t>
            </w:r>
          </w:p>
        </w:tc>
        <w:tc>
          <w:tcPr>
            <w:tcW w:w="1838" w:type="dxa"/>
          </w:tcPr>
          <w:p w14:paraId="5E5F8EF0" w14:textId="77777777"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6/6/6</w:t>
            </w:r>
          </w:p>
        </w:tc>
      </w:tr>
      <w:tr w:rsidR="00C14212" w:rsidRPr="00E47A42" w14:paraId="7D777491" w14:textId="77777777" w:rsidTr="00135752">
        <w:trPr>
          <w:jc w:val="center"/>
        </w:trPr>
        <w:tc>
          <w:tcPr>
            <w:tcW w:w="2859" w:type="dxa"/>
          </w:tcPr>
          <w:p w14:paraId="55134207"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L-arginine 100mg</w:t>
            </w:r>
          </w:p>
        </w:tc>
        <w:tc>
          <w:tcPr>
            <w:tcW w:w="1849" w:type="dxa"/>
          </w:tcPr>
          <w:p w14:paraId="5ED8F13D" w14:textId="0C7EECB4"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43ABA42D" w14:textId="6EED17AC"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p>
        </w:tc>
        <w:tc>
          <w:tcPr>
            <w:tcW w:w="1604" w:type="dxa"/>
          </w:tcPr>
          <w:p w14:paraId="2AC62538" w14:textId="7EBE71DB"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4/5/5</w:t>
            </w:r>
            <w:r w:rsidR="00BC3C35" w:rsidRPr="00BC3C35">
              <w:rPr>
                <w:rFonts w:ascii="Book Antiqua" w:hAnsi="Book Antiqua" w:cs="Times New Roman" w:hint="eastAsia"/>
                <w:sz w:val="24"/>
                <w:szCs w:val="24"/>
                <w:vertAlign w:val="superscript"/>
                <w:lang w:val="en-US" w:eastAsia="zh-CN"/>
              </w:rPr>
              <w:t>a</w:t>
            </w:r>
          </w:p>
        </w:tc>
        <w:tc>
          <w:tcPr>
            <w:tcW w:w="1921" w:type="dxa"/>
          </w:tcPr>
          <w:p w14:paraId="0E8EAB24" w14:textId="6FC7DFAD"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7.5</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0.3 (M)</w:t>
            </w:r>
            <w:r w:rsidR="00BC3C35" w:rsidRPr="00BC3C35">
              <w:rPr>
                <w:rFonts w:ascii="Book Antiqua" w:hAnsi="Book Antiqua" w:cs="Times New Roman" w:hint="eastAsia"/>
                <w:sz w:val="24"/>
                <w:szCs w:val="24"/>
                <w:vertAlign w:val="superscript"/>
                <w:lang w:val="en-US" w:eastAsia="zh-CN"/>
              </w:rPr>
              <w:t>a</w:t>
            </w:r>
          </w:p>
          <w:p w14:paraId="124836BC" w14:textId="2584B95D"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0.4 (S)</w:t>
            </w:r>
            <w:r w:rsidR="00BC3C35" w:rsidRPr="00BC3C35">
              <w:rPr>
                <w:rFonts w:ascii="Book Antiqua" w:hAnsi="Book Antiqua" w:cs="Times New Roman" w:hint="eastAsia"/>
                <w:sz w:val="24"/>
                <w:szCs w:val="24"/>
                <w:vertAlign w:val="superscript"/>
                <w:lang w:val="en-US" w:eastAsia="zh-CN"/>
              </w:rPr>
              <w:t>a</w:t>
            </w:r>
          </w:p>
        </w:tc>
        <w:tc>
          <w:tcPr>
            <w:tcW w:w="1838" w:type="dxa"/>
          </w:tcPr>
          <w:p w14:paraId="776875AD" w14:textId="3FEF7AE0"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5/6/6</w:t>
            </w:r>
            <w:r w:rsidR="00BC3C35" w:rsidRPr="00BC3C35">
              <w:rPr>
                <w:rFonts w:ascii="Book Antiqua" w:hAnsi="Book Antiqua" w:cs="Times New Roman" w:hint="eastAsia"/>
                <w:sz w:val="24"/>
                <w:szCs w:val="24"/>
                <w:vertAlign w:val="superscript"/>
                <w:lang w:val="en-US" w:eastAsia="zh-CN"/>
              </w:rPr>
              <w:t>a</w:t>
            </w:r>
          </w:p>
        </w:tc>
      </w:tr>
      <w:tr w:rsidR="00C14212" w:rsidRPr="00E47A42" w14:paraId="6D1E5D32" w14:textId="77777777" w:rsidTr="00135752">
        <w:trPr>
          <w:jc w:val="center"/>
        </w:trPr>
        <w:tc>
          <w:tcPr>
            <w:tcW w:w="2859" w:type="dxa"/>
          </w:tcPr>
          <w:p w14:paraId="6ABFCF24"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L-NAME 5mg +</w:t>
            </w:r>
          </w:p>
          <w:p w14:paraId="5B7A8AA4" w14:textId="77777777"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 xml:space="preserve"> L-arginine 100mg</w:t>
            </w:r>
          </w:p>
        </w:tc>
        <w:tc>
          <w:tcPr>
            <w:tcW w:w="1849" w:type="dxa"/>
          </w:tcPr>
          <w:p w14:paraId="0725AB5F" w14:textId="0C64EF48"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7.3</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(M)</w:t>
            </w:r>
          </w:p>
          <w:p w14:paraId="4B2BFD4E" w14:textId="0147190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7.3</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p>
        </w:tc>
        <w:tc>
          <w:tcPr>
            <w:tcW w:w="1604" w:type="dxa"/>
          </w:tcPr>
          <w:p w14:paraId="71A1701A" w14:textId="349D6704"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5/6/6</w:t>
            </w:r>
            <w:r w:rsidR="00BC3C35" w:rsidRPr="00BC3C35">
              <w:rPr>
                <w:rFonts w:ascii="Book Antiqua" w:hAnsi="Book Antiqua" w:cs="Times New Roman" w:hint="eastAsia"/>
                <w:sz w:val="24"/>
                <w:szCs w:val="24"/>
                <w:vertAlign w:val="superscript"/>
                <w:lang w:val="en-US" w:eastAsia="zh-CN"/>
              </w:rPr>
              <w:t>a</w:t>
            </w:r>
          </w:p>
        </w:tc>
        <w:tc>
          <w:tcPr>
            <w:tcW w:w="1921" w:type="dxa"/>
          </w:tcPr>
          <w:p w14:paraId="59567C52" w14:textId="02A4F71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0.3 (M)</w:t>
            </w:r>
          </w:p>
          <w:p w14:paraId="65EC3EC3" w14:textId="0D2E2BE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8.2</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0.5 (S)</w:t>
            </w:r>
          </w:p>
        </w:tc>
        <w:tc>
          <w:tcPr>
            <w:tcW w:w="1838" w:type="dxa"/>
          </w:tcPr>
          <w:p w14:paraId="3330AB0A" w14:textId="665CA81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5/6/6</w:t>
            </w:r>
            <w:r w:rsidR="00BC3C35" w:rsidRPr="00BC3C35">
              <w:rPr>
                <w:rFonts w:ascii="Book Antiqua" w:hAnsi="Book Antiqua" w:cs="Times New Roman" w:hint="eastAsia"/>
                <w:sz w:val="24"/>
                <w:szCs w:val="24"/>
                <w:vertAlign w:val="superscript"/>
                <w:lang w:val="en-US" w:eastAsia="zh-CN"/>
              </w:rPr>
              <w:t>a</w:t>
            </w:r>
          </w:p>
        </w:tc>
      </w:tr>
      <w:tr w:rsidR="00C14212" w:rsidRPr="00E47A42" w14:paraId="7839AC99" w14:textId="77777777" w:rsidTr="00135752">
        <w:trPr>
          <w:jc w:val="center"/>
        </w:trPr>
        <w:tc>
          <w:tcPr>
            <w:tcW w:w="2859" w:type="dxa"/>
          </w:tcPr>
          <w:p w14:paraId="74DAE8AC" w14:textId="4F0C02D4"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L-NAME</w:t>
            </w:r>
            <w:r w:rsidR="00CB14BD" w:rsidRPr="00CB14BD">
              <w:rPr>
                <w:rFonts w:ascii="Book Antiqua" w:hAnsi="Book Antiqua" w:cs="Times New Roman"/>
                <w:sz w:val="24"/>
                <w:szCs w:val="24"/>
                <w:lang w:val="en-GB"/>
              </w:rPr>
              <w:t xml:space="preserve"> 5mg +</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BPC 157 10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µg</w:t>
            </w:r>
          </w:p>
        </w:tc>
        <w:tc>
          <w:tcPr>
            <w:tcW w:w="1849" w:type="dxa"/>
          </w:tcPr>
          <w:p w14:paraId="0D1D1429" w14:textId="7C4B7560"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2F9B1E2B" w14:textId="75E2E8B8"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604" w:type="dxa"/>
          </w:tcPr>
          <w:p w14:paraId="6CE13714" w14:textId="4CF5662D"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1/1/1</w:t>
            </w:r>
            <w:r w:rsidR="00BC3C35" w:rsidRPr="00BC3C35">
              <w:rPr>
                <w:rFonts w:ascii="Book Antiqua" w:hAnsi="Book Antiqua" w:cs="Times New Roman" w:hint="eastAsia"/>
                <w:sz w:val="24"/>
                <w:szCs w:val="24"/>
                <w:vertAlign w:val="superscript"/>
                <w:lang w:val="en-US" w:eastAsia="zh-CN"/>
              </w:rPr>
              <w:t>a</w:t>
            </w:r>
          </w:p>
        </w:tc>
        <w:tc>
          <w:tcPr>
            <w:tcW w:w="1921" w:type="dxa"/>
          </w:tcPr>
          <w:p w14:paraId="170AE3D8" w14:textId="25A77D75"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17D38666" w14:textId="2EA5B1EC"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838" w:type="dxa"/>
          </w:tcPr>
          <w:p w14:paraId="28D7C1FC" w14:textId="06EDFFA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1/1/2</w:t>
            </w:r>
            <w:r w:rsidR="00BC3C35" w:rsidRPr="00BC3C35">
              <w:rPr>
                <w:rFonts w:ascii="Book Antiqua" w:hAnsi="Book Antiqua" w:cs="Times New Roman" w:hint="eastAsia"/>
                <w:sz w:val="24"/>
                <w:szCs w:val="24"/>
                <w:vertAlign w:val="superscript"/>
                <w:lang w:val="en-US" w:eastAsia="zh-CN"/>
              </w:rPr>
              <w:t>a</w:t>
            </w:r>
          </w:p>
        </w:tc>
      </w:tr>
      <w:tr w:rsidR="00C14212" w:rsidRPr="00E47A42" w14:paraId="064259E4" w14:textId="77777777" w:rsidTr="00135752">
        <w:trPr>
          <w:jc w:val="center"/>
        </w:trPr>
        <w:tc>
          <w:tcPr>
            <w:tcW w:w="2859" w:type="dxa"/>
          </w:tcPr>
          <w:p w14:paraId="579F516E" w14:textId="6FA8EDC4"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L-arginine 100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mg + BPC 157 10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µg</w:t>
            </w:r>
          </w:p>
        </w:tc>
        <w:tc>
          <w:tcPr>
            <w:tcW w:w="1849" w:type="dxa"/>
          </w:tcPr>
          <w:p w14:paraId="1603DFBA" w14:textId="1D06DCFF"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2DAA923A" w14:textId="2B58E9BF"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604" w:type="dxa"/>
          </w:tcPr>
          <w:p w14:paraId="03B882A1" w14:textId="0B41E22F"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1/1/1</w:t>
            </w:r>
            <w:r w:rsidR="00BC3C35" w:rsidRPr="00BC3C35">
              <w:rPr>
                <w:rFonts w:ascii="Book Antiqua" w:hAnsi="Book Antiqua" w:cs="Times New Roman" w:hint="eastAsia"/>
                <w:sz w:val="24"/>
                <w:szCs w:val="24"/>
                <w:vertAlign w:val="superscript"/>
                <w:lang w:val="en-US" w:eastAsia="zh-CN"/>
              </w:rPr>
              <w:t>a</w:t>
            </w:r>
          </w:p>
        </w:tc>
        <w:tc>
          <w:tcPr>
            <w:tcW w:w="1921" w:type="dxa"/>
          </w:tcPr>
          <w:p w14:paraId="58781FDF" w14:textId="59911A2A"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136B8F7F" w14:textId="178EBA63"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838" w:type="dxa"/>
          </w:tcPr>
          <w:p w14:paraId="206CBAAE" w14:textId="5B17F8F2"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1/1/2</w:t>
            </w:r>
            <w:r w:rsidR="00BC3C35" w:rsidRPr="00BC3C35">
              <w:rPr>
                <w:rFonts w:ascii="Book Antiqua" w:hAnsi="Book Antiqua" w:cs="Times New Roman" w:hint="eastAsia"/>
                <w:sz w:val="24"/>
                <w:szCs w:val="24"/>
                <w:vertAlign w:val="superscript"/>
                <w:lang w:val="en-US" w:eastAsia="zh-CN"/>
              </w:rPr>
              <w:t>a</w:t>
            </w:r>
          </w:p>
        </w:tc>
      </w:tr>
      <w:tr w:rsidR="00C14212" w:rsidRPr="00E47A42" w14:paraId="6278EA38" w14:textId="77777777" w:rsidTr="00135752">
        <w:trPr>
          <w:jc w:val="center"/>
        </w:trPr>
        <w:tc>
          <w:tcPr>
            <w:tcW w:w="2859" w:type="dxa"/>
          </w:tcPr>
          <w:p w14:paraId="3B1CBD50" w14:textId="04294D78" w:rsidR="00C14212" w:rsidRPr="00CB14BD" w:rsidRDefault="00C14212" w:rsidP="00CB14BD">
            <w:pPr>
              <w:snapToGrid w:val="0"/>
              <w:spacing w:after="0" w:line="360" w:lineRule="auto"/>
              <w:rPr>
                <w:rFonts w:ascii="Book Antiqua" w:hAnsi="Book Antiqua" w:cs="Times New Roman"/>
                <w:sz w:val="24"/>
                <w:szCs w:val="24"/>
                <w:lang w:val="en-GB"/>
              </w:rPr>
            </w:pPr>
            <w:r w:rsidRPr="00CB14BD">
              <w:rPr>
                <w:rFonts w:ascii="Book Antiqua" w:hAnsi="Book Antiqua" w:cs="Times New Roman"/>
                <w:sz w:val="24"/>
                <w:szCs w:val="24"/>
                <w:lang w:val="en-GB"/>
              </w:rPr>
              <w:t>L-NAME 5</w:t>
            </w:r>
            <w:r w:rsidR="00CB14BD" w:rsidRPr="00CB14BD">
              <w:rPr>
                <w:rFonts w:ascii="Book Antiqua" w:hAnsi="Book Antiqua" w:cs="Times New Roman" w:hint="eastAsia"/>
                <w:sz w:val="24"/>
                <w:szCs w:val="24"/>
                <w:lang w:val="en-GB" w:eastAsia="zh-CN"/>
              </w:rPr>
              <w:t xml:space="preserve"> </w:t>
            </w:r>
            <w:r w:rsidR="00CB14BD" w:rsidRPr="00CB14BD">
              <w:rPr>
                <w:rFonts w:ascii="Book Antiqua" w:hAnsi="Book Antiqua" w:cs="Times New Roman"/>
                <w:sz w:val="24"/>
                <w:szCs w:val="24"/>
                <w:lang w:val="en-GB"/>
              </w:rPr>
              <w:t xml:space="preserve">mg + </w:t>
            </w:r>
            <w:r w:rsidRPr="00CB14BD">
              <w:rPr>
                <w:rFonts w:ascii="Book Antiqua" w:hAnsi="Book Antiqua" w:cs="Times New Roman"/>
                <w:sz w:val="24"/>
                <w:szCs w:val="24"/>
                <w:lang w:val="en-GB"/>
              </w:rPr>
              <w:t>L-arginine 100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mg + BPC 157 10</w:t>
            </w:r>
            <w:r w:rsidR="00CB14BD" w:rsidRPr="00CB14BD">
              <w:rPr>
                <w:rFonts w:ascii="Book Antiqua" w:hAnsi="Book Antiqua" w:cs="Times New Roman" w:hint="eastAsia"/>
                <w:sz w:val="24"/>
                <w:szCs w:val="24"/>
                <w:lang w:val="en-GB" w:eastAsia="zh-CN"/>
              </w:rPr>
              <w:t xml:space="preserve"> </w:t>
            </w:r>
            <w:r w:rsidRPr="00CB14BD">
              <w:rPr>
                <w:rFonts w:ascii="Book Antiqua" w:hAnsi="Book Antiqua" w:cs="Times New Roman"/>
                <w:sz w:val="24"/>
                <w:szCs w:val="24"/>
                <w:lang w:val="en-GB"/>
              </w:rPr>
              <w:t>µg</w:t>
            </w:r>
          </w:p>
        </w:tc>
        <w:tc>
          <w:tcPr>
            <w:tcW w:w="1849" w:type="dxa"/>
          </w:tcPr>
          <w:p w14:paraId="58977A48" w14:textId="0D0C0654"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463AFC4A" w14:textId="215B7200"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3.0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604" w:type="dxa"/>
          </w:tcPr>
          <w:p w14:paraId="5FED7E72" w14:textId="790D9FC5"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0/1/1</w:t>
            </w:r>
            <w:r w:rsidR="00BC3C35" w:rsidRPr="00BC3C35">
              <w:rPr>
                <w:rFonts w:ascii="Book Antiqua" w:hAnsi="Book Antiqua" w:cs="Times New Roman" w:hint="eastAsia"/>
                <w:sz w:val="24"/>
                <w:szCs w:val="24"/>
                <w:vertAlign w:val="superscript"/>
                <w:lang w:val="en-US" w:eastAsia="zh-CN"/>
              </w:rPr>
              <w:t>a</w:t>
            </w:r>
          </w:p>
        </w:tc>
        <w:tc>
          <w:tcPr>
            <w:tcW w:w="1921" w:type="dxa"/>
          </w:tcPr>
          <w:p w14:paraId="3518B3E8" w14:textId="556179E9"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(M)</w:t>
            </w:r>
            <w:r w:rsidR="00BC3C35" w:rsidRPr="00BC3C35">
              <w:rPr>
                <w:rFonts w:ascii="Book Antiqua" w:hAnsi="Book Antiqua" w:cs="Times New Roman" w:hint="eastAsia"/>
                <w:sz w:val="24"/>
                <w:szCs w:val="24"/>
                <w:vertAlign w:val="superscript"/>
                <w:lang w:val="en-US" w:eastAsia="zh-CN"/>
              </w:rPr>
              <w:t>a</w:t>
            </w:r>
          </w:p>
          <w:p w14:paraId="0FBA929E" w14:textId="05D19C2F"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0.0</w:t>
            </w:r>
            <w:r w:rsidR="00BC3C35" w:rsidRPr="00BC3C35">
              <w:rPr>
                <w:rFonts w:ascii="Book Antiqua" w:hAnsi="Book Antiqua" w:cs="Times New Roman"/>
                <w:sz w:val="24"/>
                <w:szCs w:val="24"/>
                <w:lang w:val="en-GB"/>
              </w:rPr>
              <w:t xml:space="preserve"> ± </w:t>
            </w:r>
            <w:r w:rsidRPr="00BC3C35">
              <w:rPr>
                <w:rFonts w:ascii="Book Antiqua" w:hAnsi="Book Antiqua" w:cs="Times New Roman"/>
                <w:sz w:val="24"/>
                <w:szCs w:val="24"/>
                <w:lang w:val="en-GB"/>
              </w:rPr>
              <w:t>0.0 (S)</w:t>
            </w:r>
            <w:r w:rsidR="00BC3C35" w:rsidRPr="00BC3C35">
              <w:rPr>
                <w:rFonts w:ascii="Book Antiqua" w:hAnsi="Book Antiqua" w:cs="Times New Roman" w:hint="eastAsia"/>
                <w:sz w:val="24"/>
                <w:szCs w:val="24"/>
                <w:vertAlign w:val="superscript"/>
                <w:lang w:val="en-US" w:eastAsia="zh-CN"/>
              </w:rPr>
              <w:t>a</w:t>
            </w:r>
          </w:p>
        </w:tc>
        <w:tc>
          <w:tcPr>
            <w:tcW w:w="1838" w:type="dxa"/>
          </w:tcPr>
          <w:p w14:paraId="039767E2" w14:textId="08B72214" w:rsidR="00C14212" w:rsidRPr="00BC3C35" w:rsidRDefault="00C14212" w:rsidP="00CB14BD">
            <w:pPr>
              <w:snapToGrid w:val="0"/>
              <w:spacing w:after="0" w:line="360" w:lineRule="auto"/>
              <w:jc w:val="center"/>
              <w:rPr>
                <w:rFonts w:ascii="Book Antiqua" w:hAnsi="Book Antiqua" w:cs="Times New Roman"/>
                <w:sz w:val="24"/>
                <w:szCs w:val="24"/>
                <w:lang w:val="en-GB"/>
              </w:rPr>
            </w:pPr>
            <w:r w:rsidRPr="00BC3C35">
              <w:rPr>
                <w:rFonts w:ascii="Book Antiqua" w:hAnsi="Book Antiqua" w:cs="Times New Roman"/>
                <w:sz w:val="24"/>
                <w:szCs w:val="24"/>
                <w:lang w:val="en-GB"/>
              </w:rPr>
              <w:t>1/1/2</w:t>
            </w:r>
            <w:r w:rsidR="00BC3C35" w:rsidRPr="00BC3C35">
              <w:rPr>
                <w:rFonts w:ascii="Book Antiqua" w:hAnsi="Book Antiqua" w:cs="Times New Roman" w:hint="eastAsia"/>
                <w:sz w:val="24"/>
                <w:szCs w:val="24"/>
                <w:vertAlign w:val="superscript"/>
                <w:lang w:val="en-US" w:eastAsia="zh-CN"/>
              </w:rPr>
              <w:t>a</w:t>
            </w:r>
          </w:p>
        </w:tc>
      </w:tr>
    </w:tbl>
    <w:p w14:paraId="05A9982B" w14:textId="15E39E63" w:rsidR="00755369" w:rsidRPr="00C14212" w:rsidRDefault="00CA300C" w:rsidP="00EE3106">
      <w:pPr>
        <w:autoSpaceDE w:val="0"/>
        <w:adjustRightInd w:val="0"/>
        <w:snapToGrid w:val="0"/>
        <w:spacing w:after="0" w:line="360" w:lineRule="auto"/>
        <w:jc w:val="both"/>
        <w:rPr>
          <w:rFonts w:ascii="Book Antiqua" w:hAnsi="Book Antiqua" w:cs="Times New Roman"/>
          <w:sz w:val="24"/>
          <w:szCs w:val="24"/>
          <w:lang w:val="en-US" w:eastAsia="zh-CN"/>
        </w:rPr>
      </w:pPr>
      <w:r w:rsidRPr="00E47A42">
        <w:rPr>
          <w:rFonts w:ascii="Book Antiqua" w:hAnsi="Book Antiqua" w:cs="Times New Roman"/>
          <w:sz w:val="24"/>
          <w:szCs w:val="24"/>
          <w:lang w:val="en-GB"/>
        </w:rPr>
        <w:t>At 1 min post-injury, administration of medication (/kg, 10</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w:t>
      </w:r>
      <w:r w:rsidRPr="00135752">
        <w:rPr>
          <w:rFonts w:ascii="Book Antiqua" w:hAnsi="Book Antiqua" w:cs="Times New Roman"/>
          <w:caps/>
          <w:sz w:val="24"/>
          <w:szCs w:val="24"/>
          <w:lang w:val="en-GB"/>
        </w:rPr>
        <w:t>l</w:t>
      </w:r>
      <w:r w:rsidRPr="00E47A42">
        <w:rPr>
          <w:rFonts w:ascii="Book Antiqua" w:hAnsi="Book Antiqua" w:cs="Times New Roman"/>
          <w:sz w:val="24"/>
          <w:szCs w:val="24"/>
          <w:lang w:val="en-GB"/>
        </w:rPr>
        <w:t>/2</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min bath/rat) at the perforated (5</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mm diameter) lesion and cecum, includes BPC 157 (10</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µg), NOS-blocker L-NAME (5</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mg), NOS-substrate L-arginine (100</w:t>
      </w:r>
      <w:r w:rsidR="00135752">
        <w:rPr>
          <w:rFonts w:ascii="Book Antiqua" w:hAnsi="Book Antiqua" w:cs="Times New Roman" w:hint="eastAsia"/>
          <w:sz w:val="24"/>
          <w:szCs w:val="24"/>
          <w:lang w:val="en-GB" w:eastAsia="zh-CN"/>
        </w:rPr>
        <w:t xml:space="preserve"> </w:t>
      </w:r>
      <w:r w:rsidRPr="00E47A42">
        <w:rPr>
          <w:rFonts w:ascii="Book Antiqua" w:hAnsi="Book Antiqua" w:cs="Times New Roman"/>
          <w:sz w:val="24"/>
          <w:szCs w:val="24"/>
          <w:lang w:val="en-GB"/>
        </w:rPr>
        <w:t>mg) alone or combined, a saline bath of equal volume (controls), and rats were left after abdominal closure undisturbed till the sacrifice, at day 1 or day 7.</w:t>
      </w:r>
      <w:r w:rsidR="00BC3C35">
        <w:rPr>
          <w:rFonts w:ascii="Book Antiqua" w:hAnsi="Book Antiqua" w:cs="Times New Roman" w:hint="eastAsia"/>
          <w:sz w:val="24"/>
          <w:szCs w:val="24"/>
          <w:lang w:val="en-US" w:eastAsia="zh-CN"/>
        </w:rPr>
        <w:t xml:space="preserve"> </w:t>
      </w:r>
      <w:r w:rsidR="00BC3C35" w:rsidRPr="00BC3C35">
        <w:rPr>
          <w:rFonts w:ascii="Book Antiqua" w:hAnsi="Book Antiqua" w:cs="Times New Roman"/>
          <w:caps/>
          <w:sz w:val="24"/>
          <w:szCs w:val="24"/>
          <w:lang w:val="en-US"/>
        </w:rPr>
        <w:t>m</w:t>
      </w:r>
      <w:r w:rsidR="00BC3C35" w:rsidRPr="00E47A42">
        <w:rPr>
          <w:rFonts w:ascii="Book Antiqua" w:hAnsi="Book Antiqua" w:cs="Times New Roman"/>
          <w:sz w:val="24"/>
          <w:szCs w:val="24"/>
          <w:lang w:val="en-US"/>
        </w:rPr>
        <w:t>inimum</w:t>
      </w:r>
      <w:r w:rsidR="00BC3C35">
        <w:rPr>
          <w:rFonts w:ascii="Book Antiqua" w:hAnsi="Book Antiqua" w:cs="Times New Roman" w:hint="eastAsia"/>
          <w:sz w:val="24"/>
          <w:szCs w:val="24"/>
          <w:lang w:val="en-US" w:eastAsia="zh-CN"/>
        </w:rPr>
        <w:t xml:space="preserve"> </w:t>
      </w:r>
      <w:proofErr w:type="spellStart"/>
      <w:r w:rsidR="00BC3C35" w:rsidRPr="00BC3C35">
        <w:rPr>
          <w:rFonts w:ascii="Book Antiqua" w:hAnsi="Book Antiqua" w:cs="Times New Roman" w:hint="eastAsia"/>
          <w:sz w:val="24"/>
          <w:szCs w:val="24"/>
          <w:vertAlign w:val="superscript"/>
          <w:lang w:val="en-US" w:eastAsia="zh-CN"/>
        </w:rPr>
        <w:t>a</w:t>
      </w:r>
      <w:r w:rsidR="00BC3C35" w:rsidRPr="003516DB">
        <w:rPr>
          <w:rFonts w:ascii="Book Antiqua" w:hAnsi="Book Antiqua" w:cs="Times New Roman"/>
          <w:i/>
          <w:sz w:val="24"/>
          <w:szCs w:val="24"/>
          <w:lang w:val="en-US"/>
        </w:rPr>
        <w:t>P</w:t>
      </w:r>
      <w:proofErr w:type="spellEnd"/>
      <w:r w:rsidR="00BC3C35">
        <w:rPr>
          <w:rFonts w:ascii="Book Antiqua" w:hAnsi="Book Antiqua" w:cs="Times New Roman" w:hint="eastAsia"/>
          <w:sz w:val="24"/>
          <w:szCs w:val="24"/>
          <w:lang w:val="en-US" w:eastAsia="zh-CN"/>
        </w:rPr>
        <w:t xml:space="preserve"> </w:t>
      </w:r>
      <w:r w:rsidR="00BC3C35" w:rsidRPr="00E47A42">
        <w:rPr>
          <w:rFonts w:ascii="Book Antiqua" w:hAnsi="Book Antiqua" w:cs="Times New Roman"/>
          <w:sz w:val="24"/>
          <w:szCs w:val="24"/>
          <w:lang w:val="en-US"/>
        </w:rPr>
        <w:t>&lt;</w:t>
      </w:r>
      <w:r w:rsidR="00BC3C35">
        <w:rPr>
          <w:rFonts w:ascii="Book Antiqua" w:hAnsi="Book Antiqua" w:cs="Times New Roman" w:hint="eastAsia"/>
          <w:sz w:val="24"/>
          <w:szCs w:val="24"/>
          <w:lang w:val="en-US" w:eastAsia="zh-CN"/>
        </w:rPr>
        <w:t xml:space="preserve"> </w:t>
      </w:r>
      <w:r w:rsidR="00BC3C35" w:rsidRPr="00E47A42">
        <w:rPr>
          <w:rFonts w:ascii="Book Antiqua" w:hAnsi="Book Antiqua" w:cs="Times New Roman"/>
          <w:sz w:val="24"/>
          <w:szCs w:val="24"/>
          <w:lang w:val="en-US"/>
        </w:rPr>
        <w:t xml:space="preserve">0.05 </w:t>
      </w:r>
      <w:r w:rsidR="00BC3C35" w:rsidRPr="00BC3C35">
        <w:rPr>
          <w:rFonts w:ascii="Book Antiqua" w:hAnsi="Book Antiqua" w:cs="Times New Roman" w:hint="eastAsia"/>
          <w:i/>
          <w:sz w:val="24"/>
          <w:szCs w:val="24"/>
          <w:lang w:val="en-US" w:eastAsia="zh-CN"/>
        </w:rPr>
        <w:t>vs</w:t>
      </w:r>
      <w:r w:rsidR="00BC3C35">
        <w:rPr>
          <w:rFonts w:ascii="Book Antiqua" w:hAnsi="Book Antiqua" w:cs="Times New Roman" w:hint="eastAsia"/>
          <w:sz w:val="24"/>
          <w:szCs w:val="24"/>
          <w:lang w:val="en-US" w:eastAsia="zh-CN"/>
        </w:rPr>
        <w:t xml:space="preserve"> </w:t>
      </w:r>
      <w:r w:rsidR="00BC3C35" w:rsidRPr="00E47A42">
        <w:rPr>
          <w:rFonts w:ascii="Book Antiqua" w:hAnsi="Book Antiqua" w:cs="Times New Roman"/>
          <w:sz w:val="24"/>
          <w:szCs w:val="24"/>
          <w:lang w:val="en-US"/>
        </w:rPr>
        <w:t>control.</w:t>
      </w:r>
    </w:p>
    <w:sectPr w:rsidR="00755369" w:rsidRPr="00C14212">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A1EDC" w14:textId="77777777" w:rsidR="00C573BA" w:rsidRDefault="00C573BA" w:rsidP="00202A9C">
      <w:pPr>
        <w:spacing w:after="0" w:line="240" w:lineRule="auto"/>
      </w:pPr>
      <w:r>
        <w:separator/>
      </w:r>
    </w:p>
  </w:endnote>
  <w:endnote w:type="continuationSeparator" w:id="0">
    <w:p w14:paraId="5CBC19AF" w14:textId="77777777" w:rsidR="00C573BA" w:rsidRDefault="00C573BA" w:rsidP="0020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EFF" w:usb1="C0007843" w:usb2="00000009" w:usb3="00000000" w:csb0="000001FF" w:csb1="00000000"/>
  </w:font>
  <w:font w:name="Helvetica">
    <w:panose1 w:val="020B05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473772"/>
      <w:docPartObj>
        <w:docPartGallery w:val="Page Numbers (Bottom of Page)"/>
        <w:docPartUnique/>
      </w:docPartObj>
    </w:sdtPr>
    <w:sdtEndPr/>
    <w:sdtContent>
      <w:p w14:paraId="63391957" w14:textId="5EE7156A" w:rsidR="007C34A5" w:rsidRDefault="007C34A5">
        <w:pPr>
          <w:pStyle w:val="Footer"/>
          <w:jc w:val="right"/>
        </w:pPr>
        <w:r>
          <w:fldChar w:fldCharType="begin"/>
        </w:r>
        <w:r>
          <w:instrText>PAGE   \* MERGEFORMAT</w:instrText>
        </w:r>
        <w:r>
          <w:fldChar w:fldCharType="separate"/>
        </w:r>
        <w:r w:rsidR="00E933B0">
          <w:rPr>
            <w:noProof/>
          </w:rPr>
          <w:t>30</w:t>
        </w:r>
        <w:r>
          <w:fldChar w:fldCharType="end"/>
        </w:r>
      </w:p>
    </w:sdtContent>
  </w:sdt>
  <w:p w14:paraId="208E07E2" w14:textId="77777777" w:rsidR="007C34A5" w:rsidRDefault="007C3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380F2" w14:textId="77777777" w:rsidR="00C573BA" w:rsidRDefault="00C573BA" w:rsidP="00202A9C">
      <w:pPr>
        <w:spacing w:after="0" w:line="240" w:lineRule="auto"/>
      </w:pPr>
      <w:r>
        <w:separator/>
      </w:r>
    </w:p>
  </w:footnote>
  <w:footnote w:type="continuationSeparator" w:id="0">
    <w:p w14:paraId="14AAC2A6" w14:textId="77777777" w:rsidR="00C573BA" w:rsidRDefault="00C573BA" w:rsidP="00202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001E63"/>
    <w:multiLevelType w:val="hybridMultilevel"/>
    <w:tmpl w:val="045EFDFC"/>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Q1MzQytrQ0NbYwM7RQ0lEKTi0uzszPAykwNKsFALX8KFgtAAAA"/>
  </w:docVars>
  <w:rsids>
    <w:rsidRoot w:val="00E05F1C"/>
    <w:rsid w:val="00006E2F"/>
    <w:rsid w:val="0000726C"/>
    <w:rsid w:val="0001192B"/>
    <w:rsid w:val="00020B6A"/>
    <w:rsid w:val="00021464"/>
    <w:rsid w:val="000416BA"/>
    <w:rsid w:val="000417FF"/>
    <w:rsid w:val="00050D94"/>
    <w:rsid w:val="00053992"/>
    <w:rsid w:val="00053DEB"/>
    <w:rsid w:val="00057402"/>
    <w:rsid w:val="00066B52"/>
    <w:rsid w:val="00077DB0"/>
    <w:rsid w:val="000A10E5"/>
    <w:rsid w:val="000B12C8"/>
    <w:rsid w:val="000B70EF"/>
    <w:rsid w:val="000D08E4"/>
    <w:rsid w:val="000D10D6"/>
    <w:rsid w:val="000E020F"/>
    <w:rsid w:val="000E234F"/>
    <w:rsid w:val="000E47DF"/>
    <w:rsid w:val="000E5A7F"/>
    <w:rsid w:val="000F1F01"/>
    <w:rsid w:val="001044E8"/>
    <w:rsid w:val="00104F3A"/>
    <w:rsid w:val="001060C4"/>
    <w:rsid w:val="00111B7C"/>
    <w:rsid w:val="00116B5E"/>
    <w:rsid w:val="00122769"/>
    <w:rsid w:val="00130C9D"/>
    <w:rsid w:val="00131B26"/>
    <w:rsid w:val="001343DC"/>
    <w:rsid w:val="00135752"/>
    <w:rsid w:val="001433D8"/>
    <w:rsid w:val="001549FA"/>
    <w:rsid w:val="00182D2A"/>
    <w:rsid w:val="00184239"/>
    <w:rsid w:val="001846EF"/>
    <w:rsid w:val="0018773F"/>
    <w:rsid w:val="001A3C3D"/>
    <w:rsid w:val="001B503A"/>
    <w:rsid w:val="001C6292"/>
    <w:rsid w:val="001F38A1"/>
    <w:rsid w:val="00202A9C"/>
    <w:rsid w:val="00204745"/>
    <w:rsid w:val="0022476E"/>
    <w:rsid w:val="00227298"/>
    <w:rsid w:val="00230586"/>
    <w:rsid w:val="0023676B"/>
    <w:rsid w:val="002410ED"/>
    <w:rsid w:val="0024515D"/>
    <w:rsid w:val="0024609B"/>
    <w:rsid w:val="00253E13"/>
    <w:rsid w:val="00256526"/>
    <w:rsid w:val="00260D06"/>
    <w:rsid w:val="00263893"/>
    <w:rsid w:val="0026718B"/>
    <w:rsid w:val="00271916"/>
    <w:rsid w:val="00275CD8"/>
    <w:rsid w:val="00283D1F"/>
    <w:rsid w:val="00291C33"/>
    <w:rsid w:val="00292E3A"/>
    <w:rsid w:val="0029585F"/>
    <w:rsid w:val="00295B2F"/>
    <w:rsid w:val="002B3855"/>
    <w:rsid w:val="002C14F0"/>
    <w:rsid w:val="002C514E"/>
    <w:rsid w:val="002C64F9"/>
    <w:rsid w:val="002D03EA"/>
    <w:rsid w:val="002D1D7A"/>
    <w:rsid w:val="002D483D"/>
    <w:rsid w:val="002E0052"/>
    <w:rsid w:val="002E7EFE"/>
    <w:rsid w:val="002F1EC6"/>
    <w:rsid w:val="002F61DE"/>
    <w:rsid w:val="00302628"/>
    <w:rsid w:val="00303309"/>
    <w:rsid w:val="00305153"/>
    <w:rsid w:val="00306940"/>
    <w:rsid w:val="00316EBD"/>
    <w:rsid w:val="00331313"/>
    <w:rsid w:val="00340C53"/>
    <w:rsid w:val="003516DB"/>
    <w:rsid w:val="003519B4"/>
    <w:rsid w:val="003535AD"/>
    <w:rsid w:val="00363EE3"/>
    <w:rsid w:val="003706A5"/>
    <w:rsid w:val="00381543"/>
    <w:rsid w:val="00395747"/>
    <w:rsid w:val="003A2218"/>
    <w:rsid w:val="003A308D"/>
    <w:rsid w:val="003A3EBF"/>
    <w:rsid w:val="003A4740"/>
    <w:rsid w:val="003A6A7D"/>
    <w:rsid w:val="003C7065"/>
    <w:rsid w:val="003C715B"/>
    <w:rsid w:val="003E61D5"/>
    <w:rsid w:val="00407F08"/>
    <w:rsid w:val="004118A8"/>
    <w:rsid w:val="004142CB"/>
    <w:rsid w:val="00417688"/>
    <w:rsid w:val="00424272"/>
    <w:rsid w:val="00427847"/>
    <w:rsid w:val="00434934"/>
    <w:rsid w:val="00437990"/>
    <w:rsid w:val="004416D7"/>
    <w:rsid w:val="00447AB7"/>
    <w:rsid w:val="00463B68"/>
    <w:rsid w:val="004667D8"/>
    <w:rsid w:val="00474FC5"/>
    <w:rsid w:val="00480D62"/>
    <w:rsid w:val="00481DA4"/>
    <w:rsid w:val="00482FFB"/>
    <w:rsid w:val="00492A9B"/>
    <w:rsid w:val="00495E6D"/>
    <w:rsid w:val="00496E79"/>
    <w:rsid w:val="004A1E0F"/>
    <w:rsid w:val="004A46B7"/>
    <w:rsid w:val="004A5B86"/>
    <w:rsid w:val="004B5ADB"/>
    <w:rsid w:val="004B63E4"/>
    <w:rsid w:val="004B7872"/>
    <w:rsid w:val="004B7A8B"/>
    <w:rsid w:val="004C2F23"/>
    <w:rsid w:val="004C6559"/>
    <w:rsid w:val="004D23F3"/>
    <w:rsid w:val="004D6B77"/>
    <w:rsid w:val="004E6A94"/>
    <w:rsid w:val="004F3735"/>
    <w:rsid w:val="004F7356"/>
    <w:rsid w:val="00503D82"/>
    <w:rsid w:val="00514918"/>
    <w:rsid w:val="005232FA"/>
    <w:rsid w:val="00527764"/>
    <w:rsid w:val="00533419"/>
    <w:rsid w:val="0053735E"/>
    <w:rsid w:val="005450F5"/>
    <w:rsid w:val="00547F54"/>
    <w:rsid w:val="005605FF"/>
    <w:rsid w:val="00563063"/>
    <w:rsid w:val="00570524"/>
    <w:rsid w:val="00590186"/>
    <w:rsid w:val="00590D76"/>
    <w:rsid w:val="005946C0"/>
    <w:rsid w:val="00595925"/>
    <w:rsid w:val="005960CD"/>
    <w:rsid w:val="005977F6"/>
    <w:rsid w:val="005A1A39"/>
    <w:rsid w:val="005A3B6E"/>
    <w:rsid w:val="005A5746"/>
    <w:rsid w:val="005B46CC"/>
    <w:rsid w:val="005C3032"/>
    <w:rsid w:val="005C4663"/>
    <w:rsid w:val="005C6E86"/>
    <w:rsid w:val="005C72F3"/>
    <w:rsid w:val="005D20D2"/>
    <w:rsid w:val="005D3357"/>
    <w:rsid w:val="005E0A6E"/>
    <w:rsid w:val="005F40BE"/>
    <w:rsid w:val="005F54B9"/>
    <w:rsid w:val="005F62B1"/>
    <w:rsid w:val="00602616"/>
    <w:rsid w:val="00603BC0"/>
    <w:rsid w:val="006162EC"/>
    <w:rsid w:val="00616E28"/>
    <w:rsid w:val="00625885"/>
    <w:rsid w:val="00634A2F"/>
    <w:rsid w:val="00637649"/>
    <w:rsid w:val="00637D1F"/>
    <w:rsid w:val="006441C7"/>
    <w:rsid w:val="006546E4"/>
    <w:rsid w:val="0066635F"/>
    <w:rsid w:val="006670EC"/>
    <w:rsid w:val="006729D6"/>
    <w:rsid w:val="006905E1"/>
    <w:rsid w:val="00692C66"/>
    <w:rsid w:val="00695CC8"/>
    <w:rsid w:val="006A165A"/>
    <w:rsid w:val="006A399E"/>
    <w:rsid w:val="006A5C3B"/>
    <w:rsid w:val="006B0CC4"/>
    <w:rsid w:val="006B18BA"/>
    <w:rsid w:val="006D4933"/>
    <w:rsid w:val="006E2F19"/>
    <w:rsid w:val="006F1A45"/>
    <w:rsid w:val="00703179"/>
    <w:rsid w:val="00705A8A"/>
    <w:rsid w:val="007067D6"/>
    <w:rsid w:val="00716A56"/>
    <w:rsid w:val="00716E7E"/>
    <w:rsid w:val="00717680"/>
    <w:rsid w:val="007178DE"/>
    <w:rsid w:val="0073152B"/>
    <w:rsid w:val="00750369"/>
    <w:rsid w:val="00754E50"/>
    <w:rsid w:val="00755369"/>
    <w:rsid w:val="00763AE7"/>
    <w:rsid w:val="00773145"/>
    <w:rsid w:val="00773E9C"/>
    <w:rsid w:val="0077552A"/>
    <w:rsid w:val="007807F8"/>
    <w:rsid w:val="007840FD"/>
    <w:rsid w:val="00796A99"/>
    <w:rsid w:val="007A611A"/>
    <w:rsid w:val="007B7943"/>
    <w:rsid w:val="007C0EC1"/>
    <w:rsid w:val="007C34A5"/>
    <w:rsid w:val="007C3CBB"/>
    <w:rsid w:val="007D1F85"/>
    <w:rsid w:val="007D3DF7"/>
    <w:rsid w:val="007E10C5"/>
    <w:rsid w:val="007E1F13"/>
    <w:rsid w:val="007F35D2"/>
    <w:rsid w:val="007F385A"/>
    <w:rsid w:val="007F4E96"/>
    <w:rsid w:val="007F66BE"/>
    <w:rsid w:val="007F7A6A"/>
    <w:rsid w:val="0080110A"/>
    <w:rsid w:val="00802EF1"/>
    <w:rsid w:val="00803575"/>
    <w:rsid w:val="0080664F"/>
    <w:rsid w:val="00820646"/>
    <w:rsid w:val="00827922"/>
    <w:rsid w:val="00835128"/>
    <w:rsid w:val="00844520"/>
    <w:rsid w:val="00851579"/>
    <w:rsid w:val="0085192A"/>
    <w:rsid w:val="00852528"/>
    <w:rsid w:val="00862E52"/>
    <w:rsid w:val="008712DE"/>
    <w:rsid w:val="00874396"/>
    <w:rsid w:val="00890C68"/>
    <w:rsid w:val="0089526F"/>
    <w:rsid w:val="008B13AA"/>
    <w:rsid w:val="008B306C"/>
    <w:rsid w:val="008B3B59"/>
    <w:rsid w:val="008B5977"/>
    <w:rsid w:val="008C0D85"/>
    <w:rsid w:val="008C4C80"/>
    <w:rsid w:val="008D5461"/>
    <w:rsid w:val="008E6437"/>
    <w:rsid w:val="008F3448"/>
    <w:rsid w:val="00906ED2"/>
    <w:rsid w:val="00907686"/>
    <w:rsid w:val="009078AF"/>
    <w:rsid w:val="00912508"/>
    <w:rsid w:val="009234D0"/>
    <w:rsid w:val="00926701"/>
    <w:rsid w:val="00926D6D"/>
    <w:rsid w:val="009346E7"/>
    <w:rsid w:val="009433C5"/>
    <w:rsid w:val="0094634B"/>
    <w:rsid w:val="00951F79"/>
    <w:rsid w:val="00954691"/>
    <w:rsid w:val="009606F6"/>
    <w:rsid w:val="0096438C"/>
    <w:rsid w:val="0096451C"/>
    <w:rsid w:val="00964850"/>
    <w:rsid w:val="00970C0A"/>
    <w:rsid w:val="00981D48"/>
    <w:rsid w:val="009821C7"/>
    <w:rsid w:val="009858B7"/>
    <w:rsid w:val="00986BA6"/>
    <w:rsid w:val="009A3C66"/>
    <w:rsid w:val="009B03BD"/>
    <w:rsid w:val="009C0BF0"/>
    <w:rsid w:val="009D5024"/>
    <w:rsid w:val="009D5EFA"/>
    <w:rsid w:val="009E7736"/>
    <w:rsid w:val="009F1FD2"/>
    <w:rsid w:val="009F3E75"/>
    <w:rsid w:val="00A00116"/>
    <w:rsid w:val="00A00E5A"/>
    <w:rsid w:val="00A13458"/>
    <w:rsid w:val="00A173B6"/>
    <w:rsid w:val="00A27187"/>
    <w:rsid w:val="00A302B4"/>
    <w:rsid w:val="00A47C7B"/>
    <w:rsid w:val="00A5388E"/>
    <w:rsid w:val="00A67B21"/>
    <w:rsid w:val="00A75220"/>
    <w:rsid w:val="00A8055A"/>
    <w:rsid w:val="00A93238"/>
    <w:rsid w:val="00AA1218"/>
    <w:rsid w:val="00AA1695"/>
    <w:rsid w:val="00AA2655"/>
    <w:rsid w:val="00AA6673"/>
    <w:rsid w:val="00AB0123"/>
    <w:rsid w:val="00AB0A62"/>
    <w:rsid w:val="00AB3269"/>
    <w:rsid w:val="00AB6127"/>
    <w:rsid w:val="00AC0A35"/>
    <w:rsid w:val="00AC29F3"/>
    <w:rsid w:val="00AC464D"/>
    <w:rsid w:val="00AC4695"/>
    <w:rsid w:val="00AD699E"/>
    <w:rsid w:val="00AE0E84"/>
    <w:rsid w:val="00AE4E06"/>
    <w:rsid w:val="00AF42FF"/>
    <w:rsid w:val="00B0112D"/>
    <w:rsid w:val="00B2287D"/>
    <w:rsid w:val="00B268BF"/>
    <w:rsid w:val="00B35C02"/>
    <w:rsid w:val="00B408D1"/>
    <w:rsid w:val="00B43B28"/>
    <w:rsid w:val="00B473E4"/>
    <w:rsid w:val="00B57FC3"/>
    <w:rsid w:val="00B62926"/>
    <w:rsid w:val="00B6720D"/>
    <w:rsid w:val="00B92E42"/>
    <w:rsid w:val="00B94ED5"/>
    <w:rsid w:val="00B96467"/>
    <w:rsid w:val="00B97AF9"/>
    <w:rsid w:val="00BB179C"/>
    <w:rsid w:val="00BC3C35"/>
    <w:rsid w:val="00BC41A6"/>
    <w:rsid w:val="00BD43BB"/>
    <w:rsid w:val="00BE6650"/>
    <w:rsid w:val="00BE7057"/>
    <w:rsid w:val="00BF1774"/>
    <w:rsid w:val="00C06511"/>
    <w:rsid w:val="00C10004"/>
    <w:rsid w:val="00C12642"/>
    <w:rsid w:val="00C13B57"/>
    <w:rsid w:val="00C14212"/>
    <w:rsid w:val="00C23D37"/>
    <w:rsid w:val="00C24345"/>
    <w:rsid w:val="00C3191D"/>
    <w:rsid w:val="00C32ED7"/>
    <w:rsid w:val="00C3318D"/>
    <w:rsid w:val="00C379E8"/>
    <w:rsid w:val="00C40C8A"/>
    <w:rsid w:val="00C476A2"/>
    <w:rsid w:val="00C54837"/>
    <w:rsid w:val="00C573BA"/>
    <w:rsid w:val="00C60199"/>
    <w:rsid w:val="00C711A7"/>
    <w:rsid w:val="00C7414F"/>
    <w:rsid w:val="00C77680"/>
    <w:rsid w:val="00C77B48"/>
    <w:rsid w:val="00C8364B"/>
    <w:rsid w:val="00C83B6C"/>
    <w:rsid w:val="00C901D5"/>
    <w:rsid w:val="00C962DD"/>
    <w:rsid w:val="00CA300C"/>
    <w:rsid w:val="00CA7B8A"/>
    <w:rsid w:val="00CB14BD"/>
    <w:rsid w:val="00CB21B0"/>
    <w:rsid w:val="00CB471C"/>
    <w:rsid w:val="00CB5745"/>
    <w:rsid w:val="00CB6D86"/>
    <w:rsid w:val="00CC5028"/>
    <w:rsid w:val="00CC6C21"/>
    <w:rsid w:val="00CC6FBD"/>
    <w:rsid w:val="00CE5B80"/>
    <w:rsid w:val="00CE67BB"/>
    <w:rsid w:val="00CF1D29"/>
    <w:rsid w:val="00CF464E"/>
    <w:rsid w:val="00CF5639"/>
    <w:rsid w:val="00D10251"/>
    <w:rsid w:val="00D11D14"/>
    <w:rsid w:val="00D175EE"/>
    <w:rsid w:val="00D23F57"/>
    <w:rsid w:val="00D31578"/>
    <w:rsid w:val="00D35159"/>
    <w:rsid w:val="00D36636"/>
    <w:rsid w:val="00D45F85"/>
    <w:rsid w:val="00D46AFD"/>
    <w:rsid w:val="00D51461"/>
    <w:rsid w:val="00D60ACA"/>
    <w:rsid w:val="00D713DB"/>
    <w:rsid w:val="00D72A16"/>
    <w:rsid w:val="00D72BF0"/>
    <w:rsid w:val="00D72C63"/>
    <w:rsid w:val="00D977C1"/>
    <w:rsid w:val="00DA3ACD"/>
    <w:rsid w:val="00DB7042"/>
    <w:rsid w:val="00DC37CE"/>
    <w:rsid w:val="00DD27AF"/>
    <w:rsid w:val="00DE32EA"/>
    <w:rsid w:val="00E05F1C"/>
    <w:rsid w:val="00E104E4"/>
    <w:rsid w:val="00E148F3"/>
    <w:rsid w:val="00E16939"/>
    <w:rsid w:val="00E17A75"/>
    <w:rsid w:val="00E2089B"/>
    <w:rsid w:val="00E21071"/>
    <w:rsid w:val="00E21103"/>
    <w:rsid w:val="00E3424A"/>
    <w:rsid w:val="00E34B33"/>
    <w:rsid w:val="00E36648"/>
    <w:rsid w:val="00E467EB"/>
    <w:rsid w:val="00E47A42"/>
    <w:rsid w:val="00E70E7C"/>
    <w:rsid w:val="00E80744"/>
    <w:rsid w:val="00E933B0"/>
    <w:rsid w:val="00E935FE"/>
    <w:rsid w:val="00E975D7"/>
    <w:rsid w:val="00E9767F"/>
    <w:rsid w:val="00EA083A"/>
    <w:rsid w:val="00EA6E12"/>
    <w:rsid w:val="00EB6469"/>
    <w:rsid w:val="00EC0007"/>
    <w:rsid w:val="00EC1220"/>
    <w:rsid w:val="00EC6B0B"/>
    <w:rsid w:val="00ED2981"/>
    <w:rsid w:val="00ED410F"/>
    <w:rsid w:val="00ED4F05"/>
    <w:rsid w:val="00ED5FE3"/>
    <w:rsid w:val="00EE3106"/>
    <w:rsid w:val="00EE3A5D"/>
    <w:rsid w:val="00EE5B5C"/>
    <w:rsid w:val="00EF1909"/>
    <w:rsid w:val="00EF3098"/>
    <w:rsid w:val="00EF3EDA"/>
    <w:rsid w:val="00EF7349"/>
    <w:rsid w:val="00F042B3"/>
    <w:rsid w:val="00F048E6"/>
    <w:rsid w:val="00F07DEF"/>
    <w:rsid w:val="00F17A39"/>
    <w:rsid w:val="00F21F35"/>
    <w:rsid w:val="00F44D8B"/>
    <w:rsid w:val="00F634A3"/>
    <w:rsid w:val="00F73ADC"/>
    <w:rsid w:val="00F748BA"/>
    <w:rsid w:val="00F7683C"/>
    <w:rsid w:val="00F82C98"/>
    <w:rsid w:val="00F955AB"/>
    <w:rsid w:val="00F97A74"/>
    <w:rsid w:val="00FA1A3B"/>
    <w:rsid w:val="00FA24D3"/>
    <w:rsid w:val="00FA6BD1"/>
    <w:rsid w:val="00FB5B0B"/>
    <w:rsid w:val="00FC5E5B"/>
    <w:rsid w:val="00FC788A"/>
    <w:rsid w:val="00FE11C3"/>
    <w:rsid w:val="00FE1513"/>
    <w:rsid w:val="00FE2558"/>
    <w:rsid w:val="00FE4382"/>
    <w:rsid w:val="00FF659B"/>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F4FC9"/>
  <w15:docId w15:val="{5540DD64-9CA3-42A0-AB74-138163F80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05F1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05F1C"/>
    <w:rPr>
      <w:rFonts w:ascii="Calibri" w:hAnsi="Calibri"/>
      <w:szCs w:val="21"/>
    </w:rPr>
  </w:style>
  <w:style w:type="paragraph" w:customStyle="1" w:styleId="details">
    <w:name w:val="details"/>
    <w:basedOn w:val="Normal"/>
    <w:rsid w:val="00E05F1C"/>
    <w:pPr>
      <w:autoSpaceDN w:val="0"/>
      <w:spacing w:before="100" w:after="100"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E05F1C"/>
  </w:style>
  <w:style w:type="character" w:styleId="FootnoteReference">
    <w:name w:val="footnote reference"/>
    <w:basedOn w:val="DefaultParagraphFont"/>
    <w:uiPriority w:val="99"/>
    <w:semiHidden/>
    <w:unhideWhenUsed/>
    <w:rsid w:val="006E2F19"/>
    <w:rPr>
      <w:vertAlign w:val="superscript"/>
    </w:rPr>
  </w:style>
  <w:style w:type="paragraph" w:customStyle="1" w:styleId="title1">
    <w:name w:val="title1"/>
    <w:basedOn w:val="Normal"/>
    <w:rsid w:val="00204745"/>
    <w:pPr>
      <w:spacing w:after="0" w:line="240" w:lineRule="auto"/>
    </w:pPr>
    <w:rPr>
      <w:rFonts w:ascii="Times New Roman" w:eastAsia="Times New Roman" w:hAnsi="Times New Roman" w:cs="Times New Roman"/>
      <w:sz w:val="27"/>
      <w:szCs w:val="27"/>
      <w:lang w:eastAsia="hr-HR"/>
    </w:rPr>
  </w:style>
  <w:style w:type="paragraph" w:customStyle="1" w:styleId="desc2">
    <w:name w:val="desc2"/>
    <w:basedOn w:val="Normal"/>
    <w:rsid w:val="00204745"/>
    <w:pPr>
      <w:spacing w:after="0" w:line="240" w:lineRule="auto"/>
    </w:pPr>
    <w:rPr>
      <w:rFonts w:ascii="Times New Roman" w:eastAsia="Times New Roman" w:hAnsi="Times New Roman" w:cs="Times New Roman"/>
      <w:sz w:val="26"/>
      <w:szCs w:val="26"/>
      <w:lang w:eastAsia="hr-HR"/>
    </w:rPr>
  </w:style>
  <w:style w:type="paragraph" w:customStyle="1" w:styleId="details1">
    <w:name w:val="details1"/>
    <w:basedOn w:val="Normal"/>
    <w:rsid w:val="00204745"/>
    <w:pPr>
      <w:spacing w:after="0" w:line="240" w:lineRule="auto"/>
    </w:pPr>
    <w:rPr>
      <w:rFonts w:ascii="Times New Roman" w:eastAsia="Times New Roman" w:hAnsi="Times New Roman" w:cs="Times New Roman"/>
      <w:lang w:eastAsia="hr-HR"/>
    </w:rPr>
  </w:style>
  <w:style w:type="paragraph" w:styleId="ListParagraph">
    <w:name w:val="List Paragraph"/>
    <w:basedOn w:val="Normal"/>
    <w:uiPriority w:val="34"/>
    <w:qFormat/>
    <w:rsid w:val="00514918"/>
    <w:pPr>
      <w:ind w:left="720"/>
      <w:contextualSpacing/>
    </w:pPr>
  </w:style>
  <w:style w:type="character" w:styleId="CommentReference">
    <w:name w:val="annotation reference"/>
    <w:basedOn w:val="DefaultParagraphFont"/>
    <w:uiPriority w:val="99"/>
    <w:semiHidden/>
    <w:unhideWhenUsed/>
    <w:rsid w:val="00750369"/>
    <w:rPr>
      <w:sz w:val="16"/>
      <w:szCs w:val="16"/>
    </w:rPr>
  </w:style>
  <w:style w:type="paragraph" w:styleId="CommentText">
    <w:name w:val="annotation text"/>
    <w:basedOn w:val="Normal"/>
    <w:link w:val="CommentTextChar"/>
    <w:uiPriority w:val="99"/>
    <w:unhideWhenUsed/>
    <w:rsid w:val="00750369"/>
    <w:pPr>
      <w:spacing w:line="240" w:lineRule="auto"/>
    </w:pPr>
    <w:rPr>
      <w:sz w:val="20"/>
      <w:szCs w:val="20"/>
    </w:rPr>
  </w:style>
  <w:style w:type="character" w:customStyle="1" w:styleId="CommentTextChar">
    <w:name w:val="Comment Text Char"/>
    <w:basedOn w:val="DefaultParagraphFont"/>
    <w:link w:val="CommentText"/>
    <w:uiPriority w:val="99"/>
    <w:rsid w:val="00750369"/>
    <w:rPr>
      <w:sz w:val="20"/>
      <w:szCs w:val="20"/>
    </w:rPr>
  </w:style>
  <w:style w:type="paragraph" w:styleId="CommentSubject">
    <w:name w:val="annotation subject"/>
    <w:basedOn w:val="CommentText"/>
    <w:next w:val="CommentText"/>
    <w:link w:val="CommentSubjectChar"/>
    <w:uiPriority w:val="99"/>
    <w:semiHidden/>
    <w:unhideWhenUsed/>
    <w:rsid w:val="00750369"/>
    <w:rPr>
      <w:b/>
      <w:bCs/>
    </w:rPr>
  </w:style>
  <w:style w:type="character" w:customStyle="1" w:styleId="CommentSubjectChar">
    <w:name w:val="Comment Subject Char"/>
    <w:basedOn w:val="CommentTextChar"/>
    <w:link w:val="CommentSubject"/>
    <w:uiPriority w:val="99"/>
    <w:semiHidden/>
    <w:rsid w:val="00750369"/>
    <w:rPr>
      <w:b/>
      <w:bCs/>
      <w:sz w:val="20"/>
      <w:szCs w:val="20"/>
    </w:rPr>
  </w:style>
  <w:style w:type="paragraph" w:styleId="BalloonText">
    <w:name w:val="Balloon Text"/>
    <w:basedOn w:val="Normal"/>
    <w:link w:val="BalloonTextChar"/>
    <w:uiPriority w:val="99"/>
    <w:semiHidden/>
    <w:unhideWhenUsed/>
    <w:rsid w:val="0075036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750369"/>
    <w:rPr>
      <w:rFonts w:ascii="Tahoma" w:hAnsi="Tahoma" w:cs="Tahoma"/>
      <w:sz w:val="16"/>
      <w:szCs w:val="16"/>
      <w:lang w:val="en-US"/>
    </w:rPr>
  </w:style>
  <w:style w:type="paragraph" w:styleId="Header">
    <w:name w:val="header"/>
    <w:basedOn w:val="Normal"/>
    <w:link w:val="HeaderChar"/>
    <w:uiPriority w:val="99"/>
    <w:unhideWhenUsed/>
    <w:rsid w:val="00202A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2A9C"/>
  </w:style>
  <w:style w:type="paragraph" w:styleId="Footer">
    <w:name w:val="footer"/>
    <w:basedOn w:val="Normal"/>
    <w:link w:val="FooterChar"/>
    <w:uiPriority w:val="99"/>
    <w:unhideWhenUsed/>
    <w:rsid w:val="00202A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2A9C"/>
  </w:style>
  <w:style w:type="paragraph" w:styleId="Revision">
    <w:name w:val="Revision"/>
    <w:hidden/>
    <w:uiPriority w:val="99"/>
    <w:semiHidden/>
    <w:rsid w:val="009A3C66"/>
    <w:pPr>
      <w:spacing w:after="0" w:line="240" w:lineRule="auto"/>
    </w:pPr>
  </w:style>
  <w:style w:type="paragraph" w:customStyle="1" w:styleId="1">
    <w:name w:val="正文1"/>
    <w:uiPriority w:val="99"/>
    <w:rsid w:val="002D1D7A"/>
    <w:pPr>
      <w:spacing w:after="0" w:line="276" w:lineRule="auto"/>
    </w:pPr>
    <w:rPr>
      <w:rFonts w:ascii="Arial" w:eastAsia="SimSun" w:hAnsi="Arial" w:cs="Arial"/>
      <w:color w:val="000000"/>
      <w:szCs w:val="20"/>
      <w:lang w:val="pl-PL" w:eastAsia="pl-PL"/>
    </w:rPr>
  </w:style>
  <w:style w:type="character" w:styleId="Hyperlink">
    <w:name w:val="Hyperlink"/>
    <w:basedOn w:val="DefaultParagraphFont"/>
    <w:uiPriority w:val="99"/>
    <w:unhideWhenUsed/>
    <w:rsid w:val="002D1D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3524">
      <w:bodyDiv w:val="1"/>
      <w:marLeft w:val="0"/>
      <w:marRight w:val="0"/>
      <w:marTop w:val="0"/>
      <w:marBottom w:val="0"/>
      <w:divBdr>
        <w:top w:val="none" w:sz="0" w:space="0" w:color="auto"/>
        <w:left w:val="none" w:sz="0" w:space="0" w:color="auto"/>
        <w:bottom w:val="none" w:sz="0" w:space="0" w:color="auto"/>
        <w:right w:val="none" w:sz="0" w:space="0" w:color="auto"/>
      </w:divBdr>
    </w:div>
    <w:div w:id="63576139">
      <w:bodyDiv w:val="1"/>
      <w:marLeft w:val="0"/>
      <w:marRight w:val="0"/>
      <w:marTop w:val="0"/>
      <w:marBottom w:val="0"/>
      <w:divBdr>
        <w:top w:val="none" w:sz="0" w:space="0" w:color="auto"/>
        <w:left w:val="none" w:sz="0" w:space="0" w:color="auto"/>
        <w:bottom w:val="none" w:sz="0" w:space="0" w:color="auto"/>
        <w:right w:val="none" w:sz="0" w:space="0" w:color="auto"/>
      </w:divBdr>
    </w:div>
    <w:div w:id="286785862">
      <w:bodyDiv w:val="1"/>
      <w:marLeft w:val="0"/>
      <w:marRight w:val="0"/>
      <w:marTop w:val="0"/>
      <w:marBottom w:val="0"/>
      <w:divBdr>
        <w:top w:val="none" w:sz="0" w:space="0" w:color="auto"/>
        <w:left w:val="none" w:sz="0" w:space="0" w:color="auto"/>
        <w:bottom w:val="none" w:sz="0" w:space="0" w:color="auto"/>
        <w:right w:val="none" w:sz="0" w:space="0" w:color="auto"/>
      </w:divBdr>
    </w:div>
    <w:div w:id="459080994">
      <w:bodyDiv w:val="1"/>
      <w:marLeft w:val="0"/>
      <w:marRight w:val="0"/>
      <w:marTop w:val="0"/>
      <w:marBottom w:val="0"/>
      <w:divBdr>
        <w:top w:val="none" w:sz="0" w:space="0" w:color="auto"/>
        <w:left w:val="none" w:sz="0" w:space="0" w:color="auto"/>
        <w:bottom w:val="none" w:sz="0" w:space="0" w:color="auto"/>
        <w:right w:val="none" w:sz="0" w:space="0" w:color="auto"/>
      </w:divBdr>
      <w:divsChild>
        <w:div w:id="1002243827">
          <w:marLeft w:val="0"/>
          <w:marRight w:val="1"/>
          <w:marTop w:val="0"/>
          <w:marBottom w:val="0"/>
          <w:divBdr>
            <w:top w:val="none" w:sz="0" w:space="0" w:color="auto"/>
            <w:left w:val="none" w:sz="0" w:space="0" w:color="auto"/>
            <w:bottom w:val="none" w:sz="0" w:space="0" w:color="auto"/>
            <w:right w:val="none" w:sz="0" w:space="0" w:color="auto"/>
          </w:divBdr>
          <w:divsChild>
            <w:div w:id="2048218303">
              <w:marLeft w:val="0"/>
              <w:marRight w:val="0"/>
              <w:marTop w:val="0"/>
              <w:marBottom w:val="0"/>
              <w:divBdr>
                <w:top w:val="none" w:sz="0" w:space="0" w:color="auto"/>
                <w:left w:val="none" w:sz="0" w:space="0" w:color="auto"/>
                <w:bottom w:val="none" w:sz="0" w:space="0" w:color="auto"/>
                <w:right w:val="none" w:sz="0" w:space="0" w:color="auto"/>
              </w:divBdr>
              <w:divsChild>
                <w:div w:id="234239867">
                  <w:marLeft w:val="0"/>
                  <w:marRight w:val="1"/>
                  <w:marTop w:val="0"/>
                  <w:marBottom w:val="0"/>
                  <w:divBdr>
                    <w:top w:val="none" w:sz="0" w:space="0" w:color="auto"/>
                    <w:left w:val="none" w:sz="0" w:space="0" w:color="auto"/>
                    <w:bottom w:val="none" w:sz="0" w:space="0" w:color="auto"/>
                    <w:right w:val="none" w:sz="0" w:space="0" w:color="auto"/>
                  </w:divBdr>
                  <w:divsChild>
                    <w:div w:id="2085103849">
                      <w:marLeft w:val="0"/>
                      <w:marRight w:val="0"/>
                      <w:marTop w:val="0"/>
                      <w:marBottom w:val="0"/>
                      <w:divBdr>
                        <w:top w:val="none" w:sz="0" w:space="0" w:color="auto"/>
                        <w:left w:val="none" w:sz="0" w:space="0" w:color="auto"/>
                        <w:bottom w:val="none" w:sz="0" w:space="0" w:color="auto"/>
                        <w:right w:val="none" w:sz="0" w:space="0" w:color="auto"/>
                      </w:divBdr>
                      <w:divsChild>
                        <w:div w:id="491261783">
                          <w:marLeft w:val="0"/>
                          <w:marRight w:val="0"/>
                          <w:marTop w:val="0"/>
                          <w:marBottom w:val="0"/>
                          <w:divBdr>
                            <w:top w:val="none" w:sz="0" w:space="0" w:color="auto"/>
                            <w:left w:val="none" w:sz="0" w:space="0" w:color="auto"/>
                            <w:bottom w:val="none" w:sz="0" w:space="0" w:color="auto"/>
                            <w:right w:val="none" w:sz="0" w:space="0" w:color="auto"/>
                          </w:divBdr>
                          <w:divsChild>
                            <w:div w:id="31152448">
                              <w:marLeft w:val="0"/>
                              <w:marRight w:val="0"/>
                              <w:marTop w:val="120"/>
                              <w:marBottom w:val="360"/>
                              <w:divBdr>
                                <w:top w:val="none" w:sz="0" w:space="0" w:color="auto"/>
                                <w:left w:val="none" w:sz="0" w:space="0" w:color="auto"/>
                                <w:bottom w:val="none" w:sz="0" w:space="0" w:color="auto"/>
                                <w:right w:val="none" w:sz="0" w:space="0" w:color="auto"/>
                              </w:divBdr>
                              <w:divsChild>
                                <w:div w:id="897788817">
                                  <w:marLeft w:val="0"/>
                                  <w:marRight w:val="0"/>
                                  <w:marTop w:val="0"/>
                                  <w:marBottom w:val="0"/>
                                  <w:divBdr>
                                    <w:top w:val="none" w:sz="0" w:space="0" w:color="auto"/>
                                    <w:left w:val="none" w:sz="0" w:space="0" w:color="auto"/>
                                    <w:bottom w:val="none" w:sz="0" w:space="0" w:color="auto"/>
                                    <w:right w:val="none" w:sz="0" w:space="0" w:color="auto"/>
                                  </w:divBdr>
                                </w:div>
                                <w:div w:id="1937058422">
                                  <w:marLeft w:val="420"/>
                                  <w:marRight w:val="0"/>
                                  <w:marTop w:val="0"/>
                                  <w:marBottom w:val="0"/>
                                  <w:divBdr>
                                    <w:top w:val="none" w:sz="0" w:space="0" w:color="auto"/>
                                    <w:left w:val="none" w:sz="0" w:space="0" w:color="auto"/>
                                    <w:bottom w:val="none" w:sz="0" w:space="0" w:color="auto"/>
                                    <w:right w:val="none" w:sz="0" w:space="0" w:color="auto"/>
                                  </w:divBdr>
                                  <w:divsChild>
                                    <w:div w:id="20847213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418271">
      <w:bodyDiv w:val="1"/>
      <w:marLeft w:val="0"/>
      <w:marRight w:val="0"/>
      <w:marTop w:val="0"/>
      <w:marBottom w:val="0"/>
      <w:divBdr>
        <w:top w:val="none" w:sz="0" w:space="0" w:color="auto"/>
        <w:left w:val="none" w:sz="0" w:space="0" w:color="auto"/>
        <w:bottom w:val="none" w:sz="0" w:space="0" w:color="auto"/>
        <w:right w:val="none" w:sz="0" w:space="0" w:color="auto"/>
      </w:divBdr>
    </w:div>
    <w:div w:id="495536408">
      <w:bodyDiv w:val="1"/>
      <w:marLeft w:val="0"/>
      <w:marRight w:val="0"/>
      <w:marTop w:val="0"/>
      <w:marBottom w:val="0"/>
      <w:divBdr>
        <w:top w:val="none" w:sz="0" w:space="0" w:color="auto"/>
        <w:left w:val="none" w:sz="0" w:space="0" w:color="auto"/>
        <w:bottom w:val="none" w:sz="0" w:space="0" w:color="auto"/>
        <w:right w:val="none" w:sz="0" w:space="0" w:color="auto"/>
      </w:divBdr>
      <w:divsChild>
        <w:div w:id="698579617">
          <w:marLeft w:val="0"/>
          <w:marRight w:val="1"/>
          <w:marTop w:val="0"/>
          <w:marBottom w:val="0"/>
          <w:divBdr>
            <w:top w:val="none" w:sz="0" w:space="0" w:color="auto"/>
            <w:left w:val="none" w:sz="0" w:space="0" w:color="auto"/>
            <w:bottom w:val="none" w:sz="0" w:space="0" w:color="auto"/>
            <w:right w:val="none" w:sz="0" w:space="0" w:color="auto"/>
          </w:divBdr>
          <w:divsChild>
            <w:div w:id="1273978364">
              <w:marLeft w:val="0"/>
              <w:marRight w:val="0"/>
              <w:marTop w:val="0"/>
              <w:marBottom w:val="0"/>
              <w:divBdr>
                <w:top w:val="none" w:sz="0" w:space="0" w:color="auto"/>
                <w:left w:val="none" w:sz="0" w:space="0" w:color="auto"/>
                <w:bottom w:val="none" w:sz="0" w:space="0" w:color="auto"/>
                <w:right w:val="none" w:sz="0" w:space="0" w:color="auto"/>
              </w:divBdr>
              <w:divsChild>
                <w:div w:id="638388333">
                  <w:marLeft w:val="0"/>
                  <w:marRight w:val="1"/>
                  <w:marTop w:val="0"/>
                  <w:marBottom w:val="0"/>
                  <w:divBdr>
                    <w:top w:val="none" w:sz="0" w:space="0" w:color="auto"/>
                    <w:left w:val="none" w:sz="0" w:space="0" w:color="auto"/>
                    <w:bottom w:val="none" w:sz="0" w:space="0" w:color="auto"/>
                    <w:right w:val="none" w:sz="0" w:space="0" w:color="auto"/>
                  </w:divBdr>
                  <w:divsChild>
                    <w:div w:id="1750275148">
                      <w:marLeft w:val="0"/>
                      <w:marRight w:val="0"/>
                      <w:marTop w:val="0"/>
                      <w:marBottom w:val="0"/>
                      <w:divBdr>
                        <w:top w:val="none" w:sz="0" w:space="0" w:color="auto"/>
                        <w:left w:val="none" w:sz="0" w:space="0" w:color="auto"/>
                        <w:bottom w:val="none" w:sz="0" w:space="0" w:color="auto"/>
                        <w:right w:val="none" w:sz="0" w:space="0" w:color="auto"/>
                      </w:divBdr>
                      <w:divsChild>
                        <w:div w:id="1761484771">
                          <w:marLeft w:val="0"/>
                          <w:marRight w:val="0"/>
                          <w:marTop w:val="0"/>
                          <w:marBottom w:val="0"/>
                          <w:divBdr>
                            <w:top w:val="none" w:sz="0" w:space="0" w:color="auto"/>
                            <w:left w:val="none" w:sz="0" w:space="0" w:color="auto"/>
                            <w:bottom w:val="none" w:sz="0" w:space="0" w:color="auto"/>
                            <w:right w:val="none" w:sz="0" w:space="0" w:color="auto"/>
                          </w:divBdr>
                          <w:divsChild>
                            <w:div w:id="1339386360">
                              <w:marLeft w:val="0"/>
                              <w:marRight w:val="0"/>
                              <w:marTop w:val="120"/>
                              <w:marBottom w:val="360"/>
                              <w:divBdr>
                                <w:top w:val="none" w:sz="0" w:space="0" w:color="auto"/>
                                <w:left w:val="none" w:sz="0" w:space="0" w:color="auto"/>
                                <w:bottom w:val="none" w:sz="0" w:space="0" w:color="auto"/>
                                <w:right w:val="none" w:sz="0" w:space="0" w:color="auto"/>
                              </w:divBdr>
                              <w:divsChild>
                                <w:div w:id="106169139">
                                  <w:marLeft w:val="0"/>
                                  <w:marRight w:val="0"/>
                                  <w:marTop w:val="0"/>
                                  <w:marBottom w:val="0"/>
                                  <w:divBdr>
                                    <w:top w:val="none" w:sz="0" w:space="0" w:color="auto"/>
                                    <w:left w:val="none" w:sz="0" w:space="0" w:color="auto"/>
                                    <w:bottom w:val="none" w:sz="0" w:space="0" w:color="auto"/>
                                    <w:right w:val="none" w:sz="0" w:space="0" w:color="auto"/>
                                  </w:divBdr>
                                </w:div>
                                <w:div w:id="1800995372">
                                  <w:marLeft w:val="420"/>
                                  <w:marRight w:val="0"/>
                                  <w:marTop w:val="0"/>
                                  <w:marBottom w:val="0"/>
                                  <w:divBdr>
                                    <w:top w:val="none" w:sz="0" w:space="0" w:color="auto"/>
                                    <w:left w:val="none" w:sz="0" w:space="0" w:color="auto"/>
                                    <w:bottom w:val="none" w:sz="0" w:space="0" w:color="auto"/>
                                    <w:right w:val="none" w:sz="0" w:space="0" w:color="auto"/>
                                  </w:divBdr>
                                  <w:divsChild>
                                    <w:div w:id="11111701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501092">
      <w:bodyDiv w:val="1"/>
      <w:marLeft w:val="0"/>
      <w:marRight w:val="0"/>
      <w:marTop w:val="0"/>
      <w:marBottom w:val="0"/>
      <w:divBdr>
        <w:top w:val="none" w:sz="0" w:space="0" w:color="auto"/>
        <w:left w:val="none" w:sz="0" w:space="0" w:color="auto"/>
        <w:bottom w:val="none" w:sz="0" w:space="0" w:color="auto"/>
        <w:right w:val="none" w:sz="0" w:space="0" w:color="auto"/>
      </w:divBdr>
    </w:div>
    <w:div w:id="884368013">
      <w:bodyDiv w:val="1"/>
      <w:marLeft w:val="0"/>
      <w:marRight w:val="0"/>
      <w:marTop w:val="0"/>
      <w:marBottom w:val="0"/>
      <w:divBdr>
        <w:top w:val="none" w:sz="0" w:space="0" w:color="auto"/>
        <w:left w:val="none" w:sz="0" w:space="0" w:color="auto"/>
        <w:bottom w:val="none" w:sz="0" w:space="0" w:color="auto"/>
        <w:right w:val="none" w:sz="0" w:space="0" w:color="auto"/>
      </w:divBdr>
    </w:div>
    <w:div w:id="1086223906">
      <w:bodyDiv w:val="1"/>
      <w:marLeft w:val="0"/>
      <w:marRight w:val="0"/>
      <w:marTop w:val="0"/>
      <w:marBottom w:val="0"/>
      <w:divBdr>
        <w:top w:val="none" w:sz="0" w:space="0" w:color="auto"/>
        <w:left w:val="none" w:sz="0" w:space="0" w:color="auto"/>
        <w:bottom w:val="none" w:sz="0" w:space="0" w:color="auto"/>
        <w:right w:val="none" w:sz="0" w:space="0" w:color="auto"/>
      </w:divBdr>
    </w:div>
    <w:div w:id="1091976023">
      <w:bodyDiv w:val="1"/>
      <w:marLeft w:val="0"/>
      <w:marRight w:val="0"/>
      <w:marTop w:val="0"/>
      <w:marBottom w:val="0"/>
      <w:divBdr>
        <w:top w:val="none" w:sz="0" w:space="0" w:color="auto"/>
        <w:left w:val="none" w:sz="0" w:space="0" w:color="auto"/>
        <w:bottom w:val="none" w:sz="0" w:space="0" w:color="auto"/>
        <w:right w:val="none" w:sz="0" w:space="0" w:color="auto"/>
      </w:divBdr>
    </w:div>
    <w:div w:id="1188907589">
      <w:bodyDiv w:val="1"/>
      <w:marLeft w:val="0"/>
      <w:marRight w:val="0"/>
      <w:marTop w:val="0"/>
      <w:marBottom w:val="0"/>
      <w:divBdr>
        <w:top w:val="none" w:sz="0" w:space="0" w:color="auto"/>
        <w:left w:val="none" w:sz="0" w:space="0" w:color="auto"/>
        <w:bottom w:val="none" w:sz="0" w:space="0" w:color="auto"/>
        <w:right w:val="none" w:sz="0" w:space="0" w:color="auto"/>
      </w:divBdr>
    </w:div>
    <w:div w:id="1196767972">
      <w:bodyDiv w:val="1"/>
      <w:marLeft w:val="0"/>
      <w:marRight w:val="0"/>
      <w:marTop w:val="0"/>
      <w:marBottom w:val="0"/>
      <w:divBdr>
        <w:top w:val="none" w:sz="0" w:space="0" w:color="auto"/>
        <w:left w:val="none" w:sz="0" w:space="0" w:color="auto"/>
        <w:bottom w:val="none" w:sz="0" w:space="0" w:color="auto"/>
        <w:right w:val="none" w:sz="0" w:space="0" w:color="auto"/>
      </w:divBdr>
    </w:div>
    <w:div w:id="1246184204">
      <w:bodyDiv w:val="1"/>
      <w:marLeft w:val="0"/>
      <w:marRight w:val="0"/>
      <w:marTop w:val="0"/>
      <w:marBottom w:val="0"/>
      <w:divBdr>
        <w:top w:val="none" w:sz="0" w:space="0" w:color="auto"/>
        <w:left w:val="none" w:sz="0" w:space="0" w:color="auto"/>
        <w:bottom w:val="none" w:sz="0" w:space="0" w:color="auto"/>
        <w:right w:val="none" w:sz="0" w:space="0" w:color="auto"/>
      </w:divBdr>
    </w:div>
    <w:div w:id="1470394365">
      <w:bodyDiv w:val="1"/>
      <w:marLeft w:val="0"/>
      <w:marRight w:val="0"/>
      <w:marTop w:val="0"/>
      <w:marBottom w:val="0"/>
      <w:divBdr>
        <w:top w:val="none" w:sz="0" w:space="0" w:color="auto"/>
        <w:left w:val="none" w:sz="0" w:space="0" w:color="auto"/>
        <w:bottom w:val="none" w:sz="0" w:space="0" w:color="auto"/>
        <w:right w:val="none" w:sz="0" w:space="0" w:color="auto"/>
      </w:divBdr>
    </w:div>
    <w:div w:id="1518884314">
      <w:bodyDiv w:val="1"/>
      <w:marLeft w:val="0"/>
      <w:marRight w:val="0"/>
      <w:marTop w:val="0"/>
      <w:marBottom w:val="0"/>
      <w:divBdr>
        <w:top w:val="none" w:sz="0" w:space="0" w:color="auto"/>
        <w:left w:val="none" w:sz="0" w:space="0" w:color="auto"/>
        <w:bottom w:val="none" w:sz="0" w:space="0" w:color="auto"/>
        <w:right w:val="none" w:sz="0" w:space="0" w:color="auto"/>
      </w:divBdr>
    </w:div>
    <w:div w:id="1656834235">
      <w:bodyDiv w:val="1"/>
      <w:marLeft w:val="0"/>
      <w:marRight w:val="0"/>
      <w:marTop w:val="0"/>
      <w:marBottom w:val="0"/>
      <w:divBdr>
        <w:top w:val="none" w:sz="0" w:space="0" w:color="auto"/>
        <w:left w:val="none" w:sz="0" w:space="0" w:color="auto"/>
        <w:bottom w:val="none" w:sz="0" w:space="0" w:color="auto"/>
        <w:right w:val="none" w:sz="0" w:space="0" w:color="auto"/>
      </w:divBdr>
    </w:div>
    <w:div w:id="1720397943">
      <w:bodyDiv w:val="1"/>
      <w:marLeft w:val="0"/>
      <w:marRight w:val="0"/>
      <w:marTop w:val="0"/>
      <w:marBottom w:val="0"/>
      <w:divBdr>
        <w:top w:val="none" w:sz="0" w:space="0" w:color="auto"/>
        <w:left w:val="none" w:sz="0" w:space="0" w:color="auto"/>
        <w:bottom w:val="none" w:sz="0" w:space="0" w:color="auto"/>
        <w:right w:val="none" w:sz="0" w:space="0" w:color="auto"/>
      </w:divBdr>
    </w:div>
    <w:div w:id="1754277964">
      <w:bodyDiv w:val="1"/>
      <w:marLeft w:val="0"/>
      <w:marRight w:val="0"/>
      <w:marTop w:val="0"/>
      <w:marBottom w:val="0"/>
      <w:divBdr>
        <w:top w:val="none" w:sz="0" w:space="0" w:color="auto"/>
        <w:left w:val="none" w:sz="0" w:space="0" w:color="auto"/>
        <w:bottom w:val="none" w:sz="0" w:space="0" w:color="auto"/>
        <w:right w:val="none" w:sz="0" w:space="0" w:color="auto"/>
      </w:divBdr>
      <w:divsChild>
        <w:div w:id="833256106">
          <w:marLeft w:val="0"/>
          <w:marRight w:val="1"/>
          <w:marTop w:val="0"/>
          <w:marBottom w:val="0"/>
          <w:divBdr>
            <w:top w:val="none" w:sz="0" w:space="0" w:color="auto"/>
            <w:left w:val="none" w:sz="0" w:space="0" w:color="auto"/>
            <w:bottom w:val="none" w:sz="0" w:space="0" w:color="auto"/>
            <w:right w:val="none" w:sz="0" w:space="0" w:color="auto"/>
          </w:divBdr>
          <w:divsChild>
            <w:div w:id="1138495480">
              <w:marLeft w:val="0"/>
              <w:marRight w:val="0"/>
              <w:marTop w:val="0"/>
              <w:marBottom w:val="0"/>
              <w:divBdr>
                <w:top w:val="none" w:sz="0" w:space="0" w:color="auto"/>
                <w:left w:val="none" w:sz="0" w:space="0" w:color="auto"/>
                <w:bottom w:val="none" w:sz="0" w:space="0" w:color="auto"/>
                <w:right w:val="none" w:sz="0" w:space="0" w:color="auto"/>
              </w:divBdr>
              <w:divsChild>
                <w:div w:id="190846572">
                  <w:marLeft w:val="0"/>
                  <w:marRight w:val="1"/>
                  <w:marTop w:val="0"/>
                  <w:marBottom w:val="0"/>
                  <w:divBdr>
                    <w:top w:val="none" w:sz="0" w:space="0" w:color="auto"/>
                    <w:left w:val="none" w:sz="0" w:space="0" w:color="auto"/>
                    <w:bottom w:val="none" w:sz="0" w:space="0" w:color="auto"/>
                    <w:right w:val="none" w:sz="0" w:space="0" w:color="auto"/>
                  </w:divBdr>
                  <w:divsChild>
                    <w:div w:id="1702894094">
                      <w:marLeft w:val="0"/>
                      <w:marRight w:val="0"/>
                      <w:marTop w:val="0"/>
                      <w:marBottom w:val="0"/>
                      <w:divBdr>
                        <w:top w:val="none" w:sz="0" w:space="0" w:color="auto"/>
                        <w:left w:val="none" w:sz="0" w:space="0" w:color="auto"/>
                        <w:bottom w:val="none" w:sz="0" w:space="0" w:color="auto"/>
                        <w:right w:val="none" w:sz="0" w:space="0" w:color="auto"/>
                      </w:divBdr>
                      <w:divsChild>
                        <w:div w:id="1051617043">
                          <w:marLeft w:val="0"/>
                          <w:marRight w:val="0"/>
                          <w:marTop w:val="0"/>
                          <w:marBottom w:val="0"/>
                          <w:divBdr>
                            <w:top w:val="none" w:sz="0" w:space="0" w:color="auto"/>
                            <w:left w:val="none" w:sz="0" w:space="0" w:color="auto"/>
                            <w:bottom w:val="none" w:sz="0" w:space="0" w:color="auto"/>
                            <w:right w:val="none" w:sz="0" w:space="0" w:color="auto"/>
                          </w:divBdr>
                          <w:divsChild>
                            <w:div w:id="1771928016">
                              <w:marLeft w:val="0"/>
                              <w:marRight w:val="0"/>
                              <w:marTop w:val="120"/>
                              <w:marBottom w:val="360"/>
                              <w:divBdr>
                                <w:top w:val="none" w:sz="0" w:space="0" w:color="auto"/>
                                <w:left w:val="none" w:sz="0" w:space="0" w:color="auto"/>
                                <w:bottom w:val="none" w:sz="0" w:space="0" w:color="auto"/>
                                <w:right w:val="none" w:sz="0" w:space="0" w:color="auto"/>
                              </w:divBdr>
                              <w:divsChild>
                                <w:div w:id="1814061169">
                                  <w:marLeft w:val="420"/>
                                  <w:marRight w:val="0"/>
                                  <w:marTop w:val="0"/>
                                  <w:marBottom w:val="0"/>
                                  <w:divBdr>
                                    <w:top w:val="none" w:sz="0" w:space="0" w:color="auto"/>
                                    <w:left w:val="none" w:sz="0" w:space="0" w:color="auto"/>
                                    <w:bottom w:val="none" w:sz="0" w:space="0" w:color="auto"/>
                                    <w:right w:val="none" w:sz="0" w:space="0" w:color="auto"/>
                                  </w:divBdr>
                                  <w:divsChild>
                                    <w:div w:id="19968342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830536">
      <w:bodyDiv w:val="1"/>
      <w:marLeft w:val="0"/>
      <w:marRight w:val="0"/>
      <w:marTop w:val="0"/>
      <w:marBottom w:val="0"/>
      <w:divBdr>
        <w:top w:val="none" w:sz="0" w:space="0" w:color="auto"/>
        <w:left w:val="none" w:sz="0" w:space="0" w:color="auto"/>
        <w:bottom w:val="none" w:sz="0" w:space="0" w:color="auto"/>
        <w:right w:val="none" w:sz="0" w:space="0" w:color="auto"/>
      </w:divBdr>
    </w:div>
    <w:div w:id="1986084641">
      <w:bodyDiv w:val="1"/>
      <w:marLeft w:val="0"/>
      <w:marRight w:val="0"/>
      <w:marTop w:val="0"/>
      <w:marBottom w:val="0"/>
      <w:divBdr>
        <w:top w:val="none" w:sz="0" w:space="0" w:color="auto"/>
        <w:left w:val="none" w:sz="0" w:space="0" w:color="auto"/>
        <w:bottom w:val="none" w:sz="0" w:space="0" w:color="auto"/>
        <w:right w:val="none" w:sz="0" w:space="0" w:color="auto"/>
      </w:divBdr>
    </w:div>
    <w:div w:id="212325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link.springer.com/10.1007/978-1-4684-5697-4" TargetMode="External"/><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BC549-6AC5-41BE-B361-E4511089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145725</Words>
  <Characters>830637</Characters>
  <Application>Microsoft Office Word</Application>
  <DocSecurity>0</DocSecurity>
  <Lines>6921</Lines>
  <Paragraphs>1948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predrag.sikiric</dc:creator>
  <cp:lastModifiedBy>Lian-Sheng Ma</cp:lastModifiedBy>
  <cp:revision>2</cp:revision>
  <dcterms:created xsi:type="dcterms:W3CDTF">2018-12-19T23:50:00Z</dcterms:created>
  <dcterms:modified xsi:type="dcterms:W3CDTF">2018-12-19T23:50:00Z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http://www.zotero.org/styles/acta-orthopaedica</vt:lpwstr>
  </property>
  <property fmtid="{D5CDD505-2E9C-101B-9397-08002B2CF9AE}" pid="4" name="Mendeley Recent Style Name 0_1">
    <vt:lpwstr>Acta Orthopaedica</vt:lpwstr>
  </property>
  <property fmtid="{D5CDD505-2E9C-101B-9397-08002B2CF9AE}" pid="5" name="Mendeley Recent Style Id 1_1">
    <vt:lpwstr>http://www.zotero.org/styles/annals-of-hematology</vt:lpwstr>
  </property>
  <property fmtid="{D5CDD505-2E9C-101B-9397-08002B2CF9AE}" pid="6" name="Mendeley Recent Style Name 1_1">
    <vt:lpwstr>Annals of Hematology</vt:lpwstr>
  </property>
  <property fmtid="{D5CDD505-2E9C-101B-9397-08002B2CF9AE}" pid="7" name="Mendeley Recent Style Id 2_1">
    <vt:lpwstr>http://www.zotero.org/styles/journal-of-thrombosis-and-thrombolysis</vt:lpwstr>
  </property>
  <property fmtid="{D5CDD505-2E9C-101B-9397-08002B2CF9AE}" pid="8" name="Mendeley Recent Style Name 2_1">
    <vt:lpwstr>Journal of Thrombosis and Thrombolysis</vt:lpwstr>
  </property>
  <property fmtid="{D5CDD505-2E9C-101B-9397-08002B2CF9AE}" pid="9" name="Mendeley Recent Style Id 3_1">
    <vt:lpwstr>http://www.zotero.org/styles/modern-humanities-research-association</vt:lpwstr>
  </property>
  <property fmtid="{D5CDD505-2E9C-101B-9397-08002B2CF9AE}" pid="10" name="Mendeley Recent Style Name 3_1">
    <vt:lpwstr>Modern Humanities Research Association 3rd edition (note with bibliography)</vt:lpwstr>
  </property>
  <property fmtid="{D5CDD505-2E9C-101B-9397-08002B2CF9AE}" pid="11" name="Mendeley Recent Style Id 4_1">
    <vt:lpwstr>http://www.zotero.org/styles/surgery</vt:lpwstr>
  </property>
  <property fmtid="{D5CDD505-2E9C-101B-9397-08002B2CF9AE}" pid="12" name="Mendeley Recent Style Name 4_1">
    <vt:lpwstr>Surgery</vt:lpwstr>
  </property>
  <property fmtid="{D5CDD505-2E9C-101B-9397-08002B2CF9AE}" pid="13" name="Mendeley Recent Style Id 5_1">
    <vt:lpwstr>http://www.zotero.org/styles/the-american-journal-of-sports-medicine</vt:lpwstr>
  </property>
  <property fmtid="{D5CDD505-2E9C-101B-9397-08002B2CF9AE}" pid="14" name="Mendeley Recent Style Name 5_1">
    <vt:lpwstr>The American Journal of Sports Medicine</vt:lpwstr>
  </property>
  <property fmtid="{D5CDD505-2E9C-101B-9397-08002B2CF9AE}" pid="15" name="Mendeley Recent Style Id 6_1">
    <vt:lpwstr>http://www.zotero.org/styles/thrombosis-research</vt:lpwstr>
  </property>
  <property fmtid="{D5CDD505-2E9C-101B-9397-08002B2CF9AE}" pid="16" name="Mendeley Recent Style Name 6_1">
    <vt:lpwstr>Thrombosis Research</vt:lpwstr>
  </property>
  <property fmtid="{D5CDD505-2E9C-101B-9397-08002B2CF9AE}" pid="17" name="Mendeley Recent Style Id 7_1">
    <vt:lpwstr>http://www.zotero.org/styles/urologia-internationalis</vt:lpwstr>
  </property>
  <property fmtid="{D5CDD505-2E9C-101B-9397-08002B2CF9AE}" pid="18" name="Mendeley Recent Style Name 7_1">
    <vt:lpwstr>Urologia Internationalis</vt:lpwstr>
  </property>
  <property fmtid="{D5CDD505-2E9C-101B-9397-08002B2CF9AE}" pid="19" name="Mendeley Recent Style Id 8_1">
    <vt:lpwstr>http://www.zotero.org/styles/vancouver</vt:lpwstr>
  </property>
  <property fmtid="{D5CDD505-2E9C-101B-9397-08002B2CF9AE}" pid="20" name="Mendeley Recent Style Name 8_1">
    <vt:lpwstr>Vancouver</vt:lpwstr>
  </property>
  <property fmtid="{D5CDD505-2E9C-101B-9397-08002B2CF9AE}" pid="21" name="Mendeley Recent Style Id 9_1">
    <vt:lpwstr>http://www.zotero.org/styles/world-journal-of-gastroenterology</vt:lpwstr>
  </property>
  <property fmtid="{D5CDD505-2E9C-101B-9397-08002B2CF9AE}" pid="22" name="Mendeley Recent Style Name 9_1">
    <vt:lpwstr>World Journal of Gastroenterology</vt:lpwstr>
  </property>
  <property fmtid="{D5CDD505-2E9C-101B-9397-08002B2CF9AE}" pid="23" name="Mendeley Unique User Id_1">
    <vt:lpwstr>ba2049c9-765f-34ba-bfeb-f45a0df307ac</vt:lpwstr>
  </property>
  <property fmtid="{D5CDD505-2E9C-101B-9397-08002B2CF9AE}" pid="24" name="Mendeley Citation Style_1">
    <vt:lpwstr>http://www.zotero.org/styles/world-journal-of-gastroenterology</vt:lpwstr>
  </property>
</Properties>
</file>