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5A" w:rsidRPr="00B7665A" w:rsidRDefault="00B7665A" w:rsidP="00B7665A">
      <w:pPr>
        <w:widowControl w:val="0"/>
        <w:adjustRightInd w:val="0"/>
        <w:snapToGrid w:val="0"/>
        <w:spacing w:line="360" w:lineRule="auto"/>
        <w:jc w:val="both"/>
        <w:rPr>
          <w:rFonts w:ascii="Book Antiqua" w:eastAsia="Times New Roman" w:hAnsi="Book Antiqua" w:cs="SimSun"/>
          <w:b/>
          <w:i/>
          <w:color w:val="000000"/>
          <w:kern w:val="2"/>
          <w:sz w:val="24"/>
          <w:szCs w:val="24"/>
          <w:lang w:eastAsia="zh-CN"/>
        </w:rPr>
      </w:pPr>
      <w:r w:rsidRPr="00B7665A">
        <w:rPr>
          <w:rFonts w:ascii="Book Antiqua" w:eastAsia="Times New Roman" w:hAnsi="Book Antiqua" w:cs="SimSun"/>
          <w:b/>
          <w:color w:val="000000"/>
          <w:kern w:val="2"/>
          <w:sz w:val="24"/>
          <w:szCs w:val="24"/>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B7665A">
        <w:rPr>
          <w:rFonts w:ascii="Book Antiqua" w:eastAsia="Times New Roman" w:hAnsi="Book Antiqua" w:cs="SimSun"/>
          <w:b/>
          <w:i/>
          <w:color w:val="000000"/>
          <w:kern w:val="2"/>
          <w:sz w:val="24"/>
          <w:szCs w:val="24"/>
          <w:lang w:eastAsia="zh-CN"/>
        </w:rPr>
        <w:t xml:space="preserve">World Journal of </w:t>
      </w:r>
      <w:bookmarkStart w:id="7" w:name="OLE_LINK1222"/>
      <w:bookmarkStart w:id="8" w:name="OLE_LINK1223"/>
      <w:r w:rsidRPr="00B7665A">
        <w:rPr>
          <w:rFonts w:ascii="Book Antiqua" w:eastAsia="Times New Roman" w:hAnsi="Book Antiqua" w:cs="SimSun"/>
          <w:b/>
          <w:i/>
          <w:color w:val="000000"/>
          <w:kern w:val="2"/>
          <w:sz w:val="24"/>
          <w:szCs w:val="24"/>
          <w:lang w:eastAsia="zh-CN"/>
        </w:rPr>
        <w:t>Gastroenterology</w:t>
      </w:r>
      <w:bookmarkEnd w:id="0"/>
      <w:bookmarkEnd w:id="1"/>
      <w:bookmarkEnd w:id="2"/>
      <w:bookmarkEnd w:id="3"/>
      <w:bookmarkEnd w:id="4"/>
      <w:bookmarkEnd w:id="5"/>
      <w:bookmarkEnd w:id="6"/>
      <w:bookmarkEnd w:id="7"/>
      <w:bookmarkEnd w:id="8"/>
    </w:p>
    <w:p w:rsidR="00B7665A" w:rsidRPr="00B7665A" w:rsidRDefault="00B7665A" w:rsidP="00B7665A">
      <w:pPr>
        <w:widowControl w:val="0"/>
        <w:adjustRightInd w:val="0"/>
        <w:snapToGrid w:val="0"/>
        <w:spacing w:line="360" w:lineRule="auto"/>
        <w:jc w:val="both"/>
        <w:rPr>
          <w:rFonts w:ascii="Book Antiqua" w:hAnsi="Book Antiqua" w:cs="Arial"/>
          <w:b/>
          <w:color w:val="000000"/>
          <w:kern w:val="2"/>
          <w:sz w:val="24"/>
          <w:szCs w:val="24"/>
          <w:lang w:val="en" w:eastAsia="zh-CN"/>
        </w:rPr>
      </w:pPr>
      <w:r w:rsidRPr="00B7665A">
        <w:rPr>
          <w:rFonts w:ascii="Book Antiqua" w:eastAsia="Times New Roman" w:hAnsi="Book Antiqua" w:cs="Times New Roman"/>
          <w:b/>
          <w:bCs/>
          <w:color w:val="222222"/>
          <w:kern w:val="2"/>
          <w:sz w:val="24"/>
          <w:szCs w:val="24"/>
          <w:lang w:eastAsia="zh-CN"/>
        </w:rPr>
        <w:t>Manuscript NO</w:t>
      </w:r>
      <w:r w:rsidRPr="00B7665A">
        <w:rPr>
          <w:rFonts w:ascii="Book Antiqua" w:hAnsi="Book Antiqua" w:cs="Arial"/>
          <w:b/>
          <w:color w:val="000000"/>
          <w:kern w:val="2"/>
          <w:sz w:val="24"/>
          <w:szCs w:val="24"/>
          <w:lang w:val="en" w:eastAsia="zh-CN"/>
        </w:rPr>
        <w:t xml:space="preserve">: </w:t>
      </w:r>
      <w:r>
        <w:rPr>
          <w:rFonts w:ascii="Book Antiqua" w:hAnsi="Book Antiqua" w:cs="Arial" w:hint="eastAsia"/>
          <w:b/>
          <w:color w:val="000000"/>
          <w:kern w:val="2"/>
          <w:sz w:val="24"/>
          <w:szCs w:val="24"/>
          <w:lang w:val="en" w:eastAsia="zh-CN"/>
        </w:rPr>
        <w:t>41851</w:t>
      </w:r>
    </w:p>
    <w:p w:rsidR="00B7665A" w:rsidRPr="00B7665A" w:rsidRDefault="00B7665A" w:rsidP="00B7665A">
      <w:pPr>
        <w:widowControl w:val="0"/>
        <w:adjustRightInd w:val="0"/>
        <w:snapToGrid w:val="0"/>
        <w:spacing w:line="360" w:lineRule="auto"/>
        <w:jc w:val="both"/>
        <w:rPr>
          <w:rFonts w:ascii="Book Antiqua" w:hAnsi="Book Antiqua" w:cs="Times New Roman"/>
          <w:b/>
          <w:color w:val="000000"/>
          <w:kern w:val="2"/>
          <w:sz w:val="24"/>
          <w:szCs w:val="24"/>
          <w:lang w:eastAsia="zh-CN"/>
        </w:rPr>
      </w:pPr>
      <w:bookmarkStart w:id="9" w:name="OLE_LINK3"/>
      <w:bookmarkStart w:id="10" w:name="OLE_LINK4"/>
      <w:r w:rsidRPr="00B7665A">
        <w:rPr>
          <w:rFonts w:ascii="Book Antiqua" w:hAnsi="Book Antiqua" w:cs="Times New Roman"/>
          <w:b/>
          <w:color w:val="000000"/>
          <w:kern w:val="2"/>
          <w:sz w:val="24"/>
          <w:szCs w:val="24"/>
          <w:shd w:val="clear" w:color="auto" w:fill="FFFFFF"/>
          <w:lang w:eastAsia="zh-CN"/>
        </w:rPr>
        <w:t>Manuscript</w:t>
      </w:r>
      <w:r w:rsidR="0010276F">
        <w:rPr>
          <w:rFonts w:ascii="Book Antiqua" w:hAnsi="Book Antiqua" w:cs="Times New Roman" w:hint="eastAsia"/>
          <w:b/>
          <w:color w:val="000000"/>
          <w:kern w:val="2"/>
          <w:sz w:val="24"/>
          <w:szCs w:val="24"/>
          <w:shd w:val="clear" w:color="auto" w:fill="FFFFFF"/>
          <w:lang w:eastAsia="zh-CN"/>
        </w:rPr>
        <w:t xml:space="preserve"> </w:t>
      </w:r>
      <w:r w:rsidRPr="00B7665A">
        <w:rPr>
          <w:rFonts w:ascii="Book Antiqua" w:hAnsi="Book Antiqua" w:cs="Times New Roman"/>
          <w:b/>
          <w:color w:val="000000"/>
          <w:kern w:val="2"/>
          <w:sz w:val="24"/>
          <w:szCs w:val="24"/>
          <w:shd w:val="clear" w:color="auto" w:fill="FFFFFF"/>
          <w:lang w:eastAsia="zh-CN"/>
        </w:rPr>
        <w:t>Type</w:t>
      </w:r>
      <w:r w:rsidRPr="00B7665A">
        <w:rPr>
          <w:rFonts w:ascii="Book Antiqua" w:hAnsi="Book Antiqua" w:cs="Times New Roman"/>
          <w:b/>
          <w:color w:val="000000"/>
          <w:kern w:val="2"/>
          <w:sz w:val="24"/>
          <w:szCs w:val="24"/>
          <w:lang w:eastAsia="zh-CN"/>
        </w:rPr>
        <w:t xml:space="preserve">: </w:t>
      </w:r>
      <w:bookmarkEnd w:id="9"/>
      <w:bookmarkEnd w:id="10"/>
      <w:r w:rsidRPr="00B7665A">
        <w:rPr>
          <w:rFonts w:ascii="Book Antiqua" w:hAnsi="Book Antiqua" w:cs="Times New Roman"/>
          <w:b/>
          <w:kern w:val="2"/>
          <w:sz w:val="24"/>
          <w:szCs w:val="24"/>
          <w:lang w:eastAsia="zh-CN"/>
        </w:rPr>
        <w:t>EDITORIAL</w:t>
      </w:r>
    </w:p>
    <w:p w:rsidR="00683314" w:rsidRPr="00B7665A" w:rsidRDefault="00683314" w:rsidP="00B7665A">
      <w:pPr>
        <w:widowControl w:val="0"/>
        <w:adjustRightInd w:val="0"/>
        <w:snapToGrid w:val="0"/>
        <w:spacing w:line="360" w:lineRule="auto"/>
        <w:jc w:val="both"/>
        <w:rPr>
          <w:rFonts w:ascii="Book Antiqua" w:hAnsi="Book Antiqua"/>
          <w:sz w:val="24"/>
          <w:szCs w:val="24"/>
        </w:rPr>
      </w:pPr>
    </w:p>
    <w:p w:rsidR="00530194" w:rsidRPr="00B7665A" w:rsidRDefault="00530194" w:rsidP="00B7665A">
      <w:pPr>
        <w:widowControl w:val="0"/>
        <w:adjustRightInd w:val="0"/>
        <w:snapToGrid w:val="0"/>
        <w:spacing w:line="360" w:lineRule="auto"/>
        <w:jc w:val="both"/>
        <w:rPr>
          <w:rFonts w:ascii="Book Antiqua" w:hAnsi="Book Antiqua"/>
          <w:b/>
          <w:sz w:val="24"/>
          <w:szCs w:val="24"/>
        </w:rPr>
      </w:pPr>
      <w:bookmarkStart w:id="11" w:name="_Hlk523142446"/>
      <w:r w:rsidRPr="00B7665A">
        <w:rPr>
          <w:rFonts w:ascii="Book Antiqua" w:hAnsi="Book Antiqua"/>
          <w:b/>
          <w:sz w:val="24"/>
          <w:szCs w:val="24"/>
        </w:rPr>
        <w:t xml:space="preserve">Increased susceptibility of aging gastric mucosa to injury </w:t>
      </w:r>
      <w:r w:rsidR="00B7665A">
        <w:rPr>
          <w:rFonts w:ascii="Book Antiqua" w:hAnsi="Book Antiqua" w:hint="eastAsia"/>
          <w:b/>
          <w:sz w:val="24"/>
          <w:szCs w:val="24"/>
          <w:lang w:eastAsia="zh-CN"/>
        </w:rPr>
        <w:t>and</w:t>
      </w:r>
      <w:r w:rsidRPr="00B7665A">
        <w:rPr>
          <w:rFonts w:ascii="Book Antiqua" w:hAnsi="Book Antiqua"/>
          <w:b/>
          <w:sz w:val="24"/>
          <w:szCs w:val="24"/>
        </w:rPr>
        <w:t xml:space="preserve"> delayed healing: Clinical implications</w:t>
      </w:r>
      <w:bookmarkEnd w:id="11"/>
    </w:p>
    <w:p w:rsidR="00453E32" w:rsidRPr="00B7665A" w:rsidRDefault="00453E32" w:rsidP="00B7665A">
      <w:pPr>
        <w:widowControl w:val="0"/>
        <w:adjustRightInd w:val="0"/>
        <w:snapToGrid w:val="0"/>
        <w:spacing w:line="360" w:lineRule="auto"/>
        <w:jc w:val="both"/>
        <w:rPr>
          <w:rFonts w:ascii="Book Antiqua" w:hAnsi="Book Antiqua" w:cs="Times New Roman"/>
          <w:b/>
          <w:color w:val="000000" w:themeColor="text1"/>
          <w:sz w:val="24"/>
          <w:szCs w:val="24"/>
          <w:highlight w:val="white"/>
          <w:lang w:eastAsia="zh-CN"/>
        </w:rPr>
      </w:pPr>
    </w:p>
    <w:p w:rsidR="00530194" w:rsidRPr="00B7665A" w:rsidRDefault="00B7665A" w:rsidP="00B7665A">
      <w:pPr>
        <w:widowControl w:val="0"/>
        <w:adjustRightInd w:val="0"/>
        <w:snapToGrid w:val="0"/>
        <w:spacing w:line="360" w:lineRule="auto"/>
        <w:jc w:val="both"/>
        <w:rPr>
          <w:rFonts w:ascii="Book Antiqua" w:hAnsi="Book Antiqua"/>
          <w:sz w:val="24"/>
          <w:szCs w:val="24"/>
        </w:rPr>
      </w:pPr>
      <w:r w:rsidRPr="00B7665A">
        <w:rPr>
          <w:rFonts w:ascii="Book Antiqua" w:hAnsi="Book Antiqua" w:cs="Times New Roman"/>
          <w:sz w:val="24"/>
          <w:szCs w:val="24"/>
        </w:rPr>
        <w:t xml:space="preserve">Tarnawski </w:t>
      </w:r>
      <w:r w:rsidR="000A484D">
        <w:rPr>
          <w:rFonts w:ascii="Book Antiqua" w:hAnsi="Book Antiqua" w:cs="Times New Roman" w:hint="eastAsia"/>
          <w:sz w:val="24"/>
          <w:szCs w:val="24"/>
          <w:lang w:eastAsia="zh-CN"/>
        </w:rPr>
        <w:t xml:space="preserve">AS </w:t>
      </w:r>
      <w:r w:rsidRPr="00B7665A">
        <w:rPr>
          <w:rFonts w:ascii="Book Antiqua" w:hAnsi="Book Antiqua" w:cs="Times New Roman" w:hint="eastAsia"/>
          <w:i/>
          <w:sz w:val="24"/>
          <w:szCs w:val="24"/>
          <w:lang w:eastAsia="zh-CN"/>
        </w:rPr>
        <w:t>et al</w:t>
      </w:r>
      <w:r>
        <w:rPr>
          <w:rFonts w:ascii="Book Antiqua" w:hAnsi="Book Antiqua" w:cs="Times New Roman" w:hint="eastAsia"/>
          <w:sz w:val="24"/>
          <w:szCs w:val="24"/>
          <w:lang w:eastAsia="zh-CN"/>
        </w:rPr>
        <w:t>.</w:t>
      </w:r>
      <w:r w:rsidR="005F434F">
        <w:rPr>
          <w:rFonts w:ascii="Book Antiqua" w:hAnsi="Book Antiqua" w:cs="Times New Roman" w:hint="eastAsia"/>
          <w:sz w:val="24"/>
          <w:szCs w:val="24"/>
          <w:lang w:eastAsia="zh-CN"/>
        </w:rPr>
        <w:t xml:space="preserve"> </w:t>
      </w:r>
      <w:r w:rsidR="00530194" w:rsidRPr="00B7665A">
        <w:rPr>
          <w:rFonts w:ascii="Book Antiqua" w:hAnsi="Book Antiqua"/>
          <w:sz w:val="24"/>
          <w:szCs w:val="24"/>
        </w:rPr>
        <w:t>Increased susceptibility of aging gastric mucosa</w:t>
      </w:r>
      <w:r w:rsidR="00061EFB" w:rsidRPr="00B7665A">
        <w:rPr>
          <w:rFonts w:ascii="Book Antiqua" w:hAnsi="Book Antiqua"/>
          <w:sz w:val="24"/>
          <w:szCs w:val="24"/>
        </w:rPr>
        <w:t xml:space="preserve"> </w:t>
      </w:r>
      <w:r w:rsidR="003863B0" w:rsidRPr="00B7665A">
        <w:rPr>
          <w:rFonts w:ascii="Book Antiqua" w:hAnsi="Book Antiqua"/>
          <w:sz w:val="24"/>
          <w:szCs w:val="24"/>
        </w:rPr>
        <w:t>to injury</w:t>
      </w:r>
    </w:p>
    <w:p w:rsidR="00530194" w:rsidRPr="00B7665A" w:rsidRDefault="00530194" w:rsidP="00B7665A">
      <w:pPr>
        <w:widowControl w:val="0"/>
        <w:adjustRightInd w:val="0"/>
        <w:snapToGrid w:val="0"/>
        <w:spacing w:line="360" w:lineRule="auto"/>
        <w:jc w:val="both"/>
        <w:rPr>
          <w:rFonts w:ascii="Book Antiqua" w:hAnsi="Book Antiqua"/>
          <w:b/>
          <w:sz w:val="24"/>
          <w:szCs w:val="24"/>
        </w:rPr>
      </w:pPr>
    </w:p>
    <w:p w:rsidR="00530194" w:rsidRDefault="00B7665A" w:rsidP="00B7665A">
      <w:pPr>
        <w:widowControl w:val="0"/>
        <w:adjustRightInd w:val="0"/>
        <w:snapToGrid w:val="0"/>
        <w:spacing w:line="360" w:lineRule="auto"/>
        <w:jc w:val="both"/>
        <w:rPr>
          <w:rFonts w:ascii="Book Antiqua" w:hAnsi="Book Antiqua" w:cs="Times New Roman"/>
          <w:sz w:val="24"/>
          <w:szCs w:val="24"/>
          <w:lang w:eastAsia="zh-CN"/>
        </w:rPr>
      </w:pPr>
      <w:bookmarkStart w:id="12" w:name="_Hlk526854914"/>
      <w:r w:rsidRPr="00B7665A">
        <w:rPr>
          <w:rFonts w:ascii="Book Antiqua" w:hAnsi="Book Antiqua" w:cs="Times New Roman"/>
          <w:sz w:val="24"/>
          <w:szCs w:val="24"/>
        </w:rPr>
        <w:t>Andrzej S</w:t>
      </w:r>
      <w:r w:rsidR="00530194" w:rsidRPr="00B7665A">
        <w:rPr>
          <w:rFonts w:ascii="Book Antiqua" w:hAnsi="Book Antiqua" w:cs="Times New Roman"/>
          <w:sz w:val="24"/>
          <w:szCs w:val="24"/>
        </w:rPr>
        <w:t xml:space="preserve"> Tarnawski</w:t>
      </w:r>
      <w:bookmarkEnd w:id="12"/>
      <w:r>
        <w:rPr>
          <w:rFonts w:ascii="Book Antiqua" w:hAnsi="Book Antiqua" w:cs="Times New Roman" w:hint="eastAsia"/>
          <w:sz w:val="24"/>
          <w:szCs w:val="24"/>
          <w:lang w:eastAsia="zh-CN"/>
        </w:rPr>
        <w:t>,</w:t>
      </w:r>
      <w:r>
        <w:rPr>
          <w:rFonts w:ascii="Book Antiqua" w:hAnsi="Book Antiqua" w:cs="Times New Roman"/>
          <w:sz w:val="24"/>
          <w:szCs w:val="24"/>
        </w:rPr>
        <w:t xml:space="preserve"> Amrita Ahluwalia</w:t>
      </w:r>
    </w:p>
    <w:p w:rsidR="00B7665A" w:rsidRPr="00B7665A" w:rsidRDefault="00B7665A" w:rsidP="00B7665A">
      <w:pPr>
        <w:widowControl w:val="0"/>
        <w:adjustRightInd w:val="0"/>
        <w:snapToGrid w:val="0"/>
        <w:spacing w:line="360" w:lineRule="auto"/>
        <w:jc w:val="both"/>
        <w:rPr>
          <w:rFonts w:ascii="Book Antiqua" w:hAnsi="Book Antiqua" w:cs="Times New Roman"/>
          <w:sz w:val="24"/>
          <w:szCs w:val="24"/>
          <w:lang w:eastAsia="zh-CN"/>
        </w:rPr>
      </w:pPr>
    </w:p>
    <w:p w:rsidR="00530194" w:rsidRDefault="00B7665A" w:rsidP="00B7665A">
      <w:pPr>
        <w:widowControl w:val="0"/>
        <w:adjustRightInd w:val="0"/>
        <w:snapToGrid w:val="0"/>
        <w:spacing w:line="360" w:lineRule="auto"/>
        <w:jc w:val="both"/>
        <w:rPr>
          <w:rFonts w:ascii="Book Antiqua" w:hAnsi="Book Antiqua" w:cs="Times New Roman"/>
          <w:sz w:val="24"/>
          <w:szCs w:val="24"/>
          <w:lang w:eastAsia="zh-CN"/>
        </w:rPr>
      </w:pPr>
      <w:bookmarkStart w:id="13" w:name="_Hlk526854947"/>
      <w:r>
        <w:rPr>
          <w:rFonts w:ascii="Book Antiqua" w:hAnsi="Book Antiqua" w:cs="Times New Roman"/>
          <w:b/>
          <w:sz w:val="24"/>
          <w:szCs w:val="24"/>
        </w:rPr>
        <w:t>Andrzej S</w:t>
      </w:r>
      <w:r w:rsidR="00530194" w:rsidRPr="00B7665A">
        <w:rPr>
          <w:rFonts w:ascii="Book Antiqua" w:hAnsi="Book Antiqua" w:cs="Times New Roman"/>
          <w:b/>
          <w:sz w:val="24"/>
          <w:szCs w:val="24"/>
        </w:rPr>
        <w:t xml:space="preserve"> Tarnawski</w:t>
      </w:r>
      <w:r>
        <w:rPr>
          <w:rFonts w:ascii="Book Antiqua" w:hAnsi="Book Antiqua" w:cs="Times New Roman" w:hint="eastAsia"/>
          <w:b/>
          <w:sz w:val="24"/>
          <w:szCs w:val="24"/>
          <w:lang w:eastAsia="zh-CN"/>
        </w:rPr>
        <w:t xml:space="preserve">, </w:t>
      </w:r>
      <w:r w:rsidR="00530194" w:rsidRPr="00B7665A">
        <w:rPr>
          <w:rFonts w:ascii="Book Antiqua" w:hAnsi="Book Antiqua" w:cs="Times New Roman"/>
          <w:b/>
          <w:sz w:val="24"/>
          <w:szCs w:val="24"/>
        </w:rPr>
        <w:t xml:space="preserve">Amrita Ahluwalia, </w:t>
      </w:r>
      <w:r w:rsidR="005F434F" w:rsidRPr="005F434F">
        <w:rPr>
          <w:rFonts w:ascii="Book Antiqua" w:hAnsi="Book Antiqua" w:cs="Times New Roman"/>
          <w:sz w:val="24"/>
          <w:szCs w:val="24"/>
        </w:rPr>
        <w:t xml:space="preserve">Department </w:t>
      </w:r>
      <w:r w:rsidR="005F434F" w:rsidRPr="005F434F">
        <w:rPr>
          <w:rFonts w:ascii="Book Antiqua" w:hAnsi="Book Antiqua" w:cs="Times New Roman" w:hint="eastAsia"/>
          <w:sz w:val="24"/>
          <w:szCs w:val="24"/>
          <w:lang w:eastAsia="zh-CN"/>
        </w:rPr>
        <w:t xml:space="preserve">of </w:t>
      </w:r>
      <w:r w:rsidR="005F434F" w:rsidRPr="005F434F">
        <w:rPr>
          <w:rFonts w:ascii="Book Antiqua" w:hAnsi="Book Antiqua" w:cs="Times New Roman"/>
          <w:sz w:val="24"/>
          <w:szCs w:val="24"/>
        </w:rPr>
        <w:t>Gastroenterology Research</w:t>
      </w:r>
      <w:r w:rsidR="005F434F" w:rsidRPr="005F434F">
        <w:rPr>
          <w:rFonts w:ascii="Book Antiqua" w:hAnsi="Book Antiqua" w:cs="Times New Roman" w:hint="eastAsia"/>
          <w:sz w:val="24"/>
          <w:szCs w:val="24"/>
          <w:lang w:eastAsia="zh-CN"/>
        </w:rPr>
        <w:t>,</w:t>
      </w:r>
      <w:r w:rsidR="005F434F" w:rsidRPr="00B7665A">
        <w:rPr>
          <w:rFonts w:ascii="Book Antiqua" w:hAnsi="Book Antiqua" w:cs="Times New Roman"/>
          <w:b/>
          <w:sz w:val="24"/>
          <w:szCs w:val="24"/>
        </w:rPr>
        <w:t xml:space="preserve"> </w:t>
      </w:r>
      <w:r w:rsidR="00530194" w:rsidRPr="00B7665A">
        <w:rPr>
          <w:rFonts w:ascii="Book Antiqua" w:hAnsi="Book Antiqua" w:cs="Times New Roman"/>
          <w:sz w:val="24"/>
          <w:szCs w:val="24"/>
        </w:rPr>
        <w:t>University of California Irvine and the Veterans Administration Long Beach Healthcare System, Long Beac</w:t>
      </w:r>
      <w:r>
        <w:rPr>
          <w:rFonts w:ascii="Book Antiqua" w:hAnsi="Book Antiqua" w:cs="Times New Roman"/>
          <w:sz w:val="24"/>
          <w:szCs w:val="24"/>
        </w:rPr>
        <w:t>h, CA 90822, United States</w:t>
      </w:r>
    </w:p>
    <w:p w:rsidR="00B7665A" w:rsidRPr="00B7665A" w:rsidRDefault="00B7665A" w:rsidP="00B7665A">
      <w:pPr>
        <w:widowControl w:val="0"/>
        <w:adjustRightInd w:val="0"/>
        <w:snapToGrid w:val="0"/>
        <w:spacing w:line="360" w:lineRule="auto"/>
        <w:jc w:val="both"/>
        <w:rPr>
          <w:rFonts w:ascii="Book Antiqua" w:hAnsi="Book Antiqua" w:cs="Times New Roman"/>
          <w:sz w:val="24"/>
          <w:szCs w:val="24"/>
          <w:lang w:eastAsia="zh-CN"/>
        </w:rPr>
      </w:pPr>
    </w:p>
    <w:p w:rsidR="00775E6B" w:rsidRDefault="00775E6B" w:rsidP="00B7665A">
      <w:pPr>
        <w:widowControl w:val="0"/>
        <w:adjustRightInd w:val="0"/>
        <w:snapToGrid w:val="0"/>
        <w:spacing w:line="360" w:lineRule="auto"/>
        <w:jc w:val="both"/>
        <w:rPr>
          <w:rFonts w:ascii="Book Antiqua" w:hAnsi="Book Antiqua" w:cs="Times New Roman"/>
          <w:sz w:val="24"/>
          <w:szCs w:val="24"/>
          <w:lang w:eastAsia="zh-CN"/>
        </w:rPr>
      </w:pPr>
      <w:r w:rsidRPr="00B7665A">
        <w:rPr>
          <w:rFonts w:ascii="Book Antiqua" w:hAnsi="Book Antiqua" w:cs="Times New Roman"/>
          <w:b/>
          <w:sz w:val="24"/>
          <w:szCs w:val="24"/>
        </w:rPr>
        <w:t>ORCID number</w:t>
      </w:r>
      <w:r w:rsidR="00B7665A">
        <w:rPr>
          <w:rFonts w:ascii="Book Antiqua" w:hAnsi="Book Antiqua" w:cs="Times New Roman" w:hint="eastAsia"/>
          <w:b/>
          <w:sz w:val="24"/>
          <w:szCs w:val="24"/>
          <w:lang w:eastAsia="zh-CN"/>
        </w:rPr>
        <w:t>:</w:t>
      </w:r>
      <w:r w:rsidRPr="00B7665A">
        <w:rPr>
          <w:rFonts w:ascii="Book Antiqua" w:hAnsi="Book Antiqua" w:cs="Times New Roman"/>
          <w:b/>
          <w:sz w:val="24"/>
          <w:szCs w:val="24"/>
        </w:rPr>
        <w:t xml:space="preserve"> </w:t>
      </w:r>
      <w:r w:rsidR="00B7665A" w:rsidRPr="00B7665A">
        <w:rPr>
          <w:rFonts w:ascii="Book Antiqua" w:hAnsi="Book Antiqua" w:cs="Times New Roman"/>
          <w:sz w:val="24"/>
          <w:szCs w:val="24"/>
        </w:rPr>
        <w:t xml:space="preserve">Andrzej S Tarnawski </w:t>
      </w:r>
      <w:r w:rsidRPr="00B7665A">
        <w:rPr>
          <w:rFonts w:ascii="Book Antiqua" w:hAnsi="Book Antiqua" w:cs="Times New Roman"/>
          <w:sz w:val="24"/>
          <w:szCs w:val="24"/>
        </w:rPr>
        <w:t>(0000-0002-6813-6698)</w:t>
      </w:r>
      <w:r w:rsidR="00B7665A">
        <w:rPr>
          <w:rFonts w:ascii="Book Antiqua" w:hAnsi="Book Antiqua" w:cs="Times New Roman" w:hint="eastAsia"/>
          <w:sz w:val="24"/>
          <w:szCs w:val="24"/>
          <w:lang w:eastAsia="zh-CN"/>
        </w:rPr>
        <w:t xml:space="preserve">; </w:t>
      </w:r>
      <w:r w:rsidR="00B7665A" w:rsidRPr="00B7665A">
        <w:rPr>
          <w:rFonts w:ascii="Book Antiqua" w:hAnsi="Book Antiqua" w:cs="Times New Roman"/>
          <w:sz w:val="24"/>
          <w:szCs w:val="24"/>
          <w:lang w:eastAsia="zh-CN"/>
        </w:rPr>
        <w:t>Amrita Ahluwalia</w:t>
      </w:r>
      <w:r w:rsidR="00B7665A">
        <w:rPr>
          <w:rFonts w:ascii="Book Antiqua" w:hAnsi="Book Antiqua" w:cs="Times New Roman" w:hint="eastAsia"/>
          <w:sz w:val="24"/>
          <w:szCs w:val="24"/>
          <w:lang w:eastAsia="zh-CN"/>
        </w:rPr>
        <w:t xml:space="preserve"> (</w:t>
      </w:r>
      <w:r w:rsidR="00B7665A" w:rsidRPr="00B7665A">
        <w:rPr>
          <w:rFonts w:ascii="Book Antiqua" w:hAnsi="Book Antiqua" w:cs="Times New Roman"/>
          <w:sz w:val="24"/>
          <w:szCs w:val="24"/>
          <w:lang w:eastAsia="zh-CN"/>
        </w:rPr>
        <w:t>0000-0002-2064-5725</w:t>
      </w:r>
      <w:r w:rsidR="00B7665A">
        <w:rPr>
          <w:rFonts w:ascii="Book Antiqua" w:hAnsi="Book Antiqua" w:cs="Times New Roman" w:hint="eastAsia"/>
          <w:sz w:val="24"/>
          <w:szCs w:val="24"/>
          <w:lang w:eastAsia="zh-CN"/>
        </w:rPr>
        <w:t>).</w:t>
      </w:r>
    </w:p>
    <w:p w:rsidR="00B7665A" w:rsidRPr="00B7665A" w:rsidRDefault="00B7665A" w:rsidP="00B7665A">
      <w:pPr>
        <w:widowControl w:val="0"/>
        <w:adjustRightInd w:val="0"/>
        <w:snapToGrid w:val="0"/>
        <w:spacing w:line="360" w:lineRule="auto"/>
        <w:jc w:val="both"/>
        <w:rPr>
          <w:rFonts w:ascii="Book Antiqua" w:hAnsi="Book Antiqua" w:cs="Times New Roman"/>
          <w:sz w:val="24"/>
          <w:szCs w:val="24"/>
          <w:lang w:eastAsia="zh-CN"/>
        </w:rPr>
      </w:pPr>
    </w:p>
    <w:p w:rsidR="00530194" w:rsidRDefault="00530194" w:rsidP="00B7665A">
      <w:pPr>
        <w:widowControl w:val="0"/>
        <w:adjustRightInd w:val="0"/>
        <w:snapToGrid w:val="0"/>
        <w:spacing w:line="360" w:lineRule="auto"/>
        <w:jc w:val="both"/>
        <w:rPr>
          <w:rFonts w:ascii="Book Antiqua" w:hAnsi="Book Antiqua" w:cs="Times New Roman"/>
          <w:sz w:val="24"/>
          <w:szCs w:val="24"/>
          <w:lang w:eastAsia="zh-CN"/>
        </w:rPr>
      </w:pPr>
      <w:r w:rsidRPr="00B7665A">
        <w:rPr>
          <w:rFonts w:ascii="Book Antiqua" w:hAnsi="Book Antiqua" w:cs="Times New Roman"/>
          <w:b/>
          <w:sz w:val="24"/>
          <w:szCs w:val="24"/>
        </w:rPr>
        <w:t>Author contributions:</w:t>
      </w:r>
      <w:r w:rsidRPr="00B7665A">
        <w:rPr>
          <w:rFonts w:ascii="Book Antiqua" w:hAnsi="Book Antiqua" w:cs="Times New Roman"/>
          <w:sz w:val="24"/>
          <w:szCs w:val="24"/>
        </w:rPr>
        <w:t xml:space="preserve"> Tarnawski AS and Ahluwalia A contributed to this paper; Tarnawski AS designed the overall concept and outline of the manuscript</w:t>
      </w:r>
      <w:r w:rsidR="00B7665A">
        <w:rPr>
          <w:rFonts w:ascii="Book Antiqua" w:hAnsi="Book Antiqua" w:cs="Times New Roman" w:hint="eastAsia"/>
          <w:sz w:val="24"/>
          <w:szCs w:val="24"/>
          <w:lang w:eastAsia="zh-CN"/>
        </w:rPr>
        <w:t>;</w:t>
      </w:r>
      <w:r w:rsidRPr="00B7665A">
        <w:rPr>
          <w:rFonts w:ascii="Book Antiqua" w:hAnsi="Book Antiqua" w:cs="Times New Roman"/>
          <w:sz w:val="24"/>
          <w:szCs w:val="24"/>
        </w:rPr>
        <w:t xml:space="preserve"> Ahluwalia A contributed to the discussion and design of the manuscript</w:t>
      </w:r>
      <w:r w:rsidR="00B7665A">
        <w:rPr>
          <w:rFonts w:ascii="Book Antiqua" w:hAnsi="Book Antiqua" w:cs="Times New Roman" w:hint="eastAsia"/>
          <w:sz w:val="24"/>
          <w:szCs w:val="24"/>
          <w:lang w:eastAsia="zh-CN"/>
        </w:rPr>
        <w:t>;</w:t>
      </w:r>
      <w:r w:rsidRPr="00B7665A">
        <w:rPr>
          <w:rFonts w:ascii="Book Antiqua" w:hAnsi="Book Antiqua" w:cs="Times New Roman"/>
          <w:sz w:val="24"/>
          <w:szCs w:val="24"/>
        </w:rPr>
        <w:t xml:space="preserve"> Tarnawski AS and Ahluwalia A contributed to the writing, and editing the manuscript, illustrati</w:t>
      </w:r>
      <w:r w:rsidR="00B7665A">
        <w:rPr>
          <w:rFonts w:ascii="Book Antiqua" w:hAnsi="Book Antiqua" w:cs="Times New Roman"/>
          <w:sz w:val="24"/>
          <w:szCs w:val="24"/>
        </w:rPr>
        <w:t xml:space="preserve">ons, and review of literature. </w:t>
      </w:r>
    </w:p>
    <w:bookmarkEnd w:id="13"/>
    <w:p w:rsidR="00775E6B" w:rsidRPr="005F434F" w:rsidRDefault="00775E6B" w:rsidP="00B7665A">
      <w:pPr>
        <w:pStyle w:val="BodyText"/>
        <w:adjustRightInd w:val="0"/>
        <w:snapToGrid w:val="0"/>
        <w:spacing w:line="360" w:lineRule="auto"/>
        <w:jc w:val="both"/>
        <w:rPr>
          <w:rFonts w:eastAsia="SimSun" w:cs="Times New Roman"/>
          <w:lang w:val="en-US"/>
        </w:rPr>
      </w:pPr>
    </w:p>
    <w:p w:rsidR="00530194" w:rsidRPr="00EB2C93" w:rsidRDefault="00530194" w:rsidP="00B7665A">
      <w:pPr>
        <w:pStyle w:val="BodyText"/>
        <w:adjustRightInd w:val="0"/>
        <w:snapToGrid w:val="0"/>
        <w:spacing w:line="360" w:lineRule="auto"/>
        <w:jc w:val="both"/>
        <w:rPr>
          <w:rFonts w:eastAsiaTheme="minorEastAsia" w:cs="Times New Roman"/>
          <w:lang w:val="en-US"/>
        </w:rPr>
      </w:pPr>
      <w:r w:rsidRPr="00B7665A">
        <w:rPr>
          <w:rFonts w:cs="Times New Roman"/>
          <w:b/>
          <w:lang w:val="en-US"/>
        </w:rPr>
        <w:t xml:space="preserve">Supported by </w:t>
      </w:r>
      <w:r w:rsidRPr="00B7665A">
        <w:rPr>
          <w:rFonts w:cs="Times New Roman"/>
          <w:lang w:val="en-US"/>
        </w:rPr>
        <w:t>Merit Review Award from the United States Department of Veterans Affairs Biomedical Laboratory Research and Development Service</w:t>
      </w:r>
      <w:r w:rsidR="005F434F">
        <w:rPr>
          <w:rFonts w:eastAsia="SimSun" w:cs="Times New Roman" w:hint="eastAsia"/>
          <w:lang w:val="en-US"/>
        </w:rPr>
        <w:t>, No.</w:t>
      </w:r>
      <w:r w:rsidR="005F434F" w:rsidRPr="00B7665A">
        <w:rPr>
          <w:rFonts w:cs="Times New Roman"/>
          <w:lang w:val="en-US"/>
        </w:rPr>
        <w:t xml:space="preserve"> I01 BX000626-05A2 </w:t>
      </w:r>
      <w:r w:rsidRPr="00B7665A">
        <w:rPr>
          <w:rFonts w:cs="Times New Roman"/>
          <w:lang w:val="en-US"/>
        </w:rPr>
        <w:t xml:space="preserve">to </w:t>
      </w:r>
      <w:r w:rsidR="00F473B2" w:rsidRPr="005F434F">
        <w:rPr>
          <w:rFonts w:cs="Times New Roman"/>
          <w:lang w:val="en-US"/>
        </w:rPr>
        <w:t xml:space="preserve">Tarnawski </w:t>
      </w:r>
      <w:r w:rsidR="005F434F" w:rsidRPr="005F434F">
        <w:rPr>
          <w:rFonts w:cs="Times New Roman"/>
          <w:lang w:val="en-US"/>
        </w:rPr>
        <w:t>AS</w:t>
      </w:r>
      <w:r w:rsidR="00EB2C93">
        <w:rPr>
          <w:rFonts w:cs="Times New Roman"/>
          <w:lang w:val="en-US"/>
        </w:rPr>
        <w:t>.</w:t>
      </w:r>
    </w:p>
    <w:p w:rsidR="005F434F" w:rsidRDefault="005F434F" w:rsidP="00B7665A">
      <w:pPr>
        <w:pStyle w:val="BodyText"/>
        <w:adjustRightInd w:val="0"/>
        <w:snapToGrid w:val="0"/>
        <w:spacing w:line="360" w:lineRule="auto"/>
        <w:jc w:val="both"/>
        <w:rPr>
          <w:rFonts w:eastAsia="SimSun" w:cs="Times New Roman"/>
          <w:lang w:val="en-US"/>
        </w:rPr>
      </w:pPr>
    </w:p>
    <w:p w:rsidR="005F434F" w:rsidRDefault="005F434F" w:rsidP="005F434F">
      <w:pPr>
        <w:pStyle w:val="1"/>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bookmarkStart w:id="14" w:name="OLE_LINK235"/>
      <w:bookmarkStart w:id="15" w:name="OLE_LINK236"/>
      <w:bookmarkStart w:id="16" w:name="OLE_LINK684"/>
      <w:bookmarkStart w:id="17" w:name="OLE_LINK44"/>
      <w:r w:rsidRPr="00B7665A">
        <w:rPr>
          <w:rFonts w:ascii="Book Antiqua" w:hAnsi="Book Antiqua" w:cs="Times New Roman"/>
          <w:b/>
          <w:bCs/>
          <w:iCs/>
          <w:color w:val="000000" w:themeColor="text1"/>
          <w:sz w:val="24"/>
          <w:szCs w:val="24"/>
          <w:lang w:val="en-US" w:eastAsia="zh-CN"/>
        </w:rPr>
        <w:t xml:space="preserve">Conflict-of-interest statement: </w:t>
      </w:r>
      <w:r w:rsidRPr="00B7665A">
        <w:rPr>
          <w:rFonts w:ascii="Book Antiqua" w:hAnsi="Book Antiqua" w:cs="Times New Roman"/>
          <w:sz w:val="24"/>
          <w:szCs w:val="24"/>
        </w:rPr>
        <w:t xml:space="preserve">Andrzej S Tarnawski </w:t>
      </w:r>
      <w:r w:rsidRPr="00B7665A">
        <w:rPr>
          <w:rFonts w:ascii="Book Antiqua" w:hAnsi="Book Antiqua" w:cs="Times New Roman"/>
          <w:bCs/>
          <w:iCs/>
          <w:color w:val="000000" w:themeColor="text1"/>
          <w:sz w:val="24"/>
          <w:szCs w:val="24"/>
          <w:lang w:val="en-US" w:eastAsia="zh-CN"/>
        </w:rPr>
        <w:t xml:space="preserve">and </w:t>
      </w:r>
      <w:r w:rsidRPr="00B7665A">
        <w:rPr>
          <w:rFonts w:ascii="Book Antiqua" w:hAnsi="Book Antiqua" w:cs="Times New Roman"/>
          <w:sz w:val="24"/>
          <w:szCs w:val="24"/>
          <w:lang w:eastAsia="zh-CN"/>
        </w:rPr>
        <w:t>Amrita Ahluwalia</w:t>
      </w:r>
      <w:r>
        <w:rPr>
          <w:rFonts w:ascii="Book Antiqua" w:hAnsi="Book Antiqua" w:cs="Times New Roman" w:hint="eastAsia"/>
          <w:sz w:val="24"/>
          <w:szCs w:val="24"/>
          <w:lang w:eastAsia="zh-CN"/>
        </w:rPr>
        <w:t xml:space="preserve"> </w:t>
      </w:r>
      <w:r w:rsidRPr="00B7665A">
        <w:rPr>
          <w:rFonts w:ascii="Book Antiqua" w:hAnsi="Book Antiqua" w:cs="Times New Roman"/>
          <w:bCs/>
          <w:iCs/>
          <w:color w:val="000000" w:themeColor="text1"/>
          <w:sz w:val="24"/>
          <w:szCs w:val="24"/>
          <w:lang w:val="en-US" w:eastAsia="zh-CN"/>
        </w:rPr>
        <w:t xml:space="preserve">have </w:t>
      </w:r>
      <w:r w:rsidRPr="00B7665A">
        <w:rPr>
          <w:rFonts w:ascii="Book Antiqua" w:hAnsi="Book Antiqua" w:cs="Times New Roman"/>
          <w:bCs/>
          <w:iCs/>
          <w:color w:val="000000" w:themeColor="text1"/>
          <w:sz w:val="24"/>
          <w:szCs w:val="24"/>
          <w:lang w:val="en-US" w:eastAsia="zh-CN"/>
        </w:rPr>
        <w:lastRenderedPageBreak/>
        <w:t>nothing to disclose.</w:t>
      </w:r>
    </w:p>
    <w:p w:rsidR="005F434F" w:rsidRPr="00B7665A" w:rsidRDefault="005F434F" w:rsidP="005F434F">
      <w:pPr>
        <w:pStyle w:val="1"/>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p>
    <w:bookmarkEnd w:id="14"/>
    <w:bookmarkEnd w:id="15"/>
    <w:bookmarkEnd w:id="16"/>
    <w:bookmarkEnd w:id="17"/>
    <w:p w:rsidR="005F434F" w:rsidRPr="005F434F" w:rsidRDefault="005F434F" w:rsidP="005F434F">
      <w:pPr>
        <w:spacing w:line="360" w:lineRule="auto"/>
        <w:jc w:val="both"/>
        <w:rPr>
          <w:rFonts w:ascii="Book Antiqua" w:eastAsia="MS Mincho" w:hAnsi="Book Antiqua" w:cs="Times New Roman"/>
          <w:b/>
          <w:color w:val="000000"/>
          <w:sz w:val="24"/>
          <w:szCs w:val="24"/>
          <w:lang w:eastAsia="it-IT"/>
        </w:rPr>
      </w:pPr>
      <w:r w:rsidRPr="005F434F">
        <w:rPr>
          <w:rFonts w:ascii="Book Antiqua" w:eastAsia="MS Mincho" w:hAnsi="Book Antiqua" w:cs="Times New Roman"/>
          <w:b/>
          <w:color w:val="000000"/>
          <w:sz w:val="24"/>
          <w:szCs w:val="24"/>
          <w:lang w:eastAsia="it-IT"/>
        </w:rPr>
        <w:t xml:space="preserve">Open-Access: </w:t>
      </w:r>
      <w:r w:rsidRPr="005F434F">
        <w:rPr>
          <w:rFonts w:ascii="Book Antiqua" w:eastAsia="MS Mincho" w:hAnsi="Book Antiqua" w:cs="Times New Roman"/>
          <w:color w:val="00000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F434F" w:rsidRPr="005F434F" w:rsidRDefault="005F434F" w:rsidP="005F434F">
      <w:pPr>
        <w:widowControl w:val="0"/>
        <w:adjustRightInd w:val="0"/>
        <w:snapToGrid w:val="0"/>
        <w:spacing w:line="360" w:lineRule="auto"/>
        <w:jc w:val="both"/>
        <w:rPr>
          <w:rFonts w:ascii="Book Antiqua" w:hAnsi="Book Antiqua" w:cs="Times New Roman"/>
          <w:color w:val="000000"/>
          <w:kern w:val="2"/>
          <w:sz w:val="24"/>
          <w:szCs w:val="24"/>
          <w:lang w:eastAsia="zh-CN"/>
        </w:rPr>
      </w:pPr>
    </w:p>
    <w:p w:rsidR="005F434F" w:rsidRPr="005F434F" w:rsidRDefault="005F434F" w:rsidP="005F434F">
      <w:pPr>
        <w:widowControl w:val="0"/>
        <w:adjustRightInd w:val="0"/>
        <w:snapToGrid w:val="0"/>
        <w:spacing w:line="360" w:lineRule="auto"/>
        <w:jc w:val="both"/>
        <w:rPr>
          <w:rFonts w:ascii="Book Antiqua" w:hAnsi="Book Antiqua" w:cs="Arial Unicode MS"/>
          <w:color w:val="000000"/>
          <w:kern w:val="2"/>
          <w:sz w:val="24"/>
          <w:szCs w:val="24"/>
          <w:lang w:eastAsia="zh-CN"/>
        </w:rPr>
      </w:pPr>
      <w:r w:rsidRPr="005F434F">
        <w:rPr>
          <w:rFonts w:ascii="Book Antiqua" w:hAnsi="Book Antiqua" w:cs="Arial Unicode MS"/>
          <w:b/>
          <w:color w:val="000000"/>
          <w:kern w:val="2"/>
          <w:sz w:val="24"/>
          <w:szCs w:val="24"/>
          <w:lang w:eastAsia="zh-CN"/>
        </w:rPr>
        <w:t>Manuscript source:</w:t>
      </w:r>
      <w:r w:rsidRPr="005F434F">
        <w:rPr>
          <w:rFonts w:ascii="Book Antiqua" w:hAnsi="Book Antiqua" w:cs="Arial Unicode MS"/>
          <w:color w:val="000000"/>
          <w:kern w:val="2"/>
          <w:sz w:val="24"/>
          <w:szCs w:val="24"/>
          <w:lang w:eastAsia="zh-CN"/>
        </w:rPr>
        <w:t xml:space="preserve"> Invited manuscript</w:t>
      </w:r>
    </w:p>
    <w:p w:rsidR="005F434F" w:rsidRPr="005F434F" w:rsidRDefault="005F434F" w:rsidP="00B7665A">
      <w:pPr>
        <w:pStyle w:val="BodyText"/>
        <w:adjustRightInd w:val="0"/>
        <w:snapToGrid w:val="0"/>
        <w:spacing w:line="360" w:lineRule="auto"/>
        <w:jc w:val="both"/>
        <w:rPr>
          <w:rFonts w:eastAsia="SimSun" w:cs="Times New Roman"/>
          <w:lang w:val="en-US"/>
        </w:rPr>
      </w:pPr>
    </w:p>
    <w:p w:rsidR="005F434F" w:rsidRPr="005F434F" w:rsidRDefault="00530194" w:rsidP="005F434F">
      <w:pPr>
        <w:widowControl w:val="0"/>
        <w:adjustRightInd w:val="0"/>
        <w:snapToGrid w:val="0"/>
        <w:spacing w:line="360" w:lineRule="auto"/>
        <w:jc w:val="both"/>
        <w:rPr>
          <w:rFonts w:ascii="Book Antiqua" w:hAnsi="Book Antiqua" w:cs="Times New Roman"/>
          <w:b/>
          <w:sz w:val="24"/>
          <w:szCs w:val="24"/>
          <w:lang w:eastAsia="zh-CN"/>
        </w:rPr>
      </w:pPr>
      <w:bookmarkStart w:id="18" w:name="_Hlk526855072"/>
      <w:r w:rsidRPr="00B7665A">
        <w:rPr>
          <w:rFonts w:ascii="Book Antiqua" w:hAnsi="Book Antiqua" w:cs="Times New Roman"/>
          <w:b/>
          <w:sz w:val="24"/>
          <w:szCs w:val="24"/>
        </w:rPr>
        <w:t xml:space="preserve">Correspondence to: </w:t>
      </w:r>
      <w:r w:rsidR="005F434F">
        <w:rPr>
          <w:rFonts w:ascii="Book Antiqua" w:hAnsi="Book Antiqua" w:cs="Times New Roman"/>
          <w:b/>
          <w:sz w:val="24"/>
          <w:szCs w:val="24"/>
        </w:rPr>
        <w:t>Andrzej S</w:t>
      </w:r>
      <w:r w:rsidRPr="00B7665A">
        <w:rPr>
          <w:rFonts w:ascii="Book Antiqua" w:hAnsi="Book Antiqua" w:cs="Times New Roman"/>
          <w:b/>
          <w:sz w:val="24"/>
          <w:szCs w:val="24"/>
        </w:rPr>
        <w:t xml:space="preserve"> Tarnawski, </w:t>
      </w:r>
      <w:r w:rsidR="005F434F" w:rsidRPr="005F434F">
        <w:rPr>
          <w:rFonts w:ascii="Book Antiqua" w:hAnsi="Book Antiqua" w:cs="Times New Roman"/>
          <w:b/>
          <w:sz w:val="24"/>
          <w:szCs w:val="24"/>
        </w:rPr>
        <w:t>DSc,</w:t>
      </w:r>
      <w:r w:rsidR="005F434F">
        <w:rPr>
          <w:rFonts w:ascii="Book Antiqua" w:hAnsi="Book Antiqua" w:cs="Times New Roman" w:hint="eastAsia"/>
          <w:b/>
          <w:sz w:val="24"/>
          <w:szCs w:val="24"/>
          <w:lang w:eastAsia="zh-CN"/>
        </w:rPr>
        <w:t xml:space="preserve"> </w:t>
      </w:r>
      <w:r w:rsidR="005F434F" w:rsidRPr="00B7665A">
        <w:rPr>
          <w:rFonts w:ascii="Book Antiqua" w:hAnsi="Book Antiqua" w:cs="Times New Roman"/>
          <w:b/>
          <w:sz w:val="24"/>
          <w:szCs w:val="24"/>
        </w:rPr>
        <w:t>AGAF</w:t>
      </w:r>
      <w:r w:rsidR="005F434F">
        <w:rPr>
          <w:rFonts w:ascii="Book Antiqua" w:hAnsi="Book Antiqua" w:cs="Times New Roman" w:hint="eastAsia"/>
          <w:b/>
          <w:sz w:val="24"/>
          <w:szCs w:val="24"/>
          <w:lang w:eastAsia="zh-CN"/>
        </w:rPr>
        <w:t>,</w:t>
      </w:r>
      <w:r w:rsidR="005F434F" w:rsidRPr="005F434F">
        <w:rPr>
          <w:rFonts w:ascii="Book Antiqua" w:hAnsi="Book Antiqua" w:cs="Times New Roman"/>
          <w:b/>
          <w:sz w:val="24"/>
          <w:szCs w:val="24"/>
        </w:rPr>
        <w:t xml:space="preserve"> MD,</w:t>
      </w:r>
      <w:r w:rsidR="005F434F">
        <w:rPr>
          <w:rFonts w:ascii="Book Antiqua" w:hAnsi="Book Antiqua" w:cs="Times New Roman" w:hint="eastAsia"/>
          <w:b/>
          <w:sz w:val="24"/>
          <w:szCs w:val="24"/>
          <w:lang w:eastAsia="zh-CN"/>
        </w:rPr>
        <w:t xml:space="preserve"> </w:t>
      </w:r>
      <w:r w:rsidR="005F434F" w:rsidRPr="005F434F">
        <w:rPr>
          <w:rFonts w:ascii="Book Antiqua" w:hAnsi="Book Antiqua" w:cs="Times New Roman"/>
          <w:b/>
          <w:sz w:val="24"/>
          <w:szCs w:val="24"/>
        </w:rPr>
        <w:t>PhD</w:t>
      </w:r>
      <w:r w:rsidRPr="00B7665A">
        <w:rPr>
          <w:rFonts w:ascii="Book Antiqua" w:hAnsi="Book Antiqua" w:cs="Times New Roman"/>
          <w:b/>
          <w:sz w:val="24"/>
          <w:szCs w:val="24"/>
        </w:rPr>
        <w:t xml:space="preserve">, </w:t>
      </w:r>
      <w:r w:rsidR="005F434F" w:rsidRPr="005F434F">
        <w:rPr>
          <w:rFonts w:ascii="Book Antiqua" w:hAnsi="Book Antiqua" w:cs="Times New Roman"/>
          <w:b/>
          <w:sz w:val="24"/>
          <w:szCs w:val="24"/>
        </w:rPr>
        <w:t>Professor</w:t>
      </w:r>
      <w:r w:rsidR="005F434F">
        <w:rPr>
          <w:rFonts w:ascii="Book Antiqua" w:hAnsi="Book Antiqua" w:cs="Times New Roman" w:hint="eastAsia"/>
          <w:b/>
          <w:sz w:val="24"/>
          <w:szCs w:val="24"/>
          <w:lang w:eastAsia="zh-CN"/>
        </w:rPr>
        <w:t xml:space="preserve">, </w:t>
      </w:r>
      <w:bookmarkStart w:id="19" w:name="_Hlk523142522"/>
      <w:r w:rsidR="005F434F" w:rsidRPr="005F434F">
        <w:rPr>
          <w:rFonts w:ascii="Book Antiqua" w:hAnsi="Book Antiqua" w:cs="Times New Roman"/>
          <w:sz w:val="24"/>
          <w:szCs w:val="24"/>
        </w:rPr>
        <w:t xml:space="preserve">Department </w:t>
      </w:r>
      <w:r w:rsidR="005F434F" w:rsidRPr="005F434F">
        <w:rPr>
          <w:rFonts w:ascii="Book Antiqua" w:hAnsi="Book Antiqua" w:cs="Times New Roman" w:hint="eastAsia"/>
          <w:sz w:val="24"/>
          <w:szCs w:val="24"/>
          <w:lang w:eastAsia="zh-CN"/>
        </w:rPr>
        <w:t xml:space="preserve">of </w:t>
      </w:r>
      <w:r w:rsidR="005F434F" w:rsidRPr="005F434F">
        <w:rPr>
          <w:rFonts w:ascii="Book Antiqua" w:hAnsi="Book Antiqua" w:cs="Times New Roman"/>
          <w:sz w:val="24"/>
          <w:szCs w:val="24"/>
        </w:rPr>
        <w:t>Gastroenterology Research</w:t>
      </w:r>
      <w:r w:rsidR="005F434F" w:rsidRPr="005F434F">
        <w:rPr>
          <w:rFonts w:ascii="Book Antiqua" w:hAnsi="Book Antiqua" w:cs="Times New Roman" w:hint="eastAsia"/>
          <w:sz w:val="24"/>
          <w:szCs w:val="24"/>
          <w:lang w:eastAsia="zh-CN"/>
        </w:rPr>
        <w:t>,</w:t>
      </w:r>
      <w:r w:rsidR="005F434F" w:rsidRPr="00B7665A">
        <w:rPr>
          <w:rFonts w:ascii="Book Antiqua" w:hAnsi="Book Antiqua" w:cs="Times New Roman"/>
          <w:b/>
          <w:sz w:val="24"/>
          <w:szCs w:val="24"/>
        </w:rPr>
        <w:t xml:space="preserve"> </w:t>
      </w:r>
      <w:r w:rsidR="005F434F" w:rsidRPr="00B7665A">
        <w:rPr>
          <w:rFonts w:ascii="Book Antiqua" w:hAnsi="Book Antiqua" w:cs="Times New Roman"/>
          <w:sz w:val="24"/>
          <w:szCs w:val="24"/>
        </w:rPr>
        <w:t xml:space="preserve">University of California Irvine and the Veterans Administration Long Beach Healthcare System, </w:t>
      </w:r>
      <w:r w:rsidR="005F434F" w:rsidRPr="005F434F">
        <w:rPr>
          <w:rFonts w:ascii="Book Antiqua" w:hAnsi="Book Antiqua" w:cs="Times New Roman"/>
          <w:sz w:val="24"/>
          <w:szCs w:val="24"/>
        </w:rPr>
        <w:t>5901 E. Seventh Street</w:t>
      </w:r>
      <w:r w:rsidR="005F434F">
        <w:rPr>
          <w:rFonts w:ascii="Book Antiqua" w:hAnsi="Book Antiqua" w:cs="Times New Roman" w:hint="eastAsia"/>
          <w:sz w:val="24"/>
          <w:szCs w:val="24"/>
          <w:lang w:eastAsia="zh-CN"/>
        </w:rPr>
        <w:t>,</w:t>
      </w:r>
      <w:r w:rsidR="005F434F" w:rsidRPr="005F434F">
        <w:rPr>
          <w:rFonts w:ascii="Book Antiqua" w:hAnsi="Book Antiqua" w:cs="Times New Roman"/>
          <w:sz w:val="24"/>
          <w:szCs w:val="24"/>
        </w:rPr>
        <w:t xml:space="preserve"> </w:t>
      </w:r>
      <w:r w:rsidR="005F434F" w:rsidRPr="00B7665A">
        <w:rPr>
          <w:rFonts w:ascii="Book Antiqua" w:hAnsi="Book Antiqua" w:cs="Times New Roman"/>
          <w:sz w:val="24"/>
          <w:szCs w:val="24"/>
        </w:rPr>
        <w:t>Long Beac</w:t>
      </w:r>
      <w:r w:rsidR="005F434F">
        <w:rPr>
          <w:rFonts w:ascii="Book Antiqua" w:hAnsi="Book Antiqua" w:cs="Times New Roman"/>
          <w:sz w:val="24"/>
          <w:szCs w:val="24"/>
        </w:rPr>
        <w:t>h, CA 90822, United States</w:t>
      </w:r>
      <w:r w:rsidR="005F434F">
        <w:rPr>
          <w:rFonts w:ascii="Book Antiqua" w:hAnsi="Book Antiqua" w:cs="Times New Roman" w:hint="eastAsia"/>
          <w:sz w:val="24"/>
          <w:szCs w:val="24"/>
          <w:lang w:eastAsia="zh-CN"/>
        </w:rPr>
        <w:t xml:space="preserve">. </w:t>
      </w:r>
      <w:r w:rsidR="005F434F" w:rsidRPr="00B7665A">
        <w:rPr>
          <w:rFonts w:ascii="Book Antiqua" w:hAnsi="Book Antiqua" w:cs="Times New Roman"/>
          <w:sz w:val="24"/>
          <w:szCs w:val="24"/>
        </w:rPr>
        <w:t>atarnawski@yahoo.com</w:t>
      </w:r>
    </w:p>
    <w:p w:rsidR="005F434F" w:rsidRPr="005F434F" w:rsidRDefault="005F434F" w:rsidP="005F434F">
      <w:pPr>
        <w:widowControl w:val="0"/>
        <w:adjustRightInd w:val="0"/>
        <w:snapToGrid w:val="0"/>
        <w:spacing w:line="360" w:lineRule="auto"/>
        <w:jc w:val="both"/>
        <w:rPr>
          <w:rFonts w:ascii="Book Antiqua" w:hAnsi="Book Antiqua" w:cs="Times New Roman"/>
          <w:color w:val="000000"/>
          <w:kern w:val="2"/>
          <w:sz w:val="24"/>
          <w:szCs w:val="24"/>
          <w:lang w:eastAsia="zh-CN"/>
        </w:rPr>
      </w:pPr>
      <w:r w:rsidRPr="005F434F">
        <w:rPr>
          <w:rFonts w:ascii="Book Antiqua" w:hAnsi="Book Antiqua" w:cs="Times New Roman"/>
          <w:b/>
          <w:color w:val="000000"/>
          <w:kern w:val="2"/>
          <w:sz w:val="24"/>
          <w:szCs w:val="24"/>
          <w:lang w:eastAsia="zh-CN"/>
        </w:rPr>
        <w:t>Telephone:</w:t>
      </w:r>
      <w:r>
        <w:rPr>
          <w:rFonts w:ascii="Book Antiqua" w:hAnsi="Book Antiqua" w:cs="Times New Roman" w:hint="eastAsia"/>
          <w:b/>
          <w:color w:val="000000"/>
          <w:kern w:val="2"/>
          <w:sz w:val="24"/>
          <w:szCs w:val="24"/>
          <w:lang w:eastAsia="zh-CN"/>
        </w:rPr>
        <w:t xml:space="preserve"> </w:t>
      </w:r>
      <w:r w:rsidR="00BC0FDA" w:rsidRPr="00BC0FDA">
        <w:rPr>
          <w:rFonts w:ascii="Book Antiqua" w:hAnsi="Book Antiqua" w:cs="Times New Roman" w:hint="eastAsia"/>
          <w:color w:val="000000"/>
          <w:kern w:val="2"/>
          <w:sz w:val="24"/>
          <w:szCs w:val="24"/>
          <w:lang w:eastAsia="zh-CN"/>
        </w:rPr>
        <w:t>+1</w:t>
      </w:r>
      <w:r w:rsidR="00BC0FDA">
        <w:rPr>
          <w:rFonts w:ascii="Book Antiqua" w:hAnsi="Book Antiqua" w:cs="Times New Roman" w:hint="eastAsia"/>
          <w:b/>
          <w:color w:val="000000"/>
          <w:kern w:val="2"/>
          <w:sz w:val="24"/>
          <w:szCs w:val="24"/>
          <w:lang w:eastAsia="zh-CN"/>
        </w:rPr>
        <w:t>-</w:t>
      </w:r>
      <w:r w:rsidR="00BC0FDA">
        <w:rPr>
          <w:rFonts w:ascii="Book Antiqua" w:hAnsi="Book Antiqua" w:cs="Times New Roman"/>
          <w:sz w:val="24"/>
          <w:szCs w:val="24"/>
        </w:rPr>
        <w:t>562-826</w:t>
      </w:r>
      <w:r w:rsidRPr="00B7665A">
        <w:rPr>
          <w:rFonts w:ascii="Book Antiqua" w:hAnsi="Book Antiqua" w:cs="Times New Roman"/>
          <w:sz w:val="24"/>
          <w:szCs w:val="24"/>
        </w:rPr>
        <w:t>4956</w:t>
      </w:r>
    </w:p>
    <w:p w:rsidR="005F434F" w:rsidRPr="005F434F" w:rsidRDefault="005F434F" w:rsidP="005F434F">
      <w:pPr>
        <w:widowControl w:val="0"/>
        <w:adjustRightInd w:val="0"/>
        <w:snapToGrid w:val="0"/>
        <w:spacing w:line="360" w:lineRule="auto"/>
        <w:jc w:val="both"/>
        <w:rPr>
          <w:rFonts w:ascii="Book Antiqua" w:hAnsi="Book Antiqua" w:cs="Times New Roman"/>
          <w:color w:val="000000"/>
          <w:kern w:val="2"/>
          <w:sz w:val="24"/>
          <w:szCs w:val="24"/>
          <w:lang w:eastAsia="zh-CN"/>
        </w:rPr>
      </w:pPr>
      <w:r w:rsidRPr="005F434F">
        <w:rPr>
          <w:rFonts w:ascii="Book Antiqua" w:hAnsi="Book Antiqua" w:cs="Times New Roman"/>
          <w:b/>
          <w:color w:val="000000"/>
          <w:kern w:val="2"/>
          <w:sz w:val="24"/>
          <w:szCs w:val="24"/>
          <w:lang w:eastAsia="zh-CN"/>
        </w:rPr>
        <w:t>Fax:</w:t>
      </w:r>
      <w:r w:rsidRPr="005F434F">
        <w:rPr>
          <w:rFonts w:ascii="Book Antiqua" w:hAnsi="Book Antiqua" w:cs="Times New Roman"/>
          <w:color w:val="000000"/>
          <w:kern w:val="2"/>
          <w:sz w:val="24"/>
          <w:szCs w:val="24"/>
          <w:lang w:eastAsia="zh-CN"/>
        </w:rPr>
        <w:t xml:space="preserve"> </w:t>
      </w:r>
      <w:r w:rsidR="00BC0FDA">
        <w:rPr>
          <w:rFonts w:ascii="Book Antiqua" w:hAnsi="Book Antiqua" w:cs="Times New Roman" w:hint="eastAsia"/>
          <w:color w:val="000000"/>
          <w:kern w:val="2"/>
          <w:sz w:val="24"/>
          <w:szCs w:val="24"/>
          <w:lang w:eastAsia="zh-CN"/>
        </w:rPr>
        <w:t>+1-</w:t>
      </w:r>
      <w:r w:rsidR="00BC0FDA">
        <w:rPr>
          <w:rFonts w:ascii="Book Antiqua" w:hAnsi="Book Antiqua" w:cs="Times New Roman"/>
          <w:sz w:val="24"/>
          <w:szCs w:val="24"/>
        </w:rPr>
        <w:t>562-826</w:t>
      </w:r>
      <w:r w:rsidR="00BC0FDA" w:rsidRPr="00B7665A">
        <w:rPr>
          <w:rFonts w:ascii="Book Antiqua" w:hAnsi="Book Antiqua" w:cs="Times New Roman"/>
          <w:sz w:val="24"/>
          <w:szCs w:val="24"/>
        </w:rPr>
        <w:t>5675</w:t>
      </w:r>
    </w:p>
    <w:p w:rsidR="005F434F" w:rsidRPr="005F434F" w:rsidRDefault="005F434F" w:rsidP="00B7665A">
      <w:pPr>
        <w:widowControl w:val="0"/>
        <w:adjustRightInd w:val="0"/>
        <w:snapToGrid w:val="0"/>
        <w:spacing w:line="360" w:lineRule="auto"/>
        <w:jc w:val="both"/>
        <w:rPr>
          <w:rFonts w:ascii="Book Antiqua" w:hAnsi="Book Antiqua" w:cs="Times New Roman"/>
          <w:b/>
          <w:sz w:val="24"/>
          <w:szCs w:val="24"/>
          <w:lang w:eastAsia="zh-CN"/>
        </w:rPr>
      </w:pPr>
    </w:p>
    <w:p w:rsidR="00BC0FDA" w:rsidRPr="00BC0FDA" w:rsidRDefault="00BC0FDA" w:rsidP="00BC0FDA">
      <w:pPr>
        <w:widowControl w:val="0"/>
        <w:adjustRightInd w:val="0"/>
        <w:snapToGrid w:val="0"/>
        <w:spacing w:line="360" w:lineRule="auto"/>
        <w:jc w:val="both"/>
        <w:rPr>
          <w:rFonts w:ascii="Book Antiqua" w:hAnsi="Book Antiqua" w:cs="Times New Roman"/>
          <w:color w:val="000000"/>
          <w:kern w:val="2"/>
          <w:sz w:val="24"/>
          <w:szCs w:val="24"/>
          <w:lang w:eastAsia="zh-CN"/>
        </w:rPr>
      </w:pPr>
      <w:r w:rsidRPr="00BC0FDA">
        <w:rPr>
          <w:rFonts w:ascii="Book Antiqua" w:hAnsi="Book Antiqua" w:cs="Times New Roman"/>
          <w:b/>
          <w:color w:val="000000"/>
          <w:kern w:val="2"/>
          <w:sz w:val="24"/>
          <w:szCs w:val="24"/>
          <w:lang w:eastAsia="zh-CN"/>
        </w:rPr>
        <w:t>Received:</w:t>
      </w:r>
      <w:r w:rsidRPr="00BC0FDA">
        <w:rPr>
          <w:rFonts w:ascii="Book Antiqua" w:hAnsi="Book Antiqua" w:cs="Times New Roman"/>
          <w:color w:val="000000"/>
          <w:kern w:val="2"/>
          <w:sz w:val="24"/>
          <w:szCs w:val="24"/>
          <w:lang w:eastAsia="zh-CN"/>
        </w:rPr>
        <w:t xml:space="preserve"> </w:t>
      </w:r>
      <w:r w:rsidRPr="00BC0FDA">
        <w:rPr>
          <w:rFonts w:ascii="Book Antiqua" w:hAnsi="Book Antiqua" w:cs="Arial" w:hint="eastAsia"/>
          <w:color w:val="000000"/>
          <w:sz w:val="24"/>
          <w:szCs w:val="24"/>
          <w:lang w:eastAsia="zh-CN"/>
        </w:rPr>
        <w:t xml:space="preserve">August </w:t>
      </w:r>
      <w:r>
        <w:rPr>
          <w:rFonts w:ascii="Book Antiqua" w:hAnsi="Book Antiqua" w:cs="Arial" w:hint="eastAsia"/>
          <w:color w:val="000000"/>
          <w:sz w:val="24"/>
          <w:szCs w:val="24"/>
          <w:lang w:eastAsia="zh-CN"/>
        </w:rPr>
        <w:t>28</w:t>
      </w:r>
      <w:r w:rsidRPr="00BC0FDA">
        <w:rPr>
          <w:rFonts w:ascii="Book Antiqua" w:hAnsi="Book Antiqua" w:cs="Arial" w:hint="eastAsia"/>
          <w:color w:val="000000"/>
          <w:sz w:val="24"/>
          <w:szCs w:val="24"/>
          <w:lang w:eastAsia="zh-CN"/>
        </w:rPr>
        <w:t>, 2018</w:t>
      </w:r>
    </w:p>
    <w:p w:rsidR="00BC0FDA" w:rsidRPr="00BC0FDA" w:rsidRDefault="00BC0FDA" w:rsidP="00BC0FDA">
      <w:pPr>
        <w:widowControl w:val="0"/>
        <w:adjustRightInd w:val="0"/>
        <w:snapToGrid w:val="0"/>
        <w:spacing w:line="360" w:lineRule="auto"/>
        <w:jc w:val="both"/>
        <w:rPr>
          <w:rFonts w:ascii="Book Antiqua" w:hAnsi="Book Antiqua" w:cs="Times New Roman"/>
          <w:color w:val="000000"/>
          <w:kern w:val="2"/>
          <w:sz w:val="24"/>
          <w:szCs w:val="24"/>
          <w:lang w:eastAsia="zh-CN"/>
        </w:rPr>
      </w:pPr>
      <w:r w:rsidRPr="00BC0FDA">
        <w:rPr>
          <w:rFonts w:ascii="Book Antiqua" w:hAnsi="Book Antiqua" w:cs="Times New Roman"/>
          <w:b/>
          <w:color w:val="000000"/>
          <w:kern w:val="2"/>
          <w:sz w:val="24"/>
          <w:szCs w:val="24"/>
          <w:lang w:eastAsia="zh-CN"/>
        </w:rPr>
        <w:t>Peer-review started:</w:t>
      </w:r>
      <w:r w:rsidRPr="00BC0FDA">
        <w:rPr>
          <w:rFonts w:ascii="Book Antiqua" w:hAnsi="Book Antiqua" w:cs="Times New Roman"/>
          <w:color w:val="000000"/>
          <w:kern w:val="2"/>
          <w:sz w:val="24"/>
          <w:szCs w:val="24"/>
          <w:lang w:eastAsia="zh-CN"/>
        </w:rPr>
        <w:t xml:space="preserve"> </w:t>
      </w:r>
      <w:r w:rsidRPr="00BC0FDA">
        <w:rPr>
          <w:rFonts w:ascii="Book Antiqua" w:hAnsi="Book Antiqua" w:cs="Arial" w:hint="eastAsia"/>
          <w:color w:val="000000"/>
          <w:sz w:val="24"/>
          <w:szCs w:val="24"/>
          <w:lang w:eastAsia="zh-CN"/>
        </w:rPr>
        <w:t xml:space="preserve">August </w:t>
      </w:r>
      <w:r>
        <w:rPr>
          <w:rFonts w:ascii="Book Antiqua" w:hAnsi="Book Antiqua" w:cs="Arial" w:hint="eastAsia"/>
          <w:color w:val="000000"/>
          <w:sz w:val="24"/>
          <w:szCs w:val="24"/>
          <w:lang w:eastAsia="zh-CN"/>
        </w:rPr>
        <w:t>28</w:t>
      </w:r>
      <w:r w:rsidRPr="00BC0FDA">
        <w:rPr>
          <w:rFonts w:ascii="Book Antiqua" w:hAnsi="Book Antiqua" w:cs="Arial" w:hint="eastAsia"/>
          <w:color w:val="000000"/>
          <w:sz w:val="24"/>
          <w:szCs w:val="24"/>
          <w:lang w:eastAsia="zh-CN"/>
        </w:rPr>
        <w:t>, 2018</w:t>
      </w:r>
    </w:p>
    <w:p w:rsidR="00BC0FDA" w:rsidRPr="00BC0FDA" w:rsidRDefault="00BC0FDA" w:rsidP="00BC0FDA">
      <w:pPr>
        <w:widowControl w:val="0"/>
        <w:adjustRightInd w:val="0"/>
        <w:snapToGrid w:val="0"/>
        <w:spacing w:line="360" w:lineRule="auto"/>
        <w:jc w:val="both"/>
        <w:rPr>
          <w:rFonts w:ascii="Book Antiqua" w:hAnsi="Book Antiqua" w:cs="Times New Roman"/>
          <w:color w:val="000000"/>
          <w:kern w:val="2"/>
          <w:sz w:val="24"/>
          <w:szCs w:val="24"/>
          <w:lang w:eastAsia="zh-CN"/>
        </w:rPr>
      </w:pPr>
      <w:r w:rsidRPr="00BC0FDA">
        <w:rPr>
          <w:rFonts w:ascii="Book Antiqua" w:hAnsi="Book Antiqua" w:cs="Times New Roman"/>
          <w:b/>
          <w:color w:val="000000"/>
          <w:kern w:val="2"/>
          <w:sz w:val="24"/>
          <w:szCs w:val="24"/>
          <w:lang w:eastAsia="zh-CN"/>
        </w:rPr>
        <w:t>First decision:</w:t>
      </w:r>
      <w:r w:rsidRPr="00BC0FDA">
        <w:rPr>
          <w:rFonts w:ascii="Book Antiqua" w:hAnsi="Book Antiqua" w:cs="Times New Roman"/>
          <w:color w:val="000000"/>
          <w:kern w:val="2"/>
          <w:sz w:val="24"/>
          <w:szCs w:val="24"/>
          <w:lang w:eastAsia="zh-CN"/>
        </w:rPr>
        <w:t xml:space="preserve"> </w:t>
      </w:r>
      <w:r>
        <w:rPr>
          <w:rFonts w:ascii="Book Antiqua" w:hAnsi="Book Antiqua" w:cs="Times New Roman" w:hint="eastAsia"/>
          <w:color w:val="000000"/>
          <w:kern w:val="2"/>
          <w:sz w:val="24"/>
          <w:szCs w:val="24"/>
          <w:lang w:eastAsia="zh-CN"/>
        </w:rPr>
        <w:t>October</w:t>
      </w:r>
      <w:r>
        <w:rPr>
          <w:rFonts w:ascii="Book Antiqua" w:hAnsi="Book Antiqua" w:cs="Times New Roman"/>
          <w:color w:val="000000"/>
          <w:kern w:val="2"/>
          <w:sz w:val="24"/>
          <w:szCs w:val="24"/>
          <w:lang w:eastAsia="zh-CN"/>
        </w:rPr>
        <w:t xml:space="preserve"> </w:t>
      </w:r>
      <w:r>
        <w:rPr>
          <w:rFonts w:ascii="Book Antiqua" w:hAnsi="Book Antiqua" w:cs="Times New Roman" w:hint="eastAsia"/>
          <w:color w:val="000000"/>
          <w:kern w:val="2"/>
          <w:sz w:val="24"/>
          <w:szCs w:val="24"/>
          <w:lang w:eastAsia="zh-CN"/>
        </w:rPr>
        <w:t>9</w:t>
      </w:r>
      <w:r w:rsidRPr="00BC0FDA">
        <w:rPr>
          <w:rFonts w:ascii="Book Antiqua" w:hAnsi="Book Antiqua" w:cs="Times New Roman"/>
          <w:color w:val="000000"/>
          <w:kern w:val="2"/>
          <w:sz w:val="24"/>
          <w:szCs w:val="24"/>
          <w:lang w:eastAsia="zh-CN"/>
        </w:rPr>
        <w:t>, 2018</w:t>
      </w:r>
    </w:p>
    <w:p w:rsidR="00BC0FDA" w:rsidRPr="00BC0FDA" w:rsidRDefault="00BC0FDA" w:rsidP="00BC0FDA">
      <w:pPr>
        <w:widowControl w:val="0"/>
        <w:adjustRightInd w:val="0"/>
        <w:snapToGrid w:val="0"/>
        <w:spacing w:line="360" w:lineRule="auto"/>
        <w:jc w:val="both"/>
        <w:rPr>
          <w:rFonts w:ascii="Book Antiqua" w:hAnsi="Book Antiqua" w:cs="Times New Roman"/>
          <w:color w:val="000000"/>
          <w:kern w:val="2"/>
          <w:sz w:val="24"/>
          <w:szCs w:val="24"/>
          <w:lang w:eastAsia="zh-CN"/>
        </w:rPr>
      </w:pPr>
      <w:r w:rsidRPr="00BC0FDA">
        <w:rPr>
          <w:rFonts w:ascii="Book Antiqua" w:hAnsi="Book Antiqua" w:cs="Times New Roman"/>
          <w:b/>
          <w:color w:val="000000"/>
          <w:kern w:val="2"/>
          <w:sz w:val="24"/>
          <w:szCs w:val="24"/>
          <w:lang w:eastAsia="zh-CN"/>
        </w:rPr>
        <w:t>Revised:</w:t>
      </w:r>
      <w:r w:rsidRPr="00BC0FDA">
        <w:rPr>
          <w:rFonts w:ascii="Book Antiqua" w:hAnsi="Book Antiqua" w:cs="Times New Roman"/>
          <w:color w:val="000000"/>
          <w:kern w:val="2"/>
          <w:sz w:val="24"/>
          <w:szCs w:val="24"/>
          <w:lang w:eastAsia="zh-CN"/>
        </w:rPr>
        <w:t xml:space="preserve"> </w:t>
      </w:r>
      <w:r>
        <w:rPr>
          <w:rFonts w:ascii="Book Antiqua" w:hAnsi="Book Antiqua" w:cs="Times New Roman" w:hint="eastAsia"/>
          <w:color w:val="000000"/>
          <w:kern w:val="2"/>
          <w:sz w:val="24"/>
          <w:szCs w:val="24"/>
          <w:lang w:eastAsia="zh-CN"/>
        </w:rPr>
        <w:t>October</w:t>
      </w:r>
      <w:r>
        <w:rPr>
          <w:rFonts w:ascii="Book Antiqua" w:hAnsi="Book Antiqua" w:cs="Times New Roman"/>
          <w:color w:val="000000"/>
          <w:kern w:val="2"/>
          <w:sz w:val="24"/>
          <w:szCs w:val="24"/>
          <w:lang w:eastAsia="zh-CN"/>
        </w:rPr>
        <w:t xml:space="preserve"> </w:t>
      </w:r>
      <w:r>
        <w:rPr>
          <w:rFonts w:ascii="Book Antiqua" w:hAnsi="Book Antiqua" w:cs="Times New Roman" w:hint="eastAsia"/>
          <w:color w:val="000000"/>
          <w:kern w:val="2"/>
          <w:sz w:val="24"/>
          <w:szCs w:val="24"/>
          <w:lang w:eastAsia="zh-CN"/>
        </w:rPr>
        <w:t>12</w:t>
      </w:r>
      <w:r w:rsidRPr="00BC0FDA">
        <w:rPr>
          <w:rFonts w:ascii="Book Antiqua" w:hAnsi="Book Antiqua" w:cs="Times New Roman"/>
          <w:color w:val="000000"/>
          <w:kern w:val="2"/>
          <w:sz w:val="24"/>
          <w:szCs w:val="24"/>
          <w:lang w:eastAsia="zh-CN"/>
        </w:rPr>
        <w:t>, 2018</w:t>
      </w:r>
    </w:p>
    <w:p w:rsidR="00BC0FDA" w:rsidRPr="00BC0FDA" w:rsidRDefault="00BC0FDA" w:rsidP="00BC0FDA">
      <w:pPr>
        <w:widowControl w:val="0"/>
        <w:adjustRightInd w:val="0"/>
        <w:snapToGrid w:val="0"/>
        <w:spacing w:line="360" w:lineRule="auto"/>
        <w:jc w:val="both"/>
        <w:rPr>
          <w:rFonts w:ascii="Book Antiqua" w:hAnsi="Book Antiqua" w:cs="Times New Roman"/>
          <w:color w:val="000000"/>
          <w:kern w:val="2"/>
          <w:sz w:val="24"/>
          <w:szCs w:val="24"/>
          <w:lang w:eastAsia="zh-CN"/>
        </w:rPr>
      </w:pPr>
      <w:r w:rsidRPr="00BC0FDA">
        <w:rPr>
          <w:rFonts w:ascii="Book Antiqua" w:hAnsi="Book Antiqua" w:cs="Times New Roman"/>
          <w:b/>
          <w:color w:val="000000"/>
          <w:kern w:val="2"/>
          <w:sz w:val="24"/>
          <w:szCs w:val="24"/>
          <w:lang w:eastAsia="zh-CN"/>
        </w:rPr>
        <w:t>Accepted:</w:t>
      </w:r>
      <w:r w:rsidRPr="00BC0FDA">
        <w:rPr>
          <w:rFonts w:ascii="Book Antiqua" w:hAnsi="Book Antiqua" w:cs="Times New Roman"/>
          <w:color w:val="000000"/>
          <w:kern w:val="2"/>
          <w:sz w:val="24"/>
          <w:szCs w:val="24"/>
          <w:lang w:eastAsia="zh-CN"/>
        </w:rPr>
        <w:t xml:space="preserve"> </w:t>
      </w:r>
      <w:r w:rsidR="00066351" w:rsidRPr="00066351">
        <w:rPr>
          <w:rFonts w:ascii="Book Antiqua" w:hAnsi="Book Antiqua" w:cs="Times New Roman"/>
          <w:color w:val="000000"/>
          <w:kern w:val="2"/>
          <w:sz w:val="24"/>
          <w:szCs w:val="24"/>
          <w:lang w:eastAsia="zh-CN"/>
        </w:rPr>
        <w:t>October 21, 2018</w:t>
      </w:r>
    </w:p>
    <w:p w:rsidR="00BC0FDA" w:rsidRPr="00BC0FDA" w:rsidRDefault="00BC0FDA" w:rsidP="00BC0FDA">
      <w:pPr>
        <w:widowControl w:val="0"/>
        <w:adjustRightInd w:val="0"/>
        <w:snapToGrid w:val="0"/>
        <w:spacing w:line="360" w:lineRule="auto"/>
        <w:jc w:val="both"/>
        <w:rPr>
          <w:rFonts w:ascii="Book Antiqua" w:hAnsi="Book Antiqua" w:cs="Times New Roman"/>
          <w:b/>
          <w:color w:val="000000"/>
          <w:kern w:val="2"/>
          <w:sz w:val="24"/>
          <w:szCs w:val="24"/>
          <w:lang w:eastAsia="zh-CN"/>
        </w:rPr>
      </w:pPr>
      <w:r w:rsidRPr="00BC0FDA">
        <w:rPr>
          <w:rFonts w:ascii="Book Antiqua" w:hAnsi="Book Antiqua" w:cs="Times New Roman"/>
          <w:b/>
          <w:color w:val="000000"/>
          <w:kern w:val="2"/>
          <w:sz w:val="24"/>
          <w:szCs w:val="24"/>
          <w:lang w:eastAsia="zh-CN"/>
        </w:rPr>
        <w:t>Article in press:</w:t>
      </w:r>
    </w:p>
    <w:p w:rsidR="00BC0FDA" w:rsidRPr="00BC0FDA" w:rsidRDefault="00BC0FDA" w:rsidP="00BC0FDA">
      <w:pPr>
        <w:widowControl w:val="0"/>
        <w:adjustRightInd w:val="0"/>
        <w:snapToGrid w:val="0"/>
        <w:spacing w:line="360" w:lineRule="auto"/>
        <w:jc w:val="both"/>
        <w:rPr>
          <w:rFonts w:ascii="Book Antiqua" w:hAnsi="Book Antiqua" w:cs="Times New Roman"/>
          <w:b/>
          <w:color w:val="000000"/>
          <w:kern w:val="2"/>
          <w:sz w:val="24"/>
          <w:szCs w:val="24"/>
          <w:lang w:eastAsia="zh-CN"/>
        </w:rPr>
      </w:pPr>
      <w:r w:rsidRPr="00BC0FDA">
        <w:rPr>
          <w:rFonts w:ascii="Book Antiqua" w:hAnsi="Book Antiqua" w:cs="Times New Roman"/>
          <w:b/>
          <w:color w:val="000000"/>
          <w:kern w:val="2"/>
          <w:sz w:val="24"/>
          <w:szCs w:val="24"/>
          <w:lang w:eastAsia="zh-CN"/>
        </w:rPr>
        <w:t>Published online:</w:t>
      </w:r>
    </w:p>
    <w:p w:rsidR="005F434F" w:rsidRDefault="005F434F" w:rsidP="00B7665A">
      <w:pPr>
        <w:widowControl w:val="0"/>
        <w:adjustRightInd w:val="0"/>
        <w:snapToGrid w:val="0"/>
        <w:spacing w:line="360" w:lineRule="auto"/>
        <w:jc w:val="both"/>
        <w:rPr>
          <w:rFonts w:ascii="Book Antiqua" w:hAnsi="Book Antiqua" w:cs="Times New Roman"/>
          <w:b/>
          <w:sz w:val="24"/>
          <w:szCs w:val="24"/>
          <w:lang w:eastAsia="zh-CN"/>
        </w:rPr>
      </w:pPr>
    </w:p>
    <w:bookmarkEnd w:id="18"/>
    <w:bookmarkEnd w:id="19"/>
    <w:p w:rsidR="00530194" w:rsidRPr="00B7665A" w:rsidRDefault="00530194" w:rsidP="00B7665A">
      <w:pPr>
        <w:widowControl w:val="0"/>
        <w:adjustRightInd w:val="0"/>
        <w:snapToGrid w:val="0"/>
        <w:spacing w:line="360" w:lineRule="auto"/>
        <w:jc w:val="both"/>
        <w:rPr>
          <w:rFonts w:ascii="Book Antiqua" w:hAnsi="Book Antiqua" w:cs="Times New Roman"/>
          <w:b/>
          <w:sz w:val="24"/>
          <w:szCs w:val="24"/>
        </w:rPr>
      </w:pPr>
      <w:r w:rsidRPr="00B7665A">
        <w:rPr>
          <w:rFonts w:ascii="Book Antiqua" w:hAnsi="Book Antiqua" w:cs="Times New Roman"/>
          <w:b/>
          <w:sz w:val="24"/>
          <w:szCs w:val="24"/>
        </w:rPr>
        <w:br w:type="page"/>
      </w:r>
    </w:p>
    <w:p w:rsidR="00530194" w:rsidRPr="00B7665A" w:rsidRDefault="00BC0FDA" w:rsidP="00B7665A">
      <w:pPr>
        <w:widowControl w:val="0"/>
        <w:adjustRightInd w:val="0"/>
        <w:snapToGrid w:val="0"/>
        <w:spacing w:line="360" w:lineRule="auto"/>
        <w:jc w:val="both"/>
        <w:rPr>
          <w:rFonts w:ascii="Book Antiqua" w:hAnsi="Book Antiqua" w:cs="Times New Roman"/>
          <w:sz w:val="24"/>
          <w:szCs w:val="24"/>
          <w:lang w:eastAsia="zh-CN"/>
        </w:rPr>
      </w:pPr>
      <w:bookmarkStart w:id="20" w:name="_Hlk522979004"/>
      <w:r>
        <w:rPr>
          <w:rFonts w:ascii="Book Antiqua" w:hAnsi="Book Antiqua" w:cs="Times New Roman"/>
          <w:b/>
          <w:sz w:val="24"/>
          <w:szCs w:val="24"/>
        </w:rPr>
        <w:lastRenderedPageBreak/>
        <w:t>Abstract</w:t>
      </w:r>
    </w:p>
    <w:p w:rsidR="00530194" w:rsidRDefault="00530194" w:rsidP="00B7665A">
      <w:pPr>
        <w:widowControl w:val="0"/>
        <w:adjustRightInd w:val="0"/>
        <w:snapToGrid w:val="0"/>
        <w:spacing w:line="360" w:lineRule="auto"/>
        <w:jc w:val="both"/>
        <w:rPr>
          <w:rFonts w:ascii="Book Antiqua" w:hAnsi="Book Antiqua" w:cs="Times New Roman"/>
          <w:bCs/>
          <w:sz w:val="24"/>
          <w:szCs w:val="24"/>
          <w:lang w:eastAsia="zh-CN"/>
        </w:rPr>
      </w:pPr>
      <w:bookmarkStart w:id="21" w:name="_Hlk523142845"/>
      <w:r w:rsidRPr="00B7665A">
        <w:rPr>
          <w:rFonts w:ascii="Book Antiqua" w:hAnsi="Book Antiqua" w:cs="Times New Roman"/>
          <w:bCs/>
          <w:sz w:val="24"/>
          <w:szCs w:val="24"/>
        </w:rPr>
        <w:t xml:space="preserve">In this editorial we comment on the article by Fukushi K published in </w:t>
      </w:r>
      <w:r w:rsidR="00DC7ED0" w:rsidRPr="00B7665A">
        <w:rPr>
          <w:rFonts w:ascii="Book Antiqua" w:hAnsi="Book Antiqua" w:cs="Times New Roman"/>
          <w:bCs/>
          <w:sz w:val="24"/>
          <w:szCs w:val="24"/>
        </w:rPr>
        <w:t>the</w:t>
      </w:r>
      <w:r w:rsidRPr="00B7665A">
        <w:rPr>
          <w:rFonts w:ascii="Book Antiqua" w:hAnsi="Book Antiqua" w:cs="Times New Roman"/>
          <w:bCs/>
          <w:sz w:val="24"/>
          <w:szCs w:val="24"/>
        </w:rPr>
        <w:t xml:space="preserve"> recent issue of the </w:t>
      </w:r>
      <w:r w:rsidR="003863B0" w:rsidRPr="00B7665A">
        <w:rPr>
          <w:rFonts w:ascii="Book Antiqua" w:hAnsi="Book Antiqua" w:cs="Times New Roman"/>
          <w:bCs/>
          <w:sz w:val="24"/>
          <w:szCs w:val="24"/>
        </w:rPr>
        <w:t>W</w:t>
      </w:r>
      <w:r w:rsidR="003863B0" w:rsidRPr="00B7665A">
        <w:rPr>
          <w:rFonts w:ascii="Book Antiqua" w:hAnsi="Book Antiqua" w:cs="Times New Roman"/>
          <w:bCs/>
          <w:i/>
          <w:sz w:val="24"/>
          <w:szCs w:val="24"/>
        </w:rPr>
        <w:t xml:space="preserve">orld Journal of </w:t>
      </w:r>
      <w:r w:rsidR="003863B0" w:rsidRPr="00B7665A">
        <w:rPr>
          <w:rFonts w:ascii="Book Antiqua" w:hAnsi="Book Antiqua" w:cs="Times New Roman"/>
          <w:bCs/>
          <w:i/>
          <w:iCs/>
          <w:sz w:val="24"/>
          <w:szCs w:val="24"/>
        </w:rPr>
        <w:t xml:space="preserve">Gastroenterology </w:t>
      </w:r>
      <w:r w:rsidR="003863B0" w:rsidRPr="00BC0FDA">
        <w:rPr>
          <w:rFonts w:ascii="Book Antiqua" w:hAnsi="Book Antiqua" w:cs="Times New Roman"/>
          <w:bCs/>
          <w:iCs/>
          <w:sz w:val="24"/>
          <w:szCs w:val="24"/>
        </w:rPr>
        <w:t xml:space="preserve">2018; </w:t>
      </w:r>
      <w:r w:rsidR="003863B0" w:rsidRPr="00BC0FDA">
        <w:rPr>
          <w:rFonts w:ascii="Book Antiqua" w:hAnsi="Book Antiqua" w:cs="Times New Roman"/>
          <w:b/>
          <w:bCs/>
          <w:iCs/>
          <w:sz w:val="24"/>
          <w:szCs w:val="24"/>
        </w:rPr>
        <w:t>24</w:t>
      </w:r>
      <w:r w:rsidR="003863B0" w:rsidRPr="00BC0FDA">
        <w:rPr>
          <w:rFonts w:ascii="Book Antiqua" w:hAnsi="Book Antiqua" w:cs="Times New Roman"/>
          <w:bCs/>
          <w:iCs/>
          <w:sz w:val="24"/>
          <w:szCs w:val="24"/>
        </w:rPr>
        <w:t>(34): 3908-3918</w:t>
      </w:r>
      <w:r w:rsidR="003863B0" w:rsidRPr="00BC0FDA">
        <w:rPr>
          <w:rFonts w:ascii="Book Antiqua" w:hAnsi="Book Antiqua" w:cs="Times New Roman"/>
          <w:bCs/>
          <w:sz w:val="24"/>
          <w:szCs w:val="24"/>
        </w:rPr>
        <w:t>.</w:t>
      </w:r>
      <w:r w:rsidR="0010276F">
        <w:rPr>
          <w:rFonts w:ascii="Book Antiqua" w:hAnsi="Book Antiqua" w:cs="Times New Roman"/>
          <w:bCs/>
          <w:sz w:val="24"/>
          <w:szCs w:val="24"/>
        </w:rPr>
        <w:t xml:space="preserve"> </w:t>
      </w:r>
      <w:r w:rsidRPr="00B7665A">
        <w:rPr>
          <w:rFonts w:ascii="Book Antiqua" w:hAnsi="Book Antiqua" w:cs="Times New Roman"/>
          <w:bCs/>
          <w:sz w:val="24"/>
          <w:szCs w:val="24"/>
        </w:rPr>
        <w:t xml:space="preserve">We focus specifically on the mechanisms of the anti-thrombotic action of aspirin, </w:t>
      </w:r>
      <w:bookmarkStart w:id="22" w:name="_Hlk523143348"/>
      <w:r w:rsidRPr="00B7665A">
        <w:rPr>
          <w:rFonts w:ascii="Book Antiqua" w:hAnsi="Book Antiqua" w:cs="Times New Roman"/>
          <w:bCs/>
          <w:sz w:val="24"/>
          <w:szCs w:val="24"/>
        </w:rPr>
        <w:t>gastric mucosal injury and aging-related increased susceptibility of gastric mucosa to injury</w:t>
      </w:r>
      <w:bookmarkEnd w:id="22"/>
      <w:r w:rsidRPr="00B7665A">
        <w:rPr>
          <w:rFonts w:ascii="Book Antiqua" w:hAnsi="Book Antiqua" w:cs="Times New Roman"/>
          <w:bCs/>
          <w:sz w:val="24"/>
          <w:szCs w:val="24"/>
        </w:rPr>
        <w:t>.</w:t>
      </w:r>
      <w:bookmarkEnd w:id="21"/>
      <w:r w:rsidRPr="00B7665A">
        <w:rPr>
          <w:rFonts w:ascii="Book Antiqua" w:hAnsi="Book Antiqua" w:cs="Times New Roman"/>
          <w:bCs/>
          <w:sz w:val="24"/>
          <w:szCs w:val="24"/>
        </w:rPr>
        <w:t xml:space="preserve"> Aspirin is widely used not only for the management of acute and chronic pain</w:t>
      </w:r>
      <w:r w:rsidR="00061EFB" w:rsidRPr="00B7665A">
        <w:rPr>
          <w:rFonts w:ascii="Book Antiqua" w:hAnsi="Book Antiqua" w:cs="Times New Roman"/>
          <w:bCs/>
          <w:sz w:val="24"/>
          <w:szCs w:val="24"/>
        </w:rPr>
        <w:t xml:space="preserve"> and </w:t>
      </w:r>
      <w:r w:rsidRPr="00B7665A">
        <w:rPr>
          <w:rFonts w:ascii="Book Antiqua" w:hAnsi="Book Antiqua" w:cs="Times New Roman"/>
          <w:bCs/>
          <w:sz w:val="24"/>
          <w:szCs w:val="24"/>
        </w:rPr>
        <w:t xml:space="preserve">arthritis, but also importantly for the primary and secondary prevention of cardiovascular events such as myocardial infarcts and strokes. Clinical trials have consistently shown that antiplatelet therapy with long term, low dose </w:t>
      </w:r>
      <w:r w:rsidR="00BC0FDA">
        <w:rPr>
          <w:rFonts w:ascii="Book Antiqua" w:hAnsi="Book Antiqua" w:cs="Times New Roman"/>
          <w:bCs/>
          <w:sz w:val="24"/>
          <w:szCs w:val="24"/>
        </w:rPr>
        <w:t>aspirin (LDA) - 75 to 325 mg/d</w:t>
      </w:r>
      <w:r w:rsidRPr="00B7665A">
        <w:rPr>
          <w:rFonts w:ascii="Book Antiqua" w:hAnsi="Book Antiqua" w:cs="Times New Roman"/>
          <w:bCs/>
          <w:sz w:val="24"/>
          <w:szCs w:val="24"/>
        </w:rPr>
        <w:t>, dramatically reduces the risk of non-fatal myocardial infarcts, stroke and mortality in patients with established arterial diseases. However, such treatment considerably increases the risk of gastrointestinal (GI) ulcerations and serious bleeding by &gt;</w:t>
      </w:r>
      <w:r w:rsidR="00BC0FDA">
        <w:rPr>
          <w:rFonts w:ascii="Book Antiqua" w:hAnsi="Book Antiqua" w:cs="Times New Roman" w:hint="eastAsia"/>
          <w:bCs/>
          <w:sz w:val="24"/>
          <w:szCs w:val="24"/>
          <w:lang w:eastAsia="zh-CN"/>
        </w:rPr>
        <w:t xml:space="preserve"> </w:t>
      </w:r>
      <w:r w:rsidRPr="00B7665A">
        <w:rPr>
          <w:rFonts w:ascii="Book Antiqua" w:hAnsi="Book Antiqua" w:cs="Times New Roman"/>
          <w:bCs/>
          <w:sz w:val="24"/>
          <w:szCs w:val="24"/>
        </w:rPr>
        <w:t>2-4</w:t>
      </w:r>
      <w:r w:rsidR="00BC0FDA">
        <w:rPr>
          <w:rFonts w:ascii="Book Antiqua" w:hAnsi="Book Antiqua" w:cs="Times New Roman" w:hint="eastAsia"/>
          <w:bCs/>
          <w:sz w:val="24"/>
          <w:szCs w:val="24"/>
          <w:lang w:eastAsia="zh-CN"/>
        </w:rPr>
        <w:t xml:space="preserve"> </w:t>
      </w:r>
      <w:r w:rsidRPr="00B7665A">
        <w:rPr>
          <w:rFonts w:ascii="Book Antiqua" w:hAnsi="Book Antiqua" w:cs="Times New Roman"/>
          <w:bCs/>
          <w:sz w:val="24"/>
          <w:szCs w:val="24"/>
        </w:rPr>
        <w:t>fold, es</w:t>
      </w:r>
      <w:bookmarkStart w:id="23" w:name="_Hlk522964565"/>
      <w:r w:rsidR="00BC0FDA">
        <w:rPr>
          <w:rFonts w:ascii="Book Antiqua" w:hAnsi="Book Antiqua" w:cs="Times New Roman"/>
          <w:bCs/>
          <w:sz w:val="24"/>
          <w:szCs w:val="24"/>
        </w:rPr>
        <w:t xml:space="preserve">pecially in aging individuals. </w:t>
      </w:r>
      <w:r w:rsidRPr="00B7665A">
        <w:rPr>
          <w:rFonts w:ascii="Book Antiqua" w:hAnsi="Book Antiqua" w:cs="Times New Roman"/>
          <w:bCs/>
          <w:sz w:val="24"/>
          <w:szCs w:val="24"/>
        </w:rPr>
        <w:t xml:space="preserve">This risk is further increased in patients using LDA together with other antiplatelet agents, other nonsteroidal anti-inflammatory agents (NSAIDs) and/or alcohol, or in patients with </w:t>
      </w:r>
      <w:r w:rsidR="00BC0FDA" w:rsidRPr="00BC0FDA">
        <w:rPr>
          <w:rFonts w:ascii="Book Antiqua" w:hAnsi="Book Antiqua" w:cs="Times New Roman"/>
          <w:bCs/>
          <w:i/>
          <w:sz w:val="24"/>
          <w:szCs w:val="24"/>
        </w:rPr>
        <w:t>Helicobacter pylori</w:t>
      </w:r>
      <w:r w:rsidR="00BC0FDA" w:rsidRPr="00BC0FDA">
        <w:rPr>
          <w:rFonts w:ascii="Book Antiqua" w:hAnsi="Book Antiqua" w:cs="Times New Roman"/>
          <w:bCs/>
          <w:sz w:val="24"/>
          <w:szCs w:val="24"/>
        </w:rPr>
        <w:t xml:space="preserve"> </w:t>
      </w:r>
      <w:r w:rsidR="00BC0FDA">
        <w:rPr>
          <w:rFonts w:ascii="Book Antiqua" w:hAnsi="Book Antiqua" w:cs="Times New Roman" w:hint="eastAsia"/>
          <w:bCs/>
          <w:iCs/>
          <w:sz w:val="24"/>
          <w:szCs w:val="24"/>
          <w:lang w:eastAsia="zh-CN"/>
        </w:rPr>
        <w:t>(</w:t>
      </w:r>
      <w:r w:rsidR="00BC0FDA" w:rsidRPr="00B7665A">
        <w:rPr>
          <w:rFonts w:ascii="Book Antiqua" w:hAnsi="Book Antiqua" w:cs="Times New Roman"/>
          <w:bCs/>
          <w:i/>
          <w:iCs/>
          <w:sz w:val="24"/>
          <w:szCs w:val="24"/>
        </w:rPr>
        <w:t>H. pylori</w:t>
      </w:r>
      <w:r w:rsidR="00BC0FDA">
        <w:rPr>
          <w:rFonts w:ascii="Book Antiqua" w:hAnsi="Book Antiqua" w:cs="Times New Roman" w:hint="eastAsia"/>
          <w:bCs/>
          <w:iCs/>
          <w:sz w:val="24"/>
          <w:szCs w:val="24"/>
          <w:lang w:eastAsia="zh-CN"/>
        </w:rPr>
        <w:t xml:space="preserve">) </w:t>
      </w:r>
      <w:r w:rsidRPr="00B7665A">
        <w:rPr>
          <w:rFonts w:ascii="Book Antiqua" w:hAnsi="Book Antiqua" w:cs="Times New Roman"/>
          <w:bCs/>
          <w:sz w:val="24"/>
          <w:szCs w:val="24"/>
        </w:rPr>
        <w:t xml:space="preserve">infection. </w:t>
      </w:r>
      <w:bookmarkEnd w:id="23"/>
      <w:r w:rsidRPr="00B7665A">
        <w:rPr>
          <w:rFonts w:ascii="Book Antiqua" w:hAnsi="Book Antiqua" w:cs="Times New Roman"/>
          <w:bCs/>
          <w:sz w:val="24"/>
          <w:szCs w:val="24"/>
        </w:rPr>
        <w:t>Previous studies by our group and others have demonstrated prominent structural and functional abnormalities in gastric mucosa of aging individuals (which we refer to as aging gastric mucosa or “aging gastropathy”) compared to the gastric mucosa of younger individuals.</w:t>
      </w:r>
      <w:r w:rsidR="0010276F">
        <w:rPr>
          <w:rFonts w:ascii="Book Antiqua" w:hAnsi="Book Antiqua" w:cs="Times New Roman"/>
          <w:bCs/>
          <w:sz w:val="24"/>
          <w:szCs w:val="24"/>
        </w:rPr>
        <w:t xml:space="preserve"> </w:t>
      </w:r>
      <w:r w:rsidRPr="00B7665A">
        <w:rPr>
          <w:rFonts w:ascii="Book Antiqua" w:hAnsi="Book Antiqua" w:cs="Times New Roman"/>
          <w:bCs/>
          <w:sz w:val="24"/>
          <w:szCs w:val="24"/>
        </w:rPr>
        <w:t>Aging gastric mucosa has impaired mucosal defense, increased susceptibility to injury by a variety of noxious agents such as aspirin, other NSAIDs and ethanol, and delayed a</w:t>
      </w:r>
      <w:r w:rsidR="00965591">
        <w:rPr>
          <w:rFonts w:ascii="Book Antiqua" w:hAnsi="Book Antiqua" w:cs="Times New Roman"/>
          <w:bCs/>
          <w:sz w:val="24"/>
          <w:szCs w:val="24"/>
        </w:rPr>
        <w:t xml:space="preserve">nd impaired healing of injury. </w:t>
      </w:r>
      <w:r w:rsidRPr="00B7665A">
        <w:rPr>
          <w:rFonts w:ascii="Book Antiqua" w:hAnsi="Book Antiqua" w:cs="Times New Roman"/>
          <w:bCs/>
          <w:sz w:val="24"/>
          <w:szCs w:val="24"/>
        </w:rPr>
        <w:t xml:space="preserve">The mechanism underlying these abnormalities of aging gastric mucosa include reduced mucosal blood flow causing hypoxia, upregulation of PTEN, activation of pro-apoptotic caspase-3 and caspase-9, and reduced survivin (anti-apoptosis protein), importin-α (nuclear transport protein), vascular </w:t>
      </w:r>
      <w:r w:rsidR="00965591">
        <w:rPr>
          <w:rFonts w:ascii="Book Antiqua" w:hAnsi="Book Antiqua" w:cs="Times New Roman"/>
          <w:bCs/>
          <w:sz w:val="24"/>
          <w:szCs w:val="24"/>
        </w:rPr>
        <w:t>endothelial growth factor</w:t>
      </w:r>
      <w:r w:rsidRPr="00B7665A">
        <w:rPr>
          <w:rFonts w:ascii="Book Antiqua" w:hAnsi="Book Antiqua" w:cs="Times New Roman"/>
          <w:bCs/>
          <w:sz w:val="24"/>
          <w:szCs w:val="24"/>
        </w:rPr>
        <w:t xml:space="preserve">, </w:t>
      </w:r>
      <w:r w:rsidR="00965591">
        <w:rPr>
          <w:rFonts w:ascii="Book Antiqua" w:hAnsi="Book Antiqua" w:cs="Times New Roman"/>
          <w:bCs/>
          <w:sz w:val="24"/>
          <w:szCs w:val="24"/>
        </w:rPr>
        <w:t>and nerve growt</w:t>
      </w:r>
      <w:r w:rsidR="008E0465">
        <w:rPr>
          <w:rFonts w:ascii="Book Antiqua" w:hAnsi="Book Antiqua" w:cs="Times New Roman"/>
          <w:bCs/>
          <w:sz w:val="24"/>
          <w:szCs w:val="24"/>
        </w:rPr>
        <w:t>h factor</w:t>
      </w:r>
      <w:r w:rsidR="00965591">
        <w:rPr>
          <w:rFonts w:ascii="Book Antiqua" w:hAnsi="Book Antiqua" w:cs="Times New Roman"/>
          <w:bCs/>
          <w:sz w:val="24"/>
          <w:szCs w:val="24"/>
        </w:rPr>
        <w:t xml:space="preserve">. </w:t>
      </w:r>
      <w:r w:rsidRPr="00B7665A">
        <w:rPr>
          <w:rFonts w:ascii="Book Antiqua" w:hAnsi="Book Antiqua" w:cs="Times New Roman"/>
          <w:bCs/>
          <w:sz w:val="24"/>
          <w:szCs w:val="24"/>
        </w:rPr>
        <w:t xml:space="preserve">The decision regarding initiation of a long-term LDA therapy should be made after a careful consideration of both cardiovascular and GI risk factors. The latter include a previous history of GI bleeding and/or ulcers, age ≥ 70, male gender, concurrent use of other NSAIDs, alcohol consumption and </w:t>
      </w:r>
      <w:r w:rsidRPr="00B7665A">
        <w:rPr>
          <w:rFonts w:ascii="Book Antiqua" w:hAnsi="Book Antiqua" w:cs="Times New Roman"/>
          <w:bCs/>
          <w:i/>
          <w:sz w:val="24"/>
          <w:szCs w:val="24"/>
        </w:rPr>
        <w:t>H. pylori</w:t>
      </w:r>
      <w:r w:rsidRPr="00B7665A">
        <w:rPr>
          <w:rFonts w:ascii="Book Antiqua" w:hAnsi="Book Antiqua" w:cs="Times New Roman"/>
          <w:bCs/>
          <w:sz w:val="24"/>
          <w:szCs w:val="24"/>
        </w:rPr>
        <w:t xml:space="preserve"> infection. Furthermore, the incidence of GI ulcers and </w:t>
      </w:r>
      <w:r w:rsidRPr="00B7665A">
        <w:rPr>
          <w:rFonts w:ascii="Book Antiqua" w:hAnsi="Book Antiqua" w:cs="Times New Roman"/>
          <w:bCs/>
          <w:sz w:val="24"/>
          <w:szCs w:val="24"/>
        </w:rPr>
        <w:lastRenderedPageBreak/>
        <w:t xml:space="preserve">bleeding can be reduced in patients on long term LDA treatment by several measures. Clinicians treating such patients should test for and eradicate </w:t>
      </w:r>
      <w:r w:rsidRPr="00B7665A">
        <w:rPr>
          <w:rFonts w:ascii="Book Antiqua" w:hAnsi="Book Antiqua" w:cs="Times New Roman"/>
          <w:bCs/>
          <w:i/>
          <w:sz w:val="24"/>
          <w:szCs w:val="24"/>
        </w:rPr>
        <w:t>H. pylori</w:t>
      </w:r>
      <w:r w:rsidRPr="00B7665A">
        <w:rPr>
          <w:rFonts w:ascii="Book Antiqua" w:hAnsi="Book Antiqua" w:cs="Times New Roman"/>
          <w:bCs/>
          <w:sz w:val="24"/>
          <w:szCs w:val="24"/>
        </w:rPr>
        <w:t xml:space="preserve">, instruct patients to avoid alcohol and non-aspirin NSAIDs, including </w:t>
      </w:r>
      <w:r w:rsidR="00965591">
        <w:rPr>
          <w:rFonts w:ascii="Book Antiqua" w:hAnsi="Book Antiqua" w:cs="Times New Roman"/>
          <w:bCs/>
          <w:sz w:val="24"/>
          <w:szCs w:val="24"/>
        </w:rPr>
        <w:t>cyclooxygenase</w:t>
      </w:r>
      <w:r w:rsidRPr="00B7665A">
        <w:rPr>
          <w:rFonts w:ascii="Book Antiqua" w:hAnsi="Book Antiqua" w:cs="Times New Roman"/>
          <w:bCs/>
          <w:sz w:val="24"/>
          <w:szCs w:val="24"/>
        </w:rPr>
        <w:t>-2-selective NSAIDs, and prescribe proton pump inhibitors in patients on LDA therapy. In the future, clinicians may be able to prescribe one of several potential new drugs, which include aspirin associated with phosphatidylcholine (PL2200), which retains all property of aspirin but reduces by ~5</w:t>
      </w:r>
      <w:r w:rsidR="00965591">
        <w:rPr>
          <w:rFonts w:ascii="Book Antiqua" w:hAnsi="Book Antiqua" w:cs="Times New Roman"/>
          <w:bCs/>
          <w:sz w:val="24"/>
          <w:szCs w:val="24"/>
        </w:rPr>
        <w:t>0% LDA-induced GI ulcerations.</w:t>
      </w:r>
    </w:p>
    <w:p w:rsidR="00965591" w:rsidRPr="00965591" w:rsidRDefault="00965591" w:rsidP="00B7665A">
      <w:pPr>
        <w:widowControl w:val="0"/>
        <w:adjustRightInd w:val="0"/>
        <w:snapToGrid w:val="0"/>
        <w:spacing w:line="360" w:lineRule="auto"/>
        <w:jc w:val="both"/>
        <w:rPr>
          <w:rFonts w:ascii="Book Antiqua" w:hAnsi="Book Antiqua" w:cs="Times New Roman"/>
          <w:bCs/>
          <w:sz w:val="24"/>
          <w:szCs w:val="24"/>
          <w:lang w:eastAsia="zh-CN"/>
        </w:rPr>
      </w:pPr>
    </w:p>
    <w:bookmarkEnd w:id="20"/>
    <w:p w:rsidR="00530194" w:rsidRDefault="00530194" w:rsidP="00B7665A">
      <w:pPr>
        <w:widowControl w:val="0"/>
        <w:adjustRightInd w:val="0"/>
        <w:snapToGrid w:val="0"/>
        <w:spacing w:line="360" w:lineRule="auto"/>
        <w:jc w:val="both"/>
        <w:rPr>
          <w:rFonts w:ascii="Book Antiqua" w:hAnsi="Book Antiqua" w:cs="Times New Roman"/>
          <w:sz w:val="24"/>
          <w:szCs w:val="24"/>
          <w:lang w:eastAsia="zh-CN"/>
        </w:rPr>
      </w:pPr>
      <w:r w:rsidRPr="00B7665A">
        <w:rPr>
          <w:rFonts w:ascii="Book Antiqua" w:hAnsi="Book Antiqua" w:cs="Times New Roman"/>
          <w:b/>
          <w:sz w:val="24"/>
          <w:szCs w:val="24"/>
        </w:rPr>
        <w:t>Key words</w:t>
      </w:r>
      <w:r w:rsidR="00965591">
        <w:rPr>
          <w:rFonts w:ascii="Book Antiqua" w:hAnsi="Book Antiqua" w:cs="Times New Roman" w:hint="eastAsia"/>
          <w:b/>
          <w:sz w:val="24"/>
          <w:szCs w:val="24"/>
          <w:lang w:eastAsia="zh-CN"/>
        </w:rPr>
        <w:t>:</w:t>
      </w:r>
      <w:r w:rsidRPr="00B7665A">
        <w:rPr>
          <w:rFonts w:ascii="Book Antiqua" w:hAnsi="Book Antiqua" w:cs="Times New Roman"/>
          <w:b/>
          <w:sz w:val="24"/>
          <w:szCs w:val="24"/>
        </w:rPr>
        <w:t xml:space="preserve"> </w:t>
      </w:r>
      <w:r w:rsidRPr="00B7665A">
        <w:rPr>
          <w:rFonts w:ascii="Book Antiqua" w:hAnsi="Book Antiqua" w:cs="Times New Roman"/>
          <w:sz w:val="24"/>
          <w:szCs w:val="24"/>
        </w:rPr>
        <w:t>Aging gastric mucosa</w:t>
      </w:r>
      <w:r w:rsidR="00965591">
        <w:rPr>
          <w:rFonts w:ascii="Book Antiqua" w:hAnsi="Book Antiqua" w:cs="Times New Roman"/>
          <w:sz w:val="24"/>
          <w:szCs w:val="24"/>
        </w:rPr>
        <w:t>;</w:t>
      </w:r>
      <w:r w:rsidRPr="00B7665A">
        <w:rPr>
          <w:rFonts w:ascii="Book Antiqua" w:hAnsi="Book Antiqua" w:cs="Times New Roman"/>
          <w:sz w:val="24"/>
          <w:szCs w:val="24"/>
        </w:rPr>
        <w:t xml:space="preserve"> </w:t>
      </w:r>
      <w:r w:rsidR="00965591" w:rsidRPr="00B7665A">
        <w:rPr>
          <w:rFonts w:ascii="Book Antiqua" w:hAnsi="Book Antiqua" w:cs="Times New Roman"/>
          <w:sz w:val="24"/>
          <w:szCs w:val="24"/>
        </w:rPr>
        <w:t>Injury</w:t>
      </w:r>
      <w:r w:rsidR="00965591">
        <w:rPr>
          <w:rFonts w:ascii="Book Antiqua" w:hAnsi="Book Antiqua" w:cs="Times New Roman"/>
          <w:sz w:val="24"/>
          <w:szCs w:val="24"/>
        </w:rPr>
        <w:t>;</w:t>
      </w:r>
      <w:r w:rsidRPr="00B7665A">
        <w:rPr>
          <w:rFonts w:ascii="Book Antiqua" w:hAnsi="Book Antiqua" w:cs="Times New Roman"/>
          <w:sz w:val="24"/>
          <w:szCs w:val="24"/>
        </w:rPr>
        <w:t xml:space="preserve"> </w:t>
      </w:r>
      <w:r w:rsidR="00965591" w:rsidRPr="00B7665A">
        <w:rPr>
          <w:rFonts w:ascii="Book Antiqua" w:hAnsi="Book Antiqua" w:cs="Times New Roman"/>
          <w:sz w:val="24"/>
          <w:szCs w:val="24"/>
        </w:rPr>
        <w:t xml:space="preserve">Low </w:t>
      </w:r>
      <w:r w:rsidRPr="00B7665A">
        <w:rPr>
          <w:rFonts w:ascii="Book Antiqua" w:hAnsi="Book Antiqua" w:cs="Times New Roman"/>
          <w:sz w:val="24"/>
          <w:szCs w:val="24"/>
        </w:rPr>
        <w:t>dose aspirin</w:t>
      </w:r>
      <w:r w:rsidR="00965591">
        <w:rPr>
          <w:rFonts w:ascii="Book Antiqua" w:hAnsi="Book Antiqua" w:cs="Times New Roman"/>
          <w:sz w:val="24"/>
          <w:szCs w:val="24"/>
        </w:rPr>
        <w:t>;</w:t>
      </w:r>
      <w:r w:rsidRPr="00B7665A">
        <w:rPr>
          <w:rFonts w:ascii="Book Antiqua" w:hAnsi="Book Antiqua" w:cs="Times New Roman"/>
          <w:sz w:val="24"/>
          <w:szCs w:val="24"/>
        </w:rPr>
        <w:t xml:space="preserve"> </w:t>
      </w:r>
      <w:r w:rsidR="00965591" w:rsidRPr="00B7665A">
        <w:rPr>
          <w:rFonts w:ascii="Book Antiqua" w:hAnsi="Book Antiqua" w:cs="Times New Roman"/>
          <w:sz w:val="24"/>
          <w:szCs w:val="24"/>
        </w:rPr>
        <w:t>Platelets</w:t>
      </w:r>
      <w:r w:rsidR="00965591">
        <w:rPr>
          <w:rFonts w:ascii="Book Antiqua" w:hAnsi="Book Antiqua" w:cs="Times New Roman"/>
          <w:sz w:val="24"/>
          <w:szCs w:val="24"/>
        </w:rPr>
        <w:t>;</w:t>
      </w:r>
      <w:r w:rsidRPr="00B7665A">
        <w:rPr>
          <w:rFonts w:ascii="Book Antiqua" w:hAnsi="Book Antiqua" w:cs="Times New Roman"/>
          <w:sz w:val="24"/>
          <w:szCs w:val="24"/>
        </w:rPr>
        <w:t xml:space="preserve"> </w:t>
      </w:r>
      <w:r w:rsidR="00965591">
        <w:rPr>
          <w:rFonts w:ascii="Book Antiqua" w:hAnsi="Book Antiqua" w:cs="Times New Roman"/>
          <w:bCs/>
          <w:sz w:val="24"/>
          <w:szCs w:val="24"/>
        </w:rPr>
        <w:t>Cyclooxygenase</w:t>
      </w:r>
      <w:r w:rsidRPr="00B7665A">
        <w:rPr>
          <w:rFonts w:ascii="Book Antiqua" w:hAnsi="Book Antiqua" w:cs="Times New Roman"/>
          <w:sz w:val="24"/>
          <w:szCs w:val="24"/>
        </w:rPr>
        <w:t>-1</w:t>
      </w:r>
      <w:r w:rsidR="00965591">
        <w:rPr>
          <w:rFonts w:ascii="Book Antiqua" w:hAnsi="Book Antiqua" w:cs="Times New Roman"/>
          <w:sz w:val="24"/>
          <w:szCs w:val="24"/>
        </w:rPr>
        <w:t>;</w:t>
      </w:r>
      <w:r w:rsidRPr="00B7665A">
        <w:rPr>
          <w:rFonts w:ascii="Book Antiqua" w:hAnsi="Book Antiqua" w:cs="Times New Roman"/>
          <w:sz w:val="24"/>
          <w:szCs w:val="24"/>
        </w:rPr>
        <w:t xml:space="preserve"> </w:t>
      </w:r>
      <w:r w:rsidR="00965591">
        <w:rPr>
          <w:rFonts w:ascii="Book Antiqua" w:hAnsi="Book Antiqua" w:cs="Times New Roman"/>
          <w:bCs/>
          <w:sz w:val="24"/>
          <w:szCs w:val="24"/>
        </w:rPr>
        <w:t>Cyclooxygenase</w:t>
      </w:r>
      <w:r w:rsidRPr="00B7665A">
        <w:rPr>
          <w:rFonts w:ascii="Book Antiqua" w:hAnsi="Book Antiqua" w:cs="Times New Roman"/>
          <w:sz w:val="24"/>
          <w:szCs w:val="24"/>
        </w:rPr>
        <w:t>-2</w:t>
      </w:r>
      <w:r w:rsidR="00965591">
        <w:rPr>
          <w:rFonts w:ascii="Book Antiqua" w:hAnsi="Book Antiqua" w:cs="Times New Roman"/>
          <w:sz w:val="24"/>
          <w:szCs w:val="24"/>
        </w:rPr>
        <w:t>;</w:t>
      </w:r>
      <w:r w:rsidRPr="00B7665A">
        <w:rPr>
          <w:rFonts w:ascii="Book Antiqua" w:hAnsi="Book Antiqua" w:cs="Times New Roman"/>
          <w:sz w:val="24"/>
          <w:szCs w:val="24"/>
        </w:rPr>
        <w:t xml:space="preserve"> </w:t>
      </w:r>
      <w:r w:rsidR="00965591" w:rsidRPr="00B7665A">
        <w:rPr>
          <w:rFonts w:ascii="Book Antiqua" w:hAnsi="Book Antiqua" w:cs="Times New Roman"/>
          <w:bCs/>
          <w:sz w:val="24"/>
          <w:szCs w:val="24"/>
        </w:rPr>
        <w:t>Thromboxane A</w:t>
      </w:r>
      <w:r w:rsidRPr="00B7665A">
        <w:rPr>
          <w:rFonts w:ascii="Book Antiqua" w:hAnsi="Book Antiqua" w:cs="Times New Roman"/>
          <w:sz w:val="24"/>
          <w:szCs w:val="24"/>
        </w:rPr>
        <w:t>-2</w:t>
      </w:r>
    </w:p>
    <w:p w:rsidR="00965591" w:rsidRDefault="00965591" w:rsidP="00B7665A">
      <w:pPr>
        <w:widowControl w:val="0"/>
        <w:adjustRightInd w:val="0"/>
        <w:snapToGrid w:val="0"/>
        <w:spacing w:line="360" w:lineRule="auto"/>
        <w:jc w:val="both"/>
        <w:rPr>
          <w:rFonts w:ascii="Book Antiqua" w:hAnsi="Book Antiqua" w:cs="Times New Roman"/>
          <w:sz w:val="24"/>
          <w:szCs w:val="24"/>
          <w:lang w:eastAsia="zh-CN"/>
        </w:rPr>
      </w:pPr>
    </w:p>
    <w:p w:rsidR="00965591" w:rsidRPr="00965591" w:rsidRDefault="00965591" w:rsidP="00965591">
      <w:pPr>
        <w:widowControl w:val="0"/>
        <w:adjustRightInd w:val="0"/>
        <w:snapToGrid w:val="0"/>
        <w:spacing w:line="360" w:lineRule="auto"/>
        <w:jc w:val="both"/>
        <w:rPr>
          <w:rFonts w:ascii="Book Antiqua" w:hAnsi="Book Antiqua" w:cs="Tahoma"/>
          <w:color w:val="000000"/>
          <w:kern w:val="2"/>
          <w:sz w:val="24"/>
          <w:szCs w:val="24"/>
          <w:lang w:eastAsia="zh-CN"/>
        </w:rPr>
      </w:pPr>
      <w:bookmarkStart w:id="24" w:name="OLE_LINK148"/>
      <w:bookmarkStart w:id="25" w:name="OLE_LINK149"/>
      <w:bookmarkStart w:id="26" w:name="OLE_LINK200"/>
      <w:bookmarkStart w:id="27" w:name="OLE_LINK288"/>
      <w:bookmarkStart w:id="28" w:name="OLE_LINK1864"/>
      <w:bookmarkStart w:id="29" w:name="OLE_LINK16"/>
      <w:bookmarkStart w:id="30" w:name="OLE_LINK382"/>
      <w:bookmarkStart w:id="31" w:name="OLE_LINK306"/>
      <w:bookmarkStart w:id="32" w:name="OLE_LINK569"/>
      <w:bookmarkStart w:id="33" w:name="OLE_LINK682"/>
      <w:r w:rsidRPr="00965591">
        <w:rPr>
          <w:rFonts w:ascii="Book Antiqua" w:hAnsi="Book Antiqua" w:cs="Tahoma"/>
          <w:b/>
          <w:color w:val="000000"/>
          <w:kern w:val="2"/>
          <w:sz w:val="24"/>
          <w:szCs w:val="24"/>
          <w:lang w:eastAsia="ja-JP"/>
        </w:rPr>
        <w:t>© The Author(s) 201</w:t>
      </w:r>
      <w:r w:rsidRPr="00965591">
        <w:rPr>
          <w:rFonts w:ascii="Book Antiqua" w:hAnsi="Book Antiqua" w:cs="Tahoma"/>
          <w:b/>
          <w:color w:val="000000"/>
          <w:kern w:val="2"/>
          <w:sz w:val="24"/>
          <w:szCs w:val="24"/>
          <w:lang w:eastAsia="zh-CN"/>
        </w:rPr>
        <w:t>8</w:t>
      </w:r>
      <w:r w:rsidRPr="00965591">
        <w:rPr>
          <w:rFonts w:ascii="Book Antiqua" w:hAnsi="Book Antiqua" w:cs="Tahoma"/>
          <w:b/>
          <w:color w:val="000000"/>
          <w:kern w:val="2"/>
          <w:sz w:val="24"/>
          <w:szCs w:val="24"/>
          <w:lang w:eastAsia="ja-JP"/>
        </w:rPr>
        <w:t>.</w:t>
      </w:r>
      <w:r w:rsidRPr="00965591">
        <w:rPr>
          <w:rFonts w:ascii="Book Antiqua" w:hAnsi="Book Antiqua" w:cs="Tahoma"/>
          <w:color w:val="000000"/>
          <w:kern w:val="2"/>
          <w:sz w:val="24"/>
          <w:szCs w:val="24"/>
          <w:lang w:eastAsia="ja-JP"/>
        </w:rPr>
        <w:t xml:space="preserve"> Published by Baishideng Publishing Group Inc. All rights reserved.</w:t>
      </w:r>
      <w:bookmarkEnd w:id="24"/>
      <w:bookmarkEnd w:id="25"/>
      <w:bookmarkEnd w:id="26"/>
      <w:bookmarkEnd w:id="27"/>
      <w:bookmarkEnd w:id="28"/>
      <w:bookmarkEnd w:id="29"/>
      <w:bookmarkEnd w:id="30"/>
      <w:bookmarkEnd w:id="31"/>
      <w:bookmarkEnd w:id="32"/>
      <w:bookmarkEnd w:id="33"/>
    </w:p>
    <w:p w:rsidR="00965591" w:rsidRPr="00B7665A" w:rsidRDefault="00965591" w:rsidP="00B7665A">
      <w:pPr>
        <w:widowControl w:val="0"/>
        <w:adjustRightInd w:val="0"/>
        <w:snapToGrid w:val="0"/>
        <w:spacing w:line="360" w:lineRule="auto"/>
        <w:jc w:val="both"/>
        <w:rPr>
          <w:rFonts w:ascii="Book Antiqua" w:hAnsi="Book Antiqua" w:cs="Times New Roman"/>
          <w:sz w:val="24"/>
          <w:szCs w:val="24"/>
          <w:lang w:eastAsia="zh-CN"/>
        </w:rPr>
      </w:pPr>
    </w:p>
    <w:p w:rsidR="00530194" w:rsidRPr="00B7665A" w:rsidRDefault="00530194" w:rsidP="00B7665A">
      <w:pPr>
        <w:widowControl w:val="0"/>
        <w:adjustRightInd w:val="0"/>
        <w:snapToGrid w:val="0"/>
        <w:spacing w:line="360" w:lineRule="auto"/>
        <w:jc w:val="both"/>
        <w:rPr>
          <w:rFonts w:ascii="Book Antiqua" w:hAnsi="Book Antiqua" w:cs="Times New Roman"/>
          <w:bCs/>
          <w:sz w:val="24"/>
          <w:szCs w:val="24"/>
        </w:rPr>
      </w:pPr>
      <w:bookmarkStart w:id="34" w:name="_Hlk527021330"/>
      <w:r w:rsidRPr="00B7665A">
        <w:rPr>
          <w:rFonts w:ascii="Book Antiqua" w:hAnsi="Book Antiqua" w:cs="Times New Roman"/>
          <w:b/>
          <w:sz w:val="24"/>
          <w:szCs w:val="24"/>
        </w:rPr>
        <w:t>Core tip</w:t>
      </w:r>
      <w:r w:rsidR="00965591">
        <w:rPr>
          <w:rFonts w:ascii="Book Antiqua" w:hAnsi="Book Antiqua" w:cs="Times New Roman" w:hint="eastAsia"/>
          <w:b/>
          <w:sz w:val="24"/>
          <w:szCs w:val="24"/>
          <w:lang w:eastAsia="zh-CN"/>
        </w:rPr>
        <w:t>:</w:t>
      </w:r>
      <w:r w:rsidRPr="00B7665A">
        <w:rPr>
          <w:rFonts w:ascii="Book Antiqua" w:hAnsi="Book Antiqua" w:cs="Times New Roman"/>
          <w:b/>
          <w:sz w:val="24"/>
          <w:szCs w:val="24"/>
        </w:rPr>
        <w:t xml:space="preserve"> </w:t>
      </w:r>
      <w:r w:rsidRPr="00B7665A">
        <w:rPr>
          <w:rFonts w:ascii="Book Antiqua" w:hAnsi="Book Antiqua" w:cs="Times New Roman"/>
          <w:sz w:val="24"/>
          <w:szCs w:val="24"/>
        </w:rPr>
        <w:t xml:space="preserve">Low dose aspirin is widely used to prevent cardiovascular events such as myocardial infarcts and strokes; </w:t>
      </w:r>
      <w:bookmarkStart w:id="35" w:name="_Hlk522822485"/>
      <w:r w:rsidRPr="00B7665A">
        <w:rPr>
          <w:rFonts w:ascii="Book Antiqua" w:hAnsi="Book Antiqua" w:cs="Times New Roman"/>
          <w:sz w:val="24"/>
          <w:szCs w:val="24"/>
        </w:rPr>
        <w:t xml:space="preserve">however, this therapy significantly increases the risk of gastrointestinal injury and induces ulceration and serious bleeding especially in aging individuals. </w:t>
      </w:r>
      <w:bookmarkEnd w:id="35"/>
      <w:r w:rsidRPr="00B7665A">
        <w:rPr>
          <w:rFonts w:ascii="Book Antiqua" w:hAnsi="Book Antiqua" w:cs="Times New Roman"/>
          <w:sz w:val="24"/>
          <w:szCs w:val="24"/>
        </w:rPr>
        <w:t xml:space="preserve">This risk is further increased </w:t>
      </w:r>
      <w:r w:rsidRPr="00B7665A">
        <w:rPr>
          <w:rFonts w:ascii="Book Antiqua" w:hAnsi="Book Antiqua" w:cs="Times New Roman"/>
          <w:bCs/>
          <w:sz w:val="24"/>
          <w:szCs w:val="24"/>
        </w:rPr>
        <w:t xml:space="preserve">in patients using low dose aspirin concurrently with other antiplatelet agents, other </w:t>
      </w:r>
      <w:r w:rsidR="00965591" w:rsidRPr="00B7665A">
        <w:rPr>
          <w:rFonts w:ascii="Book Antiqua" w:hAnsi="Book Antiqua" w:cs="Times New Roman"/>
          <w:bCs/>
          <w:sz w:val="24"/>
          <w:szCs w:val="24"/>
        </w:rPr>
        <w:t xml:space="preserve">nonsteroidal anti-inflammatory agents </w:t>
      </w:r>
      <w:r w:rsidRPr="00B7665A">
        <w:rPr>
          <w:rFonts w:ascii="Book Antiqua" w:hAnsi="Book Antiqua" w:cs="Times New Roman"/>
          <w:bCs/>
          <w:sz w:val="24"/>
          <w:szCs w:val="24"/>
        </w:rPr>
        <w:t xml:space="preserve">and/or alcohol, or in patients with </w:t>
      </w:r>
      <w:r w:rsidR="00965591" w:rsidRPr="00BC0FDA">
        <w:rPr>
          <w:rFonts w:ascii="Book Antiqua" w:hAnsi="Book Antiqua" w:cs="Times New Roman"/>
          <w:bCs/>
          <w:i/>
          <w:sz w:val="24"/>
          <w:szCs w:val="24"/>
        </w:rPr>
        <w:t>Helicobacter pylori</w:t>
      </w:r>
      <w:r w:rsidR="00965591" w:rsidRPr="00BC0FDA">
        <w:rPr>
          <w:rFonts w:ascii="Book Antiqua" w:hAnsi="Book Antiqua" w:cs="Times New Roman"/>
          <w:bCs/>
          <w:sz w:val="24"/>
          <w:szCs w:val="24"/>
        </w:rPr>
        <w:t xml:space="preserve"> </w:t>
      </w:r>
      <w:r w:rsidRPr="00B7665A">
        <w:rPr>
          <w:rFonts w:ascii="Book Antiqua" w:hAnsi="Book Antiqua" w:cs="Times New Roman"/>
          <w:bCs/>
          <w:sz w:val="24"/>
          <w:szCs w:val="24"/>
        </w:rPr>
        <w:t>infection.</w:t>
      </w:r>
    </w:p>
    <w:bookmarkEnd w:id="34"/>
    <w:p w:rsidR="00530194" w:rsidRPr="00B7665A" w:rsidRDefault="00530194" w:rsidP="00B7665A">
      <w:pPr>
        <w:widowControl w:val="0"/>
        <w:adjustRightInd w:val="0"/>
        <w:snapToGrid w:val="0"/>
        <w:spacing w:line="360" w:lineRule="auto"/>
        <w:jc w:val="both"/>
        <w:rPr>
          <w:rFonts w:ascii="Book Antiqua" w:hAnsi="Book Antiqua" w:cs="Times New Roman"/>
          <w:bCs/>
          <w:sz w:val="24"/>
          <w:szCs w:val="24"/>
        </w:rPr>
      </w:pPr>
    </w:p>
    <w:p w:rsidR="00530194" w:rsidRPr="00B7665A" w:rsidRDefault="00530194" w:rsidP="00B7665A">
      <w:pPr>
        <w:widowControl w:val="0"/>
        <w:adjustRightInd w:val="0"/>
        <w:snapToGrid w:val="0"/>
        <w:spacing w:line="360" w:lineRule="auto"/>
        <w:jc w:val="both"/>
        <w:rPr>
          <w:rFonts w:ascii="Book Antiqua" w:hAnsi="Book Antiqua" w:cs="Times New Roman"/>
          <w:sz w:val="24"/>
          <w:szCs w:val="24"/>
        </w:rPr>
      </w:pPr>
      <w:r w:rsidRPr="00B7665A">
        <w:rPr>
          <w:rFonts w:ascii="Book Antiqua" w:hAnsi="Book Antiqua" w:cs="Times New Roman"/>
          <w:sz w:val="24"/>
          <w:szCs w:val="24"/>
        </w:rPr>
        <w:t>Tanawski AS</w:t>
      </w:r>
      <w:r w:rsidR="00965591">
        <w:rPr>
          <w:rFonts w:ascii="Book Antiqua" w:hAnsi="Book Antiqua" w:cs="Times New Roman" w:hint="eastAsia"/>
          <w:sz w:val="24"/>
          <w:szCs w:val="24"/>
          <w:lang w:eastAsia="zh-CN"/>
        </w:rPr>
        <w:t>,</w:t>
      </w:r>
      <w:r w:rsidRPr="00B7665A">
        <w:rPr>
          <w:rFonts w:ascii="Book Antiqua" w:hAnsi="Book Antiqua" w:cs="Times New Roman"/>
          <w:sz w:val="24"/>
          <w:szCs w:val="24"/>
        </w:rPr>
        <w:t xml:space="preserve"> Ahluwalia A. Increased susceptibility of aging gastric mucosa to injury </w:t>
      </w:r>
      <w:r w:rsidR="00965591">
        <w:rPr>
          <w:rFonts w:ascii="Book Antiqua" w:hAnsi="Book Antiqua" w:cs="Times New Roman" w:hint="eastAsia"/>
          <w:sz w:val="24"/>
          <w:szCs w:val="24"/>
          <w:lang w:eastAsia="zh-CN"/>
        </w:rPr>
        <w:t>and</w:t>
      </w:r>
      <w:r w:rsidRPr="00B7665A">
        <w:rPr>
          <w:rFonts w:ascii="Book Antiqua" w:hAnsi="Book Antiqua" w:cs="Times New Roman"/>
          <w:sz w:val="24"/>
          <w:szCs w:val="24"/>
        </w:rPr>
        <w:t xml:space="preserve"> delayed healing: Clinical implications. </w:t>
      </w:r>
      <w:bookmarkStart w:id="36" w:name="OLE_LINK1105"/>
      <w:bookmarkStart w:id="37" w:name="OLE_LINK1107"/>
      <w:r w:rsidRPr="00B7665A">
        <w:rPr>
          <w:rFonts w:ascii="Book Antiqua" w:hAnsi="Book Antiqua" w:cs="Times New Roman"/>
          <w:i/>
          <w:sz w:val="24"/>
          <w:szCs w:val="24"/>
        </w:rPr>
        <w:t xml:space="preserve">World J Gastroenterol </w:t>
      </w:r>
      <w:r w:rsidRPr="00B7665A">
        <w:rPr>
          <w:rFonts w:ascii="Book Antiqua" w:hAnsi="Book Antiqua" w:cs="Times New Roman"/>
          <w:sz w:val="24"/>
          <w:szCs w:val="24"/>
        </w:rPr>
        <w:t>2018; In press</w:t>
      </w:r>
      <w:bookmarkEnd w:id="36"/>
      <w:bookmarkEnd w:id="37"/>
    </w:p>
    <w:p w:rsidR="00530194" w:rsidRPr="00B7665A" w:rsidRDefault="00530194" w:rsidP="00B7665A">
      <w:pPr>
        <w:widowControl w:val="0"/>
        <w:adjustRightInd w:val="0"/>
        <w:snapToGrid w:val="0"/>
        <w:spacing w:line="360" w:lineRule="auto"/>
        <w:jc w:val="both"/>
        <w:rPr>
          <w:rFonts w:ascii="Book Antiqua" w:hAnsi="Book Antiqua" w:cs="Times New Roman"/>
          <w:b/>
          <w:sz w:val="24"/>
          <w:szCs w:val="24"/>
        </w:rPr>
      </w:pPr>
      <w:r w:rsidRPr="00B7665A">
        <w:rPr>
          <w:rFonts w:ascii="Book Antiqua" w:hAnsi="Book Antiqua" w:cs="Times New Roman"/>
          <w:b/>
          <w:sz w:val="24"/>
          <w:szCs w:val="24"/>
        </w:rPr>
        <w:br w:type="page"/>
      </w:r>
    </w:p>
    <w:p w:rsidR="00965591" w:rsidRPr="00837218" w:rsidRDefault="00965591" w:rsidP="00965591">
      <w:pPr>
        <w:adjustRightInd w:val="0"/>
        <w:snapToGrid w:val="0"/>
        <w:spacing w:line="360" w:lineRule="auto"/>
        <w:rPr>
          <w:rFonts w:ascii="Book Antiqua" w:hAnsi="Book Antiqua"/>
          <w:b/>
          <w:color w:val="000000"/>
          <w:sz w:val="24"/>
          <w:szCs w:val="24"/>
          <w:lang w:eastAsia="zh-CN"/>
        </w:rPr>
      </w:pPr>
      <w:r w:rsidRPr="00837218">
        <w:rPr>
          <w:rFonts w:ascii="Book Antiqua" w:hAnsi="Book Antiqua"/>
          <w:b/>
          <w:color w:val="000000"/>
          <w:sz w:val="24"/>
          <w:szCs w:val="24"/>
        </w:rPr>
        <w:lastRenderedPageBreak/>
        <w:t>INTRODUCTION</w:t>
      </w:r>
      <w:r>
        <w:rPr>
          <w:rFonts w:ascii="Book Antiqua" w:hAnsi="Book Antiqua" w:hint="eastAsia"/>
          <w:b/>
          <w:color w:val="000000"/>
          <w:sz w:val="24"/>
          <w:szCs w:val="24"/>
          <w:lang w:eastAsia="zh-CN"/>
        </w:rPr>
        <w:t xml:space="preserve"> </w:t>
      </w:r>
    </w:p>
    <w:p w:rsidR="00530194" w:rsidRPr="00B7665A" w:rsidRDefault="00530194" w:rsidP="00B7665A">
      <w:pPr>
        <w:widowControl w:val="0"/>
        <w:adjustRightInd w:val="0"/>
        <w:snapToGrid w:val="0"/>
        <w:spacing w:line="360" w:lineRule="auto"/>
        <w:jc w:val="both"/>
        <w:rPr>
          <w:rFonts w:ascii="Book Antiqua" w:hAnsi="Book Antiqua" w:cs="Times New Roman"/>
          <w:bCs/>
          <w:sz w:val="24"/>
          <w:szCs w:val="24"/>
        </w:rPr>
      </w:pPr>
      <w:r w:rsidRPr="00B7665A">
        <w:rPr>
          <w:rFonts w:ascii="Book Antiqua" w:hAnsi="Book Antiqua" w:cs="Times New Roman"/>
          <w:bCs/>
          <w:sz w:val="24"/>
          <w:szCs w:val="24"/>
        </w:rPr>
        <w:t>Aspirin (acetyl salicylic acid) synthesized in 1897 by Felix Hoffman in Bayer Laboratories in Germany, has become one of the most successful drugs used initially for the treatment of acute and chronic pain and arthritis. More recently a regular treatment with low dose aspirin (LDA) it is used for a primary and secondary prevention of cardiovascular events (CVE) such as myocardial infarcts (MI) and strokes in which it reduces mortality</w:t>
      </w:r>
      <w:r w:rsidRPr="00B7665A">
        <w:rPr>
          <w:rFonts w:ascii="Book Antiqua" w:hAnsi="Book Antiqua" w:cs="Times New Roman"/>
          <w:bCs/>
          <w:noProof/>
          <w:sz w:val="24"/>
          <w:szCs w:val="24"/>
          <w:vertAlign w:val="superscript"/>
        </w:rPr>
        <w:t>[1-3]</w:t>
      </w:r>
      <w:r w:rsidRPr="00B7665A">
        <w:rPr>
          <w:rFonts w:ascii="Book Antiqua" w:hAnsi="Book Antiqua" w:cs="Times New Roman"/>
          <w:bCs/>
          <w:sz w:val="24"/>
          <w:szCs w:val="24"/>
        </w:rPr>
        <w:t>. As demonstrated by Sir John Vane, aspirin is a non-selective inhibitor of cyclooxygenase (COX), an enzyme synthesizing prostaglandins and thromboxanes</w:t>
      </w:r>
      <w:r w:rsidRPr="00B7665A">
        <w:rPr>
          <w:rFonts w:ascii="Book Antiqua" w:hAnsi="Book Antiqua" w:cs="Times New Roman"/>
          <w:bCs/>
          <w:noProof/>
          <w:sz w:val="24"/>
          <w:szCs w:val="24"/>
          <w:vertAlign w:val="superscript"/>
        </w:rPr>
        <w:t>[4]</w:t>
      </w:r>
      <w:r w:rsidRPr="00B7665A">
        <w:rPr>
          <w:rFonts w:ascii="Book Antiqua" w:hAnsi="Book Antiqua" w:cs="Times New Roman"/>
          <w:bCs/>
          <w:sz w:val="24"/>
          <w:szCs w:val="24"/>
        </w:rPr>
        <w:t xml:space="preserve">. The COX-1 isoform is expressed constitutively in most tissues. In the gastrointestinal (GI) mucosa and kidneys, </w:t>
      </w:r>
      <w:bookmarkStart w:id="38" w:name="_Hlk521959507"/>
      <w:r w:rsidRPr="00B7665A">
        <w:rPr>
          <w:rFonts w:ascii="Book Antiqua" w:hAnsi="Book Antiqua" w:cs="Times New Roman"/>
          <w:bCs/>
          <w:sz w:val="24"/>
          <w:szCs w:val="24"/>
        </w:rPr>
        <w:t xml:space="preserve">COX-1 </w:t>
      </w:r>
      <w:bookmarkEnd w:id="38"/>
      <w:r w:rsidRPr="00B7665A">
        <w:rPr>
          <w:rFonts w:ascii="Book Antiqua" w:hAnsi="Book Antiqua" w:cs="Times New Roman"/>
          <w:bCs/>
          <w:sz w:val="24"/>
          <w:szCs w:val="24"/>
        </w:rPr>
        <w:t>plays a critical role in maintaining these tissues’ integrity by generating prostaglandin E2 (PGE</w:t>
      </w:r>
      <w:r w:rsidRPr="00B7665A">
        <w:rPr>
          <w:rFonts w:ascii="Book Antiqua" w:hAnsi="Book Antiqua" w:cs="Times New Roman"/>
          <w:bCs/>
          <w:sz w:val="24"/>
          <w:szCs w:val="24"/>
          <w:vertAlign w:val="subscript"/>
        </w:rPr>
        <w:t>2</w:t>
      </w:r>
      <w:r w:rsidRPr="00B7665A">
        <w:rPr>
          <w:rFonts w:ascii="Book Antiqua" w:hAnsi="Book Antiqua" w:cs="Times New Roman"/>
          <w:bCs/>
          <w:sz w:val="24"/>
          <w:szCs w:val="24"/>
        </w:rPr>
        <w:t>) and prostacyclin (PGI</w:t>
      </w:r>
      <w:r w:rsidRPr="00B7665A">
        <w:rPr>
          <w:rFonts w:ascii="Book Antiqua" w:hAnsi="Book Antiqua" w:cs="Times New Roman"/>
          <w:bCs/>
          <w:sz w:val="24"/>
          <w:szCs w:val="24"/>
          <w:vertAlign w:val="subscript"/>
        </w:rPr>
        <w:t>2</w:t>
      </w:r>
      <w:r w:rsidRPr="00B7665A">
        <w:rPr>
          <w:rFonts w:ascii="Book Antiqua" w:hAnsi="Book Antiqua" w:cs="Times New Roman"/>
          <w:bCs/>
          <w:sz w:val="24"/>
          <w:szCs w:val="24"/>
        </w:rPr>
        <w:t>) from arachidonic acid</w:t>
      </w:r>
      <w:r w:rsidR="008E0465">
        <w:rPr>
          <w:rFonts w:ascii="Book Antiqua" w:hAnsi="Book Antiqua" w:cs="Times New Roman"/>
          <w:bCs/>
          <w:noProof/>
          <w:sz w:val="24"/>
          <w:szCs w:val="24"/>
          <w:vertAlign w:val="superscript"/>
        </w:rPr>
        <w:t>[5,</w:t>
      </w:r>
      <w:r w:rsidRPr="00B7665A">
        <w:rPr>
          <w:rFonts w:ascii="Book Antiqua" w:hAnsi="Book Antiqua" w:cs="Times New Roman"/>
          <w:bCs/>
          <w:noProof/>
          <w:sz w:val="24"/>
          <w:szCs w:val="24"/>
          <w:vertAlign w:val="superscript"/>
        </w:rPr>
        <w:t>6]</w:t>
      </w:r>
      <w:r w:rsidRPr="00B7665A">
        <w:rPr>
          <w:rFonts w:ascii="Book Antiqua" w:hAnsi="Book Antiqua" w:cs="Times New Roman"/>
          <w:bCs/>
          <w:sz w:val="24"/>
          <w:szCs w:val="24"/>
        </w:rPr>
        <w:t>. In blood platelets, COX-1 generates thromboxane A</w:t>
      </w:r>
      <w:r w:rsidRPr="00B7665A">
        <w:rPr>
          <w:rFonts w:ascii="Book Antiqua" w:hAnsi="Book Antiqua" w:cs="Times New Roman"/>
          <w:bCs/>
          <w:sz w:val="24"/>
          <w:szCs w:val="24"/>
          <w:vertAlign w:val="subscript"/>
        </w:rPr>
        <w:t>2</w:t>
      </w:r>
      <w:r w:rsidRPr="00B7665A">
        <w:rPr>
          <w:rFonts w:ascii="Book Antiqua" w:hAnsi="Book Antiqua" w:cs="Times New Roman"/>
          <w:bCs/>
          <w:sz w:val="24"/>
          <w:szCs w:val="24"/>
        </w:rPr>
        <w:t xml:space="preserve"> (TXA</w:t>
      </w:r>
      <w:r w:rsidRPr="00B7665A">
        <w:rPr>
          <w:rFonts w:ascii="Book Antiqua" w:hAnsi="Book Antiqua" w:cs="Times New Roman"/>
          <w:bCs/>
          <w:sz w:val="24"/>
          <w:szCs w:val="24"/>
          <w:vertAlign w:val="subscript"/>
        </w:rPr>
        <w:t>2</w:t>
      </w:r>
      <w:r w:rsidRPr="00B7665A">
        <w:rPr>
          <w:rFonts w:ascii="Book Antiqua" w:hAnsi="Book Antiqua" w:cs="Times New Roman"/>
          <w:bCs/>
          <w:sz w:val="24"/>
          <w:szCs w:val="24"/>
        </w:rPr>
        <w:t>), which promotes their aggregation and thrombi</w:t>
      </w:r>
      <w:r w:rsidR="008E0465">
        <w:rPr>
          <w:rFonts w:ascii="Book Antiqua" w:hAnsi="Book Antiqua" w:cs="Times New Roman"/>
          <w:bCs/>
          <w:sz w:val="24"/>
          <w:szCs w:val="24"/>
        </w:rPr>
        <w:t xml:space="preserve"> formation. </w:t>
      </w:r>
      <w:r w:rsidRPr="00B7665A">
        <w:rPr>
          <w:rFonts w:ascii="Book Antiqua" w:hAnsi="Book Antiqua" w:cs="Times New Roman"/>
          <w:bCs/>
          <w:sz w:val="24"/>
          <w:szCs w:val="24"/>
        </w:rPr>
        <w:t>The COX-2 isoform is constitutively expressed in brain, kidneys, intestine, and endothelial cells, and is induced in variety of tissues in response to proinflammatory cytokines and growth factors</w:t>
      </w:r>
      <w:r w:rsidR="008E0465">
        <w:rPr>
          <w:rFonts w:ascii="Book Antiqua" w:hAnsi="Book Antiqua" w:cs="Times New Roman"/>
          <w:bCs/>
          <w:noProof/>
          <w:sz w:val="24"/>
          <w:szCs w:val="24"/>
          <w:vertAlign w:val="superscript"/>
        </w:rPr>
        <w:t>[5,</w:t>
      </w:r>
      <w:r w:rsidRPr="00B7665A">
        <w:rPr>
          <w:rFonts w:ascii="Book Antiqua" w:hAnsi="Book Antiqua" w:cs="Times New Roman"/>
          <w:bCs/>
          <w:noProof/>
          <w:sz w:val="24"/>
          <w:szCs w:val="24"/>
          <w:vertAlign w:val="superscript"/>
        </w:rPr>
        <w:t>6]</w:t>
      </w:r>
      <w:r w:rsidRPr="00B7665A">
        <w:rPr>
          <w:rFonts w:ascii="Book Antiqua" w:hAnsi="Book Antiqua" w:cs="Times New Roman"/>
          <w:bCs/>
          <w:sz w:val="24"/>
          <w:szCs w:val="24"/>
        </w:rPr>
        <w:t>. COX-2 generated prostaglandins play critical roles in gastric mucosal defense, cytoprotection, angiogenesis and ulcer healing</w:t>
      </w:r>
      <w:r w:rsidRPr="00B7665A">
        <w:rPr>
          <w:rFonts w:ascii="Book Antiqua" w:hAnsi="Book Antiqua" w:cs="Times New Roman"/>
          <w:bCs/>
          <w:noProof/>
          <w:sz w:val="24"/>
          <w:szCs w:val="24"/>
          <w:vertAlign w:val="superscript"/>
        </w:rPr>
        <w:t>[5-7]</w:t>
      </w:r>
      <w:r w:rsidR="00282291" w:rsidRPr="00282291">
        <w:rPr>
          <w:rFonts w:ascii="Book Antiqua" w:hAnsi="Book Antiqua" w:cs="Times New Roman" w:hint="eastAsia"/>
          <w:bCs/>
          <w:noProof/>
          <w:sz w:val="24"/>
          <w:szCs w:val="24"/>
          <w:lang w:eastAsia="zh-CN"/>
        </w:rPr>
        <w:t>.</w:t>
      </w:r>
      <w:r w:rsidRPr="00282291">
        <w:rPr>
          <w:rFonts w:ascii="Book Antiqua" w:hAnsi="Book Antiqua" w:cs="Times New Roman"/>
          <w:bCs/>
          <w:sz w:val="24"/>
          <w:szCs w:val="24"/>
        </w:rPr>
        <w:t xml:space="preserve"> </w:t>
      </w:r>
      <w:r w:rsidRPr="00B7665A">
        <w:rPr>
          <w:rFonts w:ascii="Book Antiqua" w:hAnsi="Book Antiqua" w:cs="Times New Roman"/>
          <w:bCs/>
          <w:sz w:val="24"/>
          <w:szCs w:val="24"/>
        </w:rPr>
        <w:t>While aspirin inhibits both COX-1 and COX-2 isoforms, in low doses it predominantly inhibits COX-1; while in higher doses it also inhibits COX-2.</w:t>
      </w:r>
      <w:r w:rsidR="0010276F">
        <w:rPr>
          <w:rFonts w:ascii="Book Antiqua" w:hAnsi="Book Antiqua" w:cs="Times New Roman"/>
          <w:bCs/>
          <w:sz w:val="24"/>
          <w:szCs w:val="24"/>
        </w:rPr>
        <w:t xml:space="preserve"> </w:t>
      </w:r>
      <w:r w:rsidRPr="00B7665A">
        <w:rPr>
          <w:rFonts w:ascii="Book Antiqua" w:hAnsi="Book Antiqua" w:cs="Times New Roman"/>
          <w:bCs/>
          <w:sz w:val="24"/>
          <w:szCs w:val="24"/>
        </w:rPr>
        <w:t>LDA treatment acetylates COX-1 at serine-529 residue and irreversibly inhibits COX-1 activity in platelets for about 10 d (life time of platelets) resulting in almost complete inhibition of production of TXA</w:t>
      </w:r>
      <w:r w:rsidRPr="00B7665A">
        <w:rPr>
          <w:rFonts w:ascii="Book Antiqua" w:hAnsi="Book Antiqua" w:cs="Times New Roman"/>
          <w:bCs/>
          <w:sz w:val="24"/>
          <w:szCs w:val="24"/>
          <w:vertAlign w:val="subscript"/>
        </w:rPr>
        <w:t xml:space="preserve">2 </w:t>
      </w:r>
      <w:r w:rsidRPr="00B7665A">
        <w:rPr>
          <w:rFonts w:ascii="Book Antiqua" w:hAnsi="Book Antiqua" w:cs="Times New Roman"/>
          <w:bCs/>
          <w:sz w:val="24"/>
          <w:szCs w:val="24"/>
        </w:rPr>
        <w:t>from arachidonic acid, and inhibition of platelet aggregation and thrombi formation</w:t>
      </w:r>
      <w:r w:rsidR="008E0465">
        <w:rPr>
          <w:rFonts w:ascii="Book Antiqua" w:hAnsi="Book Antiqua" w:cs="Times New Roman"/>
          <w:bCs/>
          <w:noProof/>
          <w:sz w:val="24"/>
          <w:szCs w:val="24"/>
          <w:vertAlign w:val="superscript"/>
        </w:rPr>
        <w:t>[8,</w:t>
      </w:r>
      <w:r w:rsidRPr="00B7665A">
        <w:rPr>
          <w:rFonts w:ascii="Book Antiqua" w:hAnsi="Book Antiqua" w:cs="Times New Roman"/>
          <w:bCs/>
          <w:noProof/>
          <w:sz w:val="24"/>
          <w:szCs w:val="24"/>
          <w:vertAlign w:val="superscript"/>
        </w:rPr>
        <w:t>9]</w:t>
      </w:r>
      <w:r w:rsidRPr="00B7665A">
        <w:rPr>
          <w:rFonts w:ascii="Book Antiqua" w:hAnsi="Book Antiqua" w:cs="Times New Roman"/>
          <w:bCs/>
          <w:sz w:val="24"/>
          <w:szCs w:val="24"/>
        </w:rPr>
        <w:t>.</w:t>
      </w:r>
      <w:r w:rsidR="008E0465">
        <w:rPr>
          <w:rFonts w:ascii="Book Antiqua" w:hAnsi="Book Antiqua" w:cs="Times New Roman"/>
          <w:bCs/>
          <w:sz w:val="24"/>
          <w:szCs w:val="24"/>
        </w:rPr>
        <w:t xml:space="preserve"> </w:t>
      </w:r>
      <w:r w:rsidRPr="00B7665A">
        <w:rPr>
          <w:rFonts w:ascii="Book Antiqua" w:hAnsi="Book Antiqua" w:cs="Times New Roman"/>
          <w:bCs/>
          <w:sz w:val="24"/>
          <w:szCs w:val="24"/>
        </w:rPr>
        <w:t xml:space="preserve">These actions of aspirin are summarized </w:t>
      </w:r>
      <w:r w:rsidRPr="008E0465">
        <w:rPr>
          <w:rFonts w:ascii="Book Antiqua" w:hAnsi="Book Antiqua" w:cs="Times New Roman"/>
          <w:bCs/>
          <w:sz w:val="24"/>
          <w:szCs w:val="24"/>
        </w:rPr>
        <w:t>in Table 1.</w:t>
      </w:r>
    </w:p>
    <w:p w:rsidR="00530194" w:rsidRPr="00B7665A" w:rsidRDefault="00530194" w:rsidP="008E0465">
      <w:pPr>
        <w:widowControl w:val="0"/>
        <w:adjustRightInd w:val="0"/>
        <w:snapToGrid w:val="0"/>
        <w:spacing w:line="360" w:lineRule="auto"/>
        <w:ind w:firstLineChars="200" w:firstLine="480"/>
        <w:jc w:val="both"/>
        <w:rPr>
          <w:rFonts w:ascii="Book Antiqua" w:hAnsi="Book Antiqua" w:cs="Times New Roman"/>
          <w:bCs/>
          <w:sz w:val="24"/>
          <w:szCs w:val="24"/>
        </w:rPr>
      </w:pPr>
      <w:r w:rsidRPr="00B7665A">
        <w:rPr>
          <w:rFonts w:ascii="Book Antiqua" w:hAnsi="Book Antiqua" w:cs="Times New Roman"/>
          <w:bCs/>
          <w:sz w:val="24"/>
          <w:szCs w:val="24"/>
        </w:rPr>
        <w:t xml:space="preserve">Due to the anti-thrombotic and cardioprotective effects, </w:t>
      </w:r>
      <w:r w:rsidR="008E0465">
        <w:rPr>
          <w:rFonts w:ascii="Book Antiqua" w:hAnsi="Book Antiqua" w:cs="Times New Roman"/>
          <w:bCs/>
          <w:sz w:val="24"/>
          <w:szCs w:val="24"/>
        </w:rPr>
        <w:t>LDA</w:t>
      </w:r>
      <w:r w:rsidRPr="00B7665A">
        <w:rPr>
          <w:rFonts w:ascii="Book Antiqua" w:hAnsi="Book Antiqua" w:cs="Times New Roman"/>
          <w:bCs/>
          <w:sz w:val="24"/>
          <w:szCs w:val="24"/>
        </w:rPr>
        <w:t xml:space="preserve"> defined as </w:t>
      </w:r>
      <w:r w:rsidRPr="00B7665A">
        <w:rPr>
          <w:rFonts w:ascii="Book Antiqua" w:hAnsi="Book Antiqua" w:cs="Times New Roman"/>
          <w:bCs/>
          <w:sz w:val="24"/>
          <w:szCs w:val="24"/>
          <w:lang w:val="en"/>
        </w:rPr>
        <w:t xml:space="preserve">75 to 325 mg/daily, </w:t>
      </w:r>
      <w:r w:rsidRPr="00B7665A">
        <w:rPr>
          <w:rFonts w:ascii="Book Antiqua" w:hAnsi="Book Antiqua" w:cs="Times New Roman"/>
          <w:bCs/>
          <w:sz w:val="24"/>
          <w:szCs w:val="24"/>
        </w:rPr>
        <w:t xml:space="preserve">alone or in combination with other </w:t>
      </w:r>
      <w:r w:rsidRPr="00B7665A">
        <w:rPr>
          <w:rFonts w:ascii="Book Antiqua" w:hAnsi="Book Antiqua" w:cs="Times New Roman"/>
          <w:bCs/>
          <w:sz w:val="24"/>
          <w:szCs w:val="24"/>
          <w:lang w:val="en"/>
        </w:rPr>
        <w:t>antiplatelet agents (</w:t>
      </w:r>
      <w:r w:rsidRPr="008E0465">
        <w:rPr>
          <w:rFonts w:ascii="Book Antiqua" w:hAnsi="Book Antiqua" w:cs="Times New Roman"/>
          <w:bCs/>
          <w:i/>
          <w:sz w:val="24"/>
          <w:szCs w:val="24"/>
          <w:lang w:val="en"/>
        </w:rPr>
        <w:t>e.g.</w:t>
      </w:r>
      <w:r w:rsidR="008E0465">
        <w:rPr>
          <w:rFonts w:ascii="Book Antiqua" w:hAnsi="Book Antiqua" w:cs="Times New Roman" w:hint="eastAsia"/>
          <w:bCs/>
          <w:sz w:val="24"/>
          <w:szCs w:val="24"/>
          <w:lang w:val="en" w:eastAsia="zh-CN"/>
        </w:rPr>
        <w:t>,</w:t>
      </w:r>
      <w:r w:rsidRPr="00B7665A">
        <w:rPr>
          <w:rFonts w:ascii="Book Antiqua" w:hAnsi="Book Antiqua" w:cs="Times New Roman"/>
          <w:bCs/>
          <w:sz w:val="24"/>
          <w:szCs w:val="24"/>
          <w:lang w:val="en"/>
        </w:rPr>
        <w:t xml:space="preserve"> clopidogrel) became a standard treatment for the secondary prevention of CVE (</w:t>
      </w:r>
      <w:r w:rsidRPr="00B7665A">
        <w:rPr>
          <w:rFonts w:ascii="Book Antiqua" w:eastAsia="DengXian" w:hAnsi="Book Antiqua" w:cs="Times New Roman"/>
          <w:bCs/>
          <w:color w:val="000000"/>
          <w:kern w:val="2"/>
          <w:sz w:val="24"/>
          <w:szCs w:val="24"/>
          <w:lang w:eastAsia="ja-JP"/>
        </w:rPr>
        <w:t>MI and stroke).</w:t>
      </w:r>
      <w:r w:rsidRPr="00B7665A">
        <w:rPr>
          <w:rFonts w:ascii="Book Antiqua" w:hAnsi="Book Antiqua" w:cs="Times New Roman"/>
          <w:bCs/>
          <w:sz w:val="24"/>
          <w:szCs w:val="24"/>
          <w:lang w:val="en"/>
        </w:rPr>
        <w:t xml:space="preserve"> </w:t>
      </w:r>
      <w:bookmarkStart w:id="39" w:name="_Hlk522823013"/>
      <w:r w:rsidRPr="00B7665A">
        <w:rPr>
          <w:rFonts w:ascii="Book Antiqua" w:hAnsi="Book Antiqua" w:cs="Times New Roman"/>
          <w:bCs/>
          <w:sz w:val="24"/>
          <w:szCs w:val="24"/>
        </w:rPr>
        <w:t>Clinical trials consistently showed that antiplatelet therapy with LDA</w:t>
      </w:r>
      <w:r w:rsidRPr="00B7665A">
        <w:rPr>
          <w:rFonts w:ascii="Book Antiqua" w:eastAsia="MS PGothic" w:hAnsi="Book Antiqua" w:cs="Times New Roman"/>
          <w:bCs/>
          <w:color w:val="000000"/>
          <w:sz w:val="24"/>
          <w:szCs w:val="24"/>
          <w:lang w:eastAsia="ja-JP"/>
        </w:rPr>
        <w:t xml:space="preserve"> daily </w:t>
      </w:r>
      <w:r w:rsidRPr="00B7665A">
        <w:rPr>
          <w:rFonts w:ascii="Book Antiqua" w:hAnsi="Book Antiqua" w:cs="Times New Roman"/>
          <w:bCs/>
          <w:sz w:val="24"/>
          <w:szCs w:val="24"/>
        </w:rPr>
        <w:t>dramatically reduces the risk of nonfatal MI, stroke and mortality in patients with established arterial diseases</w:t>
      </w:r>
      <w:r w:rsidRPr="00B7665A">
        <w:rPr>
          <w:rFonts w:ascii="Book Antiqua" w:hAnsi="Book Antiqua" w:cs="Times New Roman"/>
          <w:bCs/>
          <w:noProof/>
          <w:sz w:val="24"/>
          <w:szCs w:val="24"/>
          <w:vertAlign w:val="superscript"/>
        </w:rPr>
        <w:t>[1-3]</w:t>
      </w:r>
      <w:bookmarkEnd w:id="39"/>
      <w:r w:rsidRPr="00B7665A">
        <w:rPr>
          <w:rFonts w:ascii="Book Antiqua" w:hAnsi="Book Antiqua" w:cs="Times New Roman"/>
          <w:bCs/>
          <w:sz w:val="24"/>
          <w:szCs w:val="24"/>
        </w:rPr>
        <w:t>. The Second International Study of Infarct Survival (ISIS-</w:t>
      </w:r>
      <w:r w:rsidRPr="00B7665A">
        <w:rPr>
          <w:rFonts w:ascii="Book Antiqua" w:hAnsi="Book Antiqua" w:cs="Times New Roman"/>
          <w:bCs/>
          <w:sz w:val="24"/>
          <w:szCs w:val="24"/>
        </w:rPr>
        <w:lastRenderedPageBreak/>
        <w:t>2) showed that a daily 160 mg LDA administered for 30 d confers significant cardioprotection that resulted in a significant reduction of reinfarction and strokes</w:t>
      </w:r>
      <w:r w:rsidR="008E0465" w:rsidRPr="00B7665A">
        <w:rPr>
          <w:rFonts w:ascii="Book Antiqua" w:hAnsi="Book Antiqua" w:cs="Times New Roman"/>
          <w:bCs/>
          <w:noProof/>
          <w:sz w:val="24"/>
          <w:szCs w:val="24"/>
          <w:vertAlign w:val="superscript"/>
        </w:rPr>
        <w:t>[1]</w:t>
      </w:r>
      <w:r w:rsidR="008E0465">
        <w:rPr>
          <w:rFonts w:ascii="Book Antiqua" w:hAnsi="Book Antiqua" w:cs="Times New Roman"/>
          <w:bCs/>
          <w:sz w:val="24"/>
          <w:szCs w:val="24"/>
        </w:rPr>
        <w:t xml:space="preserve"> LDA treatment</w:t>
      </w:r>
      <w:r w:rsidRPr="00B7665A">
        <w:rPr>
          <w:rFonts w:ascii="Book Antiqua" w:hAnsi="Book Antiqua" w:cs="Times New Roman"/>
          <w:bCs/>
          <w:sz w:val="24"/>
          <w:szCs w:val="24"/>
        </w:rPr>
        <w:t xml:space="preserve"> significantly reduces the risk of MI, stroke, and mortality in a wide range of high-risk patients</w:t>
      </w:r>
      <w:r w:rsidR="008E0465">
        <w:rPr>
          <w:rFonts w:ascii="Book Antiqua" w:hAnsi="Book Antiqua" w:cs="Times New Roman"/>
          <w:bCs/>
          <w:noProof/>
          <w:sz w:val="24"/>
          <w:szCs w:val="24"/>
          <w:vertAlign w:val="superscript"/>
        </w:rPr>
        <w:t>[2,</w:t>
      </w:r>
      <w:r w:rsidRPr="00B7665A">
        <w:rPr>
          <w:rFonts w:ascii="Book Antiqua" w:hAnsi="Book Antiqua" w:cs="Times New Roman"/>
          <w:bCs/>
          <w:noProof/>
          <w:sz w:val="24"/>
          <w:szCs w:val="24"/>
          <w:vertAlign w:val="superscript"/>
        </w:rPr>
        <w:t>9]</w:t>
      </w:r>
      <w:r w:rsidRPr="00B7665A">
        <w:rPr>
          <w:rFonts w:ascii="Book Antiqua" w:hAnsi="Book Antiqua" w:cs="Times New Roman"/>
          <w:bCs/>
          <w:sz w:val="24"/>
          <w:szCs w:val="24"/>
        </w:rPr>
        <w:t>. The Antithrombotic Trialist’s Collaboration meta-analysis of 28</w:t>
      </w:r>
      <w:r w:rsidR="008E0465">
        <w:rPr>
          <w:rFonts w:ascii="Book Antiqua" w:hAnsi="Book Antiqua" w:cs="Times New Roman"/>
          <w:bCs/>
          <w:sz w:val="24"/>
          <w:szCs w:val="24"/>
        </w:rPr>
        <w:t>7 trials that included over 200</w:t>
      </w:r>
      <w:r w:rsidRPr="00B7665A">
        <w:rPr>
          <w:rFonts w:ascii="Book Antiqua" w:hAnsi="Book Antiqua" w:cs="Times New Roman"/>
          <w:bCs/>
          <w:sz w:val="24"/>
          <w:szCs w:val="24"/>
        </w:rPr>
        <w:t>000 patients with high cardiovascular risk, showed that daily antiplatelet therapy with 75</w:t>
      </w:r>
      <w:r w:rsidR="008E0465">
        <w:rPr>
          <w:rFonts w:ascii="Book Antiqua" w:hAnsi="Book Antiqua" w:cs="Times New Roman" w:hint="eastAsia"/>
          <w:bCs/>
          <w:sz w:val="24"/>
          <w:szCs w:val="24"/>
          <w:lang w:eastAsia="zh-CN"/>
        </w:rPr>
        <w:t>-</w:t>
      </w:r>
      <w:r w:rsidRPr="00B7665A">
        <w:rPr>
          <w:rFonts w:ascii="Book Antiqua" w:hAnsi="Book Antiqua" w:cs="Times New Roman"/>
          <w:bCs/>
          <w:sz w:val="24"/>
          <w:szCs w:val="24"/>
        </w:rPr>
        <w:t>150 mg LDA significantly reduced the risk of CVE by ~32%</w:t>
      </w:r>
      <w:r w:rsidRPr="00B7665A">
        <w:rPr>
          <w:rFonts w:ascii="Book Antiqua" w:hAnsi="Book Antiqua" w:cs="Times New Roman"/>
          <w:bCs/>
          <w:noProof/>
          <w:sz w:val="24"/>
          <w:szCs w:val="24"/>
          <w:vertAlign w:val="superscript"/>
        </w:rPr>
        <w:t>[2]</w:t>
      </w:r>
      <w:r w:rsidRPr="00B7665A">
        <w:rPr>
          <w:rFonts w:ascii="Book Antiqua" w:hAnsi="Book Antiqua" w:cs="Times New Roman"/>
          <w:bCs/>
          <w:sz w:val="24"/>
          <w:szCs w:val="24"/>
        </w:rPr>
        <w:t>. These and other studies show that aspirin confers significant cardioprotection to the majority of patients with coronary heart disease, ischemic stroke, peripheral arterial disease and systemic embolism</w:t>
      </w:r>
      <w:r w:rsidR="008E0465">
        <w:rPr>
          <w:rFonts w:ascii="Book Antiqua" w:hAnsi="Book Antiqua" w:cs="Times New Roman"/>
          <w:bCs/>
          <w:noProof/>
          <w:sz w:val="24"/>
          <w:szCs w:val="24"/>
          <w:vertAlign w:val="superscript"/>
        </w:rPr>
        <w:t>[1</w:t>
      </w:r>
      <w:r w:rsidR="008E0465">
        <w:rPr>
          <w:rFonts w:ascii="Book Antiqua" w:hAnsi="Book Antiqua" w:cs="Times New Roman" w:hint="eastAsia"/>
          <w:bCs/>
          <w:noProof/>
          <w:sz w:val="24"/>
          <w:szCs w:val="24"/>
          <w:vertAlign w:val="superscript"/>
          <w:lang w:eastAsia="zh-CN"/>
        </w:rPr>
        <w:t>,</w:t>
      </w:r>
      <w:r w:rsidRPr="00B7665A">
        <w:rPr>
          <w:rFonts w:ascii="Book Antiqua" w:hAnsi="Book Antiqua" w:cs="Times New Roman"/>
          <w:bCs/>
          <w:noProof/>
          <w:sz w:val="24"/>
          <w:szCs w:val="24"/>
          <w:vertAlign w:val="superscript"/>
        </w:rPr>
        <w:t>2]</w:t>
      </w:r>
      <w:r w:rsidRPr="00B7665A">
        <w:rPr>
          <w:rFonts w:ascii="Book Antiqua" w:hAnsi="Book Antiqua" w:cs="Times New Roman"/>
          <w:bCs/>
          <w:sz w:val="24"/>
          <w:szCs w:val="24"/>
        </w:rPr>
        <w:t>. Importantly this treatment has a simple dosage, low cost, and a good safety record and therefore is widely used world-wide. The cardioprotective action of aspirin appears to be unique; the other nonselective nonsteroidal anti-inflammatory drugs (NSAIDs), such as ibuprofen and naproxen, do not significantly impact cardiovascular diseases. Unlike aspirin, the latter NSAIDs bind only reversibly to COX-1 and inhibit platelet function for only brief time. Selective COX-2 inhibitors do not inhibit formation TXA</w:t>
      </w:r>
      <w:r w:rsidRPr="00B7665A">
        <w:rPr>
          <w:rFonts w:ascii="Book Antiqua" w:hAnsi="Book Antiqua" w:cs="Times New Roman"/>
          <w:bCs/>
          <w:sz w:val="24"/>
          <w:szCs w:val="24"/>
          <w:vertAlign w:val="subscript"/>
        </w:rPr>
        <w:t>2</w:t>
      </w:r>
      <w:r w:rsidRPr="00B7665A">
        <w:rPr>
          <w:rFonts w:ascii="Book Antiqua" w:hAnsi="Book Antiqua" w:cs="Times New Roman"/>
          <w:bCs/>
          <w:sz w:val="24"/>
          <w:szCs w:val="24"/>
        </w:rPr>
        <w:t xml:space="preserve"> by platelets and do not have substantial cardioprotective action; in fact, some COX-2 selective inhibitors may increase the risk of cardiovascular events</w:t>
      </w:r>
      <w:r w:rsidRPr="00B7665A">
        <w:rPr>
          <w:rFonts w:ascii="Book Antiqua" w:hAnsi="Book Antiqua" w:cs="Times New Roman"/>
          <w:bCs/>
          <w:noProof/>
          <w:sz w:val="24"/>
          <w:szCs w:val="24"/>
          <w:vertAlign w:val="superscript"/>
        </w:rPr>
        <w:t>[10]</w:t>
      </w:r>
      <w:r w:rsidRPr="00B7665A">
        <w:rPr>
          <w:rFonts w:ascii="Book Antiqua" w:hAnsi="Book Antiqua" w:cs="Times New Roman"/>
          <w:bCs/>
          <w:sz w:val="24"/>
          <w:szCs w:val="24"/>
        </w:rPr>
        <w:t xml:space="preserve">. </w:t>
      </w:r>
    </w:p>
    <w:p w:rsidR="00530194" w:rsidRDefault="00530194" w:rsidP="008E0465">
      <w:pPr>
        <w:widowControl w:val="0"/>
        <w:adjustRightInd w:val="0"/>
        <w:snapToGrid w:val="0"/>
        <w:spacing w:line="360" w:lineRule="auto"/>
        <w:ind w:firstLineChars="100" w:firstLine="240"/>
        <w:jc w:val="both"/>
        <w:rPr>
          <w:rFonts w:ascii="Book Antiqua" w:hAnsi="Book Antiqua" w:cs="Times New Roman"/>
          <w:bCs/>
          <w:sz w:val="24"/>
          <w:szCs w:val="24"/>
          <w:lang w:eastAsia="zh-CN"/>
        </w:rPr>
      </w:pPr>
      <w:r w:rsidRPr="00B7665A">
        <w:rPr>
          <w:rFonts w:ascii="Book Antiqua" w:hAnsi="Book Antiqua" w:cs="Times New Roman"/>
          <w:bCs/>
          <w:sz w:val="24"/>
          <w:szCs w:val="24"/>
        </w:rPr>
        <w:t>A long-term, LDA treatment is not without risk since it can induce gastroduodenal injury, ulcers and severe bleeding especially in elderly patients</w:t>
      </w:r>
      <w:r w:rsidRPr="00B7665A">
        <w:rPr>
          <w:rFonts w:ascii="Book Antiqua" w:hAnsi="Book Antiqua" w:cs="Times New Roman"/>
          <w:bCs/>
          <w:noProof/>
          <w:sz w:val="24"/>
          <w:szCs w:val="24"/>
          <w:vertAlign w:val="superscript"/>
        </w:rPr>
        <w:t>[11-18]</w:t>
      </w:r>
      <w:r w:rsidRPr="00B7665A">
        <w:rPr>
          <w:rFonts w:ascii="Book Antiqua" w:hAnsi="Book Antiqua" w:cs="Times New Roman"/>
          <w:bCs/>
          <w:sz w:val="24"/>
          <w:szCs w:val="24"/>
        </w:rPr>
        <w:t>.</w:t>
      </w:r>
      <w:r w:rsidR="0010276F">
        <w:rPr>
          <w:rFonts w:ascii="Book Antiqua" w:hAnsi="Book Antiqua" w:cs="Times New Roman"/>
          <w:bCs/>
          <w:sz w:val="24"/>
          <w:szCs w:val="24"/>
        </w:rPr>
        <w:t xml:space="preserve"> </w:t>
      </w:r>
      <w:r w:rsidRPr="00B7665A">
        <w:rPr>
          <w:rFonts w:ascii="Book Antiqua" w:hAnsi="Book Antiqua" w:cs="Times New Roman"/>
          <w:bCs/>
          <w:sz w:val="24"/>
          <w:szCs w:val="24"/>
        </w:rPr>
        <w:t>The main underlying mechanism is that aspirin inhibits generation of PGE</w:t>
      </w:r>
      <w:r w:rsidRPr="00B7665A">
        <w:rPr>
          <w:rFonts w:ascii="Book Antiqua" w:hAnsi="Book Antiqua" w:cs="Times New Roman"/>
          <w:bCs/>
          <w:sz w:val="24"/>
          <w:szCs w:val="24"/>
          <w:vertAlign w:val="subscript"/>
        </w:rPr>
        <w:t>2</w:t>
      </w:r>
      <w:r w:rsidRPr="00B7665A">
        <w:rPr>
          <w:rFonts w:ascii="Book Antiqua" w:hAnsi="Book Antiqua" w:cs="Times New Roman"/>
          <w:bCs/>
          <w:sz w:val="24"/>
          <w:szCs w:val="24"/>
        </w:rPr>
        <w:t xml:space="preserve"> and PGI</w:t>
      </w:r>
      <w:r w:rsidRPr="00B7665A">
        <w:rPr>
          <w:rFonts w:ascii="Book Antiqua" w:hAnsi="Book Antiqua" w:cs="Times New Roman"/>
          <w:bCs/>
          <w:sz w:val="24"/>
          <w:szCs w:val="24"/>
          <w:vertAlign w:val="subscript"/>
        </w:rPr>
        <w:t>2</w:t>
      </w:r>
      <w:r w:rsidRPr="00B7665A">
        <w:rPr>
          <w:rFonts w:ascii="Book Antiqua" w:hAnsi="Book Antiqua" w:cs="Times New Roman"/>
          <w:bCs/>
          <w:sz w:val="24"/>
          <w:szCs w:val="24"/>
        </w:rPr>
        <w:t xml:space="preserve"> which are critical for mucosa defense, protection</w:t>
      </w:r>
      <w:r w:rsidR="0010276F">
        <w:rPr>
          <w:rFonts w:ascii="Book Antiqua" w:hAnsi="Book Antiqua" w:cs="Times New Roman"/>
          <w:bCs/>
          <w:sz w:val="24"/>
          <w:szCs w:val="24"/>
        </w:rPr>
        <w:t xml:space="preserve"> </w:t>
      </w:r>
      <w:r w:rsidRPr="00B7665A">
        <w:rPr>
          <w:rFonts w:ascii="Book Antiqua" w:hAnsi="Book Antiqua" w:cs="Times New Roman"/>
          <w:bCs/>
          <w:sz w:val="24"/>
          <w:szCs w:val="24"/>
        </w:rPr>
        <w:t>and</w:t>
      </w:r>
      <w:r w:rsidR="0010276F">
        <w:rPr>
          <w:rFonts w:ascii="Book Antiqua" w:hAnsi="Book Antiqua" w:cs="Times New Roman"/>
          <w:bCs/>
          <w:sz w:val="24"/>
          <w:szCs w:val="24"/>
        </w:rPr>
        <w:t xml:space="preserve"> </w:t>
      </w:r>
      <w:r w:rsidRPr="00B7665A">
        <w:rPr>
          <w:rFonts w:ascii="Book Antiqua" w:hAnsi="Book Antiqua" w:cs="Times New Roman"/>
          <w:bCs/>
          <w:sz w:val="24"/>
          <w:szCs w:val="24"/>
        </w:rPr>
        <w:t>maintenance of</w:t>
      </w:r>
      <w:r w:rsidR="0010276F">
        <w:rPr>
          <w:rFonts w:ascii="Book Antiqua" w:hAnsi="Book Antiqua" w:cs="Times New Roman"/>
          <w:bCs/>
          <w:sz w:val="24"/>
          <w:szCs w:val="24"/>
        </w:rPr>
        <w:t xml:space="preserve"> </w:t>
      </w:r>
      <w:r w:rsidRPr="00B7665A">
        <w:rPr>
          <w:rFonts w:ascii="Book Antiqua" w:hAnsi="Book Antiqua" w:cs="Times New Roman"/>
          <w:bCs/>
          <w:sz w:val="24"/>
          <w:szCs w:val="24"/>
        </w:rPr>
        <w:t>gastrointestinal</w:t>
      </w:r>
      <w:r w:rsidR="0010276F">
        <w:rPr>
          <w:rFonts w:ascii="Book Antiqua" w:hAnsi="Book Antiqua" w:cs="Times New Roman"/>
          <w:bCs/>
          <w:sz w:val="24"/>
          <w:szCs w:val="24"/>
        </w:rPr>
        <w:t xml:space="preserve"> </w:t>
      </w:r>
      <w:r w:rsidRPr="00B7665A">
        <w:rPr>
          <w:rFonts w:ascii="Book Antiqua" w:hAnsi="Book Antiqua" w:cs="Times New Roman"/>
          <w:bCs/>
          <w:sz w:val="24"/>
          <w:szCs w:val="24"/>
        </w:rPr>
        <w:t>mucosal integrity</w:t>
      </w:r>
      <w:r w:rsidRPr="00B7665A">
        <w:rPr>
          <w:rFonts w:ascii="Book Antiqua" w:hAnsi="Book Antiqua" w:cs="Times New Roman"/>
          <w:bCs/>
          <w:noProof/>
          <w:sz w:val="24"/>
          <w:szCs w:val="24"/>
          <w:vertAlign w:val="superscript"/>
        </w:rPr>
        <w:t>[7]</w:t>
      </w:r>
      <w:r w:rsidRPr="00B7665A">
        <w:rPr>
          <w:rFonts w:ascii="Book Antiqua" w:hAnsi="Book Antiqua" w:cs="Times New Roman"/>
          <w:bCs/>
          <w:sz w:val="24"/>
          <w:szCs w:val="24"/>
        </w:rPr>
        <w:t xml:space="preserve"> </w:t>
      </w:r>
      <w:r w:rsidRPr="008E0465">
        <w:rPr>
          <w:rFonts w:ascii="Book Antiqua" w:hAnsi="Book Antiqua" w:cs="Times New Roman"/>
          <w:bCs/>
          <w:sz w:val="24"/>
          <w:szCs w:val="24"/>
        </w:rPr>
        <w:t>(Figure 1).</w:t>
      </w:r>
      <w:r w:rsidR="008E0465">
        <w:rPr>
          <w:rFonts w:ascii="Book Antiqua" w:hAnsi="Book Antiqua" w:cs="Times New Roman"/>
          <w:bCs/>
          <w:sz w:val="24"/>
          <w:szCs w:val="24"/>
        </w:rPr>
        <w:t xml:space="preserve"> </w:t>
      </w:r>
      <w:r w:rsidRPr="00B7665A">
        <w:rPr>
          <w:rFonts w:ascii="Book Antiqua" w:hAnsi="Book Antiqua" w:cs="Times New Roman"/>
          <w:bCs/>
          <w:sz w:val="24"/>
          <w:szCs w:val="24"/>
        </w:rPr>
        <w:t>In addition, inhibition of TXA2-dependent platelet function by aspirin prevents thrombi formation in injured vessels and causes uncontrolled bleeding. Cryer and Feldman showed that long-term LDA</w:t>
      </w:r>
      <w:r w:rsidR="008E0465">
        <w:rPr>
          <w:rFonts w:ascii="Book Antiqua" w:hAnsi="Book Antiqua" w:cs="Times New Roman"/>
          <w:bCs/>
          <w:sz w:val="24"/>
          <w:szCs w:val="24"/>
        </w:rPr>
        <w:t xml:space="preserve"> treatment in healthy subjects </w:t>
      </w:r>
      <w:r w:rsidRPr="00B7665A">
        <w:rPr>
          <w:rFonts w:ascii="Book Antiqua" w:hAnsi="Book Antiqua" w:cs="Times New Roman"/>
          <w:bCs/>
          <w:sz w:val="24"/>
          <w:szCs w:val="24"/>
        </w:rPr>
        <w:t>significantly reduces gastric mucosal prostaglandin levels by ~ 60% and causes gastric and duodenal injury in some patients</w:t>
      </w:r>
      <w:r w:rsidR="0010276F" w:rsidRPr="00B7665A">
        <w:rPr>
          <w:rFonts w:ascii="Book Antiqua" w:hAnsi="Book Antiqua" w:cs="Times New Roman"/>
          <w:bCs/>
          <w:noProof/>
          <w:sz w:val="24"/>
          <w:szCs w:val="24"/>
          <w:vertAlign w:val="superscript"/>
        </w:rPr>
        <w:t>[19]</w:t>
      </w:r>
      <w:r w:rsidRPr="00B7665A">
        <w:rPr>
          <w:rFonts w:ascii="Book Antiqua" w:hAnsi="Book Antiqua" w:cs="Times New Roman"/>
          <w:bCs/>
          <w:sz w:val="24"/>
          <w:szCs w:val="24"/>
        </w:rPr>
        <w:t>. The risk of development of peptic ulcers in aspirin (or non-aspirin NSA</w:t>
      </w:r>
      <w:r w:rsidR="008E0465">
        <w:rPr>
          <w:rFonts w:ascii="Book Antiqua" w:hAnsi="Book Antiqua" w:cs="Times New Roman"/>
          <w:bCs/>
          <w:sz w:val="24"/>
          <w:szCs w:val="24"/>
        </w:rPr>
        <w:t>IDs) users was examined in ~460</w:t>
      </w:r>
      <w:r w:rsidRPr="00B7665A">
        <w:rPr>
          <w:rFonts w:ascii="Book Antiqua" w:hAnsi="Book Antiqua" w:cs="Times New Roman"/>
          <w:bCs/>
          <w:sz w:val="24"/>
          <w:szCs w:val="24"/>
        </w:rPr>
        <w:t>000 patients (between 1995 and 1999) and shown to be increased to 2.9 for aspirin and 4.0 for non-aspirin NSAIDs, compared with control patients</w:t>
      </w:r>
      <w:r w:rsidRPr="00B7665A">
        <w:rPr>
          <w:rFonts w:ascii="Book Antiqua" w:hAnsi="Book Antiqua" w:cs="Times New Roman"/>
          <w:bCs/>
          <w:noProof/>
          <w:sz w:val="24"/>
          <w:szCs w:val="24"/>
          <w:vertAlign w:val="superscript"/>
        </w:rPr>
        <w:t>[20]</w:t>
      </w:r>
      <w:r w:rsidRPr="00B7665A">
        <w:rPr>
          <w:rFonts w:ascii="Book Antiqua" w:hAnsi="Book Antiqua" w:cs="Times New Roman"/>
          <w:bCs/>
          <w:sz w:val="24"/>
          <w:szCs w:val="24"/>
        </w:rPr>
        <w:t xml:space="preserve">. LDA-induced gastric injury was </w:t>
      </w:r>
      <w:bookmarkStart w:id="40" w:name="_Hlk522809020"/>
      <w:r w:rsidRPr="00B7665A">
        <w:rPr>
          <w:rFonts w:ascii="Book Antiqua" w:hAnsi="Book Antiqua" w:cs="Times New Roman"/>
          <w:bCs/>
          <w:sz w:val="24"/>
          <w:szCs w:val="24"/>
        </w:rPr>
        <w:t xml:space="preserve">increased in </w:t>
      </w:r>
      <w:r w:rsidRPr="00B7665A">
        <w:rPr>
          <w:rFonts w:ascii="Book Antiqua" w:hAnsi="Book Antiqua" w:cs="Times New Roman"/>
          <w:bCs/>
          <w:sz w:val="24"/>
          <w:szCs w:val="24"/>
        </w:rPr>
        <w:lastRenderedPageBreak/>
        <w:t xml:space="preserve">patients using LDA plus other NSAIDs and/or alcohol, or in patients with </w:t>
      </w:r>
      <w:r w:rsidR="008E0465" w:rsidRPr="00BC0FDA">
        <w:rPr>
          <w:rFonts w:ascii="Book Antiqua" w:hAnsi="Book Antiqua" w:cs="Times New Roman"/>
          <w:bCs/>
          <w:i/>
          <w:sz w:val="24"/>
          <w:szCs w:val="24"/>
        </w:rPr>
        <w:t>Helicobacter pylori</w:t>
      </w:r>
      <w:r w:rsidR="008E0465" w:rsidRPr="00BC0FDA">
        <w:rPr>
          <w:rFonts w:ascii="Book Antiqua" w:hAnsi="Book Antiqua" w:cs="Times New Roman"/>
          <w:bCs/>
          <w:sz w:val="24"/>
          <w:szCs w:val="24"/>
        </w:rPr>
        <w:t xml:space="preserve"> </w:t>
      </w:r>
      <w:r w:rsidR="008E0465">
        <w:rPr>
          <w:rFonts w:ascii="Book Antiqua" w:hAnsi="Book Antiqua" w:cs="Times New Roman" w:hint="eastAsia"/>
          <w:bCs/>
          <w:iCs/>
          <w:sz w:val="24"/>
          <w:szCs w:val="24"/>
          <w:lang w:eastAsia="zh-CN"/>
        </w:rPr>
        <w:t>(</w:t>
      </w:r>
      <w:r w:rsidR="008E0465" w:rsidRPr="00B7665A">
        <w:rPr>
          <w:rFonts w:ascii="Book Antiqua" w:hAnsi="Book Antiqua" w:cs="Times New Roman"/>
          <w:bCs/>
          <w:i/>
          <w:iCs/>
          <w:sz w:val="24"/>
          <w:szCs w:val="24"/>
        </w:rPr>
        <w:t>H. pylori</w:t>
      </w:r>
      <w:r w:rsidR="008E0465">
        <w:rPr>
          <w:rFonts w:ascii="Book Antiqua" w:hAnsi="Book Antiqua" w:cs="Times New Roman" w:hint="eastAsia"/>
          <w:bCs/>
          <w:iCs/>
          <w:sz w:val="24"/>
          <w:szCs w:val="24"/>
          <w:lang w:eastAsia="zh-CN"/>
        </w:rPr>
        <w:t>)</w:t>
      </w:r>
      <w:r w:rsidRPr="00B7665A">
        <w:rPr>
          <w:rFonts w:ascii="Book Antiqua" w:hAnsi="Book Antiqua" w:cs="Times New Roman"/>
          <w:bCs/>
          <w:i/>
          <w:iCs/>
          <w:sz w:val="24"/>
          <w:szCs w:val="24"/>
        </w:rPr>
        <w:t xml:space="preserve"> </w:t>
      </w:r>
      <w:r w:rsidRPr="00B7665A">
        <w:rPr>
          <w:rFonts w:ascii="Book Antiqua" w:hAnsi="Book Antiqua" w:cs="Times New Roman"/>
          <w:bCs/>
          <w:sz w:val="24"/>
          <w:szCs w:val="24"/>
        </w:rPr>
        <w:t>infection</w:t>
      </w:r>
      <w:r w:rsidRPr="00B7665A">
        <w:rPr>
          <w:rFonts w:ascii="Book Antiqua" w:hAnsi="Book Antiqua" w:cs="Times New Roman"/>
          <w:bCs/>
          <w:noProof/>
          <w:sz w:val="24"/>
          <w:szCs w:val="24"/>
          <w:vertAlign w:val="superscript"/>
        </w:rPr>
        <w:t>[21-23]</w:t>
      </w:r>
      <w:bookmarkEnd w:id="40"/>
      <w:r w:rsidRPr="00B7665A">
        <w:rPr>
          <w:rFonts w:ascii="Book Antiqua" w:hAnsi="Book Antiqua" w:cs="Times New Roman"/>
          <w:bCs/>
          <w:sz w:val="24"/>
          <w:szCs w:val="24"/>
        </w:rPr>
        <w:t xml:space="preserve">. In the latter group eradication of </w:t>
      </w:r>
      <w:r w:rsidRPr="00B7665A">
        <w:rPr>
          <w:rFonts w:ascii="Book Antiqua" w:hAnsi="Book Antiqua" w:cs="Times New Roman"/>
          <w:bCs/>
          <w:i/>
          <w:iCs/>
          <w:sz w:val="24"/>
          <w:szCs w:val="24"/>
        </w:rPr>
        <w:t xml:space="preserve">H. pylori </w:t>
      </w:r>
      <w:r w:rsidRPr="00B7665A">
        <w:rPr>
          <w:rFonts w:ascii="Book Antiqua" w:hAnsi="Book Antiqua" w:cs="Times New Roman"/>
          <w:bCs/>
          <w:sz w:val="24"/>
          <w:szCs w:val="24"/>
        </w:rPr>
        <w:t>in patients on LDA therapy significantly reduced the re-bleeding rate</w:t>
      </w:r>
      <w:r w:rsidRPr="00B7665A">
        <w:rPr>
          <w:rFonts w:ascii="Book Antiqua" w:hAnsi="Book Antiqua" w:cs="Times New Roman"/>
          <w:bCs/>
          <w:noProof/>
          <w:sz w:val="24"/>
          <w:szCs w:val="24"/>
          <w:vertAlign w:val="superscript"/>
        </w:rPr>
        <w:t>[23]</w:t>
      </w:r>
      <w:r w:rsidRPr="00B7665A">
        <w:rPr>
          <w:rFonts w:ascii="Book Antiqua" w:hAnsi="Book Antiqua" w:cs="Times New Roman"/>
          <w:bCs/>
          <w:sz w:val="24"/>
          <w:szCs w:val="24"/>
        </w:rPr>
        <w:t>. These risks associated with long-term LDA therapy are significantly higher in elderly patients</w:t>
      </w:r>
      <w:r w:rsidR="008E0465">
        <w:rPr>
          <w:rFonts w:ascii="Book Antiqua" w:eastAsia="DengXian" w:hAnsi="Book Antiqua" w:cs="Times New Roman"/>
          <w:bCs/>
          <w:noProof/>
          <w:color w:val="000000"/>
          <w:kern w:val="2"/>
          <w:sz w:val="24"/>
          <w:szCs w:val="24"/>
          <w:vertAlign w:val="superscript"/>
          <w:lang w:eastAsia="ja-JP"/>
        </w:rPr>
        <w:t>[8,18,</w:t>
      </w:r>
      <w:r w:rsidRPr="00B7665A">
        <w:rPr>
          <w:rFonts w:ascii="Book Antiqua" w:eastAsia="DengXian" w:hAnsi="Book Antiqua" w:cs="Times New Roman"/>
          <w:bCs/>
          <w:noProof/>
          <w:color w:val="000000"/>
          <w:kern w:val="2"/>
          <w:sz w:val="24"/>
          <w:szCs w:val="24"/>
          <w:vertAlign w:val="superscript"/>
          <w:lang w:eastAsia="ja-JP"/>
        </w:rPr>
        <w:t>24-30]</w:t>
      </w:r>
      <w:r w:rsidRPr="00B7665A">
        <w:rPr>
          <w:rFonts w:ascii="Book Antiqua" w:eastAsia="DengXian" w:hAnsi="Book Antiqua" w:cs="Times New Roman"/>
          <w:bCs/>
          <w:color w:val="000000"/>
          <w:kern w:val="2"/>
          <w:sz w:val="24"/>
          <w:szCs w:val="24"/>
          <w:lang w:eastAsia="ja-JP"/>
        </w:rPr>
        <w:t>.</w:t>
      </w:r>
      <w:r w:rsidRPr="00B7665A">
        <w:rPr>
          <w:rFonts w:ascii="Book Antiqua" w:hAnsi="Book Antiqua" w:cs="Times New Roman"/>
          <w:bCs/>
          <w:sz w:val="24"/>
          <w:szCs w:val="24"/>
        </w:rPr>
        <w:t xml:space="preserve"> </w:t>
      </w:r>
    </w:p>
    <w:p w:rsidR="009217B0" w:rsidRDefault="009217B0" w:rsidP="008E0465">
      <w:pPr>
        <w:widowControl w:val="0"/>
        <w:adjustRightInd w:val="0"/>
        <w:snapToGrid w:val="0"/>
        <w:spacing w:line="360" w:lineRule="auto"/>
        <w:ind w:firstLineChars="100" w:firstLine="240"/>
        <w:jc w:val="both"/>
        <w:rPr>
          <w:rFonts w:ascii="Book Antiqua" w:hAnsi="Book Antiqua" w:cs="Times New Roman"/>
          <w:bCs/>
          <w:sz w:val="24"/>
          <w:szCs w:val="24"/>
          <w:lang w:eastAsia="zh-CN"/>
        </w:rPr>
      </w:pPr>
    </w:p>
    <w:p w:rsidR="009217B0" w:rsidRPr="009217B0" w:rsidRDefault="009217B0" w:rsidP="009217B0">
      <w:pPr>
        <w:widowControl w:val="0"/>
        <w:adjustRightInd w:val="0"/>
        <w:snapToGrid w:val="0"/>
        <w:spacing w:line="360" w:lineRule="auto"/>
        <w:jc w:val="both"/>
        <w:rPr>
          <w:rFonts w:ascii="Book Antiqua" w:hAnsi="Book Antiqua" w:cs="Times New Roman"/>
          <w:b/>
          <w:bCs/>
          <w:sz w:val="24"/>
          <w:szCs w:val="24"/>
          <w:lang w:eastAsia="zh-CN"/>
        </w:rPr>
      </w:pPr>
      <w:r w:rsidRPr="009217B0">
        <w:rPr>
          <w:rFonts w:ascii="Book Antiqua" w:eastAsia="DengXian" w:hAnsi="Book Antiqua" w:cs="Times New Roman"/>
          <w:b/>
          <w:bCs/>
          <w:color w:val="000000"/>
          <w:kern w:val="2"/>
          <w:sz w:val="24"/>
          <w:szCs w:val="24"/>
          <w:lang w:eastAsia="ja-JP"/>
        </w:rPr>
        <w:t>MECHANISMS OF INCREASED SUSCEPTIBILITY OF AGING GASTRIC MUCOSA TO INJURY</w:t>
      </w:r>
    </w:p>
    <w:p w:rsidR="00530194" w:rsidRPr="00B7665A" w:rsidRDefault="00530194" w:rsidP="009217B0">
      <w:pPr>
        <w:widowControl w:val="0"/>
        <w:autoSpaceDE w:val="0"/>
        <w:autoSpaceDN w:val="0"/>
        <w:adjustRightInd w:val="0"/>
        <w:snapToGrid w:val="0"/>
        <w:spacing w:line="360" w:lineRule="auto"/>
        <w:jc w:val="both"/>
        <w:rPr>
          <w:rFonts w:ascii="Book Antiqua" w:eastAsia="DengXian" w:hAnsi="Book Antiqua" w:cs="Times New Roman"/>
          <w:bCs/>
          <w:color w:val="000000"/>
          <w:kern w:val="2"/>
          <w:sz w:val="24"/>
          <w:szCs w:val="24"/>
          <w:lang w:eastAsia="ja-JP"/>
        </w:rPr>
      </w:pPr>
      <w:r w:rsidRPr="008E0465">
        <w:rPr>
          <w:rFonts w:ascii="Book Antiqua" w:eastAsia="DengXian" w:hAnsi="Book Antiqua" w:cs="Times New Roman"/>
          <w:bCs/>
          <w:color w:val="000000"/>
          <w:kern w:val="2"/>
          <w:sz w:val="24"/>
          <w:szCs w:val="24"/>
          <w:lang w:eastAsia="ja-JP"/>
        </w:rPr>
        <w:t>The mechanisms of increased susceptibility of aging gastric mucosa to injury were described in detail in our previous publications</w:t>
      </w:r>
      <w:r w:rsidRPr="008E0465">
        <w:rPr>
          <w:rFonts w:ascii="Book Antiqua" w:eastAsia="DengXian" w:hAnsi="Book Antiqua" w:cs="Times New Roman"/>
          <w:bCs/>
          <w:noProof/>
          <w:color w:val="000000"/>
          <w:kern w:val="2"/>
          <w:sz w:val="24"/>
          <w:szCs w:val="24"/>
          <w:vertAlign w:val="superscript"/>
          <w:lang w:eastAsia="ja-JP"/>
        </w:rPr>
        <w:t>[24-29]</w:t>
      </w:r>
      <w:r w:rsidRPr="008E0465">
        <w:rPr>
          <w:rFonts w:ascii="Book Antiqua" w:eastAsia="DengXian" w:hAnsi="Book Antiqua" w:cs="Times New Roman"/>
          <w:bCs/>
          <w:color w:val="000000"/>
          <w:kern w:val="2"/>
          <w:sz w:val="24"/>
          <w:szCs w:val="24"/>
          <w:lang w:eastAsia="ja-JP"/>
        </w:rPr>
        <w:t xml:space="preserve"> and are summarized in Table 2.</w:t>
      </w:r>
      <w:r w:rsidRPr="00B7665A">
        <w:rPr>
          <w:rFonts w:ascii="Book Antiqua" w:eastAsia="DengXian" w:hAnsi="Book Antiqua" w:cs="Times New Roman"/>
          <w:b/>
          <w:bCs/>
          <w:color w:val="000000"/>
          <w:kern w:val="2"/>
          <w:sz w:val="24"/>
          <w:szCs w:val="24"/>
          <w:lang w:eastAsia="ja-JP"/>
        </w:rPr>
        <w:t xml:space="preserve"> </w:t>
      </w:r>
      <w:r w:rsidRPr="00B7665A">
        <w:rPr>
          <w:rFonts w:ascii="Book Antiqua" w:eastAsia="DengXian" w:hAnsi="Book Antiqua" w:cs="Times New Roman"/>
          <w:bCs/>
          <w:color w:val="000000"/>
          <w:kern w:val="2"/>
          <w:sz w:val="24"/>
          <w:szCs w:val="24"/>
          <w:lang w:eastAsia="ja-JP"/>
        </w:rPr>
        <w:t>In brief, we demonstrated that aging gastric mucosa has partial atrophy of gastric glands, impaired mucosal defense, increased susceptibility to injury (by ethanol, aspirin and other NSAIDs), impaired angiogenesis and a delayed and abnormal injury healing</w:t>
      </w:r>
      <w:r w:rsidR="0010276F">
        <w:rPr>
          <w:rFonts w:ascii="Book Antiqua" w:hAnsi="Book Antiqua" w:cs="Arial"/>
          <w:noProof/>
          <w:sz w:val="24"/>
          <w:szCs w:val="24"/>
          <w:vertAlign w:val="superscript"/>
        </w:rPr>
        <w:t>[24,</w:t>
      </w:r>
      <w:r w:rsidRPr="00B7665A">
        <w:rPr>
          <w:rFonts w:ascii="Book Antiqua" w:hAnsi="Book Antiqua" w:cs="Arial"/>
          <w:noProof/>
          <w:sz w:val="24"/>
          <w:szCs w:val="24"/>
          <w:vertAlign w:val="superscript"/>
        </w:rPr>
        <w:t>25]</w:t>
      </w:r>
      <w:r w:rsidRPr="00B7665A">
        <w:rPr>
          <w:rFonts w:ascii="Book Antiqua" w:hAnsi="Book Antiqua" w:cs="Arial"/>
          <w:sz w:val="24"/>
          <w:szCs w:val="24"/>
        </w:rPr>
        <w:t>.</w:t>
      </w:r>
      <w:r w:rsidRPr="00B7665A">
        <w:rPr>
          <w:rFonts w:ascii="Book Antiqua" w:eastAsia="DengXian" w:hAnsi="Book Antiqua" w:cs="Times New Roman"/>
          <w:bCs/>
          <w:color w:val="000000"/>
          <w:kern w:val="2"/>
          <w:sz w:val="24"/>
          <w:szCs w:val="24"/>
          <w:lang w:eastAsia="ja-JP"/>
        </w:rPr>
        <w:t xml:space="preserve"> Aging gastric mucosa has reduced mucosal blood flow causing hypoxia, which leads to activation</w:t>
      </w:r>
      <w:r w:rsidR="008E0465">
        <w:rPr>
          <w:rFonts w:ascii="Book Antiqua" w:eastAsia="DengXian" w:hAnsi="Book Antiqua" w:cs="Times New Roman"/>
          <w:bCs/>
          <w:color w:val="000000"/>
          <w:kern w:val="2"/>
          <w:sz w:val="24"/>
          <w:szCs w:val="24"/>
          <w:lang w:eastAsia="ja-JP"/>
        </w:rPr>
        <w:t xml:space="preserve"> of the early growth response-1</w:t>
      </w:r>
      <w:r w:rsidR="008E0465">
        <w:rPr>
          <w:rFonts w:ascii="Book Antiqua" w:eastAsia="DengXian" w:hAnsi="Book Antiqua" w:cs="Times New Roman" w:hint="eastAsia"/>
          <w:bCs/>
          <w:color w:val="000000"/>
          <w:kern w:val="2"/>
          <w:sz w:val="24"/>
          <w:szCs w:val="24"/>
          <w:lang w:eastAsia="zh-CN"/>
        </w:rPr>
        <w:t xml:space="preserve"> </w:t>
      </w:r>
      <w:r w:rsidRPr="00B7665A">
        <w:rPr>
          <w:rFonts w:ascii="Book Antiqua" w:eastAsia="DengXian" w:hAnsi="Book Antiqua" w:cs="Times New Roman"/>
          <w:bCs/>
          <w:color w:val="000000"/>
          <w:kern w:val="2"/>
          <w:sz w:val="24"/>
          <w:szCs w:val="24"/>
          <w:lang w:eastAsia="ja-JP"/>
        </w:rPr>
        <w:t>transcription factor that in turn upregulates the dual specificity phosphatase (PTEN) resulting in activation of pro-apoptotic caspase-3 and caspase-9 and reduced expression of the a</w:t>
      </w:r>
      <w:r w:rsidR="0010276F">
        <w:rPr>
          <w:rFonts w:ascii="Book Antiqua" w:eastAsia="DengXian" w:hAnsi="Book Antiqua" w:cs="Times New Roman"/>
          <w:bCs/>
          <w:color w:val="000000"/>
          <w:kern w:val="2"/>
          <w:sz w:val="24"/>
          <w:szCs w:val="24"/>
          <w:lang w:eastAsia="ja-JP"/>
        </w:rPr>
        <w:t>nti-apoptosis protein, survivin</w:t>
      </w:r>
      <w:r w:rsidRPr="00B7665A">
        <w:rPr>
          <w:rFonts w:ascii="Book Antiqua" w:eastAsia="DengXian" w:hAnsi="Book Antiqua" w:cs="Times New Roman"/>
          <w:bCs/>
          <w:noProof/>
          <w:color w:val="000000"/>
          <w:kern w:val="2"/>
          <w:sz w:val="24"/>
          <w:szCs w:val="24"/>
          <w:vertAlign w:val="superscript"/>
          <w:lang w:eastAsia="ja-JP"/>
        </w:rPr>
        <w:t>[24]</w:t>
      </w:r>
      <w:r w:rsidR="0010276F">
        <w:rPr>
          <w:rFonts w:ascii="Book Antiqua" w:eastAsia="DengXian" w:hAnsi="Book Antiqua" w:cs="Times New Roman" w:hint="eastAsia"/>
          <w:bCs/>
          <w:noProof/>
          <w:color w:val="000000"/>
          <w:kern w:val="2"/>
          <w:sz w:val="24"/>
          <w:szCs w:val="24"/>
          <w:lang w:eastAsia="zh-CN"/>
        </w:rPr>
        <w:t>.</w:t>
      </w:r>
      <w:r w:rsidRPr="00B7665A">
        <w:rPr>
          <w:rFonts w:ascii="Book Antiqua" w:eastAsia="DengXian" w:hAnsi="Book Antiqua" w:cs="Times New Roman"/>
          <w:bCs/>
          <w:color w:val="000000"/>
          <w:kern w:val="2"/>
          <w:sz w:val="24"/>
          <w:szCs w:val="24"/>
          <w:lang w:eastAsia="ja-JP"/>
        </w:rPr>
        <w:t xml:space="preserve"> The imbalance between pro-apoptosis and anti-apoptosis factors results in increased apoptosis and injury. This paradigm demonstrated experimentally has also a direct human relevance since increased expression of PTEN and reduced expression of survivin were shown in gastric mucosa of aging </w:t>
      </w:r>
      <w:bookmarkStart w:id="41" w:name="_Hlk522972908"/>
      <w:r w:rsidRPr="00B7665A">
        <w:rPr>
          <w:rFonts w:ascii="Book Antiqua" w:eastAsia="DengXian" w:hAnsi="Book Antiqua" w:cs="Times New Roman"/>
          <w:bCs/>
          <w:color w:val="000000"/>
          <w:kern w:val="2"/>
          <w:sz w:val="24"/>
          <w:szCs w:val="24"/>
          <w:lang w:eastAsia="ja-JP"/>
        </w:rPr>
        <w:t>≥</w:t>
      </w:r>
      <w:bookmarkEnd w:id="41"/>
      <w:r w:rsidR="008E0465">
        <w:rPr>
          <w:rFonts w:ascii="Book Antiqua" w:eastAsia="DengXian" w:hAnsi="Book Antiqua" w:cs="Times New Roman" w:hint="eastAsia"/>
          <w:bCs/>
          <w:color w:val="000000"/>
          <w:kern w:val="2"/>
          <w:sz w:val="24"/>
          <w:szCs w:val="24"/>
          <w:lang w:eastAsia="zh-CN"/>
        </w:rPr>
        <w:t xml:space="preserve"> </w:t>
      </w:r>
      <w:r w:rsidRPr="00B7665A">
        <w:rPr>
          <w:rFonts w:ascii="Book Antiqua" w:eastAsia="DengXian" w:hAnsi="Book Antiqua" w:cs="Times New Roman"/>
          <w:bCs/>
          <w:color w:val="000000"/>
          <w:kern w:val="2"/>
          <w:sz w:val="24"/>
          <w:szCs w:val="24"/>
          <w:lang w:eastAsia="ja-JP"/>
        </w:rPr>
        <w:t xml:space="preserve">70 years of age </w:t>
      </w:r>
      <w:r w:rsidRPr="008E0465">
        <w:rPr>
          <w:rFonts w:ascii="Book Antiqua" w:eastAsia="DengXian" w:hAnsi="Book Antiqua" w:cs="Times New Roman"/>
          <w:bCs/>
          <w:i/>
          <w:color w:val="000000"/>
          <w:kern w:val="2"/>
          <w:sz w:val="24"/>
          <w:szCs w:val="24"/>
          <w:lang w:eastAsia="ja-JP"/>
        </w:rPr>
        <w:t>vs</w:t>
      </w:r>
      <w:r w:rsidRPr="00B7665A">
        <w:rPr>
          <w:rFonts w:ascii="Book Antiqua" w:eastAsia="DengXian" w:hAnsi="Book Antiqua" w:cs="Times New Roman"/>
          <w:bCs/>
          <w:color w:val="000000"/>
          <w:kern w:val="2"/>
          <w:sz w:val="24"/>
          <w:szCs w:val="24"/>
          <w:lang w:eastAsia="ja-JP"/>
        </w:rPr>
        <w:t xml:space="preserve"> younger (&lt; 40 years) individuals</w:t>
      </w:r>
      <w:r w:rsidRPr="00B7665A">
        <w:rPr>
          <w:rFonts w:ascii="Book Antiqua" w:eastAsia="DengXian" w:hAnsi="Book Antiqua" w:cs="Times New Roman"/>
          <w:bCs/>
          <w:noProof/>
          <w:color w:val="000000"/>
          <w:kern w:val="2"/>
          <w:sz w:val="24"/>
          <w:szCs w:val="24"/>
          <w:vertAlign w:val="superscript"/>
          <w:lang w:eastAsia="ja-JP"/>
        </w:rPr>
        <w:t>[24]</w:t>
      </w:r>
      <w:r w:rsidRPr="00B7665A">
        <w:rPr>
          <w:rFonts w:ascii="Book Antiqua" w:eastAsia="DengXian" w:hAnsi="Book Antiqua" w:cs="Times New Roman"/>
          <w:bCs/>
          <w:color w:val="000000"/>
          <w:kern w:val="2"/>
          <w:sz w:val="24"/>
          <w:szCs w:val="24"/>
          <w:lang w:eastAsia="ja-JP"/>
        </w:rPr>
        <w:t xml:space="preserve">. Other potential mechanisms operating in aging gastric mucosa include reduced telomerase activity, increase in replicative cellular senescence, and reduced expression of vascular endothelial growth factor and importin α - a transport protein essential for transport of transcription factors to the nucleus. In aging individuals, endothelial cells of blood vessels are very abnormal with significantly reduced angiogenic capacity and decreased levels of angiogenic factors such as VEGF and nuclear </w:t>
      </w:r>
      <w:r w:rsidR="008E0465" w:rsidRPr="008E0465">
        <w:rPr>
          <w:rFonts w:ascii="Book Antiqua" w:eastAsia="DengXian" w:hAnsi="Book Antiqua" w:cs="Times New Roman"/>
          <w:bCs/>
          <w:color w:val="000000"/>
          <w:kern w:val="2"/>
          <w:sz w:val="24"/>
          <w:szCs w:val="24"/>
          <w:lang w:eastAsia="ja-JP"/>
        </w:rPr>
        <w:t>hypoxia inducible factor</w:t>
      </w:r>
      <w:r w:rsidRPr="00B7665A">
        <w:rPr>
          <w:rFonts w:ascii="Book Antiqua" w:eastAsia="DengXian" w:hAnsi="Book Antiqua" w:cs="Times New Roman"/>
          <w:bCs/>
          <w:color w:val="000000"/>
          <w:kern w:val="2"/>
          <w:sz w:val="24"/>
          <w:szCs w:val="24"/>
          <w:lang w:eastAsia="ja-JP"/>
        </w:rPr>
        <w:t>-1α</w:t>
      </w:r>
      <w:r w:rsidR="008E0465">
        <w:rPr>
          <w:rFonts w:ascii="Book Antiqua" w:eastAsia="DengXian" w:hAnsi="Book Antiqua" w:cs="Times New Roman"/>
          <w:bCs/>
          <w:noProof/>
          <w:color w:val="000000"/>
          <w:kern w:val="2"/>
          <w:sz w:val="24"/>
          <w:szCs w:val="24"/>
          <w:vertAlign w:val="superscript"/>
          <w:lang w:eastAsia="ja-JP"/>
        </w:rPr>
        <w:t>[25,</w:t>
      </w:r>
      <w:r w:rsidRPr="00B7665A">
        <w:rPr>
          <w:rFonts w:ascii="Book Antiqua" w:eastAsia="DengXian" w:hAnsi="Book Antiqua" w:cs="Times New Roman"/>
          <w:bCs/>
          <w:noProof/>
          <w:color w:val="000000"/>
          <w:kern w:val="2"/>
          <w:sz w:val="24"/>
          <w:szCs w:val="24"/>
          <w:vertAlign w:val="superscript"/>
          <w:lang w:eastAsia="ja-JP"/>
        </w:rPr>
        <w:t>27]</w:t>
      </w:r>
      <w:r w:rsidRPr="00B7665A">
        <w:rPr>
          <w:rFonts w:ascii="Book Antiqua" w:eastAsia="DengXian" w:hAnsi="Book Antiqua" w:cs="Times New Roman"/>
          <w:bCs/>
          <w:color w:val="000000"/>
          <w:kern w:val="2"/>
          <w:sz w:val="24"/>
          <w:szCs w:val="24"/>
          <w:lang w:eastAsia="ja-JP"/>
        </w:rPr>
        <w:t>.</w:t>
      </w:r>
      <w:r w:rsidR="008E0465">
        <w:rPr>
          <w:rFonts w:ascii="Book Antiqua" w:eastAsia="DengXian" w:hAnsi="Book Antiqua" w:cs="Times New Roman" w:hint="eastAsia"/>
          <w:bCs/>
          <w:color w:val="000000"/>
          <w:kern w:val="2"/>
          <w:sz w:val="24"/>
          <w:szCs w:val="24"/>
          <w:lang w:eastAsia="zh-CN"/>
        </w:rPr>
        <w:t xml:space="preserve"> </w:t>
      </w:r>
      <w:r w:rsidRPr="00B7665A">
        <w:rPr>
          <w:rFonts w:ascii="Book Antiqua" w:eastAsia="DengXian" w:hAnsi="Book Antiqua" w:cs="Times New Roman"/>
          <w:bCs/>
          <w:color w:val="000000"/>
          <w:kern w:val="2"/>
          <w:sz w:val="24"/>
          <w:szCs w:val="24"/>
          <w:lang w:eastAsia="ja-JP"/>
        </w:rPr>
        <w:t xml:space="preserve">Our recent study demonstrated that reduced levels of the nuclear transporter, importin α in aging endothelial cells </w:t>
      </w:r>
      <w:r w:rsidRPr="00B7665A">
        <w:rPr>
          <w:rFonts w:ascii="Book Antiqua" w:eastAsia="Calibri" w:hAnsi="Book Antiqua" w:cs="Times New Roman"/>
          <w:sz w:val="24"/>
          <w:szCs w:val="24"/>
        </w:rPr>
        <w:t>is the key mechanism for impaired angiogenesis and reduced VEGF</w:t>
      </w:r>
      <w:r w:rsidR="008E0465">
        <w:rPr>
          <w:rFonts w:ascii="Book Antiqua" w:eastAsia="Calibri" w:hAnsi="Book Antiqua" w:cs="Times New Roman"/>
          <w:noProof/>
          <w:sz w:val="24"/>
          <w:szCs w:val="24"/>
          <w:vertAlign w:val="superscript"/>
        </w:rPr>
        <w:t>[25,27,</w:t>
      </w:r>
      <w:r w:rsidRPr="00B7665A">
        <w:rPr>
          <w:rFonts w:ascii="Book Antiqua" w:eastAsia="Calibri" w:hAnsi="Book Antiqua" w:cs="Times New Roman"/>
          <w:noProof/>
          <w:sz w:val="24"/>
          <w:szCs w:val="24"/>
          <w:vertAlign w:val="superscript"/>
        </w:rPr>
        <w:t>28]</w:t>
      </w:r>
      <w:r w:rsidR="008E0465">
        <w:rPr>
          <w:rFonts w:ascii="Book Antiqua" w:eastAsia="Calibri" w:hAnsi="Book Antiqua" w:cs="Times New Roman"/>
          <w:sz w:val="24"/>
          <w:szCs w:val="24"/>
        </w:rPr>
        <w:t xml:space="preserve">. </w:t>
      </w:r>
      <w:r w:rsidRPr="00B7665A">
        <w:rPr>
          <w:rFonts w:ascii="Book Antiqua" w:eastAsia="Calibri" w:hAnsi="Book Antiqua" w:cs="Times New Roman"/>
          <w:sz w:val="24"/>
          <w:szCs w:val="24"/>
        </w:rPr>
        <w:t xml:space="preserve">We also demonstrated </w:t>
      </w:r>
      <w:r w:rsidRPr="00B7665A">
        <w:rPr>
          <w:rFonts w:ascii="Book Antiqua" w:eastAsia="Calibri" w:hAnsi="Book Antiqua" w:cs="Times New Roman"/>
          <w:sz w:val="24"/>
          <w:szCs w:val="24"/>
        </w:rPr>
        <w:lastRenderedPageBreak/>
        <w:t xml:space="preserve">that </w:t>
      </w:r>
      <w:r w:rsidRPr="00B7665A">
        <w:rPr>
          <w:rFonts w:ascii="Book Antiqua" w:eastAsia="DengXian" w:hAnsi="Book Antiqua" w:cs="Times New Roman"/>
          <w:bCs/>
          <w:color w:val="000000"/>
          <w:kern w:val="2"/>
          <w:sz w:val="24"/>
          <w:szCs w:val="24"/>
          <w:lang w:eastAsia="ja-JP"/>
        </w:rPr>
        <w:t>nerve growth factor (NGF) is critical for angiogenesis and injury healing and that reduced expression of NGF in aging gastric endothelial cells is one of the main cause of impaired angiogenesis and delayed healing in aging gastric mucosa</w:t>
      </w:r>
      <w:r w:rsidR="008E0465">
        <w:rPr>
          <w:rFonts w:ascii="Book Antiqua" w:eastAsia="DengXian" w:hAnsi="Book Antiqua" w:cs="Times New Roman"/>
          <w:bCs/>
          <w:noProof/>
          <w:color w:val="000000"/>
          <w:kern w:val="2"/>
          <w:sz w:val="24"/>
          <w:szCs w:val="24"/>
          <w:vertAlign w:val="superscript"/>
          <w:lang w:eastAsia="ja-JP"/>
        </w:rPr>
        <w:t>[26,31,</w:t>
      </w:r>
      <w:r w:rsidRPr="00B7665A">
        <w:rPr>
          <w:rFonts w:ascii="Book Antiqua" w:eastAsia="DengXian" w:hAnsi="Book Antiqua" w:cs="Times New Roman"/>
          <w:bCs/>
          <w:noProof/>
          <w:color w:val="000000"/>
          <w:kern w:val="2"/>
          <w:sz w:val="24"/>
          <w:szCs w:val="24"/>
          <w:vertAlign w:val="superscript"/>
          <w:lang w:eastAsia="ja-JP"/>
        </w:rPr>
        <w:t>32]</w:t>
      </w:r>
      <w:r w:rsidRPr="00B7665A">
        <w:rPr>
          <w:rFonts w:ascii="Book Antiqua" w:eastAsia="DengXian" w:hAnsi="Book Antiqua" w:cs="Times New Roman"/>
          <w:bCs/>
          <w:color w:val="000000"/>
          <w:kern w:val="2"/>
          <w:sz w:val="24"/>
          <w:szCs w:val="24"/>
          <w:lang w:eastAsia="ja-JP"/>
        </w:rPr>
        <w:t>. Specifically</w:t>
      </w:r>
      <w:r w:rsidR="003863B0" w:rsidRPr="00B7665A">
        <w:rPr>
          <w:rFonts w:ascii="Book Antiqua" w:eastAsia="DengXian" w:hAnsi="Book Antiqua" w:cs="Times New Roman"/>
          <w:bCs/>
          <w:color w:val="000000"/>
          <w:kern w:val="2"/>
          <w:sz w:val="24"/>
          <w:szCs w:val="24"/>
          <w:lang w:eastAsia="ja-JP"/>
        </w:rPr>
        <w:t>,</w:t>
      </w:r>
      <w:r w:rsidRPr="00B7665A">
        <w:rPr>
          <w:rFonts w:ascii="Book Antiqua" w:eastAsia="DengXian" w:hAnsi="Book Antiqua" w:cs="Times New Roman"/>
          <w:bCs/>
          <w:color w:val="000000"/>
          <w:kern w:val="2"/>
          <w:sz w:val="24"/>
          <w:szCs w:val="24"/>
          <w:lang w:eastAsia="ja-JP"/>
        </w:rPr>
        <w:t xml:space="preserve"> we found that aging gastric endothelial cells in rats and humans have dramatically ~5-fold reduced expression of NGF, and that NGF gene therapy restores </w:t>
      </w:r>
      <w:r w:rsidRPr="00064A01">
        <w:rPr>
          <w:rFonts w:ascii="Book Antiqua" w:eastAsia="DengXian" w:hAnsi="Book Antiqua" w:cs="Times New Roman"/>
          <w:bCs/>
          <w:i/>
          <w:color w:val="000000"/>
          <w:kern w:val="2"/>
          <w:sz w:val="24"/>
          <w:szCs w:val="24"/>
          <w:lang w:eastAsia="ja-JP"/>
        </w:rPr>
        <w:t>in vitro</w:t>
      </w:r>
      <w:r w:rsidRPr="00B7665A">
        <w:rPr>
          <w:rFonts w:ascii="Book Antiqua" w:eastAsia="DengXian" w:hAnsi="Book Antiqua" w:cs="Times New Roman"/>
          <w:bCs/>
          <w:color w:val="000000"/>
          <w:kern w:val="2"/>
          <w:sz w:val="24"/>
          <w:szCs w:val="24"/>
          <w:lang w:eastAsia="ja-JP"/>
        </w:rPr>
        <w:t xml:space="preserve"> angiogenesis in these aging endothelial cells</w:t>
      </w:r>
      <w:r w:rsidRPr="00B7665A">
        <w:rPr>
          <w:rFonts w:ascii="Book Antiqua" w:eastAsia="DengXian" w:hAnsi="Book Antiqua" w:cs="Times New Roman"/>
          <w:bCs/>
          <w:noProof/>
          <w:color w:val="000000"/>
          <w:kern w:val="2"/>
          <w:sz w:val="24"/>
          <w:szCs w:val="24"/>
          <w:vertAlign w:val="superscript"/>
          <w:lang w:eastAsia="ja-JP"/>
        </w:rPr>
        <w:t>[26]</w:t>
      </w:r>
      <w:r w:rsidR="008E0465" w:rsidRPr="00B7665A">
        <w:rPr>
          <w:rFonts w:ascii="Book Antiqua" w:eastAsia="DengXian" w:hAnsi="Book Antiqua" w:cs="Times New Roman"/>
          <w:bCs/>
          <w:color w:val="000000"/>
          <w:kern w:val="2"/>
          <w:sz w:val="24"/>
          <w:szCs w:val="24"/>
          <w:lang w:eastAsia="ja-JP"/>
        </w:rPr>
        <w:t>.</w:t>
      </w:r>
      <w:r w:rsidRPr="00B7665A">
        <w:rPr>
          <w:rFonts w:ascii="Book Antiqua" w:eastAsia="DengXian" w:hAnsi="Book Antiqua" w:cs="Times New Roman"/>
          <w:bCs/>
          <w:color w:val="000000"/>
          <w:kern w:val="2"/>
          <w:sz w:val="24"/>
          <w:szCs w:val="24"/>
          <w:lang w:eastAsia="ja-JP"/>
        </w:rPr>
        <w:t xml:space="preserve"> Moreover, in </w:t>
      </w:r>
      <w:r w:rsidR="003863B0" w:rsidRPr="00B7665A">
        <w:rPr>
          <w:rFonts w:ascii="Book Antiqua" w:eastAsia="DengXian" w:hAnsi="Book Antiqua" w:cs="Times New Roman"/>
          <w:bCs/>
          <w:color w:val="000000"/>
          <w:kern w:val="2"/>
          <w:sz w:val="24"/>
          <w:szCs w:val="24"/>
          <w:lang w:eastAsia="ja-JP"/>
        </w:rPr>
        <w:t xml:space="preserve">that </w:t>
      </w:r>
      <w:r w:rsidRPr="00B7665A">
        <w:rPr>
          <w:rFonts w:ascii="Book Antiqua" w:eastAsia="DengXian" w:hAnsi="Book Antiqua" w:cs="Times New Roman"/>
          <w:bCs/>
          <w:color w:val="000000"/>
          <w:kern w:val="2"/>
          <w:sz w:val="24"/>
          <w:szCs w:val="24"/>
          <w:lang w:eastAsia="ja-JP"/>
        </w:rPr>
        <w:t>study we also demonstrated that treatment of gastric ulcers in aging rats with a local injection of NGF significantly increases angiogenesis, accelerates ulcer healing and improves the quality of mucosal regeneration</w:t>
      </w:r>
      <w:r w:rsidRPr="00B7665A">
        <w:rPr>
          <w:rFonts w:ascii="Book Antiqua" w:eastAsia="DengXian" w:hAnsi="Book Antiqua" w:cs="Times New Roman"/>
          <w:bCs/>
          <w:noProof/>
          <w:color w:val="000000"/>
          <w:kern w:val="2"/>
          <w:sz w:val="24"/>
          <w:szCs w:val="24"/>
          <w:vertAlign w:val="superscript"/>
          <w:lang w:eastAsia="ja-JP"/>
        </w:rPr>
        <w:t>[26]</w:t>
      </w:r>
      <w:r w:rsidRPr="00B7665A">
        <w:rPr>
          <w:rFonts w:ascii="Book Antiqua" w:eastAsia="DengXian" w:hAnsi="Book Antiqua" w:cs="Times New Roman"/>
          <w:bCs/>
          <w:color w:val="000000"/>
          <w:kern w:val="2"/>
          <w:sz w:val="24"/>
          <w:szCs w:val="24"/>
          <w:lang w:eastAsia="ja-JP"/>
        </w:rPr>
        <w:t xml:space="preserve">. </w:t>
      </w:r>
    </w:p>
    <w:p w:rsidR="00530194" w:rsidRPr="00B7665A" w:rsidRDefault="00530194" w:rsidP="008E0465">
      <w:pPr>
        <w:widowControl w:val="0"/>
        <w:adjustRightInd w:val="0"/>
        <w:snapToGrid w:val="0"/>
        <w:spacing w:line="360" w:lineRule="auto"/>
        <w:ind w:firstLineChars="100" w:firstLine="240"/>
        <w:jc w:val="both"/>
        <w:rPr>
          <w:rFonts w:ascii="Book Antiqua" w:eastAsia="DengXian" w:hAnsi="Book Antiqua" w:cs="Times New Roman"/>
          <w:bCs/>
          <w:color w:val="000000"/>
          <w:kern w:val="2"/>
          <w:sz w:val="24"/>
          <w:szCs w:val="24"/>
          <w:lang w:eastAsia="zh-CN"/>
        </w:rPr>
      </w:pPr>
      <w:bookmarkStart w:id="42" w:name="_Hlk523051966"/>
      <w:r w:rsidRPr="00B7665A">
        <w:rPr>
          <w:rFonts w:ascii="Book Antiqua" w:hAnsi="Book Antiqua" w:cs="Times New Roman"/>
          <w:sz w:val="24"/>
          <w:szCs w:val="24"/>
        </w:rPr>
        <w:t xml:space="preserve">In </w:t>
      </w:r>
      <w:r w:rsidR="003863B0" w:rsidRPr="00B7665A">
        <w:rPr>
          <w:rFonts w:ascii="Book Antiqua" w:hAnsi="Book Antiqua" w:cs="Times New Roman"/>
          <w:sz w:val="24"/>
          <w:szCs w:val="24"/>
        </w:rPr>
        <w:t xml:space="preserve">the </w:t>
      </w:r>
      <w:r w:rsidR="00061EFB" w:rsidRPr="00B7665A">
        <w:rPr>
          <w:rFonts w:ascii="Book Antiqua" w:hAnsi="Book Antiqua" w:cs="Times New Roman"/>
          <w:sz w:val="24"/>
          <w:szCs w:val="24"/>
        </w:rPr>
        <w:t xml:space="preserve">recent </w:t>
      </w:r>
      <w:r w:rsidRPr="00B7665A">
        <w:rPr>
          <w:rFonts w:ascii="Book Antiqua" w:hAnsi="Book Antiqua" w:cs="Times New Roman"/>
          <w:sz w:val="24"/>
          <w:szCs w:val="24"/>
        </w:rPr>
        <w:t xml:space="preserve">issue of the </w:t>
      </w:r>
      <w:r w:rsidR="008E0465">
        <w:rPr>
          <w:rFonts w:ascii="Book Antiqua" w:hAnsi="Book Antiqua" w:cs="Times New Roman"/>
          <w:i/>
          <w:sz w:val="24"/>
          <w:szCs w:val="24"/>
        </w:rPr>
        <w:t xml:space="preserve">World Journal of </w:t>
      </w:r>
      <w:r w:rsidRPr="00B7665A">
        <w:rPr>
          <w:rFonts w:ascii="Book Antiqua" w:hAnsi="Book Antiqua" w:cs="Times New Roman"/>
          <w:i/>
          <w:iCs/>
          <w:sz w:val="24"/>
          <w:szCs w:val="24"/>
        </w:rPr>
        <w:t>Gastroenterology</w:t>
      </w:r>
      <w:r w:rsidR="003863B0" w:rsidRPr="00B7665A">
        <w:rPr>
          <w:rFonts w:ascii="Book Antiqua" w:hAnsi="Book Antiqua" w:cs="Times New Roman"/>
          <w:i/>
          <w:iCs/>
          <w:sz w:val="24"/>
          <w:szCs w:val="24"/>
        </w:rPr>
        <w:t xml:space="preserve"> </w:t>
      </w:r>
      <w:r w:rsidR="003863B0" w:rsidRPr="008E0465">
        <w:rPr>
          <w:rFonts w:ascii="Book Antiqua" w:hAnsi="Book Antiqua" w:cs="Times New Roman"/>
          <w:iCs/>
          <w:sz w:val="24"/>
          <w:szCs w:val="24"/>
        </w:rPr>
        <w:t xml:space="preserve">(2018; </w:t>
      </w:r>
      <w:r w:rsidR="003863B0" w:rsidRPr="008E0465">
        <w:rPr>
          <w:rFonts w:ascii="Book Antiqua" w:hAnsi="Book Antiqua" w:cs="Times New Roman"/>
          <w:b/>
          <w:iCs/>
          <w:sz w:val="24"/>
          <w:szCs w:val="24"/>
        </w:rPr>
        <w:t>24</w:t>
      </w:r>
      <w:r w:rsidR="003863B0" w:rsidRPr="008E0465">
        <w:rPr>
          <w:rFonts w:ascii="Book Antiqua" w:hAnsi="Book Antiqua" w:cs="Times New Roman"/>
          <w:iCs/>
          <w:sz w:val="24"/>
          <w:szCs w:val="24"/>
        </w:rPr>
        <w:t>(34): 3908-3918</w:t>
      </w:r>
      <w:r w:rsidR="00DC7ED0" w:rsidRPr="008E0465">
        <w:rPr>
          <w:rFonts w:ascii="Book Antiqua" w:hAnsi="Book Antiqua" w:cs="Times New Roman"/>
          <w:iCs/>
          <w:sz w:val="24"/>
          <w:szCs w:val="24"/>
        </w:rPr>
        <w:t>)</w:t>
      </w:r>
      <w:r w:rsidRPr="008E0465">
        <w:rPr>
          <w:rFonts w:ascii="Book Antiqua" w:hAnsi="Book Antiqua" w:cs="Times New Roman"/>
          <w:iCs/>
          <w:sz w:val="24"/>
          <w:szCs w:val="24"/>
        </w:rPr>
        <w:t>,</w:t>
      </w:r>
      <w:r w:rsidRPr="00B7665A">
        <w:rPr>
          <w:rFonts w:ascii="Book Antiqua" w:eastAsia="MS PGothic" w:hAnsi="Book Antiqua" w:cs="Times New Roman"/>
          <w:color w:val="000000"/>
          <w:sz w:val="24"/>
          <w:szCs w:val="24"/>
          <w:lang w:eastAsia="ja-JP"/>
        </w:rPr>
        <w:t xml:space="preserve"> </w:t>
      </w:r>
      <w:bookmarkStart w:id="43" w:name="_Hlk521271258"/>
      <w:r w:rsidRPr="00B7665A">
        <w:rPr>
          <w:rFonts w:ascii="Book Antiqua" w:hAnsi="Book Antiqua" w:cs="Times New Roman"/>
          <w:iCs/>
          <w:sz w:val="24"/>
          <w:szCs w:val="24"/>
        </w:rPr>
        <w:t>Fukushi</w:t>
      </w:r>
      <w:r w:rsidR="005923AE">
        <w:rPr>
          <w:rFonts w:ascii="Book Antiqua" w:hAnsi="Book Antiqua" w:cs="Times New Roman" w:hint="eastAsia"/>
          <w:iCs/>
          <w:sz w:val="24"/>
          <w:szCs w:val="24"/>
          <w:lang w:eastAsia="zh-CN"/>
        </w:rPr>
        <w:t xml:space="preserve"> </w:t>
      </w:r>
      <w:r w:rsidRPr="008E0465">
        <w:rPr>
          <w:rFonts w:ascii="Book Antiqua" w:hAnsi="Book Antiqua" w:cs="Times New Roman"/>
          <w:i/>
          <w:iCs/>
          <w:sz w:val="24"/>
          <w:szCs w:val="24"/>
        </w:rPr>
        <w:t>et al</w:t>
      </w:r>
      <w:r w:rsidR="008E0465" w:rsidRPr="008E0465">
        <w:rPr>
          <w:rFonts w:ascii="Book Antiqua" w:hAnsi="Book Antiqua" w:cs="Times New Roman" w:hint="eastAsia"/>
          <w:iCs/>
          <w:sz w:val="24"/>
          <w:szCs w:val="24"/>
          <w:vertAlign w:val="superscript"/>
          <w:lang w:eastAsia="zh-CN"/>
        </w:rPr>
        <w:t>[33]</w:t>
      </w:r>
      <w:r w:rsidRPr="00B7665A">
        <w:rPr>
          <w:rFonts w:ascii="Book Antiqua" w:hAnsi="Book Antiqua" w:cs="Times New Roman"/>
          <w:iCs/>
          <w:sz w:val="24"/>
          <w:szCs w:val="24"/>
        </w:rPr>
        <w:t>.</w:t>
      </w:r>
      <w:r w:rsidRPr="00B7665A">
        <w:rPr>
          <w:rFonts w:ascii="Book Antiqua" w:hAnsi="Book Antiqua" w:cs="Times New Roman"/>
          <w:i/>
          <w:iCs/>
          <w:sz w:val="24"/>
          <w:szCs w:val="24"/>
        </w:rPr>
        <w:t xml:space="preserve"> </w:t>
      </w:r>
      <w:r w:rsidRPr="00B7665A">
        <w:rPr>
          <w:rFonts w:ascii="Book Antiqua" w:hAnsi="Book Antiqua" w:cs="Times New Roman"/>
          <w:iCs/>
          <w:sz w:val="24"/>
          <w:szCs w:val="24"/>
        </w:rPr>
        <w:t>published the interesting paper</w:t>
      </w:r>
      <w:r w:rsidRPr="008E0465">
        <w:rPr>
          <w:rFonts w:ascii="Book Antiqua" w:hAnsi="Book Antiqua" w:cs="Times New Roman"/>
          <w:iCs/>
          <w:sz w:val="24"/>
          <w:szCs w:val="24"/>
        </w:rPr>
        <w:t>:</w:t>
      </w:r>
      <w:r w:rsidRPr="008E0465">
        <w:rPr>
          <w:rFonts w:ascii="Book Antiqua" w:hAnsi="Book Antiqua" w:cs="Times New Roman"/>
          <w:i/>
          <w:iCs/>
          <w:sz w:val="24"/>
          <w:szCs w:val="24"/>
        </w:rPr>
        <w:t xml:space="preserve"> </w:t>
      </w:r>
      <w:r w:rsidRPr="008E0465">
        <w:rPr>
          <w:rFonts w:ascii="Book Antiqua" w:eastAsia="Meiryo UI" w:hAnsi="Book Antiqua" w:cs="Times New Roman"/>
          <w:bCs/>
          <w:color w:val="000000"/>
          <w:kern w:val="2"/>
          <w:sz w:val="24"/>
          <w:szCs w:val="24"/>
          <w:lang w:eastAsia="ja-JP"/>
        </w:rPr>
        <w:t xml:space="preserve">Gastroduodenal ulcer bleeding in elderly patients on </w:t>
      </w:r>
      <w:bookmarkStart w:id="44" w:name="_Hlk521176791"/>
      <w:r w:rsidRPr="008E0465">
        <w:rPr>
          <w:rFonts w:ascii="Book Antiqua" w:eastAsia="Meiryo UI" w:hAnsi="Book Antiqua" w:cs="Times New Roman"/>
          <w:bCs/>
          <w:color w:val="000000"/>
          <w:kern w:val="2"/>
          <w:sz w:val="24"/>
          <w:szCs w:val="24"/>
          <w:lang w:eastAsia="ja-JP"/>
        </w:rPr>
        <w:t>low dose aspirin therapy</w:t>
      </w:r>
      <w:bookmarkEnd w:id="44"/>
      <w:r w:rsidRPr="008E0465">
        <w:rPr>
          <w:rFonts w:ascii="Book Antiqua" w:eastAsia="Meiryo UI" w:hAnsi="Book Antiqua" w:cs="Times New Roman"/>
          <w:bCs/>
          <w:color w:val="000000"/>
          <w:kern w:val="2"/>
          <w:sz w:val="24"/>
          <w:szCs w:val="24"/>
          <w:lang w:eastAsia="ja-JP"/>
        </w:rPr>
        <w:t xml:space="preserve">. </w:t>
      </w:r>
      <w:bookmarkEnd w:id="43"/>
      <w:r w:rsidR="003863B0" w:rsidRPr="008E0465">
        <w:rPr>
          <w:rFonts w:ascii="Book Antiqua" w:eastAsia="Meiryo UI" w:hAnsi="Book Antiqua" w:cs="Times New Roman"/>
          <w:bCs/>
          <w:color w:val="000000"/>
          <w:kern w:val="2"/>
          <w:sz w:val="24"/>
          <w:szCs w:val="24"/>
          <w:lang w:eastAsia="ja-JP"/>
        </w:rPr>
        <w:t xml:space="preserve">That </w:t>
      </w:r>
      <w:r w:rsidRPr="008E0465">
        <w:rPr>
          <w:rFonts w:ascii="Book Antiqua" w:eastAsia="Meiryo UI" w:hAnsi="Book Antiqua" w:cs="Times New Roman"/>
          <w:bCs/>
          <w:iCs/>
          <w:color w:val="000000"/>
          <w:kern w:val="2"/>
          <w:sz w:val="24"/>
          <w:szCs w:val="24"/>
          <w:lang w:eastAsia="ja-JP"/>
        </w:rPr>
        <w:t xml:space="preserve">study addresses an important issue - </w:t>
      </w:r>
      <w:bookmarkStart w:id="45" w:name="_GoBack"/>
      <w:bookmarkEnd w:id="45"/>
      <w:r w:rsidRPr="008E0465">
        <w:rPr>
          <w:rFonts w:ascii="Book Antiqua" w:eastAsia="Meiryo UI" w:hAnsi="Book Antiqua" w:cs="Times New Roman"/>
          <w:bCs/>
          <w:iCs/>
          <w:color w:val="000000"/>
          <w:kern w:val="2"/>
          <w:sz w:val="24"/>
          <w:szCs w:val="24"/>
          <w:lang w:eastAsia="ja-JP"/>
        </w:rPr>
        <w:t>aging gastric mucosa and its ulceration and bleedin</w:t>
      </w:r>
      <w:r w:rsidRPr="00B7665A">
        <w:rPr>
          <w:rFonts w:ascii="Book Antiqua" w:eastAsia="Meiryo UI" w:hAnsi="Book Antiqua" w:cs="Times New Roman"/>
          <w:bCs/>
          <w:iCs/>
          <w:color w:val="000000"/>
          <w:kern w:val="2"/>
          <w:sz w:val="24"/>
          <w:szCs w:val="24"/>
          <w:lang w:eastAsia="ja-JP"/>
        </w:rPr>
        <w:t xml:space="preserve">g induced by antiplatelet therapy with LDA alone or in combination with other anticoagulants. In that retrospective study, </w:t>
      </w:r>
      <w:r w:rsidRPr="00B7665A">
        <w:rPr>
          <w:rFonts w:ascii="Book Antiqua" w:eastAsia="DengXian" w:hAnsi="Book Antiqua" w:cs="Times New Roman"/>
          <w:color w:val="000000"/>
          <w:kern w:val="2"/>
          <w:sz w:val="24"/>
          <w:szCs w:val="24"/>
          <w:lang w:eastAsia="ja-JP"/>
        </w:rPr>
        <w:t>1105 patients with bleeding gastroduodenal ul</w:t>
      </w:r>
      <w:r w:rsidR="008E0465">
        <w:rPr>
          <w:rFonts w:ascii="Book Antiqua" w:eastAsia="DengXian" w:hAnsi="Book Antiqua" w:cs="Times New Roman"/>
          <w:color w:val="000000"/>
          <w:kern w:val="2"/>
          <w:sz w:val="24"/>
          <w:szCs w:val="24"/>
          <w:lang w:eastAsia="ja-JP"/>
        </w:rPr>
        <w:t>cers (GDU) treated between 2000-</w:t>
      </w:r>
      <w:r w:rsidRPr="00B7665A">
        <w:rPr>
          <w:rFonts w:ascii="Book Antiqua" w:eastAsia="DengXian" w:hAnsi="Book Antiqua" w:cs="Times New Roman"/>
          <w:color w:val="000000"/>
          <w:kern w:val="2"/>
          <w:sz w:val="24"/>
          <w:szCs w:val="24"/>
          <w:lang w:eastAsia="ja-JP"/>
        </w:rPr>
        <w:t xml:space="preserve">2016 were analyzed for age and medications used, length of hospital stay, hemoglobin decrease, blood transfusion, and presence of underlying disease. </w:t>
      </w:r>
      <w:bookmarkStart w:id="46" w:name="OLE_LINK55"/>
      <w:bookmarkStart w:id="47" w:name="OLE_LINK56"/>
      <w:r w:rsidRPr="00B7665A">
        <w:rPr>
          <w:rFonts w:ascii="Book Antiqua" w:eastAsia="DengXian" w:hAnsi="Book Antiqua" w:cs="Times New Roman"/>
          <w:color w:val="000000"/>
          <w:kern w:val="2"/>
          <w:sz w:val="24"/>
          <w:szCs w:val="24"/>
          <w:lang w:eastAsia="ja-JP"/>
        </w:rPr>
        <w:t>In the elderly patients (</w:t>
      </w:r>
      <w:r w:rsidRPr="00B7665A">
        <w:rPr>
          <w:rFonts w:ascii="Book Antiqua" w:eastAsia="DengXian" w:hAnsi="Book Antiqua" w:cs="Times New Roman"/>
          <w:bCs/>
          <w:color w:val="000000"/>
          <w:kern w:val="2"/>
          <w:sz w:val="24"/>
          <w:szCs w:val="24"/>
          <w:lang w:eastAsia="ja-JP"/>
        </w:rPr>
        <w:t>≥</w:t>
      </w:r>
      <w:r w:rsidR="008E0465">
        <w:rPr>
          <w:rFonts w:ascii="Book Antiqua" w:eastAsia="DengXian" w:hAnsi="Book Antiqua" w:cs="Times New Roman" w:hint="eastAsia"/>
          <w:bCs/>
          <w:color w:val="000000"/>
          <w:kern w:val="2"/>
          <w:sz w:val="24"/>
          <w:szCs w:val="24"/>
          <w:lang w:eastAsia="zh-CN"/>
        </w:rPr>
        <w:t xml:space="preserve"> </w:t>
      </w:r>
      <w:r w:rsidRPr="00B7665A">
        <w:rPr>
          <w:rFonts w:ascii="Book Antiqua" w:eastAsia="DengXian" w:hAnsi="Book Antiqua" w:cs="Times New Roman"/>
          <w:color w:val="000000"/>
          <w:kern w:val="2"/>
          <w:sz w:val="24"/>
          <w:szCs w:val="24"/>
          <w:lang w:eastAsia="ja-JP"/>
        </w:rPr>
        <w:t xml:space="preserve">70 years of age), GDU bleeding and its severity and impact were significantly higher in patients receiving LDA combination therapies with either: </w:t>
      </w:r>
      <w:r w:rsidR="008E0465" w:rsidRPr="00B7665A">
        <w:rPr>
          <w:rFonts w:ascii="Book Antiqua" w:eastAsia="DengXian" w:hAnsi="Book Antiqua" w:cs="Arial"/>
          <w:color w:val="000000"/>
          <w:kern w:val="2"/>
          <w:sz w:val="24"/>
          <w:szCs w:val="24"/>
          <w:lang w:eastAsia="ja-JP"/>
        </w:rPr>
        <w:t xml:space="preserve">Other </w:t>
      </w:r>
      <w:r w:rsidRPr="00B7665A">
        <w:rPr>
          <w:rFonts w:ascii="Book Antiqua" w:eastAsia="DengXian" w:hAnsi="Book Antiqua" w:cs="Arial"/>
          <w:color w:val="000000"/>
          <w:kern w:val="2"/>
          <w:sz w:val="24"/>
          <w:szCs w:val="24"/>
          <w:lang w:eastAsia="ja-JP"/>
        </w:rPr>
        <w:t>antiplatelet drugs (</w:t>
      </w:r>
      <w:r w:rsidRPr="008E0465">
        <w:rPr>
          <w:rFonts w:ascii="Book Antiqua" w:eastAsia="DengXian" w:hAnsi="Book Antiqua" w:cs="Arial"/>
          <w:i/>
          <w:color w:val="000000"/>
          <w:kern w:val="2"/>
          <w:sz w:val="24"/>
          <w:szCs w:val="24"/>
          <w:lang w:eastAsia="ja-JP"/>
        </w:rPr>
        <w:t>e.g.</w:t>
      </w:r>
      <w:r w:rsidR="008E0465">
        <w:rPr>
          <w:rFonts w:ascii="Book Antiqua" w:eastAsia="DengXian" w:hAnsi="Book Antiqua" w:cs="Arial" w:hint="eastAsia"/>
          <w:color w:val="000000"/>
          <w:kern w:val="2"/>
          <w:sz w:val="24"/>
          <w:szCs w:val="24"/>
          <w:lang w:eastAsia="zh-CN"/>
        </w:rPr>
        <w:t>,</w:t>
      </w:r>
      <w:r w:rsidRPr="00B7665A">
        <w:rPr>
          <w:rFonts w:ascii="Book Antiqua" w:eastAsia="DengXian" w:hAnsi="Book Antiqua" w:cs="Arial"/>
          <w:color w:val="000000"/>
          <w:kern w:val="2"/>
          <w:sz w:val="24"/>
          <w:szCs w:val="24"/>
          <w:lang w:eastAsia="ja-JP"/>
        </w:rPr>
        <w:t xml:space="preserve"> clopidogrel, ticlopidine, or prasugrel), and/or anticoagulation drugs </w:t>
      </w:r>
      <w:r w:rsidRPr="00B7665A">
        <w:rPr>
          <w:rFonts w:ascii="Book Antiqua" w:eastAsia="DengXian" w:hAnsi="Book Antiqua" w:cs="Times New Roman"/>
          <w:color w:val="000000"/>
          <w:kern w:val="2"/>
          <w:sz w:val="24"/>
          <w:szCs w:val="24"/>
          <w:lang w:eastAsia="ja-JP"/>
        </w:rPr>
        <w:t>than in patients receiving LDA monotherapy. In the latter group, the authors did not find significant differences in the length of hospital stay nor the percentage of severe conditions between elderly and non-elderly patients except increased transfusion requirement in the former group.</w:t>
      </w:r>
      <w:r w:rsidR="0010276F">
        <w:rPr>
          <w:rFonts w:ascii="Book Antiqua" w:eastAsia="DengXian" w:hAnsi="Book Antiqua" w:cs="Times New Roman"/>
          <w:color w:val="000000"/>
          <w:kern w:val="2"/>
          <w:sz w:val="24"/>
          <w:szCs w:val="24"/>
          <w:lang w:eastAsia="ja-JP"/>
        </w:rPr>
        <w:t xml:space="preserve"> </w:t>
      </w:r>
      <w:r w:rsidRPr="00B7665A">
        <w:rPr>
          <w:rFonts w:ascii="Book Antiqua" w:eastAsia="DengXian" w:hAnsi="Book Antiqua" w:cs="Times New Roman"/>
          <w:color w:val="000000"/>
          <w:kern w:val="2"/>
          <w:sz w:val="24"/>
          <w:szCs w:val="24"/>
          <w:lang w:eastAsia="ja-JP"/>
        </w:rPr>
        <w:t xml:space="preserve">This conclusion is in a stark contrast to a recent study from </w:t>
      </w:r>
      <w:bookmarkStart w:id="48" w:name="_Hlk523047882"/>
      <w:r w:rsidRPr="00B7665A">
        <w:rPr>
          <w:rFonts w:ascii="Book Antiqua" w:eastAsia="DengXian" w:hAnsi="Book Antiqua" w:cs="Times New Roman"/>
          <w:color w:val="000000"/>
          <w:kern w:val="2"/>
          <w:sz w:val="24"/>
          <w:szCs w:val="24"/>
          <w:lang w:eastAsia="ja-JP"/>
        </w:rPr>
        <w:t>the Oxford University</w:t>
      </w:r>
      <w:bookmarkEnd w:id="48"/>
      <w:r w:rsidRPr="00B7665A">
        <w:rPr>
          <w:rFonts w:ascii="Book Antiqua" w:eastAsia="DengXian" w:hAnsi="Book Antiqua" w:cs="Times New Roman"/>
          <w:color w:val="000000"/>
          <w:kern w:val="2"/>
          <w:sz w:val="24"/>
          <w:szCs w:val="24"/>
          <w:lang w:eastAsia="ja-JP"/>
        </w:rPr>
        <w:t>, which demonstrated i</w:t>
      </w:r>
      <w:r w:rsidRPr="00B7665A">
        <w:rPr>
          <w:rFonts w:ascii="Book Antiqua" w:eastAsia="DengXian" w:hAnsi="Book Antiqua" w:cs="Times New Roman"/>
          <w:bCs/>
          <w:color w:val="000000"/>
          <w:kern w:val="2"/>
          <w:sz w:val="24"/>
          <w:szCs w:val="24"/>
          <w:lang w:eastAsia="ja-JP"/>
        </w:rPr>
        <w:t>n a prospective population-based study that included 3166 patients (~50% aged ≥</w:t>
      </w:r>
      <w:r w:rsidR="008E0465">
        <w:rPr>
          <w:rFonts w:ascii="Book Antiqua" w:eastAsia="DengXian" w:hAnsi="Book Antiqua" w:cs="Times New Roman" w:hint="eastAsia"/>
          <w:bCs/>
          <w:color w:val="000000"/>
          <w:kern w:val="2"/>
          <w:sz w:val="24"/>
          <w:szCs w:val="24"/>
          <w:lang w:eastAsia="zh-CN"/>
        </w:rPr>
        <w:t xml:space="preserve"> </w:t>
      </w:r>
      <w:r w:rsidRPr="00B7665A">
        <w:rPr>
          <w:rFonts w:ascii="Book Antiqua" w:eastAsia="DengXian" w:hAnsi="Book Antiqua" w:cs="Times New Roman"/>
          <w:bCs/>
          <w:color w:val="000000"/>
          <w:kern w:val="2"/>
          <w:sz w:val="24"/>
          <w:szCs w:val="24"/>
          <w:lang w:eastAsia="ja-JP"/>
        </w:rPr>
        <w:t>75 years) that the long-term risks and severity of bleeding in patients receiving LDA long term treatment for secondary CVE prevention was increased dramatically with age (</w:t>
      </w:r>
      <w:bookmarkStart w:id="49" w:name="_Hlk522972022"/>
      <w:r w:rsidRPr="00B7665A">
        <w:rPr>
          <w:rFonts w:ascii="Book Antiqua" w:eastAsia="DengXian" w:hAnsi="Book Antiqua" w:cs="Times New Roman"/>
          <w:bCs/>
          <w:color w:val="000000"/>
          <w:kern w:val="2"/>
          <w:sz w:val="24"/>
          <w:szCs w:val="24"/>
          <w:lang w:eastAsia="ja-JP"/>
        </w:rPr>
        <w:t>≥</w:t>
      </w:r>
      <w:bookmarkEnd w:id="49"/>
      <w:r w:rsidR="008E0465">
        <w:rPr>
          <w:rFonts w:ascii="Book Antiqua" w:eastAsia="DengXian" w:hAnsi="Book Antiqua" w:cs="Times New Roman" w:hint="eastAsia"/>
          <w:bCs/>
          <w:color w:val="000000"/>
          <w:kern w:val="2"/>
          <w:sz w:val="24"/>
          <w:szCs w:val="24"/>
          <w:lang w:eastAsia="zh-CN"/>
        </w:rPr>
        <w:t xml:space="preserve"> </w:t>
      </w:r>
      <w:r w:rsidR="008E0465">
        <w:rPr>
          <w:rFonts w:ascii="Book Antiqua" w:eastAsia="DengXian" w:hAnsi="Book Antiqua" w:cs="Times New Roman"/>
          <w:bCs/>
          <w:color w:val="000000"/>
          <w:kern w:val="2"/>
          <w:sz w:val="24"/>
          <w:szCs w:val="24"/>
          <w:lang w:eastAsia="ja-JP"/>
        </w:rPr>
        <w:t>75 years hazard ratio 3.10, 95%</w:t>
      </w:r>
      <w:r w:rsidRPr="00B7665A">
        <w:rPr>
          <w:rFonts w:ascii="Book Antiqua" w:eastAsia="DengXian" w:hAnsi="Book Antiqua" w:cs="Times New Roman"/>
          <w:bCs/>
          <w:color w:val="000000"/>
          <w:kern w:val="2"/>
          <w:sz w:val="24"/>
          <w:szCs w:val="24"/>
          <w:lang w:eastAsia="ja-JP"/>
        </w:rPr>
        <w:t>CI 2.27</w:t>
      </w:r>
      <w:r w:rsidR="008E0465">
        <w:rPr>
          <w:rFonts w:ascii="Book Antiqua" w:eastAsia="DengXian" w:hAnsi="Book Antiqua" w:cs="Times New Roman" w:hint="eastAsia"/>
          <w:bCs/>
          <w:color w:val="000000"/>
          <w:kern w:val="2"/>
          <w:sz w:val="24"/>
          <w:szCs w:val="24"/>
          <w:lang w:eastAsia="zh-CN"/>
        </w:rPr>
        <w:t>-</w:t>
      </w:r>
      <w:r w:rsidRPr="00B7665A">
        <w:rPr>
          <w:rFonts w:ascii="Book Antiqua" w:eastAsia="DengXian" w:hAnsi="Book Antiqua" w:cs="Times New Roman"/>
          <w:bCs/>
          <w:color w:val="000000"/>
          <w:kern w:val="2"/>
          <w:sz w:val="24"/>
          <w:szCs w:val="24"/>
          <w:lang w:eastAsia="ja-JP"/>
        </w:rPr>
        <w:t xml:space="preserve">4.24; </w:t>
      </w:r>
      <w:r w:rsidR="008E0465" w:rsidRPr="008E0465">
        <w:rPr>
          <w:rFonts w:ascii="Book Antiqua" w:eastAsia="DengXian" w:hAnsi="Book Antiqua" w:cs="Times New Roman"/>
          <w:bCs/>
          <w:i/>
          <w:color w:val="000000"/>
          <w:kern w:val="2"/>
          <w:sz w:val="24"/>
          <w:szCs w:val="24"/>
          <w:lang w:eastAsia="ja-JP"/>
        </w:rPr>
        <w:t>P</w:t>
      </w:r>
      <w:r w:rsidR="008E0465">
        <w:rPr>
          <w:rFonts w:ascii="Book Antiqua" w:eastAsia="DengXian" w:hAnsi="Book Antiqua" w:cs="Times New Roman" w:hint="eastAsia"/>
          <w:bCs/>
          <w:color w:val="000000"/>
          <w:kern w:val="2"/>
          <w:sz w:val="24"/>
          <w:szCs w:val="24"/>
          <w:lang w:eastAsia="zh-CN"/>
        </w:rPr>
        <w:t xml:space="preserve"> </w:t>
      </w:r>
      <w:r w:rsidRPr="00B7665A">
        <w:rPr>
          <w:rFonts w:ascii="Book Antiqua" w:eastAsia="DengXian" w:hAnsi="Book Antiqua" w:cs="Times New Roman"/>
          <w:bCs/>
          <w:color w:val="000000"/>
          <w:kern w:val="2"/>
          <w:sz w:val="24"/>
          <w:szCs w:val="24"/>
          <w:lang w:eastAsia="ja-JP"/>
        </w:rPr>
        <w:t>&lt;</w:t>
      </w:r>
      <w:r w:rsidR="008E0465">
        <w:rPr>
          <w:rFonts w:ascii="Book Antiqua" w:eastAsia="DengXian" w:hAnsi="Book Antiqua" w:cs="Times New Roman" w:hint="eastAsia"/>
          <w:bCs/>
          <w:color w:val="000000"/>
          <w:kern w:val="2"/>
          <w:sz w:val="24"/>
          <w:szCs w:val="24"/>
          <w:lang w:eastAsia="zh-CN"/>
        </w:rPr>
        <w:t xml:space="preserve"> </w:t>
      </w:r>
      <w:r w:rsidRPr="00B7665A">
        <w:rPr>
          <w:rFonts w:ascii="Book Antiqua" w:eastAsia="DengXian" w:hAnsi="Book Antiqua" w:cs="Times New Roman"/>
          <w:bCs/>
          <w:color w:val="000000"/>
          <w:kern w:val="2"/>
          <w:sz w:val="24"/>
          <w:szCs w:val="24"/>
          <w:lang w:eastAsia="ja-JP"/>
        </w:rPr>
        <w:t>0.0001)</w:t>
      </w:r>
      <w:r w:rsidRPr="00B7665A">
        <w:rPr>
          <w:rFonts w:ascii="Book Antiqua" w:eastAsia="DengXian" w:hAnsi="Book Antiqua" w:cs="Times New Roman"/>
          <w:bCs/>
          <w:noProof/>
          <w:color w:val="000000"/>
          <w:kern w:val="2"/>
          <w:sz w:val="24"/>
          <w:szCs w:val="24"/>
          <w:vertAlign w:val="superscript"/>
          <w:lang w:eastAsia="ja-JP"/>
        </w:rPr>
        <w:t>[34]</w:t>
      </w:r>
      <w:r w:rsidRPr="00B7665A">
        <w:rPr>
          <w:rFonts w:ascii="Book Antiqua" w:eastAsia="DengXian" w:hAnsi="Book Antiqua" w:cs="Times New Roman"/>
          <w:bCs/>
          <w:color w:val="000000"/>
          <w:kern w:val="2"/>
          <w:sz w:val="24"/>
          <w:szCs w:val="24"/>
          <w:lang w:eastAsia="ja-JP"/>
        </w:rPr>
        <w:t xml:space="preserve">. The risks of major bleeding in patients older than 75 years were </w:t>
      </w:r>
      <w:r w:rsidRPr="00B7665A">
        <w:rPr>
          <w:rFonts w:ascii="Book Antiqua" w:eastAsia="DengXian" w:hAnsi="Book Antiqua" w:cs="Times New Roman"/>
          <w:bCs/>
          <w:color w:val="000000"/>
          <w:kern w:val="2"/>
          <w:sz w:val="24"/>
          <w:szCs w:val="24"/>
          <w:lang w:eastAsia="ja-JP"/>
        </w:rPr>
        <w:lastRenderedPageBreak/>
        <w:t xml:space="preserve">higher and more sustained </w:t>
      </w:r>
      <w:r w:rsidR="008E0465">
        <w:rPr>
          <w:rFonts w:ascii="Book Antiqua" w:eastAsia="DengXian" w:hAnsi="Book Antiqua" w:cs="Times New Roman"/>
          <w:bCs/>
          <w:color w:val="000000"/>
          <w:kern w:val="2"/>
          <w:sz w:val="24"/>
          <w:szCs w:val="24"/>
          <w:lang w:eastAsia="ja-JP"/>
        </w:rPr>
        <w:t xml:space="preserve">than those in younger patients </w:t>
      </w:r>
      <w:r w:rsidRPr="00B7665A">
        <w:rPr>
          <w:rFonts w:ascii="Book Antiqua" w:eastAsia="DengXian" w:hAnsi="Book Antiqua" w:cs="Times New Roman"/>
          <w:bCs/>
          <w:color w:val="000000"/>
          <w:kern w:val="2"/>
          <w:sz w:val="24"/>
          <w:szCs w:val="24"/>
          <w:lang w:eastAsia="ja-JP"/>
        </w:rPr>
        <w:t>(hazard ratio 4.13, 2.60</w:t>
      </w:r>
      <w:r w:rsidR="008E0465">
        <w:rPr>
          <w:rFonts w:ascii="Book Antiqua" w:eastAsia="DengXian" w:hAnsi="Book Antiqua" w:cs="Times New Roman" w:hint="eastAsia"/>
          <w:bCs/>
          <w:color w:val="000000"/>
          <w:kern w:val="2"/>
          <w:sz w:val="24"/>
          <w:szCs w:val="24"/>
          <w:lang w:eastAsia="zh-CN"/>
        </w:rPr>
        <w:t>-</w:t>
      </w:r>
      <w:r w:rsidRPr="00B7665A">
        <w:rPr>
          <w:rFonts w:ascii="Book Antiqua" w:eastAsia="DengXian" w:hAnsi="Book Antiqua" w:cs="Times New Roman"/>
          <w:bCs/>
          <w:color w:val="000000"/>
          <w:kern w:val="2"/>
          <w:sz w:val="24"/>
          <w:szCs w:val="24"/>
          <w:lang w:eastAsia="ja-JP"/>
        </w:rPr>
        <w:t xml:space="preserve">6.57; </w:t>
      </w:r>
      <w:r w:rsidR="008E0465" w:rsidRPr="008E0465">
        <w:rPr>
          <w:rFonts w:ascii="Book Antiqua" w:eastAsia="DengXian" w:hAnsi="Book Antiqua" w:cs="Times New Roman"/>
          <w:bCs/>
          <w:i/>
          <w:color w:val="000000"/>
          <w:kern w:val="2"/>
          <w:sz w:val="24"/>
          <w:szCs w:val="24"/>
          <w:lang w:eastAsia="ja-JP"/>
        </w:rPr>
        <w:t>P</w:t>
      </w:r>
      <w:r w:rsidR="008E0465">
        <w:rPr>
          <w:rFonts w:ascii="Book Antiqua" w:eastAsia="DengXian" w:hAnsi="Book Antiqua" w:cs="Times New Roman" w:hint="eastAsia"/>
          <w:bCs/>
          <w:color w:val="000000"/>
          <w:kern w:val="2"/>
          <w:sz w:val="24"/>
          <w:szCs w:val="24"/>
          <w:lang w:eastAsia="zh-CN"/>
        </w:rPr>
        <w:t xml:space="preserve"> </w:t>
      </w:r>
      <w:r w:rsidRPr="00B7665A">
        <w:rPr>
          <w:rFonts w:ascii="Book Antiqua" w:eastAsia="DengXian" w:hAnsi="Book Antiqua" w:cs="Times New Roman"/>
          <w:bCs/>
          <w:color w:val="000000"/>
          <w:kern w:val="2"/>
          <w:sz w:val="24"/>
          <w:szCs w:val="24"/>
          <w:lang w:eastAsia="ja-JP"/>
        </w:rPr>
        <w:t>&lt;</w:t>
      </w:r>
      <w:r w:rsidR="008E0465">
        <w:rPr>
          <w:rFonts w:ascii="Book Antiqua" w:eastAsia="DengXian" w:hAnsi="Book Antiqua" w:cs="Times New Roman" w:hint="eastAsia"/>
          <w:bCs/>
          <w:color w:val="000000"/>
          <w:kern w:val="2"/>
          <w:sz w:val="24"/>
          <w:szCs w:val="24"/>
          <w:lang w:eastAsia="zh-CN"/>
        </w:rPr>
        <w:t xml:space="preserve"> </w:t>
      </w:r>
      <w:r w:rsidRPr="00B7665A">
        <w:rPr>
          <w:rFonts w:ascii="Book Antiqua" w:eastAsia="DengXian" w:hAnsi="Book Antiqua" w:cs="Times New Roman"/>
          <w:bCs/>
          <w:color w:val="000000"/>
          <w:kern w:val="2"/>
          <w:sz w:val="24"/>
          <w:szCs w:val="24"/>
          <w:lang w:eastAsia="ja-JP"/>
        </w:rPr>
        <w:t>0.0001) and the risk of disabling or fatal GDU bleeding was also increased (hazard ratio 10.26,</w:t>
      </w:r>
      <w:r w:rsidR="008E0465">
        <w:rPr>
          <w:rFonts w:ascii="Book Antiqua" w:eastAsia="DengXian" w:hAnsi="Book Antiqua" w:cs="Times New Roman" w:hint="eastAsia"/>
          <w:bCs/>
          <w:color w:val="000000"/>
          <w:kern w:val="2"/>
          <w:sz w:val="24"/>
          <w:szCs w:val="24"/>
          <w:lang w:eastAsia="zh-CN"/>
        </w:rPr>
        <w:t xml:space="preserve"> </w:t>
      </w:r>
      <w:r w:rsidRPr="00B7665A">
        <w:rPr>
          <w:rFonts w:ascii="Book Antiqua" w:eastAsia="DengXian" w:hAnsi="Book Antiqua" w:cs="Times New Roman"/>
          <w:bCs/>
          <w:color w:val="000000"/>
          <w:kern w:val="2"/>
          <w:sz w:val="24"/>
          <w:szCs w:val="24"/>
          <w:lang w:eastAsia="ja-JP"/>
        </w:rPr>
        <w:t>4.37</w:t>
      </w:r>
      <w:r w:rsidR="008E0465">
        <w:rPr>
          <w:rFonts w:ascii="Book Antiqua" w:eastAsia="DengXian" w:hAnsi="Book Antiqua" w:cs="Times New Roman" w:hint="eastAsia"/>
          <w:bCs/>
          <w:color w:val="000000"/>
          <w:kern w:val="2"/>
          <w:sz w:val="24"/>
          <w:szCs w:val="24"/>
          <w:lang w:eastAsia="zh-CN"/>
        </w:rPr>
        <w:t>-</w:t>
      </w:r>
      <w:r w:rsidRPr="00B7665A">
        <w:rPr>
          <w:rFonts w:ascii="Book Antiqua" w:eastAsia="DengXian" w:hAnsi="Book Antiqua" w:cs="Times New Roman"/>
          <w:bCs/>
          <w:color w:val="000000"/>
          <w:kern w:val="2"/>
          <w:sz w:val="24"/>
          <w:szCs w:val="24"/>
          <w:lang w:eastAsia="ja-JP"/>
        </w:rPr>
        <w:t xml:space="preserve">24.13; </w:t>
      </w:r>
      <w:r w:rsidR="008E0465" w:rsidRPr="008E0465">
        <w:rPr>
          <w:rFonts w:ascii="Book Antiqua" w:eastAsia="DengXian" w:hAnsi="Book Antiqua" w:cs="Times New Roman"/>
          <w:bCs/>
          <w:i/>
          <w:color w:val="000000"/>
          <w:kern w:val="2"/>
          <w:sz w:val="24"/>
          <w:szCs w:val="24"/>
          <w:lang w:eastAsia="ja-JP"/>
        </w:rPr>
        <w:t>P</w:t>
      </w:r>
      <w:r w:rsidR="008E0465">
        <w:rPr>
          <w:rFonts w:ascii="Book Antiqua" w:eastAsia="DengXian" w:hAnsi="Book Antiqua" w:cs="Times New Roman" w:hint="eastAsia"/>
          <w:bCs/>
          <w:color w:val="000000"/>
          <w:kern w:val="2"/>
          <w:sz w:val="24"/>
          <w:szCs w:val="24"/>
          <w:lang w:eastAsia="zh-CN"/>
        </w:rPr>
        <w:t xml:space="preserve"> </w:t>
      </w:r>
      <w:r w:rsidRPr="00B7665A">
        <w:rPr>
          <w:rFonts w:ascii="Book Antiqua" w:eastAsia="DengXian" w:hAnsi="Book Antiqua" w:cs="Times New Roman"/>
          <w:bCs/>
          <w:color w:val="000000"/>
          <w:kern w:val="2"/>
          <w:sz w:val="24"/>
          <w:szCs w:val="24"/>
          <w:lang w:eastAsia="ja-JP"/>
        </w:rPr>
        <w:t>&lt;</w:t>
      </w:r>
      <w:r w:rsidR="008E0465">
        <w:rPr>
          <w:rFonts w:ascii="Book Antiqua" w:eastAsia="DengXian" w:hAnsi="Book Antiqua" w:cs="Times New Roman" w:hint="eastAsia"/>
          <w:bCs/>
          <w:color w:val="000000"/>
          <w:kern w:val="2"/>
          <w:sz w:val="24"/>
          <w:szCs w:val="24"/>
          <w:lang w:eastAsia="zh-CN"/>
        </w:rPr>
        <w:t xml:space="preserve"> </w:t>
      </w:r>
      <w:r w:rsidRPr="00B7665A">
        <w:rPr>
          <w:rFonts w:ascii="Book Antiqua" w:eastAsia="DengXian" w:hAnsi="Book Antiqua" w:cs="Times New Roman"/>
          <w:bCs/>
          <w:color w:val="000000"/>
          <w:kern w:val="2"/>
          <w:sz w:val="24"/>
          <w:szCs w:val="24"/>
          <w:lang w:eastAsia="ja-JP"/>
        </w:rPr>
        <w:t>0.</w:t>
      </w:r>
      <w:r w:rsidR="008E0465">
        <w:rPr>
          <w:rFonts w:ascii="Book Antiqua" w:eastAsia="DengXian" w:hAnsi="Book Antiqua" w:cs="Times New Roman"/>
          <w:bCs/>
          <w:color w:val="000000"/>
          <w:kern w:val="2"/>
          <w:sz w:val="24"/>
          <w:szCs w:val="24"/>
          <w:lang w:eastAsia="ja-JP"/>
        </w:rPr>
        <w:t xml:space="preserve">0001). </w:t>
      </w:r>
      <w:r w:rsidRPr="00B7665A">
        <w:rPr>
          <w:rFonts w:ascii="Book Antiqua" w:eastAsia="DengXian" w:hAnsi="Book Antiqua" w:cs="Times New Roman"/>
          <w:bCs/>
          <w:color w:val="000000"/>
          <w:kern w:val="2"/>
          <w:sz w:val="24"/>
          <w:szCs w:val="24"/>
          <w:lang w:eastAsia="ja-JP"/>
        </w:rPr>
        <w:t xml:space="preserve">These apparently conflicting results between Fukushi </w:t>
      </w:r>
      <w:r w:rsidRPr="008E0465">
        <w:rPr>
          <w:rFonts w:ascii="Book Antiqua" w:eastAsia="DengXian" w:hAnsi="Book Antiqua" w:cs="Times New Roman"/>
          <w:bCs/>
          <w:i/>
          <w:color w:val="000000"/>
          <w:kern w:val="2"/>
          <w:sz w:val="24"/>
          <w:szCs w:val="24"/>
          <w:lang w:eastAsia="ja-JP"/>
        </w:rPr>
        <w:t>et al</w:t>
      </w:r>
      <w:r w:rsidR="008E0465" w:rsidRPr="008E0465">
        <w:rPr>
          <w:rFonts w:ascii="Book Antiqua" w:eastAsia="DengXian" w:hAnsi="Book Antiqua" w:cs="Times New Roman" w:hint="eastAsia"/>
          <w:bCs/>
          <w:color w:val="000000"/>
          <w:kern w:val="2"/>
          <w:sz w:val="24"/>
          <w:szCs w:val="24"/>
          <w:vertAlign w:val="superscript"/>
          <w:lang w:eastAsia="zh-CN"/>
        </w:rPr>
        <w:t>[33]</w:t>
      </w:r>
      <w:r w:rsidRPr="00B7665A">
        <w:rPr>
          <w:rFonts w:ascii="Book Antiqua" w:eastAsia="DengXian" w:hAnsi="Book Antiqua" w:cs="Times New Roman"/>
          <w:bCs/>
          <w:color w:val="000000"/>
          <w:kern w:val="2"/>
          <w:sz w:val="24"/>
          <w:szCs w:val="24"/>
          <w:lang w:eastAsia="ja-JP"/>
        </w:rPr>
        <w:t xml:space="preserve"> study and the Oxford University study may be explained by differences in study design, age threshold of 70 </w:t>
      </w:r>
      <w:r w:rsidRPr="009217B0">
        <w:rPr>
          <w:rFonts w:ascii="Book Antiqua" w:eastAsia="DengXian" w:hAnsi="Book Antiqua" w:cs="Times New Roman"/>
          <w:bCs/>
          <w:i/>
          <w:color w:val="000000"/>
          <w:kern w:val="2"/>
          <w:sz w:val="24"/>
          <w:szCs w:val="24"/>
          <w:lang w:eastAsia="ja-JP"/>
        </w:rPr>
        <w:t>vs</w:t>
      </w:r>
      <w:r w:rsidRPr="00B7665A">
        <w:rPr>
          <w:rFonts w:ascii="Book Antiqua" w:eastAsia="DengXian" w:hAnsi="Book Antiqua" w:cs="Times New Roman"/>
          <w:bCs/>
          <w:color w:val="000000"/>
          <w:kern w:val="2"/>
          <w:sz w:val="24"/>
          <w:szCs w:val="24"/>
          <w:lang w:eastAsia="ja-JP"/>
        </w:rPr>
        <w:t xml:space="preserve"> 75 years of age, and statistical power (relatively small number of patients = 113 on LDA alone treatment in </w:t>
      </w:r>
      <w:bookmarkStart w:id="50" w:name="_Hlk523047841"/>
      <w:r w:rsidR="009217B0" w:rsidRPr="00B7665A">
        <w:rPr>
          <w:rFonts w:ascii="Book Antiqua" w:eastAsia="DengXian" w:hAnsi="Book Antiqua" w:cs="Times New Roman"/>
          <w:bCs/>
          <w:color w:val="000000"/>
          <w:kern w:val="2"/>
          <w:sz w:val="24"/>
          <w:szCs w:val="24"/>
          <w:lang w:eastAsia="ja-JP"/>
        </w:rPr>
        <w:t xml:space="preserve">Fukushi </w:t>
      </w:r>
      <w:r w:rsidR="009217B0" w:rsidRPr="008E0465">
        <w:rPr>
          <w:rFonts w:ascii="Book Antiqua" w:eastAsia="DengXian" w:hAnsi="Book Antiqua" w:cs="Times New Roman"/>
          <w:bCs/>
          <w:i/>
          <w:color w:val="000000"/>
          <w:kern w:val="2"/>
          <w:sz w:val="24"/>
          <w:szCs w:val="24"/>
          <w:lang w:eastAsia="ja-JP"/>
        </w:rPr>
        <w:t>et al</w:t>
      </w:r>
      <w:r w:rsidR="009217B0" w:rsidRPr="008E0465">
        <w:rPr>
          <w:rFonts w:ascii="Book Antiqua" w:eastAsia="DengXian" w:hAnsi="Book Antiqua" w:cs="Times New Roman" w:hint="eastAsia"/>
          <w:bCs/>
          <w:color w:val="000000"/>
          <w:kern w:val="2"/>
          <w:sz w:val="24"/>
          <w:szCs w:val="24"/>
          <w:vertAlign w:val="superscript"/>
          <w:lang w:eastAsia="zh-CN"/>
        </w:rPr>
        <w:t>[33]</w:t>
      </w:r>
      <w:r w:rsidR="009217B0" w:rsidRPr="00B7665A">
        <w:rPr>
          <w:rFonts w:ascii="Book Antiqua" w:eastAsia="DengXian" w:hAnsi="Book Antiqua" w:cs="Times New Roman"/>
          <w:bCs/>
          <w:color w:val="000000"/>
          <w:kern w:val="2"/>
          <w:sz w:val="24"/>
          <w:szCs w:val="24"/>
          <w:lang w:eastAsia="ja-JP"/>
        </w:rPr>
        <w:t xml:space="preserve"> </w:t>
      </w:r>
      <w:r w:rsidRPr="00B7665A">
        <w:rPr>
          <w:rFonts w:ascii="Book Antiqua" w:eastAsia="DengXian" w:hAnsi="Book Antiqua" w:cs="Times New Roman"/>
          <w:bCs/>
          <w:color w:val="000000"/>
          <w:kern w:val="2"/>
          <w:sz w:val="24"/>
          <w:szCs w:val="24"/>
          <w:lang w:eastAsia="ja-JP"/>
        </w:rPr>
        <w:t>study</w:t>
      </w:r>
      <w:bookmarkEnd w:id="50"/>
      <w:r w:rsidRPr="00B7665A">
        <w:rPr>
          <w:rFonts w:ascii="Book Antiqua" w:eastAsia="DengXian" w:hAnsi="Book Antiqua" w:cs="Times New Roman"/>
          <w:bCs/>
          <w:color w:val="000000"/>
          <w:kern w:val="2"/>
          <w:sz w:val="24"/>
          <w:szCs w:val="24"/>
          <w:lang w:eastAsia="ja-JP"/>
        </w:rPr>
        <w:t>), different environmental factors, or by the possibility that GI mucosa in Japanese patients has different genetic and biochemical features compared to British patients. In the research arena, further study is necessary. It would be particularly interesting to compare Japanese and Western European data directly and perhaps the biology of the mucosa directly. Increased power with similar study design would help address the issue.</w:t>
      </w:r>
      <w:r w:rsidR="009217B0">
        <w:rPr>
          <w:rFonts w:ascii="Book Antiqua" w:eastAsia="DengXian" w:hAnsi="Book Antiqua" w:cs="Times New Roman" w:hint="eastAsia"/>
          <w:bCs/>
          <w:color w:val="000000"/>
          <w:kern w:val="2"/>
          <w:sz w:val="24"/>
          <w:szCs w:val="24"/>
          <w:lang w:eastAsia="zh-CN"/>
        </w:rPr>
        <w:t xml:space="preserve"> </w:t>
      </w:r>
    </w:p>
    <w:p w:rsidR="00530194" w:rsidRDefault="00530194" w:rsidP="009217B0">
      <w:pPr>
        <w:widowControl w:val="0"/>
        <w:adjustRightInd w:val="0"/>
        <w:snapToGrid w:val="0"/>
        <w:spacing w:line="360" w:lineRule="auto"/>
        <w:ind w:firstLineChars="100" w:firstLine="240"/>
        <w:jc w:val="both"/>
        <w:rPr>
          <w:rFonts w:ascii="Book Antiqua" w:eastAsia="DengXian" w:hAnsi="Book Antiqua" w:cs="Times New Roman"/>
          <w:bCs/>
          <w:color w:val="000000"/>
          <w:kern w:val="2"/>
          <w:sz w:val="24"/>
          <w:szCs w:val="24"/>
          <w:lang w:eastAsia="zh-CN"/>
        </w:rPr>
      </w:pPr>
      <w:r w:rsidRPr="00B7665A">
        <w:rPr>
          <w:rFonts w:ascii="Book Antiqua" w:eastAsia="DengXian" w:hAnsi="Book Antiqua" w:cs="Times New Roman"/>
          <w:bCs/>
          <w:color w:val="000000"/>
          <w:kern w:val="2"/>
          <w:sz w:val="24"/>
          <w:szCs w:val="24"/>
          <w:lang w:eastAsia="ja-JP"/>
        </w:rPr>
        <w:t xml:space="preserve">Iwamoto </w:t>
      </w:r>
      <w:r w:rsidRPr="009217B0">
        <w:rPr>
          <w:rFonts w:ascii="Book Antiqua" w:eastAsia="DengXian" w:hAnsi="Book Antiqua" w:cs="Times New Roman"/>
          <w:bCs/>
          <w:i/>
          <w:color w:val="000000"/>
          <w:kern w:val="2"/>
          <w:sz w:val="24"/>
          <w:szCs w:val="24"/>
          <w:lang w:eastAsia="ja-JP"/>
        </w:rPr>
        <w:t>et al</w:t>
      </w:r>
      <w:r w:rsidR="009217B0" w:rsidRPr="00B7665A">
        <w:rPr>
          <w:rFonts w:ascii="Book Antiqua" w:eastAsia="DengXian" w:hAnsi="Book Antiqua" w:cs="Times New Roman"/>
          <w:bCs/>
          <w:noProof/>
          <w:color w:val="000000"/>
          <w:kern w:val="2"/>
          <w:sz w:val="24"/>
          <w:szCs w:val="24"/>
          <w:vertAlign w:val="superscript"/>
          <w:lang w:eastAsia="ja-JP"/>
        </w:rPr>
        <w:t>[18]</w:t>
      </w:r>
      <w:r w:rsidRPr="00B7665A">
        <w:rPr>
          <w:rFonts w:ascii="Book Antiqua" w:eastAsia="DengXian" w:hAnsi="Book Antiqua" w:cs="Times New Roman"/>
          <w:bCs/>
          <w:color w:val="000000"/>
          <w:kern w:val="2"/>
          <w:sz w:val="24"/>
          <w:szCs w:val="24"/>
          <w:lang w:eastAsia="ja-JP"/>
        </w:rPr>
        <w:t xml:space="preserve"> extensively reviewed the clinical and endoscopic features, incidence, risk factors and mechanisms of gastroduodenal injury and bleeding induced by long-term LDA treatment. They listed the following as risks factors for aspirin-induced increased GI complications: </w:t>
      </w:r>
      <w:r w:rsidR="009217B0" w:rsidRPr="00B7665A">
        <w:rPr>
          <w:rFonts w:ascii="Book Antiqua" w:eastAsia="DengXian" w:hAnsi="Book Antiqua" w:cs="Times New Roman"/>
          <w:bCs/>
          <w:color w:val="000000"/>
          <w:kern w:val="2"/>
          <w:sz w:val="24"/>
          <w:szCs w:val="24"/>
          <w:lang w:eastAsia="ja-JP"/>
        </w:rPr>
        <w:t xml:space="preserve">Prior </w:t>
      </w:r>
      <w:r w:rsidRPr="00B7665A">
        <w:rPr>
          <w:rFonts w:ascii="Book Antiqua" w:eastAsia="DengXian" w:hAnsi="Book Antiqua" w:cs="Times New Roman"/>
          <w:bCs/>
          <w:color w:val="000000"/>
          <w:kern w:val="2"/>
          <w:sz w:val="24"/>
          <w:szCs w:val="24"/>
          <w:lang w:eastAsia="ja-JP"/>
        </w:rPr>
        <w:t xml:space="preserve">history of ulcer and/or GI bleeding, age ≥ 70 years, concurrent use of non-aspirin NSAIDs and </w:t>
      </w:r>
      <w:r w:rsidRPr="00B7665A">
        <w:rPr>
          <w:rFonts w:ascii="Book Antiqua" w:eastAsia="DengXian" w:hAnsi="Book Antiqua" w:cs="Times New Roman"/>
          <w:bCs/>
          <w:i/>
          <w:color w:val="000000"/>
          <w:kern w:val="2"/>
          <w:sz w:val="24"/>
          <w:szCs w:val="24"/>
          <w:lang w:eastAsia="ja-JP"/>
        </w:rPr>
        <w:t>H. pylori</w:t>
      </w:r>
      <w:r w:rsidRPr="00B7665A">
        <w:rPr>
          <w:rFonts w:ascii="Book Antiqua" w:eastAsia="DengXian" w:hAnsi="Book Antiqua" w:cs="Times New Roman"/>
          <w:bCs/>
          <w:color w:val="000000"/>
          <w:kern w:val="2"/>
          <w:sz w:val="24"/>
          <w:szCs w:val="24"/>
          <w:lang w:eastAsia="ja-JP"/>
        </w:rPr>
        <w:t xml:space="preserve"> infection. They also pointed out preventive efficacy not only proton pump inhibitors but also H2 receptor antagonists </w:t>
      </w:r>
      <w:r w:rsidRPr="009217B0">
        <w:rPr>
          <w:rFonts w:ascii="Book Antiqua" w:eastAsia="DengXian" w:hAnsi="Book Antiqua" w:cs="Times New Roman"/>
          <w:bCs/>
          <w:i/>
          <w:color w:val="000000"/>
          <w:kern w:val="2"/>
          <w:sz w:val="24"/>
          <w:szCs w:val="24"/>
          <w:lang w:eastAsia="ja-JP"/>
        </w:rPr>
        <w:t>e.g.</w:t>
      </w:r>
      <w:r w:rsidR="009217B0">
        <w:rPr>
          <w:rFonts w:ascii="Book Antiqua" w:eastAsia="DengXian" w:hAnsi="Book Antiqua" w:cs="Times New Roman" w:hint="eastAsia"/>
          <w:bCs/>
          <w:color w:val="000000"/>
          <w:kern w:val="2"/>
          <w:sz w:val="24"/>
          <w:szCs w:val="24"/>
          <w:lang w:eastAsia="zh-CN"/>
        </w:rPr>
        <w:t>,</w:t>
      </w:r>
      <w:r w:rsidRPr="00B7665A">
        <w:rPr>
          <w:rFonts w:ascii="Book Antiqua" w:eastAsia="DengXian" w:hAnsi="Book Antiqua" w:cs="Times New Roman"/>
          <w:bCs/>
          <w:color w:val="000000"/>
          <w:kern w:val="2"/>
          <w:sz w:val="24"/>
          <w:szCs w:val="24"/>
          <w:lang w:eastAsia="ja-JP"/>
        </w:rPr>
        <w:t xml:space="preserve"> famotidine</w:t>
      </w:r>
      <w:r w:rsidRPr="00B7665A">
        <w:rPr>
          <w:rFonts w:ascii="Book Antiqua" w:eastAsia="DengXian" w:hAnsi="Book Antiqua" w:cs="Times New Roman"/>
          <w:bCs/>
          <w:noProof/>
          <w:color w:val="000000"/>
          <w:kern w:val="2"/>
          <w:sz w:val="24"/>
          <w:szCs w:val="24"/>
          <w:vertAlign w:val="superscript"/>
          <w:lang w:eastAsia="ja-JP"/>
        </w:rPr>
        <w:t>[18]</w:t>
      </w:r>
      <w:bookmarkEnd w:id="42"/>
      <w:r w:rsidRPr="00B7665A">
        <w:rPr>
          <w:rFonts w:ascii="Book Antiqua" w:eastAsia="DengXian" w:hAnsi="Book Antiqua" w:cs="Times New Roman"/>
          <w:bCs/>
          <w:color w:val="000000"/>
          <w:kern w:val="2"/>
          <w:sz w:val="24"/>
          <w:szCs w:val="24"/>
          <w:lang w:eastAsia="ja-JP"/>
        </w:rPr>
        <w:t>. Aging itself increases GI injury and complications. In patients aged under 60 years, 70-79 years and those over 80 years, the incidence rate of upper GI complications per 1,000 male subjects was 20, 90, and 150, respectively</w:t>
      </w:r>
      <w:r w:rsidRPr="00B7665A">
        <w:rPr>
          <w:rFonts w:ascii="Book Antiqua" w:eastAsia="DengXian" w:hAnsi="Book Antiqua" w:cs="Times New Roman"/>
          <w:bCs/>
          <w:noProof/>
          <w:color w:val="000000"/>
          <w:kern w:val="2"/>
          <w:sz w:val="24"/>
          <w:szCs w:val="24"/>
          <w:vertAlign w:val="superscript"/>
          <w:lang w:eastAsia="ja-JP"/>
        </w:rPr>
        <w:t>[35]</w:t>
      </w:r>
      <w:r w:rsidRPr="00B7665A">
        <w:rPr>
          <w:rFonts w:ascii="Book Antiqua" w:eastAsia="DengXian" w:hAnsi="Book Antiqua" w:cs="Times New Roman"/>
          <w:bCs/>
          <w:color w:val="000000"/>
          <w:kern w:val="2"/>
          <w:sz w:val="24"/>
          <w:szCs w:val="24"/>
          <w:lang w:eastAsia="ja-JP"/>
        </w:rPr>
        <w:t>. Aspirin use increased these rates of GI complications within each age group by 2-fold resulting in dramatically higher incidence of complications</w:t>
      </w:r>
      <w:r w:rsidRPr="00B7665A">
        <w:rPr>
          <w:rFonts w:ascii="Book Antiqua" w:eastAsia="DengXian" w:hAnsi="Book Antiqua" w:cs="Times New Roman"/>
          <w:bCs/>
          <w:noProof/>
          <w:color w:val="000000"/>
          <w:kern w:val="2"/>
          <w:sz w:val="24"/>
          <w:szCs w:val="24"/>
          <w:vertAlign w:val="superscript"/>
          <w:lang w:eastAsia="ja-JP"/>
        </w:rPr>
        <w:t>[35]</w:t>
      </w:r>
      <w:r w:rsidRPr="00B7665A">
        <w:rPr>
          <w:rFonts w:ascii="Book Antiqua" w:eastAsia="DengXian" w:hAnsi="Book Antiqua" w:cs="Times New Roman"/>
          <w:bCs/>
          <w:color w:val="000000"/>
          <w:kern w:val="2"/>
          <w:sz w:val="24"/>
          <w:szCs w:val="24"/>
          <w:lang w:eastAsia="ja-JP"/>
        </w:rPr>
        <w:t>. The absolute increase in complications with aspirin use is significantly higher in the aging population due to their higher baseline risk of aging gastropathy.</w:t>
      </w:r>
    </w:p>
    <w:p w:rsidR="009217B0" w:rsidRPr="00B7665A" w:rsidRDefault="009217B0" w:rsidP="009217B0">
      <w:pPr>
        <w:widowControl w:val="0"/>
        <w:adjustRightInd w:val="0"/>
        <w:snapToGrid w:val="0"/>
        <w:spacing w:line="360" w:lineRule="auto"/>
        <w:ind w:firstLineChars="100" w:firstLine="241"/>
        <w:jc w:val="both"/>
        <w:rPr>
          <w:rFonts w:ascii="Book Antiqua" w:eastAsia="DengXian" w:hAnsi="Book Antiqua" w:cs="Times New Roman"/>
          <w:b/>
          <w:bCs/>
          <w:color w:val="000000"/>
          <w:kern w:val="2"/>
          <w:sz w:val="24"/>
          <w:szCs w:val="24"/>
          <w:highlight w:val="green"/>
          <w:lang w:eastAsia="zh-CN"/>
        </w:rPr>
      </w:pPr>
    </w:p>
    <w:p w:rsidR="009217B0" w:rsidRPr="009217B0" w:rsidRDefault="009217B0" w:rsidP="00B7665A">
      <w:pPr>
        <w:widowControl w:val="0"/>
        <w:adjustRightInd w:val="0"/>
        <w:snapToGrid w:val="0"/>
        <w:spacing w:line="360" w:lineRule="auto"/>
        <w:jc w:val="both"/>
        <w:rPr>
          <w:rFonts w:ascii="Book Antiqua" w:eastAsiaTheme="minorEastAsia" w:hAnsi="Book Antiqua" w:cs="Times New Roman"/>
          <w:b/>
          <w:bCs/>
          <w:sz w:val="24"/>
          <w:szCs w:val="24"/>
          <w:lang w:eastAsia="zh-CN"/>
        </w:rPr>
      </w:pPr>
      <w:r w:rsidRPr="009217B0">
        <w:rPr>
          <w:rFonts w:ascii="Book Antiqua" w:eastAsia="Calibri" w:hAnsi="Book Antiqua" w:cs="Times New Roman"/>
          <w:b/>
          <w:bCs/>
          <w:sz w:val="24"/>
          <w:szCs w:val="24"/>
        </w:rPr>
        <w:t>CLINICAL IMPLICATIONS</w:t>
      </w:r>
    </w:p>
    <w:p w:rsidR="00530194" w:rsidRDefault="00530194" w:rsidP="00B7665A">
      <w:pPr>
        <w:widowControl w:val="0"/>
        <w:adjustRightInd w:val="0"/>
        <w:snapToGrid w:val="0"/>
        <w:spacing w:line="360" w:lineRule="auto"/>
        <w:jc w:val="both"/>
        <w:rPr>
          <w:rFonts w:ascii="Book Antiqua" w:eastAsiaTheme="minorEastAsia" w:hAnsi="Book Antiqua" w:cs="Times New Roman"/>
          <w:bCs/>
          <w:sz w:val="24"/>
          <w:szCs w:val="24"/>
          <w:lang w:eastAsia="zh-CN"/>
        </w:rPr>
      </w:pPr>
      <w:r w:rsidRPr="009217B0">
        <w:rPr>
          <w:rFonts w:ascii="Book Antiqua" w:eastAsia="Calibri" w:hAnsi="Book Antiqua" w:cs="Times New Roman"/>
          <w:bCs/>
          <w:sz w:val="24"/>
          <w:szCs w:val="24"/>
        </w:rPr>
        <w:t>Aging</w:t>
      </w:r>
      <w:r w:rsidRPr="00B7665A">
        <w:rPr>
          <w:rFonts w:ascii="Book Antiqua" w:eastAsia="Calibri" w:hAnsi="Book Antiqua" w:cs="Times New Roman"/>
          <w:bCs/>
          <w:sz w:val="24"/>
          <w:szCs w:val="24"/>
        </w:rPr>
        <w:t xml:space="preserve"> gastropathy and its complications are important clinically relevant issu</w:t>
      </w:r>
      <w:r w:rsidR="009217B0">
        <w:rPr>
          <w:rFonts w:ascii="Book Antiqua" w:eastAsia="Calibri" w:hAnsi="Book Antiqua" w:cs="Times New Roman"/>
          <w:bCs/>
          <w:sz w:val="24"/>
          <w:szCs w:val="24"/>
        </w:rPr>
        <w:t xml:space="preserve">es for at least three reasons. </w:t>
      </w:r>
      <w:r w:rsidRPr="00B7665A">
        <w:rPr>
          <w:rFonts w:ascii="Book Antiqua" w:eastAsia="Calibri" w:hAnsi="Book Antiqua" w:cs="Times New Roman"/>
          <w:bCs/>
          <w:sz w:val="24"/>
          <w:szCs w:val="24"/>
        </w:rPr>
        <w:t xml:space="preserve">First, in many countries </w:t>
      </w:r>
      <w:r w:rsidRPr="009217B0">
        <w:rPr>
          <w:rFonts w:ascii="Book Antiqua" w:eastAsia="Calibri" w:hAnsi="Book Antiqua" w:cs="Times New Roman"/>
          <w:bCs/>
          <w:i/>
          <w:sz w:val="24"/>
          <w:szCs w:val="24"/>
        </w:rPr>
        <w:t>e.g.</w:t>
      </w:r>
      <w:r w:rsidR="009217B0">
        <w:rPr>
          <w:rFonts w:ascii="Book Antiqua" w:eastAsia="Calibri" w:hAnsi="Book Antiqua" w:cs="Times New Roman" w:hint="eastAsia"/>
          <w:bCs/>
          <w:sz w:val="24"/>
          <w:szCs w:val="24"/>
          <w:lang w:eastAsia="zh-CN"/>
        </w:rPr>
        <w:t>,</w:t>
      </w:r>
      <w:r w:rsidRPr="00B7665A">
        <w:rPr>
          <w:rFonts w:ascii="Book Antiqua" w:eastAsia="Calibri" w:hAnsi="Book Antiqua" w:cs="Times New Roman"/>
          <w:bCs/>
          <w:sz w:val="24"/>
          <w:szCs w:val="24"/>
        </w:rPr>
        <w:t xml:space="preserve"> Japan, some European countries and the USA, the population is aging.</w:t>
      </w:r>
      <w:r w:rsidR="0010276F">
        <w:rPr>
          <w:rFonts w:ascii="Book Antiqua" w:eastAsia="Calibri" w:hAnsi="Book Antiqua" w:cs="Times New Roman"/>
          <w:bCs/>
          <w:sz w:val="24"/>
          <w:szCs w:val="24"/>
        </w:rPr>
        <w:t xml:space="preserve"> </w:t>
      </w:r>
      <w:r w:rsidRPr="00B7665A">
        <w:rPr>
          <w:rFonts w:ascii="Book Antiqua" w:eastAsia="Calibri" w:hAnsi="Book Antiqua" w:cs="Times New Roman"/>
          <w:bCs/>
          <w:sz w:val="24"/>
          <w:szCs w:val="24"/>
        </w:rPr>
        <w:t xml:space="preserve">Second, older patients have much greater risk for both </w:t>
      </w:r>
      <w:r w:rsidRPr="00B7665A">
        <w:rPr>
          <w:rFonts w:ascii="Book Antiqua" w:eastAsia="Calibri" w:hAnsi="Book Antiqua" w:cs="Times New Roman"/>
          <w:bCs/>
          <w:sz w:val="24"/>
          <w:szCs w:val="24"/>
        </w:rPr>
        <w:lastRenderedPageBreak/>
        <w:t>CVE and gastroduodenal ulcers and bleeding gastrointestinal complications of LDA-induced gastric</w:t>
      </w:r>
      <w:r w:rsidR="009217B0">
        <w:rPr>
          <w:rFonts w:ascii="Book Antiqua" w:eastAsia="Calibri" w:hAnsi="Book Antiqua" w:cs="Times New Roman"/>
          <w:bCs/>
          <w:sz w:val="24"/>
          <w:szCs w:val="24"/>
        </w:rPr>
        <w:t xml:space="preserve"> injury than younger patients. </w:t>
      </w:r>
      <w:r w:rsidRPr="00B7665A">
        <w:rPr>
          <w:rFonts w:ascii="Book Antiqua" w:eastAsia="Calibri" w:hAnsi="Book Antiqua" w:cs="Times New Roman"/>
          <w:bCs/>
          <w:sz w:val="24"/>
          <w:szCs w:val="24"/>
        </w:rPr>
        <w:t>Third, increased susceptibility of aging gastric mucosa to injury can be potentially reduced or reversed pharmacologically.</w:t>
      </w:r>
    </w:p>
    <w:p w:rsidR="009217B0" w:rsidRDefault="009217B0" w:rsidP="00B7665A">
      <w:pPr>
        <w:widowControl w:val="0"/>
        <w:adjustRightInd w:val="0"/>
        <w:snapToGrid w:val="0"/>
        <w:spacing w:line="360" w:lineRule="auto"/>
        <w:jc w:val="both"/>
        <w:rPr>
          <w:rFonts w:ascii="Book Antiqua" w:eastAsiaTheme="minorEastAsia" w:hAnsi="Book Antiqua" w:cs="Times New Roman"/>
          <w:bCs/>
          <w:sz w:val="24"/>
          <w:szCs w:val="24"/>
          <w:lang w:eastAsia="zh-CN"/>
        </w:rPr>
      </w:pPr>
    </w:p>
    <w:p w:rsidR="009217B0" w:rsidRPr="009217B0" w:rsidRDefault="009217B0" w:rsidP="00B7665A">
      <w:pPr>
        <w:widowControl w:val="0"/>
        <w:adjustRightInd w:val="0"/>
        <w:snapToGrid w:val="0"/>
        <w:spacing w:line="360" w:lineRule="auto"/>
        <w:jc w:val="both"/>
        <w:rPr>
          <w:rFonts w:ascii="Book Antiqua" w:eastAsiaTheme="minorEastAsia" w:hAnsi="Book Antiqua" w:cs="Times New Roman"/>
          <w:b/>
          <w:bCs/>
          <w:sz w:val="24"/>
          <w:szCs w:val="24"/>
          <w:lang w:eastAsia="zh-CN"/>
        </w:rPr>
      </w:pPr>
      <w:r w:rsidRPr="009217B0">
        <w:rPr>
          <w:rFonts w:ascii="Book Antiqua" w:eastAsiaTheme="minorEastAsia" w:hAnsi="Book Antiqua" w:cs="Times New Roman"/>
          <w:b/>
          <w:bCs/>
          <w:sz w:val="24"/>
          <w:szCs w:val="24"/>
          <w:lang w:eastAsia="zh-CN"/>
        </w:rPr>
        <w:t>CONCLUSION</w:t>
      </w:r>
    </w:p>
    <w:p w:rsidR="00530194" w:rsidRPr="00B7665A" w:rsidRDefault="00530194" w:rsidP="009217B0">
      <w:pPr>
        <w:widowControl w:val="0"/>
        <w:adjustRightInd w:val="0"/>
        <w:snapToGrid w:val="0"/>
        <w:spacing w:line="360" w:lineRule="auto"/>
        <w:jc w:val="both"/>
        <w:rPr>
          <w:rFonts w:ascii="Book Antiqua" w:eastAsia="Calibri" w:hAnsi="Book Antiqua" w:cs="Times New Roman"/>
          <w:bCs/>
          <w:sz w:val="24"/>
          <w:szCs w:val="24"/>
        </w:rPr>
      </w:pPr>
      <w:r w:rsidRPr="00B7665A">
        <w:rPr>
          <w:rFonts w:ascii="Book Antiqua" w:eastAsia="Calibri" w:hAnsi="Book Antiqua" w:cs="Times New Roman"/>
          <w:bCs/>
          <w:sz w:val="24"/>
          <w:szCs w:val="24"/>
        </w:rPr>
        <w:t>While the overall cardioprotective benefits of LDA therapy outweighs the risk of LDA- induced GI u</w:t>
      </w:r>
      <w:r w:rsidR="0010276F">
        <w:rPr>
          <w:rFonts w:ascii="Book Antiqua" w:eastAsia="Calibri" w:hAnsi="Book Antiqua" w:cs="Times New Roman"/>
          <w:bCs/>
          <w:sz w:val="24"/>
          <w:szCs w:val="24"/>
        </w:rPr>
        <w:t>lcers and bleeding (reviewed in</w:t>
      </w:r>
      <w:r w:rsidRPr="00B7665A">
        <w:rPr>
          <w:rFonts w:ascii="Book Antiqua" w:eastAsia="Calibri" w:hAnsi="Book Antiqua" w:cs="Times New Roman"/>
          <w:bCs/>
          <w:noProof/>
          <w:sz w:val="24"/>
          <w:szCs w:val="24"/>
          <w:vertAlign w:val="superscript"/>
        </w:rPr>
        <w:t>[36]</w:t>
      </w:r>
      <w:r w:rsidRPr="00B7665A">
        <w:rPr>
          <w:rFonts w:ascii="Book Antiqua" w:eastAsia="Calibri" w:hAnsi="Book Antiqua" w:cs="Times New Roman"/>
          <w:bCs/>
          <w:sz w:val="24"/>
          <w:szCs w:val="24"/>
        </w:rPr>
        <w:t xml:space="preserve">) from a gastroenterologist’s perspective, it is very important to prevent LDA-induced GI ulcers and bleeding, especially in patients 70 years of age or older. </w:t>
      </w:r>
      <w:bookmarkStart w:id="51" w:name="_Hlk522978111"/>
      <w:r w:rsidRPr="00B7665A">
        <w:rPr>
          <w:rFonts w:ascii="Book Antiqua" w:eastAsia="Calibri" w:hAnsi="Book Antiqua" w:cs="Times New Roman"/>
          <w:bCs/>
          <w:sz w:val="24"/>
          <w:szCs w:val="24"/>
        </w:rPr>
        <w:t xml:space="preserve">The decision regarding initiation of a long-term LDA therapy should be made after careful consideration of both cardiovascular and gastrointestinal risk factors. The latter include previous history of gastroduodenal bleeding and/or ulcers, age </w:t>
      </w:r>
      <w:bookmarkStart w:id="52" w:name="_Hlk522973302"/>
      <w:r w:rsidRPr="00B7665A">
        <w:rPr>
          <w:rFonts w:ascii="Book Antiqua" w:eastAsia="Calibri" w:hAnsi="Book Antiqua" w:cs="Times New Roman"/>
          <w:bCs/>
          <w:sz w:val="24"/>
          <w:szCs w:val="24"/>
        </w:rPr>
        <w:t xml:space="preserve">≥ </w:t>
      </w:r>
      <w:bookmarkEnd w:id="52"/>
      <w:r w:rsidRPr="00B7665A">
        <w:rPr>
          <w:rFonts w:ascii="Book Antiqua" w:eastAsia="Calibri" w:hAnsi="Book Antiqua" w:cs="Times New Roman"/>
          <w:bCs/>
          <w:sz w:val="24"/>
          <w:szCs w:val="24"/>
        </w:rPr>
        <w:t xml:space="preserve">70, male gender, concurrent use of other NSAIDs, alcohol consumption, and </w:t>
      </w:r>
      <w:r w:rsidRPr="00B7665A">
        <w:rPr>
          <w:rFonts w:ascii="Book Antiqua" w:eastAsia="Calibri" w:hAnsi="Book Antiqua" w:cs="Times New Roman"/>
          <w:bCs/>
          <w:i/>
          <w:sz w:val="24"/>
          <w:szCs w:val="24"/>
        </w:rPr>
        <w:t>H. pylori</w:t>
      </w:r>
      <w:r w:rsidRPr="00B7665A">
        <w:rPr>
          <w:rFonts w:ascii="Book Antiqua" w:eastAsia="Calibri" w:hAnsi="Book Antiqua" w:cs="Times New Roman"/>
          <w:bCs/>
          <w:sz w:val="24"/>
          <w:szCs w:val="24"/>
        </w:rPr>
        <w:t xml:space="preserve"> infection. The recommendations for these patients are as follows: </w:t>
      </w:r>
      <w:r w:rsidR="009217B0">
        <w:rPr>
          <w:rFonts w:ascii="Book Antiqua" w:eastAsia="Calibri" w:hAnsi="Book Antiqua" w:cs="Times New Roman" w:hint="eastAsia"/>
          <w:bCs/>
          <w:sz w:val="24"/>
          <w:szCs w:val="24"/>
          <w:lang w:eastAsia="zh-CN"/>
        </w:rPr>
        <w:t>(</w:t>
      </w:r>
      <w:r w:rsidRPr="00B7665A">
        <w:rPr>
          <w:rFonts w:ascii="Book Antiqua" w:eastAsia="Calibri" w:hAnsi="Book Antiqua" w:cs="Times New Roman"/>
          <w:bCs/>
          <w:sz w:val="24"/>
          <w:szCs w:val="24"/>
        </w:rPr>
        <w:t xml:space="preserve">1) Test for and eradicate </w:t>
      </w:r>
      <w:r w:rsidRPr="00B7665A">
        <w:rPr>
          <w:rFonts w:ascii="Book Antiqua" w:eastAsia="Calibri" w:hAnsi="Book Antiqua" w:cs="Times New Roman"/>
          <w:bCs/>
          <w:i/>
          <w:sz w:val="24"/>
          <w:szCs w:val="24"/>
        </w:rPr>
        <w:t>H. pylori</w:t>
      </w:r>
      <w:r w:rsidRPr="00B7665A">
        <w:rPr>
          <w:rFonts w:ascii="Book Antiqua" w:eastAsia="Calibri" w:hAnsi="Book Antiqua" w:cs="Times New Roman"/>
          <w:bCs/>
          <w:sz w:val="24"/>
          <w:szCs w:val="24"/>
        </w:rPr>
        <w:t xml:space="preserve"> if present</w:t>
      </w:r>
      <w:r w:rsidR="009217B0">
        <w:rPr>
          <w:rFonts w:ascii="Book Antiqua" w:eastAsia="Calibri" w:hAnsi="Book Antiqua" w:cs="Times New Roman" w:hint="eastAsia"/>
          <w:bCs/>
          <w:sz w:val="24"/>
          <w:szCs w:val="24"/>
          <w:lang w:eastAsia="zh-CN"/>
        </w:rPr>
        <w:t>;</w:t>
      </w:r>
      <w:r w:rsidRPr="00B7665A">
        <w:rPr>
          <w:rFonts w:ascii="Book Antiqua" w:eastAsia="Calibri" w:hAnsi="Book Antiqua" w:cs="Times New Roman"/>
          <w:bCs/>
          <w:sz w:val="24"/>
          <w:szCs w:val="24"/>
        </w:rPr>
        <w:t xml:space="preserve"> </w:t>
      </w:r>
      <w:r w:rsidR="009217B0">
        <w:rPr>
          <w:rFonts w:ascii="Book Antiqua" w:eastAsia="Calibri" w:hAnsi="Book Antiqua" w:cs="Times New Roman" w:hint="eastAsia"/>
          <w:bCs/>
          <w:sz w:val="24"/>
          <w:szCs w:val="24"/>
          <w:lang w:eastAsia="zh-CN"/>
        </w:rPr>
        <w:t>(</w:t>
      </w:r>
      <w:r w:rsidRPr="00B7665A">
        <w:rPr>
          <w:rFonts w:ascii="Book Antiqua" w:eastAsia="Calibri" w:hAnsi="Book Antiqua" w:cs="Times New Roman"/>
          <w:bCs/>
          <w:sz w:val="24"/>
          <w:szCs w:val="24"/>
        </w:rPr>
        <w:t>2) Avoid the non-aspirin NSAIDs, including COX-2-selective NSAIDs, and alcohol consumption</w:t>
      </w:r>
      <w:r w:rsidR="009217B0">
        <w:rPr>
          <w:rFonts w:ascii="Book Antiqua" w:eastAsia="Calibri" w:hAnsi="Book Antiqua" w:cs="Times New Roman" w:hint="eastAsia"/>
          <w:bCs/>
          <w:sz w:val="24"/>
          <w:szCs w:val="24"/>
          <w:lang w:eastAsia="zh-CN"/>
        </w:rPr>
        <w:t>;</w:t>
      </w:r>
      <w:r w:rsidR="0010276F">
        <w:rPr>
          <w:rFonts w:ascii="Book Antiqua" w:eastAsia="Calibri" w:hAnsi="Book Antiqua" w:cs="Times New Roman"/>
          <w:bCs/>
          <w:sz w:val="24"/>
          <w:szCs w:val="24"/>
        </w:rPr>
        <w:t xml:space="preserve"> </w:t>
      </w:r>
      <w:r w:rsidR="009217B0">
        <w:rPr>
          <w:rFonts w:ascii="Book Antiqua" w:eastAsia="Calibri" w:hAnsi="Book Antiqua" w:cs="Times New Roman" w:hint="eastAsia"/>
          <w:bCs/>
          <w:sz w:val="24"/>
          <w:szCs w:val="24"/>
          <w:lang w:eastAsia="zh-CN"/>
        </w:rPr>
        <w:t>(</w:t>
      </w:r>
      <w:r w:rsidRPr="00B7665A">
        <w:rPr>
          <w:rFonts w:ascii="Book Antiqua" w:eastAsia="Calibri" w:hAnsi="Book Antiqua" w:cs="Times New Roman"/>
          <w:bCs/>
          <w:sz w:val="24"/>
          <w:szCs w:val="24"/>
        </w:rPr>
        <w:t xml:space="preserve">3) Use proton pump inhibitors that reduce the risk of bleeding GI ulcers, or alternatively use histamine H2-receptor antagonists (recommended by some studies to be effective in prevention of LDA-induced gastroduodenal ulcers). The eradication of </w:t>
      </w:r>
      <w:r w:rsidRPr="00B7665A">
        <w:rPr>
          <w:rFonts w:ascii="Book Antiqua" w:eastAsia="Calibri" w:hAnsi="Book Antiqua" w:cs="Times New Roman"/>
          <w:bCs/>
          <w:i/>
          <w:sz w:val="24"/>
          <w:szCs w:val="24"/>
        </w:rPr>
        <w:t>H. pylori</w:t>
      </w:r>
      <w:r w:rsidRPr="00B7665A">
        <w:rPr>
          <w:rFonts w:ascii="Book Antiqua" w:eastAsia="Calibri" w:hAnsi="Book Antiqua" w:cs="Times New Roman"/>
          <w:bCs/>
          <w:sz w:val="24"/>
          <w:szCs w:val="24"/>
        </w:rPr>
        <w:t xml:space="preserve"> is as effective as treatment with omeprazole in preventing recurrent bleeding in patients on LDA therapy. Clinicians should also recognize that potential new drugs being developed may change the balance between heart </w:t>
      </w:r>
      <w:r w:rsidR="009217B0">
        <w:rPr>
          <w:rFonts w:ascii="Book Antiqua" w:eastAsia="Calibri" w:hAnsi="Book Antiqua" w:cs="Times New Roman"/>
          <w:bCs/>
          <w:sz w:val="24"/>
          <w:szCs w:val="24"/>
        </w:rPr>
        <w:t xml:space="preserve">health and mucosal protection. </w:t>
      </w:r>
      <w:r w:rsidRPr="00B7665A">
        <w:rPr>
          <w:rFonts w:ascii="Book Antiqua" w:eastAsia="Calibri" w:hAnsi="Book Antiqua" w:cs="Times New Roman"/>
          <w:bCs/>
          <w:sz w:val="24"/>
          <w:szCs w:val="24"/>
        </w:rPr>
        <w:t>For instance, aspirin associated with phosphatidylcholine (PL2200) retains all the properties of aspirin but reduces LDA-induced GI ulcerations</w:t>
      </w:r>
      <w:r w:rsidRPr="00B7665A">
        <w:rPr>
          <w:rFonts w:ascii="Book Antiqua" w:eastAsia="Calibri" w:hAnsi="Book Antiqua" w:cs="Times New Roman"/>
          <w:b/>
          <w:bCs/>
          <w:sz w:val="24"/>
          <w:szCs w:val="24"/>
        </w:rPr>
        <w:t xml:space="preserve"> </w:t>
      </w:r>
      <w:r w:rsidRPr="00B7665A">
        <w:rPr>
          <w:rFonts w:ascii="Book Antiqua" w:eastAsia="Calibri" w:hAnsi="Book Antiqua" w:cs="Times New Roman"/>
          <w:bCs/>
          <w:sz w:val="24"/>
          <w:szCs w:val="24"/>
        </w:rPr>
        <w:t>by ~50%</w:t>
      </w:r>
      <w:bookmarkEnd w:id="51"/>
      <w:r w:rsidRPr="00B7665A">
        <w:rPr>
          <w:rFonts w:ascii="Book Antiqua" w:eastAsia="Calibri" w:hAnsi="Book Antiqua" w:cs="Times New Roman"/>
          <w:bCs/>
          <w:noProof/>
          <w:sz w:val="24"/>
          <w:szCs w:val="24"/>
          <w:vertAlign w:val="superscript"/>
        </w:rPr>
        <w:t>[37]</w:t>
      </w:r>
      <w:r w:rsidRPr="00B7665A">
        <w:rPr>
          <w:rFonts w:ascii="Book Antiqua" w:eastAsia="Calibri" w:hAnsi="Book Antiqua" w:cs="Times New Roman"/>
          <w:bCs/>
          <w:sz w:val="24"/>
          <w:szCs w:val="24"/>
        </w:rPr>
        <w:t>.</w:t>
      </w:r>
    </w:p>
    <w:p w:rsidR="00530194" w:rsidRPr="00B7665A" w:rsidRDefault="00530194" w:rsidP="00B7665A">
      <w:pPr>
        <w:widowControl w:val="0"/>
        <w:adjustRightInd w:val="0"/>
        <w:snapToGrid w:val="0"/>
        <w:spacing w:line="360" w:lineRule="auto"/>
        <w:jc w:val="both"/>
        <w:rPr>
          <w:rFonts w:ascii="Book Antiqua" w:hAnsi="Book Antiqua"/>
          <w:sz w:val="24"/>
          <w:szCs w:val="24"/>
        </w:rPr>
      </w:pPr>
      <w:r w:rsidRPr="00B7665A">
        <w:rPr>
          <w:rFonts w:ascii="Book Antiqua" w:hAnsi="Book Antiqua"/>
          <w:sz w:val="24"/>
          <w:szCs w:val="24"/>
        </w:rPr>
        <w:br w:type="page"/>
      </w:r>
    </w:p>
    <w:bookmarkEnd w:id="46"/>
    <w:bookmarkEnd w:id="47"/>
    <w:p w:rsidR="00530194" w:rsidRPr="00B7665A" w:rsidRDefault="009217B0" w:rsidP="00B7665A">
      <w:pPr>
        <w:widowControl w:val="0"/>
        <w:adjustRightInd w:val="0"/>
        <w:snapToGrid w:val="0"/>
        <w:spacing w:line="360" w:lineRule="auto"/>
        <w:jc w:val="both"/>
        <w:rPr>
          <w:rFonts w:ascii="Book Antiqua" w:hAnsi="Book Antiqua" w:cs="Times New Roman"/>
          <w:b/>
          <w:sz w:val="24"/>
          <w:szCs w:val="24"/>
        </w:rPr>
      </w:pPr>
      <w:r w:rsidRPr="00B7665A">
        <w:rPr>
          <w:rFonts w:ascii="Book Antiqua" w:hAnsi="Book Antiqua" w:cs="Times New Roman"/>
          <w:b/>
          <w:sz w:val="24"/>
          <w:szCs w:val="24"/>
        </w:rPr>
        <w:lastRenderedPageBreak/>
        <w:t>REFERENCES</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1 Randomised trial of intravenous streptokinase, oral aspirin, both, or neither among 17187 cases of suspected acute myocardial infarction: ISIS-2. ISIS-2 (Second International Study of Infarct Survival) Collaborative Group. </w:t>
      </w:r>
      <w:r w:rsidRPr="006055CC">
        <w:rPr>
          <w:rFonts w:ascii="Book Antiqua" w:hAnsi="Book Antiqua" w:cs="Times New Roman"/>
          <w:i/>
          <w:kern w:val="2"/>
          <w:sz w:val="24"/>
          <w:szCs w:val="24"/>
          <w:lang w:eastAsia="zh-CN"/>
        </w:rPr>
        <w:t>Lancet</w:t>
      </w:r>
      <w:r w:rsidRPr="006055CC">
        <w:rPr>
          <w:rFonts w:ascii="Book Antiqua" w:hAnsi="Book Antiqua" w:cs="Times New Roman"/>
          <w:kern w:val="2"/>
          <w:sz w:val="24"/>
          <w:szCs w:val="24"/>
          <w:lang w:eastAsia="zh-CN"/>
        </w:rPr>
        <w:t xml:space="preserve"> 1988; </w:t>
      </w:r>
      <w:r w:rsidRPr="006055CC">
        <w:rPr>
          <w:rFonts w:ascii="Book Antiqua" w:hAnsi="Book Antiqua" w:cs="Times New Roman"/>
          <w:b/>
          <w:kern w:val="2"/>
          <w:sz w:val="24"/>
          <w:szCs w:val="24"/>
          <w:lang w:eastAsia="zh-CN"/>
        </w:rPr>
        <w:t>2</w:t>
      </w:r>
      <w:r w:rsidRPr="006055CC">
        <w:rPr>
          <w:rFonts w:ascii="Book Antiqua" w:hAnsi="Book Antiqua" w:cs="Times New Roman"/>
          <w:kern w:val="2"/>
          <w:sz w:val="24"/>
          <w:szCs w:val="24"/>
          <w:lang w:eastAsia="zh-CN"/>
        </w:rPr>
        <w:t>: 349-360 [PMID: 2899772]</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2 </w:t>
      </w:r>
      <w:r w:rsidRPr="006055CC">
        <w:rPr>
          <w:rFonts w:ascii="Book Antiqua" w:hAnsi="Book Antiqua" w:cs="Times New Roman"/>
          <w:b/>
          <w:kern w:val="2"/>
          <w:sz w:val="24"/>
          <w:szCs w:val="24"/>
          <w:lang w:eastAsia="zh-CN"/>
        </w:rPr>
        <w:t>Antithrombotic Trialists' Collaboration.</w:t>
      </w:r>
      <w:r w:rsidRPr="006055CC">
        <w:rPr>
          <w:rFonts w:ascii="Book Antiqua" w:hAnsi="Book Antiqua" w:cs="Times New Roman"/>
          <w:kern w:val="2"/>
          <w:sz w:val="24"/>
          <w:szCs w:val="24"/>
          <w:lang w:eastAsia="zh-CN"/>
        </w:rPr>
        <w:t xml:space="preserve"> Collaborative meta-analysis of randomised trials of antiplatelet therapy for prevention of death, myocardial infarction, and stroke in high risk patients. </w:t>
      </w:r>
      <w:r w:rsidRPr="006055CC">
        <w:rPr>
          <w:rFonts w:ascii="Book Antiqua" w:hAnsi="Book Antiqua" w:cs="Times New Roman"/>
          <w:i/>
          <w:kern w:val="2"/>
          <w:sz w:val="24"/>
          <w:szCs w:val="24"/>
          <w:lang w:eastAsia="zh-CN"/>
        </w:rPr>
        <w:t>BMJ</w:t>
      </w:r>
      <w:r w:rsidRPr="006055CC">
        <w:rPr>
          <w:rFonts w:ascii="Book Antiqua" w:hAnsi="Book Antiqua" w:cs="Times New Roman"/>
          <w:kern w:val="2"/>
          <w:sz w:val="24"/>
          <w:szCs w:val="24"/>
          <w:lang w:eastAsia="zh-CN"/>
        </w:rPr>
        <w:t xml:space="preserve"> 2002; </w:t>
      </w:r>
      <w:r w:rsidRPr="006055CC">
        <w:rPr>
          <w:rFonts w:ascii="Book Antiqua" w:hAnsi="Book Antiqua" w:cs="Times New Roman"/>
          <w:b/>
          <w:kern w:val="2"/>
          <w:sz w:val="24"/>
          <w:szCs w:val="24"/>
          <w:lang w:eastAsia="zh-CN"/>
        </w:rPr>
        <w:t>324</w:t>
      </w:r>
      <w:r w:rsidRPr="006055CC">
        <w:rPr>
          <w:rFonts w:ascii="Book Antiqua" w:hAnsi="Book Antiqua" w:cs="Times New Roman"/>
          <w:kern w:val="2"/>
          <w:sz w:val="24"/>
          <w:szCs w:val="24"/>
          <w:lang w:eastAsia="zh-CN"/>
        </w:rPr>
        <w:t>: 71-86 [PMID: 11786451]</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3 </w:t>
      </w:r>
      <w:r w:rsidRPr="006055CC">
        <w:rPr>
          <w:rFonts w:ascii="Book Antiqua" w:hAnsi="Book Antiqua" w:cs="Times New Roman"/>
          <w:b/>
          <w:kern w:val="2"/>
          <w:sz w:val="24"/>
          <w:szCs w:val="24"/>
          <w:lang w:eastAsia="zh-CN"/>
        </w:rPr>
        <w:t>Hung J</w:t>
      </w:r>
      <w:r w:rsidRPr="006055CC">
        <w:rPr>
          <w:rFonts w:ascii="Book Antiqua" w:hAnsi="Book Antiqua" w:cs="Times New Roman" w:hint="eastAsia"/>
          <w:kern w:val="2"/>
          <w:sz w:val="24"/>
          <w:szCs w:val="24"/>
          <w:lang w:eastAsia="zh-CN"/>
        </w:rPr>
        <w:t>,</w:t>
      </w:r>
      <w:r w:rsidRPr="006055CC">
        <w:rPr>
          <w:rFonts w:ascii="Book Antiqua" w:hAnsi="Book Antiqua" w:cs="Times New Roman"/>
          <w:kern w:val="2"/>
          <w:sz w:val="24"/>
          <w:szCs w:val="24"/>
          <w:lang w:eastAsia="zh-CN"/>
        </w:rPr>
        <w:t xml:space="preserve"> Medical Issues Committee of the National Heart Foundation of Australia. Aspirin for cardiovascular disease prevention. </w:t>
      </w:r>
      <w:r w:rsidRPr="006055CC">
        <w:rPr>
          <w:rFonts w:ascii="Book Antiqua" w:hAnsi="Book Antiqua" w:cs="Times New Roman"/>
          <w:i/>
          <w:kern w:val="2"/>
          <w:sz w:val="24"/>
          <w:szCs w:val="24"/>
          <w:lang w:eastAsia="zh-CN"/>
        </w:rPr>
        <w:t>Med J Aust</w:t>
      </w:r>
      <w:r w:rsidRPr="006055CC">
        <w:rPr>
          <w:rFonts w:ascii="Book Antiqua" w:hAnsi="Book Antiqua" w:cs="Times New Roman"/>
          <w:kern w:val="2"/>
          <w:sz w:val="24"/>
          <w:szCs w:val="24"/>
          <w:lang w:eastAsia="zh-CN"/>
        </w:rPr>
        <w:t xml:space="preserve"> 2003; </w:t>
      </w:r>
      <w:r w:rsidRPr="006055CC">
        <w:rPr>
          <w:rFonts w:ascii="Book Antiqua" w:hAnsi="Book Antiqua" w:cs="Times New Roman"/>
          <w:b/>
          <w:kern w:val="2"/>
          <w:sz w:val="24"/>
          <w:szCs w:val="24"/>
          <w:lang w:eastAsia="zh-CN"/>
        </w:rPr>
        <w:t>179</w:t>
      </w:r>
      <w:r w:rsidRPr="006055CC">
        <w:rPr>
          <w:rFonts w:ascii="Book Antiqua" w:hAnsi="Book Antiqua" w:cs="Times New Roman"/>
          <w:kern w:val="2"/>
          <w:sz w:val="24"/>
          <w:szCs w:val="24"/>
          <w:lang w:eastAsia="zh-CN"/>
        </w:rPr>
        <w:t>: 147-152 [PMID: 12885284]</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4 </w:t>
      </w:r>
      <w:r w:rsidRPr="006055CC">
        <w:rPr>
          <w:rFonts w:ascii="Book Antiqua" w:hAnsi="Book Antiqua" w:cs="Times New Roman"/>
          <w:b/>
          <w:kern w:val="2"/>
          <w:sz w:val="24"/>
          <w:szCs w:val="24"/>
          <w:lang w:eastAsia="zh-CN"/>
        </w:rPr>
        <w:t>Vane JR</w:t>
      </w:r>
      <w:r w:rsidRPr="006055CC">
        <w:rPr>
          <w:rFonts w:ascii="Book Antiqua" w:hAnsi="Book Antiqua" w:cs="Times New Roman"/>
          <w:kern w:val="2"/>
          <w:sz w:val="24"/>
          <w:szCs w:val="24"/>
          <w:lang w:eastAsia="zh-CN"/>
        </w:rPr>
        <w:t xml:space="preserve">. Inhibition of prostaglandin synthesis as a mechanism of action for aspirin-like drugs. </w:t>
      </w:r>
      <w:r w:rsidRPr="006055CC">
        <w:rPr>
          <w:rFonts w:ascii="Book Antiqua" w:hAnsi="Book Antiqua" w:cs="Times New Roman"/>
          <w:i/>
          <w:kern w:val="2"/>
          <w:sz w:val="24"/>
          <w:szCs w:val="24"/>
          <w:lang w:eastAsia="zh-CN"/>
        </w:rPr>
        <w:t>Nat New Biol</w:t>
      </w:r>
      <w:r w:rsidRPr="006055CC">
        <w:rPr>
          <w:rFonts w:ascii="Book Antiqua" w:hAnsi="Book Antiqua" w:cs="Times New Roman"/>
          <w:kern w:val="2"/>
          <w:sz w:val="24"/>
          <w:szCs w:val="24"/>
          <w:lang w:eastAsia="zh-CN"/>
        </w:rPr>
        <w:t xml:space="preserve"> 1971; </w:t>
      </w:r>
      <w:r w:rsidRPr="006055CC">
        <w:rPr>
          <w:rFonts w:ascii="Book Antiqua" w:hAnsi="Book Antiqua" w:cs="Times New Roman"/>
          <w:b/>
          <w:kern w:val="2"/>
          <w:sz w:val="24"/>
          <w:szCs w:val="24"/>
          <w:lang w:eastAsia="zh-CN"/>
        </w:rPr>
        <w:t>231</w:t>
      </w:r>
      <w:r w:rsidRPr="006055CC">
        <w:rPr>
          <w:rFonts w:ascii="Book Antiqua" w:hAnsi="Book Antiqua" w:cs="Times New Roman"/>
          <w:kern w:val="2"/>
          <w:sz w:val="24"/>
          <w:szCs w:val="24"/>
          <w:lang w:eastAsia="zh-CN"/>
        </w:rPr>
        <w:t>: 232-235 [PMID: 5284360]</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5 </w:t>
      </w:r>
      <w:r w:rsidRPr="006055CC">
        <w:rPr>
          <w:rFonts w:ascii="Book Antiqua" w:hAnsi="Book Antiqua" w:cs="Times New Roman"/>
          <w:b/>
          <w:kern w:val="2"/>
          <w:sz w:val="24"/>
          <w:szCs w:val="24"/>
          <w:lang w:eastAsia="zh-CN"/>
        </w:rPr>
        <w:t>Dubois RN</w:t>
      </w:r>
      <w:r w:rsidRPr="006055CC">
        <w:rPr>
          <w:rFonts w:ascii="Book Antiqua" w:hAnsi="Book Antiqua" w:cs="Times New Roman"/>
          <w:kern w:val="2"/>
          <w:sz w:val="24"/>
          <w:szCs w:val="24"/>
          <w:lang w:eastAsia="zh-CN"/>
        </w:rPr>
        <w:t xml:space="preserve">, Abramson SB, Crofford L, Gupta RA, Simon LS, Van De Putte LB, Lipsky PE. Cyclooxygenase in biology and disease. </w:t>
      </w:r>
      <w:r w:rsidRPr="006055CC">
        <w:rPr>
          <w:rFonts w:ascii="Book Antiqua" w:hAnsi="Book Antiqua" w:cs="Times New Roman"/>
          <w:i/>
          <w:kern w:val="2"/>
          <w:sz w:val="24"/>
          <w:szCs w:val="24"/>
          <w:lang w:eastAsia="zh-CN"/>
        </w:rPr>
        <w:t>FASEB J</w:t>
      </w:r>
      <w:r w:rsidRPr="006055CC">
        <w:rPr>
          <w:rFonts w:ascii="Book Antiqua" w:hAnsi="Book Antiqua" w:cs="Times New Roman"/>
          <w:kern w:val="2"/>
          <w:sz w:val="24"/>
          <w:szCs w:val="24"/>
          <w:lang w:eastAsia="zh-CN"/>
        </w:rPr>
        <w:t xml:space="preserve"> 1998; </w:t>
      </w:r>
      <w:r w:rsidRPr="006055CC">
        <w:rPr>
          <w:rFonts w:ascii="Book Antiqua" w:hAnsi="Book Antiqua" w:cs="Times New Roman"/>
          <w:b/>
          <w:kern w:val="2"/>
          <w:sz w:val="24"/>
          <w:szCs w:val="24"/>
          <w:lang w:eastAsia="zh-CN"/>
        </w:rPr>
        <w:t>12</w:t>
      </w:r>
      <w:r w:rsidRPr="006055CC">
        <w:rPr>
          <w:rFonts w:ascii="Book Antiqua" w:hAnsi="Book Antiqua" w:cs="Times New Roman"/>
          <w:kern w:val="2"/>
          <w:sz w:val="24"/>
          <w:szCs w:val="24"/>
          <w:lang w:eastAsia="zh-CN"/>
        </w:rPr>
        <w:t>: 1063-1073 [PMID: 9737710]</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6 </w:t>
      </w:r>
      <w:r w:rsidRPr="006055CC">
        <w:rPr>
          <w:rFonts w:ascii="Book Antiqua" w:hAnsi="Book Antiqua" w:cs="Times New Roman"/>
          <w:b/>
          <w:kern w:val="2"/>
          <w:sz w:val="24"/>
          <w:szCs w:val="24"/>
          <w:lang w:eastAsia="zh-CN"/>
        </w:rPr>
        <w:t>Warner TD</w:t>
      </w:r>
      <w:r w:rsidRPr="006055CC">
        <w:rPr>
          <w:rFonts w:ascii="Book Antiqua" w:hAnsi="Book Antiqua" w:cs="Times New Roman"/>
          <w:kern w:val="2"/>
          <w:sz w:val="24"/>
          <w:szCs w:val="24"/>
          <w:lang w:eastAsia="zh-CN"/>
        </w:rPr>
        <w:t xml:space="preserve">, Mitchell JA. Cyclooxygenases: new forms, new inhibitors, and lessons from the clinic. </w:t>
      </w:r>
      <w:r w:rsidRPr="006055CC">
        <w:rPr>
          <w:rFonts w:ascii="Book Antiqua" w:hAnsi="Book Antiqua" w:cs="Times New Roman"/>
          <w:i/>
          <w:kern w:val="2"/>
          <w:sz w:val="24"/>
          <w:szCs w:val="24"/>
          <w:lang w:eastAsia="zh-CN"/>
        </w:rPr>
        <w:t>FASEB J</w:t>
      </w:r>
      <w:r w:rsidRPr="006055CC">
        <w:rPr>
          <w:rFonts w:ascii="Book Antiqua" w:hAnsi="Book Antiqua" w:cs="Times New Roman"/>
          <w:kern w:val="2"/>
          <w:sz w:val="24"/>
          <w:szCs w:val="24"/>
          <w:lang w:eastAsia="zh-CN"/>
        </w:rPr>
        <w:t xml:space="preserve"> 2004; </w:t>
      </w:r>
      <w:r w:rsidRPr="006055CC">
        <w:rPr>
          <w:rFonts w:ascii="Book Antiqua" w:hAnsi="Book Antiqua" w:cs="Times New Roman"/>
          <w:b/>
          <w:kern w:val="2"/>
          <w:sz w:val="24"/>
          <w:szCs w:val="24"/>
          <w:lang w:eastAsia="zh-CN"/>
        </w:rPr>
        <w:t>18</w:t>
      </w:r>
      <w:r w:rsidRPr="006055CC">
        <w:rPr>
          <w:rFonts w:ascii="Book Antiqua" w:hAnsi="Book Antiqua" w:cs="Times New Roman"/>
          <w:kern w:val="2"/>
          <w:sz w:val="24"/>
          <w:szCs w:val="24"/>
          <w:lang w:eastAsia="zh-CN"/>
        </w:rPr>
        <w:t>: 790-804 [PMID: 15117884 DOI: 10.1096/fj.03-0645rev]</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7 </w:t>
      </w:r>
      <w:r w:rsidRPr="006055CC">
        <w:rPr>
          <w:rFonts w:ascii="Book Antiqua" w:hAnsi="Book Antiqua" w:cs="Times New Roman"/>
          <w:b/>
          <w:kern w:val="2"/>
          <w:sz w:val="24"/>
          <w:szCs w:val="24"/>
          <w:lang w:eastAsia="zh-CN"/>
        </w:rPr>
        <w:t>Halter F</w:t>
      </w:r>
      <w:r w:rsidRPr="006055CC">
        <w:rPr>
          <w:rFonts w:ascii="Book Antiqua" w:hAnsi="Book Antiqua" w:cs="Times New Roman"/>
          <w:kern w:val="2"/>
          <w:sz w:val="24"/>
          <w:szCs w:val="24"/>
          <w:lang w:eastAsia="zh-CN"/>
        </w:rPr>
        <w:t xml:space="preserve">, Tarnawski AS, Schmassmann A, Peskar BM. Cyclooxygenase 2-implications on maintenance of gastric mucosal integrity and ulcer healing: controversial issues and perspectives. </w:t>
      </w:r>
      <w:r w:rsidRPr="006055CC">
        <w:rPr>
          <w:rFonts w:ascii="Book Antiqua" w:hAnsi="Book Antiqua" w:cs="Times New Roman"/>
          <w:i/>
          <w:kern w:val="2"/>
          <w:sz w:val="24"/>
          <w:szCs w:val="24"/>
          <w:lang w:eastAsia="zh-CN"/>
        </w:rPr>
        <w:t>Gut</w:t>
      </w:r>
      <w:r w:rsidRPr="006055CC">
        <w:rPr>
          <w:rFonts w:ascii="Book Antiqua" w:hAnsi="Book Antiqua" w:cs="Times New Roman"/>
          <w:kern w:val="2"/>
          <w:sz w:val="24"/>
          <w:szCs w:val="24"/>
          <w:lang w:eastAsia="zh-CN"/>
        </w:rPr>
        <w:t xml:space="preserve"> 2001; </w:t>
      </w:r>
      <w:r w:rsidRPr="006055CC">
        <w:rPr>
          <w:rFonts w:ascii="Book Antiqua" w:hAnsi="Book Antiqua" w:cs="Times New Roman"/>
          <w:b/>
          <w:kern w:val="2"/>
          <w:sz w:val="24"/>
          <w:szCs w:val="24"/>
          <w:lang w:eastAsia="zh-CN"/>
        </w:rPr>
        <w:t>49</w:t>
      </w:r>
      <w:r w:rsidRPr="006055CC">
        <w:rPr>
          <w:rFonts w:ascii="Book Antiqua" w:hAnsi="Book Antiqua" w:cs="Times New Roman"/>
          <w:kern w:val="2"/>
          <w:sz w:val="24"/>
          <w:szCs w:val="24"/>
          <w:lang w:eastAsia="zh-CN"/>
        </w:rPr>
        <w:t>: 443-453 [PMID: 11511570]</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8 </w:t>
      </w:r>
      <w:r w:rsidRPr="006055CC">
        <w:rPr>
          <w:rFonts w:ascii="Book Antiqua" w:hAnsi="Book Antiqua" w:cs="Times New Roman"/>
          <w:b/>
          <w:kern w:val="2"/>
          <w:sz w:val="24"/>
          <w:szCs w:val="24"/>
          <w:lang w:eastAsia="zh-CN"/>
        </w:rPr>
        <w:t>Patrono C</w:t>
      </w:r>
      <w:r w:rsidRPr="006055CC">
        <w:rPr>
          <w:rFonts w:ascii="Book Antiqua" w:hAnsi="Book Antiqua" w:cs="Times New Roman"/>
          <w:kern w:val="2"/>
          <w:sz w:val="24"/>
          <w:szCs w:val="24"/>
          <w:lang w:eastAsia="zh-CN"/>
        </w:rPr>
        <w:t xml:space="preserve">, García Rodríguez LA, Landolfi R, Baigent C. Low-dose aspirin for the prevention of atherothrombosis. </w:t>
      </w:r>
      <w:r w:rsidRPr="006055CC">
        <w:rPr>
          <w:rFonts w:ascii="Book Antiqua" w:hAnsi="Book Antiqua" w:cs="Times New Roman"/>
          <w:i/>
          <w:kern w:val="2"/>
          <w:sz w:val="24"/>
          <w:szCs w:val="24"/>
          <w:lang w:eastAsia="zh-CN"/>
        </w:rPr>
        <w:t>N Engl J Med</w:t>
      </w:r>
      <w:r w:rsidRPr="006055CC">
        <w:rPr>
          <w:rFonts w:ascii="Book Antiqua" w:hAnsi="Book Antiqua" w:cs="Times New Roman"/>
          <w:kern w:val="2"/>
          <w:sz w:val="24"/>
          <w:szCs w:val="24"/>
          <w:lang w:eastAsia="zh-CN"/>
        </w:rPr>
        <w:t xml:space="preserve"> 2005; </w:t>
      </w:r>
      <w:r w:rsidRPr="006055CC">
        <w:rPr>
          <w:rFonts w:ascii="Book Antiqua" w:hAnsi="Book Antiqua" w:cs="Times New Roman"/>
          <w:b/>
          <w:kern w:val="2"/>
          <w:sz w:val="24"/>
          <w:szCs w:val="24"/>
          <w:lang w:eastAsia="zh-CN"/>
        </w:rPr>
        <w:t>353</w:t>
      </w:r>
      <w:r w:rsidRPr="006055CC">
        <w:rPr>
          <w:rFonts w:ascii="Book Antiqua" w:hAnsi="Book Antiqua" w:cs="Times New Roman"/>
          <w:kern w:val="2"/>
          <w:sz w:val="24"/>
          <w:szCs w:val="24"/>
          <w:lang w:eastAsia="zh-CN"/>
        </w:rPr>
        <w:t>: 2373-2383 [PMID: 16319386 DOI: 10.1056/NEJMra052717]</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9 </w:t>
      </w:r>
      <w:r w:rsidRPr="006055CC">
        <w:rPr>
          <w:rFonts w:ascii="Book Antiqua" w:hAnsi="Book Antiqua" w:cs="Times New Roman"/>
          <w:b/>
          <w:kern w:val="2"/>
          <w:sz w:val="24"/>
          <w:szCs w:val="24"/>
          <w:lang w:eastAsia="zh-CN"/>
        </w:rPr>
        <w:t>Baigent C</w:t>
      </w:r>
      <w:r w:rsidRPr="006055CC">
        <w:rPr>
          <w:rFonts w:ascii="Book Antiqua" w:hAnsi="Book Antiqua" w:cs="Times New Roman"/>
          <w:kern w:val="2"/>
          <w:sz w:val="24"/>
          <w:szCs w:val="24"/>
          <w:lang w:eastAsia="zh-CN"/>
        </w:rPr>
        <w:t xml:space="preserve">, Patrono C. Selective cyclooxygenase 2 inhibitors, aspirin, and cardiovascular disease: a reappraisal. </w:t>
      </w:r>
      <w:r w:rsidRPr="006055CC">
        <w:rPr>
          <w:rFonts w:ascii="Book Antiqua" w:hAnsi="Book Antiqua" w:cs="Times New Roman"/>
          <w:i/>
          <w:kern w:val="2"/>
          <w:sz w:val="24"/>
          <w:szCs w:val="24"/>
          <w:lang w:eastAsia="zh-CN"/>
        </w:rPr>
        <w:t>Arthritis Rheum</w:t>
      </w:r>
      <w:r w:rsidRPr="006055CC">
        <w:rPr>
          <w:rFonts w:ascii="Book Antiqua" w:hAnsi="Book Antiqua" w:cs="Times New Roman"/>
          <w:kern w:val="2"/>
          <w:sz w:val="24"/>
          <w:szCs w:val="24"/>
          <w:lang w:eastAsia="zh-CN"/>
        </w:rPr>
        <w:t xml:space="preserve"> 2003; </w:t>
      </w:r>
      <w:r w:rsidRPr="006055CC">
        <w:rPr>
          <w:rFonts w:ascii="Book Antiqua" w:hAnsi="Book Antiqua" w:cs="Times New Roman"/>
          <w:b/>
          <w:kern w:val="2"/>
          <w:sz w:val="24"/>
          <w:szCs w:val="24"/>
          <w:lang w:eastAsia="zh-CN"/>
        </w:rPr>
        <w:t>48</w:t>
      </w:r>
      <w:r w:rsidRPr="006055CC">
        <w:rPr>
          <w:rFonts w:ascii="Book Antiqua" w:hAnsi="Book Antiqua" w:cs="Times New Roman"/>
          <w:kern w:val="2"/>
          <w:sz w:val="24"/>
          <w:szCs w:val="24"/>
          <w:lang w:eastAsia="zh-CN"/>
        </w:rPr>
        <w:t>: 12-20 [PMID: 12528099 DOI: 10.1002/art.10738]</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10 </w:t>
      </w:r>
      <w:r w:rsidRPr="006055CC">
        <w:rPr>
          <w:rFonts w:ascii="Book Antiqua" w:hAnsi="Book Antiqua" w:cs="Times New Roman"/>
          <w:b/>
          <w:kern w:val="2"/>
          <w:sz w:val="24"/>
          <w:szCs w:val="24"/>
          <w:lang w:eastAsia="zh-CN"/>
        </w:rPr>
        <w:t>Bombardier C</w:t>
      </w:r>
      <w:r w:rsidRPr="006055CC">
        <w:rPr>
          <w:rFonts w:ascii="Book Antiqua" w:hAnsi="Book Antiqua" w:cs="Times New Roman"/>
          <w:kern w:val="2"/>
          <w:sz w:val="24"/>
          <w:szCs w:val="24"/>
          <w:lang w:eastAsia="zh-CN"/>
        </w:rPr>
        <w:t xml:space="preserve">, Laine L, Reicin A, Shapiro D, Burgos-Vargas R, Davis B, Day R, Ferraz MB, Hawkey CJ, Hochberg MC, Kvien TK, Schnitzer TJ; VIGOR Study Group. Comparison of upper gastrointestinal toxicity of rofecoxib and naproxen in patients </w:t>
      </w:r>
      <w:r w:rsidRPr="006055CC">
        <w:rPr>
          <w:rFonts w:ascii="Book Antiqua" w:hAnsi="Book Antiqua" w:cs="Times New Roman"/>
          <w:kern w:val="2"/>
          <w:sz w:val="24"/>
          <w:szCs w:val="24"/>
          <w:lang w:eastAsia="zh-CN"/>
        </w:rPr>
        <w:lastRenderedPageBreak/>
        <w:t xml:space="preserve">with rheumatoid arthritis. VIGOR Study Group. </w:t>
      </w:r>
      <w:r w:rsidRPr="006055CC">
        <w:rPr>
          <w:rFonts w:ascii="Book Antiqua" w:hAnsi="Book Antiqua" w:cs="Times New Roman"/>
          <w:i/>
          <w:kern w:val="2"/>
          <w:sz w:val="24"/>
          <w:szCs w:val="24"/>
          <w:lang w:eastAsia="zh-CN"/>
        </w:rPr>
        <w:t>N Engl J Med</w:t>
      </w:r>
      <w:r w:rsidRPr="006055CC">
        <w:rPr>
          <w:rFonts w:ascii="Book Antiqua" w:hAnsi="Book Antiqua" w:cs="Times New Roman"/>
          <w:kern w:val="2"/>
          <w:sz w:val="24"/>
          <w:szCs w:val="24"/>
          <w:lang w:eastAsia="zh-CN"/>
        </w:rPr>
        <w:t xml:space="preserve"> 2000; </w:t>
      </w:r>
      <w:r w:rsidRPr="006055CC">
        <w:rPr>
          <w:rFonts w:ascii="Book Antiqua" w:hAnsi="Book Antiqua" w:cs="Times New Roman"/>
          <w:b/>
          <w:kern w:val="2"/>
          <w:sz w:val="24"/>
          <w:szCs w:val="24"/>
          <w:lang w:eastAsia="zh-CN"/>
        </w:rPr>
        <w:t>343</w:t>
      </w:r>
      <w:r w:rsidRPr="006055CC">
        <w:rPr>
          <w:rFonts w:ascii="Book Antiqua" w:hAnsi="Book Antiqua" w:cs="Times New Roman"/>
          <w:kern w:val="2"/>
          <w:sz w:val="24"/>
          <w:szCs w:val="24"/>
          <w:lang w:eastAsia="zh-CN"/>
        </w:rPr>
        <w:t>: 1520-1528, 2p following 1528 [PMID: 11087881 DOI: 10.1056/NEJM200011233432103]</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11 </w:t>
      </w:r>
      <w:r w:rsidRPr="006055CC">
        <w:rPr>
          <w:rFonts w:ascii="Book Antiqua" w:hAnsi="Book Antiqua" w:cs="Times New Roman"/>
          <w:b/>
          <w:kern w:val="2"/>
          <w:sz w:val="24"/>
          <w:szCs w:val="24"/>
          <w:lang w:eastAsia="zh-CN"/>
        </w:rPr>
        <w:t>Weil J</w:t>
      </w:r>
      <w:r w:rsidRPr="006055CC">
        <w:rPr>
          <w:rFonts w:ascii="Book Antiqua" w:hAnsi="Book Antiqua" w:cs="Times New Roman"/>
          <w:kern w:val="2"/>
          <w:sz w:val="24"/>
          <w:szCs w:val="24"/>
          <w:lang w:eastAsia="zh-CN"/>
        </w:rPr>
        <w:t xml:space="preserve">, Colin-Jones D, Langman M, Lawson D, Logan R, Murphy M, Rawlins M, Vessey M, Wainwright P. Prophylactic aspirin and risk of peptic ulcer bleeding. </w:t>
      </w:r>
      <w:r w:rsidRPr="006055CC">
        <w:rPr>
          <w:rFonts w:ascii="Book Antiqua" w:hAnsi="Book Antiqua" w:cs="Times New Roman"/>
          <w:i/>
          <w:kern w:val="2"/>
          <w:sz w:val="24"/>
          <w:szCs w:val="24"/>
          <w:lang w:eastAsia="zh-CN"/>
        </w:rPr>
        <w:t>BMJ</w:t>
      </w:r>
      <w:r w:rsidRPr="006055CC">
        <w:rPr>
          <w:rFonts w:ascii="Book Antiqua" w:hAnsi="Book Antiqua" w:cs="Times New Roman"/>
          <w:kern w:val="2"/>
          <w:sz w:val="24"/>
          <w:szCs w:val="24"/>
          <w:lang w:eastAsia="zh-CN"/>
        </w:rPr>
        <w:t xml:space="preserve"> 1995; </w:t>
      </w:r>
      <w:r w:rsidRPr="006055CC">
        <w:rPr>
          <w:rFonts w:ascii="Book Antiqua" w:hAnsi="Book Antiqua" w:cs="Times New Roman"/>
          <w:b/>
          <w:kern w:val="2"/>
          <w:sz w:val="24"/>
          <w:szCs w:val="24"/>
          <w:lang w:eastAsia="zh-CN"/>
        </w:rPr>
        <w:t>310</w:t>
      </w:r>
      <w:r w:rsidRPr="006055CC">
        <w:rPr>
          <w:rFonts w:ascii="Book Antiqua" w:hAnsi="Book Antiqua" w:cs="Times New Roman"/>
          <w:kern w:val="2"/>
          <w:sz w:val="24"/>
          <w:szCs w:val="24"/>
          <w:lang w:eastAsia="zh-CN"/>
        </w:rPr>
        <w:t>: 827-830 [PMID: 7711618]</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12 </w:t>
      </w:r>
      <w:r w:rsidRPr="006055CC">
        <w:rPr>
          <w:rFonts w:ascii="Book Antiqua" w:hAnsi="Book Antiqua" w:cs="Times New Roman"/>
          <w:b/>
          <w:kern w:val="2"/>
          <w:sz w:val="24"/>
          <w:szCs w:val="24"/>
          <w:lang w:eastAsia="zh-CN"/>
        </w:rPr>
        <w:t>Derry S</w:t>
      </w:r>
      <w:r w:rsidRPr="006055CC">
        <w:rPr>
          <w:rFonts w:ascii="Book Antiqua" w:hAnsi="Book Antiqua" w:cs="Times New Roman"/>
          <w:kern w:val="2"/>
          <w:sz w:val="24"/>
          <w:szCs w:val="24"/>
          <w:lang w:eastAsia="zh-CN"/>
        </w:rPr>
        <w:t xml:space="preserve">, Loke YK. Risk of gastrointestinal haemorrhage with long term use of aspirin: meta-analysis. </w:t>
      </w:r>
      <w:r w:rsidRPr="006055CC">
        <w:rPr>
          <w:rFonts w:ascii="Book Antiqua" w:hAnsi="Book Antiqua" w:cs="Times New Roman"/>
          <w:i/>
          <w:kern w:val="2"/>
          <w:sz w:val="24"/>
          <w:szCs w:val="24"/>
          <w:lang w:eastAsia="zh-CN"/>
        </w:rPr>
        <w:t>BMJ</w:t>
      </w:r>
      <w:r w:rsidRPr="006055CC">
        <w:rPr>
          <w:rFonts w:ascii="Book Antiqua" w:hAnsi="Book Antiqua" w:cs="Times New Roman"/>
          <w:kern w:val="2"/>
          <w:sz w:val="24"/>
          <w:szCs w:val="24"/>
          <w:lang w:eastAsia="zh-CN"/>
        </w:rPr>
        <w:t xml:space="preserve"> 2000; </w:t>
      </w:r>
      <w:r w:rsidRPr="006055CC">
        <w:rPr>
          <w:rFonts w:ascii="Book Antiqua" w:hAnsi="Book Antiqua" w:cs="Times New Roman"/>
          <w:b/>
          <w:kern w:val="2"/>
          <w:sz w:val="24"/>
          <w:szCs w:val="24"/>
          <w:lang w:eastAsia="zh-CN"/>
        </w:rPr>
        <w:t>321</w:t>
      </w:r>
      <w:r w:rsidRPr="006055CC">
        <w:rPr>
          <w:rFonts w:ascii="Book Antiqua" w:hAnsi="Book Antiqua" w:cs="Times New Roman"/>
          <w:kern w:val="2"/>
          <w:sz w:val="24"/>
          <w:szCs w:val="24"/>
          <w:lang w:eastAsia="zh-CN"/>
        </w:rPr>
        <w:t>: 1183-1187 [PMID: 11073508]</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13 </w:t>
      </w:r>
      <w:r w:rsidRPr="006055CC">
        <w:rPr>
          <w:rFonts w:ascii="Book Antiqua" w:hAnsi="Book Antiqua" w:cs="Times New Roman"/>
          <w:b/>
          <w:kern w:val="2"/>
          <w:sz w:val="24"/>
          <w:szCs w:val="24"/>
          <w:lang w:eastAsia="zh-CN"/>
        </w:rPr>
        <w:t>Fries JF</w:t>
      </w:r>
      <w:r w:rsidRPr="006055CC">
        <w:rPr>
          <w:rFonts w:ascii="Book Antiqua" w:hAnsi="Book Antiqua" w:cs="Times New Roman"/>
          <w:kern w:val="2"/>
          <w:sz w:val="24"/>
          <w:szCs w:val="24"/>
          <w:lang w:eastAsia="zh-CN"/>
        </w:rPr>
        <w:t xml:space="preserve">, Bruce B. Rates of serious gastrointestinal events from low dose use of acetylsalicylic acid, acetaminophen, and ibuprofen in patients with osteoarthritis and rheumatoid arthritis. </w:t>
      </w:r>
      <w:r w:rsidRPr="006055CC">
        <w:rPr>
          <w:rFonts w:ascii="Book Antiqua" w:hAnsi="Book Antiqua" w:cs="Times New Roman"/>
          <w:i/>
          <w:kern w:val="2"/>
          <w:sz w:val="24"/>
          <w:szCs w:val="24"/>
          <w:lang w:eastAsia="zh-CN"/>
        </w:rPr>
        <w:t>J Rheumatol</w:t>
      </w:r>
      <w:r w:rsidRPr="006055CC">
        <w:rPr>
          <w:rFonts w:ascii="Book Antiqua" w:hAnsi="Book Antiqua" w:cs="Times New Roman"/>
          <w:kern w:val="2"/>
          <w:sz w:val="24"/>
          <w:szCs w:val="24"/>
          <w:lang w:eastAsia="zh-CN"/>
        </w:rPr>
        <w:t xml:space="preserve"> 2003; </w:t>
      </w:r>
      <w:r w:rsidRPr="006055CC">
        <w:rPr>
          <w:rFonts w:ascii="Book Antiqua" w:hAnsi="Book Antiqua" w:cs="Times New Roman"/>
          <w:b/>
          <w:kern w:val="2"/>
          <w:sz w:val="24"/>
          <w:szCs w:val="24"/>
          <w:lang w:eastAsia="zh-CN"/>
        </w:rPr>
        <w:t>30</w:t>
      </w:r>
      <w:r w:rsidRPr="006055CC">
        <w:rPr>
          <w:rFonts w:ascii="Book Antiqua" w:hAnsi="Book Antiqua" w:cs="Times New Roman"/>
          <w:kern w:val="2"/>
          <w:sz w:val="24"/>
          <w:szCs w:val="24"/>
          <w:lang w:eastAsia="zh-CN"/>
        </w:rPr>
        <w:t>: 2226-2233 [PMID: 14528521]</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14 </w:t>
      </w:r>
      <w:r w:rsidRPr="006055CC">
        <w:rPr>
          <w:rFonts w:ascii="Book Antiqua" w:hAnsi="Book Antiqua" w:cs="Times New Roman"/>
          <w:b/>
          <w:kern w:val="2"/>
          <w:sz w:val="24"/>
          <w:szCs w:val="24"/>
          <w:lang w:eastAsia="zh-CN"/>
        </w:rPr>
        <w:t>Sibilia J</w:t>
      </w:r>
      <w:r w:rsidRPr="006055CC">
        <w:rPr>
          <w:rFonts w:ascii="Book Antiqua" w:hAnsi="Book Antiqua" w:cs="Times New Roman"/>
          <w:kern w:val="2"/>
          <w:sz w:val="24"/>
          <w:szCs w:val="24"/>
          <w:lang w:eastAsia="zh-CN"/>
        </w:rPr>
        <w:t xml:space="preserve">, Ravaud P, Marck G. [Digestive and hemorrhage complications of low-dose aspirin]. </w:t>
      </w:r>
      <w:r w:rsidRPr="006055CC">
        <w:rPr>
          <w:rFonts w:ascii="Book Antiqua" w:hAnsi="Book Antiqua" w:cs="Times New Roman"/>
          <w:i/>
          <w:kern w:val="2"/>
          <w:sz w:val="24"/>
          <w:szCs w:val="24"/>
          <w:lang w:eastAsia="zh-CN"/>
        </w:rPr>
        <w:t>Presse Med</w:t>
      </w:r>
      <w:r w:rsidRPr="006055CC">
        <w:rPr>
          <w:rFonts w:ascii="Book Antiqua" w:hAnsi="Book Antiqua" w:cs="Times New Roman"/>
          <w:kern w:val="2"/>
          <w:sz w:val="24"/>
          <w:szCs w:val="24"/>
          <w:lang w:eastAsia="zh-CN"/>
        </w:rPr>
        <w:t xml:space="preserve"> 2003; </w:t>
      </w:r>
      <w:r w:rsidRPr="006055CC">
        <w:rPr>
          <w:rFonts w:ascii="Book Antiqua" w:hAnsi="Book Antiqua" w:cs="Times New Roman"/>
          <w:b/>
          <w:kern w:val="2"/>
          <w:sz w:val="24"/>
          <w:szCs w:val="24"/>
          <w:lang w:eastAsia="zh-CN"/>
        </w:rPr>
        <w:t>32</w:t>
      </w:r>
      <w:r w:rsidRPr="006055CC">
        <w:rPr>
          <w:rFonts w:ascii="Book Antiqua" w:hAnsi="Book Antiqua" w:cs="Times New Roman"/>
          <w:kern w:val="2"/>
          <w:sz w:val="24"/>
          <w:szCs w:val="24"/>
          <w:lang w:eastAsia="zh-CN"/>
        </w:rPr>
        <w:t>: S17-S28 [PMID: 14763350]</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15 </w:t>
      </w:r>
      <w:r w:rsidRPr="006055CC">
        <w:rPr>
          <w:rFonts w:ascii="Book Antiqua" w:hAnsi="Book Antiqua" w:cs="Times New Roman"/>
          <w:b/>
          <w:kern w:val="2"/>
          <w:sz w:val="24"/>
          <w:szCs w:val="24"/>
          <w:lang w:eastAsia="zh-CN"/>
        </w:rPr>
        <w:t>Papatheodoridis GV</w:t>
      </w:r>
      <w:r w:rsidRPr="006055CC">
        <w:rPr>
          <w:rFonts w:ascii="Book Antiqua" w:hAnsi="Book Antiqua" w:cs="Times New Roman"/>
          <w:kern w:val="2"/>
          <w:sz w:val="24"/>
          <w:szCs w:val="24"/>
          <w:lang w:eastAsia="zh-CN"/>
        </w:rPr>
        <w:t xml:space="preserve">, Sougioultzis S, Archimandritis AJ. Effects of Helicobacter pylori and nonsteroidal anti-inflammatory drugs on peptic ulcer disease: a systematic review. </w:t>
      </w:r>
      <w:r w:rsidRPr="006055CC">
        <w:rPr>
          <w:rFonts w:ascii="Book Antiqua" w:hAnsi="Book Antiqua" w:cs="Times New Roman"/>
          <w:i/>
          <w:kern w:val="2"/>
          <w:sz w:val="24"/>
          <w:szCs w:val="24"/>
          <w:lang w:eastAsia="zh-CN"/>
        </w:rPr>
        <w:t>Clin Gastroenterol Hepatol</w:t>
      </w:r>
      <w:r w:rsidRPr="006055CC">
        <w:rPr>
          <w:rFonts w:ascii="Book Antiqua" w:hAnsi="Book Antiqua" w:cs="Times New Roman"/>
          <w:kern w:val="2"/>
          <w:sz w:val="24"/>
          <w:szCs w:val="24"/>
          <w:lang w:eastAsia="zh-CN"/>
        </w:rPr>
        <w:t xml:space="preserve"> 2006; </w:t>
      </w:r>
      <w:r w:rsidRPr="006055CC">
        <w:rPr>
          <w:rFonts w:ascii="Book Antiqua" w:hAnsi="Book Antiqua" w:cs="Times New Roman"/>
          <w:b/>
          <w:kern w:val="2"/>
          <w:sz w:val="24"/>
          <w:szCs w:val="24"/>
          <w:lang w:eastAsia="zh-CN"/>
        </w:rPr>
        <w:t>4</w:t>
      </w:r>
      <w:r w:rsidRPr="006055CC">
        <w:rPr>
          <w:rFonts w:ascii="Book Antiqua" w:hAnsi="Book Antiqua" w:cs="Times New Roman"/>
          <w:kern w:val="2"/>
          <w:sz w:val="24"/>
          <w:szCs w:val="24"/>
          <w:lang w:eastAsia="zh-CN"/>
        </w:rPr>
        <w:t>: 130-142 [PMID: 16469671 DOI: 10.1016/j.cgh.2005.10.006]</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16 </w:t>
      </w:r>
      <w:r w:rsidRPr="006055CC">
        <w:rPr>
          <w:rFonts w:ascii="Book Antiqua" w:hAnsi="Book Antiqua" w:cs="Times New Roman"/>
          <w:b/>
          <w:kern w:val="2"/>
          <w:sz w:val="24"/>
          <w:szCs w:val="24"/>
          <w:lang w:eastAsia="zh-CN"/>
        </w:rPr>
        <w:t>Venerito M</w:t>
      </w:r>
      <w:r w:rsidRPr="006055CC">
        <w:rPr>
          <w:rFonts w:ascii="Book Antiqua" w:hAnsi="Book Antiqua" w:cs="Times New Roman"/>
          <w:kern w:val="2"/>
          <w:sz w:val="24"/>
          <w:szCs w:val="24"/>
          <w:lang w:eastAsia="zh-CN"/>
        </w:rPr>
        <w:t xml:space="preserve">, Wex T, Malfertheiner P. Nonsteroidal Anti-Inflammatory Drug-Induced Gastroduodenal Bleeding: Risk Factors and Prevention Strategies. </w:t>
      </w:r>
      <w:r w:rsidRPr="006055CC">
        <w:rPr>
          <w:rFonts w:ascii="Book Antiqua" w:hAnsi="Book Antiqua" w:cs="Times New Roman"/>
          <w:i/>
          <w:kern w:val="2"/>
          <w:sz w:val="24"/>
          <w:szCs w:val="24"/>
          <w:lang w:eastAsia="zh-CN"/>
        </w:rPr>
        <w:t xml:space="preserve">Pharmaceuticals </w:t>
      </w:r>
      <w:r w:rsidRPr="006055CC">
        <w:rPr>
          <w:rFonts w:ascii="Book Antiqua" w:hAnsi="Book Antiqua" w:cs="Times New Roman"/>
          <w:kern w:val="2"/>
          <w:sz w:val="24"/>
          <w:szCs w:val="24"/>
          <w:lang w:eastAsia="zh-CN"/>
        </w:rPr>
        <w:t xml:space="preserve">(Basel) 2010; </w:t>
      </w:r>
      <w:r w:rsidRPr="006055CC">
        <w:rPr>
          <w:rFonts w:ascii="Book Antiqua" w:hAnsi="Book Antiqua" w:cs="Times New Roman"/>
          <w:b/>
          <w:kern w:val="2"/>
          <w:sz w:val="24"/>
          <w:szCs w:val="24"/>
          <w:lang w:eastAsia="zh-CN"/>
        </w:rPr>
        <w:t>3</w:t>
      </w:r>
      <w:r w:rsidRPr="006055CC">
        <w:rPr>
          <w:rFonts w:ascii="Book Antiqua" w:hAnsi="Book Antiqua" w:cs="Times New Roman"/>
          <w:kern w:val="2"/>
          <w:sz w:val="24"/>
          <w:szCs w:val="24"/>
          <w:lang w:eastAsia="zh-CN"/>
        </w:rPr>
        <w:t>: 2225-2237 [PMID: 27713351 DOI: 10.3390/ph3072225]</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17 </w:t>
      </w:r>
      <w:r w:rsidRPr="006055CC">
        <w:rPr>
          <w:rFonts w:ascii="Book Antiqua" w:hAnsi="Book Antiqua" w:cs="Times New Roman"/>
          <w:b/>
          <w:kern w:val="2"/>
          <w:sz w:val="24"/>
          <w:szCs w:val="24"/>
          <w:lang w:eastAsia="zh-CN"/>
        </w:rPr>
        <w:t>Huang ES</w:t>
      </w:r>
      <w:r w:rsidRPr="006055CC">
        <w:rPr>
          <w:rFonts w:ascii="Book Antiqua" w:hAnsi="Book Antiqua" w:cs="Times New Roman"/>
          <w:kern w:val="2"/>
          <w:sz w:val="24"/>
          <w:szCs w:val="24"/>
          <w:lang w:eastAsia="zh-CN"/>
        </w:rPr>
        <w:t xml:space="preserve">, Strate LL, Ho WW, Lee SS, Chan AT. Long-term use of aspirin and the risk of gastrointestinal bleeding. </w:t>
      </w:r>
      <w:r w:rsidRPr="006055CC">
        <w:rPr>
          <w:rFonts w:ascii="Book Antiqua" w:hAnsi="Book Antiqua" w:cs="Times New Roman"/>
          <w:i/>
          <w:kern w:val="2"/>
          <w:sz w:val="24"/>
          <w:szCs w:val="24"/>
          <w:lang w:eastAsia="zh-CN"/>
        </w:rPr>
        <w:t>Am J Med</w:t>
      </w:r>
      <w:r w:rsidRPr="006055CC">
        <w:rPr>
          <w:rFonts w:ascii="Book Antiqua" w:hAnsi="Book Antiqua" w:cs="Times New Roman"/>
          <w:kern w:val="2"/>
          <w:sz w:val="24"/>
          <w:szCs w:val="24"/>
          <w:lang w:eastAsia="zh-CN"/>
        </w:rPr>
        <w:t xml:space="preserve"> 2011; </w:t>
      </w:r>
      <w:r w:rsidRPr="006055CC">
        <w:rPr>
          <w:rFonts w:ascii="Book Antiqua" w:hAnsi="Book Antiqua" w:cs="Times New Roman"/>
          <w:b/>
          <w:kern w:val="2"/>
          <w:sz w:val="24"/>
          <w:szCs w:val="24"/>
          <w:lang w:eastAsia="zh-CN"/>
        </w:rPr>
        <w:t>124</w:t>
      </w:r>
      <w:r w:rsidRPr="006055CC">
        <w:rPr>
          <w:rFonts w:ascii="Book Antiqua" w:hAnsi="Book Antiqua" w:cs="Times New Roman"/>
          <w:kern w:val="2"/>
          <w:sz w:val="24"/>
          <w:szCs w:val="24"/>
          <w:lang w:eastAsia="zh-CN"/>
        </w:rPr>
        <w:t>: 426-433 [PMID: 21531232 DOI: 10.1016/j.amjmed.2010.12.022]</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18 </w:t>
      </w:r>
      <w:r w:rsidRPr="006055CC">
        <w:rPr>
          <w:rFonts w:ascii="Book Antiqua" w:hAnsi="Book Antiqua" w:cs="Times New Roman"/>
          <w:b/>
          <w:kern w:val="2"/>
          <w:sz w:val="24"/>
          <w:szCs w:val="24"/>
          <w:lang w:eastAsia="zh-CN"/>
        </w:rPr>
        <w:t>Iwamoto J</w:t>
      </w:r>
      <w:r w:rsidRPr="006055CC">
        <w:rPr>
          <w:rFonts w:ascii="Book Antiqua" w:hAnsi="Book Antiqua" w:cs="Times New Roman"/>
          <w:kern w:val="2"/>
          <w:sz w:val="24"/>
          <w:szCs w:val="24"/>
          <w:lang w:eastAsia="zh-CN"/>
        </w:rPr>
        <w:t xml:space="preserve">, Saito Y, Honda A, Matsuzaki Y. Clinical features of gastroduodenal injury associated with long-term low-dose aspirin therapy. </w:t>
      </w:r>
      <w:r w:rsidRPr="006055CC">
        <w:rPr>
          <w:rFonts w:ascii="Book Antiqua" w:hAnsi="Book Antiqua" w:cs="Times New Roman"/>
          <w:i/>
          <w:kern w:val="2"/>
          <w:sz w:val="24"/>
          <w:szCs w:val="24"/>
          <w:lang w:eastAsia="zh-CN"/>
        </w:rPr>
        <w:t>World J Gastroenterol</w:t>
      </w:r>
      <w:r w:rsidRPr="006055CC">
        <w:rPr>
          <w:rFonts w:ascii="Book Antiqua" w:hAnsi="Book Antiqua" w:cs="Times New Roman"/>
          <w:kern w:val="2"/>
          <w:sz w:val="24"/>
          <w:szCs w:val="24"/>
          <w:lang w:eastAsia="zh-CN"/>
        </w:rPr>
        <w:t xml:space="preserve"> 2013; </w:t>
      </w:r>
      <w:r w:rsidRPr="006055CC">
        <w:rPr>
          <w:rFonts w:ascii="Book Antiqua" w:hAnsi="Book Antiqua" w:cs="Times New Roman"/>
          <w:b/>
          <w:kern w:val="2"/>
          <w:sz w:val="24"/>
          <w:szCs w:val="24"/>
          <w:lang w:eastAsia="zh-CN"/>
        </w:rPr>
        <w:t>19</w:t>
      </w:r>
      <w:r w:rsidRPr="006055CC">
        <w:rPr>
          <w:rFonts w:ascii="Book Antiqua" w:hAnsi="Book Antiqua" w:cs="Times New Roman"/>
          <w:kern w:val="2"/>
          <w:sz w:val="24"/>
          <w:szCs w:val="24"/>
          <w:lang w:eastAsia="zh-CN"/>
        </w:rPr>
        <w:t>: 1673-1682 [PMID: 23555156 DOI: 10.3748/wjg.v19.i11.1673]</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19 </w:t>
      </w:r>
      <w:r w:rsidRPr="006055CC">
        <w:rPr>
          <w:rFonts w:ascii="Book Antiqua" w:hAnsi="Book Antiqua" w:cs="Times New Roman"/>
          <w:b/>
          <w:kern w:val="2"/>
          <w:sz w:val="24"/>
          <w:szCs w:val="24"/>
          <w:lang w:eastAsia="zh-CN"/>
        </w:rPr>
        <w:t>Cryer B</w:t>
      </w:r>
      <w:r w:rsidRPr="006055CC">
        <w:rPr>
          <w:rFonts w:ascii="Book Antiqua" w:hAnsi="Book Antiqua" w:cs="Times New Roman"/>
          <w:kern w:val="2"/>
          <w:sz w:val="24"/>
          <w:szCs w:val="24"/>
          <w:lang w:eastAsia="zh-CN"/>
        </w:rPr>
        <w:t xml:space="preserve">, Feldman M. Effects of very low dose daily, long-term aspirin therapy on gastric, duodenal, and rectal prostaglandin levels and on mucosal injury in healthy humans. </w:t>
      </w:r>
      <w:r w:rsidRPr="006055CC">
        <w:rPr>
          <w:rFonts w:ascii="Book Antiqua" w:hAnsi="Book Antiqua" w:cs="Times New Roman"/>
          <w:i/>
          <w:kern w:val="2"/>
          <w:sz w:val="24"/>
          <w:szCs w:val="24"/>
          <w:lang w:eastAsia="zh-CN"/>
        </w:rPr>
        <w:t>Gastroenterology</w:t>
      </w:r>
      <w:r w:rsidRPr="006055CC">
        <w:rPr>
          <w:rFonts w:ascii="Book Antiqua" w:hAnsi="Book Antiqua" w:cs="Times New Roman"/>
          <w:kern w:val="2"/>
          <w:sz w:val="24"/>
          <w:szCs w:val="24"/>
          <w:lang w:eastAsia="zh-CN"/>
        </w:rPr>
        <w:t xml:space="preserve"> 1999; </w:t>
      </w:r>
      <w:r w:rsidRPr="006055CC">
        <w:rPr>
          <w:rFonts w:ascii="Book Antiqua" w:hAnsi="Book Antiqua" w:cs="Times New Roman"/>
          <w:b/>
          <w:kern w:val="2"/>
          <w:sz w:val="24"/>
          <w:szCs w:val="24"/>
          <w:lang w:eastAsia="zh-CN"/>
        </w:rPr>
        <w:t>117</w:t>
      </w:r>
      <w:r w:rsidRPr="006055CC">
        <w:rPr>
          <w:rFonts w:ascii="Book Antiqua" w:hAnsi="Book Antiqua" w:cs="Times New Roman"/>
          <w:kern w:val="2"/>
          <w:sz w:val="24"/>
          <w:szCs w:val="24"/>
          <w:lang w:eastAsia="zh-CN"/>
        </w:rPr>
        <w:t>: 17-25 [PMID: 10381905]</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20 </w:t>
      </w:r>
      <w:r w:rsidRPr="006055CC">
        <w:rPr>
          <w:rFonts w:ascii="Book Antiqua" w:hAnsi="Book Antiqua" w:cs="Times New Roman"/>
          <w:b/>
          <w:kern w:val="2"/>
          <w:sz w:val="24"/>
          <w:szCs w:val="24"/>
          <w:lang w:eastAsia="zh-CN"/>
        </w:rPr>
        <w:t>García Rodríguez LA</w:t>
      </w:r>
      <w:r w:rsidRPr="006055CC">
        <w:rPr>
          <w:rFonts w:ascii="Book Antiqua" w:hAnsi="Book Antiqua" w:cs="Times New Roman"/>
          <w:kern w:val="2"/>
          <w:sz w:val="24"/>
          <w:szCs w:val="24"/>
          <w:lang w:eastAsia="zh-CN"/>
        </w:rPr>
        <w:t xml:space="preserve">, Hernández-Díaz S. Risk of uncomplicated peptic ulcer among </w:t>
      </w:r>
      <w:r w:rsidRPr="006055CC">
        <w:rPr>
          <w:rFonts w:ascii="Book Antiqua" w:hAnsi="Book Antiqua" w:cs="Times New Roman"/>
          <w:kern w:val="2"/>
          <w:sz w:val="24"/>
          <w:szCs w:val="24"/>
          <w:lang w:eastAsia="zh-CN"/>
        </w:rPr>
        <w:lastRenderedPageBreak/>
        <w:t xml:space="preserve">users of aspirin and nonaspirin nonsteroidal antiinflammatory drugs. </w:t>
      </w:r>
      <w:r w:rsidRPr="006055CC">
        <w:rPr>
          <w:rFonts w:ascii="Book Antiqua" w:hAnsi="Book Antiqua" w:cs="Times New Roman"/>
          <w:i/>
          <w:kern w:val="2"/>
          <w:sz w:val="24"/>
          <w:szCs w:val="24"/>
          <w:lang w:eastAsia="zh-CN"/>
        </w:rPr>
        <w:t>Am J Epidemiol</w:t>
      </w:r>
      <w:r w:rsidRPr="006055CC">
        <w:rPr>
          <w:rFonts w:ascii="Book Antiqua" w:hAnsi="Book Antiqua" w:cs="Times New Roman"/>
          <w:kern w:val="2"/>
          <w:sz w:val="24"/>
          <w:szCs w:val="24"/>
          <w:lang w:eastAsia="zh-CN"/>
        </w:rPr>
        <w:t xml:space="preserve"> 2004; </w:t>
      </w:r>
      <w:r w:rsidRPr="006055CC">
        <w:rPr>
          <w:rFonts w:ascii="Book Antiqua" w:hAnsi="Book Antiqua" w:cs="Times New Roman"/>
          <w:b/>
          <w:kern w:val="2"/>
          <w:sz w:val="24"/>
          <w:szCs w:val="24"/>
          <w:lang w:eastAsia="zh-CN"/>
        </w:rPr>
        <w:t>159</w:t>
      </w:r>
      <w:r w:rsidRPr="006055CC">
        <w:rPr>
          <w:rFonts w:ascii="Book Antiqua" w:hAnsi="Book Antiqua" w:cs="Times New Roman"/>
          <w:kern w:val="2"/>
          <w:sz w:val="24"/>
          <w:szCs w:val="24"/>
          <w:lang w:eastAsia="zh-CN"/>
        </w:rPr>
        <w:t>: 23-31 [PMID: 14693656]</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21 </w:t>
      </w:r>
      <w:r w:rsidRPr="006055CC">
        <w:rPr>
          <w:rFonts w:ascii="Book Antiqua" w:hAnsi="Book Antiqua" w:cs="Times New Roman"/>
          <w:b/>
          <w:kern w:val="2"/>
          <w:sz w:val="24"/>
          <w:szCs w:val="24"/>
          <w:lang w:eastAsia="zh-CN"/>
        </w:rPr>
        <w:t>Kaufman DW</w:t>
      </w:r>
      <w:r w:rsidRPr="006055CC">
        <w:rPr>
          <w:rFonts w:ascii="Book Antiqua" w:hAnsi="Book Antiqua" w:cs="Times New Roman"/>
          <w:kern w:val="2"/>
          <w:sz w:val="24"/>
          <w:szCs w:val="24"/>
          <w:lang w:eastAsia="zh-CN"/>
        </w:rPr>
        <w:t xml:space="preserve">, Kelly JP, Wiholm BE, Laszlo A, Sheehan JE, Koff RS, Shapiro S. The risk of acute major upper gastrointestinal bleeding among users of aspirin and ibuprofen at various levels of alcohol consumption. </w:t>
      </w:r>
      <w:r w:rsidRPr="006055CC">
        <w:rPr>
          <w:rFonts w:ascii="Book Antiqua" w:hAnsi="Book Antiqua" w:cs="Times New Roman"/>
          <w:i/>
          <w:kern w:val="2"/>
          <w:sz w:val="24"/>
          <w:szCs w:val="24"/>
          <w:lang w:eastAsia="zh-CN"/>
        </w:rPr>
        <w:t>Am J Gastroenterol</w:t>
      </w:r>
      <w:r w:rsidRPr="006055CC">
        <w:rPr>
          <w:rFonts w:ascii="Book Antiqua" w:hAnsi="Book Antiqua" w:cs="Times New Roman"/>
          <w:kern w:val="2"/>
          <w:sz w:val="24"/>
          <w:szCs w:val="24"/>
          <w:lang w:eastAsia="zh-CN"/>
        </w:rPr>
        <w:t xml:space="preserve"> 1999; </w:t>
      </w:r>
      <w:r w:rsidRPr="006055CC">
        <w:rPr>
          <w:rFonts w:ascii="Book Antiqua" w:hAnsi="Book Antiqua" w:cs="Times New Roman"/>
          <w:b/>
          <w:kern w:val="2"/>
          <w:sz w:val="24"/>
          <w:szCs w:val="24"/>
          <w:lang w:eastAsia="zh-CN"/>
        </w:rPr>
        <w:t>94</w:t>
      </w:r>
      <w:r w:rsidRPr="006055CC">
        <w:rPr>
          <w:rFonts w:ascii="Book Antiqua" w:hAnsi="Book Antiqua" w:cs="Times New Roman"/>
          <w:kern w:val="2"/>
          <w:sz w:val="24"/>
          <w:szCs w:val="24"/>
          <w:lang w:eastAsia="zh-CN"/>
        </w:rPr>
        <w:t>: 3189-3196 [PMID: 10566713 DOI: 10.1111/j.1572-0241.1999.01517.x]</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22 </w:t>
      </w:r>
      <w:r w:rsidRPr="006055CC">
        <w:rPr>
          <w:rFonts w:ascii="Book Antiqua" w:hAnsi="Book Antiqua" w:cs="Times New Roman"/>
          <w:b/>
          <w:kern w:val="2"/>
          <w:sz w:val="24"/>
          <w:szCs w:val="24"/>
          <w:lang w:eastAsia="zh-CN"/>
        </w:rPr>
        <w:t>Feldman M</w:t>
      </w:r>
      <w:r w:rsidRPr="006055CC">
        <w:rPr>
          <w:rFonts w:ascii="Book Antiqua" w:hAnsi="Book Antiqua" w:cs="Times New Roman"/>
          <w:kern w:val="2"/>
          <w:sz w:val="24"/>
          <w:szCs w:val="24"/>
          <w:lang w:eastAsia="zh-CN"/>
        </w:rPr>
        <w:t xml:space="preserve">, Cryer B, Mallat D, Go MF. Role of Helicobacter pylori infection in gastroduodenal injury and gastric prostaglandin synthesis during long term/low dose aspirin therapy: a prospective placebo-controlled, double-blind randomized trial. </w:t>
      </w:r>
      <w:r w:rsidRPr="006055CC">
        <w:rPr>
          <w:rFonts w:ascii="Book Antiqua" w:hAnsi="Book Antiqua" w:cs="Times New Roman"/>
          <w:i/>
          <w:kern w:val="2"/>
          <w:sz w:val="24"/>
          <w:szCs w:val="24"/>
          <w:lang w:eastAsia="zh-CN"/>
        </w:rPr>
        <w:t>Am J Gastroenterol</w:t>
      </w:r>
      <w:r w:rsidRPr="006055CC">
        <w:rPr>
          <w:rFonts w:ascii="Book Antiqua" w:hAnsi="Book Antiqua" w:cs="Times New Roman"/>
          <w:kern w:val="2"/>
          <w:sz w:val="24"/>
          <w:szCs w:val="24"/>
          <w:lang w:eastAsia="zh-CN"/>
        </w:rPr>
        <w:t xml:space="preserve"> 2001; </w:t>
      </w:r>
      <w:r w:rsidRPr="006055CC">
        <w:rPr>
          <w:rFonts w:ascii="Book Antiqua" w:hAnsi="Book Antiqua" w:cs="Times New Roman"/>
          <w:b/>
          <w:kern w:val="2"/>
          <w:sz w:val="24"/>
          <w:szCs w:val="24"/>
          <w:lang w:eastAsia="zh-CN"/>
        </w:rPr>
        <w:t>96</w:t>
      </w:r>
      <w:r w:rsidRPr="006055CC">
        <w:rPr>
          <w:rFonts w:ascii="Book Antiqua" w:hAnsi="Book Antiqua" w:cs="Times New Roman"/>
          <w:kern w:val="2"/>
          <w:sz w:val="24"/>
          <w:szCs w:val="24"/>
          <w:lang w:eastAsia="zh-CN"/>
        </w:rPr>
        <w:t>: 1751-1757 [PMID: 11419825 DOI: 10.1111/j.1572-0241.2001.03928.x]</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23 </w:t>
      </w:r>
      <w:r w:rsidRPr="006055CC">
        <w:rPr>
          <w:rFonts w:ascii="Book Antiqua" w:hAnsi="Book Antiqua" w:cs="Times New Roman"/>
          <w:b/>
          <w:kern w:val="2"/>
          <w:sz w:val="24"/>
          <w:szCs w:val="24"/>
          <w:lang w:eastAsia="zh-CN"/>
        </w:rPr>
        <w:t>Chan FK</w:t>
      </w:r>
      <w:r w:rsidRPr="006055CC">
        <w:rPr>
          <w:rFonts w:ascii="Book Antiqua" w:hAnsi="Book Antiqua" w:cs="Times New Roman"/>
          <w:kern w:val="2"/>
          <w:sz w:val="24"/>
          <w:szCs w:val="24"/>
          <w:lang w:eastAsia="zh-CN"/>
        </w:rPr>
        <w:t xml:space="preserve">, Chung SC, Suen BY, Lee YT, Leung WK, Leung VK, Wu JC, Lau JY, Hui Y, Lai MS, Chan HL, Sung JJ. Preventing recurrent upper gastrointestinal bleeding in patients with Helicobacter pylori infection who are taking low-dose aspirin or naproxen. </w:t>
      </w:r>
      <w:r w:rsidRPr="006055CC">
        <w:rPr>
          <w:rFonts w:ascii="Book Antiqua" w:hAnsi="Book Antiqua" w:cs="Times New Roman"/>
          <w:i/>
          <w:kern w:val="2"/>
          <w:sz w:val="24"/>
          <w:szCs w:val="24"/>
          <w:lang w:eastAsia="zh-CN"/>
        </w:rPr>
        <w:t>N Engl J Med</w:t>
      </w:r>
      <w:r w:rsidRPr="006055CC">
        <w:rPr>
          <w:rFonts w:ascii="Book Antiqua" w:hAnsi="Book Antiqua" w:cs="Times New Roman"/>
          <w:kern w:val="2"/>
          <w:sz w:val="24"/>
          <w:szCs w:val="24"/>
          <w:lang w:eastAsia="zh-CN"/>
        </w:rPr>
        <w:t xml:space="preserve"> 2001; </w:t>
      </w:r>
      <w:r w:rsidRPr="006055CC">
        <w:rPr>
          <w:rFonts w:ascii="Book Antiqua" w:hAnsi="Book Antiqua" w:cs="Times New Roman"/>
          <w:b/>
          <w:kern w:val="2"/>
          <w:sz w:val="24"/>
          <w:szCs w:val="24"/>
          <w:lang w:eastAsia="zh-CN"/>
        </w:rPr>
        <w:t>344</w:t>
      </w:r>
      <w:r w:rsidRPr="006055CC">
        <w:rPr>
          <w:rFonts w:ascii="Book Antiqua" w:hAnsi="Book Antiqua" w:cs="Times New Roman"/>
          <w:kern w:val="2"/>
          <w:sz w:val="24"/>
          <w:szCs w:val="24"/>
          <w:lang w:eastAsia="zh-CN"/>
        </w:rPr>
        <w:t>: 967-973 [PMID: 11274623 DOI: 10.1056/NEJM200103293441304]</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24 </w:t>
      </w:r>
      <w:r w:rsidRPr="006055CC">
        <w:rPr>
          <w:rFonts w:ascii="Book Antiqua" w:hAnsi="Book Antiqua" w:cs="Times New Roman"/>
          <w:b/>
          <w:kern w:val="2"/>
          <w:sz w:val="24"/>
          <w:szCs w:val="24"/>
          <w:lang w:eastAsia="zh-CN"/>
        </w:rPr>
        <w:t>Tarnawski A</w:t>
      </w:r>
      <w:r w:rsidRPr="006055CC">
        <w:rPr>
          <w:rFonts w:ascii="Book Antiqua" w:hAnsi="Book Antiqua" w:cs="Times New Roman"/>
          <w:kern w:val="2"/>
          <w:sz w:val="24"/>
          <w:szCs w:val="24"/>
          <w:lang w:eastAsia="zh-CN"/>
        </w:rPr>
        <w:t xml:space="preserve">, Pai R, Deng X, Ahluwalia A, Khomenko T, Tanigawa T, Akahoshi T, Sandor Z, Szabo S. Aging gastropathy-novel mechanisms: hypoxia, up-regulation of multifunctional phosphatase PTEN, and proapoptotic factors. </w:t>
      </w:r>
      <w:r w:rsidRPr="006055CC">
        <w:rPr>
          <w:rFonts w:ascii="Book Antiqua" w:hAnsi="Book Antiqua" w:cs="Times New Roman"/>
          <w:i/>
          <w:kern w:val="2"/>
          <w:sz w:val="24"/>
          <w:szCs w:val="24"/>
          <w:lang w:eastAsia="zh-CN"/>
        </w:rPr>
        <w:t>Gastroenterology</w:t>
      </w:r>
      <w:r w:rsidRPr="006055CC">
        <w:rPr>
          <w:rFonts w:ascii="Book Antiqua" w:hAnsi="Book Antiqua" w:cs="Times New Roman"/>
          <w:kern w:val="2"/>
          <w:sz w:val="24"/>
          <w:szCs w:val="24"/>
          <w:lang w:eastAsia="zh-CN"/>
        </w:rPr>
        <w:t xml:space="preserve"> 2007; </w:t>
      </w:r>
      <w:r w:rsidRPr="006055CC">
        <w:rPr>
          <w:rFonts w:ascii="Book Antiqua" w:hAnsi="Book Antiqua" w:cs="Times New Roman"/>
          <w:b/>
          <w:kern w:val="2"/>
          <w:sz w:val="24"/>
          <w:szCs w:val="24"/>
          <w:lang w:eastAsia="zh-CN"/>
        </w:rPr>
        <w:t>133</w:t>
      </w:r>
      <w:r w:rsidRPr="006055CC">
        <w:rPr>
          <w:rFonts w:ascii="Book Antiqua" w:hAnsi="Book Antiqua" w:cs="Times New Roman"/>
          <w:kern w:val="2"/>
          <w:sz w:val="24"/>
          <w:szCs w:val="24"/>
          <w:lang w:eastAsia="zh-CN"/>
        </w:rPr>
        <w:t>: 1938-1947 [PMID: 18054565 DOI: 10.1053/j.gastro.2007.08.037]</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25 </w:t>
      </w:r>
      <w:r w:rsidRPr="006055CC">
        <w:rPr>
          <w:rFonts w:ascii="Book Antiqua" w:hAnsi="Book Antiqua" w:cs="Times New Roman"/>
          <w:b/>
          <w:kern w:val="2"/>
          <w:sz w:val="24"/>
          <w:szCs w:val="24"/>
          <w:lang w:eastAsia="zh-CN"/>
        </w:rPr>
        <w:t>Ahluwalia A</w:t>
      </w:r>
      <w:r w:rsidRPr="006055CC">
        <w:rPr>
          <w:rFonts w:ascii="Book Antiqua" w:hAnsi="Book Antiqua" w:cs="Times New Roman"/>
          <w:kern w:val="2"/>
          <w:sz w:val="24"/>
          <w:szCs w:val="24"/>
          <w:lang w:eastAsia="zh-CN"/>
        </w:rPr>
        <w:t xml:space="preserve">, Jones MK, Deng X, Sandor Z, Szabo S, Tarnawski AS. An imbalance between VEGF and endostatin underlies impaired angiogenesis in gastric mucosa of aging rats. </w:t>
      </w:r>
      <w:r w:rsidRPr="006055CC">
        <w:rPr>
          <w:rFonts w:ascii="Book Antiqua" w:hAnsi="Book Antiqua" w:cs="Times New Roman"/>
          <w:i/>
          <w:kern w:val="2"/>
          <w:sz w:val="24"/>
          <w:szCs w:val="24"/>
          <w:lang w:eastAsia="zh-CN"/>
        </w:rPr>
        <w:t>Am J Physiol Gastrointest Liver Physiol</w:t>
      </w:r>
      <w:r w:rsidRPr="006055CC">
        <w:rPr>
          <w:rFonts w:ascii="Book Antiqua" w:hAnsi="Book Antiqua" w:cs="Times New Roman"/>
          <w:kern w:val="2"/>
          <w:sz w:val="24"/>
          <w:szCs w:val="24"/>
          <w:lang w:eastAsia="zh-CN"/>
        </w:rPr>
        <w:t xml:space="preserve"> 2013; </w:t>
      </w:r>
      <w:r w:rsidRPr="006055CC">
        <w:rPr>
          <w:rFonts w:ascii="Book Antiqua" w:hAnsi="Book Antiqua" w:cs="Times New Roman"/>
          <w:b/>
          <w:kern w:val="2"/>
          <w:sz w:val="24"/>
          <w:szCs w:val="24"/>
          <w:lang w:eastAsia="zh-CN"/>
        </w:rPr>
        <w:t>305</w:t>
      </w:r>
      <w:r w:rsidRPr="006055CC">
        <w:rPr>
          <w:rFonts w:ascii="Book Antiqua" w:hAnsi="Book Antiqua" w:cs="Times New Roman"/>
          <w:kern w:val="2"/>
          <w:sz w:val="24"/>
          <w:szCs w:val="24"/>
          <w:lang w:eastAsia="zh-CN"/>
        </w:rPr>
        <w:t>: G325-G332 [PMID: 23788612 DOI: 10.1152/ajpgi.00127.2013]</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26 </w:t>
      </w:r>
      <w:r w:rsidRPr="006055CC">
        <w:rPr>
          <w:rFonts w:ascii="Book Antiqua" w:hAnsi="Book Antiqua" w:cs="Times New Roman"/>
          <w:b/>
          <w:kern w:val="2"/>
          <w:sz w:val="24"/>
          <w:szCs w:val="24"/>
          <w:lang w:eastAsia="zh-CN"/>
        </w:rPr>
        <w:t>Ahluwalia A</w:t>
      </w:r>
      <w:r w:rsidRPr="006055CC">
        <w:rPr>
          <w:rFonts w:ascii="Book Antiqua" w:hAnsi="Book Antiqua" w:cs="Times New Roman"/>
          <w:kern w:val="2"/>
          <w:sz w:val="24"/>
          <w:szCs w:val="24"/>
          <w:lang w:eastAsia="zh-CN"/>
        </w:rPr>
        <w:t xml:space="preserve">, Jones MK, Hoa N, Zhu E, Brzozowski T, Tarnawski AS. Reduced NGF in Gastric Endothelial Cells Is One of the Main Causes of Impaired Angiogenesis in Aging Gastric Mucosa. </w:t>
      </w:r>
      <w:r w:rsidRPr="006055CC">
        <w:rPr>
          <w:rFonts w:ascii="Book Antiqua" w:hAnsi="Book Antiqua" w:cs="Times New Roman"/>
          <w:i/>
          <w:kern w:val="2"/>
          <w:sz w:val="24"/>
          <w:szCs w:val="24"/>
          <w:lang w:eastAsia="zh-CN"/>
        </w:rPr>
        <w:t>Cell Mol Gastroenterol Hepatol</w:t>
      </w:r>
      <w:r w:rsidRPr="006055CC">
        <w:rPr>
          <w:rFonts w:ascii="Book Antiqua" w:hAnsi="Book Antiqua" w:cs="Times New Roman"/>
          <w:kern w:val="2"/>
          <w:sz w:val="24"/>
          <w:szCs w:val="24"/>
          <w:lang w:eastAsia="zh-CN"/>
        </w:rPr>
        <w:t xml:space="preserve"> 2018; </w:t>
      </w:r>
      <w:r w:rsidRPr="006055CC">
        <w:rPr>
          <w:rFonts w:ascii="Book Antiqua" w:hAnsi="Book Antiqua" w:cs="Times New Roman"/>
          <w:b/>
          <w:kern w:val="2"/>
          <w:sz w:val="24"/>
          <w:szCs w:val="24"/>
          <w:lang w:eastAsia="zh-CN"/>
        </w:rPr>
        <w:t>6</w:t>
      </w:r>
      <w:r w:rsidRPr="006055CC">
        <w:rPr>
          <w:rFonts w:ascii="Book Antiqua" w:hAnsi="Book Antiqua" w:cs="Times New Roman"/>
          <w:kern w:val="2"/>
          <w:sz w:val="24"/>
          <w:szCs w:val="24"/>
          <w:lang w:eastAsia="zh-CN"/>
        </w:rPr>
        <w:t>: 199-213 [PMID: 29992182 DOI: 10.1016/j.jcmgh.2018.05.003]</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27 </w:t>
      </w:r>
      <w:r w:rsidRPr="006055CC">
        <w:rPr>
          <w:rFonts w:ascii="Book Antiqua" w:hAnsi="Book Antiqua" w:cs="Times New Roman"/>
          <w:b/>
          <w:kern w:val="2"/>
          <w:sz w:val="24"/>
          <w:szCs w:val="24"/>
          <w:lang w:eastAsia="zh-CN"/>
        </w:rPr>
        <w:t>Ahluwalia A</w:t>
      </w:r>
      <w:r w:rsidRPr="006055CC">
        <w:rPr>
          <w:rFonts w:ascii="Book Antiqua" w:hAnsi="Book Antiqua" w:cs="Times New Roman"/>
          <w:kern w:val="2"/>
          <w:sz w:val="24"/>
          <w:szCs w:val="24"/>
          <w:lang w:eastAsia="zh-CN"/>
        </w:rPr>
        <w:t xml:space="preserve">, Jones MK, Szabo S, Tarnawski AS. Aging impairs transcriptional regulation of vascular endothelial growth factor in human microvascular endothelial cells: implications for angiogenesis and cell survival. </w:t>
      </w:r>
      <w:r w:rsidRPr="006055CC">
        <w:rPr>
          <w:rFonts w:ascii="Book Antiqua" w:hAnsi="Book Antiqua" w:cs="Times New Roman"/>
          <w:i/>
          <w:kern w:val="2"/>
          <w:sz w:val="24"/>
          <w:szCs w:val="24"/>
          <w:lang w:eastAsia="zh-CN"/>
        </w:rPr>
        <w:t>J Physiol Pharmacol</w:t>
      </w:r>
      <w:r w:rsidRPr="006055CC">
        <w:rPr>
          <w:rFonts w:ascii="Book Antiqua" w:hAnsi="Book Antiqua" w:cs="Times New Roman"/>
          <w:kern w:val="2"/>
          <w:sz w:val="24"/>
          <w:szCs w:val="24"/>
          <w:lang w:eastAsia="zh-CN"/>
        </w:rPr>
        <w:t xml:space="preserve"> 2014; </w:t>
      </w:r>
      <w:r w:rsidRPr="006055CC">
        <w:rPr>
          <w:rFonts w:ascii="Book Antiqua" w:hAnsi="Book Antiqua" w:cs="Times New Roman"/>
          <w:b/>
          <w:kern w:val="2"/>
          <w:sz w:val="24"/>
          <w:szCs w:val="24"/>
          <w:lang w:eastAsia="zh-CN"/>
        </w:rPr>
        <w:t>65</w:t>
      </w:r>
      <w:r w:rsidRPr="006055CC">
        <w:rPr>
          <w:rFonts w:ascii="Book Antiqua" w:hAnsi="Book Antiqua" w:cs="Times New Roman"/>
          <w:kern w:val="2"/>
          <w:sz w:val="24"/>
          <w:szCs w:val="24"/>
          <w:lang w:eastAsia="zh-CN"/>
        </w:rPr>
        <w:t>: 209-</w:t>
      </w:r>
      <w:r w:rsidRPr="006055CC">
        <w:rPr>
          <w:rFonts w:ascii="Book Antiqua" w:hAnsi="Book Antiqua" w:cs="Times New Roman"/>
          <w:kern w:val="2"/>
          <w:sz w:val="24"/>
          <w:szCs w:val="24"/>
          <w:lang w:eastAsia="zh-CN"/>
        </w:rPr>
        <w:lastRenderedPageBreak/>
        <w:t>215 [PMID: 24781730]</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28 </w:t>
      </w:r>
      <w:r w:rsidRPr="006055CC">
        <w:rPr>
          <w:rFonts w:ascii="Book Antiqua" w:hAnsi="Book Antiqua" w:cs="Times New Roman"/>
          <w:b/>
          <w:kern w:val="2"/>
          <w:sz w:val="24"/>
          <w:szCs w:val="24"/>
          <w:lang w:eastAsia="zh-CN"/>
        </w:rPr>
        <w:t>Ahluwalia A</w:t>
      </w:r>
      <w:r w:rsidRPr="006055CC">
        <w:rPr>
          <w:rFonts w:ascii="Book Antiqua" w:hAnsi="Book Antiqua" w:cs="Times New Roman"/>
          <w:kern w:val="2"/>
          <w:sz w:val="24"/>
          <w:szCs w:val="24"/>
          <w:lang w:eastAsia="zh-CN"/>
        </w:rPr>
        <w:t xml:space="preserve">, Jones MK, Tarnawski AS. Key role of endothelial importin-α in VEGF expression and gastric angiogenesis: novel insight into aging gastropathy. </w:t>
      </w:r>
      <w:r w:rsidRPr="006055CC">
        <w:rPr>
          <w:rFonts w:ascii="Book Antiqua" w:hAnsi="Book Antiqua" w:cs="Times New Roman"/>
          <w:i/>
          <w:kern w:val="2"/>
          <w:sz w:val="24"/>
          <w:szCs w:val="24"/>
          <w:lang w:eastAsia="zh-CN"/>
        </w:rPr>
        <w:t>Am J Physiol Gastrointest Liver Physiol</w:t>
      </w:r>
      <w:r w:rsidRPr="006055CC">
        <w:rPr>
          <w:rFonts w:ascii="Book Antiqua" w:hAnsi="Book Antiqua" w:cs="Times New Roman"/>
          <w:kern w:val="2"/>
          <w:sz w:val="24"/>
          <w:szCs w:val="24"/>
          <w:lang w:eastAsia="zh-CN"/>
        </w:rPr>
        <w:t xml:space="preserve"> 2014; </w:t>
      </w:r>
      <w:r w:rsidRPr="006055CC">
        <w:rPr>
          <w:rFonts w:ascii="Book Antiqua" w:hAnsi="Book Antiqua" w:cs="Times New Roman"/>
          <w:b/>
          <w:kern w:val="2"/>
          <w:sz w:val="24"/>
          <w:szCs w:val="24"/>
          <w:lang w:eastAsia="zh-CN"/>
        </w:rPr>
        <w:t>306</w:t>
      </w:r>
      <w:r w:rsidRPr="006055CC">
        <w:rPr>
          <w:rFonts w:ascii="Book Antiqua" w:hAnsi="Book Antiqua" w:cs="Times New Roman"/>
          <w:kern w:val="2"/>
          <w:sz w:val="24"/>
          <w:szCs w:val="24"/>
          <w:lang w:eastAsia="zh-CN"/>
        </w:rPr>
        <w:t>: G338-G345 [PMID: 24356884 DOI: 10.1152/ajpgi.00382.2013]</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29 </w:t>
      </w:r>
      <w:r w:rsidRPr="006055CC">
        <w:rPr>
          <w:rFonts w:ascii="Book Antiqua" w:hAnsi="Book Antiqua" w:cs="Times New Roman"/>
          <w:b/>
          <w:kern w:val="2"/>
          <w:sz w:val="24"/>
          <w:szCs w:val="24"/>
          <w:lang w:eastAsia="zh-CN"/>
        </w:rPr>
        <w:t>Tarnawski AS</w:t>
      </w:r>
      <w:r w:rsidRPr="006055CC">
        <w:rPr>
          <w:rFonts w:ascii="Book Antiqua" w:hAnsi="Book Antiqua" w:cs="Times New Roman"/>
          <w:kern w:val="2"/>
          <w:sz w:val="24"/>
          <w:szCs w:val="24"/>
          <w:lang w:eastAsia="zh-CN"/>
        </w:rPr>
        <w:t xml:space="preserve">, Ahluwalia A, Jones MK. Increased susceptibility of aging gastric mucosa to injury: the mechanisms and clinical implications. </w:t>
      </w:r>
      <w:r w:rsidRPr="006055CC">
        <w:rPr>
          <w:rFonts w:ascii="Book Antiqua" w:hAnsi="Book Antiqua" w:cs="Times New Roman"/>
          <w:i/>
          <w:kern w:val="2"/>
          <w:sz w:val="24"/>
          <w:szCs w:val="24"/>
          <w:lang w:eastAsia="zh-CN"/>
        </w:rPr>
        <w:t>World J Gastroenterol</w:t>
      </w:r>
      <w:r w:rsidRPr="006055CC">
        <w:rPr>
          <w:rFonts w:ascii="Book Antiqua" w:hAnsi="Book Antiqua" w:cs="Times New Roman"/>
          <w:kern w:val="2"/>
          <w:sz w:val="24"/>
          <w:szCs w:val="24"/>
          <w:lang w:eastAsia="zh-CN"/>
        </w:rPr>
        <w:t xml:space="preserve"> 2014; </w:t>
      </w:r>
      <w:r w:rsidRPr="006055CC">
        <w:rPr>
          <w:rFonts w:ascii="Book Antiqua" w:hAnsi="Book Antiqua" w:cs="Times New Roman"/>
          <w:b/>
          <w:kern w:val="2"/>
          <w:sz w:val="24"/>
          <w:szCs w:val="24"/>
          <w:lang w:eastAsia="zh-CN"/>
        </w:rPr>
        <w:t>20</w:t>
      </w:r>
      <w:r w:rsidRPr="006055CC">
        <w:rPr>
          <w:rFonts w:ascii="Book Antiqua" w:hAnsi="Book Antiqua" w:cs="Times New Roman"/>
          <w:kern w:val="2"/>
          <w:sz w:val="24"/>
          <w:szCs w:val="24"/>
          <w:lang w:eastAsia="zh-CN"/>
        </w:rPr>
        <w:t>: 4467-4482 [PMID: 24782600 DOI: 10.3748/wjg.v20.i16.4467]</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30 </w:t>
      </w:r>
      <w:r w:rsidRPr="006055CC">
        <w:rPr>
          <w:rFonts w:ascii="Book Antiqua" w:hAnsi="Book Antiqua" w:cs="Times New Roman"/>
          <w:b/>
          <w:kern w:val="2"/>
          <w:sz w:val="24"/>
          <w:szCs w:val="24"/>
          <w:lang w:eastAsia="zh-CN"/>
        </w:rPr>
        <w:t>Pilotto A</w:t>
      </w:r>
      <w:r w:rsidRPr="006055CC">
        <w:rPr>
          <w:rFonts w:ascii="Book Antiqua" w:hAnsi="Book Antiqua" w:cs="Times New Roman"/>
          <w:kern w:val="2"/>
          <w:sz w:val="24"/>
          <w:szCs w:val="24"/>
          <w:lang w:eastAsia="zh-CN"/>
        </w:rPr>
        <w:t xml:space="preserve">. Aging and upper gastrointestinal disorders. </w:t>
      </w:r>
      <w:r w:rsidRPr="006055CC">
        <w:rPr>
          <w:rFonts w:ascii="Book Antiqua" w:hAnsi="Book Antiqua" w:cs="Times New Roman"/>
          <w:i/>
          <w:kern w:val="2"/>
          <w:sz w:val="24"/>
          <w:szCs w:val="24"/>
          <w:lang w:eastAsia="zh-CN"/>
        </w:rPr>
        <w:t>Best Pract Res Clin Gastroenterol</w:t>
      </w:r>
      <w:r w:rsidRPr="006055CC">
        <w:rPr>
          <w:rFonts w:ascii="Book Antiqua" w:hAnsi="Book Antiqua" w:cs="Times New Roman"/>
          <w:kern w:val="2"/>
          <w:sz w:val="24"/>
          <w:szCs w:val="24"/>
          <w:lang w:eastAsia="zh-CN"/>
        </w:rPr>
        <w:t xml:space="preserve"> 2004; </w:t>
      </w:r>
      <w:r w:rsidRPr="006055CC">
        <w:rPr>
          <w:rFonts w:ascii="Book Antiqua" w:hAnsi="Book Antiqua" w:cs="Times New Roman"/>
          <w:b/>
          <w:kern w:val="2"/>
          <w:sz w:val="24"/>
          <w:szCs w:val="24"/>
          <w:lang w:eastAsia="zh-CN"/>
        </w:rPr>
        <w:t xml:space="preserve">18 </w:t>
      </w:r>
      <w:r w:rsidRPr="006055CC">
        <w:rPr>
          <w:rFonts w:ascii="Book Antiqua" w:hAnsi="Book Antiqua" w:cs="Times New Roman"/>
          <w:kern w:val="2"/>
          <w:sz w:val="24"/>
          <w:szCs w:val="24"/>
          <w:lang w:eastAsia="zh-CN"/>
        </w:rPr>
        <w:t>Suppl: 73-81 [PMID: 15588798 DOI: 10.1016/j.bpg.2004.06.015]</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31 </w:t>
      </w:r>
      <w:r w:rsidRPr="006055CC">
        <w:rPr>
          <w:rFonts w:ascii="Book Antiqua" w:hAnsi="Book Antiqua" w:cs="Times New Roman"/>
          <w:b/>
          <w:kern w:val="2"/>
          <w:sz w:val="24"/>
          <w:szCs w:val="24"/>
          <w:lang w:eastAsia="zh-CN"/>
        </w:rPr>
        <w:t>Ahluwalia A</w:t>
      </w:r>
      <w:r w:rsidRPr="006055CC">
        <w:rPr>
          <w:rFonts w:ascii="Book Antiqua" w:hAnsi="Book Antiqua" w:cs="Times New Roman"/>
          <w:kern w:val="2"/>
          <w:sz w:val="24"/>
          <w:szCs w:val="24"/>
          <w:lang w:eastAsia="zh-CN"/>
        </w:rPr>
        <w:t xml:space="preserve">, Jones MK, Brzozowski T, Tarnawski AS. Nerve growth factor is critical requirement for in vitro angiogenesis in gastric endothelial cells. </w:t>
      </w:r>
      <w:r w:rsidRPr="006055CC">
        <w:rPr>
          <w:rFonts w:ascii="Book Antiqua" w:hAnsi="Book Antiqua" w:cs="Times New Roman"/>
          <w:i/>
          <w:kern w:val="2"/>
          <w:sz w:val="24"/>
          <w:szCs w:val="24"/>
          <w:lang w:eastAsia="zh-CN"/>
        </w:rPr>
        <w:t>Am J Physiol Gastrointest Liver Physiol</w:t>
      </w:r>
      <w:r w:rsidRPr="006055CC">
        <w:rPr>
          <w:rFonts w:ascii="Book Antiqua" w:hAnsi="Book Antiqua" w:cs="Times New Roman"/>
          <w:kern w:val="2"/>
          <w:sz w:val="24"/>
          <w:szCs w:val="24"/>
          <w:lang w:eastAsia="zh-CN"/>
        </w:rPr>
        <w:t xml:space="preserve"> 2016; </w:t>
      </w:r>
      <w:r w:rsidRPr="006055CC">
        <w:rPr>
          <w:rFonts w:ascii="Book Antiqua" w:hAnsi="Book Antiqua" w:cs="Times New Roman"/>
          <w:b/>
          <w:kern w:val="2"/>
          <w:sz w:val="24"/>
          <w:szCs w:val="24"/>
          <w:lang w:eastAsia="zh-CN"/>
        </w:rPr>
        <w:t>311</w:t>
      </w:r>
      <w:r w:rsidRPr="006055CC">
        <w:rPr>
          <w:rFonts w:ascii="Book Antiqua" w:hAnsi="Book Antiqua" w:cs="Times New Roman"/>
          <w:kern w:val="2"/>
          <w:sz w:val="24"/>
          <w:szCs w:val="24"/>
          <w:lang w:eastAsia="zh-CN"/>
        </w:rPr>
        <w:t>: G981-G987 [PMID: 27742705 DOI: 10.1152/ajpgi.00334.2016]</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32 </w:t>
      </w:r>
      <w:r w:rsidRPr="006055CC">
        <w:rPr>
          <w:rFonts w:ascii="Book Antiqua" w:hAnsi="Book Antiqua" w:cs="Times New Roman"/>
          <w:b/>
          <w:kern w:val="2"/>
          <w:sz w:val="24"/>
          <w:szCs w:val="24"/>
          <w:lang w:eastAsia="zh-CN"/>
        </w:rPr>
        <w:t>Ahluwalia A</w:t>
      </w:r>
      <w:r w:rsidRPr="006055CC">
        <w:rPr>
          <w:rFonts w:ascii="Book Antiqua" w:hAnsi="Book Antiqua" w:cs="Times New Roman"/>
          <w:kern w:val="2"/>
          <w:sz w:val="24"/>
          <w:szCs w:val="24"/>
          <w:lang w:eastAsia="zh-CN"/>
        </w:rPr>
        <w:t xml:space="preserve">, Jones MK, Hoa N, Tarnawski AS. NGF protects endothelial cells from indomethacin-induced injury through activation of mitochondria and upregulation of IGF-1. </w:t>
      </w:r>
      <w:r w:rsidRPr="006055CC">
        <w:rPr>
          <w:rFonts w:ascii="Book Antiqua" w:hAnsi="Book Antiqua" w:cs="Times New Roman"/>
          <w:i/>
          <w:kern w:val="2"/>
          <w:sz w:val="24"/>
          <w:szCs w:val="24"/>
          <w:lang w:eastAsia="zh-CN"/>
        </w:rPr>
        <w:t>Cell Signal</w:t>
      </w:r>
      <w:r w:rsidRPr="006055CC">
        <w:rPr>
          <w:rFonts w:ascii="Book Antiqua" w:hAnsi="Book Antiqua" w:cs="Times New Roman"/>
          <w:kern w:val="2"/>
          <w:sz w:val="24"/>
          <w:szCs w:val="24"/>
          <w:lang w:eastAsia="zh-CN"/>
        </w:rPr>
        <w:t xml:space="preserve"> 2017; </w:t>
      </w:r>
      <w:r w:rsidRPr="006055CC">
        <w:rPr>
          <w:rFonts w:ascii="Book Antiqua" w:hAnsi="Book Antiqua" w:cs="Times New Roman"/>
          <w:b/>
          <w:kern w:val="2"/>
          <w:sz w:val="24"/>
          <w:szCs w:val="24"/>
          <w:lang w:eastAsia="zh-CN"/>
        </w:rPr>
        <w:t>40</w:t>
      </w:r>
      <w:r w:rsidRPr="006055CC">
        <w:rPr>
          <w:rFonts w:ascii="Book Antiqua" w:hAnsi="Book Antiqua" w:cs="Times New Roman"/>
          <w:kern w:val="2"/>
          <w:sz w:val="24"/>
          <w:szCs w:val="24"/>
          <w:lang w:eastAsia="zh-CN"/>
        </w:rPr>
        <w:t>: 22-29 [PMID: 28843696 DOI: 10.1016/j.cellsig.2017.08.006]</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33 </w:t>
      </w:r>
      <w:r w:rsidRPr="006055CC">
        <w:rPr>
          <w:rFonts w:ascii="Book Antiqua" w:hAnsi="Book Antiqua" w:cs="Times New Roman"/>
          <w:b/>
          <w:kern w:val="2"/>
          <w:sz w:val="24"/>
          <w:szCs w:val="24"/>
          <w:lang w:eastAsia="zh-CN"/>
        </w:rPr>
        <w:t>Fukushi K</w:t>
      </w:r>
      <w:r w:rsidRPr="006055CC">
        <w:rPr>
          <w:rFonts w:ascii="Book Antiqua" w:hAnsi="Book Antiqua" w:cs="Times New Roman"/>
          <w:kern w:val="2"/>
          <w:sz w:val="24"/>
          <w:szCs w:val="24"/>
          <w:lang w:eastAsia="zh-CN"/>
        </w:rPr>
        <w:t xml:space="preserve">, Tominaga K, Nagashima K, Kanamori A, Izawa N, Kanazawa M, Sasai T, Hiraishi H. Gastroduodenal ulcer bleeding in elderly patients on low dose aspirin therapy. </w:t>
      </w:r>
      <w:r w:rsidRPr="006055CC">
        <w:rPr>
          <w:rFonts w:ascii="Book Antiqua" w:hAnsi="Book Antiqua" w:cs="Times New Roman"/>
          <w:i/>
          <w:kern w:val="2"/>
          <w:sz w:val="24"/>
          <w:szCs w:val="24"/>
          <w:lang w:eastAsia="zh-CN"/>
        </w:rPr>
        <w:t>World J Gastroenterol</w:t>
      </w:r>
      <w:r w:rsidRPr="006055CC">
        <w:rPr>
          <w:rFonts w:ascii="Book Antiqua" w:hAnsi="Book Antiqua" w:cs="Times New Roman"/>
          <w:kern w:val="2"/>
          <w:sz w:val="24"/>
          <w:szCs w:val="24"/>
          <w:lang w:eastAsia="zh-CN"/>
        </w:rPr>
        <w:t xml:space="preserve"> 2018; </w:t>
      </w:r>
      <w:r w:rsidRPr="006055CC">
        <w:rPr>
          <w:rFonts w:ascii="Book Antiqua" w:hAnsi="Book Antiqua" w:cs="Times New Roman"/>
          <w:b/>
          <w:kern w:val="2"/>
          <w:sz w:val="24"/>
          <w:szCs w:val="24"/>
          <w:lang w:eastAsia="zh-CN"/>
        </w:rPr>
        <w:t>24</w:t>
      </w:r>
      <w:r w:rsidRPr="006055CC">
        <w:rPr>
          <w:rFonts w:ascii="Book Antiqua" w:hAnsi="Book Antiqua" w:cs="Times New Roman"/>
          <w:kern w:val="2"/>
          <w:sz w:val="24"/>
          <w:szCs w:val="24"/>
          <w:lang w:eastAsia="zh-CN"/>
        </w:rPr>
        <w:t>: 3908-3918 [PMID: 30228784 DOI: 10.3748/wjg.v24.i34.3908]</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34 </w:t>
      </w:r>
      <w:r w:rsidRPr="006055CC">
        <w:rPr>
          <w:rFonts w:ascii="Book Antiqua" w:hAnsi="Book Antiqua" w:cs="Times New Roman"/>
          <w:b/>
          <w:kern w:val="2"/>
          <w:sz w:val="24"/>
          <w:szCs w:val="24"/>
          <w:lang w:eastAsia="zh-CN"/>
        </w:rPr>
        <w:t>Li L</w:t>
      </w:r>
      <w:r w:rsidRPr="006055CC">
        <w:rPr>
          <w:rFonts w:ascii="Book Antiqua" w:hAnsi="Book Antiqua" w:cs="Times New Roman"/>
          <w:kern w:val="2"/>
          <w:sz w:val="24"/>
          <w:szCs w:val="24"/>
          <w:lang w:eastAsia="zh-CN"/>
        </w:rPr>
        <w:t xml:space="preserve">, Geraghty OC, Mehta Z, Rothwell PM; Oxford Vascular Study. Age-specific risks, severity, time course, and outcome of bleeding on long-term antiplatelet treatment after vascular events: a population-based cohort study. </w:t>
      </w:r>
      <w:r w:rsidRPr="006055CC">
        <w:rPr>
          <w:rFonts w:ascii="Book Antiqua" w:hAnsi="Book Antiqua" w:cs="Times New Roman"/>
          <w:i/>
          <w:kern w:val="2"/>
          <w:sz w:val="24"/>
          <w:szCs w:val="24"/>
          <w:lang w:eastAsia="zh-CN"/>
        </w:rPr>
        <w:t>Lancet</w:t>
      </w:r>
      <w:r w:rsidRPr="006055CC">
        <w:rPr>
          <w:rFonts w:ascii="Book Antiqua" w:hAnsi="Book Antiqua" w:cs="Times New Roman"/>
          <w:kern w:val="2"/>
          <w:sz w:val="24"/>
          <w:szCs w:val="24"/>
          <w:lang w:eastAsia="zh-CN"/>
        </w:rPr>
        <w:t xml:space="preserve"> 2017; </w:t>
      </w:r>
      <w:r w:rsidRPr="006055CC">
        <w:rPr>
          <w:rFonts w:ascii="Book Antiqua" w:hAnsi="Book Antiqua" w:cs="Times New Roman"/>
          <w:b/>
          <w:kern w:val="2"/>
          <w:sz w:val="24"/>
          <w:szCs w:val="24"/>
          <w:lang w:eastAsia="zh-CN"/>
        </w:rPr>
        <w:t>390</w:t>
      </w:r>
      <w:r w:rsidRPr="006055CC">
        <w:rPr>
          <w:rFonts w:ascii="Book Antiqua" w:hAnsi="Book Antiqua" w:cs="Times New Roman"/>
          <w:kern w:val="2"/>
          <w:sz w:val="24"/>
          <w:szCs w:val="24"/>
          <w:lang w:eastAsia="zh-CN"/>
        </w:rPr>
        <w:t>: 490-499 [PMID: 28622955 DOI: 10.1016/S0140-6736(17)30770-5]</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35 </w:t>
      </w:r>
      <w:r w:rsidRPr="006055CC">
        <w:rPr>
          <w:rFonts w:ascii="Book Antiqua" w:hAnsi="Book Antiqua" w:cs="Times New Roman"/>
          <w:b/>
          <w:kern w:val="2"/>
          <w:sz w:val="24"/>
          <w:szCs w:val="24"/>
          <w:lang w:eastAsia="zh-CN"/>
        </w:rPr>
        <w:t>Hernández-Díaz S</w:t>
      </w:r>
      <w:r w:rsidRPr="006055CC">
        <w:rPr>
          <w:rFonts w:ascii="Book Antiqua" w:hAnsi="Book Antiqua" w:cs="Times New Roman"/>
          <w:kern w:val="2"/>
          <w:sz w:val="24"/>
          <w:szCs w:val="24"/>
          <w:lang w:eastAsia="zh-CN"/>
        </w:rPr>
        <w:t xml:space="preserve">, García Rodríguez LA. Cardioprotective aspirin users and their excess risk of upper gastrointestinal complications. </w:t>
      </w:r>
      <w:r w:rsidRPr="006055CC">
        <w:rPr>
          <w:rFonts w:ascii="Book Antiqua" w:hAnsi="Book Antiqua" w:cs="Times New Roman"/>
          <w:i/>
          <w:kern w:val="2"/>
          <w:sz w:val="24"/>
          <w:szCs w:val="24"/>
          <w:lang w:eastAsia="zh-CN"/>
        </w:rPr>
        <w:t>BMC Med</w:t>
      </w:r>
      <w:r w:rsidRPr="006055CC">
        <w:rPr>
          <w:rFonts w:ascii="Book Antiqua" w:hAnsi="Book Antiqua" w:cs="Times New Roman"/>
          <w:kern w:val="2"/>
          <w:sz w:val="24"/>
          <w:szCs w:val="24"/>
          <w:lang w:eastAsia="zh-CN"/>
        </w:rPr>
        <w:t xml:space="preserve"> 2006; </w:t>
      </w:r>
      <w:r w:rsidRPr="006055CC">
        <w:rPr>
          <w:rFonts w:ascii="Book Antiqua" w:hAnsi="Book Antiqua" w:cs="Times New Roman"/>
          <w:b/>
          <w:kern w:val="2"/>
          <w:sz w:val="24"/>
          <w:szCs w:val="24"/>
          <w:lang w:eastAsia="zh-CN"/>
        </w:rPr>
        <w:t>4</w:t>
      </w:r>
      <w:r w:rsidRPr="006055CC">
        <w:rPr>
          <w:rFonts w:ascii="Book Antiqua" w:hAnsi="Book Antiqua" w:cs="Times New Roman"/>
          <w:kern w:val="2"/>
          <w:sz w:val="24"/>
          <w:szCs w:val="24"/>
          <w:lang w:eastAsia="zh-CN"/>
        </w:rPr>
        <w:t>: 22 [PMID: 16987411 DOI: 10.1186/1741-7015-4-22]</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36 </w:t>
      </w:r>
      <w:r w:rsidRPr="006055CC">
        <w:rPr>
          <w:rFonts w:ascii="Book Antiqua" w:hAnsi="Book Antiqua" w:cs="Times New Roman"/>
          <w:b/>
          <w:kern w:val="2"/>
          <w:sz w:val="24"/>
          <w:szCs w:val="24"/>
          <w:lang w:eastAsia="zh-CN"/>
        </w:rPr>
        <w:t>Tarnawski AS</w:t>
      </w:r>
      <w:r w:rsidRPr="006055CC">
        <w:rPr>
          <w:rFonts w:ascii="Book Antiqua" w:hAnsi="Book Antiqua" w:cs="Times New Roman"/>
          <w:kern w:val="2"/>
          <w:sz w:val="24"/>
          <w:szCs w:val="24"/>
          <w:lang w:eastAsia="zh-CN"/>
        </w:rPr>
        <w:t xml:space="preserve">, Caves TC. Aspirin in the XXI century: its major clinical impact, novel </w:t>
      </w:r>
      <w:r w:rsidRPr="006055CC">
        <w:rPr>
          <w:rFonts w:ascii="Book Antiqua" w:hAnsi="Book Antiqua" w:cs="Times New Roman"/>
          <w:kern w:val="2"/>
          <w:sz w:val="24"/>
          <w:szCs w:val="24"/>
          <w:lang w:eastAsia="zh-CN"/>
        </w:rPr>
        <w:lastRenderedPageBreak/>
        <w:t xml:space="preserve">mechanisms of action, and new safer formulations. </w:t>
      </w:r>
      <w:r w:rsidRPr="006055CC">
        <w:rPr>
          <w:rFonts w:ascii="Book Antiqua" w:hAnsi="Book Antiqua" w:cs="Times New Roman"/>
          <w:i/>
          <w:kern w:val="2"/>
          <w:sz w:val="24"/>
          <w:szCs w:val="24"/>
          <w:lang w:eastAsia="zh-CN"/>
        </w:rPr>
        <w:t>Gastroenterology</w:t>
      </w:r>
      <w:r w:rsidRPr="006055CC">
        <w:rPr>
          <w:rFonts w:ascii="Book Antiqua" w:hAnsi="Book Antiqua" w:cs="Times New Roman"/>
          <w:kern w:val="2"/>
          <w:sz w:val="24"/>
          <w:szCs w:val="24"/>
          <w:lang w:eastAsia="zh-CN"/>
        </w:rPr>
        <w:t xml:space="preserve"> 2004; </w:t>
      </w:r>
      <w:r w:rsidRPr="006055CC">
        <w:rPr>
          <w:rFonts w:ascii="Book Antiqua" w:hAnsi="Book Antiqua" w:cs="Times New Roman"/>
          <w:b/>
          <w:kern w:val="2"/>
          <w:sz w:val="24"/>
          <w:szCs w:val="24"/>
          <w:lang w:eastAsia="zh-CN"/>
        </w:rPr>
        <w:t>127</w:t>
      </w:r>
      <w:r w:rsidRPr="006055CC">
        <w:rPr>
          <w:rFonts w:ascii="Book Antiqua" w:hAnsi="Book Antiqua" w:cs="Times New Roman"/>
          <w:kern w:val="2"/>
          <w:sz w:val="24"/>
          <w:szCs w:val="24"/>
          <w:lang w:eastAsia="zh-CN"/>
        </w:rPr>
        <w:t>: 341-343 [PMID: 15236206]</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37 </w:t>
      </w:r>
      <w:r w:rsidRPr="006055CC">
        <w:rPr>
          <w:rFonts w:ascii="Book Antiqua" w:hAnsi="Book Antiqua" w:cs="Times New Roman"/>
          <w:b/>
          <w:kern w:val="2"/>
          <w:sz w:val="24"/>
          <w:szCs w:val="24"/>
          <w:lang w:eastAsia="zh-CN"/>
        </w:rPr>
        <w:t>Cryer B</w:t>
      </w:r>
      <w:r w:rsidRPr="006055CC">
        <w:rPr>
          <w:rFonts w:ascii="Book Antiqua" w:hAnsi="Book Antiqua" w:cs="Times New Roman"/>
          <w:kern w:val="2"/>
          <w:sz w:val="24"/>
          <w:szCs w:val="24"/>
          <w:lang w:eastAsia="zh-CN"/>
        </w:rPr>
        <w:t xml:space="preserve">, Bhatt DL, Lanza FL, Dong JF, Lichtenberger LM, Marathi UK. Low-dose aspirin-induced ulceration is attenuated by aspirin-phosphatidylcholine: a randomized clinical trial. </w:t>
      </w:r>
      <w:r w:rsidRPr="006055CC">
        <w:rPr>
          <w:rFonts w:ascii="Book Antiqua" w:hAnsi="Book Antiqua" w:cs="Times New Roman"/>
          <w:i/>
          <w:kern w:val="2"/>
          <w:sz w:val="24"/>
          <w:szCs w:val="24"/>
          <w:lang w:eastAsia="zh-CN"/>
        </w:rPr>
        <w:t>Am J Gastroenterol</w:t>
      </w:r>
      <w:r w:rsidRPr="006055CC">
        <w:rPr>
          <w:rFonts w:ascii="Book Antiqua" w:hAnsi="Book Antiqua" w:cs="Times New Roman"/>
          <w:kern w:val="2"/>
          <w:sz w:val="24"/>
          <w:szCs w:val="24"/>
          <w:lang w:eastAsia="zh-CN"/>
        </w:rPr>
        <w:t xml:space="preserve"> 2011; </w:t>
      </w:r>
      <w:r w:rsidRPr="006055CC">
        <w:rPr>
          <w:rFonts w:ascii="Book Antiqua" w:hAnsi="Book Antiqua" w:cs="Times New Roman"/>
          <w:b/>
          <w:kern w:val="2"/>
          <w:sz w:val="24"/>
          <w:szCs w:val="24"/>
          <w:lang w:eastAsia="zh-CN"/>
        </w:rPr>
        <w:t>106</w:t>
      </w:r>
      <w:r w:rsidRPr="006055CC">
        <w:rPr>
          <w:rFonts w:ascii="Book Antiqua" w:hAnsi="Book Antiqua" w:cs="Times New Roman"/>
          <w:kern w:val="2"/>
          <w:sz w:val="24"/>
          <w:szCs w:val="24"/>
          <w:lang w:eastAsia="zh-CN"/>
        </w:rPr>
        <w:t>: 272-277 [PMID: 21081908 DOI: 10.1038/ajg.2010.436]</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38 </w:t>
      </w:r>
      <w:r w:rsidRPr="006055CC">
        <w:rPr>
          <w:rFonts w:ascii="Book Antiqua" w:hAnsi="Book Antiqua" w:cs="Times New Roman"/>
          <w:b/>
          <w:kern w:val="2"/>
          <w:sz w:val="24"/>
          <w:szCs w:val="24"/>
          <w:lang w:eastAsia="zh-CN"/>
        </w:rPr>
        <w:t>Rothwell PM</w:t>
      </w:r>
      <w:r w:rsidRPr="006055CC">
        <w:rPr>
          <w:rFonts w:ascii="Book Antiqua" w:hAnsi="Book Antiqua" w:cs="Times New Roman"/>
          <w:kern w:val="2"/>
          <w:sz w:val="24"/>
          <w:szCs w:val="24"/>
          <w:lang w:eastAsia="zh-CN"/>
        </w:rPr>
        <w:t xml:space="preserve">, Price JF, Fowkes FG, Zanchetti A, Roncaglioni MC, Tognoni G, Lee R, Belch JF, Wilson M, Mehta Z, Meade TW. Short-term effects of daily aspirin on cancer incidence, mortality, and non-vascular death: analysis of the time course of risks and benefits in 51 randomised controlled trials. </w:t>
      </w:r>
      <w:r w:rsidRPr="006055CC">
        <w:rPr>
          <w:rFonts w:ascii="Book Antiqua" w:hAnsi="Book Antiqua" w:cs="Times New Roman"/>
          <w:i/>
          <w:kern w:val="2"/>
          <w:sz w:val="24"/>
          <w:szCs w:val="24"/>
          <w:lang w:eastAsia="zh-CN"/>
        </w:rPr>
        <w:t>Lancet</w:t>
      </w:r>
      <w:r w:rsidRPr="006055CC">
        <w:rPr>
          <w:rFonts w:ascii="Book Antiqua" w:hAnsi="Book Antiqua" w:cs="Times New Roman"/>
          <w:kern w:val="2"/>
          <w:sz w:val="24"/>
          <w:szCs w:val="24"/>
          <w:lang w:eastAsia="zh-CN"/>
        </w:rPr>
        <w:t xml:space="preserve"> 2012; </w:t>
      </w:r>
      <w:r w:rsidRPr="006055CC">
        <w:rPr>
          <w:rFonts w:ascii="Book Antiqua" w:hAnsi="Book Antiqua" w:cs="Times New Roman"/>
          <w:b/>
          <w:kern w:val="2"/>
          <w:sz w:val="24"/>
          <w:szCs w:val="24"/>
          <w:lang w:eastAsia="zh-CN"/>
        </w:rPr>
        <w:t>379</w:t>
      </w:r>
      <w:r w:rsidRPr="006055CC">
        <w:rPr>
          <w:rFonts w:ascii="Book Antiqua" w:hAnsi="Book Antiqua" w:cs="Times New Roman"/>
          <w:kern w:val="2"/>
          <w:sz w:val="24"/>
          <w:szCs w:val="24"/>
          <w:lang w:eastAsia="zh-CN"/>
        </w:rPr>
        <w:t>: 1602-1612 [PMID: 22440946 DOI: 10.1016/S0140-6736(11)61720-0]</w:t>
      </w:r>
    </w:p>
    <w:p w:rsidR="006055CC" w:rsidRPr="006055CC" w:rsidRDefault="006055CC" w:rsidP="006055CC">
      <w:pPr>
        <w:widowControl w:val="0"/>
        <w:adjustRightInd w:val="0"/>
        <w:snapToGrid w:val="0"/>
        <w:spacing w:line="360" w:lineRule="auto"/>
        <w:jc w:val="both"/>
        <w:rPr>
          <w:rFonts w:ascii="Book Antiqua" w:hAnsi="Book Antiqua" w:cs="Times New Roman"/>
          <w:kern w:val="2"/>
          <w:sz w:val="24"/>
          <w:szCs w:val="24"/>
          <w:lang w:eastAsia="zh-CN"/>
        </w:rPr>
      </w:pPr>
      <w:r w:rsidRPr="006055CC">
        <w:rPr>
          <w:rFonts w:ascii="Book Antiqua" w:hAnsi="Book Antiqua" w:cs="Times New Roman"/>
          <w:kern w:val="2"/>
          <w:sz w:val="24"/>
          <w:szCs w:val="24"/>
          <w:lang w:eastAsia="zh-CN"/>
        </w:rPr>
        <w:t xml:space="preserve">39 </w:t>
      </w:r>
      <w:r w:rsidRPr="006055CC">
        <w:rPr>
          <w:rFonts w:ascii="Book Antiqua" w:hAnsi="Book Antiqua" w:cs="Times New Roman"/>
          <w:b/>
          <w:kern w:val="2"/>
          <w:sz w:val="24"/>
          <w:szCs w:val="24"/>
          <w:lang w:eastAsia="zh-CN"/>
        </w:rPr>
        <w:t>Mills EJ</w:t>
      </w:r>
      <w:r w:rsidRPr="006055CC">
        <w:rPr>
          <w:rFonts w:ascii="Book Antiqua" w:hAnsi="Book Antiqua" w:cs="Times New Roman"/>
          <w:kern w:val="2"/>
          <w:sz w:val="24"/>
          <w:szCs w:val="24"/>
          <w:lang w:eastAsia="zh-CN"/>
        </w:rPr>
        <w:t xml:space="preserve">, Wu P, Alberton M, Kanters S, Lanas A, Lester R. Low-dose aspirin and cancer mortality: a meta-analysis of randomized trials. </w:t>
      </w:r>
      <w:r w:rsidRPr="006055CC">
        <w:rPr>
          <w:rFonts w:ascii="Book Antiqua" w:hAnsi="Book Antiqua" w:cs="Times New Roman"/>
          <w:i/>
          <w:kern w:val="2"/>
          <w:sz w:val="24"/>
          <w:szCs w:val="24"/>
          <w:lang w:eastAsia="zh-CN"/>
        </w:rPr>
        <w:t>Am J Med</w:t>
      </w:r>
      <w:r w:rsidRPr="006055CC">
        <w:rPr>
          <w:rFonts w:ascii="Book Antiqua" w:hAnsi="Book Antiqua" w:cs="Times New Roman"/>
          <w:kern w:val="2"/>
          <w:sz w:val="24"/>
          <w:szCs w:val="24"/>
          <w:lang w:eastAsia="zh-CN"/>
        </w:rPr>
        <w:t xml:space="preserve"> 2012; </w:t>
      </w:r>
      <w:r w:rsidRPr="006055CC">
        <w:rPr>
          <w:rFonts w:ascii="Book Antiqua" w:hAnsi="Book Antiqua" w:cs="Times New Roman"/>
          <w:b/>
          <w:kern w:val="2"/>
          <w:sz w:val="24"/>
          <w:szCs w:val="24"/>
          <w:lang w:eastAsia="zh-CN"/>
        </w:rPr>
        <w:t>125</w:t>
      </w:r>
      <w:r w:rsidRPr="006055CC">
        <w:rPr>
          <w:rFonts w:ascii="Book Antiqua" w:hAnsi="Book Antiqua" w:cs="Times New Roman"/>
          <w:kern w:val="2"/>
          <w:sz w:val="24"/>
          <w:szCs w:val="24"/>
          <w:lang w:eastAsia="zh-CN"/>
        </w:rPr>
        <w:t>: 560-567 [PMID: 22513195 DOI: 10.1016/j.amjmed.2012.01.017]</w:t>
      </w:r>
    </w:p>
    <w:p w:rsidR="00965591" w:rsidRDefault="00965591" w:rsidP="00B7665A">
      <w:pPr>
        <w:pStyle w:val="EndNoteBibliography"/>
        <w:widowControl w:val="0"/>
        <w:adjustRightInd w:val="0"/>
        <w:snapToGrid w:val="0"/>
        <w:spacing w:after="0" w:line="360" w:lineRule="auto"/>
        <w:jc w:val="both"/>
        <w:rPr>
          <w:szCs w:val="24"/>
          <w:lang w:eastAsia="zh-CN"/>
        </w:rPr>
      </w:pPr>
    </w:p>
    <w:p w:rsidR="006055CC" w:rsidRPr="006055CC" w:rsidRDefault="006055CC" w:rsidP="006055CC">
      <w:pPr>
        <w:widowControl w:val="0"/>
        <w:wordWrap w:val="0"/>
        <w:adjustRightInd w:val="0"/>
        <w:snapToGrid w:val="0"/>
        <w:spacing w:line="360" w:lineRule="auto"/>
        <w:ind w:left="361" w:hangingChars="150" w:hanging="361"/>
        <w:jc w:val="right"/>
        <w:rPr>
          <w:rFonts w:ascii="Book Antiqua" w:hAnsi="Book Antiqua" w:cs="Times New Roman"/>
          <w:color w:val="000000"/>
          <w:kern w:val="2"/>
          <w:sz w:val="24"/>
          <w:lang w:eastAsia="zh-CN"/>
        </w:rPr>
      </w:pPr>
      <w:bookmarkStart w:id="53" w:name="OLE_LINK13"/>
      <w:bookmarkStart w:id="54" w:name="OLE_LINK14"/>
      <w:r w:rsidRPr="006055CC">
        <w:rPr>
          <w:rFonts w:ascii="Book Antiqua" w:hAnsi="Book Antiqua" w:cs="Times New Roman"/>
          <w:b/>
          <w:bCs/>
          <w:color w:val="000000"/>
          <w:kern w:val="2"/>
          <w:sz w:val="24"/>
          <w:lang w:eastAsia="zh-CN"/>
        </w:rPr>
        <w:t>P-Reviewer:</w:t>
      </w:r>
      <w:r w:rsidRPr="006055CC">
        <w:rPr>
          <w:rFonts w:ascii="Book Antiqua" w:hAnsi="Book Antiqua" w:cs="Times New Roman" w:hint="eastAsia"/>
          <w:bCs/>
          <w:color w:val="000000"/>
          <w:kern w:val="2"/>
          <w:sz w:val="24"/>
          <w:lang w:eastAsia="zh-CN"/>
        </w:rPr>
        <w:t xml:space="preserve"> </w:t>
      </w:r>
      <w:r w:rsidRPr="006055CC">
        <w:rPr>
          <w:rFonts w:ascii="Book Antiqua" w:hAnsi="Book Antiqua" w:cs="Times New Roman"/>
          <w:bCs/>
          <w:color w:val="000000"/>
          <w:kern w:val="2"/>
          <w:sz w:val="24"/>
          <w:lang w:eastAsia="zh-CN"/>
        </w:rPr>
        <w:t>Romano</w:t>
      </w:r>
      <w:r>
        <w:rPr>
          <w:rFonts w:ascii="Book Antiqua" w:hAnsi="Book Antiqua" w:cs="Times New Roman" w:hint="eastAsia"/>
          <w:bCs/>
          <w:color w:val="000000"/>
          <w:kern w:val="2"/>
          <w:sz w:val="24"/>
          <w:lang w:eastAsia="zh-CN"/>
        </w:rPr>
        <w:t xml:space="preserve"> M, </w:t>
      </w:r>
      <w:r w:rsidRPr="006055CC">
        <w:rPr>
          <w:rFonts w:ascii="Book Antiqua" w:hAnsi="Book Antiqua" w:cs="Times New Roman"/>
          <w:bCs/>
          <w:color w:val="000000"/>
          <w:kern w:val="2"/>
          <w:sz w:val="24"/>
          <w:lang w:eastAsia="zh-CN"/>
        </w:rPr>
        <w:t>Tsukanov</w:t>
      </w:r>
      <w:r>
        <w:rPr>
          <w:rFonts w:ascii="Book Antiqua" w:hAnsi="Book Antiqua" w:cs="Times New Roman" w:hint="eastAsia"/>
          <w:bCs/>
          <w:color w:val="000000"/>
          <w:kern w:val="2"/>
          <w:sz w:val="24"/>
          <w:lang w:eastAsia="zh-CN"/>
        </w:rPr>
        <w:t xml:space="preserve"> V </w:t>
      </w:r>
      <w:r w:rsidRPr="006055CC">
        <w:rPr>
          <w:rFonts w:ascii="Book Antiqua" w:hAnsi="Book Antiqua" w:cs="Times New Roman"/>
          <w:b/>
          <w:bCs/>
          <w:color w:val="000000"/>
          <w:kern w:val="2"/>
          <w:sz w:val="24"/>
          <w:lang w:eastAsia="zh-CN"/>
        </w:rPr>
        <w:t>S-Editor:</w:t>
      </w:r>
      <w:r>
        <w:rPr>
          <w:rFonts w:ascii="Book Antiqua" w:hAnsi="Book Antiqua" w:cs="Times New Roman" w:hint="eastAsia"/>
          <w:b/>
          <w:bCs/>
          <w:color w:val="000000"/>
          <w:kern w:val="2"/>
          <w:sz w:val="24"/>
          <w:lang w:eastAsia="zh-CN"/>
        </w:rPr>
        <w:t xml:space="preserve"> </w:t>
      </w:r>
      <w:r w:rsidRPr="006055CC">
        <w:rPr>
          <w:rFonts w:ascii="Book Antiqua" w:hAnsi="Book Antiqua" w:cs="Times New Roman" w:hint="eastAsia"/>
          <w:bCs/>
          <w:color w:val="000000"/>
          <w:kern w:val="2"/>
          <w:sz w:val="24"/>
          <w:lang w:eastAsia="zh-CN"/>
        </w:rPr>
        <w:t>Wang XJ</w:t>
      </w:r>
    </w:p>
    <w:p w:rsidR="006055CC" w:rsidRPr="006055CC" w:rsidRDefault="006055CC" w:rsidP="006055CC">
      <w:pPr>
        <w:widowControl w:val="0"/>
        <w:adjustRightInd w:val="0"/>
        <w:snapToGrid w:val="0"/>
        <w:spacing w:line="360" w:lineRule="auto"/>
        <w:ind w:left="361" w:hangingChars="150" w:hanging="361"/>
        <w:jc w:val="right"/>
        <w:rPr>
          <w:rFonts w:ascii="Book Antiqua" w:hAnsi="Book Antiqua" w:cs="Times New Roman"/>
          <w:b/>
          <w:bCs/>
          <w:color w:val="000000"/>
          <w:kern w:val="2"/>
          <w:sz w:val="24"/>
          <w:lang w:eastAsia="zh-CN"/>
        </w:rPr>
      </w:pPr>
      <w:r w:rsidRPr="006055CC">
        <w:rPr>
          <w:rFonts w:ascii="Book Antiqua" w:hAnsi="Book Antiqua" w:cs="Times New Roman"/>
          <w:b/>
          <w:bCs/>
          <w:color w:val="000000"/>
          <w:kern w:val="2"/>
          <w:sz w:val="24"/>
          <w:lang w:eastAsia="zh-CN"/>
        </w:rPr>
        <w:t>L-Editor:</w:t>
      </w:r>
      <w:r w:rsidRPr="006055CC">
        <w:rPr>
          <w:rFonts w:ascii="Book Antiqua" w:hAnsi="Book Antiqua" w:cs="Times New Roman"/>
          <w:color w:val="000000"/>
          <w:kern w:val="2"/>
          <w:sz w:val="24"/>
          <w:lang w:eastAsia="zh-CN"/>
        </w:rPr>
        <w:t xml:space="preserve"> </w:t>
      </w:r>
      <w:r w:rsidRPr="006055CC">
        <w:rPr>
          <w:rFonts w:ascii="Book Antiqua" w:hAnsi="Book Antiqua" w:cs="Times New Roman"/>
          <w:b/>
          <w:bCs/>
          <w:color w:val="000000"/>
          <w:kern w:val="2"/>
          <w:sz w:val="24"/>
          <w:lang w:eastAsia="zh-CN"/>
        </w:rPr>
        <w:t>E-Editor:</w:t>
      </w:r>
    </w:p>
    <w:p w:rsidR="006055CC" w:rsidRPr="006055CC" w:rsidRDefault="006055CC" w:rsidP="006055CC">
      <w:pPr>
        <w:widowControl w:val="0"/>
        <w:adjustRightInd w:val="0"/>
        <w:snapToGrid w:val="0"/>
        <w:spacing w:line="360" w:lineRule="auto"/>
        <w:ind w:left="360" w:hangingChars="150" w:hanging="360"/>
        <w:jc w:val="right"/>
        <w:rPr>
          <w:rFonts w:ascii="Book Antiqua" w:hAnsi="Book Antiqua" w:cs="Times New Roman"/>
          <w:color w:val="000000"/>
          <w:kern w:val="2"/>
          <w:sz w:val="24"/>
          <w:lang w:eastAsia="zh-CN"/>
        </w:rPr>
      </w:pPr>
    </w:p>
    <w:p w:rsidR="006055CC" w:rsidRPr="006055CC" w:rsidRDefault="006055CC" w:rsidP="006055CC">
      <w:pPr>
        <w:adjustRightInd w:val="0"/>
        <w:snapToGrid w:val="0"/>
        <w:spacing w:line="360" w:lineRule="auto"/>
        <w:jc w:val="both"/>
        <w:rPr>
          <w:rFonts w:ascii="Book Antiqua" w:eastAsia="MS Mincho" w:hAnsi="Book Antiqua" w:cs="Times New Roman"/>
          <w:sz w:val="24"/>
          <w:szCs w:val="24"/>
          <w:lang w:eastAsia="zh-CN"/>
        </w:rPr>
      </w:pPr>
      <w:r w:rsidRPr="006055CC">
        <w:rPr>
          <w:rFonts w:ascii="Book Antiqua" w:eastAsia="MS Mincho" w:hAnsi="Book Antiqua" w:cs="Times New Roman"/>
          <w:b/>
          <w:sz w:val="24"/>
          <w:szCs w:val="24"/>
          <w:lang w:eastAsia="zh-CN"/>
        </w:rPr>
        <w:t>Specialty type:</w:t>
      </w:r>
      <w:r w:rsidRPr="006055CC">
        <w:rPr>
          <w:rFonts w:ascii="Book Antiqua" w:eastAsia="MS Mincho" w:hAnsi="Book Antiqua" w:cs="Times New Roman"/>
          <w:sz w:val="24"/>
          <w:szCs w:val="24"/>
          <w:lang w:eastAsia="zh-CN"/>
        </w:rPr>
        <w:t xml:space="preserve"> Gastroenterology and hepatology</w:t>
      </w:r>
    </w:p>
    <w:p w:rsidR="006055CC" w:rsidRPr="006055CC" w:rsidRDefault="006055CC" w:rsidP="006055CC">
      <w:pPr>
        <w:adjustRightInd w:val="0"/>
        <w:snapToGrid w:val="0"/>
        <w:spacing w:line="360" w:lineRule="auto"/>
        <w:jc w:val="both"/>
        <w:rPr>
          <w:rFonts w:ascii="Book Antiqua" w:eastAsia="MS Mincho" w:hAnsi="Book Antiqua" w:cs="Times New Roman"/>
          <w:sz w:val="24"/>
          <w:szCs w:val="24"/>
          <w:lang w:eastAsia="zh-CN"/>
        </w:rPr>
      </w:pPr>
      <w:r w:rsidRPr="006055CC">
        <w:rPr>
          <w:rFonts w:ascii="Book Antiqua" w:eastAsia="MS Mincho" w:hAnsi="Book Antiqua" w:cs="Times New Roman"/>
          <w:b/>
          <w:sz w:val="24"/>
          <w:szCs w:val="24"/>
          <w:lang w:eastAsia="zh-CN"/>
        </w:rPr>
        <w:t>Country of origin:</w:t>
      </w:r>
      <w:r>
        <w:rPr>
          <w:rFonts w:ascii="Book Antiqua" w:eastAsia="MS Mincho" w:hAnsi="Book Antiqua" w:cs="Times New Roman" w:hint="eastAsia"/>
          <w:b/>
          <w:sz w:val="24"/>
          <w:szCs w:val="24"/>
          <w:lang w:eastAsia="zh-CN"/>
        </w:rPr>
        <w:t xml:space="preserve"> </w:t>
      </w:r>
      <w:r w:rsidRPr="006055CC">
        <w:rPr>
          <w:rFonts w:ascii="Book Antiqua" w:eastAsia="MS Mincho" w:hAnsi="Book Antiqua" w:cs="Times New Roman"/>
          <w:sz w:val="24"/>
          <w:szCs w:val="24"/>
          <w:lang w:eastAsia="zh-CN"/>
        </w:rPr>
        <w:t>United States</w:t>
      </w:r>
    </w:p>
    <w:p w:rsidR="006055CC" w:rsidRPr="006055CC" w:rsidRDefault="006055CC" w:rsidP="006055CC">
      <w:pPr>
        <w:adjustRightInd w:val="0"/>
        <w:snapToGrid w:val="0"/>
        <w:spacing w:line="360" w:lineRule="auto"/>
        <w:jc w:val="both"/>
        <w:rPr>
          <w:rFonts w:ascii="Book Antiqua" w:eastAsia="MS Mincho" w:hAnsi="Book Antiqua" w:cs="Times New Roman"/>
          <w:b/>
          <w:sz w:val="24"/>
          <w:szCs w:val="24"/>
          <w:lang w:eastAsia="zh-CN"/>
        </w:rPr>
      </w:pPr>
      <w:r w:rsidRPr="006055CC">
        <w:rPr>
          <w:rFonts w:ascii="Book Antiqua" w:eastAsia="MS Mincho" w:hAnsi="Book Antiqua" w:cs="Times New Roman"/>
          <w:b/>
          <w:sz w:val="24"/>
          <w:szCs w:val="24"/>
          <w:lang w:eastAsia="zh-CN"/>
        </w:rPr>
        <w:t>Peer-review report classification</w:t>
      </w:r>
    </w:p>
    <w:p w:rsidR="006055CC" w:rsidRPr="006055CC" w:rsidRDefault="006055CC" w:rsidP="006055CC">
      <w:pPr>
        <w:adjustRightInd w:val="0"/>
        <w:snapToGrid w:val="0"/>
        <w:spacing w:line="360" w:lineRule="auto"/>
        <w:jc w:val="both"/>
        <w:rPr>
          <w:rFonts w:ascii="Book Antiqua" w:eastAsia="MS Mincho" w:hAnsi="Book Antiqua" w:cs="Times New Roman"/>
          <w:sz w:val="24"/>
          <w:szCs w:val="24"/>
          <w:lang w:eastAsia="zh-CN"/>
        </w:rPr>
      </w:pPr>
      <w:r w:rsidRPr="006055CC">
        <w:rPr>
          <w:rFonts w:ascii="Book Antiqua" w:eastAsia="MS Mincho" w:hAnsi="Book Antiqua" w:cs="Times New Roman"/>
          <w:sz w:val="24"/>
          <w:szCs w:val="24"/>
          <w:lang w:eastAsia="zh-CN"/>
        </w:rPr>
        <w:t>Grade A (Excellent): 0</w:t>
      </w:r>
    </w:p>
    <w:p w:rsidR="006055CC" w:rsidRPr="006055CC" w:rsidRDefault="006055CC" w:rsidP="006055CC">
      <w:pPr>
        <w:adjustRightInd w:val="0"/>
        <w:snapToGrid w:val="0"/>
        <w:spacing w:line="360" w:lineRule="auto"/>
        <w:jc w:val="both"/>
        <w:rPr>
          <w:rFonts w:ascii="Book Antiqua" w:hAnsi="Book Antiqua" w:cs="Times New Roman"/>
          <w:sz w:val="24"/>
          <w:szCs w:val="24"/>
          <w:lang w:eastAsia="zh-CN"/>
        </w:rPr>
      </w:pPr>
      <w:r w:rsidRPr="006055CC">
        <w:rPr>
          <w:rFonts w:ascii="Book Antiqua" w:eastAsia="MS Mincho" w:hAnsi="Book Antiqua" w:cs="Times New Roman"/>
          <w:sz w:val="24"/>
          <w:szCs w:val="24"/>
          <w:lang w:eastAsia="zh-CN"/>
        </w:rPr>
        <w:t>Grade B (Very good):</w:t>
      </w:r>
      <w:r w:rsidRPr="006055CC">
        <w:rPr>
          <w:rFonts w:ascii="Book Antiqua" w:hAnsi="Book Antiqua" w:cs="Times New Roman" w:hint="eastAsia"/>
          <w:sz w:val="24"/>
          <w:szCs w:val="24"/>
          <w:lang w:eastAsia="zh-CN"/>
        </w:rPr>
        <w:t xml:space="preserve"> </w:t>
      </w:r>
      <w:r>
        <w:rPr>
          <w:rFonts w:ascii="Book Antiqua" w:hAnsi="Book Antiqua" w:cs="Times New Roman" w:hint="eastAsia"/>
          <w:sz w:val="24"/>
          <w:szCs w:val="24"/>
          <w:lang w:eastAsia="zh-CN"/>
        </w:rPr>
        <w:t>B, B</w:t>
      </w:r>
    </w:p>
    <w:p w:rsidR="006055CC" w:rsidRPr="006055CC" w:rsidRDefault="006055CC" w:rsidP="006055CC">
      <w:pPr>
        <w:adjustRightInd w:val="0"/>
        <w:snapToGrid w:val="0"/>
        <w:spacing w:line="360" w:lineRule="auto"/>
        <w:jc w:val="both"/>
        <w:rPr>
          <w:rFonts w:ascii="Book Antiqua" w:eastAsia="MS Mincho" w:hAnsi="Book Antiqua" w:cs="Times New Roman"/>
          <w:sz w:val="24"/>
          <w:szCs w:val="24"/>
          <w:lang w:eastAsia="zh-CN"/>
        </w:rPr>
      </w:pPr>
      <w:r w:rsidRPr="006055CC">
        <w:rPr>
          <w:rFonts w:ascii="Book Antiqua" w:eastAsia="MS Mincho" w:hAnsi="Book Antiqua" w:cs="Times New Roman"/>
          <w:sz w:val="24"/>
          <w:szCs w:val="24"/>
          <w:lang w:eastAsia="zh-CN"/>
        </w:rPr>
        <w:t xml:space="preserve">Grade C (Good): </w:t>
      </w:r>
      <w:r w:rsidRPr="006055CC">
        <w:rPr>
          <w:rFonts w:ascii="Book Antiqua" w:hAnsi="Book Antiqua" w:cs="Times New Roman"/>
          <w:sz w:val="24"/>
          <w:szCs w:val="24"/>
          <w:lang w:eastAsia="zh-CN"/>
        </w:rPr>
        <w:t>0</w:t>
      </w:r>
    </w:p>
    <w:p w:rsidR="006055CC" w:rsidRPr="006055CC" w:rsidRDefault="006055CC" w:rsidP="006055CC">
      <w:pPr>
        <w:adjustRightInd w:val="0"/>
        <w:snapToGrid w:val="0"/>
        <w:spacing w:line="360" w:lineRule="auto"/>
        <w:jc w:val="both"/>
        <w:rPr>
          <w:rFonts w:ascii="Book Antiqua" w:eastAsia="MS Mincho" w:hAnsi="Book Antiqua" w:cs="Times New Roman"/>
          <w:sz w:val="24"/>
          <w:szCs w:val="24"/>
          <w:lang w:eastAsia="zh-CN"/>
        </w:rPr>
      </w:pPr>
      <w:r w:rsidRPr="006055CC">
        <w:rPr>
          <w:rFonts w:ascii="Book Antiqua" w:eastAsia="MS Mincho" w:hAnsi="Book Antiqua" w:cs="Times New Roman"/>
          <w:sz w:val="24"/>
          <w:szCs w:val="24"/>
          <w:lang w:eastAsia="zh-CN"/>
        </w:rPr>
        <w:t>Grade D (Fair): 0</w:t>
      </w:r>
    </w:p>
    <w:p w:rsidR="006055CC" w:rsidRPr="006055CC" w:rsidRDefault="006055CC" w:rsidP="006055CC">
      <w:pPr>
        <w:adjustRightInd w:val="0"/>
        <w:snapToGrid w:val="0"/>
        <w:spacing w:line="360" w:lineRule="auto"/>
        <w:jc w:val="both"/>
        <w:rPr>
          <w:rFonts w:ascii="Book Antiqua" w:hAnsi="Book Antiqua" w:cs="Times New Roman"/>
          <w:sz w:val="24"/>
          <w:szCs w:val="24"/>
          <w:lang w:eastAsia="zh-CN"/>
        </w:rPr>
      </w:pPr>
      <w:r w:rsidRPr="006055CC">
        <w:rPr>
          <w:rFonts w:ascii="Book Antiqua" w:eastAsia="MS Mincho" w:hAnsi="Book Antiqua" w:cs="Times New Roman"/>
          <w:sz w:val="24"/>
          <w:szCs w:val="24"/>
          <w:lang w:eastAsia="zh-CN"/>
        </w:rPr>
        <w:t>Grade E (Poor): 0</w:t>
      </w:r>
    </w:p>
    <w:bookmarkEnd w:id="53"/>
    <w:bookmarkEnd w:id="54"/>
    <w:p w:rsidR="006055CC" w:rsidRDefault="006055CC">
      <w:pPr>
        <w:spacing w:after="160" w:line="259" w:lineRule="auto"/>
        <w:rPr>
          <w:rFonts w:ascii="Book Antiqua" w:hAnsi="Book Antiqua" w:cs="Times New Roman"/>
          <w:noProof/>
          <w:sz w:val="24"/>
          <w:szCs w:val="24"/>
          <w:lang w:eastAsia="zh-CN"/>
        </w:rPr>
      </w:pPr>
      <w:r>
        <w:rPr>
          <w:szCs w:val="24"/>
          <w:lang w:eastAsia="zh-CN"/>
        </w:rPr>
        <w:br w:type="page"/>
      </w:r>
    </w:p>
    <w:p w:rsidR="006055CC" w:rsidRPr="00B7665A" w:rsidRDefault="006055CC" w:rsidP="006055CC">
      <w:pPr>
        <w:widowControl w:val="0"/>
        <w:adjustRightInd w:val="0"/>
        <w:snapToGrid w:val="0"/>
        <w:spacing w:line="360" w:lineRule="auto"/>
        <w:jc w:val="both"/>
        <w:rPr>
          <w:rFonts w:ascii="Book Antiqua" w:eastAsia="DengXian" w:hAnsi="Book Antiqua" w:cs="Times New Roman"/>
          <w:bCs/>
          <w:color w:val="000000"/>
          <w:kern w:val="2"/>
          <w:sz w:val="24"/>
          <w:szCs w:val="24"/>
          <w:lang w:eastAsia="ja-JP"/>
        </w:rPr>
      </w:pPr>
      <w:r w:rsidRPr="00B7665A">
        <w:rPr>
          <w:rFonts w:ascii="Book Antiqua" w:eastAsia="DengXian" w:hAnsi="Book Antiqua" w:cs="Times New Roman"/>
          <w:bCs/>
          <w:noProof/>
          <w:color w:val="000000"/>
          <w:kern w:val="2"/>
          <w:sz w:val="24"/>
          <w:szCs w:val="24"/>
          <w:lang w:eastAsia="zh-CN"/>
        </w:rPr>
        <w:lastRenderedPageBreak/>
        <w:drawing>
          <wp:inline distT="0" distB="0" distL="0" distR="0" wp14:anchorId="6A99E422" wp14:editId="2CD1DADF">
            <wp:extent cx="5534025" cy="4722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616" cy="4722841"/>
                    </a:xfrm>
                    <a:prstGeom prst="rect">
                      <a:avLst/>
                    </a:prstGeom>
                    <a:noFill/>
                  </pic:spPr>
                </pic:pic>
              </a:graphicData>
            </a:graphic>
          </wp:inline>
        </w:drawing>
      </w:r>
    </w:p>
    <w:p w:rsidR="006055CC" w:rsidRPr="00B7665A" w:rsidRDefault="006055CC" w:rsidP="006055CC">
      <w:pPr>
        <w:widowControl w:val="0"/>
        <w:adjustRightInd w:val="0"/>
        <w:snapToGrid w:val="0"/>
        <w:spacing w:line="360" w:lineRule="auto"/>
        <w:jc w:val="both"/>
        <w:rPr>
          <w:rFonts w:ascii="Book Antiqua" w:eastAsia="DengXian" w:hAnsi="Book Antiqua" w:cs="Times New Roman"/>
          <w:bCs/>
          <w:color w:val="000000"/>
          <w:kern w:val="2"/>
          <w:sz w:val="24"/>
          <w:szCs w:val="24"/>
          <w:lang w:eastAsia="zh-CN"/>
        </w:rPr>
      </w:pPr>
      <w:r w:rsidRPr="00B7665A">
        <w:rPr>
          <w:rFonts w:ascii="Book Antiqua" w:eastAsia="DengXian" w:hAnsi="Book Antiqua" w:cs="Times New Roman"/>
          <w:b/>
          <w:bCs/>
          <w:color w:val="000000"/>
          <w:kern w:val="2"/>
          <w:sz w:val="24"/>
          <w:szCs w:val="24"/>
          <w:lang w:eastAsia="ja-JP"/>
        </w:rPr>
        <w:t>Figure 1</w:t>
      </w:r>
      <w:r>
        <w:rPr>
          <w:rFonts w:ascii="Book Antiqua" w:eastAsia="DengXian" w:hAnsi="Book Antiqua" w:cs="Times New Roman" w:hint="eastAsia"/>
          <w:b/>
          <w:bCs/>
          <w:color w:val="000000"/>
          <w:kern w:val="2"/>
          <w:sz w:val="24"/>
          <w:szCs w:val="24"/>
          <w:lang w:eastAsia="zh-CN"/>
        </w:rPr>
        <w:t xml:space="preserve"> </w:t>
      </w:r>
      <w:r w:rsidRPr="00B7665A">
        <w:rPr>
          <w:rFonts w:ascii="Book Antiqua" w:eastAsia="DengXian" w:hAnsi="Book Antiqua" w:cs="Times New Roman"/>
          <w:b/>
          <w:bCs/>
          <w:color w:val="000000"/>
          <w:kern w:val="2"/>
          <w:sz w:val="24"/>
          <w:szCs w:val="24"/>
          <w:lang w:eastAsia="ja-JP"/>
        </w:rPr>
        <w:t>Actions of aspirin in gastrointestinal</w:t>
      </w:r>
      <w:r>
        <w:rPr>
          <w:rFonts w:ascii="Book Antiqua" w:eastAsia="DengXian" w:hAnsi="Book Antiqua" w:cs="Times New Roman" w:hint="eastAsia"/>
          <w:b/>
          <w:bCs/>
          <w:color w:val="000000"/>
          <w:kern w:val="2"/>
          <w:sz w:val="24"/>
          <w:szCs w:val="24"/>
          <w:lang w:eastAsia="zh-CN"/>
        </w:rPr>
        <w:t xml:space="preserve"> </w:t>
      </w:r>
      <w:r w:rsidRPr="00B7665A">
        <w:rPr>
          <w:rFonts w:ascii="Book Antiqua" w:eastAsia="DengXian" w:hAnsi="Book Antiqua" w:cs="Times New Roman"/>
          <w:b/>
          <w:bCs/>
          <w:color w:val="000000"/>
          <w:kern w:val="2"/>
          <w:sz w:val="24"/>
          <w:szCs w:val="24"/>
          <w:lang w:eastAsia="ja-JP"/>
        </w:rPr>
        <w:t xml:space="preserve">tissues. </w:t>
      </w:r>
      <w:r w:rsidRPr="00B7665A">
        <w:rPr>
          <w:rFonts w:ascii="Book Antiqua" w:eastAsia="DengXian" w:hAnsi="Book Antiqua" w:cs="Times New Roman"/>
          <w:bCs/>
          <w:color w:val="000000"/>
          <w:kern w:val="2"/>
          <w:sz w:val="24"/>
          <w:szCs w:val="24"/>
          <w:lang w:eastAsia="ja-JP"/>
        </w:rPr>
        <w:t xml:space="preserve">Aspirin low dose has an anti-thrombotic effect on platelets - it mainly inhibits </w:t>
      </w:r>
      <w:r w:rsidRPr="00B7665A">
        <w:rPr>
          <w:rFonts w:ascii="Book Antiqua" w:eastAsia="Calibri" w:hAnsi="Book Antiqua" w:cs="Times New Roman"/>
          <w:bCs/>
          <w:sz w:val="24"/>
          <w:szCs w:val="24"/>
        </w:rPr>
        <w:t xml:space="preserve">cyclooxygenase </w:t>
      </w:r>
      <w:r>
        <w:rPr>
          <w:rFonts w:ascii="Book Antiqua" w:eastAsia="Calibri" w:hAnsi="Book Antiqua" w:cs="Times New Roman" w:hint="eastAsia"/>
          <w:bCs/>
          <w:sz w:val="24"/>
          <w:szCs w:val="24"/>
          <w:lang w:eastAsia="zh-CN"/>
        </w:rPr>
        <w:t>(</w:t>
      </w:r>
      <w:r w:rsidRPr="00B7665A">
        <w:rPr>
          <w:rFonts w:ascii="Book Antiqua" w:eastAsia="DengXian" w:hAnsi="Book Antiqua" w:cs="Times New Roman"/>
          <w:bCs/>
          <w:color w:val="000000"/>
          <w:kern w:val="2"/>
          <w:sz w:val="24"/>
          <w:szCs w:val="24"/>
          <w:lang w:eastAsia="ja-JP"/>
        </w:rPr>
        <w:t>COX</w:t>
      </w:r>
      <w:r>
        <w:rPr>
          <w:rFonts w:ascii="Book Antiqua" w:eastAsia="DengXian" w:hAnsi="Book Antiqua" w:cs="Times New Roman" w:hint="eastAsia"/>
          <w:bCs/>
          <w:color w:val="000000"/>
          <w:kern w:val="2"/>
          <w:sz w:val="24"/>
          <w:szCs w:val="24"/>
          <w:lang w:eastAsia="zh-CN"/>
        </w:rPr>
        <w:t>)</w:t>
      </w:r>
      <w:r w:rsidRPr="00B7665A">
        <w:rPr>
          <w:rFonts w:ascii="Book Antiqua" w:eastAsia="DengXian" w:hAnsi="Book Antiqua" w:cs="Times New Roman"/>
          <w:bCs/>
          <w:color w:val="000000"/>
          <w:kern w:val="2"/>
          <w:sz w:val="24"/>
          <w:szCs w:val="24"/>
          <w:lang w:eastAsia="ja-JP"/>
        </w:rPr>
        <w:t xml:space="preserve">-1 enzyme resulting in inhibition of </w:t>
      </w:r>
      <w:r w:rsidRPr="00B7665A">
        <w:rPr>
          <w:rFonts w:ascii="Book Antiqua" w:hAnsi="Book Antiqua" w:cs="Times New Roman"/>
          <w:bCs/>
          <w:sz w:val="24"/>
          <w:szCs w:val="24"/>
        </w:rPr>
        <w:t>thromboxane A</w:t>
      </w:r>
      <w:r w:rsidRPr="00B7665A">
        <w:rPr>
          <w:rFonts w:ascii="Book Antiqua" w:hAnsi="Book Antiqua" w:cs="Times New Roman"/>
          <w:bCs/>
          <w:sz w:val="24"/>
          <w:szCs w:val="24"/>
          <w:vertAlign w:val="subscript"/>
        </w:rPr>
        <w:t>2</w:t>
      </w:r>
      <w:r w:rsidRPr="00B7665A">
        <w:rPr>
          <w:rFonts w:ascii="Book Antiqua" w:eastAsia="DengXian" w:hAnsi="Book Antiqua" w:cs="Times New Roman"/>
          <w:bCs/>
          <w:color w:val="000000"/>
          <w:kern w:val="2"/>
          <w:sz w:val="24"/>
          <w:szCs w:val="24"/>
          <w:lang w:eastAsia="ja-JP"/>
        </w:rPr>
        <w:t xml:space="preserve"> formation, and impairment of platelet aggregation and their adherence to endothelium, and of thrombi formation. Aspirin induced impaired thrombi formation reduces hemostasis and therefore, increases the risk of </w:t>
      </w:r>
      <w:r w:rsidRPr="00B7665A">
        <w:rPr>
          <w:rFonts w:ascii="Book Antiqua" w:hAnsi="Book Antiqua" w:cs="Times New Roman"/>
          <w:bCs/>
          <w:sz w:val="24"/>
          <w:szCs w:val="24"/>
        </w:rPr>
        <w:t xml:space="preserve">gastrointestinal </w:t>
      </w:r>
      <w:r>
        <w:rPr>
          <w:rFonts w:ascii="Book Antiqua" w:hAnsi="Book Antiqua" w:cs="Times New Roman" w:hint="eastAsia"/>
          <w:bCs/>
          <w:sz w:val="24"/>
          <w:szCs w:val="24"/>
          <w:lang w:eastAsia="zh-CN"/>
        </w:rPr>
        <w:t>(</w:t>
      </w:r>
      <w:r w:rsidRPr="00B7665A">
        <w:rPr>
          <w:rFonts w:ascii="Book Antiqua" w:eastAsia="DengXian" w:hAnsi="Book Antiqua" w:cs="Times New Roman"/>
          <w:bCs/>
          <w:color w:val="000000"/>
          <w:kern w:val="2"/>
          <w:sz w:val="24"/>
          <w:szCs w:val="24"/>
          <w:lang w:eastAsia="ja-JP"/>
        </w:rPr>
        <w:t>GI</w:t>
      </w:r>
      <w:r>
        <w:rPr>
          <w:rFonts w:ascii="Book Antiqua" w:eastAsia="DengXian" w:hAnsi="Book Antiqua" w:cs="Times New Roman" w:hint="eastAsia"/>
          <w:bCs/>
          <w:color w:val="000000"/>
          <w:kern w:val="2"/>
          <w:sz w:val="24"/>
          <w:szCs w:val="24"/>
          <w:lang w:eastAsia="zh-CN"/>
        </w:rPr>
        <w:t>)</w:t>
      </w:r>
      <w:r w:rsidRPr="00B7665A">
        <w:rPr>
          <w:rFonts w:ascii="Book Antiqua" w:eastAsia="DengXian" w:hAnsi="Book Antiqua" w:cs="Times New Roman"/>
          <w:bCs/>
          <w:color w:val="000000"/>
          <w:kern w:val="2"/>
          <w:sz w:val="24"/>
          <w:szCs w:val="24"/>
          <w:lang w:eastAsia="ja-JP"/>
        </w:rPr>
        <w:t xml:space="preserve"> ulcers and bleeding. Aspirin increases GI mucosal injury and has an anti-angiogenic effect since it inhibits COX-1 and COX-2 enzymes in the GI mucosa and in endothelial cells resulting in the reduction of the cytoprotective </w:t>
      </w:r>
      <w:r w:rsidRPr="00B7665A">
        <w:rPr>
          <w:rFonts w:ascii="Book Antiqua" w:hAnsi="Book Antiqua" w:cs="Times New Roman"/>
          <w:bCs/>
          <w:sz w:val="24"/>
          <w:szCs w:val="24"/>
        </w:rPr>
        <w:t>prostaglandin E2</w:t>
      </w:r>
      <w:r w:rsidRPr="00B7665A">
        <w:rPr>
          <w:rFonts w:ascii="Book Antiqua" w:eastAsia="DengXian" w:hAnsi="Book Antiqua" w:cs="Times New Roman"/>
          <w:bCs/>
          <w:color w:val="000000"/>
          <w:kern w:val="2"/>
          <w:sz w:val="24"/>
          <w:szCs w:val="24"/>
          <w:lang w:eastAsia="ja-JP"/>
        </w:rPr>
        <w:t xml:space="preserve"> and </w:t>
      </w:r>
      <w:r w:rsidRPr="00B7665A">
        <w:rPr>
          <w:rFonts w:ascii="Book Antiqua" w:hAnsi="Book Antiqua" w:cs="Times New Roman"/>
          <w:bCs/>
          <w:sz w:val="24"/>
          <w:szCs w:val="24"/>
        </w:rPr>
        <w:t>prostacyclin</w:t>
      </w:r>
      <w:r w:rsidRPr="00B7665A">
        <w:rPr>
          <w:rFonts w:ascii="Book Antiqua" w:eastAsia="DengXian" w:hAnsi="Book Antiqua" w:cs="Times New Roman"/>
          <w:bCs/>
          <w:color w:val="000000"/>
          <w:kern w:val="2"/>
          <w:sz w:val="24"/>
          <w:szCs w:val="24"/>
          <w:lang w:eastAsia="ja-JP"/>
        </w:rPr>
        <w:t>. This causes impaired mucosal integrity and defense, thus increasing the risk of GI ulcers and bleeding and impaired mucosal healing.</w:t>
      </w:r>
      <w:r>
        <w:rPr>
          <w:rFonts w:ascii="Book Antiqua" w:eastAsia="DengXian" w:hAnsi="Book Antiqua" w:cs="Times New Roman" w:hint="eastAsia"/>
          <w:bCs/>
          <w:color w:val="000000"/>
          <w:kern w:val="2"/>
          <w:sz w:val="24"/>
          <w:szCs w:val="24"/>
          <w:lang w:eastAsia="zh-CN"/>
        </w:rPr>
        <w:t xml:space="preserve"> GI: </w:t>
      </w:r>
      <w:r w:rsidRPr="006055CC">
        <w:rPr>
          <w:rFonts w:ascii="Book Antiqua" w:eastAsia="DengXian" w:hAnsi="Book Antiqua" w:cs="Times New Roman"/>
          <w:bCs/>
          <w:color w:val="000000"/>
          <w:kern w:val="2"/>
          <w:sz w:val="24"/>
          <w:szCs w:val="24"/>
          <w:lang w:eastAsia="ja-JP"/>
        </w:rPr>
        <w:t>Gastrointestinal</w:t>
      </w:r>
      <w:r>
        <w:rPr>
          <w:rFonts w:ascii="Book Antiqua" w:eastAsia="DengXian" w:hAnsi="Book Antiqua" w:cs="Times New Roman" w:hint="eastAsia"/>
          <w:bCs/>
          <w:color w:val="000000"/>
          <w:kern w:val="2"/>
          <w:sz w:val="24"/>
          <w:szCs w:val="24"/>
          <w:lang w:eastAsia="zh-CN"/>
        </w:rPr>
        <w:t xml:space="preserve">; </w:t>
      </w:r>
      <w:r w:rsidRPr="00B7665A">
        <w:rPr>
          <w:rFonts w:ascii="Book Antiqua" w:eastAsia="DengXian" w:hAnsi="Book Antiqua" w:cs="Times New Roman"/>
          <w:bCs/>
          <w:color w:val="000000"/>
          <w:kern w:val="2"/>
          <w:sz w:val="24"/>
          <w:szCs w:val="24"/>
          <w:lang w:eastAsia="ja-JP"/>
        </w:rPr>
        <w:t>COX</w:t>
      </w:r>
      <w:r>
        <w:rPr>
          <w:rFonts w:ascii="Book Antiqua" w:eastAsia="DengXian" w:hAnsi="Book Antiqua" w:cs="Times New Roman" w:hint="eastAsia"/>
          <w:bCs/>
          <w:color w:val="000000"/>
          <w:kern w:val="2"/>
          <w:sz w:val="24"/>
          <w:szCs w:val="24"/>
          <w:lang w:eastAsia="zh-CN"/>
        </w:rPr>
        <w:t>:</w:t>
      </w:r>
      <w:r w:rsidRPr="00B7665A">
        <w:rPr>
          <w:rFonts w:ascii="Book Antiqua" w:eastAsia="Calibri" w:hAnsi="Book Antiqua" w:cs="Times New Roman"/>
          <w:bCs/>
          <w:sz w:val="24"/>
          <w:szCs w:val="24"/>
        </w:rPr>
        <w:t xml:space="preserve"> Cyclooxygenase</w:t>
      </w:r>
      <w:r>
        <w:rPr>
          <w:rFonts w:ascii="Book Antiqua" w:eastAsia="Calibri" w:hAnsi="Book Antiqua" w:cs="Times New Roman" w:hint="eastAsia"/>
          <w:bCs/>
          <w:sz w:val="24"/>
          <w:szCs w:val="24"/>
          <w:lang w:eastAsia="zh-CN"/>
        </w:rPr>
        <w:t xml:space="preserve">; </w:t>
      </w:r>
      <w:r w:rsidRPr="00B7665A">
        <w:rPr>
          <w:rFonts w:ascii="Book Antiqua" w:hAnsi="Book Antiqua" w:cs="Times New Roman"/>
          <w:bCs/>
          <w:sz w:val="24"/>
          <w:szCs w:val="24"/>
        </w:rPr>
        <w:t>TXA</w:t>
      </w:r>
      <w:r w:rsidRPr="00B7665A">
        <w:rPr>
          <w:rFonts w:ascii="Book Antiqua" w:hAnsi="Book Antiqua" w:cs="Times New Roman"/>
          <w:bCs/>
          <w:sz w:val="24"/>
          <w:szCs w:val="24"/>
          <w:vertAlign w:val="subscript"/>
        </w:rPr>
        <w:t>2</w:t>
      </w:r>
      <w:r>
        <w:rPr>
          <w:rFonts w:ascii="Book Antiqua" w:eastAsia="Calibri" w:hAnsi="Book Antiqua" w:cs="Times New Roman" w:hint="eastAsia"/>
          <w:bCs/>
          <w:sz w:val="24"/>
          <w:szCs w:val="24"/>
          <w:lang w:eastAsia="zh-CN"/>
        </w:rPr>
        <w:t>:</w:t>
      </w:r>
      <w:r w:rsidRPr="006055CC">
        <w:rPr>
          <w:rFonts w:ascii="Book Antiqua" w:hAnsi="Book Antiqua" w:cs="Times New Roman"/>
          <w:bCs/>
          <w:sz w:val="24"/>
          <w:szCs w:val="24"/>
        </w:rPr>
        <w:t xml:space="preserve"> </w:t>
      </w:r>
      <w:r w:rsidRPr="00B7665A">
        <w:rPr>
          <w:rFonts w:ascii="Book Antiqua" w:hAnsi="Book Antiqua" w:cs="Times New Roman"/>
          <w:bCs/>
          <w:sz w:val="24"/>
          <w:szCs w:val="24"/>
        </w:rPr>
        <w:t>Thromboxane A</w:t>
      </w:r>
      <w:r w:rsidRPr="00B7665A">
        <w:rPr>
          <w:rFonts w:ascii="Book Antiqua" w:hAnsi="Book Antiqua" w:cs="Times New Roman"/>
          <w:bCs/>
          <w:sz w:val="24"/>
          <w:szCs w:val="24"/>
          <w:vertAlign w:val="subscript"/>
        </w:rPr>
        <w:t>2</w:t>
      </w:r>
      <w:r>
        <w:rPr>
          <w:rFonts w:ascii="Book Antiqua" w:hAnsi="Book Antiqua" w:cs="Times New Roman" w:hint="eastAsia"/>
          <w:bCs/>
          <w:sz w:val="24"/>
          <w:szCs w:val="24"/>
          <w:lang w:eastAsia="zh-CN"/>
        </w:rPr>
        <w:t xml:space="preserve">; </w:t>
      </w:r>
      <w:r w:rsidR="00BB12CF" w:rsidRPr="00B7665A">
        <w:rPr>
          <w:rFonts w:ascii="Book Antiqua" w:hAnsi="Book Antiqua" w:cs="Times New Roman"/>
          <w:bCs/>
          <w:sz w:val="24"/>
          <w:szCs w:val="24"/>
        </w:rPr>
        <w:t>PGE</w:t>
      </w:r>
      <w:r w:rsidR="00BB12CF" w:rsidRPr="00B7665A">
        <w:rPr>
          <w:rFonts w:ascii="Book Antiqua" w:hAnsi="Book Antiqua" w:cs="Times New Roman"/>
          <w:bCs/>
          <w:sz w:val="24"/>
          <w:szCs w:val="24"/>
          <w:vertAlign w:val="subscript"/>
        </w:rPr>
        <w:t>2</w:t>
      </w:r>
      <w:r w:rsidR="00BB12CF">
        <w:rPr>
          <w:rFonts w:ascii="Book Antiqua" w:hAnsi="Book Antiqua" w:cs="Times New Roman" w:hint="eastAsia"/>
          <w:bCs/>
          <w:sz w:val="24"/>
          <w:szCs w:val="24"/>
          <w:lang w:eastAsia="zh-CN"/>
        </w:rPr>
        <w:t xml:space="preserve">: </w:t>
      </w:r>
      <w:r w:rsidR="00BB12CF" w:rsidRPr="00B7665A">
        <w:rPr>
          <w:rFonts w:ascii="Book Antiqua" w:hAnsi="Book Antiqua" w:cs="Times New Roman"/>
          <w:bCs/>
          <w:sz w:val="24"/>
          <w:szCs w:val="24"/>
        </w:rPr>
        <w:t>Prostaglandin E2</w:t>
      </w:r>
      <w:r w:rsidR="00BB12CF">
        <w:rPr>
          <w:rFonts w:ascii="Book Antiqua" w:hAnsi="Book Antiqua" w:cs="Times New Roman" w:hint="eastAsia"/>
          <w:bCs/>
          <w:sz w:val="24"/>
          <w:szCs w:val="24"/>
          <w:lang w:eastAsia="zh-CN"/>
        </w:rPr>
        <w:t xml:space="preserve">; </w:t>
      </w:r>
      <w:r w:rsidR="00BB12CF" w:rsidRPr="00B7665A">
        <w:rPr>
          <w:rFonts w:ascii="Book Antiqua" w:hAnsi="Book Antiqua" w:cs="Times New Roman"/>
          <w:bCs/>
          <w:sz w:val="24"/>
          <w:szCs w:val="24"/>
        </w:rPr>
        <w:t>PGI</w:t>
      </w:r>
      <w:r w:rsidR="00BB12CF" w:rsidRPr="00B7665A">
        <w:rPr>
          <w:rFonts w:ascii="Book Antiqua" w:hAnsi="Book Antiqua" w:cs="Times New Roman"/>
          <w:bCs/>
          <w:sz w:val="24"/>
          <w:szCs w:val="24"/>
          <w:vertAlign w:val="subscript"/>
        </w:rPr>
        <w:t>2</w:t>
      </w:r>
      <w:r w:rsidR="00BB12CF">
        <w:rPr>
          <w:rFonts w:ascii="Book Antiqua" w:hAnsi="Book Antiqua" w:cs="Times New Roman" w:hint="eastAsia"/>
          <w:bCs/>
          <w:sz w:val="24"/>
          <w:szCs w:val="24"/>
          <w:lang w:eastAsia="zh-CN"/>
        </w:rPr>
        <w:t xml:space="preserve">: </w:t>
      </w:r>
      <w:r w:rsidR="00BB12CF" w:rsidRPr="00B7665A">
        <w:rPr>
          <w:rFonts w:ascii="Book Antiqua" w:hAnsi="Book Antiqua" w:cs="Times New Roman"/>
          <w:bCs/>
          <w:sz w:val="24"/>
          <w:szCs w:val="24"/>
        </w:rPr>
        <w:t>Prostacyclin</w:t>
      </w:r>
      <w:r w:rsidR="00BB12CF">
        <w:rPr>
          <w:rFonts w:ascii="Book Antiqua" w:hAnsi="Book Antiqua" w:cs="Times New Roman" w:hint="eastAsia"/>
          <w:bCs/>
          <w:sz w:val="24"/>
          <w:szCs w:val="24"/>
          <w:lang w:eastAsia="zh-CN"/>
        </w:rPr>
        <w:t>.</w:t>
      </w:r>
      <w:r w:rsidRPr="00B7665A">
        <w:rPr>
          <w:rFonts w:ascii="Book Antiqua" w:eastAsia="DengXian" w:hAnsi="Book Antiqua" w:cs="Times New Roman"/>
          <w:bCs/>
          <w:color w:val="000000"/>
          <w:kern w:val="2"/>
          <w:sz w:val="24"/>
          <w:szCs w:val="24"/>
          <w:lang w:eastAsia="ja-JP"/>
        </w:rPr>
        <w:br w:type="page"/>
      </w:r>
    </w:p>
    <w:p w:rsidR="006055CC" w:rsidRDefault="00BB12CF" w:rsidP="006055CC">
      <w:pPr>
        <w:widowControl w:val="0"/>
        <w:adjustRightInd w:val="0"/>
        <w:snapToGrid w:val="0"/>
        <w:spacing w:line="360" w:lineRule="auto"/>
        <w:jc w:val="both"/>
        <w:rPr>
          <w:rFonts w:ascii="Book Antiqua" w:eastAsiaTheme="minorEastAsia" w:hAnsi="Book Antiqua" w:cs="Times New Roman"/>
          <w:b/>
          <w:sz w:val="24"/>
          <w:szCs w:val="24"/>
          <w:lang w:eastAsia="zh-CN"/>
        </w:rPr>
      </w:pPr>
      <w:r w:rsidRPr="00B7665A">
        <w:rPr>
          <w:rFonts w:ascii="Book Antiqua" w:eastAsia="Calibri" w:hAnsi="Book Antiqua" w:cs="Times New Roman"/>
          <w:b/>
          <w:sz w:val="24"/>
          <w:szCs w:val="24"/>
        </w:rPr>
        <w:lastRenderedPageBreak/>
        <w:t>Table 1</w:t>
      </w:r>
      <w:r>
        <w:rPr>
          <w:rFonts w:ascii="Book Antiqua" w:eastAsia="Calibri" w:hAnsi="Book Antiqua" w:cs="Times New Roman" w:hint="eastAsia"/>
          <w:b/>
          <w:sz w:val="24"/>
          <w:szCs w:val="24"/>
          <w:lang w:eastAsia="zh-CN"/>
        </w:rPr>
        <w:t xml:space="preserve"> </w:t>
      </w:r>
      <w:r w:rsidRPr="00B7665A">
        <w:rPr>
          <w:rFonts w:ascii="Book Antiqua" w:eastAsia="Calibri" w:hAnsi="Book Antiqua" w:cs="Times New Roman"/>
          <w:b/>
          <w:sz w:val="24"/>
          <w:szCs w:val="24"/>
        </w:rPr>
        <w:t xml:space="preserve">Action of Aspirin on platelets and </w:t>
      </w:r>
      <w:r w:rsidRPr="00BB12CF">
        <w:rPr>
          <w:rFonts w:ascii="Book Antiqua" w:eastAsia="Calibri" w:hAnsi="Book Antiqua" w:cs="Times New Roman"/>
          <w:b/>
          <w:sz w:val="24"/>
          <w:szCs w:val="24"/>
        </w:rPr>
        <w:t xml:space="preserve">gastrointestinal </w:t>
      </w:r>
      <w:r w:rsidRPr="00B7665A">
        <w:rPr>
          <w:rFonts w:ascii="Book Antiqua" w:eastAsia="Calibri" w:hAnsi="Book Antiqua" w:cs="Times New Roman"/>
          <w:b/>
          <w:sz w:val="24"/>
          <w:szCs w:val="24"/>
        </w:rPr>
        <w:t>mucosa and its unique features compared with other nonster</w:t>
      </w:r>
      <w:r>
        <w:rPr>
          <w:rFonts w:ascii="Book Antiqua" w:eastAsia="Calibri" w:hAnsi="Book Antiqua" w:cs="Times New Roman"/>
          <w:b/>
          <w:sz w:val="24"/>
          <w:szCs w:val="24"/>
        </w:rPr>
        <w:t>oidal anti-inflammatory drugs</w:t>
      </w:r>
    </w:p>
    <w:tbl>
      <w:tblPr>
        <w:tblStyle w:val="TableGrid"/>
        <w:tblW w:w="11908" w:type="dxa"/>
        <w:tblInd w:w="-1168" w:type="dxa"/>
        <w:tblLook w:val="0000" w:firstRow="0" w:lastRow="0" w:firstColumn="0" w:lastColumn="0" w:noHBand="0" w:noVBand="0"/>
      </w:tblPr>
      <w:tblGrid>
        <w:gridCol w:w="1985"/>
        <w:gridCol w:w="9923"/>
      </w:tblGrid>
      <w:tr w:rsidR="00BB12CF" w:rsidTr="004024DA">
        <w:trPr>
          <w:trHeight w:val="435"/>
        </w:trPr>
        <w:tc>
          <w:tcPr>
            <w:tcW w:w="1985" w:type="dxa"/>
          </w:tcPr>
          <w:p w:rsidR="00BB12CF" w:rsidRPr="00BB12CF" w:rsidRDefault="00BB12CF" w:rsidP="00BB12CF">
            <w:pPr>
              <w:widowControl w:val="0"/>
              <w:adjustRightInd w:val="0"/>
              <w:snapToGrid w:val="0"/>
              <w:spacing w:line="360" w:lineRule="auto"/>
              <w:ind w:left="108"/>
              <w:rPr>
                <w:rFonts w:ascii="Book Antiqua" w:eastAsiaTheme="minorEastAsia" w:hAnsi="Book Antiqua" w:cs="Times New Roman"/>
                <w:bCs/>
                <w:color w:val="000000"/>
                <w:kern w:val="2"/>
                <w:sz w:val="24"/>
                <w:szCs w:val="24"/>
                <w:lang w:eastAsia="zh-CN"/>
              </w:rPr>
            </w:pPr>
            <w:r>
              <w:rPr>
                <w:rFonts w:ascii="Book Antiqua" w:eastAsia="Calibri" w:hAnsi="Book Antiqua" w:cs="Times New Roman"/>
                <w:b/>
                <w:sz w:val="24"/>
                <w:szCs w:val="24"/>
              </w:rPr>
              <w:t>Drug</w:t>
            </w:r>
          </w:p>
        </w:tc>
        <w:tc>
          <w:tcPr>
            <w:tcW w:w="9923" w:type="dxa"/>
          </w:tcPr>
          <w:p w:rsidR="00BB12CF" w:rsidRDefault="00BB12CF" w:rsidP="00BB12CF">
            <w:pPr>
              <w:widowControl w:val="0"/>
              <w:adjustRightInd w:val="0"/>
              <w:snapToGrid w:val="0"/>
              <w:spacing w:line="360" w:lineRule="auto"/>
              <w:ind w:left="108"/>
              <w:jc w:val="center"/>
              <w:rPr>
                <w:rFonts w:ascii="Book Antiqua" w:eastAsiaTheme="minorEastAsia" w:hAnsi="Book Antiqua" w:cs="Times New Roman"/>
                <w:bCs/>
                <w:color w:val="000000"/>
                <w:kern w:val="2"/>
                <w:sz w:val="24"/>
                <w:szCs w:val="24"/>
                <w:lang w:eastAsia="zh-CN"/>
              </w:rPr>
            </w:pPr>
            <w:r w:rsidRPr="00B7665A">
              <w:rPr>
                <w:rFonts w:ascii="Book Antiqua" w:eastAsia="Calibri" w:hAnsi="Book Antiqua" w:cs="Times New Roman"/>
                <w:b/>
                <w:sz w:val="24"/>
                <w:szCs w:val="24"/>
              </w:rPr>
              <w:t>Features</w:t>
            </w:r>
          </w:p>
        </w:tc>
      </w:tr>
      <w:tr w:rsidR="00BB12CF" w:rsidRPr="00B7665A" w:rsidTr="004024DA">
        <w:tblPrEx>
          <w:tblLook w:val="06A0" w:firstRow="1" w:lastRow="0" w:firstColumn="1" w:lastColumn="0" w:noHBand="1" w:noVBand="1"/>
        </w:tblPrEx>
        <w:tc>
          <w:tcPr>
            <w:tcW w:w="1985" w:type="dxa"/>
          </w:tcPr>
          <w:p w:rsidR="00BB12CF" w:rsidRPr="004024DA" w:rsidRDefault="00BB12CF" w:rsidP="00BB12CF">
            <w:pPr>
              <w:widowControl w:val="0"/>
              <w:adjustRightInd w:val="0"/>
              <w:snapToGrid w:val="0"/>
              <w:spacing w:line="360" w:lineRule="auto"/>
              <w:rPr>
                <w:rFonts w:ascii="Book Antiqua" w:eastAsia="Calibri" w:hAnsi="Book Antiqua" w:cs="Times New Roman"/>
                <w:bCs/>
                <w:sz w:val="24"/>
                <w:szCs w:val="24"/>
              </w:rPr>
            </w:pPr>
            <w:r w:rsidRPr="004024DA">
              <w:rPr>
                <w:rFonts w:ascii="Book Antiqua" w:eastAsia="Calibri" w:hAnsi="Book Antiqua" w:cs="Times New Roman"/>
                <w:bCs/>
                <w:sz w:val="24"/>
                <w:szCs w:val="24"/>
              </w:rPr>
              <w:t>Aspirin</w:t>
            </w:r>
          </w:p>
        </w:tc>
        <w:tc>
          <w:tcPr>
            <w:tcW w:w="9923" w:type="dxa"/>
          </w:tcPr>
          <w:p w:rsidR="00BB12CF" w:rsidRPr="00BB12CF" w:rsidRDefault="00BB12CF" w:rsidP="00BB12CF">
            <w:pPr>
              <w:widowControl w:val="0"/>
              <w:adjustRightInd w:val="0"/>
              <w:snapToGrid w:val="0"/>
              <w:spacing w:line="360" w:lineRule="auto"/>
              <w:jc w:val="center"/>
              <w:rPr>
                <w:rFonts w:ascii="Book Antiqua" w:eastAsiaTheme="minorEastAsia" w:hAnsi="Book Antiqua" w:cs="Times New Roman"/>
                <w:bCs/>
                <w:sz w:val="24"/>
                <w:szCs w:val="24"/>
                <w:lang w:eastAsia="zh-CN"/>
              </w:rPr>
            </w:pPr>
            <w:r w:rsidRPr="00BB12CF">
              <w:rPr>
                <w:rFonts w:ascii="Book Antiqua" w:eastAsia="Calibri" w:hAnsi="Book Antiqua" w:cs="Times New Roman"/>
                <w:bCs/>
                <w:sz w:val="24"/>
                <w:szCs w:val="24"/>
              </w:rPr>
              <w:t>Aspirin is a non-selective inhibitor of cyclooxygenase (COX), an enzyme involved in the synthesis of prostaglandins and thromboxa</w:t>
            </w:r>
            <w:r>
              <w:rPr>
                <w:rFonts w:ascii="Book Antiqua" w:eastAsia="Calibri" w:hAnsi="Book Antiqua" w:cs="Times New Roman"/>
                <w:bCs/>
                <w:sz w:val="24"/>
                <w:szCs w:val="24"/>
              </w:rPr>
              <w:t>nes (TXA) from arachidonic acid</w:t>
            </w:r>
          </w:p>
        </w:tc>
      </w:tr>
      <w:tr w:rsidR="00BB12CF" w:rsidRPr="00B7665A" w:rsidTr="004024DA">
        <w:tblPrEx>
          <w:tblLook w:val="06A0" w:firstRow="1" w:lastRow="0" w:firstColumn="1" w:lastColumn="0" w:noHBand="1" w:noVBand="1"/>
        </w:tblPrEx>
        <w:tc>
          <w:tcPr>
            <w:tcW w:w="1985" w:type="dxa"/>
          </w:tcPr>
          <w:p w:rsidR="00BB12CF" w:rsidRPr="004024DA" w:rsidRDefault="00BB12CF" w:rsidP="00BB12CF">
            <w:pPr>
              <w:widowControl w:val="0"/>
              <w:adjustRightInd w:val="0"/>
              <w:snapToGrid w:val="0"/>
              <w:spacing w:line="360" w:lineRule="auto"/>
              <w:rPr>
                <w:rFonts w:ascii="Book Antiqua" w:eastAsia="Calibri" w:hAnsi="Book Antiqua" w:cs="Times New Roman"/>
                <w:sz w:val="24"/>
                <w:szCs w:val="24"/>
              </w:rPr>
            </w:pPr>
            <w:r w:rsidRPr="004024DA">
              <w:rPr>
                <w:rFonts w:ascii="Book Antiqua" w:eastAsia="Calibri" w:hAnsi="Book Antiqua" w:cs="Times New Roman"/>
                <w:bCs/>
                <w:sz w:val="24"/>
                <w:szCs w:val="24"/>
              </w:rPr>
              <w:t>Aspirin</w:t>
            </w:r>
          </w:p>
        </w:tc>
        <w:tc>
          <w:tcPr>
            <w:tcW w:w="9923" w:type="dxa"/>
          </w:tcPr>
          <w:p w:rsidR="00BB12CF" w:rsidRPr="00BB12CF" w:rsidRDefault="00BB12CF" w:rsidP="00BB12CF">
            <w:pPr>
              <w:widowControl w:val="0"/>
              <w:adjustRightInd w:val="0"/>
              <w:snapToGrid w:val="0"/>
              <w:spacing w:line="360" w:lineRule="auto"/>
              <w:jc w:val="center"/>
              <w:rPr>
                <w:rFonts w:ascii="Book Antiqua" w:eastAsia="Calibri" w:hAnsi="Book Antiqua" w:cs="Times New Roman"/>
                <w:sz w:val="24"/>
                <w:szCs w:val="24"/>
              </w:rPr>
            </w:pPr>
            <w:r w:rsidRPr="00BB12CF">
              <w:rPr>
                <w:rFonts w:ascii="Book Antiqua" w:eastAsia="Calibri" w:hAnsi="Book Antiqua" w:cs="Times New Roman"/>
                <w:bCs/>
                <w:sz w:val="24"/>
                <w:szCs w:val="24"/>
              </w:rPr>
              <w:t>Aspirin inhibits both COX-1 and COX-2 isoforms with a greater inhibition of COX-1 than COX-2 (</w:t>
            </w:r>
            <w:r>
              <w:rPr>
                <w:rFonts w:ascii="Book Antiqua" w:eastAsia="Calibri" w:hAnsi="Book Antiqua" w:cs="Times New Roman"/>
                <w:bCs/>
                <w:sz w:val="24"/>
                <w:szCs w:val="24"/>
              </w:rPr>
              <w:t>~</w:t>
            </w:r>
            <w:r w:rsidRPr="00BB12CF">
              <w:rPr>
                <w:rFonts w:ascii="Book Antiqua" w:eastAsia="Calibri" w:hAnsi="Book Antiqua" w:cs="Times New Roman"/>
                <w:bCs/>
                <w:sz w:val="24"/>
                <w:szCs w:val="24"/>
              </w:rPr>
              <w:t>100-fold) in low doses</w:t>
            </w:r>
          </w:p>
        </w:tc>
      </w:tr>
      <w:tr w:rsidR="00BB12CF" w:rsidRPr="00B7665A" w:rsidTr="004024DA">
        <w:tblPrEx>
          <w:tblLook w:val="06A0" w:firstRow="1" w:lastRow="0" w:firstColumn="1" w:lastColumn="0" w:noHBand="1" w:noVBand="1"/>
        </w:tblPrEx>
        <w:tc>
          <w:tcPr>
            <w:tcW w:w="1985" w:type="dxa"/>
          </w:tcPr>
          <w:p w:rsidR="00BB12CF" w:rsidRPr="004024DA" w:rsidRDefault="00BB12CF" w:rsidP="00BB12CF">
            <w:pPr>
              <w:widowControl w:val="0"/>
              <w:adjustRightInd w:val="0"/>
              <w:snapToGrid w:val="0"/>
              <w:spacing w:line="360" w:lineRule="auto"/>
              <w:rPr>
                <w:rFonts w:ascii="Book Antiqua" w:eastAsia="Calibri" w:hAnsi="Book Antiqua" w:cs="Times New Roman"/>
                <w:bCs/>
                <w:sz w:val="24"/>
                <w:szCs w:val="24"/>
              </w:rPr>
            </w:pPr>
            <w:r w:rsidRPr="004024DA">
              <w:rPr>
                <w:rFonts w:ascii="Book Antiqua" w:eastAsia="Calibri" w:hAnsi="Book Antiqua" w:cs="Times New Roman"/>
                <w:bCs/>
                <w:sz w:val="24"/>
                <w:szCs w:val="24"/>
              </w:rPr>
              <w:t>COX-1 isoform</w:t>
            </w:r>
          </w:p>
        </w:tc>
        <w:tc>
          <w:tcPr>
            <w:tcW w:w="9923" w:type="dxa"/>
          </w:tcPr>
          <w:p w:rsidR="00BB12CF" w:rsidRPr="00BB12CF" w:rsidRDefault="00BB12CF" w:rsidP="00BB12CF">
            <w:pPr>
              <w:widowControl w:val="0"/>
              <w:adjustRightInd w:val="0"/>
              <w:snapToGrid w:val="0"/>
              <w:spacing w:line="360" w:lineRule="auto"/>
              <w:jc w:val="center"/>
              <w:rPr>
                <w:rFonts w:ascii="Book Antiqua" w:eastAsiaTheme="minorEastAsia" w:hAnsi="Book Antiqua" w:cs="Times New Roman"/>
                <w:bCs/>
                <w:sz w:val="24"/>
                <w:szCs w:val="24"/>
                <w:lang w:eastAsia="zh-CN"/>
              </w:rPr>
            </w:pPr>
            <w:r w:rsidRPr="00BB12CF">
              <w:rPr>
                <w:rFonts w:ascii="Book Antiqua" w:eastAsia="Calibri" w:hAnsi="Book Antiqua" w:cs="Times New Roman"/>
                <w:bCs/>
                <w:sz w:val="24"/>
                <w:szCs w:val="24"/>
              </w:rPr>
              <w:t xml:space="preserve">COX-1 isoform is expressed constitutively in most tissues: </w:t>
            </w:r>
            <w:r>
              <w:rPr>
                <w:rFonts w:ascii="Book Antiqua" w:eastAsia="Calibri" w:hAnsi="Book Antiqua" w:cs="Times New Roman"/>
                <w:bCs/>
                <w:sz w:val="24"/>
                <w:szCs w:val="24"/>
              </w:rPr>
              <w:t>Gastrointestinal</w:t>
            </w:r>
            <w:r w:rsidRPr="00BB12CF">
              <w:rPr>
                <w:rFonts w:ascii="Book Antiqua" w:eastAsia="Calibri" w:hAnsi="Book Antiqua" w:cs="Times New Roman"/>
                <w:bCs/>
                <w:sz w:val="24"/>
                <w:szCs w:val="24"/>
              </w:rPr>
              <w:t xml:space="preserve"> mucosa and kidneys and by generating </w:t>
            </w:r>
            <w:r w:rsidRPr="00B7665A">
              <w:rPr>
                <w:rFonts w:ascii="Book Antiqua" w:hAnsi="Book Antiqua" w:cs="Times New Roman"/>
                <w:bCs/>
                <w:sz w:val="24"/>
                <w:szCs w:val="24"/>
              </w:rPr>
              <w:t>prostaglandin E2</w:t>
            </w:r>
            <w:r>
              <w:rPr>
                <w:rFonts w:ascii="Book Antiqua" w:hAnsi="Book Antiqua" w:cs="Times New Roman" w:hint="eastAsia"/>
                <w:bCs/>
                <w:sz w:val="24"/>
                <w:szCs w:val="24"/>
                <w:lang w:eastAsia="zh-CN"/>
              </w:rPr>
              <w:t xml:space="preserve"> (</w:t>
            </w:r>
            <w:r w:rsidRPr="00BB12CF">
              <w:rPr>
                <w:rFonts w:ascii="Book Antiqua" w:eastAsia="Calibri" w:hAnsi="Book Antiqua" w:cs="Times New Roman"/>
                <w:bCs/>
                <w:sz w:val="24"/>
                <w:szCs w:val="24"/>
              </w:rPr>
              <w:t>PGE</w:t>
            </w:r>
            <w:r w:rsidRPr="00BB12CF">
              <w:rPr>
                <w:rFonts w:ascii="Book Antiqua" w:eastAsia="Calibri" w:hAnsi="Book Antiqua" w:cs="Times New Roman"/>
                <w:bCs/>
                <w:sz w:val="24"/>
                <w:szCs w:val="24"/>
                <w:vertAlign w:val="subscript"/>
              </w:rPr>
              <w:t>2</w:t>
            </w:r>
            <w:r>
              <w:rPr>
                <w:rFonts w:ascii="Book Antiqua" w:eastAsia="Calibri" w:hAnsi="Book Antiqua" w:cs="Times New Roman" w:hint="eastAsia"/>
                <w:bCs/>
                <w:sz w:val="24"/>
                <w:szCs w:val="24"/>
                <w:vertAlign w:val="subscript"/>
                <w:lang w:eastAsia="zh-CN"/>
              </w:rPr>
              <w:t>)</w:t>
            </w:r>
            <w:r w:rsidRPr="00BB12CF">
              <w:rPr>
                <w:rFonts w:ascii="Book Antiqua" w:eastAsia="Calibri" w:hAnsi="Book Antiqua" w:cs="Times New Roman"/>
                <w:bCs/>
                <w:sz w:val="24"/>
                <w:szCs w:val="24"/>
              </w:rPr>
              <w:t xml:space="preserve"> and prostacyclin (PGI</w:t>
            </w:r>
            <w:r w:rsidRPr="00BB12CF">
              <w:rPr>
                <w:rFonts w:ascii="Book Antiqua" w:eastAsia="Calibri" w:hAnsi="Book Antiqua" w:cs="Times New Roman"/>
                <w:bCs/>
                <w:sz w:val="24"/>
                <w:szCs w:val="24"/>
                <w:vertAlign w:val="subscript"/>
              </w:rPr>
              <w:t>2</w:t>
            </w:r>
            <w:r>
              <w:rPr>
                <w:rFonts w:ascii="Book Antiqua" w:eastAsia="Calibri" w:hAnsi="Book Antiqua" w:cs="Times New Roman"/>
                <w:bCs/>
                <w:sz w:val="24"/>
                <w:szCs w:val="24"/>
              </w:rPr>
              <w:t>) and</w:t>
            </w:r>
            <w:r>
              <w:rPr>
                <w:rFonts w:ascii="Book Antiqua" w:eastAsiaTheme="minorEastAsia" w:hAnsi="Book Antiqua" w:cs="Times New Roman" w:hint="eastAsia"/>
                <w:bCs/>
                <w:sz w:val="24"/>
                <w:szCs w:val="24"/>
                <w:lang w:eastAsia="zh-CN"/>
              </w:rPr>
              <w:t xml:space="preserve"> </w:t>
            </w:r>
            <w:r w:rsidRPr="00BB12CF">
              <w:rPr>
                <w:rFonts w:ascii="Book Antiqua" w:eastAsia="Calibri" w:hAnsi="Book Antiqua" w:cs="Times New Roman"/>
                <w:bCs/>
                <w:sz w:val="24"/>
                <w:szCs w:val="24"/>
              </w:rPr>
              <w:t xml:space="preserve">plays a critical role in maintaining </w:t>
            </w:r>
            <w:r>
              <w:rPr>
                <w:rFonts w:ascii="Book Antiqua" w:eastAsia="Calibri" w:hAnsi="Book Antiqua" w:cs="Times New Roman"/>
                <w:bCs/>
                <w:sz w:val="24"/>
                <w:szCs w:val="24"/>
              </w:rPr>
              <w:t>tissue integrity at basal level</w:t>
            </w:r>
          </w:p>
          <w:p w:rsidR="00BB12CF" w:rsidRPr="00BB12CF" w:rsidRDefault="00BB12CF" w:rsidP="00BB12CF">
            <w:pPr>
              <w:widowControl w:val="0"/>
              <w:adjustRightInd w:val="0"/>
              <w:snapToGrid w:val="0"/>
              <w:spacing w:line="360" w:lineRule="auto"/>
              <w:jc w:val="center"/>
              <w:rPr>
                <w:rFonts w:ascii="Book Antiqua" w:eastAsia="Calibri" w:hAnsi="Book Antiqua" w:cs="Times New Roman"/>
                <w:bCs/>
                <w:sz w:val="24"/>
                <w:szCs w:val="24"/>
              </w:rPr>
            </w:pPr>
            <w:r w:rsidRPr="00BB12CF">
              <w:rPr>
                <w:rFonts w:ascii="Book Antiqua" w:eastAsia="Calibri" w:hAnsi="Book Antiqua" w:cs="Times New Roman"/>
                <w:bCs/>
                <w:sz w:val="24"/>
                <w:szCs w:val="24"/>
              </w:rPr>
              <w:t xml:space="preserve">COX-1-induced </w:t>
            </w:r>
            <w:r w:rsidRPr="00B7665A">
              <w:rPr>
                <w:rFonts w:ascii="Book Antiqua" w:hAnsi="Book Antiqua" w:cs="Times New Roman"/>
                <w:bCs/>
                <w:sz w:val="24"/>
                <w:szCs w:val="24"/>
              </w:rPr>
              <w:t>thromboxane A</w:t>
            </w:r>
            <w:r w:rsidRPr="00B7665A">
              <w:rPr>
                <w:rFonts w:ascii="Book Antiqua" w:hAnsi="Book Antiqua" w:cs="Times New Roman"/>
                <w:bCs/>
                <w:sz w:val="24"/>
                <w:szCs w:val="24"/>
                <w:vertAlign w:val="subscript"/>
              </w:rPr>
              <w:t>2</w:t>
            </w:r>
            <w:r>
              <w:rPr>
                <w:rFonts w:ascii="Book Antiqua" w:hAnsi="Book Antiqua" w:cs="Times New Roman" w:hint="eastAsia"/>
                <w:bCs/>
                <w:sz w:val="24"/>
                <w:szCs w:val="24"/>
                <w:vertAlign w:val="subscript"/>
                <w:lang w:eastAsia="zh-CN"/>
              </w:rPr>
              <w:t xml:space="preserve"> </w:t>
            </w:r>
            <w:r>
              <w:rPr>
                <w:rFonts w:ascii="Book Antiqua" w:hAnsi="Book Antiqua" w:cs="Times New Roman" w:hint="eastAsia"/>
                <w:bCs/>
                <w:sz w:val="24"/>
                <w:szCs w:val="24"/>
                <w:lang w:eastAsia="zh-CN"/>
              </w:rPr>
              <w:t>(</w:t>
            </w:r>
            <w:r w:rsidRPr="00BB12CF">
              <w:rPr>
                <w:rFonts w:ascii="Book Antiqua" w:eastAsia="Calibri" w:hAnsi="Book Antiqua" w:cs="Times New Roman"/>
                <w:bCs/>
                <w:sz w:val="24"/>
                <w:szCs w:val="24"/>
              </w:rPr>
              <w:t>TXA</w:t>
            </w:r>
            <w:r w:rsidRPr="00BB12CF">
              <w:rPr>
                <w:rFonts w:ascii="Book Antiqua" w:eastAsia="Calibri" w:hAnsi="Book Antiqua" w:cs="Times New Roman"/>
                <w:bCs/>
                <w:sz w:val="24"/>
                <w:szCs w:val="24"/>
                <w:vertAlign w:val="subscript"/>
              </w:rPr>
              <w:t>2</w:t>
            </w:r>
            <w:r>
              <w:rPr>
                <w:rFonts w:ascii="Book Antiqua" w:eastAsia="Calibri" w:hAnsi="Book Antiqua" w:cs="Times New Roman" w:hint="eastAsia"/>
                <w:bCs/>
                <w:sz w:val="24"/>
                <w:szCs w:val="24"/>
                <w:lang w:eastAsia="zh-CN"/>
              </w:rPr>
              <w:t>)</w:t>
            </w:r>
            <w:r w:rsidRPr="00BB12CF">
              <w:rPr>
                <w:rFonts w:ascii="Book Antiqua" w:eastAsia="Calibri" w:hAnsi="Book Antiqua" w:cs="Times New Roman"/>
                <w:bCs/>
                <w:sz w:val="24"/>
                <w:szCs w:val="24"/>
              </w:rPr>
              <w:t xml:space="preserve"> generation causes platelet aggregation and thrombi formation and is the basis for cardiovascular events</w:t>
            </w:r>
          </w:p>
        </w:tc>
      </w:tr>
      <w:tr w:rsidR="00BB12CF" w:rsidRPr="00B7665A" w:rsidTr="004024DA">
        <w:tblPrEx>
          <w:tblLook w:val="06A0" w:firstRow="1" w:lastRow="0" w:firstColumn="1" w:lastColumn="0" w:noHBand="1" w:noVBand="1"/>
        </w:tblPrEx>
        <w:tc>
          <w:tcPr>
            <w:tcW w:w="1985" w:type="dxa"/>
          </w:tcPr>
          <w:p w:rsidR="00BB12CF" w:rsidRPr="004024DA" w:rsidRDefault="00BB12CF" w:rsidP="00BB12CF">
            <w:pPr>
              <w:widowControl w:val="0"/>
              <w:adjustRightInd w:val="0"/>
              <w:snapToGrid w:val="0"/>
              <w:spacing w:line="360" w:lineRule="auto"/>
              <w:rPr>
                <w:rFonts w:ascii="Book Antiqua" w:eastAsia="Calibri" w:hAnsi="Book Antiqua" w:cs="Times New Roman"/>
                <w:bCs/>
                <w:sz w:val="24"/>
                <w:szCs w:val="24"/>
              </w:rPr>
            </w:pPr>
            <w:r w:rsidRPr="004024DA">
              <w:rPr>
                <w:rFonts w:ascii="Book Antiqua" w:eastAsia="Calibri" w:hAnsi="Book Antiqua" w:cs="Times New Roman"/>
                <w:bCs/>
                <w:sz w:val="24"/>
                <w:szCs w:val="24"/>
              </w:rPr>
              <w:t>COX-2 isoform</w:t>
            </w:r>
          </w:p>
          <w:p w:rsidR="00BB12CF" w:rsidRPr="004024DA" w:rsidRDefault="00BB12CF" w:rsidP="00BB12CF">
            <w:pPr>
              <w:widowControl w:val="0"/>
              <w:adjustRightInd w:val="0"/>
              <w:snapToGrid w:val="0"/>
              <w:spacing w:line="360" w:lineRule="auto"/>
              <w:rPr>
                <w:rFonts w:ascii="Book Antiqua" w:eastAsia="Calibri" w:hAnsi="Book Antiqua" w:cs="Times New Roman"/>
                <w:bCs/>
                <w:sz w:val="24"/>
                <w:szCs w:val="24"/>
              </w:rPr>
            </w:pPr>
          </w:p>
        </w:tc>
        <w:tc>
          <w:tcPr>
            <w:tcW w:w="9923" w:type="dxa"/>
          </w:tcPr>
          <w:p w:rsidR="00BB12CF" w:rsidRPr="00BB12CF" w:rsidRDefault="00BB12CF" w:rsidP="00BB12CF">
            <w:pPr>
              <w:widowControl w:val="0"/>
              <w:adjustRightInd w:val="0"/>
              <w:snapToGrid w:val="0"/>
              <w:spacing w:line="360" w:lineRule="auto"/>
              <w:jc w:val="center"/>
              <w:rPr>
                <w:rFonts w:ascii="Book Antiqua" w:eastAsia="Calibri" w:hAnsi="Book Antiqua" w:cs="Times New Roman"/>
                <w:bCs/>
                <w:sz w:val="24"/>
                <w:szCs w:val="24"/>
              </w:rPr>
            </w:pPr>
            <w:r w:rsidRPr="00BB12CF">
              <w:rPr>
                <w:rFonts w:ascii="Book Antiqua" w:eastAsia="Calibri" w:hAnsi="Book Antiqua" w:cs="Times New Roman"/>
                <w:bCs/>
                <w:sz w:val="24"/>
                <w:szCs w:val="24"/>
              </w:rPr>
              <w:t>COX-2 isoform is constitutively expressed in some tissues (the brain, kidneys, intestine, and endothelial cells). In other tissues COX2 is induced in response to local irritants, proinflammatory cytokines and growth factors.</w:t>
            </w:r>
          </w:p>
          <w:p w:rsidR="00BB12CF" w:rsidRPr="004024DA" w:rsidRDefault="00BB12CF" w:rsidP="00BB12CF">
            <w:pPr>
              <w:widowControl w:val="0"/>
              <w:adjustRightInd w:val="0"/>
              <w:snapToGrid w:val="0"/>
              <w:spacing w:line="360" w:lineRule="auto"/>
              <w:jc w:val="center"/>
              <w:rPr>
                <w:rFonts w:ascii="Book Antiqua" w:eastAsiaTheme="minorEastAsia" w:hAnsi="Book Antiqua" w:cs="Times New Roman"/>
                <w:bCs/>
                <w:sz w:val="24"/>
                <w:szCs w:val="24"/>
                <w:lang w:eastAsia="zh-CN"/>
              </w:rPr>
            </w:pPr>
            <w:r w:rsidRPr="00BB12CF">
              <w:rPr>
                <w:rFonts w:ascii="Book Antiqua" w:eastAsia="Calibri" w:hAnsi="Book Antiqua" w:cs="Times New Roman"/>
                <w:bCs/>
                <w:sz w:val="24"/>
                <w:szCs w:val="24"/>
              </w:rPr>
              <w:t>COX2 generated prostaglandins PGE</w:t>
            </w:r>
            <w:r w:rsidRPr="00BB12CF">
              <w:rPr>
                <w:rFonts w:ascii="Book Antiqua" w:eastAsia="Calibri" w:hAnsi="Book Antiqua" w:cs="Times New Roman"/>
                <w:bCs/>
                <w:sz w:val="24"/>
                <w:szCs w:val="24"/>
                <w:vertAlign w:val="subscript"/>
              </w:rPr>
              <w:t>2</w:t>
            </w:r>
            <w:r w:rsidRPr="00BB12CF">
              <w:rPr>
                <w:rFonts w:ascii="Book Antiqua" w:eastAsia="Calibri" w:hAnsi="Book Antiqua" w:cs="Times New Roman"/>
                <w:bCs/>
                <w:sz w:val="24"/>
                <w:szCs w:val="24"/>
              </w:rPr>
              <w:t xml:space="preserve"> and PGI</w:t>
            </w:r>
            <w:r w:rsidRPr="00BB12CF">
              <w:rPr>
                <w:rFonts w:ascii="Book Antiqua" w:eastAsia="Calibri" w:hAnsi="Book Antiqua" w:cs="Times New Roman"/>
                <w:bCs/>
                <w:sz w:val="24"/>
                <w:szCs w:val="24"/>
                <w:vertAlign w:val="subscript"/>
              </w:rPr>
              <w:t>2</w:t>
            </w:r>
            <w:r w:rsidRPr="00BB12CF">
              <w:rPr>
                <w:rFonts w:ascii="Book Antiqua" w:eastAsia="Calibri" w:hAnsi="Book Antiqua" w:cs="Times New Roman"/>
                <w:bCs/>
                <w:sz w:val="24"/>
                <w:szCs w:val="24"/>
              </w:rPr>
              <w:t xml:space="preserve"> play a critical role in gastric mucosal defense in response to injury and promote angiogenesis, ulcer healing, and (cancer grow</w:t>
            </w:r>
            <w:r w:rsidR="004024DA">
              <w:rPr>
                <w:rFonts w:ascii="Book Antiqua" w:eastAsia="Calibri" w:hAnsi="Book Antiqua" w:cs="Times New Roman"/>
                <w:bCs/>
                <w:sz w:val="24"/>
                <w:szCs w:val="24"/>
              </w:rPr>
              <w:t>th)</w:t>
            </w:r>
          </w:p>
        </w:tc>
      </w:tr>
      <w:tr w:rsidR="00BB12CF" w:rsidRPr="00B7665A" w:rsidTr="004024DA">
        <w:tblPrEx>
          <w:tblLook w:val="06A0" w:firstRow="1" w:lastRow="0" w:firstColumn="1" w:lastColumn="0" w:noHBand="1" w:noVBand="1"/>
        </w:tblPrEx>
        <w:tc>
          <w:tcPr>
            <w:tcW w:w="1985" w:type="dxa"/>
          </w:tcPr>
          <w:p w:rsidR="00BB12CF" w:rsidRPr="004024DA" w:rsidRDefault="00BB12CF" w:rsidP="00BB12CF">
            <w:pPr>
              <w:widowControl w:val="0"/>
              <w:adjustRightInd w:val="0"/>
              <w:snapToGrid w:val="0"/>
              <w:spacing w:line="360" w:lineRule="auto"/>
              <w:rPr>
                <w:rFonts w:ascii="Book Antiqua" w:eastAsia="Calibri" w:hAnsi="Book Antiqua" w:cs="Times New Roman"/>
                <w:sz w:val="24"/>
                <w:szCs w:val="24"/>
              </w:rPr>
            </w:pPr>
            <w:r w:rsidRPr="004024DA">
              <w:rPr>
                <w:rFonts w:ascii="Book Antiqua" w:eastAsia="Calibri" w:hAnsi="Book Antiqua" w:cs="Times New Roman"/>
                <w:bCs/>
                <w:sz w:val="24"/>
                <w:szCs w:val="24"/>
              </w:rPr>
              <w:t>Aspirin</w:t>
            </w:r>
          </w:p>
        </w:tc>
        <w:tc>
          <w:tcPr>
            <w:tcW w:w="9923" w:type="dxa"/>
          </w:tcPr>
          <w:p w:rsidR="00BB12CF" w:rsidRPr="00BB12CF" w:rsidRDefault="00BB12CF" w:rsidP="004024DA">
            <w:pPr>
              <w:widowControl w:val="0"/>
              <w:adjustRightInd w:val="0"/>
              <w:snapToGrid w:val="0"/>
              <w:spacing w:line="360" w:lineRule="auto"/>
              <w:jc w:val="center"/>
              <w:rPr>
                <w:rFonts w:ascii="Book Antiqua" w:eastAsia="Calibri" w:hAnsi="Book Antiqua" w:cs="Times New Roman"/>
                <w:bCs/>
                <w:sz w:val="24"/>
                <w:szCs w:val="24"/>
              </w:rPr>
            </w:pPr>
            <w:r w:rsidRPr="00BB12CF">
              <w:rPr>
                <w:rFonts w:ascii="Book Antiqua" w:eastAsia="Calibri" w:hAnsi="Book Antiqua" w:cs="Times New Roman"/>
                <w:bCs/>
                <w:sz w:val="24"/>
                <w:szCs w:val="24"/>
              </w:rPr>
              <w:t>Aspirin–has potent antithrombotic and cardioprotective properties:</w:t>
            </w:r>
            <w:r w:rsidR="004024DA">
              <w:rPr>
                <w:rFonts w:ascii="Book Antiqua" w:eastAsiaTheme="minorEastAsia" w:hAnsi="Book Antiqua" w:cs="Times New Roman" w:hint="eastAsia"/>
                <w:bCs/>
                <w:sz w:val="24"/>
                <w:szCs w:val="24"/>
                <w:lang w:eastAsia="zh-CN"/>
              </w:rPr>
              <w:t xml:space="preserve"> </w:t>
            </w:r>
            <w:r w:rsidR="004024DA" w:rsidRPr="00BB12CF">
              <w:rPr>
                <w:rFonts w:ascii="Book Antiqua" w:eastAsia="Calibri" w:hAnsi="Book Antiqua" w:cs="Times New Roman"/>
                <w:bCs/>
                <w:sz w:val="24"/>
                <w:szCs w:val="24"/>
              </w:rPr>
              <w:t xml:space="preserve">Irreversibly </w:t>
            </w:r>
            <w:r w:rsidRPr="00BB12CF">
              <w:rPr>
                <w:rFonts w:ascii="Book Antiqua" w:eastAsia="Calibri" w:hAnsi="Book Antiqua" w:cs="Times New Roman"/>
                <w:bCs/>
                <w:sz w:val="24"/>
                <w:szCs w:val="24"/>
              </w:rPr>
              <w:t>inactivates platelet COX-1 (</w:t>
            </w:r>
            <w:r w:rsidRPr="004024DA">
              <w:rPr>
                <w:rFonts w:ascii="Book Antiqua" w:eastAsia="Calibri" w:hAnsi="Book Antiqua" w:cs="Times New Roman"/>
                <w:bCs/>
                <w:i/>
                <w:sz w:val="24"/>
                <w:szCs w:val="24"/>
              </w:rPr>
              <w:t>vs</w:t>
            </w:r>
            <w:r w:rsidRPr="00BB12CF">
              <w:rPr>
                <w:rFonts w:ascii="Book Antiqua" w:eastAsia="Calibri" w:hAnsi="Book Antiqua" w:cs="Times New Roman"/>
                <w:bCs/>
                <w:sz w:val="24"/>
                <w:szCs w:val="24"/>
              </w:rPr>
              <w:t xml:space="preserve"> only temporary inhibition by other nonselective NSAIDs)</w:t>
            </w:r>
          </w:p>
          <w:p w:rsidR="00BB12CF" w:rsidRPr="004024DA" w:rsidRDefault="00BB12CF" w:rsidP="00BB12CF">
            <w:pPr>
              <w:widowControl w:val="0"/>
              <w:adjustRightInd w:val="0"/>
              <w:snapToGrid w:val="0"/>
              <w:spacing w:line="360" w:lineRule="auto"/>
              <w:jc w:val="center"/>
              <w:rPr>
                <w:rFonts w:ascii="Book Antiqua" w:eastAsiaTheme="minorEastAsia" w:hAnsi="Book Antiqua" w:cs="Times New Roman"/>
                <w:sz w:val="24"/>
                <w:szCs w:val="24"/>
                <w:lang w:eastAsia="zh-CN"/>
              </w:rPr>
            </w:pPr>
            <w:r w:rsidRPr="004024DA">
              <w:rPr>
                <w:rFonts w:ascii="Book Antiqua" w:eastAsia="Calibri" w:hAnsi="Book Antiqua" w:cs="Times New Roman"/>
                <w:bCs/>
                <w:sz w:val="24"/>
                <w:szCs w:val="24"/>
              </w:rPr>
              <w:t>↓</w:t>
            </w:r>
            <w:r w:rsidRPr="00BB12CF">
              <w:rPr>
                <w:rFonts w:ascii="Book Antiqua" w:eastAsia="Calibri" w:hAnsi="Book Antiqua" w:cs="Times New Roman"/>
                <w:bCs/>
                <w:sz w:val="24"/>
                <w:szCs w:val="24"/>
              </w:rPr>
              <w:t xml:space="preserve"> TXA</w:t>
            </w:r>
            <w:r w:rsidRPr="00BB12CF">
              <w:rPr>
                <w:rFonts w:ascii="Book Antiqua" w:eastAsia="Calibri" w:hAnsi="Book Antiqua" w:cs="Times New Roman"/>
                <w:bCs/>
                <w:sz w:val="24"/>
                <w:szCs w:val="24"/>
                <w:vertAlign w:val="subscript"/>
              </w:rPr>
              <w:t>2</w:t>
            </w:r>
            <w:r w:rsidRPr="00BB12CF">
              <w:rPr>
                <w:rFonts w:ascii="Book Antiqua" w:eastAsia="Calibri" w:hAnsi="Book Antiqua" w:cs="Times New Roman"/>
                <w:bCs/>
                <w:sz w:val="24"/>
                <w:szCs w:val="24"/>
              </w:rPr>
              <w:t xml:space="preserve"> synthesis, platelet aggregation, and thrombi formation which are all basis for </w:t>
            </w:r>
            <w:r w:rsidR="004024DA">
              <w:rPr>
                <w:rFonts w:ascii="Book Antiqua" w:eastAsia="Calibri" w:hAnsi="Book Antiqua" w:cs="Times New Roman"/>
                <w:sz w:val="24"/>
                <w:szCs w:val="24"/>
              </w:rPr>
              <w:t>cardiovascular events</w:t>
            </w:r>
          </w:p>
          <w:p w:rsidR="00BB12CF" w:rsidRPr="00BB12CF" w:rsidRDefault="00BB12CF" w:rsidP="00BB12CF">
            <w:pPr>
              <w:widowControl w:val="0"/>
              <w:adjustRightInd w:val="0"/>
              <w:snapToGrid w:val="0"/>
              <w:spacing w:line="360" w:lineRule="auto"/>
              <w:jc w:val="center"/>
              <w:rPr>
                <w:rFonts w:ascii="Book Antiqua" w:eastAsia="Calibri" w:hAnsi="Book Antiqua" w:cs="Times New Roman"/>
                <w:sz w:val="24"/>
                <w:szCs w:val="24"/>
              </w:rPr>
            </w:pPr>
            <w:r w:rsidRPr="004024DA">
              <w:rPr>
                <w:rFonts w:ascii="Book Antiqua" w:eastAsia="Calibri" w:hAnsi="Book Antiqua" w:cs="Times New Roman"/>
                <w:bCs/>
                <w:sz w:val="24"/>
                <w:szCs w:val="24"/>
              </w:rPr>
              <w:t>↓</w:t>
            </w:r>
            <w:r w:rsidRPr="00BB12CF">
              <w:rPr>
                <w:rFonts w:ascii="Book Antiqua" w:eastAsia="Calibri" w:hAnsi="Book Antiqua" w:cs="Times New Roman"/>
                <w:sz w:val="24"/>
                <w:szCs w:val="24"/>
              </w:rPr>
              <w:t xml:space="preserve"> </w:t>
            </w:r>
            <w:r w:rsidR="004024DA" w:rsidRPr="00BB12CF">
              <w:rPr>
                <w:rFonts w:ascii="Book Antiqua" w:eastAsia="Calibri" w:hAnsi="Book Antiqua" w:cs="Times New Roman"/>
                <w:sz w:val="24"/>
                <w:szCs w:val="24"/>
              </w:rPr>
              <w:t xml:space="preserve">Cardiocerebrovascular </w:t>
            </w:r>
            <w:r w:rsidRPr="00BB12CF">
              <w:rPr>
                <w:rFonts w:ascii="Book Antiqua" w:eastAsia="Calibri" w:hAnsi="Book Antiqua" w:cs="Times New Roman"/>
                <w:sz w:val="24"/>
                <w:szCs w:val="24"/>
              </w:rPr>
              <w:t>events</w:t>
            </w:r>
          </w:p>
          <w:p w:rsidR="00BB12CF" w:rsidRPr="004024DA" w:rsidRDefault="00BB12CF" w:rsidP="00BB12CF">
            <w:pPr>
              <w:widowControl w:val="0"/>
              <w:adjustRightInd w:val="0"/>
              <w:snapToGrid w:val="0"/>
              <w:spacing w:line="360" w:lineRule="auto"/>
              <w:jc w:val="center"/>
              <w:rPr>
                <w:rFonts w:ascii="Book Antiqua" w:eastAsiaTheme="minorEastAsia" w:hAnsi="Book Antiqua" w:cs="Times New Roman"/>
                <w:sz w:val="24"/>
                <w:szCs w:val="24"/>
                <w:lang w:eastAsia="zh-CN"/>
              </w:rPr>
            </w:pPr>
            <w:r w:rsidRPr="00BB12CF">
              <w:rPr>
                <w:rFonts w:ascii="Book Antiqua" w:eastAsia="Calibri" w:hAnsi="Book Antiqua" w:cs="Times New Roman"/>
                <w:sz w:val="24"/>
                <w:szCs w:val="24"/>
              </w:rPr>
              <w:t>In addition, aspirin may prevent and/or reduce cancer. A recent meta-analysis of 8 trials</w:t>
            </w:r>
            <w:r w:rsidRPr="00BB12CF">
              <w:rPr>
                <w:rFonts w:ascii="Book Antiqua" w:eastAsia="Calibri" w:hAnsi="Book Antiqua" w:cs="Times New Roman"/>
                <w:noProof/>
                <w:sz w:val="24"/>
                <w:szCs w:val="24"/>
                <w:vertAlign w:val="superscript"/>
              </w:rPr>
              <w:t>[38,39]</w:t>
            </w:r>
            <w:r w:rsidRPr="00BB12CF">
              <w:rPr>
                <w:rFonts w:ascii="Book Antiqua" w:eastAsia="Calibri" w:hAnsi="Book Antiqua" w:cs="Times New Roman"/>
                <w:sz w:val="24"/>
                <w:szCs w:val="24"/>
              </w:rPr>
              <w:t xml:space="preserve"> showed that LDA reduces ca</w:t>
            </w:r>
            <w:r w:rsidR="004024DA">
              <w:rPr>
                <w:rFonts w:ascii="Book Antiqua" w:eastAsia="Calibri" w:hAnsi="Book Antiqua" w:cs="Times New Roman"/>
                <w:sz w:val="24"/>
                <w:szCs w:val="24"/>
              </w:rPr>
              <w:t>ncer incidence and mortality</w:t>
            </w:r>
          </w:p>
        </w:tc>
      </w:tr>
      <w:tr w:rsidR="00BB12CF" w:rsidRPr="00B7665A" w:rsidTr="004024DA">
        <w:tblPrEx>
          <w:tblLook w:val="06A0" w:firstRow="1" w:lastRow="0" w:firstColumn="1" w:lastColumn="0" w:noHBand="1" w:noVBand="1"/>
        </w:tblPrEx>
        <w:tc>
          <w:tcPr>
            <w:tcW w:w="11908" w:type="dxa"/>
            <w:gridSpan w:val="2"/>
          </w:tcPr>
          <w:p w:rsidR="00BB12CF" w:rsidRPr="00BB12CF" w:rsidRDefault="00BB12CF" w:rsidP="006055CC">
            <w:pPr>
              <w:widowControl w:val="0"/>
              <w:adjustRightInd w:val="0"/>
              <w:snapToGrid w:val="0"/>
              <w:spacing w:line="360" w:lineRule="auto"/>
              <w:jc w:val="both"/>
              <w:rPr>
                <w:rFonts w:ascii="Book Antiqua" w:eastAsia="Calibri" w:hAnsi="Book Antiqua" w:cs="Times New Roman"/>
                <w:sz w:val="24"/>
                <w:szCs w:val="24"/>
              </w:rPr>
            </w:pPr>
            <w:r w:rsidRPr="00BB12CF">
              <w:rPr>
                <w:rFonts w:ascii="Book Antiqua" w:eastAsia="Calibri" w:hAnsi="Book Antiqua" w:cs="Times New Roman"/>
                <w:sz w:val="24"/>
                <w:szCs w:val="24"/>
              </w:rPr>
              <w:t>Aspirin advantage - single daily dose, low cost, good safety profile</w:t>
            </w:r>
          </w:p>
        </w:tc>
      </w:tr>
    </w:tbl>
    <w:p w:rsidR="006055CC" w:rsidRDefault="006055CC" w:rsidP="006055CC">
      <w:pPr>
        <w:widowControl w:val="0"/>
        <w:adjustRightInd w:val="0"/>
        <w:snapToGrid w:val="0"/>
        <w:spacing w:line="360" w:lineRule="auto"/>
        <w:jc w:val="both"/>
        <w:rPr>
          <w:rFonts w:ascii="Book Antiqua" w:hAnsi="Book Antiqua"/>
          <w:sz w:val="24"/>
          <w:szCs w:val="24"/>
          <w:lang w:eastAsia="zh-CN"/>
        </w:rPr>
      </w:pPr>
      <w:r w:rsidRPr="00B7665A">
        <w:rPr>
          <w:rFonts w:ascii="Book Antiqua" w:hAnsi="Book Antiqua"/>
          <w:sz w:val="24"/>
          <w:szCs w:val="24"/>
          <w:lang w:eastAsia="ja-JP"/>
        </w:rPr>
        <w:br w:type="page"/>
      </w:r>
    </w:p>
    <w:p w:rsidR="004024DA" w:rsidRPr="00B7665A" w:rsidRDefault="004024DA" w:rsidP="006055CC">
      <w:pPr>
        <w:widowControl w:val="0"/>
        <w:adjustRightInd w:val="0"/>
        <w:snapToGrid w:val="0"/>
        <w:spacing w:line="360" w:lineRule="auto"/>
        <w:jc w:val="both"/>
        <w:rPr>
          <w:rFonts w:ascii="Book Antiqua" w:hAnsi="Book Antiqua"/>
          <w:sz w:val="24"/>
          <w:szCs w:val="24"/>
          <w:lang w:eastAsia="zh-CN"/>
        </w:rPr>
      </w:pPr>
      <w:r w:rsidRPr="00B7665A">
        <w:rPr>
          <w:rFonts w:ascii="Book Antiqua" w:eastAsia="DengXian" w:hAnsi="Book Antiqua" w:cs="Times New Roman"/>
          <w:b/>
          <w:bCs/>
          <w:color w:val="000000"/>
          <w:kern w:val="2"/>
          <w:sz w:val="24"/>
          <w:szCs w:val="24"/>
          <w:lang w:eastAsia="ja-JP"/>
        </w:rPr>
        <w:lastRenderedPageBreak/>
        <w:t>Table 2</w:t>
      </w:r>
      <w:r>
        <w:rPr>
          <w:rFonts w:ascii="Book Antiqua" w:eastAsia="DengXian" w:hAnsi="Book Antiqua" w:cs="Times New Roman" w:hint="eastAsia"/>
          <w:b/>
          <w:bCs/>
          <w:color w:val="000000"/>
          <w:kern w:val="2"/>
          <w:sz w:val="24"/>
          <w:szCs w:val="24"/>
          <w:lang w:eastAsia="zh-CN"/>
        </w:rPr>
        <w:t xml:space="preserve"> </w:t>
      </w:r>
      <w:r w:rsidRPr="00B7665A">
        <w:rPr>
          <w:rFonts w:ascii="Book Antiqua" w:eastAsia="DengXian" w:hAnsi="Book Antiqua" w:cs="Times New Roman"/>
          <w:b/>
          <w:bCs/>
          <w:color w:val="000000"/>
          <w:kern w:val="2"/>
          <w:sz w:val="24"/>
          <w:szCs w:val="24"/>
          <w:lang w:eastAsia="ja-JP"/>
        </w:rPr>
        <w:t>Structural, functional and biochemical abnorm</w:t>
      </w:r>
      <w:r>
        <w:rPr>
          <w:rFonts w:ascii="Book Antiqua" w:eastAsia="DengXian" w:hAnsi="Book Antiqua" w:cs="Times New Roman"/>
          <w:b/>
          <w:bCs/>
          <w:color w:val="000000"/>
          <w:kern w:val="2"/>
          <w:sz w:val="24"/>
          <w:szCs w:val="24"/>
          <w:lang w:eastAsia="ja-JP"/>
        </w:rPr>
        <w:t>alities of aging gastric mucosa</w:t>
      </w:r>
      <w:r w:rsidRPr="00B7665A">
        <w:rPr>
          <w:rFonts w:ascii="Book Antiqua" w:eastAsia="DengXian" w:hAnsi="Book Antiqua" w:cs="Times New Roman"/>
          <w:b/>
          <w:bCs/>
          <w:color w:val="000000"/>
          <w:kern w:val="2"/>
          <w:sz w:val="24"/>
          <w:szCs w:val="24"/>
          <w:lang w:eastAsia="ja-JP"/>
        </w:rPr>
        <w:t xml:space="preserve"> </w:t>
      </w:r>
    </w:p>
    <w:tbl>
      <w:tblPr>
        <w:tblStyle w:val="TableGrid"/>
        <w:tblW w:w="11766" w:type="dxa"/>
        <w:tblInd w:w="-1026" w:type="dxa"/>
        <w:tblLook w:val="06A0" w:firstRow="1" w:lastRow="0" w:firstColumn="1" w:lastColumn="0" w:noHBand="1" w:noVBand="1"/>
      </w:tblPr>
      <w:tblGrid>
        <w:gridCol w:w="11766"/>
      </w:tblGrid>
      <w:tr w:rsidR="004024DA" w:rsidRPr="004024DA" w:rsidTr="004024DA">
        <w:tc>
          <w:tcPr>
            <w:tcW w:w="11766" w:type="dxa"/>
          </w:tcPr>
          <w:p w:rsidR="006055CC" w:rsidRPr="004024DA" w:rsidRDefault="006055CC" w:rsidP="006055CC">
            <w:pPr>
              <w:widowControl w:val="0"/>
              <w:autoSpaceDE w:val="0"/>
              <w:autoSpaceDN w:val="0"/>
              <w:adjustRightInd w:val="0"/>
              <w:snapToGrid w:val="0"/>
              <w:spacing w:line="360" w:lineRule="auto"/>
              <w:jc w:val="both"/>
              <w:rPr>
                <w:rFonts w:ascii="Book Antiqua" w:eastAsia="DengXian" w:hAnsi="Book Antiqua" w:cs="Times New Roman"/>
                <w:bCs/>
                <w:kern w:val="2"/>
                <w:sz w:val="24"/>
                <w:szCs w:val="24"/>
                <w:lang w:eastAsia="ja-JP"/>
              </w:rPr>
            </w:pPr>
            <w:r w:rsidRPr="004024DA">
              <w:rPr>
                <w:rFonts w:ascii="Book Antiqua" w:eastAsia="DengXian" w:hAnsi="Book Antiqua" w:cs="Times New Roman"/>
                <w:bCs/>
                <w:kern w:val="2"/>
                <w:sz w:val="24"/>
                <w:szCs w:val="24"/>
                <w:lang w:eastAsia="ja-JP"/>
              </w:rPr>
              <w:t xml:space="preserve">Partial atrophy of gastric glands and their replacement with connective tissue </w:t>
            </w:r>
          </w:p>
        </w:tc>
      </w:tr>
      <w:tr w:rsidR="004024DA" w:rsidRPr="004024DA" w:rsidTr="004024DA">
        <w:tc>
          <w:tcPr>
            <w:tcW w:w="11766" w:type="dxa"/>
          </w:tcPr>
          <w:p w:rsidR="006055CC" w:rsidRPr="004024DA" w:rsidRDefault="006055CC" w:rsidP="006055CC">
            <w:pPr>
              <w:widowControl w:val="0"/>
              <w:autoSpaceDE w:val="0"/>
              <w:autoSpaceDN w:val="0"/>
              <w:adjustRightInd w:val="0"/>
              <w:snapToGrid w:val="0"/>
              <w:spacing w:line="360" w:lineRule="auto"/>
              <w:jc w:val="both"/>
              <w:rPr>
                <w:rFonts w:ascii="Book Antiqua" w:eastAsia="DengXian" w:hAnsi="Book Antiqua" w:cs="Times New Roman"/>
                <w:bCs/>
                <w:kern w:val="2"/>
                <w:sz w:val="24"/>
                <w:szCs w:val="24"/>
                <w:lang w:eastAsia="ja-JP"/>
              </w:rPr>
            </w:pPr>
            <w:r w:rsidRPr="004024DA">
              <w:rPr>
                <w:rFonts w:ascii="Book Antiqua" w:eastAsia="DengXian" w:hAnsi="Book Antiqua" w:cs="Times New Roman"/>
                <w:bCs/>
                <w:kern w:val="2"/>
                <w:sz w:val="24"/>
                <w:szCs w:val="24"/>
                <w:lang w:eastAsia="ja-JP"/>
              </w:rPr>
              <w:t>Degenerative changes in parietal and chief cells</w:t>
            </w:r>
          </w:p>
        </w:tc>
      </w:tr>
      <w:tr w:rsidR="004024DA" w:rsidRPr="004024DA" w:rsidTr="004024DA">
        <w:tc>
          <w:tcPr>
            <w:tcW w:w="11766" w:type="dxa"/>
          </w:tcPr>
          <w:p w:rsidR="006055CC" w:rsidRPr="004024DA" w:rsidRDefault="006055CC" w:rsidP="006055CC">
            <w:pPr>
              <w:widowControl w:val="0"/>
              <w:autoSpaceDE w:val="0"/>
              <w:autoSpaceDN w:val="0"/>
              <w:adjustRightInd w:val="0"/>
              <w:snapToGrid w:val="0"/>
              <w:spacing w:line="360" w:lineRule="auto"/>
              <w:jc w:val="both"/>
              <w:rPr>
                <w:rFonts w:ascii="Book Antiqua" w:eastAsia="DengXian" w:hAnsi="Book Antiqua" w:cs="Times New Roman"/>
                <w:bCs/>
                <w:kern w:val="2"/>
                <w:sz w:val="24"/>
                <w:szCs w:val="24"/>
                <w:lang w:eastAsia="ja-JP"/>
              </w:rPr>
            </w:pPr>
            <w:r w:rsidRPr="004024DA">
              <w:rPr>
                <w:rFonts w:ascii="Book Antiqua" w:eastAsia="Calibri" w:hAnsi="Book Antiqua" w:cs="Times New Roman"/>
                <w:b/>
                <w:bCs/>
                <w:sz w:val="24"/>
                <w:szCs w:val="24"/>
              </w:rPr>
              <w:t>↓</w:t>
            </w:r>
            <w:r w:rsidRPr="004024DA">
              <w:rPr>
                <w:rFonts w:ascii="Book Antiqua" w:eastAsia="DengXian" w:hAnsi="Book Antiqua" w:cs="Times New Roman"/>
                <w:bCs/>
                <w:kern w:val="2"/>
                <w:sz w:val="24"/>
                <w:szCs w:val="24"/>
                <w:lang w:eastAsia="ja-JP"/>
              </w:rPr>
              <w:t xml:space="preserve"> </w:t>
            </w:r>
            <w:r w:rsidR="004024DA" w:rsidRPr="004024DA">
              <w:rPr>
                <w:rFonts w:ascii="Book Antiqua" w:eastAsia="DengXian" w:hAnsi="Book Antiqua" w:cs="Times New Roman"/>
                <w:bCs/>
                <w:kern w:val="2"/>
                <w:sz w:val="24"/>
                <w:szCs w:val="24"/>
                <w:lang w:eastAsia="ja-JP"/>
              </w:rPr>
              <w:t xml:space="preserve">Sensory </w:t>
            </w:r>
            <w:r w:rsidRPr="004024DA">
              <w:rPr>
                <w:rFonts w:ascii="Book Antiqua" w:eastAsia="DengXian" w:hAnsi="Book Antiqua" w:cs="Times New Roman"/>
                <w:bCs/>
                <w:kern w:val="2"/>
                <w:sz w:val="24"/>
                <w:szCs w:val="24"/>
                <w:lang w:eastAsia="ja-JP"/>
              </w:rPr>
              <w:t xml:space="preserve">innervation and abolished hyperemic response to mild and moderate irritants </w:t>
            </w:r>
          </w:p>
        </w:tc>
      </w:tr>
      <w:tr w:rsidR="004024DA" w:rsidRPr="004024DA" w:rsidTr="004024DA">
        <w:tc>
          <w:tcPr>
            <w:tcW w:w="11766" w:type="dxa"/>
          </w:tcPr>
          <w:p w:rsidR="006055CC" w:rsidRPr="004024DA" w:rsidRDefault="006055CC" w:rsidP="006055CC">
            <w:pPr>
              <w:widowControl w:val="0"/>
              <w:autoSpaceDE w:val="0"/>
              <w:autoSpaceDN w:val="0"/>
              <w:adjustRightInd w:val="0"/>
              <w:snapToGrid w:val="0"/>
              <w:spacing w:line="360" w:lineRule="auto"/>
              <w:jc w:val="both"/>
              <w:rPr>
                <w:rFonts w:ascii="Book Antiqua" w:eastAsia="DengXian" w:hAnsi="Book Antiqua" w:cs="Times New Roman"/>
                <w:bCs/>
                <w:kern w:val="2"/>
                <w:sz w:val="24"/>
                <w:szCs w:val="24"/>
                <w:lang w:eastAsia="ja-JP"/>
              </w:rPr>
            </w:pPr>
            <w:r w:rsidRPr="004024DA">
              <w:rPr>
                <w:rFonts w:ascii="Book Antiqua" w:eastAsia="Calibri" w:hAnsi="Book Antiqua" w:cs="Times New Roman"/>
                <w:b/>
                <w:bCs/>
                <w:sz w:val="24"/>
                <w:szCs w:val="24"/>
              </w:rPr>
              <w:t>↓</w:t>
            </w:r>
            <w:r w:rsidRPr="004024DA">
              <w:rPr>
                <w:rFonts w:ascii="Book Antiqua" w:eastAsia="DengXian" w:hAnsi="Book Antiqua" w:cs="Times New Roman"/>
                <w:bCs/>
                <w:kern w:val="2"/>
                <w:sz w:val="24"/>
                <w:szCs w:val="24"/>
                <w:lang w:eastAsia="ja-JP"/>
              </w:rPr>
              <w:t xml:space="preserve"> </w:t>
            </w:r>
            <w:r w:rsidR="004024DA" w:rsidRPr="004024DA">
              <w:rPr>
                <w:rFonts w:ascii="Book Antiqua" w:eastAsia="DengXian" w:hAnsi="Book Antiqua" w:cs="Times New Roman"/>
                <w:bCs/>
                <w:kern w:val="2"/>
                <w:sz w:val="24"/>
                <w:szCs w:val="24"/>
                <w:lang w:eastAsia="ja-JP"/>
              </w:rPr>
              <w:t xml:space="preserve">Bicarbonate </w:t>
            </w:r>
            <w:r w:rsidRPr="004024DA">
              <w:rPr>
                <w:rFonts w:ascii="Book Antiqua" w:eastAsia="DengXian" w:hAnsi="Book Antiqua" w:cs="Times New Roman"/>
                <w:bCs/>
                <w:kern w:val="2"/>
                <w:sz w:val="24"/>
                <w:szCs w:val="24"/>
                <w:lang w:eastAsia="ja-JP"/>
              </w:rPr>
              <w:t>and prostaglandin generation and secretion</w:t>
            </w:r>
          </w:p>
        </w:tc>
      </w:tr>
      <w:tr w:rsidR="004024DA" w:rsidRPr="004024DA" w:rsidTr="004024DA">
        <w:tc>
          <w:tcPr>
            <w:tcW w:w="11766" w:type="dxa"/>
          </w:tcPr>
          <w:p w:rsidR="006055CC" w:rsidRPr="004024DA" w:rsidRDefault="006055CC" w:rsidP="006055CC">
            <w:pPr>
              <w:widowControl w:val="0"/>
              <w:autoSpaceDE w:val="0"/>
              <w:autoSpaceDN w:val="0"/>
              <w:adjustRightInd w:val="0"/>
              <w:snapToGrid w:val="0"/>
              <w:spacing w:line="360" w:lineRule="auto"/>
              <w:jc w:val="both"/>
              <w:rPr>
                <w:rFonts w:ascii="Book Antiqua" w:eastAsia="DengXian" w:hAnsi="Book Antiqua" w:cs="Times New Roman"/>
                <w:bCs/>
                <w:kern w:val="2"/>
                <w:sz w:val="24"/>
                <w:szCs w:val="24"/>
                <w:lang w:eastAsia="ja-JP"/>
              </w:rPr>
            </w:pPr>
            <w:r w:rsidRPr="004024DA">
              <w:rPr>
                <w:rFonts w:ascii="Book Antiqua" w:eastAsia="Calibri" w:hAnsi="Book Antiqua" w:cs="Times New Roman"/>
                <w:b/>
                <w:bCs/>
                <w:sz w:val="24"/>
                <w:szCs w:val="24"/>
              </w:rPr>
              <w:t>↓</w:t>
            </w:r>
            <w:r w:rsidRPr="004024DA">
              <w:rPr>
                <w:rFonts w:ascii="Book Antiqua" w:eastAsia="DengXian" w:hAnsi="Book Antiqua" w:cs="Times New Roman"/>
                <w:bCs/>
                <w:kern w:val="2"/>
                <w:sz w:val="24"/>
                <w:szCs w:val="24"/>
                <w:lang w:eastAsia="ja-JP"/>
              </w:rPr>
              <w:t xml:space="preserve"> </w:t>
            </w:r>
            <w:r w:rsidR="004024DA" w:rsidRPr="004024DA">
              <w:rPr>
                <w:rFonts w:ascii="Book Antiqua" w:eastAsia="DengXian" w:hAnsi="Book Antiqua" w:cs="Times New Roman"/>
                <w:bCs/>
                <w:kern w:val="2"/>
                <w:sz w:val="24"/>
                <w:szCs w:val="24"/>
                <w:lang w:eastAsia="ja-JP"/>
              </w:rPr>
              <w:t xml:space="preserve">Mucosal </w:t>
            </w:r>
            <w:r w:rsidRPr="004024DA">
              <w:rPr>
                <w:rFonts w:ascii="Book Antiqua" w:eastAsia="DengXian" w:hAnsi="Book Antiqua" w:cs="Times New Roman"/>
                <w:bCs/>
                <w:kern w:val="2"/>
                <w:sz w:val="24"/>
                <w:szCs w:val="24"/>
                <w:lang w:eastAsia="ja-JP"/>
              </w:rPr>
              <w:t>blood flow (by &gt;</w:t>
            </w:r>
            <w:r w:rsidR="004024DA">
              <w:rPr>
                <w:rFonts w:ascii="Book Antiqua" w:eastAsia="DengXian" w:hAnsi="Book Antiqua" w:cs="Times New Roman" w:hint="eastAsia"/>
                <w:bCs/>
                <w:kern w:val="2"/>
                <w:sz w:val="24"/>
                <w:szCs w:val="24"/>
                <w:lang w:eastAsia="zh-CN"/>
              </w:rPr>
              <w:t xml:space="preserve"> </w:t>
            </w:r>
            <w:r w:rsidRPr="004024DA">
              <w:rPr>
                <w:rFonts w:ascii="Book Antiqua" w:eastAsia="DengXian" w:hAnsi="Book Antiqua" w:cs="Times New Roman"/>
                <w:bCs/>
                <w:kern w:val="2"/>
                <w:sz w:val="24"/>
                <w:szCs w:val="24"/>
                <w:lang w:eastAsia="ja-JP"/>
              </w:rPr>
              <w:t>60%) and profound hypoxia of all mucosal cells</w:t>
            </w:r>
          </w:p>
        </w:tc>
      </w:tr>
      <w:tr w:rsidR="004024DA" w:rsidRPr="004024DA" w:rsidTr="004024DA">
        <w:tc>
          <w:tcPr>
            <w:tcW w:w="11766" w:type="dxa"/>
          </w:tcPr>
          <w:p w:rsidR="006055CC" w:rsidRPr="004024DA" w:rsidRDefault="006055CC" w:rsidP="006055CC">
            <w:pPr>
              <w:widowControl w:val="0"/>
              <w:autoSpaceDE w:val="0"/>
              <w:autoSpaceDN w:val="0"/>
              <w:adjustRightInd w:val="0"/>
              <w:snapToGrid w:val="0"/>
              <w:spacing w:line="360" w:lineRule="auto"/>
              <w:jc w:val="both"/>
              <w:rPr>
                <w:rFonts w:ascii="Book Antiqua" w:eastAsia="DengXian" w:hAnsi="Book Antiqua" w:cs="Times New Roman"/>
                <w:bCs/>
                <w:kern w:val="2"/>
                <w:sz w:val="24"/>
                <w:szCs w:val="24"/>
                <w:lang w:eastAsia="ja-JP"/>
              </w:rPr>
            </w:pPr>
            <w:r w:rsidRPr="004024DA">
              <w:rPr>
                <w:rFonts w:ascii="Book Antiqua" w:eastAsia="DengXian" w:hAnsi="Book Antiqua" w:cs="Times New Roman"/>
                <w:b/>
                <w:bCs/>
                <w:kern w:val="2"/>
                <w:sz w:val="24"/>
                <w:szCs w:val="24"/>
                <w:lang w:eastAsia="ja-JP"/>
              </w:rPr>
              <w:t>↑</w:t>
            </w:r>
            <w:r w:rsidRPr="004024DA">
              <w:rPr>
                <w:rFonts w:ascii="Book Antiqua" w:eastAsia="DengXian" w:hAnsi="Book Antiqua" w:cs="Times New Roman"/>
                <w:bCs/>
                <w:kern w:val="2"/>
                <w:sz w:val="24"/>
                <w:szCs w:val="24"/>
                <w:lang w:eastAsia="ja-JP"/>
              </w:rPr>
              <w:t xml:space="preserve"> </w:t>
            </w:r>
            <w:r w:rsidR="004024DA" w:rsidRPr="004024DA">
              <w:rPr>
                <w:rFonts w:ascii="Book Antiqua" w:eastAsia="DengXian" w:hAnsi="Book Antiqua" w:cs="Times New Roman"/>
                <w:bCs/>
                <w:kern w:val="2"/>
                <w:sz w:val="24"/>
                <w:szCs w:val="24"/>
                <w:lang w:eastAsia="ja-JP"/>
              </w:rPr>
              <w:t xml:space="preserve">Expression </w:t>
            </w:r>
            <w:r w:rsidRPr="004024DA">
              <w:rPr>
                <w:rFonts w:ascii="Book Antiqua" w:eastAsia="DengXian" w:hAnsi="Book Antiqua" w:cs="Times New Roman"/>
                <w:bCs/>
                <w:kern w:val="2"/>
                <w:sz w:val="24"/>
                <w:szCs w:val="24"/>
                <w:lang w:eastAsia="ja-JP"/>
              </w:rPr>
              <w:t xml:space="preserve">and transcriptional activity of </w:t>
            </w:r>
            <w:r w:rsidR="004024DA" w:rsidRPr="00B7665A">
              <w:rPr>
                <w:rFonts w:ascii="Book Antiqua" w:hAnsi="Book Antiqua" w:cs="Times New Roman"/>
                <w:sz w:val="24"/>
                <w:szCs w:val="24"/>
              </w:rPr>
              <w:t>early growth response-1</w:t>
            </w:r>
            <w:r w:rsidRPr="004024DA">
              <w:rPr>
                <w:rFonts w:ascii="Book Antiqua" w:eastAsia="DengXian" w:hAnsi="Book Antiqua" w:cs="Times New Roman"/>
                <w:b/>
                <w:bCs/>
                <w:kern w:val="2"/>
                <w:sz w:val="24"/>
                <w:szCs w:val="24"/>
                <w:lang w:eastAsia="ja-JP"/>
              </w:rPr>
              <w:t xml:space="preserve">→ ↑ </w:t>
            </w:r>
            <w:r w:rsidRPr="004024DA">
              <w:rPr>
                <w:rFonts w:ascii="Book Antiqua" w:eastAsia="DengXian" w:hAnsi="Book Antiqua" w:cs="Times New Roman"/>
                <w:bCs/>
                <w:kern w:val="2"/>
                <w:sz w:val="24"/>
                <w:szCs w:val="24"/>
                <w:lang w:eastAsia="ja-JP"/>
              </w:rPr>
              <w:t xml:space="preserve">PTEN and </w:t>
            </w:r>
            <w:r w:rsidRPr="004024DA">
              <w:rPr>
                <w:rFonts w:ascii="Book Antiqua" w:eastAsia="DengXian" w:hAnsi="Book Antiqua" w:cs="Times New Roman"/>
                <w:b/>
                <w:bCs/>
                <w:kern w:val="2"/>
                <w:sz w:val="24"/>
                <w:szCs w:val="24"/>
                <w:lang w:eastAsia="ja-JP"/>
              </w:rPr>
              <w:t>↓</w:t>
            </w:r>
            <w:r w:rsidRPr="004024DA">
              <w:rPr>
                <w:rFonts w:ascii="Book Antiqua" w:eastAsia="DengXian" w:hAnsi="Book Antiqua" w:cs="Times New Roman"/>
                <w:bCs/>
                <w:kern w:val="2"/>
                <w:sz w:val="24"/>
                <w:szCs w:val="24"/>
                <w:lang w:eastAsia="ja-JP"/>
              </w:rPr>
              <w:t xml:space="preserve"> survivin (anti-apoptosis protein) </w:t>
            </w:r>
            <w:r w:rsidRPr="004024DA">
              <w:rPr>
                <w:rFonts w:ascii="Book Antiqua" w:eastAsia="DengXian" w:hAnsi="Book Antiqua" w:cs="Times New Roman"/>
                <w:b/>
                <w:bCs/>
                <w:kern w:val="2"/>
                <w:sz w:val="24"/>
                <w:szCs w:val="24"/>
                <w:lang w:eastAsia="ja-JP"/>
              </w:rPr>
              <w:t>→ ↑</w:t>
            </w:r>
            <w:r w:rsidR="004024DA">
              <w:rPr>
                <w:rFonts w:ascii="Book Antiqua" w:eastAsia="DengXian" w:hAnsi="Book Antiqua" w:cs="Times New Roman" w:hint="eastAsia"/>
                <w:b/>
                <w:bCs/>
                <w:kern w:val="2"/>
                <w:sz w:val="24"/>
                <w:szCs w:val="24"/>
                <w:lang w:eastAsia="zh-CN"/>
              </w:rPr>
              <w:t xml:space="preserve"> </w:t>
            </w:r>
            <w:r w:rsidRPr="004024DA">
              <w:rPr>
                <w:rFonts w:ascii="Book Antiqua" w:eastAsia="DengXian" w:hAnsi="Book Antiqua" w:cs="Times New Roman"/>
                <w:bCs/>
                <w:kern w:val="2"/>
                <w:sz w:val="24"/>
                <w:szCs w:val="24"/>
                <w:lang w:eastAsia="ja-JP"/>
              </w:rPr>
              <w:t>apoptosis</w:t>
            </w:r>
          </w:p>
        </w:tc>
      </w:tr>
      <w:tr w:rsidR="004024DA" w:rsidRPr="004024DA" w:rsidTr="004024DA">
        <w:tc>
          <w:tcPr>
            <w:tcW w:w="11766" w:type="dxa"/>
          </w:tcPr>
          <w:p w:rsidR="006055CC" w:rsidRPr="004024DA" w:rsidRDefault="006055CC" w:rsidP="006055CC">
            <w:pPr>
              <w:widowControl w:val="0"/>
              <w:autoSpaceDE w:val="0"/>
              <w:autoSpaceDN w:val="0"/>
              <w:adjustRightInd w:val="0"/>
              <w:snapToGrid w:val="0"/>
              <w:spacing w:line="360" w:lineRule="auto"/>
              <w:jc w:val="both"/>
              <w:rPr>
                <w:rFonts w:ascii="Book Antiqua" w:eastAsia="DengXian" w:hAnsi="Book Antiqua" w:cs="Times New Roman"/>
                <w:bCs/>
                <w:kern w:val="2"/>
                <w:sz w:val="24"/>
                <w:szCs w:val="24"/>
                <w:lang w:eastAsia="ja-JP"/>
              </w:rPr>
            </w:pPr>
            <w:r w:rsidRPr="004024DA">
              <w:rPr>
                <w:rFonts w:ascii="Book Antiqua" w:eastAsia="DengXian" w:hAnsi="Book Antiqua" w:cs="Times New Roman"/>
                <w:bCs/>
                <w:kern w:val="2"/>
                <w:sz w:val="24"/>
                <w:szCs w:val="24"/>
                <w:lang w:eastAsia="ja-JP"/>
              </w:rPr>
              <w:t xml:space="preserve">Other abnormalities: </w:t>
            </w:r>
          </w:p>
          <w:p w:rsidR="006055CC" w:rsidRPr="004024DA" w:rsidRDefault="006055CC" w:rsidP="006055CC">
            <w:pPr>
              <w:widowControl w:val="0"/>
              <w:autoSpaceDE w:val="0"/>
              <w:autoSpaceDN w:val="0"/>
              <w:adjustRightInd w:val="0"/>
              <w:snapToGrid w:val="0"/>
              <w:spacing w:line="360" w:lineRule="auto"/>
              <w:jc w:val="both"/>
              <w:rPr>
                <w:rFonts w:ascii="Book Antiqua" w:eastAsia="DengXian" w:hAnsi="Book Antiqua" w:cs="Times New Roman"/>
                <w:bCs/>
                <w:kern w:val="2"/>
                <w:sz w:val="24"/>
                <w:szCs w:val="24"/>
                <w:lang w:eastAsia="zh-CN"/>
              </w:rPr>
            </w:pPr>
            <w:r w:rsidRPr="004024DA">
              <w:rPr>
                <w:rFonts w:ascii="Book Antiqua" w:eastAsia="Calibri" w:hAnsi="Book Antiqua" w:cs="Times New Roman"/>
                <w:b/>
                <w:bCs/>
                <w:sz w:val="24"/>
                <w:szCs w:val="24"/>
              </w:rPr>
              <w:t>↓</w:t>
            </w:r>
            <w:r w:rsidRPr="004024DA">
              <w:rPr>
                <w:rFonts w:ascii="Book Antiqua" w:eastAsia="DengXian" w:hAnsi="Book Antiqua" w:cs="Times New Roman"/>
                <w:bCs/>
                <w:kern w:val="2"/>
                <w:sz w:val="24"/>
                <w:szCs w:val="24"/>
                <w:lang w:eastAsia="ja-JP"/>
              </w:rPr>
              <w:t xml:space="preserve"> </w:t>
            </w:r>
            <w:r w:rsidR="004024DA" w:rsidRPr="004024DA">
              <w:rPr>
                <w:rFonts w:ascii="Book Antiqua" w:eastAsia="DengXian" w:hAnsi="Book Antiqua" w:cs="Times New Roman"/>
                <w:bCs/>
                <w:kern w:val="2"/>
                <w:sz w:val="24"/>
                <w:szCs w:val="24"/>
                <w:lang w:eastAsia="ja-JP"/>
              </w:rPr>
              <w:t xml:space="preserve">Telomerase </w:t>
            </w:r>
            <w:r w:rsidRPr="004024DA">
              <w:rPr>
                <w:rFonts w:ascii="Book Antiqua" w:eastAsia="DengXian" w:hAnsi="Book Antiqua" w:cs="Times New Roman"/>
                <w:bCs/>
                <w:kern w:val="2"/>
                <w:sz w:val="24"/>
                <w:szCs w:val="24"/>
                <w:lang w:eastAsia="ja-JP"/>
              </w:rPr>
              <w:t>activity, cellular senescence, increased lipid peroxidation, impaired hypoxia sensor in endo</w:t>
            </w:r>
            <w:r w:rsidR="004024DA">
              <w:rPr>
                <w:rFonts w:ascii="Book Antiqua" w:eastAsia="DengXian" w:hAnsi="Book Antiqua" w:cs="Times New Roman"/>
                <w:bCs/>
                <w:kern w:val="2"/>
                <w:sz w:val="24"/>
                <w:szCs w:val="24"/>
                <w:lang w:eastAsia="ja-JP"/>
              </w:rPr>
              <w:t>thelial (and epithelial?) cells</w:t>
            </w:r>
          </w:p>
          <w:p w:rsidR="006055CC" w:rsidRPr="004024DA" w:rsidRDefault="006055CC" w:rsidP="006055CC">
            <w:pPr>
              <w:widowControl w:val="0"/>
              <w:autoSpaceDE w:val="0"/>
              <w:autoSpaceDN w:val="0"/>
              <w:adjustRightInd w:val="0"/>
              <w:snapToGrid w:val="0"/>
              <w:spacing w:line="360" w:lineRule="auto"/>
              <w:jc w:val="both"/>
              <w:rPr>
                <w:rFonts w:ascii="Book Antiqua" w:eastAsia="DengXian" w:hAnsi="Book Antiqua" w:cs="Times New Roman"/>
                <w:bCs/>
                <w:kern w:val="2"/>
                <w:sz w:val="24"/>
                <w:szCs w:val="24"/>
                <w:lang w:eastAsia="ja-JP"/>
              </w:rPr>
            </w:pPr>
            <w:r w:rsidRPr="004024DA">
              <w:rPr>
                <w:rFonts w:ascii="Book Antiqua" w:eastAsia="DengXian" w:hAnsi="Book Antiqua" w:cs="Times New Roman"/>
                <w:b/>
                <w:bCs/>
                <w:kern w:val="2"/>
                <w:sz w:val="24"/>
                <w:szCs w:val="24"/>
                <w:lang w:eastAsia="ja-JP"/>
              </w:rPr>
              <w:t>↑</w:t>
            </w:r>
            <w:r w:rsidRPr="004024DA">
              <w:rPr>
                <w:rFonts w:ascii="Book Antiqua" w:eastAsia="DengXian" w:hAnsi="Book Antiqua" w:cs="Times New Roman"/>
                <w:bCs/>
                <w:kern w:val="2"/>
                <w:sz w:val="24"/>
                <w:szCs w:val="24"/>
                <w:lang w:eastAsia="ja-JP"/>
              </w:rPr>
              <w:t xml:space="preserve"> </w:t>
            </w:r>
            <w:r w:rsidR="004024DA" w:rsidRPr="004024DA">
              <w:rPr>
                <w:rFonts w:ascii="Book Antiqua" w:eastAsia="DengXian" w:hAnsi="Book Antiqua" w:cs="Times New Roman"/>
                <w:bCs/>
                <w:kern w:val="2"/>
                <w:sz w:val="24"/>
                <w:szCs w:val="24"/>
                <w:lang w:eastAsia="ja-JP"/>
              </w:rPr>
              <w:t xml:space="preserve">Reactive </w:t>
            </w:r>
            <w:r w:rsidRPr="004024DA">
              <w:rPr>
                <w:rFonts w:ascii="Book Antiqua" w:eastAsia="DengXian" w:hAnsi="Book Antiqua" w:cs="Times New Roman"/>
                <w:bCs/>
                <w:kern w:val="2"/>
                <w:sz w:val="24"/>
                <w:szCs w:val="24"/>
                <w:lang w:eastAsia="ja-JP"/>
              </w:rPr>
              <w:t xml:space="preserve">oxygen species, </w:t>
            </w:r>
          </w:p>
          <w:p w:rsidR="006055CC" w:rsidRPr="004024DA" w:rsidRDefault="004024DA" w:rsidP="006055CC">
            <w:pPr>
              <w:widowControl w:val="0"/>
              <w:autoSpaceDE w:val="0"/>
              <w:autoSpaceDN w:val="0"/>
              <w:adjustRightInd w:val="0"/>
              <w:snapToGrid w:val="0"/>
              <w:spacing w:line="360" w:lineRule="auto"/>
              <w:jc w:val="both"/>
              <w:rPr>
                <w:rFonts w:ascii="Book Antiqua" w:eastAsia="DengXian" w:hAnsi="Book Antiqua" w:cs="Times New Roman"/>
                <w:bCs/>
                <w:kern w:val="2"/>
                <w:sz w:val="24"/>
                <w:szCs w:val="24"/>
                <w:lang w:eastAsia="ja-JP"/>
              </w:rPr>
            </w:pPr>
            <w:r w:rsidRPr="004024DA">
              <w:rPr>
                <w:rFonts w:ascii="Book Antiqua" w:eastAsia="DengXian" w:hAnsi="Book Antiqua" w:cs="Times New Roman"/>
                <w:bCs/>
                <w:kern w:val="2"/>
                <w:sz w:val="24"/>
                <w:szCs w:val="24"/>
                <w:lang w:eastAsia="ja-JP"/>
              </w:rPr>
              <w:t xml:space="preserve">Downregulated </w:t>
            </w:r>
            <w:r>
              <w:rPr>
                <w:rFonts w:ascii="Book Antiqua" w:eastAsia="DengXian" w:hAnsi="Book Antiqua" w:cs="Times New Roman"/>
                <w:bCs/>
                <w:kern w:val="2"/>
                <w:sz w:val="24"/>
                <w:szCs w:val="24"/>
                <w:lang w:eastAsia="ja-JP"/>
              </w:rPr>
              <w:t>or mutated Klotho protein</w:t>
            </w:r>
            <w:r>
              <w:rPr>
                <w:rFonts w:ascii="Book Antiqua" w:eastAsia="DengXian" w:hAnsi="Book Antiqua" w:cs="Times New Roman" w:hint="eastAsia"/>
                <w:bCs/>
                <w:kern w:val="2"/>
                <w:sz w:val="24"/>
                <w:szCs w:val="24"/>
                <w:lang w:eastAsia="zh-CN"/>
              </w:rPr>
              <w:t xml:space="preserve"> </w:t>
            </w:r>
            <w:r w:rsidR="006055CC" w:rsidRPr="004024DA">
              <w:rPr>
                <w:rFonts w:ascii="Book Antiqua" w:eastAsia="DengXian" w:hAnsi="Book Antiqua" w:cs="Times New Roman"/>
                <w:bCs/>
                <w:kern w:val="2"/>
                <w:sz w:val="24"/>
                <w:szCs w:val="24"/>
                <w:lang w:eastAsia="ja-JP"/>
              </w:rPr>
              <w:t>and dysregulated mitochondrial-nuclear communication</w:t>
            </w:r>
          </w:p>
          <w:p w:rsidR="006055CC" w:rsidRPr="004024DA" w:rsidRDefault="006055CC" w:rsidP="006055CC">
            <w:pPr>
              <w:widowControl w:val="0"/>
              <w:autoSpaceDE w:val="0"/>
              <w:autoSpaceDN w:val="0"/>
              <w:adjustRightInd w:val="0"/>
              <w:snapToGrid w:val="0"/>
              <w:spacing w:line="360" w:lineRule="auto"/>
              <w:jc w:val="both"/>
              <w:rPr>
                <w:rFonts w:ascii="Book Antiqua" w:eastAsia="DengXian" w:hAnsi="Book Antiqua" w:cs="Times New Roman"/>
                <w:bCs/>
                <w:kern w:val="2"/>
                <w:sz w:val="24"/>
                <w:szCs w:val="24"/>
                <w:lang w:eastAsia="ja-JP"/>
              </w:rPr>
            </w:pPr>
            <w:r w:rsidRPr="004024DA">
              <w:rPr>
                <w:rFonts w:ascii="Book Antiqua" w:eastAsia="DengXian" w:hAnsi="Book Antiqua" w:cs="Times New Roman"/>
                <w:b/>
                <w:bCs/>
                <w:kern w:val="2"/>
                <w:sz w:val="24"/>
                <w:szCs w:val="24"/>
                <w:lang w:eastAsia="ja-JP"/>
              </w:rPr>
              <w:t>↓</w:t>
            </w:r>
            <w:r w:rsidRPr="004024DA">
              <w:rPr>
                <w:rFonts w:ascii="Book Antiqua" w:eastAsia="DengXian" w:hAnsi="Book Antiqua" w:cs="Times New Roman"/>
                <w:bCs/>
                <w:kern w:val="2"/>
                <w:sz w:val="24"/>
                <w:szCs w:val="24"/>
                <w:lang w:eastAsia="ja-JP"/>
              </w:rPr>
              <w:t xml:space="preserve"> </w:t>
            </w:r>
            <w:r w:rsidR="004024DA" w:rsidRPr="004024DA">
              <w:rPr>
                <w:rFonts w:ascii="Book Antiqua" w:eastAsia="DengXian" w:hAnsi="Book Antiqua" w:cs="Times New Roman"/>
                <w:bCs/>
                <w:kern w:val="2"/>
                <w:sz w:val="24"/>
                <w:szCs w:val="24"/>
                <w:lang w:eastAsia="ja-JP"/>
              </w:rPr>
              <w:t>Importin</w:t>
            </w:r>
            <w:r w:rsidRPr="004024DA">
              <w:rPr>
                <w:rFonts w:ascii="Book Antiqua" w:eastAsia="DengXian" w:hAnsi="Book Antiqua" w:cs="Times New Roman"/>
                <w:bCs/>
                <w:kern w:val="2"/>
                <w:sz w:val="24"/>
                <w:szCs w:val="24"/>
                <w:lang w:eastAsia="ja-JP"/>
              </w:rPr>
              <w:t xml:space="preserve">-α expression in endothelial cells of gastric mucosa </w:t>
            </w:r>
            <w:r w:rsidRPr="004024DA">
              <w:rPr>
                <w:rFonts w:ascii="Book Antiqua" w:eastAsia="DengXian" w:hAnsi="Book Antiqua" w:cs="Times New Roman"/>
                <w:b/>
                <w:bCs/>
                <w:kern w:val="2"/>
                <w:sz w:val="24"/>
                <w:szCs w:val="24"/>
                <w:lang w:eastAsia="ja-JP"/>
              </w:rPr>
              <w:t>→ ↓</w:t>
            </w:r>
            <w:r w:rsidRPr="004024DA">
              <w:rPr>
                <w:rFonts w:ascii="Book Antiqua" w:eastAsia="DengXian" w:hAnsi="Book Antiqua" w:cs="Times New Roman"/>
                <w:bCs/>
                <w:kern w:val="2"/>
                <w:sz w:val="24"/>
                <w:szCs w:val="24"/>
                <w:lang w:eastAsia="ja-JP"/>
              </w:rPr>
              <w:t xml:space="preserve">activation and </w:t>
            </w:r>
            <w:r w:rsidRPr="004024DA">
              <w:rPr>
                <w:rFonts w:ascii="Book Antiqua" w:eastAsia="DengXian" w:hAnsi="Book Antiqua" w:cs="Times New Roman"/>
                <w:b/>
                <w:bCs/>
                <w:kern w:val="2"/>
                <w:sz w:val="24"/>
                <w:szCs w:val="24"/>
                <w:lang w:eastAsia="ja-JP"/>
              </w:rPr>
              <w:t>↓</w:t>
            </w:r>
            <w:r w:rsidRPr="004024DA">
              <w:rPr>
                <w:rFonts w:ascii="Book Antiqua" w:eastAsia="DengXian" w:hAnsi="Book Antiqua" w:cs="Times New Roman"/>
                <w:bCs/>
                <w:kern w:val="2"/>
                <w:sz w:val="24"/>
                <w:szCs w:val="24"/>
                <w:lang w:eastAsia="ja-JP"/>
              </w:rPr>
              <w:t>expression of vascular endothelial growth factor (VEGF), which is a pro-angiogenic factor and protects gastric endothelial cells; imbalance between VEGF and endostatin</w:t>
            </w:r>
          </w:p>
          <w:p w:rsidR="006055CC" w:rsidRPr="004024DA" w:rsidRDefault="006055CC" w:rsidP="004024DA">
            <w:pPr>
              <w:widowControl w:val="0"/>
              <w:autoSpaceDE w:val="0"/>
              <w:autoSpaceDN w:val="0"/>
              <w:adjustRightInd w:val="0"/>
              <w:snapToGrid w:val="0"/>
              <w:spacing w:line="360" w:lineRule="auto"/>
              <w:jc w:val="both"/>
              <w:rPr>
                <w:rFonts w:ascii="Book Antiqua" w:eastAsia="DengXian" w:hAnsi="Book Antiqua" w:cs="Times New Roman"/>
                <w:bCs/>
                <w:kern w:val="2"/>
                <w:sz w:val="24"/>
                <w:szCs w:val="24"/>
                <w:lang w:eastAsia="ja-JP"/>
              </w:rPr>
            </w:pPr>
            <w:r w:rsidRPr="004024DA">
              <w:rPr>
                <w:rFonts w:ascii="Book Antiqua" w:eastAsia="DengXian" w:hAnsi="Book Antiqua" w:cs="Times New Roman"/>
                <w:b/>
                <w:bCs/>
                <w:kern w:val="2"/>
                <w:sz w:val="24"/>
                <w:szCs w:val="24"/>
                <w:lang w:eastAsia="ja-JP"/>
              </w:rPr>
              <w:t>↓</w:t>
            </w:r>
            <w:r w:rsidRPr="004024DA">
              <w:rPr>
                <w:rFonts w:ascii="Book Antiqua" w:eastAsia="DengXian" w:hAnsi="Book Antiqua" w:cs="Times New Roman"/>
                <w:bCs/>
                <w:kern w:val="2"/>
                <w:sz w:val="24"/>
                <w:szCs w:val="24"/>
                <w:lang w:eastAsia="ja-JP"/>
              </w:rPr>
              <w:t xml:space="preserve"> </w:t>
            </w:r>
            <w:r w:rsidR="004024DA" w:rsidRPr="004024DA">
              <w:rPr>
                <w:rFonts w:ascii="Book Antiqua" w:eastAsia="DengXian" w:hAnsi="Book Antiqua" w:cs="Times New Roman"/>
                <w:bCs/>
                <w:kern w:val="2"/>
                <w:sz w:val="24"/>
                <w:szCs w:val="24"/>
                <w:lang w:eastAsia="ja-JP"/>
              </w:rPr>
              <w:t xml:space="preserve">Expression </w:t>
            </w:r>
            <w:r w:rsidRPr="004024DA">
              <w:rPr>
                <w:rFonts w:ascii="Book Antiqua" w:eastAsia="DengXian" w:hAnsi="Book Antiqua" w:cs="Times New Roman"/>
                <w:bCs/>
                <w:kern w:val="2"/>
                <w:sz w:val="24"/>
                <w:szCs w:val="24"/>
                <w:lang w:eastAsia="ja-JP"/>
              </w:rPr>
              <w:t xml:space="preserve">of nerve growth factor in gastric mucosal endothelial cells </w:t>
            </w:r>
            <w:r w:rsidRPr="004024DA">
              <w:rPr>
                <w:rFonts w:ascii="Book Antiqua" w:eastAsia="DengXian" w:hAnsi="Book Antiqua" w:cs="Times New Roman"/>
                <w:b/>
                <w:bCs/>
                <w:kern w:val="2"/>
                <w:sz w:val="24"/>
                <w:szCs w:val="24"/>
                <w:lang w:eastAsia="ja-JP"/>
              </w:rPr>
              <w:t xml:space="preserve">→ </w:t>
            </w:r>
            <w:r w:rsidRPr="004024DA">
              <w:rPr>
                <w:rFonts w:ascii="Book Antiqua" w:eastAsia="DengXian" w:hAnsi="Book Antiqua" w:cs="Times New Roman"/>
                <w:bCs/>
                <w:kern w:val="2"/>
                <w:sz w:val="24"/>
                <w:szCs w:val="24"/>
                <w:lang w:eastAsia="ja-JP"/>
              </w:rPr>
              <w:t>reduced endothelial cell viability, impaired angiogenesis and gastric ulcer healing.</w:t>
            </w:r>
          </w:p>
        </w:tc>
      </w:tr>
    </w:tbl>
    <w:p w:rsidR="00965591" w:rsidRPr="0010276F" w:rsidRDefault="004024DA" w:rsidP="004024DA">
      <w:pPr>
        <w:widowControl w:val="0"/>
        <w:autoSpaceDE w:val="0"/>
        <w:autoSpaceDN w:val="0"/>
        <w:adjustRightInd w:val="0"/>
        <w:snapToGrid w:val="0"/>
        <w:spacing w:line="360" w:lineRule="auto"/>
        <w:jc w:val="both"/>
        <w:rPr>
          <w:rFonts w:ascii="Book Antiqua" w:hAnsi="Book Antiqua" w:cs="Times New Roman"/>
          <w:sz w:val="24"/>
          <w:szCs w:val="24"/>
          <w:lang w:eastAsia="zh-CN"/>
        </w:rPr>
      </w:pPr>
      <w:r w:rsidRPr="004024DA">
        <w:rPr>
          <w:rFonts w:ascii="Book Antiqua" w:eastAsia="DengXian" w:hAnsi="Book Antiqua" w:cs="Times New Roman"/>
          <w:bCs/>
          <w:color w:val="000000"/>
          <w:kern w:val="2"/>
          <w:sz w:val="24"/>
          <w:szCs w:val="24"/>
          <w:lang w:eastAsia="ja-JP"/>
        </w:rPr>
        <w:t xml:space="preserve">Revised from </w:t>
      </w:r>
      <w:r w:rsidRPr="00B7665A">
        <w:rPr>
          <w:rFonts w:ascii="Book Antiqua" w:hAnsi="Book Antiqua" w:cs="Times New Roman"/>
          <w:i/>
          <w:sz w:val="24"/>
          <w:szCs w:val="24"/>
        </w:rPr>
        <w:t xml:space="preserve">World J Gastroenterol </w:t>
      </w:r>
      <w:r w:rsidRPr="004024DA">
        <w:rPr>
          <w:rFonts w:ascii="Book Antiqua" w:eastAsia="DengXian" w:hAnsi="Book Antiqua" w:cs="Times New Roman"/>
          <w:bCs/>
          <w:color w:val="000000"/>
          <w:kern w:val="2"/>
          <w:sz w:val="24"/>
          <w:szCs w:val="24"/>
          <w:lang w:eastAsia="ja-JP"/>
        </w:rPr>
        <w:t>2014</w:t>
      </w:r>
      <w:r w:rsidRPr="004024DA">
        <w:rPr>
          <w:rFonts w:ascii="Book Antiqua" w:eastAsia="DengXian" w:hAnsi="Book Antiqua" w:cs="Times New Roman"/>
          <w:bCs/>
          <w:noProof/>
          <w:color w:val="000000"/>
          <w:kern w:val="2"/>
          <w:sz w:val="24"/>
          <w:szCs w:val="24"/>
          <w:vertAlign w:val="superscript"/>
          <w:lang w:eastAsia="ja-JP"/>
        </w:rPr>
        <w:t>[29]</w:t>
      </w:r>
      <w:r w:rsidRPr="004024DA">
        <w:rPr>
          <w:rFonts w:ascii="Book Antiqua" w:eastAsia="DengXian" w:hAnsi="Book Antiqua" w:cs="Times New Roman"/>
          <w:bCs/>
          <w:color w:val="000000"/>
          <w:kern w:val="2"/>
          <w:sz w:val="24"/>
          <w:szCs w:val="24"/>
          <w:lang w:eastAsia="ja-JP"/>
        </w:rPr>
        <w:t xml:space="preserve"> and updated based on our previous publications</w:t>
      </w:r>
      <w:r w:rsidRPr="004024DA">
        <w:rPr>
          <w:rFonts w:ascii="Book Antiqua" w:eastAsia="DengXian" w:hAnsi="Book Antiqua" w:cs="Times New Roman"/>
          <w:bCs/>
          <w:noProof/>
          <w:color w:val="000000"/>
          <w:kern w:val="2"/>
          <w:sz w:val="24"/>
          <w:szCs w:val="24"/>
          <w:vertAlign w:val="superscript"/>
          <w:lang w:eastAsia="ja-JP"/>
        </w:rPr>
        <w:t>[24-29]</w:t>
      </w:r>
      <w:r w:rsidR="0010276F">
        <w:rPr>
          <w:rFonts w:ascii="Book Antiqua" w:eastAsia="DengXian" w:hAnsi="Book Antiqua" w:cs="Times New Roman" w:hint="eastAsia"/>
          <w:bCs/>
          <w:noProof/>
          <w:color w:val="000000"/>
          <w:kern w:val="2"/>
          <w:sz w:val="24"/>
          <w:szCs w:val="24"/>
          <w:lang w:eastAsia="zh-CN"/>
        </w:rPr>
        <w:t>.</w:t>
      </w:r>
    </w:p>
    <w:sectPr w:rsidR="00965591" w:rsidRPr="0010276F" w:rsidSect="006055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B01" w:rsidRDefault="002D5B01">
      <w:r>
        <w:separator/>
      </w:r>
    </w:p>
  </w:endnote>
  <w:endnote w:type="continuationSeparator" w:id="0">
    <w:p w:rsidR="002D5B01" w:rsidRDefault="002D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w:altName w:val="SimSun"/>
    <w:panose1 w:val="00000000000000000000"/>
    <w:charset w:val="86"/>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B01" w:rsidRDefault="002D5B01">
      <w:r>
        <w:separator/>
      </w:r>
    </w:p>
  </w:footnote>
  <w:footnote w:type="continuationSeparator" w:id="0">
    <w:p w:rsidR="002D5B01" w:rsidRDefault="002D5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AE7"/>
    <w:multiLevelType w:val="multilevel"/>
    <w:tmpl w:val="780E4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B4ECD"/>
    <w:multiLevelType w:val="multilevel"/>
    <w:tmpl w:val="BE182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D857BC"/>
    <w:multiLevelType w:val="hybridMultilevel"/>
    <w:tmpl w:val="385E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E72FE"/>
    <w:multiLevelType w:val="hybridMultilevel"/>
    <w:tmpl w:val="3A1EFD86"/>
    <w:lvl w:ilvl="0" w:tplc="44442FD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30194"/>
    <w:rsid w:val="00061EFB"/>
    <w:rsid w:val="00063BF3"/>
    <w:rsid w:val="00064A01"/>
    <w:rsid w:val="00066351"/>
    <w:rsid w:val="000A484D"/>
    <w:rsid w:val="0010276F"/>
    <w:rsid w:val="00282291"/>
    <w:rsid w:val="00292E12"/>
    <w:rsid w:val="002A1B69"/>
    <w:rsid w:val="002D5B01"/>
    <w:rsid w:val="003863B0"/>
    <w:rsid w:val="004024DA"/>
    <w:rsid w:val="00453E32"/>
    <w:rsid w:val="00461CE1"/>
    <w:rsid w:val="004759D9"/>
    <w:rsid w:val="0049235B"/>
    <w:rsid w:val="004A2BA4"/>
    <w:rsid w:val="00530194"/>
    <w:rsid w:val="005923AE"/>
    <w:rsid w:val="005F434F"/>
    <w:rsid w:val="006055CC"/>
    <w:rsid w:val="00683314"/>
    <w:rsid w:val="006B3004"/>
    <w:rsid w:val="0071593A"/>
    <w:rsid w:val="00775E6B"/>
    <w:rsid w:val="007A6900"/>
    <w:rsid w:val="007C79A3"/>
    <w:rsid w:val="007D42F0"/>
    <w:rsid w:val="008E0465"/>
    <w:rsid w:val="009217B0"/>
    <w:rsid w:val="00965591"/>
    <w:rsid w:val="009F5393"/>
    <w:rsid w:val="00B6126B"/>
    <w:rsid w:val="00B7665A"/>
    <w:rsid w:val="00BB12CF"/>
    <w:rsid w:val="00BC0FDA"/>
    <w:rsid w:val="00C562C1"/>
    <w:rsid w:val="00CA1BB7"/>
    <w:rsid w:val="00DC7ED0"/>
    <w:rsid w:val="00DF419F"/>
    <w:rsid w:val="00E279D1"/>
    <w:rsid w:val="00E4140A"/>
    <w:rsid w:val="00EB2C93"/>
    <w:rsid w:val="00F473B2"/>
    <w:rsid w:val="00F91CDE"/>
    <w:rsid w:val="00FD2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D9A98-A7A1-4F1B-B8E8-337173E9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94"/>
    <w:pPr>
      <w:spacing w:after="0" w:line="240" w:lineRule="auto"/>
    </w:pPr>
    <w:rPr>
      <w:rFonts w:ascii="Calibri" w:hAnsi="Calibri" w:cs="Calibri"/>
    </w:rPr>
  </w:style>
  <w:style w:type="paragraph" w:styleId="Heading1">
    <w:name w:val="heading 1"/>
    <w:basedOn w:val="Normal"/>
    <w:next w:val="Normal"/>
    <w:link w:val="Heading1Char"/>
    <w:uiPriority w:val="9"/>
    <w:qFormat/>
    <w:rsid w:val="0053019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301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3019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530194"/>
    <w:pPr>
      <w:spacing w:before="332" w:after="166"/>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1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3019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301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30194"/>
    <w:rPr>
      <w:rFonts w:ascii="Times New Roman" w:eastAsia="Times New Roman" w:hAnsi="Times New Roman" w:cs="Times New Roman"/>
      <w:b/>
      <w:bCs/>
      <w:color w:val="59331F"/>
      <w:sz w:val="24"/>
      <w:szCs w:val="24"/>
    </w:rPr>
  </w:style>
  <w:style w:type="paragraph" w:styleId="Header">
    <w:name w:val="header"/>
    <w:basedOn w:val="Normal"/>
    <w:link w:val="HeaderChar"/>
    <w:uiPriority w:val="99"/>
    <w:unhideWhenUsed/>
    <w:rsid w:val="0053019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30194"/>
  </w:style>
  <w:style w:type="paragraph" w:styleId="Footer">
    <w:name w:val="footer"/>
    <w:basedOn w:val="Normal"/>
    <w:link w:val="FooterChar"/>
    <w:uiPriority w:val="99"/>
    <w:unhideWhenUsed/>
    <w:rsid w:val="0053019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30194"/>
  </w:style>
  <w:style w:type="character" w:styleId="Hyperlink">
    <w:name w:val="Hyperlink"/>
    <w:basedOn w:val="DefaultParagraphFont"/>
    <w:uiPriority w:val="99"/>
    <w:unhideWhenUsed/>
    <w:rsid w:val="00530194"/>
    <w:rPr>
      <w:color w:val="0563C1" w:themeColor="hyperlink"/>
      <w:u w:val="single"/>
    </w:rPr>
  </w:style>
  <w:style w:type="paragraph" w:customStyle="1" w:styleId="EndNoteBibliography">
    <w:name w:val="EndNote Bibliography"/>
    <w:basedOn w:val="Normal"/>
    <w:link w:val="EndNoteBibliographyChar"/>
    <w:rsid w:val="00530194"/>
    <w:pPr>
      <w:spacing w:after="160"/>
    </w:pPr>
    <w:rPr>
      <w:rFonts w:ascii="Book Antiqua" w:hAnsi="Book Antiqua" w:cs="Times New Roman"/>
      <w:noProof/>
      <w:sz w:val="24"/>
    </w:rPr>
  </w:style>
  <w:style w:type="character" w:customStyle="1" w:styleId="EndNoteBibliographyChar">
    <w:name w:val="EndNote Bibliography Char"/>
    <w:basedOn w:val="DefaultParagraphFont"/>
    <w:link w:val="EndNoteBibliography"/>
    <w:rsid w:val="00530194"/>
    <w:rPr>
      <w:rFonts w:ascii="Book Antiqua" w:hAnsi="Book Antiqua" w:cs="Times New Roman"/>
      <w:noProof/>
      <w:sz w:val="24"/>
    </w:rPr>
  </w:style>
  <w:style w:type="table" w:styleId="TableGrid">
    <w:name w:val="Table Grid"/>
    <w:basedOn w:val="TableNormal"/>
    <w:uiPriority w:val="39"/>
    <w:rsid w:val="00530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0194"/>
    <w:rPr>
      <w:color w:val="954F72" w:themeColor="followedHyperlink"/>
      <w:u w:val="single"/>
    </w:rPr>
  </w:style>
  <w:style w:type="paragraph" w:customStyle="1" w:styleId="EndNoteBibliographyTitle">
    <w:name w:val="EndNote Bibliography Title"/>
    <w:basedOn w:val="Normal"/>
    <w:link w:val="EndNoteBibliographyTitleChar"/>
    <w:rsid w:val="00530194"/>
    <w:pPr>
      <w:spacing w:line="259" w:lineRule="auto"/>
      <w:jc w:val="center"/>
    </w:pPr>
    <w:rPr>
      <w:rFonts w:ascii="Book Antiqua" w:hAnsi="Book Antiqua" w:cstheme="minorBidi"/>
      <w:noProof/>
      <w:sz w:val="24"/>
    </w:rPr>
  </w:style>
  <w:style w:type="character" w:customStyle="1" w:styleId="EndNoteBibliographyTitleChar">
    <w:name w:val="EndNote Bibliography Title Char"/>
    <w:basedOn w:val="DefaultParagraphFont"/>
    <w:link w:val="EndNoteBibliographyTitle"/>
    <w:rsid w:val="00530194"/>
    <w:rPr>
      <w:rFonts w:ascii="Book Antiqua" w:hAnsi="Book Antiqua"/>
      <w:noProof/>
      <w:sz w:val="24"/>
    </w:rPr>
  </w:style>
  <w:style w:type="paragraph" w:styleId="BodyText">
    <w:name w:val="Body Text"/>
    <w:basedOn w:val="Normal"/>
    <w:link w:val="BodyTextChar"/>
    <w:uiPriority w:val="1"/>
    <w:qFormat/>
    <w:rsid w:val="00530194"/>
    <w:pPr>
      <w:widowControl w:val="0"/>
      <w:autoSpaceDE w:val="0"/>
      <w:autoSpaceDN w:val="0"/>
    </w:pPr>
    <w:rPr>
      <w:rFonts w:ascii="Book Antiqua" w:eastAsia="Book Antiqua" w:hAnsi="Book Antiqua" w:cs="Book Antiqua"/>
      <w:sz w:val="24"/>
      <w:szCs w:val="24"/>
      <w:lang w:val="zh-CN" w:eastAsia="zh-CN" w:bidi="zh-CN"/>
    </w:rPr>
  </w:style>
  <w:style w:type="character" w:customStyle="1" w:styleId="BodyTextChar">
    <w:name w:val="Body Text Char"/>
    <w:basedOn w:val="DefaultParagraphFont"/>
    <w:link w:val="BodyText"/>
    <w:uiPriority w:val="1"/>
    <w:rsid w:val="00530194"/>
    <w:rPr>
      <w:rFonts w:ascii="Book Antiqua" w:eastAsia="Book Antiqua" w:hAnsi="Book Antiqua" w:cs="Book Antiqua"/>
      <w:sz w:val="24"/>
      <w:szCs w:val="24"/>
      <w:lang w:val="zh-CN" w:eastAsia="zh-CN" w:bidi="zh-CN"/>
    </w:rPr>
  </w:style>
  <w:style w:type="paragraph" w:styleId="BalloonText">
    <w:name w:val="Balloon Text"/>
    <w:basedOn w:val="Normal"/>
    <w:link w:val="BalloonTextChar"/>
    <w:uiPriority w:val="99"/>
    <w:semiHidden/>
    <w:unhideWhenUsed/>
    <w:rsid w:val="005301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194"/>
    <w:rPr>
      <w:rFonts w:ascii="Segoe UI" w:hAnsi="Segoe UI" w:cs="Segoe UI"/>
      <w:sz w:val="18"/>
      <w:szCs w:val="18"/>
    </w:rPr>
  </w:style>
  <w:style w:type="character" w:styleId="CommentReference">
    <w:name w:val="annotation reference"/>
    <w:basedOn w:val="DefaultParagraphFont"/>
    <w:uiPriority w:val="99"/>
    <w:semiHidden/>
    <w:unhideWhenUsed/>
    <w:rsid w:val="00530194"/>
    <w:rPr>
      <w:sz w:val="16"/>
      <w:szCs w:val="16"/>
    </w:rPr>
  </w:style>
  <w:style w:type="paragraph" w:styleId="CommentText">
    <w:name w:val="annotation text"/>
    <w:basedOn w:val="Normal"/>
    <w:link w:val="CommentTextChar"/>
    <w:uiPriority w:val="99"/>
    <w:semiHidden/>
    <w:unhideWhenUsed/>
    <w:rsid w:val="00530194"/>
    <w:rPr>
      <w:sz w:val="20"/>
      <w:szCs w:val="20"/>
    </w:rPr>
  </w:style>
  <w:style w:type="character" w:customStyle="1" w:styleId="CommentTextChar">
    <w:name w:val="Comment Text Char"/>
    <w:basedOn w:val="DefaultParagraphFont"/>
    <w:link w:val="CommentText"/>
    <w:uiPriority w:val="99"/>
    <w:semiHidden/>
    <w:rsid w:val="0053019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30194"/>
    <w:rPr>
      <w:b/>
      <w:bCs/>
    </w:rPr>
  </w:style>
  <w:style w:type="character" w:customStyle="1" w:styleId="CommentSubjectChar">
    <w:name w:val="Comment Subject Char"/>
    <w:basedOn w:val="CommentTextChar"/>
    <w:link w:val="CommentSubject"/>
    <w:uiPriority w:val="99"/>
    <w:semiHidden/>
    <w:rsid w:val="00530194"/>
    <w:rPr>
      <w:rFonts w:ascii="Calibri" w:hAnsi="Calibri" w:cs="Calibri"/>
      <w:b/>
      <w:bCs/>
      <w:sz w:val="20"/>
      <w:szCs w:val="20"/>
    </w:rPr>
  </w:style>
  <w:style w:type="paragraph" w:styleId="NormalWeb">
    <w:name w:val="Normal (Web)"/>
    <w:basedOn w:val="Normal"/>
    <w:uiPriority w:val="99"/>
    <w:semiHidden/>
    <w:unhideWhenUsed/>
    <w:rsid w:val="00530194"/>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30194"/>
    <w:rPr>
      <w:color w:val="605E5C"/>
      <w:shd w:val="clear" w:color="auto" w:fill="E1DFDD"/>
    </w:rPr>
  </w:style>
  <w:style w:type="paragraph" w:styleId="Revision">
    <w:name w:val="Revision"/>
    <w:hidden/>
    <w:uiPriority w:val="99"/>
    <w:semiHidden/>
    <w:rsid w:val="00530194"/>
    <w:pPr>
      <w:spacing w:after="0" w:line="240" w:lineRule="auto"/>
    </w:pPr>
    <w:rPr>
      <w:rFonts w:ascii="Calibri" w:hAnsi="Calibri" w:cs="Calibri"/>
    </w:rPr>
  </w:style>
  <w:style w:type="paragraph" w:customStyle="1" w:styleId="1">
    <w:name w:val="正文1"/>
    <w:uiPriority w:val="99"/>
    <w:rsid w:val="00683314"/>
    <w:pPr>
      <w:spacing w:after="0" w:line="276" w:lineRule="auto"/>
    </w:pPr>
    <w:rPr>
      <w:rFonts w:ascii="Arial" w:hAnsi="Arial" w:cs="Arial"/>
      <w:color w:val="000000"/>
      <w:szCs w:val="20"/>
      <w:lang w:val="pl-PL" w:eastAsia="pl-PL"/>
    </w:rPr>
  </w:style>
  <w:style w:type="table" w:styleId="LightShading">
    <w:name w:val="Light Shading"/>
    <w:basedOn w:val="TableNormal"/>
    <w:uiPriority w:val="60"/>
    <w:rsid w:val="00BB12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4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4999</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Ahluwalia, Amrita</dc:creator>
  <cp:keywords/>
  <dc:description/>
  <cp:lastModifiedBy>Na Ma</cp:lastModifiedBy>
  <cp:revision>3</cp:revision>
  <dcterms:created xsi:type="dcterms:W3CDTF">2018-10-21T06:22:00Z</dcterms:created>
  <dcterms:modified xsi:type="dcterms:W3CDTF">2018-10-21T06:22:00Z</dcterms:modified>
</cp:coreProperties>
</file>