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00287" w14:textId="2A5CDE90"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 xml:space="preserve">Name of Journal: </w:t>
      </w:r>
      <w:r w:rsidR="00284EAF" w:rsidRPr="00284EAF">
        <w:rPr>
          <w:rFonts w:ascii="Book Antiqua" w:hAnsi="Book Antiqua" w:cs="Times New Roman"/>
          <w:i/>
          <w:color w:val="000000"/>
        </w:rPr>
        <w:t>World Journal of Clinical Cases</w:t>
      </w:r>
    </w:p>
    <w:p w14:paraId="677DA825" w14:textId="32886CCF" w:rsidR="001547C4" w:rsidRPr="00284EAF" w:rsidRDefault="00284EAF" w:rsidP="00284EAF">
      <w:pPr>
        <w:spacing w:line="360" w:lineRule="auto"/>
        <w:jc w:val="both"/>
        <w:rPr>
          <w:rFonts w:ascii="Book Antiqua" w:eastAsia="SimSun" w:hAnsi="Book Antiqua" w:cs="Times New Roman"/>
          <w:lang w:eastAsia="zh-CN"/>
        </w:rPr>
      </w:pPr>
      <w:r w:rsidRPr="00284EAF">
        <w:rPr>
          <w:rFonts w:ascii="Book Antiqua" w:hAnsi="Book Antiqua" w:cs="Times New Roman"/>
          <w:b/>
          <w:bCs/>
          <w:color w:val="000000"/>
        </w:rPr>
        <w:t>Manuscript</w:t>
      </w:r>
      <w:r>
        <w:rPr>
          <w:rFonts w:ascii="Book Antiqua" w:eastAsia="SimSun" w:hAnsi="Book Antiqua" w:cs="Times New Roman" w:hint="eastAsia"/>
          <w:b/>
          <w:bCs/>
          <w:color w:val="000000"/>
          <w:lang w:eastAsia="zh-CN"/>
        </w:rPr>
        <w:t xml:space="preserve"> No: </w:t>
      </w:r>
      <w:r w:rsidRPr="00284EAF">
        <w:rPr>
          <w:rFonts w:ascii="Book Antiqua" w:eastAsia="SimSun" w:hAnsi="Book Antiqua" w:cs="Times New Roman" w:hint="eastAsia"/>
          <w:bCs/>
          <w:color w:val="000000"/>
          <w:lang w:eastAsia="zh-CN"/>
        </w:rPr>
        <w:t>41899</w:t>
      </w:r>
    </w:p>
    <w:p w14:paraId="5AA87FA3"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 xml:space="preserve">Manuscript Type: </w:t>
      </w:r>
      <w:r w:rsidRPr="00284EAF">
        <w:rPr>
          <w:rFonts w:ascii="Book Antiqua" w:hAnsi="Book Antiqua" w:cs="Times New Roman"/>
          <w:color w:val="000000"/>
        </w:rPr>
        <w:t>MINIREVIEWS</w:t>
      </w:r>
    </w:p>
    <w:p w14:paraId="0D357526" w14:textId="77777777" w:rsidR="001547C4" w:rsidRPr="00284EAF" w:rsidRDefault="001547C4" w:rsidP="00284EAF">
      <w:pPr>
        <w:spacing w:line="360" w:lineRule="auto"/>
        <w:jc w:val="both"/>
        <w:rPr>
          <w:rFonts w:ascii="Book Antiqua" w:eastAsia="Times New Roman" w:hAnsi="Book Antiqua" w:cs="Times New Roman"/>
        </w:rPr>
      </w:pPr>
    </w:p>
    <w:p w14:paraId="56DBD99E" w14:textId="363156EE" w:rsidR="001547C4" w:rsidRPr="00284EAF" w:rsidRDefault="001547C4" w:rsidP="00284EAF">
      <w:pPr>
        <w:spacing w:line="360" w:lineRule="auto"/>
        <w:jc w:val="both"/>
        <w:rPr>
          <w:rFonts w:ascii="Book Antiqua" w:hAnsi="Book Antiqua" w:cs="Times New Roman"/>
          <w:b/>
        </w:rPr>
      </w:pPr>
      <w:r w:rsidRPr="00284EAF">
        <w:rPr>
          <w:rFonts w:ascii="Book Antiqua" w:hAnsi="Book Antiqua" w:cs="Times New Roman"/>
          <w:b/>
          <w:bCs/>
          <w:color w:val="222222"/>
        </w:rPr>
        <w:t xml:space="preserve">Management of </w:t>
      </w:r>
      <w:r w:rsidR="00284EAF" w:rsidRPr="00284EAF">
        <w:rPr>
          <w:rFonts w:ascii="Book Antiqua" w:hAnsi="Book Antiqua" w:cs="Times New Roman"/>
          <w:b/>
          <w:color w:val="000000"/>
        </w:rPr>
        <w:t>gastroesophageal reflux disease</w:t>
      </w:r>
      <w:r w:rsidRPr="00284EAF">
        <w:rPr>
          <w:rFonts w:ascii="Book Antiqua" w:hAnsi="Book Antiqua" w:cs="Times New Roman"/>
          <w:b/>
          <w:bCs/>
          <w:color w:val="222222"/>
        </w:rPr>
        <w:t xml:space="preserve">: Patient and physician communication challenges and shared decision making </w:t>
      </w:r>
    </w:p>
    <w:p w14:paraId="4B385FAF" w14:textId="77777777" w:rsidR="001547C4" w:rsidRPr="00284EAF" w:rsidRDefault="001547C4" w:rsidP="00284EAF">
      <w:pPr>
        <w:spacing w:line="360" w:lineRule="auto"/>
        <w:jc w:val="both"/>
        <w:rPr>
          <w:rFonts w:ascii="Book Antiqua" w:eastAsia="Times New Roman" w:hAnsi="Book Antiqua" w:cs="Times New Roman"/>
        </w:rPr>
      </w:pPr>
    </w:p>
    <w:p w14:paraId="4CBB9BE2" w14:textId="73533221" w:rsidR="001547C4" w:rsidRPr="00284EAF" w:rsidRDefault="00284EAF" w:rsidP="00284EAF">
      <w:pPr>
        <w:spacing w:line="360" w:lineRule="auto"/>
        <w:jc w:val="both"/>
        <w:rPr>
          <w:rFonts w:ascii="Book Antiqua" w:eastAsia="SimSun" w:hAnsi="Book Antiqua" w:cs="Times New Roman"/>
          <w:lang w:eastAsia="zh-CN"/>
        </w:rPr>
      </w:pPr>
      <w:r>
        <w:rPr>
          <w:rFonts w:ascii="Book Antiqua" w:hAnsi="Book Antiqua" w:cs="Times New Roman"/>
          <w:color w:val="000000"/>
        </w:rPr>
        <w:t xml:space="preserve">Klenzak </w:t>
      </w:r>
      <w:r>
        <w:rPr>
          <w:rFonts w:ascii="Book Antiqua" w:eastAsia="SimSun" w:hAnsi="Book Antiqua" w:cs="Times New Roman" w:hint="eastAsia"/>
          <w:color w:val="000000"/>
          <w:lang w:eastAsia="zh-CN"/>
        </w:rPr>
        <w:t xml:space="preserve">S </w:t>
      </w:r>
      <w:r w:rsidRPr="00284EAF">
        <w:rPr>
          <w:rFonts w:ascii="Book Antiqua" w:hAnsi="Book Antiqua" w:cs="Times New Roman"/>
          <w:i/>
          <w:color w:val="000000"/>
        </w:rPr>
        <w:t>et al</w:t>
      </w:r>
      <w:r>
        <w:rPr>
          <w:rFonts w:ascii="Book Antiqua" w:hAnsi="Book Antiqua" w:cs="Times New Roman"/>
          <w:color w:val="000000"/>
        </w:rPr>
        <w:t>.</w:t>
      </w:r>
      <w:r w:rsidR="001547C4" w:rsidRPr="00284EAF">
        <w:rPr>
          <w:rFonts w:ascii="Book Antiqua" w:hAnsi="Book Antiqua" w:cs="Times New Roman"/>
          <w:color w:val="000000"/>
        </w:rPr>
        <w:t xml:space="preserve"> GERD patient and phy</w:t>
      </w:r>
      <w:r>
        <w:rPr>
          <w:rFonts w:ascii="Book Antiqua" w:hAnsi="Book Antiqua" w:cs="Times New Roman"/>
          <w:color w:val="000000"/>
        </w:rPr>
        <w:t>sician communication challenges</w:t>
      </w:r>
    </w:p>
    <w:p w14:paraId="545808BD" w14:textId="77777777" w:rsidR="001547C4" w:rsidRPr="00284EAF" w:rsidRDefault="001547C4" w:rsidP="00284EAF">
      <w:pPr>
        <w:spacing w:line="360" w:lineRule="auto"/>
        <w:jc w:val="both"/>
        <w:rPr>
          <w:rFonts w:ascii="Book Antiqua" w:eastAsia="Times New Roman" w:hAnsi="Book Antiqua" w:cs="Times New Roman"/>
        </w:rPr>
      </w:pPr>
    </w:p>
    <w:p w14:paraId="50541A1E" w14:textId="1161B78A" w:rsidR="001547C4" w:rsidRPr="001B6B64" w:rsidRDefault="001547C4" w:rsidP="00284EAF">
      <w:pPr>
        <w:spacing w:line="360" w:lineRule="auto"/>
        <w:jc w:val="both"/>
        <w:rPr>
          <w:rFonts w:ascii="Book Antiqua" w:hAnsi="Book Antiqua" w:cs="Times New Roman"/>
        </w:rPr>
      </w:pPr>
      <w:r w:rsidRPr="001B6B64">
        <w:rPr>
          <w:rFonts w:ascii="Book Antiqua" w:hAnsi="Book Antiqua" w:cs="Times New Roman"/>
          <w:bCs/>
          <w:color w:val="000000"/>
        </w:rPr>
        <w:t>Scott K</w:t>
      </w:r>
      <w:r w:rsidR="006770BB" w:rsidRPr="001B6B64">
        <w:rPr>
          <w:rFonts w:ascii="Book Antiqua" w:hAnsi="Book Antiqua" w:cs="Times New Roman"/>
          <w:bCs/>
          <w:color w:val="000000"/>
        </w:rPr>
        <w:t>lenzak, Igor Danelisen, Grace D Brannan, Melissa A Holland, Miranda AL</w:t>
      </w:r>
      <w:r w:rsidR="006770BB" w:rsidRPr="001B6B64">
        <w:rPr>
          <w:rFonts w:ascii="Book Antiqua" w:eastAsia="SimSun" w:hAnsi="Book Antiqua" w:cs="Times New Roman" w:hint="eastAsia"/>
          <w:bCs/>
          <w:color w:val="000000"/>
          <w:lang w:eastAsia="zh-CN"/>
        </w:rPr>
        <w:t xml:space="preserve"> </w:t>
      </w:r>
      <w:r w:rsidRPr="001B6B64">
        <w:rPr>
          <w:rFonts w:ascii="Book Antiqua" w:hAnsi="Book Antiqua" w:cs="Times New Roman"/>
          <w:bCs/>
          <w:color w:val="000000"/>
        </w:rPr>
        <w:t>van Tilburg</w:t>
      </w:r>
    </w:p>
    <w:p w14:paraId="457ADA79" w14:textId="77777777" w:rsidR="001547C4" w:rsidRPr="00284EAF" w:rsidRDefault="001547C4" w:rsidP="00284EAF">
      <w:pPr>
        <w:spacing w:line="360" w:lineRule="auto"/>
        <w:jc w:val="both"/>
        <w:rPr>
          <w:rFonts w:ascii="Book Antiqua" w:eastAsia="Times New Roman" w:hAnsi="Book Antiqua" w:cs="Times New Roman"/>
        </w:rPr>
      </w:pPr>
    </w:p>
    <w:p w14:paraId="151C2B2D" w14:textId="5D6F014D"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 xml:space="preserve">Scott Klenzak, </w:t>
      </w:r>
      <w:r w:rsidR="001B6B64" w:rsidRPr="001B6B64">
        <w:rPr>
          <w:rFonts w:ascii="Book Antiqua" w:eastAsia="SimSun" w:hAnsi="Book Antiqua" w:cs="Times New Roman" w:hint="eastAsia"/>
          <w:bCs/>
          <w:color w:val="000000"/>
          <w:lang w:eastAsia="zh-CN"/>
        </w:rPr>
        <w:t>Department of</w:t>
      </w:r>
      <w:r w:rsidR="001B6B64">
        <w:rPr>
          <w:rFonts w:ascii="Book Antiqua" w:eastAsia="SimSun" w:hAnsi="Book Antiqua" w:cs="Times New Roman" w:hint="eastAsia"/>
          <w:b/>
          <w:bCs/>
          <w:color w:val="000000"/>
          <w:lang w:eastAsia="zh-CN"/>
        </w:rPr>
        <w:t xml:space="preserve"> </w:t>
      </w:r>
      <w:r w:rsidR="006770BB" w:rsidRPr="006770BB">
        <w:rPr>
          <w:rFonts w:ascii="Book Antiqua" w:hAnsi="Book Antiqua" w:cs="Times New Roman"/>
          <w:bCs/>
          <w:color w:val="000000"/>
        </w:rPr>
        <w:t>Psychiatry,</w:t>
      </w:r>
      <w:r w:rsidR="006770BB">
        <w:rPr>
          <w:rFonts w:ascii="Book Antiqua" w:eastAsia="SimSun" w:hAnsi="Book Antiqua" w:cs="Times New Roman" w:hint="eastAsia"/>
          <w:b/>
          <w:bCs/>
          <w:color w:val="000000"/>
          <w:lang w:eastAsia="zh-CN"/>
        </w:rPr>
        <w:t xml:space="preserve"> </w:t>
      </w:r>
      <w:r w:rsidRPr="00284EAF">
        <w:rPr>
          <w:rFonts w:ascii="Book Antiqua" w:hAnsi="Book Antiqua" w:cs="Times New Roman"/>
          <w:color w:val="000000"/>
        </w:rPr>
        <w:t xml:space="preserve">Cape Fear Valley Health System, </w:t>
      </w:r>
      <w:r w:rsidR="006770BB">
        <w:rPr>
          <w:rFonts w:ascii="Book Antiqua" w:hAnsi="Book Antiqua" w:cs="Times New Roman"/>
          <w:color w:val="000000"/>
        </w:rPr>
        <w:t>Fayetteville, NC</w:t>
      </w:r>
      <w:r w:rsidRPr="00284EAF">
        <w:rPr>
          <w:rFonts w:ascii="Book Antiqua" w:hAnsi="Book Antiqua" w:cs="Times New Roman"/>
          <w:color w:val="000000"/>
        </w:rPr>
        <w:t xml:space="preserve"> 28304, </w:t>
      </w:r>
      <w:r w:rsidR="006770BB" w:rsidRPr="006770BB">
        <w:rPr>
          <w:rFonts w:ascii="Book Antiqua" w:hAnsi="Book Antiqua" w:cs="Times New Roman"/>
          <w:color w:val="000000"/>
        </w:rPr>
        <w:t>United States</w:t>
      </w:r>
    </w:p>
    <w:p w14:paraId="74B1214E" w14:textId="77777777" w:rsidR="001547C4" w:rsidRPr="00284EAF" w:rsidRDefault="001547C4" w:rsidP="00284EAF">
      <w:pPr>
        <w:spacing w:line="360" w:lineRule="auto"/>
        <w:jc w:val="both"/>
        <w:rPr>
          <w:rFonts w:ascii="Book Antiqua" w:eastAsia="Times New Roman" w:hAnsi="Book Antiqua" w:cs="Times New Roman"/>
        </w:rPr>
      </w:pPr>
    </w:p>
    <w:p w14:paraId="4A57A3DF" w14:textId="26076C0E" w:rsidR="001547C4" w:rsidRPr="00284EAF" w:rsidRDefault="006770BB" w:rsidP="00284EAF">
      <w:pPr>
        <w:spacing w:line="360" w:lineRule="auto"/>
        <w:jc w:val="both"/>
        <w:rPr>
          <w:rFonts w:ascii="Book Antiqua" w:hAnsi="Book Antiqua" w:cs="Times New Roman"/>
        </w:rPr>
      </w:pPr>
      <w:r>
        <w:rPr>
          <w:rFonts w:ascii="Book Antiqua" w:hAnsi="Book Antiqua" w:cs="Times New Roman"/>
          <w:b/>
          <w:bCs/>
          <w:color w:val="000000"/>
        </w:rPr>
        <w:t>Igor Danelisen, Grace D</w:t>
      </w:r>
      <w:r w:rsidR="001547C4" w:rsidRPr="00284EAF">
        <w:rPr>
          <w:rFonts w:ascii="Book Antiqua" w:hAnsi="Book Antiqua" w:cs="Times New Roman"/>
          <w:b/>
          <w:bCs/>
          <w:color w:val="000000"/>
        </w:rPr>
        <w:t xml:space="preserve"> Brannan, </w:t>
      </w:r>
      <w:r w:rsidRPr="00284EAF">
        <w:rPr>
          <w:rFonts w:ascii="Book Antiqua" w:hAnsi="Book Antiqua" w:cs="Times New Roman"/>
          <w:color w:val="000000"/>
        </w:rPr>
        <w:t xml:space="preserve">School of Osteopathic Medicine, </w:t>
      </w:r>
      <w:r w:rsidR="001547C4" w:rsidRPr="00284EAF">
        <w:rPr>
          <w:rFonts w:ascii="Book Antiqua" w:hAnsi="Book Antiqua" w:cs="Times New Roman"/>
          <w:color w:val="000000"/>
        </w:rPr>
        <w:t xml:space="preserve">Campbell University, </w:t>
      </w:r>
      <w:r>
        <w:rPr>
          <w:rFonts w:ascii="Book Antiqua" w:hAnsi="Book Antiqua" w:cs="Times New Roman"/>
          <w:color w:val="000000"/>
        </w:rPr>
        <w:t>Lillington, NC</w:t>
      </w:r>
      <w:r w:rsidR="001547C4" w:rsidRPr="00284EAF">
        <w:rPr>
          <w:rFonts w:ascii="Book Antiqua" w:hAnsi="Book Antiqua" w:cs="Times New Roman"/>
          <w:color w:val="000000"/>
        </w:rPr>
        <w:t xml:space="preserve"> 27546</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w:t>
      </w:r>
      <w:r w:rsidRPr="006770BB">
        <w:rPr>
          <w:rFonts w:ascii="Book Antiqua" w:hAnsi="Book Antiqua" w:cs="Times New Roman"/>
          <w:color w:val="000000"/>
        </w:rPr>
        <w:t>United States</w:t>
      </w:r>
    </w:p>
    <w:p w14:paraId="1F3689A4" w14:textId="77777777" w:rsidR="001547C4" w:rsidRPr="00284EAF" w:rsidRDefault="001547C4" w:rsidP="00284EAF">
      <w:pPr>
        <w:spacing w:line="360" w:lineRule="auto"/>
        <w:jc w:val="both"/>
        <w:rPr>
          <w:rFonts w:ascii="Book Antiqua" w:eastAsia="Times New Roman" w:hAnsi="Book Antiqua" w:cs="Times New Roman"/>
        </w:rPr>
      </w:pPr>
    </w:p>
    <w:p w14:paraId="0A4B1413" w14:textId="16493DD5" w:rsidR="001547C4" w:rsidRPr="00284EAF" w:rsidRDefault="006770BB" w:rsidP="00284EAF">
      <w:pPr>
        <w:spacing w:line="360" w:lineRule="auto"/>
        <w:jc w:val="both"/>
        <w:rPr>
          <w:rFonts w:ascii="Book Antiqua" w:hAnsi="Book Antiqua" w:cs="Times New Roman"/>
        </w:rPr>
      </w:pPr>
      <w:r>
        <w:rPr>
          <w:rFonts w:ascii="Book Antiqua" w:hAnsi="Book Antiqua" w:cs="Times New Roman"/>
          <w:b/>
          <w:bCs/>
          <w:color w:val="000000"/>
        </w:rPr>
        <w:t>Melissa A</w:t>
      </w:r>
      <w:r w:rsidR="001547C4" w:rsidRPr="00284EAF">
        <w:rPr>
          <w:rFonts w:ascii="Book Antiqua" w:hAnsi="Book Antiqua" w:cs="Times New Roman"/>
          <w:b/>
          <w:bCs/>
          <w:color w:val="000000"/>
        </w:rPr>
        <w:t xml:space="preserve"> Holland,</w:t>
      </w:r>
      <w:r w:rsidR="001547C4" w:rsidRPr="00284EAF">
        <w:rPr>
          <w:rFonts w:ascii="Book Antiqua" w:hAnsi="Book Antiqua" w:cs="Times New Roman"/>
          <w:color w:val="000000"/>
        </w:rPr>
        <w:t xml:space="preserve"> </w:t>
      </w:r>
      <w:r>
        <w:rPr>
          <w:rFonts w:ascii="Book Antiqua" w:hAnsi="Book Antiqua" w:cs="Times New Roman"/>
          <w:b/>
          <w:bCs/>
          <w:color w:val="000000"/>
        </w:rPr>
        <w:t>Miranda AL</w:t>
      </w:r>
      <w:r w:rsidRPr="00284EAF">
        <w:rPr>
          <w:rFonts w:ascii="Book Antiqua" w:hAnsi="Book Antiqua" w:cs="Times New Roman"/>
          <w:b/>
          <w:bCs/>
          <w:color w:val="000000"/>
        </w:rPr>
        <w:t xml:space="preserve"> van Tilburg,</w:t>
      </w:r>
      <w:r>
        <w:rPr>
          <w:rFonts w:ascii="Book Antiqua" w:eastAsia="SimSun" w:hAnsi="Book Antiqua" w:cs="Times New Roman" w:hint="eastAsia"/>
          <w:b/>
          <w:bCs/>
          <w:color w:val="000000"/>
          <w:lang w:eastAsia="zh-CN"/>
        </w:rPr>
        <w:t xml:space="preserve"> </w:t>
      </w:r>
      <w:r w:rsidRPr="00284EAF">
        <w:rPr>
          <w:rFonts w:ascii="Book Antiqua" w:hAnsi="Book Antiqua" w:cs="Times New Roman"/>
          <w:color w:val="000000"/>
        </w:rPr>
        <w:t xml:space="preserve">College of Pharmacy </w:t>
      </w:r>
      <w:r>
        <w:rPr>
          <w:rFonts w:ascii="Book Antiqua" w:eastAsia="SimSun" w:hAnsi="Book Antiqua" w:cs="Times New Roman" w:hint="eastAsia"/>
          <w:color w:val="000000"/>
          <w:lang w:eastAsia="zh-CN"/>
        </w:rPr>
        <w:t>and</w:t>
      </w:r>
      <w:r w:rsidRPr="00284EAF">
        <w:rPr>
          <w:rFonts w:ascii="Book Antiqua" w:hAnsi="Book Antiqua" w:cs="Times New Roman"/>
          <w:color w:val="000000"/>
        </w:rPr>
        <w:t xml:space="preserve"> Health Sciences, </w:t>
      </w:r>
      <w:r w:rsidR="001547C4" w:rsidRPr="00284EAF">
        <w:rPr>
          <w:rFonts w:ascii="Book Antiqua" w:hAnsi="Book Antiqua" w:cs="Times New Roman"/>
          <w:color w:val="000000"/>
        </w:rPr>
        <w:t xml:space="preserve">Campbell University, </w:t>
      </w:r>
      <w:r>
        <w:rPr>
          <w:rFonts w:ascii="Book Antiqua" w:hAnsi="Book Antiqua" w:cs="Times New Roman"/>
          <w:color w:val="000000"/>
        </w:rPr>
        <w:t>Buies Creek, NC</w:t>
      </w:r>
      <w:r w:rsidR="001547C4" w:rsidRPr="00284EAF">
        <w:rPr>
          <w:rFonts w:ascii="Book Antiqua" w:hAnsi="Book Antiqua" w:cs="Times New Roman"/>
          <w:color w:val="000000"/>
        </w:rPr>
        <w:t xml:space="preserve"> 27506</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w:t>
      </w:r>
      <w:r w:rsidRPr="006770BB">
        <w:rPr>
          <w:rFonts w:ascii="Book Antiqua" w:hAnsi="Book Antiqua" w:cs="Times New Roman"/>
          <w:color w:val="000000"/>
        </w:rPr>
        <w:t>United States</w:t>
      </w:r>
    </w:p>
    <w:p w14:paraId="7D4DD8EB" w14:textId="77777777" w:rsidR="001547C4" w:rsidRPr="00284EAF" w:rsidRDefault="001547C4" w:rsidP="00284EAF">
      <w:pPr>
        <w:spacing w:line="360" w:lineRule="auto"/>
        <w:jc w:val="both"/>
        <w:rPr>
          <w:rFonts w:ascii="Book Antiqua" w:eastAsia="Times New Roman" w:hAnsi="Book Antiqua" w:cs="Times New Roman"/>
        </w:rPr>
      </w:pPr>
    </w:p>
    <w:p w14:paraId="2E879C2B" w14:textId="06722334" w:rsidR="001547C4" w:rsidRPr="00284EAF" w:rsidRDefault="006770BB" w:rsidP="00284EAF">
      <w:pPr>
        <w:spacing w:line="360" w:lineRule="auto"/>
        <w:jc w:val="both"/>
        <w:rPr>
          <w:rFonts w:ascii="Book Antiqua" w:hAnsi="Book Antiqua" w:cs="Times New Roman"/>
        </w:rPr>
      </w:pPr>
      <w:r>
        <w:rPr>
          <w:rFonts w:ascii="Book Antiqua" w:hAnsi="Book Antiqua" w:cs="Times New Roman"/>
          <w:b/>
          <w:bCs/>
          <w:color w:val="000000"/>
        </w:rPr>
        <w:t>Miranda AL</w:t>
      </w:r>
      <w:r w:rsidR="001547C4" w:rsidRPr="00284EAF">
        <w:rPr>
          <w:rFonts w:ascii="Book Antiqua" w:hAnsi="Book Antiqua" w:cs="Times New Roman"/>
          <w:b/>
          <w:bCs/>
          <w:color w:val="000000"/>
        </w:rPr>
        <w:t xml:space="preserve"> van Tilburg,</w:t>
      </w:r>
      <w:r w:rsidR="001547C4" w:rsidRPr="00284EAF">
        <w:rPr>
          <w:rFonts w:ascii="Book Antiqua" w:hAnsi="Book Antiqua" w:cs="Times New Roman"/>
          <w:color w:val="000000"/>
        </w:rPr>
        <w:t xml:space="preserve"> </w:t>
      </w:r>
      <w:r w:rsidRPr="00284EAF">
        <w:rPr>
          <w:rFonts w:ascii="Book Antiqua" w:hAnsi="Book Antiqua" w:cs="Times New Roman"/>
          <w:color w:val="000000"/>
        </w:rPr>
        <w:t xml:space="preserve">Division of Gastroenterology and Hepatology, </w:t>
      </w:r>
      <w:r w:rsidR="000B5EB3" w:rsidRPr="00284EAF">
        <w:rPr>
          <w:rFonts w:ascii="Book Antiqua" w:hAnsi="Book Antiqua" w:cs="Times New Roman"/>
          <w:color w:val="000000"/>
        </w:rPr>
        <w:t xml:space="preserve">School of Medicine, </w:t>
      </w:r>
      <w:r w:rsidR="001547C4" w:rsidRPr="00284EAF">
        <w:rPr>
          <w:rFonts w:ascii="Book Antiqua" w:hAnsi="Book Antiqua" w:cs="Times New Roman"/>
          <w:color w:val="000000"/>
        </w:rPr>
        <w:t>University of North Carolina, Chapel Hill, NC 27599</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w:t>
      </w:r>
      <w:r w:rsidRPr="006770BB">
        <w:rPr>
          <w:rFonts w:ascii="Book Antiqua" w:hAnsi="Book Antiqua" w:cs="Times New Roman"/>
          <w:color w:val="000000"/>
        </w:rPr>
        <w:t>United States</w:t>
      </w:r>
    </w:p>
    <w:p w14:paraId="237EED92" w14:textId="77777777" w:rsidR="001547C4" w:rsidRDefault="001547C4" w:rsidP="00284EAF">
      <w:pPr>
        <w:spacing w:line="360" w:lineRule="auto"/>
        <w:jc w:val="both"/>
        <w:rPr>
          <w:rFonts w:ascii="Book Antiqua" w:eastAsia="SimSun" w:hAnsi="Book Antiqua" w:cs="Times New Roman"/>
          <w:lang w:eastAsia="zh-CN"/>
        </w:rPr>
      </w:pPr>
    </w:p>
    <w:p w14:paraId="0BDAA94A" w14:textId="4DDE02CC" w:rsidR="006770BB" w:rsidRPr="006770BB" w:rsidRDefault="006770BB" w:rsidP="006770BB">
      <w:pPr>
        <w:spacing w:line="360" w:lineRule="auto"/>
        <w:jc w:val="both"/>
        <w:rPr>
          <w:rFonts w:ascii="Book Antiqua" w:eastAsia="SimSun" w:hAnsi="Book Antiqua" w:cs="Times New Roman"/>
          <w:lang w:eastAsia="zh-CN"/>
        </w:rPr>
      </w:pPr>
      <w:r>
        <w:rPr>
          <w:rFonts w:ascii="Book Antiqua" w:hAnsi="Book Antiqua" w:cs="Times New Roman"/>
          <w:b/>
          <w:bCs/>
          <w:color w:val="000000"/>
        </w:rPr>
        <w:t>Miranda AL</w:t>
      </w:r>
      <w:r w:rsidRPr="00284EAF">
        <w:rPr>
          <w:rFonts w:ascii="Book Antiqua" w:hAnsi="Book Antiqua" w:cs="Times New Roman"/>
          <w:b/>
          <w:bCs/>
          <w:color w:val="000000"/>
        </w:rPr>
        <w:t xml:space="preserve"> van Tilburg,</w:t>
      </w:r>
      <w:r w:rsidRPr="006770BB">
        <w:rPr>
          <w:rFonts w:ascii="Book Antiqua" w:hAnsi="Book Antiqua" w:cs="Times New Roman"/>
          <w:color w:val="000000"/>
        </w:rPr>
        <w:t xml:space="preserve"> </w:t>
      </w:r>
      <w:r w:rsidRPr="00284EAF">
        <w:rPr>
          <w:rFonts w:ascii="Book Antiqua" w:hAnsi="Book Antiqua" w:cs="Times New Roman"/>
          <w:color w:val="000000"/>
        </w:rPr>
        <w:t>University of Washington, Seattle, WA 98105</w:t>
      </w:r>
      <w:r>
        <w:rPr>
          <w:rFonts w:ascii="Book Antiqua" w:eastAsia="SimSun" w:hAnsi="Book Antiqua" w:cs="Times New Roman" w:hint="eastAsia"/>
          <w:color w:val="000000"/>
          <w:lang w:eastAsia="zh-CN"/>
        </w:rPr>
        <w:t xml:space="preserve">, </w:t>
      </w:r>
      <w:r w:rsidRPr="006770BB">
        <w:rPr>
          <w:rFonts w:ascii="Book Antiqua" w:eastAsia="SimSun" w:hAnsi="Book Antiqua" w:cs="Times New Roman"/>
          <w:color w:val="000000"/>
          <w:lang w:eastAsia="zh-CN"/>
        </w:rPr>
        <w:t>United States</w:t>
      </w:r>
    </w:p>
    <w:p w14:paraId="4A54D66F" w14:textId="33B33B10" w:rsidR="006770BB" w:rsidRPr="006770BB" w:rsidRDefault="006770BB" w:rsidP="00284EAF">
      <w:pPr>
        <w:spacing w:line="360" w:lineRule="auto"/>
        <w:jc w:val="both"/>
        <w:rPr>
          <w:rFonts w:ascii="Book Antiqua" w:eastAsia="SimSun" w:hAnsi="Book Antiqua" w:cs="Times New Roman"/>
          <w:lang w:eastAsia="zh-CN"/>
        </w:rPr>
      </w:pPr>
    </w:p>
    <w:p w14:paraId="576CCC9C" w14:textId="7D37C30C" w:rsidR="001547C4" w:rsidRPr="00284EAF" w:rsidRDefault="00D8422B" w:rsidP="00284EAF">
      <w:pPr>
        <w:spacing w:line="360" w:lineRule="auto"/>
        <w:jc w:val="both"/>
        <w:rPr>
          <w:rFonts w:ascii="Book Antiqua" w:hAnsi="Book Antiqua" w:cs="Times New Roman"/>
        </w:rPr>
      </w:pPr>
      <w:r w:rsidRPr="0070045D">
        <w:rPr>
          <w:rFonts w:ascii="Book Antiqua" w:hAnsi="Book Antiqua" w:cs="Times New Roman"/>
          <w:b/>
        </w:rPr>
        <w:lastRenderedPageBreak/>
        <w:t>ORCID number:</w:t>
      </w:r>
      <w:r w:rsidR="001547C4" w:rsidRPr="00284EAF">
        <w:rPr>
          <w:rFonts w:ascii="Book Antiqua" w:hAnsi="Book Antiqua" w:cs="Times New Roman"/>
          <w:b/>
          <w:bCs/>
          <w:color w:val="000000"/>
        </w:rPr>
        <w:t xml:space="preserve"> </w:t>
      </w:r>
      <w:r w:rsidR="001547C4" w:rsidRPr="00284EAF">
        <w:rPr>
          <w:rFonts w:ascii="Book Antiqua" w:hAnsi="Book Antiqua" w:cs="Times New Roman"/>
          <w:color w:val="000000"/>
        </w:rPr>
        <w:t>Scott Klenzak (0000-0002-6947-842X); Igor Danelisen</w:t>
      </w:r>
      <w:r>
        <w:rPr>
          <w:rFonts w:ascii="Book Antiqua" w:hAnsi="Book Antiqua" w:cs="Times New Roman"/>
          <w:color w:val="000000"/>
        </w:rPr>
        <w:t xml:space="preserve"> (0000-0002-7346-6704); Grace D</w:t>
      </w:r>
      <w:r w:rsidR="001547C4" w:rsidRPr="00284EAF">
        <w:rPr>
          <w:rFonts w:ascii="Book Antiqua" w:hAnsi="Book Antiqua" w:cs="Times New Roman"/>
          <w:color w:val="000000"/>
        </w:rPr>
        <w:t xml:space="preserve"> Brannan (</w:t>
      </w:r>
      <w:r>
        <w:rPr>
          <w:rFonts w:ascii="Book Antiqua" w:hAnsi="Book Antiqua" w:cs="Times New Roman"/>
          <w:color w:val="000000"/>
        </w:rPr>
        <w:t>0000-0001-6801-0617); Melissa A</w:t>
      </w:r>
      <w:r w:rsidR="001547C4" w:rsidRPr="00284EAF">
        <w:rPr>
          <w:rFonts w:ascii="Book Antiqua" w:hAnsi="Book Antiqua" w:cs="Times New Roman"/>
          <w:color w:val="000000"/>
        </w:rPr>
        <w:t xml:space="preserve"> Holland (0000-0001-8275-2449); Miranda </w:t>
      </w:r>
      <w:r>
        <w:rPr>
          <w:rFonts w:ascii="Book Antiqua" w:eastAsia="SimSun" w:hAnsi="Book Antiqua" w:cs="Times New Roman" w:hint="eastAsia"/>
          <w:color w:val="000000"/>
          <w:lang w:eastAsia="zh-CN"/>
        </w:rPr>
        <w:t xml:space="preserve">AL </w:t>
      </w:r>
      <w:r w:rsidR="001547C4" w:rsidRPr="00284EAF">
        <w:rPr>
          <w:rFonts w:ascii="Book Antiqua" w:hAnsi="Book Antiqua" w:cs="Times New Roman"/>
          <w:color w:val="000000"/>
        </w:rPr>
        <w:t>van Tilburg (0000-0002-0504-9829).</w:t>
      </w:r>
    </w:p>
    <w:p w14:paraId="03F25CF5" w14:textId="77777777" w:rsidR="001547C4" w:rsidRPr="00284EAF" w:rsidRDefault="001547C4" w:rsidP="00284EAF">
      <w:pPr>
        <w:spacing w:line="360" w:lineRule="auto"/>
        <w:jc w:val="both"/>
        <w:rPr>
          <w:rFonts w:ascii="Book Antiqua" w:eastAsia="Times New Roman" w:hAnsi="Book Antiqua" w:cs="Times New Roman"/>
        </w:rPr>
      </w:pPr>
    </w:p>
    <w:p w14:paraId="03E4E625" w14:textId="20A57309" w:rsidR="001547C4" w:rsidRPr="00284EAF" w:rsidRDefault="00D8422B" w:rsidP="00284EAF">
      <w:pPr>
        <w:spacing w:line="360" w:lineRule="auto"/>
        <w:jc w:val="both"/>
        <w:rPr>
          <w:rFonts w:ascii="Book Antiqua" w:hAnsi="Book Antiqua" w:cs="Times New Roman"/>
        </w:rPr>
      </w:pPr>
      <w:r w:rsidRPr="0070045D">
        <w:rPr>
          <w:rFonts w:ascii="Book Antiqua" w:hAnsi="Book Antiqua"/>
          <w:b/>
        </w:rPr>
        <w:t xml:space="preserve">Author contributions: </w:t>
      </w:r>
      <w:r w:rsidR="001547C4" w:rsidRPr="00284EAF">
        <w:rPr>
          <w:rFonts w:ascii="Book Antiqua" w:hAnsi="Book Antiqua" w:cs="Times New Roman"/>
          <w:color w:val="000000"/>
        </w:rPr>
        <w:t>All authors contributed equally to the writing of the manuscript and approved the final version.</w:t>
      </w:r>
    </w:p>
    <w:p w14:paraId="6DE3FE87" w14:textId="77777777" w:rsidR="001547C4" w:rsidRPr="00284EAF" w:rsidRDefault="001547C4" w:rsidP="00284EAF">
      <w:pPr>
        <w:spacing w:line="360" w:lineRule="auto"/>
        <w:jc w:val="both"/>
        <w:rPr>
          <w:rFonts w:ascii="Book Antiqua" w:eastAsia="Times New Roman" w:hAnsi="Book Antiqua" w:cs="Times New Roman"/>
        </w:rPr>
      </w:pPr>
    </w:p>
    <w:p w14:paraId="5EA879FA" w14:textId="4B14DB4A" w:rsidR="001547C4" w:rsidRPr="00284EAF" w:rsidRDefault="00D8422B" w:rsidP="00284EAF">
      <w:pPr>
        <w:spacing w:line="360" w:lineRule="auto"/>
        <w:jc w:val="both"/>
        <w:rPr>
          <w:rFonts w:ascii="Book Antiqua" w:hAnsi="Book Antiqua" w:cs="Times New Roman"/>
        </w:rPr>
      </w:pPr>
      <w:r w:rsidRPr="0070045D">
        <w:rPr>
          <w:rFonts w:ascii="Book Antiqua" w:eastAsia="Arial Unicode MS" w:hAnsi="Book Antiqua" w:cs="Times New Roman"/>
          <w:b/>
        </w:rPr>
        <w:t>Conflict-of-interest statement:</w:t>
      </w:r>
      <w:r w:rsidR="001547C4" w:rsidRPr="00284EAF">
        <w:rPr>
          <w:rFonts w:ascii="Book Antiqua" w:hAnsi="Book Antiqua" w:cs="Times New Roman"/>
          <w:b/>
          <w:bCs/>
          <w:color w:val="000000"/>
        </w:rPr>
        <w:t xml:space="preserve"> </w:t>
      </w:r>
      <w:r w:rsidR="001547C4" w:rsidRPr="00284EAF">
        <w:rPr>
          <w:rFonts w:ascii="Book Antiqua" w:hAnsi="Book Antiqua" w:cs="Times New Roman"/>
          <w:color w:val="000000"/>
        </w:rPr>
        <w:t>The authors have no conflict of interest to declare.</w:t>
      </w:r>
    </w:p>
    <w:p w14:paraId="005C4C42" w14:textId="77777777" w:rsidR="001547C4" w:rsidRDefault="001547C4" w:rsidP="00284EAF">
      <w:pPr>
        <w:spacing w:line="360" w:lineRule="auto"/>
        <w:jc w:val="both"/>
        <w:rPr>
          <w:rFonts w:ascii="Book Antiqua" w:eastAsia="SimSun" w:hAnsi="Book Antiqua" w:cs="Times New Roman"/>
          <w:lang w:eastAsia="zh-CN"/>
        </w:rPr>
      </w:pPr>
    </w:p>
    <w:p w14:paraId="5F5CD32C" w14:textId="77777777" w:rsidR="00D8422B" w:rsidRPr="00D8422B" w:rsidRDefault="00D8422B" w:rsidP="00D8422B">
      <w:pPr>
        <w:spacing w:line="360" w:lineRule="auto"/>
        <w:jc w:val="both"/>
        <w:rPr>
          <w:rStyle w:val="Hyperlink"/>
          <w:rFonts w:ascii="Book Antiqua" w:hAnsi="Book Antiqua" w:cs="Times New Roman"/>
          <w:bCs/>
          <w:color w:val="auto"/>
          <w:u w:val="none"/>
          <w:lang w:eastAsia="zh-CN"/>
        </w:rPr>
      </w:pPr>
      <w:r w:rsidRPr="00D8422B">
        <w:rPr>
          <w:rStyle w:val="Hyperlink"/>
          <w:rFonts w:ascii="Book Antiqua" w:hAnsi="Book Antiqua"/>
          <w:b/>
          <w:color w:val="auto"/>
          <w:u w:val="none"/>
          <w:lang w:eastAsia="zh-CN"/>
        </w:rPr>
        <w:t>Open-Access:</w:t>
      </w:r>
      <w:r w:rsidRPr="00D8422B">
        <w:rPr>
          <w:rStyle w:val="Hyperlink"/>
          <w:rFonts w:ascii="Book Antiqua" w:hAnsi="Book Antiqua"/>
          <w:color w:val="auto"/>
          <w:u w:val="none"/>
          <w:lang w:eastAsia="zh-CN"/>
        </w:rPr>
        <w:t xml:space="preserve"> </w:t>
      </w:r>
      <w:bookmarkStart w:id="0" w:name="OLE_LINK479"/>
      <w:bookmarkStart w:id="1" w:name="OLE_LINK496"/>
      <w:bookmarkStart w:id="2" w:name="OLE_LINK506"/>
      <w:bookmarkStart w:id="3" w:name="OLE_LINK507"/>
      <w:r w:rsidRPr="00D8422B">
        <w:rPr>
          <w:rStyle w:val="Hyperlink"/>
          <w:rFonts w:ascii="Book Antiqua" w:hAnsi="Book Antiqua"/>
          <w:color w:val="auto"/>
          <w:u w:val="none"/>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D8422B">
          <w:rPr>
            <w:rStyle w:val="Hyperlink"/>
            <w:rFonts w:ascii="Book Antiqua" w:hAnsi="Book Antiqua" w:cs="Times New Roman"/>
            <w:bCs/>
            <w:color w:val="auto"/>
            <w:u w:val="none"/>
            <w:lang w:eastAsia="zh-CN"/>
          </w:rPr>
          <w:t>http://creativecommons.org/licenses/by-nc/4.0/</w:t>
        </w:r>
      </w:hyperlink>
      <w:bookmarkEnd w:id="0"/>
      <w:bookmarkEnd w:id="1"/>
      <w:bookmarkEnd w:id="2"/>
      <w:bookmarkEnd w:id="3"/>
    </w:p>
    <w:p w14:paraId="071E2F75" w14:textId="77777777" w:rsidR="00D8422B" w:rsidRPr="0070045D" w:rsidRDefault="00D8422B" w:rsidP="00D8422B">
      <w:pPr>
        <w:spacing w:line="360" w:lineRule="auto"/>
        <w:jc w:val="both"/>
        <w:rPr>
          <w:rStyle w:val="Hyperlink"/>
          <w:rFonts w:ascii="Book Antiqua" w:hAnsi="Book Antiqua" w:cs="Times New Roman"/>
          <w:bCs/>
          <w:lang w:eastAsia="zh-CN"/>
        </w:rPr>
      </w:pPr>
    </w:p>
    <w:p w14:paraId="2C0F4145" w14:textId="4C236A0F" w:rsidR="00D8422B" w:rsidRPr="0070045D" w:rsidRDefault="00D8422B" w:rsidP="00D8422B">
      <w:pPr>
        <w:spacing w:line="360" w:lineRule="auto"/>
        <w:contextualSpacing/>
        <w:jc w:val="both"/>
        <w:rPr>
          <w:rFonts w:ascii="Book Antiqua" w:eastAsia="Arial Unicode MS" w:hAnsi="Book Antiqua" w:cs="Times New Roman"/>
          <w:lang w:eastAsia="zh-CN"/>
        </w:rPr>
      </w:pPr>
      <w:r w:rsidRPr="0070045D">
        <w:rPr>
          <w:rFonts w:ascii="Book Antiqua" w:eastAsia="Arial Unicode MS" w:hAnsi="Book Antiqua" w:cs="Times New Roman"/>
          <w:b/>
        </w:rPr>
        <w:t xml:space="preserve">Manuscript source: </w:t>
      </w:r>
      <w:r w:rsidRPr="0070045D">
        <w:rPr>
          <w:rFonts w:ascii="Book Antiqua" w:eastAsia="Arial Unicode MS" w:hAnsi="Book Antiqua" w:cs="Times New Roman"/>
        </w:rPr>
        <w:t xml:space="preserve">Invited </w:t>
      </w:r>
      <w:r w:rsidR="002F7F1A" w:rsidRPr="0070045D">
        <w:rPr>
          <w:rFonts w:ascii="Book Antiqua" w:eastAsia="Arial Unicode MS" w:hAnsi="Book Antiqua" w:cs="Times New Roman"/>
        </w:rPr>
        <w:t>manuscript</w:t>
      </w:r>
    </w:p>
    <w:p w14:paraId="6EA8DE16" w14:textId="77777777" w:rsidR="00D8422B" w:rsidRPr="00D8422B" w:rsidRDefault="00D8422B" w:rsidP="00284EAF">
      <w:pPr>
        <w:spacing w:line="360" w:lineRule="auto"/>
        <w:jc w:val="both"/>
        <w:rPr>
          <w:rFonts w:ascii="Book Antiqua" w:eastAsia="SimSun" w:hAnsi="Book Antiqua" w:cs="Times New Roman"/>
          <w:lang w:eastAsia="zh-CN"/>
        </w:rPr>
      </w:pPr>
    </w:p>
    <w:p w14:paraId="6FE62AAF" w14:textId="2A580F95" w:rsidR="001547C4" w:rsidRPr="00D8422B" w:rsidRDefault="00D8422B" w:rsidP="00284EAF">
      <w:pPr>
        <w:spacing w:line="360" w:lineRule="auto"/>
        <w:jc w:val="both"/>
        <w:rPr>
          <w:rFonts w:ascii="Book Antiqua" w:eastAsia="SimSun" w:hAnsi="Book Antiqua" w:cs="Times New Roman"/>
          <w:lang w:eastAsia="zh-CN"/>
        </w:rPr>
      </w:pPr>
      <w:r>
        <w:rPr>
          <w:rFonts w:ascii="Book Antiqua" w:hAnsi="Book Antiqua" w:cs="Times New Roman"/>
          <w:b/>
          <w:bCs/>
          <w:color w:val="000000"/>
        </w:rPr>
        <w:t>Correspond</w:t>
      </w:r>
      <w:r>
        <w:rPr>
          <w:rFonts w:ascii="Book Antiqua" w:eastAsia="SimSun" w:hAnsi="Book Antiqua" w:cs="Times New Roman" w:hint="eastAsia"/>
          <w:b/>
          <w:bCs/>
          <w:color w:val="000000"/>
          <w:lang w:eastAsia="zh-CN"/>
        </w:rPr>
        <w:t>ing author</w:t>
      </w:r>
      <w:r>
        <w:rPr>
          <w:rFonts w:ascii="Book Antiqua" w:hAnsi="Book Antiqua" w:cs="Times New Roman"/>
          <w:b/>
          <w:bCs/>
          <w:color w:val="000000"/>
        </w:rPr>
        <w:t xml:space="preserve"> to: Miranda AL</w:t>
      </w:r>
      <w:r w:rsidR="001547C4" w:rsidRPr="00284EAF">
        <w:rPr>
          <w:rFonts w:ascii="Book Antiqua" w:hAnsi="Book Antiqua" w:cs="Times New Roman"/>
          <w:b/>
          <w:bCs/>
          <w:color w:val="000000"/>
        </w:rPr>
        <w:t xml:space="preserve"> van Tilburg, </w:t>
      </w:r>
      <w:r w:rsidRPr="00D8422B">
        <w:rPr>
          <w:rFonts w:ascii="Book Antiqua" w:hAnsi="Book Antiqua" w:cs="Times New Roman"/>
          <w:b/>
          <w:bCs/>
          <w:color w:val="000000"/>
        </w:rPr>
        <w:t>PhD, Associate Professor,</w:t>
      </w:r>
      <w:r w:rsidR="001547C4" w:rsidRPr="00284EAF">
        <w:rPr>
          <w:rFonts w:ascii="Book Antiqua" w:hAnsi="Book Antiqua" w:cs="Times New Roman"/>
          <w:color w:val="000000"/>
        </w:rPr>
        <w:t xml:space="preserve"> </w:t>
      </w:r>
      <w:r w:rsidRPr="00284EAF">
        <w:rPr>
          <w:rFonts w:ascii="Book Antiqua" w:hAnsi="Book Antiqua" w:cs="Times New Roman"/>
          <w:color w:val="000000"/>
        </w:rPr>
        <w:t xml:space="preserve">College of Pharmacy </w:t>
      </w:r>
      <w:r>
        <w:rPr>
          <w:rFonts w:ascii="Book Antiqua" w:eastAsia="SimSun" w:hAnsi="Book Antiqua" w:cs="Times New Roman" w:hint="eastAsia"/>
          <w:color w:val="000000"/>
          <w:lang w:eastAsia="zh-CN"/>
        </w:rPr>
        <w:t>and</w:t>
      </w:r>
      <w:r w:rsidRPr="00284EAF">
        <w:rPr>
          <w:rFonts w:ascii="Book Antiqua" w:hAnsi="Book Antiqua" w:cs="Times New Roman"/>
          <w:color w:val="000000"/>
        </w:rPr>
        <w:t xml:space="preserve"> Health Sciences, Campbell University, </w:t>
      </w:r>
      <w:r w:rsidRPr="00D8422B">
        <w:rPr>
          <w:rFonts w:ascii="Book Antiqua" w:hAnsi="Book Antiqua" w:cs="Times New Roman"/>
          <w:color w:val="000000"/>
        </w:rPr>
        <w:t>1090 PO Box,</w:t>
      </w:r>
      <w:r>
        <w:rPr>
          <w:rFonts w:ascii="Book Antiqua" w:hAnsi="Book Antiqua" w:cs="Times New Roman"/>
          <w:color w:val="000000"/>
        </w:rPr>
        <w:t xml:space="preserve"> Buies Creek, NC</w:t>
      </w:r>
      <w:r>
        <w:rPr>
          <w:rFonts w:ascii="Book Antiqua" w:eastAsia="SimSun" w:hAnsi="Book Antiqua" w:cs="Times New Roman" w:hint="eastAsia"/>
          <w:color w:val="000000"/>
          <w:lang w:eastAsia="zh-CN"/>
        </w:rPr>
        <w:t xml:space="preserve"> </w:t>
      </w:r>
      <w:r w:rsidR="001547C4" w:rsidRPr="00284EAF">
        <w:rPr>
          <w:rFonts w:ascii="Book Antiqua" w:hAnsi="Book Antiqua" w:cs="Times New Roman"/>
          <w:color w:val="000000"/>
        </w:rPr>
        <w:t>27506</w:t>
      </w:r>
      <w:r>
        <w:rPr>
          <w:rFonts w:ascii="Book Antiqua" w:eastAsia="SimSun" w:hAnsi="Book Antiqua" w:cs="Times New Roman" w:hint="eastAsia"/>
          <w:color w:val="000000"/>
          <w:lang w:eastAsia="zh-CN"/>
        </w:rPr>
        <w:t>,</w:t>
      </w:r>
      <w:r w:rsidRPr="00D8422B">
        <w:rPr>
          <w:rFonts w:ascii="Book Antiqua" w:hAnsi="Book Antiqua" w:cs="Times New Roman"/>
          <w:color w:val="000000"/>
        </w:rPr>
        <w:t xml:space="preserve"> </w:t>
      </w:r>
      <w:r w:rsidRPr="006770BB">
        <w:rPr>
          <w:rFonts w:ascii="Book Antiqua" w:hAnsi="Book Antiqua" w:cs="Times New Roman"/>
          <w:color w:val="000000"/>
        </w:rPr>
        <w:t>United States</w:t>
      </w:r>
      <w:r>
        <w:rPr>
          <w:rFonts w:ascii="Book Antiqua" w:hAnsi="Book Antiqua" w:cs="Times New Roman"/>
          <w:color w:val="000000"/>
        </w:rPr>
        <w:t xml:space="preserve">. </w:t>
      </w:r>
      <w:hyperlink r:id="rId8" w:history="1">
        <w:r w:rsidRPr="00D8422B">
          <w:rPr>
            <w:rStyle w:val="Hyperlink"/>
            <w:rFonts w:ascii="Book Antiqua" w:hAnsi="Book Antiqua" w:cs="Times New Roman"/>
          </w:rPr>
          <w:t>vantilburg@campbell.edu</w:t>
        </w:r>
      </w:hyperlink>
    </w:p>
    <w:p w14:paraId="6C0069F1" w14:textId="317CBA8E" w:rsidR="001547C4" w:rsidRPr="00284EAF" w:rsidRDefault="00D8422B" w:rsidP="00284EAF">
      <w:pPr>
        <w:spacing w:line="360" w:lineRule="auto"/>
        <w:jc w:val="both"/>
        <w:rPr>
          <w:rFonts w:ascii="Book Antiqua" w:hAnsi="Book Antiqua" w:cs="Times New Roman"/>
        </w:rPr>
      </w:pPr>
      <w:r>
        <w:rPr>
          <w:rFonts w:ascii="Book Antiqua" w:hAnsi="Book Antiqua"/>
          <w:b/>
          <w:lang w:val="de-CH" w:eastAsia="zh-CN"/>
        </w:rPr>
        <w:t>Telephone:</w:t>
      </w:r>
      <w:r w:rsidR="001547C4" w:rsidRPr="00284EAF">
        <w:rPr>
          <w:rFonts w:ascii="Book Antiqua" w:hAnsi="Book Antiqua" w:cs="Times New Roman"/>
          <w:color w:val="000000"/>
        </w:rPr>
        <w:t xml:space="preserve"> </w:t>
      </w:r>
      <w:r>
        <w:rPr>
          <w:rFonts w:ascii="Book Antiqua" w:eastAsia="SimSun" w:hAnsi="Book Antiqua" w:cs="Times New Roman" w:hint="eastAsia"/>
          <w:color w:val="000000"/>
          <w:lang w:eastAsia="zh-CN"/>
        </w:rPr>
        <w:t>+</w:t>
      </w:r>
      <w:r>
        <w:rPr>
          <w:rFonts w:ascii="Book Antiqua" w:hAnsi="Book Antiqua" w:cs="Times New Roman"/>
          <w:color w:val="000000"/>
        </w:rPr>
        <w:t>1-910-814</w:t>
      </w:r>
      <w:r w:rsidR="001547C4" w:rsidRPr="00284EAF">
        <w:rPr>
          <w:rFonts w:ascii="Book Antiqua" w:hAnsi="Book Antiqua" w:cs="Times New Roman"/>
          <w:color w:val="000000"/>
        </w:rPr>
        <w:t xml:space="preserve">4913 </w:t>
      </w:r>
    </w:p>
    <w:p w14:paraId="66ED4034" w14:textId="4D4F5A21" w:rsidR="001547C4" w:rsidRPr="00284EAF" w:rsidRDefault="00D8422B" w:rsidP="00284EAF">
      <w:pPr>
        <w:spacing w:line="360" w:lineRule="auto"/>
        <w:jc w:val="both"/>
        <w:rPr>
          <w:rFonts w:ascii="Book Antiqua" w:hAnsi="Book Antiqua" w:cs="Times New Roman"/>
        </w:rPr>
      </w:pPr>
      <w:r w:rsidRPr="00454F99">
        <w:rPr>
          <w:rFonts w:ascii="Book Antiqua" w:hAnsi="Book Antiqua"/>
          <w:b/>
          <w:lang w:val="de-CH" w:eastAsia="zh-CN"/>
        </w:rPr>
        <w:t>Fax:</w:t>
      </w:r>
      <w:r w:rsidRPr="0070045D">
        <w:rPr>
          <w:rFonts w:ascii="Book Antiqua" w:hAnsi="Book Antiqua"/>
          <w:lang w:val="de-CH" w:eastAsia="zh-CN"/>
        </w:rPr>
        <w:t xml:space="preserve"> </w:t>
      </w:r>
      <w:r>
        <w:rPr>
          <w:rFonts w:ascii="Book Antiqua" w:eastAsia="SimSun" w:hAnsi="Book Antiqua" w:cs="Times New Roman" w:hint="eastAsia"/>
          <w:color w:val="000000"/>
          <w:lang w:eastAsia="zh-CN"/>
        </w:rPr>
        <w:t>+</w:t>
      </w:r>
      <w:r>
        <w:rPr>
          <w:rFonts w:ascii="Book Antiqua" w:hAnsi="Book Antiqua" w:cs="Times New Roman"/>
          <w:color w:val="000000"/>
        </w:rPr>
        <w:t>1-910-814</w:t>
      </w:r>
      <w:r w:rsidR="001547C4" w:rsidRPr="00284EAF">
        <w:rPr>
          <w:rFonts w:ascii="Book Antiqua" w:hAnsi="Book Antiqua" w:cs="Times New Roman"/>
          <w:color w:val="000000"/>
        </w:rPr>
        <w:t>5565</w:t>
      </w:r>
    </w:p>
    <w:p w14:paraId="36C4FC42" w14:textId="7841840B" w:rsidR="001547C4" w:rsidRPr="00D8422B" w:rsidRDefault="001547C4" w:rsidP="00284EAF">
      <w:pPr>
        <w:spacing w:line="360" w:lineRule="auto"/>
        <w:jc w:val="both"/>
        <w:rPr>
          <w:rFonts w:ascii="Book Antiqua" w:eastAsia="SimSun" w:hAnsi="Book Antiqua" w:cs="Times New Roman"/>
          <w:lang w:eastAsia="zh-CN"/>
        </w:rPr>
      </w:pPr>
    </w:p>
    <w:p w14:paraId="2F3D9D93" w14:textId="71DF9258" w:rsidR="00D8422B" w:rsidRPr="0070045D" w:rsidRDefault="00D8422B" w:rsidP="00D8422B">
      <w:pPr>
        <w:snapToGrid w:val="0"/>
        <w:spacing w:line="360" w:lineRule="auto"/>
        <w:jc w:val="both"/>
        <w:rPr>
          <w:rFonts w:ascii="Book Antiqua" w:hAnsi="Book Antiqua"/>
        </w:rPr>
      </w:pPr>
      <w:r w:rsidRPr="0070045D">
        <w:rPr>
          <w:rFonts w:ascii="Book Antiqua" w:hAnsi="Book Antiqua"/>
          <w:b/>
        </w:rPr>
        <w:t xml:space="preserve">Received: </w:t>
      </w:r>
      <w:r w:rsidR="004B4557">
        <w:rPr>
          <w:rFonts w:ascii="Book Antiqua" w:eastAsia="SimSun" w:hAnsi="Book Antiqua" w:hint="eastAsia"/>
          <w:lang w:eastAsia="zh-CN"/>
        </w:rPr>
        <w:t>September</w:t>
      </w:r>
      <w:r w:rsidRPr="0070045D">
        <w:rPr>
          <w:rFonts w:ascii="Book Antiqua" w:hAnsi="Book Antiqua"/>
        </w:rPr>
        <w:t xml:space="preserve"> </w:t>
      </w:r>
      <w:r w:rsidR="004B4557">
        <w:rPr>
          <w:rFonts w:ascii="Book Antiqua" w:eastAsia="SimSun" w:hAnsi="Book Antiqua" w:hint="eastAsia"/>
          <w:lang w:eastAsia="zh-CN"/>
        </w:rPr>
        <w:t>4</w:t>
      </w:r>
      <w:r w:rsidRPr="0070045D">
        <w:rPr>
          <w:rFonts w:ascii="Book Antiqua" w:hAnsi="Book Antiqua"/>
        </w:rPr>
        <w:t>, 2018</w:t>
      </w:r>
    </w:p>
    <w:p w14:paraId="69D2E418" w14:textId="38845D79" w:rsidR="00D8422B" w:rsidRPr="0070045D" w:rsidRDefault="00D8422B" w:rsidP="00D8422B">
      <w:pPr>
        <w:snapToGrid w:val="0"/>
        <w:spacing w:line="360" w:lineRule="auto"/>
        <w:jc w:val="both"/>
        <w:rPr>
          <w:rFonts w:ascii="Book Antiqua" w:hAnsi="Book Antiqua"/>
        </w:rPr>
      </w:pPr>
      <w:r w:rsidRPr="0070045D">
        <w:rPr>
          <w:rFonts w:ascii="Book Antiqua" w:hAnsi="Book Antiqua"/>
          <w:b/>
        </w:rPr>
        <w:t>Peer-review started:</w:t>
      </w:r>
      <w:r w:rsidRPr="007609AF">
        <w:rPr>
          <w:rFonts w:ascii="Book Antiqua" w:hAnsi="Book Antiqua"/>
          <w:lang w:eastAsia="zh-CN"/>
        </w:rPr>
        <w:t xml:space="preserve"> </w:t>
      </w:r>
      <w:r w:rsidR="004B4557">
        <w:rPr>
          <w:rFonts w:ascii="Book Antiqua" w:eastAsia="SimSun" w:hAnsi="Book Antiqua" w:hint="eastAsia"/>
          <w:lang w:eastAsia="zh-CN"/>
        </w:rPr>
        <w:t>September</w:t>
      </w:r>
      <w:r w:rsidR="004B4557" w:rsidRPr="0070045D">
        <w:rPr>
          <w:rFonts w:ascii="Book Antiqua" w:hAnsi="Book Antiqua"/>
        </w:rPr>
        <w:t xml:space="preserve"> </w:t>
      </w:r>
      <w:r w:rsidR="004B4557">
        <w:rPr>
          <w:rFonts w:ascii="Book Antiqua" w:eastAsia="SimSun" w:hAnsi="Book Antiqua" w:hint="eastAsia"/>
          <w:lang w:eastAsia="zh-CN"/>
        </w:rPr>
        <w:t>4</w:t>
      </w:r>
      <w:r w:rsidR="004B4557" w:rsidRPr="0070045D">
        <w:rPr>
          <w:rFonts w:ascii="Book Antiqua" w:hAnsi="Book Antiqua"/>
        </w:rPr>
        <w:t xml:space="preserve">, </w:t>
      </w:r>
      <w:r w:rsidRPr="0070045D">
        <w:rPr>
          <w:rFonts w:ascii="Book Antiqua" w:hAnsi="Book Antiqua"/>
        </w:rPr>
        <w:t>2018</w:t>
      </w:r>
    </w:p>
    <w:p w14:paraId="5A8568CC" w14:textId="0B194E37" w:rsidR="00D8422B" w:rsidRPr="0070045D" w:rsidRDefault="00D8422B" w:rsidP="00D8422B">
      <w:pPr>
        <w:snapToGrid w:val="0"/>
        <w:spacing w:line="360" w:lineRule="auto"/>
        <w:jc w:val="both"/>
        <w:rPr>
          <w:rFonts w:ascii="Book Antiqua" w:hAnsi="Book Antiqua"/>
        </w:rPr>
      </w:pPr>
      <w:r w:rsidRPr="0070045D">
        <w:rPr>
          <w:rFonts w:ascii="Book Antiqua" w:hAnsi="Book Antiqua"/>
          <w:b/>
        </w:rPr>
        <w:t xml:space="preserve">First decision: </w:t>
      </w:r>
      <w:r>
        <w:rPr>
          <w:rFonts w:ascii="Book Antiqua" w:hAnsi="Book Antiqua" w:hint="eastAsia"/>
          <w:lang w:eastAsia="zh-CN"/>
        </w:rPr>
        <w:t>October</w:t>
      </w:r>
      <w:r w:rsidRPr="0070045D">
        <w:rPr>
          <w:rFonts w:ascii="Book Antiqua" w:hAnsi="Book Antiqua"/>
        </w:rPr>
        <w:t xml:space="preserve"> </w:t>
      </w:r>
      <w:r>
        <w:rPr>
          <w:rFonts w:ascii="Book Antiqua" w:hAnsi="Book Antiqua" w:hint="eastAsia"/>
          <w:lang w:eastAsia="zh-CN"/>
        </w:rPr>
        <w:t>1</w:t>
      </w:r>
      <w:r w:rsidR="004B4557">
        <w:rPr>
          <w:rFonts w:ascii="Book Antiqua" w:eastAsia="SimSun" w:hAnsi="Book Antiqua" w:hint="eastAsia"/>
          <w:lang w:eastAsia="zh-CN"/>
        </w:rPr>
        <w:t>1</w:t>
      </w:r>
      <w:r w:rsidRPr="0070045D">
        <w:rPr>
          <w:rFonts w:ascii="Book Antiqua" w:hAnsi="Book Antiqua"/>
        </w:rPr>
        <w:t>, 2018</w:t>
      </w:r>
    </w:p>
    <w:p w14:paraId="4B125285" w14:textId="64DA48F4" w:rsidR="00D8422B" w:rsidRPr="0070045D" w:rsidRDefault="00D8422B" w:rsidP="00D8422B">
      <w:pPr>
        <w:snapToGrid w:val="0"/>
        <w:spacing w:line="360" w:lineRule="auto"/>
        <w:jc w:val="both"/>
        <w:rPr>
          <w:rFonts w:ascii="Book Antiqua" w:hAnsi="Book Antiqua"/>
          <w:lang w:eastAsia="zh-CN"/>
        </w:rPr>
      </w:pPr>
      <w:r w:rsidRPr="0070045D">
        <w:rPr>
          <w:rFonts w:ascii="Book Antiqua" w:hAnsi="Book Antiqua"/>
          <w:b/>
        </w:rPr>
        <w:lastRenderedPageBreak/>
        <w:t>Revised:</w:t>
      </w:r>
      <w:r w:rsidRPr="0070045D">
        <w:rPr>
          <w:rFonts w:ascii="Book Antiqua" w:hAnsi="Book Antiqua"/>
          <w:lang w:eastAsia="zh-CN"/>
        </w:rPr>
        <w:t xml:space="preserve"> </w:t>
      </w:r>
      <w:r>
        <w:rPr>
          <w:rFonts w:ascii="Book Antiqua" w:hAnsi="Book Antiqua" w:hint="eastAsia"/>
          <w:lang w:eastAsia="zh-CN"/>
        </w:rPr>
        <w:t>November</w:t>
      </w:r>
      <w:r w:rsidRPr="0070045D">
        <w:rPr>
          <w:rFonts w:ascii="Book Antiqua" w:hAnsi="Book Antiqua"/>
        </w:rPr>
        <w:t xml:space="preserve"> </w:t>
      </w:r>
      <w:r>
        <w:rPr>
          <w:rFonts w:ascii="Book Antiqua" w:hAnsi="Book Antiqua" w:hint="eastAsia"/>
          <w:lang w:eastAsia="zh-CN"/>
        </w:rPr>
        <w:t>1</w:t>
      </w:r>
      <w:r w:rsidR="004B4557">
        <w:rPr>
          <w:rFonts w:ascii="Book Antiqua" w:eastAsia="SimSun" w:hAnsi="Book Antiqua" w:hint="eastAsia"/>
          <w:lang w:eastAsia="zh-CN"/>
        </w:rPr>
        <w:t>6</w:t>
      </w:r>
      <w:r w:rsidRPr="0070045D">
        <w:rPr>
          <w:rFonts w:ascii="Book Antiqua" w:hAnsi="Book Antiqua"/>
        </w:rPr>
        <w:t>, 2018</w:t>
      </w:r>
    </w:p>
    <w:p w14:paraId="18F48E30" w14:textId="7E5ED38C" w:rsidR="00D8422B" w:rsidRPr="0070045D" w:rsidRDefault="00D8422B" w:rsidP="00D8422B">
      <w:pPr>
        <w:snapToGrid w:val="0"/>
        <w:spacing w:line="360" w:lineRule="auto"/>
        <w:jc w:val="both"/>
        <w:rPr>
          <w:rFonts w:ascii="Book Antiqua" w:hAnsi="Book Antiqua"/>
          <w:b/>
        </w:rPr>
      </w:pPr>
      <w:r w:rsidRPr="0070045D">
        <w:rPr>
          <w:rFonts w:ascii="Book Antiqua" w:hAnsi="Book Antiqua"/>
          <w:b/>
        </w:rPr>
        <w:t>Accepted:</w:t>
      </w:r>
      <w:r w:rsidR="008E5390" w:rsidRPr="008E5390">
        <w:t xml:space="preserve"> </w:t>
      </w:r>
      <w:r w:rsidR="008E5390" w:rsidRPr="008E5390">
        <w:rPr>
          <w:rFonts w:ascii="Book Antiqua" w:hAnsi="Book Antiqua"/>
        </w:rPr>
        <w:t>November 23, 2018</w:t>
      </w:r>
      <w:r w:rsidR="008E5390" w:rsidRPr="008E5390">
        <w:rPr>
          <w:rFonts w:ascii="Book Antiqua" w:hAnsi="Book Antiqua"/>
          <w:b/>
        </w:rPr>
        <w:t xml:space="preserve"> </w:t>
      </w:r>
      <w:r w:rsidRPr="0070045D">
        <w:rPr>
          <w:rFonts w:ascii="Book Antiqua" w:hAnsi="Book Antiqua"/>
        </w:rPr>
        <w:t xml:space="preserve"> </w:t>
      </w:r>
    </w:p>
    <w:p w14:paraId="78FF810E" w14:textId="77777777" w:rsidR="00D8422B" w:rsidRPr="0070045D" w:rsidRDefault="00D8422B" w:rsidP="00D8422B">
      <w:pPr>
        <w:snapToGrid w:val="0"/>
        <w:spacing w:line="360" w:lineRule="auto"/>
        <w:jc w:val="both"/>
        <w:rPr>
          <w:rFonts w:ascii="Book Antiqua" w:hAnsi="Book Antiqua"/>
          <w:b/>
        </w:rPr>
      </w:pPr>
      <w:r w:rsidRPr="0070045D">
        <w:rPr>
          <w:rFonts w:ascii="Book Antiqua" w:hAnsi="Book Antiqua"/>
          <w:b/>
        </w:rPr>
        <w:t>Article in press:</w:t>
      </w:r>
    </w:p>
    <w:p w14:paraId="7D06EA12" w14:textId="77777777" w:rsidR="00D8422B" w:rsidRPr="0070045D" w:rsidRDefault="00D8422B" w:rsidP="00D8422B">
      <w:pPr>
        <w:snapToGrid w:val="0"/>
        <w:spacing w:line="360" w:lineRule="auto"/>
        <w:contextualSpacing/>
        <w:jc w:val="both"/>
        <w:rPr>
          <w:rFonts w:ascii="Book Antiqua" w:hAnsi="Book Antiqua" w:cs="Arial"/>
          <w:b/>
          <w:lang w:val="pl-PL"/>
        </w:rPr>
      </w:pPr>
      <w:r w:rsidRPr="0070045D">
        <w:rPr>
          <w:rFonts w:ascii="Book Antiqua" w:hAnsi="Book Antiqua" w:cs="Arial"/>
          <w:b/>
          <w:lang w:val="pl-PL" w:eastAsia="pl-PL"/>
        </w:rPr>
        <w:t>Published online:</w:t>
      </w:r>
    </w:p>
    <w:p w14:paraId="3E0E42FF" w14:textId="77777777" w:rsidR="001547C4" w:rsidRPr="00D8422B" w:rsidRDefault="001547C4" w:rsidP="00284EAF">
      <w:pPr>
        <w:spacing w:line="360" w:lineRule="auto"/>
        <w:jc w:val="both"/>
        <w:rPr>
          <w:rFonts w:ascii="Book Antiqua" w:eastAsia="Times New Roman" w:hAnsi="Book Antiqua" w:cs="Times New Roman"/>
          <w:lang w:val="pl-PL"/>
        </w:rPr>
      </w:pPr>
    </w:p>
    <w:p w14:paraId="24DC86D9" w14:textId="77777777" w:rsidR="00F618F8" w:rsidRPr="00284EAF" w:rsidRDefault="00F618F8" w:rsidP="00284EAF">
      <w:pPr>
        <w:spacing w:line="360" w:lineRule="auto"/>
        <w:jc w:val="both"/>
        <w:rPr>
          <w:rFonts w:ascii="Book Antiqua" w:hAnsi="Book Antiqua" w:cs="Times New Roman"/>
          <w:b/>
          <w:bCs/>
          <w:color w:val="000000"/>
        </w:rPr>
      </w:pPr>
      <w:r w:rsidRPr="00284EAF">
        <w:rPr>
          <w:rFonts w:ascii="Book Antiqua" w:hAnsi="Book Antiqua" w:cs="Times New Roman"/>
          <w:b/>
          <w:bCs/>
          <w:color w:val="000000"/>
        </w:rPr>
        <w:br w:type="page"/>
      </w:r>
    </w:p>
    <w:p w14:paraId="442D145E" w14:textId="21DC8B66"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lastRenderedPageBreak/>
        <w:t xml:space="preserve">Abstract </w:t>
      </w:r>
    </w:p>
    <w:p w14:paraId="10732AED" w14:textId="2BDBFCE1"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color w:val="000000"/>
        </w:rPr>
        <w:t xml:space="preserve">Gastroesophageal reflux disease (GERD) is a common upper esophageal condition and typical symptoms can include heartburn and sensation of regurgitation while atypical symptoms include chronic cough, asthma, hoarseness, dyspepsia and nausea. Typically, diagnosis is presumptive given the presence of typical and atypical symptoms and is an indication for empiric therapy. Treatment management can include lifestyle modifications and/or medication therapy with proton pump inhibitor (PPI) class being the preferred and most effective. Complete symptom resolution is not always achieved and long-term PPI therapy can put patients at risk for serious side effects and needless expense. The brain-gut connection and hypervigilance plays an important role in symptom resolution and treatment success, especially in the case of non-PPI responders. Hypervigilance is a combination of increased esophageal sensory sensitivity in combination with exaggerated threat perception surrounding esophageal symptoms. Hypervigilance requires a different approach to GERD managements, where continued PPI therapy and surgery are usually not recommended. Rather, helping physicians and patients understand the brain-gut connection can guide and improve care. Education and reassurance should be the main pillars or treatment. However, it is important not to suggest the symptoms are due to anxiety alone, this often leads to patient dissatisfaction. Patient </w:t>
      </w:r>
      <w:r w:rsidR="005828B7" w:rsidRPr="00284EAF">
        <w:rPr>
          <w:rFonts w:ascii="Book Antiqua" w:hAnsi="Book Antiqua" w:cs="Times New Roman"/>
          <w:color w:val="000000"/>
        </w:rPr>
        <w:t>dissatisfaction with treatment reveals</w:t>
      </w:r>
      <w:r w:rsidRPr="00284EAF">
        <w:rPr>
          <w:rFonts w:ascii="Book Antiqua" w:hAnsi="Book Antiqua" w:cs="Times New Roman"/>
          <w:color w:val="000000"/>
        </w:rPr>
        <w:t xml:space="preserve"> the need for a more patient-centered approach to GERD management and better communication between patients and providers. Shared decision</w:t>
      </w:r>
      <w:r w:rsidR="004B4557">
        <w:rPr>
          <w:rFonts w:ascii="Book Antiqua" w:eastAsia="SimSun" w:hAnsi="Book Antiqua" w:cs="Times New Roman" w:hint="eastAsia"/>
          <w:color w:val="000000"/>
          <w:lang w:eastAsia="zh-CN"/>
        </w:rPr>
        <w:t xml:space="preserve"> </w:t>
      </w:r>
      <w:r w:rsidRPr="00284EAF">
        <w:rPr>
          <w:rFonts w:ascii="Book Antiqua" w:hAnsi="Book Antiqua" w:cs="Times New Roman"/>
          <w:color w:val="000000"/>
        </w:rPr>
        <w:t xml:space="preserve">making (SDM) with the incorporation of patient-reported outcomes (PRO) promotes patient adherence and satisfaction. SDM is a joint discussion between clinician and patient in which a mutually shared solution is explored for GERD symptoms. For SDM to work the physician needs to capture patients’ perceptions which may not be </w:t>
      </w:r>
      <w:r w:rsidR="005828B7" w:rsidRPr="00284EAF">
        <w:rPr>
          <w:rFonts w:ascii="Book Antiqua" w:hAnsi="Book Antiqua" w:cs="Times New Roman"/>
          <w:color w:val="000000"/>
        </w:rPr>
        <w:t xml:space="preserve">obtained </w:t>
      </w:r>
      <w:r w:rsidRPr="00284EAF">
        <w:rPr>
          <w:rFonts w:ascii="Book Antiqua" w:hAnsi="Book Antiqua" w:cs="Times New Roman"/>
          <w:color w:val="000000"/>
        </w:rPr>
        <w:t xml:space="preserve">in the standard interview. This can be done through the use of PROs which promote a dialogue with patients about their symptoms and treatment priorities </w:t>
      </w:r>
      <w:r w:rsidRPr="00284EAF">
        <w:rPr>
          <w:rFonts w:ascii="Book Antiqua" w:hAnsi="Book Antiqua" w:cs="Times New Roman"/>
          <w:color w:val="000000"/>
        </w:rPr>
        <w:lastRenderedPageBreak/>
        <w:t xml:space="preserve">in the context of the SDM patient encounter. SDM could potentially </w:t>
      </w:r>
      <w:r w:rsidR="005828B7" w:rsidRPr="00284EAF">
        <w:rPr>
          <w:rFonts w:ascii="Book Antiqua" w:hAnsi="Book Antiqua" w:cs="Times New Roman"/>
          <w:color w:val="000000"/>
        </w:rPr>
        <w:t>help in</w:t>
      </w:r>
      <w:r w:rsidRPr="00284EAF">
        <w:rPr>
          <w:rFonts w:ascii="Book Antiqua" w:hAnsi="Book Antiqua" w:cs="Times New Roman"/>
          <w:color w:val="000000"/>
        </w:rPr>
        <w:t xml:space="preserve"> the management of patient expectations for GERD treatment, ultimately positively impacting their health-related quality of life.</w:t>
      </w:r>
    </w:p>
    <w:p w14:paraId="2D42723B" w14:textId="77777777" w:rsidR="001547C4" w:rsidRPr="00284EAF" w:rsidRDefault="001547C4" w:rsidP="00284EAF">
      <w:pPr>
        <w:spacing w:line="360" w:lineRule="auto"/>
        <w:jc w:val="both"/>
        <w:rPr>
          <w:rFonts w:ascii="Book Antiqua" w:eastAsia="Times New Roman" w:hAnsi="Book Antiqua" w:cs="Times New Roman"/>
        </w:rPr>
      </w:pPr>
    </w:p>
    <w:p w14:paraId="69251ABF" w14:textId="0EEDD50B" w:rsidR="001547C4" w:rsidRPr="00284EAF" w:rsidRDefault="008F3419" w:rsidP="00284EAF">
      <w:pPr>
        <w:spacing w:line="360" w:lineRule="auto"/>
        <w:jc w:val="both"/>
        <w:rPr>
          <w:rFonts w:ascii="Book Antiqua" w:hAnsi="Book Antiqua" w:cs="Times New Roman"/>
        </w:rPr>
      </w:pPr>
      <w:r w:rsidRPr="0070045D">
        <w:rPr>
          <w:rFonts w:ascii="Book Antiqua" w:hAnsi="Book Antiqua" w:cs="Times New Roman"/>
          <w:b/>
        </w:rPr>
        <w:t>Key words:</w:t>
      </w:r>
      <w:r w:rsidR="001547C4" w:rsidRPr="00284EAF">
        <w:rPr>
          <w:rFonts w:ascii="Book Antiqua" w:hAnsi="Book Antiqua" w:cs="Times New Roman"/>
          <w:b/>
          <w:bCs/>
          <w:color w:val="000000"/>
        </w:rPr>
        <w:t xml:space="preserve"> </w:t>
      </w:r>
      <w:r w:rsidRPr="00284EAF">
        <w:rPr>
          <w:rFonts w:ascii="Book Antiqua" w:hAnsi="Book Antiqua" w:cs="Times New Roman"/>
          <w:color w:val="000000"/>
        </w:rPr>
        <w:t>Gastroesophageal reflux disease</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Psychosocial</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Patient-physician communication</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Shared decision</w:t>
      </w:r>
      <w:r w:rsidR="004B4557">
        <w:rPr>
          <w:rFonts w:ascii="Book Antiqua" w:eastAsia="SimSun" w:hAnsi="Book Antiqua" w:cs="Times New Roman" w:hint="eastAsia"/>
          <w:color w:val="000000"/>
          <w:lang w:eastAsia="zh-CN"/>
        </w:rPr>
        <w:t xml:space="preserve"> </w:t>
      </w:r>
      <w:r w:rsidR="001547C4" w:rsidRPr="00284EAF">
        <w:rPr>
          <w:rFonts w:ascii="Book Antiqua" w:hAnsi="Book Antiqua" w:cs="Times New Roman"/>
          <w:color w:val="000000"/>
        </w:rPr>
        <w:t>making</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Patient-reported outcomes</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 xml:space="preserve"> Patient satisfaction</w:t>
      </w:r>
    </w:p>
    <w:p w14:paraId="4F7FFF02" w14:textId="77777777" w:rsidR="001547C4" w:rsidRPr="00284EAF" w:rsidRDefault="001547C4" w:rsidP="00284EAF">
      <w:pPr>
        <w:spacing w:line="360" w:lineRule="auto"/>
        <w:jc w:val="both"/>
        <w:rPr>
          <w:rFonts w:ascii="Book Antiqua" w:eastAsia="Times New Roman" w:hAnsi="Book Antiqua" w:cs="Times New Roman"/>
        </w:rPr>
      </w:pPr>
    </w:p>
    <w:p w14:paraId="757655EA" w14:textId="77777777" w:rsidR="008F3419" w:rsidRPr="0070045D" w:rsidRDefault="008F3419" w:rsidP="008F3419">
      <w:pPr>
        <w:snapToGrid w:val="0"/>
        <w:spacing w:line="360" w:lineRule="auto"/>
        <w:jc w:val="both"/>
        <w:rPr>
          <w:rFonts w:ascii="Book Antiqua" w:hAnsi="Book Antiqua" w:cs="Book Antiqua"/>
          <w:b/>
          <w:bCs/>
          <w:lang w:eastAsia="zh-CN"/>
        </w:rPr>
      </w:pPr>
      <w:bookmarkStart w:id="4" w:name="OLE_LINK363"/>
      <w:bookmarkStart w:id="5" w:name="OLE_LINK364"/>
      <w:bookmarkStart w:id="6" w:name="OLE_LINK359"/>
      <w:bookmarkStart w:id="7" w:name="OLE_LINK1037"/>
      <w:bookmarkStart w:id="8" w:name="OLE_LINK1195"/>
      <w:bookmarkStart w:id="9" w:name="OLE_LINK1140"/>
      <w:bookmarkStart w:id="10" w:name="OLE_LINK1062"/>
      <w:bookmarkStart w:id="11" w:name="OLE_LINK500"/>
      <w:bookmarkStart w:id="12" w:name="OLE_LINK916"/>
      <w:bookmarkStart w:id="13" w:name="OLE_LINK956"/>
      <w:bookmarkStart w:id="14" w:name="OLE_LINK994"/>
      <w:r w:rsidRPr="0070045D">
        <w:rPr>
          <w:rFonts w:ascii="Book Antiqua" w:hAnsi="Book Antiqua" w:cs="Book Antiqua"/>
          <w:b/>
          <w:bCs/>
        </w:rPr>
        <w:t>© The Author(s) 2018.</w:t>
      </w:r>
      <w:r w:rsidRPr="0070045D">
        <w:rPr>
          <w:rFonts w:ascii="Book Antiqua" w:hAnsi="Book Antiqua" w:cs="Book Antiqua"/>
          <w:bCs/>
        </w:rPr>
        <w:t xml:space="preserve"> Published by Baishideng Publishing Group Inc. All rights reserved.</w:t>
      </w:r>
      <w:bookmarkEnd w:id="4"/>
      <w:bookmarkEnd w:id="5"/>
      <w:bookmarkEnd w:id="6"/>
      <w:bookmarkEnd w:id="7"/>
      <w:bookmarkEnd w:id="8"/>
      <w:bookmarkEnd w:id="9"/>
      <w:bookmarkEnd w:id="10"/>
      <w:bookmarkEnd w:id="11"/>
      <w:bookmarkEnd w:id="12"/>
      <w:bookmarkEnd w:id="13"/>
      <w:bookmarkEnd w:id="14"/>
    </w:p>
    <w:p w14:paraId="57CAF32F" w14:textId="77777777" w:rsidR="008F3419" w:rsidRPr="0070045D" w:rsidRDefault="008F3419" w:rsidP="008F3419">
      <w:pPr>
        <w:spacing w:line="360" w:lineRule="auto"/>
        <w:jc w:val="both"/>
        <w:rPr>
          <w:rFonts w:ascii="Book Antiqua" w:hAnsi="Book Antiqua" w:cs="Times New Roman"/>
          <w:u w:val="single"/>
        </w:rPr>
      </w:pPr>
    </w:p>
    <w:p w14:paraId="7C66BF99" w14:textId="32061EBA" w:rsidR="001547C4" w:rsidRPr="00284EAF" w:rsidRDefault="008F3419" w:rsidP="008F3419">
      <w:pPr>
        <w:spacing w:line="360" w:lineRule="auto"/>
        <w:jc w:val="both"/>
        <w:rPr>
          <w:rFonts w:ascii="Book Antiqua" w:hAnsi="Book Antiqua" w:cs="Times New Roman"/>
        </w:rPr>
      </w:pPr>
      <w:r w:rsidRPr="0070045D">
        <w:rPr>
          <w:rFonts w:ascii="Book Antiqua" w:hAnsi="Book Antiqua" w:cs="Times New Roman"/>
          <w:b/>
        </w:rPr>
        <w:t>Core tip</w:t>
      </w:r>
      <w:r w:rsidRPr="0070045D">
        <w:rPr>
          <w:rFonts w:ascii="Book Antiqua" w:hAnsi="Book Antiqua" w:cs="Times New Roman"/>
        </w:rPr>
        <w:t xml:space="preserve">: </w:t>
      </w:r>
      <w:r w:rsidRPr="00284EAF">
        <w:rPr>
          <w:rFonts w:ascii="Book Antiqua" w:hAnsi="Book Antiqua" w:cs="Times New Roman"/>
          <w:color w:val="000000"/>
        </w:rPr>
        <w:t>Gastroesophageal reflux disease</w:t>
      </w:r>
      <w:r w:rsidR="001547C4" w:rsidRPr="00284EAF">
        <w:rPr>
          <w:rFonts w:ascii="Book Antiqua" w:hAnsi="Book Antiqua" w:cs="Times New Roman"/>
          <w:color w:val="000000"/>
        </w:rPr>
        <w:t xml:space="preserve"> management can be complex and is affected by psychosocial factors. Physician-patient communication improvement and shared decision</w:t>
      </w:r>
      <w:r w:rsidR="004B4557">
        <w:rPr>
          <w:rFonts w:ascii="Book Antiqua" w:eastAsia="SimSun" w:hAnsi="Book Antiqua" w:cs="Times New Roman" w:hint="eastAsia"/>
          <w:color w:val="000000"/>
          <w:lang w:eastAsia="zh-CN"/>
        </w:rPr>
        <w:t xml:space="preserve"> </w:t>
      </w:r>
      <w:r w:rsidR="001547C4" w:rsidRPr="00284EAF">
        <w:rPr>
          <w:rFonts w:ascii="Book Antiqua" w:hAnsi="Book Antiqua" w:cs="Times New Roman"/>
          <w:color w:val="000000"/>
        </w:rPr>
        <w:t>making are two approaches that could improve patient</w:t>
      </w:r>
      <w:r>
        <w:rPr>
          <w:rFonts w:ascii="Book Antiqua" w:eastAsia="SimSun" w:hAnsi="Book Antiqua" w:cs="Times New Roman" w:hint="eastAsia"/>
          <w:color w:val="000000"/>
          <w:lang w:eastAsia="zh-CN"/>
        </w:rPr>
        <w:t>-</w:t>
      </w:r>
      <w:r w:rsidR="001547C4" w:rsidRPr="00284EAF">
        <w:rPr>
          <w:rFonts w:ascii="Book Antiqua" w:hAnsi="Book Antiqua" w:cs="Times New Roman"/>
          <w:color w:val="000000"/>
        </w:rPr>
        <w:t>reported outcomes and patient satisfaction.</w:t>
      </w:r>
      <w:bookmarkStart w:id="15" w:name="_GoBack"/>
      <w:bookmarkEnd w:id="15"/>
    </w:p>
    <w:p w14:paraId="0CD1428D" w14:textId="77777777" w:rsidR="001547C4" w:rsidRPr="00284EAF" w:rsidRDefault="001547C4" w:rsidP="00284EAF">
      <w:pPr>
        <w:spacing w:line="360" w:lineRule="auto"/>
        <w:jc w:val="both"/>
        <w:rPr>
          <w:rFonts w:ascii="Book Antiqua" w:eastAsia="Times New Roman" w:hAnsi="Book Antiqua" w:cs="Times New Roman"/>
        </w:rPr>
      </w:pPr>
    </w:p>
    <w:p w14:paraId="1AAEBAE5" w14:textId="47C0050A" w:rsidR="005828B7" w:rsidRPr="008F3419" w:rsidRDefault="001547C4" w:rsidP="00284EAF">
      <w:pPr>
        <w:spacing w:line="360" w:lineRule="auto"/>
        <w:jc w:val="both"/>
        <w:rPr>
          <w:rFonts w:ascii="Book Antiqua" w:eastAsia="SimSun" w:hAnsi="Book Antiqua"/>
          <w:lang w:eastAsia="zh-CN"/>
        </w:rPr>
      </w:pPr>
      <w:r w:rsidRPr="00284EAF">
        <w:rPr>
          <w:rFonts w:ascii="Book Antiqua" w:hAnsi="Book Antiqua" w:cs="Times New Roman"/>
          <w:color w:val="000000"/>
        </w:rPr>
        <w:t xml:space="preserve">Klenzak S, Danelisen I, Brannan GD, Holland MA, van Tilburg MAL. Management of </w:t>
      </w:r>
      <w:r w:rsidR="008F3419" w:rsidRPr="00284EAF">
        <w:rPr>
          <w:rFonts w:ascii="Book Antiqua" w:hAnsi="Book Antiqua" w:cs="Times New Roman"/>
          <w:color w:val="000000"/>
        </w:rPr>
        <w:t>gastroesophageal reflux disease</w:t>
      </w:r>
      <w:r w:rsidRPr="00284EAF">
        <w:rPr>
          <w:rFonts w:ascii="Book Antiqua" w:hAnsi="Book Antiqua" w:cs="Times New Roman"/>
          <w:color w:val="000000"/>
        </w:rPr>
        <w:t>: Patient and physician communication challenges and shared decision making</w:t>
      </w:r>
      <w:r w:rsidR="008F3419">
        <w:rPr>
          <w:rFonts w:ascii="Book Antiqua" w:eastAsia="SimSun" w:hAnsi="Book Antiqua" w:cs="Times New Roman" w:hint="eastAsia"/>
          <w:color w:val="000000"/>
          <w:lang w:eastAsia="zh-CN"/>
        </w:rPr>
        <w:t xml:space="preserve">. </w:t>
      </w:r>
      <w:r w:rsidR="008F3419" w:rsidRPr="0070045D">
        <w:rPr>
          <w:rFonts w:ascii="Book Antiqua" w:hAnsi="Book Antiqua"/>
          <w:i/>
          <w:lang w:eastAsia="zh-CN"/>
        </w:rPr>
        <w:t xml:space="preserve">World J </w:t>
      </w:r>
      <w:r w:rsidR="008F3419">
        <w:rPr>
          <w:rFonts w:ascii="Book Antiqua" w:eastAsia="SimSun" w:hAnsi="Book Antiqua" w:hint="eastAsia"/>
          <w:i/>
          <w:lang w:eastAsia="zh-CN"/>
        </w:rPr>
        <w:t>Clin Cases</w:t>
      </w:r>
      <w:r w:rsidR="008F3419" w:rsidRPr="0070045D">
        <w:rPr>
          <w:rFonts w:ascii="Book Antiqua" w:hAnsi="Book Antiqua"/>
          <w:lang w:eastAsia="zh-CN"/>
        </w:rPr>
        <w:t xml:space="preserve"> </w:t>
      </w:r>
      <w:r w:rsidR="008F3419" w:rsidRPr="0070045D">
        <w:rPr>
          <w:rFonts w:ascii="Book Antiqua" w:hAnsi="Book Antiqua" w:cs="Book Antiqua"/>
        </w:rPr>
        <w:t>2018; In press</w:t>
      </w:r>
    </w:p>
    <w:p w14:paraId="310FAFB5" w14:textId="77777777" w:rsidR="008F3419" w:rsidRDefault="008F3419">
      <w:pPr>
        <w:rPr>
          <w:rFonts w:ascii="Book Antiqua" w:hAnsi="Book Antiqua" w:cs="Times New Roman"/>
          <w:b/>
          <w:bCs/>
          <w:color w:val="000000"/>
        </w:rPr>
      </w:pPr>
      <w:r>
        <w:rPr>
          <w:rFonts w:ascii="Book Antiqua" w:hAnsi="Book Antiqua" w:cs="Times New Roman"/>
          <w:b/>
          <w:bCs/>
          <w:color w:val="000000"/>
        </w:rPr>
        <w:br w:type="page"/>
      </w:r>
    </w:p>
    <w:p w14:paraId="3C4499E4" w14:textId="2B1072C5"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lastRenderedPageBreak/>
        <w:t xml:space="preserve">INTRODUCTION </w:t>
      </w:r>
    </w:p>
    <w:p w14:paraId="2ED08A3C" w14:textId="2028BDB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color w:val="000000"/>
        </w:rPr>
        <w:t>Gastroesophageal reflux disease (GERD) is a common upper esophageal condition that affects 33% of the general population and the prevalence in the developed world is constantly rising</w:t>
      </w:r>
      <w:r w:rsidRPr="00284EAF">
        <w:rPr>
          <w:rFonts w:ascii="Book Antiqua" w:hAnsi="Book Antiqua" w:cs="Times New Roman"/>
          <w:color w:val="000000"/>
          <w:vertAlign w:val="superscript"/>
        </w:rPr>
        <w:t>[1,2]</w:t>
      </w:r>
      <w:r w:rsidRPr="00284EAF">
        <w:rPr>
          <w:rFonts w:ascii="Book Antiqua" w:hAnsi="Book Antiqua" w:cs="Times New Roman"/>
          <w:color w:val="000000"/>
        </w:rPr>
        <w:t>. GERD presents with a host of problematic esophageal and extra-esophageal symptoms contributing to wide variations in clinical practice in both the diagnosis and treatment of GERD. The economic impact of GERD per patient per year is estimated to be $3441 where proton pump inhibitor</w:t>
      </w:r>
      <w:r w:rsidR="004B4557">
        <w:rPr>
          <w:rFonts w:ascii="Book Antiqua" w:eastAsia="SimSun" w:hAnsi="Book Antiqua" w:cs="Times New Roman" w:hint="eastAsia"/>
          <w:color w:val="000000"/>
          <w:lang w:eastAsia="zh-CN"/>
        </w:rPr>
        <w:t xml:space="preserve"> (PPI)</w:t>
      </w:r>
      <w:r w:rsidRPr="00284EAF">
        <w:rPr>
          <w:rFonts w:ascii="Book Antiqua" w:hAnsi="Book Antiqua" w:cs="Times New Roman"/>
          <w:color w:val="000000"/>
        </w:rPr>
        <w:t xml:space="preserve"> therapy might be the most cost-effective strategy</w:t>
      </w:r>
      <w:r w:rsidRPr="00284EAF">
        <w:rPr>
          <w:rFonts w:ascii="Book Antiqua" w:hAnsi="Book Antiqua" w:cs="Times New Roman"/>
          <w:color w:val="000000"/>
          <w:vertAlign w:val="superscript"/>
        </w:rPr>
        <w:t>[3]</w:t>
      </w:r>
      <w:r w:rsidRPr="00284EAF">
        <w:rPr>
          <w:rFonts w:ascii="Book Antiqua" w:hAnsi="Book Antiqua" w:cs="Times New Roman"/>
          <w:color w:val="000000"/>
        </w:rPr>
        <w:t>.</w:t>
      </w:r>
    </w:p>
    <w:p w14:paraId="1153E170" w14:textId="56E79889" w:rsidR="001547C4" w:rsidRPr="00284EAF" w:rsidRDefault="001547C4" w:rsidP="000505D4">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Managing patient symptoms lies at the center of patient care according to the Institute of Health Care Improvement’s Triple Aim</w:t>
      </w:r>
      <w:r w:rsidRPr="00284EAF">
        <w:rPr>
          <w:rFonts w:ascii="Book Antiqua" w:hAnsi="Book Antiqua" w:cs="Times New Roman"/>
          <w:color w:val="000000"/>
          <w:vertAlign w:val="superscript"/>
        </w:rPr>
        <w:t>[4]</w:t>
      </w:r>
      <w:r w:rsidRPr="00284EAF">
        <w:rPr>
          <w:rFonts w:ascii="Book Antiqua" w:hAnsi="Book Antiqua" w:cs="Times New Roman"/>
          <w:color w:val="000000"/>
        </w:rPr>
        <w:t>. Similarly, the Montreal Guidelines, places core emphasis on the patient experience of “troublesome symptoms” when diagnosing and managing GERD. Hence, care of GERD goes beyond reflux reduction and should strive to incorporate patients’ goals as well as address underlying other biopsychosocial factors that influence patient symptoms. At every point in the diagnosis and management of GERD, there exist opportunities for physicians to improve care and patient outcomes. Satisfaction with treatment relies largely on meeting patient expectations and good patient-physician communication</w:t>
      </w:r>
      <w:r w:rsidRPr="00284EAF">
        <w:rPr>
          <w:rFonts w:ascii="Book Antiqua" w:hAnsi="Book Antiqua" w:cs="Times New Roman"/>
          <w:color w:val="000000"/>
          <w:vertAlign w:val="superscript"/>
        </w:rPr>
        <w:t>[5-7]</w:t>
      </w:r>
      <w:r w:rsidRPr="00284EAF">
        <w:rPr>
          <w:rFonts w:ascii="Book Antiqua" w:hAnsi="Book Antiqua" w:cs="Times New Roman"/>
          <w:color w:val="000000"/>
        </w:rPr>
        <w:t>. The purpose of this review is to present the treatment options of GERD and explore the biopsychosocial aspects of symptoms. We will address how to improve current GERD treatment through addressing physician-patient communication challenges and the opportunities offered by shared</w:t>
      </w:r>
      <w:r w:rsidR="004B4557">
        <w:rPr>
          <w:rFonts w:ascii="Book Antiqua" w:eastAsia="SimSun" w:hAnsi="Book Antiqua" w:cs="Times New Roman" w:hint="eastAsia"/>
          <w:color w:val="000000"/>
          <w:lang w:eastAsia="zh-CN"/>
        </w:rPr>
        <w:t xml:space="preserve"> </w:t>
      </w:r>
      <w:r w:rsidRPr="00284EAF">
        <w:rPr>
          <w:rFonts w:ascii="Book Antiqua" w:hAnsi="Book Antiqua" w:cs="Times New Roman"/>
          <w:color w:val="000000"/>
        </w:rPr>
        <w:t>decision making</w:t>
      </w:r>
      <w:r w:rsidR="004B4557">
        <w:rPr>
          <w:rFonts w:ascii="Book Antiqua" w:eastAsia="SimSun" w:hAnsi="Book Antiqua" w:cs="Times New Roman" w:hint="eastAsia"/>
          <w:color w:val="000000"/>
          <w:lang w:eastAsia="zh-CN"/>
        </w:rPr>
        <w:t xml:space="preserve"> (SDM)</w:t>
      </w:r>
      <w:r w:rsidRPr="00284EAF">
        <w:rPr>
          <w:rFonts w:ascii="Book Antiqua" w:hAnsi="Book Antiqua" w:cs="Times New Roman"/>
          <w:color w:val="000000"/>
        </w:rPr>
        <w:t>.</w:t>
      </w:r>
    </w:p>
    <w:p w14:paraId="59FC3DA8" w14:textId="77777777" w:rsidR="001547C4" w:rsidRPr="00284EAF" w:rsidRDefault="001547C4" w:rsidP="00284EAF">
      <w:pPr>
        <w:spacing w:line="360" w:lineRule="auto"/>
        <w:jc w:val="both"/>
        <w:rPr>
          <w:rFonts w:ascii="Book Antiqua" w:eastAsia="Times New Roman" w:hAnsi="Book Antiqua" w:cs="Times New Roman"/>
        </w:rPr>
      </w:pPr>
    </w:p>
    <w:p w14:paraId="3CD64A2C"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DEFINITION</w:t>
      </w:r>
    </w:p>
    <w:p w14:paraId="03E8424B" w14:textId="11A28764" w:rsidR="001547C4" w:rsidRPr="000505D4" w:rsidRDefault="004B4557" w:rsidP="00284EAF">
      <w:pPr>
        <w:spacing w:line="360" w:lineRule="auto"/>
        <w:jc w:val="both"/>
        <w:rPr>
          <w:rFonts w:ascii="Book Antiqua" w:eastAsia="SimSun" w:hAnsi="Book Antiqua" w:cs="Times New Roman"/>
          <w:lang w:eastAsia="zh-CN"/>
        </w:rPr>
      </w:pPr>
      <w:r>
        <w:rPr>
          <w:rFonts w:ascii="Book Antiqua" w:hAnsi="Book Antiqua" w:cs="Times New Roman"/>
          <w:color w:val="000000"/>
        </w:rPr>
        <w:t>GERD</w:t>
      </w:r>
      <w:r>
        <w:rPr>
          <w:rFonts w:ascii="Book Antiqua" w:eastAsia="SimSun" w:hAnsi="Book Antiqua" w:cs="Times New Roman" w:hint="eastAsia"/>
          <w:color w:val="000000"/>
          <w:lang w:eastAsia="zh-CN"/>
        </w:rPr>
        <w:t xml:space="preserve"> </w:t>
      </w:r>
      <w:r w:rsidR="001547C4" w:rsidRPr="00284EAF">
        <w:rPr>
          <w:rFonts w:ascii="Book Antiqua" w:hAnsi="Book Antiqua" w:cs="Times New Roman"/>
          <w:color w:val="000000"/>
        </w:rPr>
        <w:t>is defined as a group symptoms or a presence of mucosal damage caused by abnormal reflux of highly-acidic gastric content into the esophagus or beyond, including into the oral cavity or respiratory pathways</w:t>
      </w:r>
      <w:r w:rsidR="001547C4" w:rsidRPr="00284EAF">
        <w:rPr>
          <w:rFonts w:ascii="Book Antiqua" w:hAnsi="Book Antiqua" w:cs="Times New Roman"/>
          <w:color w:val="000000"/>
          <w:vertAlign w:val="superscript"/>
        </w:rPr>
        <w:t>[8]</w:t>
      </w:r>
      <w:r w:rsidR="001547C4" w:rsidRPr="00284EAF">
        <w:rPr>
          <w:rFonts w:ascii="Book Antiqua" w:hAnsi="Book Antiqua" w:cs="Times New Roman"/>
          <w:color w:val="000000"/>
        </w:rPr>
        <w:t xml:space="preserve">. The symptoms of GERD are classified as typical symptoms that include heartburn, sensation of regurgitation and atypical symptoms which are associated with chronic cough, </w:t>
      </w:r>
      <w:r w:rsidR="001547C4" w:rsidRPr="00284EAF">
        <w:rPr>
          <w:rFonts w:ascii="Book Antiqua" w:hAnsi="Book Antiqua" w:cs="Times New Roman"/>
          <w:color w:val="000000"/>
        </w:rPr>
        <w:lastRenderedPageBreak/>
        <w:t>asthma, hoarseness caused by laryngitis, dyspepsia and nausea</w:t>
      </w:r>
      <w:r w:rsidR="001547C4" w:rsidRPr="00284EAF">
        <w:rPr>
          <w:rFonts w:ascii="Book Antiqua" w:hAnsi="Book Antiqua" w:cs="Times New Roman"/>
          <w:color w:val="000000"/>
          <w:vertAlign w:val="superscript"/>
        </w:rPr>
        <w:t>[9]</w:t>
      </w:r>
      <w:r w:rsidR="001547C4" w:rsidRPr="00284EAF">
        <w:rPr>
          <w:rFonts w:ascii="Book Antiqua" w:hAnsi="Book Antiqua" w:cs="Times New Roman"/>
          <w:color w:val="000000"/>
        </w:rPr>
        <w:t>. Another group of symptoms are defined as alarm symptoms since they can be potentially associated with life-threatening conditions (chest pain/myocardial infarction, dysphagia/esophageal stricture or malignancy)</w:t>
      </w:r>
      <w:r w:rsidR="001547C4" w:rsidRPr="00284EAF">
        <w:rPr>
          <w:rFonts w:ascii="Book Antiqua" w:hAnsi="Book Antiqua" w:cs="Times New Roman"/>
          <w:color w:val="000000"/>
          <w:vertAlign w:val="superscript"/>
        </w:rPr>
        <w:t>[9,10]</w:t>
      </w:r>
      <w:r w:rsidR="001547C4" w:rsidRPr="00284EAF">
        <w:rPr>
          <w:rFonts w:ascii="Book Antiqua" w:hAnsi="Book Antiqua" w:cs="Times New Roman"/>
          <w:color w:val="000000"/>
        </w:rPr>
        <w:t xml:space="preserve">. About 70% of GERD patients have </w:t>
      </w:r>
      <w:r w:rsidR="001547C4" w:rsidRPr="00284EAF">
        <w:rPr>
          <w:rFonts w:ascii="Book Antiqua" w:hAnsi="Book Antiqua" w:cs="Times New Roman"/>
          <w:color w:val="000000"/>
          <w:shd w:val="clear" w:color="auto" w:fill="FFFFFF"/>
        </w:rPr>
        <w:t>non-</w:t>
      </w:r>
      <w:r w:rsidR="000505D4">
        <w:rPr>
          <w:rFonts w:ascii="Book Antiqua" w:hAnsi="Book Antiqua" w:cs="Times New Roman"/>
          <w:color w:val="000000"/>
          <w:shd w:val="clear" w:color="auto" w:fill="FFFFFF"/>
        </w:rPr>
        <w:t xml:space="preserve">erosive reflux disease (NERD). </w:t>
      </w:r>
      <w:r w:rsidR="001547C4" w:rsidRPr="00284EAF">
        <w:rPr>
          <w:rFonts w:ascii="Book Antiqua" w:hAnsi="Book Antiqua" w:cs="Times New Roman"/>
          <w:color w:val="000000"/>
          <w:shd w:val="clear" w:color="auto" w:fill="FFFFFF"/>
        </w:rPr>
        <w:t>These patients report symptoms related to acid exposure, but do not have mucosal damage</w:t>
      </w:r>
      <w:r w:rsidR="001547C4" w:rsidRPr="00284EAF">
        <w:rPr>
          <w:rFonts w:ascii="Book Antiqua" w:hAnsi="Book Antiqua" w:cs="Times New Roman"/>
          <w:color w:val="000000"/>
          <w:shd w:val="clear" w:color="auto" w:fill="FFFFFF"/>
          <w:vertAlign w:val="superscript"/>
        </w:rPr>
        <w:t>[11]</w:t>
      </w:r>
      <w:r w:rsidR="001547C4" w:rsidRPr="00284EAF">
        <w:rPr>
          <w:rFonts w:ascii="Book Antiqua" w:hAnsi="Book Antiqua" w:cs="Times New Roman"/>
          <w:color w:val="000000"/>
          <w:shd w:val="clear" w:color="auto" w:fill="FFFFFF"/>
        </w:rPr>
        <w:t>.</w:t>
      </w:r>
      <w:r w:rsidR="001547C4" w:rsidRPr="00284EAF">
        <w:rPr>
          <w:rFonts w:ascii="Book Antiqua" w:hAnsi="Book Antiqua" w:cs="Times New Roman"/>
          <w:color w:val="000000"/>
        </w:rPr>
        <w:t xml:space="preserve"> Untreated and chronic GERD may lead to serious complications including peptic stricture, Barrett’s esophagus and esophageal adenocarcinoma</w:t>
      </w:r>
      <w:r w:rsidR="001547C4" w:rsidRPr="00284EAF">
        <w:rPr>
          <w:rFonts w:ascii="Book Antiqua" w:hAnsi="Book Antiqua" w:cs="Times New Roman"/>
          <w:color w:val="000000"/>
          <w:vertAlign w:val="superscript"/>
        </w:rPr>
        <w:t>[12]</w:t>
      </w:r>
      <w:r w:rsidR="000505D4">
        <w:rPr>
          <w:rFonts w:ascii="Book Antiqua" w:hAnsi="Book Antiqua" w:cs="Times New Roman"/>
          <w:color w:val="000000"/>
        </w:rPr>
        <w:t>.</w:t>
      </w:r>
    </w:p>
    <w:p w14:paraId="0043F597" w14:textId="77777777" w:rsidR="001547C4" w:rsidRPr="00284EAF" w:rsidRDefault="001547C4" w:rsidP="00284EAF">
      <w:pPr>
        <w:spacing w:line="360" w:lineRule="auto"/>
        <w:jc w:val="both"/>
        <w:rPr>
          <w:rFonts w:ascii="Book Antiqua" w:eastAsia="Times New Roman" w:hAnsi="Book Antiqua" w:cs="Times New Roman"/>
        </w:rPr>
      </w:pPr>
    </w:p>
    <w:p w14:paraId="4A315A20"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DIAGNOSIS OF GERD</w:t>
      </w:r>
    </w:p>
    <w:p w14:paraId="625B6746" w14:textId="755725DA" w:rsidR="001547C4" w:rsidRPr="000505D4" w:rsidRDefault="001547C4" w:rsidP="00284EAF">
      <w:pPr>
        <w:spacing w:line="360" w:lineRule="auto"/>
        <w:jc w:val="both"/>
        <w:rPr>
          <w:rFonts w:ascii="Book Antiqua" w:eastAsia="SimSun" w:hAnsi="Book Antiqua" w:cs="Times New Roman"/>
          <w:lang w:eastAsia="zh-CN"/>
        </w:rPr>
      </w:pPr>
      <w:r w:rsidRPr="00284EAF">
        <w:rPr>
          <w:rFonts w:ascii="Book Antiqua" w:hAnsi="Book Antiqua" w:cs="Times New Roman"/>
          <w:color w:val="000000"/>
        </w:rPr>
        <w:t>In most cases the diagnosis is presumptive. The accurate diagnosis of GERD relies on the careful questioning of the patient by the provider. Many patients do not report their symptoms of GERD and receive no treatment</w:t>
      </w:r>
      <w:r w:rsidRPr="00284EAF">
        <w:rPr>
          <w:rFonts w:ascii="Book Antiqua" w:hAnsi="Book Antiqua" w:cs="Times New Roman"/>
          <w:color w:val="000000"/>
          <w:vertAlign w:val="superscript"/>
        </w:rPr>
        <w:t>[15]</w:t>
      </w:r>
      <w:r w:rsidRPr="00284EAF">
        <w:rPr>
          <w:rFonts w:ascii="Book Antiqua" w:hAnsi="Book Antiqua" w:cs="Times New Roman"/>
          <w:color w:val="000000"/>
        </w:rPr>
        <w:t>. Facilitating effective communication between patient and provider at the beginning of treatment has been shown to improve patient experience and satisfaction. The presence of typical and atypical symptoms and the absence of alarm symptoms is considered an indication for empiric therapy</w:t>
      </w:r>
      <w:r w:rsidRPr="00284EAF">
        <w:rPr>
          <w:rFonts w:ascii="Book Antiqua" w:hAnsi="Book Antiqua" w:cs="Times New Roman"/>
          <w:color w:val="000000"/>
          <w:vertAlign w:val="superscript"/>
        </w:rPr>
        <w:t>[13]</w:t>
      </w:r>
      <w:r w:rsidRPr="00284EAF">
        <w:rPr>
          <w:rFonts w:ascii="Book Antiqua" w:hAnsi="Book Antiqua" w:cs="Times New Roman"/>
          <w:color w:val="000000"/>
        </w:rPr>
        <w:t xml:space="preserve">. A positive response to </w:t>
      </w:r>
      <w:r w:rsidR="004B4557">
        <w:rPr>
          <w:rFonts w:ascii="Book Antiqua" w:eastAsia="SimSun" w:hAnsi="Book Antiqua" w:cs="Times New Roman" w:hint="eastAsia"/>
          <w:color w:val="000000"/>
          <w:lang w:eastAsia="zh-CN"/>
        </w:rPr>
        <w:t>PPI</w:t>
      </w:r>
      <w:r w:rsidRPr="00284EAF">
        <w:rPr>
          <w:rFonts w:ascii="Book Antiqua" w:hAnsi="Book Antiqua" w:cs="Times New Roman"/>
          <w:color w:val="000000"/>
        </w:rPr>
        <w:t xml:space="preserve"> therapy is used as a conformation of initial GERD diagnosis</w:t>
      </w:r>
      <w:r w:rsidRPr="00284EAF">
        <w:rPr>
          <w:rFonts w:ascii="Book Antiqua" w:hAnsi="Book Antiqua" w:cs="Times New Roman"/>
          <w:color w:val="000000"/>
          <w:vertAlign w:val="superscript"/>
        </w:rPr>
        <w:t>[14]</w:t>
      </w:r>
      <w:r w:rsidRPr="00284EAF">
        <w:rPr>
          <w:rFonts w:ascii="Book Antiqua" w:hAnsi="Book Antiqua" w:cs="Times New Roman"/>
          <w:color w:val="000000"/>
        </w:rPr>
        <w:t>. This approach to diagnosis of GERD has a high specificity with low sensitivity. Counterintuitively, studies have demonstrated that patients are consciously aware of only 2 to 3 percent of acid reflux events</w:t>
      </w:r>
      <w:r w:rsidRPr="00284EAF">
        <w:rPr>
          <w:rFonts w:ascii="Book Antiqua" w:hAnsi="Book Antiqua" w:cs="Times New Roman"/>
          <w:color w:val="000000"/>
          <w:vertAlign w:val="superscript"/>
        </w:rPr>
        <w:t>[15]</w:t>
      </w:r>
      <w:r w:rsidRPr="00284EAF">
        <w:rPr>
          <w:rFonts w:ascii="Book Antiqua" w:hAnsi="Book Antiqua" w:cs="Times New Roman"/>
          <w:color w:val="000000"/>
        </w:rPr>
        <w:t>. Additionally, many patients present with atypical symptoms that are not used as clear markers for diagnosis</w:t>
      </w:r>
      <w:r w:rsidRPr="00284EAF">
        <w:rPr>
          <w:rFonts w:ascii="Book Antiqua" w:hAnsi="Book Antiqua" w:cs="Times New Roman"/>
          <w:color w:val="000000"/>
          <w:vertAlign w:val="superscript"/>
        </w:rPr>
        <w:t>[15]</w:t>
      </w:r>
      <w:r w:rsidRPr="00284EAF">
        <w:rPr>
          <w:rFonts w:ascii="Book Antiqua" w:hAnsi="Book Antiqua" w:cs="Times New Roman"/>
          <w:color w:val="000000"/>
        </w:rPr>
        <w:t xml:space="preserve">. The frequent lack of clinical correlation between the patient’s perception of typical symptoms and episodes of reflux points to the complex nature of GERD symptom production which will be explored in detail in later sections. The older proactive testing with barium contrast radiography has fallen out of favor due to low sensitivity and specificity. The most reliable method of diagnosis remains direct visualization and identification of esophageal injury obtained by endoscopy of the upper GI tract including tissue biopsy demonstrating mucosal </w:t>
      </w:r>
      <w:r w:rsidRPr="00284EAF">
        <w:rPr>
          <w:rFonts w:ascii="Book Antiqua" w:hAnsi="Book Antiqua" w:cs="Times New Roman"/>
          <w:color w:val="000000"/>
        </w:rPr>
        <w:lastRenderedPageBreak/>
        <w:t>damage</w:t>
      </w:r>
      <w:r w:rsidRPr="00284EAF">
        <w:rPr>
          <w:rFonts w:ascii="Book Antiqua" w:hAnsi="Book Antiqua" w:cs="Times New Roman"/>
          <w:color w:val="000000"/>
          <w:vertAlign w:val="superscript"/>
        </w:rPr>
        <w:t>[8,16]</w:t>
      </w:r>
      <w:r w:rsidRPr="00284EAF">
        <w:rPr>
          <w:rFonts w:ascii="Book Antiqua" w:hAnsi="Book Antiqua" w:cs="Times New Roman"/>
          <w:color w:val="000000"/>
        </w:rPr>
        <w:t>. This diagnostic method is not, however, bulletproof. Most patients with typical symptoms of GERD do not present with abnormal findings on the upper gastrointestinal endoscopy exam. The upper GI endoscopy is usually reserved for evaluation of GERD-associated complications and placement of wireless pH probes. Wireless pH probes are used in ambulatory 24-h pH monitoring allowing direct measurement of esophageal exposure to gastric acid. This diagnostic method can be used to quantify a reflux frequency and provide information on the association between the timing of symptoms and actual reflux episodes</w:t>
      </w:r>
      <w:r w:rsidRPr="00284EAF">
        <w:rPr>
          <w:rFonts w:ascii="Book Antiqua" w:hAnsi="Book Antiqua" w:cs="Times New Roman"/>
          <w:color w:val="000000"/>
          <w:vertAlign w:val="superscript"/>
        </w:rPr>
        <w:t>[8]</w:t>
      </w:r>
      <w:r w:rsidRPr="00284EAF">
        <w:rPr>
          <w:rFonts w:ascii="Book Antiqua" w:hAnsi="Book Antiqua" w:cs="Times New Roman"/>
          <w:color w:val="000000"/>
        </w:rPr>
        <w:t>. The widespread use of 24-h pH probes has led to the identification of a subset of patients with typical GERD symptoms who do not respond to PPI’s. These PPI-refractory symptoms have been shown, with the use of pH-impedance testing, to be related to continued episodes of reflux</w:t>
      </w:r>
      <w:r w:rsidRPr="00284EAF">
        <w:rPr>
          <w:rFonts w:ascii="Book Antiqua" w:hAnsi="Book Antiqua" w:cs="Times New Roman"/>
          <w:color w:val="000000"/>
          <w:vertAlign w:val="superscript"/>
        </w:rPr>
        <w:t>[47]</w:t>
      </w:r>
      <w:r w:rsidRPr="00284EAF">
        <w:rPr>
          <w:rFonts w:ascii="Book Antiqua" w:hAnsi="Book Antiqua" w:cs="Times New Roman"/>
          <w:color w:val="000000"/>
        </w:rPr>
        <w:t>. This testing method has also demonstrated that only 5</w:t>
      </w:r>
      <w:r w:rsidR="000505D4">
        <w:rPr>
          <w:rFonts w:ascii="Book Antiqua" w:eastAsia="SimSun" w:hAnsi="Book Antiqua" w:cs="Times New Roman" w:hint="eastAsia"/>
          <w:color w:val="000000"/>
          <w:lang w:eastAsia="zh-CN"/>
        </w:rPr>
        <w:t>%</w:t>
      </w:r>
      <w:r w:rsidRPr="00284EAF">
        <w:rPr>
          <w:rFonts w:ascii="Book Antiqua" w:hAnsi="Book Antiqua" w:cs="Times New Roman"/>
          <w:color w:val="000000"/>
        </w:rPr>
        <w:t>-15% of reflux events correspond to patient symptoms</w:t>
      </w:r>
      <w:r w:rsidRPr="00284EAF">
        <w:rPr>
          <w:rFonts w:ascii="Book Antiqua" w:hAnsi="Book Antiqua" w:cs="Times New Roman"/>
          <w:color w:val="000000"/>
          <w:vertAlign w:val="superscript"/>
        </w:rPr>
        <w:t>[47]</w:t>
      </w:r>
      <w:r w:rsidRPr="00284EAF">
        <w:rPr>
          <w:rFonts w:ascii="Book Antiqua" w:hAnsi="Book Antiqua" w:cs="Times New Roman"/>
          <w:color w:val="000000"/>
        </w:rPr>
        <w:t>. One advantage of this diagnostic procedure is that it is associated with very little discomfort to patients allowing them to resume their normal lives during the testing period</w:t>
      </w:r>
      <w:r w:rsidRPr="00284EAF">
        <w:rPr>
          <w:rFonts w:ascii="Book Antiqua" w:hAnsi="Book Antiqua" w:cs="Times New Roman"/>
          <w:color w:val="000000"/>
          <w:vertAlign w:val="superscript"/>
        </w:rPr>
        <w:t>[17-19]</w:t>
      </w:r>
      <w:r w:rsidRPr="00284EAF">
        <w:rPr>
          <w:rFonts w:ascii="Book Antiqua" w:hAnsi="Book Antiqua" w:cs="Times New Roman"/>
          <w:color w:val="000000"/>
        </w:rPr>
        <w:t>. The most common complication associated with this method are poor data reception, dysphagia, increased number of reflux episodes, early capsule detachment and failure of scheduled detachment</w:t>
      </w:r>
      <w:r w:rsidRPr="00284EAF">
        <w:rPr>
          <w:rFonts w:ascii="Book Antiqua" w:hAnsi="Book Antiqua" w:cs="Times New Roman"/>
          <w:color w:val="000000"/>
          <w:vertAlign w:val="superscript"/>
        </w:rPr>
        <w:t>[20]</w:t>
      </w:r>
      <w:r w:rsidRPr="00284EAF">
        <w:rPr>
          <w:rFonts w:ascii="Book Antiqua" w:hAnsi="Book Antiqua" w:cs="Times New Roman"/>
          <w:color w:val="000000"/>
        </w:rPr>
        <w:t>. The more traditional method of ambulatory esophageal acid monitoring is through the placement of transnasal catheter with pH sensor capability. The method is shown to be a very accurate, however, its utilization is hindered by patient discomfort and limitation of daily activity</w:t>
      </w:r>
      <w:r w:rsidRPr="00284EAF">
        <w:rPr>
          <w:rFonts w:ascii="Book Antiqua" w:hAnsi="Book Antiqua" w:cs="Times New Roman"/>
          <w:color w:val="000000"/>
          <w:vertAlign w:val="superscript"/>
        </w:rPr>
        <w:t>[21]</w:t>
      </w:r>
      <w:r w:rsidR="000505D4">
        <w:rPr>
          <w:rFonts w:ascii="Book Antiqua" w:hAnsi="Book Antiqua" w:cs="Times New Roman"/>
          <w:color w:val="000000"/>
        </w:rPr>
        <w:t>.</w:t>
      </w:r>
    </w:p>
    <w:p w14:paraId="6795D500" w14:textId="77777777" w:rsidR="001547C4" w:rsidRPr="00284EAF" w:rsidRDefault="001547C4" w:rsidP="00284EAF">
      <w:pPr>
        <w:spacing w:line="360" w:lineRule="auto"/>
        <w:jc w:val="both"/>
        <w:rPr>
          <w:rFonts w:ascii="Book Antiqua" w:eastAsia="Times New Roman" w:hAnsi="Book Antiqua" w:cs="Times New Roman"/>
        </w:rPr>
      </w:pPr>
    </w:p>
    <w:p w14:paraId="7A194267" w14:textId="52EC7C95" w:rsidR="001547C4" w:rsidRPr="000505D4" w:rsidRDefault="000505D4" w:rsidP="00284EAF">
      <w:pPr>
        <w:spacing w:line="360" w:lineRule="auto"/>
        <w:jc w:val="both"/>
        <w:rPr>
          <w:rFonts w:ascii="Book Antiqua" w:eastAsia="SimSun" w:hAnsi="Book Antiqua" w:cs="Times New Roman"/>
          <w:lang w:eastAsia="zh-CN"/>
        </w:rPr>
      </w:pPr>
      <w:r>
        <w:rPr>
          <w:rFonts w:ascii="Book Antiqua" w:hAnsi="Book Antiqua" w:cs="Times New Roman"/>
          <w:b/>
          <w:bCs/>
          <w:color w:val="000000"/>
        </w:rPr>
        <w:t>THERAPY</w:t>
      </w:r>
    </w:p>
    <w:p w14:paraId="36156EB7" w14:textId="26E6FC3F" w:rsidR="001547C4" w:rsidRPr="000505D4" w:rsidRDefault="001547C4" w:rsidP="00284EAF">
      <w:pPr>
        <w:spacing w:line="360" w:lineRule="auto"/>
        <w:jc w:val="both"/>
        <w:rPr>
          <w:rFonts w:ascii="Book Antiqua" w:eastAsia="SimSun" w:hAnsi="Book Antiqua" w:cs="Times New Roman"/>
          <w:lang w:eastAsia="zh-CN"/>
        </w:rPr>
      </w:pPr>
      <w:r w:rsidRPr="00284EAF">
        <w:rPr>
          <w:rFonts w:ascii="Book Antiqua" w:hAnsi="Book Antiqua" w:cs="Times New Roman"/>
          <w:color w:val="000000"/>
        </w:rPr>
        <w:t>The initial treatment of GERD should include lifestyle modifications with education about the factors precipitating physiological and pathological reflux</w:t>
      </w:r>
      <w:r w:rsidRPr="00284EAF">
        <w:rPr>
          <w:rFonts w:ascii="Book Antiqua" w:hAnsi="Book Antiqua" w:cs="Times New Roman"/>
          <w:color w:val="000000"/>
          <w:vertAlign w:val="superscript"/>
        </w:rPr>
        <w:t>[22,23]</w:t>
      </w:r>
      <w:r w:rsidRPr="00284EAF">
        <w:rPr>
          <w:rFonts w:ascii="Book Antiqua" w:hAnsi="Book Antiqua" w:cs="Times New Roman"/>
          <w:color w:val="000000"/>
        </w:rPr>
        <w:t xml:space="preserve">. This includes advice on diet, alcohol and tobacco use, sleep position and weight loss. Although many patients are advised to avoid certain foods, there is little evidence this is helpful. Rather losing weight, stopping smoking, </w:t>
      </w:r>
      <w:r w:rsidRPr="00284EAF">
        <w:rPr>
          <w:rFonts w:ascii="Book Antiqua" w:hAnsi="Book Antiqua" w:cs="Times New Roman"/>
          <w:color w:val="000000"/>
        </w:rPr>
        <w:lastRenderedPageBreak/>
        <w:t>elevating the bed headrest and avoiding late evening meals can substantially reduce symptoms</w:t>
      </w:r>
      <w:r w:rsidRPr="00284EAF">
        <w:rPr>
          <w:rFonts w:ascii="Book Antiqua" w:hAnsi="Book Antiqua" w:cs="Times New Roman"/>
          <w:color w:val="000000"/>
          <w:vertAlign w:val="superscript"/>
        </w:rPr>
        <w:t>[24]</w:t>
      </w:r>
      <w:r w:rsidR="000505D4">
        <w:rPr>
          <w:rFonts w:ascii="Book Antiqua" w:hAnsi="Book Antiqua" w:cs="Times New Roman"/>
          <w:color w:val="000000"/>
        </w:rPr>
        <w:t>.</w:t>
      </w:r>
    </w:p>
    <w:p w14:paraId="6F4541B6" w14:textId="4A08FCBD" w:rsidR="001547C4" w:rsidRPr="000505D4" w:rsidRDefault="001547C4" w:rsidP="000505D4">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 xml:space="preserve">The next step in treatment of GERD is initiation of acid suppression therapy. Several classes of medications are used for acid suppression: antacids, histamine-receptor antagonists and </w:t>
      </w:r>
      <w:r w:rsidR="004B4557">
        <w:rPr>
          <w:rFonts w:ascii="Book Antiqua" w:eastAsia="SimSun" w:hAnsi="Book Antiqua" w:cs="Times New Roman" w:hint="eastAsia"/>
          <w:color w:val="000000"/>
          <w:lang w:eastAsia="zh-CN"/>
        </w:rPr>
        <w:t>PPI</w:t>
      </w:r>
      <w:r w:rsidRPr="00284EAF">
        <w:rPr>
          <w:rFonts w:ascii="Book Antiqua" w:hAnsi="Book Antiqua" w:cs="Times New Roman"/>
          <w:color w:val="000000"/>
        </w:rPr>
        <w:t xml:space="preserve">s. The </w:t>
      </w:r>
      <w:r w:rsidR="004B4557">
        <w:rPr>
          <w:rFonts w:ascii="Book Antiqua" w:hAnsi="Book Antiqua" w:cs="Times New Roman"/>
          <w:color w:val="000000"/>
        </w:rPr>
        <w:t>PPIs</w:t>
      </w:r>
      <w:r w:rsidRPr="00284EAF">
        <w:rPr>
          <w:rFonts w:ascii="Book Antiqua" w:hAnsi="Book Antiqua" w:cs="Times New Roman"/>
          <w:color w:val="000000"/>
        </w:rPr>
        <w:t xml:space="preserve"> are the preferred medication for treatment of GERD. They have been shown to be a highly effective tool against injuries associated with erosive gastritis and their effect is achieved much faster than other medication alternatives</w:t>
      </w:r>
      <w:r w:rsidRPr="00284EAF">
        <w:rPr>
          <w:rFonts w:ascii="Book Antiqua" w:hAnsi="Book Antiqua" w:cs="Times New Roman"/>
          <w:color w:val="000000"/>
          <w:vertAlign w:val="superscript"/>
        </w:rPr>
        <w:t>[25]</w:t>
      </w:r>
      <w:r w:rsidRPr="00284EAF">
        <w:rPr>
          <w:rFonts w:ascii="Book Antiqua" w:hAnsi="Book Antiqua" w:cs="Times New Roman"/>
          <w:color w:val="000000"/>
        </w:rPr>
        <w:t xml:space="preserve">. Proven effectiveness and wide popularity of PPIs has resulted in FDA approval of over-the-counter sale </w:t>
      </w:r>
      <w:r w:rsidR="000505D4">
        <w:rPr>
          <w:rFonts w:ascii="Book Antiqua" w:hAnsi="Book Antiqua" w:cs="Times New Roman"/>
          <w:color w:val="000000"/>
        </w:rPr>
        <w:t>of this group of medications.</w:t>
      </w:r>
    </w:p>
    <w:p w14:paraId="4EF6DE26" w14:textId="55D4C623" w:rsidR="001547C4" w:rsidRPr="00284EAF" w:rsidRDefault="001547C4" w:rsidP="000505D4">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Surgical therapy is usually reserved for patients who do not respond well to acid suppression medication, patients who prefer surgical approach, and patients who present with complications due to GERD</w:t>
      </w:r>
      <w:r w:rsidRPr="00284EAF">
        <w:rPr>
          <w:rFonts w:ascii="Book Antiqua" w:hAnsi="Book Antiqua" w:cs="Times New Roman"/>
          <w:color w:val="000000"/>
          <w:vertAlign w:val="superscript"/>
        </w:rPr>
        <w:t>[15]</w:t>
      </w:r>
      <w:r w:rsidRPr="00284EAF">
        <w:rPr>
          <w:rFonts w:ascii="Book Antiqua" w:hAnsi="Book Antiqua" w:cs="Times New Roman"/>
          <w:color w:val="000000"/>
        </w:rPr>
        <w:t>. Prior to recommending surgery, it needs to be established heartburn is due to GERD and not another reason. The majority of these patients undergo Nissen fundoplication, however, several alternative techniques such as endoscopic radiofrequency energy delivery technique and minimally invasive surgical procedures have also been used</w:t>
      </w:r>
      <w:r w:rsidRPr="00284EAF">
        <w:rPr>
          <w:rFonts w:ascii="Book Antiqua" w:hAnsi="Book Antiqua" w:cs="Times New Roman"/>
          <w:color w:val="000000"/>
          <w:vertAlign w:val="superscript"/>
        </w:rPr>
        <w:t>[26]</w:t>
      </w:r>
      <w:r w:rsidRPr="00284EAF">
        <w:rPr>
          <w:rFonts w:ascii="Book Antiqua" w:hAnsi="Book Antiqua" w:cs="Times New Roman"/>
          <w:color w:val="000000"/>
        </w:rPr>
        <w:t>. Long-term complications of these surgical procedures include bloating and gas-bloat syndrome, dysphagia, diarrhea, recurrent heartburn and recurrent atypical symptoms</w:t>
      </w:r>
      <w:r w:rsidRPr="00284EAF">
        <w:rPr>
          <w:rFonts w:ascii="Book Antiqua" w:hAnsi="Book Antiqua" w:cs="Times New Roman"/>
          <w:color w:val="000000"/>
          <w:vertAlign w:val="superscript"/>
        </w:rPr>
        <w:t>[27]</w:t>
      </w:r>
      <w:r w:rsidRPr="00284EAF">
        <w:rPr>
          <w:rFonts w:ascii="Book Antiqua" w:hAnsi="Book Antiqua" w:cs="Times New Roman"/>
          <w:color w:val="000000"/>
        </w:rPr>
        <w:t>. Bariatric surgery for weight loss has been evaluated for its effect on GERD. Evidence shows improvement of GERD symptoms, mostly due to weight loss, although some patients develop GERD symptoms after surgery</w:t>
      </w:r>
      <w:r w:rsidRPr="00284EAF">
        <w:rPr>
          <w:rFonts w:ascii="Book Antiqua" w:hAnsi="Book Antiqua" w:cs="Times New Roman"/>
          <w:color w:val="000000"/>
          <w:vertAlign w:val="superscript"/>
        </w:rPr>
        <w:t>[28,29]</w:t>
      </w:r>
      <w:r w:rsidRPr="00284EAF">
        <w:rPr>
          <w:rFonts w:ascii="Book Antiqua" w:hAnsi="Book Antiqua" w:cs="Times New Roman"/>
          <w:color w:val="000000"/>
        </w:rPr>
        <w:t>.</w:t>
      </w:r>
    </w:p>
    <w:p w14:paraId="6FB53B88" w14:textId="1D39DB02" w:rsidR="001547C4" w:rsidRPr="00284EAF" w:rsidRDefault="001547C4" w:rsidP="000505D4">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The majority of patients will not require surgery. Acid suppression such as PPIs remains the most common treatment for GERD. However, emerging studies indicate a presence of side effects with long-term use of these drugs. The chronic usage of PPIs has been associated with malabsorption of calcium, magnesium and Vitamin B</w:t>
      </w:r>
      <w:r w:rsidRPr="00284EAF">
        <w:rPr>
          <w:rFonts w:ascii="Book Antiqua" w:hAnsi="Book Antiqua" w:cs="Times New Roman"/>
          <w:color w:val="000000"/>
          <w:vertAlign w:val="subscript"/>
        </w:rPr>
        <w:t>12</w:t>
      </w:r>
      <w:r w:rsidRPr="00284EAF">
        <w:rPr>
          <w:rFonts w:ascii="Book Antiqua" w:hAnsi="Book Antiqua" w:cs="Times New Roman"/>
          <w:color w:val="000000"/>
        </w:rPr>
        <w:t xml:space="preserve"> which can ultimately lead to an increased risk for bone fractures</w:t>
      </w:r>
      <w:r w:rsidRPr="00284EAF">
        <w:rPr>
          <w:rFonts w:ascii="Book Antiqua" w:hAnsi="Book Antiqua" w:cs="Times New Roman"/>
          <w:color w:val="000000"/>
          <w:vertAlign w:val="superscript"/>
        </w:rPr>
        <w:t>[30,31]</w:t>
      </w:r>
      <w:r w:rsidRPr="00284EAF">
        <w:rPr>
          <w:rFonts w:ascii="Book Antiqua" w:hAnsi="Book Antiqua" w:cs="Times New Roman"/>
          <w:color w:val="000000"/>
        </w:rPr>
        <w:t xml:space="preserve">. Various studies have also indicated a potential link between PPI </w:t>
      </w:r>
      <w:r w:rsidRPr="00284EAF">
        <w:rPr>
          <w:rFonts w:ascii="Book Antiqua" w:hAnsi="Book Antiqua" w:cs="Times New Roman"/>
          <w:color w:val="000000"/>
        </w:rPr>
        <w:lastRenderedPageBreak/>
        <w:t>use and increased incidence of community acquired pneumonia</w:t>
      </w:r>
      <w:r w:rsidRPr="00284EAF">
        <w:rPr>
          <w:rFonts w:ascii="Book Antiqua" w:hAnsi="Book Antiqua" w:cs="Times New Roman"/>
          <w:color w:val="000000"/>
          <w:vertAlign w:val="superscript"/>
        </w:rPr>
        <w:t>[32]</w:t>
      </w:r>
      <w:r w:rsidR="000505D4">
        <w:rPr>
          <w:rFonts w:ascii="Book Antiqua" w:hAnsi="Book Antiqua" w:cs="Times New Roman"/>
          <w:color w:val="000000"/>
        </w:rPr>
        <w:t xml:space="preserve"> and </w:t>
      </w:r>
      <w:r w:rsidRPr="00284EAF">
        <w:rPr>
          <w:rFonts w:ascii="Book Antiqua" w:hAnsi="Book Antiqua" w:cs="Times New Roman"/>
          <w:color w:val="000000"/>
        </w:rPr>
        <w:t>enteric infections</w:t>
      </w:r>
      <w:r w:rsidRPr="00284EAF">
        <w:rPr>
          <w:rFonts w:ascii="Book Antiqua" w:hAnsi="Book Antiqua" w:cs="Times New Roman"/>
          <w:color w:val="000000"/>
          <w:vertAlign w:val="superscript"/>
        </w:rPr>
        <w:t>[33,34]</w:t>
      </w:r>
      <w:r w:rsidRPr="00284EAF">
        <w:rPr>
          <w:rFonts w:ascii="Book Antiqua" w:hAnsi="Book Antiqua" w:cs="Times New Roman"/>
          <w:color w:val="000000"/>
        </w:rPr>
        <w:t>. PPIs are also found to interact with cytochrome P450 isozyme 2C19 which can result in interference with metabolism of other co-administered drugs (clopidogrel) prompting an FDA warning</w:t>
      </w:r>
      <w:r w:rsidRPr="00284EAF">
        <w:rPr>
          <w:rFonts w:ascii="Book Antiqua" w:hAnsi="Book Antiqua" w:cs="Times New Roman"/>
          <w:color w:val="000000"/>
          <w:vertAlign w:val="superscript"/>
        </w:rPr>
        <w:t>[32]</w:t>
      </w:r>
      <w:r w:rsidRPr="00284EAF">
        <w:rPr>
          <w:rFonts w:ascii="Book Antiqua" w:hAnsi="Book Antiqua" w:cs="Times New Roman"/>
          <w:color w:val="000000"/>
        </w:rPr>
        <w:t>. Recent studies have found increased risk of chronic kidney disease with PPI use</w:t>
      </w:r>
      <w:r w:rsidRPr="00284EAF">
        <w:rPr>
          <w:rFonts w:ascii="Book Antiqua" w:hAnsi="Book Antiqua" w:cs="Times New Roman"/>
          <w:color w:val="000000"/>
          <w:vertAlign w:val="superscript"/>
        </w:rPr>
        <w:t>[35-40]</w:t>
      </w:r>
      <w:r w:rsidRPr="00284EAF">
        <w:rPr>
          <w:rFonts w:ascii="Book Antiqua" w:hAnsi="Book Antiqua" w:cs="Times New Roman"/>
          <w:color w:val="000000"/>
        </w:rPr>
        <w:t>. Finally, a Nationwide study in Denmark found an association between PPI use and microscopic colitis</w:t>
      </w:r>
      <w:r w:rsidRPr="00284EAF">
        <w:rPr>
          <w:rFonts w:ascii="Book Antiqua" w:hAnsi="Book Antiqua" w:cs="Times New Roman"/>
          <w:color w:val="000000"/>
          <w:vertAlign w:val="superscript"/>
        </w:rPr>
        <w:t>[41]</w:t>
      </w:r>
      <w:r w:rsidRPr="00284EAF">
        <w:rPr>
          <w:rFonts w:ascii="Book Antiqua" w:hAnsi="Book Antiqua" w:cs="Times New Roman"/>
          <w:color w:val="000000"/>
        </w:rPr>
        <w:t>. Hence, use of these medications, especially over the long-term, may need to be weighed against their potential risk of side effects. Patients who have a positive response to PPI therapy can be reluctant to taper off and stop treatment.</w:t>
      </w:r>
    </w:p>
    <w:p w14:paraId="16B9C78C" w14:textId="6554CF4C" w:rsidR="001547C4" w:rsidRPr="00284EAF" w:rsidRDefault="001547C4" w:rsidP="000505D4">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Limiting unnecessary PPI exposure should therefore a treatment goal to reduce risk of the abo</w:t>
      </w:r>
      <w:r w:rsidR="00760F91">
        <w:rPr>
          <w:rFonts w:ascii="Book Antiqua" w:hAnsi="Book Antiqua" w:cs="Times New Roman"/>
          <w:color w:val="000000"/>
        </w:rPr>
        <w:t xml:space="preserve">ve mentioned side effects. </w:t>
      </w:r>
      <w:r w:rsidRPr="00284EAF">
        <w:rPr>
          <w:rFonts w:ascii="Book Antiqua" w:hAnsi="Book Antiqua" w:cs="Times New Roman"/>
          <w:color w:val="000000"/>
        </w:rPr>
        <w:t>In observational primary care and community-based studies, 45% of participant reported persistent, troublesome heartburn symptoms despite PPI therapy</w:t>
      </w:r>
      <w:r w:rsidRPr="00284EAF">
        <w:rPr>
          <w:rFonts w:ascii="Book Antiqua" w:hAnsi="Book Antiqua" w:cs="Times New Roman"/>
          <w:color w:val="000000"/>
          <w:vertAlign w:val="superscript"/>
        </w:rPr>
        <w:t>[2]</w:t>
      </w:r>
      <w:r w:rsidRPr="00284EAF">
        <w:rPr>
          <w:rFonts w:ascii="Book Antiqua" w:hAnsi="Book Antiqua" w:cs="Times New Roman"/>
          <w:color w:val="000000"/>
        </w:rPr>
        <w:t>. One study noted that 42% of PPI non-responders remained on a PPI with no clinical benefit even after showing they had no acid reflux</w:t>
      </w:r>
      <w:r w:rsidRPr="00284EAF">
        <w:rPr>
          <w:rFonts w:ascii="Book Antiqua" w:hAnsi="Book Antiqua" w:cs="Times New Roman"/>
          <w:color w:val="000000"/>
          <w:vertAlign w:val="superscript"/>
        </w:rPr>
        <w:t>[42]</w:t>
      </w:r>
      <w:r w:rsidRPr="00284EAF">
        <w:rPr>
          <w:rFonts w:ascii="Book Antiqua" w:hAnsi="Book Antiqua" w:cs="Times New Roman"/>
          <w:color w:val="000000"/>
        </w:rPr>
        <w:t>. Up to 50% patients with GERD symptoms do not respond to a double-dose</w:t>
      </w:r>
      <w:r w:rsidRPr="00284EAF">
        <w:rPr>
          <w:rFonts w:ascii="Book Antiqua" w:hAnsi="Book Antiqua" w:cs="Times New Roman"/>
          <w:color w:val="000000"/>
          <w:vertAlign w:val="superscript"/>
        </w:rPr>
        <w:t>[16,43]</w:t>
      </w:r>
      <w:r w:rsidRPr="00284EAF">
        <w:rPr>
          <w:rFonts w:ascii="Book Antiqua" w:hAnsi="Book Antiqua" w:cs="Times New Roman"/>
          <w:color w:val="000000"/>
        </w:rPr>
        <w:t>. These numbers suggest that many patients are taking PPIs without any clinical benefit. Effective communication with patients should include discussion of persisting troublesome symptoms. Providers and patients often do not explicitly address these concerns. Even in patients who have responded to PPIs, long term use is often unnecessary. The majority of PPI responders can successfully step-down their use of PPIs without negatively affecting their quality of life (QOL)</w:t>
      </w:r>
      <w:r w:rsidRPr="00284EAF">
        <w:rPr>
          <w:rFonts w:ascii="Book Antiqua" w:hAnsi="Book Antiqua" w:cs="Times New Roman"/>
          <w:color w:val="000000"/>
          <w:vertAlign w:val="superscript"/>
        </w:rPr>
        <w:t>[44,45]</w:t>
      </w:r>
      <w:r w:rsidRPr="00284EAF">
        <w:rPr>
          <w:rFonts w:ascii="Book Antiqua" w:hAnsi="Book Antiqua" w:cs="Times New Roman"/>
          <w:color w:val="000000"/>
        </w:rPr>
        <w:t>. Overuse and misuse of PPIs leads to needless expense, increased risk, and no benefit to patient experience or satisfaction. Providers must take the time to communicate the relative risks and benefits of PPI treatment, especially the benefits of discontinuation.</w:t>
      </w:r>
    </w:p>
    <w:p w14:paraId="7028F224" w14:textId="77777777" w:rsidR="001547C4" w:rsidRPr="00284EAF" w:rsidRDefault="001547C4" w:rsidP="00284EAF">
      <w:pPr>
        <w:spacing w:line="360" w:lineRule="auto"/>
        <w:jc w:val="both"/>
        <w:rPr>
          <w:rFonts w:ascii="Book Antiqua" w:eastAsia="Times New Roman" w:hAnsi="Book Antiqua" w:cs="Times New Roman"/>
        </w:rPr>
      </w:pPr>
    </w:p>
    <w:p w14:paraId="6DDE3654"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PSYCHOSOCIAL FACTORS CONTRIBUTING TO PATIENT OUTCOME AND PATIENT SATISFACTION</w:t>
      </w:r>
    </w:p>
    <w:p w14:paraId="00D71A0C"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color w:val="000000"/>
        </w:rPr>
        <w:lastRenderedPageBreak/>
        <w:t>Understanding the factors associated with PPI treatment non-response continues to be a challenge. Possible factors conjectured include persistent or weakly acid reflux, and an impaired esophageal mucosa. However, there is more going on here than just acid exposure and tissue damage. Taken from another perspective, one study found that more than half of a general population sample reported symptoms of heartburn, and severity of their symptoms was the same as reported by patients seen in a gastroenterology</w:t>
      </w:r>
      <w:r w:rsidRPr="00284EAF">
        <w:rPr>
          <w:rFonts w:ascii="Book Antiqua" w:hAnsi="Book Antiqua" w:cs="Times New Roman"/>
          <w:color w:val="000000"/>
          <w:vertAlign w:val="superscript"/>
        </w:rPr>
        <w:t>[1]</w:t>
      </w:r>
      <w:r w:rsidRPr="00284EAF">
        <w:rPr>
          <w:rFonts w:ascii="Book Antiqua" w:hAnsi="Book Antiqua" w:cs="Times New Roman"/>
          <w:color w:val="000000"/>
        </w:rPr>
        <w:t>. This suggests that care seeking for GERD is not related to symptoms or mucosal damage alone, and should be considered within a wider context.</w:t>
      </w:r>
    </w:p>
    <w:p w14:paraId="570EF6A1" w14:textId="3200D7F9" w:rsidR="001547C4" w:rsidRPr="00284EAF" w:rsidRDefault="001547C4" w:rsidP="00E92A37">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The central importance of the brain-gut bi-directional communication pathway cannot be overstated. The </w:t>
      </w:r>
      <w:r w:rsidR="00E92A37" w:rsidRPr="00284EAF">
        <w:rPr>
          <w:rFonts w:ascii="Book Antiqua" w:hAnsi="Book Antiqua" w:cs="Times New Roman"/>
          <w:color w:val="000000"/>
        </w:rPr>
        <w:t xml:space="preserve">central nervous system </w:t>
      </w:r>
      <w:r w:rsidRPr="00284EAF">
        <w:rPr>
          <w:rFonts w:ascii="Book Antiqua" w:hAnsi="Book Antiqua" w:cs="Times New Roman"/>
          <w:color w:val="000000"/>
        </w:rPr>
        <w:t>(CNS), through neural, hormonal, and immunological bi-directional communication with the gut, maintains normal gastrointestinal functioning and helps modulate disease activity</w:t>
      </w:r>
      <w:r w:rsidRPr="00284EAF">
        <w:rPr>
          <w:rFonts w:ascii="Book Antiqua" w:hAnsi="Book Antiqua" w:cs="Times New Roman"/>
          <w:color w:val="000000"/>
          <w:vertAlign w:val="superscript"/>
        </w:rPr>
        <w:t>[46]</w:t>
      </w:r>
      <w:r w:rsidRPr="00284EAF">
        <w:rPr>
          <w:rFonts w:ascii="Book Antiqua" w:hAnsi="Book Antiqua" w:cs="Times New Roman"/>
          <w:color w:val="000000"/>
        </w:rPr>
        <w:t>. Psychological factors, such as stress, can influence gut functioning and also influence perception of peripheral gut nerve input to the CNS all of which may impact clinical outcomes in GERD</w:t>
      </w:r>
      <w:r w:rsidRPr="00284EAF">
        <w:rPr>
          <w:rFonts w:ascii="Book Antiqua" w:hAnsi="Book Antiqua" w:cs="Times New Roman"/>
          <w:color w:val="000000"/>
          <w:vertAlign w:val="superscript"/>
        </w:rPr>
        <w:t>[46]</w:t>
      </w:r>
      <w:r w:rsidRPr="00284EAF">
        <w:rPr>
          <w:rFonts w:ascii="Book Antiqua" w:hAnsi="Book Antiqua" w:cs="Times New Roman"/>
          <w:color w:val="000000"/>
        </w:rPr>
        <w:t>. Thus, there is a continuous feedback loop between the brain and the gut and it is increasingly recognized that you cannot treat one without the other.</w:t>
      </w:r>
    </w:p>
    <w:p w14:paraId="74186823" w14:textId="50F0D23D" w:rsidR="001547C4" w:rsidRPr="00284EAF" w:rsidRDefault="001547C4" w:rsidP="00E92A37">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The brain-gut axis can be helpful in explaining why symptoms </w:t>
      </w:r>
      <w:r w:rsidR="00E92A37">
        <w:rPr>
          <w:rFonts w:ascii="Book Antiqua" w:hAnsi="Book Antiqua" w:cs="Times New Roman"/>
          <w:color w:val="000000"/>
        </w:rPr>
        <w:t xml:space="preserve">can persist despite treatment. </w:t>
      </w:r>
      <w:r w:rsidRPr="00284EAF">
        <w:rPr>
          <w:rFonts w:ascii="Book Antiqua" w:hAnsi="Book Antiqua" w:cs="Times New Roman"/>
          <w:color w:val="000000"/>
        </w:rPr>
        <w:t>Hypervigilance to gut input is thought to play a central role in understanding why some patients continue to report symptoms despite hea</w:t>
      </w:r>
      <w:r w:rsidR="00E92A37">
        <w:rPr>
          <w:rFonts w:ascii="Book Antiqua" w:hAnsi="Book Antiqua" w:cs="Times New Roman"/>
          <w:color w:val="000000"/>
        </w:rPr>
        <w:t xml:space="preserve">ling of the esophageal mucosa. </w:t>
      </w:r>
      <w:r w:rsidRPr="00284EAF">
        <w:rPr>
          <w:rFonts w:ascii="Book Antiqua" w:hAnsi="Book Antiqua" w:cs="Times New Roman"/>
          <w:color w:val="000000"/>
        </w:rPr>
        <w:t xml:space="preserve">Hypervigilance is a combination of increased gut sensory sensitivity in combination with exaggerated threat perception surrounding gut symptoms. Kahrilas and colleagues defined it as the “cognitive-affective process that stems from hyperawareness of discomfort. This heightened awareness or sensitivity is coupled with behavior that is out of proportion to the prior symptom experience, serving to amplify the </w:t>
      </w:r>
      <w:r w:rsidR="00E92A37">
        <w:rPr>
          <w:rFonts w:ascii="Book Antiqua" w:eastAsia="SimSun" w:hAnsi="Book Antiqua" w:cs="Times New Roman"/>
          <w:color w:val="000000"/>
          <w:lang w:eastAsia="zh-CN"/>
        </w:rPr>
        <w:t>‘</w:t>
      </w:r>
      <w:r w:rsidRPr="00284EAF">
        <w:rPr>
          <w:rFonts w:ascii="Book Antiqua" w:hAnsi="Book Antiqua" w:cs="Times New Roman"/>
          <w:color w:val="000000"/>
        </w:rPr>
        <w:t>threat-level</w:t>
      </w:r>
      <w:r w:rsidR="00E92A37">
        <w:rPr>
          <w:rFonts w:ascii="Book Antiqua" w:eastAsia="SimSun" w:hAnsi="Book Antiqua" w:cs="Times New Roman"/>
          <w:color w:val="000000"/>
          <w:lang w:eastAsia="zh-CN"/>
        </w:rPr>
        <w:t>’</w:t>
      </w:r>
      <w:r w:rsidRPr="00284EAF">
        <w:rPr>
          <w:rFonts w:ascii="Book Antiqua" w:hAnsi="Book Antiqua" w:cs="Times New Roman"/>
          <w:color w:val="000000"/>
        </w:rPr>
        <w:t xml:space="preserve"> of symptoms and their potential consequences”</w:t>
      </w:r>
      <w:r w:rsidRPr="00284EAF">
        <w:rPr>
          <w:rFonts w:ascii="Book Antiqua" w:hAnsi="Book Antiqua" w:cs="Times New Roman"/>
          <w:color w:val="000000"/>
          <w:vertAlign w:val="superscript"/>
        </w:rPr>
        <w:t>[47]</w:t>
      </w:r>
      <w:r w:rsidRPr="00284EAF">
        <w:rPr>
          <w:rFonts w:ascii="Book Antiqua" w:hAnsi="Book Antiqua" w:cs="Times New Roman"/>
          <w:color w:val="000000"/>
        </w:rPr>
        <w:t xml:space="preserve">. In other words, some patients are highly sensitive to gut inputs. These patients feel discomfort at levels where other </w:t>
      </w:r>
      <w:r w:rsidRPr="00284EAF">
        <w:rPr>
          <w:rFonts w:ascii="Book Antiqua" w:hAnsi="Book Antiqua" w:cs="Times New Roman"/>
          <w:color w:val="000000"/>
        </w:rPr>
        <w:lastRenderedPageBreak/>
        <w:t>people may not notice and/or be bothered by it (visceral hypersensitivity). Hypervigilance is the combination of increased symptoms due to visceral sensitivity as well as a high level of threat associated with these symptoms (“In order to be in this much pain, there must be something really wrong”). Hypervigilance often leads to avoidance of situations that may trigger symptoms, such as eating certain foods, restaurants and even sleep</w:t>
      </w:r>
      <w:r w:rsidRPr="00284EAF">
        <w:rPr>
          <w:rFonts w:ascii="Book Antiqua" w:hAnsi="Book Antiqua" w:cs="Times New Roman"/>
          <w:color w:val="000000"/>
          <w:vertAlign w:val="superscript"/>
        </w:rPr>
        <w:t>[1,48,49]</w:t>
      </w:r>
      <w:r w:rsidRPr="00284EAF">
        <w:rPr>
          <w:rFonts w:ascii="Book Antiqua" w:hAnsi="Book Antiqua" w:cs="Times New Roman"/>
          <w:color w:val="000000"/>
        </w:rPr>
        <w:t>. These patients strictly monitor their symptoms and become caught in a negative feedback loop of discomfort, pain and anxiety. Indeed, anxiety has been associated with persistent reflux symptoms despite PPI therapy and increased visceral hypersensitivity</w:t>
      </w:r>
      <w:r w:rsidRPr="00284EAF">
        <w:rPr>
          <w:rFonts w:ascii="Book Antiqua" w:hAnsi="Book Antiqua" w:cs="Times New Roman"/>
          <w:color w:val="000000"/>
          <w:vertAlign w:val="superscript"/>
        </w:rPr>
        <w:t>[50]</w:t>
      </w:r>
      <w:r w:rsidRPr="00284EAF">
        <w:rPr>
          <w:rFonts w:ascii="Book Antiqua" w:hAnsi="Book Antiqua" w:cs="Times New Roman"/>
          <w:color w:val="000000"/>
        </w:rPr>
        <w:t>. In one study, hypervigilance accounted for 50% of patient-reported symptom severity while psychological distress (depression, anxiety, somatization) was found to be within normal limits in the treatment refractory group</w:t>
      </w:r>
      <w:r w:rsidRPr="00284EAF">
        <w:rPr>
          <w:rFonts w:ascii="Book Antiqua" w:hAnsi="Book Antiqua" w:cs="Times New Roman"/>
          <w:color w:val="000000"/>
          <w:vertAlign w:val="superscript"/>
        </w:rPr>
        <w:t>[51]</w:t>
      </w:r>
      <w:r w:rsidRPr="00284EAF">
        <w:rPr>
          <w:rFonts w:ascii="Book Antiqua" w:hAnsi="Book Antiqua" w:cs="Times New Roman"/>
          <w:color w:val="000000"/>
        </w:rPr>
        <w:t xml:space="preserve">. More medicine and more diagnostic procedures will not help these patients. Similarly, avoiding surgery in these patients is critical as outcomes may be poor in this patient population. Rather, helping physicians and patients better understand and appreciate the brain-gut connection can guide and improve care. </w:t>
      </w:r>
    </w:p>
    <w:p w14:paraId="675FF05D" w14:textId="0B600BDF" w:rsidR="001547C4" w:rsidRPr="00284EAF" w:rsidRDefault="001547C4" w:rsidP="00E92A37">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Physicians have to treat the whole person and focus on the patient experience. Physicians must recognize these underlying patient dynamics and not ignore or discount them. More PPI, more testing or surgery is not the answer. However, suggesting their symptoms are due to their anxiety is not helpful either. Patients as a rule do not react well to being told that their symptoms are “all in their head” as it communicates their doctor is not taking them seriously or minimizing their suffering. Instead, physicians should provide education and assurance. Education about the origin of the symptoms should include an explanation of the brain-gut axis and an explanation on how hypersensitive gut nerves can be responsible for their symptoms. Usually pain and discomfort are symptoms that warn us for harm, but in this case, the nerves may be over responding and the signal (pain) is not useful anymore. Reassurance that there is no need for </w:t>
      </w:r>
      <w:r w:rsidRPr="00284EAF">
        <w:rPr>
          <w:rFonts w:ascii="Book Antiqua" w:hAnsi="Book Antiqua" w:cs="Times New Roman"/>
          <w:color w:val="000000"/>
        </w:rPr>
        <w:lastRenderedPageBreak/>
        <w:t xml:space="preserve">continued testing, surgery or even PPI or other medication treatment is needed </w:t>
      </w:r>
      <w:r w:rsidR="00E92A37">
        <w:rPr>
          <w:rFonts w:ascii="Book Antiqua" w:hAnsi="Book Antiqua" w:cs="Times New Roman"/>
          <w:color w:val="000000"/>
        </w:rPr>
        <w:t xml:space="preserve">as well. </w:t>
      </w:r>
      <w:r w:rsidRPr="00284EAF">
        <w:rPr>
          <w:rFonts w:ascii="Book Antiqua" w:hAnsi="Book Antiqua" w:cs="Times New Roman"/>
          <w:color w:val="000000"/>
        </w:rPr>
        <w:t>Low-dose imipramine has shown initial promise in this patient population</w:t>
      </w:r>
      <w:r w:rsidRPr="00284EAF">
        <w:rPr>
          <w:rFonts w:ascii="Book Antiqua" w:hAnsi="Book Antiqua" w:cs="Times New Roman"/>
          <w:color w:val="000000"/>
          <w:vertAlign w:val="superscript"/>
        </w:rPr>
        <w:t>[52]</w:t>
      </w:r>
      <w:r w:rsidRPr="00284EAF">
        <w:rPr>
          <w:rFonts w:ascii="Book Antiqua" w:hAnsi="Book Antiqua" w:cs="Times New Roman"/>
          <w:color w:val="000000"/>
        </w:rPr>
        <w:t>, but only improved QOL, not symptoms nor visceral hypersensitivity. Better success has been found with behavioral interventions</w:t>
      </w:r>
      <w:r w:rsidRPr="00284EAF">
        <w:rPr>
          <w:rFonts w:ascii="Book Antiqua" w:hAnsi="Book Antiqua" w:cs="Times New Roman"/>
          <w:color w:val="000000"/>
          <w:vertAlign w:val="superscript"/>
        </w:rPr>
        <w:t>[46]</w:t>
      </w:r>
      <w:r w:rsidR="00E92A37">
        <w:rPr>
          <w:rFonts w:ascii="Book Antiqua" w:hAnsi="Book Antiqua" w:cs="Times New Roman"/>
          <w:color w:val="000000"/>
        </w:rPr>
        <w:t xml:space="preserve">. </w:t>
      </w:r>
      <w:r w:rsidRPr="00284EAF">
        <w:rPr>
          <w:rFonts w:ascii="Book Antiqua" w:hAnsi="Book Antiqua" w:cs="Times New Roman"/>
          <w:color w:val="000000"/>
        </w:rPr>
        <w:t xml:space="preserve">These </w:t>
      </w:r>
      <w:r w:rsidR="000C3B41" w:rsidRPr="00284EAF">
        <w:rPr>
          <w:rFonts w:ascii="Book Antiqua" w:hAnsi="Book Antiqua" w:cs="Times New Roman"/>
          <w:color w:val="000000"/>
        </w:rPr>
        <w:t>focus on</w:t>
      </w:r>
      <w:r w:rsidRPr="00284EAF">
        <w:rPr>
          <w:rFonts w:ascii="Book Antiqua" w:hAnsi="Book Antiqua" w:cs="Times New Roman"/>
          <w:color w:val="000000"/>
        </w:rPr>
        <w:t xml:space="preserve"> increasing their coping skills</w:t>
      </w:r>
      <w:r w:rsidR="000C3B41" w:rsidRPr="00284EAF">
        <w:rPr>
          <w:rFonts w:ascii="Book Antiqua" w:hAnsi="Book Antiqua" w:cs="Times New Roman"/>
          <w:color w:val="000000"/>
        </w:rPr>
        <w:t xml:space="preserve"> and </w:t>
      </w:r>
      <w:r w:rsidRPr="00284EAF">
        <w:rPr>
          <w:rFonts w:ascii="Book Antiqua" w:hAnsi="Book Antiqua" w:cs="Times New Roman"/>
          <w:color w:val="000000"/>
        </w:rPr>
        <w:t>resilien</w:t>
      </w:r>
      <w:r w:rsidR="000C3B41" w:rsidRPr="00284EAF">
        <w:rPr>
          <w:rFonts w:ascii="Book Antiqua" w:hAnsi="Book Antiqua" w:cs="Times New Roman"/>
          <w:color w:val="000000"/>
        </w:rPr>
        <w:t>ce while reducing disability</w:t>
      </w:r>
      <w:r w:rsidRPr="00284EAF">
        <w:rPr>
          <w:rFonts w:ascii="Book Antiqua" w:hAnsi="Book Antiqua" w:cs="Times New Roman"/>
          <w:color w:val="000000"/>
          <w:vertAlign w:val="superscript"/>
        </w:rPr>
        <w:t>[53]</w:t>
      </w:r>
      <w:r w:rsidRPr="00284EAF">
        <w:rPr>
          <w:rFonts w:ascii="Book Antiqua" w:hAnsi="Book Antiqua" w:cs="Times New Roman"/>
          <w:color w:val="000000"/>
        </w:rPr>
        <w:t>. Some approaches may even target hypersensitivity directly. Given the complexity of the origin and treatments of GERD symptoms and potential</w:t>
      </w:r>
      <w:r w:rsidR="000C3B41" w:rsidRPr="00284EAF">
        <w:rPr>
          <w:rFonts w:ascii="Book Antiqua" w:hAnsi="Book Antiqua" w:cs="Times New Roman"/>
          <w:color w:val="000000"/>
        </w:rPr>
        <w:t xml:space="preserve"> reluctance</w:t>
      </w:r>
      <w:r w:rsidRPr="00284EAF">
        <w:rPr>
          <w:rFonts w:ascii="Book Antiqua" w:hAnsi="Book Antiqua" w:cs="Times New Roman"/>
          <w:color w:val="000000"/>
        </w:rPr>
        <w:t xml:space="preserve"> of patients to entertain the influence of the brain-gut axis, effective physician-patient communication is important in the treatment of GERD.</w:t>
      </w:r>
    </w:p>
    <w:p w14:paraId="2604F434" w14:textId="77777777" w:rsidR="00E92A37" w:rsidRDefault="00E92A37" w:rsidP="00E92A37">
      <w:pPr>
        <w:spacing w:line="360" w:lineRule="auto"/>
        <w:jc w:val="both"/>
        <w:rPr>
          <w:rFonts w:ascii="Book Antiqua" w:eastAsia="SimSun" w:hAnsi="Book Antiqua" w:cs="Times New Roman"/>
          <w:color w:val="000000"/>
          <w:lang w:eastAsia="zh-CN"/>
        </w:rPr>
      </w:pPr>
    </w:p>
    <w:p w14:paraId="0B5675AB" w14:textId="77777777" w:rsidR="00E92A37" w:rsidRDefault="001547C4" w:rsidP="00E92A37">
      <w:pPr>
        <w:spacing w:line="360" w:lineRule="auto"/>
        <w:jc w:val="both"/>
        <w:rPr>
          <w:rFonts w:ascii="Book Antiqua" w:eastAsia="SimSun" w:hAnsi="Book Antiqua" w:cs="Times New Roman"/>
          <w:lang w:eastAsia="zh-CN"/>
        </w:rPr>
      </w:pPr>
      <w:r w:rsidRPr="00284EAF">
        <w:rPr>
          <w:rFonts w:ascii="Book Antiqua" w:hAnsi="Book Antiqua" w:cs="Times New Roman"/>
          <w:b/>
          <w:bCs/>
          <w:color w:val="000000"/>
        </w:rPr>
        <w:t>PATIENT-CENTERED COMMUNICATION</w:t>
      </w:r>
    </w:p>
    <w:p w14:paraId="13F87CF1" w14:textId="0EECD067" w:rsidR="001547C4" w:rsidRPr="00284EAF" w:rsidRDefault="001547C4" w:rsidP="00E92A37">
      <w:pPr>
        <w:spacing w:line="360" w:lineRule="auto"/>
        <w:jc w:val="both"/>
        <w:rPr>
          <w:rFonts w:ascii="Book Antiqua" w:hAnsi="Book Antiqua" w:cs="Times New Roman"/>
        </w:rPr>
      </w:pPr>
      <w:r w:rsidRPr="00284EAF">
        <w:rPr>
          <w:rFonts w:ascii="Book Antiqua" w:hAnsi="Book Antiqua" w:cs="Times New Roman"/>
          <w:color w:val="000000"/>
        </w:rPr>
        <w:t>Meaningful and effective physician-patient communication can be influenced by many factors including medical, ethical, and socioeconomic issues</w:t>
      </w:r>
      <w:r w:rsidRPr="00284EAF">
        <w:rPr>
          <w:rFonts w:ascii="Book Antiqua" w:hAnsi="Book Antiqua" w:cs="Times New Roman"/>
          <w:color w:val="000000"/>
          <w:vertAlign w:val="superscript"/>
        </w:rPr>
        <w:t>[54]</w:t>
      </w:r>
      <w:r w:rsidRPr="00284EAF">
        <w:rPr>
          <w:rFonts w:ascii="Book Antiqua" w:hAnsi="Book Antiqua" w:cs="Times New Roman"/>
          <w:color w:val="000000"/>
        </w:rPr>
        <w:t xml:space="preserve">. Differing opinions, patient autonomy, cost and truthful assessment could potentially cause conflict. A physician should be able to identify pitfalls and learn how to navigate these circumstances in order to provide optimal patient care. </w:t>
      </w:r>
    </w:p>
    <w:p w14:paraId="4B7E666F" w14:textId="1E23DA49" w:rsidR="001547C4" w:rsidRPr="00DE55F3" w:rsidRDefault="001547C4" w:rsidP="00DE55F3">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Physician-patient communication should be patient-centered</w:t>
      </w:r>
      <w:r w:rsidRPr="00284EAF">
        <w:rPr>
          <w:rFonts w:ascii="Book Antiqua" w:hAnsi="Book Antiqua" w:cs="Times New Roman"/>
          <w:color w:val="000000"/>
          <w:vertAlign w:val="superscript"/>
        </w:rPr>
        <w:t>[55]</w:t>
      </w:r>
      <w:r w:rsidRPr="00284EAF">
        <w:rPr>
          <w:rFonts w:ascii="Book Antiqua" w:hAnsi="Book Antiqua" w:cs="Times New Roman"/>
          <w:color w:val="000000"/>
        </w:rPr>
        <w:t>. Epstein and Street defined patient-centered communication as:</w:t>
      </w:r>
      <w:r w:rsidR="00DE55F3">
        <w:rPr>
          <w:rFonts w:ascii="Book Antiqua" w:eastAsia="SimSun" w:hAnsi="Book Antiqua" w:cs="Times New Roman" w:hint="eastAsia"/>
          <w:color w:val="000000"/>
          <w:lang w:eastAsia="zh-CN"/>
        </w:rPr>
        <w:t xml:space="preserve"> </w:t>
      </w:r>
      <w:r w:rsidR="00DE55F3">
        <w:rPr>
          <w:rFonts w:ascii="Book Antiqua" w:hAnsi="Book Antiqua" w:cs="Times New Roman"/>
          <w:color w:val="000000"/>
        </w:rPr>
        <w:t>“</w:t>
      </w:r>
      <w:r w:rsidR="00DE55F3">
        <w:rPr>
          <w:rFonts w:ascii="Book Antiqua" w:eastAsia="SimSun" w:hAnsi="Book Antiqua" w:cs="Times New Roman" w:hint="eastAsia"/>
          <w:color w:val="000000"/>
          <w:lang w:eastAsia="zh-CN"/>
        </w:rPr>
        <w:t xml:space="preserve">(1) </w:t>
      </w:r>
      <w:r w:rsidRPr="00284EAF">
        <w:rPr>
          <w:rFonts w:ascii="Book Antiqua" w:hAnsi="Book Antiqua" w:cs="Times New Roman"/>
          <w:color w:val="000000"/>
        </w:rPr>
        <w:t>Eliciting, understanding, and validating the patient’s perspective (</w:t>
      </w:r>
      <w:r w:rsidRPr="00DE55F3">
        <w:rPr>
          <w:rFonts w:ascii="Book Antiqua" w:hAnsi="Book Antiqua" w:cs="Times New Roman"/>
          <w:i/>
          <w:color w:val="000000"/>
        </w:rPr>
        <w:t>e.g.</w:t>
      </w:r>
      <w:r w:rsidRPr="00284EAF">
        <w:rPr>
          <w:rFonts w:ascii="Book Antiqua" w:hAnsi="Book Antiqua" w:cs="Times New Roman"/>
          <w:color w:val="000000"/>
        </w:rPr>
        <w:t>, concerns, feelings, expectations)</w:t>
      </w:r>
      <w:r w:rsidR="00DE55F3">
        <w:rPr>
          <w:rFonts w:ascii="Book Antiqua" w:eastAsia="SimSun" w:hAnsi="Book Antiqua" w:cs="Times New Roman" w:hint="eastAsia"/>
          <w:color w:val="000000"/>
          <w:lang w:eastAsia="zh-CN"/>
        </w:rPr>
        <w:t>; (2)</w:t>
      </w:r>
      <w:r w:rsidRPr="00284EAF">
        <w:rPr>
          <w:rFonts w:ascii="Book Antiqua" w:hAnsi="Book Antiqua" w:cs="Times New Roman"/>
          <w:color w:val="000000"/>
        </w:rPr>
        <w:t xml:space="preserve"> Understanding the patient within his or her own psychological and social context</w:t>
      </w:r>
      <w:r w:rsidR="00DE55F3">
        <w:rPr>
          <w:rFonts w:ascii="Book Antiqua" w:eastAsia="SimSun" w:hAnsi="Book Antiqua" w:cs="Times New Roman" w:hint="eastAsia"/>
          <w:color w:val="000000"/>
          <w:lang w:eastAsia="zh-CN"/>
        </w:rPr>
        <w:t>; (3)</w:t>
      </w:r>
      <w:r w:rsidRPr="00284EAF">
        <w:rPr>
          <w:rFonts w:ascii="Book Antiqua" w:hAnsi="Book Antiqua" w:cs="Times New Roman"/>
          <w:color w:val="000000"/>
        </w:rPr>
        <w:t xml:space="preserve"> Reaching a shared understanding of the patient’s problem and its treatment</w:t>
      </w:r>
      <w:r w:rsidR="00DE55F3">
        <w:rPr>
          <w:rFonts w:ascii="Book Antiqua" w:eastAsia="SimSun" w:hAnsi="Book Antiqua" w:cs="Times New Roman" w:hint="eastAsia"/>
          <w:color w:val="000000"/>
          <w:lang w:eastAsia="zh-CN"/>
        </w:rPr>
        <w:t xml:space="preserve">; and (4) </w:t>
      </w:r>
      <w:r w:rsidRPr="00284EAF">
        <w:rPr>
          <w:rFonts w:ascii="Book Antiqua" w:hAnsi="Book Antiqua" w:cs="Times New Roman"/>
          <w:color w:val="000000"/>
        </w:rPr>
        <w:t>Helping a patient share power by offering him or her meaningful involvement in choices relating to his or her health.”</w:t>
      </w:r>
    </w:p>
    <w:p w14:paraId="0A18B844" w14:textId="6079EE45" w:rsidR="001547C4" w:rsidRPr="00284EAF" w:rsidRDefault="001547C4" w:rsidP="00DE55F3">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Patient-centered communication positively affects patient satisfaction, recall, understanding, and adherence and health outcomes</w:t>
      </w:r>
      <w:r w:rsidRPr="00284EAF">
        <w:rPr>
          <w:rFonts w:ascii="Book Antiqua" w:hAnsi="Book Antiqua" w:cs="Times New Roman"/>
          <w:color w:val="000000"/>
          <w:vertAlign w:val="superscript"/>
        </w:rPr>
        <w:t>[55]</w:t>
      </w:r>
      <w:r w:rsidRPr="00284EAF">
        <w:rPr>
          <w:rFonts w:ascii="Book Antiqua" w:hAnsi="Book Antiqua" w:cs="Times New Roman"/>
          <w:color w:val="000000"/>
        </w:rPr>
        <w:t>. Increase in malpractice and in missed opportunities to empower patients to self-manage their illness are two negative consequences of not employing patient-centered communication</w:t>
      </w:r>
      <w:r w:rsidRPr="00284EAF">
        <w:rPr>
          <w:rFonts w:ascii="Book Antiqua" w:hAnsi="Book Antiqua" w:cs="Times New Roman"/>
          <w:color w:val="000000"/>
          <w:vertAlign w:val="superscript"/>
        </w:rPr>
        <w:t>[56]</w:t>
      </w:r>
      <w:r w:rsidRPr="00284EAF">
        <w:rPr>
          <w:rFonts w:ascii="Book Antiqua" w:hAnsi="Book Antiqua" w:cs="Times New Roman"/>
          <w:color w:val="000000"/>
        </w:rPr>
        <w:t xml:space="preserve">. </w:t>
      </w:r>
    </w:p>
    <w:p w14:paraId="7161B728" w14:textId="40B6BF68" w:rsidR="001547C4" w:rsidRPr="00284EAF" w:rsidRDefault="001547C4" w:rsidP="00DE55F3">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A limited earlier review of studies on verbal and nonverbal physician behaviors during a patient interview found several to have a positive effect on </w:t>
      </w:r>
      <w:r w:rsidRPr="00284EAF">
        <w:rPr>
          <w:rFonts w:ascii="Book Antiqua" w:hAnsi="Book Antiqua" w:cs="Times New Roman"/>
          <w:color w:val="000000"/>
        </w:rPr>
        <w:lastRenderedPageBreak/>
        <w:t>health outcomes</w:t>
      </w:r>
      <w:r w:rsidRPr="00284EAF">
        <w:rPr>
          <w:rFonts w:ascii="Book Antiqua" w:hAnsi="Book Antiqua" w:cs="Times New Roman"/>
          <w:color w:val="000000"/>
          <w:vertAlign w:val="superscript"/>
        </w:rPr>
        <w:t>[56]</w:t>
      </w:r>
      <w:r w:rsidRPr="00284EAF">
        <w:rPr>
          <w:rFonts w:ascii="Book Antiqua" w:hAnsi="Book Antiqua" w:cs="Times New Roman"/>
          <w:color w:val="000000"/>
        </w:rPr>
        <w:t>. Some of the verbal behaviors include: empathy, psychosocial talk, time spent in health education and information sharing, humor, courtesy, and clarification. Several of the nonverbal behaviors found to be beneficial include: head nodding, arms and legs that are uncrossed and leaning forward.</w:t>
      </w:r>
    </w:p>
    <w:p w14:paraId="4CBC6B0C" w14:textId="3F791C11" w:rsidR="001547C4" w:rsidRPr="00284EAF" w:rsidRDefault="001547C4" w:rsidP="009748CE">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There is very limited research on physician-patient communication within the context of GERD. Research has shown a disparity between patients and providers regarding GERD management and its impact. Patient satisfaction with prescription treatment for symptom management is often overestimated by providers</w:t>
      </w:r>
      <w:r w:rsidRPr="00284EAF">
        <w:rPr>
          <w:rFonts w:ascii="Book Antiqua" w:hAnsi="Book Antiqua" w:cs="Times New Roman"/>
          <w:color w:val="000000"/>
          <w:vertAlign w:val="superscript"/>
        </w:rPr>
        <w:t>[57-61]</w:t>
      </w:r>
      <w:r w:rsidRPr="00284EAF">
        <w:rPr>
          <w:rFonts w:ascii="Book Antiqua" w:hAnsi="Book Antiqua" w:cs="Times New Roman"/>
          <w:color w:val="000000"/>
        </w:rPr>
        <w:t>. The severity of symptoms are often underestimated by providers when compared to patients’ reports</w:t>
      </w:r>
      <w:r w:rsidR="009748CE">
        <w:rPr>
          <w:rFonts w:ascii="Book Antiqua" w:hAnsi="Book Antiqua" w:cs="Times New Roman"/>
          <w:color w:val="000000"/>
          <w:vertAlign w:val="superscript"/>
        </w:rPr>
        <w:t>[59,</w:t>
      </w:r>
      <w:r w:rsidRPr="00284EAF">
        <w:rPr>
          <w:rFonts w:ascii="Book Antiqua" w:hAnsi="Book Antiqua" w:cs="Times New Roman"/>
          <w:color w:val="000000"/>
          <w:vertAlign w:val="superscript"/>
        </w:rPr>
        <w:t>62]</w:t>
      </w:r>
      <w:r w:rsidRPr="00284EAF">
        <w:rPr>
          <w:rFonts w:ascii="Book Antiqua" w:hAnsi="Book Antiqua" w:cs="Times New Roman"/>
          <w:color w:val="000000"/>
        </w:rPr>
        <w:t>. There is also a disconnect with what providers and patients see as most problematic symptoms for QOL</w:t>
      </w:r>
      <w:r w:rsidRPr="00284EAF">
        <w:rPr>
          <w:rFonts w:ascii="Book Antiqua" w:hAnsi="Book Antiqua" w:cs="Times New Roman"/>
          <w:color w:val="000000"/>
          <w:vertAlign w:val="superscript"/>
        </w:rPr>
        <w:t>[57]</w:t>
      </w:r>
      <w:r w:rsidRPr="00284EAF">
        <w:rPr>
          <w:rFonts w:ascii="Book Antiqua" w:hAnsi="Book Antiqua" w:cs="Times New Roman"/>
          <w:color w:val="000000"/>
        </w:rPr>
        <w:t xml:space="preserve">. This evidence supports the need for a more patient-centered approach to GERD management and better communication between patients and providers. </w:t>
      </w:r>
    </w:p>
    <w:p w14:paraId="73638C64" w14:textId="0FE6981B" w:rsidR="001547C4" w:rsidRPr="00284EAF" w:rsidRDefault="001547C4" w:rsidP="009748CE">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In a study of the impact of patient education and GERD management, a survey of outpatients indicated that only 66% of patients thought they had a comprehensive discussion of factors affecting GERD with their physician</w:t>
      </w:r>
      <w:r w:rsidRPr="00284EAF">
        <w:rPr>
          <w:rFonts w:ascii="Book Antiqua" w:hAnsi="Book Antiqua" w:cs="Times New Roman"/>
          <w:color w:val="000000"/>
          <w:vertAlign w:val="superscript"/>
        </w:rPr>
        <w:t>[63]</w:t>
      </w:r>
      <w:r w:rsidRPr="00284EAF">
        <w:rPr>
          <w:rFonts w:ascii="Book Antiqua" w:hAnsi="Book Antiqua" w:cs="Times New Roman"/>
          <w:color w:val="000000"/>
        </w:rPr>
        <w:t>. These patients are also significantly more knowledgeable about when to take their medication than those who did not have a comprehensive discussion with their physician. This emphasizes the need for better discussion between physician and patient.</w:t>
      </w:r>
    </w:p>
    <w:p w14:paraId="4D0DBAC9" w14:textId="151AF145" w:rsidR="001547C4" w:rsidRPr="009748CE"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The type of practitioner may also impact a GERD patient’s perception. A study comparing the satisfaction of patients with GERD who saw gastroenterologists to those who saw a family physician indicated that the latter were significantly more satisfied with the care information they received and thought their do</w:t>
      </w:r>
      <w:r w:rsidR="009748CE">
        <w:rPr>
          <w:rFonts w:ascii="Book Antiqua" w:hAnsi="Book Antiqua" w:cs="Times New Roman"/>
          <w:color w:val="000000"/>
        </w:rPr>
        <w:t>ctors spent more time with them</w:t>
      </w:r>
      <w:r w:rsidRPr="00284EAF">
        <w:rPr>
          <w:rFonts w:ascii="Book Antiqua" w:hAnsi="Book Antiqua" w:cs="Times New Roman"/>
          <w:color w:val="000000"/>
          <w:vertAlign w:val="superscript"/>
        </w:rPr>
        <w:t>[64]</w:t>
      </w:r>
      <w:r w:rsidRPr="00284EAF">
        <w:rPr>
          <w:rFonts w:ascii="Book Antiqua" w:hAnsi="Book Antiqua" w:cs="Times New Roman"/>
          <w:color w:val="000000"/>
        </w:rPr>
        <w:t>. This implies that patients form a closer relationship and a more beneficial communication with their family physicians which could lead to a more effective trea</w:t>
      </w:r>
      <w:r w:rsidR="009748CE">
        <w:rPr>
          <w:rFonts w:ascii="Book Antiqua" w:hAnsi="Book Antiqua" w:cs="Times New Roman"/>
          <w:color w:val="000000"/>
        </w:rPr>
        <w:t>tment.</w:t>
      </w:r>
    </w:p>
    <w:p w14:paraId="22C37E93" w14:textId="2532A899" w:rsidR="001547C4" w:rsidRPr="009748CE"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 xml:space="preserve">Patient-reported outcomes (PRO) tools can help advance physician-patient communication by capturing patients’ perceptions of GERD management via </w:t>
      </w:r>
      <w:r w:rsidRPr="00284EAF">
        <w:rPr>
          <w:rFonts w:ascii="Book Antiqua" w:hAnsi="Book Antiqua" w:cs="Times New Roman"/>
          <w:color w:val="000000"/>
        </w:rPr>
        <w:lastRenderedPageBreak/>
        <w:t>specific targeted questions which patients may not provide in the standard interview to their provider. These tools can facilitate treatment management by measuring the impact of GERD from the patients’ perspectives. Improved communication regarding treatment expectations can also help with a more patient-centered approach. Patients should be educated that treatments may not provide full symptom relief and residual symptoms may persist.</w:t>
      </w:r>
    </w:p>
    <w:p w14:paraId="40DB80CE" w14:textId="66264A09" w:rsidR="001547C4" w:rsidRPr="009748CE"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The GERD Impact Scale (GIS) is a commonly used PRO. It has eight questions exploring the frequency of symptoms over the past week: acid-related symptoms, chest pain, extra-esophageal symptoms, and the impact of symptoms on sleep, work, meals and special occasions. Two other tools include the Quality of Life in Reflux and Dyspepsia that informs treatment response and gives a patient-centered measure of progress and the Reflux Disease Questionnaire, a patient-centered self-administered instrument that tracks symptom improvement</w:t>
      </w:r>
      <w:r w:rsidRPr="00284EAF">
        <w:rPr>
          <w:rFonts w:ascii="Book Antiqua" w:hAnsi="Book Antiqua" w:cs="Times New Roman"/>
          <w:color w:val="000000"/>
          <w:vertAlign w:val="superscript"/>
        </w:rPr>
        <w:t>[65]</w:t>
      </w:r>
      <w:r w:rsidRPr="00284EAF">
        <w:rPr>
          <w:rFonts w:ascii="Book Antiqua" w:hAnsi="Book Antiqua" w:cs="Times New Roman"/>
          <w:color w:val="000000"/>
        </w:rPr>
        <w:t>. Using these PRO’s at the time of diagnosis and at each subsequent visit helps fill the gap in physician appreciation of patient’s o</w:t>
      </w:r>
      <w:r w:rsidR="009748CE">
        <w:rPr>
          <w:rFonts w:ascii="Book Antiqua" w:hAnsi="Book Antiqua" w:cs="Times New Roman"/>
          <w:color w:val="000000"/>
        </w:rPr>
        <w:t>ngoing symptoms and suffering.</w:t>
      </w:r>
    </w:p>
    <w:p w14:paraId="3FE9298A" w14:textId="3E7CCB4B" w:rsidR="001547C4" w:rsidRPr="00284EAF" w:rsidRDefault="001547C4" w:rsidP="009748CE">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Physicians have frequently been shown to underestimate the severity and impact of GERD symptoms on their patient’s lives while simultaneously overestimating treatment effects</w:t>
      </w:r>
      <w:r w:rsidRPr="00284EAF">
        <w:rPr>
          <w:rFonts w:ascii="Book Antiqua" w:hAnsi="Book Antiqua" w:cs="Times New Roman"/>
          <w:color w:val="000000"/>
          <w:vertAlign w:val="superscript"/>
        </w:rPr>
        <w:t>[57,66]</w:t>
      </w:r>
      <w:r w:rsidRPr="00284EAF">
        <w:rPr>
          <w:rFonts w:ascii="Book Antiqua" w:hAnsi="Book Antiqua" w:cs="Times New Roman"/>
          <w:color w:val="000000"/>
        </w:rPr>
        <w:t>. Systematically tracking patient response and patient experience fosters a collaborative discussion between physician and patient. Patients are more likely to be satisfied if they feel they are taken seriously by their physician as well as if the consultation is interactive</w:t>
      </w:r>
      <w:r w:rsidRPr="00284EAF">
        <w:rPr>
          <w:rFonts w:ascii="Book Antiqua" w:hAnsi="Book Antiqua" w:cs="Times New Roman"/>
          <w:color w:val="000000"/>
          <w:vertAlign w:val="superscript"/>
        </w:rPr>
        <w:t>[67]</w:t>
      </w:r>
      <w:r w:rsidR="009748CE">
        <w:rPr>
          <w:rFonts w:ascii="Book Antiqua" w:hAnsi="Book Antiqua" w:cs="Times New Roman"/>
          <w:color w:val="000000"/>
        </w:rPr>
        <w:t xml:space="preserve">. </w:t>
      </w:r>
      <w:r w:rsidRPr="00284EAF">
        <w:rPr>
          <w:rFonts w:ascii="Book Antiqua" w:hAnsi="Book Antiqua" w:cs="Times New Roman"/>
          <w:color w:val="000000"/>
        </w:rPr>
        <w:t xml:space="preserve">Employing validated PRO instruments at diagnosis and during ongoing pharmacotherapy demonstrates physician concern for the GERD patient. Patients feel that their physician is serious about providing enduring symptom relief when they monitor their progress over time. Additionally, if treatment is not successful, physicians recognize treatment failures faster allowing them to adjust treatment strategies. In some treatment refractory patients this may include behavioral health referral for gut-centered cognitive behavioral therapy. Patients </w:t>
      </w:r>
      <w:r w:rsidRPr="00284EAF">
        <w:rPr>
          <w:rFonts w:ascii="Book Antiqua" w:hAnsi="Book Antiqua" w:cs="Times New Roman"/>
          <w:color w:val="000000"/>
        </w:rPr>
        <w:lastRenderedPageBreak/>
        <w:t xml:space="preserve">may be much more receptive to this discussion and referral if the physician has been employing PRO tools during ongoing care and use these as part of </w:t>
      </w:r>
      <w:r w:rsidR="004B4557">
        <w:rPr>
          <w:rFonts w:ascii="Book Antiqua" w:hAnsi="Book Antiqua" w:cs="Times New Roman"/>
          <w:color w:val="000000"/>
        </w:rPr>
        <w:t>SDM</w:t>
      </w:r>
      <w:r w:rsidRPr="00284EAF">
        <w:rPr>
          <w:rFonts w:ascii="Book Antiqua" w:hAnsi="Book Antiqua" w:cs="Times New Roman"/>
          <w:color w:val="000000"/>
        </w:rPr>
        <w:t>.</w:t>
      </w:r>
    </w:p>
    <w:p w14:paraId="6EEB70A4" w14:textId="77777777" w:rsidR="001547C4" w:rsidRPr="00284EAF" w:rsidRDefault="001547C4" w:rsidP="00284EAF">
      <w:pPr>
        <w:spacing w:line="360" w:lineRule="auto"/>
        <w:jc w:val="both"/>
        <w:rPr>
          <w:rFonts w:ascii="Book Antiqua" w:eastAsia="Times New Roman" w:hAnsi="Book Antiqua" w:cs="Times New Roman"/>
        </w:rPr>
      </w:pPr>
    </w:p>
    <w:p w14:paraId="594D37CA" w14:textId="6A99D7D1"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SHARED</w:t>
      </w:r>
      <w:r w:rsidR="004B4557">
        <w:rPr>
          <w:rFonts w:ascii="Book Antiqua" w:eastAsia="SimSun" w:hAnsi="Book Antiqua" w:cs="Times New Roman" w:hint="eastAsia"/>
          <w:b/>
          <w:bCs/>
          <w:color w:val="000000"/>
          <w:lang w:eastAsia="zh-CN"/>
        </w:rPr>
        <w:t xml:space="preserve"> </w:t>
      </w:r>
      <w:r w:rsidRPr="00284EAF">
        <w:rPr>
          <w:rFonts w:ascii="Book Antiqua" w:hAnsi="Book Antiqua" w:cs="Times New Roman"/>
          <w:b/>
          <w:bCs/>
          <w:color w:val="000000"/>
        </w:rPr>
        <w:t>DECISION MAKING IN THE DIAGNOSIS AND MANAGEMENT OF GERD</w:t>
      </w:r>
    </w:p>
    <w:p w14:paraId="02623619" w14:textId="11B15D4C"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color w:val="000000"/>
        </w:rPr>
        <w:t>Despite the fact that GERD represents one of the most common diseases encountered by primary care providers as well as gastroenterologists, there remain large gaps in actual clinical practice especially in the areas of patient-physician communication and patient satisfaction. Bytzer highlighted elements on how a physician can improve patient satisfaction in GERD treatment: improve communication between physician and patient in addition to providing accurate diagnosis and effective treatment, encouraging adherence, and managing patient expectations</w:t>
      </w:r>
      <w:r w:rsidRPr="00284EAF">
        <w:rPr>
          <w:rFonts w:ascii="Book Antiqua" w:hAnsi="Book Antiqua" w:cs="Times New Roman"/>
          <w:color w:val="000000"/>
          <w:vertAlign w:val="superscript"/>
        </w:rPr>
        <w:t>[67]</w:t>
      </w:r>
      <w:r w:rsidRPr="00284EAF">
        <w:rPr>
          <w:rFonts w:ascii="Book Antiqua" w:hAnsi="Book Antiqua" w:cs="Times New Roman"/>
          <w:color w:val="000000"/>
        </w:rPr>
        <w:t xml:space="preserve">. In often rushed clinical encounters, the patient and provider often collude in minimizing </w:t>
      </w:r>
      <w:r w:rsidR="009748CE">
        <w:rPr>
          <w:rFonts w:ascii="Book Antiqua" w:hAnsi="Book Antiqua" w:cs="Times New Roman"/>
          <w:color w:val="000000"/>
        </w:rPr>
        <w:t xml:space="preserve">patient concerns and symptoms: </w:t>
      </w:r>
      <w:r w:rsidRPr="00284EAF">
        <w:rPr>
          <w:rFonts w:ascii="Book Antiqua" w:hAnsi="Book Antiqua" w:cs="Times New Roman"/>
          <w:color w:val="000000"/>
        </w:rPr>
        <w:t xml:space="preserve">the patient does not want to disappoint the doctor and so may not proactively discuss continuing troublesome symptoms and the provider misinterprets the patients’ lack of complaint as treatment success and moves on, thereby missing opportunities to optimize </w:t>
      </w:r>
      <w:r w:rsidR="009748CE">
        <w:rPr>
          <w:rFonts w:ascii="Book Antiqua" w:hAnsi="Book Antiqua" w:cs="Times New Roman"/>
          <w:color w:val="000000"/>
        </w:rPr>
        <w:t xml:space="preserve">care and patient satisfaction. </w:t>
      </w:r>
      <w:r w:rsidRPr="00284EAF">
        <w:rPr>
          <w:rFonts w:ascii="Book Antiqua" w:hAnsi="Book Antiqua" w:cs="Times New Roman"/>
          <w:color w:val="000000"/>
        </w:rPr>
        <w:t>This kind of dysfunctional communication dynamic spans across medical disciplines. In order to combat this lack of patient-provider communication, experts have proposed a ne</w:t>
      </w:r>
      <w:r w:rsidR="004B4557">
        <w:rPr>
          <w:rFonts w:ascii="Book Antiqua" w:hAnsi="Book Antiqua" w:cs="Times New Roman"/>
          <w:color w:val="000000"/>
        </w:rPr>
        <w:t>w model for clinical practice: SDM</w:t>
      </w:r>
      <w:r w:rsidRPr="00284EAF">
        <w:rPr>
          <w:rFonts w:ascii="Book Antiqua" w:hAnsi="Book Antiqua" w:cs="Times New Roman"/>
          <w:color w:val="000000"/>
        </w:rPr>
        <w:t>.</w:t>
      </w:r>
    </w:p>
    <w:p w14:paraId="0CC21E46" w14:textId="60DD0707" w:rsidR="001547C4" w:rsidRPr="009748CE" w:rsidRDefault="004B4557" w:rsidP="009748CE">
      <w:pPr>
        <w:spacing w:line="360" w:lineRule="auto"/>
        <w:ind w:firstLineChars="100" w:firstLine="240"/>
        <w:jc w:val="both"/>
        <w:rPr>
          <w:rFonts w:ascii="Book Antiqua" w:eastAsia="SimSun" w:hAnsi="Book Antiqua" w:cs="Times New Roman"/>
          <w:lang w:eastAsia="zh-CN"/>
        </w:rPr>
      </w:pPr>
      <w:r>
        <w:rPr>
          <w:rFonts w:ascii="Book Antiqua" w:hAnsi="Book Antiqua" w:cs="Times New Roman"/>
          <w:color w:val="000000"/>
        </w:rPr>
        <w:t>SDM</w:t>
      </w:r>
      <w:r w:rsidR="001547C4" w:rsidRPr="00284EAF">
        <w:rPr>
          <w:rFonts w:ascii="Book Antiqua" w:hAnsi="Book Antiqua" w:cs="Times New Roman"/>
          <w:color w:val="000000"/>
        </w:rPr>
        <w:t xml:space="preserve"> aims to create a two-way partnership between patient and clinician encouraging not only the exchange of information but also factoring in patient values and treatment preferences. At its core, to be considered SDM, care must include a discussion of the treatment options and the pros and cons of each relevant option, a discussion of patient values and preferences, and finally a mutual decision by patient and provi</w:t>
      </w:r>
      <w:r w:rsidR="009748CE">
        <w:rPr>
          <w:rFonts w:ascii="Book Antiqua" w:hAnsi="Book Antiqua" w:cs="Times New Roman"/>
          <w:color w:val="000000"/>
        </w:rPr>
        <w:t xml:space="preserve">der including follow-up plans. </w:t>
      </w:r>
      <w:r w:rsidR="001547C4" w:rsidRPr="00284EAF">
        <w:rPr>
          <w:rFonts w:ascii="Book Antiqua" w:hAnsi="Book Antiqua" w:cs="Times New Roman"/>
          <w:color w:val="000000"/>
        </w:rPr>
        <w:t>Put more simply, SDM is a process, a conversation between the clinician and patient who, jointly, arrive at a solution to the patient’s problem</w:t>
      </w:r>
      <w:r w:rsidR="001547C4" w:rsidRPr="00284EAF">
        <w:rPr>
          <w:rFonts w:ascii="Book Antiqua" w:hAnsi="Book Antiqua" w:cs="Times New Roman"/>
          <w:color w:val="000000"/>
          <w:vertAlign w:val="superscript"/>
        </w:rPr>
        <w:t>[68]</w:t>
      </w:r>
      <w:r w:rsidR="009748CE">
        <w:rPr>
          <w:rFonts w:ascii="Book Antiqua" w:hAnsi="Book Antiqua" w:cs="Times New Roman"/>
          <w:color w:val="000000"/>
        </w:rPr>
        <w:t xml:space="preserve">. </w:t>
      </w:r>
      <w:r w:rsidR="001547C4" w:rsidRPr="00284EAF">
        <w:rPr>
          <w:rFonts w:ascii="Book Antiqua" w:hAnsi="Book Antiqua" w:cs="Times New Roman"/>
          <w:color w:val="000000"/>
        </w:rPr>
        <w:t xml:space="preserve">Many providers already </w:t>
      </w:r>
      <w:r w:rsidR="001547C4" w:rsidRPr="00284EAF">
        <w:rPr>
          <w:rFonts w:ascii="Book Antiqua" w:hAnsi="Book Antiqua" w:cs="Times New Roman"/>
          <w:color w:val="000000"/>
        </w:rPr>
        <w:lastRenderedPageBreak/>
        <w:t xml:space="preserve">engage patients in some of these </w:t>
      </w:r>
      <w:r w:rsidR="009748CE" w:rsidRPr="00284EAF">
        <w:rPr>
          <w:rFonts w:ascii="Book Antiqua" w:hAnsi="Book Antiqua" w:cs="Times New Roman"/>
          <w:color w:val="000000"/>
        </w:rPr>
        <w:t>processes;</w:t>
      </w:r>
      <w:r w:rsidR="001547C4" w:rsidRPr="00284EAF">
        <w:rPr>
          <w:rFonts w:ascii="Book Antiqua" w:hAnsi="Book Antiqua" w:cs="Times New Roman"/>
          <w:color w:val="000000"/>
        </w:rPr>
        <w:t xml:space="preserve"> however all of these elements must occur in the clinical encounter for </w:t>
      </w:r>
      <w:r w:rsidR="009748CE">
        <w:rPr>
          <w:rFonts w:ascii="Book Antiqua" w:hAnsi="Book Antiqua" w:cs="Times New Roman"/>
          <w:color w:val="000000"/>
        </w:rPr>
        <w:t xml:space="preserve">the care to be considered SDM. </w:t>
      </w:r>
      <w:r w:rsidR="001547C4" w:rsidRPr="00284EAF">
        <w:rPr>
          <w:rFonts w:ascii="Book Antiqua" w:hAnsi="Book Antiqua" w:cs="Times New Roman"/>
          <w:color w:val="000000"/>
        </w:rPr>
        <w:t>Studies assessing provider adherence to SDM principles and care have demonstrated clinicians often overestimate their level of patien</w:t>
      </w:r>
      <w:r w:rsidR="009748CE">
        <w:rPr>
          <w:rFonts w:ascii="Book Antiqua" w:hAnsi="Book Antiqua" w:cs="Times New Roman"/>
          <w:color w:val="000000"/>
        </w:rPr>
        <w:t>t engagement and involvement.</w:t>
      </w:r>
    </w:p>
    <w:p w14:paraId="0E1017F6" w14:textId="1A637DD3" w:rsidR="001547C4" w:rsidRPr="00284EAF" w:rsidRDefault="001547C4" w:rsidP="009748CE">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While the evidence is still growing, the SDM approach has been shown to increase patient satisfaction and treatment adherence especially in chronic conditions. The strongest evidence supports an increase in patient satisfaction when utilizing an SDM approach</w:t>
      </w:r>
      <w:r w:rsidRPr="00284EAF">
        <w:rPr>
          <w:rFonts w:ascii="Book Antiqua" w:hAnsi="Book Antiqua" w:cs="Times New Roman"/>
          <w:color w:val="000000"/>
          <w:vertAlign w:val="superscript"/>
        </w:rPr>
        <w:t>[69]</w:t>
      </w:r>
      <w:r w:rsidRPr="00284EAF">
        <w:rPr>
          <w:rFonts w:ascii="Book Antiqua" w:hAnsi="Book Antiqua" w:cs="Times New Roman"/>
          <w:color w:val="000000"/>
        </w:rPr>
        <w:t>. It has been more difficult to demonstrate improved health outcomes or decreased levels of health utilization</w:t>
      </w:r>
      <w:r w:rsidRPr="00284EAF">
        <w:rPr>
          <w:rFonts w:ascii="Book Antiqua" w:hAnsi="Book Antiqua" w:cs="Times New Roman"/>
          <w:color w:val="000000"/>
          <w:vertAlign w:val="superscript"/>
        </w:rPr>
        <w:t>[69]</w:t>
      </w:r>
      <w:r w:rsidRPr="00284EAF">
        <w:rPr>
          <w:rFonts w:ascii="Book Antiqua" w:hAnsi="Book Antiqua" w:cs="Times New Roman"/>
          <w:color w:val="000000"/>
        </w:rPr>
        <w:t>. The latter was thought to be a potential by-product of SDM care rather than a goal of SDM.</w:t>
      </w:r>
    </w:p>
    <w:p w14:paraId="1A73E924" w14:textId="5AB67B81" w:rsidR="001547C4" w:rsidRPr="009748CE"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Often, providers use decision aids or communication tools to promote the SDM clinical conversation. Tools such as patient decision or conversation aids are not necessary for care to count as SDM</w:t>
      </w:r>
      <w:r w:rsidR="009748CE">
        <w:rPr>
          <w:rFonts w:ascii="Book Antiqua" w:eastAsia="SimSun" w:hAnsi="Book Antiqua" w:cs="Times New Roman" w:hint="eastAsia"/>
          <w:color w:val="000000"/>
          <w:lang w:eastAsia="zh-CN"/>
        </w:rPr>
        <w:t xml:space="preserve"> - </w:t>
      </w:r>
      <w:r w:rsidRPr="00284EAF">
        <w:rPr>
          <w:rFonts w:ascii="Book Antiqua" w:hAnsi="Book Antiqua" w:cs="Times New Roman"/>
          <w:color w:val="000000"/>
        </w:rPr>
        <w:t>also the evidence that these tools improve care remains low</w:t>
      </w:r>
      <w:r w:rsidRPr="00284EAF">
        <w:rPr>
          <w:rFonts w:ascii="Book Antiqua" w:hAnsi="Book Antiqua" w:cs="Times New Roman"/>
          <w:color w:val="000000"/>
          <w:vertAlign w:val="superscript"/>
        </w:rPr>
        <w:t>[70]</w:t>
      </w:r>
      <w:r w:rsidRPr="00284EAF">
        <w:rPr>
          <w:rFonts w:ascii="Book Antiqua" w:hAnsi="Book Antiqua" w:cs="Times New Roman"/>
          <w:color w:val="000000"/>
        </w:rPr>
        <w:t>. In fact, while tools and decision aids and choices are critical elements of SDM, the concept focuses heavily on the conversation, evident caring, and mutually respectful relationship of the physician and patient</w:t>
      </w:r>
      <w:r w:rsidRPr="00284EAF">
        <w:rPr>
          <w:rFonts w:ascii="Book Antiqua" w:hAnsi="Book Antiqua" w:cs="Times New Roman"/>
          <w:color w:val="000000"/>
          <w:vertAlign w:val="superscript"/>
        </w:rPr>
        <w:t>[71]</w:t>
      </w:r>
      <w:r w:rsidR="009748CE">
        <w:rPr>
          <w:rFonts w:ascii="Book Antiqua" w:hAnsi="Book Antiqua" w:cs="Times New Roman"/>
          <w:color w:val="000000"/>
        </w:rPr>
        <w:t>.</w:t>
      </w:r>
    </w:p>
    <w:p w14:paraId="6BC3B7D2" w14:textId="6C4F1A96" w:rsidR="001547C4" w:rsidRPr="009748CE"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SDM has been studied in many conditions including multiple sclerosis</w:t>
      </w:r>
      <w:r w:rsidRPr="00284EAF">
        <w:rPr>
          <w:rFonts w:ascii="Book Antiqua" w:hAnsi="Book Antiqua" w:cs="Times New Roman"/>
          <w:color w:val="000000"/>
          <w:vertAlign w:val="superscript"/>
        </w:rPr>
        <w:t>[72]</w:t>
      </w:r>
      <w:r w:rsidRPr="00284EAF">
        <w:rPr>
          <w:rFonts w:ascii="Book Antiqua" w:hAnsi="Book Antiqua" w:cs="Times New Roman"/>
          <w:color w:val="000000"/>
        </w:rPr>
        <w:t>, Coronary Heart Disease</w:t>
      </w:r>
      <w:r w:rsidRPr="00284EAF">
        <w:rPr>
          <w:rFonts w:ascii="Book Antiqua" w:hAnsi="Book Antiqua" w:cs="Times New Roman"/>
          <w:color w:val="000000"/>
          <w:vertAlign w:val="superscript"/>
        </w:rPr>
        <w:t>[73]</w:t>
      </w:r>
      <w:r w:rsidRPr="00284EAF">
        <w:rPr>
          <w:rFonts w:ascii="Book Antiqua" w:hAnsi="Book Antiqua" w:cs="Times New Roman"/>
          <w:color w:val="000000"/>
        </w:rPr>
        <w:t>, and depression</w:t>
      </w:r>
      <w:r w:rsidRPr="00284EAF">
        <w:rPr>
          <w:rFonts w:ascii="Book Antiqua" w:hAnsi="Book Antiqua" w:cs="Times New Roman"/>
          <w:color w:val="000000"/>
          <w:vertAlign w:val="superscript"/>
        </w:rPr>
        <w:t>[74]</w:t>
      </w:r>
      <w:r w:rsidRPr="00284EAF">
        <w:rPr>
          <w:rFonts w:ascii="Book Antiqua" w:hAnsi="Book Antiqua" w:cs="Times New Roman"/>
          <w:color w:val="222222"/>
          <w:shd w:val="clear" w:color="auto" w:fill="FFFFFF"/>
        </w:rPr>
        <w:t xml:space="preserve">. </w:t>
      </w:r>
      <w:r w:rsidRPr="00284EAF">
        <w:rPr>
          <w:rFonts w:ascii="Book Antiqua" w:hAnsi="Book Antiqua" w:cs="Times New Roman"/>
          <w:color w:val="000000"/>
        </w:rPr>
        <w:t>The European Crohn’s and Colitis Organization’s review on treatment withdrawal in Inflammatory Bowel Disease briefly mentioned SDM</w:t>
      </w:r>
      <w:r w:rsidRPr="00284EAF">
        <w:rPr>
          <w:rFonts w:ascii="Book Antiqua" w:hAnsi="Book Antiqua" w:cs="Times New Roman"/>
          <w:color w:val="000000"/>
          <w:vertAlign w:val="superscript"/>
        </w:rPr>
        <w:t>[75]</w:t>
      </w:r>
      <w:r w:rsidRPr="00284EAF">
        <w:rPr>
          <w:rFonts w:ascii="Book Antiqua" w:hAnsi="Book Antiqua" w:cs="Times New Roman"/>
          <w:color w:val="222222"/>
          <w:shd w:val="clear" w:color="auto" w:fill="FFFFFF"/>
        </w:rPr>
        <w:t xml:space="preserve">. </w:t>
      </w:r>
      <w:r w:rsidRPr="00284EAF">
        <w:rPr>
          <w:rFonts w:ascii="Book Antiqua" w:hAnsi="Book Antiqua" w:cs="Times New Roman"/>
          <w:color w:val="000000"/>
        </w:rPr>
        <w:t>Surprisingly, SDM has not been studied in GERD. The SDM approach to GERD treatment management can be a way for clinicians to provide more patient-centered care and improve patient satisfaction. Every step in GERD management</w:t>
      </w:r>
      <w:r w:rsidR="009748CE">
        <w:rPr>
          <w:rFonts w:ascii="Book Antiqua" w:eastAsia="SimSun" w:hAnsi="Book Antiqua" w:cs="Times New Roman" w:hint="eastAsia"/>
          <w:color w:val="000000"/>
          <w:lang w:eastAsia="zh-CN"/>
        </w:rPr>
        <w:t xml:space="preserve"> - </w:t>
      </w:r>
      <w:r w:rsidRPr="00284EAF">
        <w:rPr>
          <w:rFonts w:ascii="Book Antiqua" w:hAnsi="Book Antiqua" w:cs="Times New Roman"/>
          <w:color w:val="000000"/>
        </w:rPr>
        <w:t>diagnosis, medication trials and adjustments, further work-up for refractory symptoms provides an opportunity for the practice of SDM. Clinicians need to identify which troublesome symptoms matter most to their patients. This will necessarily</w:t>
      </w:r>
      <w:r w:rsidR="009748CE">
        <w:rPr>
          <w:rFonts w:ascii="Book Antiqua" w:hAnsi="Book Antiqua" w:cs="Times New Roman"/>
          <w:color w:val="000000"/>
        </w:rPr>
        <w:t xml:space="preserve"> vary from patient to patient. </w:t>
      </w:r>
      <w:r w:rsidRPr="00284EAF">
        <w:rPr>
          <w:rFonts w:ascii="Book Antiqua" w:hAnsi="Book Antiqua" w:cs="Times New Roman"/>
          <w:color w:val="000000"/>
        </w:rPr>
        <w:t xml:space="preserve">Without this conversation, clinicians may not focus on what the patient feels is most important. One way for clinicians to gather this information on an ongoing </w:t>
      </w:r>
      <w:r w:rsidRPr="00284EAF">
        <w:rPr>
          <w:rFonts w:ascii="Book Antiqua" w:hAnsi="Book Antiqua" w:cs="Times New Roman"/>
          <w:color w:val="000000"/>
        </w:rPr>
        <w:lastRenderedPageBreak/>
        <w:t>basis employs the use of PROs discussed above. In the absence of decision aids and conversation aids, PRO tools can help the clinician hone in on continuing patient concerns and trac</w:t>
      </w:r>
      <w:r w:rsidR="009748CE">
        <w:rPr>
          <w:rFonts w:ascii="Book Antiqua" w:hAnsi="Book Antiqua" w:cs="Times New Roman"/>
          <w:color w:val="000000"/>
        </w:rPr>
        <w:t>k treatment progress overtime.</w:t>
      </w:r>
    </w:p>
    <w:p w14:paraId="4E6FDC27" w14:textId="570812D9" w:rsidR="001547C4" w:rsidRPr="00760F91" w:rsidRDefault="001547C4" w:rsidP="009748CE">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 xml:space="preserve">Medication adherence and proper dosing including the time of </w:t>
      </w:r>
      <w:r w:rsidR="009748CE" w:rsidRPr="00284EAF">
        <w:rPr>
          <w:rFonts w:ascii="Book Antiqua" w:hAnsi="Book Antiqua" w:cs="Times New Roman"/>
          <w:color w:val="000000"/>
        </w:rPr>
        <w:t>dose</w:t>
      </w:r>
      <w:r w:rsidRPr="00284EAF">
        <w:rPr>
          <w:rFonts w:ascii="Book Antiqua" w:hAnsi="Book Antiqua" w:cs="Times New Roman"/>
          <w:color w:val="000000"/>
        </w:rPr>
        <w:t xml:space="preserve"> also need to be monitore</w:t>
      </w:r>
      <w:r w:rsidR="009748CE">
        <w:rPr>
          <w:rFonts w:ascii="Book Antiqua" w:hAnsi="Book Antiqua" w:cs="Times New Roman"/>
          <w:color w:val="000000"/>
        </w:rPr>
        <w:t xml:space="preserve">d and addressed with patients. </w:t>
      </w:r>
      <w:r w:rsidRPr="00284EAF">
        <w:rPr>
          <w:rFonts w:ascii="Book Antiqua" w:hAnsi="Book Antiqua" w:cs="Times New Roman"/>
          <w:color w:val="000000"/>
        </w:rPr>
        <w:t>The SDM approach encourages patients to share their concerns and includes their experience as a c</w:t>
      </w:r>
      <w:r w:rsidR="00760F91">
        <w:rPr>
          <w:rFonts w:ascii="Book Antiqua" w:hAnsi="Book Antiqua" w:cs="Times New Roman"/>
          <w:color w:val="000000"/>
        </w:rPr>
        <w:t xml:space="preserve">entral part of care decisions. </w:t>
      </w:r>
      <w:r w:rsidRPr="00284EAF">
        <w:rPr>
          <w:rFonts w:ascii="Book Antiqua" w:hAnsi="Book Antiqua" w:cs="Times New Roman"/>
          <w:color w:val="000000"/>
        </w:rPr>
        <w:t>Finally, optimal care, which includes SDM approaches, should include basic patient education about the brain-gut bidirectional pain pathway. This educational information can provide the patient with a framework to understand that not all o</w:t>
      </w:r>
      <w:r w:rsidR="00760F91">
        <w:rPr>
          <w:rFonts w:ascii="Book Antiqua" w:hAnsi="Book Antiqua" w:cs="Times New Roman"/>
          <w:color w:val="000000"/>
        </w:rPr>
        <w:t xml:space="preserve">f their symptoms will resolve. </w:t>
      </w:r>
      <w:r w:rsidRPr="00284EAF">
        <w:rPr>
          <w:rFonts w:ascii="Book Antiqua" w:hAnsi="Book Antiqua" w:cs="Times New Roman"/>
          <w:color w:val="000000"/>
        </w:rPr>
        <w:t xml:space="preserve">Utilizing the SDM process can help clinicians optimize treatment, but may also help the patient understand, accept, and manage residual persisting symptoms potentially avoiding unnecessary </w:t>
      </w:r>
      <w:r w:rsidR="00760F91">
        <w:rPr>
          <w:rFonts w:ascii="Book Antiqua" w:hAnsi="Book Antiqua" w:cs="Times New Roman"/>
          <w:color w:val="000000"/>
        </w:rPr>
        <w:t>invasive testing and expense.</w:t>
      </w:r>
    </w:p>
    <w:p w14:paraId="345D92C5" w14:textId="59AF385B" w:rsidR="001547C4" w:rsidRPr="00760F91" w:rsidRDefault="001547C4" w:rsidP="00760F91">
      <w:pPr>
        <w:spacing w:line="360" w:lineRule="auto"/>
        <w:ind w:firstLineChars="100" w:firstLine="240"/>
        <w:jc w:val="both"/>
        <w:rPr>
          <w:rFonts w:ascii="Book Antiqua" w:eastAsia="SimSun" w:hAnsi="Book Antiqua" w:cs="Times New Roman"/>
          <w:lang w:eastAsia="zh-CN"/>
        </w:rPr>
      </w:pPr>
      <w:r w:rsidRPr="00284EAF">
        <w:rPr>
          <w:rFonts w:ascii="Book Antiqua" w:hAnsi="Book Antiqua" w:cs="Times New Roman"/>
          <w:color w:val="000000"/>
        </w:rPr>
        <w:t>Employing PRO tools as part of the SDM model may help improve the use of PPI therapy in several ways. Patients who have a good initial response to PPIs can be monitored and maintained on the lowest dose necessary to control symptoms. PROs can also help the clinician explore reasons for treatment failure including checking for adherence and proper dosing 30 min prior to eating or</w:t>
      </w:r>
      <w:r w:rsidR="00760F91">
        <w:rPr>
          <w:rFonts w:ascii="Book Antiqua" w:hAnsi="Book Antiqua" w:cs="Times New Roman"/>
          <w:color w:val="000000"/>
        </w:rPr>
        <w:t xml:space="preserve"> the need for dose-escalation. </w:t>
      </w:r>
      <w:r w:rsidRPr="00284EAF">
        <w:rPr>
          <w:rFonts w:ascii="Book Antiqua" w:hAnsi="Book Antiqua" w:cs="Times New Roman"/>
          <w:color w:val="000000"/>
        </w:rPr>
        <w:t>Long-term PPI therapy carries increased risk of enteric infections and community acquired pneumonia, increased hip and vertebral fractures possibly due to the decreased absorption of calcium, and secondary hypergastrinemia and rebound acid hypersecretion</w:t>
      </w:r>
      <w:r w:rsidRPr="00284EAF">
        <w:rPr>
          <w:rFonts w:ascii="Book Antiqua" w:hAnsi="Book Antiqua" w:cs="Times New Roman"/>
          <w:color w:val="000000"/>
          <w:vertAlign w:val="superscript"/>
        </w:rPr>
        <w:t>[24]</w:t>
      </w:r>
      <w:r w:rsidRPr="00284EAF">
        <w:rPr>
          <w:rFonts w:ascii="Book Antiqua" w:hAnsi="Book Antiqua" w:cs="Times New Roman"/>
          <w:color w:val="000000"/>
        </w:rPr>
        <w:t>. Limiting unnecessary PPI exposure should be a treatment goal and PROs can help guide optimal care. Many patients remain on excessive doses of PPIs exposing them to risk and expense. The majority of PPI responders can successfully step-down their use of PPIs without negatively affecting their QOL</w:t>
      </w:r>
      <w:r w:rsidRPr="00284EAF">
        <w:rPr>
          <w:rFonts w:ascii="Book Antiqua" w:hAnsi="Book Antiqua" w:cs="Times New Roman"/>
          <w:color w:val="000000"/>
          <w:vertAlign w:val="superscript"/>
        </w:rPr>
        <w:t>[44,45]</w:t>
      </w:r>
      <w:r w:rsidR="00760F91">
        <w:rPr>
          <w:rFonts w:ascii="Book Antiqua" w:hAnsi="Book Antiqua" w:cs="Times New Roman"/>
          <w:color w:val="000000"/>
        </w:rPr>
        <w:t>.</w:t>
      </w:r>
    </w:p>
    <w:p w14:paraId="04D457CD" w14:textId="01EB1D08" w:rsidR="001547C4" w:rsidRPr="00284EAF" w:rsidRDefault="001547C4" w:rsidP="00760F91">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Overuse and misuse of PPIs leads to needless expense, increased risk, and no benefit to patient experience or satisfaction. PROs can help physicians track this initial treatment response and better engage patients in an ongoing conversation </w:t>
      </w:r>
      <w:r w:rsidRPr="00284EAF">
        <w:rPr>
          <w:rFonts w:ascii="Book Antiqua" w:hAnsi="Book Antiqua" w:cs="Times New Roman"/>
          <w:color w:val="000000"/>
        </w:rPr>
        <w:lastRenderedPageBreak/>
        <w:t>about their troublesome symptoms and QOL. One study revealed that physicians alter their treatment decision 35% of the time based on information gleaned from the GIS (a common PRO)</w:t>
      </w:r>
      <w:r w:rsidRPr="00284EAF">
        <w:rPr>
          <w:rFonts w:ascii="Book Antiqua" w:hAnsi="Book Antiqua" w:cs="Times New Roman"/>
          <w:color w:val="000000"/>
          <w:vertAlign w:val="superscript"/>
        </w:rPr>
        <w:t>[59]</w:t>
      </w:r>
      <w:r w:rsidRPr="00284EAF">
        <w:rPr>
          <w:rFonts w:ascii="Book Antiqua" w:hAnsi="Book Antiqua" w:cs="Times New Roman"/>
          <w:color w:val="000000"/>
        </w:rPr>
        <w:t>. Clinicians need to find efficient, effective ways to gather critical clinical info</w:t>
      </w:r>
      <w:r w:rsidR="00760F91">
        <w:rPr>
          <w:rFonts w:ascii="Book Antiqua" w:hAnsi="Book Antiqua" w:cs="Times New Roman"/>
          <w:color w:val="000000"/>
        </w:rPr>
        <w:t xml:space="preserve">rmation from patients. </w:t>
      </w:r>
      <w:r w:rsidRPr="00284EAF">
        <w:rPr>
          <w:rFonts w:ascii="Book Antiqua" w:hAnsi="Book Antiqua" w:cs="Times New Roman"/>
          <w:color w:val="000000"/>
        </w:rPr>
        <w:t>PROs may be one of many tools clinicians can use to promote dialogue with patients about their symptoms and treatment priorities in the context of the SDM patient encounter.</w:t>
      </w:r>
    </w:p>
    <w:p w14:paraId="61390AD8" w14:textId="2D8BF67B" w:rsidR="001547C4" w:rsidRPr="00284EAF" w:rsidRDefault="001547C4" w:rsidP="00760F91">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Lifestyle modifications remain a potent but often neglected area of treatment recommendation and disease m</w:t>
      </w:r>
      <w:r w:rsidR="00760F91">
        <w:rPr>
          <w:rFonts w:ascii="Book Antiqua" w:hAnsi="Book Antiqua" w:cs="Times New Roman"/>
          <w:color w:val="000000"/>
        </w:rPr>
        <w:t xml:space="preserve">odification for GERD patients. </w:t>
      </w:r>
      <w:r w:rsidRPr="00284EAF">
        <w:rPr>
          <w:rFonts w:ascii="Book Antiqua" w:hAnsi="Book Antiqua" w:cs="Times New Roman"/>
          <w:color w:val="000000"/>
        </w:rPr>
        <w:t>Providers should return again and again to these proven strategies. Weight loss, smoking cessation, avoiding trigger foods, decreased alcohol use, avoiding late night meals and elevating the head of the bed have all been shown to reduce GERD symptoms and improve QOL</w:t>
      </w:r>
      <w:r w:rsidRPr="00284EAF">
        <w:rPr>
          <w:rFonts w:ascii="Book Antiqua" w:hAnsi="Book Antiqua" w:cs="Times New Roman"/>
          <w:color w:val="000000"/>
          <w:vertAlign w:val="superscript"/>
        </w:rPr>
        <w:t>[24]</w:t>
      </w:r>
      <w:r w:rsidRPr="00284EAF">
        <w:rPr>
          <w:rFonts w:ascii="Book Antiqua" w:hAnsi="Book Antiqua" w:cs="Times New Roman"/>
          <w:color w:val="000000"/>
        </w:rPr>
        <w:t>. Continued engagement with patients on these conservative, lifestyle management strategies promotes patient self-management and has been shown to improve perceived symptoms</w:t>
      </w:r>
      <w:r w:rsidRPr="00284EAF">
        <w:rPr>
          <w:rFonts w:ascii="Book Antiqua" w:hAnsi="Book Antiqua" w:cs="Times New Roman"/>
          <w:color w:val="000000"/>
          <w:vertAlign w:val="superscript"/>
        </w:rPr>
        <w:t>[76,77]</w:t>
      </w:r>
      <w:r w:rsidRPr="00284EAF">
        <w:rPr>
          <w:rFonts w:ascii="Book Antiqua" w:hAnsi="Book Antiqua" w:cs="Times New Roman"/>
          <w:color w:val="000000"/>
        </w:rPr>
        <w:t>. The SDM approach can help facilitate a conversation with the patient on lifestyle changes. While a detailed discussion is outside the scope of this article, Motivational Interviewing may also be a supporting technique for use in the SDM patient care approach</w:t>
      </w:r>
      <w:r w:rsidRPr="00284EAF">
        <w:rPr>
          <w:rFonts w:ascii="Book Antiqua" w:hAnsi="Book Antiqua" w:cs="Times New Roman"/>
          <w:color w:val="000000"/>
          <w:vertAlign w:val="superscript"/>
        </w:rPr>
        <w:t>[78]</w:t>
      </w:r>
      <w:r w:rsidRPr="00284EAF">
        <w:rPr>
          <w:rFonts w:ascii="Book Antiqua" w:hAnsi="Book Antiqua" w:cs="Times New Roman"/>
          <w:color w:val="000000"/>
        </w:rPr>
        <w:t>.</w:t>
      </w:r>
    </w:p>
    <w:p w14:paraId="6461E339" w14:textId="6D7B8F98" w:rsidR="001547C4" w:rsidRPr="00284EAF" w:rsidRDefault="001547C4" w:rsidP="00760F91">
      <w:pPr>
        <w:spacing w:line="360" w:lineRule="auto"/>
        <w:ind w:firstLineChars="100" w:firstLine="240"/>
        <w:jc w:val="both"/>
        <w:rPr>
          <w:rFonts w:ascii="Book Antiqua" w:hAnsi="Book Antiqua" w:cs="Times New Roman"/>
        </w:rPr>
      </w:pPr>
      <w:r w:rsidRPr="00284EAF">
        <w:rPr>
          <w:rFonts w:ascii="Book Antiqua" w:hAnsi="Book Antiqua" w:cs="Times New Roman"/>
          <w:color w:val="000000"/>
        </w:rPr>
        <w:t xml:space="preserve">By applying SDM principles in the management of GERD, both the generalist and specialist can target specific areas where physicians have frequently been shown not to follow treatment guidelines. It also could decrease the chance of a breakdown in patient-physician communication. </w:t>
      </w:r>
    </w:p>
    <w:p w14:paraId="1A56EAFC" w14:textId="77777777" w:rsidR="001547C4" w:rsidRPr="00284EAF" w:rsidRDefault="001547C4" w:rsidP="00284EAF">
      <w:pPr>
        <w:spacing w:line="360" w:lineRule="auto"/>
        <w:jc w:val="both"/>
        <w:rPr>
          <w:rFonts w:ascii="Book Antiqua" w:eastAsia="Times New Roman" w:hAnsi="Book Antiqua" w:cs="Times New Roman"/>
        </w:rPr>
      </w:pPr>
    </w:p>
    <w:p w14:paraId="138180E5"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t>CONCLUSION</w:t>
      </w:r>
    </w:p>
    <w:p w14:paraId="61316F1A" w14:textId="79C5BD2E" w:rsidR="001547C4" w:rsidRPr="00760F91" w:rsidRDefault="001547C4" w:rsidP="00284EAF">
      <w:pPr>
        <w:spacing w:line="360" w:lineRule="auto"/>
        <w:jc w:val="both"/>
        <w:rPr>
          <w:rFonts w:ascii="Book Antiqua" w:eastAsia="SimSun" w:hAnsi="Book Antiqua" w:cs="Times New Roman"/>
          <w:lang w:eastAsia="zh-CN"/>
        </w:rPr>
      </w:pPr>
      <w:r w:rsidRPr="00284EAF">
        <w:rPr>
          <w:rFonts w:ascii="Book Antiqua" w:hAnsi="Book Antiqua" w:cs="Times New Roman"/>
          <w:color w:val="000000"/>
        </w:rPr>
        <w:t>GERD management can be complex, involving multiple avenues of trial and error, from lifestyle modifi</w:t>
      </w:r>
      <w:r w:rsidR="00760F91">
        <w:rPr>
          <w:rFonts w:ascii="Book Antiqua" w:hAnsi="Book Antiqua" w:cs="Times New Roman"/>
          <w:color w:val="000000"/>
        </w:rPr>
        <w:t xml:space="preserve">cations to medication therapy. </w:t>
      </w:r>
      <w:r w:rsidRPr="00284EAF">
        <w:rPr>
          <w:rFonts w:ascii="Book Antiqua" w:hAnsi="Book Antiqua" w:cs="Times New Roman"/>
          <w:color w:val="000000"/>
        </w:rPr>
        <w:t xml:space="preserve">PPI therapy can be successful for some, but often does not provide complete resolution of symptoms. Long-term PPI therapy can put patients at risk for serious side effects and needless expense. The brain-gut connection may be important in explaining non-PPI responders. Emerging consensus has focused on the relatively new </w:t>
      </w:r>
      <w:r w:rsidRPr="00284EAF">
        <w:rPr>
          <w:rFonts w:ascii="Book Antiqua" w:hAnsi="Book Antiqua" w:cs="Times New Roman"/>
          <w:color w:val="000000"/>
        </w:rPr>
        <w:lastRenderedPageBreak/>
        <w:t>concept of hypervigilance to best understand this challenging population of patients. Given that the goal of treatment is managing symptoms, patient-physician communication is important. The paucity of literature on physician-patient communication in the treatment of GERD calls for more research in this area. Further, a disparity between patients and providers regarding GERD management can also impact patient satisfaction. This necessitates understanding and validating a patient’s perspectives and values pertaining to his or her illness and choices, in addition to effectively obtaining information. SDM with the incorporation of PROs includes the patient in their treatment, promoting patient adherence and satisfaction. SDM manages patient expectations of GERD management, ultimately impa</w:t>
      </w:r>
      <w:r w:rsidR="00760F91">
        <w:rPr>
          <w:rFonts w:ascii="Book Antiqua" w:hAnsi="Book Antiqua" w:cs="Times New Roman"/>
          <w:color w:val="000000"/>
        </w:rPr>
        <w:t>cting their health-related QOL.</w:t>
      </w:r>
    </w:p>
    <w:p w14:paraId="7DBB7DED" w14:textId="77777777" w:rsidR="00760F91" w:rsidRDefault="00760F91" w:rsidP="00284EAF">
      <w:pPr>
        <w:spacing w:line="360" w:lineRule="auto"/>
        <w:jc w:val="both"/>
        <w:rPr>
          <w:rFonts w:ascii="Book Antiqua" w:eastAsia="SimSun" w:hAnsi="Book Antiqua" w:cs="Times New Roman"/>
          <w:b/>
          <w:bCs/>
          <w:color w:val="000000"/>
          <w:lang w:eastAsia="zh-CN"/>
        </w:rPr>
      </w:pPr>
    </w:p>
    <w:p w14:paraId="40802E02" w14:textId="01037C12" w:rsidR="001547C4" w:rsidRPr="00760F91" w:rsidRDefault="00284EAF" w:rsidP="00284EAF">
      <w:pPr>
        <w:spacing w:line="360" w:lineRule="auto"/>
        <w:jc w:val="both"/>
        <w:rPr>
          <w:rFonts w:ascii="Book Antiqua" w:hAnsi="Book Antiqua" w:cs="Times New Roman"/>
          <w:b/>
          <w:bCs/>
          <w:color w:val="000000"/>
        </w:rPr>
      </w:pPr>
      <w:r>
        <w:rPr>
          <w:rFonts w:ascii="Book Antiqua" w:hAnsi="Book Antiqua" w:cs="Times New Roman"/>
          <w:b/>
          <w:bCs/>
          <w:color w:val="000000"/>
        </w:rPr>
        <w:t>AKCNOWLEDGMENT</w:t>
      </w:r>
    </w:p>
    <w:p w14:paraId="1071DC58" w14:textId="77777777"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color w:val="000000"/>
        </w:rPr>
        <w:t>We express our sincere gratitude to our librarians, Mrs. Jane Moran and Mrs. Sarah Wade, for assisting with the literature search.</w:t>
      </w:r>
    </w:p>
    <w:p w14:paraId="7B1ED8BB" w14:textId="77777777" w:rsidR="001547C4" w:rsidRPr="00284EAF" w:rsidRDefault="001547C4" w:rsidP="00284EAF">
      <w:pPr>
        <w:spacing w:line="360" w:lineRule="auto"/>
        <w:jc w:val="both"/>
        <w:rPr>
          <w:rFonts w:ascii="Book Antiqua" w:eastAsia="Times New Roman" w:hAnsi="Book Antiqua" w:cs="Times New Roman"/>
        </w:rPr>
      </w:pPr>
    </w:p>
    <w:p w14:paraId="13E5D619" w14:textId="77777777" w:rsidR="00760F91" w:rsidRDefault="00760F91">
      <w:pPr>
        <w:rPr>
          <w:rFonts w:ascii="Book Antiqua" w:hAnsi="Book Antiqua" w:cs="Times New Roman"/>
          <w:b/>
          <w:bCs/>
          <w:color w:val="000000"/>
        </w:rPr>
      </w:pPr>
      <w:r>
        <w:rPr>
          <w:rFonts w:ascii="Book Antiqua" w:hAnsi="Book Antiqua" w:cs="Times New Roman"/>
          <w:b/>
          <w:bCs/>
          <w:color w:val="000000"/>
        </w:rPr>
        <w:br w:type="page"/>
      </w:r>
    </w:p>
    <w:p w14:paraId="696D8A0C" w14:textId="1CDAE091" w:rsidR="001547C4" w:rsidRPr="00284EAF" w:rsidRDefault="001547C4" w:rsidP="00284EAF">
      <w:pPr>
        <w:spacing w:line="360" w:lineRule="auto"/>
        <w:jc w:val="both"/>
        <w:rPr>
          <w:rFonts w:ascii="Book Antiqua" w:hAnsi="Book Antiqua" w:cs="Times New Roman"/>
        </w:rPr>
      </w:pPr>
      <w:r w:rsidRPr="00284EAF">
        <w:rPr>
          <w:rFonts w:ascii="Book Antiqua" w:hAnsi="Book Antiqua" w:cs="Times New Roman"/>
          <w:b/>
          <w:bCs/>
          <w:color w:val="000000"/>
        </w:rPr>
        <w:lastRenderedPageBreak/>
        <w:t xml:space="preserve">REFERENCES </w:t>
      </w:r>
    </w:p>
    <w:p w14:paraId="7737F851"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 </w:t>
      </w:r>
      <w:r w:rsidRPr="00284EAF">
        <w:rPr>
          <w:rFonts w:ascii="Book Antiqua" w:hAnsi="Book Antiqua"/>
          <w:b/>
        </w:rPr>
        <w:t>Cohen E</w:t>
      </w:r>
      <w:r w:rsidRPr="00284EAF">
        <w:rPr>
          <w:rFonts w:ascii="Book Antiqua" w:hAnsi="Book Antiqua"/>
        </w:rPr>
        <w:t xml:space="preserve">, Bolus R, Khanna D, Hays RD, Chang L, Melmed GY, Khanna P, Spiegel B. GERD symptoms in the general population: prevalence and severity versus care-seeking patients. </w:t>
      </w:r>
      <w:r w:rsidRPr="00284EAF">
        <w:rPr>
          <w:rFonts w:ascii="Book Antiqua" w:hAnsi="Book Antiqua"/>
          <w:i/>
        </w:rPr>
        <w:t>Dig Dis Sci</w:t>
      </w:r>
      <w:r w:rsidRPr="00284EAF">
        <w:rPr>
          <w:rFonts w:ascii="Book Antiqua" w:hAnsi="Book Antiqua"/>
        </w:rPr>
        <w:t xml:space="preserve"> 2014; </w:t>
      </w:r>
      <w:r w:rsidRPr="00284EAF">
        <w:rPr>
          <w:rFonts w:ascii="Book Antiqua" w:hAnsi="Book Antiqua"/>
          <w:b/>
        </w:rPr>
        <w:t>59</w:t>
      </w:r>
      <w:r w:rsidRPr="00284EAF">
        <w:rPr>
          <w:rFonts w:ascii="Book Antiqua" w:hAnsi="Book Antiqua"/>
        </w:rPr>
        <w:t>: 2488-2496 [PMID: 24811245 DOI: 10.1007/s10620-014-3181-8]</w:t>
      </w:r>
    </w:p>
    <w:p w14:paraId="393E24A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 </w:t>
      </w:r>
      <w:r w:rsidRPr="00284EAF">
        <w:rPr>
          <w:rFonts w:ascii="Book Antiqua" w:hAnsi="Book Antiqua"/>
          <w:b/>
        </w:rPr>
        <w:t>El-Serag HB</w:t>
      </w:r>
      <w:r w:rsidRPr="00284EAF">
        <w:rPr>
          <w:rFonts w:ascii="Book Antiqua" w:hAnsi="Book Antiqua"/>
        </w:rPr>
        <w:t xml:space="preserve">, Sweet S, Winchester CC, Dent J. Update on the epidemiology of gastro-oesophageal reflux disease: a systematic review. </w:t>
      </w:r>
      <w:r w:rsidRPr="00284EAF">
        <w:rPr>
          <w:rFonts w:ascii="Book Antiqua" w:hAnsi="Book Antiqua"/>
          <w:i/>
        </w:rPr>
        <w:t>Gut</w:t>
      </w:r>
      <w:r w:rsidRPr="00284EAF">
        <w:rPr>
          <w:rFonts w:ascii="Book Antiqua" w:hAnsi="Book Antiqua"/>
        </w:rPr>
        <w:t xml:space="preserve"> 2014; </w:t>
      </w:r>
      <w:r w:rsidRPr="00284EAF">
        <w:rPr>
          <w:rFonts w:ascii="Book Antiqua" w:hAnsi="Book Antiqua"/>
          <w:b/>
        </w:rPr>
        <w:t>63</w:t>
      </w:r>
      <w:r w:rsidRPr="00284EAF">
        <w:rPr>
          <w:rFonts w:ascii="Book Antiqua" w:hAnsi="Book Antiqua"/>
        </w:rPr>
        <w:t>: 871-880 [PMID: 23853213 DOI: 10.1136/gutjnl-2012-304269]</w:t>
      </w:r>
    </w:p>
    <w:p w14:paraId="200FE8D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 </w:t>
      </w:r>
      <w:r w:rsidRPr="00284EAF">
        <w:rPr>
          <w:rFonts w:ascii="Book Antiqua" w:hAnsi="Book Antiqua"/>
          <w:b/>
        </w:rPr>
        <w:t>Joish VN</w:t>
      </w:r>
      <w:r w:rsidRPr="00284EAF">
        <w:rPr>
          <w:rFonts w:ascii="Book Antiqua" w:hAnsi="Book Antiqua"/>
        </w:rPr>
        <w:t xml:space="preserve">, Donaldson G, Stockdale W, Oderda GM, Crawley J, Sasane R, Joshua-Gotlib S, Brixner DI. The economic impact of GERD and PUD: examination of direct and indirect costs using a large integrated employer claims database. </w:t>
      </w:r>
      <w:r w:rsidRPr="00284EAF">
        <w:rPr>
          <w:rFonts w:ascii="Book Antiqua" w:hAnsi="Book Antiqua"/>
          <w:i/>
        </w:rPr>
        <w:t>Curr Med Res Opin</w:t>
      </w:r>
      <w:r w:rsidRPr="00284EAF">
        <w:rPr>
          <w:rFonts w:ascii="Book Antiqua" w:hAnsi="Book Antiqua"/>
        </w:rPr>
        <w:t xml:space="preserve"> 2005; </w:t>
      </w:r>
      <w:r w:rsidRPr="00284EAF">
        <w:rPr>
          <w:rFonts w:ascii="Book Antiqua" w:hAnsi="Book Antiqua"/>
          <w:b/>
        </w:rPr>
        <w:t>21</w:t>
      </w:r>
      <w:r w:rsidRPr="00284EAF">
        <w:rPr>
          <w:rFonts w:ascii="Book Antiqua" w:hAnsi="Book Antiqua"/>
        </w:rPr>
        <w:t>: 535-544 [PMID: 15899102 DOI: 10.1185/030079905X38240]</w:t>
      </w:r>
    </w:p>
    <w:p w14:paraId="1D653EDA"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 </w:t>
      </w:r>
      <w:r w:rsidRPr="00284EAF">
        <w:rPr>
          <w:rFonts w:ascii="Book Antiqua" w:hAnsi="Book Antiqua"/>
          <w:b/>
        </w:rPr>
        <w:t>Berwick DM</w:t>
      </w:r>
      <w:r w:rsidRPr="00284EAF">
        <w:rPr>
          <w:rFonts w:ascii="Book Antiqua" w:hAnsi="Book Antiqua"/>
        </w:rPr>
        <w:t xml:space="preserve">, Nolan TW, Whittington J. The triple aim: care, health, and cost. </w:t>
      </w:r>
      <w:r w:rsidRPr="00284EAF">
        <w:rPr>
          <w:rFonts w:ascii="Book Antiqua" w:hAnsi="Book Antiqua"/>
          <w:i/>
        </w:rPr>
        <w:t>Health Aff (Millwood)</w:t>
      </w:r>
      <w:r w:rsidRPr="00284EAF">
        <w:rPr>
          <w:rFonts w:ascii="Book Antiqua" w:hAnsi="Book Antiqua"/>
        </w:rPr>
        <w:t xml:space="preserve"> 2008; </w:t>
      </w:r>
      <w:r w:rsidRPr="00284EAF">
        <w:rPr>
          <w:rFonts w:ascii="Book Antiqua" w:hAnsi="Book Antiqua"/>
          <w:b/>
        </w:rPr>
        <w:t>27</w:t>
      </w:r>
      <w:r w:rsidRPr="00284EAF">
        <w:rPr>
          <w:rFonts w:ascii="Book Antiqua" w:hAnsi="Book Antiqua"/>
        </w:rPr>
        <w:t>: 759-769 [PMID: 18474969 DOI: 10.1377/hlthaff.27.3.759]</w:t>
      </w:r>
    </w:p>
    <w:p w14:paraId="5028FF7F"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 </w:t>
      </w:r>
      <w:r w:rsidRPr="00284EAF">
        <w:rPr>
          <w:rFonts w:ascii="Book Antiqua" w:hAnsi="Book Antiqua"/>
          <w:b/>
        </w:rPr>
        <w:t>Jackson JL</w:t>
      </w:r>
      <w:r w:rsidRPr="00284EAF">
        <w:rPr>
          <w:rFonts w:ascii="Book Antiqua" w:hAnsi="Book Antiqua"/>
        </w:rPr>
        <w:t xml:space="preserve">, Chamberlin J, Kroenke K. Predictors of patient satisfaction. </w:t>
      </w:r>
      <w:r w:rsidRPr="00284EAF">
        <w:rPr>
          <w:rFonts w:ascii="Book Antiqua" w:hAnsi="Book Antiqua"/>
          <w:i/>
        </w:rPr>
        <w:t>Soc Sci Med</w:t>
      </w:r>
      <w:r w:rsidRPr="00284EAF">
        <w:rPr>
          <w:rFonts w:ascii="Book Antiqua" w:hAnsi="Book Antiqua"/>
        </w:rPr>
        <w:t xml:space="preserve"> 2001; </w:t>
      </w:r>
      <w:r w:rsidRPr="00284EAF">
        <w:rPr>
          <w:rFonts w:ascii="Book Antiqua" w:hAnsi="Book Antiqua"/>
          <w:b/>
        </w:rPr>
        <w:t>52</w:t>
      </w:r>
      <w:r w:rsidRPr="00284EAF">
        <w:rPr>
          <w:rFonts w:ascii="Book Antiqua" w:hAnsi="Book Antiqua"/>
        </w:rPr>
        <w:t>: 609-620 [PMID: 11206657 DOI: 10.1016/S0277-9536(00)00164-7]</w:t>
      </w:r>
    </w:p>
    <w:p w14:paraId="4FDE7DDB" w14:textId="48759C01" w:rsidR="00284EAF" w:rsidRPr="00284EAF" w:rsidRDefault="00284EAF" w:rsidP="00284EAF">
      <w:pPr>
        <w:spacing w:line="360" w:lineRule="auto"/>
        <w:jc w:val="both"/>
        <w:rPr>
          <w:rFonts w:ascii="Book Antiqua" w:hAnsi="Book Antiqua"/>
        </w:rPr>
      </w:pPr>
      <w:r w:rsidRPr="00284EAF">
        <w:rPr>
          <w:rFonts w:ascii="Book Antiqua" w:hAnsi="Book Antiqua"/>
        </w:rPr>
        <w:t xml:space="preserve">6 </w:t>
      </w:r>
      <w:r w:rsidRPr="00284EAF">
        <w:rPr>
          <w:rFonts w:ascii="Book Antiqua" w:hAnsi="Book Antiqua"/>
          <w:b/>
        </w:rPr>
        <w:t>Lewin SA</w:t>
      </w:r>
      <w:r w:rsidRPr="00284EAF">
        <w:rPr>
          <w:rFonts w:ascii="Book Antiqua" w:hAnsi="Book Antiqua"/>
        </w:rPr>
        <w:t xml:space="preserve">, Skea ZC, Entwistle V, Zwarenstein M, Dick J. Interventions for providers to promote a patient-centred approach in clinical consultations. </w:t>
      </w:r>
      <w:r w:rsidRPr="00284EAF">
        <w:rPr>
          <w:rFonts w:ascii="Book Antiqua" w:hAnsi="Book Antiqua"/>
          <w:i/>
        </w:rPr>
        <w:t>Cochrane Database Syst Rev</w:t>
      </w:r>
      <w:r w:rsidR="00760F91">
        <w:rPr>
          <w:rFonts w:ascii="Book Antiqua" w:hAnsi="Book Antiqua"/>
        </w:rPr>
        <w:t xml:space="preserve"> 2001</w:t>
      </w:r>
      <w:r w:rsidRPr="00284EAF">
        <w:rPr>
          <w:rFonts w:ascii="Book Antiqua" w:hAnsi="Book Antiqua"/>
        </w:rPr>
        <w:t>: CD003267 [PMID: 11687181 DOI: 10.1002/14651858.CD003267]</w:t>
      </w:r>
    </w:p>
    <w:p w14:paraId="258F28C8"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 </w:t>
      </w:r>
      <w:r w:rsidRPr="00284EAF">
        <w:rPr>
          <w:rFonts w:ascii="Book Antiqua" w:hAnsi="Book Antiqua"/>
          <w:b/>
        </w:rPr>
        <w:t>Jackson JL</w:t>
      </w:r>
      <w:r w:rsidRPr="00284EAF">
        <w:rPr>
          <w:rFonts w:ascii="Book Antiqua" w:hAnsi="Book Antiqua"/>
        </w:rPr>
        <w:t xml:space="preserve">, Kroenke K. The effect of unmet expectations among adults presenting with physical symptoms. </w:t>
      </w:r>
      <w:r w:rsidRPr="00284EAF">
        <w:rPr>
          <w:rFonts w:ascii="Book Antiqua" w:hAnsi="Book Antiqua"/>
          <w:i/>
        </w:rPr>
        <w:t>Ann Intern Med</w:t>
      </w:r>
      <w:r w:rsidRPr="00284EAF">
        <w:rPr>
          <w:rFonts w:ascii="Book Antiqua" w:hAnsi="Book Antiqua"/>
        </w:rPr>
        <w:t xml:space="preserve"> 2001; </w:t>
      </w:r>
      <w:r w:rsidRPr="00284EAF">
        <w:rPr>
          <w:rFonts w:ascii="Book Antiqua" w:hAnsi="Book Antiqua"/>
          <w:b/>
        </w:rPr>
        <w:t>134</w:t>
      </w:r>
      <w:r w:rsidRPr="00284EAF">
        <w:rPr>
          <w:rFonts w:ascii="Book Antiqua" w:hAnsi="Book Antiqua"/>
        </w:rPr>
        <w:t>: 889-897 [PMID: 11346325 DOI: 10.7326/0003-4819-134-9_Part_2-200105011-00013]</w:t>
      </w:r>
    </w:p>
    <w:p w14:paraId="001C3B8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8 </w:t>
      </w:r>
      <w:r w:rsidRPr="00284EAF">
        <w:rPr>
          <w:rFonts w:ascii="Book Antiqua" w:hAnsi="Book Antiqua"/>
          <w:b/>
        </w:rPr>
        <w:t>Badillo R</w:t>
      </w:r>
      <w:r w:rsidRPr="00284EAF">
        <w:rPr>
          <w:rFonts w:ascii="Book Antiqua" w:hAnsi="Book Antiqua"/>
        </w:rPr>
        <w:t xml:space="preserve">, Francis D. Diagnosis and treatment of gastroesophageal reflux disease. </w:t>
      </w:r>
      <w:r w:rsidRPr="00284EAF">
        <w:rPr>
          <w:rFonts w:ascii="Book Antiqua" w:hAnsi="Book Antiqua"/>
          <w:i/>
        </w:rPr>
        <w:t>World J Gastrointest Pharmacol Ther</w:t>
      </w:r>
      <w:r w:rsidRPr="00284EAF">
        <w:rPr>
          <w:rFonts w:ascii="Book Antiqua" w:hAnsi="Book Antiqua"/>
        </w:rPr>
        <w:t xml:space="preserve"> 2014; </w:t>
      </w:r>
      <w:r w:rsidRPr="00284EAF">
        <w:rPr>
          <w:rFonts w:ascii="Book Antiqua" w:hAnsi="Book Antiqua"/>
          <w:b/>
        </w:rPr>
        <w:t>5</w:t>
      </w:r>
      <w:r w:rsidRPr="00284EAF">
        <w:rPr>
          <w:rFonts w:ascii="Book Antiqua" w:hAnsi="Book Antiqua"/>
        </w:rPr>
        <w:t>: 105-112 [PMID: 25133039 DOI: 10.4292/wjgpt.v5.i3.105]</w:t>
      </w:r>
    </w:p>
    <w:p w14:paraId="56256138"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9 </w:t>
      </w:r>
      <w:r w:rsidRPr="00284EAF">
        <w:rPr>
          <w:rFonts w:ascii="Book Antiqua" w:hAnsi="Book Antiqua"/>
          <w:b/>
        </w:rPr>
        <w:t>Alzubaidi M</w:t>
      </w:r>
      <w:r w:rsidRPr="00284EAF">
        <w:rPr>
          <w:rFonts w:ascii="Book Antiqua" w:hAnsi="Book Antiqua"/>
        </w:rPr>
        <w:t xml:space="preserve">, Gabbard S. GERD: Diagnosing and treating the burn. </w:t>
      </w:r>
      <w:r w:rsidRPr="00284EAF">
        <w:rPr>
          <w:rFonts w:ascii="Book Antiqua" w:hAnsi="Book Antiqua"/>
          <w:i/>
        </w:rPr>
        <w:t>Cleve Clin J Med</w:t>
      </w:r>
      <w:r w:rsidRPr="00284EAF">
        <w:rPr>
          <w:rFonts w:ascii="Book Antiqua" w:hAnsi="Book Antiqua"/>
        </w:rPr>
        <w:t xml:space="preserve"> 2015; </w:t>
      </w:r>
      <w:r w:rsidRPr="00284EAF">
        <w:rPr>
          <w:rFonts w:ascii="Book Antiqua" w:hAnsi="Book Antiqua"/>
          <w:b/>
        </w:rPr>
        <w:t>82</w:t>
      </w:r>
      <w:r w:rsidRPr="00284EAF">
        <w:rPr>
          <w:rFonts w:ascii="Book Antiqua" w:hAnsi="Book Antiqua"/>
        </w:rPr>
        <w:t>: 685-692 [PMID: 26469826 DOI: 10.3949/ccjm.82a.14138]</w:t>
      </w:r>
    </w:p>
    <w:p w14:paraId="730F88B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10 </w:t>
      </w:r>
      <w:r w:rsidRPr="00284EAF">
        <w:rPr>
          <w:rFonts w:ascii="Book Antiqua" w:hAnsi="Book Antiqua"/>
          <w:b/>
        </w:rPr>
        <w:t>Gerson LB</w:t>
      </w:r>
      <w:r w:rsidRPr="00284EAF">
        <w:rPr>
          <w:rFonts w:ascii="Book Antiqua" w:hAnsi="Book Antiqua"/>
        </w:rPr>
        <w:t xml:space="preserve">, Kahrilas PJ, Fass R. Insights into gastroesophageal reflux disease-associated dyspeptic symptoms. </w:t>
      </w:r>
      <w:r w:rsidRPr="00284EAF">
        <w:rPr>
          <w:rFonts w:ascii="Book Antiqua" w:hAnsi="Book Antiqua"/>
          <w:i/>
        </w:rPr>
        <w:t>Clin Gastroenterol Hepatol</w:t>
      </w:r>
      <w:r w:rsidRPr="00284EAF">
        <w:rPr>
          <w:rFonts w:ascii="Book Antiqua" w:hAnsi="Book Antiqua"/>
        </w:rPr>
        <w:t xml:space="preserve"> 2011; </w:t>
      </w:r>
      <w:r w:rsidRPr="00284EAF">
        <w:rPr>
          <w:rFonts w:ascii="Book Antiqua" w:hAnsi="Book Antiqua"/>
          <w:b/>
        </w:rPr>
        <w:t>9</w:t>
      </w:r>
      <w:r w:rsidRPr="00284EAF">
        <w:rPr>
          <w:rFonts w:ascii="Book Antiqua" w:hAnsi="Book Antiqua"/>
        </w:rPr>
        <w:t>: 824-833 [PMID: 21699806 DOI: 10.1016/j.cgh.2011.05.015]</w:t>
      </w:r>
    </w:p>
    <w:p w14:paraId="35FDE2BA"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11 </w:t>
      </w:r>
      <w:r w:rsidRPr="00284EAF">
        <w:rPr>
          <w:rFonts w:ascii="Book Antiqua" w:hAnsi="Book Antiqua"/>
          <w:b/>
        </w:rPr>
        <w:t>Giacchino M</w:t>
      </w:r>
      <w:r w:rsidRPr="00284EAF">
        <w:rPr>
          <w:rFonts w:ascii="Book Antiqua" w:hAnsi="Book Antiqua"/>
        </w:rPr>
        <w:t xml:space="preserve">, Savarino V, Savarino E. Distinction between patients with non-erosive reflux disease and functional heartburn. </w:t>
      </w:r>
      <w:r w:rsidRPr="00284EAF">
        <w:rPr>
          <w:rFonts w:ascii="Book Antiqua" w:hAnsi="Book Antiqua"/>
          <w:i/>
        </w:rPr>
        <w:t>Ann Gastroenterol</w:t>
      </w:r>
      <w:r w:rsidRPr="00284EAF">
        <w:rPr>
          <w:rFonts w:ascii="Book Antiqua" w:hAnsi="Book Antiqua"/>
        </w:rPr>
        <w:t xml:space="preserve"> 2013; </w:t>
      </w:r>
      <w:r w:rsidRPr="00284EAF">
        <w:rPr>
          <w:rFonts w:ascii="Book Antiqua" w:hAnsi="Book Antiqua"/>
          <w:b/>
        </w:rPr>
        <w:t>26</w:t>
      </w:r>
      <w:r w:rsidRPr="00284EAF">
        <w:rPr>
          <w:rFonts w:ascii="Book Antiqua" w:hAnsi="Book Antiqua"/>
        </w:rPr>
        <w:t>: 283-289 [PMID: 24714313]</w:t>
      </w:r>
    </w:p>
    <w:p w14:paraId="67EFBD3A"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12 </w:t>
      </w:r>
      <w:r w:rsidRPr="00284EAF">
        <w:rPr>
          <w:rFonts w:ascii="Book Antiqua" w:hAnsi="Book Antiqua"/>
          <w:b/>
        </w:rPr>
        <w:t>Bansal A</w:t>
      </w:r>
      <w:r w:rsidRPr="00284EAF">
        <w:rPr>
          <w:rFonts w:ascii="Book Antiqua" w:hAnsi="Book Antiqua"/>
        </w:rPr>
        <w:t xml:space="preserve">, Kahrilas PJ. Treatment of GERD complications (Barrett's, peptic stricture) and extra-oesophageal syndromes. </w:t>
      </w:r>
      <w:r w:rsidRPr="00284EAF">
        <w:rPr>
          <w:rFonts w:ascii="Book Antiqua" w:hAnsi="Book Antiqua"/>
          <w:i/>
        </w:rPr>
        <w:t>Best Pract Res Clin Gastroenterol</w:t>
      </w:r>
      <w:r w:rsidRPr="00284EAF">
        <w:rPr>
          <w:rFonts w:ascii="Book Antiqua" w:hAnsi="Book Antiqua"/>
        </w:rPr>
        <w:t xml:space="preserve"> 2010; </w:t>
      </w:r>
      <w:r w:rsidRPr="00284EAF">
        <w:rPr>
          <w:rFonts w:ascii="Book Antiqua" w:hAnsi="Book Antiqua"/>
          <w:b/>
        </w:rPr>
        <w:t>24</w:t>
      </w:r>
      <w:r w:rsidRPr="00284EAF">
        <w:rPr>
          <w:rFonts w:ascii="Book Antiqua" w:hAnsi="Book Antiqua"/>
        </w:rPr>
        <w:t>: 961-968 [PMID: 21126707 DOI: 10.1016/j.bpg.2010.09.007]</w:t>
      </w:r>
    </w:p>
    <w:p w14:paraId="733B5B18"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13 </w:t>
      </w:r>
      <w:r w:rsidRPr="00284EAF">
        <w:rPr>
          <w:rFonts w:ascii="Book Antiqua" w:hAnsi="Book Antiqua"/>
          <w:b/>
        </w:rPr>
        <w:t>Chuang TW</w:t>
      </w:r>
      <w:r w:rsidRPr="00284EAF">
        <w:rPr>
          <w:rFonts w:ascii="Book Antiqua" w:hAnsi="Book Antiqua"/>
        </w:rPr>
        <w:t xml:space="preserve">, Chen SC, Chen KT. Current status of gastroesophageal reflux disease : diagnosis and treatment. </w:t>
      </w:r>
      <w:r w:rsidRPr="00284EAF">
        <w:rPr>
          <w:rFonts w:ascii="Book Antiqua" w:hAnsi="Book Antiqua"/>
          <w:i/>
        </w:rPr>
        <w:t>Acta Gastroenterol Belg</w:t>
      </w:r>
      <w:r w:rsidRPr="00284EAF">
        <w:rPr>
          <w:rFonts w:ascii="Book Antiqua" w:hAnsi="Book Antiqua"/>
        </w:rPr>
        <w:t xml:space="preserve"> 2017; </w:t>
      </w:r>
      <w:r w:rsidRPr="00284EAF">
        <w:rPr>
          <w:rFonts w:ascii="Book Antiqua" w:hAnsi="Book Antiqua"/>
          <w:b/>
        </w:rPr>
        <w:t>80</w:t>
      </w:r>
      <w:r w:rsidRPr="00284EAF">
        <w:rPr>
          <w:rFonts w:ascii="Book Antiqua" w:hAnsi="Book Antiqua"/>
        </w:rPr>
        <w:t>: 396-404 [PMID: 29560670]</w:t>
      </w:r>
    </w:p>
    <w:p w14:paraId="47229FA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14 </w:t>
      </w:r>
      <w:r w:rsidRPr="00284EAF">
        <w:rPr>
          <w:rFonts w:ascii="Book Antiqua" w:hAnsi="Book Antiqua"/>
          <w:b/>
        </w:rPr>
        <w:t>Vela MF</w:t>
      </w:r>
      <w:r w:rsidRPr="00284EAF">
        <w:rPr>
          <w:rFonts w:ascii="Book Antiqua" w:hAnsi="Book Antiqua"/>
        </w:rPr>
        <w:t xml:space="preserve">. Diagnostic work-up of GERD. </w:t>
      </w:r>
      <w:r w:rsidRPr="00284EAF">
        <w:rPr>
          <w:rFonts w:ascii="Book Antiqua" w:hAnsi="Book Antiqua"/>
          <w:i/>
        </w:rPr>
        <w:t>Gastrointest Endosc Clin N Am</w:t>
      </w:r>
      <w:r w:rsidRPr="00284EAF">
        <w:rPr>
          <w:rFonts w:ascii="Book Antiqua" w:hAnsi="Book Antiqua"/>
        </w:rPr>
        <w:t xml:space="preserve"> 2014; </w:t>
      </w:r>
      <w:r w:rsidRPr="00284EAF">
        <w:rPr>
          <w:rFonts w:ascii="Book Antiqua" w:hAnsi="Book Antiqua"/>
          <w:b/>
        </w:rPr>
        <w:t>24</w:t>
      </w:r>
      <w:r w:rsidRPr="00284EAF">
        <w:rPr>
          <w:rFonts w:ascii="Book Antiqua" w:hAnsi="Book Antiqua"/>
        </w:rPr>
        <w:t>: 655-666 [PMID: 25216910 DOI: 10.1016/j.giec.2014.07.002]</w:t>
      </w:r>
    </w:p>
    <w:p w14:paraId="1654A8B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15 </w:t>
      </w:r>
      <w:r w:rsidRPr="00284EAF">
        <w:rPr>
          <w:rFonts w:ascii="Book Antiqua" w:hAnsi="Book Antiqua"/>
          <w:b/>
        </w:rPr>
        <w:t>Heidelbaugh JJ</w:t>
      </w:r>
      <w:r w:rsidRPr="00284EAF">
        <w:rPr>
          <w:rFonts w:ascii="Book Antiqua" w:hAnsi="Book Antiqua"/>
        </w:rPr>
        <w:t xml:space="preserve">, Nostrant TT, Kim C, Van Harrison R. Management of gastroesophageal reflux disease. </w:t>
      </w:r>
      <w:r w:rsidRPr="00284EAF">
        <w:rPr>
          <w:rFonts w:ascii="Book Antiqua" w:hAnsi="Book Antiqua"/>
          <w:i/>
        </w:rPr>
        <w:t>Am Fam Physician</w:t>
      </w:r>
      <w:r w:rsidRPr="00284EAF">
        <w:rPr>
          <w:rFonts w:ascii="Book Antiqua" w:hAnsi="Book Antiqua"/>
        </w:rPr>
        <w:t xml:space="preserve"> 2003; </w:t>
      </w:r>
      <w:r w:rsidRPr="00284EAF">
        <w:rPr>
          <w:rFonts w:ascii="Book Antiqua" w:hAnsi="Book Antiqua"/>
          <w:b/>
        </w:rPr>
        <w:t>68</w:t>
      </w:r>
      <w:r w:rsidRPr="00284EAF">
        <w:rPr>
          <w:rFonts w:ascii="Book Antiqua" w:hAnsi="Book Antiqua"/>
        </w:rPr>
        <w:t>: 1311-1318 [PMID: 14567485]</w:t>
      </w:r>
    </w:p>
    <w:p w14:paraId="48D90111"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16 </w:t>
      </w:r>
      <w:r w:rsidRPr="00284EAF">
        <w:rPr>
          <w:rFonts w:ascii="Book Antiqua" w:hAnsi="Book Antiqua"/>
          <w:b/>
        </w:rPr>
        <w:t>Katz PO</w:t>
      </w:r>
      <w:r w:rsidRPr="00284EAF">
        <w:rPr>
          <w:rFonts w:ascii="Book Antiqua" w:hAnsi="Book Antiqua"/>
        </w:rPr>
        <w:t xml:space="preserve">, Gerson LB, Vela MF. Guidelines for the diagnosis and management of gastroesophageal reflux disease. </w:t>
      </w:r>
      <w:r w:rsidRPr="00284EAF">
        <w:rPr>
          <w:rFonts w:ascii="Book Antiqua" w:hAnsi="Book Antiqua"/>
          <w:i/>
        </w:rPr>
        <w:t>Am J Gastroenterol</w:t>
      </w:r>
      <w:r w:rsidRPr="00284EAF">
        <w:rPr>
          <w:rFonts w:ascii="Book Antiqua" w:hAnsi="Book Antiqua"/>
        </w:rPr>
        <w:t xml:space="preserve"> 2013; </w:t>
      </w:r>
      <w:r w:rsidRPr="00284EAF">
        <w:rPr>
          <w:rFonts w:ascii="Book Antiqua" w:hAnsi="Book Antiqua"/>
          <w:b/>
        </w:rPr>
        <w:t>108</w:t>
      </w:r>
      <w:r w:rsidRPr="00284EAF">
        <w:rPr>
          <w:rFonts w:ascii="Book Antiqua" w:hAnsi="Book Antiqua"/>
        </w:rPr>
        <w:t>: 308-28; quiz 329 [PMID: 23419381 DOI: 10.1038/ajg.2012.444]</w:t>
      </w:r>
    </w:p>
    <w:p w14:paraId="480AD6C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17 </w:t>
      </w:r>
      <w:r w:rsidRPr="00284EAF">
        <w:rPr>
          <w:rFonts w:ascii="Book Antiqua" w:hAnsi="Book Antiqua"/>
          <w:b/>
        </w:rPr>
        <w:t>Holloway RH</w:t>
      </w:r>
      <w:r w:rsidRPr="00284EAF">
        <w:rPr>
          <w:rFonts w:ascii="Book Antiqua" w:hAnsi="Book Antiqua"/>
        </w:rPr>
        <w:t xml:space="preserve">. Capsule pH monitoring: is wireless more? </w:t>
      </w:r>
      <w:r w:rsidRPr="00284EAF">
        <w:rPr>
          <w:rFonts w:ascii="Book Antiqua" w:hAnsi="Book Antiqua"/>
          <w:i/>
        </w:rPr>
        <w:t>Gut</w:t>
      </w:r>
      <w:r w:rsidRPr="00284EAF">
        <w:rPr>
          <w:rFonts w:ascii="Book Antiqua" w:hAnsi="Book Antiqua"/>
        </w:rPr>
        <w:t xml:space="preserve"> 2005; </w:t>
      </w:r>
      <w:r w:rsidRPr="00284EAF">
        <w:rPr>
          <w:rFonts w:ascii="Book Antiqua" w:hAnsi="Book Antiqua"/>
          <w:b/>
        </w:rPr>
        <w:t>54</w:t>
      </w:r>
      <w:r w:rsidRPr="00284EAF">
        <w:rPr>
          <w:rFonts w:ascii="Book Antiqua" w:hAnsi="Book Antiqua"/>
        </w:rPr>
        <w:t>: 1672-1673 [PMID: 16284282 DOI: 10.1136/gut.2005.069419]</w:t>
      </w:r>
    </w:p>
    <w:p w14:paraId="62DF1FFB"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18 </w:t>
      </w:r>
      <w:r w:rsidRPr="00284EAF">
        <w:rPr>
          <w:rFonts w:ascii="Book Antiqua" w:hAnsi="Book Antiqua"/>
          <w:b/>
        </w:rPr>
        <w:t>Kwiatek MA</w:t>
      </w:r>
      <w:r w:rsidRPr="00284EAF">
        <w:rPr>
          <w:rFonts w:ascii="Book Antiqua" w:hAnsi="Book Antiqua"/>
        </w:rPr>
        <w:t xml:space="preserve">, Pandolfino JE. The Bravo pH capsule system. </w:t>
      </w:r>
      <w:r w:rsidRPr="00284EAF">
        <w:rPr>
          <w:rFonts w:ascii="Book Antiqua" w:hAnsi="Book Antiqua"/>
          <w:i/>
        </w:rPr>
        <w:t>Dig Liver Dis</w:t>
      </w:r>
      <w:r w:rsidRPr="00284EAF">
        <w:rPr>
          <w:rFonts w:ascii="Book Antiqua" w:hAnsi="Book Antiqua"/>
        </w:rPr>
        <w:t xml:space="preserve"> 2008; </w:t>
      </w:r>
      <w:r w:rsidRPr="00284EAF">
        <w:rPr>
          <w:rFonts w:ascii="Book Antiqua" w:hAnsi="Book Antiqua"/>
          <w:b/>
        </w:rPr>
        <w:t>40</w:t>
      </w:r>
      <w:r w:rsidRPr="00284EAF">
        <w:rPr>
          <w:rFonts w:ascii="Book Antiqua" w:hAnsi="Book Antiqua"/>
        </w:rPr>
        <w:t>: 156-160 [PMID: 18096447 DOI: 10.1016/j.dld.2007.10.025]</w:t>
      </w:r>
    </w:p>
    <w:p w14:paraId="24DAD227"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19 </w:t>
      </w:r>
      <w:r w:rsidRPr="00284EAF">
        <w:rPr>
          <w:rFonts w:ascii="Book Antiqua" w:hAnsi="Book Antiqua"/>
          <w:b/>
        </w:rPr>
        <w:t>Pandolfino JE</w:t>
      </w:r>
      <w:r w:rsidRPr="00284EAF">
        <w:rPr>
          <w:rFonts w:ascii="Book Antiqua" w:hAnsi="Book Antiqua"/>
        </w:rPr>
        <w:t xml:space="preserve">, Vela MF. Esophageal-reflux monitoring. </w:t>
      </w:r>
      <w:r w:rsidRPr="00284EAF">
        <w:rPr>
          <w:rFonts w:ascii="Book Antiqua" w:hAnsi="Book Antiqua"/>
          <w:i/>
        </w:rPr>
        <w:t>Gastrointest Endosc</w:t>
      </w:r>
      <w:r w:rsidRPr="00284EAF">
        <w:rPr>
          <w:rFonts w:ascii="Book Antiqua" w:hAnsi="Book Antiqua"/>
        </w:rPr>
        <w:t xml:space="preserve"> 2009; </w:t>
      </w:r>
      <w:r w:rsidRPr="00284EAF">
        <w:rPr>
          <w:rFonts w:ascii="Book Antiqua" w:hAnsi="Book Antiqua"/>
          <w:b/>
        </w:rPr>
        <w:t>69</w:t>
      </w:r>
      <w:r w:rsidRPr="00284EAF">
        <w:rPr>
          <w:rFonts w:ascii="Book Antiqua" w:hAnsi="Book Antiqua"/>
        </w:rPr>
        <w:t>: 917-930, 930.e1 [PMID: 19249037 DOI: 10.1016/j.gie.2008.09.022]</w:t>
      </w:r>
    </w:p>
    <w:p w14:paraId="79BCE035"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20 </w:t>
      </w:r>
      <w:r w:rsidRPr="00284EAF">
        <w:rPr>
          <w:rFonts w:ascii="Book Antiqua" w:hAnsi="Book Antiqua"/>
          <w:b/>
        </w:rPr>
        <w:t>Kumar A</w:t>
      </w:r>
      <w:r w:rsidRPr="00284EAF">
        <w:rPr>
          <w:rFonts w:ascii="Book Antiqua" w:hAnsi="Book Antiqua"/>
        </w:rPr>
        <w:t xml:space="preserve">, Kramer E, Chokhavatia S. Unreported complication of Bravo pH capsule dislodged into the pyriform sinus. </w:t>
      </w:r>
      <w:r w:rsidRPr="00284EAF">
        <w:rPr>
          <w:rFonts w:ascii="Book Antiqua" w:hAnsi="Book Antiqua"/>
          <w:i/>
        </w:rPr>
        <w:t>World J Gastrointest Endosc</w:t>
      </w:r>
      <w:r w:rsidRPr="00284EAF">
        <w:rPr>
          <w:rFonts w:ascii="Book Antiqua" w:hAnsi="Book Antiqua"/>
        </w:rPr>
        <w:t xml:space="preserve"> 2015; </w:t>
      </w:r>
      <w:r w:rsidRPr="00284EAF">
        <w:rPr>
          <w:rFonts w:ascii="Book Antiqua" w:hAnsi="Book Antiqua"/>
          <w:b/>
        </w:rPr>
        <w:t>7</w:t>
      </w:r>
      <w:r w:rsidRPr="00284EAF">
        <w:rPr>
          <w:rFonts w:ascii="Book Antiqua" w:hAnsi="Book Antiqua"/>
        </w:rPr>
        <w:t>: 573-574 [PMID: 25992198 DOI: 10.4253/wjge.v7.i5.573]</w:t>
      </w:r>
    </w:p>
    <w:p w14:paraId="5DF23A6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21 </w:t>
      </w:r>
      <w:r w:rsidRPr="00284EAF">
        <w:rPr>
          <w:rFonts w:ascii="Book Antiqua" w:hAnsi="Book Antiqua"/>
          <w:b/>
        </w:rPr>
        <w:t>Turner BG</w:t>
      </w:r>
      <w:r w:rsidRPr="00284EAF">
        <w:rPr>
          <w:rFonts w:ascii="Book Antiqua" w:hAnsi="Book Antiqua"/>
        </w:rPr>
        <w:t xml:space="preserve">, Saltzman JR, Hua L, Maurer R, Feldman N, Carr-Locke DL, Burakoff R, Liu JJ. Endoscopic pH monitoring for patients with suspected or refractory gastroesophageal reflux disease. </w:t>
      </w:r>
      <w:r w:rsidRPr="00284EAF">
        <w:rPr>
          <w:rFonts w:ascii="Book Antiqua" w:hAnsi="Book Antiqua"/>
          <w:i/>
        </w:rPr>
        <w:t>Can J Gastroenterol</w:t>
      </w:r>
      <w:r w:rsidRPr="00284EAF">
        <w:rPr>
          <w:rFonts w:ascii="Book Antiqua" w:hAnsi="Book Antiqua"/>
        </w:rPr>
        <w:t xml:space="preserve"> 2007; </w:t>
      </w:r>
      <w:r w:rsidRPr="00284EAF">
        <w:rPr>
          <w:rFonts w:ascii="Book Antiqua" w:hAnsi="Book Antiqua"/>
          <w:b/>
        </w:rPr>
        <w:t>21</w:t>
      </w:r>
      <w:r w:rsidRPr="00284EAF">
        <w:rPr>
          <w:rFonts w:ascii="Book Antiqua" w:hAnsi="Book Antiqua"/>
        </w:rPr>
        <w:t>: 737-741 [PMID: 18026578 DOI: 10.1155/2007/328175]</w:t>
      </w:r>
    </w:p>
    <w:p w14:paraId="30B66F1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22 </w:t>
      </w:r>
      <w:r w:rsidRPr="00284EAF">
        <w:rPr>
          <w:rFonts w:ascii="Book Antiqua" w:hAnsi="Book Antiqua"/>
          <w:b/>
        </w:rPr>
        <w:t>Meining A</w:t>
      </w:r>
      <w:r w:rsidRPr="00284EAF">
        <w:rPr>
          <w:rFonts w:ascii="Book Antiqua" w:hAnsi="Book Antiqua"/>
        </w:rPr>
        <w:t xml:space="preserve">, Classen M. The role of diet and lifestyle measures in the pathogenesis and treatment of gastroesophageal reflux disease. </w:t>
      </w:r>
      <w:r w:rsidRPr="00284EAF">
        <w:rPr>
          <w:rFonts w:ascii="Book Antiqua" w:hAnsi="Book Antiqua"/>
          <w:i/>
        </w:rPr>
        <w:t>Am J Gastroenterol</w:t>
      </w:r>
      <w:r w:rsidRPr="00284EAF">
        <w:rPr>
          <w:rFonts w:ascii="Book Antiqua" w:hAnsi="Book Antiqua"/>
        </w:rPr>
        <w:t xml:space="preserve"> 2000; </w:t>
      </w:r>
      <w:r w:rsidRPr="00284EAF">
        <w:rPr>
          <w:rFonts w:ascii="Book Antiqua" w:hAnsi="Book Antiqua"/>
          <w:b/>
        </w:rPr>
        <w:t>95</w:t>
      </w:r>
      <w:r w:rsidRPr="00284EAF">
        <w:rPr>
          <w:rFonts w:ascii="Book Antiqua" w:hAnsi="Book Antiqua"/>
        </w:rPr>
        <w:t>: 2692-2697 [PMID: 11051337 DOI: 10.1111/j.1572-0241.2000.03175.x]</w:t>
      </w:r>
    </w:p>
    <w:p w14:paraId="61D05C48"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23 </w:t>
      </w:r>
      <w:r w:rsidRPr="00284EAF">
        <w:rPr>
          <w:rFonts w:ascii="Book Antiqua" w:hAnsi="Book Antiqua"/>
          <w:b/>
        </w:rPr>
        <w:t>Kaltenbach T</w:t>
      </w:r>
      <w:r w:rsidRPr="00284EAF">
        <w:rPr>
          <w:rFonts w:ascii="Book Antiqua" w:hAnsi="Book Antiqua"/>
        </w:rPr>
        <w:t xml:space="preserve">, Crockett S, Gerson LB. Are lifestyle measures effective in patients with gastroesophageal reflux disease? An evidence-based approach. </w:t>
      </w:r>
      <w:r w:rsidRPr="00284EAF">
        <w:rPr>
          <w:rFonts w:ascii="Book Antiqua" w:hAnsi="Book Antiqua"/>
          <w:i/>
        </w:rPr>
        <w:t>Arch Intern Med</w:t>
      </w:r>
      <w:r w:rsidRPr="00284EAF">
        <w:rPr>
          <w:rFonts w:ascii="Book Antiqua" w:hAnsi="Book Antiqua"/>
        </w:rPr>
        <w:t xml:space="preserve"> 2006; </w:t>
      </w:r>
      <w:r w:rsidRPr="00284EAF">
        <w:rPr>
          <w:rFonts w:ascii="Book Antiqua" w:hAnsi="Book Antiqua"/>
          <w:b/>
        </w:rPr>
        <w:t>166</w:t>
      </w:r>
      <w:r w:rsidRPr="00284EAF">
        <w:rPr>
          <w:rFonts w:ascii="Book Antiqua" w:hAnsi="Book Antiqua"/>
        </w:rPr>
        <w:t>: 965-971 [PMID: 16682569 DOI: 10.1001/archinte.166.9.965]</w:t>
      </w:r>
    </w:p>
    <w:p w14:paraId="11712654"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24 </w:t>
      </w:r>
      <w:r w:rsidRPr="00284EAF">
        <w:rPr>
          <w:rFonts w:ascii="Book Antiqua" w:hAnsi="Book Antiqua"/>
          <w:b/>
        </w:rPr>
        <w:t>Ness-Jensen E</w:t>
      </w:r>
      <w:r w:rsidRPr="00284EAF">
        <w:rPr>
          <w:rFonts w:ascii="Book Antiqua" w:hAnsi="Book Antiqua"/>
        </w:rPr>
        <w:t xml:space="preserve">, Hveem K, El-Serag H, Lagergren J. Lifestyle Intervention in Gastroesophageal Reflux Disease. </w:t>
      </w:r>
      <w:r w:rsidRPr="00284EAF">
        <w:rPr>
          <w:rFonts w:ascii="Book Antiqua" w:hAnsi="Book Antiqua"/>
          <w:i/>
        </w:rPr>
        <w:t>Clin Gastroenterol Hepatol</w:t>
      </w:r>
      <w:r w:rsidRPr="00284EAF">
        <w:rPr>
          <w:rFonts w:ascii="Book Antiqua" w:hAnsi="Book Antiqua"/>
        </w:rPr>
        <w:t xml:space="preserve"> 2016; </w:t>
      </w:r>
      <w:r w:rsidRPr="00284EAF">
        <w:rPr>
          <w:rFonts w:ascii="Book Antiqua" w:hAnsi="Book Antiqua"/>
          <w:b/>
        </w:rPr>
        <w:t>14</w:t>
      </w:r>
      <w:r w:rsidRPr="00284EAF">
        <w:rPr>
          <w:rFonts w:ascii="Book Antiqua" w:hAnsi="Book Antiqua"/>
        </w:rPr>
        <w:t>: 175-82.e1-3 [PMID: 25956834 DOI: 10.1016/j.cgh.2015.04.176]</w:t>
      </w:r>
    </w:p>
    <w:p w14:paraId="3CD814C5"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25 </w:t>
      </w:r>
      <w:r w:rsidRPr="00284EAF">
        <w:rPr>
          <w:rFonts w:ascii="Book Antiqua" w:hAnsi="Book Antiqua"/>
          <w:b/>
        </w:rPr>
        <w:t>DeVault KR</w:t>
      </w:r>
      <w:r w:rsidRPr="00284EAF">
        <w:rPr>
          <w:rFonts w:ascii="Book Antiqua" w:hAnsi="Book Antiqua"/>
        </w:rPr>
        <w:t xml:space="preserve">, Castell DO. Updated guidelines for the diagnosis and treatment of gastroesophageal reflux disease. The Practice Parameters Committee of the American College of Gastroenterology. </w:t>
      </w:r>
      <w:r w:rsidRPr="00284EAF">
        <w:rPr>
          <w:rFonts w:ascii="Book Antiqua" w:hAnsi="Book Antiqua"/>
          <w:i/>
        </w:rPr>
        <w:t>Am J Gastroenterol</w:t>
      </w:r>
      <w:r w:rsidRPr="00284EAF">
        <w:rPr>
          <w:rFonts w:ascii="Book Antiqua" w:hAnsi="Book Antiqua"/>
        </w:rPr>
        <w:t xml:space="preserve"> 1999; </w:t>
      </w:r>
      <w:r w:rsidRPr="00284EAF">
        <w:rPr>
          <w:rFonts w:ascii="Book Antiqua" w:hAnsi="Book Antiqua"/>
          <w:b/>
        </w:rPr>
        <w:t>94</w:t>
      </w:r>
      <w:r w:rsidRPr="00284EAF">
        <w:rPr>
          <w:rFonts w:ascii="Book Antiqua" w:hAnsi="Book Antiqua"/>
        </w:rPr>
        <w:t>: 1434-1442 [PMID: 10364004 DOI: 10.1111/j.1572-0241.1999.1123_a.x]</w:t>
      </w:r>
    </w:p>
    <w:p w14:paraId="48A1A282"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26 </w:t>
      </w:r>
      <w:r w:rsidRPr="00284EAF">
        <w:rPr>
          <w:rFonts w:ascii="Book Antiqua" w:hAnsi="Book Antiqua"/>
          <w:b/>
        </w:rPr>
        <w:t>Ganz RA</w:t>
      </w:r>
      <w:r w:rsidRPr="00284EAF">
        <w:rPr>
          <w:rFonts w:ascii="Book Antiqua" w:hAnsi="Book Antiqua"/>
        </w:rPr>
        <w:t xml:space="preserve">. A Review of New Surgical and Endoscopic Therapies for Gastroesophageal Reflux Disease. </w:t>
      </w:r>
      <w:r w:rsidRPr="00284EAF">
        <w:rPr>
          <w:rFonts w:ascii="Book Antiqua" w:hAnsi="Book Antiqua"/>
          <w:i/>
        </w:rPr>
        <w:t>Gastroenterol Hepatol (N Y)</w:t>
      </w:r>
      <w:r w:rsidRPr="00284EAF">
        <w:rPr>
          <w:rFonts w:ascii="Book Antiqua" w:hAnsi="Book Antiqua"/>
        </w:rPr>
        <w:t xml:space="preserve"> 2016; </w:t>
      </w:r>
      <w:r w:rsidRPr="00284EAF">
        <w:rPr>
          <w:rFonts w:ascii="Book Antiqua" w:hAnsi="Book Antiqua"/>
          <w:b/>
        </w:rPr>
        <w:t>12</w:t>
      </w:r>
      <w:r w:rsidRPr="00284EAF">
        <w:rPr>
          <w:rFonts w:ascii="Book Antiqua" w:hAnsi="Book Antiqua"/>
        </w:rPr>
        <w:t>: 424-431 [PMID: 27489524]</w:t>
      </w:r>
    </w:p>
    <w:p w14:paraId="7BE4200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27 </w:t>
      </w:r>
      <w:r w:rsidRPr="00284EAF">
        <w:rPr>
          <w:rFonts w:ascii="Book Antiqua" w:hAnsi="Book Antiqua"/>
          <w:b/>
        </w:rPr>
        <w:t>Richter JE</w:t>
      </w:r>
      <w:r w:rsidRPr="00284EAF">
        <w:rPr>
          <w:rFonts w:ascii="Book Antiqua" w:hAnsi="Book Antiqua"/>
        </w:rPr>
        <w:t xml:space="preserve">. Gastroesophageal reflux disease treatment: side effects and complications of fundoplication. </w:t>
      </w:r>
      <w:r w:rsidRPr="00284EAF">
        <w:rPr>
          <w:rFonts w:ascii="Book Antiqua" w:hAnsi="Book Antiqua"/>
          <w:i/>
        </w:rPr>
        <w:t>Clin Gastroenterol Hepatol</w:t>
      </w:r>
      <w:r w:rsidRPr="00284EAF">
        <w:rPr>
          <w:rFonts w:ascii="Book Antiqua" w:hAnsi="Book Antiqua"/>
        </w:rPr>
        <w:t xml:space="preserve"> 2013; </w:t>
      </w:r>
      <w:r w:rsidRPr="00284EAF">
        <w:rPr>
          <w:rFonts w:ascii="Book Antiqua" w:hAnsi="Book Antiqua"/>
          <w:b/>
        </w:rPr>
        <w:t>11</w:t>
      </w:r>
      <w:r w:rsidRPr="00284EAF">
        <w:rPr>
          <w:rFonts w:ascii="Book Antiqua" w:hAnsi="Book Antiqua"/>
        </w:rPr>
        <w:t>: 465-71; quiz e39 [PMID: 23267868 DOI: 10.1016/j.cgh.2012.12.006]</w:t>
      </w:r>
    </w:p>
    <w:p w14:paraId="79ACAAD7"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28 </w:t>
      </w:r>
      <w:r w:rsidRPr="00284EAF">
        <w:rPr>
          <w:rFonts w:ascii="Book Antiqua" w:hAnsi="Book Antiqua"/>
          <w:b/>
        </w:rPr>
        <w:t>Pallati PK</w:t>
      </w:r>
      <w:r w:rsidRPr="00284EAF">
        <w:rPr>
          <w:rFonts w:ascii="Book Antiqua" w:hAnsi="Book Antiqua"/>
        </w:rPr>
        <w:t xml:space="preserve">, Shaligram A, Shostrom VK, Oleynikov D, McBride CL, Goede MR. Improvement in gastroesophageal reflux disease symptoms after various bariatric procedures: review of the Bariatric Outcomes Longitudinal Database. </w:t>
      </w:r>
      <w:r w:rsidRPr="00284EAF">
        <w:rPr>
          <w:rFonts w:ascii="Book Antiqua" w:hAnsi="Book Antiqua"/>
          <w:i/>
        </w:rPr>
        <w:t>Surg Obes Relat Dis</w:t>
      </w:r>
      <w:r w:rsidRPr="00284EAF">
        <w:rPr>
          <w:rFonts w:ascii="Book Antiqua" w:hAnsi="Book Antiqua"/>
        </w:rPr>
        <w:t xml:space="preserve"> 2014; </w:t>
      </w:r>
      <w:r w:rsidRPr="00284EAF">
        <w:rPr>
          <w:rFonts w:ascii="Book Antiqua" w:hAnsi="Book Antiqua"/>
          <w:b/>
        </w:rPr>
        <w:t>10</w:t>
      </w:r>
      <w:r w:rsidRPr="00284EAF">
        <w:rPr>
          <w:rFonts w:ascii="Book Antiqua" w:hAnsi="Book Antiqua"/>
        </w:rPr>
        <w:t>: 502-507 [PMID: 24238733 DOI: 10.1016/j.soard.2013.07.018]</w:t>
      </w:r>
    </w:p>
    <w:p w14:paraId="7022EA45"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29 </w:t>
      </w:r>
      <w:r w:rsidRPr="00284EAF">
        <w:rPr>
          <w:rFonts w:ascii="Book Antiqua" w:hAnsi="Book Antiqua"/>
          <w:b/>
        </w:rPr>
        <w:t>Tutuian R</w:t>
      </w:r>
      <w:r w:rsidRPr="00284EAF">
        <w:rPr>
          <w:rFonts w:ascii="Book Antiqua" w:hAnsi="Book Antiqua"/>
        </w:rPr>
        <w:t xml:space="preserve">. Effects of bariatric surgery on gastroesophageal reflux. </w:t>
      </w:r>
      <w:r w:rsidRPr="00284EAF">
        <w:rPr>
          <w:rFonts w:ascii="Book Antiqua" w:hAnsi="Book Antiqua"/>
          <w:i/>
        </w:rPr>
        <w:t>Curr Opin Gastroenterol</w:t>
      </w:r>
      <w:r w:rsidRPr="00284EAF">
        <w:rPr>
          <w:rFonts w:ascii="Book Antiqua" w:hAnsi="Book Antiqua"/>
        </w:rPr>
        <w:t xml:space="preserve"> 2014; </w:t>
      </w:r>
      <w:r w:rsidRPr="00284EAF">
        <w:rPr>
          <w:rFonts w:ascii="Book Antiqua" w:hAnsi="Book Antiqua"/>
          <w:b/>
        </w:rPr>
        <w:t>30</w:t>
      </w:r>
      <w:r w:rsidRPr="00284EAF">
        <w:rPr>
          <w:rFonts w:ascii="Book Antiqua" w:hAnsi="Book Antiqua"/>
        </w:rPr>
        <w:t>: 434-438 [PMID: 24867157 DOI: 10.1097/MOG.0000000000000083]</w:t>
      </w:r>
    </w:p>
    <w:p w14:paraId="0682562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30 </w:t>
      </w:r>
      <w:r w:rsidRPr="00284EAF">
        <w:rPr>
          <w:rFonts w:ascii="Book Antiqua" w:hAnsi="Book Antiqua"/>
          <w:b/>
        </w:rPr>
        <w:t>Yang YX</w:t>
      </w:r>
      <w:r w:rsidRPr="00284EAF">
        <w:rPr>
          <w:rFonts w:ascii="Book Antiqua" w:hAnsi="Book Antiqua"/>
        </w:rPr>
        <w:t xml:space="preserve">, Lewis JD, Epstein S, Metz DC. Long-term proton pump inhibitor therapy and risk of hip fracture. </w:t>
      </w:r>
      <w:r w:rsidRPr="00284EAF">
        <w:rPr>
          <w:rFonts w:ascii="Book Antiqua" w:hAnsi="Book Antiqua"/>
          <w:i/>
        </w:rPr>
        <w:t>JAMA</w:t>
      </w:r>
      <w:r w:rsidRPr="00284EAF">
        <w:rPr>
          <w:rFonts w:ascii="Book Antiqua" w:hAnsi="Book Antiqua"/>
        </w:rPr>
        <w:t xml:space="preserve"> 2006; </w:t>
      </w:r>
      <w:r w:rsidRPr="00284EAF">
        <w:rPr>
          <w:rFonts w:ascii="Book Antiqua" w:hAnsi="Book Antiqua"/>
          <w:b/>
        </w:rPr>
        <w:t>296</w:t>
      </w:r>
      <w:r w:rsidRPr="00284EAF">
        <w:rPr>
          <w:rFonts w:ascii="Book Antiqua" w:hAnsi="Book Antiqua"/>
        </w:rPr>
        <w:t>: 2947-2953 [PMID: 17190895 DOI: 10.1001/jama.296.24.2947]</w:t>
      </w:r>
    </w:p>
    <w:p w14:paraId="512EC33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31 </w:t>
      </w:r>
      <w:r w:rsidRPr="00284EAF">
        <w:rPr>
          <w:rFonts w:ascii="Book Antiqua" w:hAnsi="Book Antiqua"/>
          <w:b/>
        </w:rPr>
        <w:t>Ito T</w:t>
      </w:r>
      <w:r w:rsidRPr="00284EAF">
        <w:rPr>
          <w:rFonts w:ascii="Book Antiqua" w:hAnsi="Book Antiqua"/>
        </w:rPr>
        <w:t xml:space="preserve">, Jensen RT. Association of long-term proton pump inhibitor therapy with bone fractures and effects on absorption of calcium, vitamin B12, iron, and magnesium. </w:t>
      </w:r>
      <w:r w:rsidRPr="00284EAF">
        <w:rPr>
          <w:rFonts w:ascii="Book Antiqua" w:hAnsi="Book Antiqua"/>
          <w:i/>
        </w:rPr>
        <w:t>Curr Gastroenterol Rep</w:t>
      </w:r>
      <w:r w:rsidRPr="00284EAF">
        <w:rPr>
          <w:rFonts w:ascii="Book Antiqua" w:hAnsi="Book Antiqua"/>
        </w:rPr>
        <w:t xml:space="preserve"> 2010; </w:t>
      </w:r>
      <w:r w:rsidRPr="00284EAF">
        <w:rPr>
          <w:rFonts w:ascii="Book Antiqua" w:hAnsi="Book Antiqua"/>
          <w:b/>
        </w:rPr>
        <w:t>12</w:t>
      </w:r>
      <w:r w:rsidRPr="00284EAF">
        <w:rPr>
          <w:rFonts w:ascii="Book Antiqua" w:hAnsi="Book Antiqua"/>
        </w:rPr>
        <w:t>: 448-457 [PMID: 20882439 DOI: 10.1007/s11894-010-0141-0]</w:t>
      </w:r>
    </w:p>
    <w:p w14:paraId="0A051584"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32 </w:t>
      </w:r>
      <w:r w:rsidRPr="00284EAF">
        <w:rPr>
          <w:rFonts w:ascii="Book Antiqua" w:hAnsi="Book Antiqua"/>
          <w:b/>
        </w:rPr>
        <w:t>Strand DS</w:t>
      </w:r>
      <w:r w:rsidRPr="00284EAF">
        <w:rPr>
          <w:rFonts w:ascii="Book Antiqua" w:hAnsi="Book Antiqua"/>
        </w:rPr>
        <w:t xml:space="preserve">, Kim D, Peura DA. 25 Years of Proton Pump Inhibitors: A Comprehensive Review. </w:t>
      </w:r>
      <w:r w:rsidRPr="00284EAF">
        <w:rPr>
          <w:rFonts w:ascii="Book Antiqua" w:hAnsi="Book Antiqua"/>
          <w:i/>
        </w:rPr>
        <w:t>Gut Liver</w:t>
      </w:r>
      <w:r w:rsidRPr="00284EAF">
        <w:rPr>
          <w:rFonts w:ascii="Book Antiqua" w:hAnsi="Book Antiqua"/>
        </w:rPr>
        <w:t xml:space="preserve"> 2017; </w:t>
      </w:r>
      <w:r w:rsidRPr="00284EAF">
        <w:rPr>
          <w:rFonts w:ascii="Book Antiqua" w:hAnsi="Book Antiqua"/>
          <w:b/>
        </w:rPr>
        <w:t>11</w:t>
      </w:r>
      <w:r w:rsidRPr="00284EAF">
        <w:rPr>
          <w:rFonts w:ascii="Book Antiqua" w:hAnsi="Book Antiqua"/>
        </w:rPr>
        <w:t>: 27-37 [PMID: 27840364 DOI: 10.5009/gnl15502]</w:t>
      </w:r>
    </w:p>
    <w:p w14:paraId="00172354"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33 </w:t>
      </w:r>
      <w:r w:rsidRPr="00284EAF">
        <w:rPr>
          <w:rFonts w:ascii="Book Antiqua" w:hAnsi="Book Antiqua"/>
          <w:b/>
        </w:rPr>
        <w:t>Lo WK</w:t>
      </w:r>
      <w:r w:rsidRPr="00284EAF">
        <w:rPr>
          <w:rFonts w:ascii="Book Antiqua" w:hAnsi="Book Antiqua"/>
        </w:rPr>
        <w:t xml:space="preserve">, Chan WW. Proton pump inhibitor use and the risk of small intestinal bacterial overgrowth: a meta-analysis. </w:t>
      </w:r>
      <w:r w:rsidRPr="00284EAF">
        <w:rPr>
          <w:rFonts w:ascii="Book Antiqua" w:hAnsi="Book Antiqua"/>
          <w:i/>
        </w:rPr>
        <w:t>Clin Gastroenterol Hepatol</w:t>
      </w:r>
      <w:r w:rsidRPr="00284EAF">
        <w:rPr>
          <w:rFonts w:ascii="Book Antiqua" w:hAnsi="Book Antiqua"/>
        </w:rPr>
        <w:t xml:space="preserve"> 2013; </w:t>
      </w:r>
      <w:r w:rsidRPr="00284EAF">
        <w:rPr>
          <w:rFonts w:ascii="Book Antiqua" w:hAnsi="Book Antiqua"/>
          <w:b/>
        </w:rPr>
        <w:t>11</w:t>
      </w:r>
      <w:r w:rsidRPr="00284EAF">
        <w:rPr>
          <w:rFonts w:ascii="Book Antiqua" w:hAnsi="Book Antiqua"/>
        </w:rPr>
        <w:t>: 483-490 [PMID: 23270866 DOI: 10.1016/j.cgh.2012.12.011]</w:t>
      </w:r>
    </w:p>
    <w:p w14:paraId="12B2EDBD"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34 </w:t>
      </w:r>
      <w:r w:rsidRPr="00284EAF">
        <w:rPr>
          <w:rFonts w:ascii="Book Antiqua" w:hAnsi="Book Antiqua"/>
          <w:b/>
        </w:rPr>
        <w:t>Bavishi C</w:t>
      </w:r>
      <w:r w:rsidRPr="00284EAF">
        <w:rPr>
          <w:rFonts w:ascii="Book Antiqua" w:hAnsi="Book Antiqua"/>
        </w:rPr>
        <w:t xml:space="preserve">, Dupont HL. Systematic review: the use of proton pump inhibitors and increased susceptibility to enteric infection. </w:t>
      </w:r>
      <w:r w:rsidRPr="00284EAF">
        <w:rPr>
          <w:rFonts w:ascii="Book Antiqua" w:hAnsi="Book Antiqua"/>
          <w:i/>
        </w:rPr>
        <w:t>Aliment Pharmacol Ther</w:t>
      </w:r>
      <w:r w:rsidRPr="00284EAF">
        <w:rPr>
          <w:rFonts w:ascii="Book Antiqua" w:hAnsi="Book Antiqua"/>
        </w:rPr>
        <w:t xml:space="preserve"> 2011; </w:t>
      </w:r>
      <w:r w:rsidRPr="00284EAF">
        <w:rPr>
          <w:rFonts w:ascii="Book Antiqua" w:hAnsi="Book Antiqua"/>
          <w:b/>
        </w:rPr>
        <w:t>34</w:t>
      </w:r>
      <w:r w:rsidRPr="00284EAF">
        <w:rPr>
          <w:rFonts w:ascii="Book Antiqua" w:hAnsi="Book Antiqua"/>
        </w:rPr>
        <w:t>: 1269-1281 [PMID: 21999643 DOI: 10.1111/j.1365-2036.2011.04874.x]</w:t>
      </w:r>
    </w:p>
    <w:p w14:paraId="7557232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35 </w:t>
      </w:r>
      <w:r w:rsidRPr="00284EAF">
        <w:rPr>
          <w:rFonts w:ascii="Book Antiqua" w:hAnsi="Book Antiqua"/>
          <w:b/>
        </w:rPr>
        <w:t>Peng YC</w:t>
      </w:r>
      <w:r w:rsidRPr="00284EAF">
        <w:rPr>
          <w:rFonts w:ascii="Book Antiqua" w:hAnsi="Book Antiqua"/>
        </w:rPr>
        <w:t xml:space="preserve">, Lin CL, Yeh HZ, Chang CS, Wu YL, Kao CH. Association Between the Use of Proton Pump Inhibitors and the Risk of ESRD in Renal Diseases: A Population-Based, Case-Control Study. </w:t>
      </w:r>
      <w:r w:rsidRPr="00284EAF">
        <w:rPr>
          <w:rFonts w:ascii="Book Antiqua" w:hAnsi="Book Antiqua"/>
          <w:i/>
        </w:rPr>
        <w:t>Medicine (Baltimore)</w:t>
      </w:r>
      <w:r w:rsidRPr="00284EAF">
        <w:rPr>
          <w:rFonts w:ascii="Book Antiqua" w:hAnsi="Book Antiqua"/>
        </w:rPr>
        <w:t xml:space="preserve"> 2016; </w:t>
      </w:r>
      <w:r w:rsidRPr="00284EAF">
        <w:rPr>
          <w:rFonts w:ascii="Book Antiqua" w:hAnsi="Book Antiqua"/>
          <w:b/>
        </w:rPr>
        <w:t>95</w:t>
      </w:r>
      <w:r w:rsidRPr="00284EAF">
        <w:rPr>
          <w:rFonts w:ascii="Book Antiqua" w:hAnsi="Book Antiqua"/>
        </w:rPr>
        <w:t>: e3363 [PMID: 27082596 DOI: 10.1097/MD.0000000000003363]</w:t>
      </w:r>
    </w:p>
    <w:p w14:paraId="2AED9A0F"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36 </w:t>
      </w:r>
      <w:r w:rsidRPr="00284EAF">
        <w:rPr>
          <w:rFonts w:ascii="Book Antiqua" w:hAnsi="Book Antiqua"/>
          <w:b/>
        </w:rPr>
        <w:t>Lazarus B</w:t>
      </w:r>
      <w:r w:rsidRPr="00284EAF">
        <w:rPr>
          <w:rFonts w:ascii="Book Antiqua" w:hAnsi="Book Antiqua"/>
        </w:rPr>
        <w:t xml:space="preserve">, Chen Y, Wilson FP, Sang Y, Chang AR, Coresh J, Grams ME. Proton Pump Inhibitor Use and the Risk of Chronic Kidney Disease. </w:t>
      </w:r>
      <w:r w:rsidRPr="00284EAF">
        <w:rPr>
          <w:rFonts w:ascii="Book Antiqua" w:hAnsi="Book Antiqua"/>
          <w:i/>
        </w:rPr>
        <w:t>JAMA Intern Med</w:t>
      </w:r>
      <w:r w:rsidRPr="00284EAF">
        <w:rPr>
          <w:rFonts w:ascii="Book Antiqua" w:hAnsi="Book Antiqua"/>
        </w:rPr>
        <w:t xml:space="preserve"> 2016; </w:t>
      </w:r>
      <w:r w:rsidRPr="00284EAF">
        <w:rPr>
          <w:rFonts w:ascii="Book Antiqua" w:hAnsi="Book Antiqua"/>
          <w:b/>
        </w:rPr>
        <w:t>176</w:t>
      </w:r>
      <w:r w:rsidRPr="00284EAF">
        <w:rPr>
          <w:rFonts w:ascii="Book Antiqua" w:hAnsi="Book Antiqua"/>
        </w:rPr>
        <w:t>: 238-246 [PMID: 26752337 DOI: 10.1001/jamainternmed.2015.7193]</w:t>
      </w:r>
    </w:p>
    <w:p w14:paraId="783C0CEF"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37 </w:t>
      </w:r>
      <w:r w:rsidRPr="00284EAF">
        <w:rPr>
          <w:rFonts w:ascii="Book Antiqua" w:hAnsi="Book Antiqua"/>
          <w:b/>
        </w:rPr>
        <w:t>Arora P</w:t>
      </w:r>
      <w:r w:rsidRPr="00284EAF">
        <w:rPr>
          <w:rFonts w:ascii="Book Antiqua" w:hAnsi="Book Antiqua"/>
        </w:rPr>
        <w:t xml:space="preserve">, Gupta A, Golzy M, Patel N, Carter RL, Jalal K, Lohr JW. Proton pump inhibitors are associated with increased risk of development of chronic kidney disease. </w:t>
      </w:r>
      <w:r w:rsidRPr="00284EAF">
        <w:rPr>
          <w:rFonts w:ascii="Book Antiqua" w:hAnsi="Book Antiqua"/>
          <w:i/>
        </w:rPr>
        <w:t>BMC Nephrol</w:t>
      </w:r>
      <w:r w:rsidRPr="00284EAF">
        <w:rPr>
          <w:rFonts w:ascii="Book Antiqua" w:hAnsi="Book Antiqua"/>
        </w:rPr>
        <w:t xml:space="preserve"> 2016; </w:t>
      </w:r>
      <w:r w:rsidRPr="00284EAF">
        <w:rPr>
          <w:rFonts w:ascii="Book Antiqua" w:hAnsi="Book Antiqua"/>
          <w:b/>
        </w:rPr>
        <w:t>17</w:t>
      </w:r>
      <w:r w:rsidRPr="00284EAF">
        <w:rPr>
          <w:rFonts w:ascii="Book Antiqua" w:hAnsi="Book Antiqua"/>
        </w:rPr>
        <w:t>: 112 [PMID: 27487959 DOI: 10.1186/s12882-016-0325-4]</w:t>
      </w:r>
    </w:p>
    <w:p w14:paraId="32C924B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38 </w:t>
      </w:r>
      <w:r w:rsidRPr="00284EAF">
        <w:rPr>
          <w:rFonts w:ascii="Book Antiqua" w:hAnsi="Book Antiqua"/>
          <w:b/>
        </w:rPr>
        <w:t>Xie Y</w:t>
      </w:r>
      <w:r w:rsidRPr="00284EAF">
        <w:rPr>
          <w:rFonts w:ascii="Book Antiqua" w:hAnsi="Book Antiqua"/>
        </w:rPr>
        <w:t xml:space="preserve">, Bowe B, Li T, Xian H, Balasubramanian S, Al-Aly Z. Proton Pump Inhibitors and Risk of Incident CKD and Progression to ESRD. </w:t>
      </w:r>
      <w:r w:rsidRPr="00284EAF">
        <w:rPr>
          <w:rFonts w:ascii="Book Antiqua" w:hAnsi="Book Antiqua"/>
          <w:i/>
        </w:rPr>
        <w:t>J Am Soc Nephrol</w:t>
      </w:r>
      <w:r w:rsidRPr="00284EAF">
        <w:rPr>
          <w:rFonts w:ascii="Book Antiqua" w:hAnsi="Book Antiqua"/>
        </w:rPr>
        <w:t xml:space="preserve"> 2016; </w:t>
      </w:r>
      <w:r w:rsidRPr="00284EAF">
        <w:rPr>
          <w:rFonts w:ascii="Book Antiqua" w:hAnsi="Book Antiqua"/>
          <w:b/>
        </w:rPr>
        <w:t>27</w:t>
      </w:r>
      <w:r w:rsidRPr="00284EAF">
        <w:rPr>
          <w:rFonts w:ascii="Book Antiqua" w:hAnsi="Book Antiqua"/>
        </w:rPr>
        <w:t>: 3153-3163 [PMID: 27080976 DOI: 10.1681/ASN.2015121377]</w:t>
      </w:r>
    </w:p>
    <w:p w14:paraId="69922591"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39 </w:t>
      </w:r>
      <w:r w:rsidRPr="00284EAF">
        <w:rPr>
          <w:rFonts w:ascii="Book Antiqua" w:hAnsi="Book Antiqua"/>
          <w:b/>
        </w:rPr>
        <w:t>Xie Y</w:t>
      </w:r>
      <w:r w:rsidRPr="00284EAF">
        <w:rPr>
          <w:rFonts w:ascii="Book Antiqua" w:hAnsi="Book Antiqua"/>
        </w:rPr>
        <w:t xml:space="preserve">, Bowe B, Li T, Xian H, Yan Y, Al-Aly Z. Long-term kidney outcomes among users of proton pump inhibitors without intervening acute kidney injury. </w:t>
      </w:r>
      <w:r w:rsidRPr="00284EAF">
        <w:rPr>
          <w:rFonts w:ascii="Book Antiqua" w:hAnsi="Book Antiqua"/>
          <w:i/>
        </w:rPr>
        <w:t>Kidney Int</w:t>
      </w:r>
      <w:r w:rsidRPr="00284EAF">
        <w:rPr>
          <w:rFonts w:ascii="Book Antiqua" w:hAnsi="Book Antiqua"/>
        </w:rPr>
        <w:t xml:space="preserve"> 2017; </w:t>
      </w:r>
      <w:r w:rsidRPr="00284EAF">
        <w:rPr>
          <w:rFonts w:ascii="Book Antiqua" w:hAnsi="Book Antiqua"/>
          <w:b/>
        </w:rPr>
        <w:t>91</w:t>
      </w:r>
      <w:r w:rsidRPr="00284EAF">
        <w:rPr>
          <w:rFonts w:ascii="Book Antiqua" w:hAnsi="Book Antiqua"/>
        </w:rPr>
        <w:t>: 1482-1494 [PMID: 28237709 DOI: 10.1016/j.kint.2016.12.021]</w:t>
      </w:r>
    </w:p>
    <w:p w14:paraId="26B82882"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40 </w:t>
      </w:r>
      <w:r w:rsidRPr="00284EAF">
        <w:rPr>
          <w:rFonts w:ascii="Book Antiqua" w:hAnsi="Book Antiqua"/>
          <w:b/>
        </w:rPr>
        <w:t>Klatte DCF</w:t>
      </w:r>
      <w:r w:rsidRPr="00284EAF">
        <w:rPr>
          <w:rFonts w:ascii="Book Antiqua" w:hAnsi="Book Antiqua"/>
        </w:rPr>
        <w:t xml:space="preserve">, Gasparini A, Xu H, de Deco P, Trevisan M, Johansson ALV, Wettermark B, Ärnlöv J, Janmaat CJ, Lindholm B, Dekker FW, Coresh J, Grams ME, Carrero JJ. Association Between Proton Pump Inhibitor Use and Risk of Progression of Chronic Kidney Disease. </w:t>
      </w:r>
      <w:r w:rsidRPr="00284EAF">
        <w:rPr>
          <w:rFonts w:ascii="Book Antiqua" w:hAnsi="Book Antiqua"/>
          <w:i/>
        </w:rPr>
        <w:t>Gastroenterology</w:t>
      </w:r>
      <w:r w:rsidRPr="00284EAF">
        <w:rPr>
          <w:rFonts w:ascii="Book Antiqua" w:hAnsi="Book Antiqua"/>
        </w:rPr>
        <w:t xml:space="preserve"> 2017; </w:t>
      </w:r>
      <w:r w:rsidRPr="00284EAF">
        <w:rPr>
          <w:rFonts w:ascii="Book Antiqua" w:hAnsi="Book Antiqua"/>
          <w:b/>
        </w:rPr>
        <w:t>153</w:t>
      </w:r>
      <w:r w:rsidRPr="00284EAF">
        <w:rPr>
          <w:rFonts w:ascii="Book Antiqua" w:hAnsi="Book Antiqua"/>
        </w:rPr>
        <w:t>: 702-710 [PMID: 28583827 DOI: 10.1053/j.gastro.2017.05.046]</w:t>
      </w:r>
    </w:p>
    <w:p w14:paraId="01F6CE3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41 </w:t>
      </w:r>
      <w:r w:rsidRPr="00284EAF">
        <w:rPr>
          <w:rFonts w:ascii="Book Antiqua" w:hAnsi="Book Antiqua"/>
          <w:b/>
        </w:rPr>
        <w:t>Bonderup OK</w:t>
      </w:r>
      <w:r w:rsidRPr="00284EAF">
        <w:rPr>
          <w:rFonts w:ascii="Book Antiqua" w:hAnsi="Book Antiqua"/>
        </w:rPr>
        <w:t xml:space="preserve">, Nielsen GL, Dall M, Pottegård A, Hallas J. Significant association between the use of different proton pump inhibitors and microscopic colitis: a nationwide Danish case-control study. </w:t>
      </w:r>
      <w:r w:rsidRPr="00284EAF">
        <w:rPr>
          <w:rFonts w:ascii="Book Antiqua" w:hAnsi="Book Antiqua"/>
          <w:i/>
        </w:rPr>
        <w:t>Aliment Pharmacol Ther</w:t>
      </w:r>
      <w:r w:rsidRPr="00284EAF">
        <w:rPr>
          <w:rFonts w:ascii="Book Antiqua" w:hAnsi="Book Antiqua"/>
        </w:rPr>
        <w:t xml:space="preserve"> 2018; </w:t>
      </w:r>
      <w:r w:rsidRPr="00284EAF">
        <w:rPr>
          <w:rFonts w:ascii="Book Antiqua" w:hAnsi="Book Antiqua"/>
          <w:b/>
        </w:rPr>
        <w:t>48</w:t>
      </w:r>
      <w:r w:rsidRPr="00284EAF">
        <w:rPr>
          <w:rFonts w:ascii="Book Antiqua" w:hAnsi="Book Antiqua"/>
        </w:rPr>
        <w:t>: 618-625 [PMID: 30039564 DOI: 10.1111/apt.14916]</w:t>
      </w:r>
    </w:p>
    <w:p w14:paraId="74528074"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42 </w:t>
      </w:r>
      <w:r w:rsidRPr="00284EAF">
        <w:rPr>
          <w:rFonts w:ascii="Book Antiqua" w:hAnsi="Book Antiqua"/>
          <w:b/>
        </w:rPr>
        <w:t>Gawron AJ</w:t>
      </w:r>
      <w:r w:rsidRPr="00284EAF">
        <w:rPr>
          <w:rFonts w:ascii="Book Antiqua" w:hAnsi="Book Antiqua"/>
        </w:rPr>
        <w:t xml:space="preserve">, Rothe J, Fought AJ, Fareeduddin A, Toto E, Boris L, Kahrilas PJ, Pandolfino JE. Many patients continue using proton pump inhibitors after negative results from tests for reflux disease. </w:t>
      </w:r>
      <w:r w:rsidRPr="00284EAF">
        <w:rPr>
          <w:rFonts w:ascii="Book Antiqua" w:hAnsi="Book Antiqua"/>
          <w:i/>
        </w:rPr>
        <w:t>Clin Gastroenterol Hepatol</w:t>
      </w:r>
      <w:r w:rsidRPr="00284EAF">
        <w:rPr>
          <w:rFonts w:ascii="Book Antiqua" w:hAnsi="Book Antiqua"/>
        </w:rPr>
        <w:t xml:space="preserve"> 2012; </w:t>
      </w:r>
      <w:r w:rsidRPr="00284EAF">
        <w:rPr>
          <w:rFonts w:ascii="Book Antiqua" w:hAnsi="Book Antiqua"/>
          <w:b/>
        </w:rPr>
        <w:t>10</w:t>
      </w:r>
      <w:r w:rsidRPr="00284EAF">
        <w:rPr>
          <w:rFonts w:ascii="Book Antiqua" w:hAnsi="Book Antiqua"/>
        </w:rPr>
        <w:t>: 620-5; quiz e57 [PMID: 22366177 DOI: 10.1016/j.cgh.2012.02.012]</w:t>
      </w:r>
    </w:p>
    <w:p w14:paraId="1C16C5E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43 </w:t>
      </w:r>
      <w:r w:rsidRPr="00284EAF">
        <w:rPr>
          <w:rFonts w:ascii="Book Antiqua" w:hAnsi="Book Antiqua"/>
          <w:b/>
        </w:rPr>
        <w:t>Yadlapati R</w:t>
      </w:r>
      <w:r w:rsidRPr="00284EAF">
        <w:rPr>
          <w:rFonts w:ascii="Book Antiqua" w:hAnsi="Book Antiqua"/>
        </w:rPr>
        <w:t xml:space="preserve">, Vaezi MF, Vela MF, Spechler SJ, Shaheen NJ, Richter J, Lacy BE, Katzka D, Katz PO, Kahrilas PJ, Gyawali CP, Gerson L, Fass R, Castell DO, Craft J, Hillman L, Pandolfino JE. Management options for patients with GERD and </w:t>
      </w:r>
      <w:r w:rsidRPr="00284EAF">
        <w:rPr>
          <w:rFonts w:ascii="Book Antiqua" w:hAnsi="Book Antiqua"/>
        </w:rPr>
        <w:lastRenderedPageBreak/>
        <w:t xml:space="preserve">persistent symptoms on proton pump inhibitors: recommendations from an expert panel. </w:t>
      </w:r>
      <w:r w:rsidRPr="00284EAF">
        <w:rPr>
          <w:rFonts w:ascii="Book Antiqua" w:hAnsi="Book Antiqua"/>
          <w:i/>
        </w:rPr>
        <w:t>Am J Gastroenterol</w:t>
      </w:r>
      <w:r w:rsidRPr="00284EAF">
        <w:rPr>
          <w:rFonts w:ascii="Book Antiqua" w:hAnsi="Book Antiqua"/>
        </w:rPr>
        <w:t xml:space="preserve"> 2018; </w:t>
      </w:r>
      <w:r w:rsidRPr="00284EAF">
        <w:rPr>
          <w:rFonts w:ascii="Book Antiqua" w:hAnsi="Book Antiqua"/>
          <w:b/>
        </w:rPr>
        <w:t>113</w:t>
      </w:r>
      <w:r w:rsidRPr="00284EAF">
        <w:rPr>
          <w:rFonts w:ascii="Book Antiqua" w:hAnsi="Book Antiqua"/>
        </w:rPr>
        <w:t>: 980-986 [PMID: 29686276 DOI: 10.1038/s41395-018-0045-4]</w:t>
      </w:r>
    </w:p>
    <w:p w14:paraId="30B1E3CA"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44 </w:t>
      </w:r>
      <w:r w:rsidRPr="00284EAF">
        <w:rPr>
          <w:rFonts w:ascii="Book Antiqua" w:hAnsi="Book Antiqua"/>
          <w:b/>
        </w:rPr>
        <w:t>Inadomi JM</w:t>
      </w:r>
      <w:r w:rsidRPr="00284EAF">
        <w:rPr>
          <w:rFonts w:ascii="Book Antiqua" w:hAnsi="Book Antiqua"/>
        </w:rPr>
        <w:t xml:space="preserve">, Jamal R, Murata GH, Hoffman RM, Lavezo LA, Vigil JM, Swanson KM, Sonnenberg A. Step-down management of gastroesophageal reflux disease. </w:t>
      </w:r>
      <w:r w:rsidRPr="00284EAF">
        <w:rPr>
          <w:rFonts w:ascii="Book Antiqua" w:hAnsi="Book Antiqua"/>
          <w:i/>
        </w:rPr>
        <w:t>Gastroenterology</w:t>
      </w:r>
      <w:r w:rsidRPr="00284EAF">
        <w:rPr>
          <w:rFonts w:ascii="Book Antiqua" w:hAnsi="Book Antiqua"/>
        </w:rPr>
        <w:t xml:space="preserve"> 2001; </w:t>
      </w:r>
      <w:r w:rsidRPr="00284EAF">
        <w:rPr>
          <w:rFonts w:ascii="Book Antiqua" w:hAnsi="Book Antiqua"/>
          <w:b/>
        </w:rPr>
        <w:t>121</w:t>
      </w:r>
      <w:r w:rsidRPr="00284EAF">
        <w:rPr>
          <w:rFonts w:ascii="Book Antiqua" w:hAnsi="Book Antiqua"/>
        </w:rPr>
        <w:t>: 1095-1100 [PMID: 11677201 DOI: 10.1053/gast.2001.28649]</w:t>
      </w:r>
    </w:p>
    <w:p w14:paraId="337C85D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45 </w:t>
      </w:r>
      <w:r w:rsidRPr="00284EAF">
        <w:rPr>
          <w:rFonts w:ascii="Book Antiqua" w:hAnsi="Book Antiqua"/>
          <w:b/>
        </w:rPr>
        <w:t>Coté GA</w:t>
      </w:r>
      <w:r w:rsidRPr="00284EAF">
        <w:rPr>
          <w:rFonts w:ascii="Book Antiqua" w:hAnsi="Book Antiqua"/>
        </w:rPr>
        <w:t xml:space="preserve">, Ferreira MR, Rozenberg-Ben-Dror K, Howden CW. Programme of stepping down from twice daily proton pump inhibitor therapy for symptomatic gastro-oesophageal reflux disease associated with a formulary change at a VA medical center. </w:t>
      </w:r>
      <w:r w:rsidRPr="00284EAF">
        <w:rPr>
          <w:rFonts w:ascii="Book Antiqua" w:hAnsi="Book Antiqua"/>
          <w:i/>
        </w:rPr>
        <w:t>Aliment Pharmacol Ther</w:t>
      </w:r>
      <w:r w:rsidRPr="00284EAF">
        <w:rPr>
          <w:rFonts w:ascii="Book Antiqua" w:hAnsi="Book Antiqua"/>
        </w:rPr>
        <w:t xml:space="preserve"> 2007; </w:t>
      </w:r>
      <w:r w:rsidRPr="00284EAF">
        <w:rPr>
          <w:rFonts w:ascii="Book Antiqua" w:hAnsi="Book Antiqua"/>
          <w:b/>
        </w:rPr>
        <w:t>25</w:t>
      </w:r>
      <w:r w:rsidRPr="00284EAF">
        <w:rPr>
          <w:rFonts w:ascii="Book Antiqua" w:hAnsi="Book Antiqua"/>
        </w:rPr>
        <w:t>: 709-714 [PMID: 17311604 DOI: 10.1111/j.1365-2036.2007.03248.x]</w:t>
      </w:r>
    </w:p>
    <w:p w14:paraId="4B2656B3"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46 </w:t>
      </w:r>
      <w:r w:rsidRPr="00284EAF">
        <w:rPr>
          <w:rFonts w:ascii="Book Antiqua" w:hAnsi="Book Antiqua"/>
          <w:b/>
        </w:rPr>
        <w:t>Keefer L</w:t>
      </w:r>
      <w:r w:rsidRPr="00284EAF">
        <w:rPr>
          <w:rFonts w:ascii="Book Antiqua" w:hAnsi="Book Antiqua"/>
        </w:rPr>
        <w:t xml:space="preserve">, Palsson OS, Pandolfino JE. Best Practice Update: Incorporating Psychogastroenterology Into Management of Digestive Disorders. </w:t>
      </w:r>
      <w:r w:rsidRPr="00284EAF">
        <w:rPr>
          <w:rFonts w:ascii="Book Antiqua" w:hAnsi="Book Antiqua"/>
          <w:i/>
        </w:rPr>
        <w:t>Gastroenterology</w:t>
      </w:r>
      <w:r w:rsidRPr="00284EAF">
        <w:rPr>
          <w:rFonts w:ascii="Book Antiqua" w:hAnsi="Book Antiqua"/>
        </w:rPr>
        <w:t xml:space="preserve"> 2018; </w:t>
      </w:r>
      <w:r w:rsidRPr="00284EAF">
        <w:rPr>
          <w:rFonts w:ascii="Book Antiqua" w:hAnsi="Book Antiqua"/>
          <w:b/>
        </w:rPr>
        <w:t>154</w:t>
      </w:r>
      <w:r w:rsidRPr="00284EAF">
        <w:rPr>
          <w:rFonts w:ascii="Book Antiqua" w:hAnsi="Book Antiqua"/>
        </w:rPr>
        <w:t>: 1249-1257 [PMID: 29410117 DOI: 10.1053/j.gastro.2018.01.045]</w:t>
      </w:r>
    </w:p>
    <w:p w14:paraId="18D8FE93"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47 </w:t>
      </w:r>
      <w:r w:rsidRPr="00284EAF">
        <w:rPr>
          <w:rFonts w:ascii="Book Antiqua" w:hAnsi="Book Antiqua"/>
          <w:b/>
        </w:rPr>
        <w:t>Kahrilas PJ</w:t>
      </w:r>
      <w:r w:rsidRPr="00284EAF">
        <w:rPr>
          <w:rFonts w:ascii="Book Antiqua" w:hAnsi="Book Antiqua"/>
        </w:rPr>
        <w:t xml:space="preserve">, Keefer L, Pandolfino JE. Patients with refractory reflux symptoms: What do they have and how should they be managed? </w:t>
      </w:r>
      <w:r w:rsidRPr="00284EAF">
        <w:rPr>
          <w:rFonts w:ascii="Book Antiqua" w:hAnsi="Book Antiqua"/>
          <w:i/>
        </w:rPr>
        <w:t>Neurogastroenterol Motil</w:t>
      </w:r>
      <w:r w:rsidRPr="00284EAF">
        <w:rPr>
          <w:rFonts w:ascii="Book Antiqua" w:hAnsi="Book Antiqua"/>
        </w:rPr>
        <w:t xml:space="preserve"> 2015; </w:t>
      </w:r>
      <w:r w:rsidRPr="00284EAF">
        <w:rPr>
          <w:rFonts w:ascii="Book Antiqua" w:hAnsi="Book Antiqua"/>
          <w:b/>
        </w:rPr>
        <w:t>27</w:t>
      </w:r>
      <w:r w:rsidRPr="00284EAF">
        <w:rPr>
          <w:rFonts w:ascii="Book Antiqua" w:hAnsi="Book Antiqua"/>
        </w:rPr>
        <w:t>: 1195-1201 [PMID: 26303047 DOI: 10.1111/nmo.12644]</w:t>
      </w:r>
    </w:p>
    <w:p w14:paraId="57AB164E"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48 </w:t>
      </w:r>
      <w:r w:rsidRPr="00284EAF">
        <w:rPr>
          <w:rFonts w:ascii="Book Antiqua" w:hAnsi="Book Antiqua"/>
          <w:b/>
        </w:rPr>
        <w:t>Labus JS</w:t>
      </w:r>
      <w:r w:rsidRPr="00284EAF">
        <w:rPr>
          <w:rFonts w:ascii="Book Antiqua" w:hAnsi="Book Antiqua"/>
        </w:rPr>
        <w:t xml:space="preserve">, Mayer EA, Chang L, Bolus R, Naliboff BD. The central role of gastrointestinal-specific anxiety in irritable bowel syndrome: further validation of the visceral sensitivity index. </w:t>
      </w:r>
      <w:r w:rsidRPr="00284EAF">
        <w:rPr>
          <w:rFonts w:ascii="Book Antiqua" w:hAnsi="Book Antiqua"/>
          <w:i/>
        </w:rPr>
        <w:t>Psychosom Med</w:t>
      </w:r>
      <w:r w:rsidRPr="00284EAF">
        <w:rPr>
          <w:rFonts w:ascii="Book Antiqua" w:hAnsi="Book Antiqua"/>
        </w:rPr>
        <w:t xml:space="preserve"> 2007; </w:t>
      </w:r>
      <w:r w:rsidRPr="00284EAF">
        <w:rPr>
          <w:rFonts w:ascii="Book Antiqua" w:hAnsi="Book Antiqua"/>
          <w:b/>
        </w:rPr>
        <w:t>69</w:t>
      </w:r>
      <w:r w:rsidRPr="00284EAF">
        <w:rPr>
          <w:rFonts w:ascii="Book Antiqua" w:hAnsi="Book Antiqua"/>
        </w:rPr>
        <w:t>: 89-98 [PMID: 17244851 DOI: 10.1097/PSY.0b013e31802e2f24]</w:t>
      </w:r>
    </w:p>
    <w:p w14:paraId="5983A46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49 </w:t>
      </w:r>
      <w:r w:rsidRPr="00284EAF">
        <w:rPr>
          <w:rFonts w:ascii="Book Antiqua" w:hAnsi="Book Antiqua"/>
          <w:b/>
        </w:rPr>
        <w:t>Labus JS</w:t>
      </w:r>
      <w:r w:rsidRPr="00284EAF">
        <w:rPr>
          <w:rFonts w:ascii="Book Antiqua" w:hAnsi="Book Antiqua"/>
        </w:rPr>
        <w:t xml:space="preserve">, Bolus R, Chang L, Wiklund I, Naesdal J, Mayer EA, Naliboff BD. The Visceral Sensitivity Index: development and validation of a gastrointestinal symptom-specific anxiety scale. </w:t>
      </w:r>
      <w:r w:rsidRPr="00284EAF">
        <w:rPr>
          <w:rFonts w:ascii="Book Antiqua" w:hAnsi="Book Antiqua"/>
          <w:i/>
        </w:rPr>
        <w:t>Aliment Pharmacol Ther</w:t>
      </w:r>
      <w:r w:rsidRPr="00284EAF">
        <w:rPr>
          <w:rFonts w:ascii="Book Antiqua" w:hAnsi="Book Antiqua"/>
        </w:rPr>
        <w:t xml:space="preserve"> 2004; </w:t>
      </w:r>
      <w:r w:rsidRPr="00284EAF">
        <w:rPr>
          <w:rFonts w:ascii="Book Antiqua" w:hAnsi="Book Antiqua"/>
          <w:b/>
        </w:rPr>
        <w:t>20</w:t>
      </w:r>
      <w:r w:rsidRPr="00284EAF">
        <w:rPr>
          <w:rFonts w:ascii="Book Antiqua" w:hAnsi="Book Antiqua"/>
        </w:rPr>
        <w:t>: 89-97 [PMID: 15225175 DOI: 10.1111/j.1365-2036.2004.02007.x]</w:t>
      </w:r>
    </w:p>
    <w:p w14:paraId="2A47A744"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50 </w:t>
      </w:r>
      <w:r w:rsidRPr="00284EAF">
        <w:rPr>
          <w:rFonts w:ascii="Book Antiqua" w:hAnsi="Book Antiqua"/>
          <w:b/>
        </w:rPr>
        <w:t>Becher A</w:t>
      </w:r>
      <w:r w:rsidRPr="00284EAF">
        <w:rPr>
          <w:rFonts w:ascii="Book Antiqua" w:hAnsi="Book Antiqua"/>
        </w:rPr>
        <w:t xml:space="preserve">, Dent J. Systematic review: ageing and gastro-oesophageal reflux disease symptoms, oesophageal function and reflux oesophagitis. </w:t>
      </w:r>
      <w:r w:rsidRPr="00284EAF">
        <w:rPr>
          <w:rFonts w:ascii="Book Antiqua" w:hAnsi="Book Antiqua"/>
          <w:i/>
        </w:rPr>
        <w:t>Aliment Pharmacol Ther</w:t>
      </w:r>
      <w:r w:rsidRPr="00284EAF">
        <w:rPr>
          <w:rFonts w:ascii="Book Antiqua" w:hAnsi="Book Antiqua"/>
        </w:rPr>
        <w:t xml:space="preserve"> 2011; </w:t>
      </w:r>
      <w:r w:rsidRPr="00284EAF">
        <w:rPr>
          <w:rFonts w:ascii="Book Antiqua" w:hAnsi="Book Antiqua"/>
          <w:b/>
        </w:rPr>
        <w:t>33</w:t>
      </w:r>
      <w:r w:rsidRPr="00284EAF">
        <w:rPr>
          <w:rFonts w:ascii="Book Antiqua" w:hAnsi="Book Antiqua"/>
        </w:rPr>
        <w:t>: 442-454 [PMID: 21138458 DOI: 10.1111/j.1365-2036.2010.04542.x]</w:t>
      </w:r>
    </w:p>
    <w:p w14:paraId="19E8A1FD"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51 </w:t>
      </w:r>
      <w:r w:rsidRPr="00284EAF">
        <w:rPr>
          <w:rFonts w:ascii="Book Antiqua" w:hAnsi="Book Antiqua"/>
          <w:b/>
        </w:rPr>
        <w:t>Keefer L</w:t>
      </w:r>
      <w:r w:rsidRPr="00284EAF">
        <w:rPr>
          <w:rFonts w:ascii="Book Antiqua" w:hAnsi="Book Antiqua"/>
        </w:rPr>
        <w:t xml:space="preserve">, Mandal S. The potential role of behavioral therapies in the management of centrally mediated abdominal pain. </w:t>
      </w:r>
      <w:r w:rsidRPr="00284EAF">
        <w:rPr>
          <w:rFonts w:ascii="Book Antiqua" w:hAnsi="Book Antiqua"/>
          <w:i/>
        </w:rPr>
        <w:t>Neurogastroenterol Motil</w:t>
      </w:r>
      <w:r w:rsidRPr="00284EAF">
        <w:rPr>
          <w:rFonts w:ascii="Book Antiqua" w:hAnsi="Book Antiqua"/>
        </w:rPr>
        <w:t xml:space="preserve"> 2015; </w:t>
      </w:r>
      <w:r w:rsidRPr="00284EAF">
        <w:rPr>
          <w:rFonts w:ascii="Book Antiqua" w:hAnsi="Book Antiqua"/>
          <w:b/>
        </w:rPr>
        <w:t>27</w:t>
      </w:r>
      <w:r w:rsidRPr="00284EAF">
        <w:rPr>
          <w:rFonts w:ascii="Book Antiqua" w:hAnsi="Book Antiqua"/>
        </w:rPr>
        <w:t>: 313-323 [PMID: 25428520 DOI: 10.1111/nmo.12474]</w:t>
      </w:r>
    </w:p>
    <w:p w14:paraId="0C9B28ED"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52 </w:t>
      </w:r>
      <w:r w:rsidRPr="00284EAF">
        <w:rPr>
          <w:rFonts w:ascii="Book Antiqua" w:hAnsi="Book Antiqua"/>
          <w:b/>
        </w:rPr>
        <w:t>Herregods TV</w:t>
      </w:r>
      <w:r w:rsidRPr="00284EAF">
        <w:rPr>
          <w:rFonts w:ascii="Book Antiqua" w:hAnsi="Book Antiqua"/>
        </w:rPr>
        <w:t xml:space="preserve">, Troelstra M, Weijenborg PW, Bredenoord AJ, Smout AJ. Patients with refractory reflux symptoms often do not have GERD. </w:t>
      </w:r>
      <w:r w:rsidRPr="00284EAF">
        <w:rPr>
          <w:rFonts w:ascii="Book Antiqua" w:hAnsi="Book Antiqua"/>
          <w:i/>
        </w:rPr>
        <w:t>Neurogastroenterol Motil</w:t>
      </w:r>
      <w:r w:rsidRPr="00284EAF">
        <w:rPr>
          <w:rFonts w:ascii="Book Antiqua" w:hAnsi="Book Antiqua"/>
        </w:rPr>
        <w:t xml:space="preserve"> 2015; </w:t>
      </w:r>
      <w:r w:rsidRPr="00284EAF">
        <w:rPr>
          <w:rFonts w:ascii="Book Antiqua" w:hAnsi="Book Antiqua"/>
          <w:b/>
        </w:rPr>
        <w:t>27</w:t>
      </w:r>
      <w:r w:rsidRPr="00284EAF">
        <w:rPr>
          <w:rFonts w:ascii="Book Antiqua" w:hAnsi="Book Antiqua"/>
        </w:rPr>
        <w:t>: 1267-1273 [PMID: 26088946 DOI: 10.1111/nmo.12620]</w:t>
      </w:r>
    </w:p>
    <w:p w14:paraId="377DC08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53 </w:t>
      </w:r>
      <w:r w:rsidRPr="00284EAF">
        <w:rPr>
          <w:rFonts w:ascii="Book Antiqua" w:hAnsi="Book Antiqua"/>
          <w:b/>
        </w:rPr>
        <w:t>Ballou S</w:t>
      </w:r>
      <w:r w:rsidRPr="00284EAF">
        <w:rPr>
          <w:rFonts w:ascii="Book Antiqua" w:hAnsi="Book Antiqua"/>
        </w:rPr>
        <w:t xml:space="preserve">, Keefer L. Psychological Interventions for Irritable Bowel Syndrome and Inflammatory Bowel Diseases. </w:t>
      </w:r>
      <w:r w:rsidRPr="00284EAF">
        <w:rPr>
          <w:rFonts w:ascii="Book Antiqua" w:hAnsi="Book Antiqua"/>
          <w:i/>
        </w:rPr>
        <w:t>Clin Transl Gastroenterol</w:t>
      </w:r>
      <w:r w:rsidRPr="00284EAF">
        <w:rPr>
          <w:rFonts w:ascii="Book Antiqua" w:hAnsi="Book Antiqua"/>
        </w:rPr>
        <w:t xml:space="preserve"> 2017; </w:t>
      </w:r>
      <w:r w:rsidRPr="00284EAF">
        <w:rPr>
          <w:rFonts w:ascii="Book Antiqua" w:hAnsi="Book Antiqua"/>
          <w:b/>
        </w:rPr>
        <w:t>8</w:t>
      </w:r>
      <w:r w:rsidRPr="00284EAF">
        <w:rPr>
          <w:rFonts w:ascii="Book Antiqua" w:hAnsi="Book Antiqua"/>
        </w:rPr>
        <w:t>: e214 [PMID: 28102860 DOI: 10.1038/ctg.2016.69]</w:t>
      </w:r>
    </w:p>
    <w:p w14:paraId="6E509A64"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54 </w:t>
      </w:r>
      <w:r w:rsidRPr="00284EAF">
        <w:rPr>
          <w:rFonts w:ascii="Book Antiqua" w:hAnsi="Book Antiqua"/>
          <w:b/>
        </w:rPr>
        <w:t>Onguti S</w:t>
      </w:r>
      <w:r w:rsidRPr="00284EAF">
        <w:rPr>
          <w:rFonts w:ascii="Book Antiqua" w:hAnsi="Book Antiqua"/>
        </w:rPr>
        <w:t xml:space="preserve">, Mathew S, Todd C. Communication and Ethics in the Clinical Examination. </w:t>
      </w:r>
      <w:r w:rsidRPr="00284EAF">
        <w:rPr>
          <w:rFonts w:ascii="Book Antiqua" w:hAnsi="Book Antiqua"/>
          <w:i/>
        </w:rPr>
        <w:t>Med Clin North Am</w:t>
      </w:r>
      <w:r w:rsidRPr="00284EAF">
        <w:rPr>
          <w:rFonts w:ascii="Book Antiqua" w:hAnsi="Book Antiqua"/>
        </w:rPr>
        <w:t xml:space="preserve"> 2018; </w:t>
      </w:r>
      <w:r w:rsidRPr="00284EAF">
        <w:rPr>
          <w:rFonts w:ascii="Book Antiqua" w:hAnsi="Book Antiqua"/>
          <w:b/>
        </w:rPr>
        <w:t>102</w:t>
      </w:r>
      <w:r w:rsidRPr="00284EAF">
        <w:rPr>
          <w:rFonts w:ascii="Book Antiqua" w:hAnsi="Book Antiqua"/>
        </w:rPr>
        <w:t>: 485-493 [PMID: 29650070 DOI: 10.1016/j.mcna.2017.12.010]</w:t>
      </w:r>
    </w:p>
    <w:p w14:paraId="253FDEDF"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55 </w:t>
      </w:r>
      <w:r w:rsidRPr="00284EAF">
        <w:rPr>
          <w:rFonts w:ascii="Book Antiqua" w:hAnsi="Book Antiqua"/>
          <w:b/>
        </w:rPr>
        <w:t>King A</w:t>
      </w:r>
      <w:r w:rsidRPr="00284EAF">
        <w:rPr>
          <w:rFonts w:ascii="Book Antiqua" w:hAnsi="Book Antiqua"/>
        </w:rPr>
        <w:t xml:space="preserve">, Hoppe RB. "Best practice" for patient-centered communication: a narrative review. </w:t>
      </w:r>
      <w:r w:rsidRPr="00284EAF">
        <w:rPr>
          <w:rFonts w:ascii="Book Antiqua" w:hAnsi="Book Antiqua"/>
          <w:i/>
        </w:rPr>
        <w:t>J Grad Med Educ</w:t>
      </w:r>
      <w:r w:rsidRPr="00284EAF">
        <w:rPr>
          <w:rFonts w:ascii="Book Antiqua" w:hAnsi="Book Antiqua"/>
        </w:rPr>
        <w:t xml:space="preserve"> 2013; </w:t>
      </w:r>
      <w:r w:rsidRPr="00284EAF">
        <w:rPr>
          <w:rFonts w:ascii="Book Antiqua" w:hAnsi="Book Antiqua"/>
          <w:b/>
        </w:rPr>
        <w:t>5</w:t>
      </w:r>
      <w:r w:rsidRPr="00284EAF">
        <w:rPr>
          <w:rFonts w:ascii="Book Antiqua" w:hAnsi="Book Antiqua"/>
        </w:rPr>
        <w:t>: 385-393 [PMID: 24404300 DOI: 10.4300/JGME-D-13-00072.1]</w:t>
      </w:r>
    </w:p>
    <w:p w14:paraId="1E55E41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56 </w:t>
      </w:r>
      <w:r w:rsidRPr="00284EAF">
        <w:rPr>
          <w:rFonts w:ascii="Book Antiqua" w:hAnsi="Book Antiqua"/>
          <w:b/>
        </w:rPr>
        <w:t>Epstein RM</w:t>
      </w:r>
      <w:r w:rsidRPr="00284EAF">
        <w:rPr>
          <w:rFonts w:ascii="Book Antiqua" w:hAnsi="Book Antiqua"/>
        </w:rPr>
        <w:t xml:space="preserve">, Duberstein PR, Fenton JJ, Fiscella K, Hoerger M, Tancredi DJ, Xing G, Gramling R, Mohile S, Franks P, Kaesberg P, Plumb S, Cipri CS, Street RL Jr, Shields CG, Back AL, Butow P, Walczak A, Tattersall M, Venuti A, Sullivan P, Robinson M, Hoh B, Lewis L, Kravitz RL. Effect of a Patient-Centered Communication Intervention on Oncologist-Patient Communication, Quality of Life, and Health Care Utilization in Advanced Cancer: The VOICE Randomized Clinical Trial. </w:t>
      </w:r>
      <w:r w:rsidRPr="00284EAF">
        <w:rPr>
          <w:rFonts w:ascii="Book Antiqua" w:hAnsi="Book Antiqua"/>
          <w:i/>
        </w:rPr>
        <w:t>JAMA Oncol</w:t>
      </w:r>
      <w:r w:rsidRPr="00284EAF">
        <w:rPr>
          <w:rFonts w:ascii="Book Antiqua" w:hAnsi="Book Antiqua"/>
        </w:rPr>
        <w:t xml:space="preserve"> 2017; </w:t>
      </w:r>
      <w:r w:rsidRPr="00284EAF">
        <w:rPr>
          <w:rFonts w:ascii="Book Antiqua" w:hAnsi="Book Antiqua"/>
          <w:b/>
        </w:rPr>
        <w:t>3</w:t>
      </w:r>
      <w:r w:rsidRPr="00284EAF">
        <w:rPr>
          <w:rFonts w:ascii="Book Antiqua" w:hAnsi="Book Antiqua"/>
        </w:rPr>
        <w:t>: 92-100 [PMID: 27612178 DOI: 10.1001/jamaoncol.2016.4373]</w:t>
      </w:r>
    </w:p>
    <w:p w14:paraId="601CCA81"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57 </w:t>
      </w:r>
      <w:r w:rsidRPr="00284EAF">
        <w:rPr>
          <w:rFonts w:ascii="Book Antiqua" w:hAnsi="Book Antiqua"/>
          <w:b/>
        </w:rPr>
        <w:t>McColl E</w:t>
      </w:r>
      <w:r w:rsidRPr="00284EAF">
        <w:rPr>
          <w:rFonts w:ascii="Book Antiqua" w:hAnsi="Book Antiqua"/>
        </w:rPr>
        <w:t xml:space="preserve">, Junghard O, Wiklund I, Revicki DA. Assessing symptoms in gastroesophageal reflux disease: how well do clinicians' assessments agree with those of their patients? </w:t>
      </w:r>
      <w:r w:rsidRPr="00284EAF">
        <w:rPr>
          <w:rFonts w:ascii="Book Antiqua" w:hAnsi="Book Antiqua"/>
          <w:i/>
        </w:rPr>
        <w:t>Am J Gastroenterol</w:t>
      </w:r>
      <w:r w:rsidRPr="00284EAF">
        <w:rPr>
          <w:rFonts w:ascii="Book Antiqua" w:hAnsi="Book Antiqua"/>
        </w:rPr>
        <w:t xml:space="preserve"> 2005; </w:t>
      </w:r>
      <w:r w:rsidRPr="00284EAF">
        <w:rPr>
          <w:rFonts w:ascii="Book Antiqua" w:hAnsi="Book Antiqua"/>
          <w:b/>
        </w:rPr>
        <w:t>100</w:t>
      </w:r>
      <w:r w:rsidRPr="00284EAF">
        <w:rPr>
          <w:rFonts w:ascii="Book Antiqua" w:hAnsi="Book Antiqua"/>
        </w:rPr>
        <w:t>: 11-18 [PMID: 15654774 DOI: 10.1111/j.1572-0241.2005.40945.x]</w:t>
      </w:r>
    </w:p>
    <w:p w14:paraId="4B91A9E1"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58 </w:t>
      </w:r>
      <w:r w:rsidRPr="00284EAF">
        <w:rPr>
          <w:rFonts w:ascii="Book Antiqua" w:hAnsi="Book Antiqua"/>
          <w:b/>
        </w:rPr>
        <w:t>Jones R</w:t>
      </w:r>
      <w:r w:rsidRPr="00284EAF">
        <w:rPr>
          <w:rFonts w:ascii="Book Antiqua" w:hAnsi="Book Antiqua"/>
        </w:rPr>
        <w:t xml:space="preserve">, Armstrong D, Malfertheiner P, Ducrotté P. Does the treatment of gastroesophageal reflux disease (GERD) meet patients' needs? A survey-based study. </w:t>
      </w:r>
      <w:r w:rsidRPr="00284EAF">
        <w:rPr>
          <w:rFonts w:ascii="Book Antiqua" w:hAnsi="Book Antiqua"/>
          <w:i/>
        </w:rPr>
        <w:t>Curr Med Res Opin</w:t>
      </w:r>
      <w:r w:rsidRPr="00284EAF">
        <w:rPr>
          <w:rFonts w:ascii="Book Antiqua" w:hAnsi="Book Antiqua"/>
        </w:rPr>
        <w:t xml:space="preserve"> 2006; </w:t>
      </w:r>
      <w:r w:rsidRPr="00284EAF">
        <w:rPr>
          <w:rFonts w:ascii="Book Antiqua" w:hAnsi="Book Antiqua"/>
          <w:b/>
        </w:rPr>
        <w:t>22</w:t>
      </w:r>
      <w:r w:rsidRPr="00284EAF">
        <w:rPr>
          <w:rFonts w:ascii="Book Antiqua" w:hAnsi="Book Antiqua"/>
        </w:rPr>
        <w:t>: 657-662 [PMID: 16684426 DOI: 10.1185/030079906X100032]</w:t>
      </w:r>
    </w:p>
    <w:p w14:paraId="2E2EEF9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59 </w:t>
      </w:r>
      <w:r w:rsidRPr="00284EAF">
        <w:rPr>
          <w:rFonts w:ascii="Book Antiqua" w:hAnsi="Book Antiqua"/>
          <w:b/>
        </w:rPr>
        <w:t>Jones R</w:t>
      </w:r>
      <w:r w:rsidRPr="00284EAF">
        <w:rPr>
          <w:rFonts w:ascii="Book Antiqua" w:hAnsi="Book Antiqua"/>
        </w:rPr>
        <w:t xml:space="preserve">, Coyne K, Wiklund I. The gastro-oesophageal reflux disease impact scale: a patient management tool for primary care. </w:t>
      </w:r>
      <w:r w:rsidRPr="00284EAF">
        <w:rPr>
          <w:rFonts w:ascii="Book Antiqua" w:hAnsi="Book Antiqua"/>
          <w:i/>
        </w:rPr>
        <w:t>Aliment Pharmacol Ther</w:t>
      </w:r>
      <w:r w:rsidRPr="00284EAF">
        <w:rPr>
          <w:rFonts w:ascii="Book Antiqua" w:hAnsi="Book Antiqua"/>
        </w:rPr>
        <w:t xml:space="preserve"> 2007; </w:t>
      </w:r>
      <w:r w:rsidRPr="00284EAF">
        <w:rPr>
          <w:rFonts w:ascii="Book Antiqua" w:hAnsi="Book Antiqua"/>
          <w:b/>
        </w:rPr>
        <w:t>25</w:t>
      </w:r>
      <w:r w:rsidRPr="00284EAF">
        <w:rPr>
          <w:rFonts w:ascii="Book Antiqua" w:hAnsi="Book Antiqua"/>
        </w:rPr>
        <w:t>: 1451-1459 [PMID: 17539985 DOI: 10.1111/j.1365-2036.2007.03343.x]</w:t>
      </w:r>
    </w:p>
    <w:p w14:paraId="59AB0977"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60 </w:t>
      </w:r>
      <w:r w:rsidRPr="00284EAF">
        <w:rPr>
          <w:rFonts w:ascii="Book Antiqua" w:hAnsi="Book Antiqua"/>
          <w:b/>
        </w:rPr>
        <w:t>Ducrotté P</w:t>
      </w:r>
      <w:r w:rsidRPr="00284EAF">
        <w:rPr>
          <w:rFonts w:ascii="Book Antiqua" w:hAnsi="Book Antiqua"/>
        </w:rPr>
        <w:t xml:space="preserve">, Liker HR. How do people with gastro-oesophageal reflux disease perceive their disease? Results of a multinational survey. </w:t>
      </w:r>
      <w:r w:rsidRPr="00284EAF">
        <w:rPr>
          <w:rFonts w:ascii="Book Antiqua" w:hAnsi="Book Antiqua"/>
          <w:i/>
        </w:rPr>
        <w:t>Curr Med Res Opin</w:t>
      </w:r>
      <w:r w:rsidRPr="00284EAF">
        <w:rPr>
          <w:rFonts w:ascii="Book Antiqua" w:hAnsi="Book Antiqua"/>
        </w:rPr>
        <w:t xml:space="preserve"> 2007; </w:t>
      </w:r>
      <w:r w:rsidRPr="00284EAF">
        <w:rPr>
          <w:rFonts w:ascii="Book Antiqua" w:hAnsi="Book Antiqua"/>
          <w:b/>
        </w:rPr>
        <w:t>23</w:t>
      </w:r>
      <w:r w:rsidRPr="00284EAF">
        <w:rPr>
          <w:rFonts w:ascii="Book Antiqua" w:hAnsi="Book Antiqua"/>
        </w:rPr>
        <w:t>: 2857-2865 [PMID: 17919358 DOI: 10.1185/030079907X233412]</w:t>
      </w:r>
    </w:p>
    <w:p w14:paraId="1196F340"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61 </w:t>
      </w:r>
      <w:r w:rsidRPr="00284EAF">
        <w:rPr>
          <w:rFonts w:ascii="Book Antiqua" w:hAnsi="Book Antiqua"/>
          <w:b/>
        </w:rPr>
        <w:t>Liker HR</w:t>
      </w:r>
      <w:r w:rsidRPr="00284EAF">
        <w:rPr>
          <w:rFonts w:ascii="Book Antiqua" w:hAnsi="Book Antiqua"/>
        </w:rPr>
        <w:t xml:space="preserve">, Ducrotté P, Malfertheiner P. Unmet medical needs among patients with gastroesophageal reflux disease: a foundation for improving management in primary care. </w:t>
      </w:r>
      <w:r w:rsidRPr="00284EAF">
        <w:rPr>
          <w:rFonts w:ascii="Book Antiqua" w:hAnsi="Book Antiqua"/>
          <w:i/>
        </w:rPr>
        <w:t>Dig Dis</w:t>
      </w:r>
      <w:r w:rsidRPr="00284EAF">
        <w:rPr>
          <w:rFonts w:ascii="Book Antiqua" w:hAnsi="Book Antiqua"/>
        </w:rPr>
        <w:t xml:space="preserve"> 2009; </w:t>
      </w:r>
      <w:r w:rsidRPr="00284EAF">
        <w:rPr>
          <w:rFonts w:ascii="Book Antiqua" w:hAnsi="Book Antiqua"/>
          <w:b/>
        </w:rPr>
        <w:t>27</w:t>
      </w:r>
      <w:r w:rsidRPr="00284EAF">
        <w:rPr>
          <w:rFonts w:ascii="Book Antiqua" w:hAnsi="Book Antiqua"/>
        </w:rPr>
        <w:t>: 62-67 [PMID: 19439963 DOI: 10.1159/000210106]</w:t>
      </w:r>
    </w:p>
    <w:p w14:paraId="66FE89A2"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62 </w:t>
      </w:r>
      <w:r w:rsidRPr="00284EAF">
        <w:rPr>
          <w:rFonts w:ascii="Book Antiqua" w:hAnsi="Book Antiqua"/>
          <w:b/>
        </w:rPr>
        <w:t>Dorval E</w:t>
      </w:r>
      <w:r w:rsidRPr="00284EAF">
        <w:rPr>
          <w:rFonts w:ascii="Book Antiqua" w:hAnsi="Book Antiqua"/>
        </w:rPr>
        <w:t xml:space="preserve">, Rey JF, Soufflet C, Halling K, Barthélemy P. Perspectives on gastroesophageal reflux disease in primary care: the REFLEX study of patient-physician agreement. </w:t>
      </w:r>
      <w:r w:rsidRPr="00284EAF">
        <w:rPr>
          <w:rFonts w:ascii="Book Antiqua" w:hAnsi="Book Antiqua"/>
          <w:i/>
        </w:rPr>
        <w:t>BMC Gastroenterol</w:t>
      </w:r>
      <w:r w:rsidRPr="00284EAF">
        <w:rPr>
          <w:rFonts w:ascii="Book Antiqua" w:hAnsi="Book Antiqua"/>
        </w:rPr>
        <w:t xml:space="preserve"> 2011; </w:t>
      </w:r>
      <w:r w:rsidRPr="00284EAF">
        <w:rPr>
          <w:rFonts w:ascii="Book Antiqua" w:hAnsi="Book Antiqua"/>
          <w:b/>
        </w:rPr>
        <w:t>11</w:t>
      </w:r>
      <w:r w:rsidRPr="00284EAF">
        <w:rPr>
          <w:rFonts w:ascii="Book Antiqua" w:hAnsi="Book Antiqua"/>
        </w:rPr>
        <w:t>: 25 [PMID: 21435198 DOI: 10.1186/1471-230X-11-25]</w:t>
      </w:r>
    </w:p>
    <w:p w14:paraId="4DF2EC35"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63 </w:t>
      </w:r>
      <w:r w:rsidRPr="00284EAF">
        <w:rPr>
          <w:rFonts w:ascii="Book Antiqua" w:hAnsi="Book Antiqua"/>
          <w:b/>
        </w:rPr>
        <w:t>Khan N</w:t>
      </w:r>
      <w:r w:rsidRPr="00284EAF">
        <w:rPr>
          <w:rFonts w:ascii="Book Antiqua" w:hAnsi="Book Antiqua"/>
        </w:rPr>
        <w:t xml:space="preserve">, Bukhari S, Lakha A, Qaz B, Davis N, Shapiro AB, Kavin H. Gastroesophageal reflux disease: the case for improving patient education in primary care. </w:t>
      </w:r>
      <w:r w:rsidRPr="00284EAF">
        <w:rPr>
          <w:rFonts w:ascii="Book Antiqua" w:hAnsi="Book Antiqua"/>
          <w:i/>
        </w:rPr>
        <w:t>J Fam Pract</w:t>
      </w:r>
      <w:r w:rsidRPr="00284EAF">
        <w:rPr>
          <w:rFonts w:ascii="Book Antiqua" w:hAnsi="Book Antiqua"/>
        </w:rPr>
        <w:t xml:space="preserve"> 2013; </w:t>
      </w:r>
      <w:r w:rsidRPr="00284EAF">
        <w:rPr>
          <w:rFonts w:ascii="Book Antiqua" w:hAnsi="Book Antiqua"/>
          <w:b/>
        </w:rPr>
        <w:t>62</w:t>
      </w:r>
      <w:r w:rsidRPr="00284EAF">
        <w:rPr>
          <w:rFonts w:ascii="Book Antiqua" w:hAnsi="Book Antiqua"/>
        </w:rPr>
        <w:t>: 719-725 [PMID: 24340333]</w:t>
      </w:r>
    </w:p>
    <w:p w14:paraId="7B5C9DB8"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64 </w:t>
      </w:r>
      <w:r w:rsidRPr="00284EAF">
        <w:rPr>
          <w:rFonts w:ascii="Book Antiqua" w:hAnsi="Book Antiqua"/>
          <w:b/>
        </w:rPr>
        <w:t>Szarka N</w:t>
      </w:r>
      <w:r w:rsidRPr="00284EAF">
        <w:rPr>
          <w:rFonts w:ascii="Book Antiqua" w:hAnsi="Book Antiqua"/>
        </w:rPr>
        <w:t xml:space="preserve">, Nagykáldi Z, Végh M, Oberling J. [Patient satisfaction with care in gastrooesophageal reflux disease]. </w:t>
      </w:r>
      <w:r w:rsidRPr="00284EAF">
        <w:rPr>
          <w:rFonts w:ascii="Book Antiqua" w:hAnsi="Book Antiqua"/>
          <w:i/>
        </w:rPr>
        <w:t>Orv Hetil</w:t>
      </w:r>
      <w:r w:rsidRPr="00284EAF">
        <w:rPr>
          <w:rFonts w:ascii="Book Antiqua" w:hAnsi="Book Antiqua"/>
        </w:rPr>
        <w:t xml:space="preserve"> 2013; </w:t>
      </w:r>
      <w:r w:rsidRPr="00284EAF">
        <w:rPr>
          <w:rFonts w:ascii="Book Antiqua" w:hAnsi="Book Antiqua"/>
          <w:b/>
        </w:rPr>
        <w:t>154</w:t>
      </w:r>
      <w:r w:rsidRPr="00284EAF">
        <w:rPr>
          <w:rFonts w:ascii="Book Antiqua" w:hAnsi="Book Antiqua"/>
        </w:rPr>
        <w:t>: 1713-1718 [PMID: 24140511 DOI: 10.1556/OH.2013.29734]</w:t>
      </w:r>
    </w:p>
    <w:p w14:paraId="2B1B8E56"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65 </w:t>
      </w:r>
      <w:r w:rsidRPr="00284EAF">
        <w:rPr>
          <w:rFonts w:ascii="Book Antiqua" w:hAnsi="Book Antiqua"/>
          <w:b/>
        </w:rPr>
        <w:t>Flook N</w:t>
      </w:r>
      <w:r w:rsidRPr="00284EAF">
        <w:rPr>
          <w:rFonts w:ascii="Book Antiqua" w:hAnsi="Book Antiqua"/>
        </w:rPr>
        <w:t xml:space="preserve">. GERD: A fresh look at a common problem in primary care. </w:t>
      </w:r>
      <w:r w:rsidRPr="00284EAF">
        <w:rPr>
          <w:rFonts w:ascii="Book Antiqua" w:hAnsi="Book Antiqua"/>
          <w:i/>
        </w:rPr>
        <w:t>J Fam Pract</w:t>
      </w:r>
      <w:r w:rsidRPr="00284EAF">
        <w:rPr>
          <w:rFonts w:ascii="Book Antiqua" w:hAnsi="Book Antiqua"/>
        </w:rPr>
        <w:t xml:space="preserve"> 2007; </w:t>
      </w:r>
      <w:r w:rsidRPr="00284EAF">
        <w:rPr>
          <w:rFonts w:ascii="Book Antiqua" w:hAnsi="Book Antiqua"/>
          <w:b/>
        </w:rPr>
        <w:t>56</w:t>
      </w:r>
      <w:r w:rsidRPr="00284EAF">
        <w:rPr>
          <w:rFonts w:ascii="Book Antiqua" w:hAnsi="Book Antiqua"/>
        </w:rPr>
        <w:t>: 31A-34A [PMID: 17949602]</w:t>
      </w:r>
    </w:p>
    <w:p w14:paraId="5B3041B2"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66 </w:t>
      </w:r>
      <w:r w:rsidRPr="00284EAF">
        <w:rPr>
          <w:rFonts w:ascii="Book Antiqua" w:hAnsi="Book Antiqua"/>
          <w:b/>
        </w:rPr>
        <w:t>Fallone CA</w:t>
      </w:r>
      <w:r w:rsidRPr="00284EAF">
        <w:rPr>
          <w:rFonts w:ascii="Book Antiqua" w:hAnsi="Book Antiqua"/>
        </w:rPr>
        <w:t xml:space="preserve">, Guyatt GH, Armstrong D, Wiklund I, Degl'Innocenti A, Heels-Ansdell D, Barkun AN, Chiba N, Zanten SJ, El-Dika S, Austin P, Tanser L, Schünemann HJ. Do physicians correctly assess patient symptom severity in gastro-oesophageal reflux disease? </w:t>
      </w:r>
      <w:r w:rsidRPr="00284EAF">
        <w:rPr>
          <w:rFonts w:ascii="Book Antiqua" w:hAnsi="Book Antiqua"/>
          <w:i/>
        </w:rPr>
        <w:t>Aliment Pharmacol Ther</w:t>
      </w:r>
      <w:r w:rsidRPr="00284EAF">
        <w:rPr>
          <w:rFonts w:ascii="Book Antiqua" w:hAnsi="Book Antiqua"/>
        </w:rPr>
        <w:t xml:space="preserve"> 2004; </w:t>
      </w:r>
      <w:r w:rsidRPr="00284EAF">
        <w:rPr>
          <w:rFonts w:ascii="Book Antiqua" w:hAnsi="Book Antiqua"/>
          <w:b/>
        </w:rPr>
        <w:t>20</w:t>
      </w:r>
      <w:r w:rsidRPr="00284EAF">
        <w:rPr>
          <w:rFonts w:ascii="Book Antiqua" w:hAnsi="Book Antiqua"/>
        </w:rPr>
        <w:t>: 1161-1169 [PMID: 15569119 DOI: 10.1111/j.1365-2036.2004.02257.x]</w:t>
      </w:r>
    </w:p>
    <w:p w14:paraId="65553C4D"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67 </w:t>
      </w:r>
      <w:r w:rsidRPr="00284EAF">
        <w:rPr>
          <w:rFonts w:ascii="Book Antiqua" w:hAnsi="Book Antiqua"/>
          <w:b/>
        </w:rPr>
        <w:t>Bytzer P</w:t>
      </w:r>
      <w:r w:rsidRPr="00284EAF">
        <w:rPr>
          <w:rFonts w:ascii="Book Antiqua" w:hAnsi="Book Antiqua"/>
        </w:rPr>
        <w:t xml:space="preserve">. What makes individuals with gastroesophageal reflux disease dissatisfied with their treatment? </w:t>
      </w:r>
      <w:r w:rsidRPr="00284EAF">
        <w:rPr>
          <w:rFonts w:ascii="Book Antiqua" w:hAnsi="Book Antiqua"/>
          <w:i/>
        </w:rPr>
        <w:t>Clin Gastroenterol Hepatol</w:t>
      </w:r>
      <w:r w:rsidRPr="00284EAF">
        <w:rPr>
          <w:rFonts w:ascii="Book Antiqua" w:hAnsi="Book Antiqua"/>
        </w:rPr>
        <w:t xml:space="preserve"> 2009; </w:t>
      </w:r>
      <w:r w:rsidRPr="00284EAF">
        <w:rPr>
          <w:rFonts w:ascii="Book Antiqua" w:hAnsi="Book Antiqua"/>
          <w:b/>
        </w:rPr>
        <w:t>7</w:t>
      </w:r>
      <w:r w:rsidRPr="00284EAF">
        <w:rPr>
          <w:rFonts w:ascii="Book Antiqua" w:hAnsi="Book Antiqua"/>
        </w:rPr>
        <w:t>: 816-822 [PMID: 19286478 DOI: 10.1016/j.cgh.2009.03.006]</w:t>
      </w:r>
    </w:p>
    <w:p w14:paraId="11F752BB"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68 </w:t>
      </w:r>
      <w:r w:rsidRPr="00284EAF">
        <w:rPr>
          <w:rFonts w:ascii="Book Antiqua" w:hAnsi="Book Antiqua"/>
          <w:b/>
        </w:rPr>
        <w:t>Kunneman M</w:t>
      </w:r>
      <w:r w:rsidRPr="00284EAF">
        <w:rPr>
          <w:rFonts w:ascii="Book Antiqua" w:hAnsi="Book Antiqua"/>
        </w:rPr>
        <w:t xml:space="preserve">, Montori VM. When patient-centred care is worth doing well: informed consent or shared decision-making. </w:t>
      </w:r>
      <w:r w:rsidRPr="00284EAF">
        <w:rPr>
          <w:rFonts w:ascii="Book Antiqua" w:hAnsi="Book Antiqua"/>
          <w:i/>
        </w:rPr>
        <w:t>BMJ Qual Saf</w:t>
      </w:r>
      <w:r w:rsidRPr="00284EAF">
        <w:rPr>
          <w:rFonts w:ascii="Book Antiqua" w:hAnsi="Book Antiqua"/>
        </w:rPr>
        <w:t xml:space="preserve"> 2017; </w:t>
      </w:r>
      <w:r w:rsidRPr="00284EAF">
        <w:rPr>
          <w:rFonts w:ascii="Book Antiqua" w:hAnsi="Book Antiqua"/>
          <w:b/>
        </w:rPr>
        <w:t>26</w:t>
      </w:r>
      <w:r w:rsidRPr="00284EAF">
        <w:rPr>
          <w:rFonts w:ascii="Book Antiqua" w:hAnsi="Book Antiqua"/>
        </w:rPr>
        <w:t>: 522-524 [PMID: 27672122 DOI: 10.1136/bmjqs-2016-005969]</w:t>
      </w:r>
    </w:p>
    <w:p w14:paraId="582D93F8"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69 </w:t>
      </w:r>
      <w:r w:rsidRPr="00284EAF">
        <w:rPr>
          <w:rFonts w:ascii="Book Antiqua" w:hAnsi="Book Antiqua"/>
          <w:b/>
        </w:rPr>
        <w:t>Shay LA</w:t>
      </w:r>
      <w:r w:rsidRPr="00284EAF">
        <w:rPr>
          <w:rFonts w:ascii="Book Antiqua" w:hAnsi="Book Antiqua"/>
        </w:rPr>
        <w:t xml:space="preserve">, Lafata JE. Where is the evidence? A systematic review of shared decision making and patient outcomes. </w:t>
      </w:r>
      <w:r w:rsidRPr="00284EAF">
        <w:rPr>
          <w:rFonts w:ascii="Book Antiqua" w:hAnsi="Book Antiqua"/>
          <w:i/>
        </w:rPr>
        <w:t>Med Decis Making</w:t>
      </w:r>
      <w:r w:rsidRPr="00284EAF">
        <w:rPr>
          <w:rFonts w:ascii="Book Antiqua" w:hAnsi="Book Antiqua"/>
        </w:rPr>
        <w:t xml:space="preserve"> 2015; </w:t>
      </w:r>
      <w:r w:rsidRPr="00284EAF">
        <w:rPr>
          <w:rFonts w:ascii="Book Antiqua" w:hAnsi="Book Antiqua"/>
          <w:b/>
        </w:rPr>
        <w:t>35</w:t>
      </w:r>
      <w:r w:rsidRPr="00284EAF">
        <w:rPr>
          <w:rFonts w:ascii="Book Antiqua" w:hAnsi="Book Antiqua"/>
        </w:rPr>
        <w:t>: 114-131 [PMID: 25351843 DOI: 10.1177/0272989X14551638]</w:t>
      </w:r>
    </w:p>
    <w:p w14:paraId="6792683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70 </w:t>
      </w:r>
      <w:r w:rsidRPr="00284EAF">
        <w:rPr>
          <w:rFonts w:ascii="Book Antiqua" w:hAnsi="Book Antiqua"/>
          <w:b/>
        </w:rPr>
        <w:t>Montori VM</w:t>
      </w:r>
      <w:r w:rsidRPr="00284EAF">
        <w:rPr>
          <w:rFonts w:ascii="Book Antiqua" w:hAnsi="Book Antiqua"/>
        </w:rPr>
        <w:t xml:space="preserve">, Kunneman M, Brito JP. Shared Decision Making and Improving Health Care: The Answer Is Not In. </w:t>
      </w:r>
      <w:r w:rsidRPr="00284EAF">
        <w:rPr>
          <w:rFonts w:ascii="Book Antiqua" w:hAnsi="Book Antiqua"/>
          <w:i/>
        </w:rPr>
        <w:t>JAMA</w:t>
      </w:r>
      <w:r w:rsidRPr="00284EAF">
        <w:rPr>
          <w:rFonts w:ascii="Book Antiqua" w:hAnsi="Book Antiqua"/>
        </w:rPr>
        <w:t xml:space="preserve"> 2017; </w:t>
      </w:r>
      <w:r w:rsidRPr="00284EAF">
        <w:rPr>
          <w:rFonts w:ascii="Book Antiqua" w:hAnsi="Book Antiqua"/>
          <w:b/>
        </w:rPr>
        <w:t>318</w:t>
      </w:r>
      <w:r w:rsidRPr="00284EAF">
        <w:rPr>
          <w:rFonts w:ascii="Book Antiqua" w:hAnsi="Book Antiqua"/>
        </w:rPr>
        <w:t>: 617-618 [PMID: 28810005 DOI: 10.1001/jama.2017.10168]</w:t>
      </w:r>
    </w:p>
    <w:p w14:paraId="76B5A92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71 </w:t>
      </w:r>
      <w:r w:rsidRPr="00284EAF">
        <w:rPr>
          <w:rFonts w:ascii="Book Antiqua" w:hAnsi="Book Antiqua"/>
          <w:b/>
        </w:rPr>
        <w:t>Hargraves I</w:t>
      </w:r>
      <w:r w:rsidRPr="00284EAF">
        <w:rPr>
          <w:rFonts w:ascii="Book Antiqua" w:hAnsi="Book Antiqua"/>
        </w:rPr>
        <w:t xml:space="preserve">, LeBlanc A, Shah ND, Montori VM. Shared Decision Making: The Need For Patient-Clinician Conversation, Not Just Information. </w:t>
      </w:r>
      <w:r w:rsidRPr="00284EAF">
        <w:rPr>
          <w:rFonts w:ascii="Book Antiqua" w:hAnsi="Book Antiqua"/>
          <w:i/>
        </w:rPr>
        <w:t>Health Aff (Millwood)</w:t>
      </w:r>
      <w:r w:rsidRPr="00284EAF">
        <w:rPr>
          <w:rFonts w:ascii="Book Antiqua" w:hAnsi="Book Antiqua"/>
        </w:rPr>
        <w:t xml:space="preserve"> 2016; </w:t>
      </w:r>
      <w:r w:rsidRPr="00284EAF">
        <w:rPr>
          <w:rFonts w:ascii="Book Antiqua" w:hAnsi="Book Antiqua"/>
          <w:b/>
        </w:rPr>
        <w:t>35</w:t>
      </w:r>
      <w:r w:rsidRPr="00284EAF">
        <w:rPr>
          <w:rFonts w:ascii="Book Antiqua" w:hAnsi="Book Antiqua"/>
        </w:rPr>
        <w:t>: 627-629 [PMID: 27044962 DOI: 10.1377/hlthaff.2015.1354]</w:t>
      </w:r>
    </w:p>
    <w:p w14:paraId="32271177"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72 </w:t>
      </w:r>
      <w:r w:rsidRPr="00284EAF">
        <w:rPr>
          <w:rFonts w:ascii="Book Antiqua" w:hAnsi="Book Antiqua"/>
          <w:b/>
        </w:rPr>
        <w:t>Colligan E</w:t>
      </w:r>
      <w:r w:rsidRPr="00284EAF">
        <w:rPr>
          <w:rFonts w:ascii="Book Antiqua" w:hAnsi="Book Antiqua"/>
        </w:rPr>
        <w:t xml:space="preserve">, Metzler A, Tiryaki E. Shared decision-making in multiple sclerosis. </w:t>
      </w:r>
      <w:r w:rsidRPr="00284EAF">
        <w:rPr>
          <w:rFonts w:ascii="Book Antiqua" w:hAnsi="Book Antiqua"/>
          <w:i/>
        </w:rPr>
        <w:t>Mult Scler</w:t>
      </w:r>
      <w:r w:rsidRPr="00284EAF">
        <w:rPr>
          <w:rFonts w:ascii="Book Antiqua" w:hAnsi="Book Antiqua"/>
        </w:rPr>
        <w:t xml:space="preserve"> 2017; </w:t>
      </w:r>
      <w:r w:rsidRPr="00284EAF">
        <w:rPr>
          <w:rFonts w:ascii="Book Antiqua" w:hAnsi="Book Antiqua"/>
          <w:b/>
        </w:rPr>
        <w:t>23</w:t>
      </w:r>
      <w:r w:rsidRPr="00284EAF">
        <w:rPr>
          <w:rFonts w:ascii="Book Antiqua" w:hAnsi="Book Antiqua"/>
        </w:rPr>
        <w:t>: 185-190 [PMID: 27663871 DOI: 10.1177/1352458516671204]</w:t>
      </w:r>
    </w:p>
    <w:p w14:paraId="1FD5C30C"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73 </w:t>
      </w:r>
      <w:r w:rsidRPr="00284EAF">
        <w:rPr>
          <w:rFonts w:ascii="Book Antiqua" w:hAnsi="Book Antiqua"/>
          <w:b/>
        </w:rPr>
        <w:t>Coylewright M</w:t>
      </w:r>
      <w:r w:rsidRPr="00284EAF">
        <w:rPr>
          <w:rFonts w:ascii="Book Antiqua" w:hAnsi="Book Antiqua"/>
        </w:rPr>
        <w:t xml:space="preserve">, Shepel K, Leblanc A, Pencille L, Hess E, Shah N, Montori VM, Ting HH. Shared decision making in patients with stable coronary artery disease: PCI choice. </w:t>
      </w:r>
      <w:r w:rsidRPr="00284EAF">
        <w:rPr>
          <w:rFonts w:ascii="Book Antiqua" w:hAnsi="Book Antiqua"/>
          <w:i/>
        </w:rPr>
        <w:t>PLoS One</w:t>
      </w:r>
      <w:r w:rsidRPr="00284EAF">
        <w:rPr>
          <w:rFonts w:ascii="Book Antiqua" w:hAnsi="Book Antiqua"/>
        </w:rPr>
        <w:t xml:space="preserve"> 2012; </w:t>
      </w:r>
      <w:r w:rsidRPr="00284EAF">
        <w:rPr>
          <w:rFonts w:ascii="Book Antiqua" w:hAnsi="Book Antiqua"/>
          <w:b/>
        </w:rPr>
        <w:t>7</w:t>
      </w:r>
      <w:r w:rsidRPr="00284EAF">
        <w:rPr>
          <w:rFonts w:ascii="Book Antiqua" w:hAnsi="Book Antiqua"/>
        </w:rPr>
        <w:t>: e49827 [PMID: 23226223 DOI: 10.1371/journal.pone.0049827]</w:t>
      </w:r>
    </w:p>
    <w:p w14:paraId="66A85B67" w14:textId="77777777" w:rsidR="00284EAF" w:rsidRPr="00284EAF" w:rsidRDefault="00284EAF" w:rsidP="00284EAF">
      <w:pPr>
        <w:spacing w:line="360" w:lineRule="auto"/>
        <w:jc w:val="both"/>
        <w:rPr>
          <w:rFonts w:ascii="Book Antiqua" w:hAnsi="Book Antiqua"/>
        </w:rPr>
      </w:pPr>
      <w:r w:rsidRPr="00284EAF">
        <w:rPr>
          <w:rFonts w:ascii="Book Antiqua" w:hAnsi="Book Antiqua"/>
        </w:rPr>
        <w:lastRenderedPageBreak/>
        <w:t xml:space="preserve">74 </w:t>
      </w:r>
      <w:r w:rsidRPr="00284EAF">
        <w:rPr>
          <w:rFonts w:ascii="Book Antiqua" w:hAnsi="Book Antiqua"/>
          <w:b/>
        </w:rPr>
        <w:t>Leblanc MF</w:t>
      </w:r>
      <w:r w:rsidRPr="00284EAF">
        <w:rPr>
          <w:rFonts w:ascii="Book Antiqua" w:hAnsi="Book Antiqua"/>
        </w:rPr>
        <w:t xml:space="preserve">, Desjardins S, Desgagné A. The relationship between sleep habits, anxiety, and depression in the elderly. </w:t>
      </w:r>
      <w:r w:rsidRPr="00284EAF">
        <w:rPr>
          <w:rFonts w:ascii="Book Antiqua" w:hAnsi="Book Antiqua"/>
          <w:i/>
        </w:rPr>
        <w:t>Nat Sci Sleep</w:t>
      </w:r>
      <w:r w:rsidRPr="00284EAF">
        <w:rPr>
          <w:rFonts w:ascii="Book Antiqua" w:hAnsi="Book Antiqua"/>
        </w:rPr>
        <w:t xml:space="preserve"> 2015; </w:t>
      </w:r>
      <w:r w:rsidRPr="00284EAF">
        <w:rPr>
          <w:rFonts w:ascii="Book Antiqua" w:hAnsi="Book Antiqua"/>
          <w:b/>
        </w:rPr>
        <w:t>7</w:t>
      </w:r>
      <w:r w:rsidRPr="00284EAF">
        <w:rPr>
          <w:rFonts w:ascii="Book Antiqua" w:hAnsi="Book Antiqua"/>
        </w:rPr>
        <w:t>: 33-42 [PMID: 25709512 DOI: 10.2147/NSS.S77045]</w:t>
      </w:r>
    </w:p>
    <w:p w14:paraId="63C7798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75 </w:t>
      </w:r>
      <w:r w:rsidRPr="00284EAF">
        <w:rPr>
          <w:rFonts w:ascii="Book Antiqua" w:hAnsi="Book Antiqua"/>
          <w:b/>
        </w:rPr>
        <w:t>Doherty G</w:t>
      </w:r>
      <w:r w:rsidRPr="00284EAF">
        <w:rPr>
          <w:rFonts w:ascii="Book Antiqua" w:hAnsi="Book Antiqua"/>
        </w:rPr>
        <w:t xml:space="preserve">, Katsanos KH, Burisch J, Allez M, Papamichael K, Stallmach A, Mao R, Berset IP, Gisbert JP, Sebastian S, Kierkus J, Lopetuso L, Szymanska E, Louis E. European Crohn's and Colitis Organisation Topical Review on Treatment Withdrawal ['Exit Strategies'] in Inflammatory Bowel Disease. </w:t>
      </w:r>
      <w:r w:rsidRPr="00284EAF">
        <w:rPr>
          <w:rFonts w:ascii="Book Antiqua" w:hAnsi="Book Antiqua"/>
          <w:i/>
        </w:rPr>
        <w:t>J Crohns Colitis</w:t>
      </w:r>
      <w:r w:rsidRPr="00284EAF">
        <w:rPr>
          <w:rFonts w:ascii="Book Antiqua" w:hAnsi="Book Antiqua"/>
        </w:rPr>
        <w:t xml:space="preserve"> 2018; </w:t>
      </w:r>
      <w:r w:rsidRPr="00284EAF">
        <w:rPr>
          <w:rFonts w:ascii="Book Antiqua" w:hAnsi="Book Antiqua"/>
          <w:b/>
        </w:rPr>
        <w:t>12</w:t>
      </w:r>
      <w:r w:rsidRPr="00284EAF">
        <w:rPr>
          <w:rFonts w:ascii="Book Antiqua" w:hAnsi="Book Antiqua"/>
        </w:rPr>
        <w:t>: 17-31 [PMID: 28981623 DOI: 10.1093/ecco-jcc/jjx101]</w:t>
      </w:r>
    </w:p>
    <w:p w14:paraId="768DF43A"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76 </w:t>
      </w:r>
      <w:r w:rsidRPr="00284EAF">
        <w:rPr>
          <w:rFonts w:ascii="Book Antiqua" w:hAnsi="Book Antiqua"/>
          <w:b/>
        </w:rPr>
        <w:t>Finley K</w:t>
      </w:r>
      <w:r w:rsidRPr="00284EAF">
        <w:rPr>
          <w:rFonts w:ascii="Book Antiqua" w:hAnsi="Book Antiqua"/>
        </w:rPr>
        <w:t xml:space="preserve">, Giannamore M, Bennett M, Hall L. Assessing the impact of lifestyle modification education on knowledge and behavior changes in gastroesophageal reflux disease patients on proton pump inhibitors. </w:t>
      </w:r>
      <w:r w:rsidRPr="00284EAF">
        <w:rPr>
          <w:rFonts w:ascii="Book Antiqua" w:hAnsi="Book Antiqua"/>
          <w:i/>
        </w:rPr>
        <w:t>J Am Pharm Assoc (2003)</w:t>
      </w:r>
      <w:r w:rsidRPr="00284EAF">
        <w:rPr>
          <w:rFonts w:ascii="Book Antiqua" w:hAnsi="Book Antiqua"/>
        </w:rPr>
        <w:t xml:space="preserve"> 2009; </w:t>
      </w:r>
      <w:r w:rsidRPr="00284EAF">
        <w:rPr>
          <w:rFonts w:ascii="Book Antiqua" w:hAnsi="Book Antiqua"/>
          <w:b/>
        </w:rPr>
        <w:t>49</w:t>
      </w:r>
      <w:r w:rsidRPr="00284EAF">
        <w:rPr>
          <w:rFonts w:ascii="Book Antiqua" w:hAnsi="Book Antiqua"/>
        </w:rPr>
        <w:t>: 544-548 [PMID: 19589767 DOI: 10.1331/JAPhA.2009.08004]</w:t>
      </w:r>
    </w:p>
    <w:p w14:paraId="3EDF3A26" w14:textId="77777777" w:rsidR="00284EAF" w:rsidRPr="00284EAF" w:rsidRDefault="00284EAF" w:rsidP="00284EAF">
      <w:pPr>
        <w:spacing w:line="360" w:lineRule="auto"/>
        <w:jc w:val="both"/>
        <w:rPr>
          <w:rFonts w:ascii="Book Antiqua" w:hAnsi="Book Antiqua"/>
        </w:rPr>
      </w:pPr>
      <w:r w:rsidRPr="00284EAF">
        <w:rPr>
          <w:rFonts w:ascii="Book Antiqua" w:hAnsi="Book Antiqua"/>
        </w:rPr>
        <w:t xml:space="preserve">77 </w:t>
      </w:r>
      <w:r w:rsidRPr="00284EAF">
        <w:rPr>
          <w:rFonts w:ascii="Book Antiqua" w:hAnsi="Book Antiqua"/>
          <w:b/>
        </w:rPr>
        <w:t>Dibley LB</w:t>
      </w:r>
      <w:r w:rsidRPr="00284EAF">
        <w:rPr>
          <w:rFonts w:ascii="Book Antiqua" w:hAnsi="Book Antiqua"/>
        </w:rPr>
        <w:t xml:space="preserve">, Norton C, Jones R. Non-pharmacological intervention for gastro-oesophageal reflux disease in primary care. </w:t>
      </w:r>
      <w:r w:rsidRPr="00284EAF">
        <w:rPr>
          <w:rFonts w:ascii="Book Antiqua" w:hAnsi="Book Antiqua"/>
          <w:i/>
        </w:rPr>
        <w:t>Br J Gen Pract</w:t>
      </w:r>
      <w:r w:rsidRPr="00284EAF">
        <w:rPr>
          <w:rFonts w:ascii="Book Antiqua" w:hAnsi="Book Antiqua"/>
        </w:rPr>
        <w:t xml:space="preserve"> 2010; </w:t>
      </w:r>
      <w:r w:rsidRPr="00284EAF">
        <w:rPr>
          <w:rFonts w:ascii="Book Antiqua" w:hAnsi="Book Antiqua"/>
          <w:b/>
        </w:rPr>
        <w:t>60</w:t>
      </w:r>
      <w:r w:rsidRPr="00284EAF">
        <w:rPr>
          <w:rFonts w:ascii="Book Antiqua" w:hAnsi="Book Antiqua"/>
        </w:rPr>
        <w:t>: e459-e465 [PMID: 21144190 DOI: 10.3399/bjgp10X544050]</w:t>
      </w:r>
    </w:p>
    <w:p w14:paraId="2588027B" w14:textId="62EEB86A" w:rsidR="00F82165" w:rsidRDefault="00284EAF" w:rsidP="00284EAF">
      <w:pPr>
        <w:spacing w:line="360" w:lineRule="auto"/>
        <w:jc w:val="both"/>
        <w:rPr>
          <w:rFonts w:ascii="Book Antiqua" w:eastAsia="SimSun" w:hAnsi="Book Antiqua"/>
          <w:lang w:eastAsia="zh-CN"/>
        </w:rPr>
      </w:pPr>
      <w:r w:rsidRPr="00284EAF">
        <w:rPr>
          <w:rFonts w:ascii="Book Antiqua" w:hAnsi="Book Antiqua"/>
        </w:rPr>
        <w:t xml:space="preserve">78 </w:t>
      </w:r>
      <w:r w:rsidRPr="00284EAF">
        <w:rPr>
          <w:rFonts w:ascii="Book Antiqua" w:hAnsi="Book Antiqua"/>
          <w:b/>
        </w:rPr>
        <w:t>Drossman DA</w:t>
      </w:r>
      <w:r w:rsidRPr="00284EAF">
        <w:rPr>
          <w:rFonts w:ascii="Book Antiqua" w:hAnsi="Book Antiqua"/>
        </w:rPr>
        <w:t xml:space="preserve">. 2012 David Sun lecture: helping your patient by helping yourself--how to improve the patient-physician relationship by optimizing communication skills. </w:t>
      </w:r>
      <w:r w:rsidRPr="00284EAF">
        <w:rPr>
          <w:rFonts w:ascii="Book Antiqua" w:hAnsi="Book Antiqua"/>
          <w:i/>
        </w:rPr>
        <w:t>Am J Gastroenterol</w:t>
      </w:r>
      <w:r w:rsidRPr="00284EAF">
        <w:rPr>
          <w:rFonts w:ascii="Book Antiqua" w:hAnsi="Book Antiqua"/>
        </w:rPr>
        <w:t xml:space="preserve"> 2013; </w:t>
      </w:r>
      <w:r w:rsidRPr="00284EAF">
        <w:rPr>
          <w:rFonts w:ascii="Book Antiqua" w:hAnsi="Book Antiqua"/>
          <w:b/>
        </w:rPr>
        <w:t>108</w:t>
      </w:r>
      <w:r w:rsidRPr="00284EAF">
        <w:rPr>
          <w:rFonts w:ascii="Book Antiqua" w:hAnsi="Book Antiqua"/>
        </w:rPr>
        <w:t>: 521-528 [PMID: 23511457 DOI: 10.1038/ajg.2013.56]</w:t>
      </w:r>
    </w:p>
    <w:p w14:paraId="7B25A37B" w14:textId="77777777" w:rsidR="00760F91" w:rsidRDefault="00760F91" w:rsidP="00284EAF">
      <w:pPr>
        <w:spacing w:line="360" w:lineRule="auto"/>
        <w:jc w:val="both"/>
        <w:rPr>
          <w:rFonts w:ascii="Book Antiqua" w:eastAsia="SimSun" w:hAnsi="Book Antiqua"/>
          <w:lang w:eastAsia="zh-CN"/>
        </w:rPr>
      </w:pPr>
    </w:p>
    <w:p w14:paraId="5EF71CD0" w14:textId="7E7EB4F8" w:rsidR="00760F91" w:rsidRPr="0070045D" w:rsidRDefault="00760F91" w:rsidP="00760F91">
      <w:pPr>
        <w:suppressAutoHyphens/>
        <w:wordWrap w:val="0"/>
        <w:spacing w:line="360" w:lineRule="auto"/>
        <w:ind w:right="120"/>
        <w:jc w:val="right"/>
        <w:rPr>
          <w:rFonts w:ascii="Book Antiqua" w:hAnsi="Book Antiqua" w:cs="Mangal"/>
          <w:b/>
          <w:bCs/>
          <w:color w:val="000000" w:themeColor="text1"/>
          <w:kern w:val="1"/>
          <w:lang w:val="it-IT" w:bidi="hi-IN"/>
        </w:rPr>
      </w:pPr>
      <w:bookmarkStart w:id="16" w:name="OLE_LINK480"/>
      <w:bookmarkStart w:id="17" w:name="OLE_LINK502"/>
      <w:bookmarkStart w:id="18" w:name="OLE_LINK1021"/>
      <w:bookmarkStart w:id="19" w:name="OLE_LINK1022"/>
      <w:bookmarkStart w:id="20" w:name="OLE_LINK1023"/>
      <w:bookmarkStart w:id="21" w:name="OLE_LINK1064"/>
      <w:bookmarkStart w:id="22" w:name="OLE_LINK1065"/>
      <w:bookmarkStart w:id="23" w:name="OLE_LINK1156"/>
      <w:bookmarkStart w:id="24" w:name="OLE_LINK1157"/>
      <w:bookmarkStart w:id="25" w:name="OLE_LINK1158"/>
      <w:bookmarkStart w:id="26" w:name="OLE_LINK1159"/>
      <w:bookmarkStart w:id="27" w:name="OLE_LINK1185"/>
      <w:bookmarkStart w:id="28" w:name="OLE_LINK958"/>
      <w:bookmarkStart w:id="29" w:name="OLE_LINK959"/>
      <w:bookmarkStart w:id="30" w:name="OLE_LINK962"/>
      <w:bookmarkStart w:id="31" w:name="OLE_LINK1127"/>
      <w:bookmarkStart w:id="32" w:name="OLE_LINK945"/>
      <w:bookmarkStart w:id="33" w:name="OLE_LINK946"/>
      <w:bookmarkStart w:id="34" w:name="OLE_LINK947"/>
      <w:bookmarkStart w:id="35" w:name="OLE_LINK987"/>
      <w:bookmarkStart w:id="36" w:name="OLE_LINK1035"/>
      <w:bookmarkStart w:id="37" w:name="OLE_LINK1036"/>
      <w:bookmarkStart w:id="38" w:name="OLE_LINK1038"/>
      <w:bookmarkStart w:id="39" w:name="OLE_LINK1039"/>
      <w:bookmarkStart w:id="40" w:name="OLE_LINK1040"/>
      <w:bookmarkStart w:id="41" w:name="OLE_LINK1041"/>
      <w:bookmarkStart w:id="42" w:name="OLE_LINK1042"/>
      <w:bookmarkStart w:id="43" w:name="OLE_LINK1043"/>
      <w:bookmarkStart w:id="44" w:name="OLE_LINK1044"/>
      <w:bookmarkStart w:id="45" w:name="OLE_LINK1071"/>
      <w:bookmarkStart w:id="46" w:name="OLE_LINK1072"/>
      <w:bookmarkStart w:id="47" w:name="OLE_LINK968"/>
      <w:bookmarkStart w:id="48" w:name="OLE_LINK1260"/>
      <w:bookmarkStart w:id="49" w:name="OLE_LINK1261"/>
      <w:bookmarkStart w:id="50" w:name="OLE_LINK1264"/>
      <w:bookmarkStart w:id="51" w:name="OLE_LINK1265"/>
      <w:bookmarkStart w:id="52" w:name="OLE_LINK1266"/>
      <w:bookmarkStart w:id="53" w:name="OLE_LINK1282"/>
      <w:bookmarkStart w:id="54" w:name="OLE_LINK1800"/>
      <w:bookmarkStart w:id="55" w:name="OLE_LINK1801"/>
      <w:bookmarkStart w:id="56" w:name="OLE_LINK1802"/>
      <w:bookmarkStart w:id="57" w:name="OLE_LINK1803"/>
      <w:bookmarkStart w:id="58" w:name="OLE_LINK1843"/>
      <w:bookmarkStart w:id="59" w:name="OLE_LINK1844"/>
      <w:bookmarkStart w:id="60" w:name="OLE_LINK1845"/>
      <w:bookmarkStart w:id="61" w:name="OLE_LINK1636"/>
      <w:bookmarkStart w:id="62" w:name="OLE_LINK1755"/>
      <w:bookmarkStart w:id="63" w:name="OLE_LINK1806"/>
      <w:bookmarkStart w:id="64" w:name="OLE_LINK1807"/>
      <w:bookmarkStart w:id="65" w:name="OLE_LINK1811"/>
      <w:bookmarkStart w:id="66" w:name="OLE_LINK1812"/>
      <w:bookmarkStart w:id="67" w:name="OLE_LINK1813"/>
      <w:bookmarkStart w:id="68" w:name="OLE_LINK1962"/>
      <w:bookmarkStart w:id="69" w:name="OLE_LINK1963"/>
      <w:bookmarkStart w:id="70" w:name="OLE_LINK1964"/>
      <w:bookmarkStart w:id="71" w:name="OLE_LINK2162"/>
      <w:bookmarkStart w:id="72" w:name="OLE_LINK2198"/>
      <w:bookmarkStart w:id="73" w:name="OLE_LINK2199"/>
      <w:bookmarkStart w:id="74" w:name="OLE_LINK2200"/>
      <w:bookmarkStart w:id="75" w:name="OLE_LINK2090"/>
      <w:r w:rsidRPr="0070045D">
        <w:rPr>
          <w:rFonts w:ascii="Book Antiqua" w:eastAsia="Lucida Sans Unicode" w:hAnsi="Book Antiqua" w:cs="Arial"/>
          <w:b/>
          <w:noProof/>
          <w:color w:val="000000" w:themeColor="text1"/>
          <w:kern w:val="1"/>
          <w:lang w:val="it-IT" w:eastAsia="hi-IN" w:bidi="hi-IN"/>
        </w:rPr>
        <w:t>P-Reviewer</w:t>
      </w:r>
      <w:r w:rsidRPr="0070045D">
        <w:rPr>
          <w:rFonts w:ascii="Book Antiqua" w:hAnsi="Book Antiqua" w:cs="Arial"/>
          <w:b/>
          <w:noProof/>
          <w:color w:val="000000" w:themeColor="text1"/>
          <w:kern w:val="1"/>
          <w:lang w:val="it-IT" w:bidi="hi-IN"/>
        </w:rPr>
        <w:t>:</w:t>
      </w:r>
      <w:r w:rsidRPr="0070045D">
        <w:rPr>
          <w:rFonts w:ascii="Book Antiqua" w:hAnsi="Book Antiqua" w:cs="Arial"/>
          <w:noProof/>
          <w:color w:val="000000" w:themeColor="text1"/>
          <w:kern w:val="1"/>
          <w:lang w:val="it-IT" w:bidi="hi-IN"/>
        </w:rPr>
        <w:t xml:space="preserve"> </w:t>
      </w:r>
      <w:r>
        <w:rPr>
          <w:rFonts w:ascii="Book Antiqua" w:eastAsia="SimSun" w:hAnsi="Book Antiqua" w:cs="Arial" w:hint="eastAsia"/>
          <w:noProof/>
          <w:color w:val="000000" w:themeColor="text1"/>
          <w:kern w:val="1"/>
          <w:lang w:val="it-IT" w:eastAsia="zh-CN" w:bidi="hi-IN"/>
        </w:rPr>
        <w:t>Lan C,</w:t>
      </w:r>
      <w:r w:rsidRPr="00760F91">
        <w:t xml:space="preserve"> </w:t>
      </w:r>
      <w:r w:rsidRPr="00760F91">
        <w:rPr>
          <w:rFonts w:ascii="Book Antiqua" w:eastAsia="SimSun" w:hAnsi="Book Antiqua" w:cs="Arial"/>
          <w:noProof/>
          <w:color w:val="000000" w:themeColor="text1"/>
          <w:kern w:val="1"/>
          <w:lang w:val="it-IT" w:eastAsia="zh-CN" w:bidi="hi-IN"/>
        </w:rPr>
        <w:t>Tseng</w:t>
      </w:r>
      <w:r>
        <w:rPr>
          <w:rFonts w:ascii="Book Antiqua" w:eastAsia="SimSun" w:hAnsi="Book Antiqua" w:cs="Arial" w:hint="eastAsia"/>
          <w:noProof/>
          <w:color w:val="000000" w:themeColor="text1"/>
          <w:kern w:val="1"/>
          <w:lang w:val="it-IT" w:eastAsia="zh-CN" w:bidi="hi-IN"/>
        </w:rPr>
        <w:t xml:space="preserve"> PH</w:t>
      </w:r>
      <w:r w:rsidRPr="0070045D">
        <w:rPr>
          <w:rFonts w:ascii="Book Antiqua" w:hAnsi="Book Antiqua" w:cs="Mangal"/>
          <w:bCs/>
          <w:color w:val="000000" w:themeColor="text1"/>
          <w:kern w:val="1"/>
          <w:lang w:val="it-IT" w:bidi="hi-IN"/>
        </w:rPr>
        <w:t xml:space="preserve"> </w:t>
      </w:r>
      <w:r w:rsidRPr="0070045D">
        <w:rPr>
          <w:rFonts w:ascii="Book Antiqua" w:eastAsia="Lucida Sans Unicode" w:hAnsi="Book Antiqua" w:cs="Mangal"/>
          <w:b/>
          <w:bCs/>
          <w:color w:val="000000" w:themeColor="text1"/>
          <w:kern w:val="1"/>
          <w:lang w:val="it-IT" w:eastAsia="hi-IN" w:bidi="hi-IN"/>
        </w:rPr>
        <w:t>S-Editor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Cs/>
          <w:color w:val="000000" w:themeColor="text1"/>
          <w:kern w:val="1"/>
          <w:lang w:val="it-IT" w:eastAsia="hi-IN" w:bidi="hi-IN"/>
        </w:rPr>
        <w:t xml:space="preserve"> </w:t>
      </w:r>
      <w:r w:rsidRPr="0070045D">
        <w:rPr>
          <w:rFonts w:ascii="Book Antiqua" w:hAnsi="Book Antiqua" w:cs="Mangal"/>
          <w:bCs/>
          <w:color w:val="000000" w:themeColor="text1"/>
          <w:kern w:val="1"/>
          <w:lang w:val="it-IT" w:bidi="hi-IN"/>
        </w:rPr>
        <w:t>Dou Y</w:t>
      </w:r>
      <w:r w:rsidRPr="0070045D">
        <w:rPr>
          <w:rFonts w:ascii="Book Antiqua" w:eastAsia="Lucida Sans Unicode" w:hAnsi="Book Antiqua" w:cs="Mangal"/>
          <w:b/>
          <w:bCs/>
          <w:color w:val="000000" w:themeColor="text1"/>
          <w:kern w:val="1"/>
          <w:lang w:val="it-IT" w:eastAsia="hi-IN" w:bidi="hi-IN"/>
        </w:rPr>
        <w:t xml:space="preserve"> L-Editor</w:t>
      </w:r>
      <w:r w:rsidRPr="0070045D">
        <w:rPr>
          <w:rFonts w:ascii="Book Antiqua" w:hAnsi="Book Antiqua" w:cs="Mangal"/>
          <w:b/>
          <w:bCs/>
          <w:color w:val="000000" w:themeColor="text1"/>
          <w:kern w:val="1"/>
          <w:lang w:val="it-IT" w:bidi="hi-IN"/>
        </w:rPr>
        <w:t>:</w:t>
      </w:r>
      <w:r w:rsidRPr="0070045D">
        <w:rPr>
          <w:rFonts w:ascii="Book Antiqua" w:eastAsia="Lucida Sans Unicode" w:hAnsi="Book Antiqua" w:cs="Mangal"/>
          <w:b/>
          <w:bCs/>
          <w:color w:val="000000" w:themeColor="text1"/>
          <w:kern w:val="1"/>
          <w:lang w:val="it-IT" w:eastAsia="hi-IN" w:bidi="hi-IN"/>
        </w:rPr>
        <w:t xml:space="preserve"> E-Editor</w:t>
      </w:r>
      <w:r w:rsidRPr="0070045D">
        <w:rPr>
          <w:rFonts w:ascii="Book Antiqua" w:hAnsi="Book Antiqua" w:cs="Mangal"/>
          <w:b/>
          <w:bCs/>
          <w:color w:val="000000" w:themeColor="text1"/>
          <w:kern w:val="1"/>
          <w:lang w:val="it-IT" w:bidi="hi-IN"/>
        </w:rPr>
        <w:t>:</w:t>
      </w:r>
    </w:p>
    <w:p w14:paraId="491946E8" w14:textId="77777777" w:rsidR="00760F91" w:rsidRPr="0070045D" w:rsidRDefault="00760F91" w:rsidP="00760F91">
      <w:pPr>
        <w:suppressAutoHyphens/>
        <w:spacing w:line="360" w:lineRule="auto"/>
        <w:ind w:right="120"/>
        <w:jc w:val="both"/>
        <w:rPr>
          <w:rFonts w:ascii="Book Antiqua" w:hAnsi="Book Antiqua" w:cs="Mangal"/>
          <w:b/>
          <w:bCs/>
          <w:color w:val="000000" w:themeColor="text1"/>
          <w:kern w:val="1"/>
          <w:lang w:val="it-IT" w:bidi="hi-IN"/>
        </w:rPr>
      </w:pPr>
    </w:p>
    <w:p w14:paraId="69C208F9" w14:textId="77777777" w:rsidR="00760F91" w:rsidRPr="0070045D" w:rsidRDefault="00760F91" w:rsidP="00760F9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Specialty type: </w:t>
      </w:r>
      <w:r w:rsidRPr="0070045D">
        <w:rPr>
          <w:rFonts w:ascii="Book Antiqua" w:eastAsia="Microsoft YaHei" w:hAnsi="Book Antiqua" w:cs="SimSun"/>
        </w:rPr>
        <w:t>Medicine, research and experimental</w:t>
      </w:r>
    </w:p>
    <w:p w14:paraId="53DF185D" w14:textId="10A917CA" w:rsidR="00760F91" w:rsidRPr="0070045D" w:rsidRDefault="00760F91" w:rsidP="00760F9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 xml:space="preserve">Country of origin: </w:t>
      </w:r>
      <w:r w:rsidRPr="00760F91">
        <w:rPr>
          <w:rFonts w:ascii="Book Antiqua" w:hAnsi="Book Antiqua" w:cs="Helvetica"/>
          <w:color w:val="000000" w:themeColor="text1"/>
        </w:rPr>
        <w:t>United States</w:t>
      </w:r>
    </w:p>
    <w:p w14:paraId="30B694CF" w14:textId="77777777" w:rsidR="00760F91" w:rsidRPr="0070045D" w:rsidRDefault="00760F91" w:rsidP="00760F91">
      <w:pPr>
        <w:shd w:val="clear" w:color="auto" w:fill="FFFFFF"/>
        <w:snapToGrid w:val="0"/>
        <w:spacing w:line="360" w:lineRule="auto"/>
        <w:jc w:val="both"/>
        <w:rPr>
          <w:rFonts w:ascii="Book Antiqua" w:hAnsi="Book Antiqua" w:cs="Helvetica"/>
          <w:b/>
          <w:color w:val="000000" w:themeColor="text1"/>
        </w:rPr>
      </w:pPr>
      <w:r w:rsidRPr="0070045D">
        <w:rPr>
          <w:rFonts w:ascii="Book Antiqua" w:hAnsi="Book Antiqua" w:cs="Helvetica"/>
          <w:b/>
          <w:color w:val="000000" w:themeColor="text1"/>
        </w:rPr>
        <w:t>Peer-review report classification</w:t>
      </w:r>
    </w:p>
    <w:p w14:paraId="677787B0" w14:textId="77777777" w:rsidR="00760F91" w:rsidRPr="0070045D" w:rsidRDefault="00760F91" w:rsidP="00760F91">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t>Grade A (Excellent): 0</w:t>
      </w:r>
    </w:p>
    <w:p w14:paraId="6F9D5782" w14:textId="42025488" w:rsidR="00760F91" w:rsidRPr="00760F91" w:rsidRDefault="00760F91" w:rsidP="00760F91">
      <w:pPr>
        <w:shd w:val="clear" w:color="auto" w:fill="FFFFFF"/>
        <w:snapToGrid w:val="0"/>
        <w:spacing w:line="360" w:lineRule="auto"/>
        <w:jc w:val="both"/>
        <w:rPr>
          <w:rFonts w:ascii="Book Antiqua" w:eastAsia="SimSun" w:hAnsi="Book Antiqua" w:cs="Helvetica"/>
          <w:color w:val="000000" w:themeColor="text1"/>
          <w:lang w:eastAsia="zh-CN"/>
        </w:rPr>
      </w:pPr>
      <w:r w:rsidRPr="0070045D">
        <w:rPr>
          <w:rFonts w:ascii="Book Antiqua" w:hAnsi="Book Antiqua" w:cs="Helvetica"/>
          <w:color w:val="000000" w:themeColor="text1"/>
        </w:rPr>
        <w:t>Grade B (Very good): B</w:t>
      </w:r>
      <w:r>
        <w:rPr>
          <w:rFonts w:ascii="Book Antiqua" w:eastAsia="SimSun" w:hAnsi="Book Antiqua" w:cs="Helvetica" w:hint="eastAsia"/>
          <w:color w:val="000000" w:themeColor="text1"/>
          <w:lang w:eastAsia="zh-CN"/>
        </w:rPr>
        <w:t>, B</w:t>
      </w:r>
    </w:p>
    <w:p w14:paraId="0232F7A3" w14:textId="77777777" w:rsidR="00760F91" w:rsidRPr="0070045D" w:rsidRDefault="00760F91" w:rsidP="00760F91">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C (Good): </w:t>
      </w:r>
      <w:r w:rsidRPr="0070045D">
        <w:rPr>
          <w:rFonts w:ascii="Book Antiqua" w:hAnsi="Book Antiqua" w:cs="Helvetica"/>
          <w:color w:val="000000" w:themeColor="text1"/>
          <w:lang w:eastAsia="zh-CN"/>
        </w:rPr>
        <w:t>0</w:t>
      </w:r>
    </w:p>
    <w:p w14:paraId="7852E0C8" w14:textId="77777777" w:rsidR="00760F91" w:rsidRPr="0070045D" w:rsidRDefault="00760F91" w:rsidP="00760F91">
      <w:pPr>
        <w:shd w:val="clear" w:color="auto" w:fill="FFFFFF"/>
        <w:snapToGrid w:val="0"/>
        <w:spacing w:line="360" w:lineRule="auto"/>
        <w:jc w:val="both"/>
        <w:rPr>
          <w:rFonts w:ascii="Book Antiqua" w:hAnsi="Book Antiqua" w:cs="Helvetica"/>
          <w:color w:val="000000" w:themeColor="text1"/>
          <w:lang w:eastAsia="zh-CN"/>
        </w:rPr>
      </w:pPr>
      <w:r w:rsidRPr="0070045D">
        <w:rPr>
          <w:rFonts w:ascii="Book Antiqua" w:hAnsi="Book Antiqua" w:cs="Helvetica"/>
          <w:color w:val="000000" w:themeColor="text1"/>
        </w:rPr>
        <w:t xml:space="preserve">Grade D (Fair): </w:t>
      </w:r>
      <w:bookmarkEnd w:id="16"/>
      <w:bookmarkEnd w:id="17"/>
      <w:r w:rsidRPr="0070045D">
        <w:rPr>
          <w:rFonts w:ascii="Book Antiqua" w:hAnsi="Book Antiqua" w:cs="Helvetica"/>
          <w:color w:val="000000" w:themeColor="text1"/>
          <w:lang w:eastAsia="zh-CN"/>
        </w:rPr>
        <w:t>0</w:t>
      </w:r>
    </w:p>
    <w:p w14:paraId="1E865E2F" w14:textId="77777777" w:rsidR="00760F91" w:rsidRPr="0070045D" w:rsidRDefault="00760F91" w:rsidP="00760F91">
      <w:pPr>
        <w:shd w:val="clear" w:color="auto" w:fill="FFFFFF"/>
        <w:snapToGrid w:val="0"/>
        <w:spacing w:line="360" w:lineRule="auto"/>
        <w:jc w:val="both"/>
        <w:rPr>
          <w:rFonts w:ascii="Book Antiqua" w:hAnsi="Book Antiqua" w:cs="Helvetica"/>
          <w:color w:val="000000" w:themeColor="text1"/>
        </w:rPr>
      </w:pPr>
      <w:r w:rsidRPr="0070045D">
        <w:rPr>
          <w:rFonts w:ascii="Book Antiqua" w:hAnsi="Book Antiqua" w:cs="Helvetica"/>
          <w:color w:val="000000" w:themeColor="text1"/>
        </w:rPr>
        <w:lastRenderedPageBreak/>
        <w:t xml:space="preserve">Grade E (Poor): </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70045D">
        <w:rPr>
          <w:rFonts w:ascii="Book Antiqua" w:hAnsi="Book Antiqua" w:cs="Helvetica"/>
          <w:color w:val="000000" w:themeColor="text1"/>
        </w:rPr>
        <w:t>0</w:t>
      </w:r>
    </w:p>
    <w:p w14:paraId="6DFD91E1" w14:textId="77777777" w:rsidR="00760F91" w:rsidRPr="00760F91" w:rsidRDefault="00760F91" w:rsidP="00284EAF">
      <w:pPr>
        <w:spacing w:line="360" w:lineRule="auto"/>
        <w:jc w:val="both"/>
        <w:rPr>
          <w:rFonts w:ascii="Book Antiqua" w:eastAsia="SimSun" w:hAnsi="Book Antiqua"/>
          <w:lang w:eastAsia="zh-CN"/>
        </w:rPr>
      </w:pPr>
    </w:p>
    <w:sectPr w:rsidR="00760F91" w:rsidRPr="00760F91" w:rsidSect="00F82165">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EC17D" w14:textId="77777777" w:rsidR="00A35E01" w:rsidRDefault="00A35E01" w:rsidP="000C3B41">
      <w:r>
        <w:separator/>
      </w:r>
    </w:p>
  </w:endnote>
  <w:endnote w:type="continuationSeparator" w:id="0">
    <w:p w14:paraId="4CAE0673" w14:textId="77777777" w:rsidR="00A35E01" w:rsidRDefault="00A35E01" w:rsidP="000C3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472BF" w14:textId="77777777" w:rsidR="008A51DB" w:rsidRDefault="008A51DB" w:rsidP="000C3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32EBFF" w14:textId="77777777" w:rsidR="008A51DB" w:rsidRDefault="008A51DB" w:rsidP="000C3B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F2CA0" w14:textId="4B6F4C09" w:rsidR="008A51DB" w:rsidRDefault="008A51DB" w:rsidP="000C3B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EB3">
      <w:rPr>
        <w:rStyle w:val="PageNumber"/>
        <w:noProof/>
      </w:rPr>
      <w:t>1</w:t>
    </w:r>
    <w:r>
      <w:rPr>
        <w:rStyle w:val="PageNumber"/>
      </w:rPr>
      <w:fldChar w:fldCharType="end"/>
    </w:r>
  </w:p>
  <w:p w14:paraId="255FBA89" w14:textId="77777777" w:rsidR="008A51DB" w:rsidRDefault="008A51DB" w:rsidP="000C3B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11B0F" w14:textId="77777777" w:rsidR="00A35E01" w:rsidRDefault="00A35E01" w:rsidP="000C3B41">
      <w:r>
        <w:separator/>
      </w:r>
    </w:p>
  </w:footnote>
  <w:footnote w:type="continuationSeparator" w:id="0">
    <w:p w14:paraId="0A23D00F" w14:textId="77777777" w:rsidR="00A35E01" w:rsidRDefault="00A35E01" w:rsidP="000C3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7C4"/>
    <w:rsid w:val="000505D4"/>
    <w:rsid w:val="000B5EB3"/>
    <w:rsid w:val="000C3B41"/>
    <w:rsid w:val="000D0B93"/>
    <w:rsid w:val="001547C4"/>
    <w:rsid w:val="001B6B64"/>
    <w:rsid w:val="00284EAF"/>
    <w:rsid w:val="002F7F1A"/>
    <w:rsid w:val="00393736"/>
    <w:rsid w:val="0045571B"/>
    <w:rsid w:val="004B4557"/>
    <w:rsid w:val="005828B7"/>
    <w:rsid w:val="005836CC"/>
    <w:rsid w:val="006770BB"/>
    <w:rsid w:val="00760F91"/>
    <w:rsid w:val="00782E68"/>
    <w:rsid w:val="007D30FD"/>
    <w:rsid w:val="008A51DB"/>
    <w:rsid w:val="008E5390"/>
    <w:rsid w:val="008F3419"/>
    <w:rsid w:val="009748CE"/>
    <w:rsid w:val="009E3DA5"/>
    <w:rsid w:val="00A35E01"/>
    <w:rsid w:val="00D8422B"/>
    <w:rsid w:val="00DE55F3"/>
    <w:rsid w:val="00E92A37"/>
    <w:rsid w:val="00F04898"/>
    <w:rsid w:val="00F618F8"/>
    <w:rsid w:val="00F8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E8DCD1"/>
  <w14:defaultImageDpi w14:val="300"/>
  <w15:docId w15:val="{7EDB0868-F4ED-41AD-98C3-127352A6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3B41"/>
    <w:pPr>
      <w:tabs>
        <w:tab w:val="center" w:pos="4320"/>
        <w:tab w:val="right" w:pos="8640"/>
      </w:tabs>
    </w:pPr>
  </w:style>
  <w:style w:type="character" w:customStyle="1" w:styleId="FooterChar">
    <w:name w:val="Footer Char"/>
    <w:basedOn w:val="DefaultParagraphFont"/>
    <w:link w:val="Footer"/>
    <w:uiPriority w:val="99"/>
    <w:rsid w:val="000C3B41"/>
  </w:style>
  <w:style w:type="character" w:styleId="PageNumber">
    <w:name w:val="page number"/>
    <w:basedOn w:val="DefaultParagraphFont"/>
    <w:uiPriority w:val="99"/>
    <w:semiHidden/>
    <w:unhideWhenUsed/>
    <w:rsid w:val="000C3B41"/>
  </w:style>
  <w:style w:type="character" w:styleId="Hyperlink">
    <w:name w:val="Hyperlink"/>
    <w:basedOn w:val="DefaultParagraphFont"/>
    <w:uiPriority w:val="99"/>
    <w:unhideWhenUsed/>
    <w:rsid w:val="00D842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11832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ansheng%20Ma\Desktop\Liansheng%20Ma\WJCC%20Dispose\Accepted\2018\2018-11-23_Final_Acceptance_WJCC\41899\vantilburg@campbell.edu"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80660-9689-4A9F-ACDB-339E5805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8077</Words>
  <Characters>46043</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Kouba</dc:creator>
  <cp:keywords/>
  <dc:description/>
  <cp:lastModifiedBy>Lian-Sheng Ma</cp:lastModifiedBy>
  <cp:revision>2</cp:revision>
  <dcterms:created xsi:type="dcterms:W3CDTF">2018-11-24T02:32:00Z</dcterms:created>
  <dcterms:modified xsi:type="dcterms:W3CDTF">2018-11-24T02:32:00Z</dcterms:modified>
</cp:coreProperties>
</file>